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35C39D">
      <w:pPr>
        <w:pStyle w:val="7"/>
        <w:numPr>
          <w:ilvl w:val="255"/>
          <w:numId w:val="0"/>
        </w:numPr>
        <w:shd w:val="clear"/>
        <w:jc w:val="center"/>
        <w:rPr>
          <w:rFonts w:hint="eastAsia" w:ascii="宋体" w:hAnsi="宋体" w:eastAsia="宋体" w:cs="宋体"/>
          <w:bCs/>
          <w:color w:val="auto"/>
          <w:sz w:val="52"/>
          <w:szCs w:val="52"/>
          <w:highlight w:val="none"/>
          <w:lang w:val="zh-CN"/>
        </w:rPr>
      </w:pPr>
    </w:p>
    <w:p w14:paraId="4C25EFB1">
      <w:pPr>
        <w:pStyle w:val="7"/>
        <w:numPr>
          <w:ilvl w:val="255"/>
          <w:numId w:val="0"/>
        </w:numPr>
        <w:shd w:val="clear"/>
        <w:jc w:val="center"/>
        <w:rPr>
          <w:rFonts w:hint="eastAsia" w:ascii="宋体" w:hAnsi="宋体" w:eastAsia="宋体" w:cs="宋体"/>
          <w:bCs/>
          <w:color w:val="auto"/>
          <w:sz w:val="52"/>
          <w:szCs w:val="52"/>
          <w:highlight w:val="none"/>
          <w:lang w:val="zh-CN"/>
        </w:rPr>
      </w:pPr>
      <w:r>
        <w:rPr>
          <w:rFonts w:hint="eastAsia" w:ascii="宋体" w:hAnsi="宋体" w:eastAsia="宋体" w:cs="宋体"/>
          <w:bCs/>
          <w:color w:val="auto"/>
          <w:sz w:val="52"/>
          <w:szCs w:val="52"/>
          <w:highlight w:val="none"/>
          <w:lang w:val="zh-CN"/>
        </w:rPr>
        <w:t xml:space="preserve"> 捷马化工股份有限公司宝塔路地块风险管控项目环境监理采购项目</w:t>
      </w:r>
    </w:p>
    <w:p w14:paraId="66693310">
      <w:pPr>
        <w:pStyle w:val="12"/>
        <w:shd w:val="clear"/>
        <w:ind w:firstLine="0" w:firstLineChars="0"/>
        <w:rPr>
          <w:color w:val="auto"/>
          <w:highlight w:val="none"/>
        </w:rPr>
      </w:pPr>
    </w:p>
    <w:p w14:paraId="6CD8DDE0">
      <w:pPr>
        <w:shd w:val="clear"/>
        <w:ind w:firstLine="0" w:firstLineChars="0"/>
        <w:rPr>
          <w:color w:val="auto"/>
          <w:highlight w:val="none"/>
        </w:rPr>
      </w:pPr>
    </w:p>
    <w:p w14:paraId="56C4DE3F">
      <w:pPr>
        <w:pStyle w:val="12"/>
        <w:shd w:val="clear"/>
        <w:ind w:firstLine="0" w:firstLineChars="0"/>
        <w:rPr>
          <w:color w:val="auto"/>
          <w:highlight w:val="none"/>
        </w:rPr>
      </w:pPr>
    </w:p>
    <w:p w14:paraId="0C607A6E">
      <w:pPr>
        <w:shd w:val="clear"/>
        <w:spacing w:line="240" w:lineRule="auto"/>
        <w:ind w:firstLine="0" w:firstLineChars="0"/>
        <w:jc w:val="center"/>
        <w:rPr>
          <w:color w:val="auto"/>
          <w:highlight w:val="none"/>
        </w:rPr>
      </w:pPr>
      <w:r>
        <w:rPr>
          <w:rFonts w:hint="eastAsia" w:ascii="宋体" w:hAnsi="宋体" w:cs="宋体"/>
          <w:b/>
          <w:color w:val="auto"/>
          <w:w w:val="90"/>
          <w:sz w:val="84"/>
          <w:szCs w:val="84"/>
          <w:highlight w:val="none"/>
        </w:rPr>
        <w:t xml:space="preserve">公 开 招 标 </w:t>
      </w:r>
      <w:r>
        <w:rPr>
          <w:rFonts w:hint="eastAsia" w:ascii="宋体" w:hAnsi="宋体" w:cs="宋体"/>
          <w:b/>
          <w:color w:val="auto"/>
          <w:w w:val="90"/>
          <w:sz w:val="84"/>
          <w:szCs w:val="84"/>
          <w:highlight w:val="none"/>
          <w:lang w:val="zh-CN"/>
        </w:rPr>
        <w:t>文</w:t>
      </w:r>
      <w:r>
        <w:rPr>
          <w:rFonts w:hint="eastAsia" w:ascii="宋体" w:hAnsi="宋体" w:cs="宋体"/>
          <w:b/>
          <w:color w:val="auto"/>
          <w:w w:val="90"/>
          <w:sz w:val="84"/>
          <w:szCs w:val="84"/>
          <w:highlight w:val="none"/>
        </w:rPr>
        <w:t xml:space="preserve"> </w:t>
      </w:r>
      <w:r>
        <w:rPr>
          <w:rFonts w:hint="eastAsia" w:ascii="宋体" w:hAnsi="宋体" w:cs="宋体"/>
          <w:b/>
          <w:color w:val="auto"/>
          <w:w w:val="90"/>
          <w:sz w:val="84"/>
          <w:szCs w:val="84"/>
          <w:highlight w:val="none"/>
          <w:lang w:val="zh-CN"/>
        </w:rPr>
        <w:t>件</w:t>
      </w:r>
    </w:p>
    <w:p w14:paraId="4249CE70">
      <w:pPr>
        <w:pStyle w:val="17"/>
        <w:shd w:val="clear"/>
        <w:ind w:firstLine="0" w:firstLineChars="0"/>
        <w:rPr>
          <w:color w:val="auto"/>
          <w:highlight w:val="none"/>
        </w:rPr>
      </w:pPr>
    </w:p>
    <w:p w14:paraId="24816858">
      <w:pPr>
        <w:shd w:val="clear"/>
        <w:ind w:firstLine="0" w:firstLineChars="0"/>
        <w:rPr>
          <w:color w:val="auto"/>
          <w:highlight w:val="none"/>
        </w:rPr>
      </w:pPr>
    </w:p>
    <w:p w14:paraId="138CC0A7">
      <w:pPr>
        <w:shd w:val="clear"/>
        <w:snapToGrid w:val="0"/>
        <w:spacing w:line="360" w:lineRule="auto"/>
        <w:ind w:firstLine="1285" w:firstLineChars="400"/>
        <w:outlineLvl w:val="0"/>
        <w:rPr>
          <w:rFonts w:hint="eastAsia" w:ascii="宋体" w:hAnsi="宋体" w:cs="宋体"/>
          <w:b/>
          <w:color w:val="auto"/>
          <w:sz w:val="32"/>
          <w:szCs w:val="32"/>
          <w:highlight w:val="none"/>
          <w:lang w:val="zh-CN"/>
        </w:rPr>
      </w:pPr>
      <w:bookmarkStart w:id="0" w:name="_Toc16173"/>
      <w:bookmarkStart w:id="1" w:name="_Toc12453"/>
      <w:bookmarkStart w:id="2" w:name="_Toc8326"/>
      <w:bookmarkStart w:id="3" w:name="_Toc23674"/>
      <w:bookmarkStart w:id="4" w:name="_Toc11746"/>
      <w:bookmarkStart w:id="5" w:name="_Toc31696"/>
      <w:bookmarkStart w:id="6" w:name="_Toc22760"/>
      <w:bookmarkStart w:id="7" w:name="_Toc11915"/>
      <w:bookmarkStart w:id="8" w:name="_Toc28310"/>
      <w:bookmarkStart w:id="9" w:name="_Toc30066"/>
      <w:bookmarkStart w:id="10" w:name="_Toc16265"/>
      <w:bookmarkStart w:id="11" w:name="_Toc6188"/>
      <w:bookmarkStart w:id="12" w:name="_Toc12002"/>
      <w:r>
        <w:rPr>
          <w:rFonts w:hint="eastAsia" w:ascii="宋体" w:hAnsi="宋体" w:cs="宋体"/>
          <w:b/>
          <w:color w:val="auto"/>
          <w:sz w:val="32"/>
          <w:szCs w:val="32"/>
          <w:highlight w:val="none"/>
          <w:lang w:val="zh-CN"/>
        </w:rPr>
        <w:t>项目编号：</w:t>
      </w:r>
      <w:bookmarkEnd w:id="0"/>
      <w:bookmarkEnd w:id="1"/>
      <w:bookmarkEnd w:id="2"/>
      <w:bookmarkEnd w:id="3"/>
      <w:bookmarkEnd w:id="4"/>
      <w:bookmarkEnd w:id="5"/>
      <w:bookmarkEnd w:id="6"/>
      <w:bookmarkEnd w:id="7"/>
      <w:bookmarkEnd w:id="8"/>
      <w:bookmarkEnd w:id="9"/>
      <w:bookmarkEnd w:id="10"/>
      <w:bookmarkEnd w:id="11"/>
      <w:bookmarkEnd w:id="12"/>
      <w:bookmarkStart w:id="13" w:name="_Toc20914"/>
      <w:r>
        <w:rPr>
          <w:rFonts w:hint="eastAsia" w:ascii="宋体" w:hAnsi="宋体" w:cs="宋体"/>
          <w:b/>
          <w:color w:val="auto"/>
          <w:sz w:val="32"/>
          <w:szCs w:val="32"/>
          <w:highlight w:val="none"/>
          <w:lang w:val="zh-CN"/>
        </w:rPr>
        <w:t>LYCG2025YX-014</w:t>
      </w:r>
    </w:p>
    <w:p w14:paraId="19C7817D">
      <w:pPr>
        <w:shd w:val="clear"/>
        <w:snapToGrid w:val="0"/>
        <w:spacing w:line="360" w:lineRule="auto"/>
        <w:ind w:firstLine="1285" w:firstLineChars="400"/>
        <w:outlineLvl w:val="0"/>
        <w:rPr>
          <w:rFonts w:hint="eastAsia" w:ascii="宋体" w:hAnsi="宋体" w:cs="宋体"/>
          <w:b/>
          <w:color w:val="auto"/>
          <w:sz w:val="32"/>
          <w:szCs w:val="32"/>
          <w:highlight w:val="none"/>
          <w:lang w:val="zh-CN"/>
        </w:rPr>
      </w:pPr>
      <w:bookmarkStart w:id="14" w:name="_Toc30440"/>
      <w:bookmarkStart w:id="15" w:name="_Toc7773"/>
      <w:bookmarkStart w:id="16" w:name="_Toc14706"/>
      <w:r>
        <w:rPr>
          <w:rFonts w:hint="eastAsia" w:ascii="宋体" w:hAnsi="宋体" w:cs="宋体"/>
          <w:b/>
          <w:color w:val="auto"/>
          <w:sz w:val="32"/>
          <w:szCs w:val="32"/>
          <w:highlight w:val="none"/>
          <w:lang w:val="zh-CN"/>
        </w:rPr>
        <w:t>预算执行确认书编号：</w:t>
      </w:r>
      <w:bookmarkStart w:id="17" w:name="OLE_LINK30"/>
      <w:r>
        <w:rPr>
          <w:rFonts w:hint="eastAsia" w:ascii="宋体" w:hAnsi="宋体" w:cs="宋体"/>
          <w:b/>
          <w:color w:val="auto"/>
          <w:sz w:val="32"/>
          <w:szCs w:val="32"/>
          <w:highlight w:val="none"/>
          <w:lang w:val="zh-CN"/>
        </w:rPr>
        <w:t>龙财采确[2025]</w:t>
      </w:r>
      <w:r>
        <w:rPr>
          <w:rFonts w:hint="eastAsia" w:ascii="宋体" w:hAnsi="宋体" w:cs="宋体"/>
          <w:b/>
          <w:color w:val="auto"/>
          <w:sz w:val="32"/>
          <w:szCs w:val="32"/>
          <w:highlight w:val="none"/>
          <w:lang w:val="en-US" w:eastAsia="zh-CN"/>
        </w:rPr>
        <w:t>982</w:t>
      </w:r>
      <w:r>
        <w:rPr>
          <w:rFonts w:hint="eastAsia" w:ascii="宋体" w:hAnsi="宋体" w:cs="宋体"/>
          <w:b/>
          <w:color w:val="auto"/>
          <w:sz w:val="32"/>
          <w:szCs w:val="32"/>
          <w:highlight w:val="none"/>
          <w:lang w:val="zh-CN"/>
        </w:rPr>
        <w:t>号</w:t>
      </w:r>
      <w:bookmarkEnd w:id="13"/>
      <w:bookmarkEnd w:id="14"/>
      <w:bookmarkEnd w:id="15"/>
      <w:bookmarkEnd w:id="16"/>
      <w:bookmarkEnd w:id="17"/>
    </w:p>
    <w:p w14:paraId="15BF6271">
      <w:pPr>
        <w:pStyle w:val="42"/>
        <w:shd w:val="clear"/>
        <w:ind w:left="1277" w:leftChars="532" w:firstLine="0" w:firstLineChars="0"/>
        <w:rPr>
          <w:rFonts w:hint="eastAsia" w:ascii="宋体" w:hAnsi="宋体" w:cs="宋体"/>
          <w:b/>
          <w:i w:val="0"/>
          <w:color w:val="auto"/>
          <w:sz w:val="32"/>
          <w:szCs w:val="32"/>
          <w:highlight w:val="none"/>
          <w:lang w:val="zh-CN"/>
        </w:rPr>
      </w:pPr>
      <w:bookmarkStart w:id="18" w:name="_Toc26634"/>
      <w:bookmarkStart w:id="19" w:name="_Toc31717"/>
      <w:bookmarkStart w:id="20" w:name="_Toc21241"/>
      <w:bookmarkStart w:id="21" w:name="_Toc1208"/>
      <w:bookmarkStart w:id="22" w:name="_Toc9445"/>
      <w:r>
        <w:rPr>
          <w:rFonts w:hint="eastAsia" w:ascii="宋体" w:hAnsi="宋体" w:cs="宋体"/>
          <w:b/>
          <w:i w:val="0"/>
          <w:iCs/>
          <w:color w:val="auto"/>
          <w:sz w:val="32"/>
          <w:szCs w:val="32"/>
          <w:highlight w:val="none"/>
          <w:lang w:val="zh-CN"/>
        </w:rPr>
        <w:t>项目名称：</w:t>
      </w:r>
      <w:bookmarkEnd w:id="18"/>
      <w:bookmarkEnd w:id="19"/>
      <w:bookmarkEnd w:id="20"/>
      <w:bookmarkEnd w:id="21"/>
      <w:bookmarkEnd w:id="22"/>
      <w:r>
        <w:rPr>
          <w:rFonts w:hint="eastAsia" w:ascii="宋体" w:hAnsi="宋体" w:cs="宋体"/>
          <w:b/>
          <w:i w:val="0"/>
          <w:iCs/>
          <w:color w:val="auto"/>
          <w:sz w:val="32"/>
          <w:szCs w:val="32"/>
          <w:highlight w:val="none"/>
          <w:lang w:val="zh-CN"/>
        </w:rPr>
        <w:t>捷马化工股份有限公司宝塔路地块风险管控项目环境监理采购项目</w:t>
      </w:r>
    </w:p>
    <w:p w14:paraId="47065C11">
      <w:pPr>
        <w:pStyle w:val="42"/>
        <w:shd w:val="clear"/>
        <w:rPr>
          <w:color w:val="auto"/>
          <w:highlight w:val="none"/>
          <w:lang w:val="zh-CN"/>
        </w:rPr>
      </w:pPr>
    </w:p>
    <w:p w14:paraId="5B170A36">
      <w:pPr>
        <w:pStyle w:val="42"/>
        <w:shd w:val="clear"/>
        <w:rPr>
          <w:color w:val="auto"/>
          <w:highlight w:val="none"/>
          <w:lang w:val="zh-CN"/>
        </w:rPr>
      </w:pPr>
    </w:p>
    <w:p w14:paraId="054170A9">
      <w:pPr>
        <w:pStyle w:val="42"/>
        <w:shd w:val="clear"/>
        <w:rPr>
          <w:color w:val="auto"/>
          <w:highlight w:val="none"/>
          <w:lang w:val="zh-CN"/>
        </w:rPr>
      </w:pPr>
    </w:p>
    <w:p w14:paraId="7D197517">
      <w:pPr>
        <w:pStyle w:val="42"/>
        <w:shd w:val="clear"/>
        <w:rPr>
          <w:color w:val="auto"/>
          <w:highlight w:val="none"/>
          <w:lang w:val="zh-CN"/>
        </w:rPr>
      </w:pPr>
    </w:p>
    <w:p w14:paraId="52B694FF">
      <w:pPr>
        <w:pStyle w:val="42"/>
        <w:shd w:val="clear"/>
        <w:rPr>
          <w:color w:val="auto"/>
          <w:highlight w:val="none"/>
          <w:lang w:val="zh-CN"/>
        </w:rPr>
      </w:pPr>
    </w:p>
    <w:p w14:paraId="417ECFE8">
      <w:pPr>
        <w:pStyle w:val="40"/>
        <w:shd w:val="clear"/>
        <w:ind w:firstLine="0" w:firstLineChars="0"/>
        <w:rPr>
          <w:rFonts w:hint="default"/>
          <w:color w:val="auto"/>
          <w:highlight w:val="none"/>
          <w:lang w:val="zh-CN"/>
        </w:rPr>
      </w:pPr>
    </w:p>
    <w:p w14:paraId="38FAC5E2">
      <w:pPr>
        <w:shd w:val="clear"/>
        <w:snapToGrid w:val="0"/>
        <w:spacing w:line="480" w:lineRule="auto"/>
        <w:ind w:firstLine="1285" w:firstLineChars="400"/>
        <w:outlineLvl w:val="0"/>
        <w:rPr>
          <w:rFonts w:hint="eastAsia" w:ascii="宋体" w:hAnsi="宋体" w:cs="宋体"/>
          <w:b/>
          <w:color w:val="auto"/>
          <w:sz w:val="32"/>
          <w:szCs w:val="32"/>
          <w:highlight w:val="none"/>
          <w:lang w:val="zh-CN"/>
        </w:rPr>
      </w:pPr>
      <w:bookmarkStart w:id="23" w:name="_Toc23809"/>
      <w:bookmarkStart w:id="24" w:name="_Toc10257"/>
      <w:bookmarkStart w:id="25" w:name="_Toc31545"/>
      <w:bookmarkStart w:id="26" w:name="_Toc28496"/>
      <w:bookmarkStart w:id="27" w:name="_Toc19893"/>
      <w:bookmarkStart w:id="28" w:name="_Toc7131"/>
      <w:bookmarkStart w:id="29" w:name="_Toc3337"/>
      <w:bookmarkStart w:id="30" w:name="_Toc15858"/>
      <w:bookmarkStart w:id="31" w:name="_Toc29075"/>
      <w:bookmarkStart w:id="32" w:name="_Toc5392"/>
      <w:bookmarkStart w:id="33" w:name="_Toc9031"/>
      <w:bookmarkStart w:id="34" w:name="_Toc22819"/>
      <w:bookmarkStart w:id="35" w:name="_Toc18160"/>
      <w:r>
        <w:rPr>
          <w:rFonts w:hint="eastAsia" w:ascii="宋体" w:hAnsi="宋体" w:cs="宋体"/>
          <w:b/>
          <w:color w:val="auto"/>
          <w:sz w:val="32"/>
          <w:szCs w:val="32"/>
          <w:highlight w:val="none"/>
          <w:lang w:val="zh-CN"/>
        </w:rPr>
        <w:t>采</w:t>
      </w:r>
      <w:r>
        <w:rPr>
          <w:rFonts w:hint="eastAsia" w:ascii="宋体" w:hAnsi="宋体" w:cs="宋体"/>
          <w:b/>
          <w:color w:val="auto"/>
          <w:sz w:val="32"/>
          <w:szCs w:val="32"/>
          <w:highlight w:val="none"/>
        </w:rPr>
        <w:t xml:space="preserve">   </w:t>
      </w:r>
      <w:r>
        <w:rPr>
          <w:rFonts w:hint="eastAsia" w:ascii="宋体" w:hAnsi="宋体" w:cs="宋体"/>
          <w:b/>
          <w:color w:val="auto"/>
          <w:sz w:val="32"/>
          <w:szCs w:val="32"/>
          <w:highlight w:val="none"/>
          <w:lang w:val="zh-CN"/>
        </w:rPr>
        <w:t>购</w:t>
      </w:r>
      <w:r>
        <w:rPr>
          <w:rFonts w:hint="eastAsia" w:ascii="宋体" w:hAnsi="宋体" w:cs="宋体"/>
          <w:b/>
          <w:color w:val="auto"/>
          <w:sz w:val="32"/>
          <w:szCs w:val="32"/>
          <w:highlight w:val="none"/>
        </w:rPr>
        <w:t xml:space="preserve">   人</w:t>
      </w:r>
      <w:r>
        <w:rPr>
          <w:rFonts w:hint="eastAsia" w:ascii="宋体" w:hAnsi="宋体" w:cs="宋体"/>
          <w:b/>
          <w:color w:val="auto"/>
          <w:sz w:val="32"/>
          <w:szCs w:val="32"/>
          <w:highlight w:val="none"/>
          <w:lang w:val="zh-CN"/>
        </w:rPr>
        <w:t>：龙游县东华街道办事处（</w:t>
      </w:r>
      <w:r>
        <w:rPr>
          <w:rFonts w:hint="eastAsia" w:ascii="宋体" w:hAnsi="宋体" w:cs="宋体"/>
          <w:b/>
          <w:color w:val="auto"/>
          <w:sz w:val="32"/>
          <w:szCs w:val="32"/>
          <w:highlight w:val="none"/>
        </w:rPr>
        <w:t>盖章</w:t>
      </w:r>
      <w:r>
        <w:rPr>
          <w:rFonts w:hint="eastAsia" w:ascii="宋体" w:hAnsi="宋体" w:cs="宋体"/>
          <w:b/>
          <w:color w:val="auto"/>
          <w:sz w:val="32"/>
          <w:szCs w:val="32"/>
          <w:highlight w:val="none"/>
          <w:lang w:val="zh-CN"/>
        </w:rPr>
        <w:t>）</w:t>
      </w:r>
      <w:bookmarkEnd w:id="23"/>
      <w:bookmarkEnd w:id="24"/>
      <w:bookmarkEnd w:id="25"/>
      <w:bookmarkEnd w:id="26"/>
      <w:bookmarkEnd w:id="27"/>
      <w:bookmarkEnd w:id="28"/>
      <w:bookmarkEnd w:id="29"/>
      <w:bookmarkEnd w:id="30"/>
      <w:bookmarkEnd w:id="31"/>
      <w:bookmarkEnd w:id="32"/>
      <w:bookmarkEnd w:id="33"/>
      <w:bookmarkEnd w:id="34"/>
      <w:bookmarkEnd w:id="35"/>
    </w:p>
    <w:p w14:paraId="07863756">
      <w:pPr>
        <w:shd w:val="clear"/>
        <w:snapToGrid w:val="0"/>
        <w:spacing w:line="480" w:lineRule="auto"/>
        <w:ind w:firstLine="1285" w:firstLineChars="400"/>
        <w:rPr>
          <w:rFonts w:hint="eastAsia" w:ascii="宋体" w:hAnsi="宋体" w:cs="宋体"/>
          <w:b/>
          <w:color w:val="auto"/>
          <w:sz w:val="32"/>
          <w:szCs w:val="32"/>
          <w:highlight w:val="none"/>
          <w:lang w:val="zh-CN"/>
        </w:rPr>
      </w:pPr>
      <w:bookmarkStart w:id="36" w:name="OLE_LINK69"/>
      <w:r>
        <w:rPr>
          <w:rFonts w:hint="eastAsia" w:ascii="宋体" w:hAnsi="宋体" w:cs="宋体"/>
          <w:b/>
          <w:color w:val="auto"/>
          <w:sz w:val="32"/>
          <w:szCs w:val="32"/>
          <w:highlight w:val="none"/>
          <w:lang w:val="zh-CN"/>
        </w:rPr>
        <w:t>采购代理机构：衢州宇信工程咨询有限公司</w:t>
      </w:r>
      <w:bookmarkEnd w:id="36"/>
      <w:r>
        <w:rPr>
          <w:rFonts w:hint="eastAsia" w:ascii="宋体" w:hAnsi="宋体" w:cs="宋体"/>
          <w:b/>
          <w:color w:val="auto"/>
          <w:sz w:val="32"/>
          <w:szCs w:val="32"/>
          <w:highlight w:val="none"/>
          <w:lang w:val="zh-CN"/>
        </w:rPr>
        <w:t>（</w:t>
      </w:r>
      <w:r>
        <w:rPr>
          <w:rFonts w:hint="eastAsia" w:ascii="宋体" w:hAnsi="宋体" w:cs="宋体"/>
          <w:b/>
          <w:color w:val="auto"/>
          <w:sz w:val="32"/>
          <w:szCs w:val="32"/>
          <w:highlight w:val="none"/>
        </w:rPr>
        <w:t>盖章</w:t>
      </w:r>
      <w:r>
        <w:rPr>
          <w:rFonts w:hint="eastAsia" w:ascii="宋体" w:hAnsi="宋体" w:cs="宋体"/>
          <w:b/>
          <w:color w:val="auto"/>
          <w:sz w:val="32"/>
          <w:szCs w:val="32"/>
          <w:highlight w:val="none"/>
          <w:lang w:val="zh-CN"/>
        </w:rPr>
        <w:t>）</w:t>
      </w:r>
    </w:p>
    <w:p w14:paraId="4305959D">
      <w:pPr>
        <w:shd w:val="clear"/>
        <w:snapToGrid w:val="0"/>
        <w:spacing w:line="480" w:lineRule="auto"/>
        <w:ind w:firstLine="0" w:firstLineChars="0"/>
        <w:jc w:val="center"/>
        <w:outlineLvl w:val="0"/>
        <w:rPr>
          <w:rFonts w:hint="eastAsia" w:ascii="宋体" w:hAnsi="宋体" w:cs="宋体"/>
          <w:b/>
          <w:color w:val="auto"/>
          <w:sz w:val="32"/>
          <w:szCs w:val="32"/>
          <w:highlight w:val="none"/>
          <w:lang w:val="zh-CN"/>
        </w:rPr>
      </w:pPr>
      <w:bookmarkStart w:id="37" w:name="_Toc8313"/>
      <w:bookmarkStart w:id="38" w:name="_Toc28421"/>
      <w:bookmarkStart w:id="39" w:name="_Toc32285"/>
      <w:bookmarkStart w:id="40" w:name="_Toc6770"/>
      <w:bookmarkStart w:id="41" w:name="_Toc3804"/>
      <w:bookmarkStart w:id="42" w:name="_Toc22008"/>
      <w:bookmarkStart w:id="43" w:name="_Toc23720"/>
      <w:bookmarkStart w:id="44" w:name="_Toc9174"/>
      <w:bookmarkStart w:id="45" w:name="_Toc4426"/>
      <w:bookmarkStart w:id="46" w:name="_Toc9337"/>
      <w:bookmarkStart w:id="47" w:name="_Toc23442"/>
      <w:bookmarkStart w:id="48" w:name="_Toc2520"/>
      <w:bookmarkStart w:id="49" w:name="_Toc12024"/>
      <w:r>
        <w:rPr>
          <w:rFonts w:hint="eastAsia" w:ascii="宋体" w:hAnsi="宋体" w:cs="宋体"/>
          <w:b/>
          <w:color w:val="auto"/>
          <w:sz w:val="32"/>
          <w:szCs w:val="32"/>
          <w:highlight w:val="none"/>
          <w:lang w:val="zh-CN"/>
        </w:rPr>
        <w:t>日期：</w:t>
      </w:r>
      <w:bookmarkEnd w:id="37"/>
      <w:bookmarkEnd w:id="38"/>
      <w:bookmarkEnd w:id="39"/>
      <w:bookmarkEnd w:id="40"/>
      <w:bookmarkEnd w:id="41"/>
      <w:r>
        <w:rPr>
          <w:rFonts w:hint="eastAsia" w:ascii="宋体" w:hAnsi="宋体" w:cs="宋体"/>
          <w:b/>
          <w:color w:val="auto"/>
          <w:sz w:val="32"/>
          <w:szCs w:val="32"/>
          <w:highlight w:val="none"/>
          <w:lang w:val="zh-CN"/>
        </w:rPr>
        <w:t>二○二</w:t>
      </w:r>
      <w:r>
        <w:rPr>
          <w:rFonts w:hint="eastAsia" w:ascii="宋体" w:hAnsi="宋体" w:cs="宋体"/>
          <w:b/>
          <w:color w:val="auto"/>
          <w:sz w:val="32"/>
          <w:szCs w:val="32"/>
          <w:highlight w:val="none"/>
        </w:rPr>
        <w:t>五</w:t>
      </w:r>
      <w:r>
        <w:rPr>
          <w:rFonts w:hint="eastAsia" w:ascii="宋体" w:hAnsi="宋体" w:cs="宋体"/>
          <w:b/>
          <w:color w:val="auto"/>
          <w:sz w:val="32"/>
          <w:szCs w:val="32"/>
          <w:highlight w:val="none"/>
          <w:lang w:val="zh-CN"/>
        </w:rPr>
        <w:t>年</w:t>
      </w:r>
      <w:r>
        <w:rPr>
          <w:rFonts w:hint="eastAsia" w:ascii="宋体" w:hAnsi="宋体" w:cs="宋体"/>
          <w:b/>
          <w:color w:val="auto"/>
          <w:sz w:val="32"/>
          <w:szCs w:val="32"/>
          <w:highlight w:val="none"/>
          <w:lang w:val="en-US" w:eastAsia="zh-CN"/>
        </w:rPr>
        <w:t>六</w:t>
      </w:r>
      <w:r>
        <w:rPr>
          <w:rFonts w:hint="eastAsia" w:ascii="宋体" w:hAnsi="宋体" w:cs="宋体"/>
          <w:b/>
          <w:color w:val="auto"/>
          <w:sz w:val="32"/>
          <w:szCs w:val="32"/>
          <w:highlight w:val="none"/>
          <w:lang w:val="zh-CN"/>
        </w:rPr>
        <w:t>月</w:t>
      </w:r>
      <w:bookmarkEnd w:id="42"/>
      <w:bookmarkEnd w:id="43"/>
      <w:bookmarkEnd w:id="44"/>
      <w:bookmarkEnd w:id="45"/>
      <w:bookmarkEnd w:id="46"/>
      <w:bookmarkEnd w:id="47"/>
      <w:bookmarkEnd w:id="48"/>
      <w:bookmarkEnd w:id="49"/>
    </w:p>
    <w:sdt>
      <w:sdtPr>
        <w:rPr>
          <w:rFonts w:ascii="宋体" w:hAnsi="宋体"/>
          <w:color w:val="auto"/>
          <w:sz w:val="52"/>
          <w:szCs w:val="52"/>
          <w:highlight w:val="none"/>
        </w:rPr>
        <w:id w:val="147455663"/>
        <w15:color w:val="DBDBDB"/>
        <w:docPartObj>
          <w:docPartGallery w:val="Table of Contents"/>
          <w:docPartUnique/>
        </w:docPartObj>
      </w:sdtPr>
      <w:sdtEndPr>
        <w:rPr>
          <w:rFonts w:ascii="宋体" w:hAnsi="宋体"/>
          <w:b/>
          <w:color w:val="auto"/>
          <w:sz w:val="52"/>
          <w:szCs w:val="52"/>
          <w:highlight w:val="none"/>
        </w:rPr>
      </w:sdtEndPr>
      <w:sdtContent>
        <w:p w14:paraId="48498ACA">
          <w:pPr>
            <w:shd w:val="clear"/>
            <w:spacing w:line="240" w:lineRule="auto"/>
            <w:ind w:firstLine="0" w:firstLineChars="0"/>
            <w:jc w:val="center"/>
            <w:rPr>
              <w:color w:val="auto"/>
              <w:sz w:val="52"/>
              <w:szCs w:val="52"/>
              <w:highlight w:val="none"/>
            </w:rPr>
          </w:pPr>
          <w:r>
            <w:rPr>
              <w:rFonts w:ascii="宋体" w:hAnsi="宋体"/>
              <w:color w:val="auto"/>
              <w:sz w:val="52"/>
              <w:szCs w:val="52"/>
              <w:highlight w:val="none"/>
            </w:rPr>
            <w:t>目录</w:t>
          </w:r>
        </w:p>
        <w:p w14:paraId="485E50A8">
          <w:pPr>
            <w:pStyle w:val="92"/>
            <w:shd w:val="clear"/>
            <w:tabs>
              <w:tab w:val="right" w:leader="dot" w:pos="9747"/>
            </w:tabs>
            <w:rPr>
              <w:b/>
              <w:color w:val="auto"/>
              <w:highlight w:val="none"/>
            </w:rPr>
          </w:pPr>
          <w:r>
            <w:rPr>
              <w:color w:val="auto"/>
              <w:highlight w:val="none"/>
            </w:rPr>
            <w:fldChar w:fldCharType="begin"/>
          </w:r>
          <w:r>
            <w:rPr>
              <w:color w:val="auto"/>
              <w:highlight w:val="none"/>
            </w:rPr>
            <w:instrText xml:space="preserve">TOC \o "1-2" \h \u </w:instrText>
          </w:r>
          <w:r>
            <w:rPr>
              <w:color w:val="auto"/>
              <w:highlight w:val="none"/>
            </w:rPr>
            <w:fldChar w:fldCharType="separate"/>
          </w:r>
        </w:p>
        <w:p w14:paraId="65491EBC">
          <w:pPr>
            <w:pStyle w:val="92"/>
            <w:shd w:val="clear"/>
            <w:tabs>
              <w:tab w:val="right" w:leader="dot" w:pos="9747"/>
            </w:tabs>
            <w:spacing w:line="312" w:lineRule="auto"/>
            <w:ind w:firstLine="480" w:firstLineChars="200"/>
            <w:rPr>
              <w:rFonts w:hint="eastAsia" w:ascii="宋体" w:hAnsi="宋体" w:cs="宋体"/>
              <w:b/>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"_Toc27622" </w:instrText>
          </w:r>
          <w:r>
            <w:rPr>
              <w:color w:val="auto"/>
              <w:sz w:val="24"/>
              <w:szCs w:val="24"/>
              <w:highlight w:val="none"/>
            </w:rPr>
            <w:fldChar w:fldCharType="separate"/>
          </w:r>
          <w:r>
            <w:rPr>
              <w:rFonts w:hint="eastAsia" w:ascii="宋体" w:hAnsi="宋体" w:cs="宋体"/>
              <w:b/>
              <w:color w:val="auto"/>
              <w:kern w:val="2"/>
              <w:sz w:val="24"/>
              <w:szCs w:val="24"/>
              <w:highlight w:val="none"/>
            </w:rPr>
            <w:t xml:space="preserve">第一章 </w:t>
          </w:r>
          <w:r>
            <w:rPr>
              <w:rFonts w:hint="eastAsia" w:ascii="宋体" w:hAnsi="宋体" w:cs="宋体"/>
              <w:b/>
              <w:bCs/>
              <w:color w:val="auto"/>
              <w:sz w:val="24"/>
              <w:szCs w:val="24"/>
              <w:highlight w:val="none"/>
            </w:rPr>
            <w:t>招标公告</w:t>
          </w:r>
          <w:r>
            <w:rPr>
              <w:rFonts w:hint="eastAsia" w:ascii="宋体" w:hAnsi="宋体" w:cs="宋体"/>
              <w:b/>
              <w:color w:val="auto"/>
              <w:sz w:val="24"/>
              <w:szCs w:val="24"/>
              <w:highlight w:val="none"/>
            </w:rPr>
            <w:tab/>
          </w:r>
          <w:r>
            <w:rPr>
              <w:rFonts w:hint="eastAsia" w:ascii="宋体" w:hAnsi="宋体" w:cs="宋体"/>
              <w:b/>
              <w:color w:val="auto"/>
              <w:sz w:val="24"/>
              <w:szCs w:val="24"/>
              <w:highlight w:val="none"/>
            </w:rPr>
            <w:fldChar w:fldCharType="begin"/>
          </w:r>
          <w:r>
            <w:rPr>
              <w:rFonts w:hint="eastAsia" w:ascii="宋体" w:hAnsi="宋体" w:cs="宋体"/>
              <w:b/>
              <w:color w:val="auto"/>
              <w:sz w:val="24"/>
              <w:szCs w:val="24"/>
              <w:highlight w:val="none"/>
            </w:rPr>
            <w:instrText xml:space="preserve"> PAGEREF _Toc27622 \h </w:instrText>
          </w:r>
          <w:r>
            <w:rPr>
              <w:rFonts w:hint="eastAsia" w:ascii="宋体" w:hAnsi="宋体" w:cs="宋体"/>
              <w:b/>
              <w:color w:val="auto"/>
              <w:sz w:val="24"/>
              <w:szCs w:val="24"/>
              <w:highlight w:val="none"/>
            </w:rPr>
            <w:fldChar w:fldCharType="separate"/>
          </w:r>
          <w:r>
            <w:rPr>
              <w:rFonts w:hint="eastAsia" w:ascii="宋体" w:hAnsi="宋体" w:cs="宋体"/>
              <w:b/>
              <w:color w:val="auto"/>
              <w:sz w:val="24"/>
              <w:szCs w:val="24"/>
              <w:highlight w:val="none"/>
            </w:rPr>
            <w:t>3</w:t>
          </w:r>
          <w:r>
            <w:rPr>
              <w:rFonts w:hint="eastAsia" w:ascii="宋体" w:hAnsi="宋体" w:cs="宋体"/>
              <w:b/>
              <w:color w:val="auto"/>
              <w:sz w:val="24"/>
              <w:szCs w:val="24"/>
              <w:highlight w:val="none"/>
            </w:rPr>
            <w:fldChar w:fldCharType="end"/>
          </w:r>
          <w:r>
            <w:rPr>
              <w:rFonts w:hint="eastAsia" w:ascii="宋体" w:hAnsi="宋体" w:cs="宋体"/>
              <w:b/>
              <w:color w:val="auto"/>
              <w:sz w:val="24"/>
              <w:szCs w:val="24"/>
              <w:highlight w:val="none"/>
            </w:rPr>
            <w:fldChar w:fldCharType="end"/>
          </w:r>
        </w:p>
        <w:p w14:paraId="412D0D1B">
          <w:pPr>
            <w:pStyle w:val="92"/>
            <w:shd w:val="clear"/>
            <w:tabs>
              <w:tab w:val="right" w:leader="dot" w:pos="9747"/>
            </w:tabs>
            <w:spacing w:line="312" w:lineRule="auto"/>
            <w:ind w:firstLine="480" w:firstLineChars="200"/>
            <w:rPr>
              <w:rFonts w:hint="eastAsia" w:ascii="宋体" w:hAnsi="宋体" w:cs="宋体"/>
              <w:b/>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"_Toc2890" </w:instrText>
          </w:r>
          <w:r>
            <w:rPr>
              <w:color w:val="auto"/>
              <w:sz w:val="24"/>
              <w:szCs w:val="24"/>
              <w:highlight w:val="none"/>
            </w:rPr>
            <w:fldChar w:fldCharType="separate"/>
          </w:r>
          <w:r>
            <w:rPr>
              <w:rFonts w:hint="eastAsia" w:ascii="宋体" w:hAnsi="宋体" w:cs="宋体"/>
              <w:b/>
              <w:color w:val="auto"/>
              <w:sz w:val="24"/>
              <w:szCs w:val="24"/>
              <w:highlight w:val="none"/>
            </w:rPr>
            <w:t>第二章 投标须知前附表及投标须知</w:t>
          </w:r>
          <w:r>
            <w:rPr>
              <w:rFonts w:hint="eastAsia" w:ascii="宋体" w:hAnsi="宋体" w:cs="宋体"/>
              <w:b/>
              <w:color w:val="auto"/>
              <w:sz w:val="24"/>
              <w:szCs w:val="24"/>
              <w:highlight w:val="none"/>
            </w:rPr>
            <w:tab/>
          </w:r>
          <w:r>
            <w:rPr>
              <w:rFonts w:hint="eastAsia" w:ascii="宋体" w:hAnsi="宋体" w:cs="宋体"/>
              <w:b/>
              <w:color w:val="auto"/>
              <w:sz w:val="24"/>
              <w:szCs w:val="24"/>
              <w:highlight w:val="none"/>
            </w:rPr>
            <w:fldChar w:fldCharType="begin"/>
          </w:r>
          <w:r>
            <w:rPr>
              <w:rFonts w:hint="eastAsia" w:ascii="宋体" w:hAnsi="宋体" w:cs="宋体"/>
              <w:b/>
              <w:color w:val="auto"/>
              <w:sz w:val="24"/>
              <w:szCs w:val="24"/>
              <w:highlight w:val="none"/>
            </w:rPr>
            <w:instrText xml:space="preserve"> PAGEREF _Toc2890 \h </w:instrText>
          </w:r>
          <w:r>
            <w:rPr>
              <w:rFonts w:hint="eastAsia" w:ascii="宋体" w:hAnsi="宋体" w:cs="宋体"/>
              <w:b/>
              <w:color w:val="auto"/>
              <w:sz w:val="24"/>
              <w:szCs w:val="24"/>
              <w:highlight w:val="none"/>
            </w:rPr>
            <w:fldChar w:fldCharType="separate"/>
          </w:r>
          <w:r>
            <w:rPr>
              <w:rFonts w:hint="eastAsia" w:ascii="宋体" w:hAnsi="宋体" w:cs="宋体"/>
              <w:b/>
              <w:color w:val="auto"/>
              <w:sz w:val="24"/>
              <w:szCs w:val="24"/>
              <w:highlight w:val="none"/>
            </w:rPr>
            <w:t>6</w:t>
          </w:r>
          <w:r>
            <w:rPr>
              <w:rFonts w:hint="eastAsia" w:ascii="宋体" w:hAnsi="宋体" w:cs="宋体"/>
              <w:b/>
              <w:color w:val="auto"/>
              <w:sz w:val="24"/>
              <w:szCs w:val="24"/>
              <w:highlight w:val="none"/>
            </w:rPr>
            <w:fldChar w:fldCharType="end"/>
          </w:r>
          <w:r>
            <w:rPr>
              <w:rFonts w:hint="eastAsia" w:ascii="宋体" w:hAnsi="宋体" w:cs="宋体"/>
              <w:b/>
              <w:color w:val="auto"/>
              <w:sz w:val="24"/>
              <w:szCs w:val="24"/>
              <w:highlight w:val="none"/>
            </w:rPr>
            <w:fldChar w:fldCharType="end"/>
          </w:r>
        </w:p>
        <w:p w14:paraId="785C937B">
          <w:pPr>
            <w:pStyle w:val="93"/>
            <w:shd w:val="clear"/>
            <w:tabs>
              <w:tab w:val="right" w:leader="dot" w:pos="9747"/>
            </w:tabs>
            <w:spacing w:line="312" w:lineRule="auto"/>
            <w:ind w:left="0" w:leftChars="0" w:firstLine="480" w:firstLineChars="200"/>
            <w:rPr>
              <w:rFonts w:hint="eastAsia" w:ascii="宋体" w:hAnsi="宋体" w:cs="宋体"/>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"_Toc3504" </w:instrText>
          </w:r>
          <w:r>
            <w:rPr>
              <w:color w:val="auto"/>
              <w:sz w:val="24"/>
              <w:szCs w:val="24"/>
              <w:highlight w:val="none"/>
            </w:rPr>
            <w:fldChar w:fldCharType="separate"/>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_Toc3504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6</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1292CB40">
          <w:pPr>
            <w:pStyle w:val="93"/>
            <w:shd w:val="clear"/>
            <w:tabs>
              <w:tab w:val="right" w:leader="dot" w:pos="9747"/>
            </w:tabs>
            <w:spacing w:line="312" w:lineRule="auto"/>
            <w:ind w:left="0" w:leftChars="0" w:firstLine="480" w:firstLineChars="200"/>
            <w:rPr>
              <w:rFonts w:hint="eastAsia" w:ascii="宋体" w:hAnsi="宋体" w:cs="宋体"/>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"_Toc9260" </w:instrText>
          </w:r>
          <w:r>
            <w:rPr>
              <w:color w:val="auto"/>
              <w:sz w:val="24"/>
              <w:szCs w:val="24"/>
              <w:highlight w:val="none"/>
            </w:rPr>
            <w:fldChar w:fldCharType="separate"/>
          </w:r>
          <w:r>
            <w:rPr>
              <w:rFonts w:hint="eastAsia" w:ascii="宋体" w:hAnsi="宋体" w:cs="宋体"/>
              <w:color w:val="auto"/>
              <w:sz w:val="24"/>
              <w:szCs w:val="24"/>
              <w:highlight w:val="none"/>
            </w:rPr>
            <w:t>一、投标须知</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_Toc9260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11</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248C0994">
          <w:pPr>
            <w:pStyle w:val="93"/>
            <w:shd w:val="clear"/>
            <w:tabs>
              <w:tab w:val="right" w:leader="dot" w:pos="9747"/>
            </w:tabs>
            <w:spacing w:line="312" w:lineRule="auto"/>
            <w:ind w:left="0" w:leftChars="0" w:firstLine="480" w:firstLineChars="200"/>
            <w:rPr>
              <w:rFonts w:hint="eastAsia" w:ascii="宋体" w:hAnsi="宋体" w:cs="宋体"/>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"_Toc32349" </w:instrText>
          </w:r>
          <w:r>
            <w:rPr>
              <w:color w:val="auto"/>
              <w:sz w:val="24"/>
              <w:szCs w:val="24"/>
              <w:highlight w:val="none"/>
            </w:rPr>
            <w:fldChar w:fldCharType="separate"/>
          </w:r>
          <w:r>
            <w:rPr>
              <w:rFonts w:hint="eastAsia" w:ascii="宋体" w:hAnsi="宋体" w:cs="宋体"/>
              <w:color w:val="auto"/>
              <w:sz w:val="24"/>
              <w:szCs w:val="24"/>
              <w:highlight w:val="none"/>
            </w:rPr>
            <w:t>二、招标文件说明</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_Toc32349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13</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2B583681">
          <w:pPr>
            <w:pStyle w:val="93"/>
            <w:shd w:val="clear"/>
            <w:tabs>
              <w:tab w:val="right" w:leader="dot" w:pos="9747"/>
            </w:tabs>
            <w:spacing w:line="312" w:lineRule="auto"/>
            <w:ind w:left="0" w:leftChars="0" w:firstLine="480" w:firstLineChars="200"/>
            <w:rPr>
              <w:rFonts w:hint="eastAsia" w:ascii="宋体" w:hAnsi="宋体" w:cs="宋体"/>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"_Toc29383" </w:instrText>
          </w:r>
          <w:r>
            <w:rPr>
              <w:color w:val="auto"/>
              <w:sz w:val="24"/>
              <w:szCs w:val="24"/>
              <w:highlight w:val="none"/>
            </w:rPr>
            <w:fldChar w:fldCharType="separate"/>
          </w:r>
          <w:r>
            <w:rPr>
              <w:rFonts w:hint="eastAsia" w:ascii="宋体" w:hAnsi="宋体" w:cs="宋体"/>
              <w:color w:val="auto"/>
              <w:sz w:val="24"/>
              <w:szCs w:val="24"/>
              <w:highlight w:val="none"/>
            </w:rPr>
            <w:t>三、投标文件</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_Toc29383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13</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722FAE21">
          <w:pPr>
            <w:pStyle w:val="93"/>
            <w:shd w:val="clear"/>
            <w:tabs>
              <w:tab w:val="right" w:leader="dot" w:pos="9747"/>
            </w:tabs>
            <w:spacing w:line="312" w:lineRule="auto"/>
            <w:ind w:left="0" w:leftChars="0" w:firstLine="480" w:firstLineChars="200"/>
            <w:rPr>
              <w:rFonts w:hint="eastAsia" w:ascii="宋体" w:hAnsi="宋体" w:cs="宋体"/>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"_Toc14530" </w:instrText>
          </w:r>
          <w:r>
            <w:rPr>
              <w:color w:val="auto"/>
              <w:sz w:val="24"/>
              <w:szCs w:val="24"/>
              <w:highlight w:val="none"/>
            </w:rPr>
            <w:fldChar w:fldCharType="separate"/>
          </w:r>
          <w:r>
            <w:rPr>
              <w:rFonts w:hint="eastAsia" w:ascii="宋体" w:hAnsi="宋体" w:cs="宋体"/>
              <w:color w:val="auto"/>
              <w:sz w:val="24"/>
              <w:szCs w:val="24"/>
              <w:highlight w:val="none"/>
            </w:rPr>
            <w:t>四、开 标</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_Toc14530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16</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2A381BD4">
          <w:pPr>
            <w:pStyle w:val="93"/>
            <w:shd w:val="clear"/>
            <w:tabs>
              <w:tab w:val="right" w:leader="dot" w:pos="9747"/>
            </w:tabs>
            <w:spacing w:line="312" w:lineRule="auto"/>
            <w:ind w:left="0" w:leftChars="0" w:firstLine="480" w:firstLineChars="200"/>
            <w:rPr>
              <w:rFonts w:hint="eastAsia" w:ascii="宋体" w:hAnsi="宋体" w:cs="宋体"/>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"_Toc14490" </w:instrText>
          </w:r>
          <w:r>
            <w:rPr>
              <w:color w:val="auto"/>
              <w:sz w:val="24"/>
              <w:szCs w:val="24"/>
              <w:highlight w:val="none"/>
            </w:rPr>
            <w:fldChar w:fldCharType="separate"/>
          </w:r>
          <w:r>
            <w:rPr>
              <w:rFonts w:hint="eastAsia" w:ascii="宋体" w:hAnsi="宋体" w:cs="宋体"/>
              <w:color w:val="auto"/>
              <w:sz w:val="24"/>
              <w:szCs w:val="24"/>
              <w:highlight w:val="none"/>
            </w:rPr>
            <w:t>五、评 标</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_Toc14490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16</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459066F6">
          <w:pPr>
            <w:pStyle w:val="93"/>
            <w:shd w:val="clear"/>
            <w:tabs>
              <w:tab w:val="right" w:leader="dot" w:pos="9747"/>
            </w:tabs>
            <w:spacing w:line="312" w:lineRule="auto"/>
            <w:ind w:left="0" w:leftChars="0" w:firstLine="480" w:firstLineChars="200"/>
            <w:rPr>
              <w:rFonts w:hint="eastAsia" w:ascii="宋体" w:hAnsi="宋体" w:cs="宋体"/>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"_Toc20843" </w:instrText>
          </w:r>
          <w:r>
            <w:rPr>
              <w:color w:val="auto"/>
              <w:sz w:val="24"/>
              <w:szCs w:val="24"/>
              <w:highlight w:val="none"/>
            </w:rPr>
            <w:fldChar w:fldCharType="separate"/>
          </w:r>
          <w:r>
            <w:rPr>
              <w:rFonts w:hint="eastAsia" w:ascii="宋体" w:hAnsi="宋体" w:cs="宋体"/>
              <w:color w:val="auto"/>
              <w:sz w:val="24"/>
              <w:szCs w:val="24"/>
              <w:highlight w:val="none"/>
            </w:rPr>
            <w:t>六、中 标</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_Toc20843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16</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4FCAC821">
          <w:pPr>
            <w:pStyle w:val="93"/>
            <w:shd w:val="clear"/>
            <w:tabs>
              <w:tab w:val="right" w:leader="dot" w:pos="9747"/>
            </w:tabs>
            <w:spacing w:line="312" w:lineRule="auto"/>
            <w:ind w:left="0" w:leftChars="0" w:firstLine="480" w:firstLineChars="200"/>
            <w:rPr>
              <w:rFonts w:hint="eastAsia" w:ascii="宋体" w:hAnsi="宋体" w:cs="宋体"/>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"_Toc21724" </w:instrText>
          </w:r>
          <w:r>
            <w:rPr>
              <w:color w:val="auto"/>
              <w:sz w:val="24"/>
              <w:szCs w:val="24"/>
              <w:highlight w:val="none"/>
            </w:rPr>
            <w:fldChar w:fldCharType="separate"/>
          </w:r>
          <w:r>
            <w:rPr>
              <w:rFonts w:hint="eastAsia" w:ascii="宋体" w:hAnsi="宋体" w:cs="宋体"/>
              <w:color w:val="auto"/>
              <w:sz w:val="24"/>
              <w:szCs w:val="24"/>
              <w:highlight w:val="none"/>
            </w:rPr>
            <w:t>七、合同签订</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_Toc21724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17</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316C6EE2">
          <w:pPr>
            <w:pStyle w:val="93"/>
            <w:shd w:val="clear"/>
            <w:tabs>
              <w:tab w:val="right" w:leader="dot" w:pos="9747"/>
            </w:tabs>
            <w:spacing w:line="312" w:lineRule="auto"/>
            <w:ind w:left="0" w:leftChars="0" w:firstLine="480" w:firstLineChars="200"/>
            <w:rPr>
              <w:rFonts w:hint="eastAsia" w:ascii="宋体" w:hAnsi="宋体" w:cs="宋体"/>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"_Toc23561" </w:instrText>
          </w:r>
          <w:r>
            <w:rPr>
              <w:color w:val="auto"/>
              <w:sz w:val="24"/>
              <w:szCs w:val="24"/>
              <w:highlight w:val="none"/>
            </w:rPr>
            <w:fldChar w:fldCharType="separate"/>
          </w:r>
          <w:r>
            <w:rPr>
              <w:rFonts w:hint="eastAsia" w:ascii="宋体" w:hAnsi="宋体" w:cs="宋体"/>
              <w:color w:val="auto"/>
              <w:sz w:val="24"/>
              <w:szCs w:val="24"/>
              <w:highlight w:val="none"/>
            </w:rPr>
            <w:t>八、质疑与投诉</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_Toc23561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18</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27E6A63A">
          <w:pPr>
            <w:pStyle w:val="93"/>
            <w:shd w:val="clear"/>
            <w:tabs>
              <w:tab w:val="right" w:leader="dot" w:pos="9747"/>
            </w:tabs>
            <w:spacing w:line="312" w:lineRule="auto"/>
            <w:ind w:left="0" w:leftChars="0" w:firstLine="480" w:firstLineChars="200"/>
            <w:rPr>
              <w:rFonts w:hint="eastAsia" w:ascii="宋体" w:hAnsi="宋体" w:cs="宋体"/>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"_Toc23076" </w:instrText>
          </w:r>
          <w:r>
            <w:rPr>
              <w:color w:val="auto"/>
              <w:sz w:val="24"/>
              <w:szCs w:val="24"/>
              <w:highlight w:val="none"/>
            </w:rPr>
            <w:fldChar w:fldCharType="separate"/>
          </w:r>
          <w:r>
            <w:rPr>
              <w:rFonts w:hint="eastAsia" w:ascii="宋体" w:hAnsi="宋体" w:cs="宋体"/>
              <w:color w:val="auto"/>
              <w:sz w:val="24"/>
              <w:szCs w:val="24"/>
              <w:highlight w:val="none"/>
            </w:rPr>
            <w:t>九、投标纪律要求</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_Toc23076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19</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5683B58B">
          <w:pPr>
            <w:pStyle w:val="93"/>
            <w:shd w:val="clear"/>
            <w:tabs>
              <w:tab w:val="right" w:leader="dot" w:pos="9747"/>
            </w:tabs>
            <w:spacing w:line="312" w:lineRule="auto"/>
            <w:ind w:left="0" w:leftChars="0" w:firstLine="480" w:firstLineChars="200"/>
            <w:rPr>
              <w:rFonts w:hint="eastAsia" w:ascii="宋体" w:hAnsi="宋体" w:cs="宋体"/>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"_Toc6722" </w:instrText>
          </w:r>
          <w:r>
            <w:rPr>
              <w:color w:val="auto"/>
              <w:sz w:val="24"/>
              <w:szCs w:val="24"/>
              <w:highlight w:val="none"/>
            </w:rPr>
            <w:fldChar w:fldCharType="separate"/>
          </w:r>
          <w:r>
            <w:rPr>
              <w:rFonts w:hint="eastAsia" w:ascii="宋体" w:hAnsi="宋体" w:cs="宋体"/>
              <w:bCs/>
              <w:color w:val="auto"/>
              <w:kern w:val="2"/>
              <w:sz w:val="24"/>
              <w:szCs w:val="24"/>
              <w:highlight w:val="none"/>
              <w:lang w:bidi="ar"/>
            </w:rPr>
            <w:t>十、投标无效的情形</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_Toc6722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19</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15D8715C">
          <w:pPr>
            <w:pStyle w:val="93"/>
            <w:shd w:val="clear"/>
            <w:tabs>
              <w:tab w:val="right" w:leader="dot" w:pos="9747"/>
            </w:tabs>
            <w:spacing w:line="312" w:lineRule="auto"/>
            <w:ind w:left="0" w:leftChars="0" w:firstLine="480" w:firstLineChars="200"/>
            <w:rPr>
              <w:rFonts w:hint="eastAsia" w:ascii="宋体" w:hAnsi="宋体" w:cs="宋体"/>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"_Toc19565" </w:instrText>
          </w:r>
          <w:r>
            <w:rPr>
              <w:color w:val="auto"/>
              <w:sz w:val="24"/>
              <w:szCs w:val="24"/>
              <w:highlight w:val="none"/>
            </w:rPr>
            <w:fldChar w:fldCharType="separate"/>
          </w:r>
          <w:r>
            <w:rPr>
              <w:rFonts w:hint="eastAsia" w:ascii="宋体" w:hAnsi="宋体" w:cs="宋体"/>
              <w:color w:val="auto"/>
              <w:sz w:val="24"/>
              <w:szCs w:val="24"/>
              <w:highlight w:val="none"/>
              <w:lang w:bidi="ar"/>
            </w:rPr>
            <w:t>十一、其 他</w:t>
          </w:r>
          <w:r>
            <w:rPr>
              <w:rFonts w:hint="eastAsia" w:ascii="宋体" w:hAnsi="宋体" w:cs="宋体"/>
              <w:color w:val="auto"/>
              <w:sz w:val="24"/>
              <w:szCs w:val="24"/>
              <w:highlight w:val="none"/>
            </w:rPr>
            <w:tab/>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PAGEREF _Toc19565 \h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20</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fldChar w:fldCharType="end"/>
          </w:r>
        </w:p>
        <w:p w14:paraId="2B81A46C">
          <w:pPr>
            <w:pStyle w:val="92"/>
            <w:shd w:val="clear"/>
            <w:tabs>
              <w:tab w:val="right" w:leader="dot" w:pos="9747"/>
            </w:tabs>
            <w:spacing w:line="312" w:lineRule="auto"/>
            <w:ind w:firstLine="480" w:firstLineChars="200"/>
            <w:rPr>
              <w:rFonts w:hint="eastAsia" w:ascii="宋体" w:hAnsi="宋体" w:cs="宋体"/>
              <w:b/>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"_Toc12236" </w:instrText>
          </w:r>
          <w:r>
            <w:rPr>
              <w:color w:val="auto"/>
              <w:sz w:val="24"/>
              <w:szCs w:val="24"/>
              <w:highlight w:val="none"/>
            </w:rPr>
            <w:fldChar w:fldCharType="separate"/>
          </w:r>
          <w:r>
            <w:rPr>
              <w:rFonts w:hint="eastAsia" w:ascii="宋体" w:hAnsi="宋体" w:cs="宋体"/>
              <w:b/>
              <w:color w:val="auto"/>
              <w:sz w:val="24"/>
              <w:szCs w:val="24"/>
              <w:highlight w:val="none"/>
            </w:rPr>
            <w:t>第三章 采购内容及需求</w:t>
          </w:r>
          <w:r>
            <w:rPr>
              <w:rFonts w:hint="eastAsia" w:ascii="宋体" w:hAnsi="宋体" w:cs="宋体"/>
              <w:b/>
              <w:color w:val="auto"/>
              <w:sz w:val="24"/>
              <w:szCs w:val="24"/>
              <w:highlight w:val="none"/>
            </w:rPr>
            <w:tab/>
          </w:r>
          <w:r>
            <w:rPr>
              <w:rFonts w:hint="eastAsia" w:ascii="宋体" w:hAnsi="宋体" w:cs="宋体"/>
              <w:b/>
              <w:color w:val="auto"/>
              <w:sz w:val="24"/>
              <w:szCs w:val="24"/>
              <w:highlight w:val="none"/>
            </w:rPr>
            <w:fldChar w:fldCharType="begin"/>
          </w:r>
          <w:r>
            <w:rPr>
              <w:rFonts w:hint="eastAsia" w:ascii="宋体" w:hAnsi="宋体" w:cs="宋体"/>
              <w:b/>
              <w:color w:val="auto"/>
              <w:sz w:val="24"/>
              <w:szCs w:val="24"/>
              <w:highlight w:val="none"/>
            </w:rPr>
            <w:instrText xml:space="preserve"> PAGEREF _Toc12236 \h </w:instrText>
          </w:r>
          <w:r>
            <w:rPr>
              <w:rFonts w:hint="eastAsia" w:ascii="宋体" w:hAnsi="宋体" w:cs="宋体"/>
              <w:b/>
              <w:color w:val="auto"/>
              <w:sz w:val="24"/>
              <w:szCs w:val="24"/>
              <w:highlight w:val="none"/>
            </w:rPr>
            <w:fldChar w:fldCharType="separate"/>
          </w:r>
          <w:r>
            <w:rPr>
              <w:rFonts w:hint="eastAsia" w:ascii="宋体" w:hAnsi="宋体" w:cs="宋体"/>
              <w:b/>
              <w:color w:val="auto"/>
              <w:sz w:val="24"/>
              <w:szCs w:val="24"/>
              <w:highlight w:val="none"/>
            </w:rPr>
            <w:t>22</w:t>
          </w:r>
          <w:r>
            <w:rPr>
              <w:rFonts w:hint="eastAsia" w:ascii="宋体" w:hAnsi="宋体" w:cs="宋体"/>
              <w:b/>
              <w:color w:val="auto"/>
              <w:sz w:val="24"/>
              <w:szCs w:val="24"/>
              <w:highlight w:val="none"/>
            </w:rPr>
            <w:fldChar w:fldCharType="end"/>
          </w:r>
          <w:r>
            <w:rPr>
              <w:rFonts w:hint="eastAsia" w:ascii="宋体" w:hAnsi="宋体" w:cs="宋体"/>
              <w:b/>
              <w:color w:val="auto"/>
              <w:sz w:val="24"/>
              <w:szCs w:val="24"/>
              <w:highlight w:val="none"/>
            </w:rPr>
            <w:fldChar w:fldCharType="end"/>
          </w:r>
        </w:p>
        <w:p w14:paraId="278DA072">
          <w:pPr>
            <w:pStyle w:val="92"/>
            <w:shd w:val="clear"/>
            <w:tabs>
              <w:tab w:val="right" w:leader="dot" w:pos="9747"/>
            </w:tabs>
            <w:spacing w:line="312" w:lineRule="auto"/>
            <w:ind w:firstLine="480" w:firstLineChars="200"/>
            <w:rPr>
              <w:rFonts w:hint="eastAsia" w:ascii="宋体" w:hAnsi="宋体" w:cs="宋体"/>
              <w:b/>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"_Toc29120" </w:instrText>
          </w:r>
          <w:r>
            <w:rPr>
              <w:color w:val="auto"/>
              <w:sz w:val="24"/>
              <w:szCs w:val="24"/>
              <w:highlight w:val="none"/>
            </w:rPr>
            <w:fldChar w:fldCharType="separate"/>
          </w:r>
          <w:r>
            <w:rPr>
              <w:rFonts w:hint="eastAsia" w:ascii="宋体" w:hAnsi="宋体" w:cs="宋体"/>
              <w:b/>
              <w:color w:val="auto"/>
              <w:sz w:val="24"/>
              <w:szCs w:val="24"/>
              <w:highlight w:val="none"/>
              <w:lang w:bidi="ar"/>
            </w:rPr>
            <w:t>第四</w:t>
          </w:r>
          <w:r>
            <w:rPr>
              <w:rFonts w:hint="eastAsia" w:ascii="宋体" w:hAnsi="宋体" w:cs="宋体"/>
              <w:b/>
              <w:color w:val="auto"/>
              <w:sz w:val="24"/>
              <w:szCs w:val="24"/>
              <w:highlight w:val="none"/>
            </w:rPr>
            <w:t xml:space="preserve">章 </w:t>
          </w:r>
          <w:r>
            <w:rPr>
              <w:rFonts w:hint="eastAsia" w:ascii="宋体" w:hAnsi="宋体" w:cs="宋体"/>
              <w:b/>
              <w:color w:val="auto"/>
              <w:sz w:val="24"/>
              <w:szCs w:val="24"/>
              <w:highlight w:val="none"/>
              <w:lang w:bidi="ar"/>
            </w:rPr>
            <w:t>政府采购合同参考范本</w:t>
          </w:r>
          <w:r>
            <w:rPr>
              <w:rFonts w:hint="eastAsia" w:ascii="宋体" w:hAnsi="宋体" w:cs="宋体"/>
              <w:b/>
              <w:color w:val="auto"/>
              <w:sz w:val="24"/>
              <w:szCs w:val="24"/>
              <w:highlight w:val="none"/>
            </w:rPr>
            <w:tab/>
          </w:r>
          <w:r>
            <w:rPr>
              <w:rFonts w:hint="eastAsia" w:ascii="宋体" w:hAnsi="宋体" w:cs="宋体"/>
              <w:b/>
              <w:color w:val="auto"/>
              <w:sz w:val="24"/>
              <w:szCs w:val="24"/>
              <w:highlight w:val="none"/>
            </w:rPr>
            <w:fldChar w:fldCharType="begin"/>
          </w:r>
          <w:r>
            <w:rPr>
              <w:rFonts w:hint="eastAsia" w:ascii="宋体" w:hAnsi="宋体" w:cs="宋体"/>
              <w:b/>
              <w:color w:val="auto"/>
              <w:sz w:val="24"/>
              <w:szCs w:val="24"/>
              <w:highlight w:val="none"/>
            </w:rPr>
            <w:instrText xml:space="preserve"> PAGEREF _Toc29120 \h </w:instrText>
          </w:r>
          <w:r>
            <w:rPr>
              <w:rFonts w:hint="eastAsia" w:ascii="宋体" w:hAnsi="宋体" w:cs="宋体"/>
              <w:b/>
              <w:color w:val="auto"/>
              <w:sz w:val="24"/>
              <w:szCs w:val="24"/>
              <w:highlight w:val="none"/>
            </w:rPr>
            <w:fldChar w:fldCharType="separate"/>
          </w:r>
          <w:r>
            <w:rPr>
              <w:rFonts w:hint="eastAsia" w:ascii="宋体" w:hAnsi="宋体" w:cs="宋体"/>
              <w:b/>
              <w:color w:val="auto"/>
              <w:sz w:val="24"/>
              <w:szCs w:val="24"/>
              <w:highlight w:val="none"/>
            </w:rPr>
            <w:t>26</w:t>
          </w:r>
          <w:r>
            <w:rPr>
              <w:rFonts w:hint="eastAsia" w:ascii="宋体" w:hAnsi="宋体" w:cs="宋体"/>
              <w:b/>
              <w:color w:val="auto"/>
              <w:sz w:val="24"/>
              <w:szCs w:val="24"/>
              <w:highlight w:val="none"/>
            </w:rPr>
            <w:fldChar w:fldCharType="end"/>
          </w:r>
          <w:r>
            <w:rPr>
              <w:rFonts w:hint="eastAsia" w:ascii="宋体" w:hAnsi="宋体" w:cs="宋体"/>
              <w:b/>
              <w:color w:val="auto"/>
              <w:sz w:val="24"/>
              <w:szCs w:val="24"/>
              <w:highlight w:val="none"/>
            </w:rPr>
            <w:fldChar w:fldCharType="end"/>
          </w:r>
        </w:p>
        <w:p w14:paraId="7F510DC0">
          <w:pPr>
            <w:pStyle w:val="92"/>
            <w:shd w:val="clear"/>
            <w:tabs>
              <w:tab w:val="right" w:leader="dot" w:pos="9747"/>
            </w:tabs>
            <w:spacing w:line="312" w:lineRule="auto"/>
            <w:ind w:firstLine="480" w:firstLineChars="200"/>
            <w:rPr>
              <w:rFonts w:hint="eastAsia" w:ascii="宋体" w:hAnsi="宋体" w:cs="宋体"/>
              <w:b/>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"_Toc25052" </w:instrText>
          </w:r>
          <w:r>
            <w:rPr>
              <w:color w:val="auto"/>
              <w:sz w:val="24"/>
              <w:szCs w:val="24"/>
              <w:highlight w:val="none"/>
            </w:rPr>
            <w:fldChar w:fldCharType="separate"/>
          </w:r>
          <w:r>
            <w:rPr>
              <w:rFonts w:hint="eastAsia" w:ascii="宋体" w:hAnsi="宋体" w:cs="宋体"/>
              <w:b/>
              <w:color w:val="auto"/>
              <w:sz w:val="24"/>
              <w:szCs w:val="24"/>
              <w:highlight w:val="none"/>
            </w:rPr>
            <w:t xml:space="preserve">第五章 </w:t>
          </w:r>
          <w:r>
            <w:rPr>
              <w:rFonts w:hint="eastAsia" w:ascii="宋体" w:hAnsi="宋体" w:cs="宋体"/>
              <w:b/>
              <w:color w:val="auto"/>
              <w:sz w:val="24"/>
              <w:szCs w:val="24"/>
              <w:highlight w:val="none"/>
              <w:lang w:val="zh-CN"/>
            </w:rPr>
            <w:t>评标办法及评分标准</w:t>
          </w:r>
          <w:r>
            <w:rPr>
              <w:rFonts w:hint="eastAsia" w:ascii="宋体" w:hAnsi="宋体" w:cs="宋体"/>
              <w:b/>
              <w:color w:val="auto"/>
              <w:sz w:val="24"/>
              <w:szCs w:val="24"/>
              <w:highlight w:val="none"/>
            </w:rPr>
            <w:tab/>
          </w:r>
          <w:r>
            <w:rPr>
              <w:rFonts w:hint="eastAsia" w:ascii="宋体" w:hAnsi="宋体" w:cs="宋体"/>
              <w:b/>
              <w:color w:val="auto"/>
              <w:sz w:val="24"/>
              <w:szCs w:val="24"/>
              <w:highlight w:val="none"/>
            </w:rPr>
            <w:fldChar w:fldCharType="begin"/>
          </w:r>
          <w:r>
            <w:rPr>
              <w:rFonts w:hint="eastAsia" w:ascii="宋体" w:hAnsi="宋体" w:cs="宋体"/>
              <w:b/>
              <w:color w:val="auto"/>
              <w:sz w:val="24"/>
              <w:szCs w:val="24"/>
              <w:highlight w:val="none"/>
            </w:rPr>
            <w:instrText xml:space="preserve"> PAGEREF _Toc25052 \h </w:instrText>
          </w:r>
          <w:r>
            <w:rPr>
              <w:rFonts w:hint="eastAsia" w:ascii="宋体" w:hAnsi="宋体" w:cs="宋体"/>
              <w:b/>
              <w:color w:val="auto"/>
              <w:sz w:val="24"/>
              <w:szCs w:val="24"/>
              <w:highlight w:val="none"/>
            </w:rPr>
            <w:fldChar w:fldCharType="separate"/>
          </w:r>
          <w:r>
            <w:rPr>
              <w:rFonts w:hint="eastAsia" w:ascii="宋体" w:hAnsi="宋体" w:cs="宋体"/>
              <w:b/>
              <w:color w:val="auto"/>
              <w:sz w:val="24"/>
              <w:szCs w:val="24"/>
              <w:highlight w:val="none"/>
            </w:rPr>
            <w:t>33</w:t>
          </w:r>
          <w:r>
            <w:rPr>
              <w:rFonts w:hint="eastAsia" w:ascii="宋体" w:hAnsi="宋体" w:cs="宋体"/>
              <w:b/>
              <w:color w:val="auto"/>
              <w:sz w:val="24"/>
              <w:szCs w:val="24"/>
              <w:highlight w:val="none"/>
            </w:rPr>
            <w:fldChar w:fldCharType="end"/>
          </w:r>
          <w:r>
            <w:rPr>
              <w:rFonts w:hint="eastAsia" w:ascii="宋体" w:hAnsi="宋体" w:cs="宋体"/>
              <w:b/>
              <w:color w:val="auto"/>
              <w:sz w:val="24"/>
              <w:szCs w:val="24"/>
              <w:highlight w:val="none"/>
            </w:rPr>
            <w:fldChar w:fldCharType="end"/>
          </w:r>
        </w:p>
        <w:p w14:paraId="638984DF">
          <w:pPr>
            <w:pStyle w:val="92"/>
            <w:shd w:val="clear"/>
            <w:tabs>
              <w:tab w:val="right" w:leader="dot" w:pos="9747"/>
            </w:tabs>
            <w:spacing w:line="312" w:lineRule="auto"/>
            <w:ind w:firstLine="480" w:firstLineChars="200"/>
            <w:rPr>
              <w:rFonts w:hint="eastAsia" w:ascii="宋体" w:hAnsi="宋体" w:cs="宋体"/>
              <w:b/>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"_Toc6136" </w:instrText>
          </w:r>
          <w:r>
            <w:rPr>
              <w:color w:val="auto"/>
              <w:sz w:val="24"/>
              <w:szCs w:val="24"/>
              <w:highlight w:val="none"/>
            </w:rPr>
            <w:fldChar w:fldCharType="separate"/>
          </w:r>
          <w:r>
            <w:rPr>
              <w:rFonts w:hint="eastAsia" w:ascii="宋体" w:hAnsi="宋体" w:cs="宋体"/>
              <w:b/>
              <w:color w:val="auto"/>
              <w:sz w:val="24"/>
              <w:szCs w:val="24"/>
              <w:highlight w:val="none"/>
            </w:rPr>
            <w:t>第六章 投标文件格式</w:t>
          </w:r>
          <w:r>
            <w:rPr>
              <w:rFonts w:hint="eastAsia" w:ascii="宋体" w:hAnsi="宋体" w:cs="宋体"/>
              <w:b/>
              <w:color w:val="auto"/>
              <w:sz w:val="24"/>
              <w:szCs w:val="24"/>
              <w:highlight w:val="none"/>
            </w:rPr>
            <w:tab/>
          </w:r>
          <w:r>
            <w:rPr>
              <w:rFonts w:hint="eastAsia" w:ascii="宋体" w:hAnsi="宋体" w:cs="宋体"/>
              <w:b/>
              <w:color w:val="auto"/>
              <w:sz w:val="24"/>
              <w:szCs w:val="24"/>
              <w:highlight w:val="none"/>
            </w:rPr>
            <w:fldChar w:fldCharType="begin"/>
          </w:r>
          <w:r>
            <w:rPr>
              <w:rFonts w:hint="eastAsia" w:ascii="宋体" w:hAnsi="宋体" w:cs="宋体"/>
              <w:b/>
              <w:color w:val="auto"/>
              <w:sz w:val="24"/>
              <w:szCs w:val="24"/>
              <w:highlight w:val="none"/>
            </w:rPr>
            <w:instrText xml:space="preserve"> PAGEREF _Toc6136 \h </w:instrText>
          </w:r>
          <w:r>
            <w:rPr>
              <w:rFonts w:hint="eastAsia" w:ascii="宋体" w:hAnsi="宋体" w:cs="宋体"/>
              <w:b/>
              <w:color w:val="auto"/>
              <w:sz w:val="24"/>
              <w:szCs w:val="24"/>
              <w:highlight w:val="none"/>
            </w:rPr>
            <w:fldChar w:fldCharType="separate"/>
          </w:r>
          <w:r>
            <w:rPr>
              <w:rFonts w:hint="eastAsia" w:ascii="宋体" w:hAnsi="宋体" w:cs="宋体"/>
              <w:b/>
              <w:color w:val="auto"/>
              <w:sz w:val="24"/>
              <w:szCs w:val="24"/>
              <w:highlight w:val="none"/>
            </w:rPr>
            <w:t>39</w:t>
          </w:r>
          <w:r>
            <w:rPr>
              <w:rFonts w:hint="eastAsia" w:ascii="宋体" w:hAnsi="宋体" w:cs="宋体"/>
              <w:b/>
              <w:color w:val="auto"/>
              <w:sz w:val="24"/>
              <w:szCs w:val="24"/>
              <w:highlight w:val="none"/>
            </w:rPr>
            <w:fldChar w:fldCharType="end"/>
          </w:r>
          <w:r>
            <w:rPr>
              <w:rFonts w:hint="eastAsia" w:ascii="宋体" w:hAnsi="宋体" w:cs="宋体"/>
              <w:b/>
              <w:color w:val="auto"/>
              <w:sz w:val="24"/>
              <w:szCs w:val="24"/>
              <w:highlight w:val="none"/>
            </w:rPr>
            <w:fldChar w:fldCharType="end"/>
          </w:r>
        </w:p>
        <w:p w14:paraId="2DBB3E3F">
          <w:pPr>
            <w:shd w:val="clear"/>
            <w:ind w:firstLine="482"/>
            <w:rPr>
              <w:b/>
              <w:color w:val="auto"/>
              <w:highlight w:val="none"/>
            </w:rPr>
          </w:pPr>
          <w:r>
            <w:rPr>
              <w:b/>
              <w:color w:val="auto"/>
              <w:highlight w:val="none"/>
            </w:rPr>
            <w:fldChar w:fldCharType="end"/>
          </w:r>
        </w:p>
      </w:sdtContent>
    </w:sdt>
    <w:p w14:paraId="034FCB8F">
      <w:pPr>
        <w:shd w:val="clear"/>
        <w:ind w:firstLine="482"/>
        <w:rPr>
          <w:b/>
          <w:color w:val="auto"/>
          <w:highlight w:val="none"/>
        </w:rPr>
      </w:pPr>
    </w:p>
    <w:p w14:paraId="2740EA2B">
      <w:pPr>
        <w:shd w:val="clear"/>
        <w:ind w:firstLine="0" w:firstLineChars="0"/>
        <w:rPr>
          <w:color w:val="auto"/>
          <w:highlight w:val="none"/>
        </w:rPr>
      </w:pPr>
      <w:bookmarkStart w:id="50" w:name="_Toc9856"/>
    </w:p>
    <w:p w14:paraId="00643677">
      <w:pPr>
        <w:pStyle w:val="2"/>
        <w:numPr>
          <w:ilvl w:val="0"/>
          <w:numId w:val="0"/>
        </w:numPr>
        <w:shd w:val="clear"/>
        <w:spacing w:beforeLines="0" w:afterLines="0"/>
        <w:ind w:left="432" w:hanging="432"/>
        <w:rPr>
          <w:color w:val="auto"/>
          <w:highlight w:val="none"/>
        </w:rPr>
      </w:pPr>
    </w:p>
    <w:p w14:paraId="1F8A183F">
      <w:pPr>
        <w:shd w:val="clear"/>
        <w:ind w:firstLine="0" w:firstLineChars="0"/>
        <w:rPr>
          <w:color w:val="auto"/>
          <w:highlight w:val="none"/>
        </w:rPr>
      </w:pPr>
    </w:p>
    <w:p w14:paraId="0FD0F864">
      <w:pPr>
        <w:pStyle w:val="2"/>
        <w:numPr>
          <w:ilvl w:val="0"/>
          <w:numId w:val="0"/>
        </w:numPr>
        <w:shd w:val="clear"/>
        <w:spacing w:beforeLines="0" w:afterLines="0"/>
        <w:rPr>
          <w:bCs/>
          <w:color w:val="auto"/>
          <w:szCs w:val="36"/>
          <w:highlight w:val="none"/>
        </w:rPr>
      </w:pPr>
      <w:bookmarkStart w:id="51" w:name="_Toc27622"/>
      <w:r>
        <w:rPr>
          <w:rFonts w:hint="eastAsia"/>
          <w:color w:val="auto"/>
          <w:highlight w:val="none"/>
        </w:rPr>
        <w:t xml:space="preserve">第一章 </w:t>
      </w:r>
      <w:r>
        <w:rPr>
          <w:rFonts w:hint="eastAsia"/>
          <w:bCs/>
          <w:color w:val="auto"/>
          <w:szCs w:val="36"/>
          <w:highlight w:val="none"/>
        </w:rPr>
        <w:t>招标公告</w:t>
      </w:r>
      <w:bookmarkEnd w:id="50"/>
      <w:bookmarkEnd w:id="51"/>
    </w:p>
    <w:p w14:paraId="5ED5CB79">
      <w:pPr>
        <w:shd w:val="clear"/>
        <w:tabs>
          <w:tab w:val="left" w:pos="0"/>
        </w:tabs>
        <w:spacing w:line="240" w:lineRule="auto"/>
        <w:ind w:firstLine="0" w:firstLineChars="0"/>
        <w:jc w:val="center"/>
        <w:outlineLvl w:val="1"/>
        <w:rPr>
          <w:b/>
          <w:bCs/>
          <w:color w:val="auto"/>
          <w:sz w:val="32"/>
          <w:szCs w:val="32"/>
          <w:highlight w:val="none"/>
        </w:rPr>
      </w:pPr>
      <w:bookmarkStart w:id="52" w:name="_Toc3034"/>
      <w:bookmarkStart w:id="53" w:name="_Toc6676"/>
      <w:bookmarkStart w:id="54" w:name="_Toc28227"/>
      <w:bookmarkStart w:id="55" w:name="_Toc15850"/>
      <w:bookmarkStart w:id="56" w:name="_Toc27883"/>
      <w:bookmarkStart w:id="57" w:name="_Toc15816"/>
      <w:bookmarkStart w:id="58" w:name="_Toc13351"/>
      <w:bookmarkStart w:id="59" w:name="_Toc14330"/>
      <w:bookmarkStart w:id="60" w:name="_Toc8415"/>
      <w:bookmarkStart w:id="61" w:name="_Toc30338"/>
      <w:bookmarkStart w:id="62" w:name="_Toc22976"/>
      <w:bookmarkStart w:id="63" w:name="_Toc30856"/>
      <w:bookmarkStart w:id="64" w:name="_Toc8418"/>
      <w:bookmarkStart w:id="65" w:name="_Toc15739"/>
      <w:bookmarkStart w:id="66" w:name="_Toc5851"/>
      <w:bookmarkStart w:id="67" w:name="_Toc30314"/>
      <w:bookmarkStart w:id="68" w:name="_Toc18534"/>
      <w:bookmarkStart w:id="69" w:name="_Toc2749"/>
      <w:bookmarkStart w:id="70" w:name="_Toc152"/>
      <w:bookmarkStart w:id="71" w:name="_Toc19498"/>
      <w:bookmarkStart w:id="72" w:name="_Toc16556"/>
      <w:bookmarkStart w:id="73" w:name="_Toc18735"/>
      <w:bookmarkStart w:id="74" w:name="_Toc28551"/>
      <w:bookmarkStart w:id="75" w:name="_Toc28840"/>
      <w:bookmarkStart w:id="76" w:name="_Toc9804"/>
      <w:bookmarkStart w:id="77" w:name="_Toc28418"/>
      <w:bookmarkStart w:id="78" w:name="_Toc19518"/>
      <w:bookmarkStart w:id="79" w:name="_Toc10520"/>
      <w:bookmarkStart w:id="80" w:name="_Toc5857"/>
      <w:bookmarkStart w:id="81" w:name="_Toc9465"/>
      <w:bookmarkStart w:id="82" w:name="_Toc3323"/>
      <w:bookmarkStart w:id="83" w:name="_Toc20318"/>
      <w:r>
        <w:rPr>
          <w:rFonts w:hint="eastAsia"/>
          <w:b/>
          <w:bCs/>
          <w:color w:val="auto"/>
          <w:sz w:val="32"/>
          <w:szCs w:val="32"/>
          <w:highlight w:val="none"/>
        </w:rPr>
        <w:t>（线上电子招投标）</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4AEBD52C">
      <w:pPr>
        <w:shd w:val="clear"/>
        <w:tabs>
          <w:tab w:val="left" w:pos="0"/>
        </w:tabs>
        <w:spacing w:line="240" w:lineRule="auto"/>
        <w:ind w:firstLine="0" w:firstLineChars="0"/>
        <w:jc w:val="center"/>
        <w:rPr>
          <w:rFonts w:hint="eastAsia" w:ascii="宋体" w:hAnsi="宋体" w:cs="宋体"/>
          <w:b/>
          <w:bCs/>
          <w:color w:val="auto"/>
          <w:sz w:val="32"/>
          <w:szCs w:val="32"/>
          <w:highlight w:val="none"/>
        </w:rPr>
      </w:pPr>
      <w:r>
        <w:rPr>
          <w:rFonts w:hint="eastAsia" w:ascii="宋体" w:hAnsi="宋体" w:cs="宋体"/>
          <w:b/>
          <w:bCs/>
          <w:color w:val="auto"/>
          <w:sz w:val="28"/>
          <w:szCs w:val="28"/>
          <w:highlight w:val="none"/>
        </w:rPr>
        <w:t>公告</w:t>
      </w:r>
      <w:r>
        <w:rPr>
          <w:rFonts w:hint="eastAsia" w:ascii="宋体" w:hAnsi="宋体" w:cs="宋体"/>
          <w:b/>
          <w:bCs/>
          <w:color w:val="auto"/>
          <w:sz w:val="28"/>
          <w:szCs w:val="28"/>
          <w:highlight w:val="none"/>
          <w:lang w:val="en-US" w:eastAsia="zh-CN"/>
        </w:rPr>
        <w:t>发布</w:t>
      </w:r>
      <w:r>
        <w:rPr>
          <w:rFonts w:hint="eastAsia" w:ascii="宋体" w:hAnsi="宋体" w:cs="宋体"/>
          <w:b/>
          <w:bCs/>
          <w:color w:val="auto"/>
          <w:sz w:val="28"/>
          <w:szCs w:val="28"/>
          <w:highlight w:val="none"/>
        </w:rPr>
        <w:t>日期：2025年</w:t>
      </w:r>
      <w:r>
        <w:rPr>
          <w:rFonts w:hint="eastAsia" w:ascii="宋体" w:hAnsi="宋体" w:cs="宋体"/>
          <w:b/>
          <w:bCs/>
          <w:color w:val="auto"/>
          <w:sz w:val="28"/>
          <w:szCs w:val="28"/>
          <w:highlight w:val="none"/>
          <w:lang w:val="en-US" w:eastAsia="zh-CN"/>
        </w:rPr>
        <w:t>6</w:t>
      </w:r>
      <w:r>
        <w:rPr>
          <w:rFonts w:hint="eastAsia" w:ascii="宋体" w:hAnsi="宋体" w:cs="宋体"/>
          <w:b/>
          <w:bCs/>
          <w:color w:val="auto"/>
          <w:sz w:val="28"/>
          <w:szCs w:val="28"/>
          <w:highlight w:val="none"/>
        </w:rPr>
        <w:t>月</w:t>
      </w:r>
      <w:r>
        <w:rPr>
          <w:rFonts w:hint="eastAsia" w:ascii="宋体" w:hAnsi="宋体" w:cs="宋体"/>
          <w:b/>
          <w:bCs/>
          <w:color w:val="auto"/>
          <w:sz w:val="28"/>
          <w:szCs w:val="28"/>
          <w:highlight w:val="none"/>
          <w:lang w:val="en-US" w:eastAsia="zh-CN"/>
        </w:rPr>
        <w:t>26</w:t>
      </w:r>
      <w:r>
        <w:rPr>
          <w:rFonts w:hint="eastAsia" w:ascii="宋体" w:hAnsi="宋体" w:cs="宋体"/>
          <w:b/>
          <w:bCs/>
          <w:color w:val="auto"/>
          <w:sz w:val="28"/>
          <w:szCs w:val="28"/>
          <w:highlight w:val="none"/>
        </w:rPr>
        <w:t>日</w:t>
      </w:r>
    </w:p>
    <w:tbl>
      <w:tblPr>
        <w:tblStyle w:val="44"/>
        <w:tblpPr w:leftFromText="180" w:rightFromText="180" w:vertAnchor="text" w:horzAnchor="page" w:tblpX="922" w:tblpY="172"/>
        <w:tblOverlap w:val="never"/>
        <w:tblW w:w="10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3"/>
      </w:tblGrid>
      <w:tr w14:paraId="0E2F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jc w:val="center"/>
        </w:trPr>
        <w:tc>
          <w:tcPr>
            <w:tcW w:w="10103" w:type="dxa"/>
          </w:tcPr>
          <w:p w14:paraId="163A6FA5">
            <w:pPr>
              <w:shd w:val="clear"/>
              <w:spacing w:line="240" w:lineRule="auto"/>
              <w:ind w:firstLine="482"/>
              <w:jc w:val="left"/>
              <w:rPr>
                <w:rFonts w:hint="eastAsia" w:ascii="宋体" w:hAnsi="宋体" w:cs="宋体"/>
                <w:color w:val="auto"/>
                <w:highlight w:val="none"/>
              </w:rPr>
            </w:pPr>
            <w:bookmarkStart w:id="84" w:name="_Toc29502"/>
            <w:bookmarkStart w:id="85" w:name="_Toc12448"/>
            <w:bookmarkStart w:id="86" w:name="_Toc25721"/>
            <w:bookmarkStart w:id="87" w:name="_Toc25357"/>
            <w:bookmarkStart w:id="88" w:name="_Toc32592"/>
            <w:bookmarkStart w:id="89" w:name="_Toc1573"/>
            <w:bookmarkStart w:id="90" w:name="_Toc9551"/>
            <w:bookmarkStart w:id="91" w:name="_Toc4351"/>
            <w:bookmarkStart w:id="92" w:name="_Toc18715"/>
            <w:bookmarkStart w:id="93" w:name="_Toc10539"/>
            <w:bookmarkStart w:id="94" w:name="_Toc20240"/>
            <w:bookmarkStart w:id="95" w:name="_Toc1560"/>
            <w:bookmarkStart w:id="96" w:name="_Toc24619"/>
            <w:bookmarkStart w:id="97" w:name="_Toc15418"/>
            <w:bookmarkStart w:id="98" w:name="_Toc28705"/>
            <w:bookmarkStart w:id="99" w:name="_Toc2603"/>
            <w:bookmarkStart w:id="100" w:name="_Toc20173"/>
            <w:bookmarkStart w:id="101" w:name="_Toc3843"/>
            <w:bookmarkStart w:id="102" w:name="_Toc2248"/>
            <w:bookmarkStart w:id="103" w:name="_Toc2065"/>
            <w:bookmarkStart w:id="104" w:name="_Toc17986"/>
            <w:bookmarkStart w:id="105" w:name="_Toc25543"/>
            <w:bookmarkStart w:id="106" w:name="_Toc580"/>
            <w:bookmarkStart w:id="107" w:name="_Toc24605"/>
            <w:bookmarkStart w:id="108" w:name="_Toc7966"/>
            <w:bookmarkStart w:id="109" w:name="_Toc6984"/>
            <w:bookmarkStart w:id="110" w:name="_Toc23293"/>
            <w:bookmarkStart w:id="111" w:name="_Toc30594"/>
            <w:bookmarkStart w:id="112" w:name="_Toc27822"/>
            <w:bookmarkStart w:id="113" w:name="_Toc22488"/>
            <w:bookmarkStart w:id="114" w:name="_Toc19647"/>
            <w:bookmarkStart w:id="115" w:name="_Toc12272"/>
            <w:bookmarkStart w:id="116" w:name="_Toc23278"/>
            <w:bookmarkStart w:id="117" w:name="_Toc15628"/>
            <w:bookmarkStart w:id="118" w:name="_Toc4710"/>
            <w:bookmarkStart w:id="119" w:name="_Toc2974"/>
            <w:bookmarkStart w:id="120" w:name="_Toc21424"/>
            <w:bookmarkStart w:id="121" w:name="_Toc18055"/>
            <w:bookmarkStart w:id="122" w:name="_Toc1269"/>
            <w:r>
              <w:rPr>
                <w:rFonts w:hint="eastAsia" w:ascii="宋体" w:hAnsi="宋体" w:cs="宋体"/>
                <w:b/>
                <w:bCs/>
                <w:color w:val="auto"/>
                <w:highlight w:val="none"/>
              </w:rPr>
              <w:t xml:space="preserve">项目概况   </w:t>
            </w:r>
            <w:r>
              <w:rPr>
                <w:rFonts w:hint="eastAsia" w:ascii="宋体" w:hAnsi="宋体" w:cs="宋体"/>
                <w:color w:val="auto"/>
                <w:highlight w:val="none"/>
              </w:rPr>
              <w:t xml:space="preserve">                                          </w:t>
            </w:r>
          </w:p>
          <w:p w14:paraId="53869FAC">
            <w:pPr>
              <w:shd w:val="clear"/>
              <w:spacing w:line="240" w:lineRule="auto"/>
              <w:ind w:firstLine="480"/>
              <w:jc w:val="left"/>
              <w:rPr>
                <w:rFonts w:hint="eastAsia" w:ascii="宋体" w:hAnsi="宋体" w:cs="宋体"/>
                <w:color w:val="auto"/>
                <w:highlight w:val="none"/>
                <w:u w:val="single"/>
              </w:rPr>
            </w:pPr>
            <w:r>
              <w:rPr>
                <w:rFonts w:hint="eastAsia" w:ascii="宋体" w:hAnsi="宋体" w:cs="宋体"/>
                <w:color w:val="auto"/>
                <w:highlight w:val="none"/>
                <w:lang w:eastAsia="zh-CN"/>
              </w:rPr>
              <w:t xml:space="preserve"> 捷马化工股份有限公司宝塔路地块风险管控项目环境监理采购项目</w:t>
            </w:r>
            <w:r>
              <w:rPr>
                <w:rFonts w:hint="eastAsia" w:ascii="宋体" w:hAnsi="宋体" w:cs="宋体"/>
                <w:color w:val="auto"/>
                <w:highlight w:val="none"/>
              </w:rPr>
              <w:t>的潜在</w:t>
            </w:r>
            <w:r>
              <w:rPr>
                <w:rFonts w:hint="eastAsia" w:ascii="宋体" w:hAnsi="宋体" w:cs="宋体"/>
                <w:color w:val="auto"/>
                <w:highlight w:val="none"/>
                <w:lang w:eastAsia="zh-CN"/>
              </w:rPr>
              <w:t>投标人</w:t>
            </w:r>
            <w:r>
              <w:rPr>
                <w:rFonts w:hint="eastAsia" w:ascii="宋体" w:hAnsi="宋体" w:cs="宋体"/>
                <w:color w:val="auto"/>
                <w:highlight w:val="none"/>
              </w:rPr>
              <w:t>应在浙江政府采购网（http://zfcg.czt.zj.gov.cn/）获取（下载）招标文件，并于2025年</w:t>
            </w:r>
            <w:r>
              <w:rPr>
                <w:rFonts w:hint="eastAsia" w:ascii="宋体" w:hAnsi="宋体" w:cs="宋体"/>
                <w:color w:val="auto"/>
                <w:highlight w:val="none"/>
                <w:lang w:val="en-US" w:eastAsia="zh-CN"/>
              </w:rPr>
              <w:t>7</w:t>
            </w:r>
            <w:r>
              <w:rPr>
                <w:rFonts w:hint="eastAsia" w:ascii="宋体" w:hAnsi="宋体" w:cs="宋体"/>
                <w:color w:val="auto"/>
                <w:highlight w:val="none"/>
              </w:rPr>
              <w:t>月</w:t>
            </w:r>
            <w:r>
              <w:rPr>
                <w:rFonts w:hint="eastAsia" w:ascii="宋体" w:hAnsi="宋体" w:cs="宋体"/>
                <w:color w:val="auto"/>
                <w:highlight w:val="none"/>
                <w:lang w:val="en-US" w:eastAsia="zh-CN"/>
              </w:rPr>
              <w:t>17</w:t>
            </w:r>
            <w:r>
              <w:rPr>
                <w:rFonts w:hint="eastAsia" w:ascii="宋体" w:hAnsi="宋体" w:cs="宋体"/>
                <w:color w:val="auto"/>
                <w:highlight w:val="none"/>
              </w:rPr>
              <w:t>日09:30（北京时间）前递交（上传）投标文件。                 </w:t>
            </w:r>
          </w:p>
        </w:tc>
      </w:tr>
    </w:tbl>
    <w:p w14:paraId="1F980522">
      <w:pPr>
        <w:pStyle w:val="37"/>
        <w:shd w:val="clear" w:color="auto"/>
        <w:spacing w:before="0" w:beforeAutospacing="0" w:after="0" w:afterAutospacing="0" w:line="240" w:lineRule="auto"/>
        <w:ind w:firstLine="482"/>
        <w:outlineLvl w:val="1"/>
        <w:rPr>
          <w:rFonts w:hint="eastAsia" w:cs="宋体"/>
          <w:color w:val="auto"/>
          <w:highlight w:val="none"/>
        </w:rPr>
      </w:pPr>
      <w:r>
        <w:rPr>
          <w:rFonts w:hint="eastAsia" w:cs="宋体"/>
          <w:b/>
          <w:bCs/>
          <w:color w:val="auto"/>
          <w:highlight w:val="none"/>
        </w:rPr>
        <w:t>一、项目基本情况</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2609B2EF">
      <w:pPr>
        <w:pStyle w:val="36"/>
        <w:shd w:val="clear"/>
        <w:spacing w:line="240" w:lineRule="auto"/>
        <w:ind w:firstLine="480"/>
        <w:rPr>
          <w:rFonts w:hint="eastAsia" w:ascii="宋体" w:hAnsi="宋体" w:eastAsia="宋体" w:cs="宋体"/>
          <w:color w:val="auto"/>
          <w:highlight w:val="none"/>
          <w:lang w:eastAsia="zh-CN"/>
        </w:rPr>
      </w:pPr>
      <w:bookmarkStart w:id="123" w:name="OLE_LINK83"/>
      <w:bookmarkStart w:id="124" w:name="_Toc8654"/>
      <w:bookmarkStart w:id="125" w:name="_Toc20987"/>
      <w:bookmarkStart w:id="126" w:name="_Toc28522"/>
      <w:bookmarkStart w:id="127" w:name="_Toc12704"/>
      <w:bookmarkStart w:id="128" w:name="_Toc66"/>
      <w:bookmarkStart w:id="129" w:name="_Toc28723"/>
      <w:bookmarkStart w:id="130" w:name="_Toc32051"/>
      <w:bookmarkStart w:id="131" w:name="_Toc1558"/>
      <w:bookmarkStart w:id="132" w:name="_Toc5590"/>
      <w:bookmarkStart w:id="133" w:name="_Toc1964"/>
      <w:bookmarkStart w:id="134" w:name="_Toc13265"/>
      <w:bookmarkStart w:id="135" w:name="_Toc21505"/>
      <w:bookmarkStart w:id="136" w:name="_Toc21884"/>
      <w:r>
        <w:rPr>
          <w:rFonts w:hint="eastAsia" w:ascii="宋体" w:hAnsi="宋体" w:cs="宋体"/>
          <w:color w:val="auto"/>
          <w:highlight w:val="none"/>
        </w:rPr>
        <w:t>项目编号：</w:t>
      </w:r>
      <w:r>
        <w:rPr>
          <w:rFonts w:hint="eastAsia" w:ascii="宋体" w:hAnsi="宋体" w:cs="宋体"/>
          <w:color w:val="auto"/>
          <w:highlight w:val="none"/>
          <w:lang w:eastAsia="zh-CN"/>
        </w:rPr>
        <w:t>LYCG2025YX-014</w:t>
      </w:r>
    </w:p>
    <w:bookmarkEnd w:id="123"/>
    <w:p w14:paraId="5D223C89">
      <w:pPr>
        <w:pStyle w:val="36"/>
        <w:shd w:val="clear"/>
        <w:spacing w:line="240" w:lineRule="auto"/>
        <w:ind w:firstLine="480"/>
        <w:rPr>
          <w:rFonts w:hint="eastAsia" w:ascii="宋体" w:hAnsi="宋体" w:cs="宋体"/>
          <w:color w:val="auto"/>
          <w:highlight w:val="none"/>
        </w:rPr>
      </w:pPr>
      <w:r>
        <w:rPr>
          <w:rFonts w:hint="eastAsia" w:ascii="宋体" w:hAnsi="宋体" w:cs="宋体"/>
          <w:color w:val="auto"/>
          <w:highlight w:val="none"/>
        </w:rPr>
        <w:t>项目名称：</w:t>
      </w:r>
      <w:r>
        <w:rPr>
          <w:rFonts w:hint="eastAsia" w:ascii="宋体" w:hAnsi="宋体" w:cs="宋体"/>
          <w:color w:val="auto"/>
          <w:highlight w:val="none"/>
          <w:lang w:eastAsia="zh-CN"/>
        </w:rPr>
        <w:t xml:space="preserve"> 捷马化工股份有限公司宝塔路地块风险管控项目环境监理采购项目</w:t>
      </w:r>
    </w:p>
    <w:p w14:paraId="05793914">
      <w:pPr>
        <w:pStyle w:val="36"/>
        <w:shd w:val="clear"/>
        <w:spacing w:line="240" w:lineRule="auto"/>
        <w:ind w:firstLine="480"/>
        <w:rPr>
          <w:rFonts w:hint="eastAsia" w:ascii="宋体" w:hAnsi="宋体" w:cs="宋体"/>
          <w:color w:val="auto"/>
          <w:highlight w:val="none"/>
        </w:rPr>
      </w:pPr>
      <w:bookmarkStart w:id="137" w:name="OLE_LINK82"/>
      <w:r>
        <w:rPr>
          <w:rFonts w:hint="eastAsia" w:ascii="宋体" w:hAnsi="宋体" w:cs="宋体"/>
          <w:color w:val="auto"/>
          <w:highlight w:val="none"/>
        </w:rPr>
        <w:t>采购方式：公开招标</w:t>
      </w:r>
    </w:p>
    <w:p w14:paraId="168F578F">
      <w:pPr>
        <w:pStyle w:val="36"/>
        <w:shd w:val="clear"/>
        <w:spacing w:line="240" w:lineRule="auto"/>
        <w:ind w:firstLine="480"/>
        <w:rPr>
          <w:rFonts w:hint="eastAsia" w:ascii="宋体" w:hAnsi="宋体" w:cs="宋体"/>
          <w:color w:val="auto"/>
          <w:highlight w:val="none"/>
        </w:rPr>
      </w:pPr>
      <w:bookmarkStart w:id="138" w:name="OLE_LINK111"/>
      <w:r>
        <w:rPr>
          <w:rFonts w:hint="eastAsia" w:ascii="宋体" w:hAnsi="宋体" w:cs="宋体"/>
          <w:color w:val="auto"/>
          <w:highlight w:val="none"/>
        </w:rPr>
        <w:t>预算金额（元）：</w:t>
      </w:r>
      <w:r>
        <w:rPr>
          <w:rFonts w:hint="eastAsia" w:ascii="宋体" w:hAnsi="宋体" w:cs="宋体"/>
          <w:color w:val="auto"/>
          <w:highlight w:val="none"/>
          <w:lang w:eastAsia="zh-CN"/>
        </w:rPr>
        <w:t>1026900</w:t>
      </w:r>
      <w:r>
        <w:rPr>
          <w:rFonts w:hint="eastAsia" w:ascii="宋体" w:hAnsi="宋体" w:cs="宋体"/>
          <w:color w:val="auto"/>
          <w:highlight w:val="none"/>
        </w:rPr>
        <w:t>元</w:t>
      </w:r>
    </w:p>
    <w:bookmarkEnd w:id="137"/>
    <w:p w14:paraId="141ED1A2">
      <w:pPr>
        <w:pStyle w:val="36"/>
        <w:shd w:val="clear"/>
        <w:spacing w:line="240" w:lineRule="auto"/>
        <w:ind w:firstLine="480"/>
        <w:rPr>
          <w:rFonts w:hint="eastAsia" w:ascii="宋体" w:hAnsi="宋体" w:eastAsia="宋体" w:cs="宋体"/>
          <w:color w:val="auto"/>
          <w:highlight w:val="none"/>
        </w:rPr>
      </w:pPr>
      <w:r>
        <w:rPr>
          <w:rFonts w:hint="eastAsia" w:ascii="宋体" w:hAnsi="宋体" w:cs="宋体"/>
          <w:color w:val="auto"/>
          <w:highlight w:val="none"/>
        </w:rPr>
        <w:t>最</w:t>
      </w:r>
      <w:r>
        <w:rPr>
          <w:rFonts w:hint="eastAsia" w:ascii="宋体" w:hAnsi="宋体" w:eastAsia="宋体" w:cs="宋体"/>
          <w:color w:val="auto"/>
          <w:highlight w:val="none"/>
        </w:rPr>
        <w:t>高限价（元）：</w:t>
      </w:r>
      <w:r>
        <w:rPr>
          <w:rFonts w:hint="eastAsia" w:ascii="宋体" w:hAnsi="宋体" w:cs="宋体"/>
          <w:color w:val="auto"/>
          <w:highlight w:val="none"/>
          <w:lang w:eastAsia="zh-CN"/>
        </w:rPr>
        <w:t>1026900</w:t>
      </w:r>
      <w:r>
        <w:rPr>
          <w:rFonts w:hint="eastAsia" w:ascii="宋体" w:hAnsi="宋体" w:eastAsia="宋体" w:cs="宋体"/>
          <w:color w:val="auto"/>
          <w:highlight w:val="none"/>
        </w:rPr>
        <w:t>元</w:t>
      </w:r>
    </w:p>
    <w:bookmarkEnd w:id="138"/>
    <w:p w14:paraId="7D5CEEAB">
      <w:pPr>
        <w:pStyle w:val="36"/>
        <w:shd w:val="clear"/>
        <w:spacing w:line="24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采购需求：</w:t>
      </w:r>
    </w:p>
    <w:p w14:paraId="713D0683">
      <w:pPr>
        <w:pStyle w:val="36"/>
        <w:shd w:val="clear"/>
        <w:spacing w:line="24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标项名称:</w:t>
      </w:r>
      <w:r>
        <w:rPr>
          <w:rFonts w:hint="eastAsia" w:ascii="宋体" w:hAnsi="宋体" w:cs="宋体"/>
          <w:color w:val="auto"/>
          <w:highlight w:val="none"/>
          <w:lang w:eastAsia="zh-CN"/>
        </w:rPr>
        <w:t xml:space="preserve"> 捷马化工股份有限公司宝塔路地块风险管控项目环境监理采购项目</w:t>
      </w:r>
    </w:p>
    <w:p w14:paraId="4D2FBB1D">
      <w:pPr>
        <w:pStyle w:val="36"/>
        <w:shd w:val="clear"/>
        <w:spacing w:line="240" w:lineRule="auto"/>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 xml:space="preserve">数量: </w:t>
      </w:r>
      <w:r>
        <w:rPr>
          <w:rFonts w:hint="eastAsia" w:ascii="宋体" w:hAnsi="宋体" w:cs="宋体"/>
          <w:color w:val="auto"/>
          <w:highlight w:val="none"/>
          <w:lang w:val="en-US" w:eastAsia="zh-CN"/>
        </w:rPr>
        <w:t>1</w:t>
      </w:r>
    </w:p>
    <w:p w14:paraId="3B2A1430">
      <w:pPr>
        <w:pStyle w:val="36"/>
        <w:shd w:val="clear"/>
        <w:spacing w:line="240" w:lineRule="auto"/>
        <w:ind w:firstLine="480"/>
        <w:rPr>
          <w:rFonts w:hint="eastAsia" w:ascii="宋体" w:hAnsi="宋体" w:cs="宋体"/>
          <w:color w:val="auto"/>
          <w:highlight w:val="none"/>
        </w:rPr>
      </w:pPr>
      <w:r>
        <w:rPr>
          <w:rFonts w:hint="eastAsia" w:ascii="宋体" w:hAnsi="宋体" w:cs="宋体"/>
          <w:color w:val="auto"/>
          <w:highlight w:val="none"/>
        </w:rPr>
        <w:t>预算金额（元）：</w:t>
      </w:r>
      <w:r>
        <w:rPr>
          <w:rFonts w:hint="eastAsia" w:ascii="宋体" w:hAnsi="宋体" w:cs="宋体"/>
          <w:color w:val="auto"/>
          <w:highlight w:val="none"/>
          <w:lang w:eastAsia="zh-CN"/>
        </w:rPr>
        <w:t>1026900</w:t>
      </w:r>
      <w:r>
        <w:rPr>
          <w:rFonts w:hint="eastAsia" w:ascii="宋体" w:hAnsi="宋体" w:cs="宋体"/>
          <w:color w:val="auto"/>
          <w:highlight w:val="none"/>
        </w:rPr>
        <w:t>元</w:t>
      </w:r>
    </w:p>
    <w:p w14:paraId="5855484F">
      <w:pPr>
        <w:pStyle w:val="36"/>
        <w:shd w:val="clear"/>
        <w:spacing w:line="240" w:lineRule="auto"/>
        <w:ind w:firstLine="480"/>
        <w:rPr>
          <w:rFonts w:hint="eastAsia" w:ascii="宋体" w:hAnsi="宋体" w:cs="宋体"/>
          <w:color w:val="auto"/>
          <w:highlight w:val="none"/>
        </w:rPr>
      </w:pPr>
      <w:r>
        <w:rPr>
          <w:rFonts w:hint="eastAsia" w:ascii="宋体" w:hAnsi="宋体" w:cs="宋体"/>
          <w:color w:val="auto"/>
          <w:highlight w:val="none"/>
        </w:rPr>
        <w:t>简要规格描述或项目基本概况介绍、用途：</w:t>
      </w:r>
      <w:bookmarkStart w:id="139" w:name="OLE_LINK86"/>
      <w:r>
        <w:rPr>
          <w:rFonts w:hint="eastAsia" w:ascii="宋体" w:hAnsi="宋体" w:cs="宋体"/>
          <w:color w:val="auto"/>
          <w:highlight w:val="none"/>
        </w:rPr>
        <w:t>详见招标文件“第三章 采购内容及需求”（包括但不限于标的的名称、数量、简要技术需求或服务要求等）。</w:t>
      </w:r>
    </w:p>
    <w:bookmarkEnd w:id="139"/>
    <w:p w14:paraId="5AC3D47E">
      <w:pPr>
        <w:pStyle w:val="36"/>
        <w:shd w:val="clear"/>
        <w:spacing w:line="240" w:lineRule="auto"/>
        <w:ind w:firstLine="480"/>
        <w:rPr>
          <w:rFonts w:hint="eastAsia" w:ascii="宋体" w:hAnsi="宋体" w:cs="宋体"/>
          <w:color w:val="auto"/>
          <w:highlight w:val="none"/>
        </w:rPr>
      </w:pPr>
      <w:r>
        <w:rPr>
          <w:rFonts w:hint="eastAsia" w:ascii="宋体" w:hAnsi="宋体" w:cs="宋体"/>
          <w:color w:val="auto"/>
          <w:highlight w:val="none"/>
        </w:rPr>
        <w:t>备注：</w:t>
      </w:r>
    </w:p>
    <w:p w14:paraId="4BFB9E03">
      <w:pPr>
        <w:pStyle w:val="36"/>
        <w:shd w:val="clear"/>
        <w:spacing w:line="240" w:lineRule="auto"/>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rPr>
        <w:t>合同履约期限：标项 1，</w:t>
      </w:r>
      <w:r>
        <w:rPr>
          <w:rFonts w:hint="eastAsia" w:ascii="宋体" w:hAnsi="宋体" w:cs="宋体"/>
          <w:color w:val="auto"/>
          <w:highlight w:val="none"/>
          <w:lang w:val="en-US" w:eastAsia="zh-CN"/>
        </w:rPr>
        <w:t>服务期三年，自合同生效之日起至阶段性效果评估报告通过有权限的主管部门备案。</w:t>
      </w:r>
    </w:p>
    <w:p w14:paraId="2E931D22">
      <w:pPr>
        <w:pStyle w:val="36"/>
        <w:shd w:val="clear"/>
        <w:spacing w:line="24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本项目（否）接受联合体投标。</w:t>
      </w:r>
    </w:p>
    <w:p w14:paraId="5CD15B58">
      <w:pPr>
        <w:pStyle w:val="36"/>
        <w:shd w:val="clear"/>
        <w:spacing w:line="240" w:lineRule="auto"/>
        <w:ind w:firstLine="482"/>
        <w:outlineLvl w:val="1"/>
        <w:rPr>
          <w:rFonts w:hint="eastAsia" w:ascii="宋体" w:hAnsi="宋体" w:cs="宋体"/>
          <w:b/>
          <w:bCs/>
          <w:color w:val="auto"/>
          <w:kern w:val="0"/>
          <w:highlight w:val="none"/>
        </w:rPr>
      </w:pPr>
      <w:bookmarkStart w:id="140" w:name="_Toc10451"/>
      <w:bookmarkStart w:id="141" w:name="_Toc16525"/>
      <w:bookmarkStart w:id="142" w:name="_Toc5552"/>
      <w:bookmarkStart w:id="143" w:name="_Toc10143"/>
      <w:r>
        <w:rPr>
          <w:rFonts w:hint="eastAsia" w:ascii="宋体" w:hAnsi="宋体" w:cs="宋体"/>
          <w:b/>
          <w:bCs/>
          <w:color w:val="auto"/>
          <w:kern w:val="0"/>
          <w:highlight w:val="none"/>
        </w:rPr>
        <w:t>二、申请人的资格要求</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40"/>
      <w:bookmarkEnd w:id="141"/>
      <w:bookmarkEnd w:id="142"/>
      <w:bookmarkEnd w:id="143"/>
    </w:p>
    <w:p w14:paraId="66AA2F6F">
      <w:pPr>
        <w:pStyle w:val="36"/>
        <w:shd w:val="clear"/>
        <w:spacing w:line="24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3836C699">
      <w:pPr>
        <w:pStyle w:val="36"/>
        <w:shd w:val="clear"/>
        <w:spacing w:line="240" w:lineRule="auto"/>
        <w:ind w:firstLine="480"/>
        <w:rPr>
          <w:rFonts w:hint="eastAsia" w:ascii="宋体" w:hAnsi="宋体" w:cs="宋体"/>
          <w:color w:val="auto"/>
          <w:highlight w:val="none"/>
          <w:lang w:val="en-US" w:eastAsia="zh-CN"/>
        </w:rPr>
      </w:pPr>
      <w:r>
        <w:rPr>
          <w:rFonts w:hint="eastAsia" w:ascii="宋体" w:hAnsi="宋体" w:eastAsia="宋体" w:cs="宋体"/>
          <w:color w:val="auto"/>
          <w:highlight w:val="none"/>
        </w:rPr>
        <w:t>2.落实政府采购政策需满足的资格要求：</w:t>
      </w:r>
      <w:r>
        <w:rPr>
          <w:rFonts w:hint="eastAsia" w:ascii="宋体" w:hAnsi="宋体" w:cs="宋体"/>
          <w:color w:val="auto"/>
          <w:highlight w:val="none"/>
          <w:lang w:val="en-US" w:eastAsia="zh-CN"/>
        </w:rPr>
        <w:t>无。</w:t>
      </w:r>
    </w:p>
    <w:p w14:paraId="0C3B5EC5">
      <w:pPr>
        <w:pStyle w:val="36"/>
        <w:shd w:val="clear"/>
        <w:spacing w:line="24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3.本项目的特定资格要求：</w:t>
      </w:r>
      <w:bookmarkStart w:id="144" w:name="_Toc4690"/>
      <w:bookmarkStart w:id="145" w:name="_Toc975"/>
      <w:bookmarkStart w:id="146" w:name="_Toc32520"/>
      <w:bookmarkStart w:id="147" w:name="_Toc7293"/>
      <w:r>
        <w:rPr>
          <w:rFonts w:hint="eastAsia" w:ascii="宋体" w:hAnsi="宋体" w:cs="宋体"/>
          <w:color w:val="auto"/>
          <w:highlight w:val="none"/>
          <w:lang w:val="en-US" w:eastAsia="zh-CN"/>
        </w:rPr>
        <w:t>无。</w:t>
      </w:r>
    </w:p>
    <w:p w14:paraId="45850CE1">
      <w:pPr>
        <w:shd w:val="clear"/>
        <w:spacing w:line="240" w:lineRule="auto"/>
        <w:ind w:firstLine="482"/>
        <w:outlineLvl w:val="1"/>
        <w:rPr>
          <w:rFonts w:hint="eastAsia" w:ascii="宋体" w:hAnsi="宋体" w:cs="宋体"/>
          <w:b/>
          <w:bCs/>
          <w:color w:val="auto"/>
          <w:kern w:val="0"/>
          <w:highlight w:val="none"/>
        </w:rPr>
      </w:pPr>
      <w:bookmarkStart w:id="148" w:name="_Toc30783"/>
      <w:bookmarkStart w:id="149" w:name="_Toc26896"/>
      <w:bookmarkStart w:id="150" w:name="_Toc28918"/>
      <w:bookmarkStart w:id="151" w:name="_Toc18857"/>
      <w:bookmarkStart w:id="152" w:name="_Toc26499"/>
      <w:bookmarkStart w:id="153" w:name="_Toc14012"/>
      <w:bookmarkStart w:id="154" w:name="_Toc23777"/>
      <w:bookmarkStart w:id="155" w:name="_Toc3777"/>
      <w:bookmarkStart w:id="156" w:name="_Toc14158"/>
      <w:bookmarkStart w:id="157" w:name="_Toc28502"/>
      <w:bookmarkStart w:id="158" w:name="_Toc9627"/>
      <w:r>
        <w:rPr>
          <w:rFonts w:hint="eastAsia" w:ascii="宋体" w:hAnsi="宋体" w:cs="宋体"/>
          <w:b/>
          <w:bCs/>
          <w:color w:val="auto"/>
          <w:kern w:val="0"/>
          <w:highlight w:val="none"/>
        </w:rPr>
        <w:t>三、获取招标文件</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Pr>
          <w:rFonts w:hint="eastAsia" w:ascii="宋体" w:hAnsi="宋体" w:cs="宋体"/>
          <w:b/>
          <w:bCs/>
          <w:color w:val="auto"/>
          <w:kern w:val="0"/>
          <w:highlight w:val="none"/>
        </w:rPr>
        <w:tab/>
      </w:r>
      <w:r>
        <w:rPr>
          <w:rFonts w:hint="eastAsia" w:ascii="宋体" w:hAnsi="宋体" w:cs="宋体"/>
          <w:b/>
          <w:bCs/>
          <w:color w:val="auto"/>
          <w:kern w:val="0"/>
          <w:highlight w:val="none"/>
        </w:rPr>
        <w:tab/>
      </w:r>
    </w:p>
    <w:p w14:paraId="1C4BEA22">
      <w:pPr>
        <w:pStyle w:val="36"/>
        <w:shd w:val="clear"/>
        <w:spacing w:line="240" w:lineRule="auto"/>
        <w:ind w:firstLine="480"/>
        <w:rPr>
          <w:rFonts w:hint="eastAsia" w:ascii="宋体" w:hAnsi="宋体" w:cs="宋体"/>
          <w:color w:val="auto"/>
          <w:highlight w:val="none"/>
        </w:rPr>
      </w:pPr>
      <w:r>
        <w:rPr>
          <w:rFonts w:hint="eastAsia" w:ascii="宋体" w:hAnsi="宋体" w:cs="宋体"/>
          <w:color w:val="auto"/>
          <w:highlight w:val="none"/>
        </w:rPr>
        <w:t>1.时间：自发布公告之日至2025年</w:t>
      </w:r>
      <w:r>
        <w:rPr>
          <w:rFonts w:hint="eastAsia" w:ascii="宋体" w:hAnsi="宋体" w:cs="宋体"/>
          <w:color w:val="auto"/>
          <w:highlight w:val="none"/>
          <w:lang w:val="en-US" w:eastAsia="zh-CN"/>
        </w:rPr>
        <w:t>7</w:t>
      </w:r>
      <w:r>
        <w:rPr>
          <w:rFonts w:hint="eastAsia" w:ascii="宋体" w:hAnsi="宋体" w:cs="宋体"/>
          <w:color w:val="auto"/>
          <w:highlight w:val="none"/>
        </w:rPr>
        <w:t>月</w:t>
      </w:r>
      <w:r>
        <w:rPr>
          <w:rFonts w:hint="eastAsia" w:ascii="宋体" w:hAnsi="宋体" w:cs="宋体"/>
          <w:color w:val="auto"/>
          <w:highlight w:val="none"/>
          <w:lang w:val="en-US" w:eastAsia="zh-CN"/>
        </w:rPr>
        <w:t>17</w:t>
      </w:r>
      <w:r>
        <w:rPr>
          <w:rFonts w:hint="eastAsia" w:ascii="宋体" w:hAnsi="宋体" w:cs="宋体"/>
          <w:color w:val="auto"/>
          <w:highlight w:val="none"/>
        </w:rPr>
        <w:t>日，每天上午00:00至12:00，下午12:00至23:59（北京时间，线上获取法定节假日均可，线下获取文件法定节假日除外）</w:t>
      </w:r>
    </w:p>
    <w:p w14:paraId="2761DE63">
      <w:pPr>
        <w:pStyle w:val="36"/>
        <w:shd w:val="clear"/>
        <w:spacing w:line="240" w:lineRule="auto"/>
        <w:ind w:firstLine="480"/>
        <w:rPr>
          <w:rFonts w:hint="eastAsia" w:ascii="宋体" w:hAnsi="宋体" w:cs="宋体"/>
          <w:color w:val="auto"/>
          <w:highlight w:val="none"/>
        </w:rPr>
      </w:pPr>
      <w:r>
        <w:rPr>
          <w:rFonts w:hint="eastAsia" w:ascii="宋体" w:hAnsi="宋体" w:cs="宋体"/>
          <w:color w:val="auto"/>
          <w:highlight w:val="none"/>
        </w:rPr>
        <w:t>2.地点（网址）：浙江政府采购网-政府采购云平台，潜在投标人获取招标文件前应先完成“政府采购云平台”的账号注册。 </w:t>
      </w:r>
    </w:p>
    <w:p w14:paraId="709D531B">
      <w:pPr>
        <w:pStyle w:val="36"/>
        <w:shd w:val="clear"/>
        <w:spacing w:line="240" w:lineRule="auto"/>
        <w:ind w:firstLine="480"/>
        <w:rPr>
          <w:rFonts w:hint="eastAsia" w:ascii="宋体" w:hAnsi="宋体" w:cs="宋体"/>
          <w:color w:val="auto"/>
          <w:highlight w:val="none"/>
        </w:rPr>
      </w:pPr>
      <w:r>
        <w:rPr>
          <w:rFonts w:hint="eastAsia" w:ascii="宋体" w:hAnsi="宋体" w:cs="宋体"/>
          <w:color w:val="auto"/>
          <w:highlight w:val="none"/>
        </w:rPr>
        <w:t>3.方式：投标人通过网上在线获取，潜在投标人登录政府采购云平台，进入“项目采购”应用在“获取招标文件”菜单中选择项目后申请获取招标文件，招标文件在线获取，不提供纸质版招标文件。 </w:t>
      </w:r>
    </w:p>
    <w:p w14:paraId="5E8A1629">
      <w:pPr>
        <w:pStyle w:val="36"/>
        <w:shd w:val="clear"/>
        <w:spacing w:line="240" w:lineRule="auto"/>
        <w:ind w:firstLine="480"/>
        <w:rPr>
          <w:rFonts w:hint="eastAsia" w:ascii="宋体" w:hAnsi="宋体" w:cs="宋体"/>
          <w:color w:val="auto"/>
          <w:highlight w:val="none"/>
        </w:rPr>
      </w:pPr>
      <w:r>
        <w:rPr>
          <w:rFonts w:hint="eastAsia" w:ascii="宋体" w:hAnsi="宋体" w:cs="宋体"/>
          <w:color w:val="auto"/>
          <w:highlight w:val="none"/>
        </w:rPr>
        <w:t>4.售价(元):0</w:t>
      </w:r>
    </w:p>
    <w:bookmarkEnd w:id="101"/>
    <w:bookmarkEnd w:id="102"/>
    <w:bookmarkEnd w:id="103"/>
    <w:bookmarkEnd w:id="104"/>
    <w:bookmarkEnd w:id="105"/>
    <w:bookmarkEnd w:id="106"/>
    <w:bookmarkEnd w:id="107"/>
    <w:bookmarkEnd w:id="108"/>
    <w:bookmarkEnd w:id="109"/>
    <w:bookmarkEnd w:id="110"/>
    <w:p w14:paraId="72811DB3">
      <w:pPr>
        <w:pStyle w:val="36"/>
        <w:shd w:val="clear"/>
        <w:spacing w:line="240" w:lineRule="auto"/>
        <w:ind w:firstLine="482"/>
        <w:outlineLvl w:val="1"/>
        <w:rPr>
          <w:rFonts w:hint="eastAsia" w:ascii="宋体" w:hAnsi="宋体" w:cs="宋体"/>
          <w:b/>
          <w:bCs/>
          <w:color w:val="auto"/>
          <w:kern w:val="0"/>
          <w:highlight w:val="none"/>
        </w:rPr>
      </w:pPr>
      <w:bookmarkStart w:id="159" w:name="_Toc21445"/>
      <w:bookmarkStart w:id="160" w:name="_Toc13878"/>
      <w:bookmarkStart w:id="161" w:name="_Toc4059"/>
      <w:bookmarkStart w:id="162" w:name="_Toc22708"/>
      <w:bookmarkStart w:id="163" w:name="_Toc32302"/>
      <w:bookmarkStart w:id="164" w:name="_Toc15050"/>
      <w:bookmarkStart w:id="165" w:name="_Toc7389"/>
      <w:bookmarkStart w:id="166" w:name="_Toc16482"/>
      <w:bookmarkStart w:id="167" w:name="_Toc27528"/>
      <w:bookmarkStart w:id="168" w:name="_Toc9688"/>
      <w:bookmarkStart w:id="169" w:name="_Toc11537"/>
      <w:bookmarkStart w:id="170" w:name="_Toc32721"/>
      <w:bookmarkStart w:id="171" w:name="_Toc6776"/>
      <w:bookmarkStart w:id="172" w:name="_Toc32551"/>
      <w:r>
        <w:rPr>
          <w:rFonts w:hint="eastAsia" w:ascii="宋体" w:hAnsi="宋体" w:cs="宋体"/>
          <w:b/>
          <w:bCs/>
          <w:color w:val="auto"/>
          <w:kern w:val="0"/>
          <w:highlight w:val="none"/>
        </w:rPr>
        <w:t>四、提交投标文件截止时间、开标时间和地点</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5E5D5110">
      <w:pPr>
        <w:pStyle w:val="36"/>
        <w:shd w:val="clear"/>
        <w:spacing w:line="240" w:lineRule="auto"/>
        <w:ind w:firstLine="480"/>
        <w:rPr>
          <w:rFonts w:hint="eastAsia" w:ascii="宋体" w:hAnsi="宋体" w:cs="宋体"/>
          <w:color w:val="auto"/>
          <w:highlight w:val="none"/>
        </w:rPr>
      </w:pPr>
      <w:r>
        <w:rPr>
          <w:rFonts w:hint="eastAsia" w:ascii="宋体" w:hAnsi="宋体" w:cs="宋体"/>
          <w:color w:val="auto"/>
          <w:highlight w:val="none"/>
        </w:rPr>
        <w:t>1.提交投标文件截止时间：2025年</w:t>
      </w:r>
      <w:r>
        <w:rPr>
          <w:rFonts w:hint="eastAsia" w:ascii="宋体" w:hAnsi="宋体" w:cs="宋体"/>
          <w:color w:val="auto"/>
          <w:highlight w:val="none"/>
          <w:lang w:val="en-US" w:eastAsia="zh-CN"/>
        </w:rPr>
        <w:t>7</w:t>
      </w:r>
      <w:r>
        <w:rPr>
          <w:rFonts w:hint="eastAsia" w:ascii="宋体" w:hAnsi="宋体" w:cs="宋体"/>
          <w:color w:val="auto"/>
          <w:highlight w:val="none"/>
        </w:rPr>
        <w:t>月</w:t>
      </w:r>
      <w:r>
        <w:rPr>
          <w:rFonts w:hint="eastAsia" w:ascii="宋体" w:hAnsi="宋体" w:cs="宋体"/>
          <w:color w:val="auto"/>
          <w:highlight w:val="none"/>
          <w:lang w:val="en-US" w:eastAsia="zh-CN"/>
        </w:rPr>
        <w:t>17</w:t>
      </w:r>
      <w:r>
        <w:rPr>
          <w:rFonts w:hint="eastAsia" w:ascii="宋体" w:hAnsi="宋体" w:cs="宋体"/>
          <w:color w:val="auto"/>
          <w:highlight w:val="none"/>
        </w:rPr>
        <w:t>日9:30（北京时间）</w:t>
      </w:r>
    </w:p>
    <w:p w14:paraId="3CFBC886">
      <w:pPr>
        <w:pStyle w:val="36"/>
        <w:shd w:val="clear"/>
        <w:spacing w:line="240" w:lineRule="auto"/>
        <w:ind w:firstLine="480"/>
        <w:rPr>
          <w:rFonts w:hint="eastAsia" w:ascii="宋体" w:hAnsi="宋体" w:cs="宋体"/>
          <w:color w:val="auto"/>
          <w:highlight w:val="none"/>
        </w:rPr>
      </w:pPr>
      <w:r>
        <w:rPr>
          <w:rFonts w:hint="eastAsia" w:ascii="宋体" w:hAnsi="宋体" w:cs="宋体"/>
          <w:color w:val="auto"/>
          <w:highlight w:val="none"/>
        </w:rPr>
        <w:t>2.投标地点（网址）：政采云平台。 </w:t>
      </w:r>
    </w:p>
    <w:p w14:paraId="2248A43C">
      <w:pPr>
        <w:pStyle w:val="36"/>
        <w:shd w:val="clear"/>
        <w:spacing w:line="240" w:lineRule="auto"/>
        <w:ind w:firstLine="480"/>
        <w:rPr>
          <w:rFonts w:hint="eastAsia" w:ascii="宋体" w:hAnsi="宋体" w:cs="宋体"/>
          <w:color w:val="auto"/>
          <w:highlight w:val="none"/>
        </w:rPr>
      </w:pPr>
      <w:r>
        <w:rPr>
          <w:rFonts w:hint="eastAsia" w:ascii="宋体" w:hAnsi="宋体" w:cs="宋体"/>
          <w:color w:val="auto"/>
          <w:highlight w:val="none"/>
        </w:rPr>
        <w:t>3.开标时间：2025年</w:t>
      </w:r>
      <w:r>
        <w:rPr>
          <w:rFonts w:hint="eastAsia" w:ascii="宋体" w:hAnsi="宋体" w:cs="宋体"/>
          <w:color w:val="auto"/>
          <w:highlight w:val="none"/>
          <w:lang w:val="en-US" w:eastAsia="zh-CN"/>
        </w:rPr>
        <w:t>7</w:t>
      </w:r>
      <w:r>
        <w:rPr>
          <w:rFonts w:hint="eastAsia" w:ascii="宋体" w:hAnsi="宋体" w:cs="宋体"/>
          <w:color w:val="auto"/>
          <w:highlight w:val="none"/>
        </w:rPr>
        <w:t>月</w:t>
      </w:r>
      <w:r>
        <w:rPr>
          <w:rFonts w:hint="eastAsia" w:ascii="宋体" w:hAnsi="宋体" w:cs="宋体"/>
          <w:color w:val="auto"/>
          <w:highlight w:val="none"/>
          <w:lang w:val="en-US" w:eastAsia="zh-CN"/>
        </w:rPr>
        <w:t>17</w:t>
      </w:r>
      <w:r>
        <w:rPr>
          <w:rFonts w:hint="eastAsia" w:ascii="宋体" w:hAnsi="宋体" w:cs="宋体"/>
          <w:color w:val="auto"/>
          <w:highlight w:val="none"/>
        </w:rPr>
        <w:t>日9:30（北京时间）</w:t>
      </w:r>
    </w:p>
    <w:p w14:paraId="57D14652">
      <w:pPr>
        <w:pStyle w:val="36"/>
        <w:shd w:val="clear"/>
        <w:spacing w:line="240" w:lineRule="auto"/>
        <w:ind w:firstLine="480"/>
        <w:rPr>
          <w:rFonts w:hint="eastAsia" w:ascii="宋体" w:hAnsi="宋体" w:cs="宋体"/>
          <w:color w:val="auto"/>
          <w:highlight w:val="none"/>
        </w:rPr>
      </w:pPr>
      <w:r>
        <w:rPr>
          <w:rFonts w:hint="eastAsia" w:ascii="宋体" w:hAnsi="宋体" w:cs="宋体"/>
          <w:color w:val="auto"/>
          <w:highlight w:val="none"/>
        </w:rPr>
        <w:t>4.开标地点（网址）：政采云平台。 </w:t>
      </w:r>
    </w:p>
    <w:p w14:paraId="12839E4B">
      <w:pPr>
        <w:pStyle w:val="36"/>
        <w:shd w:val="clear"/>
        <w:spacing w:line="240" w:lineRule="auto"/>
        <w:ind w:firstLine="482"/>
        <w:outlineLvl w:val="1"/>
        <w:rPr>
          <w:rFonts w:hint="eastAsia" w:ascii="宋体" w:hAnsi="宋体" w:cs="宋体"/>
          <w:b/>
          <w:bCs/>
          <w:color w:val="auto"/>
          <w:kern w:val="0"/>
          <w:highlight w:val="none"/>
        </w:rPr>
      </w:pPr>
      <w:bookmarkStart w:id="173" w:name="_Toc26692"/>
      <w:bookmarkStart w:id="174" w:name="_Toc27720"/>
      <w:bookmarkStart w:id="175" w:name="_Toc991"/>
      <w:bookmarkStart w:id="176" w:name="_Toc28043"/>
      <w:bookmarkStart w:id="177" w:name="_Toc29895"/>
      <w:bookmarkStart w:id="178" w:name="_Toc13272"/>
      <w:bookmarkStart w:id="179" w:name="_Toc2802"/>
      <w:bookmarkStart w:id="180" w:name="_Toc1443"/>
      <w:bookmarkStart w:id="181" w:name="_Toc5075"/>
      <w:bookmarkStart w:id="182" w:name="_Toc7677"/>
      <w:bookmarkStart w:id="183" w:name="_Toc8046"/>
      <w:bookmarkStart w:id="184" w:name="_Toc27382"/>
      <w:bookmarkStart w:id="185" w:name="_Toc31888"/>
      <w:bookmarkStart w:id="186" w:name="_Toc30033"/>
      <w:bookmarkStart w:id="187" w:name="_Toc10256"/>
      <w:r>
        <w:rPr>
          <w:rFonts w:hint="eastAsia" w:ascii="宋体" w:hAnsi="宋体" w:cs="宋体"/>
          <w:b/>
          <w:bCs/>
          <w:color w:val="auto"/>
          <w:kern w:val="0"/>
          <w:highlight w:val="none"/>
        </w:rPr>
        <w:t>五、公告期限 </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5E5C694D">
      <w:pPr>
        <w:pStyle w:val="36"/>
        <w:shd w:val="clear"/>
        <w:spacing w:line="240" w:lineRule="auto"/>
        <w:ind w:firstLine="480"/>
        <w:rPr>
          <w:rFonts w:hint="eastAsia" w:ascii="宋体" w:hAnsi="宋体" w:cs="宋体"/>
          <w:color w:val="auto"/>
          <w:highlight w:val="none"/>
        </w:rPr>
      </w:pPr>
      <w:r>
        <w:rPr>
          <w:rFonts w:hint="eastAsia" w:ascii="宋体" w:hAnsi="宋体" w:cs="宋体"/>
          <w:color w:val="auto"/>
          <w:highlight w:val="none"/>
        </w:rPr>
        <w:t>自本公告发布之日起5个工作日。</w:t>
      </w:r>
    </w:p>
    <w:p w14:paraId="1A40A8CF">
      <w:pPr>
        <w:pStyle w:val="36"/>
        <w:shd w:val="clear"/>
        <w:spacing w:line="240" w:lineRule="auto"/>
        <w:ind w:firstLine="482"/>
        <w:outlineLvl w:val="1"/>
        <w:rPr>
          <w:rFonts w:hint="eastAsia" w:ascii="宋体" w:hAnsi="宋体" w:cs="宋体"/>
          <w:b/>
          <w:bCs/>
          <w:color w:val="auto"/>
          <w:kern w:val="0"/>
          <w:highlight w:val="none"/>
        </w:rPr>
      </w:pPr>
      <w:bookmarkStart w:id="188" w:name="_Toc2405"/>
      <w:bookmarkStart w:id="189" w:name="_Toc31952"/>
      <w:bookmarkStart w:id="190" w:name="_Toc11037"/>
      <w:bookmarkStart w:id="191" w:name="_Toc30328"/>
      <w:bookmarkStart w:id="192" w:name="_Toc26135"/>
      <w:bookmarkStart w:id="193" w:name="_Toc2735"/>
      <w:bookmarkStart w:id="194" w:name="_Toc27361"/>
      <w:bookmarkStart w:id="195" w:name="_Toc30043"/>
      <w:bookmarkStart w:id="196" w:name="_Toc29471"/>
      <w:bookmarkStart w:id="197" w:name="_Toc26403"/>
      <w:bookmarkStart w:id="198" w:name="_Toc27247"/>
      <w:bookmarkStart w:id="199" w:name="_Toc28141"/>
      <w:bookmarkStart w:id="200" w:name="_Toc7130"/>
      <w:bookmarkStart w:id="201" w:name="_Toc27918"/>
      <w:bookmarkStart w:id="202" w:name="_Toc29933"/>
      <w:r>
        <w:rPr>
          <w:rFonts w:hint="eastAsia" w:ascii="宋体" w:hAnsi="宋体" w:cs="宋体"/>
          <w:b/>
          <w:bCs/>
          <w:color w:val="auto"/>
          <w:kern w:val="0"/>
          <w:highlight w:val="none"/>
        </w:rPr>
        <w:t>六、其他补充事宜</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3D98CE03">
      <w:pPr>
        <w:shd w:val="clear"/>
        <w:tabs>
          <w:tab w:val="left" w:pos="5940"/>
        </w:tabs>
        <w:spacing w:line="240" w:lineRule="auto"/>
        <w:ind w:firstLine="480"/>
        <w:jc w:val="left"/>
        <w:rPr>
          <w:rFonts w:hint="eastAsia" w:ascii="宋体" w:hAnsi="宋体" w:cs="宋体"/>
          <w:color w:val="auto"/>
          <w:highlight w:val="none"/>
          <w:lang w:val="zh-CN"/>
        </w:rPr>
      </w:pPr>
      <w:r>
        <w:rPr>
          <w:rFonts w:hint="eastAsia" w:ascii="宋体" w:hAnsi="宋体" w:cs="宋体"/>
          <w:color w:val="auto"/>
          <w:highlight w:val="none"/>
          <w:lang w:val="zh-CN"/>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2A242780">
      <w:pPr>
        <w:shd w:val="clear"/>
        <w:tabs>
          <w:tab w:val="left" w:pos="5940"/>
        </w:tabs>
        <w:spacing w:line="240" w:lineRule="auto"/>
        <w:ind w:firstLine="480"/>
        <w:jc w:val="left"/>
        <w:rPr>
          <w:rFonts w:hint="eastAsia" w:ascii="宋体" w:hAnsi="宋体" w:cs="宋体"/>
          <w:color w:val="auto"/>
          <w:highlight w:val="none"/>
          <w:lang w:val="zh-CN"/>
        </w:rPr>
      </w:pPr>
      <w:r>
        <w:rPr>
          <w:rFonts w:hint="eastAsia" w:ascii="宋体" w:hAnsi="宋体" w:cs="宋体"/>
          <w:color w:val="auto"/>
          <w:highlight w:val="none"/>
          <w:lang w:val="zh-CN"/>
        </w:rPr>
        <w:t>2.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府服务网-政府采购投诉处理-在线办理。</w:t>
      </w:r>
    </w:p>
    <w:p w14:paraId="480C2E3E">
      <w:pPr>
        <w:shd w:val="clear"/>
        <w:tabs>
          <w:tab w:val="left" w:pos="5940"/>
        </w:tabs>
        <w:spacing w:line="240" w:lineRule="auto"/>
        <w:ind w:firstLine="480"/>
        <w:jc w:val="left"/>
        <w:rPr>
          <w:rFonts w:hint="eastAsia" w:ascii="宋体" w:hAnsi="宋体" w:cs="宋体"/>
          <w:color w:val="auto"/>
          <w:highlight w:val="none"/>
          <w:lang w:val="zh-CN"/>
        </w:rPr>
      </w:pPr>
      <w:r>
        <w:rPr>
          <w:rFonts w:hint="eastAsia" w:ascii="宋体" w:hAnsi="宋体" w:cs="宋体"/>
          <w:color w:val="auto"/>
          <w:highlight w:val="none"/>
          <w:lang w:val="zh-CN"/>
        </w:rPr>
        <w:t>3.投标人认为招标文件使自己的权益受到损害的，可以自获取招标文件之日或者采购公告期限届满之日（公告期限届满后获取招标文件的，以公告期限届满之日为准）起7个工作日内，对招标文件需求的以书面形式向采购人提出质疑，对其他内容的以书面形式向采购人和采购代理机构提出质疑。质疑投标人对采购人、采购代理机构的答复不满意或者采购人、采购代理机构未在规定的时间内作出答复的，可以在答复期满后</w:t>
      </w:r>
      <w:r>
        <w:rPr>
          <w:rFonts w:hint="eastAsia" w:ascii="宋体" w:hAnsi="宋体" w:cs="宋体"/>
          <w:color w:val="auto"/>
          <w:highlight w:val="none"/>
        </w:rPr>
        <w:t>15</w:t>
      </w:r>
      <w:r>
        <w:rPr>
          <w:rFonts w:hint="eastAsia" w:ascii="宋体" w:hAnsi="宋体" w:cs="宋体"/>
          <w:color w:val="auto"/>
          <w:highlight w:val="none"/>
          <w:lang w:val="zh-CN"/>
        </w:rPr>
        <w:t>个工作日内向同级政府采购监督管理部门投诉。质疑函范本、投诉书范本请到浙江政府采购网下载专区下载。</w:t>
      </w:r>
    </w:p>
    <w:p w14:paraId="1656EB13">
      <w:pPr>
        <w:shd w:val="clear"/>
        <w:tabs>
          <w:tab w:val="left" w:pos="5940"/>
        </w:tabs>
        <w:spacing w:line="240" w:lineRule="auto"/>
        <w:ind w:firstLine="480"/>
        <w:jc w:val="left"/>
        <w:rPr>
          <w:rFonts w:hint="eastAsia" w:ascii="宋体" w:hAnsi="宋体" w:cs="宋体"/>
          <w:color w:val="auto"/>
          <w:highlight w:val="none"/>
          <w:lang w:val="zh-CN"/>
        </w:rPr>
      </w:pPr>
      <w:r>
        <w:rPr>
          <w:rFonts w:hint="eastAsia" w:ascii="宋体" w:hAnsi="宋体" w:cs="宋体"/>
          <w:color w:val="auto"/>
          <w:highlight w:val="none"/>
          <w:lang w:val="zh-CN"/>
        </w:rPr>
        <w:t>4.其他事项：</w:t>
      </w:r>
      <w:bookmarkStart w:id="203" w:name="OLE_LINK87"/>
      <w:r>
        <w:rPr>
          <w:rFonts w:hint="eastAsia" w:ascii="宋体" w:hAnsi="宋体" w:cs="宋体"/>
          <w:color w:val="auto"/>
          <w:highlight w:val="none"/>
          <w:lang w:val="zh-CN"/>
        </w:rPr>
        <w:t>为支持和促进中小企业发展，有需要的</w:t>
      </w:r>
      <w:r>
        <w:rPr>
          <w:rFonts w:hint="eastAsia" w:ascii="宋体" w:hAnsi="宋体" w:cs="宋体"/>
          <w:color w:val="auto"/>
          <w:highlight w:val="none"/>
        </w:rPr>
        <w:t>投标人</w:t>
      </w:r>
      <w:r>
        <w:rPr>
          <w:rFonts w:hint="eastAsia" w:ascii="宋体" w:hAnsi="宋体" w:cs="宋体"/>
          <w:color w:val="auto"/>
          <w:highlight w:val="none"/>
          <w:lang w:val="zh-CN"/>
        </w:rPr>
        <w:t>可根据需要申请办理政府采购合同贷款（以下简称“政采贷”），具体要求、条件和操作教程可通过政采云首页右上角—网站导航—金融服务查看，也可拨打政采云客服热线95763咨询，或向各地已开通政采贷的银行咨询办理。</w:t>
      </w:r>
    </w:p>
    <w:p w14:paraId="1F84F69F">
      <w:pPr>
        <w:shd w:val="clear"/>
        <w:tabs>
          <w:tab w:val="left" w:pos="5940"/>
        </w:tabs>
        <w:spacing w:line="240" w:lineRule="auto"/>
        <w:ind w:firstLine="480"/>
        <w:jc w:val="left"/>
        <w:rPr>
          <w:rFonts w:hint="eastAsia" w:ascii="宋体" w:hAnsi="宋体" w:cs="宋体"/>
          <w:color w:val="auto"/>
          <w:highlight w:val="none"/>
          <w:lang w:val="zh-CN"/>
        </w:rPr>
      </w:pPr>
      <w:r>
        <w:rPr>
          <w:rFonts w:hint="eastAsia" w:ascii="宋体" w:hAnsi="宋体" w:cs="宋体"/>
          <w:color w:val="auto"/>
          <w:highlight w:val="none"/>
          <w:lang w:val="zh-CN"/>
        </w:rPr>
        <w:t>5.根据《浙江省财政厅关于明确政府采购保证金管理工作的通知》(浙财采监〔2019〕5号)规定“投标人在政府采购活动中违反政府采购相关规定给采购</w:t>
      </w:r>
      <w:r>
        <w:rPr>
          <w:rFonts w:hint="eastAsia" w:ascii="宋体" w:hAnsi="宋体" w:cs="宋体"/>
          <w:color w:val="auto"/>
          <w:highlight w:val="none"/>
        </w:rPr>
        <w:t>代理</w:t>
      </w:r>
      <w:r>
        <w:rPr>
          <w:rFonts w:hint="eastAsia" w:ascii="宋体" w:hAnsi="宋体" w:cs="宋体"/>
          <w:color w:val="auto"/>
          <w:highlight w:val="none"/>
          <w:lang w:val="zh-CN"/>
        </w:rPr>
        <w:t>机构造成损失的，要求其承担代理费和专家评审费等费用”。</w:t>
      </w:r>
    </w:p>
    <w:p w14:paraId="4AF5E683">
      <w:pPr>
        <w:shd w:val="clear"/>
        <w:tabs>
          <w:tab w:val="left" w:pos="5940"/>
        </w:tabs>
        <w:spacing w:line="240" w:lineRule="auto"/>
        <w:ind w:firstLine="480"/>
        <w:jc w:val="left"/>
        <w:rPr>
          <w:rFonts w:hint="eastAsia" w:ascii="宋体" w:hAnsi="宋体" w:cs="宋体"/>
          <w:color w:val="auto"/>
          <w:highlight w:val="none"/>
        </w:rPr>
      </w:pPr>
      <w:r>
        <w:rPr>
          <w:rFonts w:hint="eastAsia" w:ascii="宋体" w:hAnsi="宋体" w:cs="宋体"/>
          <w:color w:val="auto"/>
          <w:highlight w:val="none"/>
          <w:lang w:val="zh-CN"/>
        </w:rPr>
        <w:t>公告未显示完全内容详见</w:t>
      </w:r>
      <w:r>
        <w:rPr>
          <w:rFonts w:hint="eastAsia" w:ascii="宋体" w:hAnsi="宋体" w:cs="宋体"/>
          <w:color w:val="auto"/>
          <w:highlight w:val="none"/>
        </w:rPr>
        <w:t>招标</w:t>
      </w:r>
      <w:r>
        <w:rPr>
          <w:rFonts w:hint="eastAsia" w:ascii="宋体" w:hAnsi="宋体" w:cs="宋体"/>
          <w:color w:val="auto"/>
          <w:highlight w:val="none"/>
          <w:lang w:val="zh-CN"/>
        </w:rPr>
        <w:t>文件“投标须知前附表及投标须知”。</w:t>
      </w:r>
      <w:r>
        <w:rPr>
          <w:rFonts w:hint="eastAsia" w:ascii="宋体" w:hAnsi="宋体" w:cs="宋体"/>
          <w:color w:val="auto"/>
          <w:highlight w:val="none"/>
        </w:rPr>
        <w:t> </w:t>
      </w:r>
    </w:p>
    <w:bookmarkEnd w:id="203"/>
    <w:p w14:paraId="569904A2">
      <w:pPr>
        <w:pStyle w:val="36"/>
        <w:shd w:val="clear"/>
        <w:spacing w:line="240" w:lineRule="auto"/>
        <w:ind w:firstLine="482"/>
        <w:outlineLvl w:val="1"/>
        <w:rPr>
          <w:rFonts w:hint="eastAsia" w:ascii="宋体" w:hAnsi="宋体" w:cs="宋体"/>
          <w:b/>
          <w:bCs/>
          <w:color w:val="auto"/>
          <w:kern w:val="0"/>
          <w:highlight w:val="none"/>
        </w:rPr>
      </w:pPr>
      <w:bookmarkStart w:id="204" w:name="_Toc13970"/>
      <w:bookmarkStart w:id="205" w:name="_Toc19905"/>
      <w:bookmarkStart w:id="206" w:name="_Toc16794"/>
      <w:bookmarkStart w:id="207" w:name="_Toc10044"/>
      <w:bookmarkStart w:id="208" w:name="_Toc17620"/>
      <w:bookmarkStart w:id="209" w:name="_Toc20421"/>
      <w:bookmarkStart w:id="210" w:name="_Toc12410"/>
      <w:bookmarkStart w:id="211" w:name="_Toc643"/>
      <w:bookmarkStart w:id="212" w:name="_Toc6207"/>
      <w:bookmarkStart w:id="213" w:name="_Toc12201"/>
      <w:bookmarkStart w:id="214" w:name="_Toc8489"/>
      <w:bookmarkStart w:id="215" w:name="_Toc18772"/>
      <w:bookmarkStart w:id="216" w:name="_Toc6754"/>
      <w:bookmarkStart w:id="217" w:name="_Toc31967"/>
      <w:bookmarkStart w:id="218" w:name="_Toc16310"/>
      <w:r>
        <w:rPr>
          <w:rFonts w:hint="eastAsia" w:ascii="宋体" w:hAnsi="宋体" w:cs="宋体"/>
          <w:b/>
          <w:bCs/>
          <w:color w:val="auto"/>
          <w:kern w:val="0"/>
          <w:highlight w:val="none"/>
        </w:rPr>
        <w:t>七、对本次采购提出询问、质疑、投诉，请按以下方式联系</w:t>
      </w:r>
      <w:bookmarkEnd w:id="111"/>
      <w:bookmarkEnd w:id="112"/>
      <w:bookmarkEnd w:id="113"/>
      <w:bookmarkEnd w:id="114"/>
      <w:bookmarkEnd w:id="115"/>
      <w:bookmarkEnd w:id="116"/>
      <w:bookmarkEnd w:id="117"/>
      <w:bookmarkEnd w:id="118"/>
      <w:bookmarkEnd w:id="119"/>
      <w:bookmarkEnd w:id="120"/>
      <w:bookmarkEnd w:id="121"/>
      <w:bookmarkEnd w:id="12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Start w:id="219" w:name="_Toc2216"/>
      <w:bookmarkStart w:id="220" w:name="_Toc11719"/>
      <w:bookmarkStart w:id="221" w:name="_Toc13472"/>
      <w:bookmarkStart w:id="222" w:name="_Toc25229"/>
      <w:bookmarkStart w:id="223" w:name="_Toc11066"/>
      <w:bookmarkStart w:id="224" w:name="_Toc23858"/>
      <w:bookmarkStart w:id="225" w:name="_Toc26850"/>
    </w:p>
    <w:bookmarkEnd w:id="219"/>
    <w:bookmarkEnd w:id="220"/>
    <w:bookmarkEnd w:id="221"/>
    <w:bookmarkEnd w:id="222"/>
    <w:bookmarkEnd w:id="223"/>
    <w:bookmarkEnd w:id="224"/>
    <w:bookmarkEnd w:id="225"/>
    <w:p w14:paraId="47539AE9">
      <w:pPr>
        <w:numPr>
          <w:ilvl w:val="0"/>
          <w:numId w:val="3"/>
        </w:numPr>
        <w:shd w:val="clear"/>
        <w:spacing w:line="240" w:lineRule="auto"/>
        <w:ind w:left="0" w:firstLine="480"/>
        <w:outlineLvl w:val="2"/>
        <w:rPr>
          <w:rFonts w:hint="eastAsia" w:ascii="宋体" w:hAnsi="宋体" w:cs="宋体"/>
          <w:color w:val="auto"/>
          <w:highlight w:val="none"/>
        </w:rPr>
      </w:pPr>
      <w:bookmarkStart w:id="226" w:name="_Toc5085"/>
      <w:bookmarkStart w:id="227" w:name="_Toc22400"/>
      <w:bookmarkStart w:id="228" w:name="_Toc16275"/>
      <w:bookmarkStart w:id="229" w:name="_Toc28598"/>
      <w:bookmarkStart w:id="230" w:name="_Toc342"/>
      <w:bookmarkStart w:id="231" w:name="_Toc22236"/>
      <w:bookmarkStart w:id="232" w:name="_Toc4772"/>
      <w:bookmarkStart w:id="233" w:name="_Toc13440"/>
      <w:r>
        <w:rPr>
          <w:rFonts w:hint="eastAsia" w:ascii="宋体" w:hAnsi="宋体" w:cs="宋体"/>
          <w:color w:val="auto"/>
          <w:highlight w:val="none"/>
        </w:rPr>
        <w:t>采购人信息</w:t>
      </w:r>
      <w:bookmarkEnd w:id="226"/>
    </w:p>
    <w:p w14:paraId="6D6AB13C">
      <w:pPr>
        <w:shd w:val="clear"/>
        <w:spacing w:line="240" w:lineRule="auto"/>
        <w:ind w:firstLine="480"/>
        <w:outlineLvl w:val="2"/>
        <w:rPr>
          <w:rFonts w:hint="eastAsia" w:ascii="宋体" w:hAnsi="宋体" w:cs="宋体"/>
          <w:color w:val="auto"/>
          <w:highlight w:val="none"/>
        </w:rPr>
      </w:pPr>
      <w:r>
        <w:rPr>
          <w:rFonts w:hint="eastAsia" w:ascii="宋体" w:hAnsi="宋体" w:cs="宋体"/>
          <w:color w:val="auto"/>
          <w:highlight w:val="none"/>
        </w:rPr>
        <w:t>名称：</w:t>
      </w:r>
      <w:r>
        <w:rPr>
          <w:rFonts w:hint="eastAsia" w:ascii="宋体" w:hAnsi="宋体" w:cs="宋体"/>
          <w:color w:val="auto"/>
          <w:highlight w:val="none"/>
          <w:lang w:eastAsia="zh-CN"/>
        </w:rPr>
        <w:t>龙游县东华街道办事处</w:t>
      </w:r>
      <w:r>
        <w:rPr>
          <w:rFonts w:hint="eastAsia" w:ascii="宋体" w:hAnsi="宋体" w:cs="宋体"/>
          <w:color w:val="auto"/>
          <w:highlight w:val="none"/>
        </w:rPr>
        <w:t xml:space="preserve">  </w:t>
      </w:r>
    </w:p>
    <w:p w14:paraId="1BBE4DF7">
      <w:pPr>
        <w:shd w:val="clear"/>
        <w:spacing w:line="240" w:lineRule="auto"/>
        <w:ind w:firstLine="480"/>
        <w:outlineLvl w:val="2"/>
        <w:rPr>
          <w:rFonts w:hint="eastAsia" w:ascii="宋体" w:hAnsi="宋体" w:cs="宋体"/>
          <w:color w:val="auto"/>
          <w:highlight w:val="none"/>
        </w:rPr>
      </w:pPr>
      <w:bookmarkStart w:id="234" w:name="_Toc19471"/>
      <w:bookmarkStart w:id="235" w:name="_Toc24852"/>
      <w:bookmarkStart w:id="236" w:name="_Toc10932"/>
      <w:bookmarkStart w:id="237" w:name="_Toc12166"/>
      <w:bookmarkStart w:id="238" w:name="_Toc18967"/>
      <w:bookmarkStart w:id="239" w:name="_Toc13155"/>
      <w:bookmarkStart w:id="240" w:name="_Toc31955"/>
      <w:bookmarkStart w:id="241" w:name="_Toc30487"/>
      <w:bookmarkStart w:id="242" w:name="_Toc19721"/>
      <w:bookmarkStart w:id="243" w:name="_Toc14996"/>
      <w:bookmarkStart w:id="244" w:name="_Toc19749"/>
      <w:r>
        <w:rPr>
          <w:rFonts w:hint="eastAsia" w:ascii="宋体" w:hAnsi="宋体" w:cs="宋体"/>
          <w:color w:val="auto"/>
          <w:highlight w:val="none"/>
        </w:rPr>
        <w:t>地址：</w:t>
      </w:r>
      <w:r>
        <w:rPr>
          <w:rFonts w:hint="eastAsia" w:ascii="宋体" w:hAnsi="宋体" w:cs="宋体"/>
          <w:color w:val="auto"/>
          <w:highlight w:val="none"/>
          <w:lang w:eastAsia="zh-CN"/>
        </w:rPr>
        <w:t>龙游县开发大道与城南路交汇处</w:t>
      </w:r>
    </w:p>
    <w:p w14:paraId="729A6BE2">
      <w:pPr>
        <w:shd w:val="clear"/>
        <w:spacing w:line="240" w:lineRule="auto"/>
        <w:ind w:firstLine="480"/>
        <w:outlineLvl w:val="2"/>
        <w:rPr>
          <w:rFonts w:hint="eastAsia" w:ascii="宋体" w:hAnsi="宋体" w:eastAsia="宋体" w:cs="宋体"/>
          <w:color w:val="auto"/>
          <w:highlight w:val="none"/>
          <w:lang w:eastAsia="zh-CN"/>
        </w:rPr>
      </w:pPr>
      <w:r>
        <w:rPr>
          <w:rFonts w:hint="eastAsia" w:ascii="宋体" w:hAnsi="宋体" w:cs="宋体"/>
          <w:color w:val="auto"/>
          <w:highlight w:val="none"/>
        </w:rPr>
        <w:t>联系人（询问）：</w:t>
      </w:r>
      <w:r>
        <w:rPr>
          <w:rFonts w:hint="eastAsia" w:ascii="宋体" w:hAnsi="宋体" w:cs="宋体"/>
          <w:color w:val="auto"/>
          <w:highlight w:val="none"/>
          <w:lang w:eastAsia="zh-CN"/>
        </w:rPr>
        <w:t>雷先生</w:t>
      </w:r>
    </w:p>
    <w:p w14:paraId="2929BDD5">
      <w:pPr>
        <w:shd w:val="clear"/>
        <w:spacing w:line="240" w:lineRule="auto"/>
        <w:ind w:firstLine="480"/>
        <w:outlineLvl w:val="2"/>
        <w:rPr>
          <w:rFonts w:hint="eastAsia" w:ascii="宋体" w:hAnsi="宋体" w:eastAsia="宋体" w:cs="宋体"/>
          <w:color w:val="auto"/>
          <w:highlight w:val="none"/>
          <w:lang w:eastAsia="zh-CN"/>
        </w:rPr>
      </w:pPr>
      <w:r>
        <w:rPr>
          <w:rFonts w:hint="eastAsia" w:ascii="宋体" w:hAnsi="宋体" w:cs="宋体"/>
          <w:color w:val="auto"/>
          <w:highlight w:val="none"/>
        </w:rPr>
        <w:t>项目联系方式（询问）：</w:t>
      </w:r>
      <w:r>
        <w:rPr>
          <w:rFonts w:hint="eastAsia" w:ascii="宋体" w:hAnsi="宋体" w:cs="宋体"/>
          <w:color w:val="auto"/>
          <w:highlight w:val="none"/>
          <w:lang w:eastAsia="zh-CN"/>
        </w:rPr>
        <w:t xml:space="preserve">0570-7255220 </w:t>
      </w:r>
    </w:p>
    <w:p w14:paraId="41644A41">
      <w:pPr>
        <w:shd w:val="clear"/>
        <w:spacing w:line="240" w:lineRule="auto"/>
        <w:ind w:firstLine="480"/>
        <w:outlineLvl w:val="2"/>
        <w:rPr>
          <w:rFonts w:hint="eastAsia" w:ascii="宋体" w:hAnsi="宋体" w:eastAsia="宋体" w:cs="宋体"/>
          <w:color w:val="auto"/>
          <w:highlight w:val="none"/>
          <w:lang w:eastAsia="zh-CN"/>
        </w:rPr>
      </w:pPr>
      <w:r>
        <w:rPr>
          <w:rFonts w:hint="eastAsia" w:ascii="宋体" w:hAnsi="宋体" w:cs="宋体"/>
          <w:color w:val="auto"/>
          <w:highlight w:val="none"/>
        </w:rPr>
        <w:t>质疑联系人：</w:t>
      </w:r>
      <w:bookmarkStart w:id="245" w:name="OLE_LINK31"/>
      <w:r>
        <w:rPr>
          <w:rFonts w:hint="eastAsia" w:ascii="宋体" w:hAnsi="宋体" w:cs="宋体"/>
          <w:color w:val="auto"/>
          <w:highlight w:val="none"/>
          <w:lang w:eastAsia="zh-CN"/>
        </w:rPr>
        <w:t>雷先生</w:t>
      </w:r>
    </w:p>
    <w:bookmarkEnd w:id="245"/>
    <w:p w14:paraId="3F816A18">
      <w:pPr>
        <w:shd w:val="clear"/>
        <w:spacing w:line="240" w:lineRule="auto"/>
        <w:ind w:firstLine="480"/>
        <w:outlineLvl w:val="2"/>
        <w:rPr>
          <w:rFonts w:hint="eastAsia" w:ascii="宋体" w:hAnsi="宋体" w:eastAsia="宋体" w:cs="宋体"/>
          <w:color w:val="auto"/>
          <w:highlight w:val="none"/>
          <w:lang w:eastAsia="zh-CN"/>
        </w:rPr>
      </w:pPr>
      <w:r>
        <w:rPr>
          <w:rFonts w:hint="eastAsia" w:ascii="宋体" w:hAnsi="宋体" w:cs="宋体"/>
          <w:color w:val="auto"/>
          <w:highlight w:val="none"/>
        </w:rPr>
        <w:t>质疑联系方式：</w:t>
      </w:r>
      <w:r>
        <w:rPr>
          <w:rFonts w:hint="eastAsia" w:ascii="宋体" w:hAnsi="宋体" w:cs="宋体"/>
          <w:color w:val="auto"/>
          <w:highlight w:val="none"/>
          <w:lang w:eastAsia="zh-CN"/>
        </w:rPr>
        <w:t xml:space="preserve">0570-7255220 </w:t>
      </w:r>
    </w:p>
    <w:p w14:paraId="62CFE353">
      <w:pPr>
        <w:numPr>
          <w:ilvl w:val="255"/>
          <w:numId w:val="0"/>
        </w:numPr>
        <w:shd w:val="clear"/>
        <w:spacing w:line="240" w:lineRule="auto"/>
        <w:ind w:left="480" w:leftChars="200"/>
        <w:outlineLvl w:val="2"/>
        <w:rPr>
          <w:rFonts w:hint="eastAsia" w:ascii="宋体" w:hAnsi="宋体" w:cs="宋体"/>
          <w:color w:val="auto"/>
          <w:highlight w:val="none"/>
        </w:rPr>
      </w:pPr>
      <w:bookmarkStart w:id="246" w:name="_Toc25693"/>
    </w:p>
    <w:p w14:paraId="5C50C15D">
      <w:pPr>
        <w:numPr>
          <w:ilvl w:val="0"/>
          <w:numId w:val="3"/>
        </w:numPr>
        <w:shd w:val="clear"/>
        <w:spacing w:line="240" w:lineRule="auto"/>
        <w:ind w:left="0" w:firstLine="480"/>
        <w:outlineLvl w:val="2"/>
        <w:rPr>
          <w:rFonts w:hint="eastAsia" w:ascii="宋体" w:hAnsi="宋体" w:cs="宋体"/>
          <w:color w:val="auto"/>
          <w:highlight w:val="none"/>
        </w:rPr>
      </w:pPr>
      <w:r>
        <w:rPr>
          <w:rFonts w:hint="eastAsia" w:ascii="宋体" w:hAnsi="宋体" w:cs="宋体"/>
          <w:color w:val="auto"/>
          <w:highlight w:val="none"/>
        </w:rPr>
        <w:t>采购代理机构信息</w:t>
      </w:r>
    </w:p>
    <w:p w14:paraId="2117014D">
      <w:pPr>
        <w:shd w:val="clear"/>
        <w:spacing w:line="240" w:lineRule="auto"/>
        <w:ind w:firstLine="480"/>
        <w:outlineLvl w:val="2"/>
        <w:rPr>
          <w:rFonts w:hint="eastAsia" w:ascii="宋体" w:hAnsi="宋体" w:cs="宋体"/>
          <w:color w:val="auto"/>
          <w:highlight w:val="none"/>
        </w:rPr>
      </w:pPr>
      <w:r>
        <w:rPr>
          <w:rFonts w:hint="eastAsia" w:ascii="宋体" w:hAnsi="宋体" w:cs="宋体"/>
          <w:color w:val="auto"/>
          <w:highlight w:val="none"/>
        </w:rPr>
        <w:t>名称：</w:t>
      </w:r>
      <w:bookmarkEnd w:id="234"/>
      <w:bookmarkEnd w:id="235"/>
      <w:bookmarkEnd w:id="236"/>
      <w:bookmarkEnd w:id="237"/>
      <w:bookmarkEnd w:id="238"/>
      <w:bookmarkEnd w:id="239"/>
      <w:bookmarkEnd w:id="240"/>
      <w:bookmarkEnd w:id="241"/>
      <w:bookmarkEnd w:id="242"/>
      <w:bookmarkEnd w:id="243"/>
      <w:bookmarkEnd w:id="244"/>
      <w:bookmarkEnd w:id="246"/>
      <w:r>
        <w:rPr>
          <w:rFonts w:hint="eastAsia" w:ascii="宋体" w:hAnsi="宋体" w:cs="宋体"/>
          <w:color w:val="auto"/>
          <w:highlight w:val="none"/>
        </w:rPr>
        <w:t>衢州宇信工程咨询有限公司</w:t>
      </w:r>
    </w:p>
    <w:p w14:paraId="0A99ABC3">
      <w:pPr>
        <w:shd w:val="clear"/>
        <w:spacing w:line="240" w:lineRule="auto"/>
        <w:ind w:firstLine="480"/>
        <w:outlineLvl w:val="2"/>
        <w:rPr>
          <w:rFonts w:hint="eastAsia" w:ascii="宋体" w:hAnsi="宋体" w:cs="宋体"/>
          <w:color w:val="auto"/>
          <w:highlight w:val="none"/>
        </w:rPr>
      </w:pPr>
      <w:r>
        <w:rPr>
          <w:rFonts w:hint="eastAsia" w:ascii="宋体" w:hAnsi="宋体" w:cs="宋体"/>
          <w:color w:val="auto"/>
          <w:highlight w:val="none"/>
        </w:rPr>
        <w:t>地址：</w:t>
      </w:r>
      <w:bookmarkStart w:id="247" w:name="OLE_LINK90"/>
      <w:r>
        <w:rPr>
          <w:rFonts w:hint="eastAsia" w:ascii="宋体" w:hAnsi="宋体" w:cs="宋体"/>
          <w:color w:val="auto"/>
          <w:highlight w:val="none"/>
        </w:rPr>
        <w:t>龙游县龙洲街道广和商务楼3楼306室 </w:t>
      </w:r>
      <w:bookmarkEnd w:id="247"/>
    </w:p>
    <w:p w14:paraId="445F0193">
      <w:pPr>
        <w:shd w:val="clear"/>
        <w:spacing w:line="240" w:lineRule="auto"/>
        <w:ind w:firstLine="480"/>
        <w:outlineLvl w:val="2"/>
        <w:rPr>
          <w:rFonts w:hint="eastAsia" w:ascii="宋体" w:hAnsi="宋体" w:cs="宋体"/>
          <w:color w:val="auto"/>
          <w:highlight w:val="none"/>
        </w:rPr>
      </w:pPr>
      <w:r>
        <w:rPr>
          <w:rFonts w:hint="eastAsia" w:ascii="宋体" w:hAnsi="宋体" w:cs="宋体"/>
          <w:color w:val="auto"/>
          <w:highlight w:val="none"/>
        </w:rPr>
        <w:t>项目联系人（询问）：祝女士          </w:t>
      </w:r>
    </w:p>
    <w:p w14:paraId="0BCC44EA">
      <w:pPr>
        <w:shd w:val="clear"/>
        <w:spacing w:line="240" w:lineRule="auto"/>
        <w:ind w:firstLine="480"/>
        <w:outlineLvl w:val="2"/>
        <w:rPr>
          <w:rFonts w:hint="eastAsia" w:ascii="宋体" w:hAnsi="宋体" w:cs="宋体"/>
          <w:color w:val="auto"/>
          <w:highlight w:val="none"/>
        </w:rPr>
      </w:pPr>
      <w:r>
        <w:rPr>
          <w:rFonts w:hint="eastAsia" w:ascii="宋体" w:hAnsi="宋体" w:cs="宋体"/>
          <w:color w:val="auto"/>
          <w:highlight w:val="none"/>
        </w:rPr>
        <w:t>项目联系方式（询问）：18367068335</w:t>
      </w:r>
    </w:p>
    <w:p w14:paraId="367C76B0">
      <w:pPr>
        <w:shd w:val="clear"/>
        <w:spacing w:line="240" w:lineRule="auto"/>
        <w:ind w:firstLine="480"/>
        <w:outlineLvl w:val="2"/>
        <w:rPr>
          <w:rFonts w:hint="eastAsia" w:ascii="宋体" w:hAnsi="宋体" w:cs="宋体"/>
          <w:color w:val="auto"/>
          <w:highlight w:val="none"/>
        </w:rPr>
      </w:pPr>
      <w:r>
        <w:rPr>
          <w:rFonts w:hint="eastAsia" w:ascii="宋体" w:hAnsi="宋体" w:cs="宋体"/>
          <w:color w:val="auto"/>
          <w:highlight w:val="none"/>
        </w:rPr>
        <w:t>质疑联系人：徐女士         </w:t>
      </w:r>
    </w:p>
    <w:p w14:paraId="5FE201D2">
      <w:pPr>
        <w:shd w:val="clear"/>
        <w:spacing w:line="240" w:lineRule="auto"/>
        <w:ind w:firstLine="480"/>
        <w:outlineLvl w:val="2"/>
        <w:rPr>
          <w:rFonts w:hint="eastAsia" w:ascii="宋体" w:hAnsi="宋体" w:cs="宋体"/>
          <w:color w:val="auto"/>
          <w:highlight w:val="none"/>
        </w:rPr>
      </w:pPr>
      <w:r>
        <w:rPr>
          <w:rFonts w:hint="eastAsia" w:ascii="宋体" w:hAnsi="宋体" w:cs="宋体"/>
          <w:color w:val="auto"/>
          <w:highlight w:val="none"/>
        </w:rPr>
        <w:t>质疑联系方式：0570-7018388　</w:t>
      </w:r>
    </w:p>
    <w:bookmarkEnd w:id="227"/>
    <w:bookmarkEnd w:id="228"/>
    <w:bookmarkEnd w:id="229"/>
    <w:bookmarkEnd w:id="230"/>
    <w:bookmarkEnd w:id="231"/>
    <w:bookmarkEnd w:id="232"/>
    <w:bookmarkEnd w:id="233"/>
    <w:p w14:paraId="7C6CC4DB">
      <w:pPr>
        <w:numPr>
          <w:ilvl w:val="255"/>
          <w:numId w:val="0"/>
        </w:numPr>
        <w:shd w:val="clear"/>
        <w:spacing w:line="240" w:lineRule="auto"/>
        <w:ind w:left="480" w:leftChars="200"/>
        <w:outlineLvl w:val="2"/>
        <w:rPr>
          <w:rFonts w:hint="eastAsia" w:ascii="宋体" w:hAnsi="宋体" w:cs="宋体"/>
          <w:color w:val="auto"/>
          <w:highlight w:val="none"/>
        </w:rPr>
      </w:pPr>
      <w:bookmarkStart w:id="248" w:name="_Toc14336"/>
    </w:p>
    <w:p w14:paraId="73C8F127">
      <w:pPr>
        <w:numPr>
          <w:ilvl w:val="255"/>
          <w:numId w:val="0"/>
        </w:numPr>
        <w:shd w:val="clear"/>
        <w:spacing w:line="240" w:lineRule="auto"/>
        <w:ind w:left="480" w:leftChars="200"/>
        <w:outlineLvl w:val="2"/>
        <w:rPr>
          <w:rFonts w:hint="eastAsia" w:ascii="宋体" w:hAnsi="宋体" w:cs="宋体"/>
          <w:color w:val="auto"/>
          <w:highlight w:val="none"/>
        </w:rPr>
      </w:pPr>
      <w:r>
        <w:rPr>
          <w:rFonts w:hint="eastAsia" w:ascii="宋体" w:hAnsi="宋体" w:cs="宋体"/>
          <w:color w:val="auto"/>
          <w:highlight w:val="none"/>
        </w:rPr>
        <w:t>3.同级政府采购监督管理部门</w:t>
      </w:r>
    </w:p>
    <w:p w14:paraId="7ED85F13">
      <w:pPr>
        <w:shd w:val="clear"/>
        <w:spacing w:line="240" w:lineRule="auto"/>
        <w:ind w:firstLine="480"/>
        <w:outlineLvl w:val="0"/>
        <w:rPr>
          <w:rFonts w:hint="eastAsia" w:ascii="宋体" w:hAnsi="宋体" w:cs="宋体"/>
          <w:color w:val="auto"/>
          <w:highlight w:val="none"/>
        </w:rPr>
      </w:pPr>
      <w:bookmarkStart w:id="249" w:name="_Toc2470"/>
      <w:bookmarkStart w:id="250" w:name="_Toc31770"/>
      <w:bookmarkStart w:id="251" w:name="_Toc32371"/>
      <w:bookmarkStart w:id="252" w:name="_Toc19635"/>
      <w:bookmarkStart w:id="253" w:name="_Toc24856"/>
      <w:bookmarkStart w:id="254" w:name="_Toc13962"/>
      <w:bookmarkStart w:id="255" w:name="_Toc19450"/>
      <w:bookmarkStart w:id="256" w:name="_Toc29812"/>
      <w:bookmarkStart w:id="257" w:name="_Toc27438"/>
      <w:bookmarkStart w:id="258" w:name="_Toc13703"/>
      <w:bookmarkStart w:id="259" w:name="_Toc8569"/>
      <w:bookmarkStart w:id="260" w:name="_Toc28243"/>
      <w:bookmarkStart w:id="261" w:name="_Toc11972"/>
      <w:r>
        <w:rPr>
          <w:rFonts w:hint="eastAsia" w:ascii="宋体" w:hAnsi="宋体" w:cs="宋体"/>
          <w:color w:val="auto"/>
          <w:highlight w:val="none"/>
        </w:rPr>
        <w:t>名称：龙游县财政局政府采购监管科</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4DC44A1F">
      <w:pPr>
        <w:shd w:val="clear"/>
        <w:spacing w:line="240" w:lineRule="auto"/>
        <w:ind w:firstLine="480"/>
        <w:outlineLvl w:val="2"/>
        <w:rPr>
          <w:rFonts w:hint="eastAsia" w:ascii="宋体" w:hAnsi="宋体" w:cs="宋体"/>
          <w:color w:val="auto"/>
          <w:highlight w:val="none"/>
        </w:rPr>
      </w:pPr>
      <w:r>
        <w:rPr>
          <w:rFonts w:hint="eastAsia" w:ascii="宋体" w:hAnsi="宋体" w:cs="宋体"/>
          <w:color w:val="auto"/>
          <w:highlight w:val="none"/>
        </w:rPr>
        <w:t>地址：龙游县龙洲街道莲湖路69号</w:t>
      </w:r>
    </w:p>
    <w:p w14:paraId="7E5C6897">
      <w:pPr>
        <w:shd w:val="clear"/>
        <w:spacing w:line="240" w:lineRule="auto"/>
        <w:ind w:firstLine="480"/>
        <w:outlineLvl w:val="2"/>
        <w:rPr>
          <w:rFonts w:hint="eastAsia" w:ascii="宋体" w:hAnsi="宋体" w:cs="宋体"/>
          <w:color w:val="auto"/>
          <w:highlight w:val="none"/>
        </w:rPr>
      </w:pPr>
      <w:r>
        <w:rPr>
          <w:rFonts w:hint="eastAsia" w:ascii="宋体" w:hAnsi="宋体" w:cs="宋体"/>
          <w:color w:val="auto"/>
          <w:highlight w:val="none"/>
        </w:rPr>
        <w:t>联系人：严先生</w:t>
      </w:r>
    </w:p>
    <w:p w14:paraId="3A25672F">
      <w:pPr>
        <w:shd w:val="clear"/>
        <w:spacing w:line="240" w:lineRule="auto"/>
        <w:ind w:firstLine="480"/>
        <w:jc w:val="left"/>
        <w:outlineLvl w:val="2"/>
        <w:rPr>
          <w:rFonts w:hint="eastAsia" w:ascii="宋体" w:hAnsi="宋体" w:cs="宋体"/>
          <w:color w:val="auto"/>
          <w:highlight w:val="none"/>
        </w:rPr>
      </w:pPr>
      <w:r>
        <w:rPr>
          <w:rFonts w:hint="eastAsia" w:ascii="宋体" w:hAnsi="宋体" w:cs="宋体"/>
          <w:color w:val="auto"/>
          <w:highlight w:val="none"/>
        </w:rPr>
        <w:t xml:space="preserve">监督投诉电话：0570﹣7011687 </w:t>
      </w:r>
    </w:p>
    <w:p w14:paraId="47F45981">
      <w:pPr>
        <w:shd w:val="clear"/>
        <w:spacing w:line="240" w:lineRule="auto"/>
        <w:ind w:firstLine="480"/>
        <w:outlineLvl w:val="2"/>
        <w:rPr>
          <w:rFonts w:hint="eastAsia" w:ascii="宋体" w:hAnsi="宋体" w:cs="宋体"/>
          <w:color w:val="auto"/>
          <w:highlight w:val="none"/>
        </w:rPr>
      </w:pPr>
    </w:p>
    <w:p w14:paraId="041A8521">
      <w:pPr>
        <w:shd w:val="clear"/>
        <w:spacing w:line="240" w:lineRule="auto"/>
        <w:ind w:firstLine="480"/>
        <w:outlineLvl w:val="2"/>
        <w:rPr>
          <w:rFonts w:hint="eastAsia" w:ascii="宋体" w:hAnsi="宋体" w:cs="宋体"/>
          <w:color w:val="auto"/>
          <w:highlight w:val="none"/>
        </w:rPr>
      </w:pPr>
      <w:r>
        <w:rPr>
          <w:rFonts w:hint="eastAsia" w:ascii="宋体" w:hAnsi="宋体" w:cs="宋体"/>
          <w:color w:val="auto"/>
          <w:highlight w:val="none"/>
        </w:rPr>
        <w:t>2025年</w:t>
      </w:r>
      <w:r>
        <w:rPr>
          <w:rFonts w:hint="eastAsia" w:ascii="宋体" w:hAnsi="宋体" w:cs="宋体"/>
          <w:color w:val="auto"/>
          <w:highlight w:val="none"/>
          <w:lang w:val="en-US" w:eastAsia="zh-CN"/>
        </w:rPr>
        <w:t>6</w:t>
      </w:r>
      <w:r>
        <w:rPr>
          <w:rFonts w:hint="eastAsia" w:ascii="宋体" w:hAnsi="宋体" w:cs="宋体"/>
          <w:color w:val="auto"/>
          <w:highlight w:val="none"/>
        </w:rPr>
        <w:t>月</w:t>
      </w:r>
      <w:r>
        <w:rPr>
          <w:rFonts w:hint="eastAsia" w:ascii="宋体" w:hAnsi="宋体" w:cs="宋体"/>
          <w:color w:val="auto"/>
          <w:highlight w:val="none"/>
          <w:lang w:val="en-US" w:eastAsia="zh-CN"/>
        </w:rPr>
        <w:t>26</w:t>
      </w:r>
      <w:r>
        <w:rPr>
          <w:rFonts w:hint="eastAsia" w:ascii="宋体" w:hAnsi="宋体" w:cs="宋体"/>
          <w:color w:val="auto"/>
          <w:highlight w:val="none"/>
        </w:rPr>
        <w:t>日</w:t>
      </w:r>
    </w:p>
    <w:p w14:paraId="1867B521">
      <w:pPr>
        <w:pStyle w:val="2"/>
        <w:keepNext/>
        <w:keepLines w:val="0"/>
        <w:pageBreakBefore w:val="0"/>
        <w:widowControl w:val="0"/>
        <w:numPr>
          <w:ilvl w:val="255"/>
          <w:numId w:val="0"/>
        </w:numPr>
        <w:shd w:val="clear"/>
        <w:kinsoku/>
        <w:wordWrap/>
        <w:overflowPunct/>
        <w:topLinePunct w:val="0"/>
        <w:autoSpaceDE/>
        <w:autoSpaceDN/>
        <w:bidi w:val="0"/>
        <w:adjustRightInd/>
        <w:snapToGrid/>
        <w:spacing w:beforeLines="0" w:afterLines="0" w:line="500" w:lineRule="exact"/>
        <w:jc w:val="center"/>
        <w:textAlignment w:val="auto"/>
        <w:rPr>
          <w:rFonts w:hint="eastAsia" w:ascii="宋体" w:hAnsi="宋体" w:cs="宋体"/>
          <w:color w:val="auto"/>
          <w:highlight w:val="none"/>
        </w:rPr>
      </w:pPr>
      <w:bookmarkStart w:id="262" w:name="_Toc2890"/>
      <w:r>
        <w:rPr>
          <w:rFonts w:hint="eastAsia" w:ascii="宋体" w:hAnsi="宋体" w:cs="宋体"/>
          <w:color w:val="auto"/>
          <w:highlight w:val="none"/>
        </w:rPr>
        <w:t>第二章 投标须知前附表及投标须知</w:t>
      </w:r>
      <w:bookmarkEnd w:id="262"/>
    </w:p>
    <w:p w14:paraId="5D9C61F8">
      <w:pPr>
        <w:pStyle w:val="3"/>
        <w:numPr>
          <w:ilvl w:val="1"/>
          <w:numId w:val="0"/>
        </w:numPr>
        <w:shd w:val="clear"/>
        <w:spacing w:before="218" w:after="218" w:line="500" w:lineRule="exact"/>
        <w:ind w:hanging="575"/>
        <w:rPr>
          <w:rFonts w:hint="eastAsia" w:ascii="宋体" w:hAnsi="宋体" w:cs="宋体"/>
          <w:color w:val="auto"/>
          <w:highlight w:val="none"/>
        </w:rPr>
      </w:pPr>
      <w:bookmarkStart w:id="263" w:name="_Toc3504"/>
      <w:r>
        <w:rPr>
          <w:rFonts w:hint="eastAsia" w:ascii="宋体" w:hAnsi="宋体" w:cs="宋体"/>
          <w:color w:val="auto"/>
          <w:highlight w:val="none"/>
        </w:rPr>
        <w:t>投标须知前附表</w:t>
      </w:r>
      <w:bookmarkEnd w:id="263"/>
    </w:p>
    <w:tbl>
      <w:tblPr>
        <w:tblStyle w:val="43"/>
        <w:tblW w:w="101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703"/>
        <w:gridCol w:w="1978"/>
        <w:gridCol w:w="7513"/>
      </w:tblGrid>
      <w:tr w14:paraId="1EEB5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tcPr>
          <w:p w14:paraId="53673CA9">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序号</w:t>
            </w:r>
          </w:p>
        </w:tc>
        <w:tc>
          <w:tcPr>
            <w:tcW w:w="1978" w:type="dxa"/>
          </w:tcPr>
          <w:p w14:paraId="3A8F09DE">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内容</w:t>
            </w:r>
          </w:p>
        </w:tc>
        <w:tc>
          <w:tcPr>
            <w:tcW w:w="7513" w:type="dxa"/>
          </w:tcPr>
          <w:p w14:paraId="1C7A67C3">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说明与要求</w:t>
            </w:r>
          </w:p>
        </w:tc>
      </w:tr>
      <w:tr w14:paraId="2F5F6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49" w:hRule="atLeast"/>
          <w:jc w:val="center"/>
        </w:trPr>
        <w:tc>
          <w:tcPr>
            <w:tcW w:w="703" w:type="dxa"/>
            <w:vAlign w:val="center"/>
          </w:tcPr>
          <w:p w14:paraId="465086C9">
            <w:pPr>
              <w:shd w:val="clear"/>
              <w:adjustRightInd w:val="0"/>
              <w:snapToGrid w:val="0"/>
              <w:spacing w:line="240" w:lineRule="auto"/>
              <w:ind w:firstLine="0" w:firstLineChars="0"/>
              <w:jc w:val="center"/>
              <w:rPr>
                <w:rFonts w:hint="eastAsia" w:ascii="宋体" w:hAnsi="宋体" w:cs="宋体"/>
                <w:color w:val="auto"/>
                <w:highlight w:val="none"/>
                <w:lang w:val="zh-CN"/>
              </w:rPr>
            </w:pPr>
            <w:r>
              <w:rPr>
                <w:rFonts w:hint="eastAsia" w:ascii="宋体" w:hAnsi="宋体" w:cs="宋体"/>
                <w:color w:val="auto"/>
                <w:highlight w:val="none"/>
              </w:rPr>
              <w:t>1</w:t>
            </w:r>
          </w:p>
        </w:tc>
        <w:tc>
          <w:tcPr>
            <w:tcW w:w="1978" w:type="dxa"/>
            <w:vAlign w:val="center"/>
          </w:tcPr>
          <w:p w14:paraId="1A4FB09A">
            <w:pPr>
              <w:shd w:val="clear"/>
              <w:adjustRightInd w:val="0"/>
              <w:snapToGrid w:val="0"/>
              <w:spacing w:line="240" w:lineRule="auto"/>
              <w:ind w:firstLine="0" w:firstLineChars="0"/>
              <w:jc w:val="center"/>
              <w:rPr>
                <w:rFonts w:hint="eastAsia" w:ascii="宋体" w:hAnsi="宋体" w:cs="宋体"/>
                <w:color w:val="auto"/>
                <w:highlight w:val="none"/>
                <w:lang w:val="zh-CN"/>
              </w:rPr>
            </w:pPr>
            <w:r>
              <w:rPr>
                <w:rFonts w:hint="eastAsia" w:ascii="宋体" w:hAnsi="宋体" w:cs="宋体"/>
                <w:color w:val="auto"/>
                <w:highlight w:val="none"/>
                <w:lang w:val="zh-CN"/>
              </w:rPr>
              <w:t>采购人</w:t>
            </w:r>
          </w:p>
        </w:tc>
        <w:tc>
          <w:tcPr>
            <w:tcW w:w="7513" w:type="dxa"/>
            <w:vAlign w:val="center"/>
          </w:tcPr>
          <w:p w14:paraId="7E36C6C7">
            <w:pPr>
              <w:shd w:val="clear"/>
              <w:adjustRightInd w:val="0"/>
              <w:snapToGrid w:val="0"/>
              <w:spacing w:line="240" w:lineRule="auto"/>
              <w:ind w:firstLine="0" w:firstLineChars="0"/>
              <w:rPr>
                <w:rFonts w:hint="eastAsia" w:ascii="宋体" w:hAnsi="宋体" w:cs="宋体"/>
                <w:color w:val="auto"/>
                <w:highlight w:val="none"/>
                <w:lang w:val="zh-CN"/>
              </w:rPr>
            </w:pPr>
            <w:r>
              <w:rPr>
                <w:rFonts w:hint="eastAsia" w:ascii="宋体" w:hAnsi="宋体" w:cs="宋体"/>
                <w:color w:val="auto"/>
                <w:highlight w:val="none"/>
              </w:rPr>
              <w:t>名称</w:t>
            </w:r>
            <w:r>
              <w:rPr>
                <w:rFonts w:hint="eastAsia" w:ascii="宋体" w:hAnsi="宋体" w:cs="宋体"/>
                <w:color w:val="auto"/>
                <w:highlight w:val="none"/>
                <w:lang w:val="zh-CN"/>
              </w:rPr>
              <w:t>：龙游县东华街道办事处  </w:t>
            </w:r>
          </w:p>
          <w:p w14:paraId="1674C166">
            <w:pPr>
              <w:shd w:val="clear"/>
              <w:adjustRightInd w:val="0"/>
              <w:snapToGrid w:val="0"/>
              <w:spacing w:line="240" w:lineRule="auto"/>
              <w:ind w:firstLine="0" w:firstLineChars="0"/>
              <w:rPr>
                <w:rFonts w:hint="eastAsia" w:ascii="宋体" w:hAnsi="宋体" w:cs="宋体"/>
                <w:color w:val="auto"/>
                <w:highlight w:val="none"/>
                <w:lang w:val="zh-CN"/>
              </w:rPr>
            </w:pPr>
            <w:r>
              <w:rPr>
                <w:rFonts w:hint="eastAsia" w:ascii="宋体" w:hAnsi="宋体" w:cs="宋体"/>
                <w:color w:val="auto"/>
                <w:highlight w:val="none"/>
                <w:lang w:val="zh-CN"/>
              </w:rPr>
              <w:t>联系人：雷先生   </w:t>
            </w:r>
          </w:p>
          <w:p w14:paraId="182C1856">
            <w:pPr>
              <w:shd w:val="clear"/>
              <w:adjustRightInd w:val="0"/>
              <w:snapToGrid w:val="0"/>
              <w:spacing w:line="240" w:lineRule="auto"/>
              <w:ind w:firstLine="0" w:firstLineChars="0"/>
              <w:rPr>
                <w:rFonts w:hint="eastAsia" w:ascii="宋体" w:hAnsi="宋体" w:eastAsia="宋体" w:cs="宋体"/>
                <w:color w:val="auto"/>
                <w:highlight w:val="none"/>
                <w:lang w:val="zh-CN" w:eastAsia="zh-CN"/>
              </w:rPr>
            </w:pPr>
            <w:r>
              <w:rPr>
                <w:rFonts w:hint="eastAsia" w:ascii="宋体" w:hAnsi="宋体" w:cs="宋体"/>
                <w:color w:val="auto"/>
                <w:highlight w:val="none"/>
                <w:lang w:val="zh-CN"/>
              </w:rPr>
              <w:t>项目联系方式：</w:t>
            </w:r>
            <w:r>
              <w:rPr>
                <w:rFonts w:hint="eastAsia" w:ascii="宋体" w:hAnsi="宋体" w:cs="宋体"/>
                <w:color w:val="auto"/>
                <w:highlight w:val="none"/>
                <w:lang w:eastAsia="zh-CN"/>
              </w:rPr>
              <w:t xml:space="preserve">0570-7255220 </w:t>
            </w:r>
          </w:p>
          <w:p w14:paraId="6EAE4A25">
            <w:pPr>
              <w:shd w:val="clear"/>
              <w:adjustRightInd w:val="0"/>
              <w:snapToGrid w:val="0"/>
              <w:spacing w:line="240" w:lineRule="auto"/>
              <w:ind w:firstLine="0" w:firstLineChars="0"/>
              <w:rPr>
                <w:rFonts w:hint="eastAsia" w:ascii="宋体" w:hAnsi="宋体" w:cs="宋体"/>
                <w:color w:val="auto"/>
                <w:highlight w:val="none"/>
                <w:lang w:val="zh-CN"/>
              </w:rPr>
            </w:pPr>
            <w:r>
              <w:rPr>
                <w:rFonts w:hint="eastAsia" w:ascii="宋体" w:hAnsi="宋体" w:cs="宋体"/>
                <w:color w:val="auto"/>
                <w:highlight w:val="none"/>
                <w:lang w:val="zh-CN"/>
              </w:rPr>
              <w:t>地址：龙游县开发大道与城南路交汇处</w:t>
            </w:r>
          </w:p>
        </w:tc>
      </w:tr>
      <w:tr w14:paraId="4B8C5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49" w:hRule="atLeast"/>
          <w:jc w:val="center"/>
        </w:trPr>
        <w:tc>
          <w:tcPr>
            <w:tcW w:w="703" w:type="dxa"/>
            <w:vAlign w:val="center"/>
          </w:tcPr>
          <w:p w14:paraId="794EF815">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2</w:t>
            </w:r>
          </w:p>
        </w:tc>
        <w:tc>
          <w:tcPr>
            <w:tcW w:w="1978" w:type="dxa"/>
            <w:vAlign w:val="center"/>
          </w:tcPr>
          <w:p w14:paraId="659048B2">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lang w:val="zh-CN"/>
              </w:rPr>
              <w:t>采购代理机构</w:t>
            </w:r>
          </w:p>
        </w:tc>
        <w:tc>
          <w:tcPr>
            <w:tcW w:w="7513" w:type="dxa"/>
            <w:vAlign w:val="center"/>
          </w:tcPr>
          <w:p w14:paraId="6B41B34C">
            <w:pPr>
              <w:shd w:val="clear"/>
              <w:adjustRightInd w:val="0"/>
              <w:snapToGrid w:val="0"/>
              <w:spacing w:line="240" w:lineRule="auto"/>
              <w:ind w:firstLine="0" w:firstLineChars="0"/>
              <w:rPr>
                <w:rFonts w:hint="eastAsia" w:ascii="宋体" w:hAnsi="宋体" w:cs="宋体"/>
                <w:color w:val="auto"/>
                <w:highlight w:val="none"/>
                <w:lang w:val="zh-CN"/>
              </w:rPr>
            </w:pPr>
            <w:r>
              <w:rPr>
                <w:rFonts w:hint="eastAsia" w:ascii="宋体" w:hAnsi="宋体" w:cs="宋体"/>
                <w:color w:val="auto"/>
                <w:highlight w:val="none"/>
              </w:rPr>
              <w:t>名称</w:t>
            </w:r>
            <w:r>
              <w:rPr>
                <w:rFonts w:hint="eastAsia" w:ascii="宋体" w:hAnsi="宋体" w:cs="宋体"/>
                <w:color w:val="auto"/>
                <w:highlight w:val="none"/>
                <w:lang w:val="zh-CN"/>
              </w:rPr>
              <w:t>：衢州宇信工程咨询有限公司</w:t>
            </w:r>
          </w:p>
          <w:p w14:paraId="52885442">
            <w:pPr>
              <w:shd w:val="clear"/>
              <w:adjustRightInd w:val="0"/>
              <w:snapToGrid w:val="0"/>
              <w:spacing w:line="240" w:lineRule="auto"/>
              <w:ind w:firstLine="0" w:firstLineChars="0"/>
              <w:rPr>
                <w:rFonts w:hint="eastAsia" w:ascii="宋体" w:hAnsi="宋体" w:cs="宋体"/>
                <w:color w:val="auto"/>
                <w:highlight w:val="none"/>
              </w:rPr>
            </w:pPr>
            <w:r>
              <w:rPr>
                <w:rFonts w:hint="eastAsia" w:ascii="宋体" w:hAnsi="宋体" w:cs="宋体"/>
                <w:color w:val="auto"/>
                <w:highlight w:val="none"/>
                <w:lang w:val="zh-CN"/>
              </w:rPr>
              <w:t>联系人：</w:t>
            </w:r>
            <w:r>
              <w:rPr>
                <w:rFonts w:hint="eastAsia" w:ascii="宋体" w:hAnsi="宋体" w:cs="宋体"/>
                <w:color w:val="auto"/>
                <w:highlight w:val="none"/>
              </w:rPr>
              <w:t>祝女士</w:t>
            </w:r>
          </w:p>
          <w:p w14:paraId="5315464F">
            <w:pPr>
              <w:shd w:val="clear"/>
              <w:adjustRightInd w:val="0"/>
              <w:snapToGrid w:val="0"/>
              <w:spacing w:line="240" w:lineRule="auto"/>
              <w:ind w:firstLine="0" w:firstLineChars="0"/>
              <w:rPr>
                <w:rFonts w:hint="eastAsia" w:ascii="宋体" w:hAnsi="宋体" w:cs="宋体"/>
                <w:color w:val="auto"/>
                <w:highlight w:val="none"/>
                <w:lang w:val="zh-CN"/>
              </w:rPr>
            </w:pPr>
            <w:r>
              <w:rPr>
                <w:rFonts w:hint="eastAsia" w:ascii="宋体" w:hAnsi="宋体" w:cs="宋体"/>
                <w:color w:val="auto"/>
                <w:highlight w:val="none"/>
                <w:lang w:val="zh-CN"/>
              </w:rPr>
              <w:t>项目联系方式：</w:t>
            </w:r>
            <w:bookmarkStart w:id="264" w:name="OLE_LINK89"/>
            <w:r>
              <w:rPr>
                <w:rFonts w:hint="eastAsia" w:ascii="宋体" w:hAnsi="宋体" w:cs="宋体"/>
                <w:color w:val="auto"/>
                <w:highlight w:val="none"/>
              </w:rPr>
              <w:t>18367068335</w:t>
            </w:r>
            <w:bookmarkEnd w:id="264"/>
          </w:p>
          <w:p w14:paraId="723738D6">
            <w:pPr>
              <w:shd w:val="clear"/>
              <w:adjustRightInd w:val="0"/>
              <w:snapToGrid w:val="0"/>
              <w:spacing w:line="240" w:lineRule="auto"/>
              <w:ind w:firstLine="0" w:firstLineChars="0"/>
              <w:rPr>
                <w:rFonts w:hint="eastAsia" w:ascii="宋体" w:hAnsi="宋体" w:cs="宋体"/>
                <w:color w:val="auto"/>
                <w:highlight w:val="none"/>
              </w:rPr>
            </w:pPr>
            <w:r>
              <w:rPr>
                <w:rFonts w:hint="eastAsia" w:ascii="宋体" w:hAnsi="宋体" w:cs="宋体"/>
                <w:color w:val="auto"/>
                <w:highlight w:val="none"/>
                <w:lang w:val="zh-CN"/>
              </w:rPr>
              <w:t>地址：</w:t>
            </w:r>
            <w:r>
              <w:rPr>
                <w:rFonts w:hint="eastAsia" w:ascii="宋体" w:hAnsi="宋体" w:cs="宋体"/>
                <w:color w:val="auto"/>
                <w:highlight w:val="none"/>
              </w:rPr>
              <w:t>龙游县龙洲街道广和商务楼3楼306室 </w:t>
            </w:r>
          </w:p>
        </w:tc>
      </w:tr>
      <w:tr w14:paraId="281E9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622898EC">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3</w:t>
            </w:r>
          </w:p>
        </w:tc>
        <w:tc>
          <w:tcPr>
            <w:tcW w:w="1978" w:type="dxa"/>
            <w:vAlign w:val="center"/>
          </w:tcPr>
          <w:p w14:paraId="4A7F7B56">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项目名称及编号</w:t>
            </w:r>
          </w:p>
        </w:tc>
        <w:tc>
          <w:tcPr>
            <w:tcW w:w="7513" w:type="dxa"/>
            <w:vAlign w:val="center"/>
          </w:tcPr>
          <w:p w14:paraId="17AB77C6">
            <w:pPr>
              <w:pStyle w:val="37"/>
              <w:shd w:val="clear" w:color="auto"/>
              <w:adjustRightInd w:val="0"/>
              <w:snapToGrid w:val="0"/>
              <w:spacing w:before="0" w:beforeAutospacing="0" w:after="0" w:afterAutospacing="0" w:line="240" w:lineRule="auto"/>
              <w:ind w:firstLine="0" w:firstLineChars="0"/>
              <w:rPr>
                <w:rFonts w:hint="eastAsia" w:cs="宋体"/>
                <w:color w:val="auto"/>
                <w:highlight w:val="none"/>
              </w:rPr>
            </w:pPr>
            <w:r>
              <w:rPr>
                <w:rFonts w:hint="eastAsia" w:cs="宋体"/>
                <w:color w:val="auto"/>
                <w:highlight w:val="none"/>
                <w:lang w:eastAsia="zh-CN"/>
              </w:rPr>
              <w:t xml:space="preserve"> 捷马化工股份有限公司宝塔路地块风险管控项目环境监理采购项目</w:t>
            </w:r>
            <w:r>
              <w:rPr>
                <w:rFonts w:hint="eastAsia" w:cs="宋体"/>
                <w:color w:val="auto"/>
                <w:highlight w:val="none"/>
              </w:rPr>
              <w:t>（项目编号：</w:t>
            </w:r>
            <w:r>
              <w:rPr>
                <w:rFonts w:hint="eastAsia" w:cs="宋体"/>
                <w:color w:val="auto"/>
                <w:highlight w:val="none"/>
                <w:lang w:eastAsia="zh-CN"/>
              </w:rPr>
              <w:t>LYCG2025YX-014</w:t>
            </w:r>
            <w:r>
              <w:rPr>
                <w:rFonts w:hint="eastAsia" w:cs="宋体"/>
                <w:color w:val="auto"/>
                <w:highlight w:val="none"/>
              </w:rPr>
              <w:t>)</w:t>
            </w:r>
          </w:p>
        </w:tc>
      </w:tr>
      <w:tr w14:paraId="14053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39CB714E">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4</w:t>
            </w:r>
          </w:p>
        </w:tc>
        <w:tc>
          <w:tcPr>
            <w:tcW w:w="1978" w:type="dxa"/>
            <w:vAlign w:val="center"/>
          </w:tcPr>
          <w:p w14:paraId="4CC69FA4">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资金来源及预算执行确认书编号</w:t>
            </w:r>
          </w:p>
        </w:tc>
        <w:tc>
          <w:tcPr>
            <w:tcW w:w="7513" w:type="dxa"/>
            <w:vAlign w:val="center"/>
          </w:tcPr>
          <w:p w14:paraId="7AE73C67">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财政资金（编号：</w:t>
            </w:r>
            <w:r>
              <w:rPr>
                <w:rFonts w:hint="eastAsia" w:cs="宋体" w:asciiTheme="minorEastAsia" w:hAnsiTheme="minorEastAsia" w:eastAsiaTheme="minorEastAsia"/>
                <w:color w:val="auto"/>
                <w:highlight w:val="none"/>
                <w:lang w:val="zh-CN"/>
              </w:rPr>
              <w:t>龙财采确</w:t>
            </w:r>
            <w:r>
              <w:rPr>
                <w:rFonts w:hint="eastAsia" w:asciiTheme="minorEastAsia" w:hAnsiTheme="minorEastAsia" w:eastAsiaTheme="minorEastAsia"/>
                <w:color w:val="auto"/>
                <w:highlight w:val="none"/>
                <w:shd w:val="clear" w:color="auto" w:fill="FFFFFF"/>
              </w:rPr>
              <w:t>[2025]</w:t>
            </w:r>
            <w:r>
              <w:rPr>
                <w:rFonts w:hint="eastAsia" w:asciiTheme="minorEastAsia" w:hAnsiTheme="minorEastAsia" w:eastAsiaTheme="minorEastAsia"/>
                <w:color w:val="auto"/>
                <w:highlight w:val="none"/>
                <w:shd w:val="clear" w:color="auto" w:fill="FFFFFF"/>
                <w:lang w:val="en-US" w:eastAsia="zh-CN"/>
              </w:rPr>
              <w:t>982</w:t>
            </w:r>
            <w:r>
              <w:rPr>
                <w:rFonts w:hint="eastAsia" w:asciiTheme="minorEastAsia" w:hAnsiTheme="minorEastAsia" w:eastAsiaTheme="minorEastAsia"/>
                <w:color w:val="auto"/>
                <w:highlight w:val="none"/>
                <w:shd w:val="clear" w:color="auto" w:fill="FFFFFF"/>
              </w:rPr>
              <w:t>号</w:t>
            </w:r>
            <w:r>
              <w:rPr>
                <w:rFonts w:hint="eastAsia" w:ascii="宋体" w:hAnsi="宋体" w:cs="宋体"/>
                <w:color w:val="auto"/>
                <w:highlight w:val="none"/>
              </w:rPr>
              <w:t>）</w:t>
            </w:r>
          </w:p>
        </w:tc>
      </w:tr>
      <w:tr w14:paraId="472EC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26EFBE8B">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5</w:t>
            </w:r>
          </w:p>
        </w:tc>
        <w:tc>
          <w:tcPr>
            <w:tcW w:w="1978" w:type="dxa"/>
            <w:vAlign w:val="center"/>
          </w:tcPr>
          <w:p w14:paraId="566DA5DF">
            <w:pPr>
              <w:shd w:val="clear"/>
              <w:adjustRightInd w:val="0"/>
              <w:snapToGrid w:val="0"/>
              <w:spacing w:line="240" w:lineRule="auto"/>
              <w:ind w:firstLine="0" w:firstLineChars="0"/>
              <w:jc w:val="center"/>
              <w:rPr>
                <w:rFonts w:hint="eastAsia" w:ascii="宋体" w:hAnsi="宋体" w:cs="宋体"/>
                <w:color w:val="auto"/>
                <w:kern w:val="0"/>
                <w:highlight w:val="none"/>
              </w:rPr>
            </w:pPr>
            <w:r>
              <w:rPr>
                <w:rFonts w:hint="eastAsia" w:ascii="宋体" w:hAnsi="宋体" w:cs="宋体"/>
                <w:color w:val="auto"/>
                <w:kern w:val="0"/>
                <w:highlight w:val="none"/>
              </w:rPr>
              <w:t>预算金额</w:t>
            </w:r>
          </w:p>
        </w:tc>
        <w:tc>
          <w:tcPr>
            <w:tcW w:w="7513" w:type="dxa"/>
            <w:vAlign w:val="center"/>
          </w:tcPr>
          <w:p w14:paraId="478151E0">
            <w:pPr>
              <w:shd w:val="clear"/>
              <w:adjustRightInd w:val="0"/>
              <w:snapToGrid w:val="0"/>
              <w:spacing w:line="240" w:lineRule="auto"/>
              <w:ind w:firstLine="0" w:firstLineChars="0"/>
              <w:rPr>
                <w:rFonts w:hint="eastAsia" w:ascii="宋体" w:hAnsi="宋体" w:cs="宋体"/>
                <w:color w:val="auto"/>
                <w:kern w:val="0"/>
                <w:highlight w:val="none"/>
              </w:rPr>
            </w:pPr>
            <w:r>
              <w:rPr>
                <w:rFonts w:hint="eastAsia" w:ascii="宋体" w:hAnsi="宋体" w:cs="宋体"/>
                <w:color w:val="auto"/>
                <w:kern w:val="0"/>
                <w:highlight w:val="none"/>
              </w:rPr>
              <w:t>本项目预算金额为</w:t>
            </w:r>
            <w:r>
              <w:rPr>
                <w:rFonts w:hint="eastAsia" w:ascii="宋体" w:hAnsi="宋体" w:cs="宋体"/>
                <w:color w:val="auto"/>
                <w:kern w:val="0"/>
                <w:highlight w:val="none"/>
                <w:u w:val="single"/>
                <w:lang w:eastAsia="zh-CN"/>
              </w:rPr>
              <w:t>1026900</w:t>
            </w:r>
            <w:r>
              <w:rPr>
                <w:rFonts w:hint="eastAsia" w:ascii="宋体" w:hAnsi="宋体" w:cs="宋体"/>
                <w:color w:val="auto"/>
                <w:kern w:val="0"/>
                <w:highlight w:val="none"/>
                <w:u w:val="single"/>
              </w:rPr>
              <w:t>元</w:t>
            </w:r>
            <w:r>
              <w:rPr>
                <w:rFonts w:hint="eastAsia" w:ascii="宋体" w:hAnsi="宋体" w:cs="宋体"/>
                <w:color w:val="auto"/>
                <w:kern w:val="0"/>
                <w:highlight w:val="none"/>
              </w:rPr>
              <w:t>。</w:t>
            </w:r>
          </w:p>
        </w:tc>
      </w:tr>
      <w:tr w14:paraId="2D18A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698E7A25">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6</w:t>
            </w:r>
          </w:p>
        </w:tc>
        <w:tc>
          <w:tcPr>
            <w:tcW w:w="1978" w:type="dxa"/>
            <w:vAlign w:val="center"/>
          </w:tcPr>
          <w:p w14:paraId="19F0C4B2">
            <w:pPr>
              <w:shd w:val="clear"/>
              <w:adjustRightInd w:val="0"/>
              <w:snapToGrid w:val="0"/>
              <w:spacing w:line="240" w:lineRule="auto"/>
              <w:ind w:firstLine="0" w:firstLineChars="0"/>
              <w:jc w:val="center"/>
              <w:rPr>
                <w:rFonts w:hint="eastAsia" w:ascii="宋体" w:hAnsi="宋体" w:cs="宋体"/>
                <w:color w:val="auto"/>
                <w:kern w:val="0"/>
                <w:highlight w:val="none"/>
              </w:rPr>
            </w:pPr>
            <w:r>
              <w:rPr>
                <w:rFonts w:hint="eastAsia" w:ascii="宋体" w:hAnsi="宋体" w:cs="宋体"/>
                <w:color w:val="auto"/>
                <w:kern w:val="0"/>
                <w:highlight w:val="none"/>
              </w:rPr>
              <w:t>最高限价</w:t>
            </w:r>
          </w:p>
        </w:tc>
        <w:tc>
          <w:tcPr>
            <w:tcW w:w="7513" w:type="dxa"/>
            <w:vAlign w:val="center"/>
          </w:tcPr>
          <w:p w14:paraId="44B69FAE">
            <w:pPr>
              <w:shd w:val="clear"/>
              <w:adjustRightInd w:val="0"/>
              <w:snapToGrid w:val="0"/>
              <w:spacing w:line="240" w:lineRule="auto"/>
              <w:ind w:firstLine="0" w:firstLineChars="0"/>
              <w:rPr>
                <w:rFonts w:hint="eastAsia" w:ascii="宋体" w:hAnsi="宋体" w:cs="宋体"/>
                <w:color w:val="auto"/>
                <w:kern w:val="0"/>
                <w:highlight w:val="none"/>
              </w:rPr>
            </w:pPr>
            <w:r>
              <w:rPr>
                <w:rFonts w:hint="eastAsia" w:ascii="宋体" w:hAnsi="宋体" w:cs="宋体"/>
                <w:color w:val="auto"/>
                <w:kern w:val="0"/>
                <w:highlight w:val="none"/>
              </w:rPr>
              <w:t>本项目</w:t>
            </w:r>
            <w:r>
              <w:rPr>
                <w:rFonts w:hint="eastAsia" w:ascii="宋体" w:hAnsi="宋体" w:cs="宋体"/>
                <w:color w:val="auto"/>
                <w:kern w:val="0"/>
                <w:highlight w:val="none"/>
                <w:lang w:val="zh-CN"/>
              </w:rPr>
              <w:t>最高限价</w:t>
            </w:r>
            <w:r>
              <w:rPr>
                <w:rFonts w:hint="eastAsia" w:ascii="宋体" w:hAnsi="宋体" w:cs="宋体"/>
                <w:color w:val="auto"/>
                <w:kern w:val="0"/>
                <w:highlight w:val="none"/>
                <w:u w:val="single"/>
                <w:lang w:eastAsia="zh-CN"/>
              </w:rPr>
              <w:t>1026900</w:t>
            </w:r>
            <w:r>
              <w:rPr>
                <w:rFonts w:hint="eastAsia" w:ascii="宋体" w:hAnsi="宋体" w:cs="宋体"/>
                <w:color w:val="auto"/>
                <w:kern w:val="0"/>
                <w:highlight w:val="none"/>
                <w:u w:val="single"/>
              </w:rPr>
              <w:t>元</w:t>
            </w:r>
            <w:r>
              <w:rPr>
                <w:rFonts w:hint="eastAsia" w:ascii="宋体" w:hAnsi="宋体" w:cs="宋体"/>
                <w:color w:val="auto"/>
                <w:kern w:val="0"/>
                <w:highlight w:val="none"/>
                <w:lang w:val="zh-CN"/>
              </w:rPr>
              <w:t>；</w:t>
            </w:r>
            <w:r>
              <w:rPr>
                <w:rFonts w:hint="eastAsia" w:ascii="宋体" w:hAnsi="宋体" w:cs="宋体"/>
                <w:color w:val="auto"/>
                <w:kern w:val="0"/>
                <w:highlight w:val="none"/>
              </w:rPr>
              <w:t>超过最高限价的，投标无效</w:t>
            </w:r>
            <w:r>
              <w:rPr>
                <w:rFonts w:hint="eastAsia" w:ascii="宋体" w:hAnsi="宋体" w:cs="宋体"/>
                <w:color w:val="auto"/>
                <w:kern w:val="0"/>
                <w:highlight w:val="none"/>
                <w:lang w:val="zh-CN"/>
              </w:rPr>
              <w:t>。</w:t>
            </w:r>
          </w:p>
        </w:tc>
      </w:tr>
      <w:tr w14:paraId="7129C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25C5244E">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7</w:t>
            </w:r>
          </w:p>
        </w:tc>
        <w:tc>
          <w:tcPr>
            <w:tcW w:w="1978" w:type="dxa"/>
            <w:vAlign w:val="center"/>
          </w:tcPr>
          <w:p w14:paraId="170E7F88">
            <w:pPr>
              <w:shd w:val="clear"/>
              <w:adjustRightInd w:val="0"/>
              <w:snapToGrid w:val="0"/>
              <w:spacing w:line="240" w:lineRule="auto"/>
              <w:ind w:firstLine="0" w:firstLineChars="0"/>
              <w:rPr>
                <w:rFonts w:hint="eastAsia" w:ascii="宋体" w:hAnsi="宋体" w:cs="宋体"/>
                <w:color w:val="auto"/>
                <w:kern w:val="0"/>
                <w:highlight w:val="none"/>
              </w:rPr>
            </w:pPr>
            <w:r>
              <w:rPr>
                <w:rFonts w:hint="eastAsia" w:ascii="宋体" w:hAnsi="宋体" w:cs="宋体"/>
                <w:color w:val="auto"/>
                <w:kern w:val="0"/>
                <w:highlight w:val="none"/>
              </w:rPr>
              <w:t>申请人资格要求</w:t>
            </w:r>
          </w:p>
        </w:tc>
        <w:tc>
          <w:tcPr>
            <w:tcW w:w="7513" w:type="dxa"/>
            <w:vAlign w:val="center"/>
          </w:tcPr>
          <w:p w14:paraId="223F4AEA">
            <w:pPr>
              <w:shd w:val="clear"/>
              <w:adjustRightInd w:val="0"/>
              <w:snapToGrid w:val="0"/>
              <w:spacing w:line="240" w:lineRule="auto"/>
              <w:ind w:firstLine="0" w:firstLineChars="0"/>
              <w:rPr>
                <w:rFonts w:hint="eastAsia" w:ascii="宋体" w:hAnsi="宋体" w:cs="宋体"/>
                <w:color w:val="auto"/>
                <w:kern w:val="0"/>
                <w:highlight w:val="none"/>
              </w:rPr>
            </w:pPr>
            <w:r>
              <w:rPr>
                <w:rFonts w:hint="eastAsia" w:ascii="宋体" w:hAnsi="宋体" w:cs="宋体"/>
                <w:color w:val="auto"/>
                <w:kern w:val="0"/>
                <w:highlight w:val="none"/>
                <w:lang w:val="zh-CN"/>
              </w:rPr>
              <w:t>详见“第一章 招标公告”。</w:t>
            </w:r>
          </w:p>
        </w:tc>
      </w:tr>
      <w:tr w14:paraId="20485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6B34578C">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8</w:t>
            </w:r>
          </w:p>
        </w:tc>
        <w:tc>
          <w:tcPr>
            <w:tcW w:w="1978" w:type="dxa"/>
            <w:vAlign w:val="center"/>
          </w:tcPr>
          <w:p w14:paraId="520F7697">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获取招标文件</w:t>
            </w:r>
          </w:p>
        </w:tc>
        <w:tc>
          <w:tcPr>
            <w:tcW w:w="7513" w:type="dxa"/>
            <w:vAlign w:val="center"/>
          </w:tcPr>
          <w:p w14:paraId="36456BE1">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lang w:val="zh-CN"/>
              </w:rPr>
              <w:t>详见“第一章 招标公告”。</w:t>
            </w:r>
          </w:p>
        </w:tc>
      </w:tr>
      <w:tr w14:paraId="69F0B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11FA7EA5">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9</w:t>
            </w:r>
          </w:p>
        </w:tc>
        <w:tc>
          <w:tcPr>
            <w:tcW w:w="1978" w:type="dxa"/>
            <w:vAlign w:val="center"/>
          </w:tcPr>
          <w:p w14:paraId="51D93AFC">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投标货币</w:t>
            </w:r>
          </w:p>
        </w:tc>
        <w:tc>
          <w:tcPr>
            <w:tcW w:w="7513" w:type="dxa"/>
            <w:vAlign w:val="center"/>
          </w:tcPr>
          <w:p w14:paraId="15B8B47C">
            <w:pPr>
              <w:shd w:val="clear"/>
              <w:adjustRightInd w:val="0"/>
              <w:snapToGrid w:val="0"/>
              <w:spacing w:line="240" w:lineRule="auto"/>
              <w:ind w:firstLine="0" w:firstLineChars="0"/>
              <w:rPr>
                <w:rFonts w:hint="eastAsia" w:ascii="宋体" w:hAnsi="宋体" w:cs="宋体"/>
                <w:color w:val="auto"/>
                <w:highlight w:val="none"/>
                <w:lang w:val="zh-CN"/>
              </w:rPr>
            </w:pPr>
            <w:r>
              <w:rPr>
                <w:rFonts w:hint="eastAsia" w:ascii="宋体" w:hAnsi="宋体" w:cs="宋体"/>
                <w:color w:val="auto"/>
                <w:highlight w:val="none"/>
              </w:rPr>
              <w:t>人民币。</w:t>
            </w:r>
          </w:p>
        </w:tc>
      </w:tr>
      <w:tr w14:paraId="2D96C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51E3792B">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10</w:t>
            </w:r>
          </w:p>
        </w:tc>
        <w:tc>
          <w:tcPr>
            <w:tcW w:w="1978" w:type="dxa"/>
            <w:vAlign w:val="center"/>
          </w:tcPr>
          <w:p w14:paraId="1EAC4E53">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投标语言</w:t>
            </w:r>
          </w:p>
        </w:tc>
        <w:tc>
          <w:tcPr>
            <w:tcW w:w="7513" w:type="dxa"/>
            <w:vAlign w:val="center"/>
          </w:tcPr>
          <w:p w14:paraId="5345889D">
            <w:pPr>
              <w:shd w:val="clear"/>
              <w:adjustRightInd w:val="0"/>
              <w:snapToGrid w:val="0"/>
              <w:spacing w:line="240" w:lineRule="auto"/>
              <w:ind w:firstLine="0" w:firstLineChars="0"/>
              <w:rPr>
                <w:rFonts w:hint="eastAsia" w:ascii="宋体" w:hAnsi="宋体" w:cs="宋体"/>
                <w:color w:val="auto"/>
                <w:highlight w:val="none"/>
                <w:lang w:val="zh-CN"/>
              </w:rPr>
            </w:pPr>
            <w:r>
              <w:rPr>
                <w:rFonts w:hint="eastAsia" w:ascii="宋体" w:hAnsi="宋体" w:cs="宋体"/>
                <w:color w:val="auto"/>
                <w:highlight w:val="none"/>
              </w:rPr>
              <w:t>中文。</w:t>
            </w:r>
          </w:p>
        </w:tc>
      </w:tr>
      <w:tr w14:paraId="16521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0D4EA36C">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11</w:t>
            </w:r>
          </w:p>
        </w:tc>
        <w:tc>
          <w:tcPr>
            <w:tcW w:w="1978" w:type="dxa"/>
            <w:vAlign w:val="center"/>
          </w:tcPr>
          <w:p w14:paraId="1CE00C4D">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询问与答复</w:t>
            </w:r>
          </w:p>
        </w:tc>
        <w:tc>
          <w:tcPr>
            <w:tcW w:w="7513" w:type="dxa"/>
            <w:vAlign w:val="center"/>
          </w:tcPr>
          <w:p w14:paraId="5A44A3F0">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lang w:val="zh-CN"/>
              </w:rPr>
              <w:t>投标人认为招标文件使自己的权益受到损害的，可以自获取招标文件之日或者采购公告期限届满之日（公告期限届满后获取招标文件的，以公告期限届满之日为准）起7个工作日内，对招标文件需求的以书面形式向采购人提出质疑，对其他内容的以书面形式向采购人和采购代理机构提出质疑。质疑投标人对采购人、采购代理机构的答复不满意或者采购人、采购代理机构未在规定的时间内作出答复的，可以在答复期满后</w:t>
            </w:r>
            <w:r>
              <w:rPr>
                <w:rFonts w:hint="eastAsia" w:ascii="宋体" w:hAnsi="宋体" w:cs="宋体"/>
                <w:color w:val="auto"/>
                <w:highlight w:val="none"/>
              </w:rPr>
              <w:t>15</w:t>
            </w:r>
            <w:r>
              <w:rPr>
                <w:rFonts w:hint="eastAsia" w:ascii="宋体" w:hAnsi="宋体" w:cs="宋体"/>
                <w:color w:val="auto"/>
                <w:highlight w:val="none"/>
                <w:lang w:val="zh-CN"/>
              </w:rPr>
              <w:t>个工作日内向同级政府采购监督管理部门投诉。质疑函范本、投诉书范本请到浙江政府采购网下载专区下载。</w:t>
            </w:r>
          </w:p>
        </w:tc>
      </w:tr>
      <w:tr w14:paraId="654B8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6549D7DC">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12</w:t>
            </w:r>
          </w:p>
        </w:tc>
        <w:tc>
          <w:tcPr>
            <w:tcW w:w="1978" w:type="dxa"/>
            <w:vAlign w:val="center"/>
          </w:tcPr>
          <w:p w14:paraId="5CEAEF3B">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投标报价范围</w:t>
            </w:r>
          </w:p>
        </w:tc>
        <w:tc>
          <w:tcPr>
            <w:tcW w:w="7513" w:type="dxa"/>
            <w:vAlign w:val="center"/>
          </w:tcPr>
          <w:p w14:paraId="3BE8A23F">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1.本项目投标应以人民币报价。</w:t>
            </w:r>
          </w:p>
          <w:p w14:paraId="66A50F5F">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2.投标报价是指投标人在正确地完全履行合同义务后采购人应支付的服务价格，包括但不限于</w:t>
            </w:r>
            <w:r>
              <w:rPr>
                <w:rFonts w:hint="eastAsia" w:ascii="宋体" w:hAnsi="宋体" w:cs="宋体"/>
                <w:color w:val="auto"/>
                <w:highlight w:val="none"/>
                <w:lang w:val="zh-CN"/>
              </w:rPr>
              <w:t>人员的人工费、会务费、交通费、住宿费、伙食费、办公设施费、</w:t>
            </w:r>
            <w:r>
              <w:rPr>
                <w:rFonts w:hint="eastAsia" w:ascii="宋体" w:hAnsi="宋体" w:cs="宋体"/>
                <w:color w:val="auto"/>
                <w:highlight w:val="none"/>
                <w:lang w:val="en-US" w:eastAsia="zh-CN"/>
              </w:rPr>
              <w:t>方案编制、管理费、</w:t>
            </w:r>
            <w:r>
              <w:rPr>
                <w:rFonts w:hint="eastAsia" w:ascii="宋体" w:hAnsi="宋体" w:cs="宋体"/>
                <w:color w:val="auto"/>
                <w:highlight w:val="none"/>
                <w:lang w:val="zh-CN"/>
              </w:rPr>
              <w:t>利润、税金、合同包含的所有风险责任等各项费用及不可预见费等所需的全部费用。</w:t>
            </w:r>
          </w:p>
        </w:tc>
      </w:tr>
      <w:tr w14:paraId="41CB1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1DFDD214">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13</w:t>
            </w:r>
          </w:p>
        </w:tc>
        <w:tc>
          <w:tcPr>
            <w:tcW w:w="1978" w:type="dxa"/>
            <w:vAlign w:val="center"/>
          </w:tcPr>
          <w:p w14:paraId="2D70F972">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采购方式</w:t>
            </w:r>
          </w:p>
        </w:tc>
        <w:tc>
          <w:tcPr>
            <w:tcW w:w="7513" w:type="dxa"/>
            <w:vAlign w:val="center"/>
          </w:tcPr>
          <w:p w14:paraId="621E5C62">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公开招标。</w:t>
            </w:r>
          </w:p>
        </w:tc>
      </w:tr>
      <w:tr w14:paraId="785B1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2652D264">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14</w:t>
            </w:r>
          </w:p>
        </w:tc>
        <w:tc>
          <w:tcPr>
            <w:tcW w:w="1978" w:type="dxa"/>
            <w:vAlign w:val="center"/>
          </w:tcPr>
          <w:p w14:paraId="525E1394">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采购活动流程</w:t>
            </w:r>
          </w:p>
        </w:tc>
        <w:tc>
          <w:tcPr>
            <w:tcW w:w="7513" w:type="dxa"/>
            <w:vAlign w:val="center"/>
          </w:tcPr>
          <w:p w14:paraId="7E21F904">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本项目采购活动的招标、投标、开标、评标的全流程电子化，在使用系统进行投标的过程中遇到涉及平台使用的任何问题，致电政采云平台技术支持咨询（电话95763）。</w:t>
            </w:r>
          </w:p>
        </w:tc>
      </w:tr>
      <w:tr w14:paraId="5772B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5881D273">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15</w:t>
            </w:r>
          </w:p>
        </w:tc>
        <w:tc>
          <w:tcPr>
            <w:tcW w:w="1978" w:type="dxa"/>
            <w:vAlign w:val="center"/>
          </w:tcPr>
          <w:p w14:paraId="077368C3">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评标办法</w:t>
            </w:r>
          </w:p>
        </w:tc>
        <w:tc>
          <w:tcPr>
            <w:tcW w:w="7513" w:type="dxa"/>
            <w:vAlign w:val="center"/>
          </w:tcPr>
          <w:p w14:paraId="7186B24A">
            <w:pPr>
              <w:shd w:val="clear"/>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综合评分法。</w:t>
            </w:r>
          </w:p>
        </w:tc>
      </w:tr>
      <w:tr w14:paraId="640DA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67B9C27F">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16</w:t>
            </w:r>
          </w:p>
        </w:tc>
        <w:tc>
          <w:tcPr>
            <w:tcW w:w="1978" w:type="dxa"/>
            <w:vAlign w:val="center"/>
          </w:tcPr>
          <w:p w14:paraId="5C677394">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服务期限</w:t>
            </w:r>
          </w:p>
        </w:tc>
        <w:tc>
          <w:tcPr>
            <w:tcW w:w="7513" w:type="dxa"/>
            <w:vAlign w:val="center"/>
          </w:tcPr>
          <w:p w14:paraId="07C9CEC2">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lang w:eastAsia="zh-CN"/>
              </w:rPr>
              <w:t>三年，自合同生效之日起至阶段性效果评估报告通过有权限的主管部门备案。</w:t>
            </w:r>
          </w:p>
        </w:tc>
      </w:tr>
      <w:tr w14:paraId="201654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7A02075A">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17</w:t>
            </w:r>
          </w:p>
        </w:tc>
        <w:tc>
          <w:tcPr>
            <w:tcW w:w="1978" w:type="dxa"/>
            <w:vAlign w:val="center"/>
          </w:tcPr>
          <w:p w14:paraId="3AE0FD09">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招标内容</w:t>
            </w:r>
          </w:p>
        </w:tc>
        <w:tc>
          <w:tcPr>
            <w:tcW w:w="7513" w:type="dxa"/>
            <w:vAlign w:val="center"/>
          </w:tcPr>
          <w:p w14:paraId="64580720">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具体内容详见招标文件“第三章 采购内容及需求”。</w:t>
            </w:r>
          </w:p>
        </w:tc>
      </w:tr>
      <w:tr w14:paraId="5B1E6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13A3797A">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18</w:t>
            </w:r>
          </w:p>
        </w:tc>
        <w:tc>
          <w:tcPr>
            <w:tcW w:w="1978" w:type="dxa"/>
            <w:vAlign w:val="center"/>
          </w:tcPr>
          <w:p w14:paraId="0177EF60">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是否允许联合体投标</w:t>
            </w:r>
          </w:p>
        </w:tc>
        <w:tc>
          <w:tcPr>
            <w:tcW w:w="7513" w:type="dxa"/>
            <w:vAlign w:val="center"/>
          </w:tcPr>
          <w:p w14:paraId="7126F63C">
            <w:pPr>
              <w:shd w:val="clear"/>
              <w:adjustRightInd w:val="0"/>
              <w:snapToGrid w:val="0"/>
              <w:spacing w:line="240" w:lineRule="auto"/>
              <w:ind w:firstLine="0" w:firstLineChars="0"/>
              <w:jc w:val="left"/>
              <w:rPr>
                <w:rFonts w:hint="eastAsia" w:ascii="宋体" w:hAnsi="宋体" w:cs="宋体"/>
                <w:color w:val="auto"/>
                <w:highlight w:val="none"/>
              </w:rPr>
            </w:pPr>
            <w:bookmarkStart w:id="265" w:name="OLE_LINK8"/>
            <w:r>
              <w:rPr>
                <w:rFonts w:hint="eastAsia" w:ascii="宋体" w:hAnsi="宋体" w:cs="宋体"/>
                <w:color w:val="auto"/>
                <w:highlight w:val="none"/>
              </w:rPr>
              <w:t>☑不允许</w:t>
            </w:r>
          </w:p>
          <w:p w14:paraId="7EC15D1F">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□允许</w:t>
            </w:r>
            <w:bookmarkEnd w:id="265"/>
            <w:r>
              <w:rPr>
                <w:rFonts w:hint="eastAsia" w:ascii="宋体" w:hAnsi="宋体" w:cs="宋体"/>
                <w:color w:val="auto"/>
                <w:highlight w:val="none"/>
              </w:rPr>
              <w:t xml:space="preserve">，应满足下列要求：           </w:t>
            </w:r>
          </w:p>
        </w:tc>
      </w:tr>
      <w:tr w14:paraId="3DDCD1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23FDB606">
            <w:pPr>
              <w:shd w:val="clear"/>
              <w:adjustRightInd w:val="0"/>
              <w:snapToGrid w:val="0"/>
              <w:spacing w:line="240" w:lineRule="auto"/>
              <w:ind w:firstLine="0" w:firstLineChars="0"/>
              <w:jc w:val="center"/>
              <w:rPr>
                <w:rFonts w:hint="eastAsia" w:ascii="宋体" w:hAnsi="宋体" w:cs="宋体"/>
                <w:color w:val="auto"/>
                <w:highlight w:val="none"/>
              </w:rPr>
            </w:pPr>
            <w:bookmarkStart w:id="266" w:name="OLE_LINK9" w:colFirst="0" w:colLast="0"/>
            <w:r>
              <w:rPr>
                <w:rFonts w:hint="eastAsia" w:ascii="宋体" w:hAnsi="宋体" w:cs="宋体"/>
                <w:color w:val="auto"/>
                <w:highlight w:val="none"/>
              </w:rPr>
              <w:t>19</w:t>
            </w:r>
          </w:p>
        </w:tc>
        <w:tc>
          <w:tcPr>
            <w:tcW w:w="1978" w:type="dxa"/>
            <w:vAlign w:val="center"/>
          </w:tcPr>
          <w:p w14:paraId="573CBD93">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分包和非主体、非关键性工作</w:t>
            </w:r>
          </w:p>
        </w:tc>
        <w:tc>
          <w:tcPr>
            <w:tcW w:w="7513" w:type="dxa"/>
            <w:vAlign w:val="center"/>
          </w:tcPr>
          <w:p w14:paraId="50418F7C">
            <w:pPr>
              <w:shd w:val="clear"/>
              <w:adjustRightInd w:val="0"/>
              <w:snapToGrid w:val="0"/>
              <w:spacing w:line="240" w:lineRule="auto"/>
              <w:ind w:firstLine="0" w:firstLineChars="0"/>
              <w:jc w:val="left"/>
              <w:rPr>
                <w:rFonts w:hint="eastAsia" w:ascii="宋体" w:hAnsi="宋体" w:cs="宋体"/>
                <w:color w:val="auto"/>
                <w:highlight w:val="none"/>
                <w:lang w:val="zh-CN"/>
              </w:rPr>
            </w:pPr>
            <w:r>
              <w:rPr>
                <w:rFonts w:hint="eastAsia" w:ascii="宋体" w:hAnsi="宋体" w:cs="宋体"/>
                <w:color w:val="auto"/>
                <w:highlight w:val="none"/>
                <w:lang w:eastAsia="zh-CN"/>
              </w:rPr>
              <w:t>☑</w:t>
            </w:r>
            <w:r>
              <w:rPr>
                <w:rFonts w:hint="eastAsia" w:ascii="宋体" w:hAnsi="宋体" w:cs="宋体"/>
                <w:color w:val="auto"/>
                <w:highlight w:val="none"/>
                <w:lang w:val="zh-CN"/>
              </w:rPr>
              <w:t>不允许</w:t>
            </w:r>
          </w:p>
          <w:p w14:paraId="7E2A7524">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lang w:val="zh-CN"/>
              </w:rPr>
              <w:t>允许，投标人根据招标文件载明的标的采购项目实际情况，拟在中标后将中标项目的非主体、非关键性工作交由他人完成的，事先须经采购人同意。</w:t>
            </w:r>
          </w:p>
        </w:tc>
      </w:tr>
      <w:tr w14:paraId="42E3C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5B6D4D14">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20</w:t>
            </w:r>
          </w:p>
        </w:tc>
        <w:tc>
          <w:tcPr>
            <w:tcW w:w="1978" w:type="dxa"/>
            <w:vAlign w:val="center"/>
          </w:tcPr>
          <w:p w14:paraId="0B32E105">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是否允许进口产品</w:t>
            </w:r>
          </w:p>
        </w:tc>
        <w:tc>
          <w:tcPr>
            <w:tcW w:w="7513" w:type="dxa"/>
            <w:vAlign w:val="center"/>
          </w:tcPr>
          <w:p w14:paraId="39EF2DBF">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☑不允许</w:t>
            </w:r>
          </w:p>
          <w:p w14:paraId="27BAC351">
            <w:pPr>
              <w:shd w:val="clear"/>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□允许</w:t>
            </w:r>
          </w:p>
        </w:tc>
      </w:tr>
      <w:tr w14:paraId="1AE151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37421E2C">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21</w:t>
            </w:r>
          </w:p>
        </w:tc>
        <w:tc>
          <w:tcPr>
            <w:tcW w:w="1978" w:type="dxa"/>
            <w:vAlign w:val="center"/>
          </w:tcPr>
          <w:p w14:paraId="7E8C4E61">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踏勘现场</w:t>
            </w:r>
          </w:p>
        </w:tc>
        <w:tc>
          <w:tcPr>
            <w:tcW w:w="7513" w:type="dxa"/>
            <w:vAlign w:val="center"/>
          </w:tcPr>
          <w:p w14:paraId="67A7DB9E">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☑不组织【请自行前往踏勘，不统一组织】</w:t>
            </w:r>
          </w:p>
          <w:p w14:paraId="2DA12A52">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□组织</w:t>
            </w:r>
          </w:p>
        </w:tc>
      </w:tr>
      <w:tr w14:paraId="0609ED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50F3E677">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22</w:t>
            </w:r>
          </w:p>
        </w:tc>
        <w:tc>
          <w:tcPr>
            <w:tcW w:w="1978" w:type="dxa"/>
            <w:vAlign w:val="center"/>
          </w:tcPr>
          <w:p w14:paraId="37DD4922">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是否允许递交备选方案</w:t>
            </w:r>
          </w:p>
        </w:tc>
        <w:tc>
          <w:tcPr>
            <w:tcW w:w="7513" w:type="dxa"/>
            <w:vAlign w:val="center"/>
          </w:tcPr>
          <w:p w14:paraId="3F4B7864">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☑不允许</w:t>
            </w:r>
          </w:p>
          <w:p w14:paraId="4D566267">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□允许</w:t>
            </w:r>
          </w:p>
        </w:tc>
      </w:tr>
      <w:tr w14:paraId="7763E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45ECDACD">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23</w:t>
            </w:r>
          </w:p>
        </w:tc>
        <w:tc>
          <w:tcPr>
            <w:tcW w:w="1978" w:type="dxa"/>
            <w:vAlign w:val="center"/>
          </w:tcPr>
          <w:p w14:paraId="2A92CA9B">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投标保证金</w:t>
            </w:r>
          </w:p>
        </w:tc>
        <w:tc>
          <w:tcPr>
            <w:tcW w:w="7513" w:type="dxa"/>
            <w:vAlign w:val="center"/>
          </w:tcPr>
          <w:p w14:paraId="5C7377DF">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☑不需要</w:t>
            </w:r>
          </w:p>
          <w:p w14:paraId="54CA7E80">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 xml:space="preserve">□需要  </w:t>
            </w:r>
          </w:p>
        </w:tc>
      </w:tr>
      <w:tr w14:paraId="7B9371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4DE96F01">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24</w:t>
            </w:r>
          </w:p>
        </w:tc>
        <w:tc>
          <w:tcPr>
            <w:tcW w:w="1978" w:type="dxa"/>
            <w:vAlign w:val="center"/>
          </w:tcPr>
          <w:p w14:paraId="0F546749">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lang w:val="zh-CN"/>
              </w:rPr>
              <w:t>是否允许提交</w:t>
            </w:r>
            <w:r>
              <w:rPr>
                <w:rFonts w:hint="eastAsia" w:ascii="宋体" w:hAnsi="宋体" w:cs="宋体"/>
                <w:color w:val="auto"/>
                <w:highlight w:val="none"/>
              </w:rPr>
              <w:t>样品</w:t>
            </w:r>
          </w:p>
        </w:tc>
        <w:tc>
          <w:tcPr>
            <w:tcW w:w="7513" w:type="dxa"/>
            <w:vAlign w:val="center"/>
          </w:tcPr>
          <w:p w14:paraId="340B20E7">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☑不要求提供；</w:t>
            </w:r>
          </w:p>
          <w:p w14:paraId="29FA1F67">
            <w:pPr>
              <w:widowControl/>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□要求提供。</w:t>
            </w:r>
          </w:p>
        </w:tc>
      </w:tr>
      <w:tr w14:paraId="19BFB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62879F0A">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25</w:t>
            </w:r>
          </w:p>
        </w:tc>
        <w:tc>
          <w:tcPr>
            <w:tcW w:w="1978" w:type="dxa"/>
            <w:vAlign w:val="center"/>
          </w:tcPr>
          <w:p w14:paraId="07ED3726">
            <w:pPr>
              <w:shd w:val="clear"/>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履约保证金</w:t>
            </w:r>
          </w:p>
        </w:tc>
        <w:tc>
          <w:tcPr>
            <w:tcW w:w="7513" w:type="dxa"/>
            <w:vAlign w:val="center"/>
          </w:tcPr>
          <w:p w14:paraId="32697197">
            <w:pPr>
              <w:shd w:val="clear"/>
              <w:adjustRightInd w:val="0"/>
              <w:snapToGrid w:val="0"/>
              <w:spacing w:line="240" w:lineRule="auto"/>
              <w:ind w:firstLine="0" w:firstLineChars="0"/>
              <w:jc w:val="left"/>
              <w:rPr>
                <w:rFonts w:hint="eastAsia" w:ascii="宋体" w:hAnsi="宋体" w:cs="宋体"/>
                <w:color w:val="auto"/>
                <w:highlight w:val="none"/>
                <w:lang w:val="zh-CN"/>
              </w:rPr>
            </w:pPr>
            <w:r>
              <w:rPr>
                <w:rFonts w:hint="eastAsia" w:ascii="宋体" w:hAnsi="宋体" w:cs="宋体"/>
                <w:color w:val="auto"/>
                <w:highlight w:val="none"/>
                <w:lang w:val="zh-CN"/>
              </w:rPr>
              <w:t>☑不需要</w:t>
            </w:r>
          </w:p>
          <w:p w14:paraId="12377DF5">
            <w:pPr>
              <w:shd w:val="clear"/>
              <w:adjustRightInd w:val="0"/>
              <w:snapToGrid w:val="0"/>
              <w:spacing w:line="240" w:lineRule="auto"/>
              <w:ind w:firstLine="0" w:firstLineChars="0"/>
              <w:jc w:val="left"/>
              <w:rPr>
                <w:rFonts w:hint="eastAsia" w:ascii="宋体" w:hAnsi="宋体" w:cs="宋体"/>
                <w:color w:val="auto"/>
                <w:highlight w:val="none"/>
                <w:lang w:val="zh-CN"/>
              </w:rPr>
            </w:pPr>
            <w:r>
              <w:rPr>
                <w:rFonts w:hint="eastAsia" w:ascii="宋体" w:hAnsi="宋体" w:cs="宋体"/>
                <w:color w:val="auto"/>
                <w:highlight w:val="none"/>
                <w:lang w:val="zh-CN"/>
              </w:rPr>
              <w:t>□需要</w:t>
            </w:r>
          </w:p>
          <w:p w14:paraId="75E7DA25">
            <w:pPr>
              <w:shd w:val="clear"/>
              <w:adjustRightInd w:val="0"/>
              <w:snapToGrid w:val="0"/>
              <w:spacing w:line="240" w:lineRule="auto"/>
              <w:ind w:firstLine="0" w:firstLineChars="0"/>
              <w:jc w:val="left"/>
              <w:rPr>
                <w:rFonts w:hint="eastAsia" w:ascii="宋体" w:hAnsi="宋体" w:cs="宋体"/>
                <w:color w:val="auto"/>
                <w:highlight w:val="none"/>
                <w:lang w:val="zh-CN"/>
              </w:rPr>
            </w:pPr>
            <w:r>
              <w:rPr>
                <w:rFonts w:hint="eastAsia" w:ascii="宋体" w:hAnsi="宋体" w:cs="宋体"/>
                <w:color w:val="auto"/>
                <w:highlight w:val="none"/>
                <w:lang w:val="zh-CN"/>
              </w:rPr>
              <w:t>1.交纳金额：乙方须向采购人交纳，为合同价格的1.0%。</w:t>
            </w:r>
          </w:p>
          <w:p w14:paraId="5AA8BBD8">
            <w:pPr>
              <w:shd w:val="clear"/>
              <w:adjustRightInd w:val="0"/>
              <w:snapToGrid w:val="0"/>
              <w:spacing w:line="240" w:lineRule="auto"/>
              <w:ind w:firstLine="0" w:firstLineChars="0"/>
              <w:jc w:val="left"/>
              <w:rPr>
                <w:rFonts w:hint="eastAsia" w:ascii="宋体" w:hAnsi="宋体" w:cs="宋体"/>
                <w:color w:val="auto"/>
                <w:highlight w:val="none"/>
                <w:lang w:val="zh-CN"/>
              </w:rPr>
            </w:pPr>
            <w:r>
              <w:rPr>
                <w:rFonts w:hint="eastAsia" w:ascii="宋体" w:hAnsi="宋体" w:cs="宋体"/>
                <w:color w:val="auto"/>
                <w:highlight w:val="none"/>
                <w:lang w:val="zh-CN"/>
              </w:rPr>
              <w:t>2.交纳方式：汇票/支票/银行转账/银行保函</w:t>
            </w:r>
            <w:r>
              <w:rPr>
                <w:rFonts w:hint="eastAsia" w:ascii="宋体" w:hAnsi="宋体" w:cs="宋体"/>
                <w:color w:val="auto"/>
                <w:highlight w:val="none"/>
              </w:rPr>
              <w:t>/保险保函</w:t>
            </w:r>
            <w:r>
              <w:rPr>
                <w:rFonts w:hint="eastAsia" w:ascii="宋体" w:hAnsi="宋体" w:cs="宋体"/>
                <w:color w:val="auto"/>
                <w:highlight w:val="none"/>
                <w:lang w:val="zh-CN"/>
              </w:rPr>
              <w:t>。</w:t>
            </w:r>
          </w:p>
          <w:p w14:paraId="163B37CB">
            <w:pPr>
              <w:shd w:val="clear"/>
              <w:adjustRightInd w:val="0"/>
              <w:snapToGrid w:val="0"/>
              <w:spacing w:line="240" w:lineRule="auto"/>
              <w:ind w:firstLine="0" w:firstLineChars="0"/>
              <w:jc w:val="left"/>
              <w:rPr>
                <w:rFonts w:hint="eastAsia" w:ascii="宋体" w:hAnsi="宋体" w:cs="宋体"/>
                <w:color w:val="auto"/>
                <w:highlight w:val="none"/>
                <w:lang w:val="zh-CN"/>
              </w:rPr>
            </w:pPr>
            <w:r>
              <w:rPr>
                <w:rFonts w:hint="eastAsia" w:ascii="宋体" w:hAnsi="宋体" w:cs="宋体"/>
                <w:color w:val="auto"/>
                <w:highlight w:val="none"/>
                <w:lang w:val="zh-CN"/>
              </w:rPr>
              <w:t>3.交纳时间：本项目合同签订前交纳。</w:t>
            </w:r>
          </w:p>
          <w:p w14:paraId="78D836EB">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lang w:val="zh-CN"/>
              </w:rPr>
              <w:t>4.退还条件：</w:t>
            </w:r>
            <w:r>
              <w:rPr>
                <w:rFonts w:hint="eastAsia" w:ascii="宋体" w:hAnsi="宋体" w:cs="宋体"/>
                <w:color w:val="auto"/>
                <w:highlight w:val="none"/>
              </w:rPr>
              <w:t>验收合格后15日内无息退还</w:t>
            </w:r>
            <w:r>
              <w:rPr>
                <w:rFonts w:hint="eastAsia" w:ascii="宋体" w:hAnsi="宋体" w:cs="宋体"/>
                <w:color w:val="auto"/>
                <w:highlight w:val="none"/>
                <w:lang w:val="zh-CN"/>
              </w:rPr>
              <w:t>。</w:t>
            </w:r>
          </w:p>
        </w:tc>
      </w:tr>
      <w:tr w14:paraId="10B68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6BBCA4D3">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26</w:t>
            </w:r>
          </w:p>
        </w:tc>
        <w:tc>
          <w:tcPr>
            <w:tcW w:w="1978" w:type="dxa"/>
            <w:vAlign w:val="center"/>
          </w:tcPr>
          <w:p w14:paraId="3F0C243E">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投标文件的组成</w:t>
            </w:r>
          </w:p>
        </w:tc>
        <w:tc>
          <w:tcPr>
            <w:tcW w:w="7513" w:type="dxa"/>
            <w:vAlign w:val="center"/>
          </w:tcPr>
          <w:p w14:paraId="4FD74673">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完整的《投标文件》由“资格文件”“报价文件”和“资信商务技术文件”三个部分组成。</w:t>
            </w:r>
          </w:p>
        </w:tc>
      </w:tr>
      <w:tr w14:paraId="6C4E9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44853A57">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27</w:t>
            </w:r>
          </w:p>
        </w:tc>
        <w:tc>
          <w:tcPr>
            <w:tcW w:w="1978" w:type="dxa"/>
            <w:vAlign w:val="center"/>
          </w:tcPr>
          <w:p w14:paraId="461BE389">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投标文件的编制</w:t>
            </w:r>
          </w:p>
        </w:tc>
        <w:tc>
          <w:tcPr>
            <w:tcW w:w="7513" w:type="dxa"/>
            <w:vAlign w:val="center"/>
          </w:tcPr>
          <w:p w14:paraId="36F4E6FF">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投标人应先安装“政采云电子交易客户端”，并按照本招标文件和“政府采购云平台”的要求，通过“政采云电子交易客户端”编制并加密投标文件。</w:t>
            </w:r>
          </w:p>
        </w:tc>
      </w:tr>
      <w:tr w14:paraId="1E1BA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1D31365E">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28</w:t>
            </w:r>
          </w:p>
        </w:tc>
        <w:tc>
          <w:tcPr>
            <w:tcW w:w="1978" w:type="dxa"/>
            <w:vAlign w:val="center"/>
          </w:tcPr>
          <w:p w14:paraId="03FF7DA8">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签字或盖章要求</w:t>
            </w:r>
          </w:p>
        </w:tc>
        <w:tc>
          <w:tcPr>
            <w:tcW w:w="7513" w:type="dxa"/>
            <w:vAlign w:val="center"/>
          </w:tcPr>
          <w:p w14:paraId="7B8450C6">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电子签章。招标文件所指的加盖单位公章为电子签章。投标文件须按招标文件格式要求，由投标人加盖单位公章和法定代表人或其授权代表印章（或签字）。</w:t>
            </w:r>
          </w:p>
        </w:tc>
      </w:tr>
      <w:tr w14:paraId="1AD01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25A35D6A">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29</w:t>
            </w:r>
          </w:p>
        </w:tc>
        <w:tc>
          <w:tcPr>
            <w:tcW w:w="1978" w:type="dxa"/>
            <w:vAlign w:val="center"/>
          </w:tcPr>
          <w:p w14:paraId="07437EAF">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投标文件的形式</w:t>
            </w:r>
          </w:p>
        </w:tc>
        <w:tc>
          <w:tcPr>
            <w:tcW w:w="7513" w:type="dxa"/>
            <w:vAlign w:val="center"/>
          </w:tcPr>
          <w:p w14:paraId="435FA484">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☑电子投标文件（包括“电子加密投标文件”和“备份投标文件”，在投标文件编制完成后同时生成）；</w:t>
            </w:r>
          </w:p>
          <w:p w14:paraId="4737247C">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（1）“电子加密投标文件”是指通过“政采云电子交易客户端”完成投标文件编制后生成并加密的数据电文形式的投标文件。</w:t>
            </w:r>
          </w:p>
          <w:p w14:paraId="297F7C4B">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（2）“备份投标文件”是指与“电子加密投标文件”同时生成的数据电文形式的电子文件（备份标书），其他方式编制的备份投标文件视为无效备份投标文件。</w:t>
            </w:r>
          </w:p>
        </w:tc>
      </w:tr>
      <w:tr w14:paraId="22A9D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3CBC81BA">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30</w:t>
            </w:r>
          </w:p>
        </w:tc>
        <w:tc>
          <w:tcPr>
            <w:tcW w:w="1978" w:type="dxa"/>
            <w:vAlign w:val="center"/>
          </w:tcPr>
          <w:p w14:paraId="26C99031">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7513" w:type="dxa"/>
            <w:vAlign w:val="center"/>
          </w:tcPr>
          <w:p w14:paraId="1DAD768E">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（1）“电子加密投标文件”：在线上传递交，一份。（2）“备份投标文件”：在线发送邮箱，一份；</w:t>
            </w:r>
          </w:p>
        </w:tc>
      </w:tr>
      <w:tr w14:paraId="468CA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686C32D2">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31</w:t>
            </w:r>
          </w:p>
        </w:tc>
        <w:tc>
          <w:tcPr>
            <w:tcW w:w="1978" w:type="dxa"/>
            <w:vAlign w:val="center"/>
          </w:tcPr>
          <w:p w14:paraId="19E685CC">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投标文件的上传和递交</w:t>
            </w:r>
          </w:p>
        </w:tc>
        <w:tc>
          <w:tcPr>
            <w:tcW w:w="7513" w:type="dxa"/>
            <w:vAlign w:val="center"/>
          </w:tcPr>
          <w:p w14:paraId="3BA79EFA">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（1）“电子加密投标文件”的上传、递交：</w:t>
            </w:r>
          </w:p>
          <w:p w14:paraId="288ABBAE">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a.投标人应在投标截止时间前将“电子加密投标文件”成功上传递交至“政府采购云平台”，否则投标无效。</w:t>
            </w:r>
          </w:p>
          <w:p w14:paraId="6D4EDA66">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b.“电子加密投标文件”成功上传递交后，投标人可自行打印投标文件接收回执。</w:t>
            </w:r>
          </w:p>
          <w:p w14:paraId="051D733E">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（2）“备份投标文件”递交：</w:t>
            </w:r>
          </w:p>
          <w:p w14:paraId="55DAD27C">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a.投标人可以在投标截止时间将备份投标文件（经政采云电子交易客户端和CA驱动制作出的后缀名“BFBS”的加密备份投标文件）发送至邮箱：951172785@qq.com，邮件内容写上单位名称，逾期发送或发错后缀名的备份投标文件将视为无效；备份投标文件的提交不作强制要求，若因投标人未提供备份投标文件而造成投标无效等一切后果和风险由投标人自行承担；</w:t>
            </w:r>
          </w:p>
          <w:p w14:paraId="46C9CB65">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b.通过“政府采购云平台”成功上传递交的“电子加密投标文件”已按时解密的，“备份投标文件”自动失效。投标截止时间前，投标人仅递交了“备份投标文件”而未将“电子加密投标文件”成功上传至“政府采购云平台”的，投标无效。</w:t>
            </w:r>
          </w:p>
        </w:tc>
      </w:tr>
      <w:tr w14:paraId="212A3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1E03791A">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32</w:t>
            </w:r>
          </w:p>
        </w:tc>
        <w:tc>
          <w:tcPr>
            <w:tcW w:w="1978" w:type="dxa"/>
            <w:vAlign w:val="center"/>
          </w:tcPr>
          <w:p w14:paraId="0649921F">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电子加密投标文件的解密和异常情况处理</w:t>
            </w:r>
          </w:p>
        </w:tc>
        <w:tc>
          <w:tcPr>
            <w:tcW w:w="7513" w:type="dxa"/>
            <w:vAlign w:val="center"/>
          </w:tcPr>
          <w:p w14:paraId="4F77612A">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（1）开标后，采购组织机构将向各投标人发出“电子加密投标文件”的解密通知，各投标人代表应当在接到解密通知后30分钟内自行完成“电子加密投标文件”的在线解密。</w:t>
            </w:r>
          </w:p>
          <w:p w14:paraId="31D7610D">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2）通过“政府采购云平台”成功上传递交的“电子加密投标文件”无法按时解密，投标人如按规定递交了“备份投标文件”的，以“备份投标文件”为依据（由采购组织机构按“政府采购云平台”操作规范将“备份投标文件”上传至“政府采购云平台”，上传成功后，“电子加密投标文件”自动失效），否则视为投标文件撤回。</w:t>
            </w:r>
          </w:p>
          <w:p w14:paraId="2EB2EC91">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（3）投标截止时间前，投标人仅递交了“备份投标文件”而未将电子加密投标文件上传至“政府采购云平台”的，投标无效。</w:t>
            </w:r>
          </w:p>
        </w:tc>
      </w:tr>
      <w:tr w14:paraId="316D4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6C744B3F">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33</w:t>
            </w:r>
          </w:p>
        </w:tc>
        <w:tc>
          <w:tcPr>
            <w:tcW w:w="1978" w:type="dxa"/>
            <w:vAlign w:val="center"/>
          </w:tcPr>
          <w:p w14:paraId="4477ACF1">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投标有效期</w:t>
            </w:r>
          </w:p>
        </w:tc>
        <w:tc>
          <w:tcPr>
            <w:tcW w:w="7513" w:type="dxa"/>
            <w:vAlign w:val="center"/>
          </w:tcPr>
          <w:p w14:paraId="3E327989">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提交投标文件截止日起90天内。</w:t>
            </w:r>
          </w:p>
        </w:tc>
      </w:tr>
      <w:tr w14:paraId="0187A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48CBE56C">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34</w:t>
            </w:r>
          </w:p>
        </w:tc>
        <w:tc>
          <w:tcPr>
            <w:tcW w:w="1978" w:type="dxa"/>
            <w:vAlign w:val="center"/>
          </w:tcPr>
          <w:p w14:paraId="512D4D2E">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投标报价次数</w:t>
            </w:r>
          </w:p>
        </w:tc>
        <w:tc>
          <w:tcPr>
            <w:tcW w:w="7513" w:type="dxa"/>
            <w:vAlign w:val="center"/>
          </w:tcPr>
          <w:p w14:paraId="51F6BB98">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本次投标报价为一次不得更改报价，投标人只有一次报价的机会。投标报价不得有选择性报价和附有条件，且不得高于最高限价，否则，评标委员会按无效报价处理。</w:t>
            </w:r>
          </w:p>
        </w:tc>
      </w:tr>
      <w:tr w14:paraId="43AF5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4C1B19AD">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35</w:t>
            </w:r>
          </w:p>
        </w:tc>
        <w:tc>
          <w:tcPr>
            <w:tcW w:w="1978" w:type="dxa"/>
            <w:vAlign w:val="center"/>
          </w:tcPr>
          <w:p w14:paraId="46B4E44E">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构成招标文件的其他材料</w:t>
            </w:r>
          </w:p>
        </w:tc>
        <w:tc>
          <w:tcPr>
            <w:tcW w:w="7513" w:type="dxa"/>
            <w:vAlign w:val="center"/>
          </w:tcPr>
          <w:p w14:paraId="24A75D34">
            <w:pPr>
              <w:numPr>
                <w:ilvl w:val="255"/>
                <w:numId w:val="0"/>
              </w:numPr>
              <w:shd w:val="clear"/>
              <w:adjustRightInd w:val="0"/>
              <w:snapToGrid w:val="0"/>
              <w:spacing w:line="240" w:lineRule="auto"/>
              <w:jc w:val="left"/>
              <w:rPr>
                <w:rFonts w:hint="eastAsia" w:ascii="宋体" w:hAnsi="宋体" w:cs="宋体"/>
                <w:color w:val="auto"/>
                <w:highlight w:val="none"/>
              </w:rPr>
            </w:pPr>
            <w:r>
              <w:rPr>
                <w:rFonts w:hint="eastAsia" w:ascii="宋体" w:hAnsi="宋体" w:cs="宋体"/>
                <w:color w:val="auto"/>
                <w:highlight w:val="none"/>
              </w:rPr>
              <w:t>采购人依法依规对招标文件所做的澄清或修改，构成招标文件的组成部分</w:t>
            </w:r>
            <w:r>
              <w:rPr>
                <w:rFonts w:hint="eastAsia"/>
                <w:color w:val="auto"/>
                <w:highlight w:val="none"/>
              </w:rPr>
              <w:t>。</w:t>
            </w:r>
          </w:p>
        </w:tc>
      </w:tr>
      <w:tr w14:paraId="77DBC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38C456A1">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36</w:t>
            </w:r>
          </w:p>
        </w:tc>
        <w:tc>
          <w:tcPr>
            <w:tcW w:w="1978" w:type="dxa"/>
            <w:vAlign w:val="center"/>
          </w:tcPr>
          <w:p w14:paraId="5F3C27D7">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color w:val="auto"/>
                <w:highlight w:val="none"/>
              </w:rPr>
              <w:t>招标文件的澄清或修改</w:t>
            </w:r>
          </w:p>
        </w:tc>
        <w:tc>
          <w:tcPr>
            <w:tcW w:w="7513" w:type="dxa"/>
            <w:vAlign w:val="center"/>
          </w:tcPr>
          <w:p w14:paraId="21D15CA4">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color w:val="auto"/>
                <w:highlight w:val="none"/>
              </w:rPr>
              <w:t>澄清或修改内容详见浙江政府采购网本项目招标公告页面，投标人应密切关注上述公告页面的最新澄清信息。澄清和修改一经发布，视为投标人已获取。</w:t>
            </w:r>
          </w:p>
        </w:tc>
      </w:tr>
      <w:tr w14:paraId="04489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460308A2">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37</w:t>
            </w:r>
          </w:p>
        </w:tc>
        <w:tc>
          <w:tcPr>
            <w:tcW w:w="1978" w:type="dxa"/>
            <w:vAlign w:val="center"/>
          </w:tcPr>
          <w:p w14:paraId="7D6F0218">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质疑受理联系方式</w:t>
            </w:r>
          </w:p>
        </w:tc>
        <w:tc>
          <w:tcPr>
            <w:tcW w:w="7513" w:type="dxa"/>
            <w:vAlign w:val="center"/>
          </w:tcPr>
          <w:p w14:paraId="26B04B5B">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代理机构名称：衢州宇信工程咨询有限公司</w:t>
            </w:r>
          </w:p>
          <w:p w14:paraId="5447A69E">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机构地点：龙游县龙洲街道广和商务楼3楼306室 </w:t>
            </w:r>
          </w:p>
          <w:p w14:paraId="5BCFDCF4">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质疑联系人：徐女士</w:t>
            </w:r>
          </w:p>
          <w:p w14:paraId="505C6983">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质疑联系方式：0570-7018388</w:t>
            </w:r>
          </w:p>
        </w:tc>
      </w:tr>
      <w:tr w14:paraId="6A707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70CF52AD">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38</w:t>
            </w:r>
          </w:p>
        </w:tc>
        <w:tc>
          <w:tcPr>
            <w:tcW w:w="1978" w:type="dxa"/>
            <w:vAlign w:val="center"/>
          </w:tcPr>
          <w:p w14:paraId="5CA39781">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投诉</w:t>
            </w:r>
          </w:p>
        </w:tc>
        <w:tc>
          <w:tcPr>
            <w:tcW w:w="7513" w:type="dxa"/>
            <w:vAlign w:val="center"/>
          </w:tcPr>
          <w:p w14:paraId="0AF815FE">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根据《政府采购质疑和投诉办法》的规定，质疑投标人对采购人、采购代理机构的答复不满意或者采购人、采购代理机构未在规定的时间内作出答复的，可以在答复期满后15个工作日内向同级政府采购监督管理部门投诉。</w:t>
            </w:r>
          </w:p>
        </w:tc>
      </w:tr>
      <w:tr w14:paraId="634FF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7825E545">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39</w:t>
            </w:r>
          </w:p>
        </w:tc>
        <w:tc>
          <w:tcPr>
            <w:tcW w:w="1978" w:type="dxa"/>
            <w:vAlign w:val="center"/>
          </w:tcPr>
          <w:p w14:paraId="60D96D5E">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投诉受理联系方式</w:t>
            </w:r>
          </w:p>
        </w:tc>
        <w:tc>
          <w:tcPr>
            <w:tcW w:w="7513" w:type="dxa"/>
            <w:vAlign w:val="center"/>
          </w:tcPr>
          <w:p w14:paraId="10459F2B">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龙游县财政局政府采购监管科</w:t>
            </w:r>
          </w:p>
          <w:p w14:paraId="59F7FD4D">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联系人：严先生</w:t>
            </w:r>
          </w:p>
          <w:p w14:paraId="19BD5428">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监督投诉电话：0570﹣7011687</w:t>
            </w:r>
          </w:p>
          <w:p w14:paraId="0F524C90">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地址：龙游县莲湖路69号</w:t>
            </w:r>
          </w:p>
        </w:tc>
      </w:tr>
      <w:tr w14:paraId="43BA1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0D88EF8A">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40</w:t>
            </w:r>
          </w:p>
        </w:tc>
        <w:tc>
          <w:tcPr>
            <w:tcW w:w="1978" w:type="dxa"/>
            <w:vAlign w:val="center"/>
          </w:tcPr>
          <w:p w14:paraId="595A26AC">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投标截止时间</w:t>
            </w:r>
          </w:p>
        </w:tc>
        <w:tc>
          <w:tcPr>
            <w:tcW w:w="7513" w:type="dxa"/>
            <w:vAlign w:val="center"/>
          </w:tcPr>
          <w:p w14:paraId="728A6E65">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2025年</w:t>
            </w:r>
            <w:r>
              <w:rPr>
                <w:rFonts w:hint="eastAsia" w:ascii="宋体" w:hAnsi="宋体" w:cs="宋体"/>
                <w:color w:val="auto"/>
                <w:highlight w:val="none"/>
                <w:lang w:val="en-US" w:eastAsia="zh-CN"/>
              </w:rPr>
              <w:t>7</w:t>
            </w:r>
            <w:r>
              <w:rPr>
                <w:rFonts w:hint="eastAsia" w:ascii="宋体" w:hAnsi="宋体" w:cs="宋体"/>
                <w:color w:val="auto"/>
                <w:highlight w:val="none"/>
              </w:rPr>
              <w:t>月</w:t>
            </w:r>
            <w:r>
              <w:rPr>
                <w:rFonts w:hint="eastAsia" w:ascii="宋体" w:hAnsi="宋体" w:cs="宋体"/>
                <w:color w:val="auto"/>
                <w:highlight w:val="none"/>
                <w:lang w:val="en-US" w:eastAsia="zh-CN"/>
              </w:rPr>
              <w:t>17</w:t>
            </w:r>
            <w:r>
              <w:rPr>
                <w:rFonts w:hint="eastAsia" w:ascii="宋体" w:hAnsi="宋体" w:cs="宋体"/>
                <w:color w:val="auto"/>
                <w:highlight w:val="none"/>
              </w:rPr>
              <w:t>日9:30截止(北京时间)。</w:t>
            </w:r>
          </w:p>
        </w:tc>
      </w:tr>
      <w:tr w14:paraId="7F4CC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552BDD02">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41</w:t>
            </w:r>
          </w:p>
        </w:tc>
        <w:tc>
          <w:tcPr>
            <w:tcW w:w="1978" w:type="dxa"/>
            <w:vAlign w:val="center"/>
          </w:tcPr>
          <w:p w14:paraId="0ECA6B4C">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开标时间</w:t>
            </w:r>
          </w:p>
          <w:p w14:paraId="068306B9">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评审地点</w:t>
            </w:r>
          </w:p>
        </w:tc>
        <w:tc>
          <w:tcPr>
            <w:tcW w:w="7513" w:type="dxa"/>
            <w:vAlign w:val="center"/>
          </w:tcPr>
          <w:p w14:paraId="6BA59EF4">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开标时间：2025年</w:t>
            </w:r>
            <w:r>
              <w:rPr>
                <w:rFonts w:hint="eastAsia" w:ascii="宋体" w:hAnsi="宋体" w:cs="宋体"/>
                <w:color w:val="auto"/>
                <w:highlight w:val="none"/>
                <w:lang w:val="en-US" w:eastAsia="zh-CN"/>
              </w:rPr>
              <w:t>7</w:t>
            </w:r>
            <w:r>
              <w:rPr>
                <w:rFonts w:hint="eastAsia" w:ascii="宋体" w:hAnsi="宋体" w:cs="宋体"/>
                <w:color w:val="auto"/>
                <w:highlight w:val="none"/>
              </w:rPr>
              <w:t>月</w:t>
            </w:r>
            <w:r>
              <w:rPr>
                <w:rFonts w:hint="eastAsia" w:ascii="宋体" w:hAnsi="宋体" w:cs="宋体"/>
                <w:color w:val="auto"/>
                <w:highlight w:val="none"/>
                <w:lang w:val="en-US" w:eastAsia="zh-CN"/>
              </w:rPr>
              <w:t>17</w:t>
            </w:r>
            <w:r>
              <w:rPr>
                <w:rFonts w:hint="eastAsia" w:ascii="宋体" w:hAnsi="宋体" w:cs="宋体"/>
                <w:color w:val="auto"/>
                <w:highlight w:val="none"/>
              </w:rPr>
              <w:t>日9:30时(北京时间)</w:t>
            </w:r>
          </w:p>
          <w:p w14:paraId="4BCFD5E0">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评审地点：衢州市公共资源交易龙游县分中心1楼评标室2。</w:t>
            </w:r>
          </w:p>
        </w:tc>
      </w:tr>
      <w:tr w14:paraId="2D3E42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3F7FB472">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42</w:t>
            </w:r>
          </w:p>
        </w:tc>
        <w:tc>
          <w:tcPr>
            <w:tcW w:w="1978" w:type="dxa"/>
            <w:vAlign w:val="center"/>
          </w:tcPr>
          <w:p w14:paraId="213A5EA5">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评审委员会的</w:t>
            </w:r>
          </w:p>
          <w:p w14:paraId="574DA2A0">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组建</w:t>
            </w:r>
          </w:p>
        </w:tc>
        <w:tc>
          <w:tcPr>
            <w:tcW w:w="7513" w:type="dxa"/>
            <w:vAlign w:val="center"/>
          </w:tcPr>
          <w:p w14:paraId="5864C74A">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评审委员会构成：成员为5人及以上单数，其中评审专家不得少于总人数的2/3；评标专家确定方式：采购人代表1名，其余按相关规定从专家库中抽取。</w:t>
            </w:r>
          </w:p>
        </w:tc>
      </w:tr>
      <w:tr w14:paraId="51B96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48914DDA">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43</w:t>
            </w:r>
          </w:p>
        </w:tc>
        <w:tc>
          <w:tcPr>
            <w:tcW w:w="1978" w:type="dxa"/>
            <w:vAlign w:val="center"/>
          </w:tcPr>
          <w:p w14:paraId="09647DF7">
            <w:pPr>
              <w:keepNext w:val="0"/>
              <w:keepLines w:val="0"/>
              <w:suppressLineNumbers w:val="0"/>
              <w:shd w:val="clear"/>
              <w:adjustRightInd w:val="0"/>
              <w:snapToGrid w:val="0"/>
              <w:spacing w:before="0" w:beforeLines="0" w:beforeAutospacing="0" w:after="0" w:afterLines="0" w:afterAutospacing="0" w:line="240" w:lineRule="auto"/>
              <w:ind w:left="0" w:leftChars="0" w:right="0" w:rightChars="0" w:firstLine="0" w:firstLineChars="0"/>
              <w:jc w:val="center"/>
              <w:rPr>
                <w:rFonts w:hint="eastAsia" w:ascii="宋体" w:hAnsi="宋体" w:cs="宋体"/>
                <w:color w:val="auto"/>
                <w:highlight w:val="none"/>
              </w:rPr>
            </w:pPr>
            <w:r>
              <w:rPr>
                <w:rFonts w:hint="eastAsia" w:ascii="宋体" w:hAnsi="宋体" w:eastAsia="宋体" w:cs="宋体"/>
                <w:color w:val="auto"/>
                <w:sz w:val="24"/>
                <w:szCs w:val="24"/>
                <w:highlight w:val="none"/>
              </w:rPr>
              <w:t>面向中小企业预留情况及小微企业报价扣除标准</w:t>
            </w:r>
          </w:p>
        </w:tc>
        <w:tc>
          <w:tcPr>
            <w:tcW w:w="7513" w:type="dxa"/>
            <w:vAlign w:val="center"/>
          </w:tcPr>
          <w:p w14:paraId="228F7FD1">
            <w:pPr>
              <w:keepNext w:val="0"/>
              <w:keepLines w:val="0"/>
              <w:suppressLineNumbers w:val="0"/>
              <w:shd w:val="clear"/>
              <w:adjustRightInd w:val="0"/>
              <w:snapToGrid w:val="0"/>
              <w:spacing w:before="0" w:beforeLines="0" w:beforeAutospacing="0" w:after="0" w:afterLines="0" w:afterAutospacing="0" w:line="240" w:lineRule="auto"/>
              <w:ind w:left="0" w:right="0" w:firstLine="0" w:firstLineChars="0"/>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本项目为专门面向中小企业采购，小微企业不享受价格折扣优惠。</w:t>
            </w:r>
          </w:p>
          <w:p w14:paraId="154F7177">
            <w:pPr>
              <w:keepNext w:val="0"/>
              <w:keepLines w:val="0"/>
              <w:suppressLineNumbers w:val="0"/>
              <w:shd w:val="clear"/>
              <w:adjustRightInd w:val="0"/>
              <w:snapToGrid w:val="0"/>
              <w:spacing w:before="0" w:beforeLines="0" w:beforeAutospacing="0" w:after="0" w:afterLines="0" w:afterAutospacing="0" w:line="240" w:lineRule="auto"/>
              <w:ind w:left="0" w:leftChars="0" w:right="0" w:rightChars="0" w:firstLine="0" w:firstLineChars="0"/>
              <w:jc w:val="left"/>
              <w:rPr>
                <w:rFonts w:hint="eastAsia" w:ascii="宋体" w:hAnsi="宋体" w:cs="宋体"/>
                <w:color w:val="auto"/>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本项目非专门面向中小企业采购项目，小微企业报价给予</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0%（工程项目为</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%)的扣除，用扣除后的价格参与评审。</w:t>
            </w:r>
          </w:p>
        </w:tc>
      </w:tr>
      <w:tr w14:paraId="7059B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5113FBAD">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44</w:t>
            </w:r>
          </w:p>
        </w:tc>
        <w:tc>
          <w:tcPr>
            <w:tcW w:w="1978" w:type="dxa"/>
            <w:vAlign w:val="center"/>
          </w:tcPr>
          <w:p w14:paraId="06AAFC6F">
            <w:pPr>
              <w:keepNext w:val="0"/>
              <w:keepLines w:val="0"/>
              <w:suppressLineNumbers w:val="0"/>
              <w:shd w:val="clear"/>
              <w:adjustRightInd w:val="0"/>
              <w:snapToGrid w:val="0"/>
              <w:spacing w:before="0" w:beforeLines="0" w:beforeAutospacing="0" w:after="0" w:afterLines="0" w:afterAutospacing="0" w:line="240" w:lineRule="auto"/>
              <w:ind w:left="0" w:leftChars="0" w:right="0" w:rightChars="0" w:firstLine="0" w:firstLineChars="0"/>
              <w:jc w:val="center"/>
              <w:rPr>
                <w:rFonts w:hint="eastAsia" w:ascii="宋体" w:hAnsi="宋体" w:cs="宋体"/>
                <w:color w:val="auto"/>
                <w:highlight w:val="none"/>
              </w:rPr>
            </w:pPr>
            <w:r>
              <w:rPr>
                <w:rFonts w:hint="eastAsia" w:ascii="宋体" w:hAnsi="宋体" w:eastAsia="宋体" w:cs="宋体"/>
                <w:color w:val="auto"/>
                <w:sz w:val="24"/>
                <w:szCs w:val="24"/>
                <w:highlight w:val="none"/>
              </w:rPr>
              <w:t>项目属性、采购标的对应所属行业及行业划分标准</w:t>
            </w:r>
          </w:p>
        </w:tc>
        <w:tc>
          <w:tcPr>
            <w:tcW w:w="7513" w:type="dxa"/>
            <w:vAlign w:val="center"/>
          </w:tcPr>
          <w:p w14:paraId="7C769014">
            <w:pPr>
              <w:keepNext w:val="0"/>
              <w:keepLines w:val="0"/>
              <w:suppressLineNumbers w:val="0"/>
              <w:shd w:val="clear"/>
              <w:adjustRightInd w:val="0"/>
              <w:snapToGrid w:val="0"/>
              <w:spacing w:before="0" w:beforeLines="0" w:beforeAutospacing="0" w:after="0" w:afterLines="0" w:afterAutospacing="0" w:line="240" w:lineRule="auto"/>
              <w:ind w:left="0" w:right="0" w:firstLine="0" w:firstLineChars="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1.项目属性：</w:t>
            </w:r>
            <w:r>
              <w:rPr>
                <w:rFonts w:hint="eastAsia" w:ascii="宋体" w:hAnsi="宋体" w:eastAsia="宋体" w:cs="宋体"/>
                <w:color w:val="auto"/>
                <w:sz w:val="24"/>
                <w:szCs w:val="24"/>
                <w:highlight w:val="none"/>
                <w:u w:val="none"/>
                <w:lang w:val="en-US" w:eastAsia="zh-CN"/>
              </w:rPr>
              <w:t>服务</w:t>
            </w:r>
            <w:r>
              <w:rPr>
                <w:rFonts w:hint="eastAsia" w:ascii="宋体" w:hAnsi="宋体" w:eastAsia="宋体" w:cs="宋体"/>
                <w:color w:val="auto"/>
                <w:sz w:val="24"/>
                <w:szCs w:val="24"/>
                <w:highlight w:val="none"/>
                <w:u w:val="none"/>
                <w:lang w:val="zh-CN"/>
              </w:rPr>
              <w:t>类</w:t>
            </w:r>
            <w:r>
              <w:rPr>
                <w:rFonts w:hint="eastAsia" w:ascii="宋体" w:hAnsi="宋体" w:eastAsia="宋体" w:cs="宋体"/>
                <w:color w:val="auto"/>
                <w:sz w:val="24"/>
                <w:szCs w:val="24"/>
                <w:highlight w:val="none"/>
                <w:lang w:val="zh-CN"/>
              </w:rPr>
              <w:t>，采购标的对应所属行业：</w:t>
            </w:r>
            <w:r>
              <w:rPr>
                <w:rFonts w:hint="eastAsia" w:ascii="宋体" w:hAnsi="宋体" w:eastAsia="宋体" w:cs="宋体"/>
                <w:color w:val="auto"/>
                <w:highlight w:val="none"/>
                <w:lang w:val="zh-CN" w:eastAsia="zh-CN"/>
              </w:rPr>
              <w:t>其他未列明行业</w:t>
            </w:r>
            <w:r>
              <w:rPr>
                <w:rFonts w:hint="eastAsia" w:ascii="宋体" w:hAnsi="宋体" w:eastAsia="宋体" w:cs="宋体"/>
                <w:color w:val="auto"/>
                <w:sz w:val="24"/>
                <w:szCs w:val="24"/>
                <w:highlight w:val="none"/>
                <w:u w:val="none"/>
                <w:lang w:val="zh-CN" w:eastAsia="zh-CN"/>
              </w:rPr>
              <w:t>。</w:t>
            </w:r>
          </w:p>
          <w:p w14:paraId="50326028">
            <w:pPr>
              <w:keepNext w:val="0"/>
              <w:keepLines w:val="0"/>
              <w:suppressLineNumbers w:val="0"/>
              <w:shd w:val="clear"/>
              <w:adjustRightInd w:val="0"/>
              <w:snapToGrid w:val="0"/>
              <w:spacing w:before="0" w:beforeLines="0" w:beforeAutospacing="0" w:after="0" w:afterLines="0" w:afterAutospacing="0" w:line="240" w:lineRule="auto"/>
              <w:ind w:left="0" w:leftChars="0" w:right="0" w:rightChars="0" w:firstLine="0" w:firstLineChars="0"/>
              <w:jc w:val="left"/>
              <w:rPr>
                <w:rFonts w:hint="eastAsia" w:ascii="宋体" w:hAnsi="宋体" w:cs="宋体"/>
                <w:color w:val="auto"/>
                <w:highlight w:val="none"/>
              </w:rPr>
            </w:pPr>
            <w:r>
              <w:rPr>
                <w:rFonts w:hint="eastAsia" w:ascii="宋体" w:hAnsi="宋体" w:eastAsia="宋体" w:cs="宋体"/>
                <w:color w:val="auto"/>
                <w:sz w:val="24"/>
                <w:szCs w:val="24"/>
                <w:highlight w:val="none"/>
                <w:lang w:val="zh-CN"/>
              </w:rPr>
              <w:t>2.行业划分标准：</w:t>
            </w:r>
            <w:r>
              <w:rPr>
                <w:rFonts w:hint="eastAsia" w:ascii="宋体" w:hAnsi="宋体" w:eastAsia="宋体" w:cs="宋体"/>
                <w:color w:val="auto"/>
                <w:highlight w:val="none"/>
                <w:lang w:val="zh-CN" w:eastAsia="zh-CN"/>
              </w:rPr>
              <w:t>从业人员300人以下的为中小微型企业。其中，从业人员100人及以上的为中型企业；从业人员10人及以上的为小型企业；从业人员10人以下的为微型企业。</w:t>
            </w:r>
          </w:p>
        </w:tc>
      </w:tr>
      <w:tr w14:paraId="0190D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3D4C6A98">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45</w:t>
            </w:r>
          </w:p>
        </w:tc>
        <w:tc>
          <w:tcPr>
            <w:tcW w:w="1978" w:type="dxa"/>
            <w:vAlign w:val="center"/>
          </w:tcPr>
          <w:p w14:paraId="37A22E99">
            <w:pPr>
              <w:shd w:val="clear"/>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lang w:val="zh-CN"/>
              </w:rPr>
              <w:t>确定中标人</w:t>
            </w:r>
          </w:p>
        </w:tc>
        <w:tc>
          <w:tcPr>
            <w:tcW w:w="7513" w:type="dxa"/>
            <w:vAlign w:val="center"/>
          </w:tcPr>
          <w:p w14:paraId="63E27434">
            <w:pPr>
              <w:shd w:val="clear"/>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lang w:val="zh-CN"/>
              </w:rPr>
              <w:t>确定</w:t>
            </w:r>
            <w:r>
              <w:rPr>
                <w:rFonts w:hint="eastAsia" w:ascii="宋体" w:hAnsi="宋体" w:cs="宋体"/>
                <w:color w:val="auto"/>
                <w:highlight w:val="none"/>
              </w:rPr>
              <w:t>1</w:t>
            </w:r>
            <w:r>
              <w:rPr>
                <w:rFonts w:hint="eastAsia" w:ascii="宋体" w:hAnsi="宋体" w:cs="宋体"/>
                <w:color w:val="auto"/>
                <w:highlight w:val="none"/>
                <w:lang w:val="zh-CN"/>
              </w:rPr>
              <w:t>个中标人，中标结果在浙江政府采购网公告，公告期限为 1 个工作日。</w:t>
            </w:r>
          </w:p>
        </w:tc>
      </w:tr>
      <w:tr w14:paraId="4CA97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2D00E21F">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46</w:t>
            </w:r>
          </w:p>
        </w:tc>
        <w:tc>
          <w:tcPr>
            <w:tcW w:w="1978" w:type="dxa"/>
            <w:vAlign w:val="center"/>
          </w:tcPr>
          <w:p w14:paraId="15EF85C6">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投标人信用查询</w:t>
            </w:r>
          </w:p>
        </w:tc>
        <w:tc>
          <w:tcPr>
            <w:tcW w:w="7513" w:type="dxa"/>
            <w:vAlign w:val="center"/>
          </w:tcPr>
          <w:p w14:paraId="20EBB8FD">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1.投标人信用信息查询的查询渠道：“信用中国”(</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s="宋体"/>
                <w:color w:val="auto"/>
                <w:highlight w:val="none"/>
              </w:rPr>
              <w:t>www.creditchina.gov.cn</w:t>
            </w:r>
            <w:r>
              <w:rPr>
                <w:rFonts w:hint="eastAsia" w:ascii="宋体" w:hAnsi="宋体" w:cs="宋体"/>
                <w:color w:val="auto"/>
                <w:highlight w:val="none"/>
              </w:rPr>
              <w:fldChar w:fldCharType="end"/>
            </w:r>
            <w:r>
              <w:rPr>
                <w:rFonts w:hint="eastAsia" w:ascii="宋体" w:hAnsi="宋体" w:cs="宋体"/>
                <w:color w:val="auto"/>
                <w:highlight w:val="none"/>
              </w:rPr>
              <w:t>)；“中国政府采购网”（http://www.ccgp.gov.cn/）；</w:t>
            </w:r>
          </w:p>
          <w:p w14:paraId="0E2478A6">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2.投标人信用信息查询截止时点：采购公告至本项目投标截止时间前均可。</w:t>
            </w:r>
          </w:p>
          <w:p w14:paraId="28353303">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3.投标人信用信息查询记录和证据留存的具体方式：网页截图打印；</w:t>
            </w:r>
          </w:p>
          <w:p w14:paraId="1BF2CCDA">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4.信用信息的使用规则：截止评标当日，经查询“信用中国”“中国政府采购网”存在列入失信被执行人、重大税收违法案件当事人名单、政府采购严重违法失信行为记录名单及其他不符合《中华人民共和国政府采购法》第二十二条规定条件的投标人，其投标作无效投标处理。</w:t>
            </w:r>
          </w:p>
        </w:tc>
      </w:tr>
      <w:tr w14:paraId="07F47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1D879213">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47</w:t>
            </w:r>
          </w:p>
        </w:tc>
        <w:tc>
          <w:tcPr>
            <w:tcW w:w="1978" w:type="dxa"/>
            <w:vAlign w:val="center"/>
          </w:tcPr>
          <w:p w14:paraId="74FBB41F">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合同备案</w:t>
            </w:r>
          </w:p>
        </w:tc>
        <w:tc>
          <w:tcPr>
            <w:tcW w:w="7513" w:type="dxa"/>
            <w:vAlign w:val="center"/>
          </w:tcPr>
          <w:p w14:paraId="773A0591">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中标人须在中标通知书发出之日起30日内与采购人签订合同。</w:t>
            </w:r>
          </w:p>
        </w:tc>
      </w:tr>
      <w:tr w14:paraId="596A9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47E133F0">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48</w:t>
            </w:r>
          </w:p>
        </w:tc>
        <w:tc>
          <w:tcPr>
            <w:tcW w:w="1978" w:type="dxa"/>
            <w:vAlign w:val="center"/>
          </w:tcPr>
          <w:p w14:paraId="25926225">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纸质响应文件提交</w:t>
            </w:r>
          </w:p>
        </w:tc>
        <w:tc>
          <w:tcPr>
            <w:tcW w:w="7513" w:type="dxa"/>
            <w:vAlign w:val="center"/>
          </w:tcPr>
          <w:p w14:paraId="7BCBE4C1">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1.提交时间：中标人在中标结果公告结束后。</w:t>
            </w:r>
          </w:p>
          <w:p w14:paraId="5813AC9C">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2.邮寄地址：龙游县龙洲街道广和商务楼3楼306室。</w:t>
            </w:r>
          </w:p>
          <w:p w14:paraId="05D1B71D">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3.份数：与电子加密投标文件相一致的纸质投标文件3份，作为存档资料。</w:t>
            </w:r>
          </w:p>
        </w:tc>
      </w:tr>
      <w:tr w14:paraId="55C637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682BDFDA">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49</w:t>
            </w:r>
          </w:p>
        </w:tc>
        <w:tc>
          <w:tcPr>
            <w:tcW w:w="1978" w:type="dxa"/>
            <w:vAlign w:val="center"/>
          </w:tcPr>
          <w:p w14:paraId="7637A5C7">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投标文件的效力</w:t>
            </w:r>
          </w:p>
        </w:tc>
        <w:tc>
          <w:tcPr>
            <w:tcW w:w="7513" w:type="dxa"/>
            <w:vAlign w:val="center"/>
          </w:tcPr>
          <w:p w14:paraId="4FDFBF99">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投标文件的启用顺序：首先是电子投标文件，其次是备份电子投标文件。因网络或者其他问题造成电子投标文件无法正常解密，才能启用备份电子投标文件。备份电子投标文件一旦启用，则电子投标文件失效，不予启用；</w:t>
            </w:r>
          </w:p>
        </w:tc>
      </w:tr>
      <w:tr w14:paraId="54AE8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30502C25">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50</w:t>
            </w:r>
          </w:p>
        </w:tc>
        <w:tc>
          <w:tcPr>
            <w:tcW w:w="1978" w:type="dxa"/>
            <w:vAlign w:val="center"/>
          </w:tcPr>
          <w:p w14:paraId="0EBA646E">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免</w:t>
            </w:r>
            <w:r>
              <w:rPr>
                <w:rFonts w:hint="eastAsia" w:ascii="宋体" w:hAnsi="宋体" w:cs="宋体"/>
                <w:color w:val="auto"/>
                <w:highlight w:val="none"/>
                <w:lang w:val="en-US" w:eastAsia="zh-CN"/>
              </w:rPr>
              <w:t>责</w:t>
            </w:r>
            <w:r>
              <w:rPr>
                <w:rFonts w:hint="eastAsia" w:ascii="宋体" w:hAnsi="宋体" w:cs="宋体"/>
                <w:color w:val="auto"/>
                <w:highlight w:val="none"/>
              </w:rPr>
              <w:t>声明</w:t>
            </w:r>
          </w:p>
        </w:tc>
        <w:tc>
          <w:tcPr>
            <w:tcW w:w="7513" w:type="dxa"/>
            <w:vAlign w:val="center"/>
          </w:tcPr>
          <w:p w14:paraId="1FAB9366">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1.投标人自行承担投标过程中产生的费用。无论何种因素导致采购项目延期开标、废标（流标）、投标人未中标、项目终止采购的，采购人与代理机构均不承担投标人投标费用。</w:t>
            </w:r>
          </w:p>
          <w:p w14:paraId="144275D1">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2.投标人在投标、合同履行过程中必须做好安全保障工作，不因项目实施而危及自身及第三方人员、财产安全。若发生任何安全事故，由中标人自行承担一切责任并赔偿损失。</w:t>
            </w:r>
          </w:p>
        </w:tc>
      </w:tr>
      <w:tr w14:paraId="0FD1B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470507FA">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51</w:t>
            </w:r>
          </w:p>
        </w:tc>
        <w:tc>
          <w:tcPr>
            <w:tcW w:w="1978" w:type="dxa"/>
            <w:vAlign w:val="center"/>
          </w:tcPr>
          <w:p w14:paraId="270FDEBC">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解释权</w:t>
            </w:r>
          </w:p>
        </w:tc>
        <w:tc>
          <w:tcPr>
            <w:tcW w:w="7513" w:type="dxa"/>
            <w:vAlign w:val="center"/>
          </w:tcPr>
          <w:p w14:paraId="26E08EC4">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构成本招标文件的各个组成文件应互为解释，互为说明；如有不明确或不一致，构成合同文件组成内容的，以合同文件约定内容为准；仅适用于招标投标阶段的约定，按招标公告、投标人须知、评标办法、投标文件格式的先后顺序解释；同一文件中就同一事项的约定不一致的，以逻辑顺序在后者为准；同一文件不同版本之间有不一致的，以形成时间在后者为准。按本款前述约定仍不能形成结论的，由采购人负责解释。</w:t>
            </w:r>
          </w:p>
        </w:tc>
      </w:tr>
      <w:tr w14:paraId="5E090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7C9C6636">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52</w:t>
            </w:r>
          </w:p>
        </w:tc>
        <w:tc>
          <w:tcPr>
            <w:tcW w:w="1978" w:type="dxa"/>
            <w:vAlign w:val="center"/>
          </w:tcPr>
          <w:p w14:paraId="170A20CD">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注意事项</w:t>
            </w:r>
          </w:p>
        </w:tc>
        <w:tc>
          <w:tcPr>
            <w:tcW w:w="7513" w:type="dxa"/>
            <w:vAlign w:val="center"/>
          </w:tcPr>
          <w:p w14:paraId="7A99239F">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1.请务必确保投标文件制作客户端为最新版本，旧版本可能导致投标文件解密失败。</w:t>
            </w:r>
          </w:p>
          <w:p w14:paraId="5FF89215">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2.请务必确保投标文件制作时所用的 CA 锁与投标文件解密时的 CA 锁为同一把，否则可能导致投标文件解密失败。</w:t>
            </w:r>
          </w:p>
        </w:tc>
      </w:tr>
      <w:tr w14:paraId="52988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1C020F2A">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53</w:t>
            </w:r>
          </w:p>
        </w:tc>
        <w:tc>
          <w:tcPr>
            <w:tcW w:w="1978" w:type="dxa"/>
            <w:vAlign w:val="center"/>
          </w:tcPr>
          <w:p w14:paraId="160C8179">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发布网址</w:t>
            </w:r>
          </w:p>
        </w:tc>
        <w:tc>
          <w:tcPr>
            <w:tcW w:w="7513" w:type="dxa"/>
            <w:vAlign w:val="center"/>
          </w:tcPr>
          <w:p w14:paraId="78CFAFCF">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lang w:val="zh-CN"/>
              </w:rPr>
              <w:t>浙江省政府采购网</w:t>
            </w:r>
            <w:r>
              <w:rPr>
                <w:rFonts w:hint="eastAsia" w:ascii="宋体" w:hAnsi="宋体" w:cs="宋体"/>
                <w:color w:val="auto"/>
                <w:highlight w:val="none"/>
              </w:rPr>
              <w:t>（</w:t>
            </w:r>
            <w:r>
              <w:rPr>
                <w:color w:val="auto"/>
                <w:highlight w:val="none"/>
              </w:rPr>
              <w:fldChar w:fldCharType="begin"/>
            </w:r>
            <w:r>
              <w:rPr>
                <w:color w:val="auto"/>
                <w:highlight w:val="none"/>
              </w:rPr>
              <w:instrText xml:space="preserve"> HYPERLINK "http://zfcg.czt.zj.gov.cn/" </w:instrText>
            </w:r>
            <w:r>
              <w:rPr>
                <w:color w:val="auto"/>
                <w:highlight w:val="none"/>
              </w:rPr>
              <w:fldChar w:fldCharType="separate"/>
            </w:r>
            <w:r>
              <w:rPr>
                <w:rFonts w:hint="eastAsia" w:ascii="宋体" w:hAnsi="宋体" w:cs="宋体"/>
                <w:color w:val="auto"/>
                <w:highlight w:val="none"/>
              </w:rPr>
              <w:t>http://zfcg.czt.zj.gov.cn/</w:t>
            </w:r>
            <w:r>
              <w:rPr>
                <w:rFonts w:hint="eastAsia" w:ascii="宋体" w:hAnsi="宋体" w:cs="宋体"/>
                <w:color w:val="auto"/>
                <w:highlight w:val="none"/>
              </w:rPr>
              <w:fldChar w:fldCharType="end"/>
            </w:r>
            <w:r>
              <w:rPr>
                <w:rFonts w:hint="eastAsia" w:ascii="宋体" w:hAnsi="宋体" w:cs="宋体"/>
                <w:color w:val="auto"/>
                <w:highlight w:val="none"/>
              </w:rPr>
              <w:t>）。</w:t>
            </w:r>
          </w:p>
        </w:tc>
      </w:tr>
      <w:tr w14:paraId="5070D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3FD41EEE">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54</w:t>
            </w:r>
          </w:p>
        </w:tc>
        <w:tc>
          <w:tcPr>
            <w:tcW w:w="1978" w:type="dxa"/>
            <w:vAlign w:val="center"/>
          </w:tcPr>
          <w:p w14:paraId="47B3588B">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政采贷政策</w:t>
            </w:r>
          </w:p>
        </w:tc>
        <w:tc>
          <w:tcPr>
            <w:tcW w:w="7513" w:type="dxa"/>
            <w:vAlign w:val="center"/>
          </w:tcPr>
          <w:p w14:paraId="46589C4B">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为支持和促进中小企业发展，有需要的中标人可根据需要申请办理政府采购合同贷款（以下简称“政采贷”），具体要求、条件和操作教程可通过政采云首页右上角——网站导航——金融服务查看，也可拨打政采云客服热线95763咨询，或向各地已开通政采贷的银行咨询办理。</w:t>
            </w:r>
          </w:p>
        </w:tc>
      </w:tr>
      <w:tr w14:paraId="2155D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703" w:type="dxa"/>
            <w:vAlign w:val="center"/>
          </w:tcPr>
          <w:p w14:paraId="138B370D">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55</w:t>
            </w:r>
          </w:p>
        </w:tc>
        <w:tc>
          <w:tcPr>
            <w:tcW w:w="1978" w:type="dxa"/>
            <w:vAlign w:val="center"/>
          </w:tcPr>
          <w:p w14:paraId="5ECBB01C">
            <w:pPr>
              <w:shd w:val="clear"/>
              <w:adjustRightInd w:val="0"/>
              <w:snapToGrid w:val="0"/>
              <w:spacing w:line="240"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其他事宜</w:t>
            </w:r>
          </w:p>
        </w:tc>
        <w:tc>
          <w:tcPr>
            <w:tcW w:w="7513" w:type="dxa"/>
            <w:vAlign w:val="center"/>
          </w:tcPr>
          <w:p w14:paraId="472FF977">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1.投标文件解密时投标人须打开“政采云电子投标客户端”进行解密，使用解密的CA和加密的CA必须是同一把，在开始解密后30分钟内完成电子投标文件解密。若因投标人自身原因造成电子投标文件无法解密读取的，取消投标资格。</w:t>
            </w:r>
          </w:p>
          <w:p w14:paraId="16821529">
            <w:pPr>
              <w:shd w:val="clear"/>
              <w:adjustRightInd w:val="0"/>
              <w:snapToGrid w:val="0"/>
              <w:spacing w:line="240" w:lineRule="auto"/>
              <w:ind w:firstLine="0" w:firstLineChars="0"/>
              <w:jc w:val="left"/>
              <w:rPr>
                <w:rFonts w:hint="eastAsia" w:ascii="宋体" w:hAnsi="宋体" w:cs="宋体"/>
                <w:color w:val="auto"/>
                <w:highlight w:val="none"/>
                <w:lang w:val="zh-CN"/>
              </w:rPr>
            </w:pPr>
            <w:r>
              <w:rPr>
                <w:rFonts w:hint="eastAsia" w:ascii="宋体" w:hAnsi="宋体" w:cs="宋体"/>
                <w:color w:val="auto"/>
                <w:highlight w:val="none"/>
              </w:rPr>
              <w:t>2.CA证书办理：CA驱动和申领流程，登录浙江政府采购网-下载专区-政采云电子交易客户端版块（网址：</w:t>
            </w:r>
            <w:r>
              <w:rPr>
                <w:color w:val="auto"/>
                <w:highlight w:val="none"/>
              </w:rPr>
              <w:fldChar w:fldCharType="begin"/>
            </w:r>
            <w:r>
              <w:rPr>
                <w:color w:val="auto"/>
                <w:highlight w:val="none"/>
              </w:rPr>
              <w:instrText xml:space="preserve"> HYPERLINK "http://zfcg.czt.zj.gov.cn/bidClientTemplate/2019-05-27/12945.html。" </w:instrText>
            </w:r>
            <w:r>
              <w:rPr>
                <w:color w:val="auto"/>
                <w:highlight w:val="none"/>
              </w:rPr>
              <w:fldChar w:fldCharType="separate"/>
            </w:r>
            <w:r>
              <w:rPr>
                <w:rFonts w:hint="eastAsia" w:ascii="宋体" w:hAnsi="宋体" w:cs="宋体"/>
                <w:color w:val="auto"/>
                <w:highlight w:val="none"/>
              </w:rPr>
              <w:t>http://zfcg.czt.zj.gov.cn/bidClientTemplate/2019-05-27/12945.html</w:t>
            </w:r>
            <w:r>
              <w:rPr>
                <w:rFonts w:hint="eastAsia" w:ascii="宋体" w:hAnsi="宋体" w:cs="宋体"/>
                <w:color w:val="auto"/>
                <w:highlight w:val="none"/>
              </w:rPr>
              <w:fldChar w:fldCharType="end"/>
            </w:r>
            <w:r>
              <w:rPr>
                <w:rFonts w:hint="eastAsia" w:ascii="宋体" w:hAnsi="宋体" w:cs="宋体"/>
                <w:color w:val="auto"/>
                <w:highlight w:val="none"/>
              </w:rPr>
              <w:t>）</w:t>
            </w:r>
            <w:r>
              <w:rPr>
                <w:rFonts w:hint="eastAsia" w:ascii="宋体" w:hAnsi="宋体" w:cs="宋体"/>
                <w:color w:val="auto"/>
                <w:highlight w:val="none"/>
                <w:lang w:val="zh-CN"/>
              </w:rPr>
              <w:t>。潜在投标人应在投标文件提交截止前完成CA数字证书办理，完成CA证书办理预计7天左右，建议潜在投标人抓紧时间办理。因未注册入库、未办理CA数字证书等原因造成无法参加本次采购活动或投标失败等后果由潜在投标人自行承担。</w:t>
            </w:r>
          </w:p>
          <w:p w14:paraId="177291F3">
            <w:pPr>
              <w:shd w:val="clear"/>
              <w:adjustRightInd w:val="0"/>
              <w:snapToGrid w:val="0"/>
              <w:spacing w:line="240" w:lineRule="auto"/>
              <w:ind w:firstLine="0" w:firstLineChars="0"/>
              <w:jc w:val="left"/>
              <w:rPr>
                <w:rFonts w:hint="eastAsia" w:ascii="宋体" w:hAnsi="宋体" w:cs="宋体"/>
                <w:color w:val="auto"/>
                <w:highlight w:val="none"/>
              </w:rPr>
            </w:pPr>
            <w:r>
              <w:rPr>
                <w:rFonts w:hint="eastAsia" w:ascii="宋体" w:hAnsi="宋体" w:cs="宋体"/>
                <w:color w:val="auto"/>
                <w:highlight w:val="none"/>
                <w:lang w:val="zh-CN"/>
              </w:rPr>
              <w:t>3.本项目采购活动全流程实行电子化，在使用系统进行投标的过程中遇到涉及平台使用的任何问题，致电政采云平台技术支持咨询（电话95763）。</w:t>
            </w:r>
          </w:p>
        </w:tc>
      </w:tr>
      <w:bookmarkEnd w:id="266"/>
    </w:tbl>
    <w:p w14:paraId="7569A799">
      <w:pPr>
        <w:pStyle w:val="3"/>
        <w:numPr>
          <w:ilvl w:val="1"/>
          <w:numId w:val="0"/>
        </w:numPr>
        <w:shd w:val="clear"/>
        <w:spacing w:beforeLines="0" w:afterLines="0" w:line="288" w:lineRule="auto"/>
        <w:rPr>
          <w:rFonts w:hint="eastAsia" w:ascii="宋体" w:hAnsi="宋体" w:cs="宋体"/>
          <w:color w:val="auto"/>
          <w:highlight w:val="none"/>
        </w:rPr>
      </w:pPr>
      <w:bookmarkStart w:id="267" w:name="_Toc9260"/>
      <w:r>
        <w:rPr>
          <w:rFonts w:hint="eastAsia" w:ascii="宋体" w:hAnsi="宋体" w:cs="宋体"/>
          <w:color w:val="auto"/>
          <w:highlight w:val="none"/>
        </w:rPr>
        <w:t>一、投标须知</w:t>
      </w:r>
      <w:bookmarkEnd w:id="267"/>
    </w:p>
    <w:p w14:paraId="714F94F6">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hint="eastAsia" w:ascii="宋体" w:hAnsi="宋体" w:cs="宋体"/>
          <w:b/>
          <w:bCs/>
          <w:color w:val="auto"/>
          <w:highlight w:val="none"/>
        </w:rPr>
        <w:t>适用范围</w:t>
      </w:r>
    </w:p>
    <w:p w14:paraId="15128F4A">
      <w:pPr>
        <w:shd w:val="clear"/>
        <w:tabs>
          <w:tab w:val="left" w:pos="0"/>
          <w:tab w:val="left" w:pos="900"/>
          <w:tab w:val="left" w:pos="7020"/>
          <w:tab w:val="left" w:pos="8460"/>
        </w:tabs>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本招标文件仅适用于本次招标采购项目的招标、投标、评标、定标、验收、合同履约、付款等行为。</w:t>
      </w:r>
    </w:p>
    <w:p w14:paraId="040FCF58">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hint="eastAsia" w:ascii="宋体" w:hAnsi="宋体" w:cs="宋体"/>
          <w:b/>
          <w:bCs/>
          <w:color w:val="auto"/>
          <w:highlight w:val="none"/>
        </w:rPr>
        <w:t>定义</w:t>
      </w:r>
    </w:p>
    <w:p w14:paraId="6D92250E">
      <w:pPr>
        <w:shd w:val="clear"/>
        <w:tabs>
          <w:tab w:val="left" w:pos="0"/>
        </w:tabs>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2.1“采购人”系指本次采购货物/服务的购买单位。</w:t>
      </w:r>
    </w:p>
    <w:p w14:paraId="1AA46BDF">
      <w:pPr>
        <w:shd w:val="clear"/>
        <w:tabs>
          <w:tab w:val="left" w:pos="0"/>
        </w:tabs>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2.2“投标人”系指是指参加政府采购活动，有意愿向采购人提供货物、工程或者服务的法人。</w:t>
      </w:r>
    </w:p>
    <w:p w14:paraId="30CAFF23">
      <w:pPr>
        <w:shd w:val="clear"/>
        <w:tabs>
          <w:tab w:val="left" w:pos="0"/>
        </w:tabs>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2.3采购代理机构（采购组织机构），是指在采购活动中根据</w:t>
      </w:r>
      <w:r>
        <w:rPr>
          <w:color w:val="auto"/>
          <w:highlight w:val="none"/>
        </w:rPr>
        <w:fldChar w:fldCharType="begin"/>
      </w:r>
      <w:r>
        <w:rPr>
          <w:color w:val="auto"/>
          <w:highlight w:val="none"/>
        </w:rPr>
        <w:instrText xml:space="preserve"> HYPERLINK "http://www.so.com/s?q=%E9%87%87%E8%B4%AD%E4%BA%BA&amp;ie=utf-8&amp;src=internal_wenda_recommend_textn" \t "https://wenda.so.com/q/_blank" </w:instrText>
      </w:r>
      <w:r>
        <w:rPr>
          <w:color w:val="auto"/>
          <w:highlight w:val="none"/>
        </w:rPr>
        <w:fldChar w:fldCharType="separate"/>
      </w:r>
      <w:r>
        <w:rPr>
          <w:rFonts w:hint="eastAsia" w:ascii="宋体" w:hAnsi="宋体" w:cs="宋体"/>
          <w:color w:val="auto"/>
          <w:highlight w:val="none"/>
        </w:rPr>
        <w:t>采购人</w:t>
      </w:r>
      <w:r>
        <w:rPr>
          <w:rFonts w:hint="eastAsia" w:ascii="宋体" w:hAnsi="宋体" w:cs="宋体"/>
          <w:color w:val="auto"/>
          <w:highlight w:val="none"/>
        </w:rPr>
        <w:fldChar w:fldCharType="end"/>
      </w:r>
      <w:r>
        <w:rPr>
          <w:rFonts w:hint="eastAsia" w:ascii="宋体" w:hAnsi="宋体" w:cs="宋体"/>
          <w:color w:val="auto"/>
          <w:highlight w:val="none"/>
        </w:rPr>
        <w:t>的委托代理采购</w:t>
      </w:r>
      <w:r>
        <w:rPr>
          <w:color w:val="auto"/>
          <w:highlight w:val="none"/>
        </w:rPr>
        <w:fldChar w:fldCharType="begin"/>
      </w:r>
      <w:r>
        <w:rPr>
          <w:color w:val="auto"/>
          <w:highlight w:val="none"/>
        </w:rPr>
        <w:instrText xml:space="preserve"> HYPERLINK "http://www.so.com/s?q=%E4%BA%8B%E5%AE%9C&amp;ie=utf-8&amp;src=internal_wenda_recommend_textn" \t "https://wenda.so.com/q/_blank" </w:instrText>
      </w:r>
      <w:r>
        <w:rPr>
          <w:color w:val="auto"/>
          <w:highlight w:val="none"/>
        </w:rPr>
        <w:fldChar w:fldCharType="separate"/>
      </w:r>
      <w:r>
        <w:rPr>
          <w:rFonts w:hint="eastAsia" w:ascii="宋体" w:hAnsi="宋体" w:cs="宋体"/>
          <w:color w:val="auto"/>
          <w:highlight w:val="none"/>
        </w:rPr>
        <w:t>事宜</w:t>
      </w:r>
      <w:r>
        <w:rPr>
          <w:rFonts w:hint="eastAsia" w:ascii="宋体" w:hAnsi="宋体" w:cs="宋体"/>
          <w:color w:val="auto"/>
          <w:highlight w:val="none"/>
        </w:rPr>
        <w:fldChar w:fldCharType="end"/>
      </w:r>
      <w:r>
        <w:rPr>
          <w:rFonts w:hint="eastAsia" w:ascii="宋体" w:hAnsi="宋体" w:cs="宋体"/>
          <w:color w:val="auto"/>
          <w:highlight w:val="none"/>
        </w:rPr>
        <w:t>的机构。</w:t>
      </w:r>
    </w:p>
    <w:p w14:paraId="76AAB33C">
      <w:pPr>
        <w:shd w:val="clear"/>
        <w:tabs>
          <w:tab w:val="left" w:pos="0"/>
        </w:tabs>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2.4原件，是指原始件（即：资料生成时的原始形态，包括所加盖的印章、相关人员的签字笔迹等均是原始印痕、印迹和行迹）。</w:t>
      </w:r>
    </w:p>
    <w:p w14:paraId="0DAAF69E">
      <w:pPr>
        <w:shd w:val="clear"/>
        <w:tabs>
          <w:tab w:val="left" w:pos="0"/>
        </w:tabs>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2.5书面形式，包括文字的打印或扫描件、传真、信函、电传、电报、电子邮件、</w:t>
      </w:r>
      <w:r>
        <w:rPr>
          <w:rFonts w:hint="eastAsia" w:ascii="宋体" w:hAnsi="宋体" w:cs="宋体"/>
          <w:color w:val="auto"/>
          <w:highlight w:val="none"/>
          <w:lang w:val="zh-CN"/>
        </w:rPr>
        <w:t>浙江政府采购网</w:t>
      </w:r>
      <w:r>
        <w:rPr>
          <w:rFonts w:hint="eastAsia" w:ascii="宋体" w:hAnsi="宋体" w:cs="宋体"/>
          <w:color w:val="auto"/>
          <w:highlight w:val="none"/>
        </w:rPr>
        <w:t>发布的公告等可以有形地表现所载内容的形式。</w:t>
      </w:r>
    </w:p>
    <w:p w14:paraId="72C3BB93">
      <w:pPr>
        <w:shd w:val="clear"/>
        <w:tabs>
          <w:tab w:val="left" w:pos="0"/>
        </w:tabs>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2.6投标人公章，是指投标人用自己法定主体行为名称制作的签名印章。不得使用专用章（如经济合同章、投标专用章、业务专用章等）或下属单位印章代替。</w:t>
      </w:r>
    </w:p>
    <w:p w14:paraId="59FFEEBC">
      <w:pPr>
        <w:shd w:val="clear"/>
        <w:tabs>
          <w:tab w:val="left" w:pos="0"/>
        </w:tabs>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2.7“▲”是投标人按本招标文件要求必须实质性响应的条款，有任何一项缺失或非实质性响应将取消其投标资格。</w:t>
      </w:r>
    </w:p>
    <w:p w14:paraId="4A7697B6">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hint="eastAsia" w:ascii="宋体" w:hAnsi="宋体" w:cs="宋体"/>
          <w:b/>
          <w:bCs/>
          <w:color w:val="auto"/>
          <w:highlight w:val="none"/>
        </w:rPr>
        <w:t>投标费用</w:t>
      </w:r>
    </w:p>
    <w:p w14:paraId="42A6ECCC">
      <w:pPr>
        <w:shd w:val="clear"/>
        <w:tabs>
          <w:tab w:val="left" w:pos="0"/>
          <w:tab w:val="left" w:pos="900"/>
          <w:tab w:val="left" w:pos="7020"/>
          <w:tab w:val="left" w:pos="8460"/>
        </w:tabs>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不论投标结果如何，投标人均应自行承担所有与投标有关的全部费用。</w:t>
      </w:r>
    </w:p>
    <w:p w14:paraId="18D7131F">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hint="eastAsia" w:ascii="宋体" w:hAnsi="宋体" w:cs="宋体"/>
          <w:b/>
          <w:bCs/>
          <w:color w:val="auto"/>
          <w:highlight w:val="none"/>
        </w:rPr>
        <w:t>采购方式</w:t>
      </w:r>
    </w:p>
    <w:p w14:paraId="0E054AE8">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4.1采购组织形式分散采购委托代理。</w:t>
      </w:r>
    </w:p>
    <w:p w14:paraId="7C17540F">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4.2采用公开招标采购方式。</w:t>
      </w:r>
    </w:p>
    <w:p w14:paraId="2600C2FB">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hint="eastAsia" w:ascii="宋体" w:hAnsi="宋体" w:cs="宋体"/>
          <w:b/>
          <w:bCs/>
          <w:color w:val="auto"/>
          <w:highlight w:val="none"/>
        </w:rPr>
        <w:t>落实政府采购政府需满足的要求</w:t>
      </w:r>
    </w:p>
    <w:p w14:paraId="0644D0A8">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5.1小微企业</w:t>
      </w:r>
    </w:p>
    <w:p w14:paraId="19057CB9">
      <w:pPr>
        <w:pStyle w:val="36"/>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5.1.1可享受中小企业扶持政策的条件</w:t>
      </w:r>
    </w:p>
    <w:p w14:paraId="028E87D3">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依照财政部工业和信息化部《政府采购促进中小企业发展管理办法》（财库(2020）46号)规定，中型、小型和微型企业参加政府采购活动的须提供《中小企业声明函》（格式见附件），否则不得享受相关中小企业扶持政策。</w:t>
      </w:r>
    </w:p>
    <w:p w14:paraId="30FD4920">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(1)在货物采购项目中，货物应当由中小企业制造，不对其中涉及的服务的承接商作出要求。货物由中小企业生产且使用该中小企业商号或者注册商标投标人 提供的货物既有中小企业制造货物，也有大型企业制造货物的，不享受本办法规定的中小企业扶持政策。</w:t>
      </w:r>
    </w:p>
    <w:p w14:paraId="7FEB0F30">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(2)在工程采购项目中，工程应当由中小企业承建，不对其中涉及的货物的制造商和服务的承接商作出要求。</w:t>
      </w:r>
    </w:p>
    <w:p w14:paraId="77B2AEFA">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(3)在服务采购项目中，服务的承接商应当为中小企业，不对其中涉及的货物的制造商作出要求。</w:t>
      </w:r>
    </w:p>
    <w:p w14:paraId="1CEFA77B">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5.1.2中小企业划型标准</w:t>
      </w:r>
    </w:p>
    <w:p w14:paraId="30F8DA7F">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中小企业，是指在中华人民共和国境内依法设立，依据《关于印发中小企业划型标准规定的通知》（工信部联企业(2011）300号)确定的中型企业、小型企业和微型企业，但与大企业的负责人为同一人，或者与大企业存在直接控股、管理关系的除外。</w:t>
      </w:r>
    </w:p>
    <w:p w14:paraId="55E3188C">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符合中小企业划分标准的个体工商户，在政府采购活动中视同中小企业。</w:t>
      </w:r>
    </w:p>
    <w:p w14:paraId="0431879B">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5.1.3中小企业行业划分标准和对应所属行业</w:t>
      </w:r>
    </w:p>
    <w:p w14:paraId="7B2C097D">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详见投标人须知前附表。</w:t>
      </w:r>
    </w:p>
    <w:p w14:paraId="63750BDA">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5.1.4不可享受中小企业扶持政策的情形</w:t>
      </w:r>
    </w:p>
    <w:p w14:paraId="1C548563">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1)监狱企业、残疾人福利性单位属于小型微型企业的，不重复享受小微企业优惠政策。</w:t>
      </w:r>
    </w:p>
    <w:p w14:paraId="718DDC9C">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2)事业单位和社会组织不属于企业。参加货物采购项目，其提供的货物属于中小企业制造的，可以享受该办法规定的中小企业扶持政策。参加工程、服务采购项目不享受小微企业扶持政策。</w:t>
      </w:r>
    </w:p>
    <w:p w14:paraId="6A554EF8">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5.2监狱企业</w:t>
      </w:r>
    </w:p>
    <w:p w14:paraId="65C37B80">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（1）根据财政部、司法部《关于政府采购支持监狱企业发展有关问题的通知》(财库〔2014〕68号)文件精神</w:t>
      </w:r>
      <w:r>
        <w:rPr>
          <w:rFonts w:hint="eastAsia" w:ascii="宋体" w:hAnsi="宋体" w:cs="宋体"/>
          <w:color w:val="auto"/>
          <w:highlight w:val="none"/>
          <w:lang w:eastAsia="zh-CN"/>
        </w:rPr>
        <w:t>，</w:t>
      </w:r>
      <w:r>
        <w:rPr>
          <w:rFonts w:hint="eastAsia" w:ascii="宋体" w:hAnsi="宋体" w:cs="宋体"/>
          <w:color w:val="auto"/>
          <w:highlight w:val="none"/>
        </w:rPr>
        <w:t>监狱企业视同小微企业。</w:t>
      </w:r>
    </w:p>
    <w:p w14:paraId="1765BD90">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（2）监狱企业应当提供《监狱企业声明函》及由省级以上监狱管理局、戒毒管理局(含新疆生产建设兵团)出具的属于监狱企业的证明文件</w:t>
      </w:r>
      <w:r>
        <w:rPr>
          <w:rFonts w:hint="eastAsia" w:ascii="宋体" w:hAnsi="宋体" w:cs="宋体"/>
          <w:color w:val="auto"/>
          <w:highlight w:val="none"/>
          <w:lang w:eastAsia="zh-CN"/>
        </w:rPr>
        <w:t>，</w:t>
      </w:r>
      <w:r>
        <w:rPr>
          <w:rFonts w:hint="eastAsia" w:ascii="宋体" w:hAnsi="宋体" w:cs="宋体"/>
          <w:color w:val="auto"/>
          <w:highlight w:val="none"/>
        </w:rPr>
        <w:t>否则不予认可。</w:t>
      </w:r>
    </w:p>
    <w:p w14:paraId="3525EB8B">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5.3 残疾人福利性单位</w:t>
      </w:r>
    </w:p>
    <w:p w14:paraId="0ACA101C">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（1）根据财政部 民政部 中国残疾人联合会《关于促进残疾人就业政府采购政策的通知》(财库〔2017〕141号)文件精神</w:t>
      </w:r>
      <w:r>
        <w:rPr>
          <w:rFonts w:hint="eastAsia" w:ascii="宋体" w:hAnsi="宋体" w:cs="宋体"/>
          <w:color w:val="auto"/>
          <w:highlight w:val="none"/>
          <w:lang w:eastAsia="zh-CN"/>
        </w:rPr>
        <w:t>，</w:t>
      </w:r>
      <w:r>
        <w:rPr>
          <w:rFonts w:hint="eastAsia" w:ascii="宋体" w:hAnsi="宋体" w:cs="宋体"/>
          <w:color w:val="auto"/>
          <w:highlight w:val="none"/>
        </w:rPr>
        <w:t>残疾人福利性单位视同小微企业。</w:t>
      </w:r>
    </w:p>
    <w:p w14:paraId="04D8C922">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（2）残疾人福利性单位应当提供《残疾人福利性单位声明函》</w:t>
      </w:r>
      <w:r>
        <w:rPr>
          <w:rFonts w:hint="eastAsia" w:ascii="宋体" w:hAnsi="宋体" w:cs="宋体"/>
          <w:color w:val="auto"/>
          <w:highlight w:val="none"/>
          <w:lang w:eastAsia="zh-CN"/>
        </w:rPr>
        <w:t>，</w:t>
      </w:r>
      <w:r>
        <w:rPr>
          <w:rFonts w:hint="eastAsia" w:ascii="宋体" w:hAnsi="宋体" w:cs="宋体"/>
          <w:color w:val="auto"/>
          <w:highlight w:val="none"/>
        </w:rPr>
        <w:t>否则不予认可。</w:t>
      </w:r>
    </w:p>
    <w:p w14:paraId="0BA8D15B">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hint="eastAsia" w:ascii="宋体" w:hAnsi="宋体" w:cs="宋体"/>
          <w:b/>
          <w:bCs/>
          <w:color w:val="auto"/>
          <w:highlight w:val="none"/>
        </w:rPr>
        <w:t>联合体投标</w:t>
      </w:r>
    </w:p>
    <w:p w14:paraId="667445C8">
      <w:pPr>
        <w:shd w:val="clear"/>
        <w:adjustRightInd w:val="0"/>
        <w:snapToGrid w:val="0"/>
        <w:spacing w:line="312" w:lineRule="auto"/>
        <w:ind w:firstLine="480"/>
        <w:jc w:val="left"/>
        <w:rPr>
          <w:rFonts w:hint="eastAsia" w:ascii="宋体" w:hAnsi="宋体" w:cs="宋体"/>
          <w:color w:val="auto"/>
          <w:kern w:val="0"/>
          <w:highlight w:val="none"/>
        </w:rPr>
      </w:pPr>
      <w:r>
        <w:rPr>
          <w:rFonts w:hint="eastAsia" w:ascii="宋体" w:hAnsi="宋体" w:cs="宋体"/>
          <w:color w:val="auto"/>
          <w:kern w:val="0"/>
          <w:highlight w:val="none"/>
        </w:rPr>
        <w:t>本项目不接受联合体投标。</w:t>
      </w:r>
    </w:p>
    <w:p w14:paraId="15A5EC91">
      <w:pPr>
        <w:numPr>
          <w:ilvl w:val="0"/>
          <w:numId w:val="4"/>
        </w:numPr>
        <w:shd w:val="clear"/>
        <w:tabs>
          <w:tab w:val="left" w:pos="0"/>
        </w:tabs>
        <w:adjustRightInd w:val="0"/>
        <w:snapToGrid w:val="0"/>
        <w:spacing w:line="312" w:lineRule="auto"/>
        <w:ind w:firstLine="482"/>
        <w:rPr>
          <w:rFonts w:hint="eastAsia" w:ascii="宋体" w:hAnsi="宋体" w:cs="宋体"/>
          <w:color w:val="auto"/>
          <w:kern w:val="0"/>
          <w:highlight w:val="none"/>
        </w:rPr>
      </w:pPr>
      <w:r>
        <w:rPr>
          <w:rFonts w:hint="eastAsia" w:ascii="宋体" w:hAnsi="宋体" w:cs="宋体"/>
          <w:b/>
          <w:bCs/>
          <w:color w:val="auto"/>
          <w:highlight w:val="none"/>
        </w:rPr>
        <w:t>转包与分包</w:t>
      </w:r>
    </w:p>
    <w:p w14:paraId="1971212A">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中标人不得将本项目转包</w:t>
      </w:r>
      <w:r>
        <w:rPr>
          <w:rFonts w:hint="eastAsia" w:ascii="宋体" w:hAnsi="宋体" w:cs="宋体"/>
          <w:color w:val="auto"/>
          <w:highlight w:val="none"/>
          <w:lang w:val="en-US" w:eastAsia="zh-CN"/>
        </w:rPr>
        <w:t>与分包</w:t>
      </w:r>
      <w:r>
        <w:rPr>
          <w:rFonts w:hint="eastAsia" w:ascii="宋体" w:hAnsi="宋体" w:cs="宋体"/>
          <w:color w:val="auto"/>
          <w:highlight w:val="none"/>
        </w:rPr>
        <w:t>。如发生转包的违法行为，采购人有权终止</w:t>
      </w:r>
      <w:r>
        <w:rPr>
          <w:rFonts w:hint="eastAsia" w:ascii="宋体" w:hAnsi="宋体" w:cs="宋体"/>
          <w:color w:val="auto"/>
          <w:highlight w:val="none"/>
          <w:lang w:val="en-US" w:eastAsia="zh-CN"/>
        </w:rPr>
        <w:t>采购</w:t>
      </w:r>
      <w:r>
        <w:rPr>
          <w:rFonts w:hint="eastAsia" w:ascii="宋体" w:hAnsi="宋体" w:cs="宋体"/>
          <w:color w:val="auto"/>
          <w:highlight w:val="none"/>
        </w:rPr>
        <w:t>合同，由此所发生的一切损失均由中标人承担。</w:t>
      </w:r>
    </w:p>
    <w:p w14:paraId="2411FB5C">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hint="eastAsia" w:ascii="宋体" w:hAnsi="宋体" w:cs="宋体"/>
          <w:b/>
          <w:bCs/>
          <w:color w:val="auto"/>
          <w:highlight w:val="none"/>
        </w:rPr>
        <w:t>▲特别说明：</w:t>
      </w:r>
    </w:p>
    <w:p w14:paraId="60E4CD9D">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8.1投标人投标所使用的资格、信誉、荣誉、业绩与企业认证必须为本法人所拥有。</w:t>
      </w:r>
    </w:p>
    <w:p w14:paraId="44B0EE08">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8.2投标人应仔细阅读招标文件的所有内容，按照招标文件的要求提交投标文件，并对所提供的全部资料的真实性承担法律责任。</w:t>
      </w:r>
    </w:p>
    <w:p w14:paraId="52A87542">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8.3投标人在投标活动中提供任何虚假材料</w:t>
      </w:r>
      <w:r>
        <w:rPr>
          <w:rFonts w:hint="eastAsia" w:ascii="宋体" w:hAnsi="宋体" w:cs="宋体"/>
          <w:color w:val="auto"/>
          <w:highlight w:val="none"/>
          <w:lang w:eastAsia="zh-CN"/>
        </w:rPr>
        <w:t>，</w:t>
      </w:r>
      <w:r>
        <w:rPr>
          <w:rFonts w:hint="eastAsia" w:ascii="宋体" w:hAnsi="宋体" w:cs="宋体"/>
          <w:color w:val="auto"/>
          <w:highlight w:val="none"/>
        </w:rPr>
        <w:t>其投标无效，并报监管部门查处；中标后发现的</w:t>
      </w:r>
      <w:r>
        <w:rPr>
          <w:rFonts w:hint="eastAsia" w:ascii="宋体" w:hAnsi="宋体" w:cs="宋体"/>
          <w:color w:val="auto"/>
          <w:highlight w:val="none"/>
          <w:lang w:eastAsia="zh-CN"/>
        </w:rPr>
        <w:t>，</w:t>
      </w:r>
      <w:r>
        <w:rPr>
          <w:rFonts w:hint="eastAsia" w:ascii="宋体" w:hAnsi="宋体" w:cs="宋体"/>
          <w:color w:val="auto"/>
          <w:highlight w:val="none"/>
        </w:rPr>
        <w:t>中标人须依照《中华人民共和国消费者权益保护法》第49条之规定双倍赔偿采购人，且民事赔偿并不免除违法投标人的行政与刑事责任。</w:t>
      </w:r>
    </w:p>
    <w:p w14:paraId="7F619CD4">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8.4投标人已明知采购期间或之后企业将发生兼并改制，或提供的产品将停产、淘汰，或必须有偿使用指定的第三方中间件和插件的，及其他应当告知采购人可能影响采购项目实施或损害采购人利益的信息，必须在投标文件中予以特别说明，否则，采购人可以拒绝其投标文件。</w:t>
      </w:r>
      <w:bookmarkStart w:id="268" w:name="_Toc32349"/>
    </w:p>
    <w:p w14:paraId="5ECA7736">
      <w:pPr>
        <w:pStyle w:val="3"/>
        <w:numPr>
          <w:ilvl w:val="1"/>
          <w:numId w:val="0"/>
        </w:numPr>
        <w:shd w:val="clear"/>
        <w:spacing w:beforeLines="0" w:afterLines="0" w:line="288" w:lineRule="auto"/>
        <w:rPr>
          <w:rFonts w:hint="eastAsia" w:ascii="宋体" w:hAnsi="宋体" w:cs="宋体"/>
          <w:color w:val="auto"/>
          <w:highlight w:val="none"/>
        </w:rPr>
      </w:pPr>
      <w:r>
        <w:rPr>
          <w:rFonts w:hint="eastAsia" w:ascii="宋体" w:hAnsi="宋体" w:cs="宋体"/>
          <w:color w:val="auto"/>
          <w:highlight w:val="none"/>
        </w:rPr>
        <w:t>二、招标文件说明</w:t>
      </w:r>
      <w:bookmarkEnd w:id="268"/>
    </w:p>
    <w:p w14:paraId="184C38BF">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hint="eastAsia" w:ascii="宋体" w:hAnsi="宋体" w:cs="宋体"/>
          <w:b/>
          <w:bCs/>
          <w:color w:val="auto"/>
          <w:highlight w:val="none"/>
        </w:rPr>
        <w:t>招标文件的组成</w:t>
      </w:r>
    </w:p>
    <w:p w14:paraId="3F29C0F7">
      <w:pPr>
        <w:numPr>
          <w:ilvl w:val="2"/>
          <w:numId w:val="5"/>
        </w:numPr>
        <w:shd w:val="clear"/>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 xml:space="preserve"> 招标公告</w:t>
      </w:r>
    </w:p>
    <w:p w14:paraId="3FDCABCE">
      <w:pPr>
        <w:numPr>
          <w:ilvl w:val="2"/>
          <w:numId w:val="5"/>
        </w:numPr>
        <w:shd w:val="clear"/>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 xml:space="preserve"> 投标须知前附表及投标须知</w:t>
      </w:r>
    </w:p>
    <w:p w14:paraId="0FB7E324">
      <w:pPr>
        <w:numPr>
          <w:ilvl w:val="2"/>
          <w:numId w:val="5"/>
        </w:numPr>
        <w:shd w:val="clear"/>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 xml:space="preserve"> 采购内容及要求</w:t>
      </w:r>
    </w:p>
    <w:p w14:paraId="1C91A5BC">
      <w:pPr>
        <w:numPr>
          <w:ilvl w:val="2"/>
          <w:numId w:val="5"/>
        </w:numPr>
        <w:shd w:val="clear"/>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 xml:space="preserve"> 合同的主要条款</w:t>
      </w:r>
    </w:p>
    <w:p w14:paraId="1A8FE5FB">
      <w:pPr>
        <w:numPr>
          <w:ilvl w:val="2"/>
          <w:numId w:val="5"/>
        </w:numPr>
        <w:shd w:val="clear"/>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 xml:space="preserve"> 应提交的有关格式范例</w:t>
      </w:r>
    </w:p>
    <w:p w14:paraId="1D768901">
      <w:pPr>
        <w:numPr>
          <w:ilvl w:val="2"/>
          <w:numId w:val="5"/>
        </w:numPr>
        <w:shd w:val="clear"/>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 xml:space="preserve"> 评标办法及开评标程序</w:t>
      </w:r>
    </w:p>
    <w:p w14:paraId="6772B564">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hint="eastAsia" w:ascii="宋体" w:hAnsi="宋体" w:cs="宋体"/>
          <w:b/>
          <w:bCs/>
          <w:color w:val="auto"/>
          <w:highlight w:val="none"/>
        </w:rPr>
        <w:t>招标文件的澄清及修改</w:t>
      </w:r>
    </w:p>
    <w:p w14:paraId="36A5A8DA">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10.1任何要求对招标文件进行澄清的投标人，均应按招标公告中规定的时间和通讯地址，以书面形式（如信件、传真等）送达采购人及采购代理机构，在规定时间内未收到质疑则视为各投标人均对此无异议。采购人及采购代理机构对规定时间前收到的任何质疑将在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48"/>
          <w:rFonts w:hint="eastAsia" w:ascii="宋体" w:hAnsi="宋体" w:cs="宋体"/>
          <w:color w:val="auto"/>
          <w:highlight w:val="none"/>
        </w:rPr>
        <w:t>http://zfcg.czt.zj.gov.cn/</w:t>
      </w:r>
      <w:r>
        <w:rPr>
          <w:rStyle w:val="48"/>
          <w:rFonts w:hint="eastAsia" w:ascii="宋体" w:hAnsi="宋体" w:cs="宋体"/>
          <w:color w:val="auto"/>
          <w:highlight w:val="none"/>
        </w:rPr>
        <w:fldChar w:fldCharType="end"/>
      </w:r>
      <w:r>
        <w:rPr>
          <w:rFonts w:hint="eastAsia" w:ascii="宋体" w:hAnsi="宋体" w:cs="宋体"/>
          <w:color w:val="auto"/>
          <w:highlight w:val="none"/>
        </w:rPr>
        <w:t>）公布澄清，投标人自行到网上查看。无论是采购人根据需要主动对招标文件进行必要的修改或是根据投标人的要求对招标文件作出答复（答复中不包括问题的来源），并视为本招标文件的组成部分。</w:t>
      </w:r>
    </w:p>
    <w:p w14:paraId="0C4B7FC7">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10.2因其他紧急情况影响本项目正常招标活动的，招标组织人将于投标截止日期5天前书面通知所有已获取的投标人。</w:t>
      </w:r>
    </w:p>
    <w:p w14:paraId="47719AD5">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10.3不论采购人向投标人发送的资料文件，还是投标人提出的问题，均通过浙江政府采购网（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48"/>
          <w:rFonts w:hint="eastAsia" w:ascii="宋体" w:hAnsi="宋体" w:cs="宋体"/>
          <w:color w:val="auto"/>
          <w:highlight w:val="none"/>
        </w:rPr>
        <w:t>http://zfcg.czt.zj.gov.cn/</w:t>
      </w:r>
      <w:r>
        <w:rPr>
          <w:rStyle w:val="48"/>
          <w:rFonts w:hint="eastAsia" w:ascii="宋体" w:hAnsi="宋体" w:cs="宋体"/>
          <w:color w:val="auto"/>
          <w:highlight w:val="none"/>
        </w:rPr>
        <w:fldChar w:fldCharType="end"/>
      </w:r>
      <w:r>
        <w:rPr>
          <w:rFonts w:hint="eastAsia" w:ascii="宋体" w:hAnsi="宋体" w:cs="宋体"/>
          <w:color w:val="auto"/>
          <w:highlight w:val="none"/>
        </w:rPr>
        <w:t>）发布，任何口头提问及答复一律无效。</w:t>
      </w:r>
    </w:p>
    <w:p w14:paraId="6C4DB74A">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10.4当招标文件、澄清（答疑）纪要内容相互矛盾时，以最后发出的通知（或纪要）或修改文件为准。</w:t>
      </w:r>
    </w:p>
    <w:p w14:paraId="7C7D90E2">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10.5若有必要，采购人将酌情延长递交投标文件的截止日期。</w:t>
      </w:r>
    </w:p>
    <w:p w14:paraId="782C29CE">
      <w:pPr>
        <w:pStyle w:val="3"/>
        <w:numPr>
          <w:ilvl w:val="1"/>
          <w:numId w:val="0"/>
        </w:numPr>
        <w:shd w:val="clear"/>
        <w:spacing w:beforeLines="0" w:afterLines="0" w:line="288" w:lineRule="auto"/>
        <w:rPr>
          <w:rFonts w:hint="eastAsia" w:ascii="宋体" w:hAnsi="宋体" w:cs="宋体"/>
          <w:color w:val="auto"/>
          <w:highlight w:val="none"/>
        </w:rPr>
      </w:pPr>
      <w:bookmarkStart w:id="269" w:name="_Toc29383"/>
      <w:r>
        <w:rPr>
          <w:rFonts w:hint="eastAsia" w:ascii="宋体" w:hAnsi="宋体" w:cs="宋体"/>
          <w:color w:val="auto"/>
          <w:highlight w:val="none"/>
        </w:rPr>
        <w:t>三、投标文件</w:t>
      </w:r>
      <w:bookmarkEnd w:id="269"/>
    </w:p>
    <w:p w14:paraId="514CBFD7">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hint="eastAsia" w:ascii="宋体" w:hAnsi="宋体" w:cs="宋体"/>
          <w:b/>
          <w:bCs/>
          <w:color w:val="auto"/>
          <w:highlight w:val="none"/>
        </w:rPr>
        <w:t>投标文件</w:t>
      </w:r>
    </w:p>
    <w:p w14:paraId="08688CA0">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zh-CN"/>
        </w:rPr>
        <w:t>1.1</w:t>
      </w:r>
      <w:r>
        <w:rPr>
          <w:rFonts w:hint="eastAsia" w:ascii="宋体" w:hAnsi="宋体" w:cs="宋体"/>
          <w:color w:val="auto"/>
          <w:highlight w:val="none"/>
        </w:rPr>
        <w:t>投标人应仔细阅读招标文件中的所有内容，按照招标文件要求，详细编制投标文件。并对招标文件的要求做出实质上响应。实质上响应的投标应该是与招标文件要求的条款没有重大偏离的投标。未实质上响应的投标文件将被拒绝，但允许投标在基本满足招标文件要求的前提下出现微小差异。</w:t>
      </w:r>
    </w:p>
    <w:p w14:paraId="2DE790B8">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zh-CN"/>
        </w:rPr>
        <w:t>1.2</w:t>
      </w:r>
      <w:r>
        <w:rPr>
          <w:rFonts w:hint="eastAsia" w:ascii="宋体" w:hAnsi="宋体" w:cs="宋体"/>
          <w:color w:val="auto"/>
          <w:highlight w:val="none"/>
        </w:rPr>
        <w:t>投标人必须按招标文件的要求提供相关技术参数、资料，包括采用的计量单位，并保证投标文件的正确性和真实性。投标文件全部内容应保持一致，否则可能导致不利于其投标的评定甚至被拒绝。技术和商务如有偏离均应填写偏离表。</w:t>
      </w:r>
    </w:p>
    <w:p w14:paraId="27A7BE55">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zh-CN"/>
        </w:rPr>
        <w:t>1.3投标人应仔细阅读招标文件中的所有内容，按照招标文件要求，详细编制投标文件，所有文件资料必须是针对本次投标。不按招标文件的要求提供的投标文件可能导致被拒绝。</w:t>
      </w:r>
    </w:p>
    <w:p w14:paraId="693D9466">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ascii="宋体" w:hAnsi="宋体" w:cs="宋体"/>
          <w:b/>
          <w:bCs/>
          <w:color w:val="auto"/>
          <w:highlight w:val="none"/>
        </w:rPr>
        <w:t xml:space="preserve">投标文件的组成  </w:t>
      </w:r>
    </w:p>
    <w:p w14:paraId="7A72FEDE">
      <w:pPr>
        <w:shd w:val="clear"/>
        <w:adjustRightInd w:val="0"/>
        <w:snapToGrid w:val="0"/>
        <w:spacing w:line="312" w:lineRule="auto"/>
        <w:ind w:firstLine="482"/>
        <w:rPr>
          <w:rFonts w:hint="eastAsia" w:ascii="宋体" w:hAnsi="宋体" w:cs="宋体"/>
          <w:b/>
          <w:color w:val="auto"/>
          <w:highlight w:val="none"/>
          <w:lang w:val="zh-CN"/>
        </w:rPr>
      </w:pPr>
      <w:r>
        <w:rPr>
          <w:rFonts w:hint="eastAsia" w:ascii="宋体" w:hAnsi="宋体" w:cs="宋体"/>
          <w:b/>
          <w:color w:val="auto"/>
          <w:highlight w:val="none"/>
          <w:u w:val="single"/>
        </w:rPr>
        <w:t>投标文件应当包括以下主要内容：资格文件、报价文件、资信商务技术文件。资格文件、资信商务技术文件不得含报价，否则投标将被拒绝。</w:t>
      </w:r>
    </w:p>
    <w:p w14:paraId="28A8877B">
      <w:pPr>
        <w:shd w:val="clear"/>
        <w:adjustRightInd w:val="0"/>
        <w:snapToGrid w:val="0"/>
        <w:spacing w:line="312" w:lineRule="auto"/>
        <w:ind w:firstLine="482"/>
        <w:outlineLvl w:val="2"/>
        <w:rPr>
          <w:rFonts w:hint="eastAsia" w:ascii="宋体" w:hAnsi="宋体" w:cs="宋体"/>
          <w:b/>
          <w:color w:val="auto"/>
          <w:highlight w:val="none"/>
          <w:u w:val="single"/>
        </w:rPr>
      </w:pPr>
      <w:r>
        <w:rPr>
          <w:rFonts w:hint="eastAsia" w:ascii="宋体" w:hAnsi="宋体" w:cs="宋体"/>
          <w:b/>
          <w:color w:val="auto"/>
          <w:highlight w:val="none"/>
        </w:rPr>
        <w:t xml:space="preserve">12.1 </w:t>
      </w:r>
      <w:r>
        <w:rPr>
          <w:rFonts w:hint="eastAsia" w:ascii="宋体" w:hAnsi="宋体" w:cs="宋体"/>
          <w:color w:val="auto"/>
          <w:highlight w:val="none"/>
        </w:rPr>
        <w:t>▲</w:t>
      </w:r>
      <w:r>
        <w:rPr>
          <w:rFonts w:hint="eastAsia" w:ascii="宋体" w:hAnsi="宋体" w:cs="宋体"/>
          <w:b/>
          <w:color w:val="auto"/>
          <w:highlight w:val="none"/>
          <w:u w:val="single"/>
        </w:rPr>
        <w:t>资格文件组成</w:t>
      </w:r>
    </w:p>
    <w:p w14:paraId="06310521">
      <w:pPr>
        <w:pageBreakBefore w:val="0"/>
        <w:numPr>
          <w:ilvl w:val="0"/>
          <w:numId w:val="0"/>
        </w:numPr>
        <w:shd w:val="clear"/>
        <w:tabs>
          <w:tab w:val="left" w:pos="397"/>
        </w:tabs>
        <w:kinsoku/>
        <w:wordWrap/>
        <w:overflowPunct/>
        <w:topLinePunct w:val="0"/>
        <w:autoSpaceDE/>
        <w:autoSpaceDN/>
        <w:bidi w:val="0"/>
        <w:adjustRightInd w:val="0"/>
        <w:snapToGrid w:val="0"/>
        <w:spacing w:line="312" w:lineRule="auto"/>
        <w:ind w:left="0" w:leftChars="0" w:firstLine="480" w:firstLineChars="200"/>
        <w:textAlignment w:val="auto"/>
        <w:rPr>
          <w:rFonts w:hint="eastAsia" w:ascii="宋体" w:hAnsi="宋体" w:eastAsia="宋体" w:cs="宋体"/>
          <w:snapToGrid/>
          <w:color w:val="auto"/>
          <w:sz w:val="24"/>
          <w:szCs w:val="24"/>
          <w:highlight w:val="none"/>
          <w:lang w:val="en-US" w:eastAsia="zh-CN" w:bidi="ar-SA"/>
        </w:rPr>
      </w:pPr>
      <w:r>
        <w:rPr>
          <w:rFonts w:hint="eastAsia" w:ascii="宋体" w:hAnsi="宋体" w:eastAsia="宋体" w:cs="宋体"/>
          <w:snapToGrid/>
          <w:color w:val="auto"/>
          <w:sz w:val="24"/>
          <w:szCs w:val="24"/>
          <w:highlight w:val="none"/>
          <w:lang w:val="en-US" w:eastAsia="zh-CN" w:bidi="ar-SA"/>
        </w:rPr>
        <w:t>（1）投标人基本情况表；（格式见附件1）</w:t>
      </w:r>
    </w:p>
    <w:p w14:paraId="52336E80">
      <w:pPr>
        <w:pageBreakBefore w:val="0"/>
        <w:numPr>
          <w:ilvl w:val="0"/>
          <w:numId w:val="0"/>
        </w:numPr>
        <w:shd w:val="clear"/>
        <w:tabs>
          <w:tab w:val="left" w:pos="397"/>
        </w:tabs>
        <w:kinsoku/>
        <w:wordWrap/>
        <w:overflowPunct/>
        <w:topLinePunct w:val="0"/>
        <w:autoSpaceDE/>
        <w:autoSpaceDN/>
        <w:bidi w:val="0"/>
        <w:adjustRightInd w:val="0"/>
        <w:snapToGrid w:val="0"/>
        <w:spacing w:line="312" w:lineRule="auto"/>
        <w:ind w:left="0" w:leftChars="0" w:firstLine="480" w:firstLineChars="200"/>
        <w:textAlignment w:val="auto"/>
        <w:rPr>
          <w:rFonts w:hint="eastAsia" w:ascii="宋体" w:hAnsi="宋体" w:eastAsia="宋体" w:cs="宋体"/>
          <w:snapToGrid/>
          <w:color w:val="auto"/>
          <w:sz w:val="24"/>
          <w:szCs w:val="24"/>
          <w:highlight w:val="none"/>
          <w:lang w:val="en-US" w:eastAsia="zh-CN" w:bidi="ar-SA"/>
        </w:rPr>
      </w:pPr>
      <w:r>
        <w:rPr>
          <w:rFonts w:hint="eastAsia" w:ascii="宋体" w:hAnsi="宋体" w:eastAsia="宋体" w:cs="宋体"/>
          <w:snapToGrid/>
          <w:color w:val="auto"/>
          <w:sz w:val="24"/>
          <w:szCs w:val="24"/>
          <w:highlight w:val="none"/>
          <w:lang w:val="en-US" w:eastAsia="zh-CN" w:bidi="ar-SA"/>
        </w:rPr>
        <w:t>（2）</w:t>
      </w:r>
      <w:r>
        <w:rPr>
          <w:rFonts w:hint="eastAsia" w:ascii="宋体" w:hAnsi="宋体" w:eastAsia="宋体" w:cs="宋体"/>
          <w:snapToGrid/>
          <w:color w:val="auto"/>
          <w:sz w:val="24"/>
          <w:szCs w:val="24"/>
          <w:highlight w:val="none"/>
          <w:lang w:val="en-US" w:eastAsia="en-US" w:bidi="ar-SA"/>
        </w:rPr>
        <w:t>提供有效《营业执照》</w:t>
      </w:r>
      <w:r>
        <w:rPr>
          <w:rFonts w:hint="eastAsia" w:ascii="宋体" w:hAnsi="宋体" w:eastAsia="宋体" w:cs="宋体"/>
          <w:snapToGrid/>
          <w:color w:val="auto"/>
          <w:sz w:val="24"/>
          <w:szCs w:val="24"/>
          <w:highlight w:val="none"/>
          <w:lang w:val="en-US" w:eastAsia="zh-CN" w:bidi="ar-SA"/>
        </w:rPr>
        <w:t>副本</w:t>
      </w:r>
      <w:r>
        <w:rPr>
          <w:rFonts w:hint="eastAsia" w:ascii="宋体" w:hAnsi="宋体" w:cs="宋体"/>
          <w:snapToGrid/>
          <w:color w:val="auto"/>
          <w:sz w:val="24"/>
          <w:szCs w:val="24"/>
          <w:highlight w:val="none"/>
          <w:lang w:val="en-US" w:eastAsia="zh-CN" w:bidi="ar-SA"/>
        </w:rPr>
        <w:t>扫描件</w:t>
      </w:r>
      <w:r>
        <w:rPr>
          <w:rFonts w:hint="eastAsia" w:ascii="宋体" w:hAnsi="宋体" w:eastAsia="宋体" w:cs="宋体"/>
          <w:snapToGrid/>
          <w:color w:val="auto"/>
          <w:sz w:val="24"/>
          <w:szCs w:val="24"/>
          <w:highlight w:val="none"/>
          <w:lang w:val="en-US" w:eastAsia="en-US" w:bidi="ar-SA"/>
        </w:rPr>
        <w:t xml:space="preserve">； </w:t>
      </w:r>
    </w:p>
    <w:p w14:paraId="5121BF6F">
      <w:pPr>
        <w:pageBreakBefore w:val="0"/>
        <w:numPr>
          <w:ilvl w:val="0"/>
          <w:numId w:val="0"/>
        </w:numPr>
        <w:shd w:val="clear"/>
        <w:tabs>
          <w:tab w:val="left" w:pos="397"/>
        </w:tabs>
        <w:kinsoku/>
        <w:wordWrap/>
        <w:overflowPunct/>
        <w:topLinePunct w:val="0"/>
        <w:autoSpaceDE/>
        <w:autoSpaceDN/>
        <w:bidi w:val="0"/>
        <w:adjustRightInd w:val="0"/>
        <w:snapToGrid w:val="0"/>
        <w:spacing w:line="312" w:lineRule="auto"/>
        <w:ind w:left="0" w:leftChars="0" w:firstLine="480" w:firstLineChars="200"/>
        <w:textAlignment w:val="auto"/>
        <w:rPr>
          <w:rFonts w:hint="eastAsia" w:ascii="宋体" w:hAnsi="宋体" w:eastAsia="宋体" w:cs="宋体"/>
          <w:snapToGrid/>
          <w:color w:val="auto"/>
          <w:sz w:val="24"/>
          <w:szCs w:val="24"/>
          <w:highlight w:val="none"/>
          <w:lang w:val="en-US" w:eastAsia="en-US" w:bidi="ar-SA"/>
        </w:rPr>
      </w:pPr>
      <w:r>
        <w:rPr>
          <w:rFonts w:hint="eastAsia" w:ascii="宋体" w:hAnsi="宋体" w:eastAsia="宋体" w:cs="宋体"/>
          <w:snapToGrid/>
          <w:color w:val="auto"/>
          <w:sz w:val="24"/>
          <w:szCs w:val="24"/>
          <w:highlight w:val="none"/>
          <w:lang w:val="en-US" w:eastAsia="en-US" w:bidi="ar-SA"/>
        </w:rPr>
        <w:t>（</w:t>
      </w:r>
      <w:r>
        <w:rPr>
          <w:rFonts w:hint="eastAsia" w:ascii="宋体" w:hAnsi="宋体" w:eastAsia="宋体" w:cs="宋体"/>
          <w:snapToGrid/>
          <w:color w:val="auto"/>
          <w:sz w:val="24"/>
          <w:szCs w:val="24"/>
          <w:highlight w:val="none"/>
          <w:lang w:val="en-US" w:eastAsia="zh-CN" w:bidi="ar-SA"/>
        </w:rPr>
        <w:t>3</w:t>
      </w:r>
      <w:r>
        <w:rPr>
          <w:rFonts w:hint="eastAsia" w:ascii="宋体" w:hAnsi="宋体" w:eastAsia="宋体" w:cs="宋体"/>
          <w:snapToGrid/>
          <w:color w:val="auto"/>
          <w:sz w:val="24"/>
          <w:szCs w:val="24"/>
          <w:highlight w:val="none"/>
          <w:lang w:val="en-US" w:eastAsia="en-US" w:bidi="ar-SA"/>
        </w:rPr>
        <w:t>）符合参加</w:t>
      </w:r>
      <w:r>
        <w:rPr>
          <w:rFonts w:hint="eastAsia" w:ascii="宋体" w:hAnsi="宋体" w:cs="宋体"/>
          <w:snapToGrid/>
          <w:color w:val="auto"/>
          <w:sz w:val="24"/>
          <w:szCs w:val="24"/>
          <w:highlight w:val="none"/>
          <w:lang w:val="en-US" w:eastAsia="zh-CN" w:bidi="ar-SA"/>
        </w:rPr>
        <w:t>政府</w:t>
      </w:r>
      <w:r>
        <w:rPr>
          <w:rFonts w:hint="eastAsia" w:ascii="宋体" w:hAnsi="宋体" w:eastAsia="宋体" w:cs="宋体"/>
          <w:snapToGrid/>
          <w:color w:val="auto"/>
          <w:sz w:val="24"/>
          <w:szCs w:val="24"/>
          <w:highlight w:val="none"/>
          <w:lang w:val="en-US" w:eastAsia="en-US" w:bidi="ar-SA"/>
        </w:rPr>
        <w:t>采购活动应当具备的一般条件的承诺函；（格式见附件2）</w:t>
      </w:r>
    </w:p>
    <w:p w14:paraId="365E257A">
      <w:pPr>
        <w:numPr>
          <w:ilvl w:val="255"/>
          <w:numId w:val="0"/>
        </w:numPr>
        <w:shd w:val="clear"/>
        <w:adjustRightInd w:val="0"/>
        <w:snapToGrid w:val="0"/>
        <w:spacing w:line="312" w:lineRule="auto"/>
        <w:ind w:firstLine="480" w:firstLineChars="200"/>
        <w:textAlignment w:val="bottom"/>
        <w:rPr>
          <w:rFonts w:hint="eastAsia" w:ascii="宋体" w:hAnsi="宋体" w:cs="宋体"/>
          <w:color w:val="auto"/>
          <w:highlight w:val="none"/>
        </w:rPr>
      </w:pPr>
      <w:r>
        <w:rPr>
          <w:rFonts w:hint="eastAsia" w:ascii="宋体" w:hAnsi="宋体" w:cs="宋体"/>
          <w:color w:val="auto"/>
          <w:highlight w:val="none"/>
        </w:rPr>
        <w:t>（4）提供在经营活动中没有行贿犯罪记录声明书；（格式见附件</w:t>
      </w:r>
      <w:r>
        <w:rPr>
          <w:rFonts w:hint="eastAsia" w:ascii="宋体" w:hAnsi="宋体" w:cs="宋体"/>
          <w:color w:val="auto"/>
          <w:highlight w:val="none"/>
          <w:lang w:val="en-US" w:eastAsia="zh-CN"/>
        </w:rPr>
        <w:t>3</w:t>
      </w:r>
      <w:r>
        <w:rPr>
          <w:rFonts w:hint="eastAsia" w:ascii="宋体" w:hAnsi="宋体" w:cs="宋体"/>
          <w:color w:val="auto"/>
          <w:highlight w:val="none"/>
        </w:rPr>
        <w:t>）</w:t>
      </w:r>
    </w:p>
    <w:p w14:paraId="51DDA3CA">
      <w:pPr>
        <w:widowControl/>
        <w:numPr>
          <w:ilvl w:val="0"/>
          <w:numId w:val="0"/>
        </w:numPr>
        <w:shd w:val="clear"/>
        <w:autoSpaceDE/>
        <w:autoSpaceDN/>
        <w:adjustRightInd w:val="0"/>
        <w:snapToGrid w:val="0"/>
        <w:spacing w:line="312" w:lineRule="auto"/>
        <w:ind w:left="0" w:firstLine="480" w:firstLineChars="200"/>
        <w:textAlignment w:val="bottom"/>
        <w:outlineLvl w:val="9"/>
        <w:rPr>
          <w:rFonts w:hint="eastAsia" w:ascii="宋体" w:hAnsi="宋体" w:eastAsia="宋体" w:cs="宋体"/>
          <w:color w:val="auto"/>
          <w:sz w:val="24"/>
          <w:szCs w:val="24"/>
          <w:highlight w:val="none"/>
          <w:lang w:val="zh-CN"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w:t>
      </w:r>
      <w:r>
        <w:rPr>
          <w:rFonts w:hint="eastAsia" w:ascii="宋体" w:hAnsi="宋体" w:eastAsia="宋体" w:cs="宋体"/>
          <w:color w:val="auto"/>
          <w:sz w:val="24"/>
          <w:szCs w:val="24"/>
          <w:highlight w:val="none"/>
          <w:lang w:val="zh-CN" w:eastAsia="zh-CN"/>
        </w:rPr>
        <w:t>投标声明函（格式见附件</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w:t>
      </w:r>
    </w:p>
    <w:p w14:paraId="4B4ACED8">
      <w:pPr>
        <w:widowControl/>
        <w:numPr>
          <w:ilvl w:val="0"/>
          <w:numId w:val="0"/>
        </w:numPr>
        <w:shd w:val="clear"/>
        <w:autoSpaceDE/>
        <w:autoSpaceDN/>
        <w:adjustRightInd w:val="0"/>
        <w:snapToGrid w:val="0"/>
        <w:spacing w:line="312" w:lineRule="auto"/>
        <w:ind w:left="0" w:firstLine="480" w:firstLineChars="200"/>
        <w:textAlignment w:val="bottom"/>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zh-CN" w:eastAsia="zh-CN"/>
        </w:rPr>
        <w:t>）法人证明或授权委托书（格式见附件</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w:t>
      </w:r>
    </w:p>
    <w:p w14:paraId="54D084C6">
      <w:pPr>
        <w:numPr>
          <w:ilvl w:val="255"/>
          <w:numId w:val="0"/>
        </w:numPr>
        <w:shd w:val="clear"/>
        <w:adjustRightInd w:val="0"/>
        <w:snapToGrid w:val="0"/>
        <w:spacing w:line="312" w:lineRule="auto"/>
        <w:ind w:firstLine="480" w:firstLineChars="200"/>
        <w:textAlignment w:val="bottom"/>
        <w:rPr>
          <w:rFonts w:hint="eastAsia" w:ascii="宋体" w:hAnsi="宋体" w:cs="宋体"/>
          <w:color w:val="auto"/>
          <w:highlight w:val="none"/>
        </w:rPr>
      </w:pPr>
      <w:r>
        <w:rPr>
          <w:rFonts w:hint="eastAsia" w:ascii="宋体" w:hAnsi="宋体" w:cs="宋体"/>
          <w:color w:val="auto"/>
          <w:highlight w:val="none"/>
        </w:rPr>
        <w:t>▲注：以上资格文件为通过式评审</w:t>
      </w:r>
      <w:r>
        <w:rPr>
          <w:rFonts w:hint="eastAsia" w:ascii="宋体" w:hAnsi="宋体" w:cs="宋体"/>
          <w:color w:val="auto"/>
          <w:highlight w:val="none"/>
          <w:lang w:eastAsia="zh-CN"/>
        </w:rPr>
        <w:t>，</w:t>
      </w:r>
      <w:r>
        <w:rPr>
          <w:rFonts w:hint="eastAsia" w:ascii="宋体" w:hAnsi="宋体" w:cs="宋体"/>
          <w:color w:val="auto"/>
          <w:highlight w:val="none"/>
        </w:rPr>
        <w:t>如有缺少或不符合要求的</w:t>
      </w:r>
      <w:r>
        <w:rPr>
          <w:rFonts w:hint="eastAsia" w:ascii="宋体" w:hAnsi="宋体" w:cs="宋体"/>
          <w:color w:val="auto"/>
          <w:highlight w:val="none"/>
          <w:lang w:eastAsia="zh-CN"/>
        </w:rPr>
        <w:t>，</w:t>
      </w:r>
      <w:r>
        <w:rPr>
          <w:rFonts w:hint="eastAsia" w:ascii="宋体" w:hAnsi="宋体" w:cs="宋体"/>
          <w:color w:val="auto"/>
          <w:highlight w:val="none"/>
        </w:rPr>
        <w:t>则视为资格审查不予通过。</w:t>
      </w:r>
    </w:p>
    <w:p w14:paraId="5E827665">
      <w:pPr>
        <w:shd w:val="clear"/>
        <w:tabs>
          <w:tab w:val="center" w:pos="4715"/>
        </w:tabs>
        <w:adjustRightInd w:val="0"/>
        <w:snapToGrid w:val="0"/>
        <w:spacing w:line="312" w:lineRule="auto"/>
        <w:ind w:firstLine="482"/>
        <w:rPr>
          <w:rFonts w:hint="eastAsia" w:ascii="宋体" w:hAnsi="宋体" w:cs="宋体"/>
          <w:b/>
          <w:bCs/>
          <w:color w:val="auto"/>
          <w:kern w:val="0"/>
          <w:highlight w:val="none"/>
        </w:rPr>
      </w:pPr>
      <w:r>
        <w:rPr>
          <w:rFonts w:hint="eastAsia" w:ascii="宋体" w:hAnsi="宋体" w:cs="宋体"/>
          <w:b/>
          <w:bCs/>
          <w:color w:val="auto"/>
          <w:highlight w:val="none"/>
        </w:rPr>
        <w:t xml:space="preserve">12.2 </w:t>
      </w:r>
      <w:r>
        <w:rPr>
          <w:rFonts w:hint="eastAsia" w:ascii="宋体" w:hAnsi="宋体" w:cs="宋体"/>
          <w:b/>
          <w:color w:val="auto"/>
          <w:highlight w:val="none"/>
          <w:u w:val="single"/>
        </w:rPr>
        <w:t>资信商务技术文件组成</w:t>
      </w:r>
    </w:p>
    <w:p w14:paraId="09318D36">
      <w:pPr>
        <w:widowControl/>
        <w:numPr>
          <w:ilvl w:val="0"/>
          <w:numId w:val="0"/>
        </w:numPr>
        <w:shd w:val="clear"/>
        <w:autoSpaceDE/>
        <w:autoSpaceDN/>
        <w:adjustRightInd w:val="0"/>
        <w:snapToGrid w:val="0"/>
        <w:spacing w:line="312" w:lineRule="auto"/>
        <w:ind w:left="0" w:firstLine="480" w:firstLineChars="200"/>
        <w:textAlignment w:val="bottom"/>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）类似业绩一览表；（格式见附件</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w:t>
      </w:r>
    </w:p>
    <w:p w14:paraId="261B737F">
      <w:pPr>
        <w:widowControl/>
        <w:numPr>
          <w:ilvl w:val="0"/>
          <w:numId w:val="0"/>
        </w:numPr>
        <w:shd w:val="clear"/>
        <w:autoSpaceDE/>
        <w:autoSpaceDN/>
        <w:adjustRightInd w:val="0"/>
        <w:snapToGrid w:val="0"/>
        <w:spacing w:line="312" w:lineRule="auto"/>
        <w:ind w:left="0" w:firstLine="480" w:firstLineChars="200"/>
        <w:textAlignment w:val="bottom"/>
        <w:outlineLvl w:val="9"/>
        <w:rPr>
          <w:rFonts w:hint="eastAsia" w:ascii="宋体" w:hAnsi="宋体" w:eastAsia="宋体" w:cs="宋体"/>
          <w:color w:val="auto"/>
          <w:sz w:val="24"/>
          <w:szCs w:val="24"/>
          <w:highlight w:val="none"/>
          <w:lang w:val="en-US" w:eastAsia="zh-CN"/>
        </w:rPr>
      </w:pPr>
      <w:bookmarkStart w:id="270" w:name="_Toc17884"/>
      <w:bookmarkStart w:id="271" w:name="_Toc29404"/>
      <w:bookmarkStart w:id="272" w:name="_Toc16512"/>
      <w:bookmarkStart w:id="273" w:name="_Toc10577"/>
      <w:bookmarkStart w:id="274" w:name="_Toc24537"/>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）拟投入本项目的人员配备表；（格式见附件</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w:t>
      </w:r>
    </w:p>
    <w:p w14:paraId="49EFC427">
      <w:pPr>
        <w:widowControl/>
        <w:numPr>
          <w:ilvl w:val="0"/>
          <w:numId w:val="0"/>
        </w:numPr>
        <w:shd w:val="clear"/>
        <w:autoSpaceDE/>
        <w:autoSpaceDN/>
        <w:adjustRightInd w:val="0"/>
        <w:snapToGrid w:val="0"/>
        <w:spacing w:line="312" w:lineRule="auto"/>
        <w:ind w:left="0" w:firstLine="480" w:firstLineChars="200"/>
        <w:textAlignment w:val="bottom"/>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）拟投入本项目使用的设备一览表；（格式见附件</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w:t>
      </w:r>
    </w:p>
    <w:p w14:paraId="6F5CBF19">
      <w:pPr>
        <w:widowControl/>
        <w:numPr>
          <w:ilvl w:val="0"/>
          <w:numId w:val="0"/>
        </w:numPr>
        <w:shd w:val="clear"/>
        <w:autoSpaceDE/>
        <w:autoSpaceDN/>
        <w:adjustRightInd w:val="0"/>
        <w:snapToGrid w:val="0"/>
        <w:spacing w:line="312" w:lineRule="auto"/>
        <w:ind w:left="0" w:firstLine="480" w:firstLineChars="200"/>
        <w:textAlignment w:val="bottom"/>
        <w:outlineLvl w:val="9"/>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w:t>
      </w:r>
      <w:r>
        <w:rPr>
          <w:rFonts w:hint="eastAsia" w:ascii="宋体" w:hAnsi="宋体" w:cs="宋体"/>
          <w:color w:val="auto"/>
          <w:kern w:val="0"/>
          <w:highlight w:val="none"/>
          <w:lang w:val="en-US" w:eastAsia="zh-CN" w:bidi="ar"/>
        </w:rPr>
        <w:t>4</w:t>
      </w:r>
      <w:r>
        <w:rPr>
          <w:rFonts w:hint="eastAsia" w:ascii="宋体" w:hAnsi="宋体" w:eastAsia="宋体" w:cs="宋体"/>
          <w:color w:val="auto"/>
          <w:kern w:val="0"/>
          <w:highlight w:val="none"/>
          <w:lang w:val="en-US" w:eastAsia="zh-CN" w:bidi="ar"/>
        </w:rPr>
        <w:t>）商务响应承诺函；（格式见附件</w:t>
      </w:r>
      <w:r>
        <w:rPr>
          <w:rFonts w:hint="eastAsia" w:ascii="宋体" w:hAnsi="宋体" w:cs="宋体"/>
          <w:color w:val="auto"/>
          <w:kern w:val="0"/>
          <w:highlight w:val="none"/>
          <w:lang w:val="en-US" w:eastAsia="zh-CN" w:bidi="ar"/>
        </w:rPr>
        <w:t>9</w:t>
      </w:r>
      <w:r>
        <w:rPr>
          <w:rFonts w:hint="eastAsia" w:ascii="宋体" w:hAnsi="宋体" w:eastAsia="宋体" w:cs="宋体"/>
          <w:color w:val="auto"/>
          <w:kern w:val="0"/>
          <w:highlight w:val="none"/>
          <w:lang w:val="en-US" w:eastAsia="zh-CN" w:bidi="ar"/>
        </w:rPr>
        <w:t>）</w:t>
      </w:r>
    </w:p>
    <w:p w14:paraId="281AC7BF">
      <w:pPr>
        <w:widowControl/>
        <w:numPr>
          <w:ilvl w:val="0"/>
          <w:numId w:val="0"/>
        </w:numPr>
        <w:shd w:val="clear"/>
        <w:autoSpaceDE/>
        <w:autoSpaceDN/>
        <w:adjustRightInd w:val="0"/>
        <w:snapToGrid w:val="0"/>
        <w:spacing w:line="312" w:lineRule="auto"/>
        <w:ind w:left="0" w:firstLine="480" w:firstLineChars="200"/>
        <w:textAlignment w:val="bottom"/>
        <w:outlineLvl w:val="9"/>
        <w:rPr>
          <w:rFonts w:hint="default"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w:t>
      </w:r>
      <w:r>
        <w:rPr>
          <w:rFonts w:hint="eastAsia" w:ascii="宋体" w:hAnsi="宋体" w:cs="宋体"/>
          <w:color w:val="auto"/>
          <w:kern w:val="0"/>
          <w:highlight w:val="none"/>
          <w:lang w:val="en-US" w:eastAsia="zh-CN" w:bidi="ar"/>
        </w:rPr>
        <w:t>5</w:t>
      </w:r>
      <w:r>
        <w:rPr>
          <w:rFonts w:hint="eastAsia" w:ascii="宋体" w:hAnsi="宋体" w:eastAsia="宋体" w:cs="宋体"/>
          <w:color w:val="auto"/>
          <w:kern w:val="0"/>
          <w:highlight w:val="none"/>
          <w:lang w:val="en-US" w:eastAsia="zh-CN" w:bidi="ar"/>
        </w:rPr>
        <w:t>）</w:t>
      </w:r>
      <w:r>
        <w:rPr>
          <w:rFonts w:hint="eastAsia" w:ascii="宋体" w:hAnsi="宋体" w:eastAsia="宋体" w:cs="宋体"/>
          <w:color w:val="auto"/>
          <w:kern w:val="0"/>
          <w:highlight w:val="none"/>
          <w:lang w:val="zh-CN" w:bidi="ar"/>
        </w:rPr>
        <w:t>重难点分析及解决方案</w:t>
      </w:r>
      <w:r>
        <w:rPr>
          <w:rFonts w:hint="eastAsia" w:ascii="宋体" w:hAnsi="宋体" w:eastAsia="宋体" w:cs="宋体"/>
          <w:color w:val="auto"/>
          <w:kern w:val="0"/>
          <w:highlight w:val="none"/>
          <w:lang w:val="en-US" w:eastAsia="zh-CN" w:bidi="ar"/>
        </w:rPr>
        <w:t>；（格式自拟）</w:t>
      </w:r>
    </w:p>
    <w:p w14:paraId="75018BD8">
      <w:pPr>
        <w:widowControl/>
        <w:numPr>
          <w:ilvl w:val="0"/>
          <w:numId w:val="0"/>
        </w:numPr>
        <w:shd w:val="clear"/>
        <w:autoSpaceDE/>
        <w:autoSpaceDN/>
        <w:adjustRightInd w:val="0"/>
        <w:snapToGrid w:val="0"/>
        <w:spacing w:line="312" w:lineRule="auto"/>
        <w:ind w:left="0" w:firstLine="480" w:firstLineChars="200"/>
        <w:textAlignment w:val="bottom"/>
        <w:outlineLvl w:val="9"/>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w:t>
      </w:r>
      <w:r>
        <w:rPr>
          <w:rFonts w:hint="eastAsia" w:ascii="宋体" w:hAnsi="宋体" w:cs="宋体"/>
          <w:color w:val="auto"/>
          <w:kern w:val="0"/>
          <w:highlight w:val="none"/>
          <w:lang w:val="en-US" w:eastAsia="zh-CN" w:bidi="ar"/>
        </w:rPr>
        <w:t>6</w:t>
      </w:r>
      <w:r>
        <w:rPr>
          <w:rFonts w:hint="eastAsia" w:ascii="宋体" w:hAnsi="宋体" w:eastAsia="宋体" w:cs="宋体"/>
          <w:color w:val="auto"/>
          <w:kern w:val="0"/>
          <w:highlight w:val="none"/>
          <w:lang w:val="en-US" w:eastAsia="zh-CN" w:bidi="ar"/>
        </w:rPr>
        <w:t>）</w:t>
      </w:r>
      <w:r>
        <w:rPr>
          <w:rFonts w:hint="eastAsia" w:ascii="宋体" w:hAnsi="宋体" w:eastAsia="宋体" w:cs="宋体"/>
          <w:color w:val="auto"/>
          <w:kern w:val="0"/>
          <w:highlight w:val="none"/>
          <w:lang w:val="en-US" w:bidi="ar"/>
        </w:rPr>
        <w:t>实施方案</w:t>
      </w:r>
      <w:r>
        <w:rPr>
          <w:rFonts w:hint="eastAsia" w:ascii="宋体" w:hAnsi="宋体" w:eastAsia="宋体" w:cs="宋体"/>
          <w:color w:val="auto"/>
          <w:kern w:val="0"/>
          <w:highlight w:val="none"/>
          <w:lang w:val="en-US" w:eastAsia="zh-CN" w:bidi="ar"/>
        </w:rPr>
        <w:t>；（格式自拟）</w:t>
      </w:r>
    </w:p>
    <w:p w14:paraId="367CD2C5">
      <w:pPr>
        <w:widowControl/>
        <w:numPr>
          <w:ilvl w:val="0"/>
          <w:numId w:val="0"/>
        </w:numPr>
        <w:shd w:val="clear"/>
        <w:autoSpaceDE/>
        <w:autoSpaceDN/>
        <w:adjustRightInd w:val="0"/>
        <w:snapToGrid w:val="0"/>
        <w:spacing w:line="312" w:lineRule="auto"/>
        <w:ind w:left="0" w:firstLine="480" w:firstLineChars="200"/>
        <w:textAlignment w:val="bottom"/>
        <w:outlineLvl w:val="9"/>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w:t>
      </w:r>
      <w:r>
        <w:rPr>
          <w:rFonts w:hint="eastAsia" w:ascii="宋体" w:hAnsi="宋体" w:cs="宋体"/>
          <w:color w:val="auto"/>
          <w:kern w:val="0"/>
          <w:highlight w:val="none"/>
          <w:lang w:val="en-US" w:eastAsia="zh-CN" w:bidi="ar"/>
        </w:rPr>
        <w:t>7</w:t>
      </w:r>
      <w:r>
        <w:rPr>
          <w:rFonts w:hint="eastAsia" w:ascii="宋体" w:hAnsi="宋体" w:eastAsia="宋体" w:cs="宋体"/>
          <w:color w:val="auto"/>
          <w:kern w:val="0"/>
          <w:highlight w:val="none"/>
          <w:lang w:val="en-US" w:eastAsia="zh-CN" w:bidi="ar"/>
        </w:rPr>
        <w:t>）人员及设备到位情况；（格式自拟）</w:t>
      </w:r>
    </w:p>
    <w:p w14:paraId="6BD42C57">
      <w:pPr>
        <w:widowControl/>
        <w:numPr>
          <w:ilvl w:val="0"/>
          <w:numId w:val="0"/>
        </w:numPr>
        <w:shd w:val="clear"/>
        <w:autoSpaceDE/>
        <w:autoSpaceDN/>
        <w:adjustRightInd w:val="0"/>
        <w:snapToGrid w:val="0"/>
        <w:spacing w:line="312" w:lineRule="auto"/>
        <w:ind w:left="0" w:firstLine="480" w:firstLineChars="200"/>
        <w:textAlignment w:val="bottom"/>
        <w:outlineLvl w:val="9"/>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w:t>
      </w:r>
      <w:r>
        <w:rPr>
          <w:rFonts w:hint="eastAsia" w:ascii="宋体" w:hAnsi="宋体" w:cs="宋体"/>
          <w:color w:val="auto"/>
          <w:kern w:val="0"/>
          <w:highlight w:val="none"/>
          <w:lang w:val="en-US" w:eastAsia="zh-CN" w:bidi="ar"/>
        </w:rPr>
        <w:t>8</w:t>
      </w:r>
      <w:r>
        <w:rPr>
          <w:rFonts w:hint="eastAsia" w:ascii="宋体" w:hAnsi="宋体" w:eastAsia="宋体" w:cs="宋体"/>
          <w:color w:val="auto"/>
          <w:kern w:val="0"/>
          <w:highlight w:val="none"/>
          <w:lang w:val="en-US" w:eastAsia="zh-CN" w:bidi="ar"/>
        </w:rPr>
        <w:t>）</w:t>
      </w:r>
      <w:r>
        <w:rPr>
          <w:rFonts w:hint="eastAsia" w:ascii="宋体" w:hAnsi="宋体" w:eastAsia="宋体" w:cs="宋体"/>
          <w:color w:val="auto"/>
          <w:kern w:val="0"/>
          <w:highlight w:val="none"/>
          <w:lang w:val="en-US" w:bidi="ar"/>
        </w:rPr>
        <w:t>报告编制方式及成果</w:t>
      </w:r>
      <w:r>
        <w:rPr>
          <w:rFonts w:hint="eastAsia" w:ascii="宋体" w:hAnsi="宋体" w:eastAsia="宋体" w:cs="宋体"/>
          <w:color w:val="auto"/>
          <w:kern w:val="0"/>
          <w:highlight w:val="none"/>
          <w:lang w:val="zh-CN" w:eastAsia="zh-CN" w:bidi="ar"/>
        </w:rPr>
        <w:t>；</w:t>
      </w:r>
      <w:r>
        <w:rPr>
          <w:rFonts w:hint="eastAsia" w:ascii="宋体" w:hAnsi="宋体" w:eastAsia="宋体" w:cs="宋体"/>
          <w:color w:val="auto"/>
          <w:kern w:val="0"/>
          <w:highlight w:val="none"/>
          <w:lang w:val="en-US" w:eastAsia="zh-CN" w:bidi="ar"/>
        </w:rPr>
        <w:t>（格式自拟）</w:t>
      </w:r>
    </w:p>
    <w:p w14:paraId="1E372B4A">
      <w:pPr>
        <w:widowControl/>
        <w:numPr>
          <w:ilvl w:val="0"/>
          <w:numId w:val="0"/>
        </w:numPr>
        <w:shd w:val="clear"/>
        <w:autoSpaceDE/>
        <w:autoSpaceDN/>
        <w:adjustRightInd w:val="0"/>
        <w:snapToGrid w:val="0"/>
        <w:spacing w:line="312" w:lineRule="auto"/>
        <w:ind w:left="0" w:firstLine="480" w:firstLineChars="200"/>
        <w:textAlignment w:val="bottom"/>
        <w:outlineLvl w:val="9"/>
        <w:rPr>
          <w:rFonts w:hint="eastAsia" w:ascii="宋体" w:hAnsi="宋体" w:eastAsia="宋体" w:cs="宋体"/>
          <w:color w:val="auto"/>
          <w:kern w:val="0"/>
          <w:highlight w:val="none"/>
          <w:lang w:val="en-US" w:bidi="ar"/>
        </w:rPr>
      </w:pPr>
      <w:r>
        <w:rPr>
          <w:rFonts w:hint="eastAsia" w:ascii="宋体" w:hAnsi="宋体" w:eastAsia="宋体" w:cs="宋体"/>
          <w:color w:val="auto"/>
          <w:kern w:val="0"/>
          <w:highlight w:val="none"/>
          <w:lang w:val="en-US" w:eastAsia="zh-CN" w:bidi="ar"/>
        </w:rPr>
        <w:t>（</w:t>
      </w:r>
      <w:r>
        <w:rPr>
          <w:rFonts w:hint="eastAsia" w:ascii="宋体" w:hAnsi="宋体" w:cs="宋体"/>
          <w:color w:val="auto"/>
          <w:kern w:val="0"/>
          <w:highlight w:val="none"/>
          <w:lang w:val="en-US" w:eastAsia="zh-CN" w:bidi="ar"/>
        </w:rPr>
        <w:t>9</w:t>
      </w:r>
      <w:r>
        <w:rPr>
          <w:rFonts w:hint="eastAsia" w:ascii="宋体" w:hAnsi="宋体" w:eastAsia="宋体" w:cs="宋体"/>
          <w:color w:val="auto"/>
          <w:kern w:val="0"/>
          <w:highlight w:val="none"/>
          <w:lang w:val="en-US" w:eastAsia="zh-CN" w:bidi="ar"/>
        </w:rPr>
        <w:t>）</w:t>
      </w:r>
      <w:r>
        <w:rPr>
          <w:rFonts w:hint="eastAsia" w:ascii="宋体" w:hAnsi="宋体" w:eastAsia="宋体" w:cs="宋体"/>
          <w:color w:val="auto"/>
          <w:kern w:val="0"/>
          <w:highlight w:val="none"/>
          <w:lang w:val="en-US" w:bidi="ar"/>
        </w:rPr>
        <w:t>服务质量管控</w:t>
      </w:r>
      <w:r>
        <w:rPr>
          <w:rFonts w:hint="eastAsia" w:ascii="宋体" w:hAnsi="宋体" w:eastAsia="宋体" w:cs="宋体"/>
          <w:color w:val="auto"/>
          <w:kern w:val="0"/>
          <w:highlight w:val="none"/>
          <w:lang w:val="zh-CN" w:eastAsia="zh-CN" w:bidi="ar"/>
        </w:rPr>
        <w:t>；</w:t>
      </w:r>
      <w:r>
        <w:rPr>
          <w:rFonts w:hint="eastAsia" w:ascii="宋体" w:hAnsi="宋体" w:eastAsia="宋体" w:cs="宋体"/>
          <w:color w:val="auto"/>
          <w:kern w:val="0"/>
          <w:highlight w:val="none"/>
          <w:lang w:val="en-US" w:eastAsia="zh-CN" w:bidi="ar"/>
        </w:rPr>
        <w:t>（格式自拟）</w:t>
      </w:r>
    </w:p>
    <w:p w14:paraId="18273C4A">
      <w:pPr>
        <w:widowControl/>
        <w:numPr>
          <w:ilvl w:val="0"/>
          <w:numId w:val="0"/>
        </w:numPr>
        <w:shd w:val="clear"/>
        <w:autoSpaceDE/>
        <w:autoSpaceDN/>
        <w:adjustRightInd w:val="0"/>
        <w:snapToGrid w:val="0"/>
        <w:spacing w:line="312" w:lineRule="auto"/>
        <w:ind w:left="0" w:firstLine="480" w:firstLineChars="200"/>
        <w:textAlignment w:val="bottom"/>
        <w:outlineLvl w:val="9"/>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w:t>
      </w:r>
      <w:r>
        <w:rPr>
          <w:rFonts w:hint="eastAsia" w:ascii="宋体" w:hAnsi="宋体" w:cs="宋体"/>
          <w:color w:val="auto"/>
          <w:kern w:val="0"/>
          <w:highlight w:val="none"/>
          <w:lang w:val="en-US" w:eastAsia="zh-CN" w:bidi="ar"/>
        </w:rPr>
        <w:t>10</w:t>
      </w:r>
      <w:r>
        <w:rPr>
          <w:rFonts w:hint="eastAsia" w:ascii="宋体" w:hAnsi="宋体" w:eastAsia="宋体" w:cs="宋体"/>
          <w:color w:val="auto"/>
          <w:kern w:val="0"/>
          <w:highlight w:val="none"/>
          <w:lang w:val="en-US" w:eastAsia="zh-CN" w:bidi="ar"/>
        </w:rPr>
        <w:t>）</w:t>
      </w:r>
      <w:r>
        <w:rPr>
          <w:rFonts w:hint="eastAsia" w:ascii="宋体" w:hAnsi="宋体" w:eastAsia="宋体" w:cs="宋体"/>
          <w:color w:val="auto"/>
          <w:kern w:val="0"/>
          <w:highlight w:val="none"/>
          <w:lang w:val="en-US" w:bidi="ar"/>
        </w:rPr>
        <w:t>应急预案</w:t>
      </w:r>
      <w:r>
        <w:rPr>
          <w:rFonts w:hint="eastAsia" w:ascii="宋体" w:hAnsi="宋体" w:eastAsia="宋体" w:cs="宋体"/>
          <w:color w:val="auto"/>
          <w:kern w:val="0"/>
          <w:highlight w:val="none"/>
          <w:lang w:val="zh-CN" w:eastAsia="zh-CN" w:bidi="ar"/>
        </w:rPr>
        <w:t>；</w:t>
      </w:r>
      <w:r>
        <w:rPr>
          <w:rFonts w:hint="eastAsia" w:ascii="宋体" w:hAnsi="宋体" w:eastAsia="宋体" w:cs="宋体"/>
          <w:color w:val="auto"/>
          <w:kern w:val="0"/>
          <w:highlight w:val="none"/>
          <w:lang w:val="en-US" w:eastAsia="zh-CN" w:bidi="ar"/>
        </w:rPr>
        <w:t>（格式自拟）</w:t>
      </w:r>
    </w:p>
    <w:p w14:paraId="7ED068A5">
      <w:pPr>
        <w:widowControl/>
        <w:numPr>
          <w:ilvl w:val="0"/>
          <w:numId w:val="0"/>
        </w:numPr>
        <w:shd w:val="clear"/>
        <w:autoSpaceDE/>
        <w:autoSpaceDN/>
        <w:adjustRightInd w:val="0"/>
        <w:snapToGrid w:val="0"/>
        <w:spacing w:line="312" w:lineRule="auto"/>
        <w:ind w:left="0" w:firstLine="480" w:firstLineChars="200"/>
        <w:textAlignment w:val="bottom"/>
        <w:outlineLvl w:val="9"/>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w:t>
      </w:r>
      <w:r>
        <w:rPr>
          <w:rFonts w:hint="eastAsia" w:ascii="宋体" w:hAnsi="宋体" w:cs="宋体"/>
          <w:color w:val="auto"/>
          <w:kern w:val="0"/>
          <w:highlight w:val="none"/>
          <w:lang w:val="en-US" w:eastAsia="zh-CN" w:bidi="ar"/>
        </w:rPr>
        <w:t>11</w:t>
      </w:r>
      <w:r>
        <w:rPr>
          <w:rFonts w:hint="eastAsia" w:ascii="宋体" w:hAnsi="宋体" w:eastAsia="宋体" w:cs="宋体"/>
          <w:color w:val="auto"/>
          <w:kern w:val="0"/>
          <w:highlight w:val="none"/>
          <w:lang w:val="en-US" w:eastAsia="zh-CN" w:bidi="ar"/>
        </w:rPr>
        <w:t>）合理化建议</w:t>
      </w:r>
      <w:r>
        <w:rPr>
          <w:rFonts w:hint="eastAsia" w:ascii="宋体" w:hAnsi="宋体" w:eastAsia="宋体" w:cs="宋体"/>
          <w:color w:val="auto"/>
          <w:kern w:val="0"/>
          <w:highlight w:val="none"/>
          <w:lang w:val="zh-CN" w:eastAsia="zh-CN" w:bidi="ar"/>
        </w:rPr>
        <w:t>；</w:t>
      </w:r>
      <w:r>
        <w:rPr>
          <w:rFonts w:hint="eastAsia" w:ascii="宋体" w:hAnsi="宋体" w:eastAsia="宋体" w:cs="宋体"/>
          <w:color w:val="auto"/>
          <w:kern w:val="0"/>
          <w:highlight w:val="none"/>
          <w:lang w:val="en-US" w:eastAsia="zh-CN" w:bidi="ar"/>
        </w:rPr>
        <w:t>（格式自拟）</w:t>
      </w:r>
    </w:p>
    <w:p w14:paraId="405EF8B8">
      <w:pPr>
        <w:widowControl/>
        <w:numPr>
          <w:ilvl w:val="0"/>
          <w:numId w:val="0"/>
        </w:numPr>
        <w:shd w:val="clear"/>
        <w:autoSpaceDE/>
        <w:autoSpaceDN/>
        <w:adjustRightInd w:val="0"/>
        <w:snapToGrid w:val="0"/>
        <w:spacing w:line="312" w:lineRule="auto"/>
        <w:ind w:left="0" w:firstLine="480" w:firstLineChars="200"/>
        <w:textAlignment w:val="bottom"/>
        <w:outlineLvl w:val="9"/>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（1</w:t>
      </w:r>
      <w:r>
        <w:rPr>
          <w:rFonts w:hint="eastAsia" w:ascii="宋体" w:hAnsi="宋体" w:cs="宋体"/>
          <w:color w:val="auto"/>
          <w:kern w:val="0"/>
          <w:highlight w:val="none"/>
          <w:lang w:val="en-US" w:eastAsia="zh-CN" w:bidi="ar"/>
        </w:rPr>
        <w:t>2</w:t>
      </w:r>
      <w:r>
        <w:rPr>
          <w:rFonts w:hint="eastAsia" w:ascii="宋体" w:hAnsi="宋体" w:eastAsia="宋体" w:cs="宋体"/>
          <w:color w:val="auto"/>
          <w:kern w:val="0"/>
          <w:highlight w:val="none"/>
          <w:lang w:val="en-US" w:eastAsia="zh-CN" w:bidi="ar"/>
        </w:rPr>
        <w:t>）售后服务</w:t>
      </w:r>
      <w:r>
        <w:rPr>
          <w:rFonts w:hint="eastAsia" w:ascii="宋体" w:hAnsi="宋体" w:eastAsia="宋体" w:cs="宋体"/>
          <w:color w:val="auto"/>
          <w:kern w:val="0"/>
          <w:highlight w:val="none"/>
          <w:lang w:val="zh-CN" w:eastAsia="zh-CN" w:bidi="ar"/>
        </w:rPr>
        <w:t>；</w:t>
      </w:r>
      <w:r>
        <w:rPr>
          <w:rFonts w:hint="eastAsia" w:ascii="宋体" w:hAnsi="宋体" w:eastAsia="宋体" w:cs="宋体"/>
          <w:color w:val="auto"/>
          <w:kern w:val="0"/>
          <w:highlight w:val="none"/>
          <w:lang w:val="en-US" w:eastAsia="zh-CN" w:bidi="ar"/>
        </w:rPr>
        <w:t>（格式自拟）</w:t>
      </w:r>
    </w:p>
    <w:bookmarkEnd w:id="270"/>
    <w:bookmarkEnd w:id="271"/>
    <w:bookmarkEnd w:id="272"/>
    <w:bookmarkEnd w:id="273"/>
    <w:bookmarkEnd w:id="274"/>
    <w:p w14:paraId="05CB308D">
      <w:pPr>
        <w:widowControl/>
        <w:numPr>
          <w:ilvl w:val="0"/>
          <w:numId w:val="0"/>
        </w:numPr>
        <w:shd w:val="clear"/>
        <w:autoSpaceDE/>
        <w:autoSpaceDN/>
        <w:adjustRightInd w:val="0"/>
        <w:snapToGrid w:val="0"/>
        <w:spacing w:line="312" w:lineRule="auto"/>
        <w:ind w:left="0" w:firstLine="480" w:firstLineChars="200"/>
        <w:textAlignment w:val="bottom"/>
        <w:outlineLvl w:val="9"/>
        <w:rPr>
          <w:rFonts w:hint="eastAsia" w:ascii="宋体" w:hAnsi="宋体" w:eastAsia="宋体" w:cs="宋体"/>
          <w:color w:val="auto"/>
          <w:kern w:val="0"/>
          <w:highlight w:val="none"/>
          <w:lang w:val="zh-CN" w:bidi="ar"/>
        </w:rPr>
      </w:pPr>
      <w:r>
        <w:rPr>
          <w:rFonts w:hint="eastAsia" w:ascii="宋体" w:hAnsi="宋体" w:eastAsia="宋体" w:cs="宋体"/>
          <w:color w:val="auto"/>
          <w:kern w:val="0"/>
          <w:highlight w:val="none"/>
          <w:lang w:val="zh-CN" w:bidi="ar"/>
        </w:rPr>
        <w:t>（1</w:t>
      </w:r>
      <w:r>
        <w:rPr>
          <w:rFonts w:hint="eastAsia" w:ascii="宋体" w:hAnsi="宋体" w:cs="宋体"/>
          <w:color w:val="auto"/>
          <w:kern w:val="0"/>
          <w:highlight w:val="none"/>
          <w:lang w:val="en-US" w:eastAsia="zh-CN" w:bidi="ar"/>
        </w:rPr>
        <w:t>3</w:t>
      </w:r>
      <w:r>
        <w:rPr>
          <w:rFonts w:hint="eastAsia" w:ascii="宋体" w:hAnsi="宋体" w:eastAsia="宋体" w:cs="宋体"/>
          <w:color w:val="auto"/>
          <w:kern w:val="0"/>
          <w:highlight w:val="none"/>
          <w:lang w:val="zh-CN" w:bidi="ar"/>
        </w:rPr>
        <w:t>）</w:t>
      </w:r>
      <w:r>
        <w:rPr>
          <w:rFonts w:hint="eastAsia" w:ascii="宋体" w:hAnsi="宋体" w:cs="宋体"/>
          <w:color w:val="auto"/>
          <w:kern w:val="0"/>
          <w:highlight w:val="none"/>
          <w:lang w:val="zh-CN" w:bidi="ar"/>
        </w:rPr>
        <w:t>投标人</w:t>
      </w:r>
      <w:r>
        <w:rPr>
          <w:rFonts w:hint="eastAsia" w:ascii="宋体" w:hAnsi="宋体" w:eastAsia="宋体" w:cs="宋体"/>
          <w:color w:val="auto"/>
          <w:kern w:val="0"/>
          <w:highlight w:val="none"/>
          <w:lang w:val="zh-CN" w:bidi="ar"/>
        </w:rPr>
        <w:t>根据第五章评标办法及评分标准十、评标细则及标准3.综合评分明细表提供其余的相关评分所需资料。</w:t>
      </w:r>
    </w:p>
    <w:p w14:paraId="5F123EA1">
      <w:pPr>
        <w:widowControl/>
        <w:shd w:val="clear"/>
        <w:adjustRightInd w:val="0"/>
        <w:snapToGrid w:val="0"/>
        <w:spacing w:line="312" w:lineRule="auto"/>
        <w:ind w:firstLine="482"/>
        <w:jc w:val="left"/>
        <w:textAlignment w:val="bottom"/>
        <w:rPr>
          <w:rFonts w:hint="eastAsia" w:ascii="宋体" w:hAnsi="宋体" w:cs="宋体"/>
          <w:b/>
          <w:bCs/>
          <w:color w:val="auto"/>
          <w:highlight w:val="none"/>
          <w:u w:val="single"/>
          <w:lang w:val="zh-CN"/>
        </w:rPr>
      </w:pPr>
      <w:r>
        <w:rPr>
          <w:rFonts w:hint="eastAsia" w:ascii="宋体" w:hAnsi="宋体" w:cs="宋体"/>
          <w:b/>
          <w:bCs/>
          <w:color w:val="auto"/>
          <w:highlight w:val="none"/>
          <w:lang w:val="zh-CN"/>
        </w:rPr>
        <w:t>12.3</w:t>
      </w:r>
      <w:r>
        <w:rPr>
          <w:rFonts w:hint="eastAsia" w:ascii="宋体" w:hAnsi="宋体" w:cs="宋体"/>
          <w:color w:val="auto"/>
          <w:highlight w:val="none"/>
          <w:lang w:val="zh-CN"/>
        </w:rPr>
        <w:t xml:space="preserve"> </w:t>
      </w:r>
      <w:r>
        <w:rPr>
          <w:rFonts w:hint="eastAsia" w:ascii="宋体" w:hAnsi="宋体" w:cs="宋体"/>
          <w:b/>
          <w:bCs/>
          <w:color w:val="auto"/>
          <w:highlight w:val="none"/>
          <w:u w:val="single"/>
          <w:lang w:val="zh-CN"/>
        </w:rPr>
        <w:t>报价文件组成</w:t>
      </w:r>
    </w:p>
    <w:p w14:paraId="59F9832C">
      <w:pPr>
        <w:shd w:val="clear"/>
        <w:adjustRightInd w:val="0"/>
        <w:snapToGrid w:val="0"/>
        <w:spacing w:line="312" w:lineRule="auto"/>
        <w:ind w:firstLine="480"/>
        <w:textAlignment w:val="bottom"/>
        <w:rPr>
          <w:rFonts w:hint="eastAsia" w:ascii="宋体" w:hAnsi="宋体" w:cs="宋体"/>
          <w:color w:val="auto"/>
          <w:highlight w:val="none"/>
          <w:lang w:val="zh-CN"/>
        </w:rPr>
      </w:pPr>
      <w:r>
        <w:rPr>
          <w:rFonts w:hint="eastAsia" w:ascii="宋体" w:hAnsi="宋体" w:cs="宋体"/>
          <w:color w:val="auto"/>
          <w:highlight w:val="none"/>
          <w:lang w:val="zh-CN"/>
        </w:rPr>
        <w:t>包括但不限于以下内容：</w:t>
      </w:r>
    </w:p>
    <w:p w14:paraId="542A2346">
      <w:pPr>
        <w:numPr>
          <w:ilvl w:val="255"/>
          <w:numId w:val="0"/>
        </w:numPr>
        <w:shd w:val="clear"/>
        <w:adjustRightInd w:val="0"/>
        <w:snapToGrid w:val="0"/>
        <w:spacing w:line="312" w:lineRule="auto"/>
        <w:ind w:firstLine="480" w:firstLineChars="200"/>
        <w:textAlignment w:val="bottom"/>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（1）▲开标一览表；（格式见附件1</w:t>
      </w:r>
      <w:r>
        <w:rPr>
          <w:rFonts w:hint="eastAsia" w:ascii="宋体" w:hAnsi="宋体" w:cs="宋体"/>
          <w:color w:val="auto"/>
          <w:highlight w:val="none"/>
          <w:lang w:val="en-US" w:eastAsia="zh-CN"/>
        </w:rPr>
        <w:t>0</w:t>
      </w:r>
      <w:r>
        <w:rPr>
          <w:rFonts w:hint="eastAsia" w:ascii="宋体" w:hAnsi="宋体" w:eastAsia="宋体" w:cs="宋体"/>
          <w:color w:val="auto"/>
          <w:highlight w:val="none"/>
          <w:lang w:val="zh-CN"/>
        </w:rPr>
        <w:t>）</w:t>
      </w:r>
    </w:p>
    <w:p w14:paraId="3F6A229C">
      <w:pPr>
        <w:numPr>
          <w:ilvl w:val="255"/>
          <w:numId w:val="0"/>
        </w:numPr>
        <w:shd w:val="clear"/>
        <w:adjustRightInd w:val="0"/>
        <w:snapToGrid w:val="0"/>
        <w:spacing w:line="312" w:lineRule="auto"/>
        <w:ind w:firstLine="480" w:firstLineChars="200"/>
        <w:textAlignment w:val="bottom"/>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zh-CN"/>
        </w:rPr>
        <w:t>（2）▲</w:t>
      </w:r>
      <w:r>
        <w:rPr>
          <w:rFonts w:hint="eastAsia" w:ascii="宋体" w:hAnsi="宋体" w:eastAsia="宋体" w:cs="宋体"/>
          <w:color w:val="auto"/>
          <w:highlight w:val="none"/>
          <w:lang w:val="en-US" w:eastAsia="zh-CN"/>
        </w:rPr>
        <w:t>报价明细</w:t>
      </w:r>
      <w:r>
        <w:rPr>
          <w:rFonts w:hint="eastAsia" w:ascii="宋体" w:hAnsi="宋体" w:eastAsia="宋体" w:cs="宋体"/>
          <w:color w:val="auto"/>
          <w:highlight w:val="none"/>
          <w:lang w:val="zh-CN"/>
        </w:rPr>
        <w:t>表</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zh-CN"/>
        </w:rPr>
        <w:t>（格式见附件</w:t>
      </w:r>
      <w:r>
        <w:rPr>
          <w:rFonts w:hint="eastAsia" w:ascii="宋体" w:hAnsi="宋体" w:cs="宋体"/>
          <w:color w:val="auto"/>
          <w:highlight w:val="none"/>
          <w:lang w:val="en-US" w:eastAsia="zh-CN"/>
        </w:rPr>
        <w:t>11</w:t>
      </w:r>
      <w:r>
        <w:rPr>
          <w:rFonts w:hint="eastAsia" w:ascii="宋体" w:hAnsi="宋体" w:eastAsia="宋体" w:cs="宋体"/>
          <w:color w:val="auto"/>
          <w:highlight w:val="none"/>
          <w:lang w:val="zh-CN"/>
        </w:rPr>
        <w:t>）</w:t>
      </w:r>
    </w:p>
    <w:p w14:paraId="4FB300E5">
      <w:pPr>
        <w:numPr>
          <w:ilvl w:val="255"/>
          <w:numId w:val="0"/>
        </w:numPr>
        <w:shd w:val="clear"/>
        <w:adjustRightInd w:val="0"/>
        <w:snapToGrid w:val="0"/>
        <w:spacing w:line="312" w:lineRule="auto"/>
        <w:ind w:firstLine="480" w:firstLineChars="200"/>
        <w:textAlignment w:val="bottom"/>
        <w:rPr>
          <w:rFonts w:hint="eastAsia" w:ascii="宋体" w:hAnsi="宋体" w:cs="宋体"/>
          <w:color w:val="auto"/>
          <w:highlight w:val="none"/>
          <w:lang w:eastAsia="zh-CN"/>
        </w:rPr>
      </w:pPr>
      <w:r>
        <w:rPr>
          <w:rFonts w:hint="eastAsia" w:ascii="宋体" w:hAnsi="宋体" w:cs="宋体"/>
          <w:color w:val="auto"/>
          <w:highlight w:val="none"/>
          <w:lang w:val="zh-CN"/>
        </w:rPr>
        <w:t>（</w:t>
      </w:r>
      <w:r>
        <w:rPr>
          <w:rFonts w:hint="eastAsia" w:ascii="宋体" w:hAnsi="宋体" w:cs="宋体"/>
          <w:color w:val="auto"/>
          <w:highlight w:val="none"/>
          <w:lang w:val="en-US" w:eastAsia="zh-CN"/>
        </w:rPr>
        <w:t>3</w:t>
      </w:r>
      <w:r>
        <w:rPr>
          <w:rFonts w:hint="eastAsia" w:ascii="宋体" w:hAnsi="宋体" w:cs="宋体"/>
          <w:color w:val="auto"/>
          <w:highlight w:val="none"/>
          <w:lang w:val="zh-CN"/>
        </w:rPr>
        <w:t>）</w:t>
      </w:r>
      <w:r>
        <w:rPr>
          <w:rFonts w:hint="eastAsia" w:ascii="宋体" w:hAnsi="宋体" w:eastAsia="宋体" w:cs="宋体"/>
          <w:color w:val="auto"/>
          <w:highlight w:val="none"/>
          <w:lang w:val="en-US" w:eastAsia="zh-CN"/>
        </w:rPr>
        <w:t>提供</w:t>
      </w:r>
      <w:r>
        <w:rPr>
          <w:rFonts w:hint="eastAsia" w:ascii="宋体" w:hAnsi="宋体" w:eastAsia="宋体" w:cs="宋体"/>
          <w:color w:val="auto"/>
          <w:highlight w:val="none"/>
          <w:lang w:val="en-US" w:eastAsia="en-US"/>
        </w:rPr>
        <w:t>《中小企业声明函</w:t>
      </w:r>
      <w:r>
        <w:rPr>
          <w:rFonts w:hint="eastAsia" w:ascii="宋体" w:hAnsi="宋体" w:eastAsia="宋体" w:cs="宋体"/>
          <w:color w:val="auto"/>
          <w:highlight w:val="none"/>
          <w:lang w:val="en-US" w:eastAsia="zh-CN"/>
        </w:rPr>
        <w:t>（服务）</w:t>
      </w:r>
      <w:r>
        <w:rPr>
          <w:rFonts w:hint="eastAsia" w:ascii="宋体" w:hAnsi="宋体" w:eastAsia="宋体" w:cs="宋体"/>
          <w:color w:val="auto"/>
          <w:highlight w:val="none"/>
          <w:lang w:val="en-US" w:eastAsia="en-US"/>
        </w:rPr>
        <w:t>》</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en-US" w:eastAsia="en-US"/>
        </w:rPr>
        <w:t>《监狱企业声明函》</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en-US" w:eastAsia="en-US"/>
        </w:rPr>
        <w:t>《残疾人福利性单位声明函》（格式见附件</w:t>
      </w:r>
      <w:r>
        <w:rPr>
          <w:rFonts w:hint="eastAsia" w:ascii="宋体" w:hAnsi="宋体" w:cs="宋体"/>
          <w:color w:val="auto"/>
          <w:highlight w:val="none"/>
          <w:lang w:val="en-US" w:eastAsia="zh-CN"/>
        </w:rPr>
        <w:t>12</w:t>
      </w:r>
      <w:r>
        <w:rPr>
          <w:rFonts w:hint="eastAsia" w:ascii="宋体" w:hAnsi="宋体" w:eastAsia="宋体" w:cs="宋体"/>
          <w:color w:val="auto"/>
          <w:highlight w:val="none"/>
          <w:lang w:val="en-US" w:eastAsia="en-US"/>
        </w:rPr>
        <w:t>）</w:t>
      </w:r>
      <w:r>
        <w:rPr>
          <w:rFonts w:hint="eastAsia" w:ascii="宋体" w:hAnsi="宋体" w:cs="宋体"/>
          <w:color w:val="auto"/>
          <w:highlight w:val="none"/>
          <w:lang w:val="en-US" w:eastAsia="zh-CN"/>
        </w:rPr>
        <w:t>（如有）</w:t>
      </w:r>
      <w:r>
        <w:rPr>
          <w:rFonts w:hint="eastAsia" w:ascii="宋体" w:hAnsi="宋体" w:eastAsia="宋体" w:cs="宋体"/>
          <w:color w:val="auto"/>
          <w:highlight w:val="none"/>
          <w:lang w:val="en-US" w:eastAsia="zh-CN"/>
        </w:rPr>
        <w:t>；</w:t>
      </w:r>
    </w:p>
    <w:p w14:paraId="0807D774">
      <w:pPr>
        <w:numPr>
          <w:ilvl w:val="255"/>
          <w:numId w:val="0"/>
        </w:numPr>
        <w:shd w:val="clear"/>
        <w:adjustRightInd w:val="0"/>
        <w:snapToGrid w:val="0"/>
        <w:spacing w:line="312" w:lineRule="auto"/>
        <w:ind w:firstLine="480" w:firstLineChars="200"/>
        <w:textAlignment w:val="bottom"/>
        <w:rPr>
          <w:rFonts w:hint="eastAsia" w:ascii="宋体" w:hAnsi="宋体" w:cs="宋体"/>
          <w:color w:val="auto"/>
          <w:highlight w:val="none"/>
          <w:lang w:val="zh-CN"/>
        </w:rPr>
      </w:pPr>
      <w:r>
        <w:rPr>
          <w:rFonts w:hint="eastAsia" w:ascii="宋体" w:hAnsi="宋体" w:cs="宋体"/>
          <w:color w:val="auto"/>
          <w:highlight w:val="none"/>
          <w:lang w:val="zh-CN"/>
        </w:rPr>
        <w:t>（</w:t>
      </w:r>
      <w:r>
        <w:rPr>
          <w:rFonts w:hint="eastAsia" w:ascii="宋体" w:hAnsi="宋体" w:cs="宋体"/>
          <w:color w:val="auto"/>
          <w:highlight w:val="none"/>
          <w:lang w:val="en-US" w:eastAsia="zh-CN"/>
        </w:rPr>
        <w:t>4</w:t>
      </w:r>
      <w:r>
        <w:rPr>
          <w:rFonts w:hint="eastAsia" w:ascii="宋体" w:hAnsi="宋体" w:cs="宋体"/>
          <w:color w:val="auto"/>
          <w:highlight w:val="none"/>
          <w:lang w:val="zh-CN"/>
        </w:rPr>
        <w:t>）投标人承诺给予采购人的各种优惠条件（如有，优惠条件事项不能包括采购项目本身所包括涉及的采购事项。投标人不能以“赠送、赠予”等任何名义提供货物和服务以规避招标文件的约束。否则，投标人提供的投标文件将作为无效投标处理，即使中标也将取消中标资格）。</w:t>
      </w:r>
    </w:p>
    <w:p w14:paraId="2FE120F5">
      <w:pPr>
        <w:numPr>
          <w:ilvl w:val="255"/>
          <w:numId w:val="0"/>
        </w:numPr>
        <w:shd w:val="clear"/>
        <w:adjustRightInd w:val="0"/>
        <w:snapToGrid w:val="0"/>
        <w:spacing w:line="312" w:lineRule="auto"/>
        <w:ind w:firstLine="480" w:firstLineChars="200"/>
        <w:textAlignment w:val="bottom"/>
        <w:rPr>
          <w:rFonts w:hint="eastAsia" w:ascii="宋体" w:hAnsi="宋体" w:cs="宋体"/>
          <w:color w:val="auto"/>
          <w:highlight w:val="none"/>
          <w:lang w:val="zh-CN"/>
        </w:rPr>
      </w:pPr>
      <w:r>
        <w:rPr>
          <w:rFonts w:hint="eastAsia" w:ascii="宋体" w:hAnsi="宋体" w:cs="宋体"/>
          <w:color w:val="auto"/>
          <w:highlight w:val="none"/>
          <w:lang w:val="zh-CN"/>
        </w:rPr>
        <w:t>（</w:t>
      </w:r>
      <w:r>
        <w:rPr>
          <w:rFonts w:hint="eastAsia" w:ascii="宋体" w:hAnsi="宋体" w:cs="宋体"/>
          <w:color w:val="auto"/>
          <w:highlight w:val="none"/>
          <w:lang w:val="en-US" w:eastAsia="zh-CN"/>
        </w:rPr>
        <w:t>5</w:t>
      </w:r>
      <w:r>
        <w:rPr>
          <w:rFonts w:hint="eastAsia" w:ascii="宋体" w:hAnsi="宋体" w:cs="宋体"/>
          <w:color w:val="auto"/>
          <w:highlight w:val="none"/>
          <w:lang w:val="zh-CN"/>
        </w:rPr>
        <w:t>）投标人根据采购文件要求认为需提供的其他资料。</w:t>
      </w:r>
    </w:p>
    <w:p w14:paraId="6ABA2A19">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ascii="宋体" w:hAnsi="宋体" w:cs="宋体"/>
          <w:b/>
          <w:bCs/>
          <w:color w:val="auto"/>
          <w:highlight w:val="none"/>
        </w:rPr>
        <w:t>投标报价</w:t>
      </w:r>
    </w:p>
    <w:p w14:paraId="02EDEBC9">
      <w:pPr>
        <w:pStyle w:val="36"/>
        <w:widowControl w:val="0"/>
        <w:shd w:val="clear"/>
        <w:tabs>
          <w:tab w:val="left" w:pos="0"/>
        </w:tabs>
        <w:adjustRightInd w:val="0"/>
        <w:snapToGrid w:val="0"/>
        <w:spacing w:line="312" w:lineRule="auto"/>
        <w:ind w:firstLine="482"/>
        <w:jc w:val="both"/>
        <w:rPr>
          <w:rFonts w:hint="eastAsia" w:ascii="宋体" w:hAnsi="宋体" w:cs="宋体"/>
          <w:bCs/>
          <w:color w:val="auto"/>
          <w:highlight w:val="none"/>
        </w:rPr>
      </w:pPr>
      <w:r>
        <w:rPr>
          <w:rFonts w:hint="eastAsia" w:ascii="宋体" w:hAnsi="宋体" w:cs="宋体"/>
          <w:b/>
          <w:bCs/>
          <w:color w:val="auto"/>
          <w:highlight w:val="none"/>
        </w:rPr>
        <w:t>13.1▲最高限价金额见投标人须知前附表，投标报价高于最高限价的为无效报价。</w:t>
      </w:r>
    </w:p>
    <w:p w14:paraId="7C7B244E">
      <w:pPr>
        <w:pStyle w:val="36"/>
        <w:widowControl w:val="0"/>
        <w:shd w:val="clear"/>
        <w:tabs>
          <w:tab w:val="left" w:pos="0"/>
        </w:tabs>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13.2投标报价</w:t>
      </w:r>
      <w:r>
        <w:rPr>
          <w:rFonts w:hint="eastAsia" w:ascii="宋体" w:hAnsi="宋体" w:cs="宋体"/>
          <w:bCs/>
          <w:color w:val="auto"/>
          <w:highlight w:val="none"/>
        </w:rPr>
        <w:t>是指投标人在正确地完全履行合同义务后采购人应支付的服务价款。如有</w:t>
      </w:r>
      <w:r>
        <w:rPr>
          <w:rFonts w:hint="eastAsia" w:ascii="宋体" w:hAnsi="宋体" w:cs="宋体"/>
          <w:color w:val="auto"/>
          <w:highlight w:val="none"/>
        </w:rPr>
        <w:t>漏项，视同已包含在其他项目中，价格不作调整，中标后不允许擅自改变服务内容、质量标准、期限和追加项目费用。</w:t>
      </w:r>
    </w:p>
    <w:p w14:paraId="1B2CBD93">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13.3</w:t>
      </w:r>
      <w:r>
        <w:rPr>
          <w:rFonts w:hint="eastAsia" w:ascii="宋体" w:hAnsi="宋体" w:cs="宋体"/>
          <w:color w:val="auto"/>
          <w:highlight w:val="none"/>
          <w:lang w:val="zh-CN"/>
        </w:rPr>
        <w:t>投标</w:t>
      </w:r>
      <w:r>
        <w:rPr>
          <w:rFonts w:hint="eastAsia" w:ascii="宋体" w:hAnsi="宋体" w:cs="宋体"/>
          <w:color w:val="auto"/>
          <w:highlight w:val="none"/>
        </w:rPr>
        <w:t>报价只允许有一个报价，有选择的或有条件的报价均不予接受。</w:t>
      </w:r>
    </w:p>
    <w:p w14:paraId="1E7176EA">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ascii="宋体" w:hAnsi="宋体" w:cs="宋体"/>
          <w:b/>
          <w:bCs/>
          <w:color w:val="auto"/>
          <w:highlight w:val="none"/>
        </w:rPr>
        <w:t>投标文件格式</w:t>
      </w:r>
    </w:p>
    <w:p w14:paraId="01EB9F91">
      <w:pPr>
        <w:pStyle w:val="36"/>
        <w:widowControl w:val="0"/>
        <w:shd w:val="clear"/>
        <w:tabs>
          <w:tab w:val="left" w:pos="0"/>
        </w:tabs>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bCs/>
          <w:color w:val="auto"/>
          <w:highlight w:val="none"/>
        </w:rPr>
        <w:t>14.1招标文件提供固定格式的，投标人须按照固定格式制作投标文件，详见本招标文件第六章。</w:t>
      </w:r>
    </w:p>
    <w:p w14:paraId="475525C3">
      <w:pPr>
        <w:pStyle w:val="36"/>
        <w:widowControl w:val="0"/>
        <w:shd w:val="clear"/>
        <w:tabs>
          <w:tab w:val="left" w:pos="0"/>
        </w:tabs>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14.2招标文件没有格式要求的由投标人自行编写制作。</w:t>
      </w:r>
    </w:p>
    <w:p w14:paraId="28968A80">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ascii="宋体" w:hAnsi="宋体" w:cs="宋体"/>
          <w:b/>
          <w:bCs/>
          <w:color w:val="auto"/>
          <w:highlight w:val="none"/>
        </w:rPr>
        <w:t>电子投标文件制作、加密和提交</w:t>
      </w:r>
    </w:p>
    <w:p w14:paraId="324C271E">
      <w:pPr>
        <w:pStyle w:val="36"/>
        <w:widowControl w:val="0"/>
        <w:shd w:val="clear"/>
        <w:tabs>
          <w:tab w:val="left" w:pos="0"/>
        </w:tabs>
        <w:wordWrap w:val="0"/>
        <w:adjustRightInd w:val="0"/>
        <w:snapToGrid w:val="0"/>
        <w:spacing w:line="312" w:lineRule="auto"/>
        <w:ind w:firstLine="480"/>
        <w:jc w:val="both"/>
        <w:rPr>
          <w:rFonts w:hint="eastAsia" w:ascii="宋体" w:hAnsi="宋体" w:cs="宋体"/>
          <w:bCs/>
          <w:color w:val="auto"/>
          <w:highlight w:val="none"/>
        </w:rPr>
      </w:pPr>
      <w:r>
        <w:rPr>
          <w:rFonts w:hint="eastAsia" w:ascii="宋体" w:hAnsi="宋体" w:cs="宋体"/>
          <w:bCs/>
          <w:color w:val="auto"/>
          <w:highlight w:val="none"/>
        </w:rPr>
        <w:t>15.1▲投标人通过“政采云电子投标客户端”投标工具制作，具体详情请查看《〈浙江省〉投标人-政府采购项目电子交易操作视频》网址：https://help.zcygov.cn/web/site_2/2019/08-20/58.5906.html；电子投标具体流程文档网址：</w:t>
      </w:r>
      <w:r>
        <w:rPr>
          <w:color w:val="auto"/>
          <w:highlight w:val="none"/>
        </w:rPr>
        <w:fldChar w:fldCharType="begin"/>
      </w:r>
      <w:r>
        <w:rPr>
          <w:color w:val="auto"/>
          <w:highlight w:val="none"/>
        </w:rPr>
        <w:instrText xml:space="preserve"> HYPERLINK "https://help.zcygov.cn/web/site_2/2018/12-28/2573.html。及本招标文件规定要求进行编制电子投标文件并进行关联定位。" </w:instrText>
      </w:r>
      <w:r>
        <w:rPr>
          <w:color w:val="auto"/>
          <w:highlight w:val="none"/>
        </w:rPr>
        <w:fldChar w:fldCharType="separate"/>
      </w:r>
      <w:r>
        <w:rPr>
          <w:rStyle w:val="48"/>
          <w:rFonts w:hint="eastAsia" w:ascii="宋体" w:hAnsi="宋体" w:cs="宋体"/>
          <w:bCs/>
          <w:color w:val="auto"/>
          <w:highlight w:val="none"/>
        </w:rPr>
        <w:t>https://help.zcygov.cn/web/site_2/2018/12-28/2573.html，及本招标文件规定要求进行编制电子投标文件，</w:t>
      </w:r>
      <w:r>
        <w:rPr>
          <w:rFonts w:hint="eastAsia" w:ascii="宋体" w:hAnsi="宋体" w:cs="宋体"/>
          <w:bCs/>
          <w:color w:val="auto"/>
          <w:highlight w:val="none"/>
        </w:rPr>
        <w:t>并</w:t>
      </w:r>
      <w:r>
        <w:rPr>
          <w:rStyle w:val="48"/>
          <w:rFonts w:hint="eastAsia" w:ascii="宋体" w:hAnsi="宋体" w:cs="宋体"/>
          <w:bCs/>
          <w:color w:val="auto"/>
          <w:highlight w:val="none"/>
        </w:rPr>
        <w:t>进行关联定位、</w:t>
      </w:r>
      <w:r>
        <w:rPr>
          <w:rStyle w:val="48"/>
          <w:rFonts w:hint="eastAsia" w:ascii="宋体" w:hAnsi="宋体" w:cs="宋体"/>
          <w:bCs/>
          <w:color w:val="auto"/>
          <w:highlight w:val="none"/>
        </w:rPr>
        <w:fldChar w:fldCharType="end"/>
      </w:r>
      <w:r>
        <w:rPr>
          <w:rFonts w:hint="eastAsia" w:ascii="宋体" w:hAnsi="宋体" w:cs="宋体"/>
          <w:bCs/>
          <w:color w:val="auto"/>
          <w:highlight w:val="none"/>
        </w:rPr>
        <w:t>加密和提交。</w:t>
      </w:r>
    </w:p>
    <w:p w14:paraId="2E8582D7">
      <w:pPr>
        <w:pStyle w:val="36"/>
        <w:widowControl w:val="0"/>
        <w:shd w:val="clear"/>
        <w:tabs>
          <w:tab w:val="left" w:pos="0"/>
        </w:tabs>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15.2▲</w:t>
      </w:r>
      <w:r>
        <w:rPr>
          <w:rStyle w:val="48"/>
          <w:rFonts w:hint="eastAsia" w:ascii="宋体" w:hAnsi="宋体" w:cs="宋体"/>
          <w:b/>
          <w:color w:val="auto"/>
          <w:highlight w:val="none"/>
        </w:rPr>
        <w:t>电子投标文件</w:t>
      </w:r>
      <w:r>
        <w:rPr>
          <w:rFonts w:hint="eastAsia" w:ascii="宋体" w:hAnsi="宋体" w:cs="宋体"/>
          <w:b/>
          <w:color w:val="auto"/>
          <w:highlight w:val="none"/>
        </w:rPr>
        <w:t>采用CA电子签章</w:t>
      </w:r>
      <w:r>
        <w:rPr>
          <w:rFonts w:hint="eastAsia" w:ascii="宋体" w:hAnsi="宋体" w:cs="宋体"/>
          <w:bCs/>
          <w:color w:val="auto"/>
          <w:highlight w:val="none"/>
        </w:rPr>
        <w:t>。招标文件注明需签字盖章部位、资格资信商务证明材料扫描件，以及任何行间插字、涂改或增删位置和澄清说明函等均须采用CA电子签章。</w:t>
      </w:r>
    </w:p>
    <w:p w14:paraId="52F93CE2">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ascii="宋体" w:hAnsi="宋体" w:cs="宋体"/>
          <w:b/>
          <w:bCs/>
          <w:color w:val="auto"/>
          <w:highlight w:val="none"/>
        </w:rPr>
        <w:t>备份投标文件制作、密封和提交</w:t>
      </w:r>
    </w:p>
    <w:p w14:paraId="3EA18E95">
      <w:pPr>
        <w:shd w:val="clear"/>
        <w:adjustRightInd w:val="0"/>
        <w:snapToGrid w:val="0"/>
        <w:spacing w:line="312" w:lineRule="auto"/>
        <w:ind w:firstLine="480"/>
        <w:rPr>
          <w:rFonts w:hint="eastAsia" w:ascii="宋体" w:hAnsi="宋体" w:cs="宋体"/>
          <w:b/>
          <w:color w:val="auto"/>
          <w:highlight w:val="none"/>
        </w:rPr>
      </w:pPr>
      <w:r>
        <w:rPr>
          <w:rFonts w:hint="eastAsia" w:ascii="宋体" w:hAnsi="宋体" w:cs="宋体"/>
          <w:bCs/>
          <w:color w:val="auto"/>
          <w:highlight w:val="none"/>
        </w:rPr>
        <w:t>制作、密封和提交详见投标人须知前附表。</w:t>
      </w:r>
      <w:r>
        <w:rPr>
          <w:rFonts w:hint="eastAsia" w:ascii="宋体" w:hAnsi="宋体" w:cs="宋体"/>
          <w:b/>
          <w:color w:val="auto"/>
          <w:highlight w:val="none"/>
        </w:rPr>
        <w:t>是否提交备份投标文件由投标人决定，并自行承担不提交备份投标文件的风险。</w:t>
      </w:r>
    </w:p>
    <w:p w14:paraId="56E7B3DB">
      <w:pPr>
        <w:numPr>
          <w:ilvl w:val="0"/>
          <w:numId w:val="4"/>
        </w:numPr>
        <w:shd w:val="clear"/>
        <w:tabs>
          <w:tab w:val="left" w:pos="0"/>
        </w:tabs>
        <w:adjustRightInd w:val="0"/>
        <w:snapToGrid w:val="0"/>
        <w:spacing w:line="312" w:lineRule="auto"/>
        <w:ind w:left="0" w:firstLine="482"/>
        <w:jc w:val="left"/>
        <w:rPr>
          <w:rFonts w:hint="eastAsia" w:ascii="宋体" w:hAnsi="宋体" w:cs="宋体"/>
          <w:b/>
          <w:bCs/>
          <w:color w:val="auto"/>
          <w:highlight w:val="none"/>
        </w:rPr>
      </w:pPr>
      <w:r>
        <w:rPr>
          <w:rFonts w:ascii="宋体" w:hAnsi="宋体" w:cs="宋体"/>
          <w:b/>
          <w:bCs/>
          <w:color w:val="auto"/>
          <w:highlight w:val="none"/>
        </w:rPr>
        <w:t>投标文件修改与撤回</w:t>
      </w:r>
    </w:p>
    <w:p w14:paraId="11EBCE93">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17.1投标人在投标截止时间之前可以对已提交投标文件进行修改、补充或撤回</w:t>
      </w:r>
      <w:r>
        <w:rPr>
          <w:rFonts w:hint="eastAsia" w:ascii="宋体" w:hAnsi="宋体" w:cs="宋体"/>
          <w:bCs/>
          <w:color w:val="auto"/>
          <w:highlight w:val="none"/>
        </w:rPr>
        <w:t>，</w:t>
      </w:r>
      <w:r>
        <w:rPr>
          <w:rFonts w:hint="eastAsia" w:ascii="宋体" w:hAnsi="宋体" w:cs="宋体"/>
          <w:b/>
          <w:color w:val="auto"/>
          <w:highlight w:val="none"/>
        </w:rPr>
        <w:t>应当先行撤回原文件，补充、修改后重新传输提交。</w:t>
      </w:r>
    </w:p>
    <w:p w14:paraId="1E60941A">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17.2投标截止时间后，投标不得撤回、修改投标文件。</w:t>
      </w:r>
    </w:p>
    <w:p w14:paraId="7A1E73D9">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17.3修改后重新提交的响应文件应当符合上述第14条、第15条规定。</w:t>
      </w:r>
    </w:p>
    <w:p w14:paraId="7D4F33D4">
      <w:pPr>
        <w:pStyle w:val="3"/>
        <w:numPr>
          <w:ilvl w:val="1"/>
          <w:numId w:val="0"/>
        </w:numPr>
        <w:shd w:val="clear"/>
        <w:spacing w:beforeLines="0" w:afterLines="0" w:line="288" w:lineRule="auto"/>
        <w:rPr>
          <w:rFonts w:hint="eastAsia" w:ascii="宋体" w:hAnsi="宋体" w:cs="宋体"/>
          <w:color w:val="auto"/>
          <w:highlight w:val="none"/>
        </w:rPr>
      </w:pPr>
      <w:bookmarkStart w:id="275" w:name="_Toc14530"/>
      <w:r>
        <w:rPr>
          <w:rFonts w:hint="eastAsia" w:ascii="宋体" w:hAnsi="宋体" w:cs="宋体"/>
          <w:color w:val="auto"/>
          <w:highlight w:val="none"/>
        </w:rPr>
        <w:t>四、开 标</w:t>
      </w:r>
      <w:bookmarkEnd w:id="275"/>
    </w:p>
    <w:p w14:paraId="628450B6">
      <w:pPr>
        <w:numPr>
          <w:ilvl w:val="0"/>
          <w:numId w:val="4"/>
        </w:numPr>
        <w:shd w:val="clear"/>
        <w:tabs>
          <w:tab w:val="left" w:pos="0"/>
        </w:tabs>
        <w:adjustRightInd w:val="0"/>
        <w:snapToGrid w:val="0"/>
        <w:spacing w:line="312" w:lineRule="auto"/>
        <w:ind w:left="0" w:firstLine="482"/>
        <w:rPr>
          <w:rFonts w:hint="eastAsia" w:ascii="宋体" w:hAnsi="宋体" w:cs="宋体"/>
          <w:b/>
          <w:bCs/>
          <w:color w:val="auto"/>
          <w:highlight w:val="none"/>
        </w:rPr>
      </w:pPr>
      <w:r>
        <w:rPr>
          <w:rFonts w:ascii="宋体" w:hAnsi="宋体" w:cs="宋体"/>
          <w:b/>
          <w:bCs/>
          <w:color w:val="auto"/>
          <w:highlight w:val="none"/>
        </w:rPr>
        <w:t>开标时间及地点</w:t>
      </w:r>
    </w:p>
    <w:p w14:paraId="09194A56">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采购组织机构按照投标人须知前附表规定的开标时间及地点进行公开开标。</w:t>
      </w:r>
    </w:p>
    <w:p w14:paraId="2A456E28">
      <w:pPr>
        <w:numPr>
          <w:ilvl w:val="0"/>
          <w:numId w:val="4"/>
        </w:numPr>
        <w:shd w:val="clear"/>
        <w:tabs>
          <w:tab w:val="left" w:pos="0"/>
        </w:tabs>
        <w:adjustRightInd w:val="0"/>
        <w:snapToGrid w:val="0"/>
        <w:spacing w:line="312" w:lineRule="auto"/>
        <w:ind w:left="0" w:firstLine="482"/>
        <w:rPr>
          <w:rFonts w:hint="eastAsia" w:ascii="宋体" w:hAnsi="宋体" w:cs="宋体"/>
          <w:b/>
          <w:bCs/>
          <w:color w:val="auto"/>
          <w:highlight w:val="none"/>
        </w:rPr>
      </w:pPr>
      <w:r>
        <w:rPr>
          <w:rFonts w:ascii="宋体" w:hAnsi="宋体" w:cs="宋体"/>
          <w:b/>
          <w:bCs/>
          <w:color w:val="auto"/>
          <w:highlight w:val="none"/>
        </w:rPr>
        <w:t>开评标程序</w:t>
      </w:r>
    </w:p>
    <w:p w14:paraId="449FAEC0">
      <w:pPr>
        <w:pStyle w:val="36"/>
        <w:widowControl w:val="0"/>
        <w:shd w:val="clear"/>
        <w:tabs>
          <w:tab w:val="left" w:pos="0"/>
        </w:tabs>
        <w:adjustRightInd w:val="0"/>
        <w:snapToGrid w:val="0"/>
        <w:spacing w:line="312" w:lineRule="auto"/>
        <w:ind w:firstLine="480"/>
        <w:jc w:val="both"/>
        <w:outlineLvl w:val="2"/>
        <w:rPr>
          <w:rFonts w:hint="eastAsia" w:ascii="宋体" w:hAnsi="宋体" w:cs="宋体"/>
          <w:color w:val="auto"/>
          <w:highlight w:val="none"/>
        </w:rPr>
      </w:pPr>
      <w:r>
        <w:rPr>
          <w:rFonts w:hint="eastAsia" w:ascii="宋体" w:hAnsi="宋体" w:cs="宋体"/>
          <w:color w:val="auto"/>
          <w:highlight w:val="none"/>
        </w:rPr>
        <w:t>19.1本项目原则上采用政采云电子招投标开标及评审程序。</w:t>
      </w:r>
      <w:r>
        <w:rPr>
          <w:rFonts w:hint="eastAsia" w:ascii="宋体" w:hAnsi="宋体" w:cs="宋体"/>
          <w:color w:val="auto"/>
          <w:highlight w:val="none"/>
          <w:lang w:val="zh-CN"/>
        </w:rPr>
        <w:t>若</w:t>
      </w:r>
      <w:r>
        <w:rPr>
          <w:rFonts w:hint="eastAsia" w:ascii="宋体" w:hAnsi="宋体" w:cs="宋体"/>
          <w:color w:val="auto"/>
          <w:highlight w:val="none"/>
        </w:rPr>
        <w:t>出现下列情形的处理方式：</w:t>
      </w:r>
    </w:p>
    <w:p w14:paraId="3CFFDAC2">
      <w:pPr>
        <w:pStyle w:val="147"/>
        <w:shd w:val="clear"/>
        <w:tabs>
          <w:tab w:val="left" w:pos="0"/>
          <w:tab w:val="left" w:pos="397"/>
        </w:tabs>
        <w:adjustRightInd w:val="0"/>
        <w:snapToGrid w:val="0"/>
        <w:spacing w:line="312" w:lineRule="auto"/>
        <w:ind w:firstLine="480" w:firstLineChars="200"/>
        <w:rPr>
          <w:rFonts w:hint="eastAsia" w:ascii="宋体" w:hAnsi="宋体" w:cs="宋体"/>
          <w:color w:val="auto"/>
          <w:sz w:val="24"/>
          <w:szCs w:val="24"/>
          <w:highlight w:val="none"/>
          <w:lang w:val="zh-CN"/>
        </w:rPr>
      </w:pPr>
      <w:r>
        <w:rPr>
          <w:rFonts w:hint="eastAsia" w:ascii="宋体" w:hAnsi="宋体" w:cs="宋体"/>
          <w:color w:val="auto"/>
          <w:sz w:val="24"/>
          <w:szCs w:val="24"/>
          <w:highlight w:val="none"/>
          <w:lang w:val="zh-CN"/>
        </w:rPr>
        <w:t>投标人的</w:t>
      </w:r>
      <w:r>
        <w:rPr>
          <w:rFonts w:hint="eastAsia" w:ascii="宋体" w:hAnsi="宋体" w:cs="宋体"/>
          <w:color w:val="auto"/>
          <w:sz w:val="24"/>
          <w:szCs w:val="24"/>
          <w:highlight w:val="none"/>
        </w:rPr>
        <w:t>电子</w:t>
      </w:r>
      <w:r>
        <w:rPr>
          <w:rFonts w:hint="eastAsia" w:ascii="宋体" w:hAnsi="宋体" w:cs="宋体"/>
          <w:bCs/>
          <w:iCs/>
          <w:color w:val="auto"/>
          <w:sz w:val="24"/>
          <w:szCs w:val="24"/>
          <w:highlight w:val="none"/>
        </w:rPr>
        <w:t>投标文件</w:t>
      </w:r>
      <w:r>
        <w:rPr>
          <w:rFonts w:hint="eastAsia" w:ascii="宋体" w:hAnsi="宋体" w:cs="宋体"/>
          <w:color w:val="auto"/>
          <w:sz w:val="24"/>
          <w:szCs w:val="24"/>
          <w:highlight w:val="none"/>
          <w:lang w:val="zh-CN"/>
        </w:rPr>
        <w:t>在规定时间内无法解密或解密失败，工作人员将开启该投标人提交的备份</w:t>
      </w:r>
      <w:r>
        <w:rPr>
          <w:rFonts w:hint="eastAsia" w:ascii="宋体" w:hAnsi="宋体" w:cs="宋体"/>
          <w:color w:val="auto"/>
          <w:sz w:val="24"/>
          <w:szCs w:val="24"/>
          <w:highlight w:val="none"/>
        </w:rPr>
        <w:t>电子</w:t>
      </w:r>
      <w:r>
        <w:rPr>
          <w:rFonts w:hint="eastAsia" w:ascii="宋体" w:hAnsi="宋体" w:cs="宋体"/>
          <w:bCs/>
          <w:iCs/>
          <w:color w:val="auto"/>
          <w:sz w:val="24"/>
          <w:szCs w:val="24"/>
          <w:highlight w:val="none"/>
        </w:rPr>
        <w:t>投标文</w:t>
      </w:r>
      <w:r>
        <w:rPr>
          <w:rFonts w:hint="eastAsia" w:ascii="宋体" w:hAnsi="宋体" w:cs="宋体"/>
          <w:color w:val="auto"/>
          <w:sz w:val="24"/>
          <w:szCs w:val="24"/>
          <w:highlight w:val="none"/>
          <w:lang w:val="zh-CN"/>
        </w:rPr>
        <w:t>件，以完成开标。</w:t>
      </w:r>
    </w:p>
    <w:p w14:paraId="3E782A9B">
      <w:pPr>
        <w:pStyle w:val="36"/>
        <w:widowControl w:val="0"/>
        <w:shd w:val="clear"/>
        <w:tabs>
          <w:tab w:val="left" w:pos="0"/>
        </w:tabs>
        <w:adjustRightInd w:val="0"/>
        <w:snapToGrid w:val="0"/>
        <w:spacing w:line="312" w:lineRule="auto"/>
        <w:ind w:firstLine="480"/>
        <w:jc w:val="both"/>
        <w:outlineLvl w:val="2"/>
        <w:rPr>
          <w:rFonts w:hint="eastAsia" w:ascii="宋体" w:hAnsi="宋体" w:cs="宋体"/>
          <w:color w:val="auto"/>
          <w:highlight w:val="none"/>
        </w:rPr>
      </w:pPr>
      <w:r>
        <w:rPr>
          <w:rFonts w:hint="eastAsia" w:ascii="宋体" w:hAnsi="宋体" w:cs="宋体"/>
          <w:color w:val="auto"/>
          <w:highlight w:val="none"/>
        </w:rPr>
        <w:t>19.2电子投标开标及评审程序</w:t>
      </w:r>
    </w:p>
    <w:p w14:paraId="230745E4">
      <w:pPr>
        <w:pStyle w:val="36"/>
        <w:widowControl w:val="0"/>
        <w:shd w:val="clear"/>
        <w:tabs>
          <w:tab w:val="left" w:pos="0"/>
        </w:tabs>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(1)开启电子投标文件，投标截止时间后，投标人登录政采云平台，用“项目采购-开标评标”功能对电子</w:t>
      </w:r>
      <w:r>
        <w:rPr>
          <w:rFonts w:hint="eastAsia" w:ascii="宋体" w:hAnsi="宋体" w:cs="宋体"/>
          <w:bCs/>
          <w:iCs/>
          <w:color w:val="auto"/>
          <w:highlight w:val="none"/>
        </w:rPr>
        <w:t>投标文件</w:t>
      </w:r>
      <w:r>
        <w:rPr>
          <w:rFonts w:hint="eastAsia" w:ascii="宋体" w:hAnsi="宋体" w:cs="宋体"/>
          <w:color w:val="auto"/>
          <w:highlight w:val="none"/>
        </w:rPr>
        <w:t>进行在线解密。在线解密电子</w:t>
      </w:r>
      <w:r>
        <w:rPr>
          <w:rFonts w:hint="eastAsia" w:ascii="宋体" w:hAnsi="宋体" w:cs="宋体"/>
          <w:bCs/>
          <w:iCs/>
          <w:color w:val="auto"/>
          <w:highlight w:val="none"/>
        </w:rPr>
        <w:t>投标文件</w:t>
      </w:r>
      <w:r>
        <w:rPr>
          <w:rFonts w:hint="eastAsia" w:ascii="宋体" w:hAnsi="宋体" w:cs="宋体"/>
          <w:color w:val="auto"/>
          <w:highlight w:val="none"/>
        </w:rPr>
        <w:t>时间为投标截止时间起30分钟内。</w:t>
      </w:r>
    </w:p>
    <w:p w14:paraId="6910FD8A">
      <w:pPr>
        <w:pStyle w:val="36"/>
        <w:widowControl w:val="0"/>
        <w:shd w:val="clear"/>
        <w:tabs>
          <w:tab w:val="left" w:pos="0"/>
        </w:tabs>
        <w:adjustRightInd w:val="0"/>
        <w:snapToGrid w:val="0"/>
        <w:spacing w:line="312" w:lineRule="auto"/>
        <w:ind w:firstLine="480"/>
        <w:jc w:val="both"/>
        <w:rPr>
          <w:rFonts w:hint="eastAsia" w:ascii="宋体" w:hAnsi="宋体" w:cs="宋体"/>
          <w:color w:val="auto"/>
          <w:highlight w:val="none"/>
          <w:lang w:val="zh-CN"/>
        </w:rPr>
      </w:pPr>
      <w:r>
        <w:rPr>
          <w:rFonts w:hint="eastAsia" w:ascii="宋体" w:hAnsi="宋体" w:cs="宋体"/>
          <w:color w:val="auto"/>
          <w:highlight w:val="none"/>
        </w:rPr>
        <w:t>(2)由评标委员会对投标人资格进行审查和</w:t>
      </w:r>
      <w:r>
        <w:rPr>
          <w:rFonts w:hint="eastAsia" w:ascii="宋体" w:hAnsi="宋体" w:cs="宋体"/>
          <w:bCs/>
          <w:iCs/>
          <w:color w:val="auto"/>
          <w:highlight w:val="none"/>
        </w:rPr>
        <w:t>资信商务技术部分</w:t>
      </w:r>
      <w:r>
        <w:rPr>
          <w:rFonts w:hint="eastAsia" w:ascii="宋体" w:hAnsi="宋体" w:cs="宋体"/>
          <w:color w:val="auto"/>
          <w:highlight w:val="none"/>
        </w:rPr>
        <w:t>评审。</w:t>
      </w:r>
    </w:p>
    <w:p w14:paraId="4BDB7C6F">
      <w:pPr>
        <w:pStyle w:val="36"/>
        <w:widowControl w:val="0"/>
        <w:shd w:val="clear"/>
        <w:tabs>
          <w:tab w:val="left" w:pos="0"/>
        </w:tabs>
        <w:adjustRightInd w:val="0"/>
        <w:snapToGrid w:val="0"/>
        <w:spacing w:line="312" w:lineRule="auto"/>
        <w:ind w:firstLine="480"/>
        <w:jc w:val="both"/>
        <w:rPr>
          <w:rFonts w:hint="eastAsia" w:ascii="宋体" w:hAnsi="宋体" w:cs="宋体"/>
          <w:color w:val="auto"/>
          <w:highlight w:val="none"/>
          <w:lang w:val="zh-CN"/>
        </w:rPr>
      </w:pPr>
      <w:r>
        <w:rPr>
          <w:rFonts w:hint="eastAsia" w:ascii="宋体" w:hAnsi="宋体" w:cs="宋体"/>
          <w:color w:val="auto"/>
          <w:highlight w:val="none"/>
        </w:rPr>
        <w:t>(3)现场公布资格审查和</w:t>
      </w:r>
      <w:r>
        <w:rPr>
          <w:rFonts w:hint="eastAsia" w:ascii="宋体" w:hAnsi="宋体" w:cs="宋体"/>
          <w:bCs/>
          <w:iCs/>
          <w:color w:val="auto"/>
          <w:highlight w:val="none"/>
        </w:rPr>
        <w:t>资信</w:t>
      </w:r>
      <w:r>
        <w:rPr>
          <w:rFonts w:hint="eastAsia" w:ascii="宋体" w:hAnsi="宋体" w:cs="宋体"/>
          <w:color w:val="auto"/>
          <w:highlight w:val="none"/>
        </w:rPr>
        <w:t>技术商务评审结果。</w:t>
      </w:r>
    </w:p>
    <w:p w14:paraId="3E419E58">
      <w:pPr>
        <w:pStyle w:val="36"/>
        <w:widowControl w:val="0"/>
        <w:shd w:val="clear"/>
        <w:tabs>
          <w:tab w:val="left" w:pos="0"/>
        </w:tabs>
        <w:adjustRightInd w:val="0"/>
        <w:snapToGrid w:val="0"/>
        <w:spacing w:line="312" w:lineRule="auto"/>
        <w:ind w:firstLine="480"/>
        <w:jc w:val="both"/>
        <w:rPr>
          <w:rFonts w:hint="eastAsia" w:ascii="宋体" w:hAnsi="宋体" w:cs="宋体"/>
          <w:color w:val="auto"/>
          <w:highlight w:val="none"/>
          <w:lang w:val="zh-CN"/>
        </w:rPr>
      </w:pPr>
      <w:r>
        <w:rPr>
          <w:rFonts w:hint="eastAsia" w:ascii="宋体" w:hAnsi="宋体" w:cs="宋体"/>
          <w:color w:val="auto"/>
          <w:highlight w:val="none"/>
        </w:rPr>
        <w:t>(4)系统上公开投标人报价</w:t>
      </w:r>
      <w:r>
        <w:rPr>
          <w:rFonts w:hint="eastAsia" w:ascii="宋体" w:hAnsi="宋体" w:cs="宋体"/>
          <w:color w:val="auto"/>
          <w:highlight w:val="none"/>
          <w:lang w:val="zh-CN"/>
        </w:rPr>
        <w:t>并在评标室现场宣读</w:t>
      </w:r>
      <w:r>
        <w:rPr>
          <w:rFonts w:hint="eastAsia" w:ascii="宋体" w:hAnsi="宋体" w:cs="宋体"/>
          <w:color w:val="auto"/>
          <w:highlight w:val="none"/>
        </w:rPr>
        <w:t>。</w:t>
      </w:r>
    </w:p>
    <w:p w14:paraId="76645EA5">
      <w:pPr>
        <w:pStyle w:val="36"/>
        <w:widowControl w:val="0"/>
        <w:shd w:val="clear"/>
        <w:tabs>
          <w:tab w:val="left" w:pos="0"/>
        </w:tabs>
        <w:adjustRightInd w:val="0"/>
        <w:snapToGrid w:val="0"/>
        <w:spacing w:line="312" w:lineRule="auto"/>
        <w:ind w:firstLine="480"/>
        <w:jc w:val="both"/>
        <w:rPr>
          <w:rFonts w:hint="eastAsia" w:ascii="宋体" w:hAnsi="宋体" w:cs="宋体"/>
          <w:color w:val="auto"/>
          <w:highlight w:val="none"/>
          <w:lang w:val="zh-CN"/>
        </w:rPr>
      </w:pPr>
      <w:r>
        <w:rPr>
          <w:rFonts w:hint="eastAsia" w:ascii="宋体" w:hAnsi="宋体" w:cs="宋体"/>
          <w:color w:val="auto"/>
          <w:highlight w:val="none"/>
        </w:rPr>
        <w:t>(5)由评标委员会对报价文件进行评审。</w:t>
      </w:r>
    </w:p>
    <w:p w14:paraId="038FE77E">
      <w:pPr>
        <w:pStyle w:val="36"/>
        <w:widowControl w:val="0"/>
        <w:shd w:val="clear"/>
        <w:tabs>
          <w:tab w:val="left" w:pos="0"/>
        </w:tabs>
        <w:adjustRightInd w:val="0"/>
        <w:snapToGrid w:val="0"/>
        <w:spacing w:line="312" w:lineRule="auto"/>
        <w:ind w:firstLine="480"/>
        <w:jc w:val="both"/>
        <w:rPr>
          <w:rFonts w:hint="eastAsia" w:ascii="宋体" w:hAnsi="宋体" w:cs="宋体"/>
          <w:snapToGrid w:val="0"/>
          <w:color w:val="auto"/>
          <w:highlight w:val="none"/>
        </w:rPr>
      </w:pPr>
      <w:r>
        <w:rPr>
          <w:rFonts w:hint="eastAsia" w:ascii="宋体" w:hAnsi="宋体" w:cs="宋体"/>
          <w:color w:val="auto"/>
          <w:highlight w:val="none"/>
        </w:rPr>
        <w:t>(6)</w:t>
      </w:r>
      <w:r>
        <w:rPr>
          <w:rFonts w:hint="eastAsia" w:ascii="宋体" w:hAnsi="宋体" w:cs="宋体"/>
          <w:color w:val="auto"/>
          <w:highlight w:val="none"/>
          <w:lang w:val="zh-CN"/>
        </w:rPr>
        <w:t>在系统上公布评审结果并在评标室现场宣布。</w:t>
      </w:r>
    </w:p>
    <w:p w14:paraId="42B07084">
      <w:pPr>
        <w:shd w:val="clear"/>
        <w:adjustRightInd w:val="0"/>
        <w:snapToGrid w:val="0"/>
        <w:spacing w:line="312" w:lineRule="auto"/>
        <w:ind w:firstLine="480"/>
        <w:outlineLvl w:val="2"/>
        <w:rPr>
          <w:rFonts w:hint="eastAsia" w:ascii="宋体" w:hAnsi="宋体" w:cs="宋体"/>
          <w:color w:val="auto"/>
          <w:highlight w:val="none"/>
        </w:rPr>
      </w:pPr>
      <w:r>
        <w:rPr>
          <w:rFonts w:hint="eastAsia" w:ascii="宋体" w:hAnsi="宋体" w:cs="宋体"/>
          <w:color w:val="auto"/>
          <w:highlight w:val="none"/>
        </w:rPr>
        <w:t>19.3开标会议结束。</w:t>
      </w:r>
    </w:p>
    <w:p w14:paraId="05D94416">
      <w:pPr>
        <w:shd w:val="clear"/>
        <w:adjustRightInd w:val="0"/>
        <w:snapToGrid w:val="0"/>
        <w:spacing w:line="312" w:lineRule="auto"/>
        <w:ind w:firstLine="482"/>
        <w:rPr>
          <w:rFonts w:hint="eastAsia" w:ascii="宋体" w:hAnsi="宋体" w:cs="宋体"/>
          <w:color w:val="auto"/>
          <w:highlight w:val="none"/>
        </w:rPr>
      </w:pPr>
      <w:r>
        <w:rPr>
          <w:rFonts w:hint="eastAsia" w:ascii="宋体" w:hAnsi="宋体" w:cs="宋体"/>
          <w:b/>
          <w:color w:val="auto"/>
          <w:highlight w:val="none"/>
        </w:rPr>
        <w:t>特别说明：如遇“政府采购云平台”电子化开标或评审程序调整的，按调整后程序执行。</w:t>
      </w:r>
    </w:p>
    <w:p w14:paraId="7B15A215">
      <w:pPr>
        <w:pStyle w:val="3"/>
        <w:numPr>
          <w:ilvl w:val="1"/>
          <w:numId w:val="0"/>
        </w:numPr>
        <w:shd w:val="clear"/>
        <w:spacing w:beforeLines="0" w:afterLines="0" w:line="288" w:lineRule="auto"/>
        <w:rPr>
          <w:rFonts w:hint="eastAsia" w:ascii="宋体" w:hAnsi="宋体" w:cs="宋体"/>
          <w:color w:val="auto"/>
          <w:highlight w:val="none"/>
        </w:rPr>
      </w:pPr>
      <w:bookmarkStart w:id="276" w:name="_Toc14490"/>
      <w:r>
        <w:rPr>
          <w:rFonts w:hint="eastAsia" w:ascii="宋体" w:hAnsi="宋体" w:cs="宋体"/>
          <w:color w:val="auto"/>
          <w:highlight w:val="none"/>
        </w:rPr>
        <w:t>五、评 标</w:t>
      </w:r>
      <w:bookmarkEnd w:id="276"/>
    </w:p>
    <w:p w14:paraId="07F7F246">
      <w:pPr>
        <w:numPr>
          <w:ilvl w:val="0"/>
          <w:numId w:val="4"/>
        </w:numPr>
        <w:shd w:val="clear"/>
        <w:tabs>
          <w:tab w:val="left" w:pos="0"/>
        </w:tabs>
        <w:spacing w:line="288" w:lineRule="auto"/>
        <w:ind w:left="0" w:firstLine="482"/>
        <w:rPr>
          <w:rFonts w:hint="eastAsia" w:ascii="宋体" w:hAnsi="宋体" w:cs="宋体"/>
          <w:b/>
          <w:bCs/>
          <w:color w:val="auto"/>
          <w:highlight w:val="none"/>
        </w:rPr>
      </w:pPr>
      <w:r>
        <w:rPr>
          <w:rFonts w:ascii="宋体" w:hAnsi="宋体" w:cs="宋体"/>
          <w:b/>
          <w:bCs/>
          <w:color w:val="auto"/>
          <w:highlight w:val="none"/>
        </w:rPr>
        <w:t>评标</w:t>
      </w:r>
    </w:p>
    <w:p w14:paraId="4E16179C">
      <w:pPr>
        <w:pStyle w:val="36"/>
        <w:widowControl w:val="0"/>
        <w:shd w:val="clear"/>
        <w:tabs>
          <w:tab w:val="left" w:pos="0"/>
        </w:tabs>
        <w:adjustRightInd w:val="0"/>
        <w:snapToGrid w:val="0"/>
        <w:spacing w:line="288" w:lineRule="auto"/>
        <w:ind w:firstLine="480"/>
        <w:jc w:val="both"/>
        <w:rPr>
          <w:rFonts w:hint="eastAsia" w:ascii="宋体" w:hAnsi="宋体" w:cs="宋体"/>
          <w:color w:val="auto"/>
          <w:highlight w:val="none"/>
        </w:rPr>
      </w:pPr>
      <w:r>
        <w:rPr>
          <w:rFonts w:hint="eastAsia" w:ascii="宋体" w:hAnsi="宋体" w:cs="宋体"/>
          <w:bCs/>
          <w:color w:val="auto"/>
          <w:highlight w:val="none"/>
        </w:rPr>
        <w:t>按照有关法律制度和本招标文件第五章的规定进行。</w:t>
      </w:r>
    </w:p>
    <w:p w14:paraId="40948DA5">
      <w:pPr>
        <w:pStyle w:val="3"/>
        <w:numPr>
          <w:ilvl w:val="1"/>
          <w:numId w:val="0"/>
        </w:numPr>
        <w:shd w:val="clear"/>
        <w:spacing w:beforeLines="0" w:afterLines="0" w:line="288" w:lineRule="auto"/>
        <w:rPr>
          <w:rFonts w:hint="eastAsia" w:ascii="宋体" w:hAnsi="宋体" w:cs="宋体"/>
          <w:color w:val="auto"/>
          <w:highlight w:val="none"/>
        </w:rPr>
      </w:pPr>
      <w:bookmarkStart w:id="277" w:name="_Toc20843"/>
      <w:r>
        <w:rPr>
          <w:rFonts w:hint="eastAsia" w:ascii="宋体" w:hAnsi="宋体" w:cs="宋体"/>
          <w:color w:val="auto"/>
          <w:highlight w:val="none"/>
        </w:rPr>
        <w:t>六、中 标</w:t>
      </w:r>
      <w:bookmarkEnd w:id="277"/>
    </w:p>
    <w:p w14:paraId="1E0AC1D8">
      <w:pPr>
        <w:numPr>
          <w:ilvl w:val="0"/>
          <w:numId w:val="4"/>
        </w:numPr>
        <w:shd w:val="clear"/>
        <w:tabs>
          <w:tab w:val="left" w:pos="0"/>
        </w:tabs>
        <w:spacing w:line="288" w:lineRule="auto"/>
        <w:ind w:left="0" w:firstLine="482"/>
        <w:rPr>
          <w:rFonts w:hint="eastAsia" w:ascii="宋体" w:hAnsi="宋体" w:cs="宋体"/>
          <w:b/>
          <w:bCs/>
          <w:color w:val="auto"/>
          <w:highlight w:val="none"/>
        </w:rPr>
      </w:pPr>
      <w:r>
        <w:rPr>
          <w:rFonts w:ascii="宋体" w:hAnsi="宋体" w:cs="宋体"/>
          <w:b/>
          <w:bCs/>
          <w:color w:val="auto"/>
          <w:highlight w:val="none"/>
        </w:rPr>
        <w:t>确定</w:t>
      </w:r>
      <w:r>
        <w:rPr>
          <w:rFonts w:hint="eastAsia" w:ascii="宋体" w:hAnsi="宋体" w:cs="宋体"/>
          <w:b/>
          <w:bCs/>
          <w:color w:val="auto"/>
          <w:highlight w:val="none"/>
        </w:rPr>
        <w:t>中标人</w:t>
      </w:r>
    </w:p>
    <w:p w14:paraId="1DBB3936">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bCs/>
          <w:color w:val="auto"/>
          <w:highlight w:val="none"/>
        </w:rPr>
        <w:t>21.1采购代理机构自</w:t>
      </w:r>
      <w:r>
        <w:rPr>
          <w:rFonts w:hint="eastAsia" w:ascii="宋体" w:hAnsi="宋体" w:cs="宋体"/>
          <w:color w:val="auto"/>
          <w:highlight w:val="none"/>
        </w:rPr>
        <w:t>评审结束后2个工作日内将评标报告及有关资料送交采购人。</w:t>
      </w:r>
    </w:p>
    <w:p w14:paraId="328E99DF">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21.2采购人应当在收到评审报告及有关资料后5个工作日内，从评审报告提出的中标候选人中，按照综合得分排序由高到低的原则</w:t>
      </w:r>
      <w:r>
        <w:rPr>
          <w:rFonts w:hint="eastAsia" w:ascii="宋体" w:hAnsi="宋体" w:cs="宋体"/>
          <w:snapToGrid w:val="0"/>
          <w:color w:val="auto"/>
          <w:highlight w:val="none"/>
        </w:rPr>
        <w:t>确定</w:t>
      </w:r>
      <w:r>
        <w:rPr>
          <w:rFonts w:hint="eastAsia" w:ascii="宋体" w:hAnsi="宋体" w:cs="宋体"/>
          <w:color w:val="auto"/>
          <w:highlight w:val="none"/>
        </w:rPr>
        <w:t>3家</w:t>
      </w:r>
      <w:r>
        <w:rPr>
          <w:rFonts w:hint="eastAsia" w:ascii="宋体" w:hAnsi="宋体" w:cs="宋体"/>
          <w:snapToGrid w:val="0"/>
          <w:color w:val="auto"/>
          <w:highlight w:val="none"/>
        </w:rPr>
        <w:t>中标候选人</w:t>
      </w:r>
      <w:r>
        <w:rPr>
          <w:rFonts w:hint="eastAsia" w:ascii="宋体" w:hAnsi="宋体" w:cs="宋体"/>
          <w:color w:val="auto"/>
          <w:highlight w:val="none"/>
        </w:rPr>
        <w:t>。</w:t>
      </w:r>
      <w:r>
        <w:rPr>
          <w:rFonts w:hint="eastAsia" w:ascii="宋体" w:hAnsi="宋体" w:cs="宋体"/>
          <w:bCs/>
          <w:color w:val="auto"/>
          <w:highlight w:val="none"/>
        </w:rPr>
        <w:t>采购人逾期未确定中标人且不提出异议的，视为确定评审报告提出的排序前1名的</w:t>
      </w:r>
      <w:r>
        <w:rPr>
          <w:rFonts w:hint="eastAsia" w:ascii="宋体" w:hAnsi="宋体" w:cs="宋体"/>
          <w:snapToGrid w:val="0"/>
          <w:color w:val="auto"/>
          <w:highlight w:val="none"/>
        </w:rPr>
        <w:t>中标候选人</w:t>
      </w:r>
      <w:r>
        <w:rPr>
          <w:rFonts w:hint="eastAsia" w:ascii="宋体" w:hAnsi="宋体" w:cs="宋体"/>
          <w:bCs/>
          <w:color w:val="auto"/>
          <w:highlight w:val="none"/>
        </w:rPr>
        <w:t>为中标人</w:t>
      </w:r>
      <w:r>
        <w:rPr>
          <w:rFonts w:hint="eastAsia" w:ascii="宋体" w:hAnsi="宋体" w:cs="宋体"/>
          <w:color w:val="auto"/>
          <w:highlight w:val="none"/>
        </w:rPr>
        <w:t>。</w:t>
      </w:r>
    </w:p>
    <w:p w14:paraId="23B1BDE8">
      <w:pPr>
        <w:shd w:val="clear"/>
        <w:adjustRightInd w:val="0"/>
        <w:snapToGrid w:val="0"/>
        <w:spacing w:line="312" w:lineRule="auto"/>
        <w:ind w:firstLine="480"/>
        <w:rPr>
          <w:rFonts w:hint="eastAsia" w:ascii="宋体" w:hAnsi="宋体" w:cs="宋体"/>
          <w:bCs/>
          <w:color w:val="auto"/>
          <w:highlight w:val="none"/>
        </w:rPr>
      </w:pPr>
      <w:r>
        <w:rPr>
          <w:rFonts w:hint="eastAsia" w:ascii="宋体" w:hAnsi="宋体" w:cs="宋体"/>
          <w:bCs/>
          <w:color w:val="auto"/>
          <w:highlight w:val="none"/>
        </w:rPr>
        <w:t>21.3采购人确定中标人过程中，发现中标候选人有下列情形之一的，应当不予确定其为中标人：</w:t>
      </w:r>
    </w:p>
    <w:p w14:paraId="74CF221A">
      <w:pPr>
        <w:shd w:val="clear"/>
        <w:adjustRightInd w:val="0"/>
        <w:snapToGrid w:val="0"/>
        <w:spacing w:line="312" w:lineRule="auto"/>
        <w:ind w:firstLine="480"/>
        <w:rPr>
          <w:rFonts w:hint="eastAsia" w:ascii="宋体" w:hAnsi="宋体" w:cs="宋体"/>
          <w:bCs/>
          <w:color w:val="auto"/>
          <w:highlight w:val="none"/>
        </w:rPr>
      </w:pPr>
      <w:r>
        <w:rPr>
          <w:rFonts w:hint="eastAsia" w:ascii="宋体" w:hAnsi="宋体" w:cs="宋体"/>
          <w:bCs/>
          <w:color w:val="auto"/>
          <w:highlight w:val="none"/>
        </w:rPr>
        <w:t>（1）发现中标候选人存在禁止参加本项目采购活动的违法行为的；</w:t>
      </w:r>
    </w:p>
    <w:p w14:paraId="495C41D2">
      <w:pPr>
        <w:shd w:val="clear"/>
        <w:adjustRightInd w:val="0"/>
        <w:snapToGrid w:val="0"/>
        <w:spacing w:line="312" w:lineRule="auto"/>
        <w:ind w:firstLine="480"/>
        <w:rPr>
          <w:rFonts w:hint="eastAsia" w:ascii="宋体" w:hAnsi="宋体" w:cs="宋体"/>
          <w:bCs/>
          <w:color w:val="auto"/>
          <w:highlight w:val="none"/>
        </w:rPr>
      </w:pPr>
      <w:r>
        <w:rPr>
          <w:rFonts w:hint="eastAsia" w:ascii="宋体" w:hAnsi="宋体" w:cs="宋体"/>
          <w:bCs/>
          <w:color w:val="auto"/>
          <w:highlight w:val="none"/>
        </w:rPr>
        <w:t>（2）中标候选人因不可抗力，不能继续参加采购活动；</w:t>
      </w:r>
    </w:p>
    <w:p w14:paraId="7355F139">
      <w:pPr>
        <w:shd w:val="clear"/>
        <w:adjustRightInd w:val="0"/>
        <w:snapToGrid w:val="0"/>
        <w:spacing w:line="312" w:lineRule="auto"/>
        <w:ind w:firstLine="480"/>
        <w:rPr>
          <w:rFonts w:hint="eastAsia" w:ascii="宋体" w:hAnsi="宋体" w:cs="宋体"/>
          <w:bCs/>
          <w:color w:val="auto"/>
          <w:highlight w:val="none"/>
        </w:rPr>
      </w:pPr>
      <w:r>
        <w:rPr>
          <w:rFonts w:hint="eastAsia" w:ascii="宋体" w:hAnsi="宋体" w:cs="宋体"/>
          <w:bCs/>
          <w:color w:val="auto"/>
          <w:highlight w:val="none"/>
        </w:rPr>
        <w:t>（3）中标候选人无偿赠与或者低于成本价竞争的；</w:t>
      </w:r>
    </w:p>
    <w:p w14:paraId="4314130A">
      <w:pPr>
        <w:shd w:val="clear"/>
        <w:adjustRightInd w:val="0"/>
        <w:snapToGrid w:val="0"/>
        <w:spacing w:line="312" w:lineRule="auto"/>
        <w:ind w:firstLine="480"/>
        <w:rPr>
          <w:rFonts w:hint="eastAsia" w:ascii="宋体" w:hAnsi="宋体" w:cs="宋体"/>
          <w:bCs/>
          <w:color w:val="auto"/>
          <w:highlight w:val="none"/>
        </w:rPr>
      </w:pPr>
      <w:r>
        <w:rPr>
          <w:rFonts w:hint="eastAsia" w:ascii="宋体" w:hAnsi="宋体" w:cs="宋体"/>
          <w:bCs/>
          <w:color w:val="auto"/>
          <w:highlight w:val="none"/>
        </w:rPr>
        <w:t>（4）中标候选人提供虚假材料的；</w:t>
      </w:r>
    </w:p>
    <w:p w14:paraId="742B3FDF">
      <w:pPr>
        <w:shd w:val="clear"/>
        <w:adjustRightInd w:val="0"/>
        <w:snapToGrid w:val="0"/>
        <w:spacing w:line="312" w:lineRule="auto"/>
        <w:ind w:firstLine="480"/>
        <w:rPr>
          <w:rFonts w:hint="eastAsia" w:ascii="宋体" w:hAnsi="宋体" w:cs="宋体"/>
          <w:bCs/>
          <w:color w:val="auto"/>
          <w:highlight w:val="none"/>
        </w:rPr>
      </w:pPr>
      <w:r>
        <w:rPr>
          <w:rFonts w:hint="eastAsia" w:ascii="宋体" w:hAnsi="宋体" w:cs="宋体"/>
          <w:bCs/>
          <w:color w:val="auto"/>
          <w:highlight w:val="none"/>
        </w:rPr>
        <w:t>（5）中标候选人恶意串通的。</w:t>
      </w:r>
    </w:p>
    <w:p w14:paraId="3A3E34AA">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bCs/>
          <w:color w:val="auto"/>
          <w:highlight w:val="none"/>
        </w:rPr>
        <w:t>（6）中标候选人有本条情形之一的，采购人可以确定后一位中标候选人为中标人，但须符合法定家数。无法确定中标人的，应当重新组织采购。</w:t>
      </w:r>
    </w:p>
    <w:p w14:paraId="7F7731E6">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21.4中标通知书</w:t>
      </w:r>
    </w:p>
    <w:p w14:paraId="1AC24416">
      <w:pPr>
        <w:shd w:val="clear"/>
        <w:adjustRightInd w:val="0"/>
        <w:snapToGrid w:val="0"/>
        <w:spacing w:line="312" w:lineRule="auto"/>
        <w:ind w:firstLine="480"/>
        <w:rPr>
          <w:rFonts w:hint="eastAsia" w:ascii="宋体" w:hAnsi="宋体" w:cs="宋体"/>
          <w:bCs/>
          <w:color w:val="auto"/>
          <w:highlight w:val="none"/>
        </w:rPr>
      </w:pPr>
      <w:r>
        <w:rPr>
          <w:rFonts w:hint="eastAsia" w:ascii="宋体" w:hAnsi="宋体" w:cs="宋体"/>
          <w:bCs/>
          <w:color w:val="auto"/>
          <w:highlight w:val="none"/>
        </w:rPr>
        <w:t>21.4.1采购代理机构应当自中标人确定之日起2个工作日内，发出中标通知书，同时在浙江政府采购网公告中标结果。公示期限为1个工作日。</w:t>
      </w:r>
    </w:p>
    <w:p w14:paraId="29BAB977">
      <w:pPr>
        <w:shd w:val="clear"/>
        <w:adjustRightInd w:val="0"/>
        <w:snapToGrid w:val="0"/>
        <w:spacing w:line="312" w:lineRule="auto"/>
        <w:ind w:firstLine="480"/>
        <w:rPr>
          <w:rFonts w:hint="eastAsia" w:ascii="宋体" w:hAnsi="宋体" w:cs="宋体"/>
          <w:bCs/>
          <w:color w:val="auto"/>
          <w:highlight w:val="none"/>
        </w:rPr>
      </w:pPr>
      <w:r>
        <w:rPr>
          <w:rFonts w:hint="eastAsia" w:ascii="宋体" w:hAnsi="宋体" w:cs="宋体"/>
          <w:bCs/>
          <w:color w:val="auto"/>
          <w:highlight w:val="none"/>
        </w:rPr>
        <w:t>21.4.2中标通知书发出后，中标人须于2个工作日内到采购代理机构领取中标通知书，拒绝领取中标通知书的，将视为放弃中标，取消其中标资格。采购人不得违法改变中标结果，中标人无正当理由不得放弃中标，否则将承担相应的法律责任。</w:t>
      </w:r>
    </w:p>
    <w:p w14:paraId="7B69C9EB">
      <w:pPr>
        <w:shd w:val="clear"/>
        <w:adjustRightInd w:val="0"/>
        <w:snapToGrid w:val="0"/>
        <w:spacing w:line="312" w:lineRule="auto"/>
        <w:ind w:firstLine="480"/>
        <w:rPr>
          <w:rFonts w:hint="eastAsia" w:ascii="宋体" w:hAnsi="宋体" w:cs="宋体"/>
          <w:bCs/>
          <w:color w:val="auto"/>
          <w:highlight w:val="none"/>
        </w:rPr>
      </w:pPr>
      <w:r>
        <w:rPr>
          <w:rFonts w:hint="eastAsia" w:ascii="宋体" w:hAnsi="宋体" w:cs="宋体"/>
          <w:bCs/>
          <w:color w:val="auto"/>
          <w:highlight w:val="none"/>
        </w:rPr>
        <w:t>21.4.3中标人的投标文件本应作为投标无效处理或者有政府采购法律法规、规章规定的中标无效情形的，经查实，取消其中标资格，收回发出的中标通知书（中标人应当缴回），由排名之后的中标候选人替补，或者重新开展采购活动。</w:t>
      </w:r>
    </w:p>
    <w:p w14:paraId="24742559">
      <w:pPr>
        <w:shd w:val="clear"/>
        <w:adjustRightInd w:val="0"/>
        <w:snapToGrid w:val="0"/>
        <w:spacing w:line="312" w:lineRule="auto"/>
        <w:ind w:firstLine="480"/>
        <w:rPr>
          <w:rFonts w:hint="eastAsia" w:ascii="宋体" w:hAnsi="宋体" w:cs="宋体"/>
          <w:bCs/>
          <w:color w:val="auto"/>
          <w:highlight w:val="none"/>
        </w:rPr>
      </w:pPr>
      <w:r>
        <w:rPr>
          <w:rFonts w:hint="eastAsia" w:ascii="宋体" w:hAnsi="宋体" w:cs="宋体"/>
          <w:bCs/>
          <w:color w:val="auto"/>
          <w:highlight w:val="none"/>
        </w:rPr>
        <w:t>21.4.4中标通知书为签订采购合同的依据之一，是合同的有效组成部分。</w:t>
      </w:r>
    </w:p>
    <w:p w14:paraId="16C98D3E">
      <w:pPr>
        <w:pStyle w:val="3"/>
        <w:numPr>
          <w:ilvl w:val="1"/>
          <w:numId w:val="0"/>
        </w:numPr>
        <w:shd w:val="clear"/>
        <w:spacing w:beforeLines="0" w:afterLines="0" w:line="288" w:lineRule="auto"/>
        <w:rPr>
          <w:rFonts w:hint="eastAsia" w:ascii="宋体" w:hAnsi="宋体" w:cs="宋体"/>
          <w:color w:val="auto"/>
          <w:highlight w:val="none"/>
        </w:rPr>
      </w:pPr>
      <w:bookmarkStart w:id="278" w:name="_Toc21724"/>
      <w:r>
        <w:rPr>
          <w:rFonts w:hint="eastAsia" w:ascii="宋体" w:hAnsi="宋体" w:cs="宋体"/>
          <w:color w:val="auto"/>
          <w:highlight w:val="none"/>
        </w:rPr>
        <w:t>七、合同签订</w:t>
      </w:r>
      <w:bookmarkEnd w:id="278"/>
    </w:p>
    <w:p w14:paraId="4D3C490E">
      <w:pPr>
        <w:numPr>
          <w:ilvl w:val="0"/>
          <w:numId w:val="4"/>
        </w:numPr>
        <w:shd w:val="clear"/>
        <w:tabs>
          <w:tab w:val="left" w:pos="0"/>
        </w:tabs>
        <w:adjustRightInd w:val="0"/>
        <w:snapToGrid w:val="0"/>
        <w:spacing w:line="312" w:lineRule="auto"/>
        <w:ind w:left="0" w:firstLine="482"/>
        <w:rPr>
          <w:rFonts w:hint="eastAsia" w:ascii="宋体" w:hAnsi="宋体" w:cs="宋体"/>
          <w:b/>
          <w:bCs/>
          <w:color w:val="auto"/>
          <w:highlight w:val="none"/>
        </w:rPr>
      </w:pPr>
      <w:r>
        <w:rPr>
          <w:rFonts w:ascii="宋体" w:hAnsi="宋体" w:cs="宋体"/>
          <w:b/>
          <w:bCs/>
          <w:color w:val="auto"/>
          <w:highlight w:val="none"/>
        </w:rPr>
        <w:t>合同签订</w:t>
      </w:r>
    </w:p>
    <w:p w14:paraId="1CCB8D82">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22.1中标人须在中标通知书发出之日起30日内按指定的时间、地点与采购人签订采购合同。由于中标人的原因逾期未与采购人签订采购合同的，将视为放弃中标，取消其中标资格并将按相关规定进行处理。</w:t>
      </w:r>
    </w:p>
    <w:p w14:paraId="48006B86">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22.2中标通知书、招标文件、澄清文件及中标人的投标文件等均为签订合同的依据。</w:t>
      </w:r>
    </w:p>
    <w:p w14:paraId="5329CF77">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22.3采购人不得向中标人提出任何不合理的要求，作为签订合同的条件，不得与中标人私下订立背离合同实质性内容的任何协议，所签订的合同不得对招标文件和中标人投标文件确定的事项进行修改。</w:t>
      </w:r>
    </w:p>
    <w:p w14:paraId="0608F5A1">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22.4中标人因自身原因放弃中标或因不可抗力不能履行合同的，或者违反法律法规、招标文件规定的，在符合法律法规规定下采购人可以与排位在中标人之后的中标候选人签订采购合同，或者重新招标。</w:t>
      </w:r>
    </w:p>
    <w:p w14:paraId="20C3DC76">
      <w:pPr>
        <w:numPr>
          <w:ilvl w:val="0"/>
          <w:numId w:val="4"/>
        </w:numPr>
        <w:shd w:val="clear"/>
        <w:tabs>
          <w:tab w:val="left" w:pos="0"/>
        </w:tabs>
        <w:adjustRightInd w:val="0"/>
        <w:snapToGrid w:val="0"/>
        <w:spacing w:line="312" w:lineRule="auto"/>
        <w:ind w:left="0" w:firstLine="482"/>
        <w:rPr>
          <w:rFonts w:hint="eastAsia" w:ascii="宋体" w:hAnsi="宋体" w:cs="宋体"/>
          <w:b/>
          <w:bCs/>
          <w:color w:val="auto"/>
          <w:highlight w:val="none"/>
        </w:rPr>
      </w:pPr>
      <w:r>
        <w:rPr>
          <w:rFonts w:ascii="宋体" w:hAnsi="宋体" w:cs="宋体"/>
          <w:b/>
          <w:bCs/>
          <w:color w:val="auto"/>
          <w:highlight w:val="none"/>
        </w:rPr>
        <w:t>补充合同</w:t>
      </w:r>
    </w:p>
    <w:p w14:paraId="14ED4C79">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采购合同履行中，采购人需要追加与合同标的相同的货物或者服务的，在不改变合同其他条款的前提下，可以与中标人协商签订补充合同，但所有补充合同的采购金额不得超过原合同采购金额的10%，该补充合同应当在原采购合同履行过程中，不得在原采购合同履行结束后，且采购货物、工程和服务的名称、价格、履约方式、验收标准等必须与原采购合同一致。</w:t>
      </w:r>
    </w:p>
    <w:p w14:paraId="6E9B7ADF">
      <w:pPr>
        <w:numPr>
          <w:ilvl w:val="0"/>
          <w:numId w:val="4"/>
        </w:numPr>
        <w:shd w:val="clear"/>
        <w:tabs>
          <w:tab w:val="left" w:pos="0"/>
        </w:tabs>
        <w:adjustRightInd w:val="0"/>
        <w:snapToGrid w:val="0"/>
        <w:spacing w:line="312" w:lineRule="auto"/>
        <w:ind w:left="0" w:firstLine="482"/>
        <w:rPr>
          <w:rFonts w:hint="eastAsia" w:ascii="宋体" w:hAnsi="宋体" w:cs="宋体"/>
          <w:b/>
          <w:bCs/>
          <w:color w:val="auto"/>
          <w:highlight w:val="none"/>
        </w:rPr>
      </w:pPr>
      <w:r>
        <w:rPr>
          <w:rFonts w:ascii="宋体" w:hAnsi="宋体" w:cs="宋体"/>
          <w:b/>
          <w:bCs/>
          <w:color w:val="auto"/>
          <w:highlight w:val="none"/>
        </w:rPr>
        <w:t>合同公告</w:t>
      </w:r>
    </w:p>
    <w:p w14:paraId="5DC5B0B3">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采购人应当自采购合同签订（双方当事人均已签字盖章）之日起2个工作日内，将采购合同在浙江政府采购网公告，但采购合同中涉及国家秘密、商业秘密的内容除外。</w:t>
      </w:r>
    </w:p>
    <w:p w14:paraId="0418AE41">
      <w:pPr>
        <w:numPr>
          <w:ilvl w:val="0"/>
          <w:numId w:val="4"/>
        </w:numPr>
        <w:shd w:val="clear"/>
        <w:tabs>
          <w:tab w:val="left" w:pos="0"/>
        </w:tabs>
        <w:adjustRightInd w:val="0"/>
        <w:snapToGrid w:val="0"/>
        <w:spacing w:line="312" w:lineRule="auto"/>
        <w:ind w:left="0" w:firstLine="482"/>
        <w:rPr>
          <w:rFonts w:hint="eastAsia" w:ascii="宋体" w:hAnsi="宋体" w:cs="宋体"/>
          <w:b/>
          <w:bCs/>
          <w:color w:val="auto"/>
          <w:highlight w:val="none"/>
        </w:rPr>
      </w:pPr>
      <w:r>
        <w:rPr>
          <w:rFonts w:ascii="宋体" w:hAnsi="宋体" w:cs="宋体"/>
          <w:b/>
          <w:bCs/>
          <w:color w:val="auto"/>
          <w:highlight w:val="none"/>
        </w:rPr>
        <w:t>合同备案</w:t>
      </w:r>
    </w:p>
    <w:p w14:paraId="41E1A451">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25.1中标人与采购人签订合同后，合同双方应严格执行合同条款，履行合同规定的义务，保证合同的顺利完成。</w:t>
      </w:r>
    </w:p>
    <w:p w14:paraId="086993D1">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25.2在合同履行过程中，如发生合同纠纷，合同双方应按照《中华人民共和国民法典》的有关规定进行处理。</w:t>
      </w:r>
    </w:p>
    <w:p w14:paraId="55586AFA">
      <w:pPr>
        <w:pStyle w:val="3"/>
        <w:numPr>
          <w:ilvl w:val="1"/>
          <w:numId w:val="0"/>
        </w:numPr>
        <w:shd w:val="clear"/>
        <w:spacing w:beforeLines="0" w:afterLines="0" w:line="288" w:lineRule="auto"/>
        <w:rPr>
          <w:rFonts w:hint="eastAsia" w:ascii="宋体" w:hAnsi="宋体" w:cs="宋体"/>
          <w:color w:val="auto"/>
          <w:highlight w:val="none"/>
        </w:rPr>
      </w:pPr>
      <w:bookmarkStart w:id="279" w:name="_Toc23561"/>
      <w:r>
        <w:rPr>
          <w:rFonts w:hint="eastAsia" w:ascii="宋体" w:hAnsi="宋体" w:cs="宋体"/>
          <w:color w:val="auto"/>
          <w:highlight w:val="none"/>
        </w:rPr>
        <w:t>八、质疑与投诉</w:t>
      </w:r>
      <w:bookmarkEnd w:id="279"/>
    </w:p>
    <w:p w14:paraId="3C0CDF8C">
      <w:pPr>
        <w:numPr>
          <w:ilvl w:val="0"/>
          <w:numId w:val="4"/>
        </w:numPr>
        <w:shd w:val="clear"/>
        <w:tabs>
          <w:tab w:val="left" w:pos="0"/>
        </w:tabs>
        <w:adjustRightInd w:val="0"/>
        <w:snapToGrid w:val="0"/>
        <w:spacing w:line="312" w:lineRule="auto"/>
        <w:ind w:left="0" w:firstLine="482"/>
        <w:rPr>
          <w:rFonts w:hint="eastAsia" w:ascii="宋体" w:hAnsi="宋体" w:cs="宋体"/>
          <w:b/>
          <w:bCs/>
          <w:color w:val="auto"/>
          <w:highlight w:val="none"/>
        </w:rPr>
      </w:pPr>
      <w:r>
        <w:rPr>
          <w:rFonts w:ascii="宋体" w:hAnsi="宋体" w:cs="宋体"/>
          <w:b/>
          <w:bCs/>
          <w:color w:val="auto"/>
          <w:highlight w:val="none"/>
        </w:rPr>
        <w:t>质疑提出</w:t>
      </w:r>
    </w:p>
    <w:p w14:paraId="54E8D8D2">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26.1符合《中华人民共和国政府采购法》《中华人民共和国政府采购法实施条例》《</w:t>
      </w:r>
      <w:r>
        <w:rPr>
          <w:rStyle w:val="46"/>
          <w:rFonts w:hint="eastAsia" w:ascii="宋体" w:hAnsi="宋体" w:cs="宋体"/>
          <w:b w:val="0"/>
          <w:bCs w:val="0"/>
          <w:color w:val="auto"/>
          <w:highlight w:val="none"/>
          <w:shd w:val="clear" w:color="auto" w:fill="FFFFFF"/>
        </w:rPr>
        <w:t>政府采购质疑和投诉办法</w:t>
      </w:r>
      <w:r>
        <w:rPr>
          <w:rFonts w:hint="eastAsia" w:ascii="宋体" w:hAnsi="宋体" w:cs="宋体"/>
          <w:color w:val="auto"/>
          <w:highlight w:val="none"/>
        </w:rPr>
        <w:t>》</w:t>
      </w:r>
      <w:r>
        <w:rPr>
          <w:rStyle w:val="46"/>
          <w:rFonts w:hint="eastAsia" w:ascii="宋体" w:hAnsi="宋体" w:cs="宋体"/>
          <w:b w:val="0"/>
          <w:bCs w:val="0"/>
          <w:color w:val="auto"/>
          <w:highlight w:val="none"/>
          <w:shd w:val="clear" w:color="auto" w:fill="FFFFFF"/>
        </w:rPr>
        <w:t>（财政部令第94号）</w:t>
      </w:r>
      <w:r>
        <w:rPr>
          <w:rFonts w:hint="eastAsia" w:ascii="宋体" w:hAnsi="宋体" w:cs="宋体"/>
          <w:color w:val="auto"/>
          <w:highlight w:val="none"/>
        </w:rPr>
        <w:t>等有关法律法规规定。</w:t>
      </w:r>
    </w:p>
    <w:p w14:paraId="03D2DDC3">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bCs/>
          <w:color w:val="auto"/>
          <w:highlight w:val="none"/>
        </w:rPr>
        <w:t>26.2提交的质疑函与投诉书应符合</w:t>
      </w:r>
      <w:r>
        <w:rPr>
          <w:rFonts w:hint="eastAsia" w:ascii="宋体" w:hAnsi="宋体" w:cs="宋体"/>
          <w:color w:val="auto"/>
          <w:highlight w:val="none"/>
          <w:shd w:val="clear" w:color="auto" w:fill="FFFFFF"/>
        </w:rPr>
        <w:t>财政部《</w:t>
      </w:r>
      <w:r>
        <w:rPr>
          <w:color w:val="auto"/>
          <w:highlight w:val="none"/>
        </w:rPr>
        <w:fldChar w:fldCharType="begin"/>
      </w:r>
      <w:r>
        <w:rPr>
          <w:color w:val="auto"/>
          <w:highlight w:val="none"/>
        </w:rPr>
        <w:instrText xml:space="preserve"> HYPERLINK "http://www.caigou2003.com/" </w:instrText>
      </w:r>
      <w:r>
        <w:rPr>
          <w:color w:val="auto"/>
          <w:highlight w:val="none"/>
        </w:rPr>
        <w:fldChar w:fldCharType="separate"/>
      </w:r>
      <w:r>
        <w:rPr>
          <w:rStyle w:val="48"/>
          <w:rFonts w:hint="eastAsia" w:ascii="宋体" w:hAnsi="宋体" w:cs="宋体"/>
          <w:color w:val="auto"/>
          <w:highlight w:val="none"/>
          <w:shd w:val="clear" w:color="auto" w:fill="FFFFFF"/>
        </w:rPr>
        <w:t>政府采购</w:t>
      </w:r>
      <w:r>
        <w:rPr>
          <w:rStyle w:val="48"/>
          <w:rFonts w:hint="eastAsia" w:ascii="宋体" w:hAnsi="宋体" w:cs="宋体"/>
          <w:color w:val="auto"/>
          <w:highlight w:val="none"/>
          <w:shd w:val="clear" w:color="auto" w:fill="FFFFFF"/>
        </w:rPr>
        <w:fldChar w:fldCharType="end"/>
      </w:r>
      <w:r>
        <w:rPr>
          <w:rFonts w:hint="eastAsia" w:ascii="宋体" w:hAnsi="宋体" w:cs="宋体"/>
          <w:color w:val="auto"/>
          <w:highlight w:val="none"/>
        </w:rPr>
        <w:t>供应商</w:t>
      </w:r>
      <w:r>
        <w:rPr>
          <w:rFonts w:hint="eastAsia" w:ascii="宋体" w:hAnsi="宋体" w:cs="宋体"/>
          <w:color w:val="auto"/>
          <w:highlight w:val="none"/>
          <w:shd w:val="clear" w:color="auto" w:fill="FFFFFF"/>
        </w:rPr>
        <w:t>质疑函范本》和《</w:t>
      </w:r>
      <w:r>
        <w:rPr>
          <w:color w:val="auto"/>
          <w:highlight w:val="none"/>
        </w:rPr>
        <w:fldChar w:fldCharType="begin"/>
      </w:r>
      <w:r>
        <w:rPr>
          <w:color w:val="auto"/>
          <w:highlight w:val="none"/>
        </w:rPr>
        <w:instrText xml:space="preserve"> HYPERLINK "http://www.caigou2003.com/" </w:instrText>
      </w:r>
      <w:r>
        <w:rPr>
          <w:color w:val="auto"/>
          <w:highlight w:val="none"/>
        </w:rPr>
        <w:fldChar w:fldCharType="separate"/>
      </w:r>
      <w:r>
        <w:rPr>
          <w:rStyle w:val="48"/>
          <w:rFonts w:hint="eastAsia" w:ascii="宋体" w:hAnsi="宋体" w:cs="宋体"/>
          <w:color w:val="auto"/>
          <w:highlight w:val="none"/>
          <w:shd w:val="clear" w:color="auto" w:fill="FFFFFF"/>
        </w:rPr>
        <w:t>政府采购</w:t>
      </w:r>
      <w:r>
        <w:rPr>
          <w:rStyle w:val="48"/>
          <w:rFonts w:hint="eastAsia" w:ascii="宋体" w:hAnsi="宋体" w:cs="宋体"/>
          <w:color w:val="auto"/>
          <w:highlight w:val="none"/>
          <w:shd w:val="clear" w:color="auto" w:fill="FFFFFF"/>
        </w:rPr>
        <w:fldChar w:fldCharType="end"/>
      </w:r>
      <w:r>
        <w:rPr>
          <w:rFonts w:hint="eastAsia" w:ascii="宋体" w:hAnsi="宋体" w:cs="宋体"/>
          <w:color w:val="auto"/>
          <w:highlight w:val="none"/>
        </w:rPr>
        <w:t>供应商</w:t>
      </w:r>
      <w:r>
        <w:rPr>
          <w:rFonts w:hint="eastAsia" w:ascii="宋体" w:hAnsi="宋体" w:cs="宋体"/>
          <w:color w:val="auto"/>
          <w:highlight w:val="none"/>
          <w:shd w:val="clear" w:color="auto" w:fill="FFFFFF"/>
        </w:rPr>
        <w:t>投诉书范本》要求。</w:t>
      </w:r>
    </w:p>
    <w:p w14:paraId="4B9243C7">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26.3投标人认为采购公告、招标文件、采购过程和中标结果使自己的权益受到损害的，可以在知道或者应知其权益受到损害之日起7个工作日内，以书面形式向采购人、采购代理机构提出质疑。投标人在法定质疑期内一次性提出针对同一采购程序环节的质疑</w:t>
      </w:r>
      <w:r>
        <w:rPr>
          <w:rFonts w:hint="eastAsia" w:ascii="宋体" w:hAnsi="宋体" w:cs="宋体"/>
          <w:bCs/>
          <w:color w:val="auto"/>
          <w:highlight w:val="none"/>
        </w:rPr>
        <w:t>。</w:t>
      </w:r>
    </w:p>
    <w:p w14:paraId="453EFD23">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26.4潜在</w:t>
      </w:r>
      <w:r>
        <w:rPr>
          <w:rFonts w:hint="eastAsia" w:ascii="宋体" w:hAnsi="宋体" w:cs="宋体"/>
          <w:color w:val="auto"/>
          <w:highlight w:val="none"/>
          <w:lang w:eastAsia="zh-CN"/>
        </w:rPr>
        <w:t>投标人</w:t>
      </w:r>
      <w:r>
        <w:rPr>
          <w:rFonts w:hint="eastAsia" w:ascii="宋体" w:hAnsi="宋体" w:cs="宋体"/>
          <w:color w:val="auto"/>
          <w:highlight w:val="none"/>
        </w:rPr>
        <w:t>已依法获取招标文件，可以对该文件提出质疑。采购人拒绝受理未提交投标文件的</w:t>
      </w:r>
      <w:r>
        <w:rPr>
          <w:rFonts w:hint="eastAsia" w:ascii="宋体" w:hAnsi="宋体" w:cs="宋体"/>
          <w:color w:val="auto"/>
          <w:highlight w:val="none"/>
          <w:lang w:eastAsia="zh-CN"/>
        </w:rPr>
        <w:t>投标人</w:t>
      </w:r>
      <w:r>
        <w:rPr>
          <w:rFonts w:hint="eastAsia" w:ascii="宋体" w:hAnsi="宋体" w:cs="宋体"/>
          <w:color w:val="auto"/>
          <w:highlight w:val="none"/>
        </w:rPr>
        <w:t>对采购过程和中标结果质疑。</w:t>
      </w:r>
    </w:p>
    <w:p w14:paraId="1C820B5F">
      <w:pPr>
        <w:numPr>
          <w:ilvl w:val="0"/>
          <w:numId w:val="4"/>
        </w:numPr>
        <w:shd w:val="clear"/>
        <w:tabs>
          <w:tab w:val="left" w:pos="0"/>
        </w:tabs>
        <w:adjustRightInd w:val="0"/>
        <w:snapToGrid w:val="0"/>
        <w:spacing w:line="312" w:lineRule="auto"/>
        <w:ind w:left="0" w:firstLine="482"/>
        <w:rPr>
          <w:rFonts w:hint="eastAsia" w:ascii="宋体" w:hAnsi="宋体" w:cs="宋体"/>
          <w:b/>
          <w:bCs/>
          <w:color w:val="auto"/>
          <w:highlight w:val="none"/>
        </w:rPr>
      </w:pPr>
      <w:r>
        <w:rPr>
          <w:rFonts w:ascii="宋体" w:hAnsi="宋体" w:cs="宋体"/>
          <w:b/>
          <w:bCs/>
          <w:color w:val="auto"/>
          <w:highlight w:val="none"/>
        </w:rPr>
        <w:t>质疑提出起算日期</w:t>
      </w:r>
    </w:p>
    <w:p w14:paraId="51849246">
      <w:pPr>
        <w:pStyle w:val="36"/>
        <w:widowControl w:val="0"/>
        <w:numPr>
          <w:ilvl w:val="0"/>
          <w:numId w:val="6"/>
        </w:numPr>
        <w:shd w:val="clear"/>
        <w:tabs>
          <w:tab w:val="clear" w:pos="397"/>
        </w:tabs>
        <w:adjustRightInd w:val="0"/>
        <w:snapToGrid w:val="0"/>
        <w:spacing w:line="312" w:lineRule="auto"/>
        <w:ind w:left="0" w:firstLine="480"/>
        <w:jc w:val="both"/>
        <w:rPr>
          <w:rFonts w:hint="eastAsia" w:ascii="宋体" w:hAnsi="宋体" w:cs="宋体"/>
          <w:color w:val="auto"/>
          <w:highlight w:val="none"/>
        </w:rPr>
      </w:pPr>
      <w:r>
        <w:rPr>
          <w:rFonts w:hint="eastAsia" w:ascii="宋体" w:hAnsi="宋体" w:cs="宋体"/>
          <w:color w:val="auto"/>
          <w:highlight w:val="none"/>
        </w:rPr>
        <w:t>对采购文件提出质疑的，质疑期限为</w:t>
      </w:r>
      <w:r>
        <w:rPr>
          <w:rFonts w:hint="eastAsia" w:ascii="宋体" w:hAnsi="宋体" w:cs="宋体"/>
          <w:color w:val="auto"/>
          <w:highlight w:val="none"/>
          <w:lang w:eastAsia="zh-CN"/>
        </w:rPr>
        <w:t>投标人</w:t>
      </w:r>
      <w:r>
        <w:rPr>
          <w:rFonts w:hint="eastAsia" w:ascii="宋体" w:hAnsi="宋体" w:cs="宋体"/>
          <w:color w:val="auto"/>
          <w:highlight w:val="none"/>
        </w:rPr>
        <w:t>获得采购文件之日或者采购文件公告期限届满之日起计算，采购文件在获取截止之日后获得的，应当自采购文件公告期限届满之日起计算。</w:t>
      </w:r>
    </w:p>
    <w:p w14:paraId="7110A3AB">
      <w:pPr>
        <w:pStyle w:val="36"/>
        <w:widowControl w:val="0"/>
        <w:numPr>
          <w:ilvl w:val="0"/>
          <w:numId w:val="6"/>
        </w:numPr>
        <w:shd w:val="clear"/>
        <w:tabs>
          <w:tab w:val="clear" w:pos="397"/>
        </w:tabs>
        <w:adjustRightInd w:val="0"/>
        <w:snapToGrid w:val="0"/>
        <w:spacing w:line="312" w:lineRule="auto"/>
        <w:ind w:left="0" w:firstLine="480"/>
        <w:jc w:val="both"/>
        <w:rPr>
          <w:rFonts w:hint="eastAsia" w:ascii="宋体" w:hAnsi="宋体" w:cs="宋体"/>
          <w:color w:val="auto"/>
          <w:highlight w:val="none"/>
        </w:rPr>
      </w:pPr>
      <w:r>
        <w:rPr>
          <w:rFonts w:hint="eastAsia" w:ascii="宋体" w:hAnsi="宋体" w:cs="宋体"/>
          <w:color w:val="auto"/>
          <w:highlight w:val="none"/>
        </w:rPr>
        <w:t>对采购过程提出质疑的，质疑期限自各采购程序环节结束之日起计算。</w:t>
      </w:r>
    </w:p>
    <w:p w14:paraId="6771A9D1">
      <w:pPr>
        <w:pStyle w:val="36"/>
        <w:widowControl w:val="0"/>
        <w:numPr>
          <w:ilvl w:val="0"/>
          <w:numId w:val="6"/>
        </w:numPr>
        <w:shd w:val="clear"/>
        <w:tabs>
          <w:tab w:val="clear" w:pos="397"/>
        </w:tabs>
        <w:adjustRightInd w:val="0"/>
        <w:snapToGrid w:val="0"/>
        <w:spacing w:line="312" w:lineRule="auto"/>
        <w:ind w:left="0" w:firstLine="480"/>
        <w:jc w:val="both"/>
        <w:rPr>
          <w:rFonts w:hint="eastAsia" w:ascii="宋体" w:hAnsi="宋体" w:cs="宋体"/>
          <w:color w:val="auto"/>
          <w:highlight w:val="none"/>
        </w:rPr>
      </w:pPr>
      <w:r>
        <w:rPr>
          <w:rFonts w:hint="eastAsia" w:ascii="宋体" w:hAnsi="宋体" w:cs="宋体"/>
          <w:color w:val="auto"/>
          <w:highlight w:val="none"/>
        </w:rPr>
        <w:t>对采购结果提出质疑的，质疑期限自采购结果公告（包括公示、预公告、结果变更公告等）之日起计算。</w:t>
      </w:r>
    </w:p>
    <w:p w14:paraId="00083AAA">
      <w:pPr>
        <w:pStyle w:val="36"/>
        <w:widowControl w:val="0"/>
        <w:numPr>
          <w:ilvl w:val="0"/>
          <w:numId w:val="6"/>
        </w:numPr>
        <w:shd w:val="clear"/>
        <w:tabs>
          <w:tab w:val="clear" w:pos="397"/>
        </w:tabs>
        <w:adjustRightInd w:val="0"/>
        <w:snapToGrid w:val="0"/>
        <w:spacing w:line="312" w:lineRule="auto"/>
        <w:ind w:left="0" w:firstLine="480"/>
        <w:jc w:val="both"/>
        <w:rPr>
          <w:rFonts w:hint="eastAsia" w:ascii="宋体" w:hAnsi="宋体" w:cs="宋体"/>
          <w:color w:val="auto"/>
          <w:highlight w:val="none"/>
        </w:rPr>
      </w:pPr>
      <w:r>
        <w:rPr>
          <w:rFonts w:hint="eastAsia" w:ascii="宋体" w:hAnsi="宋体" w:cs="宋体"/>
          <w:color w:val="auto"/>
          <w:highlight w:val="none"/>
          <w:lang w:eastAsia="zh-CN"/>
        </w:rPr>
        <w:t>投标人</w:t>
      </w:r>
      <w:r>
        <w:rPr>
          <w:rFonts w:hint="eastAsia" w:ascii="宋体" w:hAnsi="宋体" w:cs="宋体"/>
          <w:color w:val="auto"/>
          <w:highlight w:val="none"/>
        </w:rPr>
        <w:t>逾期提出质疑的，采购人或采购代理机构均不予受理和答复。</w:t>
      </w:r>
    </w:p>
    <w:p w14:paraId="63B3EA35">
      <w:pPr>
        <w:numPr>
          <w:ilvl w:val="0"/>
          <w:numId w:val="4"/>
        </w:numPr>
        <w:shd w:val="clear"/>
        <w:tabs>
          <w:tab w:val="left" w:pos="0"/>
        </w:tabs>
        <w:adjustRightInd w:val="0"/>
        <w:snapToGrid w:val="0"/>
        <w:spacing w:line="312" w:lineRule="auto"/>
        <w:ind w:left="0" w:firstLine="482"/>
        <w:rPr>
          <w:rFonts w:hint="eastAsia" w:ascii="宋体" w:hAnsi="宋体" w:cs="宋体"/>
          <w:b/>
          <w:bCs/>
          <w:color w:val="auto"/>
          <w:highlight w:val="none"/>
        </w:rPr>
      </w:pPr>
      <w:r>
        <w:rPr>
          <w:rFonts w:ascii="宋体" w:hAnsi="宋体" w:cs="宋体"/>
          <w:b/>
          <w:bCs/>
          <w:color w:val="auto"/>
          <w:highlight w:val="none"/>
        </w:rPr>
        <w:t>质疑答复</w:t>
      </w:r>
    </w:p>
    <w:p w14:paraId="082CE35A">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color w:val="auto"/>
          <w:highlight w:val="none"/>
        </w:rPr>
        <w:t>采购人应当在收到</w:t>
      </w:r>
      <w:r>
        <w:rPr>
          <w:rFonts w:hint="eastAsia" w:ascii="宋体" w:hAnsi="宋体" w:cs="宋体"/>
          <w:bCs/>
          <w:color w:val="auto"/>
          <w:highlight w:val="none"/>
          <w:lang w:eastAsia="zh-CN"/>
        </w:rPr>
        <w:t>投标人</w:t>
      </w:r>
      <w:r>
        <w:rPr>
          <w:rFonts w:hint="eastAsia" w:ascii="宋体" w:hAnsi="宋体" w:cs="宋体"/>
          <w:color w:val="auto"/>
          <w:highlight w:val="none"/>
        </w:rPr>
        <w:t>的书面质疑后7个工作日内作出答复，并以书面形式通知质疑</w:t>
      </w:r>
      <w:r>
        <w:rPr>
          <w:rFonts w:hint="eastAsia" w:ascii="宋体" w:hAnsi="宋体" w:cs="宋体"/>
          <w:color w:val="auto"/>
          <w:highlight w:val="none"/>
          <w:lang w:eastAsia="zh-CN"/>
        </w:rPr>
        <w:t>投标人</w:t>
      </w:r>
      <w:r>
        <w:rPr>
          <w:rFonts w:hint="eastAsia" w:ascii="宋体" w:hAnsi="宋体" w:cs="宋体"/>
          <w:color w:val="auto"/>
          <w:highlight w:val="none"/>
        </w:rPr>
        <w:t>和其他与质疑处理结果有利害关系的采购当事人，但答复的内容不得涉及商业秘密。</w:t>
      </w:r>
    </w:p>
    <w:p w14:paraId="3D1A9CFB">
      <w:pPr>
        <w:numPr>
          <w:ilvl w:val="0"/>
          <w:numId w:val="4"/>
        </w:numPr>
        <w:shd w:val="clear"/>
        <w:tabs>
          <w:tab w:val="left" w:pos="0"/>
        </w:tabs>
        <w:adjustRightInd w:val="0"/>
        <w:snapToGrid w:val="0"/>
        <w:spacing w:line="312" w:lineRule="auto"/>
        <w:ind w:left="0" w:firstLine="482"/>
        <w:rPr>
          <w:rFonts w:hint="eastAsia" w:ascii="宋体" w:hAnsi="宋体" w:cs="宋体"/>
          <w:b/>
          <w:bCs/>
          <w:color w:val="auto"/>
          <w:highlight w:val="none"/>
        </w:rPr>
      </w:pPr>
      <w:r>
        <w:rPr>
          <w:rFonts w:ascii="宋体" w:hAnsi="宋体" w:cs="宋体"/>
          <w:b/>
          <w:bCs/>
          <w:color w:val="auto"/>
          <w:highlight w:val="none"/>
        </w:rPr>
        <w:t>投诉</w:t>
      </w:r>
    </w:p>
    <w:p w14:paraId="4105263F">
      <w:pPr>
        <w:pStyle w:val="36"/>
        <w:widowControl w:val="0"/>
        <w:shd w:val="clear"/>
        <w:adjustRightInd w:val="0"/>
        <w:snapToGrid w:val="0"/>
        <w:spacing w:line="312" w:lineRule="auto"/>
        <w:ind w:firstLine="480"/>
        <w:jc w:val="both"/>
        <w:rPr>
          <w:rFonts w:hint="eastAsia" w:ascii="宋体" w:hAnsi="宋体" w:cs="宋体"/>
          <w:color w:val="auto"/>
          <w:highlight w:val="none"/>
        </w:rPr>
      </w:pPr>
      <w:r>
        <w:rPr>
          <w:rFonts w:hint="eastAsia" w:ascii="宋体" w:hAnsi="宋体" w:cs="宋体"/>
          <w:bCs/>
          <w:color w:val="auto"/>
          <w:highlight w:val="none"/>
        </w:rPr>
        <w:t>29.1质疑</w:t>
      </w:r>
      <w:r>
        <w:rPr>
          <w:rFonts w:hint="eastAsia" w:ascii="宋体" w:hAnsi="宋体" w:cs="宋体"/>
          <w:bCs/>
          <w:color w:val="auto"/>
          <w:highlight w:val="none"/>
          <w:lang w:eastAsia="zh-CN"/>
        </w:rPr>
        <w:t>投标人</w:t>
      </w:r>
      <w:r>
        <w:rPr>
          <w:rFonts w:hint="eastAsia" w:ascii="宋体" w:hAnsi="宋体" w:cs="宋体"/>
          <w:color w:val="auto"/>
          <w:highlight w:val="none"/>
        </w:rPr>
        <w:t>对采购人未在规定时间内作出答复的，可以在答复期满后15个工作日内向</w:t>
      </w:r>
      <w:r>
        <w:rPr>
          <w:rFonts w:hint="eastAsia" w:ascii="宋体" w:hAnsi="宋体" w:cs="宋体"/>
          <w:bCs/>
          <w:color w:val="auto"/>
          <w:highlight w:val="none"/>
        </w:rPr>
        <w:t>龙游县财政局政府采购监管科投诉</w:t>
      </w:r>
      <w:r>
        <w:rPr>
          <w:rFonts w:hint="eastAsia" w:ascii="宋体" w:hAnsi="宋体" w:cs="宋体"/>
          <w:color w:val="auto"/>
          <w:highlight w:val="none"/>
        </w:rPr>
        <w:t>。若对质疑答复不满意的，应当自答复的次日起15个工作日内向</w:t>
      </w:r>
      <w:r>
        <w:rPr>
          <w:rFonts w:hint="eastAsia" w:ascii="宋体" w:hAnsi="宋体" w:cs="宋体"/>
          <w:bCs/>
          <w:color w:val="auto"/>
          <w:highlight w:val="none"/>
        </w:rPr>
        <w:t>龙游县财政局政府采购监管科投诉。</w:t>
      </w:r>
    </w:p>
    <w:p w14:paraId="7D990949">
      <w:pPr>
        <w:pStyle w:val="3"/>
        <w:numPr>
          <w:ilvl w:val="1"/>
          <w:numId w:val="0"/>
        </w:numPr>
        <w:shd w:val="clear"/>
        <w:adjustRightInd w:val="0"/>
        <w:snapToGrid w:val="0"/>
        <w:spacing w:beforeLines="0" w:afterLines="0" w:line="312" w:lineRule="auto"/>
        <w:ind w:firstLine="480" w:firstLineChars="200"/>
        <w:jc w:val="both"/>
        <w:rPr>
          <w:rFonts w:hint="eastAsia" w:ascii="宋体" w:hAnsi="宋体" w:cs="宋体"/>
          <w:bCs w:val="0"/>
          <w:color w:val="auto"/>
          <w:sz w:val="24"/>
          <w:szCs w:val="24"/>
          <w:highlight w:val="none"/>
        </w:rPr>
      </w:pPr>
      <w:bookmarkStart w:id="280" w:name="_Toc23958"/>
      <w:bookmarkStart w:id="281" w:name="_Toc13957"/>
      <w:bookmarkStart w:id="282" w:name="_Toc12775"/>
      <w:bookmarkStart w:id="283" w:name="_Toc24688"/>
      <w:bookmarkStart w:id="284" w:name="_Toc6902"/>
      <w:r>
        <w:rPr>
          <w:rFonts w:hint="eastAsia" w:ascii="宋体" w:hAnsi="宋体" w:cs="宋体"/>
          <w:bCs w:val="0"/>
          <w:color w:val="auto"/>
          <w:sz w:val="24"/>
          <w:szCs w:val="24"/>
          <w:highlight w:val="none"/>
        </w:rPr>
        <w:t>29.2</w:t>
      </w:r>
      <w:r>
        <w:rPr>
          <w:rFonts w:hint="eastAsia" w:ascii="宋体" w:hAnsi="宋体" w:cs="宋体"/>
          <w:bCs w:val="0"/>
          <w:color w:val="auto"/>
          <w:sz w:val="24"/>
          <w:szCs w:val="24"/>
          <w:highlight w:val="none"/>
          <w:lang w:eastAsia="zh-CN"/>
        </w:rPr>
        <w:t>投标人</w:t>
      </w:r>
      <w:r>
        <w:rPr>
          <w:rFonts w:hint="eastAsia" w:ascii="宋体" w:hAnsi="宋体" w:cs="宋体"/>
          <w:bCs w:val="0"/>
          <w:color w:val="auto"/>
          <w:sz w:val="24"/>
          <w:szCs w:val="24"/>
          <w:highlight w:val="none"/>
        </w:rPr>
        <w:t>提交的投诉书应符合财政部《政府采购</w:t>
      </w:r>
      <w:bookmarkStart w:id="568" w:name="_GoBack"/>
      <w:r>
        <w:rPr>
          <w:rFonts w:hint="eastAsia" w:ascii="宋体" w:hAnsi="宋体" w:cs="宋体"/>
          <w:bCs w:val="0"/>
          <w:color w:val="auto"/>
          <w:sz w:val="24"/>
          <w:szCs w:val="24"/>
          <w:highlight w:val="none"/>
        </w:rPr>
        <w:t>供应商</w:t>
      </w:r>
      <w:bookmarkEnd w:id="568"/>
      <w:r>
        <w:rPr>
          <w:rFonts w:hint="eastAsia" w:ascii="宋体" w:hAnsi="宋体" w:cs="宋体"/>
          <w:bCs w:val="0"/>
          <w:color w:val="auto"/>
          <w:sz w:val="24"/>
          <w:szCs w:val="24"/>
          <w:highlight w:val="none"/>
        </w:rPr>
        <w:t>质疑函范本》要求。</w:t>
      </w:r>
      <w:bookmarkEnd w:id="280"/>
      <w:bookmarkEnd w:id="281"/>
      <w:bookmarkEnd w:id="282"/>
      <w:bookmarkEnd w:id="283"/>
      <w:bookmarkEnd w:id="284"/>
    </w:p>
    <w:p w14:paraId="730643E1">
      <w:pPr>
        <w:pStyle w:val="3"/>
        <w:numPr>
          <w:ilvl w:val="1"/>
          <w:numId w:val="0"/>
        </w:numPr>
        <w:shd w:val="clear"/>
        <w:adjustRightInd w:val="0"/>
        <w:snapToGrid w:val="0"/>
        <w:spacing w:beforeLines="0" w:afterLines="0" w:line="312" w:lineRule="auto"/>
        <w:rPr>
          <w:rFonts w:hint="eastAsia" w:ascii="宋体" w:hAnsi="宋体" w:cs="宋体"/>
          <w:color w:val="auto"/>
          <w:highlight w:val="none"/>
        </w:rPr>
      </w:pPr>
      <w:bookmarkStart w:id="285" w:name="_Toc23076"/>
      <w:r>
        <w:rPr>
          <w:rFonts w:hint="eastAsia" w:ascii="宋体" w:hAnsi="宋体" w:cs="宋体"/>
          <w:color w:val="auto"/>
          <w:highlight w:val="none"/>
        </w:rPr>
        <w:t>九、投标纪律要求</w:t>
      </w:r>
      <w:bookmarkEnd w:id="285"/>
    </w:p>
    <w:p w14:paraId="5267136F">
      <w:pPr>
        <w:numPr>
          <w:ilvl w:val="0"/>
          <w:numId w:val="4"/>
        </w:numPr>
        <w:shd w:val="clear"/>
        <w:tabs>
          <w:tab w:val="left" w:pos="0"/>
        </w:tabs>
        <w:adjustRightInd w:val="0"/>
        <w:snapToGrid w:val="0"/>
        <w:spacing w:line="312" w:lineRule="auto"/>
        <w:ind w:left="0" w:firstLine="482"/>
        <w:rPr>
          <w:rFonts w:hint="eastAsia" w:ascii="宋体" w:hAnsi="宋体" w:cs="宋体"/>
          <w:b/>
          <w:bCs/>
          <w:color w:val="auto"/>
          <w:highlight w:val="none"/>
        </w:rPr>
      </w:pPr>
      <w:r>
        <w:rPr>
          <w:rFonts w:hint="eastAsia" w:ascii="宋体" w:hAnsi="宋体" w:cs="宋体"/>
          <w:b/>
          <w:bCs/>
          <w:color w:val="auto"/>
          <w:highlight w:val="none"/>
          <w:lang w:eastAsia="zh-CN"/>
        </w:rPr>
        <w:t>投标人</w:t>
      </w:r>
      <w:r>
        <w:rPr>
          <w:rFonts w:ascii="宋体" w:hAnsi="宋体" w:cs="宋体"/>
          <w:b/>
          <w:bCs/>
          <w:color w:val="auto"/>
          <w:highlight w:val="none"/>
        </w:rPr>
        <w:t>参加本项目投标不得有下列情形</w:t>
      </w:r>
    </w:p>
    <w:p w14:paraId="57617D89">
      <w:pPr>
        <w:pStyle w:val="36"/>
        <w:widowControl w:val="0"/>
        <w:shd w:val="clear"/>
        <w:adjustRightInd w:val="0"/>
        <w:snapToGrid w:val="0"/>
        <w:spacing w:line="312" w:lineRule="auto"/>
        <w:ind w:firstLine="480"/>
        <w:jc w:val="both"/>
        <w:rPr>
          <w:rFonts w:hint="eastAsia" w:ascii="宋体" w:hAnsi="宋体" w:cs="宋体"/>
          <w:snapToGrid w:val="0"/>
          <w:color w:val="auto"/>
          <w:highlight w:val="none"/>
        </w:rPr>
      </w:pPr>
      <w:r>
        <w:rPr>
          <w:rFonts w:hint="eastAsia" w:ascii="宋体" w:hAnsi="宋体" w:cs="宋体"/>
          <w:color w:val="auto"/>
          <w:highlight w:val="none"/>
          <w:lang w:eastAsia="zh-CN"/>
        </w:rPr>
        <w:t>投标人</w:t>
      </w:r>
      <w:r>
        <w:rPr>
          <w:rFonts w:hint="eastAsia" w:ascii="宋体" w:hAnsi="宋体" w:cs="宋体"/>
          <w:color w:val="auto"/>
          <w:highlight w:val="none"/>
        </w:rPr>
        <w:t>有下列情形之一的，处以政府采购项目中标金额5‰以上10‰以下的罚款，列入不良行为记录名单，在一至三年内禁止参加采购活动，并予以公告，有违法所得的，并处没收违法所得</w:t>
      </w:r>
      <w:r>
        <w:rPr>
          <w:rFonts w:hint="eastAsia" w:ascii="宋体" w:hAnsi="宋体" w:cs="宋体"/>
          <w:color w:val="auto"/>
          <w:highlight w:val="none"/>
          <w:lang w:eastAsia="zh-CN"/>
        </w:rPr>
        <w:t>，</w:t>
      </w:r>
      <w:r>
        <w:rPr>
          <w:rFonts w:hint="eastAsia" w:ascii="宋体" w:hAnsi="宋体" w:cs="宋体"/>
          <w:color w:val="auto"/>
          <w:highlight w:val="none"/>
        </w:rPr>
        <w:t>情节严重的，由工商行政管理机关吊销营业执照，构成犯罪的，依法追究刑事责任。</w:t>
      </w:r>
      <w:r>
        <w:rPr>
          <w:rFonts w:hint="eastAsia" w:ascii="宋体" w:hAnsi="宋体" w:cs="宋体"/>
          <w:snapToGrid w:val="0"/>
          <w:color w:val="auto"/>
          <w:highlight w:val="none"/>
        </w:rPr>
        <w:t>同时将取消中标资格或者认定中标无效：</w:t>
      </w:r>
    </w:p>
    <w:p w14:paraId="5219E668">
      <w:pPr>
        <w:pStyle w:val="36"/>
        <w:widowControl w:val="0"/>
        <w:shd w:val="clear"/>
        <w:adjustRightInd w:val="0"/>
        <w:snapToGrid w:val="0"/>
        <w:spacing w:line="312" w:lineRule="auto"/>
        <w:ind w:firstLine="480"/>
        <w:jc w:val="both"/>
        <w:rPr>
          <w:rFonts w:hint="eastAsia" w:ascii="宋体" w:hAnsi="宋体" w:cs="宋体"/>
          <w:snapToGrid w:val="0"/>
          <w:color w:val="auto"/>
          <w:highlight w:val="none"/>
        </w:rPr>
      </w:pPr>
      <w:r>
        <w:rPr>
          <w:rFonts w:hint="eastAsia" w:ascii="宋体" w:hAnsi="宋体" w:cs="宋体"/>
          <w:snapToGrid w:val="0"/>
          <w:color w:val="auto"/>
          <w:highlight w:val="none"/>
        </w:rPr>
        <w:t>30.1提供虚假材料谋取中标；</w:t>
      </w:r>
    </w:p>
    <w:p w14:paraId="46A9045D">
      <w:pPr>
        <w:pStyle w:val="36"/>
        <w:widowControl w:val="0"/>
        <w:shd w:val="clear"/>
        <w:adjustRightInd w:val="0"/>
        <w:snapToGrid w:val="0"/>
        <w:spacing w:line="312" w:lineRule="auto"/>
        <w:ind w:firstLine="480"/>
        <w:jc w:val="both"/>
        <w:rPr>
          <w:rFonts w:hint="eastAsia" w:ascii="宋体" w:hAnsi="宋体" w:cs="宋体"/>
          <w:snapToGrid w:val="0"/>
          <w:color w:val="auto"/>
          <w:highlight w:val="none"/>
        </w:rPr>
      </w:pPr>
      <w:r>
        <w:rPr>
          <w:rFonts w:hint="eastAsia" w:ascii="宋体" w:hAnsi="宋体" w:cs="宋体"/>
          <w:snapToGrid w:val="0"/>
          <w:color w:val="auto"/>
          <w:highlight w:val="none"/>
        </w:rPr>
        <w:t>30.2采取不正当手段诋毁、排挤其他</w:t>
      </w:r>
      <w:r>
        <w:rPr>
          <w:rFonts w:hint="eastAsia" w:ascii="宋体" w:hAnsi="宋体" w:cs="宋体"/>
          <w:snapToGrid w:val="0"/>
          <w:color w:val="auto"/>
          <w:highlight w:val="none"/>
          <w:lang w:eastAsia="zh-CN"/>
        </w:rPr>
        <w:t>投标人</w:t>
      </w:r>
      <w:r>
        <w:rPr>
          <w:rFonts w:hint="eastAsia" w:ascii="宋体" w:hAnsi="宋体" w:cs="宋体"/>
          <w:snapToGrid w:val="0"/>
          <w:color w:val="auto"/>
          <w:highlight w:val="none"/>
        </w:rPr>
        <w:t>；</w:t>
      </w:r>
    </w:p>
    <w:p w14:paraId="5D1942CB">
      <w:pPr>
        <w:pStyle w:val="36"/>
        <w:widowControl w:val="0"/>
        <w:shd w:val="clear"/>
        <w:adjustRightInd w:val="0"/>
        <w:snapToGrid w:val="0"/>
        <w:spacing w:line="312" w:lineRule="auto"/>
        <w:ind w:firstLine="480"/>
        <w:jc w:val="both"/>
        <w:rPr>
          <w:rFonts w:hint="eastAsia" w:ascii="宋体" w:hAnsi="宋体" w:cs="宋体"/>
          <w:snapToGrid w:val="0"/>
          <w:color w:val="auto"/>
          <w:highlight w:val="none"/>
        </w:rPr>
      </w:pPr>
      <w:r>
        <w:rPr>
          <w:rFonts w:hint="eastAsia" w:ascii="宋体" w:hAnsi="宋体" w:cs="宋体"/>
          <w:snapToGrid w:val="0"/>
          <w:color w:val="auto"/>
          <w:highlight w:val="none"/>
        </w:rPr>
        <w:t>30.3与采购人、其他</w:t>
      </w:r>
      <w:r>
        <w:rPr>
          <w:rFonts w:hint="eastAsia" w:ascii="宋体" w:hAnsi="宋体" w:cs="宋体"/>
          <w:snapToGrid w:val="0"/>
          <w:color w:val="auto"/>
          <w:highlight w:val="none"/>
          <w:lang w:eastAsia="zh-CN"/>
        </w:rPr>
        <w:t>投标人</w:t>
      </w:r>
      <w:r>
        <w:rPr>
          <w:rFonts w:hint="eastAsia" w:ascii="宋体" w:hAnsi="宋体" w:cs="宋体"/>
          <w:snapToGrid w:val="0"/>
          <w:color w:val="auto"/>
          <w:highlight w:val="none"/>
        </w:rPr>
        <w:t>恶意串通；</w:t>
      </w:r>
    </w:p>
    <w:p w14:paraId="2D244BE0">
      <w:pPr>
        <w:pStyle w:val="36"/>
        <w:widowControl w:val="0"/>
        <w:shd w:val="clear"/>
        <w:adjustRightInd w:val="0"/>
        <w:snapToGrid w:val="0"/>
        <w:spacing w:line="312" w:lineRule="auto"/>
        <w:ind w:firstLine="480"/>
        <w:jc w:val="both"/>
        <w:rPr>
          <w:rFonts w:hint="eastAsia" w:ascii="宋体" w:hAnsi="宋体" w:cs="宋体"/>
          <w:snapToGrid w:val="0"/>
          <w:color w:val="auto"/>
          <w:highlight w:val="none"/>
        </w:rPr>
      </w:pPr>
      <w:r>
        <w:rPr>
          <w:rFonts w:hint="eastAsia" w:ascii="宋体" w:hAnsi="宋体" w:cs="宋体"/>
          <w:snapToGrid w:val="0"/>
          <w:color w:val="auto"/>
          <w:highlight w:val="none"/>
        </w:rPr>
        <w:t>30.4向采购人、评标委员会成员行贿或者提供其他不正当利益；</w:t>
      </w:r>
    </w:p>
    <w:p w14:paraId="647F99F4">
      <w:pPr>
        <w:pStyle w:val="36"/>
        <w:widowControl w:val="0"/>
        <w:shd w:val="clear"/>
        <w:adjustRightInd w:val="0"/>
        <w:snapToGrid w:val="0"/>
        <w:spacing w:line="312" w:lineRule="auto"/>
        <w:ind w:firstLine="480"/>
        <w:jc w:val="both"/>
        <w:rPr>
          <w:rFonts w:hint="eastAsia" w:ascii="宋体" w:hAnsi="宋体" w:cs="宋体"/>
          <w:snapToGrid w:val="0"/>
          <w:color w:val="auto"/>
          <w:highlight w:val="none"/>
        </w:rPr>
      </w:pPr>
      <w:r>
        <w:rPr>
          <w:rFonts w:hint="eastAsia" w:ascii="宋体" w:hAnsi="宋体" w:cs="宋体"/>
          <w:snapToGrid w:val="0"/>
          <w:color w:val="auto"/>
          <w:highlight w:val="none"/>
        </w:rPr>
        <w:t>30.5在招标过程中与采购人进行协商谈判；</w:t>
      </w:r>
    </w:p>
    <w:p w14:paraId="0E420DB8">
      <w:pPr>
        <w:pStyle w:val="36"/>
        <w:widowControl w:val="0"/>
        <w:shd w:val="clear"/>
        <w:adjustRightInd w:val="0"/>
        <w:snapToGrid w:val="0"/>
        <w:spacing w:line="312" w:lineRule="auto"/>
        <w:ind w:firstLine="480"/>
        <w:jc w:val="both"/>
        <w:rPr>
          <w:rFonts w:hint="eastAsia" w:ascii="宋体" w:hAnsi="宋体" w:cs="宋体"/>
          <w:snapToGrid w:val="0"/>
          <w:color w:val="auto"/>
          <w:highlight w:val="none"/>
        </w:rPr>
      </w:pPr>
      <w:r>
        <w:rPr>
          <w:rFonts w:hint="eastAsia" w:ascii="宋体" w:hAnsi="宋体" w:cs="宋体"/>
          <w:color w:val="auto"/>
          <w:highlight w:val="none"/>
        </w:rPr>
        <w:t>30.6中标人无正当理由拖延或者不与采购人采购合同</w:t>
      </w:r>
      <w:r>
        <w:rPr>
          <w:rFonts w:hint="eastAsia" w:ascii="宋体" w:hAnsi="宋体" w:cs="宋体"/>
          <w:snapToGrid w:val="0"/>
          <w:color w:val="auto"/>
          <w:highlight w:val="none"/>
        </w:rPr>
        <w:t>；</w:t>
      </w:r>
    </w:p>
    <w:p w14:paraId="17150AC9">
      <w:pPr>
        <w:pStyle w:val="36"/>
        <w:widowControl w:val="0"/>
        <w:shd w:val="clear"/>
        <w:adjustRightInd w:val="0"/>
        <w:snapToGrid w:val="0"/>
        <w:spacing w:line="312" w:lineRule="auto"/>
        <w:ind w:firstLine="480"/>
        <w:jc w:val="both"/>
        <w:rPr>
          <w:rFonts w:hint="eastAsia" w:ascii="宋体" w:hAnsi="宋体" w:cs="宋体"/>
          <w:snapToGrid w:val="0"/>
          <w:color w:val="auto"/>
          <w:highlight w:val="none"/>
        </w:rPr>
      </w:pPr>
      <w:r>
        <w:rPr>
          <w:rFonts w:hint="eastAsia" w:ascii="宋体" w:hAnsi="宋体" w:cs="宋体"/>
          <w:snapToGrid w:val="0"/>
          <w:color w:val="auto"/>
          <w:highlight w:val="none"/>
        </w:rPr>
        <w:t>30.7未按照招标文件确定的事项签订采购合同；</w:t>
      </w:r>
    </w:p>
    <w:p w14:paraId="1D4B8AAD">
      <w:pPr>
        <w:pStyle w:val="36"/>
        <w:widowControl w:val="0"/>
        <w:shd w:val="clear"/>
        <w:adjustRightInd w:val="0"/>
        <w:snapToGrid w:val="0"/>
        <w:spacing w:line="312" w:lineRule="auto"/>
        <w:ind w:firstLine="480"/>
        <w:jc w:val="both"/>
        <w:rPr>
          <w:rFonts w:hint="eastAsia" w:ascii="宋体" w:hAnsi="宋体" w:cs="宋体"/>
          <w:snapToGrid w:val="0"/>
          <w:color w:val="auto"/>
          <w:highlight w:val="none"/>
        </w:rPr>
      </w:pPr>
      <w:r>
        <w:rPr>
          <w:rFonts w:hint="eastAsia" w:ascii="宋体" w:hAnsi="宋体" w:cs="宋体"/>
          <w:snapToGrid w:val="0"/>
          <w:color w:val="auto"/>
          <w:highlight w:val="none"/>
        </w:rPr>
        <w:t>30.8将采购合同转包；</w:t>
      </w:r>
    </w:p>
    <w:p w14:paraId="7613D786">
      <w:pPr>
        <w:pStyle w:val="36"/>
        <w:widowControl w:val="0"/>
        <w:shd w:val="clear"/>
        <w:adjustRightInd w:val="0"/>
        <w:snapToGrid w:val="0"/>
        <w:spacing w:line="312" w:lineRule="auto"/>
        <w:ind w:firstLine="480"/>
        <w:jc w:val="both"/>
        <w:rPr>
          <w:rFonts w:hint="eastAsia" w:ascii="宋体" w:hAnsi="宋体" w:cs="宋体"/>
          <w:snapToGrid w:val="0"/>
          <w:color w:val="auto"/>
          <w:highlight w:val="none"/>
        </w:rPr>
      </w:pPr>
      <w:r>
        <w:rPr>
          <w:rFonts w:hint="eastAsia" w:ascii="宋体" w:hAnsi="宋体" w:cs="宋体"/>
          <w:snapToGrid w:val="0"/>
          <w:color w:val="auto"/>
          <w:highlight w:val="none"/>
        </w:rPr>
        <w:t>30.9提供假冒伪劣产品；</w:t>
      </w:r>
    </w:p>
    <w:p w14:paraId="72403739">
      <w:pPr>
        <w:pStyle w:val="36"/>
        <w:widowControl w:val="0"/>
        <w:shd w:val="clear"/>
        <w:adjustRightInd w:val="0"/>
        <w:snapToGrid w:val="0"/>
        <w:spacing w:line="312" w:lineRule="auto"/>
        <w:ind w:firstLine="480"/>
        <w:jc w:val="both"/>
        <w:rPr>
          <w:rFonts w:hint="eastAsia" w:ascii="宋体" w:hAnsi="宋体" w:cs="宋体"/>
          <w:snapToGrid w:val="0"/>
          <w:color w:val="auto"/>
          <w:highlight w:val="none"/>
        </w:rPr>
      </w:pPr>
      <w:r>
        <w:rPr>
          <w:rFonts w:hint="eastAsia" w:ascii="宋体" w:hAnsi="宋体" w:cs="宋体"/>
          <w:snapToGrid w:val="0"/>
          <w:color w:val="auto"/>
          <w:highlight w:val="none"/>
        </w:rPr>
        <w:t>30.10擅自变更、中止或者终止采购合同；</w:t>
      </w:r>
    </w:p>
    <w:p w14:paraId="2493762D">
      <w:pPr>
        <w:pStyle w:val="36"/>
        <w:widowControl w:val="0"/>
        <w:shd w:val="clear"/>
        <w:adjustRightInd w:val="0"/>
        <w:snapToGrid w:val="0"/>
        <w:spacing w:line="312" w:lineRule="auto"/>
        <w:ind w:firstLine="480"/>
        <w:jc w:val="both"/>
        <w:rPr>
          <w:rFonts w:hint="eastAsia" w:ascii="宋体" w:hAnsi="宋体" w:cs="宋体"/>
          <w:snapToGrid w:val="0"/>
          <w:color w:val="auto"/>
          <w:highlight w:val="none"/>
        </w:rPr>
      </w:pPr>
      <w:r>
        <w:rPr>
          <w:rFonts w:hint="eastAsia" w:ascii="宋体" w:hAnsi="宋体" w:cs="宋体"/>
          <w:snapToGrid w:val="0"/>
          <w:color w:val="auto"/>
          <w:highlight w:val="none"/>
        </w:rPr>
        <w:t>30.11拒绝有关部门的监督检查或者向监督检查部门提供虚假情况；</w:t>
      </w:r>
    </w:p>
    <w:p w14:paraId="4829688D">
      <w:pPr>
        <w:pStyle w:val="36"/>
        <w:widowControl w:val="0"/>
        <w:shd w:val="clear"/>
        <w:adjustRightInd w:val="0"/>
        <w:snapToGrid w:val="0"/>
        <w:spacing w:line="312" w:lineRule="auto"/>
        <w:ind w:firstLine="480"/>
        <w:jc w:val="both"/>
        <w:rPr>
          <w:rFonts w:hint="eastAsia" w:ascii="宋体" w:hAnsi="宋体" w:cs="宋体"/>
          <w:snapToGrid w:val="0"/>
          <w:color w:val="auto"/>
          <w:highlight w:val="none"/>
        </w:rPr>
      </w:pPr>
      <w:r>
        <w:rPr>
          <w:rFonts w:hint="eastAsia" w:ascii="宋体" w:hAnsi="宋体" w:cs="宋体"/>
          <w:snapToGrid w:val="0"/>
          <w:color w:val="auto"/>
          <w:highlight w:val="none"/>
        </w:rPr>
        <w:t>30.12法律法规规定的其他情形。</w:t>
      </w:r>
    </w:p>
    <w:p w14:paraId="779CB8A5">
      <w:pPr>
        <w:pStyle w:val="3"/>
        <w:numPr>
          <w:ilvl w:val="1"/>
          <w:numId w:val="0"/>
        </w:numPr>
        <w:shd w:val="clear"/>
        <w:snapToGrid w:val="0"/>
        <w:spacing w:before="218" w:after="218"/>
        <w:rPr>
          <w:rFonts w:hint="eastAsia" w:ascii="宋体" w:hAnsi="宋体" w:cs="宋体"/>
          <w:color w:val="auto"/>
          <w:highlight w:val="none"/>
        </w:rPr>
      </w:pPr>
      <w:bookmarkStart w:id="286" w:name="_Toc21114"/>
      <w:bookmarkStart w:id="287" w:name="_Toc6722"/>
      <w:r>
        <w:rPr>
          <w:rFonts w:hint="eastAsia" w:ascii="宋体" w:hAnsi="宋体" w:cs="宋体"/>
          <w:color w:val="auto"/>
          <w:highlight w:val="none"/>
          <w:lang w:bidi="ar"/>
        </w:rPr>
        <w:t>十、投标无效的情形</w:t>
      </w:r>
      <w:bookmarkEnd w:id="286"/>
      <w:bookmarkEnd w:id="287"/>
    </w:p>
    <w:p w14:paraId="52648076">
      <w:pPr>
        <w:numPr>
          <w:ilvl w:val="0"/>
          <w:numId w:val="4"/>
        </w:numPr>
        <w:shd w:val="clear"/>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实质上没有响应招标文件要求的投标将被视为无效投标。投标人不得通过修正或撤销不合要求的偏离或保留从而使其投标成为实质上响应的投标。如发生下列情况之一的，其投标视为无效：</w:t>
      </w:r>
    </w:p>
    <w:p w14:paraId="74A105B5">
      <w:pPr>
        <w:shd w:val="clear"/>
        <w:snapToGrid w:val="0"/>
        <w:spacing w:line="312" w:lineRule="auto"/>
        <w:ind w:firstLine="480"/>
        <w:jc w:val="left"/>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31.1 不符合本次采购投标人资格要求的；</w:t>
      </w:r>
    </w:p>
    <w:p w14:paraId="6064DE99">
      <w:pPr>
        <w:shd w:val="clear"/>
        <w:snapToGrid w:val="0"/>
        <w:spacing w:line="312" w:lineRule="auto"/>
        <w:ind w:firstLine="480"/>
        <w:jc w:val="left"/>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31.2 评标委员会判定投标人涂改证明材料或者提供虚假材料和承诺的；</w:t>
      </w:r>
    </w:p>
    <w:p w14:paraId="18BC7883">
      <w:pPr>
        <w:shd w:val="clear"/>
        <w:snapToGrid w:val="0"/>
        <w:spacing w:line="312" w:lineRule="auto"/>
        <w:ind w:firstLine="480"/>
        <w:jc w:val="left"/>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31.3 资格要求、实质性要求须提供证明材料原件扫描件，而未提供的；</w:t>
      </w:r>
    </w:p>
    <w:p w14:paraId="116806C5">
      <w:pPr>
        <w:shd w:val="clear"/>
        <w:snapToGrid w:val="0"/>
        <w:spacing w:line="312" w:lineRule="auto"/>
        <w:ind w:firstLine="480"/>
        <w:jc w:val="left"/>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31.4 仅提供备份投标文件的；</w:t>
      </w:r>
    </w:p>
    <w:p w14:paraId="5ED86A7D">
      <w:pPr>
        <w:shd w:val="clear"/>
        <w:snapToGrid w:val="0"/>
        <w:spacing w:line="312" w:lineRule="auto"/>
        <w:ind w:firstLine="480"/>
        <w:jc w:val="left"/>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31.5 电子投标文件解密失败，且未在规定时间内递交备份投标文件的；</w:t>
      </w:r>
    </w:p>
    <w:p w14:paraId="2F7A1CB8">
      <w:pPr>
        <w:shd w:val="clear"/>
        <w:snapToGrid w:val="0"/>
        <w:spacing w:line="312" w:lineRule="auto"/>
        <w:ind w:firstLine="480"/>
        <w:jc w:val="left"/>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31.6 电子投标文件解密失败，虽然在规定时间内递交了备份投标文件，但是备份投标文件无法导入或者无法读取或者不符合本招标文件和政采云平台要求的；</w:t>
      </w:r>
    </w:p>
    <w:p w14:paraId="7AAC9A7A">
      <w:pPr>
        <w:shd w:val="clear"/>
        <w:snapToGrid w:val="0"/>
        <w:spacing w:line="312" w:lineRule="auto"/>
        <w:ind w:firstLine="480"/>
        <w:jc w:val="left"/>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31.7 投标文件应盖章而未盖章的、应签字而未签或漏签字的；</w:t>
      </w:r>
    </w:p>
    <w:p w14:paraId="4AAF4024">
      <w:pPr>
        <w:shd w:val="clear"/>
        <w:snapToGrid w:val="0"/>
        <w:spacing w:line="312" w:lineRule="auto"/>
        <w:ind w:firstLine="480"/>
        <w:jc w:val="left"/>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31.8 报价超过招标文件中规定的最高限价的；</w:t>
      </w:r>
    </w:p>
    <w:p w14:paraId="403C8ECD">
      <w:pPr>
        <w:shd w:val="clear"/>
        <w:snapToGrid w:val="0"/>
        <w:spacing w:line="312" w:lineRule="auto"/>
        <w:ind w:firstLine="480"/>
        <w:jc w:val="left"/>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31.9 不按照招标文件规定报价、没有分项报价、拒绝报价、有多个报价（招标文件规定的除外）、有选择性报价、附有条件的报价或者拒绝修正报价的；</w:t>
      </w:r>
    </w:p>
    <w:p w14:paraId="6E3F33A0">
      <w:pPr>
        <w:shd w:val="clear"/>
        <w:snapToGrid w:val="0"/>
        <w:spacing w:line="312" w:lineRule="auto"/>
        <w:ind w:firstLine="480"/>
        <w:jc w:val="left"/>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31.10 标注“▲”条款，未实质性响应或者不允许偏离的实质性要求和条件而发生偏任何一项缺失的；</w:t>
      </w:r>
    </w:p>
    <w:p w14:paraId="09AC6336">
      <w:pPr>
        <w:shd w:val="clear"/>
        <w:snapToGrid w:val="0"/>
        <w:spacing w:line="312" w:lineRule="auto"/>
        <w:ind w:firstLine="480"/>
        <w:jc w:val="left"/>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31.11 投标文件含有采购人不能接受的附加条件的；</w:t>
      </w:r>
    </w:p>
    <w:p w14:paraId="3566B941">
      <w:pPr>
        <w:shd w:val="clear"/>
        <w:snapToGrid w:val="0"/>
        <w:spacing w:line="312" w:lineRule="auto"/>
        <w:ind w:firstLine="480"/>
        <w:jc w:val="left"/>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31.12 法律法规和招标文件规定的其他无效情形。</w:t>
      </w:r>
    </w:p>
    <w:p w14:paraId="40DDB3A7">
      <w:pPr>
        <w:shd w:val="clear"/>
        <w:snapToGrid w:val="0"/>
        <w:spacing w:line="312" w:lineRule="auto"/>
        <w:ind w:firstLine="480"/>
        <w:rPr>
          <w:rFonts w:hint="eastAsia" w:ascii="宋体" w:hAnsi="宋体" w:cs="宋体"/>
          <w:snapToGrid w:val="0"/>
          <w:color w:val="auto"/>
          <w:highlight w:val="none"/>
        </w:rPr>
      </w:pPr>
      <w:r>
        <w:rPr>
          <w:rFonts w:hint="eastAsia" w:ascii="宋体" w:hAnsi="宋体" w:cs="宋体"/>
          <w:snapToGrid w:val="0"/>
          <w:color w:val="auto"/>
          <w:highlight w:val="none"/>
          <w:lang w:bidi="ar"/>
        </w:rPr>
        <w:t>31.13投标人的报价明显高于其市场价或低于成本价的，该投标人不能合理说明原因并提供证明材料的；</w:t>
      </w:r>
    </w:p>
    <w:p w14:paraId="1441DA9F">
      <w:pPr>
        <w:shd w:val="clear"/>
        <w:snapToGrid w:val="0"/>
        <w:spacing w:line="312" w:lineRule="auto"/>
        <w:ind w:firstLine="480"/>
        <w:rPr>
          <w:rFonts w:hint="eastAsia" w:ascii="宋体" w:hAnsi="宋体" w:cs="宋体"/>
          <w:snapToGrid w:val="0"/>
          <w:color w:val="auto"/>
          <w:highlight w:val="none"/>
        </w:rPr>
      </w:pPr>
      <w:r>
        <w:rPr>
          <w:rFonts w:hint="eastAsia" w:ascii="宋体" w:hAnsi="宋体" w:cs="宋体"/>
          <w:snapToGrid w:val="0"/>
          <w:color w:val="auto"/>
          <w:highlight w:val="none"/>
          <w:lang w:bidi="ar"/>
        </w:rPr>
        <w:t>31.14投标报价漏项超过投标报价5%以上的或漏项超过2项及以上的，均属无效投标；</w:t>
      </w:r>
    </w:p>
    <w:p w14:paraId="3D6CCE25">
      <w:pPr>
        <w:shd w:val="clear"/>
        <w:snapToGrid w:val="0"/>
        <w:spacing w:line="312" w:lineRule="auto"/>
        <w:ind w:firstLine="480"/>
        <w:rPr>
          <w:rFonts w:hint="eastAsia" w:ascii="宋体" w:hAnsi="宋体" w:cs="宋体"/>
          <w:snapToGrid w:val="0"/>
          <w:color w:val="auto"/>
          <w:highlight w:val="none"/>
        </w:rPr>
      </w:pPr>
      <w:r>
        <w:rPr>
          <w:rFonts w:hint="eastAsia" w:ascii="宋体" w:hAnsi="宋体" w:cs="宋体"/>
          <w:snapToGrid w:val="0"/>
          <w:color w:val="auto"/>
          <w:highlight w:val="none"/>
          <w:lang w:bidi="ar"/>
        </w:rPr>
        <w:t>31.15报价超出采购预算价（最高限价）的；</w:t>
      </w:r>
    </w:p>
    <w:p w14:paraId="122D26C1">
      <w:pPr>
        <w:shd w:val="clear"/>
        <w:snapToGrid w:val="0"/>
        <w:spacing w:line="312" w:lineRule="auto"/>
        <w:ind w:firstLine="480"/>
        <w:rPr>
          <w:rFonts w:hint="eastAsia" w:ascii="宋体" w:hAnsi="宋体" w:cs="宋体"/>
          <w:snapToGrid w:val="0"/>
          <w:color w:val="auto"/>
          <w:highlight w:val="none"/>
        </w:rPr>
      </w:pPr>
      <w:r>
        <w:rPr>
          <w:rFonts w:hint="eastAsia" w:ascii="宋体" w:hAnsi="宋体" w:cs="宋体"/>
          <w:snapToGrid w:val="0"/>
          <w:color w:val="auto"/>
          <w:highlight w:val="none"/>
          <w:lang w:bidi="ar"/>
        </w:rPr>
        <w:t>31.16提供虚假材料谋取中标的；</w:t>
      </w:r>
    </w:p>
    <w:p w14:paraId="69346E43">
      <w:pPr>
        <w:shd w:val="clear"/>
        <w:snapToGrid w:val="0"/>
        <w:spacing w:line="312" w:lineRule="auto"/>
        <w:ind w:firstLine="480"/>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31.17 MAC地址相同；</w:t>
      </w:r>
    </w:p>
    <w:p w14:paraId="1B76EA5E">
      <w:pPr>
        <w:shd w:val="clear"/>
        <w:snapToGrid w:val="0"/>
        <w:spacing w:line="312" w:lineRule="auto"/>
        <w:ind w:firstLine="480"/>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31.18计算机硬盘序列号相同；</w:t>
      </w:r>
    </w:p>
    <w:p w14:paraId="3C09CC73">
      <w:pPr>
        <w:shd w:val="clear"/>
        <w:snapToGrid w:val="0"/>
        <w:spacing w:line="312" w:lineRule="auto"/>
        <w:ind w:firstLine="480"/>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31.19投标文件细节错误一致且无合理解释的；</w:t>
      </w:r>
    </w:p>
    <w:p w14:paraId="5EF5295F">
      <w:pPr>
        <w:shd w:val="clear"/>
        <w:snapToGrid w:val="0"/>
        <w:spacing w:line="312" w:lineRule="auto"/>
        <w:ind w:firstLine="480"/>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31.20资信技术得分低于资信技术总分60%的；</w:t>
      </w:r>
    </w:p>
    <w:p w14:paraId="7E411A4B">
      <w:pPr>
        <w:shd w:val="clear"/>
        <w:snapToGrid w:val="0"/>
        <w:spacing w:line="312" w:lineRule="auto"/>
        <w:ind w:firstLine="480"/>
        <w:rPr>
          <w:rFonts w:hint="eastAsia" w:ascii="宋体" w:hAnsi="宋体" w:cs="宋体"/>
          <w:snapToGrid w:val="0"/>
          <w:color w:val="auto"/>
          <w:highlight w:val="none"/>
        </w:rPr>
      </w:pPr>
      <w:r>
        <w:rPr>
          <w:rFonts w:hint="eastAsia" w:ascii="宋体" w:hAnsi="宋体" w:cs="宋体"/>
          <w:snapToGrid w:val="0"/>
          <w:color w:val="auto"/>
          <w:highlight w:val="none"/>
          <w:lang w:bidi="ar"/>
        </w:rPr>
        <w:t>31.21不符合法律法规和招标文件规定的其他实质性要求的。</w:t>
      </w:r>
    </w:p>
    <w:p w14:paraId="229AA7F5">
      <w:pPr>
        <w:shd w:val="clear"/>
        <w:snapToGrid w:val="0"/>
        <w:spacing w:line="312" w:lineRule="auto"/>
        <w:ind w:firstLine="480"/>
        <w:jc w:val="left"/>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对投标无效的认定，必须经评标委员会集体作出决定并出具投标无效的事实依据。</w:t>
      </w:r>
    </w:p>
    <w:p w14:paraId="222A2D75">
      <w:pPr>
        <w:pStyle w:val="3"/>
        <w:numPr>
          <w:ilvl w:val="1"/>
          <w:numId w:val="0"/>
        </w:numPr>
        <w:shd w:val="clear"/>
        <w:snapToGrid w:val="0"/>
        <w:spacing w:beforeLines="0" w:afterLines="0"/>
        <w:rPr>
          <w:rFonts w:hint="eastAsia" w:ascii="宋体" w:hAnsi="宋体" w:cs="宋体"/>
          <w:color w:val="auto"/>
          <w:highlight w:val="none"/>
          <w:lang w:bidi="ar"/>
        </w:rPr>
      </w:pPr>
      <w:bookmarkStart w:id="288" w:name="_Toc19565"/>
      <w:r>
        <w:rPr>
          <w:rFonts w:hint="eastAsia" w:ascii="宋体" w:hAnsi="宋体" w:cs="宋体"/>
          <w:color w:val="auto"/>
          <w:highlight w:val="none"/>
          <w:lang w:bidi="ar"/>
        </w:rPr>
        <w:t>十一、其 他</w:t>
      </w:r>
      <w:bookmarkEnd w:id="288"/>
    </w:p>
    <w:p w14:paraId="471EB7F9">
      <w:pPr>
        <w:numPr>
          <w:ilvl w:val="0"/>
          <w:numId w:val="4"/>
        </w:numPr>
        <w:shd w:val="clear"/>
        <w:tabs>
          <w:tab w:val="left" w:pos="0"/>
        </w:tabs>
        <w:adjustRightInd w:val="0"/>
        <w:snapToGrid w:val="0"/>
        <w:spacing w:line="312" w:lineRule="auto"/>
        <w:ind w:left="0" w:firstLine="482"/>
        <w:rPr>
          <w:rFonts w:hint="eastAsia" w:ascii="宋体" w:hAnsi="宋体" w:cs="宋体"/>
          <w:b/>
          <w:bCs/>
          <w:color w:val="auto"/>
          <w:highlight w:val="none"/>
        </w:rPr>
      </w:pPr>
      <w:r>
        <w:rPr>
          <w:rFonts w:ascii="宋体" w:hAnsi="宋体" w:cs="宋体"/>
          <w:b/>
          <w:bCs/>
          <w:color w:val="auto"/>
          <w:highlight w:val="none"/>
        </w:rPr>
        <w:t>采购代理服务费</w:t>
      </w:r>
    </w:p>
    <w:p w14:paraId="00849677">
      <w:pPr>
        <w:shd w:val="clear"/>
        <w:adjustRightInd w:val="0"/>
        <w:snapToGrid w:val="0"/>
        <w:spacing w:line="312" w:lineRule="auto"/>
        <w:ind w:firstLine="480"/>
        <w:rPr>
          <w:rFonts w:hint="eastAsia" w:ascii="宋体" w:hAnsi="宋体" w:cs="宋体"/>
          <w:snapToGrid w:val="0"/>
          <w:color w:val="auto"/>
          <w:highlight w:val="none"/>
        </w:rPr>
      </w:pPr>
      <w:r>
        <w:rPr>
          <w:rFonts w:hint="eastAsia" w:ascii="宋体" w:hAnsi="宋体" w:cs="宋体"/>
          <w:snapToGrid w:val="0"/>
          <w:color w:val="auto"/>
          <w:highlight w:val="none"/>
        </w:rPr>
        <w:t>32.1</w:t>
      </w:r>
      <w:bookmarkStart w:id="289" w:name="OLE_LINK88"/>
      <w:r>
        <w:rPr>
          <w:rFonts w:hint="eastAsia" w:ascii="宋体" w:hAnsi="宋体" w:cs="宋体"/>
          <w:snapToGrid w:val="0"/>
          <w:color w:val="auto"/>
          <w:highlight w:val="none"/>
        </w:rPr>
        <w:t>本项目采购代理服务费参照浙价服〔2003〕77号文规定的收费标准额计取，按各标的中标金额为基数分段计费，由中标人支付，在领取中标通知书时交于采购代理机构。</w:t>
      </w:r>
    </w:p>
    <w:bookmarkEnd w:id="289"/>
    <w:tbl>
      <w:tblPr>
        <w:tblStyle w:val="43"/>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7"/>
        <w:gridCol w:w="2421"/>
        <w:gridCol w:w="1933"/>
        <w:gridCol w:w="2259"/>
      </w:tblGrid>
      <w:tr w14:paraId="2CBF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7" w:type="dxa"/>
          </w:tcPr>
          <w:p w14:paraId="798CFFE2">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中标金额（万元）</w:t>
            </w:r>
          </w:p>
        </w:tc>
        <w:tc>
          <w:tcPr>
            <w:tcW w:w="2421" w:type="dxa"/>
            <w:vAlign w:val="center"/>
          </w:tcPr>
          <w:p w14:paraId="31418B32">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货物招标</w:t>
            </w:r>
          </w:p>
        </w:tc>
        <w:tc>
          <w:tcPr>
            <w:tcW w:w="1933" w:type="dxa"/>
            <w:vAlign w:val="center"/>
          </w:tcPr>
          <w:p w14:paraId="3A85D98D">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服务招标</w:t>
            </w:r>
          </w:p>
        </w:tc>
        <w:tc>
          <w:tcPr>
            <w:tcW w:w="2259" w:type="dxa"/>
            <w:vAlign w:val="center"/>
          </w:tcPr>
          <w:p w14:paraId="3BF7CEA3">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工程招标</w:t>
            </w:r>
          </w:p>
        </w:tc>
      </w:tr>
      <w:tr w14:paraId="15D91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Align w:val="center"/>
          </w:tcPr>
          <w:p w14:paraId="3CB8DD84">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100以下</w:t>
            </w:r>
          </w:p>
        </w:tc>
        <w:tc>
          <w:tcPr>
            <w:tcW w:w="2421" w:type="dxa"/>
            <w:vAlign w:val="center"/>
          </w:tcPr>
          <w:p w14:paraId="1B16D810">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1.5%</w:t>
            </w:r>
          </w:p>
        </w:tc>
        <w:tc>
          <w:tcPr>
            <w:tcW w:w="1933" w:type="dxa"/>
            <w:vAlign w:val="center"/>
          </w:tcPr>
          <w:p w14:paraId="566B9FC0">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1.5%</w:t>
            </w:r>
          </w:p>
        </w:tc>
        <w:tc>
          <w:tcPr>
            <w:tcW w:w="2259" w:type="dxa"/>
            <w:vAlign w:val="center"/>
          </w:tcPr>
          <w:p w14:paraId="79DC5C97">
            <w:pPr>
              <w:shd w:val="clear"/>
              <w:snapToGrid w:val="0"/>
              <w:spacing w:line="312" w:lineRule="auto"/>
              <w:ind w:firstLine="48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1.0%</w:t>
            </w:r>
          </w:p>
        </w:tc>
      </w:tr>
      <w:tr w14:paraId="45AB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Align w:val="center"/>
          </w:tcPr>
          <w:p w14:paraId="444F5954">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100-500</w:t>
            </w:r>
          </w:p>
        </w:tc>
        <w:tc>
          <w:tcPr>
            <w:tcW w:w="2421" w:type="dxa"/>
            <w:vAlign w:val="center"/>
          </w:tcPr>
          <w:p w14:paraId="3322D012">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1.1%</w:t>
            </w:r>
          </w:p>
        </w:tc>
        <w:tc>
          <w:tcPr>
            <w:tcW w:w="1933" w:type="dxa"/>
            <w:vAlign w:val="center"/>
          </w:tcPr>
          <w:p w14:paraId="5995133C">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0.8%</w:t>
            </w:r>
          </w:p>
        </w:tc>
        <w:tc>
          <w:tcPr>
            <w:tcW w:w="2259" w:type="dxa"/>
            <w:vAlign w:val="center"/>
          </w:tcPr>
          <w:p w14:paraId="470FD6B0">
            <w:pPr>
              <w:shd w:val="clear"/>
              <w:snapToGrid w:val="0"/>
              <w:spacing w:line="312" w:lineRule="auto"/>
              <w:ind w:firstLine="48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0.7%</w:t>
            </w:r>
          </w:p>
        </w:tc>
      </w:tr>
      <w:tr w14:paraId="193E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Align w:val="center"/>
          </w:tcPr>
          <w:p w14:paraId="71D758C1">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500-1000</w:t>
            </w:r>
          </w:p>
        </w:tc>
        <w:tc>
          <w:tcPr>
            <w:tcW w:w="2421" w:type="dxa"/>
            <w:vAlign w:val="center"/>
          </w:tcPr>
          <w:p w14:paraId="6D74DDDF">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0.8%</w:t>
            </w:r>
          </w:p>
        </w:tc>
        <w:tc>
          <w:tcPr>
            <w:tcW w:w="1933" w:type="dxa"/>
            <w:vAlign w:val="center"/>
          </w:tcPr>
          <w:p w14:paraId="3770944C">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0.45%</w:t>
            </w:r>
          </w:p>
        </w:tc>
        <w:tc>
          <w:tcPr>
            <w:tcW w:w="2259" w:type="dxa"/>
            <w:vAlign w:val="center"/>
          </w:tcPr>
          <w:p w14:paraId="74F5EAD1">
            <w:pPr>
              <w:shd w:val="clear"/>
              <w:snapToGrid w:val="0"/>
              <w:spacing w:line="312" w:lineRule="auto"/>
              <w:ind w:firstLine="48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0.55%</w:t>
            </w:r>
          </w:p>
        </w:tc>
      </w:tr>
      <w:tr w14:paraId="2B4B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Align w:val="center"/>
          </w:tcPr>
          <w:p w14:paraId="06C9AC31">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1000-5000</w:t>
            </w:r>
          </w:p>
        </w:tc>
        <w:tc>
          <w:tcPr>
            <w:tcW w:w="2421" w:type="dxa"/>
            <w:vAlign w:val="center"/>
          </w:tcPr>
          <w:p w14:paraId="01DF7D9D">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0.5%</w:t>
            </w:r>
          </w:p>
        </w:tc>
        <w:tc>
          <w:tcPr>
            <w:tcW w:w="1933" w:type="dxa"/>
            <w:vAlign w:val="center"/>
          </w:tcPr>
          <w:p w14:paraId="75E2B125">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0.25%</w:t>
            </w:r>
          </w:p>
        </w:tc>
        <w:tc>
          <w:tcPr>
            <w:tcW w:w="2259" w:type="dxa"/>
            <w:vAlign w:val="center"/>
          </w:tcPr>
          <w:p w14:paraId="14B2D2BB">
            <w:pPr>
              <w:shd w:val="clear"/>
              <w:snapToGrid w:val="0"/>
              <w:spacing w:line="312" w:lineRule="auto"/>
              <w:ind w:firstLine="48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0.35%</w:t>
            </w:r>
          </w:p>
        </w:tc>
      </w:tr>
      <w:tr w14:paraId="18F3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Align w:val="center"/>
          </w:tcPr>
          <w:p w14:paraId="7808223A">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5000-10000</w:t>
            </w:r>
          </w:p>
        </w:tc>
        <w:tc>
          <w:tcPr>
            <w:tcW w:w="2421" w:type="dxa"/>
            <w:vAlign w:val="center"/>
          </w:tcPr>
          <w:p w14:paraId="6B160520">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0.25%</w:t>
            </w:r>
          </w:p>
        </w:tc>
        <w:tc>
          <w:tcPr>
            <w:tcW w:w="1933" w:type="dxa"/>
            <w:vAlign w:val="center"/>
          </w:tcPr>
          <w:p w14:paraId="46CF98C8">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0.1%</w:t>
            </w:r>
          </w:p>
        </w:tc>
        <w:tc>
          <w:tcPr>
            <w:tcW w:w="2259" w:type="dxa"/>
            <w:vAlign w:val="center"/>
          </w:tcPr>
          <w:p w14:paraId="252509BF">
            <w:pPr>
              <w:shd w:val="clear"/>
              <w:snapToGrid w:val="0"/>
              <w:spacing w:line="312" w:lineRule="auto"/>
              <w:ind w:firstLine="48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0.2%</w:t>
            </w:r>
          </w:p>
        </w:tc>
      </w:tr>
      <w:tr w14:paraId="3E26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Align w:val="center"/>
          </w:tcPr>
          <w:p w14:paraId="59AA6AAE">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10000-100000</w:t>
            </w:r>
          </w:p>
        </w:tc>
        <w:tc>
          <w:tcPr>
            <w:tcW w:w="2421" w:type="dxa"/>
            <w:vAlign w:val="center"/>
          </w:tcPr>
          <w:p w14:paraId="79CB860D">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0.05%</w:t>
            </w:r>
          </w:p>
        </w:tc>
        <w:tc>
          <w:tcPr>
            <w:tcW w:w="1933" w:type="dxa"/>
            <w:vAlign w:val="center"/>
          </w:tcPr>
          <w:p w14:paraId="0FE28FB2">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0.05%</w:t>
            </w:r>
          </w:p>
        </w:tc>
        <w:tc>
          <w:tcPr>
            <w:tcW w:w="2259" w:type="dxa"/>
            <w:vAlign w:val="center"/>
          </w:tcPr>
          <w:p w14:paraId="01AF5398">
            <w:pPr>
              <w:shd w:val="clear"/>
              <w:snapToGrid w:val="0"/>
              <w:spacing w:line="312" w:lineRule="auto"/>
              <w:ind w:firstLine="48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0.05%</w:t>
            </w:r>
          </w:p>
        </w:tc>
      </w:tr>
      <w:tr w14:paraId="0234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Align w:val="center"/>
          </w:tcPr>
          <w:p w14:paraId="6A60E37C">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1000000以上</w:t>
            </w:r>
          </w:p>
        </w:tc>
        <w:tc>
          <w:tcPr>
            <w:tcW w:w="2421" w:type="dxa"/>
            <w:vAlign w:val="center"/>
          </w:tcPr>
          <w:p w14:paraId="2203F386">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0.01%</w:t>
            </w:r>
          </w:p>
        </w:tc>
        <w:tc>
          <w:tcPr>
            <w:tcW w:w="1933" w:type="dxa"/>
            <w:vAlign w:val="center"/>
          </w:tcPr>
          <w:p w14:paraId="0CA22F9A">
            <w:pPr>
              <w:shd w:val="clear"/>
              <w:snapToGrid w:val="0"/>
              <w:spacing w:line="312" w:lineRule="auto"/>
              <w:ind w:firstLine="0" w:firstLineChars="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0.01%</w:t>
            </w:r>
          </w:p>
        </w:tc>
        <w:tc>
          <w:tcPr>
            <w:tcW w:w="2259" w:type="dxa"/>
            <w:vAlign w:val="center"/>
          </w:tcPr>
          <w:p w14:paraId="4508EB34">
            <w:pPr>
              <w:shd w:val="clear"/>
              <w:snapToGrid w:val="0"/>
              <w:spacing w:line="312" w:lineRule="auto"/>
              <w:ind w:firstLine="480"/>
              <w:jc w:val="center"/>
              <w:rPr>
                <w:rFonts w:hint="eastAsia" w:ascii="宋体" w:hAnsi="宋体" w:cs="宋体"/>
                <w:snapToGrid w:val="0"/>
                <w:color w:val="auto"/>
                <w:highlight w:val="none"/>
                <w:lang w:bidi="ar"/>
              </w:rPr>
            </w:pPr>
            <w:r>
              <w:rPr>
                <w:rFonts w:hint="eastAsia" w:ascii="宋体" w:hAnsi="宋体" w:cs="宋体"/>
                <w:snapToGrid w:val="0"/>
                <w:color w:val="auto"/>
                <w:highlight w:val="none"/>
                <w:lang w:bidi="ar"/>
              </w:rPr>
              <w:t>0.01%</w:t>
            </w:r>
          </w:p>
        </w:tc>
      </w:tr>
    </w:tbl>
    <w:p w14:paraId="233A6F2E">
      <w:pPr>
        <w:shd w:val="clear"/>
        <w:adjustRightInd w:val="0"/>
        <w:snapToGrid w:val="0"/>
        <w:spacing w:line="312" w:lineRule="auto"/>
        <w:ind w:firstLine="480"/>
        <w:rPr>
          <w:rFonts w:hint="eastAsia" w:ascii="宋体" w:hAnsi="宋体" w:cs="宋体"/>
          <w:snapToGrid w:val="0"/>
          <w:color w:val="auto"/>
          <w:highlight w:val="none"/>
        </w:rPr>
      </w:pPr>
      <w:r>
        <w:rPr>
          <w:rFonts w:hint="eastAsia" w:ascii="宋体" w:hAnsi="宋体" w:cs="宋体"/>
          <w:snapToGrid w:val="0"/>
          <w:color w:val="auto"/>
          <w:highlight w:val="none"/>
        </w:rPr>
        <w:t>32.2评审费按实结算，由采购人支付；</w:t>
      </w:r>
    </w:p>
    <w:p w14:paraId="7CAC9E86">
      <w:pPr>
        <w:numPr>
          <w:ilvl w:val="0"/>
          <w:numId w:val="4"/>
        </w:numPr>
        <w:shd w:val="clear"/>
        <w:adjustRightInd w:val="0"/>
        <w:snapToGrid w:val="0"/>
        <w:spacing w:line="312" w:lineRule="auto"/>
        <w:ind w:left="0" w:firstLine="482"/>
        <w:rPr>
          <w:rFonts w:hint="eastAsia" w:ascii="宋体" w:hAnsi="宋体" w:cs="宋体"/>
          <w:color w:val="auto"/>
          <w:highlight w:val="none"/>
        </w:rPr>
      </w:pPr>
      <w:r>
        <w:rPr>
          <w:rFonts w:ascii="宋体" w:hAnsi="宋体" w:cs="宋体"/>
          <w:b/>
          <w:bCs/>
          <w:color w:val="auto"/>
          <w:highlight w:val="none"/>
        </w:rPr>
        <w:t>解释权：</w:t>
      </w:r>
      <w:r>
        <w:rPr>
          <w:rFonts w:ascii="宋体" w:hAnsi="宋体" w:cs="宋体"/>
          <w:color w:val="auto"/>
          <w:highlight w:val="none"/>
        </w:rPr>
        <w:t>本招标文件是依据《</w:t>
      </w:r>
      <w:r>
        <w:rPr>
          <w:rFonts w:hint="eastAsia" w:ascii="宋体" w:hAnsi="宋体" w:cs="宋体"/>
          <w:color w:val="auto"/>
          <w:highlight w:val="none"/>
        </w:rPr>
        <w:t>中华人民共和国政府采购法</w:t>
      </w:r>
      <w:r>
        <w:rPr>
          <w:rFonts w:ascii="宋体" w:hAnsi="宋体" w:cs="宋体"/>
          <w:color w:val="auto"/>
          <w:highlight w:val="none"/>
        </w:rPr>
        <w:t>》及有关规定编制的，解释权属采购人。</w:t>
      </w:r>
    </w:p>
    <w:p w14:paraId="054A7E55">
      <w:pPr>
        <w:numPr>
          <w:ilvl w:val="0"/>
          <w:numId w:val="4"/>
        </w:numPr>
        <w:shd w:val="clear"/>
        <w:adjustRightInd w:val="0"/>
        <w:snapToGrid w:val="0"/>
        <w:spacing w:line="312" w:lineRule="auto"/>
        <w:ind w:left="0" w:firstLine="482"/>
        <w:rPr>
          <w:rFonts w:hint="eastAsia" w:ascii="宋体" w:hAnsi="宋体" w:cs="宋体"/>
          <w:color w:val="auto"/>
          <w:highlight w:val="none"/>
        </w:rPr>
      </w:pPr>
      <w:r>
        <w:rPr>
          <w:rFonts w:ascii="宋体" w:hAnsi="宋体" w:cs="宋体"/>
          <w:b/>
          <w:bCs/>
          <w:color w:val="auto"/>
          <w:highlight w:val="none"/>
        </w:rPr>
        <w:t>联系方式</w:t>
      </w:r>
      <w:r>
        <w:rPr>
          <w:rFonts w:hint="eastAsia" w:ascii="宋体" w:hAnsi="宋体" w:cs="宋体"/>
          <w:color w:val="auto"/>
          <w:highlight w:val="none"/>
        </w:rPr>
        <w:t>：所有与招标有关的函电请按下面联系，其他任何方式或信息来源均无效。</w:t>
      </w:r>
    </w:p>
    <w:p w14:paraId="15DD3BE7">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通讯地址：龙游县龙洲街道广和商务楼3楼306室。</w:t>
      </w:r>
    </w:p>
    <w:p w14:paraId="634FC929">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项目联系人：祝女士</w:t>
      </w:r>
    </w:p>
    <w:p w14:paraId="06E5053C">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答疑咨询电话：18367068335</w:t>
      </w:r>
    </w:p>
    <w:p w14:paraId="1B069263">
      <w:pPr>
        <w:pStyle w:val="22"/>
        <w:shd w:val="clear"/>
        <w:adjustRightInd w:val="0"/>
        <w:snapToGrid w:val="0"/>
        <w:spacing w:line="312" w:lineRule="auto"/>
        <w:ind w:firstLine="480"/>
        <w:rPr>
          <w:rFonts w:hint="eastAsia" w:cs="宋体"/>
          <w:color w:val="auto"/>
          <w:szCs w:val="24"/>
          <w:highlight w:val="none"/>
        </w:rPr>
      </w:pPr>
      <w:r>
        <w:rPr>
          <w:rFonts w:hint="eastAsia" w:cs="宋体"/>
          <w:color w:val="auto"/>
          <w:szCs w:val="24"/>
          <w:highlight w:val="none"/>
        </w:rPr>
        <w:t>公告网址：</w:t>
      </w:r>
      <w:r>
        <w:rPr>
          <w:rFonts w:hint="eastAsia" w:cs="宋体"/>
          <w:color w:val="auto"/>
          <w:szCs w:val="24"/>
          <w:highlight w:val="none"/>
          <w:lang w:val="zh-CN"/>
        </w:rPr>
        <w:t>浙江省政府采购网</w:t>
      </w:r>
      <w:r>
        <w:rPr>
          <w:rFonts w:hint="eastAsia" w:cs="宋体"/>
          <w:color w:val="auto"/>
          <w:szCs w:val="24"/>
          <w:highlight w:val="none"/>
        </w:rPr>
        <w:t>（</w:t>
      </w:r>
      <w:r>
        <w:rPr>
          <w:color w:val="auto"/>
          <w:highlight w:val="none"/>
        </w:rPr>
        <w:fldChar w:fldCharType="begin"/>
      </w:r>
      <w:r>
        <w:rPr>
          <w:color w:val="auto"/>
          <w:highlight w:val="none"/>
        </w:rPr>
        <w:instrText xml:space="preserve"> HYPERLINK "http://zfcg.czt.zj.gov.cn/" </w:instrText>
      </w:r>
      <w:r>
        <w:rPr>
          <w:color w:val="auto"/>
          <w:highlight w:val="none"/>
        </w:rPr>
        <w:fldChar w:fldCharType="separate"/>
      </w:r>
      <w:r>
        <w:rPr>
          <w:rFonts w:hint="eastAsia" w:cs="宋体"/>
          <w:color w:val="auto"/>
          <w:szCs w:val="24"/>
          <w:highlight w:val="none"/>
        </w:rPr>
        <w:t>http://zfcg.czt.zj.gov.cn/</w:t>
      </w:r>
      <w:r>
        <w:rPr>
          <w:rFonts w:hint="eastAsia" w:cs="宋体"/>
          <w:color w:val="auto"/>
          <w:szCs w:val="24"/>
          <w:highlight w:val="none"/>
        </w:rPr>
        <w:fldChar w:fldCharType="end"/>
      </w:r>
      <w:r>
        <w:rPr>
          <w:rFonts w:hint="eastAsia" w:cs="宋体"/>
          <w:color w:val="auto"/>
          <w:szCs w:val="24"/>
          <w:highlight w:val="none"/>
        </w:rPr>
        <w:t>）。</w:t>
      </w:r>
    </w:p>
    <w:p w14:paraId="14B8B9A9">
      <w:pPr>
        <w:pStyle w:val="23"/>
        <w:shd w:val="clear"/>
        <w:rPr>
          <w:rFonts w:hint="eastAsia" w:cs="宋体"/>
          <w:color w:val="auto"/>
          <w:szCs w:val="24"/>
          <w:highlight w:val="none"/>
        </w:rPr>
      </w:pPr>
    </w:p>
    <w:p w14:paraId="4A3F1133">
      <w:pPr>
        <w:shd w:val="clear"/>
        <w:rPr>
          <w:rFonts w:hint="eastAsia" w:cs="宋体"/>
          <w:color w:val="auto"/>
          <w:szCs w:val="24"/>
          <w:highlight w:val="none"/>
        </w:rPr>
      </w:pPr>
    </w:p>
    <w:p w14:paraId="286A8FC1">
      <w:pPr>
        <w:shd w:val="clear"/>
        <w:rPr>
          <w:rFonts w:hint="eastAsia" w:cs="宋体"/>
          <w:color w:val="auto"/>
          <w:szCs w:val="24"/>
          <w:highlight w:val="none"/>
        </w:rPr>
      </w:pPr>
    </w:p>
    <w:p w14:paraId="41AD5EA5">
      <w:pPr>
        <w:shd w:val="clear"/>
        <w:rPr>
          <w:rFonts w:hint="eastAsia" w:cs="宋体"/>
          <w:color w:val="auto"/>
          <w:szCs w:val="24"/>
          <w:highlight w:val="none"/>
        </w:rPr>
      </w:pPr>
    </w:p>
    <w:p w14:paraId="4A97EEC8">
      <w:pPr>
        <w:shd w:val="clear"/>
        <w:rPr>
          <w:rFonts w:hint="eastAsia" w:cs="宋体"/>
          <w:color w:val="auto"/>
          <w:szCs w:val="24"/>
          <w:highlight w:val="none"/>
        </w:rPr>
      </w:pPr>
    </w:p>
    <w:p w14:paraId="25633755">
      <w:pPr>
        <w:shd w:val="clear"/>
        <w:rPr>
          <w:rFonts w:hint="eastAsia" w:cs="宋体"/>
          <w:color w:val="auto"/>
          <w:szCs w:val="24"/>
          <w:highlight w:val="none"/>
        </w:rPr>
      </w:pPr>
    </w:p>
    <w:p w14:paraId="4BE9B764">
      <w:pPr>
        <w:shd w:val="clear"/>
        <w:rPr>
          <w:rFonts w:hint="eastAsia" w:cs="宋体"/>
          <w:color w:val="auto"/>
          <w:szCs w:val="24"/>
          <w:highlight w:val="none"/>
        </w:rPr>
      </w:pPr>
    </w:p>
    <w:p w14:paraId="1334F6AD">
      <w:pPr>
        <w:shd w:val="clear"/>
        <w:rPr>
          <w:rFonts w:hint="eastAsia" w:cs="宋体"/>
          <w:color w:val="auto"/>
          <w:szCs w:val="24"/>
          <w:highlight w:val="none"/>
        </w:rPr>
      </w:pPr>
    </w:p>
    <w:p w14:paraId="33331B38">
      <w:pPr>
        <w:shd w:val="clear"/>
        <w:rPr>
          <w:rFonts w:hint="eastAsia" w:cs="宋体"/>
          <w:color w:val="auto"/>
          <w:szCs w:val="24"/>
          <w:highlight w:val="none"/>
        </w:rPr>
      </w:pPr>
    </w:p>
    <w:p w14:paraId="1B8E1820">
      <w:pPr>
        <w:shd w:val="clear"/>
        <w:rPr>
          <w:rFonts w:hint="eastAsia" w:cs="宋体"/>
          <w:color w:val="auto"/>
          <w:szCs w:val="24"/>
          <w:highlight w:val="none"/>
        </w:rPr>
      </w:pPr>
    </w:p>
    <w:p w14:paraId="2C3BFFF1">
      <w:pPr>
        <w:shd w:val="clear"/>
        <w:rPr>
          <w:rFonts w:hint="eastAsia" w:cs="宋体"/>
          <w:color w:val="auto"/>
          <w:szCs w:val="24"/>
          <w:highlight w:val="none"/>
        </w:rPr>
      </w:pPr>
    </w:p>
    <w:p w14:paraId="1AB7834B">
      <w:pPr>
        <w:shd w:val="clear"/>
        <w:rPr>
          <w:rFonts w:hint="eastAsia" w:cs="宋体"/>
          <w:color w:val="auto"/>
          <w:szCs w:val="24"/>
          <w:highlight w:val="none"/>
        </w:rPr>
      </w:pPr>
    </w:p>
    <w:p w14:paraId="4F17F0FC">
      <w:pPr>
        <w:shd w:val="clear"/>
        <w:rPr>
          <w:rFonts w:hint="eastAsia" w:cs="宋体"/>
          <w:color w:val="auto"/>
          <w:szCs w:val="24"/>
          <w:highlight w:val="none"/>
        </w:rPr>
      </w:pPr>
    </w:p>
    <w:p w14:paraId="02E69A0C">
      <w:pPr>
        <w:shd w:val="clear"/>
        <w:rPr>
          <w:rFonts w:hint="eastAsia" w:cs="宋体"/>
          <w:color w:val="auto"/>
          <w:szCs w:val="24"/>
          <w:highlight w:val="none"/>
        </w:rPr>
      </w:pPr>
    </w:p>
    <w:p w14:paraId="73DD7388">
      <w:pPr>
        <w:shd w:val="clear"/>
        <w:rPr>
          <w:rFonts w:hint="eastAsia" w:cs="宋体"/>
          <w:color w:val="auto"/>
          <w:szCs w:val="24"/>
          <w:highlight w:val="none"/>
        </w:rPr>
      </w:pPr>
    </w:p>
    <w:p w14:paraId="510A5DFA">
      <w:pPr>
        <w:shd w:val="clear"/>
        <w:rPr>
          <w:rFonts w:hint="eastAsia" w:cs="宋体"/>
          <w:color w:val="auto"/>
          <w:szCs w:val="24"/>
          <w:highlight w:val="none"/>
        </w:rPr>
      </w:pPr>
    </w:p>
    <w:p w14:paraId="108E1120">
      <w:pPr>
        <w:shd w:val="clear"/>
        <w:rPr>
          <w:rFonts w:hint="eastAsia" w:cs="宋体"/>
          <w:color w:val="auto"/>
          <w:szCs w:val="24"/>
          <w:highlight w:val="none"/>
        </w:rPr>
      </w:pPr>
    </w:p>
    <w:p w14:paraId="2159625F">
      <w:pPr>
        <w:shd w:val="clear"/>
        <w:rPr>
          <w:rFonts w:hint="eastAsia" w:cs="宋体"/>
          <w:color w:val="auto"/>
          <w:szCs w:val="24"/>
          <w:highlight w:val="none"/>
        </w:rPr>
      </w:pPr>
    </w:p>
    <w:p w14:paraId="10C6C533">
      <w:pPr>
        <w:shd w:val="clear"/>
        <w:rPr>
          <w:rFonts w:hint="eastAsia" w:cs="宋体"/>
          <w:color w:val="auto"/>
          <w:szCs w:val="24"/>
          <w:highlight w:val="none"/>
        </w:rPr>
      </w:pPr>
    </w:p>
    <w:p w14:paraId="49E45461">
      <w:pPr>
        <w:shd w:val="clear"/>
        <w:rPr>
          <w:rFonts w:hint="eastAsia" w:cs="宋体"/>
          <w:color w:val="auto"/>
          <w:szCs w:val="24"/>
          <w:highlight w:val="none"/>
        </w:rPr>
      </w:pPr>
    </w:p>
    <w:p w14:paraId="1CB8C929">
      <w:pPr>
        <w:shd w:val="clear"/>
        <w:rPr>
          <w:rFonts w:hint="eastAsia" w:cs="宋体"/>
          <w:color w:val="auto"/>
          <w:szCs w:val="24"/>
          <w:highlight w:val="none"/>
        </w:rPr>
      </w:pPr>
    </w:p>
    <w:p w14:paraId="61099622">
      <w:pPr>
        <w:shd w:val="clear"/>
        <w:rPr>
          <w:rFonts w:hint="eastAsia" w:cs="宋体"/>
          <w:color w:val="auto"/>
          <w:szCs w:val="24"/>
          <w:highlight w:val="none"/>
        </w:rPr>
      </w:pPr>
    </w:p>
    <w:p w14:paraId="65DBD7AE">
      <w:pPr>
        <w:shd w:val="clear"/>
        <w:rPr>
          <w:rFonts w:hint="eastAsia" w:cs="宋体"/>
          <w:color w:val="auto"/>
          <w:szCs w:val="24"/>
          <w:highlight w:val="none"/>
        </w:rPr>
      </w:pPr>
    </w:p>
    <w:p w14:paraId="003D428E">
      <w:pPr>
        <w:shd w:val="clear"/>
        <w:rPr>
          <w:rFonts w:hint="eastAsia" w:cs="宋体"/>
          <w:color w:val="auto"/>
          <w:szCs w:val="24"/>
          <w:highlight w:val="none"/>
        </w:rPr>
      </w:pPr>
    </w:p>
    <w:p w14:paraId="3665EB55">
      <w:pPr>
        <w:pStyle w:val="56"/>
        <w:shd w:val="clear"/>
        <w:rPr>
          <w:rFonts w:hint="eastAsia" w:cs="宋体"/>
          <w:color w:val="auto"/>
          <w:szCs w:val="24"/>
          <w:highlight w:val="none"/>
          <w:lang w:val="en-US"/>
        </w:rPr>
      </w:pPr>
    </w:p>
    <w:p w14:paraId="5C798C44">
      <w:pPr>
        <w:pStyle w:val="2"/>
        <w:numPr>
          <w:ilvl w:val="0"/>
          <w:numId w:val="7"/>
        </w:numPr>
        <w:shd w:val="clear"/>
        <w:spacing w:beforeLines="0" w:afterLines="0" w:line="480" w:lineRule="exact"/>
        <w:rPr>
          <w:rFonts w:cs="宋体"/>
          <w:color w:val="auto"/>
          <w:highlight w:val="none"/>
        </w:rPr>
      </w:pPr>
      <w:bookmarkStart w:id="290" w:name="_Toc12236"/>
      <w:bookmarkStart w:id="291" w:name="OLE_LINK13"/>
      <w:r>
        <w:rPr>
          <w:rFonts w:hint="eastAsia" w:cs="宋体"/>
          <w:color w:val="auto"/>
          <w:highlight w:val="none"/>
        </w:rPr>
        <w:t>采购内容及需求</w:t>
      </w:r>
      <w:bookmarkEnd w:id="290"/>
    </w:p>
    <w:p w14:paraId="593E4840">
      <w:pPr>
        <w:keepNext w:val="0"/>
        <w:keepLines w:val="0"/>
        <w:pageBreakBefore w:val="0"/>
        <w:widowControl w:val="0"/>
        <w:shd w:val="clear"/>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color w:val="auto"/>
          <w:kern w:val="0"/>
          <w:sz w:val="24"/>
          <w:szCs w:val="24"/>
          <w:highlight w:val="none"/>
        </w:rPr>
      </w:pPr>
      <w:bookmarkStart w:id="292" w:name="_Toc26346"/>
    </w:p>
    <w:p w14:paraId="12415C7B">
      <w:pPr>
        <w:keepNext w:val="0"/>
        <w:keepLines w:val="0"/>
        <w:pageBreakBefore w:val="0"/>
        <w:widowControl w:val="0"/>
        <w:shd w:val="clear"/>
        <w:kinsoku/>
        <w:wordWrap/>
        <w:overflowPunct/>
        <w:topLinePunct w:val="0"/>
        <w:autoSpaceDE/>
        <w:autoSpaceDN/>
        <w:bidi w:val="0"/>
        <w:adjustRightInd/>
        <w:snapToGrid/>
        <w:spacing w:line="440" w:lineRule="exact"/>
        <w:ind w:firstLine="482" w:firstLineChars="200"/>
        <w:jc w:val="both"/>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一、</w:t>
      </w:r>
      <w:r>
        <w:rPr>
          <w:rFonts w:hint="eastAsia" w:ascii="宋体" w:hAnsi="宋体" w:eastAsia="宋体" w:cs="宋体"/>
          <w:b/>
          <w:bCs/>
          <w:color w:val="auto"/>
          <w:kern w:val="0"/>
          <w:sz w:val="24"/>
          <w:szCs w:val="24"/>
          <w:highlight w:val="none"/>
          <w:lang w:val="en-US" w:eastAsia="zh-CN"/>
        </w:rPr>
        <w:t>项目背景</w:t>
      </w:r>
    </w:p>
    <w:p w14:paraId="7C5B8B3F">
      <w:pPr>
        <w:shd w:val="clear"/>
        <w:ind w:firstLine="480"/>
        <w:rPr>
          <w:rFonts w:hint="eastAsia" w:ascii="宋体" w:hAnsi="宋体" w:eastAsia="宋体" w:cs="宋体"/>
          <w:color w:val="auto"/>
          <w:kern w:val="0"/>
          <w:sz w:val="24"/>
          <w:szCs w:val="24"/>
          <w:highlight w:val="none"/>
          <w:lang w:val="en-US" w:eastAsia="zh-CN"/>
        </w:rPr>
      </w:pPr>
      <w:r>
        <w:rPr>
          <w:rFonts w:cs="Times New Roman"/>
          <w:color w:val="auto"/>
          <w:highlight w:val="none"/>
        </w:rPr>
        <w:t>捷马化工股份有限公司宝</w:t>
      </w:r>
      <w:r>
        <w:rPr>
          <w:rFonts w:hint="eastAsia" w:ascii="宋体" w:hAnsi="宋体" w:eastAsia="宋体" w:cs="宋体"/>
          <w:color w:val="auto"/>
          <w:highlight w:val="none"/>
        </w:rPr>
        <w:t>塔路地块位于衢州市龙游县东华街道宝塔路50号</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地块用面积140629㎡（210.94亩），地块位于山坡顶部，西侧距离灵山港750m，北侧距离衢江3km。捷马化工股份有限公司宝塔路地块地理位置见图1-1。对捷马化工股份有限公司宝塔路地块内及地块周边土壤及地下水污染开展管控工程，切断污染源暴露途径、减轻降水淋溶导致的污染扩散影响，覆盖整个管控区平面范围，与垂直阻隔交接形成封闭空间。平均深度10m，嵌入不透水层内部2m。</w:t>
      </w:r>
    </w:p>
    <w:p w14:paraId="29526099">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kern w:val="0"/>
          <w:sz w:val="24"/>
          <w:szCs w:val="24"/>
          <w:highlight w:val="none"/>
          <w:lang w:val="en-US" w:eastAsia="zh-CN"/>
        </w:rPr>
      </w:pPr>
      <w:r>
        <w:rPr>
          <w:rFonts w:cs="Times New Roman"/>
          <w:color w:val="auto"/>
          <w:highlight w:val="none"/>
        </w:rPr>
        <w:drawing>
          <wp:anchor distT="0" distB="0" distL="0" distR="0" simplePos="0" relativeHeight="251659264" behindDoc="1" locked="0" layoutInCell="1" allowOverlap="1">
            <wp:simplePos x="0" y="0"/>
            <wp:positionH relativeFrom="column">
              <wp:posOffset>475615</wp:posOffset>
            </wp:positionH>
            <wp:positionV relativeFrom="page">
              <wp:posOffset>3707765</wp:posOffset>
            </wp:positionV>
            <wp:extent cx="5274310" cy="3128645"/>
            <wp:effectExtent l="0" t="0" r="2540" b="14605"/>
            <wp:wrapTight wrapText="bothSides">
              <wp:wrapPolygon>
                <wp:start x="0" y="0"/>
                <wp:lineTo x="0" y="21438"/>
                <wp:lineTo x="21532" y="21438"/>
                <wp:lineTo x="21532"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74310" cy="3128645"/>
                    </a:xfrm>
                    <a:prstGeom prst="rect">
                      <a:avLst/>
                    </a:prstGeom>
                  </pic:spPr>
                </pic:pic>
              </a:graphicData>
            </a:graphic>
          </wp:anchor>
        </w:drawing>
      </w:r>
    </w:p>
    <w:p w14:paraId="7E22C76F">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kern w:val="0"/>
          <w:sz w:val="24"/>
          <w:szCs w:val="24"/>
          <w:highlight w:val="none"/>
          <w:lang w:val="en-US" w:eastAsia="zh-CN"/>
        </w:rPr>
      </w:pPr>
    </w:p>
    <w:p w14:paraId="17C160A4">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kern w:val="0"/>
          <w:sz w:val="24"/>
          <w:szCs w:val="24"/>
          <w:highlight w:val="none"/>
          <w:lang w:val="en-US" w:eastAsia="zh-CN"/>
        </w:rPr>
      </w:pPr>
    </w:p>
    <w:p w14:paraId="085D5B6C">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kern w:val="0"/>
          <w:sz w:val="24"/>
          <w:szCs w:val="24"/>
          <w:highlight w:val="none"/>
          <w:lang w:val="en-US" w:eastAsia="zh-CN"/>
        </w:rPr>
      </w:pPr>
    </w:p>
    <w:p w14:paraId="4A8A7F10">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kern w:val="0"/>
          <w:sz w:val="24"/>
          <w:szCs w:val="24"/>
          <w:highlight w:val="none"/>
          <w:lang w:val="en-US" w:eastAsia="zh-CN"/>
        </w:rPr>
      </w:pPr>
    </w:p>
    <w:p w14:paraId="2C7811D3">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kern w:val="0"/>
          <w:sz w:val="24"/>
          <w:szCs w:val="24"/>
          <w:highlight w:val="none"/>
          <w:lang w:val="en-US" w:eastAsia="zh-CN"/>
        </w:rPr>
      </w:pPr>
    </w:p>
    <w:p w14:paraId="433A1D51">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kern w:val="0"/>
          <w:sz w:val="24"/>
          <w:szCs w:val="24"/>
          <w:highlight w:val="none"/>
          <w:lang w:val="en-US" w:eastAsia="zh-CN"/>
        </w:rPr>
      </w:pPr>
    </w:p>
    <w:p w14:paraId="30317D1E">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kern w:val="0"/>
          <w:sz w:val="24"/>
          <w:szCs w:val="24"/>
          <w:highlight w:val="none"/>
          <w:lang w:val="en-US" w:eastAsia="zh-CN"/>
        </w:rPr>
      </w:pPr>
    </w:p>
    <w:p w14:paraId="5B3517ED">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kern w:val="0"/>
          <w:sz w:val="24"/>
          <w:szCs w:val="24"/>
          <w:highlight w:val="none"/>
          <w:lang w:val="en-US" w:eastAsia="zh-CN"/>
        </w:rPr>
      </w:pPr>
    </w:p>
    <w:p w14:paraId="315F096E">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kern w:val="0"/>
          <w:sz w:val="24"/>
          <w:szCs w:val="24"/>
          <w:highlight w:val="none"/>
          <w:lang w:val="en-US" w:eastAsia="zh-CN"/>
        </w:rPr>
      </w:pPr>
    </w:p>
    <w:p w14:paraId="7315D891">
      <w:pPr>
        <w:pStyle w:val="74"/>
        <w:shd w:val="clear"/>
        <w:rPr>
          <w:rFonts w:hint="eastAsia"/>
          <w:color w:val="auto"/>
          <w:highlight w:val="none"/>
          <w:lang w:val="en-US" w:eastAsia="zh-CN"/>
        </w:rPr>
      </w:pPr>
    </w:p>
    <w:p w14:paraId="0328844E">
      <w:pPr>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auto"/>
          <w:kern w:val="0"/>
          <w:sz w:val="24"/>
          <w:szCs w:val="24"/>
          <w:highlight w:val="none"/>
          <w:lang w:val="en-US" w:eastAsia="zh-CN"/>
        </w:rPr>
      </w:pPr>
    </w:p>
    <w:p w14:paraId="15763A7D">
      <w:pPr>
        <w:keepNext w:val="0"/>
        <w:keepLines w:val="0"/>
        <w:pageBreakBefore w:val="0"/>
        <w:widowControl w:val="0"/>
        <w:shd w:val="clear"/>
        <w:kinsoku/>
        <w:wordWrap/>
        <w:overflowPunct/>
        <w:topLinePunct w:val="0"/>
        <w:autoSpaceDE/>
        <w:autoSpaceDN/>
        <w:bidi w:val="0"/>
        <w:adjustRightInd/>
        <w:snapToGrid/>
        <w:spacing w:line="560" w:lineRule="exact"/>
        <w:ind w:firstLine="482" w:firstLineChars="200"/>
        <w:textAlignment w:val="auto"/>
        <w:rPr>
          <w:rFonts w:hint="eastAsia" w:ascii="CESI黑体-GB2312" w:hAnsi="CESI黑体-GB2312" w:eastAsia="CESI黑体-GB2312" w:cs="CESI黑体-GB2312"/>
          <w:color w:val="auto"/>
          <w:sz w:val="32"/>
          <w:szCs w:val="32"/>
          <w:highlight w:val="none"/>
          <w:lang w:eastAsia="zh-CN"/>
        </w:rPr>
      </w:pPr>
      <w:r>
        <w:rPr>
          <w:rFonts w:hint="eastAsia" w:ascii="宋体" w:hAnsi="宋体" w:eastAsia="宋体" w:cs="宋体"/>
          <w:b/>
          <w:bCs/>
          <w:color w:val="auto"/>
          <w:kern w:val="0"/>
          <w:sz w:val="24"/>
          <w:szCs w:val="24"/>
          <w:highlight w:val="none"/>
          <w:lang w:val="en-US" w:eastAsia="zh-CN"/>
        </w:rPr>
        <w:t>二、主要工作内容</w:t>
      </w:r>
    </w:p>
    <w:p w14:paraId="1C3554DC">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在工程准备阶段，环境监理单位应组建项目监理机构，合理配置环境监理人员和监理设施，收集风险管控工程相关的资料，进行现场踏勘，参加施工组织设计交底。重点核查风险管控工程实施方案与风险管控技术方案的相符性，对现场实际人员资质、工程配套设施、环保设施等到位情况进行核验，对风险管控工程的环境管理体系、管理计划和污染防治措施的完整性和可操作性进行评估等，编制环境监理工作方案。</w:t>
      </w:r>
    </w:p>
    <w:p w14:paraId="59F2A327">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在工程实施阶段，环境监理机构应在施工前组织实施建设单位管理人员和修复工程施工单位人员针对工程特点开展环境保护知识培训，指导施工单位建立完整的环保责任体系；配合工程监理机构开展安全教育，明确施工过程中的主要环境危险因素及防护措施，以及预防重大环境影响因素导致的伤亡事故发生的主要措施；对各项开工手续落实情况、工程实施方案备案情况、施工现场二次污染控制措施和设施落实到位情况、施工、管理、技术人员环保培训到位情况、主要工程材料及施工设备到场情况以及其他开工需要条件具备情况进行确认；组织建设单位、工程施工单位、工程监理单位和效果评估单位召开环境监理交底会，介绍项目监理机构及人员职责分工、环境监理工作目标、范围、内容、工作程序、方法和措施等内容。在施工过程中，环境监理机构应根据施工工序开展工程施工内容核查，确保施工内容与工程实施方案及施工组织设计方案相符合，重点核查工程施工内容、核查工艺实施质量、核查污染防治措施落实情况、开展污染物排放监测、监督污染物排放监测、核查风险防范措施、特殊情况环境监理等；对工程实施过程存在的施工内容偏离、施工质量不满足设计要求、二次污染防治措施不到位、污染物排放超标以及相关施工过程存在的环保违规、违法行为向施工单位进行反馈和向效果评估单位、建设单位等进行抄送，并对施工单位相关问题的整改过程进行跟踪、整改情况进行确认核查。</w:t>
      </w:r>
    </w:p>
    <w:p w14:paraId="40CA02A0">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在工程竣工阶段，环境监理机构应对工程实施过程相关工程资料、环境监理资料的完整性进行核查，对工程量进行核算。在确认工程已经达到设计目标后，编制并提交环境监理报告及相关档案文件。报告应全面总结工程在每个具体施工阶段的环境监理成果，反映工程施工期环保设施建设及运行情况、环保达标排放情况等。参加工程预验收及效果评估等。</w:t>
      </w:r>
    </w:p>
    <w:p w14:paraId="4C7B1C69">
      <w:pPr>
        <w:keepNext w:val="0"/>
        <w:keepLines w:val="0"/>
        <w:pageBreakBefore w:val="0"/>
        <w:widowControl w:val="0"/>
        <w:shd w:val="clear"/>
        <w:kinsoku/>
        <w:wordWrap/>
        <w:overflowPunct/>
        <w:topLinePunct w:val="0"/>
        <w:autoSpaceDE/>
        <w:autoSpaceDN/>
        <w:bidi w:val="0"/>
        <w:adjustRightInd/>
        <w:snapToGrid/>
        <w:spacing w:line="312" w:lineRule="auto"/>
        <w:ind w:firstLine="482" w:firstLineChars="200"/>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三、主要工作成果</w:t>
      </w:r>
    </w:p>
    <w:p w14:paraId="3D3CCB25">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环境监理文件资料应包括下列主要内容：</w:t>
      </w:r>
    </w:p>
    <w:p w14:paraId="75D99300">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——修复工程环境监理合同及其他合同文件；</w:t>
      </w:r>
    </w:p>
    <w:p w14:paraId="73C91480">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——环境监理方案、实施细则；</w:t>
      </w:r>
    </w:p>
    <w:p w14:paraId="26D7ABFF">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——工地会议、环境监理例会、专题会议等会议纪要；</w:t>
      </w:r>
    </w:p>
    <w:p w14:paraId="474B71D7">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——环境监理工作表单；</w:t>
      </w:r>
    </w:p>
    <w:p w14:paraId="4F65C882">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——环境监测资料；</w:t>
      </w:r>
    </w:p>
    <w:p w14:paraId="60EEF3F5">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——环境监理工作报告；</w:t>
      </w:r>
    </w:p>
    <w:p w14:paraId="75819256">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——环境监理日志、环境监理月报、旁站记录等工作记录文件；</w:t>
      </w:r>
    </w:p>
    <w:p w14:paraId="36259492">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——修复工程质量或环境污染事故处理文件资料；</w:t>
      </w:r>
    </w:p>
    <w:p w14:paraId="05588D39">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——相关单位往来函件；</w:t>
      </w:r>
    </w:p>
    <w:p w14:paraId="4D55DD30">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——环境监理工作总结报告；</w:t>
      </w:r>
    </w:p>
    <w:p w14:paraId="34F4324A">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——其他相关资料。</w:t>
      </w:r>
    </w:p>
    <w:p w14:paraId="05D6663C">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2"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四、▲人员及设备配备（人员配备不少于4人，其中总环境监理工程1人、环境监理工程师1人、环境监理员2人）</w:t>
      </w:r>
    </w:p>
    <w:p w14:paraId="2E2F2E75">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1.总环境监理工程师</w:t>
      </w:r>
    </w:p>
    <w:p w14:paraId="2D678A6E">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（1）总环境监理工程师应同时满足以下条件：</w:t>
      </w:r>
    </w:p>
    <w:p w14:paraId="7AC00D60">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具有注册环境影响评价工程师</w:t>
      </w:r>
      <w:r>
        <w:rPr>
          <w:rFonts w:hint="eastAsia" w:ascii="宋体" w:hAnsi="宋体" w:cs="宋体"/>
          <w:color w:val="auto"/>
          <w:kern w:val="0"/>
          <w:highlight w:val="none"/>
          <w:lang w:val="en-US" w:eastAsia="zh-CN" w:bidi="ar"/>
        </w:rPr>
        <w:t>或</w:t>
      </w:r>
      <w:r>
        <w:rPr>
          <w:rFonts w:hint="eastAsia" w:ascii="宋体" w:hAnsi="宋体" w:eastAsia="宋体" w:cs="宋体"/>
          <w:color w:val="auto"/>
          <w:kern w:val="0"/>
          <w:highlight w:val="none"/>
          <w:lang w:val="en-US" w:eastAsia="zh-CN" w:bidi="ar"/>
        </w:rPr>
        <w:t>注册环保工程师的</w:t>
      </w:r>
      <w:r>
        <w:rPr>
          <w:rFonts w:hint="eastAsia" w:ascii="宋体" w:hAnsi="宋体" w:eastAsia="宋体" w:cs="宋体"/>
          <w:b w:val="0"/>
          <w:bCs w:val="0"/>
          <w:color w:val="auto"/>
          <w:sz w:val="24"/>
          <w:szCs w:val="24"/>
          <w:highlight w:val="none"/>
          <w:lang w:val="en-US" w:eastAsia="zh-CN"/>
        </w:rPr>
        <w:t>或</w:t>
      </w:r>
      <w:r>
        <w:rPr>
          <w:rFonts w:hint="eastAsia" w:ascii="宋体" w:hAnsi="宋体" w:cs="宋体"/>
          <w:b w:val="0"/>
          <w:bCs w:val="0"/>
          <w:color w:val="auto"/>
          <w:sz w:val="24"/>
          <w:szCs w:val="24"/>
          <w:highlight w:val="none"/>
          <w:lang w:val="en-US" w:eastAsia="zh-CN"/>
        </w:rPr>
        <w:t>中</w:t>
      </w:r>
      <w:r>
        <w:rPr>
          <w:rFonts w:hint="eastAsia" w:ascii="宋体" w:hAnsi="宋体" w:eastAsia="宋体" w:cs="宋体"/>
          <w:b w:val="0"/>
          <w:bCs w:val="0"/>
          <w:color w:val="auto"/>
          <w:sz w:val="24"/>
          <w:szCs w:val="24"/>
          <w:highlight w:val="none"/>
          <w:lang w:val="en-US" w:eastAsia="zh-CN"/>
        </w:rPr>
        <w:t>级以上</w:t>
      </w:r>
      <w:r>
        <w:rPr>
          <w:rFonts w:hint="eastAsia" w:ascii="宋体" w:hAnsi="宋体" w:cs="宋体"/>
          <w:b w:val="0"/>
          <w:bCs w:val="0"/>
          <w:color w:val="auto"/>
          <w:sz w:val="24"/>
          <w:szCs w:val="24"/>
          <w:highlight w:val="none"/>
          <w:lang w:val="en-US" w:eastAsia="zh-CN"/>
        </w:rPr>
        <w:t>环保</w:t>
      </w:r>
      <w:r>
        <w:rPr>
          <w:rFonts w:hint="eastAsia" w:ascii="宋体" w:hAnsi="宋体" w:eastAsia="宋体" w:cs="宋体"/>
          <w:b w:val="0"/>
          <w:bCs w:val="0"/>
          <w:color w:val="auto"/>
          <w:sz w:val="24"/>
          <w:szCs w:val="24"/>
          <w:highlight w:val="none"/>
          <w:lang w:val="en-US" w:eastAsia="zh-CN"/>
        </w:rPr>
        <w:t>相关专业技术职称；</w:t>
      </w:r>
    </w:p>
    <w:p w14:paraId="391677D6">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（2）总环境监理工程师主要职责：</w:t>
      </w:r>
    </w:p>
    <w:p w14:paraId="10D68B18">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a）确定环境监理机构人员分工和岗位职责；</w:t>
      </w:r>
    </w:p>
    <w:p w14:paraId="226877B9">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b）主持编制环境监理工作方案，审批环境监理实施细则，制定环境监理机构规章制度；</w:t>
      </w:r>
    </w:p>
    <w:p w14:paraId="300E335C">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c）指导环境监理工程师开展环境监理工作，负责环境监理人员的工作考核，调换不称职的环境监理人员，根据工程实施进展情况，调整环境监理人员；</w:t>
      </w:r>
    </w:p>
    <w:p w14:paraId="2ABBB3C8">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d）主持环境监理工作会议；</w:t>
      </w:r>
    </w:p>
    <w:p w14:paraId="58D4E0EC">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e）组织编写并签发环境监理月报、季报、总结报告；</w:t>
      </w:r>
    </w:p>
    <w:p w14:paraId="54ED8959">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f）签发环境监理机构的文件和指令，审核签署施工单位环境保护工作有关的申请；</w:t>
      </w:r>
    </w:p>
    <w:p w14:paraId="6229654C">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g）提出与生态环境保护相关变更建议和处理意见；</w:t>
      </w:r>
    </w:p>
    <w:p w14:paraId="1F960EE5">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h）主持或参与工程突发环境污染事故的调查；</w:t>
      </w:r>
    </w:p>
    <w:p w14:paraId="20F1D78E">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i）参与工程质量问题的调查和处理；</w:t>
      </w:r>
    </w:p>
    <w:p w14:paraId="774D69BD">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j）审查施工单位的竣工申请，参与工程预验收、修复效果评估；</w:t>
      </w:r>
    </w:p>
    <w:p w14:paraId="28E86296">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k）组织整理环境监理合同文件和档案资料。</w:t>
      </w:r>
    </w:p>
    <w:p w14:paraId="1B09332D">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eastAsia="zh-CN"/>
        </w:rPr>
        <w:t>.环境监理工程师</w:t>
      </w:r>
    </w:p>
    <w:p w14:paraId="48E2662F">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（1）环境监理工程师应同时满足以下</w:t>
      </w:r>
      <w:r>
        <w:rPr>
          <w:rFonts w:hint="eastAsia" w:ascii="宋体" w:hAnsi="宋体" w:cs="宋体"/>
          <w:b w:val="0"/>
          <w:bCs w:val="0"/>
          <w:color w:val="auto"/>
          <w:sz w:val="24"/>
          <w:szCs w:val="24"/>
          <w:highlight w:val="none"/>
          <w:lang w:val="en-US" w:eastAsia="zh-CN"/>
        </w:rPr>
        <w:t>二</w:t>
      </w:r>
      <w:r>
        <w:rPr>
          <w:rFonts w:hint="eastAsia" w:ascii="宋体" w:hAnsi="宋体" w:eastAsia="宋体" w:cs="宋体"/>
          <w:b w:val="0"/>
          <w:bCs w:val="0"/>
          <w:color w:val="auto"/>
          <w:sz w:val="24"/>
          <w:szCs w:val="24"/>
          <w:highlight w:val="none"/>
          <w:lang w:val="en-US" w:eastAsia="zh-CN"/>
        </w:rPr>
        <w:t>个条件：</w:t>
      </w:r>
    </w:p>
    <w:p w14:paraId="0757E0DC">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a）具有注册环境影响评价工程师</w:t>
      </w:r>
      <w:r>
        <w:rPr>
          <w:rFonts w:hint="eastAsia" w:ascii="宋体" w:hAnsi="宋体" w:cs="宋体"/>
          <w:color w:val="auto"/>
          <w:kern w:val="0"/>
          <w:highlight w:val="none"/>
          <w:lang w:val="en-US" w:eastAsia="zh-CN" w:bidi="ar"/>
        </w:rPr>
        <w:t>或</w:t>
      </w:r>
      <w:r>
        <w:rPr>
          <w:rFonts w:hint="eastAsia" w:ascii="宋体" w:hAnsi="宋体" w:eastAsia="宋体" w:cs="宋体"/>
          <w:color w:val="auto"/>
          <w:kern w:val="0"/>
          <w:highlight w:val="none"/>
          <w:lang w:val="en-US" w:eastAsia="zh-CN" w:bidi="ar"/>
        </w:rPr>
        <w:t>注册环保工程师的</w:t>
      </w:r>
      <w:r>
        <w:rPr>
          <w:rFonts w:hint="eastAsia" w:ascii="宋体" w:hAnsi="宋体" w:eastAsia="宋体" w:cs="宋体"/>
          <w:b w:val="0"/>
          <w:bCs w:val="0"/>
          <w:color w:val="auto"/>
          <w:sz w:val="24"/>
          <w:szCs w:val="24"/>
          <w:highlight w:val="none"/>
          <w:lang w:val="en-US" w:eastAsia="zh-CN"/>
        </w:rPr>
        <w:t>或中级以上环保相关专业技术职称；</w:t>
      </w:r>
    </w:p>
    <w:p w14:paraId="57676C6A">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b）</w:t>
      </w:r>
      <w:r>
        <w:rPr>
          <w:rFonts w:hint="eastAsia" w:ascii="宋体" w:hAnsi="宋体" w:cs="宋体"/>
          <w:b w:val="0"/>
          <w:bCs w:val="0"/>
          <w:color w:val="auto"/>
          <w:sz w:val="24"/>
          <w:szCs w:val="24"/>
          <w:highlight w:val="none"/>
          <w:lang w:val="en-US" w:eastAsia="zh-CN"/>
        </w:rPr>
        <w:t>2021年1月1日以来</w:t>
      </w:r>
      <w:r>
        <w:rPr>
          <w:rFonts w:hint="eastAsia" w:ascii="宋体" w:hAnsi="宋体" w:eastAsia="宋体" w:cs="宋体"/>
          <w:b w:val="0"/>
          <w:bCs w:val="0"/>
          <w:color w:val="auto"/>
          <w:sz w:val="24"/>
          <w:szCs w:val="24"/>
          <w:highlight w:val="none"/>
          <w:lang w:val="en-US" w:eastAsia="zh-CN"/>
        </w:rPr>
        <w:t>担任过2项及以上工程的环境监理工程师或主持过2项及以上</w:t>
      </w:r>
      <w:r>
        <w:rPr>
          <w:rFonts w:hint="eastAsia" w:ascii="宋体" w:hAnsi="宋体" w:cs="宋体"/>
          <w:b w:val="0"/>
          <w:bCs w:val="0"/>
          <w:color w:val="auto"/>
          <w:sz w:val="24"/>
          <w:szCs w:val="24"/>
          <w:highlight w:val="none"/>
          <w:lang w:val="en-US" w:eastAsia="zh-CN"/>
        </w:rPr>
        <w:t>污染地块</w:t>
      </w:r>
      <w:r>
        <w:rPr>
          <w:rFonts w:hint="eastAsia" w:ascii="宋体" w:hAnsi="宋体" w:eastAsia="宋体" w:cs="宋体"/>
          <w:color w:val="auto"/>
          <w:kern w:val="0"/>
          <w:highlight w:val="none"/>
          <w:lang w:val="en-US" w:eastAsia="zh-CN" w:bidi="ar"/>
        </w:rPr>
        <w:t>土壤或地下水污染修复治理或风险管控环境</w:t>
      </w:r>
      <w:r>
        <w:rPr>
          <w:rFonts w:hint="eastAsia" w:ascii="宋体" w:hAnsi="宋体" w:eastAsia="宋体" w:cs="宋体"/>
          <w:b w:val="0"/>
          <w:bCs w:val="0"/>
          <w:color w:val="auto"/>
          <w:sz w:val="24"/>
          <w:szCs w:val="24"/>
          <w:highlight w:val="none"/>
          <w:lang w:val="en-US" w:eastAsia="zh-CN"/>
        </w:rPr>
        <w:t>污染地块修复工程的修复效果评估工作。</w:t>
      </w:r>
      <w:r>
        <w:rPr>
          <w:rFonts w:hint="eastAsia" w:ascii="宋体" w:hAnsi="宋体" w:cs="宋体"/>
          <w:b/>
          <w:bCs/>
          <w:color w:val="auto"/>
          <w:sz w:val="24"/>
          <w:szCs w:val="24"/>
          <w:highlight w:val="none"/>
          <w:lang w:val="en-US" w:eastAsia="zh-CN"/>
        </w:rPr>
        <w:t>（提供合同或中标（或成交）通知书扫描件，如合同中不能体现身份信息或者信息不明确的可提供业主证明佐证扫描件）</w:t>
      </w:r>
    </w:p>
    <w:p w14:paraId="4429AF19">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（2）环境监理工程师主要职责：</w:t>
      </w:r>
    </w:p>
    <w:p w14:paraId="205C81AD">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a）参与编制环境监理工作方案、组织编制环境监理实施细则；</w:t>
      </w:r>
    </w:p>
    <w:p w14:paraId="3187A263">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b）组织、指导和监督环境监理员的工作，当人员需要调整时，向总环境监理工程师提出建议；</w:t>
      </w:r>
    </w:p>
    <w:p w14:paraId="294DDE3B">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c）审查施工单位提交的涉及修复工程的计划、方案、申请、变更等文件，并向总环境监理工程师报告；</w:t>
      </w:r>
    </w:p>
    <w:p w14:paraId="5562BDAD">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d）审核施工单位报送的与生态环境相关的自检数据及结果；</w:t>
      </w:r>
    </w:p>
    <w:p w14:paraId="69287661">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e）定期向总环境监理工程师报告环境监理工作的实施情况，对重大问题及时向总环境监理工程师汇报和请示；</w:t>
      </w:r>
    </w:p>
    <w:p w14:paraId="54C13A5F">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f）负责项目环境监理资料的收集、汇总及整理，组织编写环境监理日志，参与编写环境监理月报、环境监理季报、环境监理总结报告。</w:t>
      </w:r>
    </w:p>
    <w:p w14:paraId="476DB64C">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eastAsia="zh-CN"/>
        </w:rPr>
        <w:t>.环境监理员</w:t>
      </w:r>
    </w:p>
    <w:p w14:paraId="7F8A81AE">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（1）环境监理员应</w:t>
      </w:r>
      <w:r>
        <w:rPr>
          <w:rFonts w:hint="eastAsia" w:ascii="宋体" w:hAnsi="宋体" w:cs="宋体"/>
          <w:b w:val="0"/>
          <w:bCs w:val="0"/>
          <w:color w:val="auto"/>
          <w:sz w:val="24"/>
          <w:szCs w:val="24"/>
          <w:highlight w:val="none"/>
          <w:lang w:val="en-US" w:eastAsia="zh-CN"/>
        </w:rPr>
        <w:t>具有环保相关专业初级及以上职称</w:t>
      </w:r>
      <w:r>
        <w:rPr>
          <w:rFonts w:hint="eastAsia" w:ascii="宋体" w:hAnsi="宋体" w:eastAsia="宋体" w:cs="宋体"/>
          <w:b w:val="0"/>
          <w:bCs w:val="0"/>
          <w:color w:val="auto"/>
          <w:sz w:val="24"/>
          <w:szCs w:val="24"/>
          <w:highlight w:val="none"/>
          <w:lang w:val="en-US" w:eastAsia="zh-CN"/>
        </w:rPr>
        <w:t>。</w:t>
      </w:r>
    </w:p>
    <w:p w14:paraId="1AD26A3F">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（2）环境监理员主要职责：</w:t>
      </w:r>
    </w:p>
    <w:p w14:paraId="046E7713">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a）参与编制环境监理工作方案、编制环境监理实施细则；</w:t>
      </w:r>
    </w:p>
    <w:p w14:paraId="1432F98F">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b）复核或从工程现场直接获取与生态环境保护相关数据并签署原始凭证；</w:t>
      </w:r>
    </w:p>
    <w:p w14:paraId="3B530DF5">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c）开展旁站、巡查工作，发现环境问题及时指出并向环境监理工程师报告；</w:t>
      </w:r>
    </w:p>
    <w:p w14:paraId="3B4AE107">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d）负责编制环境监理日志和有关环境监理记录，参与编写环境监理月报、环境监理季报、环境监理总结报告；</w:t>
      </w:r>
    </w:p>
    <w:p w14:paraId="66606ECF">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e）核实施工单位环境保护相关原始记录；</w:t>
      </w:r>
    </w:p>
    <w:p w14:paraId="55DCBE55">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f）环境监理员也可由环境监理工程师担任。</w:t>
      </w:r>
    </w:p>
    <w:p w14:paraId="30C581DC">
      <w:pPr>
        <w:keepNext w:val="0"/>
        <w:keepLines w:val="0"/>
        <w:pageBreakBefore w:val="0"/>
        <w:widowControl w:val="0"/>
        <w:shd w:val="clear"/>
        <w:kinsoku/>
        <w:wordWrap/>
        <w:overflowPunct/>
        <w:topLinePunct w:val="0"/>
        <w:autoSpaceDE/>
        <w:autoSpaceDN/>
        <w:bidi w:val="0"/>
        <w:adjustRightInd/>
        <w:snapToGrid/>
        <w:spacing w:line="312" w:lineRule="auto"/>
        <w:ind w:firstLine="482" w:firstLineChars="200"/>
        <w:textAlignment w:val="auto"/>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五、商务要求</w:t>
      </w:r>
    </w:p>
    <w:p w14:paraId="1841BEE8">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付款方式：合同签订后7个工作日内支付合同金额的40%；竣工验收完成环境监理工作并提交环境监理报告在7个工作日内支付合同金额的20%；阶段性效果评估报告通过有权限的主管部门备案后7个工作日内支付合同金额的40%。</w:t>
      </w:r>
    </w:p>
    <w:p w14:paraId="55AFE1B7">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注：每次合同款支付前中标人必须先向采购人提供该次应付款金额100%的正规税务发票，否则采购人有权延期付款。</w:t>
      </w:r>
    </w:p>
    <w:p w14:paraId="31438150">
      <w:pPr>
        <w:keepNext w:val="0"/>
        <w:keepLines w:val="0"/>
        <w:pageBreakBefore w:val="0"/>
        <w:widowControl w:val="0"/>
        <w:shd w:val="clear" w:color="auto"/>
        <w:kinsoku/>
        <w:wordWrap/>
        <w:overflowPunct/>
        <w:topLinePunct w:val="0"/>
        <w:autoSpaceDE/>
        <w:autoSpaceDN/>
        <w:bidi w:val="0"/>
        <w:adjustRightInd w:val="0"/>
        <w:snapToGrid w:val="0"/>
        <w:spacing w:line="312"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2.服务期限：</w:t>
      </w:r>
      <w:r>
        <w:rPr>
          <w:rFonts w:hint="eastAsia" w:ascii="宋体" w:hAnsi="宋体" w:eastAsia="宋体" w:cs="宋体"/>
          <w:b w:val="0"/>
          <w:bCs w:val="0"/>
          <w:color w:val="auto"/>
          <w:sz w:val="24"/>
          <w:szCs w:val="24"/>
          <w:highlight w:val="none"/>
          <w:lang w:val="zh-CN" w:eastAsia="zh-CN"/>
        </w:rPr>
        <w:t>服务期三年，自合同生效之日起至阶段性效果评估报告通过有权限的主管部门备案。</w:t>
      </w:r>
    </w:p>
    <w:p w14:paraId="6089505C">
      <w:pPr>
        <w:keepNext w:val="0"/>
        <w:keepLines w:val="0"/>
        <w:pageBreakBefore w:val="0"/>
        <w:shd w:val="clear" w:color="auto"/>
        <w:kinsoku/>
        <w:wordWrap/>
        <w:overflowPunct/>
        <w:topLinePunct w:val="0"/>
        <w:bidi w:val="0"/>
        <w:adjustRightInd w:val="0"/>
        <w:snapToGrid w:val="0"/>
        <w:spacing w:line="360" w:lineRule="auto"/>
        <w:ind w:firstLine="480" w:firstLineChars="200"/>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3.质量标准：满足合格要求。</w:t>
      </w:r>
    </w:p>
    <w:p w14:paraId="50771CAF">
      <w:pPr>
        <w:keepNext w:val="0"/>
        <w:keepLines w:val="0"/>
        <w:pageBreakBefore w:val="0"/>
        <w:shd w:val="clear" w:color="auto"/>
        <w:kinsoku/>
        <w:wordWrap/>
        <w:overflowPunct/>
        <w:topLinePunct w:val="0"/>
        <w:bidi w:val="0"/>
        <w:adjustRightInd w:val="0"/>
        <w:snapToGrid w:val="0"/>
        <w:spacing w:line="360" w:lineRule="auto"/>
        <w:ind w:firstLine="480" w:firstLineChars="200"/>
        <w:textAlignment w:val="auto"/>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4.质量保证期：</w:t>
      </w:r>
      <w:r>
        <w:rPr>
          <w:rFonts w:hint="eastAsia" w:ascii="宋体" w:hAnsi="宋体" w:cs="宋体"/>
          <w:b w:val="0"/>
          <w:bCs w:val="0"/>
          <w:color w:val="auto"/>
          <w:sz w:val="24"/>
          <w:szCs w:val="24"/>
          <w:highlight w:val="none"/>
          <w:lang w:val="zh-CN" w:eastAsia="zh-CN"/>
        </w:rPr>
        <w:t>阶段性效果评估报告通过有权限的主管部门备案</w:t>
      </w:r>
      <w:r>
        <w:rPr>
          <w:rFonts w:hint="eastAsia" w:ascii="宋体" w:hAnsi="宋体" w:cs="宋体"/>
          <w:b w:val="0"/>
          <w:bCs w:val="0"/>
          <w:color w:val="auto"/>
          <w:sz w:val="24"/>
          <w:szCs w:val="24"/>
          <w:highlight w:val="none"/>
          <w:lang w:val="en-US" w:eastAsia="zh-CN"/>
        </w:rPr>
        <w:t>后1年。</w:t>
      </w:r>
    </w:p>
    <w:p w14:paraId="377BFEAD">
      <w:pPr>
        <w:keepNext w:val="0"/>
        <w:keepLines w:val="0"/>
        <w:pageBreakBefore w:val="0"/>
        <w:shd w:val="clear" w:color="auto"/>
        <w:kinsoku/>
        <w:wordWrap/>
        <w:overflowPunct/>
        <w:topLinePunct w:val="0"/>
        <w:bidi w:val="0"/>
        <w:adjustRightInd w:val="0"/>
        <w:snapToGrid w:val="0"/>
        <w:spacing w:line="360" w:lineRule="auto"/>
        <w:ind w:firstLine="480" w:firstLineChars="200"/>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5.成果提交与形式：编制环境监理总结报告，通过专家评审，并配合效果评估单位完成阶段性效果评估工作。</w:t>
      </w:r>
      <w:bookmarkEnd w:id="291"/>
      <w:bookmarkEnd w:id="292"/>
    </w:p>
    <w:p w14:paraId="4959B7EB">
      <w:pPr>
        <w:shd w:val="clear"/>
        <w:ind w:firstLine="0" w:firstLineChars="0"/>
        <w:jc w:val="both"/>
        <w:outlineLvl w:val="0"/>
        <w:rPr>
          <w:rFonts w:hint="eastAsia" w:ascii="宋体" w:hAnsi="宋体" w:cs="宋体"/>
          <w:b/>
          <w:color w:val="auto"/>
          <w:kern w:val="0"/>
          <w:sz w:val="36"/>
          <w:szCs w:val="36"/>
          <w:highlight w:val="none"/>
          <w:lang w:bidi="ar"/>
        </w:rPr>
      </w:pPr>
      <w:bookmarkStart w:id="293" w:name="_Toc29120"/>
    </w:p>
    <w:p w14:paraId="3743730C">
      <w:pPr>
        <w:shd w:val="clear"/>
        <w:rPr>
          <w:rFonts w:hint="eastAsia"/>
          <w:color w:val="auto"/>
          <w:highlight w:val="none"/>
        </w:rPr>
      </w:pPr>
    </w:p>
    <w:p w14:paraId="124E6508">
      <w:pPr>
        <w:pStyle w:val="2"/>
        <w:numPr>
          <w:ilvl w:val="0"/>
          <w:numId w:val="0"/>
        </w:numPr>
        <w:shd w:val="clear"/>
        <w:ind w:leftChars="0"/>
        <w:jc w:val="both"/>
        <w:rPr>
          <w:rFonts w:hint="eastAsia"/>
          <w:color w:val="auto"/>
          <w:highlight w:val="none"/>
        </w:rPr>
      </w:pPr>
    </w:p>
    <w:p w14:paraId="74E209C5">
      <w:pPr>
        <w:shd w:val="clear"/>
        <w:rPr>
          <w:rFonts w:hint="eastAsia"/>
          <w:color w:val="auto"/>
          <w:highlight w:val="none"/>
        </w:rPr>
      </w:pPr>
    </w:p>
    <w:p w14:paraId="2928A0CE">
      <w:pPr>
        <w:pStyle w:val="2"/>
        <w:numPr>
          <w:ilvl w:val="0"/>
          <w:numId w:val="0"/>
        </w:numPr>
        <w:shd w:val="clear"/>
        <w:ind w:leftChars="0"/>
        <w:jc w:val="both"/>
        <w:rPr>
          <w:rFonts w:hint="eastAsia"/>
          <w:color w:val="auto"/>
          <w:highlight w:val="none"/>
        </w:rPr>
      </w:pPr>
    </w:p>
    <w:p w14:paraId="5231A4F9">
      <w:pPr>
        <w:pStyle w:val="2"/>
        <w:numPr>
          <w:ilvl w:val="0"/>
          <w:numId w:val="0"/>
        </w:numPr>
        <w:shd w:val="clear"/>
        <w:ind w:leftChars="0"/>
        <w:jc w:val="both"/>
        <w:rPr>
          <w:rFonts w:hint="eastAsia"/>
          <w:color w:val="auto"/>
          <w:highlight w:val="none"/>
        </w:rPr>
      </w:pPr>
    </w:p>
    <w:p w14:paraId="1905993E">
      <w:pPr>
        <w:shd w:val="clear"/>
        <w:ind w:left="0" w:leftChars="0" w:firstLine="0" w:firstLineChars="0"/>
        <w:rPr>
          <w:rFonts w:hint="eastAsia"/>
          <w:color w:val="auto"/>
          <w:highlight w:val="none"/>
        </w:rPr>
      </w:pPr>
    </w:p>
    <w:p w14:paraId="3DEABA1F">
      <w:pPr>
        <w:shd w:val="clear"/>
        <w:ind w:left="0" w:leftChars="0" w:firstLine="0" w:firstLineChars="0"/>
        <w:rPr>
          <w:rFonts w:hint="eastAsia"/>
          <w:color w:val="auto"/>
          <w:highlight w:val="none"/>
        </w:rPr>
      </w:pPr>
    </w:p>
    <w:p w14:paraId="2AE5FBAE">
      <w:pPr>
        <w:shd w:val="clear"/>
        <w:ind w:firstLine="0" w:firstLineChars="0"/>
        <w:jc w:val="center"/>
        <w:outlineLvl w:val="0"/>
        <w:rPr>
          <w:rFonts w:hint="eastAsia" w:ascii="宋体" w:hAnsi="宋体" w:cs="宋体"/>
          <w:b/>
          <w:color w:val="auto"/>
          <w:sz w:val="36"/>
          <w:szCs w:val="36"/>
          <w:highlight w:val="none"/>
        </w:rPr>
      </w:pPr>
      <w:r>
        <w:rPr>
          <w:rFonts w:hint="eastAsia" w:ascii="宋体" w:hAnsi="宋体" w:cs="宋体"/>
          <w:b/>
          <w:color w:val="auto"/>
          <w:kern w:val="0"/>
          <w:sz w:val="36"/>
          <w:szCs w:val="36"/>
          <w:highlight w:val="none"/>
          <w:lang w:bidi="ar"/>
        </w:rPr>
        <w:t>第四</w:t>
      </w:r>
      <w:r>
        <w:rPr>
          <w:rFonts w:hint="eastAsia" w:ascii="宋体" w:hAnsi="宋体" w:cs="宋体"/>
          <w:b/>
          <w:color w:val="auto"/>
          <w:sz w:val="36"/>
          <w:szCs w:val="36"/>
          <w:highlight w:val="none"/>
        </w:rPr>
        <w:t>章</w:t>
      </w:r>
      <w:r>
        <w:rPr>
          <w:rFonts w:hint="eastAsia" w:ascii="宋体" w:hAnsi="宋体" w:cs="宋体"/>
          <w:color w:val="auto"/>
          <w:highlight w:val="none"/>
        </w:rPr>
        <w:t xml:space="preserve">  </w:t>
      </w:r>
      <w:r>
        <w:rPr>
          <w:rFonts w:hint="eastAsia" w:ascii="宋体" w:hAnsi="宋体" w:cs="宋体"/>
          <w:b/>
          <w:color w:val="auto"/>
          <w:kern w:val="0"/>
          <w:sz w:val="36"/>
          <w:szCs w:val="36"/>
          <w:highlight w:val="none"/>
          <w:lang w:bidi="ar"/>
        </w:rPr>
        <w:t>政府采购合同参考范本</w:t>
      </w:r>
      <w:bookmarkEnd w:id="293"/>
    </w:p>
    <w:p w14:paraId="53F50AF7">
      <w:pPr>
        <w:pStyle w:val="37"/>
        <w:widowControl w:val="0"/>
        <w:shd w:val="clear"/>
        <w:autoSpaceDE w:val="0"/>
        <w:autoSpaceDN w:val="0"/>
        <w:adjustRightInd w:val="0"/>
        <w:snapToGrid w:val="0"/>
        <w:spacing w:before="0" w:after="120" w:afterAutospacing="0" w:line="360" w:lineRule="auto"/>
        <w:ind w:firstLine="0" w:firstLineChars="0"/>
        <w:jc w:val="center"/>
        <w:rPr>
          <w:rFonts w:hint="eastAsia" w:cs="宋体"/>
          <w:color w:val="auto"/>
          <w:sz w:val="44"/>
          <w:szCs w:val="44"/>
          <w:highlight w:val="none"/>
          <w:lang w:bidi="ar"/>
        </w:rPr>
      </w:pPr>
    </w:p>
    <w:p w14:paraId="7AB28DE1">
      <w:pPr>
        <w:pStyle w:val="37"/>
        <w:widowControl w:val="0"/>
        <w:shd w:val="clear"/>
        <w:autoSpaceDE w:val="0"/>
        <w:autoSpaceDN w:val="0"/>
        <w:adjustRightInd w:val="0"/>
        <w:snapToGrid w:val="0"/>
        <w:spacing w:before="0" w:after="120" w:afterAutospacing="0" w:line="360" w:lineRule="auto"/>
        <w:ind w:firstLine="0" w:firstLineChars="0"/>
        <w:jc w:val="center"/>
        <w:rPr>
          <w:rFonts w:hint="eastAsia" w:cs="宋体"/>
          <w:color w:val="auto"/>
          <w:sz w:val="44"/>
          <w:szCs w:val="44"/>
          <w:highlight w:val="none"/>
          <w:lang w:bidi="ar"/>
        </w:rPr>
      </w:pPr>
    </w:p>
    <w:p w14:paraId="2EF9DD03">
      <w:pPr>
        <w:pStyle w:val="37"/>
        <w:widowControl w:val="0"/>
        <w:shd w:val="clear"/>
        <w:autoSpaceDE w:val="0"/>
        <w:autoSpaceDN w:val="0"/>
        <w:adjustRightInd w:val="0"/>
        <w:snapToGrid w:val="0"/>
        <w:spacing w:before="0" w:after="120" w:afterAutospacing="0" w:line="360" w:lineRule="auto"/>
        <w:ind w:firstLine="0" w:firstLineChars="0"/>
        <w:jc w:val="center"/>
        <w:outlineLvl w:val="1"/>
        <w:rPr>
          <w:rFonts w:hint="eastAsia" w:cs="宋体"/>
          <w:color w:val="auto"/>
          <w:sz w:val="52"/>
          <w:szCs w:val="52"/>
          <w:highlight w:val="none"/>
          <w:lang w:bidi="ar"/>
        </w:rPr>
      </w:pPr>
      <w:r>
        <w:rPr>
          <w:rFonts w:hint="eastAsia" w:cs="宋体"/>
          <w:color w:val="auto"/>
          <w:sz w:val="52"/>
          <w:szCs w:val="52"/>
          <w:highlight w:val="none"/>
          <w:lang w:bidi="ar"/>
        </w:rPr>
        <w:t>政府采购合同</w:t>
      </w:r>
    </w:p>
    <w:p w14:paraId="42A081B3">
      <w:pPr>
        <w:pStyle w:val="37"/>
        <w:widowControl w:val="0"/>
        <w:shd w:val="clear"/>
        <w:autoSpaceDE w:val="0"/>
        <w:autoSpaceDN w:val="0"/>
        <w:adjustRightInd w:val="0"/>
        <w:snapToGrid w:val="0"/>
        <w:spacing w:before="0" w:after="120" w:afterAutospacing="0" w:line="360" w:lineRule="auto"/>
        <w:ind w:left="480" w:leftChars="200" w:firstLine="480"/>
        <w:jc w:val="both"/>
        <w:rPr>
          <w:rFonts w:hint="eastAsia" w:ascii="仿宋" w:hAnsi="仿宋" w:eastAsia="仿宋" w:cs="Times New Roman"/>
          <w:color w:val="auto"/>
          <w:kern w:val="2"/>
          <w:highlight w:val="none"/>
        </w:rPr>
      </w:pPr>
      <w:r>
        <w:rPr>
          <w:rFonts w:hint="eastAsia" w:ascii="仿宋" w:hAnsi="仿宋" w:eastAsia="仿宋" w:cs="Times New Roman"/>
          <w:color w:val="auto"/>
          <w:kern w:val="2"/>
          <w:highlight w:val="none"/>
          <w:lang w:bidi="ar"/>
        </w:rPr>
        <w:t xml:space="preserve"> </w:t>
      </w:r>
    </w:p>
    <w:p w14:paraId="229C800E">
      <w:pPr>
        <w:widowControl/>
        <w:shd w:val="clear"/>
        <w:spacing w:before="120" w:after="200" w:line="240" w:lineRule="atLeast"/>
        <w:ind w:firstLine="480"/>
        <w:jc w:val="left"/>
        <w:rPr>
          <w:rFonts w:hint="eastAsia" w:ascii="仿宋" w:hAnsi="仿宋" w:eastAsia="仿宋" w:cs="Times New Roman"/>
          <w:color w:val="auto"/>
          <w:highlight w:val="none"/>
        </w:rPr>
      </w:pPr>
      <w:r>
        <w:rPr>
          <w:rFonts w:hint="eastAsia" w:ascii="仿宋" w:hAnsi="仿宋" w:eastAsia="仿宋" w:cs="Times New Roman"/>
          <w:color w:val="auto"/>
          <w:kern w:val="0"/>
          <w:highlight w:val="none"/>
          <w:lang w:bidi="ar"/>
        </w:rPr>
        <w:t xml:space="preserve"> </w:t>
      </w:r>
    </w:p>
    <w:p w14:paraId="68E94C43">
      <w:pPr>
        <w:widowControl/>
        <w:shd w:val="clear"/>
        <w:spacing w:before="120" w:after="200" w:line="240" w:lineRule="atLeast"/>
        <w:ind w:left="960" w:firstLine="960" w:firstLineChars="400"/>
        <w:jc w:val="left"/>
        <w:rPr>
          <w:rFonts w:hint="eastAsia" w:ascii="宋体" w:hAnsi="宋体" w:cs="宋体"/>
          <w:color w:val="auto"/>
          <w:highlight w:val="none"/>
        </w:rPr>
      </w:pPr>
      <w:r>
        <w:rPr>
          <w:rFonts w:hint="eastAsia" w:ascii="宋体" w:hAnsi="宋体" w:cs="宋体"/>
          <w:color w:val="auto"/>
          <w:kern w:val="0"/>
          <w:highlight w:val="none"/>
          <w:lang w:bidi="ar"/>
        </w:rPr>
        <w:t>项目名称：</w:t>
      </w:r>
      <w:r>
        <w:rPr>
          <w:rFonts w:hint="eastAsia" w:ascii="宋体" w:hAnsi="宋体" w:cs="宋体"/>
          <w:color w:val="auto"/>
          <w:kern w:val="0"/>
          <w:highlight w:val="none"/>
          <w:u w:val="single"/>
          <w:lang w:bidi="ar"/>
        </w:rPr>
        <w:t xml:space="preserve">                                   </w:t>
      </w:r>
    </w:p>
    <w:p w14:paraId="591F8280">
      <w:pPr>
        <w:pStyle w:val="37"/>
        <w:widowControl w:val="0"/>
        <w:shd w:val="clear"/>
        <w:spacing w:before="120" w:beforeAutospacing="0" w:after="0" w:afterAutospacing="0" w:line="240" w:lineRule="atLeast"/>
        <w:ind w:firstLine="480"/>
        <w:jc w:val="both"/>
        <w:rPr>
          <w:rFonts w:hint="eastAsia" w:cs="宋体"/>
          <w:color w:val="auto"/>
          <w:kern w:val="2"/>
          <w:highlight w:val="none"/>
        </w:rPr>
      </w:pPr>
      <w:r>
        <w:rPr>
          <w:rFonts w:hint="eastAsia" w:cs="宋体"/>
          <w:color w:val="auto"/>
          <w:kern w:val="2"/>
          <w:highlight w:val="none"/>
          <w:lang w:bidi="ar"/>
        </w:rPr>
        <w:t xml:space="preserve"> </w:t>
      </w:r>
    </w:p>
    <w:p w14:paraId="28DE5260">
      <w:pPr>
        <w:pStyle w:val="37"/>
        <w:widowControl w:val="0"/>
        <w:shd w:val="clear"/>
        <w:spacing w:before="120" w:beforeAutospacing="0" w:after="0" w:afterAutospacing="0" w:line="240" w:lineRule="atLeast"/>
        <w:ind w:firstLine="480"/>
        <w:jc w:val="both"/>
        <w:rPr>
          <w:rFonts w:hint="eastAsia" w:cs="宋体"/>
          <w:color w:val="auto"/>
          <w:kern w:val="2"/>
          <w:highlight w:val="none"/>
        </w:rPr>
      </w:pPr>
      <w:r>
        <w:rPr>
          <w:rFonts w:hint="eastAsia" w:cs="宋体"/>
          <w:color w:val="auto"/>
          <w:kern w:val="2"/>
          <w:highlight w:val="none"/>
          <w:lang w:bidi="ar"/>
        </w:rPr>
        <w:t xml:space="preserve"> </w:t>
      </w:r>
    </w:p>
    <w:p w14:paraId="740AF999">
      <w:pPr>
        <w:widowControl/>
        <w:shd w:val="clear"/>
        <w:spacing w:beforeAutospacing="1" w:after="200"/>
        <w:ind w:firstLine="480"/>
        <w:jc w:val="left"/>
        <w:rPr>
          <w:rFonts w:hint="eastAsia" w:ascii="宋体" w:hAnsi="宋体" w:cs="宋体"/>
          <w:color w:val="auto"/>
          <w:highlight w:val="none"/>
        </w:rPr>
      </w:pPr>
      <w:r>
        <w:rPr>
          <w:rFonts w:hint="eastAsia" w:ascii="宋体" w:hAnsi="宋体" w:cs="宋体"/>
          <w:color w:val="auto"/>
          <w:kern w:val="0"/>
          <w:highlight w:val="none"/>
          <w:lang w:bidi="ar"/>
        </w:rPr>
        <w:t xml:space="preserve"> </w:t>
      </w:r>
    </w:p>
    <w:p w14:paraId="641662C8">
      <w:pPr>
        <w:widowControl/>
        <w:shd w:val="clear"/>
        <w:spacing w:before="120" w:after="200" w:line="240" w:lineRule="atLeast"/>
        <w:ind w:left="960" w:firstLine="720" w:firstLineChars="300"/>
        <w:jc w:val="left"/>
        <w:rPr>
          <w:rFonts w:hint="eastAsia" w:ascii="宋体" w:hAnsi="宋体" w:cs="宋体"/>
          <w:color w:val="auto"/>
          <w:highlight w:val="none"/>
          <w:u w:val="single"/>
        </w:rPr>
      </w:pPr>
      <w:r>
        <w:rPr>
          <w:rFonts w:hint="eastAsia" w:ascii="宋体" w:hAnsi="宋体" w:cs="宋体"/>
          <w:color w:val="auto"/>
          <w:kern w:val="0"/>
          <w:highlight w:val="none"/>
          <w:lang w:bidi="ar"/>
        </w:rPr>
        <w:t>甲方：</w:t>
      </w:r>
      <w:r>
        <w:rPr>
          <w:rFonts w:hint="eastAsia" w:ascii="宋体" w:hAnsi="宋体" w:cs="宋体"/>
          <w:color w:val="auto"/>
          <w:kern w:val="0"/>
          <w:highlight w:val="none"/>
          <w:u w:val="single"/>
          <w:lang w:bidi="ar"/>
        </w:rPr>
        <w:t xml:space="preserve">                                       </w:t>
      </w:r>
    </w:p>
    <w:p w14:paraId="49D88AC4">
      <w:pPr>
        <w:widowControl/>
        <w:shd w:val="clear"/>
        <w:spacing w:before="120" w:after="200" w:line="240" w:lineRule="atLeast"/>
        <w:ind w:firstLine="480"/>
        <w:jc w:val="left"/>
        <w:rPr>
          <w:rFonts w:hint="eastAsia" w:ascii="宋体" w:hAnsi="宋体" w:cs="宋体"/>
          <w:color w:val="auto"/>
          <w:highlight w:val="none"/>
        </w:rPr>
      </w:pPr>
      <w:r>
        <w:rPr>
          <w:rFonts w:hint="eastAsia" w:ascii="宋体" w:hAnsi="宋体" w:cs="宋体"/>
          <w:color w:val="auto"/>
          <w:kern w:val="0"/>
          <w:highlight w:val="none"/>
          <w:lang w:bidi="ar"/>
        </w:rPr>
        <w:t xml:space="preserve"> </w:t>
      </w:r>
    </w:p>
    <w:p w14:paraId="13506190">
      <w:pPr>
        <w:widowControl/>
        <w:shd w:val="clear"/>
        <w:spacing w:before="120" w:after="200" w:line="240" w:lineRule="atLeast"/>
        <w:ind w:left="960" w:firstLine="720" w:firstLineChars="300"/>
        <w:jc w:val="left"/>
        <w:rPr>
          <w:rFonts w:hint="eastAsia" w:ascii="宋体" w:hAnsi="宋体" w:cs="宋体"/>
          <w:color w:val="auto"/>
          <w:highlight w:val="none"/>
          <w:u w:val="single"/>
        </w:rPr>
      </w:pPr>
      <w:r>
        <w:rPr>
          <w:rFonts w:hint="eastAsia" w:ascii="宋体" w:hAnsi="宋体" w:cs="宋体"/>
          <w:color w:val="auto"/>
          <w:kern w:val="0"/>
          <w:highlight w:val="none"/>
          <w:lang w:bidi="ar"/>
        </w:rPr>
        <w:t>乙方：</w:t>
      </w:r>
      <w:r>
        <w:rPr>
          <w:rFonts w:hint="eastAsia" w:ascii="宋体" w:hAnsi="宋体" w:cs="宋体"/>
          <w:color w:val="auto"/>
          <w:kern w:val="0"/>
          <w:highlight w:val="none"/>
          <w:u w:val="single"/>
          <w:lang w:bidi="ar"/>
        </w:rPr>
        <w:t xml:space="preserve">                                       </w:t>
      </w:r>
    </w:p>
    <w:p w14:paraId="0DBB9B6C">
      <w:pPr>
        <w:widowControl/>
        <w:shd w:val="clear"/>
        <w:spacing w:before="120" w:after="200" w:line="240" w:lineRule="atLeast"/>
        <w:ind w:firstLine="480"/>
        <w:jc w:val="left"/>
        <w:rPr>
          <w:rFonts w:hint="eastAsia" w:ascii="宋体" w:hAnsi="宋体" w:cs="宋体"/>
          <w:color w:val="auto"/>
          <w:kern w:val="0"/>
          <w:highlight w:val="none"/>
          <w:lang w:bidi="ar"/>
        </w:rPr>
      </w:pPr>
      <w:r>
        <w:rPr>
          <w:rFonts w:hint="eastAsia" w:ascii="宋体" w:hAnsi="宋体" w:cs="宋体"/>
          <w:color w:val="auto"/>
          <w:kern w:val="0"/>
          <w:highlight w:val="none"/>
          <w:lang w:bidi="ar"/>
        </w:rPr>
        <w:t xml:space="preserve"> </w:t>
      </w:r>
    </w:p>
    <w:p w14:paraId="714623FF">
      <w:pPr>
        <w:pStyle w:val="16"/>
        <w:shd w:val="clear"/>
        <w:ind w:firstLine="480"/>
        <w:rPr>
          <w:color w:val="auto"/>
          <w:highlight w:val="none"/>
        </w:rPr>
      </w:pPr>
    </w:p>
    <w:p w14:paraId="2ADFDC75">
      <w:pPr>
        <w:widowControl/>
        <w:shd w:val="clear"/>
        <w:spacing w:before="120" w:after="200" w:line="240" w:lineRule="atLeast"/>
        <w:ind w:firstLine="1680" w:firstLineChars="700"/>
        <w:jc w:val="left"/>
        <w:rPr>
          <w:rFonts w:hint="eastAsia" w:ascii="宋体" w:hAnsi="宋体" w:cs="宋体"/>
          <w:color w:val="auto"/>
          <w:highlight w:val="none"/>
          <w:u w:val="single"/>
        </w:rPr>
      </w:pPr>
      <w:r>
        <w:rPr>
          <w:rFonts w:hint="eastAsia" w:ascii="宋体" w:hAnsi="宋体" w:cs="宋体"/>
          <w:color w:val="auto"/>
          <w:kern w:val="0"/>
          <w:highlight w:val="none"/>
          <w:lang w:bidi="ar"/>
        </w:rPr>
        <w:t>签订地：</w:t>
      </w:r>
      <w:r>
        <w:rPr>
          <w:rFonts w:hint="eastAsia" w:ascii="宋体" w:hAnsi="宋体" w:cs="宋体"/>
          <w:color w:val="auto"/>
          <w:kern w:val="0"/>
          <w:highlight w:val="none"/>
          <w:u w:val="single"/>
          <w:lang w:bidi="ar"/>
        </w:rPr>
        <w:t xml:space="preserve">                                     </w:t>
      </w:r>
    </w:p>
    <w:p w14:paraId="691940DB">
      <w:pPr>
        <w:widowControl/>
        <w:shd w:val="clear"/>
        <w:spacing w:before="120" w:after="200" w:line="240" w:lineRule="atLeast"/>
        <w:ind w:firstLine="480"/>
        <w:jc w:val="left"/>
        <w:rPr>
          <w:rFonts w:hint="eastAsia" w:ascii="宋体" w:hAnsi="宋体" w:cs="宋体"/>
          <w:color w:val="auto"/>
          <w:highlight w:val="none"/>
        </w:rPr>
      </w:pPr>
      <w:r>
        <w:rPr>
          <w:rFonts w:hint="eastAsia" w:ascii="宋体" w:hAnsi="宋体" w:cs="宋体"/>
          <w:color w:val="auto"/>
          <w:kern w:val="0"/>
          <w:highlight w:val="none"/>
          <w:lang w:bidi="ar"/>
        </w:rPr>
        <w:t xml:space="preserve"> </w:t>
      </w:r>
    </w:p>
    <w:p w14:paraId="08D9EEEC">
      <w:pPr>
        <w:widowControl/>
        <w:shd w:val="clear"/>
        <w:spacing w:before="120" w:after="200" w:line="240" w:lineRule="atLeast"/>
        <w:ind w:firstLine="1680" w:firstLineChars="700"/>
        <w:jc w:val="left"/>
        <w:rPr>
          <w:rFonts w:hint="eastAsia" w:ascii="宋体" w:hAnsi="宋体" w:cs="宋体"/>
          <w:color w:val="auto"/>
          <w:highlight w:val="none"/>
          <w:u w:val="single"/>
        </w:rPr>
      </w:pPr>
      <w:r>
        <w:rPr>
          <w:rFonts w:hint="eastAsia" w:ascii="宋体" w:hAnsi="宋体" w:cs="宋体"/>
          <w:color w:val="auto"/>
          <w:kern w:val="0"/>
          <w:highlight w:val="none"/>
          <w:lang w:bidi="ar"/>
        </w:rPr>
        <w:t>签订日期：</w:t>
      </w:r>
      <w:r>
        <w:rPr>
          <w:rFonts w:hint="eastAsia" w:ascii="宋体" w:hAnsi="宋体" w:cs="宋体"/>
          <w:color w:val="auto"/>
          <w:kern w:val="0"/>
          <w:highlight w:val="none"/>
          <w:u w:val="single"/>
          <w:lang w:bidi="ar"/>
        </w:rPr>
        <w:t xml:space="preserve">               </w:t>
      </w:r>
      <w:r>
        <w:rPr>
          <w:rFonts w:hint="eastAsia" w:ascii="宋体" w:hAnsi="宋体" w:cs="宋体"/>
          <w:color w:val="auto"/>
          <w:kern w:val="0"/>
          <w:highlight w:val="none"/>
          <w:lang w:bidi="ar"/>
        </w:rPr>
        <w:t>年</w:t>
      </w:r>
      <w:r>
        <w:rPr>
          <w:rFonts w:hint="eastAsia" w:ascii="宋体" w:hAnsi="宋体" w:cs="宋体"/>
          <w:color w:val="auto"/>
          <w:kern w:val="0"/>
          <w:highlight w:val="none"/>
          <w:u w:val="single"/>
          <w:lang w:bidi="ar"/>
        </w:rPr>
        <w:t xml:space="preserve">       </w:t>
      </w:r>
      <w:r>
        <w:rPr>
          <w:rFonts w:hint="eastAsia" w:ascii="宋体" w:hAnsi="宋体" w:cs="宋体"/>
          <w:color w:val="auto"/>
          <w:kern w:val="0"/>
          <w:highlight w:val="none"/>
          <w:lang w:bidi="ar"/>
        </w:rPr>
        <w:t>月</w:t>
      </w:r>
      <w:r>
        <w:rPr>
          <w:rFonts w:hint="eastAsia" w:ascii="宋体" w:hAnsi="宋体" w:cs="宋体"/>
          <w:color w:val="auto"/>
          <w:kern w:val="0"/>
          <w:highlight w:val="none"/>
          <w:u w:val="single"/>
          <w:lang w:bidi="ar"/>
        </w:rPr>
        <w:t xml:space="preserve">       </w:t>
      </w:r>
      <w:r>
        <w:rPr>
          <w:rFonts w:hint="eastAsia" w:ascii="宋体" w:hAnsi="宋体" w:cs="宋体"/>
          <w:color w:val="auto"/>
          <w:kern w:val="0"/>
          <w:highlight w:val="none"/>
          <w:lang w:bidi="ar"/>
        </w:rPr>
        <w:t>日</w:t>
      </w:r>
    </w:p>
    <w:p w14:paraId="6B7B0AA4">
      <w:pPr>
        <w:shd w:val="clear"/>
        <w:ind w:firstLine="480"/>
        <w:rPr>
          <w:rFonts w:hint="eastAsia" w:ascii="宋体" w:hAnsi="宋体" w:cs="宋体"/>
          <w:color w:val="auto"/>
          <w:highlight w:val="none"/>
        </w:rPr>
        <w:sectPr>
          <w:headerReference r:id="rId7" w:type="first"/>
          <w:footerReference r:id="rId9" w:type="first"/>
          <w:headerReference r:id="rId5" w:type="default"/>
          <w:footerReference r:id="rId8" w:type="default"/>
          <w:headerReference r:id="rId6" w:type="even"/>
          <w:pgSz w:w="11907" w:h="16840"/>
          <w:pgMar w:top="1440" w:right="1080" w:bottom="1440" w:left="1080" w:header="737" w:footer="851" w:gutter="0"/>
          <w:pgBorders>
            <w:top w:val="thinThickSmallGap" w:color="auto" w:sz="12" w:space="10"/>
            <w:left w:val="none" w:sz="0" w:space="0"/>
            <w:bottom w:val="thinThickSmallGap" w:color="auto" w:sz="12" w:space="10"/>
            <w:right w:val="none" w:sz="0" w:space="0"/>
          </w:pgBorders>
          <w:cols w:space="720" w:num="1"/>
          <w:titlePg/>
          <w:docGrid w:type="lines" w:linePitch="436" w:charSpace="0"/>
        </w:sectPr>
      </w:pPr>
    </w:p>
    <w:p w14:paraId="09C01ED3">
      <w:pPr>
        <w:widowControl/>
        <w:shd w:val="clear"/>
        <w:spacing w:line="312" w:lineRule="auto"/>
        <w:ind w:firstLine="0" w:firstLineChars="0"/>
        <w:jc w:val="center"/>
        <w:outlineLvl w:val="1"/>
        <w:rPr>
          <w:rFonts w:hint="eastAsia" w:ascii="宋体" w:hAnsi="宋体" w:cs="宋体"/>
          <w:color w:val="auto"/>
          <w:sz w:val="32"/>
          <w:szCs w:val="32"/>
          <w:highlight w:val="none"/>
          <w:lang w:bidi="ar"/>
        </w:rPr>
      </w:pPr>
      <w:r>
        <w:rPr>
          <w:rFonts w:hint="eastAsia" w:ascii="宋体" w:hAnsi="宋体" w:cs="宋体"/>
          <w:color w:val="auto"/>
          <w:sz w:val="32"/>
          <w:szCs w:val="32"/>
          <w:highlight w:val="none"/>
          <w:lang w:eastAsia="zh-CN" w:bidi="ar"/>
        </w:rPr>
        <w:t xml:space="preserve"> 捷马化工股份有限公司宝塔路地块风险管控项目环境监理采购项目</w:t>
      </w:r>
      <w:r>
        <w:rPr>
          <w:rFonts w:hint="eastAsia" w:ascii="宋体" w:hAnsi="宋体" w:cs="宋体"/>
          <w:color w:val="auto"/>
          <w:sz w:val="32"/>
          <w:szCs w:val="32"/>
          <w:highlight w:val="none"/>
          <w:lang w:bidi="ar"/>
        </w:rPr>
        <w:t>采购合同</w:t>
      </w:r>
    </w:p>
    <w:p w14:paraId="2A6B3E20">
      <w:pPr>
        <w:widowControl/>
        <w:shd w:val="clear"/>
        <w:spacing w:line="240" w:lineRule="auto"/>
        <w:ind w:firstLine="480"/>
        <w:jc w:val="left"/>
        <w:rPr>
          <w:rFonts w:hint="eastAsia" w:ascii="宋体" w:hAnsi="宋体" w:cs="宋体"/>
          <w:color w:val="auto"/>
          <w:kern w:val="0"/>
          <w:highlight w:val="none"/>
          <w:lang w:bidi="ar"/>
        </w:rPr>
      </w:pPr>
      <w:r>
        <w:rPr>
          <w:rFonts w:hint="eastAsia" w:ascii="宋体" w:hAnsi="宋体" w:cs="宋体"/>
          <w:color w:val="auto"/>
          <w:kern w:val="0"/>
          <w:highlight w:val="none"/>
          <w:lang w:bidi="ar"/>
        </w:rPr>
        <w:t>项目名称：</w:t>
      </w:r>
      <w:r>
        <w:rPr>
          <w:rFonts w:hint="eastAsia" w:ascii="宋体" w:hAnsi="宋体" w:cs="宋体"/>
          <w:color w:val="auto"/>
          <w:kern w:val="0"/>
          <w:highlight w:val="none"/>
          <w:u w:val="single"/>
          <w:lang w:bidi="ar"/>
        </w:rPr>
        <w:t xml:space="preserve">                </w:t>
      </w:r>
    </w:p>
    <w:p w14:paraId="6F3B1150">
      <w:pPr>
        <w:widowControl/>
        <w:shd w:val="clear"/>
        <w:spacing w:line="240" w:lineRule="auto"/>
        <w:ind w:firstLine="480"/>
        <w:jc w:val="left"/>
        <w:rPr>
          <w:rFonts w:hint="eastAsia" w:ascii="宋体" w:hAnsi="宋体" w:cs="宋体"/>
          <w:color w:val="auto"/>
          <w:kern w:val="0"/>
          <w:highlight w:val="none"/>
          <w:lang w:bidi="ar"/>
        </w:rPr>
      </w:pPr>
      <w:r>
        <w:rPr>
          <w:rFonts w:hint="eastAsia" w:ascii="宋体" w:hAnsi="宋体" w:cs="宋体"/>
          <w:color w:val="auto"/>
          <w:kern w:val="0"/>
          <w:highlight w:val="none"/>
          <w:lang w:bidi="ar"/>
        </w:rPr>
        <w:t>项目编号：</w:t>
      </w:r>
      <w:r>
        <w:rPr>
          <w:rFonts w:hint="eastAsia" w:ascii="宋体" w:hAnsi="宋体" w:cs="宋体"/>
          <w:color w:val="auto"/>
          <w:kern w:val="0"/>
          <w:highlight w:val="none"/>
          <w:u w:val="single"/>
          <w:lang w:bidi="ar"/>
        </w:rPr>
        <w:t xml:space="preserve">                </w:t>
      </w:r>
    </w:p>
    <w:p w14:paraId="48141309">
      <w:pPr>
        <w:widowControl/>
        <w:shd w:val="clear"/>
        <w:spacing w:line="240" w:lineRule="auto"/>
        <w:ind w:firstLine="480"/>
        <w:jc w:val="left"/>
        <w:rPr>
          <w:rFonts w:hint="eastAsia" w:ascii="宋体" w:hAnsi="宋体" w:cs="宋体"/>
          <w:color w:val="auto"/>
          <w:highlight w:val="none"/>
        </w:rPr>
      </w:pPr>
      <w:r>
        <w:rPr>
          <w:rFonts w:hint="eastAsia" w:ascii="宋体" w:hAnsi="宋体" w:cs="宋体"/>
          <w:color w:val="auto"/>
          <w:kern w:val="0"/>
          <w:highlight w:val="none"/>
          <w:lang w:bidi="ar"/>
        </w:rPr>
        <w:t>甲方：</w:t>
      </w:r>
      <w:r>
        <w:rPr>
          <w:rFonts w:hint="eastAsia" w:ascii="宋体" w:hAnsi="宋体" w:cs="宋体"/>
          <w:color w:val="auto"/>
          <w:kern w:val="0"/>
          <w:highlight w:val="none"/>
          <w:u w:val="single"/>
          <w:lang w:bidi="ar"/>
        </w:rPr>
        <w:t xml:space="preserve">                </w:t>
      </w:r>
    </w:p>
    <w:p w14:paraId="452B2C8A">
      <w:pPr>
        <w:widowControl/>
        <w:shd w:val="clear"/>
        <w:spacing w:line="240" w:lineRule="auto"/>
        <w:ind w:firstLine="480"/>
        <w:jc w:val="left"/>
        <w:rPr>
          <w:rFonts w:hint="eastAsia" w:ascii="宋体" w:hAnsi="宋体" w:cs="宋体"/>
          <w:color w:val="auto"/>
          <w:kern w:val="0"/>
          <w:highlight w:val="none"/>
          <w:u w:val="single"/>
          <w:lang w:bidi="ar"/>
        </w:rPr>
      </w:pPr>
      <w:r>
        <w:rPr>
          <w:rFonts w:hint="eastAsia" w:ascii="宋体" w:hAnsi="宋体" w:cs="宋体"/>
          <w:color w:val="auto"/>
          <w:kern w:val="0"/>
          <w:highlight w:val="none"/>
          <w:lang w:bidi="ar"/>
        </w:rPr>
        <w:t>乙方：</w:t>
      </w:r>
      <w:r>
        <w:rPr>
          <w:rFonts w:hint="eastAsia" w:ascii="宋体" w:hAnsi="宋体" w:cs="宋体"/>
          <w:color w:val="auto"/>
          <w:kern w:val="0"/>
          <w:highlight w:val="none"/>
          <w:u w:val="single"/>
          <w:lang w:bidi="ar"/>
        </w:rPr>
        <w:t xml:space="preserve">                </w:t>
      </w:r>
    </w:p>
    <w:p w14:paraId="7EEA6ED6">
      <w:pPr>
        <w:keepNext w:val="0"/>
        <w:keepLines w:val="0"/>
        <w:pageBreakBefore w:val="0"/>
        <w:widowControl/>
        <w:shd w:val="clear"/>
        <w:kinsoku/>
        <w:wordWrap/>
        <w:overflowPunct/>
        <w:topLinePunct w:val="0"/>
        <w:autoSpaceDE/>
        <w:autoSpaceDN/>
        <w:bidi w:val="0"/>
        <w:adjustRightInd w:val="0"/>
        <w:snapToGrid w:val="0"/>
        <w:spacing w:line="320" w:lineRule="exact"/>
        <w:ind w:left="0" w:leftChars="0" w:right="0" w:rightChars="0" w:firstLine="480" w:firstLineChars="200"/>
        <w:textAlignment w:val="auto"/>
        <w:rPr>
          <w:rFonts w:hint="eastAsia" w:ascii="宋体" w:hAnsi="宋体" w:eastAsia="宋体" w:cs="宋体"/>
          <w:color w:val="auto"/>
          <w:sz w:val="24"/>
          <w:szCs w:val="24"/>
          <w:highlight w:val="none"/>
          <w:lang w:bidi="ar-SA"/>
        </w:rPr>
      </w:pPr>
      <w:bookmarkStart w:id="294" w:name="_Toc2608"/>
      <w:bookmarkStart w:id="295" w:name="_Toc402"/>
      <w:bookmarkStart w:id="296" w:name="_Toc17433"/>
      <w:bookmarkStart w:id="297" w:name="_Toc30082"/>
      <w:bookmarkStart w:id="298" w:name="_Toc3092"/>
      <w:bookmarkStart w:id="299" w:name="_Toc13999"/>
      <w:bookmarkStart w:id="300" w:name="_Toc23183"/>
      <w:bookmarkStart w:id="301" w:name="_Toc12691"/>
      <w:bookmarkStart w:id="302" w:name="_Toc14192"/>
      <w:bookmarkStart w:id="303" w:name="_Toc3002"/>
      <w:bookmarkStart w:id="304" w:name="_Toc27623"/>
      <w:r>
        <w:rPr>
          <w:rFonts w:hint="eastAsia" w:ascii="宋体" w:hAnsi="宋体" w:eastAsia="宋体" w:cs="宋体"/>
          <w:color w:val="auto"/>
          <w:sz w:val="24"/>
          <w:szCs w:val="24"/>
          <w:highlight w:val="none"/>
          <w:u w:val="none"/>
          <w:lang w:val="en-US" w:bidi="ar-SA"/>
        </w:rPr>
        <w:t xml:space="preserve"> </w:t>
      </w:r>
      <w:r>
        <w:rPr>
          <w:rFonts w:hint="eastAsia" w:ascii="宋体" w:hAnsi="宋体" w:eastAsia="宋体" w:cs="宋体"/>
          <w:color w:val="auto"/>
          <w:sz w:val="24"/>
          <w:szCs w:val="24"/>
          <w:highlight w:val="none"/>
          <w:u w:val="single"/>
          <w:lang w:val="en-US" w:bidi="ar-SA"/>
        </w:rPr>
        <w:t xml:space="preserve">       </w:t>
      </w:r>
      <w:r>
        <w:rPr>
          <w:rFonts w:hint="eastAsia" w:ascii="宋体" w:hAnsi="宋体" w:eastAsia="宋体" w:cs="宋体"/>
          <w:color w:val="auto"/>
          <w:sz w:val="24"/>
          <w:szCs w:val="24"/>
          <w:highlight w:val="none"/>
          <w:lang w:val="en-US" w:bidi="ar-SA"/>
        </w:rPr>
        <w:t>年</w:t>
      </w:r>
      <w:r>
        <w:rPr>
          <w:rFonts w:hint="eastAsia" w:ascii="宋体" w:hAnsi="宋体" w:eastAsia="宋体" w:cs="宋体"/>
          <w:color w:val="auto"/>
          <w:sz w:val="24"/>
          <w:szCs w:val="24"/>
          <w:highlight w:val="none"/>
          <w:u w:val="single"/>
          <w:lang w:val="en-US" w:bidi="ar-SA"/>
        </w:rPr>
        <w:t xml:space="preserve">  </w:t>
      </w:r>
      <w:r>
        <w:rPr>
          <w:rFonts w:hint="eastAsia" w:ascii="宋体" w:hAnsi="宋体" w:eastAsia="宋体" w:cs="宋体"/>
          <w:color w:val="auto"/>
          <w:sz w:val="24"/>
          <w:szCs w:val="24"/>
          <w:highlight w:val="none"/>
          <w:lang w:val="en-US" w:bidi="ar-SA"/>
        </w:rPr>
        <w:t>月</w:t>
      </w:r>
      <w:r>
        <w:rPr>
          <w:rFonts w:hint="eastAsia" w:ascii="宋体" w:hAnsi="宋体" w:eastAsia="宋体" w:cs="宋体"/>
          <w:color w:val="auto"/>
          <w:sz w:val="24"/>
          <w:szCs w:val="24"/>
          <w:highlight w:val="none"/>
          <w:u w:val="single"/>
          <w:lang w:val="en-US" w:bidi="ar-SA"/>
        </w:rPr>
        <w:t xml:space="preserve">  </w:t>
      </w:r>
      <w:r>
        <w:rPr>
          <w:rFonts w:hint="eastAsia" w:ascii="宋体" w:hAnsi="宋体" w:eastAsia="宋体" w:cs="宋体"/>
          <w:color w:val="auto"/>
          <w:sz w:val="24"/>
          <w:szCs w:val="24"/>
          <w:highlight w:val="none"/>
          <w:lang w:val="en-US" w:bidi="ar-SA"/>
        </w:rPr>
        <w:t>日</w:t>
      </w:r>
      <w:r>
        <w:rPr>
          <w:rFonts w:hint="eastAsia" w:ascii="宋体" w:hAnsi="宋体" w:eastAsia="宋体" w:cs="宋体"/>
          <w:color w:val="auto"/>
          <w:sz w:val="24"/>
          <w:szCs w:val="24"/>
          <w:highlight w:val="none"/>
          <w:lang w:bidi="ar-SA"/>
        </w:rPr>
        <w:t>，</w:t>
      </w:r>
      <w:r>
        <w:rPr>
          <w:rFonts w:hint="eastAsia" w:ascii="宋体" w:hAnsi="宋体" w:eastAsia="宋体" w:cs="宋体"/>
          <w:color w:val="auto"/>
          <w:sz w:val="24"/>
          <w:szCs w:val="24"/>
          <w:highlight w:val="none"/>
          <w:u w:val="single"/>
          <w:lang w:bidi="ar-SA"/>
        </w:rPr>
        <w:t xml:space="preserve">  （采购人）  </w:t>
      </w:r>
      <w:r>
        <w:rPr>
          <w:rFonts w:hint="eastAsia" w:ascii="宋体" w:hAnsi="宋体" w:eastAsia="宋体" w:cs="宋体"/>
          <w:color w:val="auto"/>
          <w:sz w:val="24"/>
          <w:szCs w:val="24"/>
          <w:highlight w:val="none"/>
          <w:lang w:bidi="ar-SA"/>
        </w:rPr>
        <w:t>以</w:t>
      </w:r>
      <w:r>
        <w:rPr>
          <w:rFonts w:hint="eastAsia" w:ascii="宋体" w:hAnsi="宋体" w:eastAsia="宋体" w:cs="宋体"/>
          <w:color w:val="auto"/>
          <w:sz w:val="24"/>
          <w:szCs w:val="24"/>
          <w:highlight w:val="none"/>
          <w:u w:val="single"/>
          <w:lang w:bidi="ar-SA"/>
        </w:rPr>
        <w:t xml:space="preserve">  （采购方式） </w:t>
      </w:r>
      <w:r>
        <w:rPr>
          <w:rFonts w:hint="eastAsia" w:ascii="宋体" w:hAnsi="宋体" w:eastAsia="宋体" w:cs="宋体"/>
          <w:color w:val="auto"/>
          <w:sz w:val="24"/>
          <w:szCs w:val="24"/>
          <w:highlight w:val="none"/>
          <w:lang w:bidi="ar-SA"/>
        </w:rPr>
        <w:t>对</w:t>
      </w:r>
      <w:r>
        <w:rPr>
          <w:rFonts w:hint="eastAsia" w:ascii="宋体" w:hAnsi="宋体" w:eastAsia="宋体" w:cs="宋体"/>
          <w:color w:val="auto"/>
          <w:sz w:val="24"/>
          <w:szCs w:val="24"/>
          <w:highlight w:val="none"/>
          <w:u w:val="none"/>
          <w:lang w:bidi="ar-SA"/>
        </w:rPr>
        <w:t xml:space="preserve"> </w:t>
      </w:r>
      <w:r>
        <w:rPr>
          <w:rFonts w:hint="eastAsia" w:ascii="宋体" w:hAnsi="宋体" w:eastAsia="宋体" w:cs="宋体"/>
          <w:color w:val="auto"/>
          <w:sz w:val="24"/>
          <w:szCs w:val="24"/>
          <w:highlight w:val="none"/>
          <w:u w:val="single"/>
          <w:lang w:bidi="ar-SA"/>
        </w:rPr>
        <w:t>（项目名称）</w:t>
      </w:r>
      <w:r>
        <w:rPr>
          <w:rFonts w:hint="eastAsia" w:ascii="宋体" w:hAnsi="宋体" w:eastAsia="宋体" w:cs="宋体"/>
          <w:color w:val="auto"/>
          <w:sz w:val="24"/>
          <w:szCs w:val="24"/>
          <w:highlight w:val="none"/>
          <w:lang w:bidi="ar-SA"/>
        </w:rPr>
        <w:t>项目进行了采购。经</w:t>
      </w:r>
      <w:r>
        <w:rPr>
          <w:rFonts w:hint="eastAsia" w:ascii="宋体" w:hAnsi="宋体" w:eastAsia="宋体" w:cs="宋体"/>
          <w:color w:val="auto"/>
          <w:sz w:val="24"/>
          <w:szCs w:val="24"/>
          <w:highlight w:val="none"/>
          <w:u w:val="none"/>
          <w:lang w:bidi="ar-SA"/>
        </w:rPr>
        <w:t xml:space="preserve"> </w:t>
      </w:r>
      <w:r>
        <w:rPr>
          <w:rFonts w:hint="eastAsia" w:ascii="宋体" w:hAnsi="宋体" w:eastAsia="宋体" w:cs="宋体"/>
          <w:color w:val="auto"/>
          <w:sz w:val="24"/>
          <w:szCs w:val="24"/>
          <w:highlight w:val="none"/>
          <w:u w:val="single"/>
          <w:lang w:bidi="ar-SA"/>
        </w:rPr>
        <w:t xml:space="preserve"> （相关评定主体名称） </w:t>
      </w:r>
      <w:r>
        <w:rPr>
          <w:rFonts w:hint="eastAsia" w:ascii="宋体" w:hAnsi="宋体" w:eastAsia="宋体" w:cs="宋体"/>
          <w:color w:val="auto"/>
          <w:sz w:val="24"/>
          <w:szCs w:val="24"/>
          <w:highlight w:val="none"/>
          <w:lang w:bidi="ar-SA"/>
        </w:rPr>
        <w:t>评定，</w:t>
      </w:r>
      <w:r>
        <w:rPr>
          <w:rFonts w:hint="eastAsia" w:ascii="宋体" w:hAnsi="宋体" w:eastAsia="宋体" w:cs="宋体"/>
          <w:color w:val="auto"/>
          <w:sz w:val="24"/>
          <w:szCs w:val="24"/>
          <w:highlight w:val="none"/>
          <w:u w:val="single"/>
          <w:lang w:bidi="ar-SA"/>
        </w:rPr>
        <w:t>（</w:t>
      </w:r>
      <w:r>
        <w:rPr>
          <w:rFonts w:hint="eastAsia" w:ascii="宋体" w:hAnsi="宋体" w:eastAsia="宋体" w:cs="宋体"/>
          <w:color w:val="auto"/>
          <w:sz w:val="24"/>
          <w:szCs w:val="24"/>
          <w:highlight w:val="none"/>
          <w:u w:val="single"/>
          <w:lang w:val="en-US" w:eastAsia="zh-CN" w:bidi="ar-SA"/>
        </w:rPr>
        <w:t>中标人</w:t>
      </w:r>
      <w:r>
        <w:rPr>
          <w:rFonts w:hint="eastAsia" w:ascii="宋体" w:hAnsi="宋体" w:eastAsia="宋体" w:cs="宋体"/>
          <w:color w:val="auto"/>
          <w:sz w:val="24"/>
          <w:szCs w:val="24"/>
          <w:highlight w:val="none"/>
          <w:u w:val="single"/>
          <w:lang w:bidi="ar-SA"/>
        </w:rPr>
        <w:t xml:space="preserve">名称） </w:t>
      </w:r>
      <w:r>
        <w:rPr>
          <w:rFonts w:hint="eastAsia" w:ascii="宋体" w:hAnsi="宋体" w:eastAsia="宋体" w:cs="宋体"/>
          <w:color w:val="auto"/>
          <w:sz w:val="24"/>
          <w:szCs w:val="24"/>
          <w:highlight w:val="none"/>
          <w:lang w:bidi="ar-SA"/>
        </w:rPr>
        <w:t>为该项</w:t>
      </w:r>
      <w:r>
        <w:rPr>
          <w:rFonts w:hint="eastAsia" w:ascii="宋体" w:hAnsi="宋体" w:eastAsia="宋体" w:cs="宋体"/>
          <w:color w:val="auto"/>
          <w:sz w:val="24"/>
          <w:szCs w:val="24"/>
          <w:highlight w:val="none"/>
          <w:lang w:eastAsia="zh-CN" w:bidi="ar-SA"/>
        </w:rPr>
        <w:t>目中标人</w:t>
      </w:r>
      <w:r>
        <w:rPr>
          <w:rFonts w:hint="eastAsia" w:ascii="宋体" w:hAnsi="宋体" w:eastAsia="宋体" w:cs="宋体"/>
          <w:color w:val="auto"/>
          <w:sz w:val="24"/>
          <w:szCs w:val="24"/>
          <w:highlight w:val="none"/>
          <w:lang w:bidi="ar-SA"/>
        </w:rPr>
        <w:t>。现</w:t>
      </w:r>
      <w:r>
        <w:rPr>
          <w:rFonts w:hint="eastAsia" w:ascii="宋体" w:hAnsi="宋体" w:eastAsia="宋体" w:cs="宋体"/>
          <w:color w:val="auto"/>
          <w:sz w:val="24"/>
          <w:szCs w:val="24"/>
          <w:highlight w:val="none"/>
          <w:lang w:val="en-US" w:bidi="ar-SA"/>
        </w:rPr>
        <w:t>根据《中华人民共和国民法典》《中华人民共和国政府采购法》等相关法律法规之规定，按照平等、自愿、公平和诚实信用的原则，</w:t>
      </w:r>
      <w:r>
        <w:rPr>
          <w:rFonts w:hint="eastAsia" w:ascii="宋体" w:hAnsi="宋体" w:eastAsia="宋体" w:cs="宋体"/>
          <w:color w:val="auto"/>
          <w:sz w:val="24"/>
          <w:szCs w:val="24"/>
          <w:highlight w:val="none"/>
          <w:u w:val="single"/>
          <w:lang w:bidi="ar-SA"/>
        </w:rPr>
        <w:t>（采购人）</w:t>
      </w:r>
      <w:r>
        <w:rPr>
          <w:rFonts w:hint="eastAsia" w:ascii="宋体" w:hAnsi="宋体" w:eastAsia="宋体" w:cs="宋体"/>
          <w:color w:val="auto"/>
          <w:sz w:val="24"/>
          <w:szCs w:val="24"/>
          <w:highlight w:val="none"/>
          <w:u w:val="single"/>
          <w:lang w:val="en-US" w:bidi="ar-SA"/>
        </w:rPr>
        <w:t>(以下简称：甲方)</w:t>
      </w:r>
      <w:r>
        <w:rPr>
          <w:rFonts w:hint="eastAsia" w:ascii="宋体" w:hAnsi="宋体" w:eastAsia="宋体" w:cs="宋体"/>
          <w:color w:val="auto"/>
          <w:sz w:val="24"/>
          <w:szCs w:val="24"/>
          <w:highlight w:val="none"/>
          <w:lang w:val="en-US" w:bidi="ar-SA"/>
        </w:rPr>
        <w:t>和</w:t>
      </w:r>
      <w:r>
        <w:rPr>
          <w:rFonts w:hint="eastAsia" w:ascii="宋体" w:hAnsi="宋体" w:eastAsia="宋体" w:cs="宋体"/>
          <w:color w:val="auto"/>
          <w:sz w:val="24"/>
          <w:szCs w:val="24"/>
          <w:highlight w:val="none"/>
          <w:u w:val="single"/>
          <w:lang w:eastAsia="zh-CN" w:bidi="ar-SA"/>
        </w:rPr>
        <w:t>（中标人</w:t>
      </w:r>
      <w:r>
        <w:rPr>
          <w:rFonts w:hint="eastAsia" w:ascii="宋体" w:hAnsi="宋体" w:eastAsia="宋体" w:cs="宋体"/>
          <w:color w:val="auto"/>
          <w:sz w:val="24"/>
          <w:szCs w:val="24"/>
          <w:highlight w:val="none"/>
          <w:u w:val="single"/>
          <w:lang w:bidi="ar-SA"/>
        </w:rPr>
        <w:t>名称）</w:t>
      </w:r>
      <w:r>
        <w:rPr>
          <w:rFonts w:hint="eastAsia" w:ascii="宋体" w:hAnsi="宋体" w:eastAsia="宋体" w:cs="宋体"/>
          <w:color w:val="auto"/>
          <w:sz w:val="24"/>
          <w:szCs w:val="24"/>
          <w:highlight w:val="none"/>
          <w:u w:val="single"/>
          <w:lang w:val="en-US" w:bidi="ar-SA"/>
        </w:rPr>
        <w:t>(以下简称：乙</w:t>
      </w:r>
      <w:r>
        <w:rPr>
          <w:rFonts w:hint="eastAsia" w:ascii="宋体" w:hAnsi="宋体" w:cs="宋体"/>
          <w:color w:val="auto"/>
          <w:sz w:val="24"/>
          <w:szCs w:val="24"/>
          <w:highlight w:val="none"/>
          <w:u w:val="single"/>
          <w:lang w:val="en-US" w:eastAsia="zh-CN" w:bidi="ar-SA"/>
        </w:rPr>
        <w:t>方）</w:t>
      </w:r>
      <w:r>
        <w:rPr>
          <w:rFonts w:hint="eastAsia" w:ascii="宋体" w:hAnsi="宋体" w:cs="宋体"/>
          <w:strike w:val="0"/>
          <w:dstrike w:val="0"/>
          <w:color w:val="auto"/>
          <w:sz w:val="24"/>
          <w:szCs w:val="24"/>
          <w:highlight w:val="none"/>
          <w:lang w:val="en-US" w:eastAsia="zh-CN" w:bidi="ar-SA"/>
        </w:rPr>
        <w:t>共同签订</w:t>
      </w:r>
      <w:r>
        <w:rPr>
          <w:rFonts w:hint="eastAsia" w:ascii="宋体" w:hAnsi="宋体" w:eastAsia="宋体" w:cs="宋体"/>
          <w:color w:val="auto"/>
          <w:sz w:val="24"/>
          <w:szCs w:val="24"/>
          <w:highlight w:val="none"/>
          <w:lang w:val="en-US" w:bidi="ar-SA"/>
        </w:rPr>
        <w:t>以下合同</w:t>
      </w:r>
      <w:r>
        <w:rPr>
          <w:rFonts w:hint="eastAsia" w:ascii="宋体" w:hAnsi="宋体" w:eastAsia="宋体" w:cs="宋体"/>
          <w:color w:val="auto"/>
          <w:sz w:val="24"/>
          <w:szCs w:val="24"/>
          <w:highlight w:val="none"/>
          <w:lang w:bidi="ar-SA"/>
        </w:rPr>
        <w:t>条款，以兹共同遵守、全面履行。</w:t>
      </w:r>
    </w:p>
    <w:bookmarkEnd w:id="294"/>
    <w:bookmarkEnd w:id="295"/>
    <w:bookmarkEnd w:id="296"/>
    <w:bookmarkEnd w:id="297"/>
    <w:bookmarkEnd w:id="298"/>
    <w:bookmarkEnd w:id="299"/>
    <w:bookmarkEnd w:id="300"/>
    <w:bookmarkEnd w:id="301"/>
    <w:bookmarkEnd w:id="302"/>
    <w:bookmarkEnd w:id="303"/>
    <w:bookmarkEnd w:id="304"/>
    <w:p w14:paraId="42B6FA26">
      <w:pPr>
        <w:keepNext w:val="0"/>
        <w:keepLines w:val="0"/>
        <w:pageBreakBefore w:val="0"/>
        <w:widowControl/>
        <w:numPr>
          <w:ilvl w:val="0"/>
          <w:numId w:val="0"/>
        </w:numPr>
        <w:shd w:val="clear"/>
        <w:kinsoku/>
        <w:wordWrap/>
        <w:overflowPunct/>
        <w:topLinePunct w:val="0"/>
        <w:autoSpaceDE/>
        <w:autoSpaceDN/>
        <w:bidi w:val="0"/>
        <w:adjustRightInd/>
        <w:snapToGrid w:val="0"/>
        <w:spacing w:line="320" w:lineRule="exact"/>
        <w:ind w:firstLine="482" w:firstLineChars="200"/>
        <w:textAlignment w:val="auto"/>
        <w:outlineLvl w:val="1"/>
        <w:rPr>
          <w:rFonts w:hint="eastAsia" w:ascii="宋体" w:hAnsi="宋体" w:eastAsia="宋体" w:cs="宋体"/>
          <w:b/>
          <w:bCs/>
          <w:color w:val="auto"/>
          <w:sz w:val="24"/>
          <w:szCs w:val="24"/>
          <w:highlight w:val="none"/>
        </w:rPr>
      </w:pPr>
      <w:bookmarkStart w:id="305" w:name="_Toc2417"/>
      <w:bookmarkStart w:id="306" w:name="_Toc9696"/>
      <w:bookmarkStart w:id="307" w:name="_Toc27107"/>
      <w:bookmarkStart w:id="308" w:name="_Toc25115"/>
      <w:bookmarkStart w:id="309" w:name="_Toc8621"/>
      <w:bookmarkStart w:id="310" w:name="_Toc12334"/>
      <w:bookmarkStart w:id="311" w:name="_Toc17619"/>
      <w:bookmarkStart w:id="312" w:name="_Toc1816"/>
      <w:bookmarkStart w:id="313" w:name="_Toc26003"/>
      <w:bookmarkStart w:id="314" w:name="_Toc21698"/>
      <w:bookmarkStart w:id="315" w:name="_Toc26054"/>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、合同文件组成</w:t>
      </w:r>
    </w:p>
    <w:p w14:paraId="7AC4BA48">
      <w:pPr>
        <w:keepNext w:val="0"/>
        <w:keepLines w:val="0"/>
        <w:pageBreakBefore w:val="0"/>
        <w:widowControl/>
        <w:shd w:val="clear"/>
        <w:kinsoku/>
        <w:wordWrap/>
        <w:overflowPunct/>
        <w:topLinePunct w:val="0"/>
        <w:autoSpaceDE/>
        <w:autoSpaceDN/>
        <w:bidi w:val="0"/>
        <w:adjustRightInd w:val="0"/>
        <w:snapToGrid w:val="0"/>
        <w:spacing w:line="320" w:lineRule="exact"/>
        <w:ind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cs="宋体"/>
          <w:color w:val="auto"/>
          <w:kern w:val="2"/>
          <w:sz w:val="24"/>
          <w:szCs w:val="24"/>
          <w:highlight w:val="none"/>
          <w:lang w:val="en-US" w:eastAsia="zh-CN" w:bidi="ar-SA"/>
        </w:rPr>
        <w:t xml:space="preserve">1 </w:t>
      </w:r>
      <w:r>
        <w:rPr>
          <w:rFonts w:hint="eastAsia" w:ascii="宋体" w:hAnsi="宋体" w:eastAsia="宋体" w:cs="宋体"/>
          <w:color w:val="auto"/>
          <w:kern w:val="2"/>
          <w:sz w:val="24"/>
          <w:szCs w:val="24"/>
          <w:highlight w:val="none"/>
          <w:lang w:val="en-US" w:eastAsia="zh-CN" w:bidi="ar-SA"/>
        </w:rPr>
        <w:t>本合同及附件</w:t>
      </w:r>
    </w:p>
    <w:p w14:paraId="6ECE7EDF">
      <w:pPr>
        <w:keepNext w:val="0"/>
        <w:keepLines w:val="0"/>
        <w:pageBreakBefore w:val="0"/>
        <w:widowControl/>
        <w:shd w:val="clear"/>
        <w:kinsoku/>
        <w:wordWrap/>
        <w:overflowPunct/>
        <w:topLinePunct w:val="0"/>
        <w:autoSpaceDE/>
        <w:autoSpaceDN/>
        <w:bidi w:val="0"/>
        <w:adjustRightInd w:val="0"/>
        <w:snapToGrid w:val="0"/>
        <w:spacing w:line="320" w:lineRule="exact"/>
        <w:ind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2</w:t>
      </w:r>
      <w:r>
        <w:rPr>
          <w:rFonts w:hint="eastAsia" w:ascii="宋体" w:hAnsi="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中标通知书</w:t>
      </w:r>
    </w:p>
    <w:p w14:paraId="5C53AB4F">
      <w:pPr>
        <w:keepNext w:val="0"/>
        <w:keepLines w:val="0"/>
        <w:pageBreakBefore w:val="0"/>
        <w:widowControl/>
        <w:shd w:val="clear"/>
        <w:kinsoku/>
        <w:wordWrap/>
        <w:overflowPunct/>
        <w:topLinePunct w:val="0"/>
        <w:autoSpaceDE/>
        <w:autoSpaceDN/>
        <w:bidi w:val="0"/>
        <w:adjustRightInd w:val="0"/>
        <w:snapToGrid w:val="0"/>
        <w:spacing w:line="320" w:lineRule="exact"/>
        <w:ind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3</w:t>
      </w:r>
      <w:r>
        <w:rPr>
          <w:rFonts w:hint="eastAsia" w:ascii="宋体" w:hAnsi="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投标文件及其附件</w:t>
      </w:r>
    </w:p>
    <w:p w14:paraId="0AE91FD4">
      <w:pPr>
        <w:keepNext w:val="0"/>
        <w:keepLines w:val="0"/>
        <w:pageBreakBefore w:val="0"/>
        <w:widowControl/>
        <w:shd w:val="clear"/>
        <w:kinsoku/>
        <w:wordWrap/>
        <w:overflowPunct/>
        <w:topLinePunct w:val="0"/>
        <w:autoSpaceDE/>
        <w:autoSpaceDN/>
        <w:bidi w:val="0"/>
        <w:adjustRightInd w:val="0"/>
        <w:snapToGrid w:val="0"/>
        <w:spacing w:line="320" w:lineRule="exact"/>
        <w:ind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4</w:t>
      </w:r>
      <w:r>
        <w:rPr>
          <w:rFonts w:hint="eastAsia" w:ascii="宋体" w:hAnsi="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招标文件</w:t>
      </w:r>
    </w:p>
    <w:p w14:paraId="48DC9035">
      <w:pPr>
        <w:keepNext w:val="0"/>
        <w:keepLines w:val="0"/>
        <w:pageBreakBefore w:val="0"/>
        <w:widowControl/>
        <w:shd w:val="clear"/>
        <w:kinsoku/>
        <w:wordWrap/>
        <w:overflowPunct/>
        <w:topLinePunct w:val="0"/>
        <w:autoSpaceDE/>
        <w:autoSpaceDN/>
        <w:bidi w:val="0"/>
        <w:adjustRightInd w:val="0"/>
        <w:snapToGrid w:val="0"/>
        <w:spacing w:line="320" w:lineRule="exact"/>
        <w:ind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5</w:t>
      </w:r>
      <w:r>
        <w:rPr>
          <w:rFonts w:hint="eastAsia" w:ascii="宋体" w:hAnsi="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其他合同文件</w:t>
      </w:r>
    </w:p>
    <w:p w14:paraId="7DBE4A3C">
      <w:pPr>
        <w:keepNext w:val="0"/>
        <w:keepLines w:val="0"/>
        <w:pageBreakBefore w:val="0"/>
        <w:widowControl/>
        <w:shd w:val="clear"/>
        <w:kinsoku/>
        <w:wordWrap/>
        <w:overflowPunct/>
        <w:topLinePunct w:val="0"/>
        <w:autoSpaceDE/>
        <w:autoSpaceDN/>
        <w:bidi w:val="0"/>
        <w:adjustRightInd w:val="0"/>
        <w:snapToGrid w:val="0"/>
        <w:spacing w:line="320" w:lineRule="exact"/>
        <w:ind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6</w:t>
      </w:r>
      <w:r>
        <w:rPr>
          <w:rFonts w:hint="eastAsia" w:ascii="宋体" w:hAnsi="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在合同订立及履行过程中形成的与本合同有关的文件均构成合同文件组成部分。</w:t>
      </w:r>
    </w:p>
    <w:p w14:paraId="110DEBB3">
      <w:pPr>
        <w:keepNext w:val="0"/>
        <w:keepLines w:val="0"/>
        <w:pageBreakBefore w:val="0"/>
        <w:widowControl/>
        <w:shd w:val="clear"/>
        <w:kinsoku/>
        <w:wordWrap/>
        <w:overflowPunct/>
        <w:topLinePunct w:val="0"/>
        <w:autoSpaceDE/>
        <w:autoSpaceDN/>
        <w:bidi w:val="0"/>
        <w:adjustRightInd w:val="0"/>
        <w:snapToGrid w:val="0"/>
        <w:spacing w:line="320" w:lineRule="exact"/>
        <w:ind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注：上述各项合同文件包括合同当事人就该项合同文件所做出的补充和修改，属于同一项内容的文件，以最新签署的为准。</w:t>
      </w:r>
    </w:p>
    <w:p w14:paraId="01C5E88C">
      <w:pPr>
        <w:keepNext w:val="0"/>
        <w:keepLines w:val="0"/>
        <w:pageBreakBefore w:val="0"/>
        <w:widowControl/>
        <w:numPr>
          <w:ilvl w:val="0"/>
          <w:numId w:val="0"/>
        </w:numPr>
        <w:shd w:val="clear"/>
        <w:kinsoku/>
        <w:wordWrap/>
        <w:overflowPunct/>
        <w:topLinePunct w:val="0"/>
        <w:autoSpaceDE/>
        <w:autoSpaceDN/>
        <w:bidi w:val="0"/>
        <w:adjustRightInd/>
        <w:snapToGrid w:val="0"/>
        <w:spacing w:line="312" w:lineRule="auto"/>
        <w:ind w:firstLine="311" w:firstLineChars="129"/>
        <w:textAlignment w:val="auto"/>
        <w:outlineLvl w:val="1"/>
        <w:rPr>
          <w:rFonts w:hint="default" w:ascii="宋体" w:hAnsi="宋体" w:eastAsia="宋体" w:cs="宋体"/>
          <w:b/>
          <w:bCs/>
          <w:color w:val="auto"/>
          <w:sz w:val="24"/>
          <w:szCs w:val="24"/>
          <w:highlight w:val="none"/>
          <w:lang w:val="en-US" w:eastAsia="zh-CN"/>
        </w:rPr>
      </w:pPr>
      <w:bookmarkStart w:id="316" w:name="_Toc14787"/>
      <w:bookmarkStart w:id="317" w:name="_Toc29262"/>
      <w:bookmarkStart w:id="318" w:name="_Toc30741"/>
      <w:r>
        <w:rPr>
          <w:rFonts w:hint="eastAsia" w:ascii="宋体" w:hAnsi="宋体" w:eastAsia="宋体" w:cs="宋体"/>
          <w:b/>
          <w:bCs/>
          <w:color w:val="auto"/>
          <w:sz w:val="24"/>
          <w:szCs w:val="24"/>
          <w:highlight w:val="none"/>
          <w:lang w:val="en-US" w:eastAsia="zh-CN"/>
        </w:rPr>
        <w:t>二、</w:t>
      </w:r>
      <w:bookmarkEnd w:id="316"/>
      <w:bookmarkEnd w:id="317"/>
      <w:bookmarkEnd w:id="318"/>
      <w:r>
        <w:rPr>
          <w:rFonts w:hint="eastAsia" w:ascii="宋体" w:hAnsi="宋体" w:eastAsia="宋体" w:cs="宋体"/>
          <w:b/>
          <w:bCs/>
          <w:color w:val="auto"/>
          <w:sz w:val="24"/>
          <w:szCs w:val="24"/>
          <w:highlight w:val="none"/>
          <w:lang w:val="en-US" w:eastAsia="zh-CN"/>
        </w:rPr>
        <w:t>工作内容</w:t>
      </w:r>
    </w:p>
    <w:p w14:paraId="118A7133">
      <w:pPr>
        <w:keepNext w:val="0"/>
        <w:keepLines w:val="0"/>
        <w:pageBreakBefore w:val="0"/>
        <w:widowControl/>
        <w:numPr>
          <w:ilvl w:val="0"/>
          <w:numId w:val="0"/>
        </w:numPr>
        <w:shd w:val="clear"/>
        <w:kinsoku/>
        <w:wordWrap/>
        <w:overflowPunct/>
        <w:topLinePunct w:val="0"/>
        <w:autoSpaceDE/>
        <w:autoSpaceDN/>
        <w:bidi w:val="0"/>
        <w:adjustRightInd/>
        <w:snapToGrid w:val="0"/>
        <w:spacing w:line="312" w:lineRule="auto"/>
        <w:ind w:firstLine="309" w:firstLineChars="129"/>
        <w:textAlignment w:val="auto"/>
        <w:outlineLvl w:val="1"/>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2.1 具体详见招标文件第三章《采购内容及要求》。</w:t>
      </w:r>
    </w:p>
    <w:p w14:paraId="24FD8EEB">
      <w:pPr>
        <w:keepNext w:val="0"/>
        <w:keepLines w:val="0"/>
        <w:pageBreakBefore w:val="0"/>
        <w:widowControl/>
        <w:numPr>
          <w:ilvl w:val="0"/>
          <w:numId w:val="0"/>
        </w:numPr>
        <w:shd w:val="clear"/>
        <w:kinsoku/>
        <w:wordWrap/>
        <w:overflowPunct/>
        <w:topLinePunct w:val="0"/>
        <w:autoSpaceDE/>
        <w:autoSpaceDN/>
        <w:bidi w:val="0"/>
        <w:adjustRightInd/>
        <w:snapToGrid w:val="0"/>
        <w:spacing w:line="312" w:lineRule="auto"/>
        <w:ind w:firstLine="309" w:firstLineChars="129"/>
        <w:textAlignment w:val="auto"/>
        <w:outlineLvl w:val="1"/>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2.2 如需对合同内容进行调整或增减的，须经双方协议一致。</w:t>
      </w:r>
    </w:p>
    <w:bookmarkEnd w:id="305"/>
    <w:bookmarkEnd w:id="306"/>
    <w:bookmarkEnd w:id="307"/>
    <w:bookmarkEnd w:id="308"/>
    <w:bookmarkEnd w:id="309"/>
    <w:bookmarkEnd w:id="310"/>
    <w:bookmarkEnd w:id="311"/>
    <w:bookmarkEnd w:id="312"/>
    <w:bookmarkEnd w:id="313"/>
    <w:bookmarkEnd w:id="314"/>
    <w:bookmarkEnd w:id="315"/>
    <w:p w14:paraId="28F0F09D">
      <w:pPr>
        <w:keepNext w:val="0"/>
        <w:keepLines w:val="0"/>
        <w:pageBreakBefore w:val="0"/>
        <w:widowControl/>
        <w:numPr>
          <w:ilvl w:val="0"/>
          <w:numId w:val="0"/>
        </w:numPr>
        <w:shd w:val="clear"/>
        <w:kinsoku/>
        <w:wordWrap/>
        <w:overflowPunct/>
        <w:topLinePunct w:val="0"/>
        <w:autoSpaceDE/>
        <w:autoSpaceDN/>
        <w:bidi w:val="0"/>
        <w:adjustRightInd/>
        <w:snapToGrid w:val="0"/>
        <w:spacing w:line="312" w:lineRule="auto"/>
        <w:ind w:firstLine="311" w:firstLineChars="129"/>
        <w:textAlignment w:val="auto"/>
        <w:outlineLvl w:val="1"/>
        <w:rPr>
          <w:rFonts w:hint="eastAsia" w:ascii="宋体" w:hAnsi="宋体" w:eastAsia="宋体" w:cs="宋体"/>
          <w:b/>
          <w:bCs/>
          <w:color w:val="auto"/>
          <w:sz w:val="24"/>
          <w:szCs w:val="24"/>
          <w:highlight w:val="none"/>
        </w:rPr>
      </w:pPr>
      <w:bookmarkStart w:id="319" w:name="_Toc8917"/>
      <w:bookmarkStart w:id="320" w:name="_Toc3560"/>
      <w:bookmarkStart w:id="321" w:name="_Toc18607"/>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、合同金额</w:t>
      </w:r>
    </w:p>
    <w:p w14:paraId="287D66BF">
      <w:pPr>
        <w:keepNext w:val="0"/>
        <w:keepLines w:val="0"/>
        <w:pageBreakBefore w:val="0"/>
        <w:widowControl/>
        <w:shd w:val="clear"/>
        <w:kinsoku/>
        <w:wordWrap/>
        <w:overflowPunct/>
        <w:topLinePunct w:val="0"/>
        <w:autoSpaceDE/>
        <w:autoSpaceDN/>
        <w:bidi w:val="0"/>
        <w:adjustRightInd w:val="0"/>
        <w:snapToGrid w:val="0"/>
        <w:spacing w:line="312" w:lineRule="auto"/>
        <w:ind w:firstLine="309" w:firstLineChars="129"/>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3.1 </w:t>
      </w:r>
      <w:r>
        <w:rPr>
          <w:rFonts w:hint="eastAsia" w:ascii="宋体" w:hAnsi="宋体" w:eastAsia="宋体" w:cs="宋体"/>
          <w:color w:val="auto"/>
          <w:sz w:val="24"/>
          <w:szCs w:val="24"/>
          <w:highlight w:val="none"/>
        </w:rPr>
        <w:t>本</w:t>
      </w:r>
      <w:r>
        <w:rPr>
          <w:rFonts w:hint="eastAsia" w:ascii="宋体" w:hAnsi="宋体" w:cs="宋体"/>
          <w:color w:val="auto"/>
          <w:sz w:val="24"/>
          <w:szCs w:val="24"/>
          <w:highlight w:val="none"/>
          <w:lang w:eastAsia="zh-CN"/>
        </w:rPr>
        <w:t>采购</w:t>
      </w:r>
      <w:r>
        <w:rPr>
          <w:rFonts w:hint="eastAsia" w:ascii="宋体" w:hAnsi="宋体" w:eastAsia="宋体" w:cs="宋体"/>
          <w:color w:val="auto"/>
          <w:sz w:val="24"/>
          <w:szCs w:val="24"/>
          <w:highlight w:val="none"/>
        </w:rPr>
        <w:t>合同</w:t>
      </w:r>
      <w:r>
        <w:rPr>
          <w:rFonts w:hint="eastAsia" w:ascii="宋体" w:hAnsi="宋体" w:cs="宋体"/>
          <w:color w:val="auto"/>
          <w:sz w:val="24"/>
          <w:szCs w:val="24"/>
          <w:highlight w:val="none"/>
          <w:lang w:eastAsia="zh-CN"/>
        </w:rPr>
        <w:t>总价款</w:t>
      </w:r>
      <w:r>
        <w:rPr>
          <w:rFonts w:hint="eastAsia" w:ascii="宋体" w:hAnsi="宋体" w:eastAsia="宋体" w:cs="宋体"/>
          <w:color w:val="auto"/>
          <w:sz w:val="24"/>
          <w:szCs w:val="24"/>
          <w:highlight w:val="none"/>
        </w:rPr>
        <w:t>金额为</w:t>
      </w:r>
      <w:r>
        <w:rPr>
          <w:rFonts w:hint="eastAsia" w:ascii="宋体" w:hAnsi="宋体" w:eastAsia="宋体" w:cs="宋体"/>
          <w:color w:val="auto"/>
          <w:sz w:val="24"/>
          <w:szCs w:val="24"/>
          <w:highlight w:val="none"/>
          <w:u w:val="none"/>
        </w:rPr>
        <w:t>人民币</w:t>
      </w: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小写</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r>
        <w:rPr>
          <w:rFonts w:hint="eastAsia" w:ascii="宋体" w:hAnsi="宋体" w:cs="宋体"/>
          <w:color w:val="auto"/>
          <w:sz w:val="24"/>
          <w:szCs w:val="24"/>
          <w:highlight w:val="none"/>
          <w:lang w:eastAsia="zh-CN"/>
        </w:rPr>
        <w:t>，本合同价为一次性包干价，原则上只减不增。</w:t>
      </w:r>
    </w:p>
    <w:p w14:paraId="68D97C7B">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outlineLvl w:val="1"/>
        <w:rPr>
          <w:rFonts w:hint="eastAsia" w:ascii="宋体" w:hAnsi="宋体" w:eastAsia="宋体" w:cs="宋体"/>
          <w:b w:val="0"/>
          <w:bCs w:val="0"/>
          <w:color w:val="auto"/>
          <w:sz w:val="24"/>
          <w:szCs w:val="24"/>
          <w:highlight w:val="none"/>
          <w:lang w:val="zh-CN" w:eastAsia="zh-CN"/>
        </w:rPr>
      </w:pPr>
      <w:r>
        <w:rPr>
          <w:rFonts w:hint="eastAsia" w:ascii="宋体" w:hAnsi="宋体" w:cs="宋体"/>
          <w:b w:val="0"/>
          <w:bCs w:val="0"/>
          <w:color w:val="auto"/>
          <w:sz w:val="24"/>
          <w:szCs w:val="24"/>
          <w:highlight w:val="none"/>
          <w:lang w:val="en-US" w:eastAsia="zh-CN"/>
        </w:rPr>
        <w:t>3.2 本</w:t>
      </w:r>
      <w:r>
        <w:rPr>
          <w:rFonts w:hint="eastAsia" w:ascii="宋体" w:hAnsi="宋体" w:eastAsia="宋体" w:cs="宋体"/>
          <w:b w:val="0"/>
          <w:bCs w:val="0"/>
          <w:color w:val="auto"/>
          <w:sz w:val="24"/>
          <w:szCs w:val="24"/>
          <w:highlight w:val="none"/>
          <w:lang w:val="en-US" w:eastAsia="zh-CN"/>
        </w:rPr>
        <w:t>合同价</w:t>
      </w:r>
      <w:r>
        <w:rPr>
          <w:rFonts w:hint="eastAsia" w:ascii="宋体" w:hAnsi="宋体" w:eastAsia="宋体" w:cs="宋体"/>
          <w:b w:val="0"/>
          <w:bCs w:val="0"/>
          <w:color w:val="auto"/>
          <w:sz w:val="24"/>
          <w:szCs w:val="24"/>
          <w:highlight w:val="none"/>
          <w:lang w:val="zh-CN" w:eastAsia="zh-CN"/>
        </w:rPr>
        <w:t>包含项目所有费用，包括所有人员的人工费、会务费、交通费、住宿费、伙食费、办公设施费、管理费、利润、合同包含的所有风险责任等各项费用及不可预见费等所需的全部费用。</w:t>
      </w:r>
    </w:p>
    <w:p w14:paraId="2B6AD13B">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rPr>
      </w:pPr>
      <w:r>
        <w:rPr>
          <w:rFonts w:hint="eastAsia" w:ascii="宋体" w:hAnsi="宋体" w:cs="宋体"/>
          <w:b w:val="0"/>
          <w:bCs w:val="0"/>
          <w:color w:val="auto"/>
          <w:sz w:val="24"/>
          <w:szCs w:val="24"/>
          <w:highlight w:val="none"/>
          <w:lang w:val="en-US" w:eastAsia="zh-CN"/>
        </w:rPr>
        <w:t xml:space="preserve">3.3 </w:t>
      </w:r>
      <w:r>
        <w:rPr>
          <w:rFonts w:hint="eastAsia" w:ascii="宋体" w:hAnsi="宋体" w:eastAsia="宋体" w:cs="宋体"/>
          <w:color w:val="auto"/>
          <w:sz w:val="24"/>
          <w:szCs w:val="24"/>
          <w:highlight w:val="none"/>
        </w:rPr>
        <w:t>本合同执行中相关的一切税费均由乙方负担。</w:t>
      </w:r>
    </w:p>
    <w:p w14:paraId="6CD95B1C">
      <w:pPr>
        <w:keepNext w:val="0"/>
        <w:keepLines w:val="0"/>
        <w:pageBreakBefore w:val="0"/>
        <w:shd w:val="clear"/>
        <w:kinsoku/>
        <w:wordWrap/>
        <w:overflowPunct/>
        <w:topLinePunct w:val="0"/>
        <w:autoSpaceDE/>
        <w:autoSpaceDN/>
        <w:bidi w:val="0"/>
        <w:snapToGrid w:val="0"/>
        <w:spacing w:line="312" w:lineRule="auto"/>
        <w:ind w:firstLine="311" w:firstLineChars="129"/>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rPr>
        <w:t>、技术资料</w:t>
      </w:r>
      <w:bookmarkEnd w:id="319"/>
      <w:bookmarkEnd w:id="320"/>
      <w:bookmarkEnd w:id="321"/>
    </w:p>
    <w:p w14:paraId="736EE858">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1.乙方应按</w:t>
      </w:r>
      <w:r>
        <w:rPr>
          <w:rFonts w:hint="eastAsia" w:ascii="宋体" w:hAnsi="宋体" w:eastAsia="宋体" w:cs="宋体"/>
          <w:color w:val="auto"/>
          <w:sz w:val="24"/>
          <w:szCs w:val="24"/>
          <w:highlight w:val="none"/>
          <w:lang w:eastAsia="zh-CN"/>
        </w:rPr>
        <w:t>公开招标</w:t>
      </w:r>
      <w:r>
        <w:rPr>
          <w:rFonts w:hint="eastAsia" w:ascii="宋体" w:hAnsi="宋体" w:eastAsia="宋体" w:cs="宋体"/>
          <w:color w:val="auto"/>
          <w:sz w:val="24"/>
          <w:szCs w:val="24"/>
          <w:highlight w:val="none"/>
        </w:rPr>
        <w:t>文件规定的时间向甲方提供有关技术资料。</w:t>
      </w:r>
    </w:p>
    <w:p w14:paraId="1D870E5F">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2.没有甲方事先书面同意，乙方不得将由甲方提供的有关合同或任何合同条文、规格、计划、图纸、样品或资料提供</w:t>
      </w:r>
      <w:r>
        <w:rPr>
          <w:rFonts w:hint="eastAsia" w:ascii="宋体" w:hAnsi="宋体" w:eastAsia="宋体" w:cs="宋体"/>
          <w:color w:val="auto"/>
          <w:sz w:val="24"/>
          <w:szCs w:val="24"/>
          <w:highlight w:val="none"/>
          <w:lang w:eastAsia="zh-CN"/>
        </w:rPr>
        <w:t>给予</w:t>
      </w:r>
      <w:r>
        <w:rPr>
          <w:rFonts w:hint="eastAsia" w:ascii="宋体" w:hAnsi="宋体" w:eastAsia="宋体" w:cs="宋体"/>
          <w:color w:val="auto"/>
          <w:sz w:val="24"/>
          <w:szCs w:val="24"/>
          <w:highlight w:val="none"/>
        </w:rPr>
        <w:t>履行本合同无关的任何其他人。即使向履行本合同有关的人员提供，也应注意保密并限于履行合同的必需范围。</w:t>
      </w:r>
    </w:p>
    <w:p w14:paraId="1E1C0077">
      <w:pPr>
        <w:keepNext w:val="0"/>
        <w:keepLines w:val="0"/>
        <w:pageBreakBefore w:val="0"/>
        <w:shd w:val="clear"/>
        <w:kinsoku/>
        <w:wordWrap/>
        <w:overflowPunct/>
        <w:topLinePunct w:val="0"/>
        <w:autoSpaceDE/>
        <w:autoSpaceDN/>
        <w:bidi w:val="0"/>
        <w:snapToGrid w:val="0"/>
        <w:spacing w:line="312" w:lineRule="auto"/>
        <w:ind w:firstLine="311" w:firstLineChars="129"/>
        <w:textAlignment w:val="auto"/>
        <w:outlineLvl w:val="1"/>
        <w:rPr>
          <w:rFonts w:hint="eastAsia" w:ascii="宋体" w:hAnsi="宋体" w:eastAsia="宋体" w:cs="宋体"/>
          <w:b/>
          <w:bCs/>
          <w:color w:val="auto"/>
          <w:sz w:val="24"/>
          <w:szCs w:val="24"/>
          <w:highlight w:val="none"/>
          <w:lang w:eastAsia="zh-CN"/>
        </w:rPr>
      </w:pPr>
      <w:bookmarkStart w:id="322" w:name="_Toc17176"/>
      <w:bookmarkStart w:id="323" w:name="_Toc23310"/>
      <w:bookmarkStart w:id="324" w:name="_Toc4417"/>
      <w:bookmarkStart w:id="325" w:name="_Toc26783"/>
      <w:bookmarkStart w:id="326" w:name="_Toc13603"/>
      <w:bookmarkStart w:id="327" w:name="_Toc20802"/>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、知识产权</w:t>
      </w:r>
      <w:bookmarkEnd w:id="322"/>
      <w:bookmarkEnd w:id="323"/>
      <w:bookmarkEnd w:id="324"/>
      <w:r>
        <w:rPr>
          <w:rFonts w:hint="eastAsia" w:ascii="宋体" w:hAnsi="宋体" w:cs="宋体"/>
          <w:b/>
          <w:bCs/>
          <w:color w:val="auto"/>
          <w:sz w:val="24"/>
          <w:szCs w:val="24"/>
          <w:highlight w:val="none"/>
          <w:lang w:eastAsia="zh-CN"/>
        </w:rPr>
        <w:t>保护</w:t>
      </w:r>
    </w:p>
    <w:p w14:paraId="08E4E852">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5.1 </w:t>
      </w:r>
      <w:r>
        <w:rPr>
          <w:rFonts w:hint="eastAsia" w:ascii="宋体" w:hAnsi="宋体" w:eastAsia="宋体" w:cs="宋体"/>
          <w:color w:val="auto"/>
          <w:sz w:val="24"/>
          <w:szCs w:val="24"/>
          <w:highlight w:val="none"/>
        </w:rPr>
        <w:t>乙方应保证提供服务过程中不会侵犯任何第三方的知识产权。</w:t>
      </w:r>
    </w:p>
    <w:p w14:paraId="3C8ED64D">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5.2 乙方在履行本合同过程中形成的服务成果及相关技术资料等知识产权和信息属于甲方，未经甲方同意，乙方不得泄露或对外使用。</w:t>
      </w:r>
    </w:p>
    <w:bookmarkEnd w:id="325"/>
    <w:bookmarkEnd w:id="326"/>
    <w:bookmarkEnd w:id="327"/>
    <w:p w14:paraId="4A30580F">
      <w:pPr>
        <w:keepNext w:val="0"/>
        <w:keepLines w:val="0"/>
        <w:pageBreakBefore w:val="0"/>
        <w:shd w:val="clear"/>
        <w:kinsoku/>
        <w:wordWrap/>
        <w:overflowPunct/>
        <w:topLinePunct w:val="0"/>
        <w:autoSpaceDE/>
        <w:autoSpaceDN/>
        <w:bidi w:val="0"/>
        <w:snapToGrid w:val="0"/>
        <w:spacing w:line="312" w:lineRule="auto"/>
        <w:ind w:firstLine="311" w:firstLineChars="129"/>
        <w:textAlignment w:val="auto"/>
        <w:outlineLvl w:val="1"/>
        <w:rPr>
          <w:rFonts w:hint="eastAsia" w:ascii="宋体" w:hAnsi="宋体" w:eastAsia="宋体" w:cs="宋体"/>
          <w:b/>
          <w:bCs/>
          <w:color w:val="auto"/>
          <w:sz w:val="24"/>
          <w:szCs w:val="24"/>
          <w:highlight w:val="none"/>
        </w:rPr>
      </w:pPr>
      <w:bookmarkStart w:id="328" w:name="_Toc6907"/>
      <w:bookmarkStart w:id="329" w:name="_Toc3230"/>
      <w:bookmarkStart w:id="330" w:name="_Toc2589"/>
      <w:r>
        <w:rPr>
          <w:rFonts w:hint="eastAsia" w:ascii="宋体" w:hAnsi="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rPr>
        <w:t>、转包或分包</w:t>
      </w:r>
      <w:bookmarkEnd w:id="328"/>
      <w:bookmarkEnd w:id="329"/>
      <w:bookmarkEnd w:id="330"/>
    </w:p>
    <w:p w14:paraId="7589D1C5">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outlineLvl w:val="1"/>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 xml:space="preserve">6.1 </w:t>
      </w:r>
      <w:r>
        <w:rPr>
          <w:rFonts w:hint="eastAsia" w:ascii="宋体" w:hAnsi="宋体" w:eastAsia="宋体" w:cs="宋体"/>
          <w:b w:val="0"/>
          <w:bCs w:val="0"/>
          <w:color w:val="auto"/>
          <w:sz w:val="24"/>
          <w:szCs w:val="24"/>
          <w:highlight w:val="none"/>
          <w:lang w:val="en-US" w:eastAsia="zh-CN"/>
        </w:rPr>
        <w:t>本合同范围的服务，应由乙方直接供应，不得转让他人供应；</w:t>
      </w:r>
    </w:p>
    <w:p w14:paraId="2864B51A">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outlineLvl w:val="1"/>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lang w:val="en-US" w:eastAsia="zh-CN"/>
        </w:rPr>
        <w:t>2</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除非得到甲方的书面同意，乙方不得将本合同范围的服务全部或部分分包给他人供应；</w:t>
      </w:r>
    </w:p>
    <w:p w14:paraId="4BE5222F">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outlineLvl w:val="1"/>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lang w:val="en-US" w:eastAsia="zh-CN"/>
        </w:rPr>
        <w:t>3</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如有转让和未经甲方同意的分包行为，甲方有权解除合同，没收履约保证金并追究乙方的违约责任。</w:t>
      </w:r>
    </w:p>
    <w:p w14:paraId="04AC4CFD">
      <w:pPr>
        <w:keepNext w:val="0"/>
        <w:keepLines w:val="0"/>
        <w:pageBreakBefore w:val="0"/>
        <w:shd w:val="clear"/>
        <w:kinsoku/>
        <w:wordWrap/>
        <w:overflowPunct/>
        <w:topLinePunct w:val="0"/>
        <w:autoSpaceDE/>
        <w:autoSpaceDN/>
        <w:bidi w:val="0"/>
        <w:snapToGrid w:val="0"/>
        <w:spacing w:line="312" w:lineRule="auto"/>
        <w:ind w:firstLine="311" w:firstLineChars="129"/>
        <w:textAlignment w:val="auto"/>
        <w:outlineLvl w:val="1"/>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lang w:val="en-US" w:eastAsia="zh-CN"/>
        </w:rPr>
        <w:t>、成果要求及质量标准</w:t>
      </w:r>
    </w:p>
    <w:p w14:paraId="262257F5">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outlineLvl w:val="1"/>
        <w:rPr>
          <w:rFonts w:hint="eastAsia" w:ascii="宋体" w:hAnsi="宋体" w:eastAsia="宋体" w:cs="宋体"/>
          <w:b w:val="0"/>
          <w:bCs w:val="0"/>
          <w:color w:val="auto"/>
          <w:sz w:val="24"/>
          <w:szCs w:val="24"/>
          <w:highlight w:val="none"/>
          <w:lang w:val="en-US" w:eastAsia="zh-CN"/>
        </w:rPr>
      </w:pPr>
      <w:bookmarkStart w:id="331" w:name="_Toc13582"/>
      <w:bookmarkStart w:id="332" w:name="_Toc8768"/>
      <w:bookmarkStart w:id="333" w:name="_Toc10203"/>
      <w:r>
        <w:rPr>
          <w:rFonts w:hint="eastAsia" w:ascii="宋体" w:hAnsi="宋体" w:eastAsia="宋体" w:cs="宋体"/>
          <w:b w:val="0"/>
          <w:bCs w:val="0"/>
          <w:color w:val="auto"/>
          <w:sz w:val="24"/>
          <w:szCs w:val="24"/>
          <w:highlight w:val="none"/>
          <w:lang w:val="en-US" w:eastAsia="zh-CN"/>
        </w:rPr>
        <w:t>1.质量标准：满足合格要求。</w:t>
      </w:r>
    </w:p>
    <w:p w14:paraId="51BE06FC">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outlineLvl w:val="1"/>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2.质量保证期：</w:t>
      </w:r>
      <w:r>
        <w:rPr>
          <w:rFonts w:hint="eastAsia" w:ascii="宋体" w:hAnsi="宋体" w:eastAsia="宋体" w:cs="宋体"/>
          <w:b w:val="0"/>
          <w:bCs w:val="0"/>
          <w:color w:val="auto"/>
          <w:sz w:val="24"/>
          <w:szCs w:val="24"/>
          <w:highlight w:val="none"/>
          <w:lang w:val="zh-CN" w:eastAsia="zh-CN"/>
        </w:rPr>
        <w:t>阶段性效果评估报告通过有权限的主管部门备案</w:t>
      </w:r>
      <w:r>
        <w:rPr>
          <w:rFonts w:hint="eastAsia" w:ascii="宋体" w:hAnsi="宋体" w:eastAsia="宋体" w:cs="宋体"/>
          <w:b w:val="0"/>
          <w:bCs w:val="0"/>
          <w:color w:val="auto"/>
          <w:sz w:val="24"/>
          <w:szCs w:val="24"/>
          <w:highlight w:val="none"/>
          <w:lang w:val="en-US" w:eastAsia="zh-CN"/>
        </w:rPr>
        <w:t>后1年。</w:t>
      </w:r>
    </w:p>
    <w:p w14:paraId="759CA9C7">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3.成果提交与形式：编制环境监理总结报告，通过专家评审，并配合效果评估单位完成阶段性效果评估工作。</w:t>
      </w:r>
    </w:p>
    <w:p w14:paraId="354C859E">
      <w:pPr>
        <w:keepNext w:val="0"/>
        <w:keepLines w:val="0"/>
        <w:pageBreakBefore w:val="0"/>
        <w:shd w:val="clear"/>
        <w:kinsoku/>
        <w:wordWrap/>
        <w:overflowPunct/>
        <w:topLinePunct w:val="0"/>
        <w:autoSpaceDE/>
        <w:autoSpaceDN/>
        <w:bidi w:val="0"/>
        <w:snapToGrid w:val="0"/>
        <w:spacing w:line="312" w:lineRule="auto"/>
        <w:ind w:firstLine="311" w:firstLineChars="129"/>
        <w:textAlignment w:val="auto"/>
        <w:outlineLvl w:val="1"/>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八</w:t>
      </w:r>
      <w:r>
        <w:rPr>
          <w:rFonts w:hint="eastAsia" w:ascii="宋体" w:hAnsi="宋体" w:eastAsia="宋体" w:cs="宋体"/>
          <w:b/>
          <w:bCs/>
          <w:color w:val="auto"/>
          <w:sz w:val="24"/>
          <w:szCs w:val="24"/>
          <w:highlight w:val="none"/>
          <w:lang w:val="en-US" w:eastAsia="zh-CN"/>
        </w:rPr>
        <w:t>、服务期限</w:t>
      </w:r>
      <w:bookmarkEnd w:id="331"/>
      <w:bookmarkEnd w:id="332"/>
      <w:bookmarkEnd w:id="333"/>
    </w:p>
    <w:p w14:paraId="61C22257">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outlineLvl w:val="1"/>
        <w:rPr>
          <w:rFonts w:hint="eastAsia" w:ascii="宋体" w:hAnsi="宋体" w:cs="宋体"/>
          <w:b w:val="0"/>
          <w:bCs w:val="0"/>
          <w:color w:val="auto"/>
          <w:sz w:val="24"/>
          <w:szCs w:val="24"/>
          <w:highlight w:val="none"/>
          <w:lang w:val="en-US" w:eastAsia="zh-CN"/>
        </w:rPr>
      </w:pPr>
      <w:bookmarkStart w:id="334" w:name="_Toc28990"/>
      <w:bookmarkStart w:id="335" w:name="_Toc10054"/>
      <w:bookmarkStart w:id="336" w:name="_Toc25507"/>
      <w:r>
        <w:rPr>
          <w:rFonts w:hint="eastAsia" w:ascii="宋体" w:hAnsi="宋体" w:eastAsia="宋体" w:cs="宋体"/>
          <w:b w:val="0"/>
          <w:bCs w:val="0"/>
          <w:color w:val="auto"/>
          <w:sz w:val="24"/>
          <w:szCs w:val="24"/>
          <w:highlight w:val="none"/>
          <w:lang w:val="en-US" w:eastAsia="zh-CN"/>
        </w:rPr>
        <w:t>服务期限：</w:t>
      </w:r>
      <w:r>
        <w:rPr>
          <w:rFonts w:hint="eastAsia" w:ascii="宋体" w:hAnsi="宋体" w:cs="宋体"/>
          <w:b w:val="0"/>
          <w:bCs w:val="0"/>
          <w:color w:val="auto"/>
          <w:sz w:val="24"/>
          <w:szCs w:val="24"/>
          <w:highlight w:val="none"/>
          <w:lang w:val="en-US" w:eastAsia="zh-CN"/>
        </w:rPr>
        <w:t>服务期三年，自合同生效之日起至阶段性效果评估报告通过有权限的主管部门备案。</w:t>
      </w:r>
    </w:p>
    <w:p w14:paraId="34D9829D">
      <w:pPr>
        <w:keepNext w:val="0"/>
        <w:keepLines w:val="0"/>
        <w:pageBreakBefore w:val="0"/>
        <w:shd w:val="clear"/>
        <w:kinsoku/>
        <w:wordWrap/>
        <w:overflowPunct/>
        <w:topLinePunct w:val="0"/>
        <w:autoSpaceDE/>
        <w:autoSpaceDN/>
        <w:bidi w:val="0"/>
        <w:snapToGrid w:val="0"/>
        <w:spacing w:line="312" w:lineRule="auto"/>
        <w:ind w:firstLine="311" w:firstLineChars="129"/>
        <w:textAlignment w:val="auto"/>
        <w:outlineLvl w:val="1"/>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九</w:t>
      </w:r>
      <w:r>
        <w:rPr>
          <w:rFonts w:hint="eastAsia" w:ascii="宋体" w:hAnsi="宋体" w:eastAsia="宋体" w:cs="宋体"/>
          <w:b/>
          <w:bCs/>
          <w:color w:val="auto"/>
          <w:sz w:val="24"/>
          <w:szCs w:val="24"/>
          <w:highlight w:val="none"/>
          <w:lang w:val="en-US" w:eastAsia="zh-CN"/>
        </w:rPr>
        <w:t>、付款方式</w:t>
      </w:r>
      <w:bookmarkEnd w:id="334"/>
      <w:bookmarkEnd w:id="335"/>
      <w:bookmarkEnd w:id="336"/>
    </w:p>
    <w:p w14:paraId="3753B772">
      <w:pPr>
        <w:keepNext w:val="0"/>
        <w:keepLines w:val="0"/>
        <w:pageBreakBefore w:val="0"/>
        <w:shd w:val="clear" w:color="auto"/>
        <w:kinsoku/>
        <w:wordWrap/>
        <w:overflowPunct/>
        <w:topLinePunct w:val="0"/>
        <w:autoSpaceDE/>
        <w:autoSpaceDN/>
        <w:bidi w:val="0"/>
        <w:adjustRightInd w:val="0"/>
        <w:snapToGrid w:val="0"/>
        <w:spacing w:line="312" w:lineRule="auto"/>
        <w:ind w:firstLine="309" w:firstLineChars="129"/>
        <w:textAlignment w:val="auto"/>
        <w:rPr>
          <w:rFonts w:hint="eastAsia" w:ascii="宋体" w:hAnsi="宋体" w:cs="宋体"/>
          <w:b w:val="0"/>
          <w:bCs w:val="0"/>
          <w:color w:val="auto"/>
          <w:sz w:val="24"/>
          <w:szCs w:val="24"/>
          <w:highlight w:val="none"/>
          <w:lang w:val="en-US" w:eastAsia="zh-CN"/>
        </w:rPr>
      </w:pPr>
      <w:bookmarkStart w:id="337" w:name="_Toc10807"/>
      <w:bookmarkStart w:id="338" w:name="_Toc9733"/>
      <w:bookmarkStart w:id="339" w:name="_Toc23532"/>
      <w:r>
        <w:rPr>
          <w:rFonts w:hint="eastAsia" w:ascii="宋体" w:hAnsi="宋体" w:eastAsia="宋体" w:cs="宋体"/>
          <w:b w:val="0"/>
          <w:bCs w:val="0"/>
          <w:color w:val="auto"/>
          <w:sz w:val="24"/>
          <w:szCs w:val="24"/>
          <w:highlight w:val="none"/>
          <w:lang w:val="en-US" w:eastAsia="zh-CN"/>
        </w:rPr>
        <w:t>合同签订后</w:t>
      </w:r>
      <w:r>
        <w:rPr>
          <w:rFonts w:hint="eastAsia" w:ascii="宋体" w:hAnsi="宋体" w:eastAsia="宋体" w:cs="宋体"/>
          <w:b w:val="0"/>
          <w:bCs w:val="0"/>
          <w:snapToGrid w:val="0"/>
          <w:color w:val="auto"/>
          <w:kern w:val="0"/>
          <w:sz w:val="24"/>
          <w:szCs w:val="24"/>
          <w:highlight w:val="none"/>
          <w:lang w:val="en-US" w:eastAsia="zh-CN"/>
        </w:rPr>
        <w:t>7</w:t>
      </w:r>
      <w:r>
        <w:rPr>
          <w:rFonts w:hint="eastAsia" w:ascii="宋体" w:hAnsi="宋体" w:eastAsia="宋体" w:cs="宋体"/>
          <w:b w:val="0"/>
          <w:bCs w:val="0"/>
          <w:snapToGrid w:val="0"/>
          <w:color w:val="auto"/>
          <w:kern w:val="0"/>
          <w:sz w:val="24"/>
          <w:szCs w:val="24"/>
          <w:highlight w:val="none"/>
          <w:lang w:eastAsia="zh-CN"/>
        </w:rPr>
        <w:t>个工作日内支付合同金额的40%</w:t>
      </w:r>
      <w:r>
        <w:rPr>
          <w:rFonts w:hint="eastAsia" w:ascii="宋体" w:hAnsi="宋体" w:cs="宋体"/>
          <w:b w:val="0"/>
          <w:bCs w:val="0"/>
          <w:snapToGrid w:val="0"/>
          <w:color w:val="auto"/>
          <w:kern w:val="0"/>
          <w:sz w:val="24"/>
          <w:szCs w:val="24"/>
          <w:highlight w:val="none"/>
          <w:lang w:eastAsia="zh-CN"/>
        </w:rPr>
        <w:t>；</w:t>
      </w:r>
      <w:r>
        <w:rPr>
          <w:rFonts w:hint="eastAsia" w:ascii="宋体" w:hAnsi="宋体" w:cs="宋体"/>
          <w:b w:val="0"/>
          <w:bCs w:val="0"/>
          <w:color w:val="auto"/>
          <w:sz w:val="24"/>
          <w:szCs w:val="24"/>
          <w:highlight w:val="none"/>
          <w:lang w:val="en-US" w:eastAsia="zh-CN"/>
        </w:rPr>
        <w:t>竣工验收完成环境监理工作并提交环境监理报告</w:t>
      </w:r>
      <w:r>
        <w:rPr>
          <w:rFonts w:hint="eastAsia" w:ascii="宋体" w:hAnsi="宋体" w:cs="宋体"/>
          <w:b w:val="0"/>
          <w:bCs w:val="0"/>
          <w:snapToGrid w:val="0"/>
          <w:color w:val="auto"/>
          <w:kern w:val="0"/>
          <w:sz w:val="24"/>
          <w:szCs w:val="24"/>
          <w:highlight w:val="none"/>
          <w:lang w:eastAsia="zh-CN"/>
        </w:rPr>
        <w:t>在</w:t>
      </w:r>
      <w:r>
        <w:rPr>
          <w:rFonts w:hint="eastAsia" w:ascii="宋体" w:hAnsi="宋体" w:cs="宋体"/>
          <w:b w:val="0"/>
          <w:bCs w:val="0"/>
          <w:snapToGrid w:val="0"/>
          <w:color w:val="auto"/>
          <w:kern w:val="0"/>
          <w:sz w:val="24"/>
          <w:szCs w:val="24"/>
          <w:highlight w:val="none"/>
          <w:lang w:val="en-US" w:eastAsia="zh-CN"/>
        </w:rPr>
        <w:t>7</w:t>
      </w:r>
      <w:r>
        <w:rPr>
          <w:rFonts w:hint="eastAsia" w:ascii="宋体" w:hAnsi="宋体" w:cs="宋体"/>
          <w:b w:val="0"/>
          <w:bCs w:val="0"/>
          <w:snapToGrid w:val="0"/>
          <w:color w:val="auto"/>
          <w:kern w:val="0"/>
          <w:sz w:val="24"/>
          <w:szCs w:val="24"/>
          <w:highlight w:val="none"/>
          <w:lang w:eastAsia="zh-CN"/>
        </w:rPr>
        <w:t>个工作日内</w:t>
      </w:r>
      <w:r>
        <w:rPr>
          <w:rFonts w:hint="eastAsia" w:ascii="宋体" w:hAnsi="宋体" w:cs="宋体"/>
          <w:b w:val="0"/>
          <w:bCs w:val="0"/>
          <w:color w:val="auto"/>
          <w:sz w:val="24"/>
          <w:szCs w:val="24"/>
          <w:highlight w:val="none"/>
          <w:lang w:val="en-US" w:eastAsia="zh-CN"/>
        </w:rPr>
        <w:t>支付合同金额的</w:t>
      </w:r>
      <w:r>
        <w:rPr>
          <w:rFonts w:hint="eastAsia" w:ascii="宋体" w:hAnsi="宋体" w:eastAsia="宋体" w:cs="宋体"/>
          <w:b w:val="0"/>
          <w:bCs w:val="0"/>
          <w:snapToGrid w:val="0"/>
          <w:color w:val="auto"/>
          <w:kern w:val="0"/>
          <w:sz w:val="24"/>
          <w:szCs w:val="24"/>
          <w:highlight w:val="none"/>
          <w:lang w:val="en-US" w:eastAsia="zh-CN"/>
        </w:rPr>
        <w:t>2</w:t>
      </w:r>
      <w:r>
        <w:rPr>
          <w:rFonts w:hint="eastAsia" w:ascii="宋体" w:hAnsi="宋体" w:eastAsia="宋体" w:cs="宋体"/>
          <w:b w:val="0"/>
          <w:bCs w:val="0"/>
          <w:snapToGrid w:val="0"/>
          <w:color w:val="auto"/>
          <w:kern w:val="0"/>
          <w:sz w:val="24"/>
          <w:szCs w:val="24"/>
          <w:highlight w:val="none"/>
          <w:lang w:eastAsia="zh-CN"/>
        </w:rPr>
        <w:t>0%；</w:t>
      </w:r>
      <w:r>
        <w:rPr>
          <w:rFonts w:hint="eastAsia" w:ascii="宋体" w:hAnsi="宋体" w:cs="宋体"/>
          <w:b w:val="0"/>
          <w:bCs w:val="0"/>
          <w:color w:val="auto"/>
          <w:sz w:val="24"/>
          <w:szCs w:val="24"/>
          <w:highlight w:val="none"/>
          <w:lang w:val="en-US" w:eastAsia="zh-CN"/>
        </w:rPr>
        <w:t>阶段性效果评估报告通过有权限的主管部门备案后7个工作日内支付合同金额的40%。</w:t>
      </w:r>
    </w:p>
    <w:p w14:paraId="6B38C2CD">
      <w:pPr>
        <w:keepNext w:val="0"/>
        <w:keepLines w:val="0"/>
        <w:pageBreakBefore w:val="0"/>
        <w:shd w:val="clear" w:color="auto"/>
        <w:kinsoku/>
        <w:wordWrap/>
        <w:overflowPunct/>
        <w:topLinePunct w:val="0"/>
        <w:autoSpaceDE/>
        <w:autoSpaceDN/>
        <w:bidi w:val="0"/>
        <w:adjustRightInd w:val="0"/>
        <w:snapToGrid w:val="0"/>
        <w:spacing w:line="312" w:lineRule="auto"/>
        <w:ind w:firstLine="309" w:firstLineChars="129"/>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注：每次合同款支付前乙方必须先向甲方提供该次应付款金额100%的正规税务发票，否则甲方有权延期付款。</w:t>
      </w:r>
    </w:p>
    <w:bookmarkEnd w:id="337"/>
    <w:bookmarkEnd w:id="338"/>
    <w:bookmarkEnd w:id="339"/>
    <w:p w14:paraId="06EADCBB">
      <w:pPr>
        <w:keepNext w:val="0"/>
        <w:keepLines w:val="0"/>
        <w:pageBreakBefore w:val="0"/>
        <w:shd w:val="clear"/>
        <w:kinsoku/>
        <w:wordWrap/>
        <w:overflowPunct/>
        <w:topLinePunct w:val="0"/>
        <w:autoSpaceDE/>
        <w:autoSpaceDN/>
        <w:bidi w:val="0"/>
        <w:snapToGrid w:val="0"/>
        <w:spacing w:line="312" w:lineRule="auto"/>
        <w:ind w:firstLine="311" w:firstLineChars="129"/>
        <w:textAlignment w:val="auto"/>
        <w:rPr>
          <w:rFonts w:hint="eastAsia" w:ascii="宋体" w:hAnsi="宋体" w:eastAsia="宋体" w:cs="宋体"/>
          <w:b/>
          <w:bCs/>
          <w:color w:val="auto"/>
          <w:sz w:val="24"/>
          <w:szCs w:val="24"/>
          <w:highlight w:val="none"/>
          <w:lang w:val="en-US" w:eastAsia="zh-CN"/>
        </w:rPr>
      </w:pPr>
      <w:bookmarkStart w:id="340" w:name="_Toc29734"/>
      <w:bookmarkStart w:id="341" w:name="_Toc28220"/>
      <w:bookmarkStart w:id="342" w:name="_Toc16860"/>
      <w:bookmarkStart w:id="343" w:name="_Toc11644"/>
      <w:bookmarkStart w:id="344" w:name="_Toc7937"/>
      <w:bookmarkStart w:id="345" w:name="_Toc16187"/>
      <w:bookmarkStart w:id="346" w:name="_Toc14872"/>
      <w:bookmarkStart w:id="347" w:name="_Toc12667"/>
      <w:bookmarkStart w:id="348" w:name="_Toc10096"/>
      <w:bookmarkStart w:id="349" w:name="_Toc9534"/>
      <w:r>
        <w:rPr>
          <w:rFonts w:hint="eastAsia" w:ascii="宋体" w:hAnsi="宋体" w:eastAsia="宋体" w:cs="宋体"/>
          <w:b/>
          <w:bCs/>
          <w:color w:val="auto"/>
          <w:sz w:val="24"/>
          <w:szCs w:val="24"/>
          <w:highlight w:val="none"/>
        </w:rPr>
        <w:t>十</w:t>
      </w:r>
      <w:bookmarkEnd w:id="340"/>
      <w:bookmarkEnd w:id="341"/>
      <w:bookmarkEnd w:id="342"/>
      <w:bookmarkStart w:id="350" w:name="_Toc501975540"/>
      <w:bookmarkStart w:id="351" w:name="_Toc57316008"/>
      <w:bookmarkStart w:id="352" w:name="_Toc11381"/>
      <w:r>
        <w:rPr>
          <w:rFonts w:hint="eastAsia" w:ascii="宋体" w:hAnsi="宋体" w:eastAsia="宋体" w:cs="宋体"/>
          <w:b/>
          <w:bCs/>
          <w:color w:val="auto"/>
          <w:sz w:val="24"/>
          <w:szCs w:val="24"/>
          <w:highlight w:val="none"/>
          <w:lang w:val="en-US" w:eastAsia="zh-CN"/>
        </w:rPr>
        <w:t>、双方权利与义务</w:t>
      </w:r>
      <w:bookmarkEnd w:id="350"/>
      <w:bookmarkEnd w:id="351"/>
      <w:bookmarkEnd w:id="352"/>
    </w:p>
    <w:p w14:paraId="562DA8B0">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甲方权利与义务</w:t>
      </w:r>
    </w:p>
    <w:p w14:paraId="47967659">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1.1</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甲方有权对乙方派出的机构与人员进行审查，并对其工作质量、过程和工作成果进行检查和监督。甲方针对乙方的任何确认、认可、要求、监督检查、审查、验收、建议等均不会减轻或替代或免除乙方应按本合同履行的职责，也不会因此导致甲方承担任何责任。</w:t>
      </w:r>
    </w:p>
    <w:p w14:paraId="135AE082">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1.2</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甲方有权要求乙方更换不称职的、不能胜任工作的、严重失职的人员。</w:t>
      </w:r>
    </w:p>
    <w:p w14:paraId="2068977B">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1.3</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甲方有权否定任何在本工程中项目负责人做出损害甲方利益的决定和行为，并有权向乙方索赔。</w:t>
      </w:r>
    </w:p>
    <w:p w14:paraId="4145D739">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1.4</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甲方有权无偿、永久使用合同执行过程中产生的所有环境监理的成果报告文件。</w:t>
      </w:r>
    </w:p>
    <w:p w14:paraId="4275A5CA">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1.5 甲方应将授予乙方的权限及时书面通知施工承包人、监理单位。</w:t>
      </w:r>
    </w:p>
    <w:p w14:paraId="50765032">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1.6</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甲方应及时向乙方提供与工程有关的资料。</w:t>
      </w:r>
    </w:p>
    <w:p w14:paraId="3DBA58E0">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1.7</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甲方在本合同约定的服务范围内对施工承包人、监理单位的任何意见或要求，应及时向乙方提出。</w:t>
      </w:r>
    </w:p>
    <w:p w14:paraId="42C0AAC7">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1.8</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甲方应当及时就乙方书面形式提交并要求作出决定的事宜作出书面形式的答复。</w:t>
      </w:r>
    </w:p>
    <w:p w14:paraId="3B70C798">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1.9</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在合同履行过程中，对于乙方提交的报告，甲方应及时审批验收。</w:t>
      </w:r>
    </w:p>
    <w:p w14:paraId="53144BC5">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1.10</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甲方应制定管理办法，进一步明确各方职责、关系、工作流程，协调环境监理与监理之间的工作界面及管理程序上的矛盾。</w:t>
      </w:r>
    </w:p>
    <w:p w14:paraId="244CFBBE">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1.11</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甲方应按合同约定及时支付监理费用。</w:t>
      </w:r>
    </w:p>
    <w:p w14:paraId="395B4DDE">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1.12</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甲方对乙方提交的请示函件的认可或对其工作的检查并不免除乙方提供监理及其它服务应承担的责任和义务。</w:t>
      </w:r>
    </w:p>
    <w:p w14:paraId="7DFBBE99">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1.11</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甲方保留在工作时段对乙方人员采取指纹、人脸识别或移动端等电子化信息定位、考勤的权利，乙方需无条件配合。</w:t>
      </w:r>
    </w:p>
    <w:p w14:paraId="75E7F9A4">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乙方权利与义务</w:t>
      </w:r>
    </w:p>
    <w:p w14:paraId="3E13346B">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w:t>
      </w:r>
      <w:bookmarkStart w:id="353" w:name="OLE_LINK38"/>
      <w:bookmarkStart w:id="354" w:name="OLE_LINK37"/>
      <w:r>
        <w:rPr>
          <w:rFonts w:hint="eastAsia" w:ascii="宋体" w:hAnsi="宋体" w:eastAsia="宋体" w:cs="宋体"/>
          <w:color w:val="auto"/>
          <w:sz w:val="24"/>
          <w:szCs w:val="24"/>
          <w:highlight w:val="none"/>
          <w:lang w:val="en-US" w:eastAsia="zh-CN"/>
        </w:rPr>
        <w:t>乙方人员在甲方授权的范围内发布现场环境管理指令，并当即向甲方通报，重要的指令应在24小时内向甲方作书面报告。</w:t>
      </w:r>
      <w:bookmarkEnd w:id="353"/>
      <w:bookmarkEnd w:id="354"/>
    </w:p>
    <w:p w14:paraId="48D5CACE">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2.2</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乙方在监理过程中如发现施工承包人的施工队伍或人员工作不力，有权向甲方提出撤换施工的施工队伍或有关人员的建议。</w:t>
      </w:r>
    </w:p>
    <w:p w14:paraId="6BE6D7F6">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2.3 甲方对乙方的其他授权。</w:t>
      </w:r>
    </w:p>
    <w:p w14:paraId="2EBBCCE7">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2.4</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乙方应组建满足监理及相关服务工作需要的项目监理机构，向甲方报送委派的项目负责人及项目监理机构主要人员名单。</w:t>
      </w:r>
    </w:p>
    <w:p w14:paraId="72818D59">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2.5 乙方须建立完善的组织机构，按投标承诺配备人员和设备并保持稳定，以保证服务工作的正常进行。项目负责人不得在其他项目兼职。未经甲方书面批准，乙方不得对项目监理机构人员作出调整。若更换现场人员，应在经甲方书面批准后，以相当资格与技能的人员替换。</w:t>
      </w:r>
    </w:p>
    <w:p w14:paraId="7E20D71A">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2.6</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如果乙方员工存在以下情况之一，乙方应及时更换该项目监理机构人员：</w:t>
      </w:r>
    </w:p>
    <w:p w14:paraId="29F56BD1">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（1）严重过失行为；</w:t>
      </w:r>
    </w:p>
    <w:p w14:paraId="39B2680F">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（2）违法或涉嫌犯罪；</w:t>
      </w:r>
    </w:p>
    <w:p w14:paraId="425B0456">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（3）不能胜任所担任的岗位要求；</w:t>
      </w:r>
    </w:p>
    <w:p w14:paraId="3502D09D">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（4）严重违反职业道德。</w:t>
      </w:r>
    </w:p>
    <w:p w14:paraId="41251C6B">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乙方更换接替的项目负责人资格资历应不低于投标文件规定中的要求。</w:t>
      </w:r>
    </w:p>
    <w:p w14:paraId="39B4AD0A">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2.7</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经甲方审批同意后的主要管理人员有下列情形之一的，可以更换并无须承担违约金：</w:t>
      </w:r>
    </w:p>
    <w:p w14:paraId="2A85E22B">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（1）由县级及以上人社部门出具部分或全部丧失劳动能力的证明，或由县级及以上法院出具部分或全部丧失民事行为能力的证明。</w:t>
      </w:r>
    </w:p>
    <w:p w14:paraId="7ABC610C">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（2）达到法定退休年龄的。</w:t>
      </w:r>
    </w:p>
    <w:p w14:paraId="22638FF5">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乙方更换接替的项目负责人资格资历应不低于投标文件规定中的要求。</w:t>
      </w:r>
    </w:p>
    <w:p w14:paraId="1C8D00F3">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2.8 乙方对其所有工作人员工作中的失误、疏忽、玩忽职守承担全部责任。</w:t>
      </w:r>
    </w:p>
    <w:p w14:paraId="2D86048E">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2.9</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乙方应执行有关法律、法规以及有关主管部门的规章，并按照其要求支付所有费用，此费用已含在合同总价中。</w:t>
      </w:r>
    </w:p>
    <w:p w14:paraId="4FA91AF5">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2.10</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在整个服务期间，乙方自行为自身的人员工伤事故的保险、人身意外伤害险、财产保险投保，保险费用已包含在合同总价中。乙方自行承担人员财产、人身损害赔偿责任。乙方如需另聘专家咨询或协助而产生的费用，在合同业务范围内其费用由乙方承担。</w:t>
      </w:r>
    </w:p>
    <w:p w14:paraId="331A2127">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2.11</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乙方须建立各项管理制度和日常工作程序，正常开展环境监理工作。环境监理工作联系单是甲方环境监理台帐的一部分，乙方每半年向甲方移交一次。</w:t>
      </w:r>
    </w:p>
    <w:p w14:paraId="4D050F4E">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2.12</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乙方应按照国家相关法律法规及规范规程开展工作。乙方应当遵守甲方发布的管理办法及文件要求。</w:t>
      </w:r>
    </w:p>
    <w:p w14:paraId="5DB8F5A8">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2.13</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乙方根据甲方要求，编制月报，明确现场风险管控情况、下阶段风险预测，并对其客观公正性负责。特殊情况应及时提供专题报告。报告的具体格式、内容、份数等必须符合甲方的要求，同时上交电子文档。</w:t>
      </w:r>
    </w:p>
    <w:p w14:paraId="5B9CE775">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2.14</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在委托服务范围内，甲方、施工承包人和监理单位提出的任何意见和要求，乙方应及时拟定处置意见，并与甲方、施工承包人和监理单位协商确定。甲方与施工承包人之间发生争议时，乙方应根据自己的职责与甲方、施工承包人进行协商。</w:t>
      </w:r>
    </w:p>
    <w:p w14:paraId="10FA8E98">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2.15</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当甲方与施工承包人之间的争议提交仲裁机构仲裁时，乙方应当如实提供有关证明材料。</w:t>
      </w:r>
    </w:p>
    <w:p w14:paraId="0DB219D5">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2.16</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乙方办公、生活、交通工具等设施满足</w:t>
      </w:r>
      <w:r>
        <w:rPr>
          <w:rFonts w:hint="eastAsia" w:ascii="宋体" w:hAnsi="宋体" w:cs="宋体"/>
          <w:color w:val="auto"/>
          <w:sz w:val="24"/>
          <w:szCs w:val="24"/>
          <w:highlight w:val="none"/>
          <w:lang w:val="en-US" w:eastAsia="zh-CN"/>
        </w:rPr>
        <w:t>甲方</w:t>
      </w:r>
      <w:r>
        <w:rPr>
          <w:rFonts w:hint="eastAsia" w:ascii="宋体" w:hAnsi="宋体" w:eastAsia="宋体" w:cs="宋体"/>
          <w:color w:val="auto"/>
          <w:sz w:val="24"/>
          <w:szCs w:val="24"/>
          <w:highlight w:val="none"/>
          <w:lang w:val="en-US" w:eastAsia="zh-CN"/>
        </w:rPr>
        <w:t>要求。</w:t>
      </w:r>
    </w:p>
    <w:p w14:paraId="72F3C2B9">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2.17</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在合同执行过程中产生的所有报告过程文件、成果文件等，其所有权、著作权均属甲方，乙方有保密的责任和义务，未经甲方同意不得泄露或转让给任何第三方，如发生此类问题，乙方承担相应的经济赔偿及法律责任。</w:t>
      </w:r>
    </w:p>
    <w:p w14:paraId="50CAB8AA">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2.18</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乙方根据甲方要求分阶段递交成果报告且必须满足国家验收标准。</w:t>
      </w:r>
    </w:p>
    <w:p w14:paraId="0CC3F9C8">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2.19</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乙方提交环境监理报告经甲方认可后，作为项目环境保护竣工验收的依据之一，如果环境管理部门提出进一步完善环境监理意见，乙方应无偿对环境监理报告进行补充修改。</w:t>
      </w:r>
    </w:p>
    <w:p w14:paraId="31B814B6">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.2.20</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乙方有义务协助甲方进行环境管理机构的沟通工作，对环境监理期间环境保护工作进行定期总结，并报告甲方和环境管理部门。</w:t>
      </w:r>
    </w:p>
    <w:p w14:paraId="4600FF91">
      <w:pPr>
        <w:keepNext w:val="0"/>
        <w:keepLines w:val="0"/>
        <w:pageBreakBefore w:val="0"/>
        <w:shd w:val="clear"/>
        <w:kinsoku/>
        <w:wordWrap/>
        <w:overflowPunct/>
        <w:topLinePunct w:val="0"/>
        <w:autoSpaceDE/>
        <w:autoSpaceDN/>
        <w:bidi w:val="0"/>
        <w:snapToGrid w:val="0"/>
        <w:spacing w:line="312" w:lineRule="auto"/>
        <w:ind w:firstLine="311" w:firstLineChars="129"/>
        <w:textAlignment w:val="auto"/>
        <w:outlineLvl w:val="1"/>
        <w:rPr>
          <w:rFonts w:hint="eastAsia" w:ascii="宋体" w:hAnsi="宋体" w:eastAsia="宋体" w:cs="宋体"/>
          <w:b/>
          <w:bCs/>
          <w:color w:val="auto"/>
          <w:sz w:val="24"/>
          <w:szCs w:val="24"/>
          <w:highlight w:val="none"/>
        </w:rPr>
      </w:pPr>
      <w:bookmarkStart w:id="355" w:name="_Toc8578"/>
      <w:bookmarkStart w:id="356" w:name="_Toc23302"/>
      <w:bookmarkStart w:id="357" w:name="_Toc28658"/>
      <w:r>
        <w:rPr>
          <w:rFonts w:hint="eastAsia" w:ascii="宋体" w:hAnsi="宋体" w:eastAsia="宋体" w:cs="宋体"/>
          <w:b/>
          <w:bCs/>
          <w:color w:val="auto"/>
          <w:sz w:val="24"/>
          <w:szCs w:val="24"/>
          <w:highlight w:val="none"/>
        </w:rPr>
        <w:t>十</w:t>
      </w: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、违约责任</w:t>
      </w:r>
      <w:bookmarkEnd w:id="355"/>
      <w:bookmarkEnd w:id="356"/>
      <w:bookmarkEnd w:id="357"/>
    </w:p>
    <w:p w14:paraId="1BEAE331">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bookmarkStart w:id="358" w:name="_Toc16207"/>
      <w:bookmarkStart w:id="359" w:name="_Toc1024"/>
      <w:bookmarkStart w:id="360" w:name="_Toc9360"/>
      <w:r>
        <w:rPr>
          <w:rFonts w:hint="eastAsia" w:ascii="宋体" w:hAnsi="宋体" w:eastAsia="宋体" w:cs="宋体"/>
          <w:color w:val="auto"/>
          <w:sz w:val="24"/>
          <w:szCs w:val="24"/>
          <w:highlight w:val="none"/>
          <w:lang w:val="en-US" w:eastAsia="zh-CN"/>
        </w:rPr>
        <w:t>除合同条款已有约定的违约处理外，合同各方按以下原则承担违约责任。</w:t>
      </w:r>
    </w:p>
    <w:p w14:paraId="6A458385">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甲方违约</w:t>
      </w:r>
      <w:r>
        <w:rPr>
          <w:rFonts w:hint="eastAsia" w:ascii="宋体" w:hAnsi="宋体" w:cs="宋体"/>
          <w:color w:val="auto"/>
          <w:sz w:val="24"/>
          <w:szCs w:val="24"/>
          <w:highlight w:val="none"/>
          <w:lang w:val="en-US" w:eastAsia="zh-CN"/>
        </w:rPr>
        <w:t>责任</w:t>
      </w:r>
    </w:p>
    <w:p w14:paraId="6A7EC13C">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1.1 如甲方因受国家政策影响或整体工程计划进行重大调整变更，致使本合同项目无法继续履行时，甲方有权暂停或终止本合同，暂停或终止前一个月以书面方式告知乙方，不视为违约情形。</w:t>
      </w:r>
    </w:p>
    <w:p w14:paraId="18E9A245">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1.2 在合同履行期间，因其它客观原因，甲方要求终止或解除合同或甲乙两方协商一致解除合同，如果乙方已经开始本项目工作，甲方按乙方实际工作量支付进度款，未完成的部分甲方不再支付。</w:t>
      </w:r>
    </w:p>
    <w:p w14:paraId="06B8CD9D">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1.3 甲方应按合同约定向乙方支付合同款，甲方逾期支付的，以逾期未付金额为基准，按逾期天数及中国人民银行同期活期存款利率（不计复利）支付违约金。</w:t>
      </w:r>
    </w:p>
    <w:p w14:paraId="6D21ECC1">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乙方违约</w:t>
      </w:r>
      <w:r>
        <w:rPr>
          <w:rFonts w:hint="eastAsia" w:ascii="宋体" w:hAnsi="宋体" w:cs="宋体"/>
          <w:color w:val="auto"/>
          <w:sz w:val="24"/>
          <w:szCs w:val="24"/>
          <w:highlight w:val="none"/>
          <w:lang w:val="en-US" w:eastAsia="zh-CN"/>
        </w:rPr>
        <w:t>责任</w:t>
      </w:r>
    </w:p>
    <w:p w14:paraId="093788B3">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2.1</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合同生效后，乙方</w:t>
      </w:r>
      <w:r>
        <w:rPr>
          <w:rFonts w:hint="eastAsia" w:ascii="宋体" w:hAnsi="宋体" w:cs="宋体"/>
          <w:strike w:val="0"/>
          <w:dstrike w:val="0"/>
          <w:color w:val="auto"/>
          <w:sz w:val="24"/>
          <w:szCs w:val="24"/>
          <w:highlight w:val="none"/>
          <w:lang w:val="en-US" w:eastAsia="zh-CN"/>
        </w:rPr>
        <w:t>中途悔约、无故</w:t>
      </w:r>
      <w:r>
        <w:rPr>
          <w:rFonts w:hint="eastAsia" w:ascii="宋体" w:hAnsi="宋体" w:eastAsia="宋体" w:cs="宋体"/>
          <w:color w:val="auto"/>
          <w:sz w:val="24"/>
          <w:szCs w:val="24"/>
          <w:highlight w:val="none"/>
          <w:lang w:val="en-US" w:eastAsia="zh-CN"/>
        </w:rPr>
        <w:t>终止或解除合</w:t>
      </w:r>
      <w:r>
        <w:rPr>
          <w:rFonts w:hint="eastAsia" w:ascii="宋体" w:hAnsi="宋体" w:cs="宋体"/>
          <w:color w:val="auto"/>
          <w:sz w:val="24"/>
          <w:szCs w:val="24"/>
          <w:highlight w:val="none"/>
          <w:lang w:val="en-US" w:eastAsia="zh-CN"/>
        </w:rPr>
        <w:t>同的</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应如数退还甲方已支付的全部合同款项，并按</w:t>
      </w:r>
      <w:r>
        <w:rPr>
          <w:rFonts w:hint="eastAsia" w:ascii="宋体" w:hAnsi="宋体" w:eastAsia="宋体" w:cs="宋体"/>
          <w:color w:val="auto"/>
          <w:sz w:val="24"/>
          <w:szCs w:val="24"/>
          <w:highlight w:val="none"/>
          <w:lang w:val="en-US" w:eastAsia="zh-CN"/>
        </w:rPr>
        <w:t>合同价款的10%</w:t>
      </w:r>
      <w:r>
        <w:rPr>
          <w:rFonts w:hint="eastAsia" w:ascii="宋体" w:hAnsi="宋体" w:cs="宋体"/>
          <w:color w:val="auto"/>
          <w:sz w:val="24"/>
          <w:szCs w:val="24"/>
          <w:highlight w:val="none"/>
          <w:lang w:val="en-US" w:eastAsia="zh-CN"/>
        </w:rPr>
        <w:t>标准支付甲方</w:t>
      </w:r>
      <w:r>
        <w:rPr>
          <w:rFonts w:hint="eastAsia" w:ascii="宋体" w:hAnsi="宋体" w:eastAsia="宋体" w:cs="宋体"/>
          <w:color w:val="auto"/>
          <w:sz w:val="24"/>
          <w:szCs w:val="24"/>
          <w:highlight w:val="none"/>
          <w:lang w:val="en-US" w:eastAsia="zh-CN"/>
        </w:rPr>
        <w:t>违约赔偿金；如违约</w:t>
      </w:r>
      <w:r>
        <w:rPr>
          <w:rFonts w:hint="eastAsia" w:ascii="宋体" w:hAnsi="宋体" w:cs="宋体"/>
          <w:color w:val="auto"/>
          <w:sz w:val="24"/>
          <w:szCs w:val="24"/>
          <w:highlight w:val="none"/>
          <w:lang w:val="en-US" w:eastAsia="zh-CN"/>
        </w:rPr>
        <w:t>赔偿</w:t>
      </w:r>
      <w:r>
        <w:rPr>
          <w:rFonts w:hint="eastAsia" w:ascii="宋体" w:hAnsi="宋体" w:eastAsia="宋体" w:cs="宋体"/>
          <w:color w:val="auto"/>
          <w:sz w:val="24"/>
          <w:szCs w:val="24"/>
          <w:highlight w:val="none"/>
          <w:lang w:val="en-US" w:eastAsia="zh-CN"/>
        </w:rPr>
        <w:t>金不能弥补</w:t>
      </w:r>
      <w:r>
        <w:rPr>
          <w:rFonts w:hint="eastAsia" w:ascii="宋体" w:hAnsi="宋体" w:cs="宋体"/>
          <w:color w:val="auto"/>
          <w:sz w:val="24"/>
          <w:szCs w:val="24"/>
          <w:highlight w:val="none"/>
          <w:lang w:val="en-US" w:eastAsia="zh-CN"/>
        </w:rPr>
        <w:t>甲方因</w:t>
      </w:r>
      <w:r>
        <w:rPr>
          <w:rFonts w:hint="eastAsia" w:ascii="宋体" w:hAnsi="宋体" w:eastAsia="宋体" w:cs="宋体"/>
          <w:color w:val="auto"/>
          <w:sz w:val="24"/>
          <w:szCs w:val="24"/>
          <w:highlight w:val="none"/>
          <w:lang w:val="en-US" w:eastAsia="zh-CN"/>
        </w:rPr>
        <w:t>乙方违约造成的</w:t>
      </w:r>
      <w:r>
        <w:rPr>
          <w:rFonts w:hint="eastAsia" w:ascii="宋体" w:hAnsi="宋体" w:cs="宋体"/>
          <w:color w:val="auto"/>
          <w:sz w:val="24"/>
          <w:szCs w:val="24"/>
          <w:highlight w:val="none"/>
          <w:lang w:val="en-US" w:eastAsia="zh-CN"/>
        </w:rPr>
        <w:t>实际</w:t>
      </w:r>
      <w:r>
        <w:rPr>
          <w:rFonts w:hint="eastAsia" w:ascii="宋体" w:hAnsi="宋体" w:eastAsia="宋体" w:cs="宋体"/>
          <w:color w:val="auto"/>
          <w:sz w:val="24"/>
          <w:szCs w:val="24"/>
          <w:highlight w:val="none"/>
          <w:lang w:val="en-US" w:eastAsia="zh-CN"/>
        </w:rPr>
        <w:t>损失的，</w:t>
      </w:r>
      <w:r>
        <w:rPr>
          <w:rFonts w:hint="eastAsia" w:ascii="宋体" w:hAnsi="宋体" w:cs="宋体"/>
          <w:color w:val="auto"/>
          <w:sz w:val="24"/>
          <w:szCs w:val="24"/>
          <w:highlight w:val="none"/>
          <w:lang w:val="en-US" w:eastAsia="zh-CN"/>
        </w:rPr>
        <w:t>不足部分损失由</w:t>
      </w:r>
      <w:r>
        <w:rPr>
          <w:rFonts w:hint="eastAsia" w:ascii="宋体" w:hAnsi="宋体" w:eastAsia="宋体" w:cs="宋体"/>
          <w:color w:val="auto"/>
          <w:sz w:val="24"/>
          <w:szCs w:val="24"/>
          <w:highlight w:val="none"/>
          <w:lang w:val="en-US" w:eastAsia="zh-CN"/>
        </w:rPr>
        <w:t>乙方</w:t>
      </w:r>
      <w:r>
        <w:rPr>
          <w:rFonts w:hint="eastAsia" w:ascii="宋体" w:hAnsi="宋体" w:cs="宋体"/>
          <w:color w:val="auto"/>
          <w:sz w:val="24"/>
          <w:szCs w:val="24"/>
          <w:highlight w:val="none"/>
          <w:lang w:val="en-US" w:eastAsia="zh-CN"/>
        </w:rPr>
        <w:t>承担和</w:t>
      </w:r>
      <w:r>
        <w:rPr>
          <w:rFonts w:hint="eastAsia" w:ascii="宋体" w:hAnsi="宋体" w:eastAsia="宋体" w:cs="宋体"/>
          <w:color w:val="auto"/>
          <w:sz w:val="24"/>
          <w:szCs w:val="24"/>
          <w:highlight w:val="none"/>
          <w:lang w:val="en-US" w:eastAsia="zh-CN"/>
        </w:rPr>
        <w:t>赔偿。</w:t>
      </w:r>
    </w:p>
    <w:p w14:paraId="3BB28325">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2.2</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合同生效后，乙方不按合同约定履行职责的，</w:t>
      </w:r>
      <w:r>
        <w:rPr>
          <w:rFonts w:hint="eastAsia" w:ascii="宋体" w:hAnsi="宋体" w:cs="宋体"/>
          <w:color w:val="auto"/>
          <w:sz w:val="24"/>
          <w:szCs w:val="24"/>
          <w:highlight w:val="none"/>
          <w:lang w:val="en-US" w:eastAsia="zh-CN"/>
        </w:rPr>
        <w:t>甲方有权责令乙方限期改正并扣罚乙方合同价款</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元/次</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乙方拒不改正或继续</w:t>
      </w:r>
      <w:r>
        <w:rPr>
          <w:rFonts w:hint="eastAsia" w:ascii="宋体" w:hAnsi="宋体" w:eastAsia="宋体" w:cs="宋体"/>
          <w:color w:val="auto"/>
          <w:sz w:val="24"/>
          <w:szCs w:val="24"/>
          <w:highlight w:val="none"/>
          <w:lang w:val="en-US" w:eastAsia="zh-CN"/>
        </w:rPr>
        <w:t>履行的，</w:t>
      </w:r>
      <w:r>
        <w:rPr>
          <w:rFonts w:hint="eastAsia" w:ascii="宋体" w:hAnsi="宋体" w:cs="宋体"/>
          <w:color w:val="auto"/>
          <w:sz w:val="24"/>
          <w:szCs w:val="24"/>
          <w:highlight w:val="none"/>
          <w:lang w:val="en-US" w:eastAsia="zh-CN"/>
        </w:rPr>
        <w:t>按乙方中途悔约论处，</w:t>
      </w:r>
      <w:r>
        <w:rPr>
          <w:rFonts w:hint="eastAsia" w:ascii="宋体" w:hAnsi="宋体" w:eastAsia="宋体" w:cs="宋体"/>
          <w:color w:val="auto"/>
          <w:sz w:val="24"/>
          <w:szCs w:val="24"/>
          <w:highlight w:val="none"/>
          <w:lang w:val="en-US" w:eastAsia="zh-CN"/>
        </w:rPr>
        <w:t>甲方有权</w:t>
      </w:r>
      <w:r>
        <w:rPr>
          <w:rFonts w:hint="eastAsia" w:ascii="宋体" w:hAnsi="宋体" w:cs="宋体"/>
          <w:color w:val="auto"/>
          <w:sz w:val="24"/>
          <w:szCs w:val="24"/>
          <w:highlight w:val="none"/>
          <w:lang w:val="en-US" w:eastAsia="zh-CN"/>
        </w:rPr>
        <w:t>单方</w:t>
      </w:r>
      <w:r>
        <w:rPr>
          <w:rFonts w:hint="eastAsia" w:ascii="宋体" w:hAnsi="宋体" w:eastAsia="宋体" w:cs="宋体"/>
          <w:color w:val="auto"/>
          <w:sz w:val="24"/>
          <w:szCs w:val="24"/>
          <w:highlight w:val="none"/>
          <w:lang w:val="en-US" w:eastAsia="zh-CN"/>
        </w:rPr>
        <w:t>解除合同</w:t>
      </w:r>
      <w:r>
        <w:rPr>
          <w:rFonts w:hint="eastAsia" w:ascii="宋体" w:hAnsi="宋体" w:cs="宋体"/>
          <w:color w:val="auto"/>
          <w:sz w:val="24"/>
          <w:szCs w:val="24"/>
          <w:highlight w:val="none"/>
          <w:lang w:val="en-US" w:eastAsia="zh-CN"/>
        </w:rPr>
        <w:t>并追究乙方违约责任。</w:t>
      </w:r>
    </w:p>
    <w:p w14:paraId="60DCC2BF">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2.3</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w:t>
      </w:r>
      <w:r>
        <w:rPr>
          <w:rFonts w:hint="eastAsia" w:ascii="宋体" w:hAnsi="宋体" w:cs="宋体"/>
          <w:color w:val="auto"/>
          <w:sz w:val="24"/>
          <w:szCs w:val="24"/>
          <w:highlight w:val="none"/>
          <w:lang w:val="en-US" w:eastAsia="zh-CN"/>
        </w:rPr>
        <w:t>应全面</w:t>
      </w:r>
      <w:r>
        <w:rPr>
          <w:rFonts w:hint="eastAsia" w:ascii="宋体" w:hAnsi="宋体" w:eastAsia="宋体" w:cs="宋体"/>
          <w:color w:val="auto"/>
          <w:sz w:val="24"/>
          <w:szCs w:val="24"/>
          <w:highlight w:val="none"/>
          <w:lang w:val="en-US" w:eastAsia="zh-CN"/>
        </w:rPr>
        <w:t>履行本合同约定的义务，对应当监督检查的项目不检查或不按规定检查或存在显著工作过失</w:t>
      </w:r>
      <w:r>
        <w:rPr>
          <w:rFonts w:hint="eastAsia" w:ascii="宋体" w:hAnsi="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甲方有权扣罚乙方合同价款</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元/次，</w:t>
      </w:r>
      <w:r>
        <w:rPr>
          <w:rFonts w:hint="eastAsia" w:ascii="宋体" w:hAnsi="宋体" w:eastAsia="宋体" w:cs="宋体"/>
          <w:color w:val="auto"/>
          <w:sz w:val="24"/>
          <w:szCs w:val="24"/>
          <w:highlight w:val="none"/>
          <w:lang w:val="en-US" w:eastAsia="zh-CN"/>
        </w:rPr>
        <w:t>造成</w:t>
      </w:r>
      <w:r>
        <w:rPr>
          <w:rFonts w:hint="eastAsia" w:ascii="宋体" w:hAnsi="宋体" w:cs="宋体"/>
          <w:color w:val="auto"/>
          <w:sz w:val="24"/>
          <w:szCs w:val="24"/>
          <w:highlight w:val="none"/>
          <w:lang w:val="en-US" w:eastAsia="zh-CN"/>
        </w:rPr>
        <w:t>甲方严重后果或经济损失</w:t>
      </w:r>
      <w:r>
        <w:rPr>
          <w:rFonts w:hint="eastAsia" w:ascii="宋体" w:hAnsi="宋体" w:eastAsia="宋体" w:cs="宋体"/>
          <w:color w:val="auto"/>
          <w:sz w:val="24"/>
          <w:szCs w:val="24"/>
          <w:highlight w:val="none"/>
          <w:lang w:val="en-US" w:eastAsia="zh-CN"/>
        </w:rPr>
        <w:t>的，</w:t>
      </w:r>
      <w:r>
        <w:rPr>
          <w:rFonts w:hint="eastAsia" w:ascii="宋体" w:hAnsi="宋体" w:cs="宋体"/>
          <w:color w:val="auto"/>
          <w:sz w:val="24"/>
          <w:szCs w:val="24"/>
          <w:highlight w:val="none"/>
          <w:lang w:val="en-US" w:eastAsia="zh-CN"/>
        </w:rPr>
        <w:t>按乙方中途悔约论处，</w:t>
      </w:r>
      <w:r>
        <w:rPr>
          <w:rFonts w:hint="eastAsia" w:ascii="宋体" w:hAnsi="宋体" w:eastAsia="宋体" w:cs="宋体"/>
          <w:color w:val="auto"/>
          <w:sz w:val="24"/>
          <w:szCs w:val="24"/>
          <w:highlight w:val="none"/>
          <w:lang w:val="en-US" w:eastAsia="zh-CN"/>
        </w:rPr>
        <w:t>甲方有权</w:t>
      </w:r>
      <w:r>
        <w:rPr>
          <w:rFonts w:hint="eastAsia" w:ascii="宋体" w:hAnsi="宋体" w:cs="宋体"/>
          <w:color w:val="auto"/>
          <w:sz w:val="24"/>
          <w:szCs w:val="24"/>
          <w:highlight w:val="none"/>
          <w:lang w:val="en-US" w:eastAsia="zh-CN"/>
        </w:rPr>
        <w:t>单方</w:t>
      </w:r>
      <w:r>
        <w:rPr>
          <w:rFonts w:hint="eastAsia" w:ascii="宋体" w:hAnsi="宋体" w:eastAsia="宋体" w:cs="宋体"/>
          <w:color w:val="auto"/>
          <w:sz w:val="24"/>
          <w:szCs w:val="24"/>
          <w:highlight w:val="none"/>
          <w:lang w:val="en-US" w:eastAsia="zh-CN"/>
        </w:rPr>
        <w:t>解除合同</w:t>
      </w:r>
      <w:r>
        <w:rPr>
          <w:rFonts w:hint="eastAsia" w:ascii="宋体" w:hAnsi="宋体" w:cs="宋体"/>
          <w:color w:val="auto"/>
          <w:sz w:val="24"/>
          <w:szCs w:val="24"/>
          <w:highlight w:val="none"/>
          <w:lang w:val="en-US" w:eastAsia="zh-CN"/>
        </w:rPr>
        <w:t>并追究乙方违约责任。</w:t>
      </w:r>
    </w:p>
    <w:p w14:paraId="78D89A89">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strike/>
          <w:dstrike w:val="0"/>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 xml:space="preserve">2.4 </w:t>
      </w:r>
      <w:r>
        <w:rPr>
          <w:rFonts w:hint="eastAsia" w:ascii="宋体" w:hAnsi="宋体" w:cs="宋体"/>
          <w:strike w:val="0"/>
          <w:dstrike w:val="0"/>
          <w:color w:val="auto"/>
          <w:sz w:val="24"/>
          <w:szCs w:val="24"/>
          <w:highlight w:val="none"/>
          <w:lang w:val="en-US" w:eastAsia="zh-CN"/>
        </w:rPr>
        <w:t>除合同另有规定</w:t>
      </w:r>
      <w:r>
        <w:rPr>
          <w:rFonts w:hint="eastAsia" w:ascii="宋体" w:hAnsi="宋体" w:eastAsia="宋体" w:cs="宋体"/>
          <w:color w:val="auto"/>
          <w:sz w:val="24"/>
          <w:szCs w:val="24"/>
          <w:highlight w:val="none"/>
          <w:lang w:val="en-US" w:eastAsia="zh-CN"/>
        </w:rPr>
        <w:t>外，在项目实施期间</w:t>
      </w:r>
      <w:r>
        <w:rPr>
          <w:rFonts w:hint="eastAsia" w:ascii="宋体" w:hAnsi="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eastAsia="zh-CN"/>
        </w:rPr>
        <w:t>原则上不得更换项目负责人，</w:t>
      </w:r>
      <w:r>
        <w:rPr>
          <w:rFonts w:hint="eastAsia" w:ascii="宋体" w:hAnsi="宋体" w:cs="宋体"/>
          <w:strike w:val="0"/>
          <w:dstrike w:val="0"/>
          <w:color w:val="auto"/>
          <w:sz w:val="24"/>
          <w:szCs w:val="24"/>
          <w:highlight w:val="none"/>
          <w:lang w:val="en-US" w:eastAsia="zh-CN"/>
        </w:rPr>
        <w:t>如</w:t>
      </w:r>
      <w:r>
        <w:rPr>
          <w:rFonts w:hint="eastAsia" w:ascii="宋体" w:hAnsi="宋体" w:eastAsia="宋体" w:cs="宋体"/>
          <w:color w:val="auto"/>
          <w:sz w:val="24"/>
          <w:szCs w:val="24"/>
          <w:highlight w:val="none"/>
          <w:lang w:val="en-US" w:eastAsia="zh-CN"/>
        </w:rPr>
        <w:t>确需更换的，经甲方书面同意，</w:t>
      </w:r>
      <w:r>
        <w:rPr>
          <w:rFonts w:hint="eastAsia" w:ascii="宋体" w:hAnsi="宋体" w:cs="宋体"/>
          <w:strike w:val="0"/>
          <w:dstrike w:val="0"/>
          <w:color w:val="auto"/>
          <w:sz w:val="24"/>
          <w:szCs w:val="24"/>
          <w:highlight w:val="none"/>
          <w:lang w:val="en-US" w:eastAsia="zh-CN"/>
        </w:rPr>
        <w:t>乙方擅自更换项目负责人的，</w:t>
      </w:r>
      <w:r>
        <w:rPr>
          <w:rFonts w:hint="eastAsia" w:ascii="宋体" w:hAnsi="宋体" w:cs="宋体"/>
          <w:color w:val="auto"/>
          <w:sz w:val="24"/>
          <w:szCs w:val="24"/>
          <w:highlight w:val="none"/>
          <w:lang w:val="en-US" w:eastAsia="zh-CN"/>
        </w:rPr>
        <w:t>甲方有权责令乙方限期改正并扣罚乙方合同价款</w:t>
      </w:r>
      <w:r>
        <w:rPr>
          <w:rFonts w:hint="eastAsia" w:ascii="宋体" w:hAnsi="宋体" w:cs="宋体"/>
          <w:color w:val="auto"/>
          <w:sz w:val="24"/>
          <w:szCs w:val="24"/>
          <w:highlight w:val="none"/>
          <w:u w:val="none"/>
          <w:lang w:val="en-US" w:eastAsia="zh-CN"/>
        </w:rPr>
        <w:t>100000</w:t>
      </w:r>
      <w:r>
        <w:rPr>
          <w:rFonts w:hint="eastAsia" w:ascii="宋体" w:hAnsi="宋体" w:cs="宋体"/>
          <w:color w:val="auto"/>
          <w:sz w:val="24"/>
          <w:szCs w:val="24"/>
          <w:highlight w:val="none"/>
          <w:lang w:val="en-US" w:eastAsia="zh-CN"/>
        </w:rPr>
        <w:t>元/人/次</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乙方拒不改正或继续</w:t>
      </w:r>
      <w:r>
        <w:rPr>
          <w:rFonts w:hint="eastAsia" w:ascii="宋体" w:hAnsi="宋体" w:eastAsia="宋体" w:cs="宋体"/>
          <w:color w:val="auto"/>
          <w:sz w:val="24"/>
          <w:szCs w:val="24"/>
          <w:highlight w:val="none"/>
          <w:lang w:val="en-US" w:eastAsia="zh-CN"/>
        </w:rPr>
        <w:t>履行的，</w:t>
      </w:r>
      <w:r>
        <w:rPr>
          <w:rFonts w:hint="eastAsia" w:ascii="宋体" w:hAnsi="宋体" w:cs="宋体"/>
          <w:color w:val="auto"/>
          <w:sz w:val="24"/>
          <w:szCs w:val="24"/>
          <w:highlight w:val="none"/>
          <w:lang w:val="en-US" w:eastAsia="zh-CN"/>
        </w:rPr>
        <w:t>按乙方中途悔约论处，</w:t>
      </w:r>
      <w:r>
        <w:rPr>
          <w:rFonts w:hint="eastAsia" w:ascii="宋体" w:hAnsi="宋体" w:eastAsia="宋体" w:cs="宋体"/>
          <w:color w:val="auto"/>
          <w:sz w:val="24"/>
          <w:szCs w:val="24"/>
          <w:highlight w:val="none"/>
          <w:lang w:val="en-US" w:eastAsia="zh-CN"/>
        </w:rPr>
        <w:t>甲方有权</w:t>
      </w:r>
      <w:r>
        <w:rPr>
          <w:rFonts w:hint="eastAsia" w:ascii="宋体" w:hAnsi="宋体" w:cs="宋体"/>
          <w:color w:val="auto"/>
          <w:sz w:val="24"/>
          <w:szCs w:val="24"/>
          <w:highlight w:val="none"/>
          <w:lang w:val="en-US" w:eastAsia="zh-CN"/>
        </w:rPr>
        <w:t>单方</w:t>
      </w:r>
      <w:r>
        <w:rPr>
          <w:rFonts w:hint="eastAsia" w:ascii="宋体" w:hAnsi="宋体" w:eastAsia="宋体" w:cs="宋体"/>
          <w:color w:val="auto"/>
          <w:sz w:val="24"/>
          <w:szCs w:val="24"/>
          <w:highlight w:val="none"/>
          <w:lang w:val="en-US" w:eastAsia="zh-CN"/>
        </w:rPr>
        <w:t>解除合同</w:t>
      </w:r>
      <w:r>
        <w:rPr>
          <w:rFonts w:hint="eastAsia" w:ascii="宋体" w:hAnsi="宋体" w:cs="宋体"/>
          <w:color w:val="auto"/>
          <w:sz w:val="24"/>
          <w:szCs w:val="24"/>
          <w:highlight w:val="none"/>
          <w:lang w:val="en-US" w:eastAsia="zh-CN"/>
        </w:rPr>
        <w:t>并追究乙方违约责任。</w:t>
      </w:r>
    </w:p>
    <w:p w14:paraId="789E237D">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2.5</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乙方驻场工作人员每月出勤不得低于22天。</w:t>
      </w:r>
      <w:r>
        <w:rPr>
          <w:rFonts w:hint="eastAsia" w:ascii="宋体" w:hAnsi="宋体" w:cs="宋体"/>
          <w:strike w:val="0"/>
          <w:dstrike w:val="0"/>
          <w:color w:val="auto"/>
          <w:sz w:val="24"/>
          <w:szCs w:val="24"/>
          <w:highlight w:val="none"/>
          <w:lang w:val="en-US" w:eastAsia="zh-CN"/>
        </w:rPr>
        <w:t>如</w:t>
      </w:r>
      <w:r>
        <w:rPr>
          <w:rFonts w:hint="eastAsia" w:ascii="宋体" w:hAnsi="宋体" w:eastAsia="宋体" w:cs="宋体"/>
          <w:color w:val="auto"/>
          <w:sz w:val="24"/>
          <w:szCs w:val="24"/>
          <w:highlight w:val="none"/>
          <w:lang w:val="en-US" w:eastAsia="zh-CN"/>
        </w:rPr>
        <w:t>乙方</w:t>
      </w:r>
      <w:r>
        <w:rPr>
          <w:rFonts w:hint="eastAsia" w:ascii="宋体" w:hAnsi="宋体" w:cs="宋体"/>
          <w:color w:val="auto"/>
          <w:sz w:val="24"/>
          <w:szCs w:val="24"/>
          <w:highlight w:val="none"/>
          <w:lang w:val="en-US" w:eastAsia="zh-CN"/>
        </w:rPr>
        <w:t>驻场工作人员出勤不足</w:t>
      </w:r>
      <w:r>
        <w:rPr>
          <w:rFonts w:hint="eastAsia" w:ascii="宋体" w:hAnsi="宋体" w:eastAsia="宋体" w:cs="宋体"/>
          <w:color w:val="auto"/>
          <w:sz w:val="24"/>
          <w:szCs w:val="24"/>
          <w:highlight w:val="none"/>
          <w:lang w:val="en-US" w:eastAsia="zh-CN"/>
        </w:rPr>
        <w:t>的</w:t>
      </w:r>
      <w:r>
        <w:rPr>
          <w:rFonts w:hint="eastAsia" w:ascii="宋体" w:hAnsi="宋体" w:cs="宋体"/>
          <w:color w:val="auto"/>
          <w:sz w:val="24"/>
          <w:szCs w:val="24"/>
          <w:highlight w:val="none"/>
          <w:lang w:val="en-US" w:eastAsia="zh-CN"/>
        </w:rPr>
        <w:t>，按</w:t>
      </w:r>
      <w:r>
        <w:rPr>
          <w:rFonts w:hint="eastAsia" w:ascii="宋体" w:hAnsi="宋体" w:eastAsia="宋体" w:cs="宋体"/>
          <w:strike w:val="0"/>
          <w:dstrike w:val="0"/>
          <w:color w:val="auto"/>
          <w:sz w:val="24"/>
          <w:szCs w:val="24"/>
          <w:highlight w:val="none"/>
          <w:lang w:val="en-US" w:eastAsia="zh-CN"/>
        </w:rPr>
        <w:t>缺勤天数</w:t>
      </w:r>
      <w:r>
        <w:rPr>
          <w:rFonts w:hint="eastAsia" w:ascii="宋体" w:hAnsi="宋体" w:cs="宋体"/>
          <w:strike w:val="0"/>
          <w:dstrike w:val="0"/>
          <w:color w:val="auto"/>
          <w:sz w:val="24"/>
          <w:szCs w:val="24"/>
          <w:highlight w:val="none"/>
          <w:lang w:val="en-US" w:eastAsia="zh-CN"/>
        </w:rPr>
        <w:t>和人数</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甲方有按</w:t>
      </w:r>
      <w:r>
        <w:rPr>
          <w:rFonts w:hint="eastAsia" w:ascii="宋体" w:hAnsi="宋体" w:cs="宋体"/>
          <w:color w:val="auto"/>
          <w:sz w:val="24"/>
          <w:szCs w:val="24"/>
          <w:highlight w:val="none"/>
          <w:u w:val="none"/>
          <w:lang w:val="en-US" w:eastAsia="zh-CN"/>
        </w:rPr>
        <w:t>1000</w:t>
      </w:r>
      <w:r>
        <w:rPr>
          <w:rFonts w:hint="eastAsia" w:ascii="宋体" w:hAnsi="宋体" w:cs="宋体"/>
          <w:color w:val="auto"/>
          <w:sz w:val="24"/>
          <w:szCs w:val="24"/>
          <w:highlight w:val="none"/>
          <w:lang w:val="en-US" w:eastAsia="zh-CN"/>
        </w:rPr>
        <w:t>元/人/次的标准扣罚乙方合同价款。当乙方驻场工作人员缺勤扣罚款累计数额</w:t>
      </w:r>
      <w:r>
        <w:rPr>
          <w:rFonts w:hint="eastAsia" w:ascii="宋体" w:hAnsi="宋体" w:cs="宋体"/>
          <w:strike w:val="0"/>
          <w:dstrike w:val="0"/>
          <w:color w:val="auto"/>
          <w:sz w:val="24"/>
          <w:szCs w:val="24"/>
          <w:highlight w:val="none"/>
          <w:lang w:val="en-US" w:eastAsia="zh-CN"/>
        </w:rPr>
        <w:t>超过</w:t>
      </w:r>
      <w:r>
        <w:rPr>
          <w:rFonts w:hint="eastAsia" w:ascii="宋体" w:hAnsi="宋体" w:eastAsia="宋体" w:cs="宋体"/>
          <w:color w:val="auto"/>
          <w:sz w:val="24"/>
          <w:szCs w:val="24"/>
          <w:highlight w:val="none"/>
          <w:lang w:val="en-US" w:eastAsia="zh-CN"/>
        </w:rPr>
        <w:t>合同价款4%</w:t>
      </w:r>
      <w:r>
        <w:rPr>
          <w:rFonts w:hint="eastAsia" w:ascii="宋体" w:hAnsi="宋体" w:cs="宋体"/>
          <w:color w:val="auto"/>
          <w:sz w:val="24"/>
          <w:szCs w:val="24"/>
          <w:highlight w:val="none"/>
          <w:lang w:val="en-US" w:eastAsia="zh-CN"/>
        </w:rPr>
        <w:t>额度时，按乙方中途悔约论处，</w:t>
      </w:r>
      <w:r>
        <w:rPr>
          <w:rFonts w:hint="eastAsia" w:ascii="宋体" w:hAnsi="宋体" w:eastAsia="宋体" w:cs="宋体"/>
          <w:color w:val="auto"/>
          <w:sz w:val="24"/>
          <w:szCs w:val="24"/>
          <w:highlight w:val="none"/>
          <w:lang w:val="en-US" w:eastAsia="zh-CN"/>
        </w:rPr>
        <w:t>甲方有权</w:t>
      </w:r>
      <w:r>
        <w:rPr>
          <w:rFonts w:hint="eastAsia" w:ascii="宋体" w:hAnsi="宋体" w:cs="宋体"/>
          <w:color w:val="auto"/>
          <w:sz w:val="24"/>
          <w:szCs w:val="24"/>
          <w:highlight w:val="none"/>
          <w:lang w:val="en-US" w:eastAsia="zh-CN"/>
        </w:rPr>
        <w:t>单方</w:t>
      </w:r>
      <w:r>
        <w:rPr>
          <w:rFonts w:hint="eastAsia" w:ascii="宋体" w:hAnsi="宋体" w:eastAsia="宋体" w:cs="宋体"/>
          <w:color w:val="auto"/>
          <w:sz w:val="24"/>
          <w:szCs w:val="24"/>
          <w:highlight w:val="none"/>
          <w:lang w:val="en-US" w:eastAsia="zh-CN"/>
        </w:rPr>
        <w:t>解除合同</w:t>
      </w:r>
      <w:r>
        <w:rPr>
          <w:rFonts w:hint="eastAsia" w:ascii="宋体" w:hAnsi="宋体" w:cs="宋体"/>
          <w:color w:val="auto"/>
          <w:sz w:val="24"/>
          <w:szCs w:val="24"/>
          <w:highlight w:val="none"/>
          <w:lang w:val="en-US" w:eastAsia="zh-CN"/>
        </w:rPr>
        <w:t>并追究乙方违约责任。</w:t>
      </w:r>
    </w:p>
    <w:p w14:paraId="1F8EE968">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2.6</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乙方擅自将项目拆解分包或转包</w:t>
      </w:r>
      <w:r>
        <w:rPr>
          <w:rFonts w:hint="eastAsia" w:ascii="宋体" w:hAnsi="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按乙方中途悔约论处，</w:t>
      </w:r>
      <w:r>
        <w:rPr>
          <w:rFonts w:hint="eastAsia" w:ascii="宋体" w:hAnsi="宋体" w:eastAsia="宋体" w:cs="宋体"/>
          <w:color w:val="auto"/>
          <w:sz w:val="24"/>
          <w:szCs w:val="24"/>
          <w:highlight w:val="none"/>
          <w:lang w:val="en-US" w:eastAsia="zh-CN"/>
        </w:rPr>
        <w:t>甲方有权</w:t>
      </w:r>
      <w:r>
        <w:rPr>
          <w:rFonts w:hint="eastAsia" w:ascii="宋体" w:hAnsi="宋体" w:cs="宋体"/>
          <w:color w:val="auto"/>
          <w:sz w:val="24"/>
          <w:szCs w:val="24"/>
          <w:highlight w:val="none"/>
          <w:lang w:val="en-US" w:eastAsia="zh-CN"/>
        </w:rPr>
        <w:t>单方</w:t>
      </w:r>
      <w:r>
        <w:rPr>
          <w:rFonts w:hint="eastAsia" w:ascii="宋体" w:hAnsi="宋体" w:eastAsia="宋体" w:cs="宋体"/>
          <w:color w:val="auto"/>
          <w:sz w:val="24"/>
          <w:szCs w:val="24"/>
          <w:highlight w:val="none"/>
          <w:lang w:val="en-US" w:eastAsia="zh-CN"/>
        </w:rPr>
        <w:t>解除合同</w:t>
      </w:r>
      <w:r>
        <w:rPr>
          <w:rFonts w:hint="eastAsia" w:ascii="宋体" w:hAnsi="宋体" w:cs="宋体"/>
          <w:color w:val="auto"/>
          <w:sz w:val="24"/>
          <w:szCs w:val="24"/>
          <w:highlight w:val="none"/>
          <w:lang w:val="en-US" w:eastAsia="zh-CN"/>
        </w:rPr>
        <w:t>并追究乙方违约责任。</w:t>
      </w:r>
    </w:p>
    <w:p w14:paraId="483A8240">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2.7</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若乙方所提供数据、资料以及交付成果等侵犯第三方知识产权，</w:t>
      </w:r>
      <w:r>
        <w:rPr>
          <w:rFonts w:hint="eastAsia" w:ascii="宋体" w:hAnsi="宋体" w:cs="宋体"/>
          <w:color w:val="auto"/>
          <w:sz w:val="24"/>
          <w:szCs w:val="24"/>
          <w:highlight w:val="none"/>
          <w:lang w:val="en-US" w:eastAsia="zh-CN"/>
        </w:rPr>
        <w:t>由</w:t>
      </w:r>
      <w:r>
        <w:rPr>
          <w:rFonts w:hint="eastAsia" w:ascii="宋体" w:hAnsi="宋体" w:eastAsia="宋体" w:cs="宋体"/>
          <w:color w:val="auto"/>
          <w:sz w:val="24"/>
          <w:szCs w:val="24"/>
          <w:highlight w:val="none"/>
          <w:lang w:val="en-US" w:eastAsia="zh-CN"/>
        </w:rPr>
        <w:t>乙方</w:t>
      </w:r>
      <w:r>
        <w:rPr>
          <w:rFonts w:hint="eastAsia" w:ascii="宋体" w:hAnsi="宋体" w:cs="宋体"/>
          <w:color w:val="auto"/>
          <w:sz w:val="24"/>
          <w:szCs w:val="24"/>
          <w:highlight w:val="none"/>
          <w:lang w:val="en-US" w:eastAsia="zh-CN"/>
        </w:rPr>
        <w:t>向第三方承担全部法律责任并负责消除影响，确保不影响本合同履行，如因此对甲方造成重大影响或经济损失的，按乙方中途悔约论处，</w:t>
      </w:r>
      <w:r>
        <w:rPr>
          <w:rFonts w:hint="eastAsia" w:ascii="宋体" w:hAnsi="宋体" w:eastAsia="宋体" w:cs="宋体"/>
          <w:color w:val="auto"/>
          <w:sz w:val="24"/>
          <w:szCs w:val="24"/>
          <w:highlight w:val="none"/>
          <w:lang w:val="en-US" w:eastAsia="zh-CN"/>
        </w:rPr>
        <w:t>甲方有权</w:t>
      </w:r>
      <w:r>
        <w:rPr>
          <w:rFonts w:hint="eastAsia" w:ascii="宋体" w:hAnsi="宋体" w:cs="宋体"/>
          <w:color w:val="auto"/>
          <w:sz w:val="24"/>
          <w:szCs w:val="24"/>
          <w:highlight w:val="none"/>
          <w:lang w:val="en-US" w:eastAsia="zh-CN"/>
        </w:rPr>
        <w:t>单方</w:t>
      </w:r>
      <w:r>
        <w:rPr>
          <w:rFonts w:hint="eastAsia" w:ascii="宋体" w:hAnsi="宋体" w:eastAsia="宋体" w:cs="宋体"/>
          <w:color w:val="auto"/>
          <w:sz w:val="24"/>
          <w:szCs w:val="24"/>
          <w:highlight w:val="none"/>
          <w:lang w:val="en-US" w:eastAsia="zh-CN"/>
        </w:rPr>
        <w:t>解除合同</w:t>
      </w:r>
      <w:r>
        <w:rPr>
          <w:rFonts w:hint="eastAsia" w:ascii="宋体" w:hAnsi="宋体" w:cs="宋体"/>
          <w:color w:val="auto"/>
          <w:sz w:val="24"/>
          <w:szCs w:val="24"/>
          <w:highlight w:val="none"/>
          <w:lang w:val="en-US" w:eastAsia="zh-CN"/>
        </w:rPr>
        <w:t>并追究乙方违约责任，</w:t>
      </w:r>
      <w:r>
        <w:rPr>
          <w:rFonts w:hint="eastAsia" w:ascii="宋体" w:hAnsi="宋体" w:cs="宋体"/>
          <w:strike w:val="0"/>
          <w:dstrike w:val="0"/>
          <w:color w:val="auto"/>
          <w:sz w:val="24"/>
          <w:szCs w:val="24"/>
          <w:highlight w:val="none"/>
          <w:lang w:val="en-US" w:eastAsia="zh-CN"/>
        </w:rPr>
        <w:t>如此种情况发生时，本</w:t>
      </w:r>
      <w:r>
        <w:rPr>
          <w:rFonts w:hint="eastAsia" w:ascii="宋体" w:hAnsi="宋体" w:eastAsia="宋体" w:cs="宋体"/>
          <w:color w:val="auto"/>
          <w:sz w:val="24"/>
          <w:szCs w:val="24"/>
          <w:highlight w:val="none"/>
          <w:lang w:val="en-US" w:eastAsia="zh-CN"/>
        </w:rPr>
        <w:t>合同已履行完毕的，甲方</w:t>
      </w:r>
      <w:r>
        <w:rPr>
          <w:rFonts w:hint="eastAsia" w:ascii="宋体" w:hAnsi="宋体" w:cs="宋体"/>
          <w:color w:val="auto"/>
          <w:sz w:val="24"/>
          <w:szCs w:val="24"/>
          <w:highlight w:val="none"/>
          <w:lang w:val="en-US" w:eastAsia="zh-CN"/>
        </w:rPr>
        <w:t>仍有权按本规定向乙方主张或追究相关合同权利</w:t>
      </w:r>
      <w:r>
        <w:rPr>
          <w:rFonts w:hint="eastAsia" w:ascii="宋体" w:hAnsi="宋体" w:eastAsia="宋体" w:cs="宋体"/>
          <w:color w:val="auto"/>
          <w:sz w:val="24"/>
          <w:szCs w:val="24"/>
          <w:highlight w:val="none"/>
          <w:lang w:val="en-US" w:eastAsia="zh-CN"/>
        </w:rPr>
        <w:t>。</w:t>
      </w:r>
    </w:p>
    <w:p w14:paraId="7879A017">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2.8</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乙方与</w:t>
      </w:r>
      <w:r>
        <w:rPr>
          <w:rFonts w:hint="eastAsia" w:ascii="宋体" w:hAnsi="宋体" w:cs="宋体"/>
          <w:color w:val="auto"/>
          <w:sz w:val="24"/>
          <w:szCs w:val="24"/>
          <w:highlight w:val="none"/>
          <w:lang w:val="en-US" w:eastAsia="zh-CN"/>
        </w:rPr>
        <w:t>包括但不限于</w:t>
      </w:r>
      <w:r>
        <w:rPr>
          <w:rFonts w:hint="eastAsia" w:ascii="宋体" w:hAnsi="宋体" w:eastAsia="宋体" w:cs="宋体"/>
          <w:color w:val="auto"/>
          <w:sz w:val="24"/>
          <w:szCs w:val="24"/>
          <w:highlight w:val="none"/>
          <w:lang w:val="en-US" w:eastAsia="zh-CN"/>
        </w:rPr>
        <w:t>施工承包人</w:t>
      </w:r>
      <w:r>
        <w:rPr>
          <w:rFonts w:hint="eastAsia" w:ascii="宋体" w:hAnsi="宋体" w:cs="宋体"/>
          <w:color w:val="auto"/>
          <w:sz w:val="24"/>
          <w:szCs w:val="24"/>
          <w:highlight w:val="none"/>
          <w:lang w:val="en-US" w:eastAsia="zh-CN"/>
        </w:rPr>
        <w:t>等第三方</w:t>
      </w:r>
      <w:r>
        <w:rPr>
          <w:rFonts w:hint="eastAsia" w:ascii="宋体" w:hAnsi="宋体" w:eastAsia="宋体" w:cs="宋体"/>
          <w:color w:val="auto"/>
          <w:sz w:val="24"/>
          <w:szCs w:val="24"/>
          <w:highlight w:val="none"/>
          <w:lang w:val="en-US" w:eastAsia="zh-CN"/>
        </w:rPr>
        <w:t>合谋串通给甲方或工程造成不利后果或任何损失的，乙方须支付合同价款的20%作为违约金，同时甲方有权解除本合同</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若造成甲方损失的，乙方按实际损失承担赔偿责任。</w:t>
      </w:r>
    </w:p>
    <w:p w14:paraId="420C1515">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 xml:space="preserve">9 </w:t>
      </w:r>
      <w:r>
        <w:rPr>
          <w:rFonts w:hint="eastAsia" w:ascii="宋体" w:hAnsi="宋体" w:eastAsia="宋体" w:cs="宋体"/>
          <w:color w:val="auto"/>
          <w:sz w:val="24"/>
          <w:szCs w:val="24"/>
          <w:highlight w:val="none"/>
          <w:lang w:val="en-US" w:eastAsia="zh-CN"/>
        </w:rPr>
        <w:t>乙方在合同履行过程中</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违反本次合同约定的其他义务性</w:t>
      </w:r>
      <w:r>
        <w:rPr>
          <w:rFonts w:hint="eastAsia" w:ascii="宋体" w:hAnsi="宋体" w:cs="宋体"/>
          <w:strike w:val="0"/>
          <w:dstrike w:val="0"/>
          <w:color w:val="auto"/>
          <w:sz w:val="24"/>
          <w:szCs w:val="24"/>
          <w:highlight w:val="none"/>
          <w:lang w:val="en-US" w:eastAsia="zh-CN"/>
        </w:rPr>
        <w:t>规</w:t>
      </w:r>
      <w:r>
        <w:rPr>
          <w:rFonts w:hint="eastAsia" w:ascii="宋体" w:hAnsi="宋体" w:eastAsia="宋体" w:cs="宋体"/>
          <w:color w:val="auto"/>
          <w:sz w:val="24"/>
          <w:szCs w:val="24"/>
          <w:highlight w:val="none"/>
          <w:lang w:val="en-US" w:eastAsia="zh-CN"/>
        </w:rPr>
        <w:t>定的，按合同价款的2%向甲方支付违约金</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造成甲方损失的，按实际损失承担赔偿责任。</w:t>
      </w:r>
    </w:p>
    <w:p w14:paraId="5446E879">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2.1</w:t>
      </w:r>
      <w:r>
        <w:rPr>
          <w:rFonts w:hint="eastAsia" w:ascii="宋体" w:hAnsi="宋体" w:cs="宋体"/>
          <w:color w:val="auto"/>
          <w:sz w:val="24"/>
          <w:szCs w:val="24"/>
          <w:highlight w:val="none"/>
          <w:lang w:val="en-US" w:eastAsia="zh-CN"/>
        </w:rPr>
        <w:t xml:space="preserve">0 </w:t>
      </w:r>
      <w:r>
        <w:rPr>
          <w:rFonts w:hint="eastAsia" w:ascii="宋体" w:hAnsi="宋体" w:eastAsia="宋体" w:cs="宋体"/>
          <w:color w:val="auto"/>
          <w:sz w:val="24"/>
          <w:szCs w:val="24"/>
          <w:highlight w:val="none"/>
          <w:lang w:val="en-US" w:eastAsia="zh-CN"/>
        </w:rPr>
        <w:t>乙方</w:t>
      </w:r>
      <w:r>
        <w:rPr>
          <w:rFonts w:hint="eastAsia" w:ascii="宋体" w:hAnsi="宋体" w:cs="宋体"/>
          <w:strike w:val="0"/>
          <w:dstrike w:val="0"/>
          <w:color w:val="auto"/>
          <w:sz w:val="24"/>
          <w:szCs w:val="24"/>
          <w:highlight w:val="none"/>
          <w:lang w:val="en-US" w:eastAsia="zh-CN"/>
        </w:rPr>
        <w:t>违约</w:t>
      </w:r>
      <w:r>
        <w:rPr>
          <w:rFonts w:hint="eastAsia" w:ascii="宋体" w:hAnsi="宋体" w:eastAsia="宋体" w:cs="宋体"/>
          <w:color w:val="auto"/>
          <w:sz w:val="24"/>
          <w:szCs w:val="24"/>
          <w:highlight w:val="none"/>
          <w:lang w:val="en-US" w:eastAsia="zh-CN"/>
        </w:rPr>
        <w:t>的，甲方有权</w:t>
      </w:r>
      <w:r>
        <w:rPr>
          <w:rFonts w:hint="eastAsia" w:ascii="宋体" w:hAnsi="宋体" w:cs="宋体"/>
          <w:color w:val="auto"/>
          <w:sz w:val="24"/>
          <w:szCs w:val="24"/>
          <w:highlight w:val="none"/>
          <w:lang w:val="en-US" w:eastAsia="zh-CN"/>
        </w:rPr>
        <w:t>从应付合同款中直接扣减相应违约金数额，</w:t>
      </w:r>
      <w:r>
        <w:rPr>
          <w:rFonts w:hint="eastAsia" w:ascii="宋体" w:hAnsi="宋体" w:eastAsia="宋体" w:cs="宋体"/>
          <w:color w:val="auto"/>
          <w:sz w:val="24"/>
          <w:szCs w:val="24"/>
          <w:highlight w:val="none"/>
          <w:lang w:val="en-US" w:eastAsia="zh-CN"/>
        </w:rPr>
        <w:t>或通过履约担保</w:t>
      </w:r>
      <w:r>
        <w:rPr>
          <w:rFonts w:hint="eastAsia" w:ascii="宋体" w:hAnsi="宋体" w:cs="宋体"/>
          <w:color w:val="auto"/>
          <w:sz w:val="24"/>
          <w:szCs w:val="24"/>
          <w:highlight w:val="none"/>
          <w:lang w:val="en-US" w:eastAsia="zh-CN"/>
        </w:rPr>
        <w:t>函出具银行执行违约金支付义务</w:t>
      </w:r>
      <w:r>
        <w:rPr>
          <w:rFonts w:hint="eastAsia" w:ascii="宋体" w:hAnsi="宋体" w:eastAsia="宋体" w:cs="宋体"/>
          <w:color w:val="auto"/>
          <w:sz w:val="24"/>
          <w:szCs w:val="24"/>
          <w:highlight w:val="none"/>
          <w:lang w:val="en-US" w:eastAsia="zh-CN"/>
        </w:rPr>
        <w:t>乙方对甲方损失的赔偿包括甲方重新招标费用、延误工期、提起仲裁、律师费等直接或间接费用。</w:t>
      </w:r>
    </w:p>
    <w:p w14:paraId="0A934876">
      <w:pPr>
        <w:keepNext w:val="0"/>
        <w:keepLines w:val="0"/>
        <w:pageBreakBefore w:val="0"/>
        <w:shd w:val="clear"/>
        <w:kinsoku/>
        <w:wordWrap/>
        <w:overflowPunct/>
        <w:topLinePunct w:val="0"/>
        <w:autoSpaceDE/>
        <w:autoSpaceDN/>
        <w:bidi w:val="0"/>
        <w:snapToGrid w:val="0"/>
        <w:spacing w:line="312" w:lineRule="auto"/>
        <w:ind w:firstLine="311" w:firstLineChars="129"/>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w:t>
      </w:r>
      <w:r>
        <w:rPr>
          <w:rFonts w:hint="eastAsia" w:ascii="宋体" w:hAnsi="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、不可抗力事件处理</w:t>
      </w:r>
      <w:bookmarkEnd w:id="358"/>
      <w:bookmarkEnd w:id="359"/>
      <w:bookmarkEnd w:id="360"/>
    </w:p>
    <w:p w14:paraId="5B7FFC0B">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在合同有效期内，任何一方因不可抗力事件导致不能履行合同，则合同履行期可延长，其延长期与不可抗力影响期相同。</w:t>
      </w:r>
    </w:p>
    <w:p w14:paraId="5B80691D">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不可抗力事件发生后，应立即通知对方，并寄送有关权威机构出具的证明。</w:t>
      </w:r>
    </w:p>
    <w:p w14:paraId="5D7467F9">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3</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不可抗力事件延续120天以上，双方应通过友好协商，确定是否继续履行合同。</w:t>
      </w:r>
    </w:p>
    <w:p w14:paraId="212308E8">
      <w:pPr>
        <w:keepNext w:val="0"/>
        <w:keepLines w:val="0"/>
        <w:pageBreakBefore w:val="0"/>
        <w:shd w:val="clear"/>
        <w:kinsoku/>
        <w:wordWrap/>
        <w:overflowPunct/>
        <w:topLinePunct w:val="0"/>
        <w:autoSpaceDE/>
        <w:autoSpaceDN/>
        <w:bidi w:val="0"/>
        <w:snapToGrid w:val="0"/>
        <w:spacing w:line="312" w:lineRule="auto"/>
        <w:ind w:firstLine="311" w:firstLineChars="129"/>
        <w:textAlignment w:val="auto"/>
        <w:outlineLvl w:val="1"/>
        <w:rPr>
          <w:rFonts w:hint="eastAsia" w:ascii="宋体" w:hAnsi="宋体" w:eastAsia="宋体" w:cs="宋体"/>
          <w:b/>
          <w:bCs/>
          <w:color w:val="auto"/>
          <w:sz w:val="24"/>
          <w:szCs w:val="24"/>
          <w:highlight w:val="none"/>
        </w:rPr>
      </w:pPr>
      <w:bookmarkStart w:id="361" w:name="_Toc21226"/>
      <w:bookmarkStart w:id="362" w:name="_Toc28260"/>
      <w:bookmarkStart w:id="363" w:name="_Toc18273"/>
      <w:r>
        <w:rPr>
          <w:rFonts w:hint="eastAsia" w:ascii="宋体" w:hAnsi="宋体" w:eastAsia="宋体" w:cs="宋体"/>
          <w:b/>
          <w:bCs/>
          <w:color w:val="auto"/>
          <w:sz w:val="24"/>
          <w:szCs w:val="24"/>
          <w:highlight w:val="none"/>
        </w:rPr>
        <w:t>十</w:t>
      </w:r>
      <w:r>
        <w:rPr>
          <w:rFonts w:hint="eastAsia" w:ascii="宋体" w:hAnsi="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、诉讼</w:t>
      </w:r>
      <w:bookmarkEnd w:id="361"/>
      <w:bookmarkEnd w:id="362"/>
      <w:bookmarkEnd w:id="363"/>
    </w:p>
    <w:p w14:paraId="36515D26">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13.1 </w:t>
      </w:r>
      <w:r>
        <w:rPr>
          <w:rFonts w:hint="eastAsia" w:ascii="宋体" w:hAnsi="宋体" w:eastAsia="宋体" w:cs="宋体"/>
          <w:color w:val="auto"/>
          <w:sz w:val="24"/>
          <w:szCs w:val="24"/>
          <w:highlight w:val="none"/>
        </w:rPr>
        <w:t>双方在执行合同中所发生的一切争议，应通过协商解决。如协商不成，可向甲方所在地法院起诉。</w:t>
      </w:r>
    </w:p>
    <w:p w14:paraId="290F856F">
      <w:pPr>
        <w:keepNext w:val="0"/>
        <w:keepLines w:val="0"/>
        <w:pageBreakBefore w:val="0"/>
        <w:shd w:val="clear"/>
        <w:kinsoku/>
        <w:wordWrap/>
        <w:overflowPunct/>
        <w:topLinePunct w:val="0"/>
        <w:autoSpaceDE/>
        <w:autoSpaceDN/>
        <w:bidi w:val="0"/>
        <w:snapToGrid w:val="0"/>
        <w:spacing w:line="312" w:lineRule="auto"/>
        <w:ind w:firstLine="309" w:firstLineChars="129"/>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13.2 双方于本合同所在或履行合同所留的通讯联系方式及地址为各自合同、通知等法律文书或文件、文本的送达地址。</w:t>
      </w:r>
    </w:p>
    <w:p w14:paraId="40770C07">
      <w:pPr>
        <w:keepNext w:val="0"/>
        <w:keepLines w:val="0"/>
        <w:pageBreakBefore w:val="0"/>
        <w:shd w:val="clear"/>
        <w:kinsoku/>
        <w:wordWrap/>
        <w:overflowPunct/>
        <w:topLinePunct w:val="0"/>
        <w:autoSpaceDE/>
        <w:autoSpaceDN/>
        <w:bidi w:val="0"/>
        <w:snapToGrid w:val="0"/>
        <w:spacing w:line="312" w:lineRule="auto"/>
        <w:ind w:firstLine="311" w:firstLineChars="129"/>
        <w:textAlignment w:val="auto"/>
        <w:outlineLvl w:val="1"/>
        <w:rPr>
          <w:rFonts w:hint="eastAsia" w:ascii="宋体" w:hAnsi="宋体" w:eastAsia="宋体" w:cs="宋体"/>
          <w:b/>
          <w:bCs/>
          <w:color w:val="auto"/>
          <w:sz w:val="24"/>
          <w:szCs w:val="24"/>
          <w:highlight w:val="none"/>
        </w:rPr>
      </w:pPr>
      <w:bookmarkStart w:id="364" w:name="_Toc12066"/>
      <w:bookmarkStart w:id="365" w:name="_Toc23527"/>
      <w:bookmarkStart w:id="366" w:name="_Toc23308"/>
      <w:r>
        <w:rPr>
          <w:rFonts w:hint="eastAsia" w:ascii="宋体" w:hAnsi="宋体" w:eastAsia="宋体" w:cs="宋体"/>
          <w:b/>
          <w:bCs/>
          <w:color w:val="auto"/>
          <w:sz w:val="24"/>
          <w:szCs w:val="24"/>
          <w:highlight w:val="none"/>
        </w:rPr>
        <w:t>十</w:t>
      </w:r>
      <w:r>
        <w:rPr>
          <w:rFonts w:hint="eastAsia" w:ascii="宋体" w:hAnsi="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rPr>
        <w:t>、合同生效</w:t>
      </w:r>
      <w:r>
        <w:rPr>
          <w:rFonts w:hint="eastAsia" w:ascii="宋体" w:hAnsi="宋体" w:eastAsia="宋体" w:cs="宋体"/>
          <w:b/>
          <w:bCs/>
          <w:color w:val="auto"/>
          <w:sz w:val="24"/>
          <w:szCs w:val="24"/>
          <w:highlight w:val="none"/>
          <w:lang w:eastAsia="zh-CN"/>
        </w:rPr>
        <w:t>及其他</w:t>
      </w:r>
      <w:bookmarkEnd w:id="364"/>
      <w:bookmarkEnd w:id="365"/>
      <w:bookmarkEnd w:id="366"/>
    </w:p>
    <w:p w14:paraId="5218E9B2">
      <w:pPr>
        <w:keepNext w:val="0"/>
        <w:keepLines w:val="0"/>
        <w:pageBreakBefore w:val="0"/>
        <w:widowControl/>
        <w:shd w:val="clear"/>
        <w:kinsoku/>
        <w:wordWrap/>
        <w:overflowPunct/>
        <w:topLinePunct w:val="0"/>
        <w:autoSpaceDE/>
        <w:autoSpaceDN/>
        <w:bidi w:val="0"/>
        <w:adjustRightInd w:val="0"/>
        <w:snapToGrid w:val="0"/>
        <w:spacing w:line="312" w:lineRule="auto"/>
        <w:ind w:firstLine="309" w:firstLineChars="129"/>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w:t>
      </w: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本合同未尽事宜，</w:t>
      </w:r>
      <w:r>
        <w:rPr>
          <w:rFonts w:hint="eastAsia" w:ascii="宋体" w:hAnsi="宋体" w:eastAsia="宋体" w:cs="宋体"/>
          <w:color w:val="auto"/>
          <w:sz w:val="24"/>
          <w:szCs w:val="24"/>
          <w:highlight w:val="none"/>
          <w:lang w:eastAsia="zh-CN"/>
        </w:rPr>
        <w:t>双方另行协商处理，或</w:t>
      </w:r>
      <w:r>
        <w:rPr>
          <w:rFonts w:hint="eastAsia" w:ascii="宋体" w:hAnsi="宋体" w:eastAsia="宋体" w:cs="宋体"/>
          <w:color w:val="auto"/>
          <w:sz w:val="24"/>
          <w:szCs w:val="24"/>
          <w:highlight w:val="none"/>
        </w:rPr>
        <w:t>遵照《民法典》</w:t>
      </w:r>
      <w:r>
        <w:rPr>
          <w:rFonts w:hint="eastAsia" w:ascii="宋体" w:hAnsi="宋体" w:eastAsia="宋体" w:cs="宋体"/>
          <w:color w:val="auto"/>
          <w:sz w:val="24"/>
          <w:szCs w:val="24"/>
          <w:highlight w:val="none"/>
          <w:lang w:eastAsia="zh-CN"/>
        </w:rPr>
        <w:t>等法律法规有关规定</w:t>
      </w:r>
      <w:r>
        <w:rPr>
          <w:rFonts w:hint="eastAsia" w:ascii="宋体" w:hAnsi="宋体" w:eastAsia="宋体" w:cs="宋体"/>
          <w:color w:val="auto"/>
          <w:sz w:val="24"/>
          <w:szCs w:val="24"/>
          <w:highlight w:val="none"/>
        </w:rPr>
        <w:t>执行。</w:t>
      </w:r>
    </w:p>
    <w:p w14:paraId="277A442D">
      <w:pPr>
        <w:keepNext w:val="0"/>
        <w:keepLines w:val="0"/>
        <w:pageBreakBefore w:val="0"/>
        <w:widowControl/>
        <w:shd w:val="clear"/>
        <w:kinsoku/>
        <w:wordWrap/>
        <w:overflowPunct/>
        <w:topLinePunct w:val="0"/>
        <w:autoSpaceDE/>
        <w:autoSpaceDN/>
        <w:bidi w:val="0"/>
        <w:adjustRightInd w:val="0"/>
        <w:snapToGrid w:val="0"/>
        <w:spacing w:line="312" w:lineRule="auto"/>
        <w:ind w:firstLine="309" w:firstLineChars="129"/>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14.2 </w:t>
      </w:r>
      <w:r>
        <w:rPr>
          <w:rFonts w:hint="eastAsia" w:ascii="宋体" w:hAnsi="宋体" w:eastAsia="宋体" w:cs="宋体"/>
          <w:color w:val="auto"/>
          <w:sz w:val="24"/>
          <w:szCs w:val="24"/>
          <w:highlight w:val="none"/>
        </w:rPr>
        <w:t>本合同</w:t>
      </w:r>
      <w:r>
        <w:rPr>
          <w:rFonts w:hint="eastAsia" w:ascii="宋体" w:hAnsi="宋体" w:cs="宋体"/>
          <w:color w:val="auto"/>
          <w:sz w:val="24"/>
          <w:szCs w:val="24"/>
          <w:highlight w:val="none"/>
          <w:lang w:eastAsia="zh-CN"/>
        </w:rPr>
        <w:t>共</w:t>
      </w:r>
      <w:r>
        <w:rPr>
          <w:rFonts w:hint="eastAsia" w:ascii="宋体" w:hAnsi="宋体" w:eastAsia="宋体" w:cs="宋体"/>
          <w:color w:val="auto"/>
          <w:sz w:val="24"/>
          <w:szCs w:val="24"/>
          <w:highlight w:val="none"/>
        </w:rPr>
        <w:t>一式</w:t>
      </w:r>
      <w:r>
        <w:rPr>
          <w:rFonts w:hint="eastAsia" w:ascii="宋体" w:hAnsi="宋体" w:eastAsia="宋体" w:cs="宋体"/>
          <w:color w:val="auto"/>
          <w:sz w:val="24"/>
          <w:szCs w:val="24"/>
          <w:highlight w:val="none"/>
          <w:lang w:val="en-US" w:eastAsia="zh-CN"/>
        </w:rPr>
        <w:t>柒</w:t>
      </w:r>
      <w:r>
        <w:rPr>
          <w:rFonts w:hint="eastAsia" w:ascii="宋体" w:hAnsi="宋体" w:eastAsia="宋体" w:cs="宋体"/>
          <w:color w:val="auto"/>
          <w:sz w:val="24"/>
          <w:szCs w:val="24"/>
          <w:highlight w:val="none"/>
        </w:rPr>
        <w:t>份，均具有同等法律效力，</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执</w:t>
      </w:r>
      <w:r>
        <w:rPr>
          <w:rFonts w:hint="eastAsia" w:ascii="宋体" w:hAnsi="宋体" w:eastAsia="宋体" w:cs="宋体"/>
          <w:color w:val="auto"/>
          <w:sz w:val="24"/>
          <w:szCs w:val="24"/>
          <w:highlight w:val="none"/>
          <w:lang w:val="en-US" w:eastAsia="zh-CN"/>
        </w:rPr>
        <w:t>叁</w:t>
      </w:r>
      <w:r>
        <w:rPr>
          <w:rFonts w:hint="eastAsia" w:ascii="宋体" w:hAnsi="宋体" w:eastAsia="宋体" w:cs="宋体"/>
          <w:color w:val="auto"/>
          <w:sz w:val="24"/>
          <w:szCs w:val="24"/>
          <w:highlight w:val="none"/>
        </w:rPr>
        <w:t>份，</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执</w:t>
      </w:r>
      <w:r>
        <w:rPr>
          <w:rFonts w:hint="eastAsia" w:ascii="宋体" w:hAnsi="宋体" w:eastAsia="宋体" w:cs="宋体"/>
          <w:color w:val="auto"/>
          <w:sz w:val="24"/>
          <w:szCs w:val="24"/>
          <w:highlight w:val="none"/>
          <w:lang w:val="en-US" w:eastAsia="zh-CN"/>
        </w:rPr>
        <w:t>叁</w:t>
      </w:r>
      <w:r>
        <w:rPr>
          <w:rFonts w:hint="eastAsia" w:ascii="宋体" w:hAnsi="宋体" w:eastAsia="宋体" w:cs="宋体"/>
          <w:color w:val="auto"/>
          <w:sz w:val="24"/>
          <w:szCs w:val="24"/>
          <w:highlight w:val="none"/>
        </w:rPr>
        <w:t>份，</w:t>
      </w:r>
      <w:r>
        <w:rPr>
          <w:rFonts w:hint="eastAsia" w:ascii="宋体" w:hAnsi="宋体" w:eastAsia="宋体" w:cs="宋体"/>
          <w:color w:val="auto"/>
          <w:sz w:val="24"/>
          <w:szCs w:val="24"/>
          <w:highlight w:val="none"/>
          <w:lang w:eastAsia="zh-CN"/>
        </w:rPr>
        <w:t>衢州宇信工程咨询有限公司</w:t>
      </w:r>
      <w:r>
        <w:rPr>
          <w:rFonts w:hint="eastAsia" w:ascii="宋体" w:hAnsi="宋体" w:eastAsia="宋体" w:cs="宋体"/>
          <w:color w:val="auto"/>
          <w:sz w:val="24"/>
          <w:szCs w:val="24"/>
          <w:highlight w:val="none"/>
        </w:rPr>
        <w:t>执</w:t>
      </w:r>
      <w:r>
        <w:rPr>
          <w:rFonts w:hint="eastAsia" w:ascii="宋体" w:hAnsi="宋体" w:eastAsia="宋体" w:cs="宋体"/>
          <w:color w:val="auto"/>
          <w:sz w:val="24"/>
          <w:szCs w:val="24"/>
          <w:highlight w:val="none"/>
          <w:lang w:val="en-US" w:eastAsia="zh-CN"/>
        </w:rPr>
        <w:t>壹</w:t>
      </w:r>
      <w:r>
        <w:rPr>
          <w:rFonts w:hint="eastAsia" w:ascii="宋体" w:hAnsi="宋体" w:eastAsia="宋体" w:cs="宋体"/>
          <w:color w:val="auto"/>
          <w:sz w:val="24"/>
          <w:szCs w:val="24"/>
          <w:highlight w:val="none"/>
        </w:rPr>
        <w:t>份。合同经双方法定代表人或授权代表签字并加盖单位公章后生效。</w:t>
      </w:r>
    </w:p>
    <w:p w14:paraId="1533B864">
      <w:pPr>
        <w:keepNext w:val="0"/>
        <w:keepLines w:val="0"/>
        <w:pageBreakBefore w:val="0"/>
        <w:widowControl/>
        <w:shd w:val="clear"/>
        <w:kinsoku/>
        <w:wordWrap/>
        <w:overflowPunct/>
        <w:topLinePunct w:val="0"/>
        <w:autoSpaceDE/>
        <w:autoSpaceDN/>
        <w:bidi w:val="0"/>
        <w:adjustRightInd w:val="0"/>
        <w:snapToGrid w:val="0"/>
        <w:spacing w:line="312" w:lineRule="auto"/>
        <w:ind w:firstLine="309" w:firstLineChars="129"/>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签署页，本页无正文：</w:t>
      </w:r>
    </w:p>
    <w:tbl>
      <w:tblPr>
        <w:tblStyle w:val="4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43"/>
        <w:gridCol w:w="4643"/>
      </w:tblGrid>
      <w:tr w14:paraId="0318C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643" w:type="dxa"/>
            <w:tcBorders>
              <w:top w:val="nil"/>
              <w:left w:val="nil"/>
              <w:bottom w:val="nil"/>
              <w:right w:val="nil"/>
            </w:tcBorders>
            <w:noWrap w:val="0"/>
            <w:vAlign w:val="center"/>
          </w:tcPr>
          <w:p w14:paraId="5391757B">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（盖章）：</w:t>
            </w:r>
            <w:r>
              <w:rPr>
                <w:rFonts w:hint="eastAsia" w:ascii="宋体" w:hAnsi="宋体" w:eastAsia="宋体" w:cs="宋体"/>
                <w:color w:val="auto"/>
                <w:sz w:val="24"/>
                <w:szCs w:val="24"/>
                <w:highlight w:val="none"/>
                <w:u w:val="single"/>
              </w:rPr>
              <w:t xml:space="preserve">                    </w:t>
            </w:r>
          </w:p>
        </w:tc>
        <w:tc>
          <w:tcPr>
            <w:tcW w:w="4643" w:type="dxa"/>
            <w:tcBorders>
              <w:top w:val="nil"/>
              <w:left w:val="nil"/>
              <w:bottom w:val="nil"/>
              <w:right w:val="nil"/>
            </w:tcBorders>
            <w:noWrap w:val="0"/>
            <w:vAlign w:val="center"/>
          </w:tcPr>
          <w:p w14:paraId="5F5805EC">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（盖章）：</w:t>
            </w:r>
            <w:r>
              <w:rPr>
                <w:rFonts w:hint="eastAsia" w:ascii="宋体" w:hAnsi="宋体" w:eastAsia="宋体" w:cs="宋体"/>
                <w:color w:val="auto"/>
                <w:sz w:val="24"/>
                <w:szCs w:val="24"/>
                <w:highlight w:val="none"/>
                <w:u w:val="single"/>
              </w:rPr>
              <w:t xml:space="preserve">                    </w:t>
            </w:r>
          </w:p>
        </w:tc>
      </w:tr>
      <w:tr w14:paraId="29A7E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643" w:type="dxa"/>
            <w:tcBorders>
              <w:top w:val="nil"/>
              <w:left w:val="nil"/>
              <w:bottom w:val="nil"/>
              <w:right w:val="nil"/>
            </w:tcBorders>
            <w:noWrap w:val="0"/>
            <w:vAlign w:val="center"/>
          </w:tcPr>
          <w:p w14:paraId="2D5E540D">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单位负责人或授权</w:t>
            </w:r>
          </w:p>
          <w:p w14:paraId="5C292348">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代理人（签字）：</w:t>
            </w:r>
            <w:r>
              <w:rPr>
                <w:rFonts w:hint="eastAsia" w:ascii="宋体" w:hAnsi="宋体" w:eastAsia="宋体" w:cs="宋体"/>
                <w:color w:val="auto"/>
                <w:sz w:val="24"/>
                <w:szCs w:val="24"/>
                <w:highlight w:val="none"/>
                <w:u w:val="single"/>
              </w:rPr>
              <w:t xml:space="preserve">                  </w:t>
            </w:r>
          </w:p>
        </w:tc>
        <w:tc>
          <w:tcPr>
            <w:tcW w:w="4643" w:type="dxa"/>
            <w:tcBorders>
              <w:top w:val="nil"/>
              <w:left w:val="nil"/>
              <w:bottom w:val="nil"/>
              <w:right w:val="nil"/>
            </w:tcBorders>
            <w:noWrap w:val="0"/>
            <w:vAlign w:val="center"/>
          </w:tcPr>
          <w:p w14:paraId="0B7BBDA3">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单位负责人或授权</w:t>
            </w:r>
          </w:p>
          <w:p w14:paraId="65FDB2AB">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代理人（签字）：</w:t>
            </w:r>
            <w:r>
              <w:rPr>
                <w:rFonts w:hint="eastAsia" w:ascii="宋体" w:hAnsi="宋体" w:eastAsia="宋体" w:cs="宋体"/>
                <w:color w:val="auto"/>
                <w:sz w:val="24"/>
                <w:szCs w:val="24"/>
                <w:highlight w:val="none"/>
                <w:u w:val="single"/>
              </w:rPr>
              <w:t xml:space="preserve">                  </w:t>
            </w:r>
          </w:p>
        </w:tc>
      </w:tr>
      <w:tr w14:paraId="000BA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643" w:type="dxa"/>
            <w:tcBorders>
              <w:top w:val="nil"/>
              <w:left w:val="nil"/>
              <w:bottom w:val="nil"/>
              <w:right w:val="nil"/>
            </w:tcBorders>
            <w:noWrap w:val="0"/>
            <w:vAlign w:val="center"/>
          </w:tcPr>
          <w:p w14:paraId="77A5C681">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tc>
        <w:tc>
          <w:tcPr>
            <w:tcW w:w="4643" w:type="dxa"/>
            <w:tcBorders>
              <w:top w:val="nil"/>
              <w:left w:val="nil"/>
              <w:bottom w:val="nil"/>
              <w:right w:val="nil"/>
            </w:tcBorders>
            <w:noWrap w:val="0"/>
            <w:vAlign w:val="center"/>
          </w:tcPr>
          <w:p w14:paraId="1F79CD51">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p>
        </w:tc>
      </w:tr>
      <w:tr w14:paraId="7CC78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643" w:type="dxa"/>
            <w:tcBorders>
              <w:top w:val="nil"/>
              <w:left w:val="nil"/>
              <w:bottom w:val="nil"/>
              <w:right w:val="nil"/>
            </w:tcBorders>
            <w:noWrap w:val="0"/>
            <w:vAlign w:val="center"/>
          </w:tcPr>
          <w:p w14:paraId="07AF7A4B">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4643" w:type="dxa"/>
            <w:tcBorders>
              <w:top w:val="nil"/>
              <w:left w:val="nil"/>
              <w:bottom w:val="nil"/>
              <w:right w:val="nil"/>
            </w:tcBorders>
            <w:noWrap w:val="0"/>
            <w:vAlign w:val="center"/>
          </w:tcPr>
          <w:p w14:paraId="5E80BD85">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r>
      <w:tr w14:paraId="37465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643" w:type="dxa"/>
            <w:tcBorders>
              <w:top w:val="nil"/>
              <w:left w:val="nil"/>
              <w:bottom w:val="nil"/>
              <w:right w:val="nil"/>
            </w:tcBorders>
            <w:noWrap w:val="0"/>
            <w:vAlign w:val="center"/>
          </w:tcPr>
          <w:p w14:paraId="766FCF27">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4643" w:type="dxa"/>
            <w:tcBorders>
              <w:top w:val="nil"/>
              <w:left w:val="nil"/>
              <w:bottom w:val="nil"/>
              <w:right w:val="nil"/>
            </w:tcBorders>
            <w:noWrap w:val="0"/>
            <w:vAlign w:val="center"/>
          </w:tcPr>
          <w:p w14:paraId="3A445CF3">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r>
      <w:tr w14:paraId="50B67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643" w:type="dxa"/>
            <w:tcBorders>
              <w:top w:val="nil"/>
              <w:left w:val="nil"/>
              <w:bottom w:val="nil"/>
              <w:right w:val="nil"/>
            </w:tcBorders>
            <w:noWrap w:val="0"/>
            <w:vAlign w:val="center"/>
          </w:tcPr>
          <w:p w14:paraId="45A24DB8">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c>
          <w:tcPr>
            <w:tcW w:w="4643" w:type="dxa"/>
            <w:tcBorders>
              <w:top w:val="nil"/>
              <w:left w:val="nil"/>
              <w:bottom w:val="nil"/>
              <w:right w:val="nil"/>
            </w:tcBorders>
            <w:noWrap w:val="0"/>
            <w:vAlign w:val="center"/>
          </w:tcPr>
          <w:p w14:paraId="07CDA126">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r>
      <w:tr w14:paraId="6CC63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643" w:type="dxa"/>
            <w:tcBorders>
              <w:top w:val="nil"/>
              <w:left w:val="nil"/>
              <w:bottom w:val="nil"/>
              <w:right w:val="nil"/>
            </w:tcBorders>
            <w:noWrap w:val="0"/>
            <w:vAlign w:val="center"/>
          </w:tcPr>
          <w:p w14:paraId="2C4CF17F">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签订日期：</w:t>
            </w:r>
            <w:r>
              <w:rPr>
                <w:rFonts w:hint="eastAsia" w:ascii="宋体" w:hAnsi="宋体" w:eastAsia="宋体" w:cs="宋体"/>
                <w:color w:val="auto"/>
                <w:sz w:val="24"/>
                <w:szCs w:val="24"/>
                <w:highlight w:val="none"/>
                <w:lang w:eastAsia="zh-CN"/>
              </w:rPr>
              <w:t>2025</w:t>
            </w:r>
            <w:r>
              <w:rPr>
                <w:rFonts w:hint="eastAsia" w:ascii="宋体" w:hAnsi="宋体" w:eastAsia="宋体" w:cs="宋体"/>
                <w:color w:val="auto"/>
                <w:sz w:val="24"/>
                <w:szCs w:val="24"/>
                <w:highlight w:val="none"/>
              </w:rPr>
              <w:t>年  月  日</w:t>
            </w:r>
          </w:p>
        </w:tc>
        <w:tc>
          <w:tcPr>
            <w:tcW w:w="4643" w:type="dxa"/>
            <w:tcBorders>
              <w:top w:val="nil"/>
              <w:left w:val="nil"/>
              <w:bottom w:val="nil"/>
              <w:right w:val="nil"/>
            </w:tcBorders>
            <w:noWrap w:val="0"/>
            <w:vAlign w:val="center"/>
          </w:tcPr>
          <w:p w14:paraId="0D995B0A">
            <w:pPr>
              <w:keepNext w:val="0"/>
              <w:keepLines w:val="0"/>
              <w:pageBreakBefore w:val="0"/>
              <w:widowControl/>
              <w:suppressLineNumbers w:val="0"/>
              <w:shd w:val="clear"/>
              <w:kinsoku/>
              <w:wordWrap/>
              <w:topLinePunct w:val="0"/>
              <w:bidi w:val="0"/>
              <w:adjustRightInd w:val="0"/>
              <w:snapToGrid w:val="0"/>
              <w:spacing w:before="0" w:beforeLines="0" w:beforeAutospacing="0" w:after="0" w:afterLines="0" w:afterAutospacing="0" w:line="312" w:lineRule="auto"/>
              <w:ind w:left="0" w:right="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签订日期：</w:t>
            </w:r>
            <w:r>
              <w:rPr>
                <w:rFonts w:hint="eastAsia" w:ascii="宋体" w:hAnsi="宋体" w:eastAsia="宋体" w:cs="宋体"/>
                <w:color w:val="auto"/>
                <w:sz w:val="24"/>
                <w:szCs w:val="24"/>
                <w:highlight w:val="none"/>
                <w:lang w:eastAsia="zh-CN"/>
              </w:rPr>
              <w:t>2025</w:t>
            </w:r>
            <w:r>
              <w:rPr>
                <w:rFonts w:hint="eastAsia" w:ascii="宋体" w:hAnsi="宋体" w:eastAsia="宋体" w:cs="宋体"/>
                <w:color w:val="auto"/>
                <w:sz w:val="24"/>
                <w:szCs w:val="24"/>
                <w:highlight w:val="none"/>
              </w:rPr>
              <w:t>年  月  日</w:t>
            </w:r>
          </w:p>
        </w:tc>
      </w:tr>
      <w:tr w14:paraId="3C998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9286" w:type="dxa"/>
            <w:gridSpan w:val="2"/>
            <w:tcBorders>
              <w:top w:val="nil"/>
              <w:left w:val="nil"/>
              <w:bottom w:val="nil"/>
              <w:right w:val="nil"/>
            </w:tcBorders>
            <w:noWrap w:val="0"/>
            <w:vAlign w:val="center"/>
          </w:tcPr>
          <w:p w14:paraId="6C6C6402">
            <w:pPr>
              <w:keepNext w:val="0"/>
              <w:keepLines w:val="0"/>
              <w:pageBreakBefore w:val="0"/>
              <w:suppressLineNumbers w:val="0"/>
              <w:shd w:val="clear"/>
              <w:kinsoku/>
              <w:wordWrap/>
              <w:topLinePunct w:val="0"/>
              <w:bidi w:val="0"/>
              <w:spacing w:before="0" w:beforeLines="0" w:beforeAutospacing="0" w:after="0" w:afterLines="0" w:afterAutospacing="0" w:line="312" w:lineRule="auto"/>
              <w:ind w:left="0" w:leftChars="0" w:right="0" w:firstLine="480" w:firstLineChars="200"/>
              <w:rPr>
                <w:rFonts w:hint="eastAsia" w:ascii="宋体" w:hAnsi="宋体" w:eastAsia="宋体" w:cs="宋体"/>
                <w:color w:val="auto"/>
                <w:kern w:val="2"/>
                <w:sz w:val="24"/>
                <w:szCs w:val="24"/>
                <w:highlight w:val="none"/>
                <w:lang w:val="zh-CN" w:eastAsia="zh-CN"/>
              </w:rPr>
            </w:pPr>
            <w:r>
              <w:rPr>
                <w:rFonts w:hint="eastAsia" w:ascii="宋体" w:hAnsi="宋体" w:eastAsia="宋体" w:cs="宋体"/>
                <w:color w:val="auto"/>
                <w:kern w:val="2"/>
                <w:sz w:val="24"/>
                <w:szCs w:val="24"/>
                <w:highlight w:val="none"/>
                <w:lang w:val="zh-CN" w:eastAsia="zh-CN"/>
              </w:rPr>
              <w:t>合同鉴证方:</w:t>
            </w:r>
            <w:r>
              <w:rPr>
                <w:rFonts w:hint="eastAsia" w:ascii="宋体" w:hAnsi="宋体" w:cs="宋体"/>
                <w:color w:val="auto"/>
                <w:kern w:val="2"/>
                <w:sz w:val="24"/>
                <w:szCs w:val="24"/>
                <w:highlight w:val="none"/>
                <w:lang w:val="zh-CN" w:eastAsia="zh-CN"/>
              </w:rPr>
              <w:t>衢州宇信工程咨询有限公司</w:t>
            </w:r>
            <w:r>
              <w:rPr>
                <w:rFonts w:hint="eastAsia" w:ascii="宋体" w:hAnsi="宋体" w:eastAsia="宋体" w:cs="宋体"/>
                <w:color w:val="auto"/>
                <w:kern w:val="2"/>
                <w:sz w:val="24"/>
                <w:szCs w:val="24"/>
                <w:highlight w:val="none"/>
                <w:lang w:val="zh-CN" w:eastAsia="zh-CN"/>
              </w:rPr>
              <w:t xml:space="preserve">     </w:t>
            </w:r>
          </w:p>
          <w:p w14:paraId="2B00F341">
            <w:pPr>
              <w:keepNext w:val="0"/>
              <w:keepLines w:val="0"/>
              <w:pageBreakBefore w:val="0"/>
              <w:suppressLineNumbers w:val="0"/>
              <w:shd w:val="clear"/>
              <w:kinsoku/>
              <w:wordWrap/>
              <w:topLinePunct w:val="0"/>
              <w:bidi w:val="0"/>
              <w:spacing w:before="0" w:beforeLines="0" w:beforeAutospacing="0" w:after="0" w:afterLines="0" w:afterAutospacing="0" w:line="312" w:lineRule="auto"/>
              <w:ind w:left="0" w:right="0" w:firstLine="480" w:firstLineChars="200"/>
              <w:rPr>
                <w:rFonts w:hint="eastAsia" w:ascii="宋体" w:hAnsi="宋体" w:eastAsia="宋体" w:cs="宋体"/>
                <w:color w:val="auto"/>
                <w:kern w:val="2"/>
                <w:sz w:val="24"/>
                <w:szCs w:val="24"/>
                <w:highlight w:val="none"/>
                <w:lang w:val="zh-CN" w:eastAsia="zh-CN"/>
              </w:rPr>
            </w:pPr>
            <w:r>
              <w:rPr>
                <w:rFonts w:hint="eastAsia" w:ascii="宋体" w:hAnsi="宋体" w:eastAsia="宋体" w:cs="宋体"/>
                <w:color w:val="auto"/>
                <w:kern w:val="2"/>
                <w:sz w:val="24"/>
                <w:szCs w:val="24"/>
                <w:highlight w:val="none"/>
                <w:lang w:val="zh-CN" w:eastAsia="zh-CN"/>
              </w:rPr>
              <w:t>鉴证日期:</w:t>
            </w:r>
            <w:r>
              <w:rPr>
                <w:rFonts w:hint="eastAsia" w:ascii="宋体" w:hAnsi="宋体" w:eastAsia="宋体" w:cs="宋体"/>
                <w:color w:val="auto"/>
                <w:sz w:val="24"/>
                <w:szCs w:val="24"/>
                <w:highlight w:val="none"/>
                <w:lang w:eastAsia="zh-CN"/>
              </w:rPr>
              <w:t>2025</w:t>
            </w:r>
            <w:r>
              <w:rPr>
                <w:rFonts w:hint="eastAsia" w:ascii="宋体" w:hAnsi="宋体" w:eastAsia="宋体" w:cs="宋体"/>
                <w:color w:val="auto"/>
                <w:sz w:val="24"/>
                <w:szCs w:val="24"/>
                <w:highlight w:val="none"/>
              </w:rPr>
              <w:t>年</w:t>
            </w:r>
            <w:r>
              <w:rPr>
                <w:rFonts w:hint="eastAsia" w:ascii="宋体" w:hAnsi="宋体" w:eastAsia="宋体" w:cs="宋体"/>
                <w:color w:val="auto"/>
                <w:kern w:val="2"/>
                <w:sz w:val="24"/>
                <w:szCs w:val="24"/>
                <w:highlight w:val="none"/>
                <w:lang w:val="zh-CN" w:eastAsia="zh-CN"/>
              </w:rPr>
              <w:t xml:space="preserve">  月   日</w:t>
            </w:r>
          </w:p>
          <w:bookmarkEnd w:id="343"/>
          <w:bookmarkEnd w:id="344"/>
          <w:bookmarkEnd w:id="345"/>
          <w:bookmarkEnd w:id="346"/>
          <w:bookmarkEnd w:id="347"/>
          <w:bookmarkEnd w:id="348"/>
          <w:bookmarkEnd w:id="349"/>
        </w:tc>
      </w:tr>
    </w:tbl>
    <w:p w14:paraId="45706388">
      <w:pPr>
        <w:shd w:val="clear"/>
        <w:spacing w:line="312" w:lineRule="auto"/>
        <w:ind w:firstLine="480"/>
        <w:rPr>
          <w:rFonts w:hint="eastAsia" w:ascii="宋体" w:hAnsi="宋体" w:cs="宋体"/>
          <w:color w:val="auto"/>
          <w:highlight w:val="none"/>
        </w:rPr>
        <w:sectPr>
          <w:pgSz w:w="11907" w:h="16840"/>
          <w:pgMar w:top="1440" w:right="1083" w:bottom="1440" w:left="1083" w:header="737" w:footer="907" w:gutter="0"/>
          <w:pgBorders>
            <w:top w:val="thinThickSmallGap" w:color="auto" w:sz="12" w:space="10"/>
            <w:left w:val="none" w:sz="0" w:space="0"/>
            <w:bottom w:val="thinThickSmallGap" w:color="auto" w:sz="12" w:space="10"/>
            <w:right w:val="none" w:sz="0" w:space="0"/>
          </w:pgBorders>
          <w:cols w:space="720" w:num="1"/>
          <w:titlePg/>
          <w:docGrid w:type="lines" w:linePitch="436" w:charSpace="0"/>
        </w:sectPr>
      </w:pPr>
    </w:p>
    <w:p w14:paraId="3BF6CC0D">
      <w:pPr>
        <w:pStyle w:val="2"/>
        <w:numPr>
          <w:ilvl w:val="255"/>
          <w:numId w:val="0"/>
        </w:numPr>
        <w:shd w:val="clear"/>
        <w:spacing w:beforeLines="0" w:afterLines="0"/>
        <w:rPr>
          <w:rFonts w:hint="eastAsia" w:ascii="宋体" w:hAnsi="宋体" w:cs="宋体"/>
          <w:color w:val="auto"/>
          <w:highlight w:val="none"/>
          <w:lang w:val="zh-CN"/>
        </w:rPr>
      </w:pPr>
      <w:bookmarkStart w:id="367" w:name="_Toc25052"/>
      <w:r>
        <w:rPr>
          <w:rFonts w:hint="eastAsia" w:ascii="宋体" w:hAnsi="宋体" w:cs="宋体"/>
          <w:color w:val="auto"/>
          <w:highlight w:val="none"/>
        </w:rPr>
        <w:t xml:space="preserve">第五章 </w:t>
      </w:r>
      <w:r>
        <w:rPr>
          <w:rFonts w:hint="eastAsia" w:ascii="宋体" w:hAnsi="宋体" w:cs="宋体"/>
          <w:color w:val="auto"/>
          <w:highlight w:val="none"/>
          <w:lang w:val="zh-CN"/>
        </w:rPr>
        <w:t>评标办法及评分标准</w:t>
      </w:r>
      <w:bookmarkEnd w:id="367"/>
    </w:p>
    <w:p w14:paraId="05FEF24E">
      <w:pPr>
        <w:widowControl/>
        <w:shd w:val="clear"/>
        <w:adjustRightInd w:val="0"/>
        <w:snapToGrid w:val="0"/>
        <w:spacing w:line="312" w:lineRule="auto"/>
        <w:ind w:firstLine="482"/>
        <w:outlineLvl w:val="1"/>
        <w:rPr>
          <w:rFonts w:hint="eastAsia" w:ascii="宋体" w:hAnsi="宋体" w:cs="宋体"/>
          <w:b/>
          <w:bCs/>
          <w:color w:val="auto"/>
          <w:highlight w:val="none"/>
        </w:rPr>
      </w:pPr>
      <w:bookmarkStart w:id="368" w:name="_Toc19184"/>
      <w:bookmarkStart w:id="369" w:name="_Toc8192"/>
      <w:bookmarkStart w:id="370" w:name="_Toc15787"/>
      <w:bookmarkStart w:id="371" w:name="_Toc2173"/>
      <w:bookmarkStart w:id="372" w:name="_Toc188"/>
      <w:r>
        <w:rPr>
          <w:rFonts w:hint="eastAsia" w:ascii="宋体" w:hAnsi="宋体" w:cs="宋体"/>
          <w:b/>
          <w:bCs/>
          <w:color w:val="auto"/>
          <w:highlight w:val="none"/>
        </w:rPr>
        <w:t>一、总 则</w:t>
      </w:r>
      <w:bookmarkEnd w:id="368"/>
      <w:bookmarkEnd w:id="369"/>
      <w:bookmarkEnd w:id="370"/>
      <w:bookmarkEnd w:id="371"/>
      <w:bookmarkEnd w:id="372"/>
    </w:p>
    <w:p w14:paraId="20A25D2D">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1.为公正、公平、科学地选择中标人，根据《中华人民共和国政府采购法》《政府采购货物和服务招标投标管理办法》（财政部令第 87 号）等有关规定，并结合本项目的实际，制定本办法。</w:t>
      </w:r>
    </w:p>
    <w:p w14:paraId="0FDD3BBA">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2.评标工作由采购组织机构负责组织，具体评标事务由评标委员会负责。</w:t>
      </w:r>
    </w:p>
    <w:p w14:paraId="354900C6">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3.评标委员会评价投标文件的响应性，对于投标人而言，除评标委员会要求其澄清、说明或者更正而提供的资料外，仅依据投标文件本身的内容，不寻求其他外部证据。如投标人提交的资质证明或其他内容不齐全，由此造成的后果由投标人自己负责。</w:t>
      </w:r>
    </w:p>
    <w:p w14:paraId="4CAF7A3B">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4.本项目评标采用不公开方式进行，评标过程独立、保密。投标人非法干预评标过程的行为将导致其投标文件作为无效处理。</w:t>
      </w:r>
    </w:p>
    <w:p w14:paraId="02F0FC29">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5.本项目评标采用不公开方式进行。</w:t>
      </w:r>
    </w:p>
    <w:p w14:paraId="72065262">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6.本项目评审采用综合评分法。</w:t>
      </w:r>
    </w:p>
    <w:p w14:paraId="77938139">
      <w:pPr>
        <w:widowControl/>
        <w:shd w:val="clear"/>
        <w:adjustRightInd w:val="0"/>
        <w:snapToGrid w:val="0"/>
        <w:spacing w:line="312" w:lineRule="auto"/>
        <w:ind w:firstLine="482"/>
        <w:outlineLvl w:val="1"/>
        <w:rPr>
          <w:rFonts w:hint="eastAsia" w:ascii="宋体" w:hAnsi="宋体" w:cs="宋体"/>
          <w:b/>
          <w:bCs/>
          <w:color w:val="auto"/>
          <w:highlight w:val="none"/>
        </w:rPr>
      </w:pPr>
      <w:bookmarkStart w:id="373" w:name="_Toc2372"/>
      <w:bookmarkStart w:id="374" w:name="_Toc24285"/>
      <w:bookmarkStart w:id="375" w:name="_Toc22433"/>
      <w:bookmarkStart w:id="376" w:name="_Toc22393"/>
      <w:bookmarkStart w:id="377" w:name="_Toc19236"/>
      <w:r>
        <w:rPr>
          <w:rFonts w:hint="eastAsia" w:ascii="宋体" w:hAnsi="宋体" w:cs="宋体"/>
          <w:b/>
          <w:bCs/>
          <w:color w:val="auto"/>
          <w:highlight w:val="none"/>
        </w:rPr>
        <w:t>二、组建评标委员会</w:t>
      </w:r>
      <w:bookmarkEnd w:id="373"/>
      <w:bookmarkEnd w:id="374"/>
      <w:bookmarkEnd w:id="375"/>
      <w:bookmarkEnd w:id="376"/>
      <w:bookmarkEnd w:id="377"/>
    </w:p>
    <w:p w14:paraId="70D14FC8">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1.采购人将根据相关规定和采购项目的特点由采购人和技术、经济等方面专家组成评标委员会，评标委员会成员人数见投标人须知前附表。</w:t>
      </w:r>
    </w:p>
    <w:p w14:paraId="28EE9109">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2.除依法组建的评标委员会成员以外，其他任何人不得参加或者替代评审。</w:t>
      </w:r>
    </w:p>
    <w:p w14:paraId="633ED6F7">
      <w:pPr>
        <w:widowControl/>
        <w:shd w:val="clear"/>
        <w:adjustRightInd w:val="0"/>
        <w:snapToGrid w:val="0"/>
        <w:spacing w:line="312" w:lineRule="auto"/>
        <w:ind w:firstLine="482"/>
        <w:outlineLvl w:val="1"/>
        <w:rPr>
          <w:rFonts w:hint="eastAsia" w:ascii="宋体" w:hAnsi="宋体" w:cs="宋体"/>
          <w:b/>
          <w:bCs/>
          <w:color w:val="auto"/>
          <w:highlight w:val="none"/>
        </w:rPr>
      </w:pPr>
      <w:bookmarkStart w:id="378" w:name="_Toc4492"/>
      <w:bookmarkStart w:id="379" w:name="_Toc30877"/>
      <w:bookmarkStart w:id="380" w:name="_Toc28914"/>
      <w:bookmarkStart w:id="381" w:name="_Toc22583"/>
      <w:bookmarkStart w:id="382" w:name="_Toc2702"/>
      <w:r>
        <w:rPr>
          <w:rFonts w:hint="eastAsia" w:ascii="宋体" w:hAnsi="宋体" w:cs="宋体"/>
          <w:b/>
          <w:bCs/>
          <w:color w:val="auto"/>
          <w:highlight w:val="none"/>
        </w:rPr>
        <w:t>三、评标原则</w:t>
      </w:r>
      <w:bookmarkEnd w:id="378"/>
      <w:bookmarkEnd w:id="379"/>
      <w:bookmarkEnd w:id="380"/>
      <w:bookmarkEnd w:id="381"/>
      <w:bookmarkEnd w:id="382"/>
    </w:p>
    <w:p w14:paraId="7CC9B39E">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1.公正、客观、审慎的原则。</w:t>
      </w:r>
    </w:p>
    <w:p w14:paraId="60FCB832">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2.严格保密原则。评标委员会及有关工作人员不得私下与投标人接触。采购人或采购组织机构对评审结果不作任何说明和解释，也不回答任何提问。</w:t>
      </w:r>
    </w:p>
    <w:p w14:paraId="5A33437C">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3.独立评审原则。任何单位和个人不得干扰、影响评审的正常进行。</w:t>
      </w:r>
    </w:p>
    <w:p w14:paraId="7BB0C668">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4.严格遵守评标方法。根据招标文件规定的评审程序、评审方法进行评审，不带任何倾向性和启发性。</w:t>
      </w:r>
    </w:p>
    <w:p w14:paraId="47B8863B">
      <w:pPr>
        <w:widowControl/>
        <w:shd w:val="clear"/>
        <w:adjustRightInd w:val="0"/>
        <w:snapToGrid w:val="0"/>
        <w:spacing w:line="312" w:lineRule="auto"/>
        <w:ind w:firstLine="482"/>
        <w:outlineLvl w:val="1"/>
        <w:rPr>
          <w:rFonts w:hint="eastAsia" w:ascii="宋体" w:hAnsi="宋体" w:cs="宋体"/>
          <w:b/>
          <w:bCs/>
          <w:color w:val="auto"/>
          <w:highlight w:val="none"/>
        </w:rPr>
      </w:pPr>
      <w:bookmarkStart w:id="383" w:name="_Toc10023"/>
      <w:bookmarkStart w:id="384" w:name="_Toc14916"/>
      <w:bookmarkStart w:id="385" w:name="_Toc11767"/>
      <w:bookmarkStart w:id="386" w:name="_Toc14978"/>
      <w:bookmarkStart w:id="387" w:name="_Toc1861"/>
      <w:r>
        <w:rPr>
          <w:rFonts w:hint="eastAsia" w:ascii="宋体" w:hAnsi="宋体" w:cs="宋体"/>
          <w:b/>
          <w:bCs/>
          <w:color w:val="auto"/>
          <w:highlight w:val="none"/>
        </w:rPr>
        <w:t>四、评标委员会履行下列职责</w:t>
      </w:r>
      <w:bookmarkEnd w:id="383"/>
      <w:bookmarkEnd w:id="384"/>
      <w:bookmarkEnd w:id="385"/>
      <w:bookmarkEnd w:id="386"/>
      <w:bookmarkEnd w:id="387"/>
    </w:p>
    <w:p w14:paraId="0D02686B">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1.熟悉和理解招标文件；</w:t>
      </w:r>
    </w:p>
    <w:p w14:paraId="306C8253">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2.审查投标人投标文件等是否满足招标文件要求，并作出评价；</w:t>
      </w:r>
    </w:p>
    <w:p w14:paraId="4DD07F7F">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3.根据需要要求采购人对招标文件作出解释；根据需要要求投标人对投标文件有关事项作出澄清、说明或者更正；</w:t>
      </w:r>
    </w:p>
    <w:p w14:paraId="52B800B4">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4.推荐中标候选人，或者受采购人委托确定中标人；</w:t>
      </w:r>
    </w:p>
    <w:p w14:paraId="77FFE3DC">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5.起草评标报告并进行签署；</w:t>
      </w:r>
    </w:p>
    <w:p w14:paraId="2ED57365">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6.向采购人、监督部门报告非法干预评标工作的行为；</w:t>
      </w:r>
    </w:p>
    <w:p w14:paraId="4DB8C8ED">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7.法律、法规和规章规定的其他职责。</w:t>
      </w:r>
    </w:p>
    <w:p w14:paraId="450100C4">
      <w:pPr>
        <w:widowControl/>
        <w:shd w:val="clear"/>
        <w:adjustRightInd w:val="0"/>
        <w:snapToGrid w:val="0"/>
        <w:spacing w:line="312" w:lineRule="auto"/>
        <w:ind w:firstLine="482"/>
        <w:outlineLvl w:val="1"/>
        <w:rPr>
          <w:rFonts w:hint="eastAsia" w:ascii="宋体" w:hAnsi="宋体" w:cs="宋体"/>
          <w:b/>
          <w:bCs/>
          <w:color w:val="auto"/>
          <w:highlight w:val="none"/>
        </w:rPr>
      </w:pPr>
      <w:bookmarkStart w:id="388" w:name="_Toc22091"/>
      <w:bookmarkStart w:id="389" w:name="_Toc31243"/>
      <w:bookmarkStart w:id="390" w:name="_Toc14893"/>
      <w:bookmarkStart w:id="391" w:name="_Toc3581"/>
      <w:bookmarkStart w:id="392" w:name="_Toc17885"/>
      <w:r>
        <w:rPr>
          <w:rFonts w:hint="eastAsia" w:ascii="宋体" w:hAnsi="宋体" w:cs="宋体"/>
          <w:b/>
          <w:bCs/>
          <w:color w:val="auto"/>
          <w:highlight w:val="none"/>
        </w:rPr>
        <w:t>五、评标工作纪律</w:t>
      </w:r>
      <w:bookmarkEnd w:id="388"/>
      <w:bookmarkEnd w:id="389"/>
      <w:bookmarkEnd w:id="390"/>
      <w:bookmarkEnd w:id="391"/>
      <w:bookmarkEnd w:id="392"/>
    </w:p>
    <w:p w14:paraId="528742C8">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评标委员会成员要严格遵守评标纪律、保密、回避等相关规定，依法独立履行评标职责，客观、公正、审慎参与评标工作；</w:t>
      </w:r>
    </w:p>
    <w:p w14:paraId="2A19DBDB">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1.严格遵守评标时间，因突发情况确实不能按时参加评标的，应事先告知招标组织机构；</w:t>
      </w:r>
    </w:p>
    <w:p w14:paraId="3D143B4C">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2.服从招标组织机构的现场管理，主动出示身份证明，进入评标区域后应主动寄存移动通讯工具；</w:t>
      </w:r>
    </w:p>
    <w:p w14:paraId="4C33AB2D">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3.与投标人或评标委员会其他成员存在利害关系的，要主动回避，自觉签订《政府采购评审人员廉洁自律承诺书》；</w:t>
      </w:r>
    </w:p>
    <w:p w14:paraId="753AABA5">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4.保持评标现场安静，不在评标现场随意走动，因发生不可预见情况确需与外界联系或暂时离开评标现场的，应向现场监督员说明情况，征得同意后在监控区域内进行相关活动，并应接受相关工作人员的监督；</w:t>
      </w:r>
    </w:p>
    <w:p w14:paraId="66D7D206">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5.自觉遵守职业道德，尊重采购人代表和投标人代表，配合招标组织机构回答投标人代表提出的有关异议；</w:t>
      </w:r>
    </w:p>
    <w:p w14:paraId="00A11E67">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6.不得将评标过程、结果和投标人的商业秘密透露给任何单位和个人。未公告评标结果前不准泄露评标结果，不准将评标资料带出会场；</w:t>
      </w:r>
    </w:p>
    <w:p w14:paraId="40181050">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7.评标过程中，涉及相关法律法规不清楚之处的，由采购监管部门或请示权威部门作出法定解释，涉及招标文件的由采购人和采购代理机构负责解释。</w:t>
      </w:r>
    </w:p>
    <w:p w14:paraId="76369E0F">
      <w:pPr>
        <w:widowControl/>
        <w:shd w:val="clear"/>
        <w:adjustRightInd w:val="0"/>
        <w:snapToGrid w:val="0"/>
        <w:spacing w:line="312" w:lineRule="auto"/>
        <w:ind w:firstLine="482"/>
        <w:outlineLvl w:val="1"/>
        <w:rPr>
          <w:rFonts w:hint="eastAsia" w:ascii="宋体" w:hAnsi="宋体" w:cs="宋体"/>
          <w:b/>
          <w:bCs/>
          <w:color w:val="auto"/>
          <w:highlight w:val="none"/>
        </w:rPr>
      </w:pPr>
      <w:bookmarkStart w:id="393" w:name="_Toc3099"/>
      <w:bookmarkStart w:id="394" w:name="_Toc27596"/>
      <w:bookmarkStart w:id="395" w:name="_Toc8118"/>
      <w:bookmarkStart w:id="396" w:name="_Toc29313"/>
      <w:bookmarkStart w:id="397" w:name="_Toc28202"/>
      <w:r>
        <w:rPr>
          <w:rFonts w:hint="eastAsia" w:ascii="宋体" w:hAnsi="宋体" w:cs="宋体"/>
          <w:b/>
          <w:bCs/>
          <w:color w:val="auto"/>
          <w:highlight w:val="none"/>
        </w:rPr>
        <w:t>六、评标程序</w:t>
      </w:r>
      <w:bookmarkEnd w:id="393"/>
      <w:bookmarkEnd w:id="394"/>
      <w:bookmarkEnd w:id="395"/>
      <w:bookmarkEnd w:id="396"/>
      <w:bookmarkEnd w:id="397"/>
    </w:p>
    <w:p w14:paraId="285A9851">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1.推选评标委员会组长，优先资深专家担任组长，采购人代表不得担任组长。</w:t>
      </w:r>
    </w:p>
    <w:p w14:paraId="36922070">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2.评标委员会正式评审前，应当对招标文件进行熟悉和理解，内容主要包括招标文件中投标人资格资质要求、采购项目技术、服务和商务要求、评审方法以及可能涉及签订采购合同的内容等。</w:t>
      </w:r>
    </w:p>
    <w:p w14:paraId="1EF32754">
      <w:pPr>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3.评标程序：资格审查→符合性审查→商务评审→报价评审→得分汇总→编写评审报告。</w:t>
      </w:r>
    </w:p>
    <w:p w14:paraId="713895A8">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4.资格性审查</w:t>
      </w:r>
    </w:p>
    <w:p w14:paraId="22D24D90">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4.1.评标委员会应依据法律法规和本招标文件的规定对投标人资格进行审查。审查内容包</w:t>
      </w:r>
    </w:p>
    <w:p w14:paraId="78F646C8">
      <w:pPr>
        <w:widowControl/>
        <w:shd w:val="clear"/>
        <w:adjustRightInd w:val="0"/>
        <w:snapToGrid w:val="0"/>
        <w:spacing w:line="312" w:lineRule="auto"/>
        <w:ind w:firstLine="0" w:firstLineChars="0"/>
        <w:rPr>
          <w:rFonts w:hint="eastAsia" w:ascii="宋体" w:hAnsi="宋体" w:cs="宋体"/>
          <w:color w:val="auto"/>
          <w:highlight w:val="none"/>
        </w:rPr>
      </w:pPr>
      <w:r>
        <w:rPr>
          <w:rFonts w:hint="eastAsia" w:ascii="宋体" w:hAnsi="宋体" w:cs="宋体"/>
          <w:color w:val="auto"/>
          <w:highlight w:val="none"/>
        </w:rPr>
        <w:t>括：</w:t>
      </w:r>
    </w:p>
    <w:p w14:paraId="1B064CB6">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(1)是否属于禁止参加投标的投标人；</w:t>
      </w:r>
    </w:p>
    <w:p w14:paraId="5BB9A4E0">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(2)是否按照规定要求提供资格性证明材料；</w:t>
      </w:r>
    </w:p>
    <w:p w14:paraId="7BF71F81">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(3)法律法规规定的其他资格条件。</w:t>
      </w:r>
    </w:p>
    <w:p w14:paraId="52809AE9">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4.2.经资格审查不符合招标文件要求的投标文件，即终止其参与投标资格。不符合的理由由投标人在系统上确认，投标人拒绝确认的不影响评标委员会作出的不合格裁定。</w:t>
      </w:r>
    </w:p>
    <w:p w14:paraId="2AC3D103">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5.符合性审查</w:t>
      </w:r>
    </w:p>
    <w:p w14:paraId="353616F0">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5.1.评标委员会根据本招标文件的规定，对资格符合投标人的投标文件进行审查，以认定其是否满足本招标文件的实质性要求。符合性审查事项仅限于本招标文件的明确规定，评标委员会不得臆测符合性审查事项。经符合性审查未实质性响应招标文件要求，以投标无效处理。</w:t>
      </w:r>
    </w:p>
    <w:p w14:paraId="771ACD86">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未实质性响应的理由由投标人在系统上及开标现场确认。投标人拒绝确认的不影响评标委员会作出的不合格裁定。评标委员会不再进行后续评审。</w:t>
      </w:r>
    </w:p>
    <w:p w14:paraId="5A4B93CD">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5.2.如果确定投标人无资格履行合同，其投标将被拒绝。</w:t>
      </w:r>
    </w:p>
    <w:p w14:paraId="2071FEB5">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6.投标文件评审</w:t>
      </w:r>
    </w:p>
    <w:p w14:paraId="50453A6C">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评标委员会应当按照本招标文件中规定的评标方法和评分标准，对有效的投标文件进行技术、服务、商务等方面评估，综合比较与评价。详见本章第十条。</w:t>
      </w:r>
    </w:p>
    <w:p w14:paraId="0ADF24D1">
      <w:pPr>
        <w:widowControl/>
        <w:shd w:val="clear"/>
        <w:adjustRightInd w:val="0"/>
        <w:snapToGrid w:val="0"/>
        <w:spacing w:line="312" w:lineRule="auto"/>
        <w:ind w:firstLine="482"/>
        <w:jc w:val="left"/>
        <w:outlineLvl w:val="1"/>
        <w:rPr>
          <w:rFonts w:hint="eastAsia" w:ascii="宋体" w:hAnsi="宋体" w:cs="宋体"/>
          <w:b/>
          <w:bCs/>
          <w:color w:val="auto"/>
          <w:highlight w:val="none"/>
        </w:rPr>
      </w:pPr>
      <w:bookmarkStart w:id="398" w:name="_Toc25472"/>
      <w:bookmarkStart w:id="399" w:name="_Toc9066"/>
      <w:bookmarkStart w:id="400" w:name="_Toc7227"/>
      <w:bookmarkStart w:id="401" w:name="_Toc1652"/>
      <w:bookmarkStart w:id="402" w:name="_Toc6220"/>
      <w:r>
        <w:rPr>
          <w:rFonts w:hint="eastAsia" w:ascii="宋体" w:hAnsi="宋体" w:cs="宋体"/>
          <w:b/>
          <w:bCs/>
          <w:color w:val="auto"/>
          <w:highlight w:val="none"/>
        </w:rPr>
        <w:t>七、澄清、说明或修正</w:t>
      </w:r>
      <w:bookmarkEnd w:id="398"/>
      <w:bookmarkEnd w:id="399"/>
      <w:bookmarkEnd w:id="400"/>
      <w:bookmarkEnd w:id="401"/>
      <w:bookmarkEnd w:id="402"/>
    </w:p>
    <w:p w14:paraId="2D9428C3">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1.在评审过程中，投标文件实质性符合招标文件要求的前提下，评标委员会对投标文件中含义不明确、同类问题表述不一致或者有明显文字和计算错误的内容，评标委员会可以要求相关投标人作出必要的澄清、说明或修正。但不得超出招标文件的范围，不得以此让投标人实质改变投标文件的内容，不得影响公平竞争和投标文件的效力。澄清、说明或修正内容是投标文件的组成部分。</w:t>
      </w:r>
    </w:p>
    <w:p w14:paraId="27EC9B94">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2.投标文件报价出现前后不一致的（如有），按照下列规定修正：</w:t>
      </w:r>
    </w:p>
    <w:p w14:paraId="3B195555">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2.1.开标时，投标文件中开标一览表（报价表）内容与投标文件中明细表内容不一致的，以开标一览表（报价表）为准；</w:t>
      </w:r>
    </w:p>
    <w:p w14:paraId="55EB6C2E">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2.2.大写金额与小写金额不一致的，以大写金额为准。但大写金额出现文字错误，导致金额无法判断的除外；</w:t>
      </w:r>
    </w:p>
    <w:p w14:paraId="43A1F36F">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2.3.总价金额与按单价汇总金额不一致的，以单价汇总金额计算结果为准。但单价金额出现计算错误、明显人为工作失误的除外；</w:t>
      </w:r>
    </w:p>
    <w:p w14:paraId="3704B12E">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2.4.单价金额小数点有明显错位的，应以总价为准，并修改单价；</w:t>
      </w:r>
    </w:p>
    <w:p w14:paraId="4A0E12F8">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2.5.对不同语言文本投标文件的解释发生异议的，以中文文本为准。</w:t>
      </w:r>
    </w:p>
    <w:p w14:paraId="18FA8518">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出现本条第2.3项规定情形，单价汇总金额比总价金额高，且超过最高限价的，其投标文件应作为无效投标处理；单价汇总金额比总价金额高，但未超过采购预算或者本项目最高限价的，应以单价汇总金额作为价格评分依据。</w:t>
      </w:r>
    </w:p>
    <w:p w14:paraId="5DD0AAC1">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3.澄清说明答复函须由投标人法定代表人或授权代理人签字和盖章。如果投标人不接受对其错误的更正，其投标将被拒绝。</w:t>
      </w:r>
    </w:p>
    <w:p w14:paraId="2933A16E">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4.请投标人在评审期间保持电话畅通，如未及时接听电话，视为放弃澄清、说明或补正的权利，视同默认采购结果，事后不得对采购相关人员、采购过程及结果提出异议。责任由投标人自负。</w:t>
      </w:r>
    </w:p>
    <w:p w14:paraId="3CC4C158">
      <w:pPr>
        <w:widowControl/>
        <w:shd w:val="clear"/>
        <w:adjustRightInd w:val="0"/>
        <w:snapToGrid w:val="0"/>
        <w:spacing w:line="312" w:lineRule="auto"/>
        <w:ind w:firstLine="482"/>
        <w:jc w:val="left"/>
        <w:outlineLvl w:val="1"/>
        <w:rPr>
          <w:rFonts w:hint="eastAsia" w:ascii="宋体" w:hAnsi="宋体" w:cs="宋体"/>
          <w:b/>
          <w:bCs/>
          <w:color w:val="auto"/>
          <w:highlight w:val="none"/>
        </w:rPr>
      </w:pPr>
      <w:bookmarkStart w:id="403" w:name="_Toc2937"/>
      <w:bookmarkStart w:id="404" w:name="_Toc5361"/>
      <w:bookmarkStart w:id="405" w:name="_Toc10753"/>
      <w:bookmarkStart w:id="406" w:name="_Toc2666"/>
      <w:bookmarkStart w:id="407" w:name="_Toc30288"/>
      <w:r>
        <w:rPr>
          <w:rFonts w:hint="eastAsia" w:ascii="宋体" w:hAnsi="宋体" w:cs="宋体"/>
          <w:b/>
          <w:bCs/>
          <w:color w:val="auto"/>
          <w:highlight w:val="none"/>
        </w:rPr>
        <w:t>八、推荐中标候选人</w:t>
      </w:r>
      <w:bookmarkEnd w:id="403"/>
      <w:bookmarkEnd w:id="404"/>
      <w:bookmarkEnd w:id="405"/>
      <w:bookmarkEnd w:id="406"/>
      <w:bookmarkEnd w:id="407"/>
    </w:p>
    <w:p w14:paraId="633A1247">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按照投标人综合得分由高到低顺序排列推荐中标候选人。综合得分相同的，按资信技术分由高到低排列。得分且投标报价相同的并列。投标文件满足招标文件全部实质性要求，且按照评审因素的量化指标评审得分最高的投标人为排名第一的中标候选人。</w:t>
      </w:r>
    </w:p>
    <w:p w14:paraId="45DC084E">
      <w:pPr>
        <w:widowControl/>
        <w:shd w:val="clear"/>
        <w:adjustRightInd w:val="0"/>
        <w:snapToGrid w:val="0"/>
        <w:spacing w:line="312" w:lineRule="auto"/>
        <w:ind w:firstLine="482"/>
        <w:jc w:val="left"/>
        <w:outlineLvl w:val="1"/>
        <w:rPr>
          <w:rFonts w:hint="eastAsia" w:ascii="宋体" w:hAnsi="宋体" w:cs="宋体"/>
          <w:b/>
          <w:bCs/>
          <w:color w:val="auto"/>
          <w:highlight w:val="none"/>
        </w:rPr>
      </w:pPr>
      <w:bookmarkStart w:id="408" w:name="_Toc4901"/>
      <w:bookmarkStart w:id="409" w:name="_Toc20898"/>
      <w:bookmarkStart w:id="410" w:name="_Toc23075"/>
      <w:bookmarkStart w:id="411" w:name="_Toc28595"/>
      <w:bookmarkStart w:id="412" w:name="_Toc2541"/>
      <w:r>
        <w:rPr>
          <w:rFonts w:hint="eastAsia" w:ascii="宋体" w:hAnsi="宋体" w:cs="宋体"/>
          <w:b/>
          <w:bCs/>
          <w:color w:val="auto"/>
          <w:highlight w:val="none"/>
        </w:rPr>
        <w:t>九、评审报告</w:t>
      </w:r>
      <w:bookmarkEnd w:id="408"/>
      <w:bookmarkEnd w:id="409"/>
      <w:bookmarkEnd w:id="410"/>
      <w:bookmarkEnd w:id="411"/>
      <w:bookmarkEnd w:id="412"/>
    </w:p>
    <w:p w14:paraId="2537825D">
      <w:pPr>
        <w:widowControl/>
        <w:shd w:val="clear"/>
        <w:adjustRightInd w:val="0"/>
        <w:snapToGrid w:val="0"/>
        <w:spacing w:line="312" w:lineRule="auto"/>
        <w:ind w:firstLine="480"/>
        <w:jc w:val="left"/>
        <w:rPr>
          <w:rFonts w:hint="eastAsia" w:ascii="宋体" w:hAnsi="宋体" w:cs="宋体"/>
          <w:color w:val="auto"/>
          <w:highlight w:val="none"/>
        </w:rPr>
      </w:pPr>
      <w:r>
        <w:rPr>
          <w:rFonts w:hint="eastAsia" w:ascii="宋体" w:hAnsi="宋体" w:cs="宋体"/>
          <w:color w:val="auto"/>
          <w:highlight w:val="none"/>
        </w:rPr>
        <w:t>评标委员会编写评标报告，并提出综合得分由高到低排序名单及理由，评标报告由评标委员会成员签字。</w:t>
      </w:r>
    </w:p>
    <w:p w14:paraId="5D90DE15">
      <w:pPr>
        <w:widowControl/>
        <w:shd w:val="clear"/>
        <w:adjustRightInd w:val="0"/>
        <w:snapToGrid w:val="0"/>
        <w:spacing w:line="312" w:lineRule="auto"/>
        <w:ind w:firstLine="482"/>
        <w:outlineLvl w:val="1"/>
        <w:rPr>
          <w:rFonts w:hint="eastAsia" w:ascii="宋体" w:hAnsi="宋体" w:cs="宋体"/>
          <w:color w:val="auto"/>
          <w:highlight w:val="none"/>
        </w:rPr>
      </w:pPr>
      <w:bookmarkStart w:id="413" w:name="_Toc26869"/>
      <w:bookmarkStart w:id="414" w:name="_Toc23871"/>
      <w:bookmarkStart w:id="415" w:name="_Toc1569"/>
      <w:bookmarkStart w:id="416" w:name="_Toc4586"/>
      <w:bookmarkStart w:id="417" w:name="_Toc1109"/>
      <w:r>
        <w:rPr>
          <w:rFonts w:hint="eastAsia" w:ascii="宋体" w:hAnsi="宋体" w:cs="宋体"/>
          <w:b/>
          <w:bCs/>
          <w:color w:val="auto"/>
          <w:highlight w:val="none"/>
        </w:rPr>
        <w:t>十、评标细则及标准</w:t>
      </w:r>
      <w:bookmarkEnd w:id="413"/>
      <w:bookmarkEnd w:id="414"/>
      <w:bookmarkEnd w:id="415"/>
      <w:bookmarkEnd w:id="416"/>
      <w:bookmarkEnd w:id="417"/>
    </w:p>
    <w:p w14:paraId="19A4C397">
      <w:pPr>
        <w:widowControl/>
        <w:shd w:val="clear"/>
        <w:adjustRightInd w:val="0"/>
        <w:snapToGrid w:val="0"/>
        <w:spacing w:line="312" w:lineRule="auto"/>
        <w:ind w:firstLine="480"/>
        <w:outlineLvl w:val="1"/>
        <w:rPr>
          <w:rFonts w:hint="eastAsia" w:ascii="宋体" w:hAnsi="宋体" w:cs="宋体"/>
          <w:color w:val="auto"/>
          <w:highlight w:val="none"/>
        </w:rPr>
      </w:pPr>
      <w:bookmarkStart w:id="418" w:name="_Toc29667"/>
      <w:bookmarkStart w:id="419" w:name="_Toc13521"/>
      <w:bookmarkStart w:id="420" w:name="_Toc27181"/>
      <w:bookmarkStart w:id="421" w:name="_Toc21720"/>
      <w:bookmarkStart w:id="422" w:name="_Toc15617"/>
      <w:r>
        <w:rPr>
          <w:rFonts w:hint="eastAsia" w:ascii="宋体" w:hAnsi="宋体" w:cs="宋体"/>
          <w:color w:val="auto"/>
          <w:highlight w:val="none"/>
        </w:rPr>
        <w:t>1.评标委员会成员根据本办法，对有效的投标文件进行商务、技术等方面评估，综合比较与评价，由各成员独立评分，打分时保留小数1位，每人一份评分表，并签名。在汇总得分时，如果发现某一单项评分超过评分细则规定的分值范围，则该份评分表无效。</w:t>
      </w:r>
      <w:bookmarkEnd w:id="418"/>
      <w:bookmarkEnd w:id="419"/>
      <w:bookmarkEnd w:id="420"/>
      <w:bookmarkEnd w:id="421"/>
      <w:bookmarkEnd w:id="422"/>
    </w:p>
    <w:p w14:paraId="60F04A46">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2.加权汇总每项评分因素的得分，得出每个有效投标人的综合得分。投标人资信商务技术部分最终得分为各成员的有效评分的算术平均值。计算时保留小数二位（第三位四舍五入）。</w:t>
      </w:r>
    </w:p>
    <w:p w14:paraId="7D5E5823">
      <w:pPr>
        <w:widowControl/>
        <w:shd w:val="clear"/>
        <w:adjustRightInd w:val="0"/>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rPr>
        <w:t>3.综合评分明细表</w:t>
      </w:r>
    </w:p>
    <w:tbl>
      <w:tblPr>
        <w:tblStyle w:val="43"/>
        <w:tblW w:w="10930"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6"/>
        <w:gridCol w:w="1661"/>
        <w:gridCol w:w="7033"/>
        <w:gridCol w:w="1150"/>
      </w:tblGrid>
      <w:tr w14:paraId="7DC7CF9A">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86" w:type="dxa"/>
            <w:tcBorders>
              <w:top w:val="single" w:color="auto" w:sz="4" w:space="0"/>
              <w:left w:val="single" w:color="auto" w:sz="4" w:space="0"/>
            </w:tcBorders>
            <w:shd w:val="clear" w:color="auto" w:fill="auto"/>
            <w:noWrap w:val="0"/>
            <w:vAlign w:val="center"/>
          </w:tcPr>
          <w:p w14:paraId="5FF8B8C7">
            <w:pPr>
              <w:keepNext w:val="0"/>
              <w:keepLines w:val="0"/>
              <w:widowControl/>
              <w:suppressLineNumbers w:val="0"/>
              <w:shd w:val="clear"/>
              <w:spacing w:before="0" w:beforeAutospacing="0" w:after="0" w:afterAutospacing="0" w:line="240" w:lineRule="auto"/>
              <w:ind w:left="0" w:right="119" w:firstLine="0" w:firstLineChars="0"/>
              <w:jc w:val="center"/>
              <w:rPr>
                <w:rFonts w:hint="eastAsia" w:ascii="宋体" w:hAnsi="宋体" w:eastAsia="宋体" w:cs="宋体"/>
                <w:color w:val="auto"/>
                <w:highlight w:val="none"/>
              </w:rPr>
            </w:pPr>
            <w:bookmarkStart w:id="423" w:name="_Toc24709"/>
            <w:bookmarkStart w:id="424" w:name="_Toc17738"/>
            <w:bookmarkStart w:id="425" w:name="_Toc30076"/>
            <w:bookmarkStart w:id="426" w:name="_Toc1139"/>
            <w:bookmarkStart w:id="427" w:name="_Toc30956"/>
            <w:r>
              <w:rPr>
                <w:rFonts w:hint="eastAsia" w:ascii="宋体" w:hAnsi="宋体" w:eastAsia="宋体" w:cs="宋体"/>
                <w:color w:val="auto"/>
                <w:highlight w:val="none"/>
              </w:rPr>
              <w:t>评分内容</w:t>
            </w:r>
          </w:p>
        </w:tc>
        <w:tc>
          <w:tcPr>
            <w:tcW w:w="1661" w:type="dxa"/>
            <w:tcBorders>
              <w:top w:val="single" w:color="auto" w:sz="4" w:space="0"/>
            </w:tcBorders>
            <w:shd w:val="clear" w:color="auto" w:fill="auto"/>
            <w:noWrap w:val="0"/>
            <w:vAlign w:val="center"/>
          </w:tcPr>
          <w:p w14:paraId="1DE26056">
            <w:pPr>
              <w:keepNext w:val="0"/>
              <w:keepLines w:val="0"/>
              <w:widowControl/>
              <w:suppressLineNumbers w:val="0"/>
              <w:shd w:val="clear"/>
              <w:spacing w:before="0" w:beforeAutospacing="0" w:after="0" w:afterAutospacing="0" w:line="240" w:lineRule="auto"/>
              <w:ind w:left="0" w:right="119"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细则</w:t>
            </w:r>
          </w:p>
        </w:tc>
        <w:tc>
          <w:tcPr>
            <w:tcW w:w="7033" w:type="dxa"/>
            <w:tcBorders>
              <w:top w:val="single" w:color="auto" w:sz="4" w:space="0"/>
            </w:tcBorders>
            <w:shd w:val="clear" w:color="auto" w:fill="auto"/>
            <w:noWrap w:val="0"/>
            <w:vAlign w:val="center"/>
          </w:tcPr>
          <w:p w14:paraId="1636351E">
            <w:pPr>
              <w:keepNext w:val="0"/>
              <w:keepLines w:val="0"/>
              <w:widowControl/>
              <w:suppressLineNumbers w:val="0"/>
              <w:shd w:val="clear"/>
              <w:spacing w:before="0" w:beforeAutospacing="0" w:after="0" w:afterAutospacing="0" w:line="240" w:lineRule="auto"/>
              <w:ind w:left="0" w:right="119"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细则内容</w:t>
            </w:r>
          </w:p>
        </w:tc>
        <w:tc>
          <w:tcPr>
            <w:tcW w:w="1150" w:type="dxa"/>
            <w:tcBorders>
              <w:top w:val="single" w:color="auto" w:sz="4" w:space="0"/>
              <w:right w:val="single" w:color="auto" w:sz="4" w:space="0"/>
            </w:tcBorders>
            <w:shd w:val="clear" w:color="auto" w:fill="auto"/>
            <w:noWrap w:val="0"/>
            <w:vAlign w:val="center"/>
          </w:tcPr>
          <w:p w14:paraId="0F6541B7">
            <w:pPr>
              <w:keepNext w:val="0"/>
              <w:keepLines w:val="0"/>
              <w:widowControl/>
              <w:suppressLineNumbers w:val="0"/>
              <w:shd w:val="clear"/>
              <w:spacing w:before="0" w:beforeAutospacing="0" w:after="0" w:afterAutospacing="0" w:line="240" w:lineRule="auto"/>
              <w:ind w:left="0" w:right="119"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分值</w:t>
            </w:r>
          </w:p>
        </w:tc>
      </w:tr>
      <w:tr w14:paraId="72AEDB90">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086" w:type="dxa"/>
            <w:tcBorders>
              <w:left w:val="single" w:color="auto" w:sz="4" w:space="0"/>
            </w:tcBorders>
            <w:shd w:val="clear" w:color="auto" w:fill="auto"/>
            <w:noWrap w:val="0"/>
            <w:vAlign w:val="center"/>
          </w:tcPr>
          <w:p w14:paraId="36451F7F">
            <w:pPr>
              <w:keepNext w:val="0"/>
              <w:keepLines w:val="0"/>
              <w:widowControl/>
              <w:suppressLineNumbers w:val="0"/>
              <w:shd w:val="clear"/>
              <w:spacing w:before="0" w:beforeAutospacing="0" w:after="0" w:afterAutospacing="0" w:line="240" w:lineRule="auto"/>
              <w:ind w:left="0" w:right="119"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商务报价</w:t>
            </w:r>
          </w:p>
          <w:p w14:paraId="2F7554E3">
            <w:pPr>
              <w:keepNext w:val="0"/>
              <w:keepLines w:val="0"/>
              <w:widowControl/>
              <w:suppressLineNumbers w:val="0"/>
              <w:shd w:val="clear"/>
              <w:spacing w:before="0" w:beforeAutospacing="0" w:after="0" w:afterAutospacing="0" w:line="240" w:lineRule="auto"/>
              <w:ind w:left="0" w:right="119"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0分</w:t>
            </w:r>
          </w:p>
        </w:tc>
        <w:tc>
          <w:tcPr>
            <w:tcW w:w="1661" w:type="dxa"/>
            <w:shd w:val="clear" w:color="auto" w:fill="auto"/>
            <w:noWrap w:val="0"/>
            <w:vAlign w:val="center"/>
          </w:tcPr>
          <w:p w14:paraId="0CFAD3E6">
            <w:pPr>
              <w:keepNext w:val="0"/>
              <w:keepLines w:val="0"/>
              <w:widowControl/>
              <w:suppressLineNumbers w:val="0"/>
              <w:shd w:val="clear"/>
              <w:spacing w:before="0" w:beforeAutospacing="0" w:after="0" w:afterAutospacing="0" w:line="240" w:lineRule="auto"/>
              <w:ind w:left="0" w:right="119"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报价分</w:t>
            </w:r>
          </w:p>
        </w:tc>
        <w:tc>
          <w:tcPr>
            <w:tcW w:w="7033" w:type="dxa"/>
            <w:shd w:val="clear" w:color="auto" w:fill="auto"/>
            <w:noWrap w:val="0"/>
            <w:vAlign w:val="center"/>
          </w:tcPr>
          <w:p w14:paraId="09C9DC8B">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本项目最高限价：</w:t>
            </w:r>
            <w:r>
              <w:rPr>
                <w:rFonts w:hint="eastAsia" w:ascii="宋体" w:hAnsi="宋体" w:eastAsia="宋体" w:cs="宋体"/>
                <w:color w:val="auto"/>
                <w:kern w:val="0"/>
                <w:highlight w:val="none"/>
                <w:lang w:val="en-US" w:eastAsia="zh-CN" w:bidi="ar"/>
              </w:rPr>
              <w:t>1026900元</w:t>
            </w:r>
            <w:r>
              <w:rPr>
                <w:rFonts w:hint="eastAsia" w:ascii="宋体" w:hAnsi="宋体" w:eastAsia="宋体" w:cs="宋体"/>
                <w:color w:val="auto"/>
                <w:kern w:val="0"/>
                <w:highlight w:val="none"/>
                <w:lang w:bidi="ar"/>
              </w:rPr>
              <w:t>，评标基准价为满足评标要求且</w:t>
            </w:r>
            <w:r>
              <w:rPr>
                <w:rFonts w:hint="eastAsia" w:ascii="宋体" w:hAnsi="宋体" w:eastAsia="宋体" w:cs="宋体"/>
                <w:color w:val="auto"/>
                <w:kern w:val="0"/>
                <w:highlight w:val="none"/>
                <w:lang w:val="en-US" w:eastAsia="zh-CN" w:bidi="ar"/>
              </w:rPr>
              <w:t>投标</w:t>
            </w:r>
            <w:r>
              <w:rPr>
                <w:rFonts w:hint="eastAsia" w:ascii="宋体" w:hAnsi="宋体" w:eastAsia="宋体" w:cs="宋体"/>
                <w:color w:val="auto"/>
                <w:kern w:val="0"/>
                <w:highlight w:val="none"/>
                <w:lang w:bidi="ar"/>
              </w:rPr>
              <w:t>价格最低的</w:t>
            </w:r>
            <w:r>
              <w:rPr>
                <w:rFonts w:hint="eastAsia" w:ascii="宋体" w:hAnsi="宋体" w:eastAsia="宋体" w:cs="宋体"/>
                <w:color w:val="auto"/>
                <w:kern w:val="0"/>
                <w:highlight w:val="none"/>
                <w:lang w:val="en-US" w:eastAsia="zh-CN" w:bidi="ar"/>
              </w:rPr>
              <w:t>投标报价</w:t>
            </w:r>
            <w:r>
              <w:rPr>
                <w:rFonts w:hint="eastAsia" w:ascii="宋体" w:hAnsi="宋体" w:eastAsia="宋体" w:cs="宋体"/>
                <w:color w:val="auto"/>
                <w:kern w:val="0"/>
                <w:highlight w:val="none"/>
                <w:lang w:bidi="ar"/>
              </w:rPr>
              <w:t>，报价得分=(评标基准价／</w:t>
            </w:r>
            <w:r>
              <w:rPr>
                <w:rFonts w:hint="eastAsia" w:ascii="宋体" w:hAnsi="宋体" w:eastAsia="宋体" w:cs="宋体"/>
                <w:color w:val="auto"/>
                <w:kern w:val="0"/>
                <w:highlight w:val="none"/>
                <w:lang w:val="en-US" w:eastAsia="zh-CN" w:bidi="ar"/>
              </w:rPr>
              <w:t>投标</w:t>
            </w:r>
            <w:r>
              <w:rPr>
                <w:rFonts w:hint="eastAsia" w:ascii="宋体" w:hAnsi="宋体" w:eastAsia="宋体" w:cs="宋体"/>
                <w:color w:val="auto"/>
                <w:kern w:val="0"/>
                <w:highlight w:val="none"/>
                <w:lang w:bidi="ar"/>
              </w:rPr>
              <w:t>报价)×</w:t>
            </w:r>
            <w:r>
              <w:rPr>
                <w:rFonts w:hint="eastAsia" w:ascii="宋体" w:hAnsi="宋体" w:eastAsia="宋体" w:cs="宋体"/>
                <w:color w:val="auto"/>
                <w:kern w:val="0"/>
                <w:highlight w:val="none"/>
                <w:lang w:val="en-US" w:eastAsia="zh-CN" w:bidi="ar"/>
              </w:rPr>
              <w:t>2</w:t>
            </w:r>
            <w:r>
              <w:rPr>
                <w:rFonts w:hint="eastAsia" w:ascii="宋体" w:hAnsi="宋体" w:eastAsia="宋体" w:cs="宋体"/>
                <w:color w:val="auto"/>
                <w:kern w:val="0"/>
                <w:highlight w:val="none"/>
                <w:lang w:bidi="ar"/>
              </w:rPr>
              <w:t>0%×100，四舍五入，保留两位小数。报价高于最高限价的，为无效</w:t>
            </w:r>
            <w:r>
              <w:rPr>
                <w:rFonts w:hint="eastAsia" w:ascii="宋体" w:hAnsi="宋体" w:eastAsia="宋体" w:cs="宋体"/>
                <w:color w:val="auto"/>
                <w:kern w:val="0"/>
                <w:highlight w:val="none"/>
                <w:lang w:val="en-US" w:eastAsia="zh-CN" w:bidi="ar"/>
              </w:rPr>
              <w:t>报价</w:t>
            </w:r>
            <w:r>
              <w:rPr>
                <w:rFonts w:hint="eastAsia" w:ascii="宋体" w:hAnsi="宋体" w:eastAsia="宋体" w:cs="宋体"/>
                <w:color w:val="auto"/>
                <w:kern w:val="0"/>
                <w:highlight w:val="none"/>
                <w:lang w:bidi="ar"/>
              </w:rPr>
              <w:t>文件。</w:t>
            </w:r>
          </w:p>
          <w:p w14:paraId="1F03EBC1">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highlight w:val="none"/>
                <w:lang w:val="en-US" w:eastAsia="zh-CN"/>
              </w:rPr>
            </w:pPr>
            <w:r>
              <w:rPr>
                <w:rFonts w:hint="eastAsia" w:ascii="宋体" w:hAnsi="宋体" w:eastAsia="宋体" w:cs="宋体"/>
                <w:color w:val="auto"/>
                <w:kern w:val="0"/>
                <w:highlight w:val="none"/>
                <w:lang w:bidi="ar"/>
              </w:rPr>
              <w:t>注：</w:t>
            </w:r>
            <w:r>
              <w:rPr>
                <w:rFonts w:hint="eastAsia" w:ascii="宋体" w:hAnsi="宋体" w:eastAsia="宋体" w:cs="宋体"/>
                <w:color w:val="auto"/>
                <w:kern w:val="0"/>
                <w:highlight w:val="none"/>
                <w:lang w:val="en-US" w:eastAsia="zh-CN" w:bidi="ar"/>
              </w:rPr>
              <w:t>对小型和微型企业的投标报价给予10%的扣除，用扣除后的价格参与评审。</w:t>
            </w:r>
          </w:p>
        </w:tc>
        <w:tc>
          <w:tcPr>
            <w:tcW w:w="1150" w:type="dxa"/>
            <w:tcBorders>
              <w:right w:val="single" w:color="auto" w:sz="4" w:space="0"/>
            </w:tcBorders>
            <w:shd w:val="clear" w:color="auto" w:fill="auto"/>
            <w:noWrap w:val="0"/>
            <w:vAlign w:val="center"/>
          </w:tcPr>
          <w:p w14:paraId="21FE86F6">
            <w:pPr>
              <w:keepNext w:val="0"/>
              <w:keepLines w:val="0"/>
              <w:widowControl/>
              <w:suppressLineNumbers w:val="0"/>
              <w:shd w:val="clear"/>
              <w:spacing w:before="0" w:beforeAutospacing="0" w:after="0" w:afterAutospacing="0" w:line="240" w:lineRule="auto"/>
              <w:ind w:left="0" w:right="119" w:firstLine="0" w:firstLineChars="0"/>
              <w:jc w:val="center"/>
              <w:rPr>
                <w:rFonts w:hint="eastAsia" w:ascii="宋体" w:hAnsi="宋体" w:eastAsia="宋体" w:cs="宋体"/>
                <w:color w:val="auto"/>
                <w:highlight w:val="none"/>
              </w:rPr>
            </w:pPr>
            <w:r>
              <w:rPr>
                <w:rFonts w:hint="eastAsia" w:ascii="宋体" w:hAnsi="宋体" w:eastAsia="宋体" w:cs="宋体"/>
                <w:color w:val="auto"/>
                <w:highlight w:val="none"/>
              </w:rPr>
              <w:t>0-</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0分</w:t>
            </w:r>
          </w:p>
        </w:tc>
      </w:tr>
      <w:tr w14:paraId="2085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86" w:type="dxa"/>
            <w:vMerge w:val="restart"/>
            <w:shd w:val="clear" w:color="auto" w:fill="auto"/>
            <w:noWrap w:val="0"/>
            <w:vAlign w:val="center"/>
          </w:tcPr>
          <w:p w14:paraId="246B0DCF">
            <w:pPr>
              <w:keepNext w:val="0"/>
              <w:keepLines w:val="0"/>
              <w:widowControl/>
              <w:suppressLineNumbers w:val="0"/>
              <w:shd w:val="clear"/>
              <w:spacing w:before="0" w:beforeAutospacing="0" w:after="0" w:afterAutospacing="0" w:line="240" w:lineRule="auto"/>
              <w:ind w:left="0" w:right="119" w:firstLine="0" w:firstLineChars="0"/>
              <w:jc w:val="center"/>
              <w:rPr>
                <w:rFonts w:hint="eastAsia" w:ascii="宋体" w:hAnsi="宋体" w:eastAsia="宋体" w:cs="宋体"/>
                <w:color w:val="auto"/>
                <w:highlight w:val="none"/>
                <w:lang w:val="en-US"/>
              </w:rPr>
            </w:pPr>
            <w:r>
              <w:rPr>
                <w:rFonts w:hint="eastAsia" w:ascii="宋体" w:hAnsi="宋体" w:eastAsia="宋体" w:cs="宋体"/>
                <w:color w:val="auto"/>
                <w:highlight w:val="none"/>
                <w:lang w:val="en-US"/>
              </w:rPr>
              <w:t>资信</w:t>
            </w:r>
            <w:r>
              <w:rPr>
                <w:rFonts w:hint="eastAsia" w:ascii="宋体" w:hAnsi="宋体" w:eastAsia="宋体" w:cs="宋体"/>
                <w:color w:val="auto"/>
                <w:highlight w:val="none"/>
                <w:lang w:val="en-US" w:eastAsia="zh-CN"/>
              </w:rPr>
              <w:t>技术分 80分</w:t>
            </w:r>
          </w:p>
          <w:p w14:paraId="4EDEEA3A">
            <w:pPr>
              <w:keepNext w:val="0"/>
              <w:keepLines w:val="0"/>
              <w:widowControl/>
              <w:suppressLineNumbers w:val="0"/>
              <w:shd w:val="clear"/>
              <w:spacing w:before="0" w:beforeAutospacing="0" w:after="0" w:afterAutospacing="0" w:line="240" w:lineRule="auto"/>
              <w:ind w:left="0" w:leftChars="0" w:right="119" w:rightChars="0" w:firstLine="0" w:firstLineChars="0"/>
              <w:jc w:val="center"/>
              <w:rPr>
                <w:rFonts w:hint="eastAsia" w:ascii="宋体" w:hAnsi="宋体" w:eastAsia="宋体" w:cs="宋体"/>
                <w:color w:val="auto"/>
                <w:kern w:val="2"/>
                <w:sz w:val="24"/>
                <w:szCs w:val="24"/>
                <w:highlight w:val="none"/>
                <w:lang w:val="en-US" w:eastAsia="zh-CN" w:bidi="ar-SA"/>
              </w:rPr>
            </w:pPr>
          </w:p>
        </w:tc>
        <w:tc>
          <w:tcPr>
            <w:tcW w:w="1661" w:type="dxa"/>
            <w:shd w:val="clear" w:color="auto" w:fill="auto"/>
            <w:noWrap w:val="0"/>
            <w:vAlign w:val="center"/>
          </w:tcPr>
          <w:p w14:paraId="62AC5E34">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en-US" w:bidi="ar"/>
              </w:rPr>
            </w:pPr>
            <w:r>
              <w:rPr>
                <w:rFonts w:hint="eastAsia" w:ascii="宋体" w:hAnsi="宋体" w:eastAsia="宋体" w:cs="宋体"/>
                <w:color w:val="auto"/>
                <w:kern w:val="0"/>
                <w:highlight w:val="none"/>
                <w:lang w:val="en-US" w:bidi="ar"/>
              </w:rPr>
              <w:t>业绩</w:t>
            </w:r>
          </w:p>
        </w:tc>
        <w:tc>
          <w:tcPr>
            <w:tcW w:w="7033" w:type="dxa"/>
            <w:shd w:val="clear" w:color="auto" w:fill="auto"/>
            <w:noWrap w:val="0"/>
            <w:vAlign w:val="center"/>
          </w:tcPr>
          <w:p w14:paraId="7E25674E">
            <w:pPr>
              <w:keepNext w:val="0"/>
              <w:keepLines w:val="0"/>
              <w:widowControl/>
              <w:suppressLineNumbers w:val="0"/>
              <w:spacing w:before="0" w:beforeAutospacing="0" w:after="0" w:afterAutospacing="0" w:line="240" w:lineRule="auto"/>
              <w:ind w:left="0" w:right="0" w:firstLine="0" w:firstLine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投标人自2021年1月1日至今（时间以合同签订日期为准）</w:t>
            </w:r>
            <w:r>
              <w:rPr>
                <w:rFonts w:hint="eastAsia" w:ascii="宋体" w:hAnsi="宋体" w:eastAsia="宋体" w:cs="宋体"/>
                <w:color w:val="auto"/>
                <w:kern w:val="0"/>
                <w:sz w:val="24"/>
                <w:szCs w:val="24"/>
                <w:highlight w:val="none"/>
                <w:lang w:bidi="ar"/>
              </w:rPr>
              <w:t>承担</w:t>
            </w:r>
            <w:r>
              <w:rPr>
                <w:rFonts w:hint="eastAsia" w:ascii="宋体" w:hAnsi="宋体" w:eastAsia="宋体" w:cs="宋体"/>
                <w:color w:val="auto"/>
                <w:kern w:val="0"/>
                <w:sz w:val="24"/>
                <w:szCs w:val="24"/>
                <w:highlight w:val="none"/>
                <w:lang w:val="en-US" w:eastAsia="zh-CN" w:bidi="ar"/>
              </w:rPr>
              <w:t>过</w:t>
            </w:r>
            <w:r>
              <w:rPr>
                <w:rFonts w:hint="eastAsia" w:ascii="宋体" w:hAnsi="宋体" w:eastAsia="宋体" w:cs="宋体"/>
                <w:color w:val="auto"/>
                <w:kern w:val="0"/>
                <w:sz w:val="24"/>
                <w:szCs w:val="24"/>
                <w:highlight w:val="none"/>
                <w:lang w:eastAsia="zh-CN" w:bidi="ar"/>
              </w:rPr>
              <w:t>土壤、地下水风险管控</w:t>
            </w:r>
            <w:r>
              <w:rPr>
                <w:rFonts w:hint="eastAsia" w:ascii="宋体" w:hAnsi="宋体" w:eastAsia="宋体" w:cs="宋体"/>
                <w:color w:val="auto"/>
                <w:kern w:val="0"/>
                <w:sz w:val="24"/>
                <w:szCs w:val="24"/>
                <w:highlight w:val="none"/>
                <w:lang w:val="en-US" w:eastAsia="zh-CN" w:bidi="ar"/>
              </w:rPr>
              <w:t>/治理修复</w:t>
            </w:r>
            <w:r>
              <w:rPr>
                <w:rFonts w:hint="eastAsia" w:ascii="宋体" w:hAnsi="宋体" w:eastAsia="宋体" w:cs="宋体"/>
                <w:color w:val="auto"/>
                <w:kern w:val="0"/>
                <w:sz w:val="24"/>
                <w:szCs w:val="24"/>
                <w:highlight w:val="none"/>
                <w:lang w:bidi="ar"/>
              </w:rPr>
              <w:t>项目</w:t>
            </w:r>
            <w:r>
              <w:rPr>
                <w:rFonts w:hint="eastAsia" w:ascii="宋体" w:hAnsi="宋体" w:cs="宋体"/>
                <w:color w:val="auto"/>
                <w:kern w:val="0"/>
                <w:sz w:val="24"/>
                <w:szCs w:val="24"/>
                <w:highlight w:val="none"/>
                <w:lang w:val="en-US" w:eastAsia="zh-CN" w:bidi="ar"/>
              </w:rPr>
              <w:t>环境监理或</w:t>
            </w:r>
            <w:r>
              <w:rPr>
                <w:rFonts w:hint="eastAsia" w:ascii="宋体" w:hAnsi="宋体" w:eastAsia="宋体" w:cs="宋体"/>
                <w:color w:val="auto"/>
                <w:kern w:val="0"/>
                <w:sz w:val="24"/>
                <w:szCs w:val="24"/>
                <w:highlight w:val="none"/>
                <w:lang w:eastAsia="zh-CN" w:bidi="ar"/>
              </w:rPr>
              <w:t>（阶段性）</w:t>
            </w:r>
            <w:r>
              <w:rPr>
                <w:rFonts w:hint="eastAsia" w:ascii="宋体" w:hAnsi="宋体" w:eastAsia="宋体" w:cs="宋体"/>
                <w:color w:val="auto"/>
                <w:kern w:val="0"/>
                <w:sz w:val="24"/>
                <w:szCs w:val="24"/>
                <w:highlight w:val="none"/>
                <w:lang w:val="en-US" w:eastAsia="zh-CN" w:bidi="ar"/>
              </w:rPr>
              <w:t>效果评估</w:t>
            </w:r>
            <w:r>
              <w:rPr>
                <w:rFonts w:hint="eastAsia" w:ascii="宋体" w:hAnsi="宋体" w:eastAsia="宋体" w:cs="宋体"/>
                <w:color w:val="auto"/>
                <w:kern w:val="0"/>
                <w:sz w:val="24"/>
                <w:szCs w:val="24"/>
                <w:highlight w:val="none"/>
                <w:lang w:bidi="ar"/>
              </w:rPr>
              <w:t>业绩的，每提供1个得</w:t>
            </w: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bidi="ar"/>
              </w:rPr>
              <w:t>分，最</w:t>
            </w:r>
            <w:r>
              <w:rPr>
                <w:rFonts w:hint="eastAsia" w:ascii="宋体" w:hAnsi="宋体" w:eastAsia="宋体" w:cs="宋体"/>
                <w:color w:val="auto"/>
                <w:kern w:val="0"/>
                <w:sz w:val="24"/>
                <w:szCs w:val="24"/>
                <w:highlight w:val="none"/>
                <w:lang w:val="en-US" w:eastAsia="zh-CN" w:bidi="ar"/>
              </w:rPr>
              <w:t>高</w:t>
            </w:r>
            <w:r>
              <w:rPr>
                <w:rFonts w:hint="eastAsia" w:ascii="宋体" w:hAnsi="宋体" w:eastAsia="宋体" w:cs="宋体"/>
                <w:color w:val="auto"/>
                <w:kern w:val="0"/>
                <w:sz w:val="24"/>
                <w:szCs w:val="24"/>
                <w:highlight w:val="none"/>
                <w:lang w:bidi="ar"/>
              </w:rPr>
              <w:t>得</w:t>
            </w:r>
            <w:r>
              <w:rPr>
                <w:rFonts w:hint="eastAsia" w:ascii="宋体" w:hAnsi="宋体" w:eastAsia="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bidi="ar"/>
              </w:rPr>
              <w:t>分。</w:t>
            </w:r>
          </w:p>
          <w:p w14:paraId="165EB3E0">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sz w:val="24"/>
                <w:szCs w:val="24"/>
                <w:highlight w:val="none"/>
                <w:lang w:val="en-US" w:eastAsia="zh-CN" w:bidi="ar"/>
              </w:rPr>
              <w:t>注：须提供合同原件扫描件、</w:t>
            </w:r>
            <w:r>
              <w:rPr>
                <w:rFonts w:hint="eastAsia" w:ascii="宋体" w:hAnsi="宋体" w:cs="宋体"/>
                <w:color w:val="auto"/>
                <w:kern w:val="0"/>
                <w:sz w:val="24"/>
                <w:szCs w:val="24"/>
                <w:highlight w:val="none"/>
                <w:lang w:val="en-US" w:eastAsia="zh-CN" w:bidi="ar"/>
              </w:rPr>
              <w:t>专家评审意见，</w:t>
            </w:r>
            <w:r>
              <w:rPr>
                <w:rFonts w:hint="eastAsia" w:ascii="宋体" w:hAnsi="宋体" w:eastAsia="宋体" w:cs="宋体"/>
                <w:color w:val="auto"/>
                <w:kern w:val="0"/>
                <w:sz w:val="24"/>
                <w:szCs w:val="24"/>
                <w:highlight w:val="none"/>
                <w:lang w:eastAsia="zh-CN" w:bidi="ar"/>
              </w:rPr>
              <w:t>（阶段性）</w:t>
            </w:r>
            <w:r>
              <w:rPr>
                <w:rFonts w:hint="eastAsia" w:ascii="宋体" w:hAnsi="宋体" w:eastAsia="宋体" w:cs="宋体"/>
                <w:color w:val="auto"/>
                <w:kern w:val="0"/>
                <w:sz w:val="24"/>
                <w:szCs w:val="24"/>
                <w:highlight w:val="none"/>
                <w:lang w:val="en-US" w:eastAsia="zh-CN" w:bidi="ar"/>
              </w:rPr>
              <w:t>效果评估</w:t>
            </w:r>
            <w:r>
              <w:rPr>
                <w:rFonts w:hint="eastAsia" w:ascii="宋体" w:hAnsi="宋体" w:eastAsia="宋体" w:cs="宋体"/>
                <w:color w:val="auto"/>
                <w:kern w:val="0"/>
                <w:sz w:val="24"/>
                <w:szCs w:val="24"/>
                <w:highlight w:val="none"/>
                <w:lang w:bidi="ar"/>
              </w:rPr>
              <w:t>业绩</w:t>
            </w:r>
            <w:r>
              <w:rPr>
                <w:rFonts w:hint="eastAsia" w:ascii="宋体" w:hAnsi="宋体" w:cs="宋体"/>
                <w:color w:val="auto"/>
                <w:kern w:val="0"/>
                <w:sz w:val="24"/>
                <w:szCs w:val="24"/>
                <w:highlight w:val="none"/>
                <w:lang w:val="en-US" w:eastAsia="zh-CN" w:bidi="ar"/>
              </w:rPr>
              <w:t>还需提供</w:t>
            </w:r>
            <w:r>
              <w:rPr>
                <w:rFonts w:hint="eastAsia" w:ascii="宋体" w:hAnsi="宋体" w:eastAsia="宋体" w:cs="宋体"/>
                <w:color w:val="auto"/>
                <w:kern w:val="0"/>
                <w:sz w:val="24"/>
                <w:szCs w:val="24"/>
                <w:highlight w:val="none"/>
                <w:lang w:val="en-US" w:eastAsia="zh-CN" w:bidi="ar"/>
              </w:rPr>
              <w:t>具</w:t>
            </w:r>
            <w:r>
              <w:rPr>
                <w:rFonts w:hint="eastAsia" w:ascii="宋体" w:hAnsi="宋体" w:eastAsia="宋体" w:cs="宋体"/>
                <w:color w:val="auto"/>
                <w:kern w:val="0"/>
                <w:sz w:val="24"/>
                <w:szCs w:val="24"/>
                <w:highlight w:val="none"/>
                <w:lang w:bidi="ar"/>
              </w:rPr>
              <w:t>有权限的主管部门备案</w:t>
            </w:r>
            <w:r>
              <w:rPr>
                <w:rFonts w:hint="eastAsia" w:ascii="宋体" w:hAnsi="宋体" w:eastAsia="宋体" w:cs="宋体"/>
                <w:color w:val="auto"/>
                <w:kern w:val="0"/>
                <w:sz w:val="24"/>
                <w:szCs w:val="24"/>
                <w:highlight w:val="none"/>
                <w:lang w:eastAsia="zh-CN" w:bidi="ar"/>
              </w:rPr>
              <w:t>意见</w:t>
            </w:r>
            <w:r>
              <w:rPr>
                <w:rFonts w:hint="eastAsia" w:ascii="宋体" w:hAnsi="宋体" w:eastAsia="宋体" w:cs="宋体"/>
                <w:color w:val="auto"/>
                <w:kern w:val="0"/>
                <w:sz w:val="24"/>
                <w:szCs w:val="24"/>
                <w:highlight w:val="none"/>
                <w:lang w:bidi="ar"/>
              </w:rPr>
              <w:t>（或移出省级建设用地土壤污染风险管控和修复名录公告）</w:t>
            </w:r>
            <w:r>
              <w:rPr>
                <w:rFonts w:hint="eastAsia" w:ascii="宋体" w:hAnsi="宋体" w:eastAsia="宋体" w:cs="宋体"/>
                <w:color w:val="auto"/>
                <w:kern w:val="0"/>
                <w:sz w:val="24"/>
                <w:szCs w:val="24"/>
                <w:highlight w:val="none"/>
                <w:lang w:val="en-US" w:eastAsia="zh-CN" w:bidi="ar"/>
              </w:rPr>
              <w:t>扫描件，否则不得分</w:t>
            </w:r>
            <w:r>
              <w:rPr>
                <w:rFonts w:hint="eastAsia" w:ascii="宋体" w:hAnsi="宋体" w:eastAsia="宋体" w:cs="宋体"/>
                <w:color w:val="auto"/>
                <w:kern w:val="0"/>
                <w:highlight w:val="none"/>
                <w:lang w:val="en-US" w:eastAsia="zh-CN" w:bidi="ar"/>
              </w:rPr>
              <w:t>。</w:t>
            </w:r>
          </w:p>
        </w:tc>
        <w:tc>
          <w:tcPr>
            <w:tcW w:w="1150" w:type="dxa"/>
            <w:shd w:val="clear" w:color="auto" w:fill="auto"/>
            <w:noWrap w:val="0"/>
            <w:vAlign w:val="center"/>
          </w:tcPr>
          <w:p w14:paraId="0AD77ABB">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0-</w:t>
            </w:r>
            <w:r>
              <w:rPr>
                <w:rFonts w:hint="eastAsia" w:ascii="宋体" w:hAnsi="宋体" w:eastAsia="宋体" w:cs="宋体"/>
                <w:color w:val="auto"/>
                <w:kern w:val="0"/>
                <w:highlight w:val="none"/>
                <w:lang w:val="en-US" w:eastAsia="zh-CN" w:bidi="ar"/>
              </w:rPr>
              <w:t>2</w:t>
            </w:r>
            <w:r>
              <w:rPr>
                <w:rFonts w:hint="eastAsia" w:ascii="宋体" w:hAnsi="宋体" w:eastAsia="宋体" w:cs="宋体"/>
                <w:color w:val="auto"/>
                <w:kern w:val="0"/>
                <w:highlight w:val="none"/>
                <w:lang w:bidi="ar"/>
              </w:rPr>
              <w:t>分</w:t>
            </w:r>
          </w:p>
        </w:tc>
      </w:tr>
      <w:tr w14:paraId="0EB9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86" w:type="dxa"/>
            <w:vMerge w:val="continue"/>
            <w:shd w:val="clear" w:color="auto" w:fill="auto"/>
            <w:noWrap w:val="0"/>
            <w:vAlign w:val="center"/>
          </w:tcPr>
          <w:p w14:paraId="6CDD0132">
            <w:pPr>
              <w:keepNext w:val="0"/>
              <w:keepLines w:val="0"/>
              <w:widowControl/>
              <w:suppressLineNumbers w:val="0"/>
              <w:shd w:val="clear"/>
              <w:spacing w:before="0" w:beforeAutospacing="0" w:after="0" w:afterAutospacing="0" w:line="240" w:lineRule="auto"/>
              <w:ind w:left="0" w:leftChars="0" w:right="119" w:rightChars="0" w:firstLine="0" w:firstLineChars="0"/>
              <w:jc w:val="center"/>
              <w:rPr>
                <w:rFonts w:hint="eastAsia" w:ascii="宋体" w:hAnsi="宋体" w:eastAsia="宋体" w:cs="宋体"/>
                <w:color w:val="auto"/>
                <w:kern w:val="2"/>
                <w:sz w:val="24"/>
                <w:szCs w:val="24"/>
                <w:highlight w:val="none"/>
                <w:lang w:val="en-US" w:eastAsia="zh-CN" w:bidi="ar-SA"/>
              </w:rPr>
            </w:pPr>
          </w:p>
        </w:tc>
        <w:tc>
          <w:tcPr>
            <w:tcW w:w="1661" w:type="dxa"/>
            <w:shd w:val="clear" w:color="auto" w:fill="auto"/>
            <w:noWrap w:val="0"/>
            <w:vAlign w:val="center"/>
          </w:tcPr>
          <w:p w14:paraId="242FEB45">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体系认证</w:t>
            </w:r>
          </w:p>
        </w:tc>
        <w:tc>
          <w:tcPr>
            <w:tcW w:w="7033" w:type="dxa"/>
            <w:shd w:val="clear" w:color="auto" w:fill="auto"/>
            <w:noWrap w:val="0"/>
            <w:vAlign w:val="center"/>
          </w:tcPr>
          <w:p w14:paraId="259A34C1">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投标人具有在有效期内的质量管理体系认证证书、环境管理体系认证证书、职业健康安全管理体系认证证书的，每提供一个得1分，最高得3分。</w:t>
            </w:r>
          </w:p>
          <w:p w14:paraId="39A4B398">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b/>
                <w:bCs/>
                <w:color w:val="auto"/>
                <w:kern w:val="0"/>
                <w:highlight w:val="none"/>
                <w:lang w:val="en-US" w:eastAsia="zh-CN" w:bidi="ar"/>
              </w:rPr>
            </w:pPr>
            <w:r>
              <w:rPr>
                <w:rFonts w:hint="eastAsia" w:ascii="宋体" w:hAnsi="宋体" w:eastAsia="宋体" w:cs="宋体"/>
                <w:color w:val="auto"/>
                <w:kern w:val="0"/>
                <w:highlight w:val="none"/>
                <w:lang w:val="en-US" w:eastAsia="zh-CN" w:bidi="ar"/>
              </w:rPr>
              <w:t>注：须提供相关认证证书扫描件（证书需在有效期内），不提供或未按要求提供的不得分。</w:t>
            </w:r>
          </w:p>
        </w:tc>
        <w:tc>
          <w:tcPr>
            <w:tcW w:w="1150" w:type="dxa"/>
            <w:shd w:val="clear" w:color="auto" w:fill="auto"/>
            <w:noWrap w:val="0"/>
            <w:vAlign w:val="center"/>
          </w:tcPr>
          <w:p w14:paraId="2683B58E">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0-3分</w:t>
            </w:r>
          </w:p>
        </w:tc>
      </w:tr>
      <w:tr w14:paraId="40A6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4" w:hRule="atLeast"/>
          <w:jc w:val="center"/>
        </w:trPr>
        <w:tc>
          <w:tcPr>
            <w:tcW w:w="1086" w:type="dxa"/>
            <w:vMerge w:val="continue"/>
            <w:shd w:val="clear" w:color="auto" w:fill="auto"/>
            <w:noWrap w:val="0"/>
            <w:vAlign w:val="center"/>
          </w:tcPr>
          <w:p w14:paraId="58B849FD">
            <w:pPr>
              <w:keepNext w:val="0"/>
              <w:keepLines w:val="0"/>
              <w:widowControl/>
              <w:suppressLineNumbers w:val="0"/>
              <w:shd w:val="clear"/>
              <w:spacing w:before="0" w:beforeAutospacing="0" w:after="0" w:afterAutospacing="0" w:line="240" w:lineRule="auto"/>
              <w:ind w:left="0" w:right="119" w:firstLine="0" w:firstLineChars="0"/>
              <w:jc w:val="center"/>
              <w:rPr>
                <w:rFonts w:hint="eastAsia" w:ascii="宋体" w:hAnsi="宋体" w:eastAsia="宋体" w:cs="宋体"/>
                <w:color w:val="auto"/>
                <w:highlight w:val="none"/>
                <w:lang w:val="en-US"/>
              </w:rPr>
            </w:pPr>
          </w:p>
        </w:tc>
        <w:tc>
          <w:tcPr>
            <w:tcW w:w="1661" w:type="dxa"/>
            <w:shd w:val="clear" w:color="auto" w:fill="auto"/>
            <w:noWrap w:val="0"/>
            <w:vAlign w:val="center"/>
          </w:tcPr>
          <w:p w14:paraId="294A687D">
            <w:pPr>
              <w:keepNext w:val="0"/>
              <w:keepLines w:val="0"/>
              <w:widowControl/>
              <w:suppressLineNumbers w:val="0"/>
              <w:shd w:val="clear"/>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拟投入配备人员</w:t>
            </w:r>
          </w:p>
        </w:tc>
        <w:tc>
          <w:tcPr>
            <w:tcW w:w="7033" w:type="dxa"/>
            <w:shd w:val="clear" w:color="auto" w:fill="auto"/>
            <w:noWrap w:val="0"/>
            <w:vAlign w:val="center"/>
          </w:tcPr>
          <w:p w14:paraId="7877C10E">
            <w:pPr>
              <w:keepNext w:val="0"/>
              <w:keepLines w:val="0"/>
              <w:widowControl/>
              <w:numPr>
                <w:ilvl w:val="0"/>
                <w:numId w:val="8"/>
              </w:numPr>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投标人拟投入项目总监理工程师具有环保</w:t>
            </w:r>
            <w:r>
              <w:rPr>
                <w:rFonts w:hint="eastAsia" w:ascii="宋体" w:hAnsi="宋体" w:eastAsia="宋体" w:cs="宋体"/>
                <w:color w:val="auto"/>
                <w:szCs w:val="21"/>
                <w:highlight w:val="none"/>
                <w:lang w:val="en-US" w:eastAsia="zh-CN"/>
              </w:rPr>
              <w:t>相关</w:t>
            </w:r>
            <w:r>
              <w:rPr>
                <w:rFonts w:hint="eastAsia" w:ascii="宋体" w:hAnsi="宋体" w:eastAsia="宋体" w:cs="宋体"/>
                <w:color w:val="auto"/>
                <w:kern w:val="0"/>
                <w:highlight w:val="none"/>
                <w:lang w:val="en-US" w:eastAsia="zh-CN" w:bidi="ar"/>
              </w:rPr>
              <w:t>专业正（教授级）高级职称得2分，具有环保</w:t>
            </w:r>
            <w:r>
              <w:rPr>
                <w:rFonts w:hint="eastAsia" w:ascii="宋体" w:hAnsi="宋体" w:eastAsia="宋体" w:cs="宋体"/>
                <w:color w:val="auto"/>
                <w:szCs w:val="21"/>
                <w:highlight w:val="none"/>
                <w:lang w:val="en-US" w:eastAsia="zh-CN"/>
              </w:rPr>
              <w:t>相关</w:t>
            </w:r>
            <w:r>
              <w:rPr>
                <w:rFonts w:hint="eastAsia" w:ascii="宋体" w:hAnsi="宋体" w:eastAsia="宋体" w:cs="宋体"/>
                <w:color w:val="auto"/>
                <w:kern w:val="0"/>
                <w:highlight w:val="none"/>
                <w:lang w:val="en-US" w:eastAsia="zh-CN" w:bidi="ar"/>
              </w:rPr>
              <w:t>专业高级职称得1分，其他不得分。</w:t>
            </w:r>
          </w:p>
          <w:p w14:paraId="74B51F2E">
            <w:pPr>
              <w:keepNext w:val="0"/>
              <w:keepLines w:val="0"/>
              <w:widowControl/>
              <w:numPr>
                <w:ilvl w:val="0"/>
                <w:numId w:val="8"/>
              </w:numPr>
              <w:suppressLineNumbers w:val="0"/>
              <w:shd w:val="clear"/>
              <w:spacing w:before="0" w:beforeAutospacing="0" w:after="0" w:afterAutospacing="0" w:line="240" w:lineRule="auto"/>
              <w:ind w:left="0" w:leftChars="0" w:right="0" w:rightChars="0" w:firstLine="0" w:firstLineChars="0"/>
              <w:jc w:val="left"/>
              <w:rPr>
                <w:rFonts w:hint="eastAsia" w:ascii="宋体" w:hAnsi="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拟派项目总监理工程师入选省级及以上土壤污染防治专家库</w:t>
            </w:r>
            <w:r>
              <w:rPr>
                <w:rFonts w:hint="eastAsia" w:ascii="宋体" w:hAnsi="宋体" w:cs="宋体"/>
                <w:color w:val="auto"/>
                <w:kern w:val="0"/>
                <w:highlight w:val="none"/>
                <w:lang w:val="en-US" w:eastAsia="zh-CN" w:bidi="ar"/>
              </w:rPr>
              <w:t>（或污染地块调查评估和治理修复项目评审专家库等类似名称）</w:t>
            </w:r>
            <w:r>
              <w:rPr>
                <w:rFonts w:hint="eastAsia" w:ascii="宋体" w:hAnsi="宋体" w:eastAsia="宋体" w:cs="宋体"/>
                <w:color w:val="auto"/>
                <w:kern w:val="0"/>
                <w:highlight w:val="none"/>
                <w:lang w:val="en-US" w:eastAsia="zh-CN" w:bidi="ar"/>
              </w:rPr>
              <w:t>的</w:t>
            </w:r>
            <w:r>
              <w:rPr>
                <w:rFonts w:hint="eastAsia" w:ascii="宋体" w:hAnsi="宋体" w:cs="宋体"/>
                <w:color w:val="auto"/>
                <w:kern w:val="0"/>
                <w:highlight w:val="none"/>
                <w:lang w:val="en-US" w:eastAsia="zh-CN" w:bidi="ar"/>
              </w:rPr>
              <w:t>，</w:t>
            </w:r>
            <w:r>
              <w:rPr>
                <w:rFonts w:hint="eastAsia" w:ascii="宋体" w:hAnsi="宋体" w:eastAsia="宋体" w:cs="宋体"/>
                <w:color w:val="auto"/>
                <w:kern w:val="0"/>
                <w:highlight w:val="none"/>
                <w:lang w:val="en-US" w:eastAsia="zh-CN" w:bidi="ar"/>
              </w:rPr>
              <w:t>得2分</w:t>
            </w:r>
            <w:r>
              <w:rPr>
                <w:rFonts w:hint="eastAsia" w:ascii="宋体" w:hAnsi="宋体" w:cs="宋体"/>
                <w:color w:val="auto"/>
                <w:kern w:val="0"/>
                <w:highlight w:val="none"/>
                <w:lang w:val="en-US" w:eastAsia="zh-CN" w:bidi="ar"/>
              </w:rPr>
              <w:t>；</w:t>
            </w:r>
          </w:p>
          <w:p w14:paraId="611044AF">
            <w:pPr>
              <w:keepNext w:val="0"/>
              <w:keepLines w:val="0"/>
              <w:widowControl/>
              <w:numPr>
                <w:ilvl w:val="0"/>
                <w:numId w:val="0"/>
              </w:numPr>
              <w:suppressLineNumbers w:val="0"/>
              <w:shd w:val="clear"/>
              <w:spacing w:before="0" w:beforeAutospacing="0" w:after="0" w:afterAutospacing="0" w:line="240" w:lineRule="auto"/>
              <w:ind w:leftChars="0" w:right="0" w:rightChars="0"/>
              <w:jc w:val="left"/>
              <w:rPr>
                <w:rFonts w:hint="eastAsia" w:ascii="宋体" w:hAnsi="宋体" w:eastAsia="宋体" w:cs="宋体"/>
                <w:color w:val="auto"/>
                <w:kern w:val="0"/>
                <w:highlight w:val="none"/>
                <w:lang w:val="en-US" w:eastAsia="zh-CN" w:bidi="ar"/>
              </w:rPr>
            </w:pPr>
            <w:r>
              <w:rPr>
                <w:rFonts w:hint="eastAsia" w:ascii="宋体" w:hAnsi="宋体" w:cs="宋体"/>
                <w:color w:val="auto"/>
                <w:kern w:val="0"/>
                <w:highlight w:val="none"/>
                <w:lang w:val="en-US" w:eastAsia="zh-CN" w:bidi="ar"/>
              </w:rPr>
              <w:t>注：本项需提供入库（公告）文件、聘书或省级及以上系统截图等证明材料扫描件，</w:t>
            </w:r>
            <w:r>
              <w:rPr>
                <w:rFonts w:hint="eastAsia" w:ascii="宋体" w:hAnsi="宋体" w:cs="宋体"/>
                <w:color w:val="auto"/>
                <w:kern w:val="0"/>
                <w:highlight w:val="none"/>
                <w:lang w:eastAsia="zh-CN" w:bidi="ar"/>
              </w:rPr>
              <w:t>上述材料提供</w:t>
            </w:r>
            <w:r>
              <w:rPr>
                <w:rFonts w:hint="eastAsia" w:ascii="宋体" w:hAnsi="宋体" w:cs="宋体"/>
                <w:color w:val="auto"/>
                <w:kern w:val="0"/>
                <w:highlight w:val="none"/>
                <w:lang w:val="en-US" w:eastAsia="zh-CN" w:bidi="ar"/>
              </w:rPr>
              <w:t>其一即可，否则不得分。</w:t>
            </w:r>
          </w:p>
          <w:p w14:paraId="27EDCC16">
            <w:pPr>
              <w:keepNext w:val="0"/>
              <w:keepLines w:val="0"/>
              <w:widowControl/>
              <w:numPr>
                <w:ilvl w:val="0"/>
                <w:numId w:val="0"/>
              </w:numPr>
              <w:suppressLineNumbers w:val="0"/>
              <w:shd w:val="clear"/>
              <w:spacing w:before="0" w:beforeAutospacing="0" w:after="0" w:afterAutospacing="0" w:line="240" w:lineRule="auto"/>
              <w:ind w:leftChars="0" w:right="0" w:rightChars="0"/>
              <w:jc w:val="left"/>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3.投标人拟投入</w:t>
            </w:r>
            <w:r>
              <w:rPr>
                <w:rFonts w:hint="eastAsia" w:ascii="宋体" w:hAnsi="宋体" w:cs="宋体"/>
                <w:color w:val="auto"/>
                <w:kern w:val="0"/>
                <w:highlight w:val="none"/>
                <w:lang w:val="en-US" w:eastAsia="zh-CN" w:bidi="ar"/>
              </w:rPr>
              <w:t>项目组成员</w:t>
            </w:r>
            <w:r>
              <w:rPr>
                <w:rFonts w:hint="eastAsia" w:ascii="宋体" w:hAnsi="宋体" w:eastAsia="宋体" w:cs="宋体"/>
                <w:color w:val="auto"/>
                <w:kern w:val="0"/>
                <w:highlight w:val="none"/>
                <w:lang w:val="en-US" w:eastAsia="zh-CN" w:bidi="ar"/>
              </w:rPr>
              <w:t>（不含总监理工程师）具有环保</w:t>
            </w:r>
            <w:r>
              <w:rPr>
                <w:rFonts w:hint="eastAsia" w:ascii="宋体" w:hAnsi="宋体" w:eastAsia="宋体" w:cs="宋体"/>
                <w:color w:val="auto"/>
                <w:szCs w:val="21"/>
                <w:highlight w:val="none"/>
                <w:lang w:val="en-US" w:eastAsia="zh-CN"/>
              </w:rPr>
              <w:t>相关</w:t>
            </w:r>
            <w:r>
              <w:rPr>
                <w:rFonts w:hint="eastAsia" w:ascii="宋体" w:hAnsi="宋体" w:eastAsia="宋体" w:cs="宋体"/>
                <w:color w:val="auto"/>
                <w:kern w:val="0"/>
                <w:highlight w:val="none"/>
                <w:lang w:val="en-US" w:eastAsia="zh-CN" w:bidi="ar"/>
              </w:rPr>
              <w:t>专业高级及以上职称的，每个得1分，具有中级职称的得0.5分，最高得3分。（按照3个监理工程师计）</w:t>
            </w:r>
          </w:p>
          <w:p w14:paraId="5AA8FFB9">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4.投标人拟投入项目组成员中（含总监理工程师）具有注册环评工程师或注册环保工程师的，每个得1分，最高得2分。</w:t>
            </w:r>
          </w:p>
          <w:p w14:paraId="4B2C4043">
            <w:pPr>
              <w:keepNext w:val="0"/>
              <w:keepLines w:val="0"/>
              <w:widowControl/>
              <w:suppressLineNumbers w:val="0"/>
              <w:shd w:val="clear"/>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注：须提供</w:t>
            </w:r>
            <w:r>
              <w:rPr>
                <w:rFonts w:hint="eastAsia" w:ascii="宋体" w:hAnsi="宋体" w:cs="宋体"/>
                <w:color w:val="auto"/>
                <w:kern w:val="0"/>
                <w:highlight w:val="none"/>
                <w:lang w:val="en-US" w:eastAsia="zh-CN" w:bidi="ar"/>
              </w:rPr>
              <w:t>以上人员的</w:t>
            </w:r>
            <w:r>
              <w:rPr>
                <w:rFonts w:hint="eastAsia" w:ascii="宋体" w:hAnsi="宋体" w:eastAsia="宋体" w:cs="宋体"/>
                <w:color w:val="auto"/>
                <w:kern w:val="0"/>
                <w:highlight w:val="none"/>
                <w:lang w:val="en-US" w:eastAsia="zh-CN" w:bidi="ar"/>
              </w:rPr>
              <w:t>职称证书、资格证书及本单位缴纳的近3个月社保证明扫描件</w:t>
            </w:r>
            <w:r>
              <w:rPr>
                <w:rFonts w:hint="eastAsia" w:ascii="宋体" w:hAnsi="宋体" w:eastAsia="宋体" w:cs="宋体"/>
                <w:color w:val="auto"/>
                <w:szCs w:val="21"/>
                <w:highlight w:val="none"/>
                <w:lang w:val="zh-CN"/>
              </w:rPr>
              <w:t>，未提供或提供不全的不得分。</w:t>
            </w:r>
          </w:p>
        </w:tc>
        <w:tc>
          <w:tcPr>
            <w:tcW w:w="1150" w:type="dxa"/>
            <w:shd w:val="clear" w:color="auto" w:fill="auto"/>
            <w:noWrap w:val="0"/>
            <w:vAlign w:val="center"/>
          </w:tcPr>
          <w:p w14:paraId="47B32D30">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0-9分</w:t>
            </w:r>
          </w:p>
        </w:tc>
      </w:tr>
      <w:tr w14:paraId="56AF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86" w:type="dxa"/>
            <w:vMerge w:val="continue"/>
            <w:shd w:val="clear" w:color="auto" w:fill="auto"/>
            <w:noWrap w:val="0"/>
            <w:vAlign w:val="center"/>
          </w:tcPr>
          <w:p w14:paraId="605D47E6">
            <w:pPr>
              <w:keepNext w:val="0"/>
              <w:keepLines w:val="0"/>
              <w:widowControl/>
              <w:suppressLineNumbers w:val="0"/>
              <w:shd w:val="clear"/>
              <w:spacing w:before="0" w:beforeAutospacing="0" w:after="0" w:afterAutospacing="0" w:line="240" w:lineRule="auto"/>
              <w:ind w:left="0" w:right="119" w:firstLine="0" w:firstLineChars="0"/>
              <w:jc w:val="center"/>
              <w:rPr>
                <w:rFonts w:hint="eastAsia" w:ascii="宋体" w:hAnsi="宋体" w:eastAsia="宋体" w:cs="宋体"/>
                <w:color w:val="auto"/>
                <w:highlight w:val="none"/>
                <w:lang w:val="en-US"/>
              </w:rPr>
            </w:pPr>
          </w:p>
        </w:tc>
        <w:tc>
          <w:tcPr>
            <w:tcW w:w="1661" w:type="dxa"/>
            <w:shd w:val="clear" w:color="auto" w:fill="auto"/>
            <w:noWrap w:val="0"/>
            <w:vAlign w:val="center"/>
          </w:tcPr>
          <w:p w14:paraId="3D952796">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拟投入设备情况</w:t>
            </w:r>
          </w:p>
        </w:tc>
        <w:tc>
          <w:tcPr>
            <w:tcW w:w="7033" w:type="dxa"/>
            <w:shd w:val="clear" w:color="auto" w:fill="auto"/>
            <w:noWrap w:val="0"/>
            <w:vAlign w:val="center"/>
          </w:tcPr>
          <w:p w14:paraId="66F34D12">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zh-CN" w:eastAsia="zh-CN" w:bidi="ar"/>
              </w:rPr>
            </w:pPr>
            <w:r>
              <w:rPr>
                <w:rFonts w:hint="eastAsia" w:ascii="宋体" w:hAnsi="宋体" w:eastAsia="宋体" w:cs="宋体"/>
                <w:color w:val="auto"/>
                <w:kern w:val="0"/>
                <w:highlight w:val="none"/>
                <w:lang w:val="zh-CN" w:eastAsia="zh-CN" w:bidi="ar"/>
              </w:rPr>
              <w:t>投标人提供拟投入本项目使用的</w:t>
            </w:r>
            <w:r>
              <w:rPr>
                <w:rFonts w:hint="eastAsia" w:ascii="宋体" w:hAnsi="宋体" w:eastAsia="宋体" w:cs="宋体"/>
                <w:color w:val="auto"/>
                <w:kern w:val="0"/>
                <w:highlight w:val="none"/>
                <w:lang w:val="en-US" w:eastAsia="zh-CN" w:bidi="ar"/>
              </w:rPr>
              <w:t>噪声测量分析仪</w:t>
            </w:r>
            <w:r>
              <w:rPr>
                <w:rFonts w:hint="eastAsia" w:ascii="宋体" w:hAnsi="宋体" w:eastAsia="宋体" w:cs="宋体"/>
                <w:color w:val="auto"/>
                <w:kern w:val="0"/>
                <w:highlight w:val="none"/>
                <w:lang w:val="zh-CN" w:eastAsia="zh-CN" w:bidi="ar"/>
              </w:rPr>
              <w:t>、</w:t>
            </w:r>
            <w:r>
              <w:rPr>
                <w:rFonts w:hint="eastAsia" w:ascii="宋体" w:hAnsi="宋体" w:eastAsia="宋体" w:cs="宋体"/>
                <w:color w:val="auto"/>
                <w:kern w:val="0"/>
                <w:highlight w:val="none"/>
                <w:lang w:val="en-US" w:eastAsia="zh-CN" w:bidi="ar"/>
              </w:rPr>
              <w:t>便携式PH计</w:t>
            </w:r>
            <w:r>
              <w:rPr>
                <w:rFonts w:hint="eastAsia" w:ascii="宋体" w:hAnsi="宋体" w:eastAsia="宋体" w:cs="宋体"/>
                <w:color w:val="auto"/>
                <w:kern w:val="0"/>
                <w:highlight w:val="none"/>
                <w:lang w:val="zh-CN" w:eastAsia="zh-CN" w:bidi="ar"/>
              </w:rPr>
              <w:t>、</w:t>
            </w:r>
            <w:r>
              <w:rPr>
                <w:rFonts w:hint="eastAsia" w:ascii="宋体" w:hAnsi="宋体" w:eastAsia="宋体" w:cs="宋体"/>
                <w:color w:val="auto"/>
                <w:kern w:val="0"/>
                <w:highlight w:val="none"/>
                <w:lang w:val="en-US" w:eastAsia="zh-CN" w:bidi="ar"/>
              </w:rPr>
              <w:t>无人机、便携式水质测定仪、</w:t>
            </w:r>
            <w:r>
              <w:rPr>
                <w:rFonts w:hint="eastAsia" w:ascii="宋体" w:hAnsi="宋体" w:eastAsia="宋体" w:cs="宋体"/>
                <w:b w:val="0"/>
                <w:bCs w:val="0"/>
                <w:color w:val="auto"/>
                <w:sz w:val="24"/>
                <w:szCs w:val="24"/>
                <w:highlight w:val="none"/>
                <w:lang w:val="en-US" w:eastAsia="zh-CN"/>
              </w:rPr>
              <w:t>便携式重金属检测仪XRF</w:t>
            </w:r>
            <w:r>
              <w:rPr>
                <w:rFonts w:hint="eastAsia" w:ascii="宋体" w:hAnsi="宋体" w:eastAsia="宋体" w:cs="宋体"/>
                <w:color w:val="auto"/>
                <w:kern w:val="0"/>
                <w:highlight w:val="none"/>
                <w:lang w:val="en-US" w:eastAsia="zh-CN" w:bidi="ar"/>
              </w:rPr>
              <w:t>、</w:t>
            </w:r>
            <w:r>
              <w:rPr>
                <w:rFonts w:hint="eastAsia" w:ascii="宋体" w:hAnsi="宋体" w:eastAsia="宋体" w:cs="宋体"/>
                <w:b w:val="0"/>
                <w:bCs w:val="0"/>
                <w:color w:val="auto"/>
                <w:sz w:val="24"/>
                <w:szCs w:val="24"/>
                <w:highlight w:val="none"/>
                <w:lang w:val="en-US" w:eastAsia="zh-CN"/>
              </w:rPr>
              <w:t>便携式火焰离子化检测仪FID</w:t>
            </w:r>
            <w:r>
              <w:rPr>
                <w:rFonts w:hint="eastAsia" w:ascii="宋体" w:hAnsi="宋体" w:cs="宋体"/>
                <w:color w:val="auto"/>
                <w:kern w:val="0"/>
                <w:highlight w:val="none"/>
                <w:lang w:val="en-US" w:eastAsia="zh-CN" w:bidi="ar"/>
              </w:rPr>
              <w:t>、</w:t>
            </w:r>
            <w:r>
              <w:rPr>
                <w:rFonts w:hint="eastAsia" w:ascii="宋体" w:hAnsi="宋体" w:eastAsia="宋体" w:cs="宋体"/>
                <w:color w:val="auto"/>
                <w:kern w:val="0"/>
                <w:highlight w:val="none"/>
                <w:lang w:val="en-US" w:eastAsia="zh-CN" w:bidi="ar"/>
              </w:rPr>
              <w:t>手持式摄录设备</w:t>
            </w:r>
            <w:r>
              <w:rPr>
                <w:rFonts w:hint="eastAsia" w:ascii="宋体" w:hAnsi="宋体" w:cs="宋体"/>
                <w:strike w:val="0"/>
                <w:dstrike w:val="0"/>
                <w:color w:val="auto"/>
                <w:kern w:val="0"/>
                <w:highlight w:val="none"/>
                <w:lang w:val="en-US" w:eastAsia="zh-CN" w:bidi="ar"/>
              </w:rPr>
              <w:t>、</w:t>
            </w:r>
            <w:r>
              <w:rPr>
                <w:rFonts w:hint="eastAsia" w:ascii="宋体" w:hAnsi="宋体" w:eastAsia="宋体" w:cs="宋体"/>
                <w:b w:val="0"/>
                <w:bCs w:val="0"/>
                <w:strike w:val="0"/>
                <w:color w:val="auto"/>
                <w:sz w:val="24"/>
                <w:szCs w:val="24"/>
                <w:highlight w:val="none"/>
                <w:lang w:val="en-US" w:eastAsia="zh-CN"/>
              </w:rPr>
              <w:t>便</w:t>
            </w:r>
            <w:r>
              <w:rPr>
                <w:rFonts w:hint="eastAsia" w:ascii="宋体" w:hAnsi="宋体" w:eastAsia="宋体" w:cs="宋体"/>
                <w:b w:val="0"/>
                <w:bCs w:val="0"/>
                <w:color w:val="auto"/>
                <w:sz w:val="24"/>
                <w:szCs w:val="24"/>
                <w:highlight w:val="none"/>
                <w:lang w:val="en-US" w:eastAsia="zh-CN"/>
              </w:rPr>
              <w:t>携式挥发性气体检测仪PID等</w:t>
            </w:r>
            <w:r>
              <w:rPr>
                <w:rFonts w:hint="eastAsia" w:ascii="宋体" w:hAnsi="宋体" w:eastAsia="宋体" w:cs="宋体"/>
                <w:color w:val="auto"/>
                <w:kern w:val="0"/>
                <w:highlight w:val="none"/>
                <w:lang w:val="en-US" w:eastAsia="zh-CN" w:bidi="ar"/>
              </w:rPr>
              <w:t>相关仪器设备</w:t>
            </w:r>
            <w:r>
              <w:rPr>
                <w:rFonts w:hint="eastAsia" w:ascii="宋体" w:hAnsi="宋体" w:eastAsia="宋体" w:cs="宋体"/>
                <w:color w:val="auto"/>
                <w:kern w:val="0"/>
                <w:highlight w:val="none"/>
                <w:lang w:val="zh-CN" w:eastAsia="zh-CN" w:bidi="ar"/>
              </w:rPr>
              <w:t>，</w:t>
            </w:r>
            <w:r>
              <w:rPr>
                <w:rFonts w:hint="eastAsia" w:ascii="宋体" w:hAnsi="宋体" w:eastAsia="宋体" w:cs="宋体"/>
                <w:color w:val="auto"/>
                <w:kern w:val="0"/>
                <w:highlight w:val="none"/>
                <w:lang w:val="en-US" w:eastAsia="zh-CN" w:bidi="ar"/>
              </w:rPr>
              <w:t>自有设备</w:t>
            </w:r>
            <w:r>
              <w:rPr>
                <w:rFonts w:hint="eastAsia" w:ascii="宋体" w:hAnsi="宋体" w:eastAsia="宋体" w:cs="宋体"/>
                <w:color w:val="auto"/>
                <w:kern w:val="0"/>
                <w:highlight w:val="none"/>
                <w:lang w:val="zh-CN" w:eastAsia="zh-CN" w:bidi="ar"/>
              </w:rPr>
              <w:t>每提供1项得</w:t>
            </w:r>
            <w:r>
              <w:rPr>
                <w:rFonts w:hint="eastAsia" w:ascii="宋体" w:hAnsi="宋体" w:eastAsia="宋体" w:cs="宋体"/>
                <w:color w:val="auto"/>
                <w:kern w:val="0"/>
                <w:highlight w:val="none"/>
                <w:lang w:val="en-US" w:eastAsia="zh-CN" w:bidi="ar"/>
              </w:rPr>
              <w:t>1</w:t>
            </w:r>
            <w:r>
              <w:rPr>
                <w:rFonts w:hint="eastAsia" w:ascii="宋体" w:hAnsi="宋体" w:eastAsia="宋体" w:cs="宋体"/>
                <w:color w:val="auto"/>
                <w:kern w:val="0"/>
                <w:highlight w:val="none"/>
                <w:lang w:val="zh-CN" w:eastAsia="zh-CN" w:bidi="ar"/>
              </w:rPr>
              <w:t>分，</w:t>
            </w:r>
            <w:r>
              <w:rPr>
                <w:rFonts w:hint="eastAsia" w:ascii="宋体" w:hAnsi="宋体" w:eastAsia="宋体" w:cs="宋体"/>
                <w:color w:val="auto"/>
                <w:kern w:val="0"/>
                <w:highlight w:val="none"/>
                <w:lang w:val="en-US" w:eastAsia="zh-CN" w:bidi="ar"/>
              </w:rPr>
              <w:t>租赁设备每提供一项得0.5分，</w:t>
            </w:r>
            <w:r>
              <w:rPr>
                <w:rFonts w:hint="eastAsia" w:ascii="宋体" w:hAnsi="宋体" w:eastAsia="宋体" w:cs="宋体"/>
                <w:color w:val="auto"/>
                <w:kern w:val="0"/>
                <w:highlight w:val="none"/>
                <w:lang w:val="zh-CN" w:eastAsia="zh-CN" w:bidi="ar"/>
              </w:rPr>
              <w:t>本项最高得</w:t>
            </w:r>
            <w:r>
              <w:rPr>
                <w:rFonts w:hint="eastAsia" w:ascii="宋体" w:hAnsi="宋体" w:eastAsia="宋体" w:cs="宋体"/>
                <w:color w:val="auto"/>
                <w:kern w:val="0"/>
                <w:highlight w:val="none"/>
                <w:lang w:val="en-US" w:eastAsia="zh-CN" w:bidi="ar"/>
              </w:rPr>
              <w:t>7</w:t>
            </w:r>
            <w:r>
              <w:rPr>
                <w:rFonts w:hint="eastAsia" w:ascii="宋体" w:hAnsi="宋体" w:eastAsia="宋体" w:cs="宋体"/>
                <w:color w:val="auto"/>
                <w:kern w:val="0"/>
                <w:highlight w:val="none"/>
                <w:lang w:val="zh-CN" w:eastAsia="zh-CN" w:bidi="ar"/>
              </w:rPr>
              <w:t>分。</w:t>
            </w:r>
          </w:p>
          <w:p w14:paraId="73BE1CBB">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en-US" w:bidi="ar"/>
              </w:rPr>
            </w:pPr>
            <w:r>
              <w:rPr>
                <w:rFonts w:hint="eastAsia" w:ascii="宋体" w:hAnsi="宋体" w:eastAsia="宋体" w:cs="宋体"/>
                <w:color w:val="auto"/>
                <w:szCs w:val="21"/>
                <w:highlight w:val="none"/>
                <w:lang w:val="en-US" w:eastAsia="zh-CN"/>
              </w:rPr>
              <w:t>注：</w:t>
            </w:r>
            <w:r>
              <w:rPr>
                <w:rFonts w:hint="eastAsia" w:ascii="宋体" w:hAnsi="宋体" w:eastAsia="宋体" w:cs="宋体"/>
                <w:color w:val="auto"/>
                <w:szCs w:val="21"/>
                <w:highlight w:val="none"/>
                <w:lang w:val="zh-CN"/>
              </w:rPr>
              <w:t>自有设备须提供购置合同或发票</w:t>
            </w:r>
            <w:r>
              <w:rPr>
                <w:rFonts w:hint="eastAsia" w:ascii="宋体" w:hAnsi="宋体" w:eastAsia="宋体" w:cs="宋体"/>
                <w:color w:val="auto"/>
                <w:szCs w:val="21"/>
                <w:highlight w:val="none"/>
                <w:lang w:val="en-US" w:eastAsia="zh-CN"/>
              </w:rPr>
              <w:t>及</w:t>
            </w:r>
            <w:r>
              <w:rPr>
                <w:rFonts w:hint="eastAsia" w:ascii="宋体" w:hAnsi="宋体" w:eastAsia="宋体" w:cs="宋体"/>
                <w:color w:val="auto"/>
                <w:szCs w:val="21"/>
                <w:highlight w:val="none"/>
                <w:lang w:val="zh-CN"/>
              </w:rPr>
              <w:t>仪器设施设备图片扫描件，</w:t>
            </w:r>
            <w:r>
              <w:rPr>
                <w:rFonts w:hint="eastAsia" w:ascii="宋体" w:hAnsi="宋体" w:eastAsia="宋体" w:cs="宋体"/>
                <w:color w:val="auto"/>
                <w:szCs w:val="21"/>
                <w:highlight w:val="none"/>
                <w:lang w:val="en-US" w:eastAsia="zh-CN"/>
              </w:rPr>
              <w:t>租赁设备需提供租赁意向协议及出租方购买合同或发票及设备图片扫描件，</w:t>
            </w:r>
            <w:r>
              <w:rPr>
                <w:rFonts w:hint="eastAsia" w:ascii="宋体" w:hAnsi="宋体" w:eastAsia="宋体" w:cs="宋体"/>
                <w:color w:val="auto"/>
                <w:szCs w:val="21"/>
                <w:highlight w:val="none"/>
                <w:lang w:val="zh-CN"/>
              </w:rPr>
              <w:t>未提供或提供不全的不得分。（</w:t>
            </w:r>
            <w:r>
              <w:rPr>
                <w:rFonts w:hint="eastAsia" w:ascii="宋体" w:hAnsi="宋体" w:eastAsia="宋体" w:cs="宋体"/>
                <w:color w:val="auto"/>
                <w:szCs w:val="21"/>
                <w:highlight w:val="none"/>
                <w:lang w:val="en-US" w:eastAsia="zh-CN"/>
              </w:rPr>
              <w:t>设备以要求中的设备计分，其他设备不计分</w:t>
            </w:r>
            <w:r>
              <w:rPr>
                <w:rFonts w:hint="eastAsia" w:ascii="宋体" w:hAnsi="宋体" w:eastAsia="宋体" w:cs="宋体"/>
                <w:color w:val="auto"/>
                <w:szCs w:val="21"/>
                <w:highlight w:val="none"/>
                <w:lang w:val="zh-CN"/>
              </w:rPr>
              <w:t>）</w:t>
            </w:r>
          </w:p>
        </w:tc>
        <w:tc>
          <w:tcPr>
            <w:tcW w:w="1150" w:type="dxa"/>
            <w:shd w:val="clear" w:color="auto" w:fill="auto"/>
            <w:noWrap w:val="0"/>
            <w:vAlign w:val="center"/>
          </w:tcPr>
          <w:p w14:paraId="044D42E1">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0-</w:t>
            </w:r>
            <w:r>
              <w:rPr>
                <w:rFonts w:hint="eastAsia" w:ascii="宋体" w:hAnsi="宋体" w:eastAsia="宋体" w:cs="宋体"/>
                <w:color w:val="auto"/>
                <w:kern w:val="0"/>
                <w:highlight w:val="none"/>
                <w:lang w:val="en-US" w:eastAsia="zh-CN" w:bidi="ar"/>
              </w:rPr>
              <w:t>7</w:t>
            </w:r>
            <w:r>
              <w:rPr>
                <w:rFonts w:hint="eastAsia" w:ascii="宋体" w:hAnsi="宋体" w:eastAsia="宋体" w:cs="宋体"/>
                <w:color w:val="auto"/>
                <w:kern w:val="0"/>
                <w:highlight w:val="none"/>
                <w:lang w:bidi="ar"/>
              </w:rPr>
              <w:t>分</w:t>
            </w:r>
          </w:p>
        </w:tc>
      </w:tr>
      <w:tr w14:paraId="32BFE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5" w:hRule="atLeast"/>
          <w:jc w:val="center"/>
        </w:trPr>
        <w:tc>
          <w:tcPr>
            <w:tcW w:w="1086" w:type="dxa"/>
            <w:vMerge w:val="continue"/>
            <w:shd w:val="clear" w:color="auto" w:fill="auto"/>
            <w:noWrap w:val="0"/>
            <w:vAlign w:val="center"/>
          </w:tcPr>
          <w:p w14:paraId="02000857">
            <w:pPr>
              <w:keepNext w:val="0"/>
              <w:keepLines w:val="0"/>
              <w:pageBreakBefore w:val="0"/>
              <w:widowControl/>
              <w:suppressLineNumbers w:val="0"/>
              <w:shd w:val="clear"/>
              <w:wordWrap/>
              <w:topLinePunct w:val="0"/>
              <w:autoSpaceDE/>
              <w:autoSpaceDN/>
              <w:bidi w:val="0"/>
              <w:spacing w:before="0" w:beforeAutospacing="0" w:after="0" w:afterAutospacing="0" w:line="240" w:lineRule="auto"/>
              <w:ind w:left="0" w:right="119" w:firstLine="0" w:firstLineChars="0"/>
              <w:jc w:val="center"/>
              <w:textAlignment w:val="auto"/>
              <w:rPr>
                <w:rFonts w:hint="eastAsia" w:ascii="宋体" w:hAnsi="宋体" w:eastAsia="宋体" w:cs="宋体"/>
                <w:color w:val="auto"/>
                <w:highlight w:val="none"/>
                <w:lang w:val="en-US"/>
              </w:rPr>
            </w:pPr>
          </w:p>
        </w:tc>
        <w:tc>
          <w:tcPr>
            <w:tcW w:w="1661" w:type="dxa"/>
            <w:shd w:val="clear" w:color="auto" w:fill="auto"/>
            <w:noWrap w:val="0"/>
            <w:vAlign w:val="center"/>
          </w:tcPr>
          <w:p w14:paraId="09D677E4">
            <w:pPr>
              <w:keepNext w:val="0"/>
              <w:keepLines w:val="0"/>
              <w:widowControl/>
              <w:suppressLineNumbers w:val="0"/>
              <w:shd w:val="clear"/>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highlight w:val="none"/>
                <w:lang w:val="zh-CN" w:bidi="ar"/>
              </w:rPr>
            </w:pPr>
            <w:r>
              <w:rPr>
                <w:rFonts w:hint="eastAsia" w:ascii="宋体" w:hAnsi="宋体" w:eastAsia="宋体" w:cs="宋体"/>
                <w:color w:val="auto"/>
                <w:kern w:val="0"/>
                <w:sz w:val="24"/>
                <w:szCs w:val="24"/>
                <w:highlight w:val="none"/>
                <w:lang w:val="zh-CN" w:bidi="ar"/>
              </w:rPr>
              <w:t>重难点分析及解决方案</w:t>
            </w:r>
          </w:p>
        </w:tc>
        <w:tc>
          <w:tcPr>
            <w:tcW w:w="7033" w:type="dxa"/>
            <w:shd w:val="clear" w:color="auto" w:fill="auto"/>
            <w:noWrap w:val="0"/>
            <w:vAlign w:val="center"/>
          </w:tcPr>
          <w:p w14:paraId="62F3CA62">
            <w:pPr>
              <w:keepNext/>
              <w:keepLines/>
              <w:pageBreakBefore w:val="0"/>
              <w:shd w:val="clear"/>
              <w:kinsoku w:val="0"/>
              <w:wordWrap/>
              <w:overflowPunct w:val="0"/>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sz w:val="24"/>
                <w:szCs w:val="24"/>
                <w:highlight w:val="none"/>
                <w:lang w:val="zh-CN" w:bidi="ar"/>
              </w:rPr>
            </w:pPr>
            <w:r>
              <w:rPr>
                <w:rFonts w:hint="eastAsia" w:ascii="宋体" w:hAnsi="宋体" w:eastAsia="宋体" w:cs="宋体"/>
                <w:color w:val="auto"/>
                <w:kern w:val="0"/>
                <w:sz w:val="24"/>
                <w:szCs w:val="24"/>
                <w:highlight w:val="none"/>
                <w:lang w:val="zh-CN" w:bidi="ar"/>
              </w:rPr>
              <w:t>根据投标人对项目中的重点难点分析，有明确的实施过程中重难点分析方案内容，且针对方案有提出具体得解决措施</w:t>
            </w:r>
            <w:r>
              <w:rPr>
                <w:rFonts w:hint="eastAsia" w:ascii="宋体" w:hAnsi="宋体" w:eastAsia="宋体" w:cs="宋体"/>
                <w:color w:val="auto"/>
                <w:kern w:val="0"/>
                <w:sz w:val="24"/>
                <w:szCs w:val="24"/>
                <w:highlight w:val="none"/>
                <w:lang w:val="en-US" w:eastAsia="zh-CN" w:bidi="ar"/>
              </w:rPr>
              <w:t>等进行综合打分</w:t>
            </w:r>
            <w:r>
              <w:rPr>
                <w:rFonts w:hint="eastAsia" w:ascii="宋体" w:hAnsi="宋体" w:eastAsia="宋体" w:cs="宋体"/>
                <w:color w:val="auto"/>
                <w:kern w:val="0"/>
                <w:sz w:val="24"/>
                <w:szCs w:val="24"/>
                <w:highlight w:val="none"/>
                <w:lang w:val="zh-CN" w:bidi="ar"/>
              </w:rPr>
              <w:t>【</w:t>
            </w:r>
            <w:r>
              <w:rPr>
                <w:rFonts w:hint="eastAsia" w:ascii="宋体" w:hAnsi="宋体" w:eastAsia="宋体" w:cs="宋体"/>
                <w:color w:val="auto"/>
                <w:kern w:val="0"/>
                <w:sz w:val="24"/>
                <w:szCs w:val="24"/>
                <w:highlight w:val="none"/>
                <w:lang w:val="en-US" w:eastAsia="zh-CN" w:bidi="ar"/>
              </w:rPr>
              <w:t>满分5分，</w:t>
            </w:r>
            <w:r>
              <w:rPr>
                <w:rFonts w:hint="eastAsia" w:ascii="宋体" w:hAnsi="宋体" w:eastAsia="宋体" w:cs="宋体"/>
                <w:color w:val="auto"/>
                <w:kern w:val="0"/>
                <w:sz w:val="24"/>
                <w:szCs w:val="24"/>
                <w:highlight w:val="none"/>
                <w:lang w:val="zh-CN" w:bidi="ar"/>
              </w:rPr>
              <w:t>打分分值范围：</w:t>
            </w:r>
            <w:r>
              <w:rPr>
                <w:rFonts w:hint="eastAsia" w:ascii="宋体" w:hAnsi="宋体" w:eastAsia="宋体" w:cs="宋体"/>
                <w:color w:val="auto"/>
                <w:kern w:val="0"/>
                <w:sz w:val="24"/>
                <w:szCs w:val="24"/>
                <w:highlight w:val="none"/>
                <w:lang w:val="en-US" w:eastAsia="zh-CN" w:bidi="ar"/>
              </w:rPr>
              <w:t>5、4、</w:t>
            </w:r>
            <w:r>
              <w:rPr>
                <w:rFonts w:hint="eastAsia" w:ascii="宋体" w:hAnsi="宋体" w:eastAsia="宋体" w:cs="宋体"/>
                <w:color w:val="auto"/>
                <w:kern w:val="0"/>
                <w:sz w:val="24"/>
                <w:szCs w:val="24"/>
                <w:highlight w:val="none"/>
                <w:lang w:val="zh-CN" w:bidi="ar"/>
              </w:rPr>
              <w:t>3、2、1、0】。</w:t>
            </w:r>
          </w:p>
          <w:p w14:paraId="48663A29">
            <w:pPr>
              <w:keepNext w:val="0"/>
              <w:keepLines w:val="0"/>
              <w:widowControl/>
              <w:suppressLineNumbers w:val="0"/>
              <w:shd w:val="clear"/>
              <w:spacing w:before="0" w:beforeAutospacing="0" w:after="0" w:afterAutospacing="0" w:line="240" w:lineRule="auto"/>
              <w:ind w:left="0" w:leftChars="0" w:right="0" w:rightChars="0" w:firstLine="0" w:firstLineChars="0"/>
              <w:jc w:val="left"/>
              <w:rPr>
                <w:rFonts w:hint="eastAsia" w:ascii="宋体" w:hAnsi="宋体" w:eastAsia="宋体" w:cs="宋体"/>
                <w:color w:val="auto"/>
                <w:kern w:val="0"/>
                <w:highlight w:val="none"/>
                <w:lang w:val="zh-CN" w:bidi="ar"/>
              </w:rPr>
            </w:pPr>
            <w:r>
              <w:rPr>
                <w:rFonts w:hint="eastAsia" w:ascii="宋体" w:hAnsi="宋体" w:eastAsia="宋体" w:cs="宋体"/>
                <w:color w:val="auto"/>
                <w:kern w:val="0"/>
                <w:sz w:val="24"/>
                <w:szCs w:val="24"/>
                <w:highlight w:val="none"/>
                <w:lang w:val="en-US" w:eastAsia="zh-CN" w:bidi="ar"/>
              </w:rPr>
              <w:t>注：未提供</w:t>
            </w:r>
            <w:r>
              <w:rPr>
                <w:rFonts w:hint="eastAsia" w:ascii="宋体" w:hAnsi="宋体" w:eastAsia="宋体" w:cs="宋体"/>
                <w:color w:val="auto"/>
                <w:kern w:val="0"/>
                <w:sz w:val="24"/>
                <w:szCs w:val="24"/>
                <w:highlight w:val="none"/>
                <w:lang w:val="zh-CN" w:bidi="ar"/>
              </w:rPr>
              <w:t>不得分。</w:t>
            </w:r>
          </w:p>
        </w:tc>
        <w:tc>
          <w:tcPr>
            <w:tcW w:w="1150" w:type="dxa"/>
            <w:shd w:val="clear" w:color="auto" w:fill="auto"/>
            <w:noWrap w:val="0"/>
            <w:vAlign w:val="center"/>
          </w:tcPr>
          <w:p w14:paraId="3291DD06">
            <w:pPr>
              <w:keepNext w:val="0"/>
              <w:keepLines w:val="0"/>
              <w:widowControl/>
              <w:suppressLineNumbers w:val="0"/>
              <w:shd w:val="clear"/>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highlight w:val="none"/>
                <w:lang w:bidi="ar"/>
              </w:rPr>
            </w:pPr>
            <w:r>
              <w:rPr>
                <w:rFonts w:hint="eastAsia" w:ascii="宋体" w:hAnsi="宋体" w:eastAsia="宋体" w:cs="宋体"/>
                <w:color w:val="auto"/>
                <w:kern w:val="0"/>
                <w:sz w:val="24"/>
                <w:szCs w:val="24"/>
                <w:highlight w:val="none"/>
                <w:lang w:bidi="ar"/>
              </w:rPr>
              <w:t>0-</w:t>
            </w:r>
            <w:r>
              <w:rPr>
                <w:rFonts w:hint="eastAsia" w:ascii="宋体" w:hAnsi="宋体" w:eastAsia="宋体" w:cs="宋体"/>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bidi="ar"/>
              </w:rPr>
              <w:t>分</w:t>
            </w:r>
          </w:p>
        </w:tc>
      </w:tr>
      <w:tr w14:paraId="355E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86" w:type="dxa"/>
            <w:vMerge w:val="continue"/>
            <w:shd w:val="clear" w:color="auto" w:fill="auto"/>
            <w:noWrap w:val="0"/>
            <w:vAlign w:val="center"/>
          </w:tcPr>
          <w:p w14:paraId="26B20704">
            <w:pPr>
              <w:keepNext w:val="0"/>
              <w:keepLines w:val="0"/>
              <w:widowControl/>
              <w:suppressLineNumbers w:val="0"/>
              <w:shd w:val="clear"/>
              <w:spacing w:before="0" w:beforeAutospacing="0" w:after="0" w:afterAutospacing="0" w:line="240" w:lineRule="auto"/>
              <w:ind w:left="0" w:leftChars="0" w:right="119" w:rightChars="0" w:firstLine="0" w:firstLineChars="0"/>
              <w:jc w:val="center"/>
              <w:rPr>
                <w:rFonts w:hint="eastAsia" w:ascii="宋体" w:hAnsi="宋体" w:eastAsia="宋体" w:cs="宋体"/>
                <w:color w:val="auto"/>
                <w:kern w:val="2"/>
                <w:sz w:val="24"/>
                <w:szCs w:val="24"/>
                <w:highlight w:val="none"/>
                <w:lang w:val="en-US" w:eastAsia="zh-CN" w:bidi="ar-SA"/>
              </w:rPr>
            </w:pPr>
          </w:p>
        </w:tc>
        <w:tc>
          <w:tcPr>
            <w:tcW w:w="1661" w:type="dxa"/>
            <w:vMerge w:val="restart"/>
            <w:shd w:val="clear" w:color="auto" w:fill="auto"/>
            <w:noWrap w:val="0"/>
            <w:vAlign w:val="center"/>
          </w:tcPr>
          <w:p w14:paraId="59B0EEA2">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bidi="ar"/>
              </w:rPr>
              <w:t>实施方案</w:t>
            </w:r>
          </w:p>
        </w:tc>
        <w:tc>
          <w:tcPr>
            <w:tcW w:w="7033" w:type="dxa"/>
            <w:shd w:val="clear" w:color="auto" w:fill="auto"/>
            <w:noWrap w:val="0"/>
            <w:vAlign w:val="top"/>
          </w:tcPr>
          <w:p w14:paraId="7880D90C">
            <w:pPr>
              <w:keepNext/>
              <w:keepLines/>
              <w:pageBreakBefore w:val="0"/>
              <w:shd w:val="clear"/>
              <w:kinsoku w:val="0"/>
              <w:wordWrap/>
              <w:overflowPunct w:val="0"/>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highlight w:val="none"/>
                <w:lang w:val="zh-CN" w:bidi="ar"/>
              </w:rPr>
            </w:pPr>
            <w:r>
              <w:rPr>
                <w:rFonts w:hint="eastAsia" w:ascii="宋体" w:hAnsi="宋体" w:eastAsia="宋体" w:cs="宋体"/>
                <w:color w:val="auto"/>
                <w:kern w:val="0"/>
                <w:highlight w:val="none"/>
                <w:lang w:val="zh-CN" w:bidi="ar"/>
              </w:rPr>
              <w:t>根据投标人对项目的具体工作思路以及工作安排等情况</w:t>
            </w:r>
            <w:r>
              <w:rPr>
                <w:rFonts w:hint="eastAsia" w:ascii="宋体" w:hAnsi="宋体" w:eastAsia="宋体" w:cs="宋体"/>
                <w:color w:val="auto"/>
                <w:kern w:val="0"/>
                <w:highlight w:val="none"/>
                <w:lang w:val="en-US" w:eastAsia="zh-CN" w:bidi="ar"/>
              </w:rPr>
              <w:t>进行综合打分</w:t>
            </w:r>
            <w:r>
              <w:rPr>
                <w:rFonts w:hint="eastAsia" w:ascii="宋体" w:hAnsi="宋体" w:eastAsia="宋体" w:cs="宋体"/>
                <w:color w:val="auto"/>
                <w:kern w:val="0"/>
                <w:highlight w:val="none"/>
                <w:lang w:val="zh-CN" w:bidi="ar"/>
              </w:rPr>
              <w:t>【</w:t>
            </w:r>
            <w:r>
              <w:rPr>
                <w:rFonts w:hint="eastAsia" w:ascii="宋体" w:hAnsi="宋体" w:eastAsia="宋体" w:cs="宋体"/>
                <w:color w:val="auto"/>
                <w:kern w:val="0"/>
                <w:highlight w:val="none"/>
                <w:lang w:val="en-US" w:eastAsia="zh-CN" w:bidi="ar"/>
              </w:rPr>
              <w:t>满分5分，</w:t>
            </w:r>
            <w:r>
              <w:rPr>
                <w:rFonts w:hint="eastAsia" w:ascii="宋体" w:hAnsi="宋体" w:eastAsia="宋体" w:cs="宋体"/>
                <w:color w:val="auto"/>
                <w:kern w:val="0"/>
                <w:highlight w:val="none"/>
                <w:lang w:val="zh-CN" w:bidi="ar"/>
              </w:rPr>
              <w:t>打分分值范围：</w:t>
            </w:r>
            <w:r>
              <w:rPr>
                <w:rFonts w:hint="eastAsia" w:ascii="宋体" w:hAnsi="宋体" w:eastAsia="宋体" w:cs="宋体"/>
                <w:color w:val="auto"/>
                <w:kern w:val="0"/>
                <w:highlight w:val="none"/>
                <w:lang w:val="en-US" w:eastAsia="zh-CN" w:bidi="ar"/>
              </w:rPr>
              <w:t>5、4、</w:t>
            </w:r>
            <w:r>
              <w:rPr>
                <w:rFonts w:hint="eastAsia" w:ascii="宋体" w:hAnsi="宋体" w:eastAsia="宋体" w:cs="宋体"/>
                <w:color w:val="auto"/>
                <w:kern w:val="0"/>
                <w:highlight w:val="none"/>
                <w:lang w:val="zh-CN" w:bidi="ar"/>
              </w:rPr>
              <w:t>3、2、1、0】。</w:t>
            </w:r>
          </w:p>
          <w:p w14:paraId="160DD83A">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en-US" w:eastAsia="zh-CN" w:bidi="ar"/>
              </w:rPr>
            </w:pPr>
            <w:r>
              <w:rPr>
                <w:rFonts w:hint="eastAsia" w:ascii="宋体" w:hAnsi="宋体" w:eastAsia="宋体" w:cs="宋体"/>
                <w:color w:val="auto"/>
                <w:szCs w:val="21"/>
                <w:highlight w:val="none"/>
                <w:lang w:val="en-US" w:eastAsia="zh-CN"/>
              </w:rPr>
              <w:t>注：未提供</w:t>
            </w:r>
            <w:r>
              <w:rPr>
                <w:rFonts w:hint="eastAsia" w:ascii="宋体" w:hAnsi="宋体" w:eastAsia="宋体" w:cs="宋体"/>
                <w:color w:val="auto"/>
                <w:szCs w:val="21"/>
                <w:highlight w:val="none"/>
              </w:rPr>
              <w:t>不得分</w:t>
            </w:r>
            <w:r>
              <w:rPr>
                <w:rFonts w:hint="eastAsia" w:ascii="宋体" w:hAnsi="宋体" w:eastAsia="宋体" w:cs="宋体"/>
                <w:color w:val="auto"/>
                <w:szCs w:val="21"/>
                <w:highlight w:val="none"/>
                <w:lang w:bidi="ar"/>
              </w:rPr>
              <w:t>。</w:t>
            </w:r>
          </w:p>
        </w:tc>
        <w:tc>
          <w:tcPr>
            <w:tcW w:w="1150" w:type="dxa"/>
            <w:shd w:val="clear" w:color="auto" w:fill="auto"/>
            <w:noWrap w:val="0"/>
            <w:vAlign w:val="center"/>
          </w:tcPr>
          <w:p w14:paraId="4FD5B31A">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bidi="ar"/>
              </w:rPr>
              <w:t>0-</w:t>
            </w:r>
            <w:r>
              <w:rPr>
                <w:rFonts w:hint="eastAsia" w:ascii="宋体" w:hAnsi="宋体" w:eastAsia="宋体" w:cs="宋体"/>
                <w:color w:val="auto"/>
                <w:kern w:val="0"/>
                <w:highlight w:val="none"/>
                <w:lang w:val="en-US" w:eastAsia="zh-CN" w:bidi="ar"/>
              </w:rPr>
              <w:t>5</w:t>
            </w:r>
            <w:r>
              <w:rPr>
                <w:rFonts w:hint="eastAsia" w:ascii="宋体" w:hAnsi="宋体" w:eastAsia="宋体" w:cs="宋体"/>
                <w:color w:val="auto"/>
                <w:kern w:val="0"/>
                <w:highlight w:val="none"/>
                <w:lang w:bidi="ar"/>
              </w:rPr>
              <w:t>分</w:t>
            </w:r>
          </w:p>
        </w:tc>
      </w:tr>
      <w:tr w14:paraId="7525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86" w:type="dxa"/>
            <w:vMerge w:val="continue"/>
            <w:shd w:val="clear" w:color="auto" w:fill="auto"/>
            <w:noWrap w:val="0"/>
            <w:vAlign w:val="center"/>
          </w:tcPr>
          <w:p w14:paraId="3F252D4B">
            <w:pPr>
              <w:keepNext w:val="0"/>
              <w:keepLines w:val="0"/>
              <w:widowControl/>
              <w:suppressLineNumbers w:val="0"/>
              <w:shd w:val="clear"/>
              <w:spacing w:before="0" w:beforeAutospacing="0" w:after="0" w:afterAutospacing="0" w:line="240" w:lineRule="auto"/>
              <w:ind w:left="0" w:leftChars="0" w:right="119" w:rightChars="0" w:firstLine="0" w:firstLineChars="0"/>
              <w:jc w:val="center"/>
              <w:rPr>
                <w:rFonts w:hint="eastAsia" w:ascii="宋体" w:hAnsi="宋体" w:eastAsia="宋体" w:cs="宋体"/>
                <w:color w:val="auto"/>
                <w:kern w:val="2"/>
                <w:sz w:val="24"/>
                <w:szCs w:val="24"/>
                <w:highlight w:val="none"/>
                <w:lang w:val="en-US" w:eastAsia="zh-CN" w:bidi="ar-SA"/>
              </w:rPr>
            </w:pPr>
          </w:p>
        </w:tc>
        <w:tc>
          <w:tcPr>
            <w:tcW w:w="1661" w:type="dxa"/>
            <w:vMerge w:val="continue"/>
            <w:shd w:val="clear" w:color="auto" w:fill="auto"/>
            <w:noWrap w:val="0"/>
            <w:vAlign w:val="center"/>
          </w:tcPr>
          <w:p w14:paraId="34BA5983">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en-US" w:bidi="ar"/>
              </w:rPr>
            </w:pPr>
          </w:p>
        </w:tc>
        <w:tc>
          <w:tcPr>
            <w:tcW w:w="7033" w:type="dxa"/>
            <w:shd w:val="clear" w:color="auto" w:fill="auto"/>
            <w:noWrap w:val="0"/>
            <w:vAlign w:val="top"/>
          </w:tcPr>
          <w:p w14:paraId="7A4B8E10">
            <w:pPr>
              <w:keepNext/>
              <w:keepLines/>
              <w:pageBreakBefore w:val="0"/>
              <w:shd w:val="clear"/>
              <w:kinsoku w:val="0"/>
              <w:wordWrap/>
              <w:overflowPunct w:val="0"/>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highlight w:val="none"/>
                <w:lang w:val="zh-CN" w:bidi="ar"/>
              </w:rPr>
            </w:pPr>
            <w:r>
              <w:rPr>
                <w:rFonts w:hint="eastAsia" w:ascii="宋体" w:hAnsi="宋体" w:eastAsia="宋体" w:cs="宋体"/>
                <w:color w:val="auto"/>
                <w:kern w:val="0"/>
                <w:highlight w:val="none"/>
                <w:lang w:val="zh-CN" w:bidi="ar"/>
              </w:rPr>
              <w:t>根据投标人对项目</w:t>
            </w:r>
            <w:r>
              <w:rPr>
                <w:rFonts w:hint="eastAsia" w:ascii="宋体" w:hAnsi="宋体" w:eastAsia="宋体" w:cs="宋体"/>
                <w:color w:val="auto"/>
                <w:sz w:val="24"/>
                <w:highlight w:val="none"/>
              </w:rPr>
              <w:t>质量控制目标是否清晰，控制手段和措施是否科学、可靠</w:t>
            </w:r>
            <w:r>
              <w:rPr>
                <w:rFonts w:hint="eastAsia" w:ascii="宋体" w:hAnsi="宋体" w:eastAsia="宋体" w:cs="宋体"/>
                <w:color w:val="auto"/>
                <w:sz w:val="24"/>
                <w:highlight w:val="none"/>
                <w:lang w:val="en-US" w:eastAsia="zh-CN"/>
              </w:rPr>
              <w:t>性等</w:t>
            </w:r>
            <w:r>
              <w:rPr>
                <w:rFonts w:hint="eastAsia" w:ascii="宋体" w:hAnsi="宋体" w:eastAsia="宋体" w:cs="宋体"/>
                <w:color w:val="auto"/>
                <w:kern w:val="0"/>
                <w:highlight w:val="none"/>
                <w:lang w:val="en-US" w:eastAsia="zh-CN" w:bidi="ar"/>
              </w:rPr>
              <w:t>进行综合打分</w:t>
            </w:r>
            <w:r>
              <w:rPr>
                <w:rFonts w:hint="eastAsia" w:ascii="宋体" w:hAnsi="宋体" w:eastAsia="宋体" w:cs="宋体"/>
                <w:color w:val="auto"/>
                <w:kern w:val="0"/>
                <w:highlight w:val="none"/>
                <w:lang w:val="zh-CN" w:bidi="ar"/>
              </w:rPr>
              <w:t>【</w:t>
            </w:r>
            <w:r>
              <w:rPr>
                <w:rFonts w:hint="eastAsia" w:ascii="宋体" w:hAnsi="宋体" w:eastAsia="宋体" w:cs="宋体"/>
                <w:color w:val="auto"/>
                <w:kern w:val="0"/>
                <w:highlight w:val="none"/>
                <w:lang w:val="en-US" w:eastAsia="zh-CN" w:bidi="ar"/>
              </w:rPr>
              <w:t>满分5分，</w:t>
            </w:r>
            <w:r>
              <w:rPr>
                <w:rFonts w:hint="eastAsia" w:ascii="宋体" w:hAnsi="宋体" w:eastAsia="宋体" w:cs="宋体"/>
                <w:color w:val="auto"/>
                <w:kern w:val="0"/>
                <w:highlight w:val="none"/>
                <w:lang w:val="zh-CN" w:bidi="ar"/>
              </w:rPr>
              <w:t>打分分值范围：</w:t>
            </w:r>
            <w:r>
              <w:rPr>
                <w:rFonts w:hint="eastAsia" w:ascii="宋体" w:hAnsi="宋体" w:eastAsia="宋体" w:cs="宋体"/>
                <w:color w:val="auto"/>
                <w:kern w:val="0"/>
                <w:highlight w:val="none"/>
                <w:lang w:val="en-US" w:eastAsia="zh-CN" w:bidi="ar"/>
              </w:rPr>
              <w:t>5、4、</w:t>
            </w:r>
            <w:r>
              <w:rPr>
                <w:rFonts w:hint="eastAsia" w:ascii="宋体" w:hAnsi="宋体" w:eastAsia="宋体" w:cs="宋体"/>
                <w:color w:val="auto"/>
                <w:kern w:val="0"/>
                <w:highlight w:val="none"/>
                <w:lang w:val="zh-CN" w:bidi="ar"/>
              </w:rPr>
              <w:t>3、2、1、0】。</w:t>
            </w:r>
          </w:p>
          <w:p w14:paraId="4777CC5B">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en-US" w:bidi="ar"/>
              </w:rPr>
            </w:pPr>
            <w:r>
              <w:rPr>
                <w:rFonts w:hint="eastAsia" w:ascii="宋体" w:hAnsi="宋体" w:eastAsia="宋体" w:cs="宋体"/>
                <w:color w:val="auto"/>
                <w:szCs w:val="21"/>
                <w:highlight w:val="none"/>
                <w:lang w:val="en-US" w:eastAsia="zh-CN"/>
              </w:rPr>
              <w:t>注：未提供</w:t>
            </w:r>
            <w:r>
              <w:rPr>
                <w:rFonts w:hint="eastAsia" w:ascii="宋体" w:hAnsi="宋体" w:eastAsia="宋体" w:cs="宋体"/>
                <w:color w:val="auto"/>
                <w:szCs w:val="21"/>
                <w:highlight w:val="none"/>
              </w:rPr>
              <w:t>不得分</w:t>
            </w:r>
            <w:r>
              <w:rPr>
                <w:rFonts w:hint="eastAsia" w:ascii="宋体" w:hAnsi="宋体" w:eastAsia="宋体" w:cs="宋体"/>
                <w:color w:val="auto"/>
                <w:szCs w:val="21"/>
                <w:highlight w:val="none"/>
                <w:lang w:bidi="ar"/>
              </w:rPr>
              <w:t>。</w:t>
            </w:r>
          </w:p>
        </w:tc>
        <w:tc>
          <w:tcPr>
            <w:tcW w:w="1150" w:type="dxa"/>
            <w:shd w:val="clear" w:color="auto" w:fill="auto"/>
            <w:noWrap w:val="0"/>
            <w:vAlign w:val="center"/>
          </w:tcPr>
          <w:p w14:paraId="7F8C6C65">
            <w:pPr>
              <w:keepNext w:val="0"/>
              <w:keepLines w:val="0"/>
              <w:widowControl/>
              <w:suppressLineNumbers w:val="0"/>
              <w:shd w:val="clear"/>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0-</w:t>
            </w:r>
            <w:r>
              <w:rPr>
                <w:rFonts w:hint="eastAsia" w:ascii="宋体" w:hAnsi="宋体" w:eastAsia="宋体" w:cs="宋体"/>
                <w:color w:val="auto"/>
                <w:kern w:val="0"/>
                <w:highlight w:val="none"/>
                <w:lang w:val="en-US" w:eastAsia="zh-CN" w:bidi="ar"/>
              </w:rPr>
              <w:t>5</w:t>
            </w:r>
            <w:r>
              <w:rPr>
                <w:rFonts w:hint="eastAsia" w:ascii="宋体" w:hAnsi="宋体" w:eastAsia="宋体" w:cs="宋体"/>
                <w:color w:val="auto"/>
                <w:kern w:val="0"/>
                <w:highlight w:val="none"/>
                <w:lang w:bidi="ar"/>
              </w:rPr>
              <w:t>分</w:t>
            </w:r>
          </w:p>
        </w:tc>
      </w:tr>
      <w:tr w14:paraId="71AE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86" w:type="dxa"/>
            <w:vMerge w:val="continue"/>
            <w:shd w:val="clear" w:color="auto" w:fill="auto"/>
            <w:noWrap w:val="0"/>
            <w:vAlign w:val="center"/>
          </w:tcPr>
          <w:p w14:paraId="61FBEAEA">
            <w:pPr>
              <w:keepNext w:val="0"/>
              <w:keepLines w:val="0"/>
              <w:widowControl/>
              <w:suppressLineNumbers w:val="0"/>
              <w:shd w:val="clear"/>
              <w:spacing w:before="0" w:beforeAutospacing="0" w:after="0" w:afterAutospacing="0" w:line="240" w:lineRule="auto"/>
              <w:ind w:left="0" w:leftChars="0" w:right="119" w:rightChars="0" w:firstLine="0" w:firstLineChars="0"/>
              <w:jc w:val="center"/>
              <w:rPr>
                <w:rFonts w:hint="eastAsia" w:ascii="宋体" w:hAnsi="宋体" w:eastAsia="宋体" w:cs="宋体"/>
                <w:color w:val="auto"/>
                <w:kern w:val="2"/>
                <w:sz w:val="24"/>
                <w:szCs w:val="24"/>
                <w:highlight w:val="none"/>
                <w:lang w:val="en-US" w:eastAsia="zh-CN" w:bidi="ar-SA"/>
              </w:rPr>
            </w:pPr>
          </w:p>
        </w:tc>
        <w:tc>
          <w:tcPr>
            <w:tcW w:w="1661" w:type="dxa"/>
            <w:vMerge w:val="continue"/>
            <w:shd w:val="clear" w:color="auto" w:fill="auto"/>
            <w:noWrap w:val="0"/>
            <w:vAlign w:val="center"/>
          </w:tcPr>
          <w:p w14:paraId="49652A8E">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en-US" w:bidi="ar"/>
              </w:rPr>
            </w:pPr>
          </w:p>
        </w:tc>
        <w:tc>
          <w:tcPr>
            <w:tcW w:w="7033" w:type="dxa"/>
            <w:shd w:val="clear" w:color="auto" w:fill="auto"/>
            <w:noWrap w:val="0"/>
            <w:vAlign w:val="top"/>
          </w:tcPr>
          <w:p w14:paraId="4F7D9420">
            <w:pPr>
              <w:keepNext/>
              <w:keepLines/>
              <w:pageBreakBefore w:val="0"/>
              <w:shd w:val="clear"/>
              <w:kinsoku w:val="0"/>
              <w:wordWrap/>
              <w:overflowPunct w:val="0"/>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highlight w:val="none"/>
                <w:lang w:val="zh-CN" w:bidi="ar"/>
              </w:rPr>
            </w:pPr>
            <w:r>
              <w:rPr>
                <w:rFonts w:hint="eastAsia" w:ascii="宋体" w:hAnsi="宋体" w:eastAsia="宋体" w:cs="宋体"/>
                <w:color w:val="auto"/>
                <w:kern w:val="0"/>
                <w:highlight w:val="none"/>
                <w:lang w:val="zh-CN" w:bidi="ar"/>
              </w:rPr>
              <w:t>根据投标人对项目</w:t>
            </w:r>
            <w:r>
              <w:rPr>
                <w:rFonts w:hint="eastAsia" w:ascii="宋体" w:hAnsi="宋体" w:eastAsia="宋体" w:cs="宋体"/>
                <w:color w:val="auto"/>
                <w:sz w:val="24"/>
                <w:highlight w:val="none"/>
              </w:rPr>
              <w:t>进度控制目标是否清晰，控制手段和措施是否科学、合理</w:t>
            </w:r>
            <w:r>
              <w:rPr>
                <w:rFonts w:hint="eastAsia" w:ascii="宋体" w:hAnsi="宋体" w:eastAsia="宋体" w:cs="宋体"/>
                <w:color w:val="auto"/>
                <w:sz w:val="24"/>
                <w:highlight w:val="none"/>
                <w:lang w:val="en-US" w:eastAsia="zh-CN"/>
              </w:rPr>
              <w:t>性等</w:t>
            </w:r>
            <w:r>
              <w:rPr>
                <w:rFonts w:hint="eastAsia" w:ascii="宋体" w:hAnsi="宋体" w:eastAsia="宋体" w:cs="宋体"/>
                <w:color w:val="auto"/>
                <w:kern w:val="0"/>
                <w:highlight w:val="none"/>
                <w:lang w:val="en-US" w:eastAsia="zh-CN" w:bidi="ar"/>
              </w:rPr>
              <w:t>进行综合打分</w:t>
            </w:r>
            <w:r>
              <w:rPr>
                <w:rFonts w:hint="eastAsia" w:ascii="宋体" w:hAnsi="宋体" w:eastAsia="宋体" w:cs="宋体"/>
                <w:color w:val="auto"/>
                <w:kern w:val="0"/>
                <w:highlight w:val="none"/>
                <w:lang w:val="zh-CN" w:bidi="ar"/>
              </w:rPr>
              <w:t>【</w:t>
            </w:r>
            <w:r>
              <w:rPr>
                <w:rFonts w:hint="eastAsia" w:ascii="宋体" w:hAnsi="宋体" w:eastAsia="宋体" w:cs="宋体"/>
                <w:color w:val="auto"/>
                <w:kern w:val="0"/>
                <w:highlight w:val="none"/>
                <w:lang w:val="en-US" w:eastAsia="zh-CN" w:bidi="ar"/>
              </w:rPr>
              <w:t>满分5分，</w:t>
            </w:r>
            <w:r>
              <w:rPr>
                <w:rFonts w:hint="eastAsia" w:ascii="宋体" w:hAnsi="宋体" w:eastAsia="宋体" w:cs="宋体"/>
                <w:color w:val="auto"/>
                <w:kern w:val="0"/>
                <w:highlight w:val="none"/>
                <w:lang w:val="zh-CN" w:bidi="ar"/>
              </w:rPr>
              <w:t>打分分值范围：</w:t>
            </w:r>
            <w:r>
              <w:rPr>
                <w:rFonts w:hint="eastAsia" w:ascii="宋体" w:hAnsi="宋体" w:eastAsia="宋体" w:cs="宋体"/>
                <w:color w:val="auto"/>
                <w:kern w:val="0"/>
                <w:highlight w:val="none"/>
                <w:lang w:val="en-US" w:eastAsia="zh-CN" w:bidi="ar"/>
              </w:rPr>
              <w:t>5、4、</w:t>
            </w:r>
            <w:r>
              <w:rPr>
                <w:rFonts w:hint="eastAsia" w:ascii="宋体" w:hAnsi="宋体" w:eastAsia="宋体" w:cs="宋体"/>
                <w:color w:val="auto"/>
                <w:kern w:val="0"/>
                <w:highlight w:val="none"/>
                <w:lang w:val="zh-CN" w:bidi="ar"/>
              </w:rPr>
              <w:t>3、2、1、0】。</w:t>
            </w:r>
          </w:p>
          <w:p w14:paraId="730FD6A7">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zh-CN" w:bidi="ar"/>
              </w:rPr>
            </w:pPr>
            <w:r>
              <w:rPr>
                <w:rFonts w:hint="eastAsia" w:ascii="宋体" w:hAnsi="宋体" w:eastAsia="宋体" w:cs="宋体"/>
                <w:color w:val="auto"/>
                <w:szCs w:val="21"/>
                <w:highlight w:val="none"/>
                <w:lang w:val="en-US" w:eastAsia="zh-CN"/>
              </w:rPr>
              <w:t>注：未提供</w:t>
            </w:r>
            <w:r>
              <w:rPr>
                <w:rFonts w:hint="eastAsia" w:ascii="宋体" w:hAnsi="宋体" w:eastAsia="宋体" w:cs="宋体"/>
                <w:color w:val="auto"/>
                <w:szCs w:val="21"/>
                <w:highlight w:val="none"/>
              </w:rPr>
              <w:t>不得分</w:t>
            </w:r>
            <w:r>
              <w:rPr>
                <w:rFonts w:hint="eastAsia" w:ascii="宋体" w:hAnsi="宋体" w:eastAsia="宋体" w:cs="宋体"/>
                <w:color w:val="auto"/>
                <w:szCs w:val="21"/>
                <w:highlight w:val="none"/>
                <w:lang w:bidi="ar"/>
              </w:rPr>
              <w:t>。</w:t>
            </w:r>
          </w:p>
        </w:tc>
        <w:tc>
          <w:tcPr>
            <w:tcW w:w="1150" w:type="dxa"/>
            <w:shd w:val="clear" w:color="auto" w:fill="auto"/>
            <w:noWrap w:val="0"/>
            <w:vAlign w:val="center"/>
          </w:tcPr>
          <w:p w14:paraId="569C0FEA">
            <w:pPr>
              <w:keepNext w:val="0"/>
              <w:keepLines w:val="0"/>
              <w:widowControl/>
              <w:suppressLineNumbers w:val="0"/>
              <w:shd w:val="clear"/>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0-</w:t>
            </w:r>
            <w:r>
              <w:rPr>
                <w:rFonts w:hint="eastAsia" w:ascii="宋体" w:hAnsi="宋体" w:eastAsia="宋体" w:cs="宋体"/>
                <w:color w:val="auto"/>
                <w:kern w:val="0"/>
                <w:highlight w:val="none"/>
                <w:lang w:val="en-US" w:eastAsia="zh-CN" w:bidi="ar"/>
              </w:rPr>
              <w:t>5</w:t>
            </w:r>
            <w:r>
              <w:rPr>
                <w:rFonts w:hint="eastAsia" w:ascii="宋体" w:hAnsi="宋体" w:eastAsia="宋体" w:cs="宋体"/>
                <w:color w:val="auto"/>
                <w:kern w:val="0"/>
                <w:highlight w:val="none"/>
                <w:lang w:bidi="ar"/>
              </w:rPr>
              <w:t>分</w:t>
            </w:r>
          </w:p>
        </w:tc>
      </w:tr>
      <w:tr w14:paraId="5191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86" w:type="dxa"/>
            <w:vMerge w:val="continue"/>
            <w:shd w:val="clear" w:color="auto" w:fill="auto"/>
            <w:noWrap w:val="0"/>
            <w:vAlign w:val="center"/>
          </w:tcPr>
          <w:p w14:paraId="70A582D8">
            <w:pPr>
              <w:keepNext w:val="0"/>
              <w:keepLines w:val="0"/>
              <w:widowControl/>
              <w:suppressLineNumbers w:val="0"/>
              <w:shd w:val="clear"/>
              <w:spacing w:before="0" w:beforeAutospacing="0" w:after="0" w:afterAutospacing="0" w:line="240" w:lineRule="auto"/>
              <w:ind w:left="0" w:leftChars="0" w:right="119" w:rightChars="0" w:firstLine="0" w:firstLineChars="0"/>
              <w:jc w:val="center"/>
              <w:rPr>
                <w:rFonts w:hint="eastAsia" w:ascii="宋体" w:hAnsi="宋体" w:eastAsia="宋体" w:cs="宋体"/>
                <w:color w:val="auto"/>
                <w:kern w:val="2"/>
                <w:sz w:val="24"/>
                <w:szCs w:val="24"/>
                <w:highlight w:val="none"/>
                <w:lang w:val="en-US" w:eastAsia="zh-CN" w:bidi="ar-SA"/>
              </w:rPr>
            </w:pPr>
          </w:p>
        </w:tc>
        <w:tc>
          <w:tcPr>
            <w:tcW w:w="1661" w:type="dxa"/>
            <w:vMerge w:val="continue"/>
            <w:shd w:val="clear" w:color="auto" w:fill="auto"/>
            <w:noWrap w:val="0"/>
            <w:vAlign w:val="center"/>
          </w:tcPr>
          <w:p w14:paraId="5D8586A8">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en-US" w:bidi="ar"/>
              </w:rPr>
            </w:pPr>
          </w:p>
        </w:tc>
        <w:tc>
          <w:tcPr>
            <w:tcW w:w="7033" w:type="dxa"/>
            <w:shd w:val="clear" w:color="auto" w:fill="auto"/>
            <w:noWrap w:val="0"/>
            <w:vAlign w:val="top"/>
          </w:tcPr>
          <w:p w14:paraId="71954B77">
            <w:pPr>
              <w:keepNext/>
              <w:keepLines/>
              <w:pageBreakBefore w:val="0"/>
              <w:shd w:val="clear"/>
              <w:kinsoku w:val="0"/>
              <w:wordWrap/>
              <w:overflowPunct w:val="0"/>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highlight w:val="none"/>
                <w:lang w:val="zh-CN" w:bidi="ar"/>
              </w:rPr>
            </w:pPr>
            <w:r>
              <w:rPr>
                <w:rFonts w:hint="eastAsia" w:ascii="宋体" w:hAnsi="宋体" w:eastAsia="宋体" w:cs="宋体"/>
                <w:color w:val="auto"/>
                <w:kern w:val="0"/>
                <w:highlight w:val="none"/>
                <w:lang w:val="zh-CN" w:bidi="ar"/>
              </w:rPr>
              <w:t>根据投标人对项目</w:t>
            </w:r>
            <w:r>
              <w:rPr>
                <w:rFonts w:hint="eastAsia" w:ascii="宋体" w:hAnsi="宋体" w:eastAsia="宋体" w:cs="宋体"/>
                <w:color w:val="auto"/>
                <w:sz w:val="24"/>
                <w:highlight w:val="none"/>
              </w:rPr>
              <w:t>投资控制目标是否清晰，控制手段和措施是否科学、合理</w:t>
            </w:r>
            <w:r>
              <w:rPr>
                <w:rFonts w:hint="eastAsia" w:ascii="宋体" w:hAnsi="宋体" w:eastAsia="宋体" w:cs="宋体"/>
                <w:color w:val="auto"/>
                <w:sz w:val="24"/>
                <w:highlight w:val="none"/>
                <w:lang w:val="en-US" w:eastAsia="zh-CN"/>
              </w:rPr>
              <w:t>性等</w:t>
            </w:r>
            <w:r>
              <w:rPr>
                <w:rFonts w:hint="eastAsia" w:ascii="宋体" w:hAnsi="宋体" w:eastAsia="宋体" w:cs="宋体"/>
                <w:color w:val="auto"/>
                <w:kern w:val="0"/>
                <w:highlight w:val="none"/>
                <w:lang w:val="en-US" w:eastAsia="zh-CN" w:bidi="ar"/>
              </w:rPr>
              <w:t>进行综合打分</w:t>
            </w:r>
            <w:r>
              <w:rPr>
                <w:rFonts w:hint="eastAsia" w:ascii="宋体" w:hAnsi="宋体" w:eastAsia="宋体" w:cs="宋体"/>
                <w:color w:val="auto"/>
                <w:kern w:val="0"/>
                <w:highlight w:val="none"/>
                <w:lang w:val="zh-CN" w:bidi="ar"/>
              </w:rPr>
              <w:t>【</w:t>
            </w:r>
            <w:r>
              <w:rPr>
                <w:rFonts w:hint="eastAsia" w:ascii="宋体" w:hAnsi="宋体" w:eastAsia="宋体" w:cs="宋体"/>
                <w:color w:val="auto"/>
                <w:kern w:val="0"/>
                <w:highlight w:val="none"/>
                <w:lang w:val="en-US" w:eastAsia="zh-CN" w:bidi="ar"/>
              </w:rPr>
              <w:t>满分5分，</w:t>
            </w:r>
            <w:r>
              <w:rPr>
                <w:rFonts w:hint="eastAsia" w:ascii="宋体" w:hAnsi="宋体" w:eastAsia="宋体" w:cs="宋体"/>
                <w:color w:val="auto"/>
                <w:kern w:val="0"/>
                <w:highlight w:val="none"/>
                <w:lang w:val="zh-CN" w:bidi="ar"/>
              </w:rPr>
              <w:t>打分分值范围：</w:t>
            </w:r>
            <w:r>
              <w:rPr>
                <w:rFonts w:hint="eastAsia" w:ascii="宋体" w:hAnsi="宋体" w:eastAsia="宋体" w:cs="宋体"/>
                <w:color w:val="auto"/>
                <w:kern w:val="0"/>
                <w:highlight w:val="none"/>
                <w:lang w:val="en-US" w:eastAsia="zh-CN" w:bidi="ar"/>
              </w:rPr>
              <w:t>5、4、</w:t>
            </w:r>
            <w:r>
              <w:rPr>
                <w:rFonts w:hint="eastAsia" w:ascii="宋体" w:hAnsi="宋体" w:eastAsia="宋体" w:cs="宋体"/>
                <w:color w:val="auto"/>
                <w:kern w:val="0"/>
                <w:highlight w:val="none"/>
                <w:lang w:val="zh-CN" w:bidi="ar"/>
              </w:rPr>
              <w:t>3、2、1、0】。</w:t>
            </w:r>
          </w:p>
          <w:p w14:paraId="5DFF34CE">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zh-CN" w:bidi="ar"/>
              </w:rPr>
            </w:pPr>
            <w:r>
              <w:rPr>
                <w:rFonts w:hint="eastAsia" w:ascii="宋体" w:hAnsi="宋体" w:eastAsia="宋体" w:cs="宋体"/>
                <w:color w:val="auto"/>
                <w:szCs w:val="21"/>
                <w:highlight w:val="none"/>
                <w:lang w:val="en-US" w:eastAsia="zh-CN"/>
              </w:rPr>
              <w:t>注：未提供</w:t>
            </w:r>
            <w:r>
              <w:rPr>
                <w:rFonts w:hint="eastAsia" w:ascii="宋体" w:hAnsi="宋体" w:eastAsia="宋体" w:cs="宋体"/>
                <w:color w:val="auto"/>
                <w:szCs w:val="21"/>
                <w:highlight w:val="none"/>
              </w:rPr>
              <w:t>不得分</w:t>
            </w:r>
            <w:r>
              <w:rPr>
                <w:rFonts w:hint="eastAsia" w:ascii="宋体" w:hAnsi="宋体" w:eastAsia="宋体" w:cs="宋体"/>
                <w:color w:val="auto"/>
                <w:szCs w:val="21"/>
                <w:highlight w:val="none"/>
                <w:lang w:bidi="ar"/>
              </w:rPr>
              <w:t>。</w:t>
            </w:r>
          </w:p>
        </w:tc>
        <w:tc>
          <w:tcPr>
            <w:tcW w:w="1150" w:type="dxa"/>
            <w:shd w:val="clear" w:color="auto" w:fill="auto"/>
            <w:noWrap w:val="0"/>
            <w:vAlign w:val="center"/>
          </w:tcPr>
          <w:p w14:paraId="28F9E6DA">
            <w:pPr>
              <w:keepNext w:val="0"/>
              <w:keepLines w:val="0"/>
              <w:widowControl/>
              <w:suppressLineNumbers w:val="0"/>
              <w:shd w:val="clear"/>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0-</w:t>
            </w:r>
            <w:r>
              <w:rPr>
                <w:rFonts w:hint="eastAsia" w:ascii="宋体" w:hAnsi="宋体" w:eastAsia="宋体" w:cs="宋体"/>
                <w:color w:val="auto"/>
                <w:kern w:val="0"/>
                <w:highlight w:val="none"/>
                <w:lang w:val="en-US" w:eastAsia="zh-CN" w:bidi="ar"/>
              </w:rPr>
              <w:t>5</w:t>
            </w:r>
            <w:r>
              <w:rPr>
                <w:rFonts w:hint="eastAsia" w:ascii="宋体" w:hAnsi="宋体" w:eastAsia="宋体" w:cs="宋体"/>
                <w:color w:val="auto"/>
                <w:kern w:val="0"/>
                <w:highlight w:val="none"/>
                <w:lang w:bidi="ar"/>
              </w:rPr>
              <w:t>分</w:t>
            </w:r>
          </w:p>
        </w:tc>
      </w:tr>
      <w:tr w14:paraId="739A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86" w:type="dxa"/>
            <w:vMerge w:val="continue"/>
            <w:shd w:val="clear" w:color="auto" w:fill="auto"/>
            <w:noWrap w:val="0"/>
            <w:vAlign w:val="center"/>
          </w:tcPr>
          <w:p w14:paraId="18A52987">
            <w:pPr>
              <w:keepNext w:val="0"/>
              <w:keepLines w:val="0"/>
              <w:widowControl/>
              <w:suppressLineNumbers w:val="0"/>
              <w:shd w:val="clear"/>
              <w:spacing w:before="0" w:beforeAutospacing="0" w:after="0" w:afterAutospacing="0" w:line="240" w:lineRule="auto"/>
              <w:ind w:left="0" w:leftChars="0" w:right="119" w:rightChars="0" w:firstLine="0" w:firstLineChars="0"/>
              <w:jc w:val="center"/>
              <w:rPr>
                <w:rFonts w:hint="eastAsia" w:ascii="宋体" w:hAnsi="宋体" w:eastAsia="宋体" w:cs="宋体"/>
                <w:color w:val="auto"/>
                <w:kern w:val="2"/>
                <w:sz w:val="24"/>
                <w:szCs w:val="24"/>
                <w:highlight w:val="none"/>
                <w:lang w:val="en-US" w:eastAsia="zh-CN" w:bidi="ar-SA"/>
              </w:rPr>
            </w:pPr>
          </w:p>
          <w:p w14:paraId="2FA24FE3">
            <w:pPr>
              <w:keepNext w:val="0"/>
              <w:keepLines w:val="0"/>
              <w:widowControl/>
              <w:suppressLineNumbers w:val="0"/>
              <w:shd w:val="clear"/>
              <w:spacing w:before="0" w:beforeAutospacing="0" w:after="0" w:afterAutospacing="0" w:line="240" w:lineRule="auto"/>
              <w:ind w:left="0" w:leftChars="0" w:right="119" w:rightChars="0" w:firstLine="0" w:firstLineChars="0"/>
              <w:jc w:val="center"/>
              <w:rPr>
                <w:rFonts w:hint="eastAsia" w:ascii="宋体" w:hAnsi="宋体" w:eastAsia="宋体" w:cs="宋体"/>
                <w:color w:val="auto"/>
                <w:kern w:val="2"/>
                <w:sz w:val="24"/>
                <w:szCs w:val="24"/>
                <w:highlight w:val="none"/>
                <w:lang w:val="en-US" w:eastAsia="zh-CN" w:bidi="ar-SA"/>
              </w:rPr>
            </w:pPr>
          </w:p>
        </w:tc>
        <w:tc>
          <w:tcPr>
            <w:tcW w:w="1661" w:type="dxa"/>
            <w:vMerge w:val="continue"/>
            <w:shd w:val="clear" w:color="auto" w:fill="auto"/>
            <w:noWrap w:val="0"/>
            <w:vAlign w:val="center"/>
          </w:tcPr>
          <w:p w14:paraId="15854A9E">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en-US" w:bidi="ar"/>
              </w:rPr>
            </w:pPr>
          </w:p>
        </w:tc>
        <w:tc>
          <w:tcPr>
            <w:tcW w:w="7033" w:type="dxa"/>
            <w:shd w:val="clear" w:color="auto" w:fill="auto"/>
            <w:noWrap w:val="0"/>
            <w:vAlign w:val="top"/>
          </w:tcPr>
          <w:p w14:paraId="79643FF2">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zh-CN" w:bidi="ar"/>
              </w:rPr>
            </w:pPr>
            <w:r>
              <w:rPr>
                <w:rFonts w:hint="eastAsia" w:ascii="宋体" w:hAnsi="宋体" w:eastAsia="宋体" w:cs="宋体"/>
                <w:color w:val="auto"/>
                <w:kern w:val="0"/>
                <w:highlight w:val="none"/>
                <w:lang w:val="zh-CN" w:bidi="ar"/>
              </w:rPr>
              <w:t>根据投标人对项目</w:t>
            </w:r>
            <w:r>
              <w:rPr>
                <w:rFonts w:hint="eastAsia" w:ascii="宋体" w:hAnsi="宋体" w:eastAsia="宋体" w:cs="宋体"/>
                <w:color w:val="auto"/>
                <w:sz w:val="24"/>
                <w:highlight w:val="none"/>
              </w:rPr>
              <w:t>安全、文明控制目标是否清晰，控制手段和措施是否科学、可靠进行评分。</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满分5分，</w:t>
            </w:r>
            <w:r>
              <w:rPr>
                <w:rFonts w:hint="eastAsia" w:ascii="宋体" w:hAnsi="宋体" w:eastAsia="宋体" w:cs="宋体"/>
                <w:color w:val="auto"/>
                <w:highlight w:val="none"/>
              </w:rPr>
              <w:t>打分分值范围：</w:t>
            </w:r>
            <w:r>
              <w:rPr>
                <w:rFonts w:hint="eastAsia" w:ascii="宋体" w:hAnsi="宋体" w:eastAsia="宋体" w:cs="宋体"/>
                <w:color w:val="auto"/>
                <w:highlight w:val="none"/>
                <w:lang w:val="en-US" w:eastAsia="zh-CN"/>
              </w:rPr>
              <w:t>5、4、</w:t>
            </w:r>
            <w:r>
              <w:rPr>
                <w:rFonts w:hint="eastAsia" w:ascii="宋体" w:hAnsi="宋体" w:eastAsia="宋体" w:cs="宋体"/>
                <w:color w:val="auto"/>
                <w:highlight w:val="none"/>
              </w:rPr>
              <w:t>3、2、1、0】</w:t>
            </w:r>
            <w:r>
              <w:rPr>
                <w:rFonts w:hint="eastAsia" w:ascii="宋体" w:hAnsi="宋体" w:eastAsia="宋体" w:cs="宋体"/>
                <w:color w:val="auto"/>
                <w:kern w:val="0"/>
                <w:highlight w:val="none"/>
                <w:lang w:val="zh-CN" w:bidi="ar"/>
              </w:rPr>
              <w:t>。</w:t>
            </w:r>
            <w:r>
              <w:rPr>
                <w:rFonts w:hint="eastAsia" w:ascii="宋体" w:hAnsi="宋体" w:eastAsia="宋体" w:cs="宋体"/>
                <w:color w:val="auto"/>
                <w:szCs w:val="21"/>
                <w:highlight w:val="none"/>
                <w:lang w:val="en-US" w:eastAsia="zh-CN"/>
              </w:rPr>
              <w:t>注：未提供</w:t>
            </w:r>
            <w:r>
              <w:rPr>
                <w:rFonts w:hint="eastAsia" w:ascii="宋体" w:hAnsi="宋体" w:eastAsia="宋体" w:cs="宋体"/>
                <w:color w:val="auto"/>
                <w:szCs w:val="21"/>
                <w:highlight w:val="none"/>
              </w:rPr>
              <w:t>不得分</w:t>
            </w:r>
          </w:p>
        </w:tc>
        <w:tc>
          <w:tcPr>
            <w:tcW w:w="1150" w:type="dxa"/>
            <w:shd w:val="clear" w:color="auto" w:fill="auto"/>
            <w:noWrap w:val="0"/>
            <w:vAlign w:val="center"/>
          </w:tcPr>
          <w:p w14:paraId="28C1030B">
            <w:pPr>
              <w:keepNext w:val="0"/>
              <w:keepLines w:val="0"/>
              <w:widowControl/>
              <w:suppressLineNumbers w:val="0"/>
              <w:shd w:val="clear"/>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0-</w:t>
            </w:r>
            <w:r>
              <w:rPr>
                <w:rFonts w:hint="eastAsia" w:ascii="宋体" w:hAnsi="宋体" w:eastAsia="宋体" w:cs="宋体"/>
                <w:color w:val="auto"/>
                <w:kern w:val="0"/>
                <w:highlight w:val="none"/>
                <w:lang w:val="en-US" w:eastAsia="zh-CN" w:bidi="ar"/>
              </w:rPr>
              <w:t>5</w:t>
            </w:r>
            <w:r>
              <w:rPr>
                <w:rFonts w:hint="eastAsia" w:ascii="宋体" w:hAnsi="宋体" w:eastAsia="宋体" w:cs="宋体"/>
                <w:color w:val="auto"/>
                <w:kern w:val="0"/>
                <w:highlight w:val="none"/>
                <w:lang w:bidi="ar"/>
              </w:rPr>
              <w:t>分</w:t>
            </w:r>
          </w:p>
        </w:tc>
      </w:tr>
      <w:tr w14:paraId="678E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6" w:type="dxa"/>
            <w:vMerge w:val="continue"/>
            <w:shd w:val="clear" w:color="auto" w:fill="auto"/>
            <w:noWrap w:val="0"/>
            <w:vAlign w:val="center"/>
          </w:tcPr>
          <w:p w14:paraId="7187CBF1">
            <w:pPr>
              <w:keepNext w:val="0"/>
              <w:keepLines w:val="0"/>
              <w:widowControl/>
              <w:suppressLineNumbers w:val="0"/>
              <w:shd w:val="clear"/>
              <w:spacing w:before="0" w:beforeAutospacing="0" w:after="0" w:afterAutospacing="0" w:line="240" w:lineRule="auto"/>
              <w:ind w:left="0" w:leftChars="0" w:right="119" w:rightChars="0" w:firstLine="0" w:firstLineChars="0"/>
              <w:jc w:val="center"/>
              <w:rPr>
                <w:rFonts w:hint="eastAsia" w:ascii="宋体" w:hAnsi="宋体" w:eastAsia="宋体" w:cs="宋体"/>
                <w:color w:val="auto"/>
                <w:kern w:val="2"/>
                <w:sz w:val="24"/>
                <w:szCs w:val="24"/>
                <w:highlight w:val="none"/>
                <w:lang w:val="en-US" w:eastAsia="zh-CN" w:bidi="ar-SA"/>
              </w:rPr>
            </w:pPr>
          </w:p>
        </w:tc>
        <w:tc>
          <w:tcPr>
            <w:tcW w:w="1661" w:type="dxa"/>
            <w:vMerge w:val="continue"/>
            <w:shd w:val="clear" w:color="auto" w:fill="auto"/>
            <w:noWrap w:val="0"/>
            <w:vAlign w:val="center"/>
          </w:tcPr>
          <w:p w14:paraId="631F48CB">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en-US" w:bidi="ar"/>
              </w:rPr>
            </w:pPr>
          </w:p>
        </w:tc>
        <w:tc>
          <w:tcPr>
            <w:tcW w:w="7033" w:type="dxa"/>
            <w:shd w:val="clear" w:color="auto" w:fill="auto"/>
            <w:noWrap w:val="0"/>
            <w:vAlign w:val="top"/>
          </w:tcPr>
          <w:p w14:paraId="5966C445">
            <w:pPr>
              <w:keepNext/>
              <w:keepLines/>
              <w:pageBreakBefore w:val="0"/>
              <w:shd w:val="clear"/>
              <w:kinsoku w:val="0"/>
              <w:wordWrap/>
              <w:overflowPunct w:val="0"/>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highlight w:val="none"/>
                <w:lang w:val="zh-CN" w:bidi="ar"/>
              </w:rPr>
            </w:pPr>
            <w:r>
              <w:rPr>
                <w:rFonts w:hint="eastAsia" w:ascii="宋体" w:hAnsi="宋体" w:eastAsia="宋体" w:cs="宋体"/>
                <w:color w:val="auto"/>
                <w:kern w:val="0"/>
                <w:highlight w:val="none"/>
                <w:lang w:val="en-US" w:eastAsia="zh-CN" w:bidi="ar"/>
              </w:rPr>
              <w:t>根据</w:t>
            </w:r>
            <w:r>
              <w:rPr>
                <w:rFonts w:hint="eastAsia" w:ascii="宋体" w:hAnsi="宋体" w:eastAsia="宋体" w:cs="宋体"/>
                <w:color w:val="auto"/>
                <w:kern w:val="0"/>
                <w:highlight w:val="none"/>
                <w:lang w:val="en-US" w:bidi="ar"/>
              </w:rPr>
              <w:t>投标人制定的二次污染防治工程、处理处置工程等关键工序监理方案</w:t>
            </w:r>
            <w:r>
              <w:rPr>
                <w:rFonts w:hint="eastAsia" w:ascii="宋体" w:hAnsi="宋体" w:eastAsia="宋体" w:cs="宋体"/>
                <w:color w:val="auto"/>
                <w:kern w:val="0"/>
                <w:highlight w:val="none"/>
                <w:lang w:val="en-US" w:eastAsia="zh-CN" w:bidi="ar"/>
              </w:rPr>
              <w:t>进行综合打分</w:t>
            </w:r>
            <w:r>
              <w:rPr>
                <w:rFonts w:hint="eastAsia" w:ascii="宋体" w:hAnsi="宋体" w:eastAsia="宋体" w:cs="宋体"/>
                <w:color w:val="auto"/>
                <w:kern w:val="0"/>
                <w:highlight w:val="none"/>
                <w:lang w:val="zh-CN" w:bidi="ar"/>
              </w:rPr>
              <w:t>【</w:t>
            </w:r>
            <w:r>
              <w:rPr>
                <w:rFonts w:hint="eastAsia" w:ascii="宋体" w:hAnsi="宋体" w:eastAsia="宋体" w:cs="宋体"/>
                <w:color w:val="auto"/>
                <w:kern w:val="0"/>
                <w:highlight w:val="none"/>
                <w:lang w:val="en-US" w:eastAsia="zh-CN" w:bidi="ar"/>
              </w:rPr>
              <w:t>满分5分，</w:t>
            </w:r>
            <w:r>
              <w:rPr>
                <w:rFonts w:hint="eastAsia" w:ascii="宋体" w:hAnsi="宋体" w:eastAsia="宋体" w:cs="宋体"/>
                <w:color w:val="auto"/>
                <w:kern w:val="0"/>
                <w:highlight w:val="none"/>
                <w:lang w:val="zh-CN" w:bidi="ar"/>
              </w:rPr>
              <w:t>打分分值范围：</w:t>
            </w:r>
            <w:r>
              <w:rPr>
                <w:rFonts w:hint="eastAsia" w:ascii="宋体" w:hAnsi="宋体" w:eastAsia="宋体" w:cs="宋体"/>
                <w:color w:val="auto"/>
                <w:kern w:val="0"/>
                <w:highlight w:val="none"/>
                <w:lang w:val="en-US" w:eastAsia="zh-CN" w:bidi="ar"/>
              </w:rPr>
              <w:t>5、4、</w:t>
            </w:r>
            <w:r>
              <w:rPr>
                <w:rFonts w:hint="eastAsia" w:ascii="宋体" w:hAnsi="宋体" w:eastAsia="宋体" w:cs="宋体"/>
                <w:color w:val="auto"/>
                <w:kern w:val="0"/>
                <w:highlight w:val="none"/>
                <w:lang w:val="zh-CN" w:bidi="ar"/>
              </w:rPr>
              <w:t>3、2、1、0】。</w:t>
            </w:r>
          </w:p>
          <w:p w14:paraId="2D18DF13">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zh-CN" w:bidi="ar"/>
              </w:rPr>
            </w:pPr>
            <w:r>
              <w:rPr>
                <w:rFonts w:hint="eastAsia" w:ascii="宋体" w:hAnsi="宋体" w:eastAsia="宋体" w:cs="宋体"/>
                <w:color w:val="auto"/>
                <w:szCs w:val="21"/>
                <w:highlight w:val="none"/>
                <w:lang w:val="en-US" w:eastAsia="zh-CN"/>
              </w:rPr>
              <w:t>注：未提供</w:t>
            </w:r>
            <w:r>
              <w:rPr>
                <w:rFonts w:hint="eastAsia" w:ascii="宋体" w:hAnsi="宋体" w:eastAsia="宋体" w:cs="宋体"/>
                <w:color w:val="auto"/>
                <w:szCs w:val="21"/>
                <w:highlight w:val="none"/>
              </w:rPr>
              <w:t>不得分</w:t>
            </w:r>
            <w:r>
              <w:rPr>
                <w:rFonts w:hint="eastAsia" w:ascii="宋体" w:hAnsi="宋体" w:eastAsia="宋体" w:cs="宋体"/>
                <w:color w:val="auto"/>
                <w:szCs w:val="21"/>
                <w:highlight w:val="none"/>
                <w:lang w:bidi="ar"/>
              </w:rPr>
              <w:t>。</w:t>
            </w:r>
          </w:p>
        </w:tc>
        <w:tc>
          <w:tcPr>
            <w:tcW w:w="1150" w:type="dxa"/>
            <w:shd w:val="clear" w:color="auto" w:fill="auto"/>
            <w:noWrap w:val="0"/>
            <w:vAlign w:val="center"/>
          </w:tcPr>
          <w:p w14:paraId="4AF06B2B">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0-</w:t>
            </w:r>
            <w:r>
              <w:rPr>
                <w:rFonts w:hint="eastAsia" w:ascii="宋体" w:hAnsi="宋体" w:eastAsia="宋体" w:cs="宋体"/>
                <w:color w:val="auto"/>
                <w:kern w:val="0"/>
                <w:highlight w:val="none"/>
                <w:lang w:val="en-US" w:eastAsia="zh-CN" w:bidi="ar"/>
              </w:rPr>
              <w:t>5</w:t>
            </w:r>
            <w:r>
              <w:rPr>
                <w:rFonts w:hint="eastAsia" w:ascii="宋体" w:hAnsi="宋体" w:eastAsia="宋体" w:cs="宋体"/>
                <w:color w:val="auto"/>
                <w:kern w:val="0"/>
                <w:highlight w:val="none"/>
                <w:lang w:bidi="ar"/>
              </w:rPr>
              <w:t>分</w:t>
            </w:r>
          </w:p>
        </w:tc>
      </w:tr>
      <w:tr w14:paraId="306D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6" w:type="dxa"/>
            <w:vMerge w:val="continue"/>
            <w:shd w:val="clear" w:color="auto" w:fill="auto"/>
            <w:noWrap w:val="0"/>
            <w:vAlign w:val="center"/>
          </w:tcPr>
          <w:p w14:paraId="42AA47D7">
            <w:pPr>
              <w:keepNext w:val="0"/>
              <w:keepLines w:val="0"/>
              <w:widowControl/>
              <w:suppressLineNumbers w:val="0"/>
              <w:shd w:val="clear"/>
              <w:spacing w:before="0" w:beforeAutospacing="0" w:after="0" w:afterAutospacing="0" w:line="240" w:lineRule="auto"/>
              <w:ind w:left="0" w:leftChars="0" w:right="119" w:rightChars="0" w:firstLine="0" w:firstLineChars="0"/>
              <w:jc w:val="center"/>
              <w:rPr>
                <w:rFonts w:hint="eastAsia" w:ascii="宋体" w:hAnsi="宋体" w:eastAsia="宋体" w:cs="宋体"/>
                <w:color w:val="auto"/>
                <w:kern w:val="2"/>
                <w:sz w:val="24"/>
                <w:szCs w:val="24"/>
                <w:highlight w:val="none"/>
                <w:lang w:val="en-US" w:eastAsia="zh-CN" w:bidi="ar-SA"/>
              </w:rPr>
            </w:pPr>
          </w:p>
        </w:tc>
        <w:tc>
          <w:tcPr>
            <w:tcW w:w="1661" w:type="dxa"/>
            <w:shd w:val="clear" w:color="auto" w:fill="auto"/>
            <w:noWrap w:val="0"/>
            <w:vAlign w:val="center"/>
          </w:tcPr>
          <w:p w14:paraId="0EE75B52">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人员及设备到位情况</w:t>
            </w:r>
          </w:p>
        </w:tc>
        <w:tc>
          <w:tcPr>
            <w:tcW w:w="7033" w:type="dxa"/>
            <w:shd w:val="clear" w:color="auto" w:fill="auto"/>
            <w:noWrap w:val="0"/>
            <w:vAlign w:val="top"/>
          </w:tcPr>
          <w:p w14:paraId="366824FC">
            <w:pPr>
              <w:keepNext/>
              <w:keepLines/>
              <w:pageBreakBefore w:val="0"/>
              <w:shd w:val="clear"/>
              <w:kinsoku w:val="0"/>
              <w:wordWrap/>
              <w:overflowPunct w:val="0"/>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highlight w:val="none"/>
                <w:lang w:val="zh-CN" w:bidi="ar"/>
              </w:rPr>
            </w:pPr>
            <w:r>
              <w:rPr>
                <w:rFonts w:hint="eastAsia" w:ascii="宋体" w:hAnsi="宋体" w:eastAsia="宋体" w:cs="宋体"/>
                <w:color w:val="auto"/>
                <w:kern w:val="0"/>
                <w:highlight w:val="none"/>
                <w:lang w:val="en-US" w:eastAsia="zh-CN" w:bidi="ar"/>
              </w:rPr>
              <w:t>根据</w:t>
            </w:r>
            <w:r>
              <w:rPr>
                <w:rFonts w:hint="eastAsia" w:ascii="宋体" w:hAnsi="宋体" w:eastAsia="宋体" w:cs="宋体"/>
                <w:color w:val="auto"/>
                <w:kern w:val="0"/>
                <w:highlight w:val="none"/>
                <w:lang w:val="en-US" w:bidi="ar"/>
              </w:rPr>
              <w:t>投标人制定的</w:t>
            </w:r>
            <w:r>
              <w:rPr>
                <w:rFonts w:hint="eastAsia" w:ascii="宋体" w:hAnsi="宋体" w:eastAsia="宋体" w:cs="宋体"/>
                <w:color w:val="auto"/>
                <w:kern w:val="0"/>
                <w:highlight w:val="none"/>
                <w:lang w:val="en-US" w:eastAsia="zh-CN" w:bidi="ar"/>
              </w:rPr>
              <w:t>人员到位、人员旁站、设备到位、相关检验检测使用情况及承诺</w:t>
            </w:r>
            <w:r>
              <w:rPr>
                <w:rFonts w:hint="eastAsia" w:ascii="宋体" w:hAnsi="宋体" w:eastAsia="宋体" w:cs="宋体"/>
                <w:color w:val="auto"/>
                <w:sz w:val="24"/>
                <w:highlight w:val="none"/>
                <w:lang w:val="en-US" w:eastAsia="zh-CN"/>
              </w:rPr>
              <w:t>等</w:t>
            </w:r>
            <w:r>
              <w:rPr>
                <w:rFonts w:hint="eastAsia" w:ascii="宋体" w:hAnsi="宋体" w:eastAsia="宋体" w:cs="宋体"/>
                <w:color w:val="auto"/>
                <w:kern w:val="0"/>
                <w:highlight w:val="none"/>
                <w:lang w:val="en-US" w:eastAsia="zh-CN" w:bidi="ar"/>
              </w:rPr>
              <w:t>进行综合打分</w:t>
            </w:r>
            <w:r>
              <w:rPr>
                <w:rFonts w:hint="eastAsia" w:ascii="宋体" w:hAnsi="宋体" w:eastAsia="宋体" w:cs="宋体"/>
                <w:color w:val="auto"/>
                <w:kern w:val="0"/>
                <w:highlight w:val="none"/>
                <w:lang w:val="zh-CN" w:bidi="ar"/>
              </w:rPr>
              <w:t>【</w:t>
            </w:r>
            <w:r>
              <w:rPr>
                <w:rFonts w:hint="eastAsia" w:ascii="宋体" w:hAnsi="宋体" w:eastAsia="宋体" w:cs="宋体"/>
                <w:color w:val="auto"/>
                <w:kern w:val="0"/>
                <w:highlight w:val="none"/>
                <w:lang w:val="en-US" w:eastAsia="zh-CN" w:bidi="ar"/>
              </w:rPr>
              <w:t>满分5分，</w:t>
            </w:r>
            <w:r>
              <w:rPr>
                <w:rFonts w:hint="eastAsia" w:ascii="宋体" w:hAnsi="宋体" w:eastAsia="宋体" w:cs="宋体"/>
                <w:color w:val="auto"/>
                <w:kern w:val="0"/>
                <w:highlight w:val="none"/>
                <w:lang w:val="zh-CN" w:bidi="ar"/>
              </w:rPr>
              <w:t>打分分值范围：</w:t>
            </w:r>
            <w:r>
              <w:rPr>
                <w:rFonts w:hint="eastAsia" w:ascii="宋体" w:hAnsi="宋体" w:eastAsia="宋体" w:cs="宋体"/>
                <w:color w:val="auto"/>
                <w:kern w:val="0"/>
                <w:highlight w:val="none"/>
                <w:lang w:val="en-US" w:eastAsia="zh-CN" w:bidi="ar"/>
              </w:rPr>
              <w:t>5、4、</w:t>
            </w:r>
            <w:r>
              <w:rPr>
                <w:rFonts w:hint="eastAsia" w:ascii="宋体" w:hAnsi="宋体" w:eastAsia="宋体" w:cs="宋体"/>
                <w:color w:val="auto"/>
                <w:kern w:val="0"/>
                <w:highlight w:val="none"/>
                <w:lang w:val="zh-CN" w:bidi="ar"/>
              </w:rPr>
              <w:t>3、2、1、0】。</w:t>
            </w:r>
          </w:p>
          <w:p w14:paraId="09485B40">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en-US" w:eastAsia="zh-CN" w:bidi="ar"/>
              </w:rPr>
            </w:pPr>
            <w:r>
              <w:rPr>
                <w:rFonts w:hint="eastAsia" w:ascii="宋体" w:hAnsi="宋体" w:eastAsia="宋体" w:cs="宋体"/>
                <w:color w:val="auto"/>
                <w:szCs w:val="21"/>
                <w:highlight w:val="none"/>
                <w:lang w:val="en-US" w:eastAsia="zh-CN"/>
              </w:rPr>
              <w:t>注：未提供</w:t>
            </w:r>
            <w:r>
              <w:rPr>
                <w:rFonts w:hint="eastAsia" w:ascii="宋体" w:hAnsi="宋体" w:eastAsia="宋体" w:cs="宋体"/>
                <w:color w:val="auto"/>
                <w:szCs w:val="21"/>
                <w:highlight w:val="none"/>
              </w:rPr>
              <w:t>不得分</w:t>
            </w:r>
            <w:r>
              <w:rPr>
                <w:rFonts w:hint="eastAsia" w:ascii="宋体" w:hAnsi="宋体" w:eastAsia="宋体" w:cs="宋体"/>
                <w:color w:val="auto"/>
                <w:szCs w:val="21"/>
                <w:highlight w:val="none"/>
                <w:lang w:bidi="ar"/>
              </w:rPr>
              <w:t>。</w:t>
            </w:r>
          </w:p>
        </w:tc>
        <w:tc>
          <w:tcPr>
            <w:tcW w:w="1150" w:type="dxa"/>
            <w:shd w:val="clear" w:color="auto" w:fill="auto"/>
            <w:noWrap w:val="0"/>
            <w:vAlign w:val="center"/>
          </w:tcPr>
          <w:p w14:paraId="110D925E">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bidi="ar"/>
              </w:rPr>
            </w:pPr>
            <w:r>
              <w:rPr>
                <w:rFonts w:hint="eastAsia" w:ascii="宋体" w:hAnsi="宋体" w:eastAsia="宋体" w:cs="宋体"/>
                <w:color w:val="auto"/>
                <w:kern w:val="0"/>
                <w:highlight w:val="none"/>
                <w:lang w:bidi="ar"/>
              </w:rPr>
              <w:t>0-</w:t>
            </w:r>
            <w:r>
              <w:rPr>
                <w:rFonts w:hint="eastAsia" w:ascii="宋体" w:hAnsi="宋体" w:eastAsia="宋体" w:cs="宋体"/>
                <w:color w:val="auto"/>
                <w:kern w:val="0"/>
                <w:highlight w:val="none"/>
                <w:lang w:val="en-US" w:eastAsia="zh-CN" w:bidi="ar"/>
              </w:rPr>
              <w:t>5</w:t>
            </w:r>
            <w:r>
              <w:rPr>
                <w:rFonts w:hint="eastAsia" w:ascii="宋体" w:hAnsi="宋体" w:eastAsia="宋体" w:cs="宋体"/>
                <w:color w:val="auto"/>
                <w:kern w:val="0"/>
                <w:highlight w:val="none"/>
                <w:lang w:bidi="ar"/>
              </w:rPr>
              <w:t>分</w:t>
            </w:r>
          </w:p>
        </w:tc>
      </w:tr>
      <w:tr w14:paraId="6797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6" w:hRule="atLeast"/>
          <w:jc w:val="center"/>
        </w:trPr>
        <w:tc>
          <w:tcPr>
            <w:tcW w:w="1086" w:type="dxa"/>
            <w:vMerge w:val="continue"/>
            <w:shd w:val="clear" w:color="auto" w:fill="auto"/>
            <w:noWrap w:val="0"/>
            <w:vAlign w:val="center"/>
          </w:tcPr>
          <w:p w14:paraId="73C48130">
            <w:pPr>
              <w:keepNext w:val="0"/>
              <w:keepLines w:val="0"/>
              <w:widowControl/>
              <w:suppressLineNumbers w:val="0"/>
              <w:shd w:val="clear"/>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highlight w:val="none"/>
                <w:lang w:bidi="ar"/>
              </w:rPr>
            </w:pPr>
          </w:p>
        </w:tc>
        <w:tc>
          <w:tcPr>
            <w:tcW w:w="1661" w:type="dxa"/>
            <w:shd w:val="clear" w:color="auto" w:fill="auto"/>
            <w:noWrap w:val="0"/>
            <w:vAlign w:val="center"/>
          </w:tcPr>
          <w:p w14:paraId="2D387178">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zh-CN" w:eastAsia="zh-CN" w:bidi="ar"/>
              </w:rPr>
            </w:pPr>
            <w:r>
              <w:rPr>
                <w:rFonts w:hint="eastAsia" w:ascii="宋体" w:hAnsi="宋体" w:eastAsia="宋体" w:cs="宋体"/>
                <w:color w:val="auto"/>
                <w:kern w:val="0"/>
                <w:highlight w:val="none"/>
                <w:lang w:val="en-US" w:bidi="ar"/>
              </w:rPr>
              <w:t>报告编制方式及成果</w:t>
            </w:r>
          </w:p>
        </w:tc>
        <w:tc>
          <w:tcPr>
            <w:tcW w:w="7033" w:type="dxa"/>
            <w:shd w:val="clear" w:color="auto" w:fill="auto"/>
            <w:noWrap w:val="0"/>
            <w:vAlign w:val="center"/>
          </w:tcPr>
          <w:p w14:paraId="1060CE63">
            <w:pPr>
              <w:keepNext/>
              <w:keepLines/>
              <w:pageBreakBefore w:val="0"/>
              <w:shd w:val="clear"/>
              <w:kinsoku w:val="0"/>
              <w:wordWrap/>
              <w:overflowPunct w:val="0"/>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highlight w:val="none"/>
                <w:lang w:val="zh-CN" w:bidi="ar"/>
              </w:rPr>
            </w:pPr>
            <w:r>
              <w:rPr>
                <w:rFonts w:hint="eastAsia" w:ascii="宋体" w:hAnsi="宋体" w:eastAsia="宋体" w:cs="宋体"/>
                <w:color w:val="auto"/>
                <w:kern w:val="0"/>
                <w:highlight w:val="none"/>
                <w:lang w:val="zh-CN" w:bidi="ar"/>
              </w:rPr>
              <w:t>根据投标人制定的</w:t>
            </w:r>
            <w:r>
              <w:rPr>
                <w:rFonts w:hint="eastAsia" w:ascii="宋体" w:hAnsi="宋体" w:eastAsia="宋体" w:cs="宋体"/>
                <w:color w:val="auto"/>
                <w:kern w:val="0"/>
                <w:highlight w:val="none"/>
                <w:lang w:val="en-US" w:bidi="ar"/>
              </w:rPr>
              <w:t>环境监理</w:t>
            </w:r>
            <w:r>
              <w:rPr>
                <w:rFonts w:hint="eastAsia" w:ascii="宋体" w:hAnsi="宋体" w:eastAsia="宋体" w:cs="宋体"/>
                <w:color w:val="auto"/>
                <w:kern w:val="0"/>
                <w:highlight w:val="none"/>
                <w:lang w:val="zh-CN" w:bidi="ar"/>
              </w:rPr>
              <w:t>报告编制成果构成情况</w:t>
            </w:r>
            <w:r>
              <w:rPr>
                <w:rFonts w:hint="eastAsia" w:ascii="宋体" w:hAnsi="宋体" w:eastAsia="宋体" w:cs="宋体"/>
                <w:color w:val="auto"/>
                <w:sz w:val="24"/>
                <w:highlight w:val="none"/>
                <w:lang w:val="en-US" w:eastAsia="zh-CN"/>
              </w:rPr>
              <w:t>等</w:t>
            </w:r>
            <w:r>
              <w:rPr>
                <w:rFonts w:hint="eastAsia" w:ascii="宋体" w:hAnsi="宋体" w:eastAsia="宋体" w:cs="宋体"/>
                <w:color w:val="auto"/>
                <w:kern w:val="0"/>
                <w:highlight w:val="none"/>
                <w:lang w:val="en-US" w:eastAsia="zh-CN" w:bidi="ar"/>
              </w:rPr>
              <w:t>进行综合打分</w:t>
            </w:r>
            <w:r>
              <w:rPr>
                <w:rFonts w:hint="eastAsia" w:ascii="宋体" w:hAnsi="宋体" w:eastAsia="宋体" w:cs="宋体"/>
                <w:color w:val="auto"/>
                <w:kern w:val="0"/>
                <w:highlight w:val="none"/>
                <w:lang w:val="zh-CN" w:bidi="ar"/>
              </w:rPr>
              <w:t>【</w:t>
            </w:r>
            <w:r>
              <w:rPr>
                <w:rFonts w:hint="eastAsia" w:ascii="宋体" w:hAnsi="宋体" w:eastAsia="宋体" w:cs="宋体"/>
                <w:color w:val="auto"/>
                <w:kern w:val="0"/>
                <w:highlight w:val="none"/>
                <w:lang w:val="en-US" w:eastAsia="zh-CN" w:bidi="ar"/>
              </w:rPr>
              <w:t>满分5分，</w:t>
            </w:r>
            <w:r>
              <w:rPr>
                <w:rFonts w:hint="eastAsia" w:ascii="宋体" w:hAnsi="宋体" w:eastAsia="宋体" w:cs="宋体"/>
                <w:color w:val="auto"/>
                <w:kern w:val="0"/>
                <w:highlight w:val="none"/>
                <w:lang w:val="zh-CN" w:bidi="ar"/>
              </w:rPr>
              <w:t>打分分值范围：</w:t>
            </w:r>
            <w:r>
              <w:rPr>
                <w:rFonts w:hint="eastAsia" w:ascii="宋体" w:hAnsi="宋体" w:eastAsia="宋体" w:cs="宋体"/>
                <w:color w:val="auto"/>
                <w:kern w:val="0"/>
                <w:highlight w:val="none"/>
                <w:lang w:val="en-US" w:eastAsia="zh-CN" w:bidi="ar"/>
              </w:rPr>
              <w:t>5、4、</w:t>
            </w:r>
            <w:r>
              <w:rPr>
                <w:rFonts w:hint="eastAsia" w:ascii="宋体" w:hAnsi="宋体" w:eastAsia="宋体" w:cs="宋体"/>
                <w:color w:val="auto"/>
                <w:kern w:val="0"/>
                <w:highlight w:val="none"/>
                <w:lang w:val="zh-CN" w:bidi="ar"/>
              </w:rPr>
              <w:t>3、2、1、0】。</w:t>
            </w:r>
          </w:p>
          <w:p w14:paraId="2BC4A04D">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en-US" w:eastAsia="zh-CN" w:bidi="ar"/>
              </w:rPr>
            </w:pPr>
            <w:r>
              <w:rPr>
                <w:rFonts w:hint="eastAsia" w:ascii="宋体" w:hAnsi="宋体" w:eastAsia="宋体" w:cs="宋体"/>
                <w:color w:val="auto"/>
                <w:szCs w:val="21"/>
                <w:highlight w:val="none"/>
                <w:lang w:val="en-US" w:eastAsia="zh-CN"/>
              </w:rPr>
              <w:t>注：未提供</w:t>
            </w:r>
            <w:r>
              <w:rPr>
                <w:rFonts w:hint="eastAsia" w:ascii="宋体" w:hAnsi="宋体" w:eastAsia="宋体" w:cs="宋体"/>
                <w:color w:val="auto"/>
                <w:szCs w:val="21"/>
                <w:highlight w:val="none"/>
              </w:rPr>
              <w:t>不得分</w:t>
            </w:r>
            <w:r>
              <w:rPr>
                <w:rFonts w:hint="eastAsia" w:ascii="宋体" w:hAnsi="宋体" w:eastAsia="宋体" w:cs="宋体"/>
                <w:color w:val="auto"/>
                <w:szCs w:val="21"/>
                <w:highlight w:val="none"/>
                <w:lang w:bidi="ar"/>
              </w:rPr>
              <w:t>。</w:t>
            </w:r>
          </w:p>
        </w:tc>
        <w:tc>
          <w:tcPr>
            <w:tcW w:w="1150" w:type="dxa"/>
            <w:shd w:val="clear" w:color="auto" w:fill="auto"/>
            <w:noWrap w:val="0"/>
            <w:vAlign w:val="center"/>
          </w:tcPr>
          <w:p w14:paraId="584694FD">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zh-CN" w:eastAsia="zh-CN" w:bidi="ar"/>
              </w:rPr>
            </w:pPr>
            <w:r>
              <w:rPr>
                <w:rFonts w:hint="eastAsia" w:ascii="宋体" w:hAnsi="宋体" w:eastAsia="宋体" w:cs="宋体"/>
                <w:color w:val="auto"/>
                <w:kern w:val="0"/>
                <w:highlight w:val="none"/>
                <w:lang w:bidi="ar"/>
              </w:rPr>
              <w:t>0-</w:t>
            </w:r>
            <w:r>
              <w:rPr>
                <w:rFonts w:hint="eastAsia" w:ascii="宋体" w:hAnsi="宋体" w:eastAsia="宋体" w:cs="宋体"/>
                <w:color w:val="auto"/>
                <w:kern w:val="0"/>
                <w:highlight w:val="none"/>
                <w:lang w:val="en-US" w:eastAsia="zh-CN" w:bidi="ar"/>
              </w:rPr>
              <w:t>5</w:t>
            </w:r>
            <w:r>
              <w:rPr>
                <w:rFonts w:hint="eastAsia" w:ascii="宋体" w:hAnsi="宋体" w:eastAsia="宋体" w:cs="宋体"/>
                <w:color w:val="auto"/>
                <w:kern w:val="0"/>
                <w:highlight w:val="none"/>
                <w:lang w:bidi="ar"/>
              </w:rPr>
              <w:t>分</w:t>
            </w:r>
          </w:p>
        </w:tc>
      </w:tr>
      <w:tr w14:paraId="4D47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0" w:hRule="atLeast"/>
          <w:jc w:val="center"/>
        </w:trPr>
        <w:tc>
          <w:tcPr>
            <w:tcW w:w="1086" w:type="dxa"/>
            <w:vMerge w:val="continue"/>
            <w:shd w:val="clear" w:color="auto" w:fill="auto"/>
            <w:noWrap w:val="0"/>
            <w:vAlign w:val="center"/>
          </w:tcPr>
          <w:p w14:paraId="74389ECE">
            <w:pPr>
              <w:keepNext w:val="0"/>
              <w:keepLines w:val="0"/>
              <w:widowControl/>
              <w:suppressLineNumbers w:val="0"/>
              <w:shd w:val="clear"/>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highlight w:val="none"/>
                <w:lang w:bidi="ar"/>
              </w:rPr>
            </w:pPr>
          </w:p>
        </w:tc>
        <w:tc>
          <w:tcPr>
            <w:tcW w:w="1661" w:type="dxa"/>
            <w:shd w:val="clear" w:color="auto" w:fill="auto"/>
            <w:noWrap w:val="0"/>
            <w:vAlign w:val="center"/>
          </w:tcPr>
          <w:p w14:paraId="2E34556D">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zh-CN" w:eastAsia="zh-CN" w:bidi="ar"/>
              </w:rPr>
            </w:pPr>
            <w:r>
              <w:rPr>
                <w:rFonts w:hint="eastAsia" w:ascii="宋体" w:hAnsi="宋体" w:eastAsia="宋体" w:cs="宋体"/>
                <w:color w:val="auto"/>
                <w:kern w:val="0"/>
                <w:highlight w:val="none"/>
                <w:lang w:val="en-US" w:bidi="ar"/>
              </w:rPr>
              <w:t>应急预案</w:t>
            </w:r>
          </w:p>
        </w:tc>
        <w:tc>
          <w:tcPr>
            <w:tcW w:w="7033" w:type="dxa"/>
            <w:shd w:val="clear" w:color="auto" w:fill="auto"/>
            <w:noWrap w:val="0"/>
            <w:vAlign w:val="center"/>
          </w:tcPr>
          <w:p w14:paraId="2949C871">
            <w:pPr>
              <w:keepNext/>
              <w:keepLines/>
              <w:pageBreakBefore w:val="0"/>
              <w:shd w:val="clear"/>
              <w:kinsoku w:val="0"/>
              <w:wordWrap/>
              <w:overflowPunct w:val="0"/>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highlight w:val="none"/>
                <w:lang w:val="zh-CN" w:bidi="ar"/>
              </w:rPr>
            </w:pPr>
            <w:r>
              <w:rPr>
                <w:rFonts w:hint="eastAsia" w:ascii="宋体" w:hAnsi="宋体" w:eastAsia="宋体" w:cs="宋体"/>
                <w:color w:val="auto"/>
                <w:kern w:val="0"/>
                <w:highlight w:val="none"/>
                <w:lang w:val="en-US" w:bidi="ar"/>
              </w:rPr>
              <w:t>针对项目后续实施过程中可能遇到的紧急事件、异常处理等应急情况和对应的解决措施情况</w:t>
            </w:r>
            <w:r>
              <w:rPr>
                <w:rFonts w:hint="eastAsia" w:ascii="宋体" w:hAnsi="宋体" w:eastAsia="宋体" w:cs="宋体"/>
                <w:color w:val="auto"/>
                <w:sz w:val="24"/>
                <w:highlight w:val="none"/>
                <w:lang w:val="en-US" w:eastAsia="zh-CN"/>
              </w:rPr>
              <w:t>等</w:t>
            </w:r>
            <w:r>
              <w:rPr>
                <w:rFonts w:hint="eastAsia" w:ascii="宋体" w:hAnsi="宋体" w:eastAsia="宋体" w:cs="宋体"/>
                <w:color w:val="auto"/>
                <w:kern w:val="0"/>
                <w:highlight w:val="none"/>
                <w:lang w:val="en-US" w:eastAsia="zh-CN" w:bidi="ar"/>
              </w:rPr>
              <w:t>进行综合打分</w:t>
            </w:r>
            <w:r>
              <w:rPr>
                <w:rFonts w:hint="eastAsia" w:ascii="宋体" w:hAnsi="宋体" w:eastAsia="宋体" w:cs="宋体"/>
                <w:color w:val="auto"/>
                <w:kern w:val="0"/>
                <w:highlight w:val="none"/>
                <w:lang w:val="zh-CN" w:bidi="ar"/>
              </w:rPr>
              <w:t>【</w:t>
            </w:r>
            <w:r>
              <w:rPr>
                <w:rFonts w:hint="eastAsia" w:ascii="宋体" w:hAnsi="宋体" w:eastAsia="宋体" w:cs="宋体"/>
                <w:color w:val="auto"/>
                <w:kern w:val="0"/>
                <w:highlight w:val="none"/>
                <w:lang w:val="en-US" w:eastAsia="zh-CN" w:bidi="ar"/>
              </w:rPr>
              <w:t>满分</w:t>
            </w:r>
            <w:r>
              <w:rPr>
                <w:rFonts w:hint="eastAsia" w:ascii="宋体" w:hAnsi="宋体" w:cs="宋体"/>
                <w:color w:val="auto"/>
                <w:kern w:val="0"/>
                <w:highlight w:val="none"/>
                <w:lang w:val="en-US" w:eastAsia="zh-CN" w:bidi="ar"/>
              </w:rPr>
              <w:t>4</w:t>
            </w:r>
            <w:r>
              <w:rPr>
                <w:rFonts w:hint="eastAsia" w:ascii="宋体" w:hAnsi="宋体" w:eastAsia="宋体" w:cs="宋体"/>
                <w:color w:val="auto"/>
                <w:kern w:val="0"/>
                <w:highlight w:val="none"/>
                <w:lang w:val="en-US" w:eastAsia="zh-CN" w:bidi="ar"/>
              </w:rPr>
              <w:t>分，</w:t>
            </w:r>
            <w:r>
              <w:rPr>
                <w:rFonts w:hint="eastAsia" w:ascii="宋体" w:hAnsi="宋体" w:eastAsia="宋体" w:cs="宋体"/>
                <w:color w:val="auto"/>
                <w:kern w:val="0"/>
                <w:highlight w:val="none"/>
                <w:lang w:val="zh-CN" w:bidi="ar"/>
              </w:rPr>
              <w:t>打分分值范围：</w:t>
            </w:r>
            <w:r>
              <w:rPr>
                <w:rFonts w:hint="eastAsia" w:ascii="宋体" w:hAnsi="宋体" w:eastAsia="宋体" w:cs="宋体"/>
                <w:color w:val="auto"/>
                <w:kern w:val="0"/>
                <w:highlight w:val="none"/>
                <w:lang w:val="en-US" w:eastAsia="zh-CN" w:bidi="ar"/>
              </w:rPr>
              <w:t>4、</w:t>
            </w:r>
            <w:r>
              <w:rPr>
                <w:rFonts w:hint="eastAsia" w:ascii="宋体" w:hAnsi="宋体" w:eastAsia="宋体" w:cs="宋体"/>
                <w:color w:val="auto"/>
                <w:kern w:val="0"/>
                <w:highlight w:val="none"/>
                <w:lang w:val="zh-CN" w:bidi="ar"/>
              </w:rPr>
              <w:t>3、2、1、0】。</w:t>
            </w:r>
          </w:p>
          <w:p w14:paraId="118C73C8">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zh-CN" w:eastAsia="zh-CN" w:bidi="ar"/>
              </w:rPr>
            </w:pPr>
            <w:r>
              <w:rPr>
                <w:rFonts w:hint="eastAsia" w:ascii="宋体" w:hAnsi="宋体" w:eastAsia="宋体" w:cs="宋体"/>
                <w:color w:val="auto"/>
                <w:szCs w:val="21"/>
                <w:highlight w:val="none"/>
                <w:lang w:val="en-US" w:eastAsia="zh-CN"/>
              </w:rPr>
              <w:t>注：未提供</w:t>
            </w:r>
            <w:r>
              <w:rPr>
                <w:rFonts w:hint="eastAsia" w:ascii="宋体" w:hAnsi="宋体" w:eastAsia="宋体" w:cs="宋体"/>
                <w:color w:val="auto"/>
                <w:szCs w:val="21"/>
                <w:highlight w:val="none"/>
              </w:rPr>
              <w:t>不得分</w:t>
            </w:r>
            <w:r>
              <w:rPr>
                <w:rFonts w:hint="eastAsia" w:ascii="宋体" w:hAnsi="宋体" w:eastAsia="宋体" w:cs="宋体"/>
                <w:color w:val="auto"/>
                <w:szCs w:val="21"/>
                <w:highlight w:val="none"/>
                <w:lang w:bidi="ar"/>
              </w:rPr>
              <w:t>。</w:t>
            </w:r>
          </w:p>
        </w:tc>
        <w:tc>
          <w:tcPr>
            <w:tcW w:w="1150" w:type="dxa"/>
            <w:shd w:val="clear" w:color="auto" w:fill="auto"/>
            <w:noWrap w:val="0"/>
            <w:vAlign w:val="center"/>
          </w:tcPr>
          <w:p w14:paraId="7880E825">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zh-CN" w:eastAsia="zh-CN" w:bidi="ar"/>
              </w:rPr>
            </w:pPr>
            <w:r>
              <w:rPr>
                <w:rFonts w:hint="eastAsia" w:ascii="宋体" w:hAnsi="宋体" w:eastAsia="宋体" w:cs="宋体"/>
                <w:color w:val="auto"/>
                <w:kern w:val="0"/>
                <w:highlight w:val="none"/>
                <w:lang w:bidi="ar"/>
              </w:rPr>
              <w:t>0-</w:t>
            </w:r>
            <w:r>
              <w:rPr>
                <w:rFonts w:hint="eastAsia" w:ascii="宋体" w:hAnsi="宋体" w:eastAsia="宋体" w:cs="宋体"/>
                <w:color w:val="auto"/>
                <w:kern w:val="0"/>
                <w:highlight w:val="none"/>
                <w:lang w:val="en-US" w:eastAsia="zh-CN" w:bidi="ar"/>
              </w:rPr>
              <w:t>4</w:t>
            </w:r>
            <w:r>
              <w:rPr>
                <w:rFonts w:hint="eastAsia" w:ascii="宋体" w:hAnsi="宋体" w:eastAsia="宋体" w:cs="宋体"/>
                <w:color w:val="auto"/>
                <w:kern w:val="0"/>
                <w:highlight w:val="none"/>
                <w:lang w:bidi="ar"/>
              </w:rPr>
              <w:t>分</w:t>
            </w:r>
          </w:p>
        </w:tc>
      </w:tr>
      <w:tr w14:paraId="4C4D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9" w:hRule="atLeast"/>
          <w:jc w:val="center"/>
        </w:trPr>
        <w:tc>
          <w:tcPr>
            <w:tcW w:w="1086" w:type="dxa"/>
            <w:vMerge w:val="continue"/>
            <w:shd w:val="clear" w:color="auto" w:fill="auto"/>
            <w:noWrap w:val="0"/>
            <w:vAlign w:val="center"/>
          </w:tcPr>
          <w:p w14:paraId="1F45D088">
            <w:pPr>
              <w:keepNext w:val="0"/>
              <w:keepLines w:val="0"/>
              <w:widowControl/>
              <w:suppressLineNumbers w:val="0"/>
              <w:shd w:val="clear"/>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highlight w:val="none"/>
                <w:lang w:bidi="ar"/>
              </w:rPr>
            </w:pPr>
          </w:p>
        </w:tc>
        <w:tc>
          <w:tcPr>
            <w:tcW w:w="1661" w:type="dxa"/>
            <w:shd w:val="clear" w:color="auto" w:fill="auto"/>
            <w:noWrap w:val="0"/>
            <w:vAlign w:val="center"/>
          </w:tcPr>
          <w:p w14:paraId="7556B935">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en-US" w:bidi="ar"/>
              </w:rPr>
            </w:pPr>
            <w:r>
              <w:rPr>
                <w:rFonts w:hint="eastAsia" w:ascii="宋体" w:hAnsi="宋体" w:eastAsia="宋体" w:cs="宋体"/>
                <w:color w:val="auto"/>
                <w:kern w:val="0"/>
                <w:highlight w:val="none"/>
                <w:lang w:val="zh-CN" w:bidi="ar"/>
              </w:rPr>
              <w:t>合理化建议</w:t>
            </w:r>
          </w:p>
        </w:tc>
        <w:tc>
          <w:tcPr>
            <w:tcW w:w="7033" w:type="dxa"/>
            <w:shd w:val="clear" w:color="auto" w:fill="auto"/>
            <w:noWrap w:val="0"/>
            <w:vAlign w:val="center"/>
          </w:tcPr>
          <w:p w14:paraId="1CC9465A">
            <w:pPr>
              <w:keepNext/>
              <w:keepLines/>
              <w:pageBreakBefore w:val="0"/>
              <w:shd w:val="clear"/>
              <w:kinsoku w:val="0"/>
              <w:wordWrap/>
              <w:overflowPunct w:val="0"/>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highlight w:val="none"/>
                <w:lang w:val="zh-CN" w:bidi="ar"/>
              </w:rPr>
            </w:pPr>
            <w:r>
              <w:rPr>
                <w:rFonts w:hint="eastAsia" w:ascii="宋体" w:hAnsi="宋体" w:eastAsia="宋体" w:cs="宋体"/>
                <w:color w:val="auto"/>
                <w:kern w:val="0"/>
                <w:highlight w:val="none"/>
                <w:lang w:val="en-US" w:bidi="ar"/>
              </w:rPr>
              <w:t>对</w:t>
            </w:r>
            <w:r>
              <w:rPr>
                <w:rFonts w:hint="eastAsia" w:ascii="宋体" w:hAnsi="宋体" w:cs="宋体"/>
                <w:color w:val="auto"/>
                <w:kern w:val="0"/>
                <w:highlight w:val="none"/>
                <w:lang w:val="en-US" w:eastAsia="zh-CN" w:bidi="ar"/>
              </w:rPr>
              <w:t>采购人</w:t>
            </w:r>
            <w:r>
              <w:rPr>
                <w:rFonts w:hint="eastAsia" w:ascii="宋体" w:hAnsi="宋体" w:eastAsia="宋体" w:cs="宋体"/>
                <w:color w:val="auto"/>
                <w:kern w:val="0"/>
                <w:highlight w:val="none"/>
                <w:lang w:val="en-US" w:bidi="ar"/>
              </w:rPr>
              <w:t>或设计、施工、监理</w:t>
            </w:r>
            <w:r>
              <w:rPr>
                <w:rFonts w:hint="eastAsia" w:ascii="宋体" w:hAnsi="宋体" w:eastAsia="宋体" w:cs="宋体"/>
                <w:color w:val="auto"/>
                <w:kern w:val="0"/>
                <w:highlight w:val="none"/>
                <w:lang w:val="en-US" w:eastAsia="zh-CN" w:bidi="ar"/>
              </w:rPr>
              <w:t>、效果评价</w:t>
            </w:r>
            <w:r>
              <w:rPr>
                <w:rFonts w:hint="eastAsia" w:ascii="宋体" w:hAnsi="宋体" w:eastAsia="宋体" w:cs="宋体"/>
                <w:color w:val="auto"/>
                <w:kern w:val="0"/>
                <w:highlight w:val="none"/>
                <w:lang w:val="en-US" w:bidi="ar"/>
              </w:rPr>
              <w:t>的合理化建议</w:t>
            </w:r>
            <w:r>
              <w:rPr>
                <w:rFonts w:hint="eastAsia" w:ascii="宋体" w:hAnsi="宋体" w:eastAsia="宋体" w:cs="宋体"/>
                <w:color w:val="auto"/>
                <w:sz w:val="24"/>
                <w:highlight w:val="none"/>
                <w:lang w:val="en-US" w:eastAsia="zh-CN"/>
              </w:rPr>
              <w:t>等</w:t>
            </w:r>
            <w:r>
              <w:rPr>
                <w:rFonts w:hint="eastAsia" w:ascii="宋体" w:hAnsi="宋体" w:eastAsia="宋体" w:cs="宋体"/>
                <w:color w:val="auto"/>
                <w:kern w:val="0"/>
                <w:highlight w:val="none"/>
                <w:lang w:val="en-US" w:eastAsia="zh-CN" w:bidi="ar"/>
              </w:rPr>
              <w:t>进行综合打分</w:t>
            </w:r>
            <w:r>
              <w:rPr>
                <w:rFonts w:hint="eastAsia" w:ascii="宋体" w:hAnsi="宋体" w:eastAsia="宋体" w:cs="宋体"/>
                <w:color w:val="auto"/>
                <w:kern w:val="0"/>
                <w:highlight w:val="none"/>
                <w:lang w:val="zh-CN" w:bidi="ar"/>
              </w:rPr>
              <w:t>【</w:t>
            </w:r>
            <w:r>
              <w:rPr>
                <w:rFonts w:hint="eastAsia" w:ascii="宋体" w:hAnsi="宋体" w:eastAsia="宋体" w:cs="宋体"/>
                <w:color w:val="auto"/>
                <w:kern w:val="0"/>
                <w:highlight w:val="none"/>
                <w:lang w:val="en-US" w:eastAsia="zh-CN" w:bidi="ar"/>
              </w:rPr>
              <w:t>满分5分，</w:t>
            </w:r>
            <w:r>
              <w:rPr>
                <w:rFonts w:hint="eastAsia" w:ascii="宋体" w:hAnsi="宋体" w:eastAsia="宋体" w:cs="宋体"/>
                <w:color w:val="auto"/>
                <w:kern w:val="0"/>
                <w:highlight w:val="none"/>
                <w:lang w:val="zh-CN" w:bidi="ar"/>
              </w:rPr>
              <w:t>打分分值范围：</w:t>
            </w:r>
            <w:r>
              <w:rPr>
                <w:rFonts w:hint="eastAsia" w:ascii="宋体" w:hAnsi="宋体" w:eastAsia="宋体" w:cs="宋体"/>
                <w:color w:val="auto"/>
                <w:kern w:val="0"/>
                <w:highlight w:val="none"/>
                <w:lang w:val="en-US" w:eastAsia="zh-CN" w:bidi="ar"/>
              </w:rPr>
              <w:t>5、4、</w:t>
            </w:r>
            <w:r>
              <w:rPr>
                <w:rFonts w:hint="eastAsia" w:ascii="宋体" w:hAnsi="宋体" w:eastAsia="宋体" w:cs="宋体"/>
                <w:color w:val="auto"/>
                <w:kern w:val="0"/>
                <w:highlight w:val="none"/>
                <w:lang w:val="zh-CN" w:bidi="ar"/>
              </w:rPr>
              <w:t>3、2、1、0】。</w:t>
            </w:r>
          </w:p>
          <w:p w14:paraId="47368941">
            <w:pPr>
              <w:keepNext w:val="0"/>
              <w:keepLines w:val="0"/>
              <w:widowControl/>
              <w:suppressLineNumbers w:val="0"/>
              <w:shd w:val="clear"/>
              <w:spacing w:before="0" w:beforeAutospacing="0" w:after="0" w:afterAutospacing="0" w:line="240" w:lineRule="auto"/>
              <w:ind w:left="0" w:right="0" w:firstLine="0" w:firstLineChars="0"/>
              <w:jc w:val="left"/>
              <w:rPr>
                <w:rFonts w:hint="eastAsia" w:ascii="宋体" w:hAnsi="宋体" w:eastAsia="宋体" w:cs="宋体"/>
                <w:color w:val="auto"/>
                <w:kern w:val="0"/>
                <w:highlight w:val="none"/>
                <w:lang w:val="zh-CN" w:bidi="ar"/>
              </w:rPr>
            </w:pPr>
            <w:r>
              <w:rPr>
                <w:rFonts w:hint="eastAsia" w:ascii="宋体" w:hAnsi="宋体" w:eastAsia="宋体" w:cs="宋体"/>
                <w:color w:val="auto"/>
                <w:szCs w:val="21"/>
                <w:highlight w:val="none"/>
                <w:lang w:val="en-US" w:eastAsia="zh-CN"/>
              </w:rPr>
              <w:t>注：未提供</w:t>
            </w:r>
            <w:r>
              <w:rPr>
                <w:rFonts w:hint="eastAsia" w:ascii="宋体" w:hAnsi="宋体" w:eastAsia="宋体" w:cs="宋体"/>
                <w:color w:val="auto"/>
                <w:szCs w:val="21"/>
                <w:highlight w:val="none"/>
              </w:rPr>
              <w:t>不得分</w:t>
            </w:r>
            <w:r>
              <w:rPr>
                <w:rFonts w:hint="eastAsia" w:ascii="宋体" w:hAnsi="宋体" w:eastAsia="宋体" w:cs="宋体"/>
                <w:color w:val="auto"/>
                <w:szCs w:val="21"/>
                <w:highlight w:val="none"/>
                <w:lang w:bidi="ar"/>
              </w:rPr>
              <w:t>。</w:t>
            </w:r>
          </w:p>
        </w:tc>
        <w:tc>
          <w:tcPr>
            <w:tcW w:w="1150" w:type="dxa"/>
            <w:shd w:val="clear" w:color="auto" w:fill="auto"/>
            <w:noWrap w:val="0"/>
            <w:vAlign w:val="center"/>
          </w:tcPr>
          <w:p w14:paraId="56C45D33">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en-US" w:eastAsia="zh-CN" w:bidi="ar"/>
              </w:rPr>
            </w:pPr>
            <w:r>
              <w:rPr>
                <w:rFonts w:hint="eastAsia" w:ascii="宋体" w:hAnsi="宋体" w:eastAsia="宋体" w:cs="宋体"/>
                <w:color w:val="auto"/>
                <w:kern w:val="0"/>
                <w:highlight w:val="none"/>
                <w:lang w:val="en-US" w:eastAsia="zh-CN" w:bidi="ar"/>
              </w:rPr>
              <w:t>0-5分</w:t>
            </w:r>
          </w:p>
        </w:tc>
      </w:tr>
      <w:tr w14:paraId="0CA9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6" w:hRule="atLeast"/>
          <w:jc w:val="center"/>
        </w:trPr>
        <w:tc>
          <w:tcPr>
            <w:tcW w:w="1086" w:type="dxa"/>
            <w:vMerge w:val="continue"/>
            <w:shd w:val="clear" w:color="auto" w:fill="auto"/>
            <w:noWrap w:val="0"/>
            <w:vAlign w:val="center"/>
          </w:tcPr>
          <w:p w14:paraId="62E7C537">
            <w:pPr>
              <w:keepNext w:val="0"/>
              <w:keepLines w:val="0"/>
              <w:widowControl/>
              <w:suppressLineNumbers w:val="0"/>
              <w:shd w:val="clear"/>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highlight w:val="none"/>
                <w:lang w:bidi="ar"/>
              </w:rPr>
            </w:pPr>
          </w:p>
        </w:tc>
        <w:tc>
          <w:tcPr>
            <w:tcW w:w="1661" w:type="dxa"/>
            <w:shd w:val="clear" w:color="auto" w:fill="auto"/>
            <w:noWrap w:val="0"/>
            <w:vAlign w:val="center"/>
          </w:tcPr>
          <w:p w14:paraId="0AC50341">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zh-CN" w:eastAsia="zh-CN" w:bidi="ar"/>
              </w:rPr>
            </w:pPr>
            <w:r>
              <w:rPr>
                <w:rFonts w:hint="eastAsia" w:ascii="宋体" w:hAnsi="宋体" w:eastAsia="宋体" w:cs="宋体"/>
                <w:color w:val="auto"/>
                <w:kern w:val="0"/>
                <w:highlight w:val="none"/>
                <w:lang w:val="zh-CN" w:bidi="ar"/>
              </w:rPr>
              <w:t>售后服务</w:t>
            </w:r>
          </w:p>
        </w:tc>
        <w:tc>
          <w:tcPr>
            <w:tcW w:w="7033" w:type="dxa"/>
            <w:shd w:val="clear" w:color="auto" w:fill="auto"/>
            <w:noWrap w:val="0"/>
            <w:vAlign w:val="center"/>
          </w:tcPr>
          <w:p w14:paraId="7C474A1C">
            <w:pPr>
              <w:keepNext/>
              <w:keepLines/>
              <w:pageBreakBefore w:val="0"/>
              <w:shd w:val="clear"/>
              <w:kinsoku w:val="0"/>
              <w:wordWrap/>
              <w:overflowPunct w:val="0"/>
              <w:topLinePunct w:val="0"/>
              <w:autoSpaceDE/>
              <w:autoSpaceDN/>
              <w:bidi w:val="0"/>
              <w:adjustRightInd w:val="0"/>
              <w:snapToGrid w:val="0"/>
              <w:spacing w:line="240" w:lineRule="auto"/>
              <w:ind w:left="0" w:leftChars="0" w:firstLine="0" w:firstLineChars="0"/>
              <w:jc w:val="left"/>
              <w:textAlignment w:val="auto"/>
              <w:rPr>
                <w:rFonts w:hint="eastAsia" w:ascii="宋体" w:hAnsi="宋体" w:eastAsia="宋体" w:cs="宋体"/>
                <w:color w:val="auto"/>
                <w:kern w:val="0"/>
                <w:highlight w:val="none"/>
                <w:lang w:val="zh-CN" w:bidi="ar"/>
              </w:rPr>
            </w:pPr>
            <w:r>
              <w:rPr>
                <w:rFonts w:hint="eastAsia" w:ascii="宋体" w:hAnsi="宋体" w:eastAsia="宋体" w:cs="宋体"/>
                <w:color w:val="auto"/>
                <w:kern w:val="0"/>
                <w:highlight w:val="none"/>
                <w:lang w:val="en-US" w:bidi="ar"/>
              </w:rPr>
              <w:t>根据投标人承诺提供的后续服务方案（服务能力、服务措施、服务承诺</w:t>
            </w:r>
            <w:r>
              <w:rPr>
                <w:rFonts w:hint="eastAsia" w:ascii="宋体" w:hAnsi="宋体" w:eastAsia="宋体" w:cs="宋体"/>
                <w:color w:val="auto"/>
                <w:kern w:val="0"/>
                <w:highlight w:val="none"/>
                <w:lang w:val="en-US" w:eastAsia="zh-CN" w:bidi="ar"/>
              </w:rPr>
              <w:t>、与效果评价单位配合</w:t>
            </w:r>
            <w:r>
              <w:rPr>
                <w:rFonts w:hint="eastAsia" w:ascii="宋体" w:hAnsi="宋体" w:eastAsia="宋体" w:cs="宋体"/>
                <w:color w:val="auto"/>
                <w:kern w:val="0"/>
                <w:highlight w:val="none"/>
                <w:lang w:val="en-US" w:bidi="ar"/>
              </w:rPr>
              <w:t>等方面）情况，包括服务承诺的可行性、完整性以及后续的技术实施保障措施</w:t>
            </w:r>
            <w:r>
              <w:rPr>
                <w:rFonts w:hint="eastAsia" w:ascii="宋体" w:hAnsi="宋体" w:eastAsia="宋体" w:cs="宋体"/>
                <w:color w:val="auto"/>
                <w:sz w:val="24"/>
                <w:highlight w:val="none"/>
                <w:lang w:val="en-US" w:eastAsia="zh-CN"/>
              </w:rPr>
              <w:t>等</w:t>
            </w:r>
            <w:r>
              <w:rPr>
                <w:rFonts w:hint="eastAsia" w:ascii="宋体" w:hAnsi="宋体" w:eastAsia="宋体" w:cs="宋体"/>
                <w:color w:val="auto"/>
                <w:kern w:val="0"/>
                <w:highlight w:val="none"/>
                <w:lang w:val="en-US" w:eastAsia="zh-CN" w:bidi="ar"/>
              </w:rPr>
              <w:t>进行综合打分</w:t>
            </w:r>
            <w:r>
              <w:rPr>
                <w:rFonts w:hint="eastAsia" w:ascii="宋体" w:hAnsi="宋体" w:eastAsia="宋体" w:cs="宋体"/>
                <w:color w:val="auto"/>
                <w:kern w:val="0"/>
                <w:highlight w:val="none"/>
                <w:lang w:val="zh-CN" w:bidi="ar"/>
              </w:rPr>
              <w:t>【</w:t>
            </w:r>
            <w:r>
              <w:rPr>
                <w:rFonts w:hint="eastAsia" w:ascii="宋体" w:hAnsi="宋体" w:eastAsia="宋体" w:cs="宋体"/>
                <w:color w:val="auto"/>
                <w:kern w:val="0"/>
                <w:highlight w:val="none"/>
                <w:lang w:val="en-US" w:eastAsia="zh-CN" w:bidi="ar"/>
              </w:rPr>
              <w:t>满分5分，</w:t>
            </w:r>
            <w:r>
              <w:rPr>
                <w:rFonts w:hint="eastAsia" w:ascii="宋体" w:hAnsi="宋体" w:eastAsia="宋体" w:cs="宋体"/>
                <w:color w:val="auto"/>
                <w:kern w:val="0"/>
                <w:highlight w:val="none"/>
                <w:lang w:val="zh-CN" w:bidi="ar"/>
              </w:rPr>
              <w:t>打分分值范围：</w:t>
            </w:r>
            <w:r>
              <w:rPr>
                <w:rFonts w:hint="eastAsia" w:ascii="宋体" w:hAnsi="宋体" w:eastAsia="宋体" w:cs="宋体"/>
                <w:color w:val="auto"/>
                <w:kern w:val="0"/>
                <w:highlight w:val="none"/>
                <w:lang w:val="en-US" w:eastAsia="zh-CN" w:bidi="ar"/>
              </w:rPr>
              <w:t>5、4、</w:t>
            </w:r>
            <w:r>
              <w:rPr>
                <w:rFonts w:hint="eastAsia" w:ascii="宋体" w:hAnsi="宋体" w:eastAsia="宋体" w:cs="宋体"/>
                <w:color w:val="auto"/>
                <w:kern w:val="0"/>
                <w:highlight w:val="none"/>
                <w:lang w:val="zh-CN" w:bidi="ar"/>
              </w:rPr>
              <w:t>3、2、1、0】。</w:t>
            </w:r>
          </w:p>
          <w:p w14:paraId="4DB29770">
            <w:pPr>
              <w:pStyle w:val="74"/>
              <w:shd w:val="clear"/>
              <w:rPr>
                <w:rFonts w:hint="eastAsia" w:ascii="宋体" w:hAnsi="宋体" w:eastAsia="宋体" w:cs="宋体"/>
                <w:color w:val="auto"/>
                <w:highlight w:val="none"/>
                <w:lang w:val="zh-CN" w:eastAsia="zh-CN"/>
              </w:rPr>
            </w:pPr>
            <w:r>
              <w:rPr>
                <w:rFonts w:hint="eastAsia" w:ascii="宋体" w:hAnsi="宋体" w:eastAsia="宋体" w:cs="宋体"/>
                <w:color w:val="auto"/>
                <w:szCs w:val="21"/>
                <w:highlight w:val="none"/>
                <w:lang w:val="en-US" w:eastAsia="zh-CN"/>
              </w:rPr>
              <w:t>注：未提供</w:t>
            </w:r>
            <w:r>
              <w:rPr>
                <w:rFonts w:hint="eastAsia" w:ascii="宋体" w:hAnsi="宋体" w:eastAsia="宋体" w:cs="宋体"/>
                <w:color w:val="auto"/>
                <w:szCs w:val="21"/>
                <w:highlight w:val="none"/>
              </w:rPr>
              <w:t>不得分</w:t>
            </w:r>
            <w:r>
              <w:rPr>
                <w:rFonts w:hint="eastAsia" w:ascii="宋体" w:hAnsi="宋体" w:eastAsia="宋体" w:cs="宋体"/>
                <w:color w:val="auto"/>
                <w:szCs w:val="21"/>
                <w:highlight w:val="none"/>
                <w:lang w:bidi="ar"/>
              </w:rPr>
              <w:t>。</w:t>
            </w:r>
          </w:p>
        </w:tc>
        <w:tc>
          <w:tcPr>
            <w:tcW w:w="1150" w:type="dxa"/>
            <w:shd w:val="clear" w:color="auto" w:fill="auto"/>
            <w:noWrap w:val="0"/>
            <w:vAlign w:val="center"/>
          </w:tcPr>
          <w:p w14:paraId="6D30B2BC">
            <w:pPr>
              <w:keepNext w:val="0"/>
              <w:keepLines w:val="0"/>
              <w:widowControl/>
              <w:suppressLineNumbers w:val="0"/>
              <w:shd w:val="clear"/>
              <w:spacing w:before="0" w:beforeAutospacing="0" w:after="0" w:afterAutospacing="0" w:line="240" w:lineRule="auto"/>
              <w:ind w:left="0" w:right="0" w:firstLine="0" w:firstLineChars="0"/>
              <w:jc w:val="center"/>
              <w:rPr>
                <w:rFonts w:hint="eastAsia" w:ascii="宋体" w:hAnsi="宋体" w:eastAsia="宋体" w:cs="宋体"/>
                <w:color w:val="auto"/>
                <w:kern w:val="0"/>
                <w:highlight w:val="none"/>
                <w:lang w:val="zh-CN" w:eastAsia="zh-CN" w:bidi="ar"/>
              </w:rPr>
            </w:pPr>
            <w:r>
              <w:rPr>
                <w:rFonts w:hint="eastAsia" w:ascii="宋体" w:hAnsi="宋体" w:eastAsia="宋体" w:cs="宋体"/>
                <w:color w:val="auto"/>
                <w:kern w:val="0"/>
                <w:highlight w:val="none"/>
                <w:lang w:bidi="ar"/>
              </w:rPr>
              <w:t>0-</w:t>
            </w:r>
            <w:r>
              <w:rPr>
                <w:rFonts w:hint="eastAsia" w:ascii="宋体" w:hAnsi="宋体" w:eastAsia="宋体" w:cs="宋体"/>
                <w:color w:val="auto"/>
                <w:kern w:val="0"/>
                <w:highlight w:val="none"/>
                <w:lang w:val="en-US" w:eastAsia="zh-CN" w:bidi="ar"/>
              </w:rPr>
              <w:t>5</w:t>
            </w:r>
            <w:r>
              <w:rPr>
                <w:rFonts w:hint="eastAsia" w:ascii="宋体" w:hAnsi="宋体" w:eastAsia="宋体" w:cs="宋体"/>
                <w:color w:val="auto"/>
                <w:kern w:val="0"/>
                <w:highlight w:val="none"/>
                <w:lang w:bidi="ar"/>
              </w:rPr>
              <w:t>分</w:t>
            </w:r>
          </w:p>
        </w:tc>
      </w:tr>
    </w:tbl>
    <w:p w14:paraId="71D15DD5">
      <w:pPr>
        <w:pStyle w:val="41"/>
        <w:numPr>
          <w:ilvl w:val="0"/>
          <w:numId w:val="0"/>
        </w:numPr>
        <w:shd w:val="clear"/>
        <w:tabs>
          <w:tab w:val="left" w:pos="420"/>
        </w:tabs>
        <w:adjustRightInd w:val="0"/>
        <w:snapToGrid w:val="0"/>
        <w:spacing w:line="312" w:lineRule="auto"/>
        <w:ind w:left="482" w:leftChars="0"/>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十一、</w:t>
      </w:r>
      <w:bookmarkEnd w:id="423"/>
      <w:bookmarkEnd w:id="424"/>
      <w:bookmarkEnd w:id="425"/>
      <w:bookmarkEnd w:id="426"/>
      <w:bookmarkEnd w:id="427"/>
      <w:bookmarkStart w:id="428" w:name="_Toc8244"/>
      <w:bookmarkStart w:id="429" w:name="_Toc31285"/>
      <w:bookmarkStart w:id="430" w:name="_Toc6701"/>
      <w:bookmarkStart w:id="431" w:name="_Toc7559"/>
      <w:bookmarkStart w:id="432" w:name="_Toc2574"/>
      <w:r>
        <w:rPr>
          <w:rFonts w:hint="eastAsia" w:ascii="宋体" w:hAnsi="宋体" w:cs="宋体"/>
          <w:b/>
          <w:bCs/>
          <w:color w:val="auto"/>
          <w:sz w:val="28"/>
          <w:szCs w:val="28"/>
          <w:highlight w:val="none"/>
        </w:rPr>
        <w:t>串通投标情形</w:t>
      </w:r>
      <w:bookmarkEnd w:id="428"/>
      <w:bookmarkEnd w:id="429"/>
      <w:bookmarkEnd w:id="430"/>
      <w:bookmarkEnd w:id="431"/>
      <w:bookmarkEnd w:id="432"/>
    </w:p>
    <w:p w14:paraId="0809B1F6">
      <w:pPr>
        <w:pStyle w:val="41"/>
        <w:shd w:val="clear"/>
        <w:tabs>
          <w:tab w:val="left" w:pos="420"/>
        </w:tabs>
        <w:adjustRightInd w:val="0"/>
        <w:snapToGrid w:val="0"/>
        <w:spacing w:line="312" w:lineRule="auto"/>
        <w:ind w:firstLine="482" w:firstLineChars="0"/>
        <w:rPr>
          <w:rFonts w:hint="eastAsia" w:ascii="宋体" w:hAnsi="宋体" w:cs="宋体"/>
          <w:color w:val="auto"/>
          <w:highlight w:val="none"/>
        </w:rPr>
      </w:pPr>
      <w:r>
        <w:rPr>
          <w:rFonts w:hint="eastAsia" w:ascii="宋体" w:hAnsi="宋体" w:cs="宋体"/>
          <w:color w:val="auto"/>
          <w:highlight w:val="none"/>
        </w:rPr>
        <w:t>招标采购中，有下列情形之一的，视为投标人串通投标，其投标无效：</w:t>
      </w:r>
    </w:p>
    <w:p w14:paraId="76FCEE53">
      <w:pPr>
        <w:pStyle w:val="41"/>
        <w:numPr>
          <w:ilvl w:val="0"/>
          <w:numId w:val="9"/>
        </w:numPr>
        <w:shd w:val="clear"/>
        <w:tabs>
          <w:tab w:val="left" w:pos="420"/>
          <w:tab w:val="clear" w:pos="0"/>
        </w:tabs>
        <w:adjustRightInd w:val="0"/>
        <w:snapToGrid w:val="0"/>
        <w:spacing w:line="312" w:lineRule="auto"/>
        <w:ind w:left="0" w:firstLine="482" w:firstLineChars="0"/>
        <w:rPr>
          <w:rFonts w:hint="eastAsia" w:ascii="宋体" w:hAnsi="宋体" w:cs="宋体"/>
          <w:color w:val="auto"/>
          <w:highlight w:val="none"/>
        </w:rPr>
      </w:pPr>
      <w:r>
        <w:rPr>
          <w:rFonts w:hint="eastAsia" w:ascii="宋体" w:hAnsi="宋体" w:cs="宋体"/>
          <w:color w:val="auto"/>
          <w:highlight w:val="none"/>
        </w:rPr>
        <w:t>不同投标人的投标文件由同一单位或者个人编制；</w:t>
      </w:r>
    </w:p>
    <w:p w14:paraId="604FDCB0">
      <w:pPr>
        <w:pStyle w:val="41"/>
        <w:numPr>
          <w:ilvl w:val="0"/>
          <w:numId w:val="9"/>
        </w:numPr>
        <w:shd w:val="clear"/>
        <w:tabs>
          <w:tab w:val="left" w:pos="420"/>
          <w:tab w:val="clear" w:pos="0"/>
        </w:tabs>
        <w:adjustRightInd w:val="0"/>
        <w:snapToGrid w:val="0"/>
        <w:spacing w:line="312" w:lineRule="auto"/>
        <w:ind w:left="0" w:firstLine="482" w:firstLineChars="0"/>
        <w:rPr>
          <w:rFonts w:hint="eastAsia" w:ascii="宋体" w:hAnsi="宋体" w:cs="宋体"/>
          <w:color w:val="auto"/>
          <w:highlight w:val="none"/>
        </w:rPr>
      </w:pPr>
      <w:r>
        <w:rPr>
          <w:rFonts w:hint="eastAsia" w:ascii="宋体" w:hAnsi="宋体" w:cs="宋体"/>
          <w:color w:val="auto"/>
          <w:highlight w:val="none"/>
        </w:rPr>
        <w:t>不同投标人委托同一单位或者个人办理投标事宜；</w:t>
      </w:r>
    </w:p>
    <w:p w14:paraId="72D23390">
      <w:pPr>
        <w:pStyle w:val="41"/>
        <w:numPr>
          <w:ilvl w:val="0"/>
          <w:numId w:val="9"/>
        </w:numPr>
        <w:shd w:val="clear"/>
        <w:tabs>
          <w:tab w:val="left" w:pos="420"/>
          <w:tab w:val="clear" w:pos="0"/>
        </w:tabs>
        <w:adjustRightInd w:val="0"/>
        <w:snapToGrid w:val="0"/>
        <w:spacing w:line="312" w:lineRule="auto"/>
        <w:ind w:left="0" w:firstLine="482" w:firstLineChars="0"/>
        <w:rPr>
          <w:rFonts w:hint="eastAsia" w:ascii="宋体" w:hAnsi="宋体" w:cs="宋体"/>
          <w:color w:val="auto"/>
          <w:highlight w:val="none"/>
        </w:rPr>
      </w:pPr>
      <w:r>
        <w:rPr>
          <w:rFonts w:hint="eastAsia" w:ascii="宋体" w:hAnsi="宋体" w:cs="宋体"/>
          <w:color w:val="auto"/>
          <w:highlight w:val="none"/>
        </w:rPr>
        <w:t>不同投标人的投标文件载明的项目管理成员或者联系人员为同一人；</w:t>
      </w:r>
    </w:p>
    <w:p w14:paraId="0510FD2C">
      <w:pPr>
        <w:pStyle w:val="41"/>
        <w:numPr>
          <w:ilvl w:val="0"/>
          <w:numId w:val="9"/>
        </w:numPr>
        <w:shd w:val="clear"/>
        <w:tabs>
          <w:tab w:val="left" w:pos="420"/>
          <w:tab w:val="clear" w:pos="0"/>
        </w:tabs>
        <w:adjustRightInd w:val="0"/>
        <w:snapToGrid w:val="0"/>
        <w:spacing w:line="312" w:lineRule="auto"/>
        <w:ind w:left="0" w:firstLine="482" w:firstLineChars="0"/>
        <w:rPr>
          <w:rFonts w:hint="eastAsia" w:ascii="宋体" w:hAnsi="宋体" w:cs="宋体"/>
          <w:color w:val="auto"/>
          <w:highlight w:val="none"/>
        </w:rPr>
      </w:pPr>
      <w:r>
        <w:rPr>
          <w:rFonts w:hint="eastAsia" w:ascii="宋体" w:hAnsi="宋体" w:cs="宋体"/>
          <w:color w:val="auto"/>
          <w:highlight w:val="none"/>
        </w:rPr>
        <w:t>不同投标人的投标文件异常一致或者投标报价呈规律性差异；</w:t>
      </w:r>
    </w:p>
    <w:p w14:paraId="77CD3D26">
      <w:pPr>
        <w:pStyle w:val="41"/>
        <w:numPr>
          <w:ilvl w:val="0"/>
          <w:numId w:val="9"/>
        </w:numPr>
        <w:shd w:val="clear"/>
        <w:tabs>
          <w:tab w:val="left" w:pos="420"/>
          <w:tab w:val="clear" w:pos="0"/>
        </w:tabs>
        <w:adjustRightInd w:val="0"/>
        <w:snapToGrid w:val="0"/>
        <w:spacing w:line="312" w:lineRule="auto"/>
        <w:ind w:left="0" w:firstLine="482" w:firstLineChars="0"/>
        <w:rPr>
          <w:rFonts w:hint="eastAsia" w:ascii="宋体" w:hAnsi="宋体" w:cs="宋体"/>
          <w:color w:val="auto"/>
          <w:highlight w:val="none"/>
        </w:rPr>
      </w:pPr>
      <w:r>
        <w:rPr>
          <w:rFonts w:hint="eastAsia" w:ascii="宋体" w:hAnsi="宋体" w:cs="宋体"/>
          <w:color w:val="auto"/>
          <w:highlight w:val="none"/>
        </w:rPr>
        <w:t>不同投标人的投标文件相互上传。</w:t>
      </w:r>
    </w:p>
    <w:p w14:paraId="71A6D35C">
      <w:pPr>
        <w:pStyle w:val="2"/>
        <w:numPr>
          <w:ilvl w:val="0"/>
          <w:numId w:val="0"/>
        </w:numPr>
        <w:shd w:val="clear"/>
        <w:spacing w:before="312" w:after="312"/>
        <w:ind w:left="432" w:hanging="432"/>
        <w:rPr>
          <w:rFonts w:hint="eastAsia" w:ascii="宋体" w:hAnsi="宋体" w:cs="宋体"/>
          <w:color w:val="auto"/>
          <w:highlight w:val="none"/>
        </w:rPr>
      </w:pPr>
      <w:bookmarkStart w:id="433" w:name="_Toc6136"/>
      <w:r>
        <w:rPr>
          <w:rFonts w:hint="eastAsia" w:ascii="宋体" w:hAnsi="宋体" w:cs="宋体"/>
          <w:color w:val="auto"/>
          <w:highlight w:val="none"/>
        </w:rPr>
        <w:t>第六章  投标文件格式</w:t>
      </w:r>
      <w:bookmarkEnd w:id="433"/>
    </w:p>
    <w:tbl>
      <w:tblPr>
        <w:tblStyle w:val="43"/>
        <w:tblW w:w="8960" w:type="dxa"/>
        <w:jc w:val="center"/>
        <w:tblBorders>
          <w:top w:val="dashDotStroked" w:color="000080" w:sz="24" w:space="0"/>
          <w:left w:val="dashDotStroked" w:color="000080" w:sz="24" w:space="0"/>
          <w:bottom w:val="dashDotStroked" w:color="000080" w:sz="24" w:space="0"/>
          <w:right w:val="dashDotStroked" w:color="000080" w:sz="24" w:space="0"/>
          <w:insideH w:val="dashDotStroked" w:color="000080" w:sz="24" w:space="0"/>
          <w:insideV w:val="dashDotStroked" w:color="000080" w:sz="24" w:space="0"/>
        </w:tblBorders>
        <w:tblLayout w:type="fixed"/>
        <w:tblCellMar>
          <w:top w:w="0" w:type="dxa"/>
          <w:left w:w="108" w:type="dxa"/>
          <w:bottom w:w="0" w:type="dxa"/>
          <w:right w:w="108" w:type="dxa"/>
        </w:tblCellMar>
      </w:tblPr>
      <w:tblGrid>
        <w:gridCol w:w="8960"/>
      </w:tblGrid>
      <w:tr w14:paraId="43216D80">
        <w:tblPrEx>
          <w:tblBorders>
            <w:top w:val="dashDotStroked" w:color="000080" w:sz="24" w:space="0"/>
            <w:left w:val="dashDotStroked" w:color="000080" w:sz="24" w:space="0"/>
            <w:bottom w:val="dashDotStroked" w:color="000080" w:sz="24" w:space="0"/>
            <w:right w:val="dashDotStroked" w:color="000080" w:sz="24" w:space="0"/>
            <w:insideH w:val="dashDotStroked" w:color="000080" w:sz="24" w:space="0"/>
            <w:insideV w:val="dashDotStroked" w:color="000080" w:sz="24" w:space="0"/>
          </w:tblBorders>
          <w:tblCellMar>
            <w:top w:w="0" w:type="dxa"/>
            <w:left w:w="108" w:type="dxa"/>
            <w:bottom w:w="0" w:type="dxa"/>
            <w:right w:w="108" w:type="dxa"/>
          </w:tblCellMar>
        </w:tblPrEx>
        <w:trPr>
          <w:trHeight w:val="11530" w:hRule="atLeast"/>
          <w:jc w:val="center"/>
        </w:trPr>
        <w:tc>
          <w:tcPr>
            <w:tcW w:w="8960" w:type="dxa"/>
            <w:tcBorders>
              <w:top w:val="double" w:color="666699" w:sz="4" w:space="0"/>
              <w:left w:val="double" w:color="666699" w:sz="4" w:space="0"/>
              <w:bottom w:val="double" w:color="666699" w:sz="4" w:space="0"/>
              <w:right w:val="double" w:color="666699" w:sz="4" w:space="0"/>
            </w:tcBorders>
            <w:shd w:val="clear" w:color="auto" w:fill="FCFEEA"/>
          </w:tcPr>
          <w:p w14:paraId="28076D2E">
            <w:pPr>
              <w:shd w:val="clear"/>
              <w:snapToGrid w:val="0"/>
              <w:spacing w:line="420" w:lineRule="exact"/>
              <w:ind w:firstLine="602"/>
              <w:jc w:val="center"/>
              <w:rPr>
                <w:rFonts w:hint="eastAsia" w:ascii="宋体" w:hAnsi="宋体" w:cs="宋体"/>
                <w:b/>
                <w:color w:val="auto"/>
                <w:sz w:val="30"/>
                <w:highlight w:val="none"/>
              </w:rPr>
            </w:pPr>
          </w:p>
          <w:p w14:paraId="3FF441D2">
            <w:pPr>
              <w:pStyle w:val="16"/>
              <w:shd w:val="clear"/>
              <w:ind w:firstLine="839"/>
              <w:rPr>
                <w:rFonts w:hint="eastAsia" w:ascii="宋体" w:hAnsi="宋体" w:cs="宋体"/>
                <w:b/>
                <w:bCs w:val="0"/>
                <w:color w:val="auto"/>
                <w:spacing w:val="-11"/>
                <w:sz w:val="44"/>
                <w:szCs w:val="44"/>
                <w:highlight w:val="none"/>
                <w:u w:val="single"/>
                <w:lang w:val="zh-CN"/>
              </w:rPr>
            </w:pPr>
          </w:p>
          <w:p w14:paraId="188DF367">
            <w:pPr>
              <w:pStyle w:val="16"/>
              <w:shd w:val="clear"/>
              <w:ind w:firstLine="839"/>
              <w:jc w:val="center"/>
              <w:rPr>
                <w:rFonts w:hint="eastAsia" w:ascii="宋体" w:hAnsi="宋体" w:cs="宋体"/>
                <w:b/>
                <w:bCs w:val="0"/>
                <w:color w:val="auto"/>
                <w:spacing w:val="-11"/>
                <w:sz w:val="44"/>
                <w:szCs w:val="44"/>
                <w:highlight w:val="none"/>
                <w:u w:val="single"/>
                <w:lang w:val="zh-CN"/>
              </w:rPr>
            </w:pPr>
          </w:p>
          <w:p w14:paraId="18BF6F4B">
            <w:pPr>
              <w:pStyle w:val="18"/>
              <w:shd w:val="clear"/>
              <w:ind w:left="0"/>
              <w:jc w:val="center"/>
              <w:rPr>
                <w:color w:val="auto"/>
                <w:highlight w:val="none"/>
              </w:rPr>
            </w:pPr>
            <w:r>
              <w:rPr>
                <w:rFonts w:hint="eastAsia" w:ascii="宋体" w:hAnsi="宋体" w:cs="宋体"/>
                <w:b/>
                <w:color w:val="auto"/>
                <w:spacing w:val="-11"/>
                <w:sz w:val="44"/>
                <w:szCs w:val="44"/>
                <w:highlight w:val="none"/>
                <w:u w:val="single"/>
                <w:lang w:val="zh-CN"/>
              </w:rPr>
              <w:t xml:space="preserve"> 捷马化工股份有限公司宝塔路地块风险管控项目环境监理采购项目</w:t>
            </w:r>
          </w:p>
          <w:p w14:paraId="031D3E8E">
            <w:pPr>
              <w:pStyle w:val="17"/>
              <w:shd w:val="clear"/>
              <w:rPr>
                <w:rFonts w:hint="eastAsia" w:ascii="宋体" w:hAnsi="宋体" w:cs="宋体"/>
                <w:b/>
                <w:bCs w:val="0"/>
                <w:color w:val="auto"/>
                <w:spacing w:val="-11"/>
                <w:sz w:val="44"/>
                <w:szCs w:val="44"/>
                <w:highlight w:val="none"/>
              </w:rPr>
            </w:pPr>
          </w:p>
          <w:p w14:paraId="13F58ACE">
            <w:pPr>
              <w:pStyle w:val="18"/>
              <w:shd w:val="clear"/>
              <w:rPr>
                <w:color w:val="auto"/>
                <w:highlight w:val="none"/>
              </w:rPr>
            </w:pPr>
          </w:p>
          <w:p w14:paraId="4DDAC3AC">
            <w:pPr>
              <w:shd w:val="clear"/>
              <w:ind w:firstLine="480"/>
              <w:rPr>
                <w:color w:val="auto"/>
                <w:highlight w:val="none"/>
              </w:rPr>
            </w:pPr>
          </w:p>
          <w:p w14:paraId="5C918F39">
            <w:pPr>
              <w:shd w:val="clear"/>
              <w:ind w:firstLine="480"/>
              <w:rPr>
                <w:color w:val="auto"/>
                <w:highlight w:val="none"/>
              </w:rPr>
            </w:pPr>
          </w:p>
          <w:p w14:paraId="57307391">
            <w:pPr>
              <w:pStyle w:val="63"/>
              <w:shd w:val="clear"/>
              <w:rPr>
                <w:color w:val="auto"/>
                <w:highlight w:val="none"/>
              </w:rPr>
            </w:pPr>
          </w:p>
          <w:p w14:paraId="78CE7729">
            <w:pPr>
              <w:pStyle w:val="16"/>
              <w:shd w:val="clear"/>
              <w:spacing w:line="720" w:lineRule="auto"/>
              <w:ind w:firstLine="0" w:firstLineChars="0"/>
              <w:jc w:val="center"/>
              <w:rPr>
                <w:rFonts w:hint="eastAsia" w:ascii="宋体" w:hAnsi="宋体" w:cs="宋体"/>
                <w:b/>
                <w:color w:val="auto"/>
                <w:sz w:val="44"/>
                <w:szCs w:val="44"/>
                <w:highlight w:val="none"/>
              </w:rPr>
            </w:pPr>
            <w:r>
              <w:rPr>
                <w:rFonts w:hint="eastAsia" w:ascii="宋体" w:hAnsi="宋体" w:cs="宋体"/>
                <w:b/>
                <w:bCs w:val="0"/>
                <w:color w:val="auto"/>
                <w:spacing w:val="-11"/>
                <w:sz w:val="44"/>
                <w:szCs w:val="44"/>
                <w:highlight w:val="none"/>
              </w:rPr>
              <w:t>资格文件/</w:t>
            </w:r>
            <w:r>
              <w:rPr>
                <w:rFonts w:hint="eastAsia" w:ascii="宋体" w:hAnsi="宋体" w:cs="宋体"/>
                <w:b/>
                <w:color w:val="auto"/>
                <w:sz w:val="44"/>
                <w:szCs w:val="44"/>
                <w:highlight w:val="none"/>
              </w:rPr>
              <w:t>资信商务技术文件/报价文件</w:t>
            </w:r>
          </w:p>
          <w:p w14:paraId="23BE58E8">
            <w:pPr>
              <w:shd w:val="clear"/>
              <w:ind w:firstLine="480"/>
              <w:rPr>
                <w:rFonts w:hint="eastAsia" w:ascii="宋体" w:hAnsi="宋体" w:cs="宋体"/>
                <w:color w:val="auto"/>
                <w:highlight w:val="none"/>
              </w:rPr>
            </w:pPr>
          </w:p>
          <w:p w14:paraId="58657D3E">
            <w:pPr>
              <w:pStyle w:val="16"/>
              <w:shd w:val="clear"/>
              <w:ind w:firstLine="480"/>
              <w:rPr>
                <w:rFonts w:hint="eastAsia" w:ascii="宋体" w:hAnsi="宋体" w:cs="宋体"/>
                <w:color w:val="auto"/>
                <w:highlight w:val="none"/>
              </w:rPr>
            </w:pPr>
          </w:p>
          <w:p w14:paraId="48829FDF">
            <w:pPr>
              <w:pStyle w:val="50"/>
              <w:shd w:val="clear"/>
              <w:ind w:firstLine="480"/>
              <w:rPr>
                <w:rFonts w:hint="eastAsia" w:ascii="宋体" w:hAnsi="宋体" w:cs="宋体"/>
                <w:color w:val="auto"/>
                <w:highlight w:val="none"/>
              </w:rPr>
            </w:pPr>
          </w:p>
          <w:p w14:paraId="563BFA83">
            <w:pPr>
              <w:shd w:val="clear"/>
              <w:spacing w:line="420" w:lineRule="exact"/>
              <w:ind w:firstLine="0" w:firstLineChars="0"/>
              <w:rPr>
                <w:rFonts w:hint="eastAsia" w:ascii="宋体" w:hAnsi="宋体" w:cs="宋体"/>
                <w:b/>
                <w:color w:val="auto"/>
                <w:sz w:val="32"/>
                <w:highlight w:val="none"/>
              </w:rPr>
            </w:pPr>
          </w:p>
          <w:p w14:paraId="56065EE3">
            <w:pPr>
              <w:pStyle w:val="16"/>
              <w:shd w:val="clear"/>
              <w:ind w:firstLine="0" w:firstLineChars="0"/>
              <w:rPr>
                <w:rFonts w:hint="eastAsia" w:ascii="宋体" w:hAnsi="宋体" w:cs="宋体"/>
                <w:color w:val="auto"/>
                <w:highlight w:val="none"/>
              </w:rPr>
            </w:pPr>
          </w:p>
          <w:p w14:paraId="4D730880">
            <w:pPr>
              <w:shd w:val="clear"/>
              <w:spacing w:line="420" w:lineRule="exact"/>
              <w:ind w:firstLine="0" w:firstLineChars="0"/>
              <w:rPr>
                <w:rFonts w:hint="eastAsia" w:ascii="宋体" w:hAnsi="宋体" w:cs="宋体"/>
                <w:b/>
                <w:color w:val="auto"/>
                <w:sz w:val="32"/>
                <w:highlight w:val="none"/>
              </w:rPr>
            </w:pPr>
          </w:p>
          <w:p w14:paraId="5119EEC4">
            <w:pPr>
              <w:shd w:val="clear"/>
              <w:spacing w:line="360" w:lineRule="auto"/>
              <w:ind w:firstLine="640"/>
              <w:rPr>
                <w:rFonts w:hint="eastAsia" w:ascii="宋体" w:hAnsi="宋体" w:cs="宋体"/>
                <w:color w:val="auto"/>
                <w:sz w:val="32"/>
                <w:highlight w:val="none"/>
              </w:rPr>
            </w:pPr>
            <w:r>
              <w:rPr>
                <w:rFonts w:hint="eastAsia" w:ascii="宋体" w:hAnsi="宋体" w:cs="宋体"/>
                <w:color w:val="auto"/>
                <w:sz w:val="32"/>
                <w:highlight w:val="none"/>
              </w:rPr>
              <w:t>项目编号：</w:t>
            </w:r>
            <w:r>
              <w:rPr>
                <w:rFonts w:hint="eastAsia" w:ascii="宋体" w:hAnsi="宋体" w:cs="宋体"/>
                <w:color w:val="auto"/>
                <w:sz w:val="32"/>
                <w:highlight w:val="none"/>
                <w:u w:val="single"/>
              </w:rPr>
              <w:t xml:space="preserve">      </w:t>
            </w:r>
            <w:r>
              <w:rPr>
                <w:rFonts w:hint="eastAsia" w:ascii="宋体" w:hAnsi="宋体" w:cs="宋体"/>
                <w:color w:val="auto"/>
                <w:sz w:val="32"/>
                <w:highlight w:val="none"/>
                <w:u w:val="single"/>
                <w:lang w:eastAsia="zh-CN"/>
              </w:rPr>
              <w:t>LYCG2025YX-014</w:t>
            </w:r>
            <w:r>
              <w:rPr>
                <w:rFonts w:hint="eastAsia" w:ascii="宋体" w:hAnsi="宋体" w:cs="宋体"/>
                <w:color w:val="auto"/>
                <w:sz w:val="32"/>
                <w:highlight w:val="none"/>
                <w:u w:val="single"/>
              </w:rPr>
              <w:t xml:space="preserve">            </w:t>
            </w:r>
          </w:p>
          <w:p w14:paraId="6AE9ADFE">
            <w:pPr>
              <w:shd w:val="clear"/>
              <w:spacing w:line="360" w:lineRule="auto"/>
              <w:ind w:firstLine="640"/>
              <w:rPr>
                <w:rFonts w:hint="eastAsia" w:ascii="宋体" w:hAnsi="宋体" w:cs="宋体"/>
                <w:color w:val="auto"/>
                <w:sz w:val="32"/>
                <w:highlight w:val="none"/>
              </w:rPr>
            </w:pPr>
            <w:r>
              <w:rPr>
                <w:rFonts w:hint="eastAsia" w:ascii="宋体" w:hAnsi="宋体" w:cs="宋体"/>
                <w:color w:val="auto"/>
                <w:sz w:val="32"/>
                <w:highlight w:val="none"/>
              </w:rPr>
              <w:t>投 标 人：</w:t>
            </w:r>
            <w:r>
              <w:rPr>
                <w:rFonts w:hint="eastAsia" w:ascii="宋体" w:hAnsi="宋体" w:cs="宋体"/>
                <w:color w:val="auto"/>
                <w:sz w:val="32"/>
                <w:highlight w:val="none"/>
                <w:u w:val="single"/>
              </w:rPr>
              <w:t xml:space="preserve">    （全称）（加盖公章）           </w:t>
            </w:r>
          </w:p>
          <w:p w14:paraId="21C4CC7B">
            <w:pPr>
              <w:shd w:val="clear"/>
              <w:spacing w:line="360" w:lineRule="auto"/>
              <w:ind w:firstLine="640"/>
              <w:rPr>
                <w:rFonts w:hint="eastAsia" w:ascii="宋体" w:hAnsi="宋体" w:cs="宋体"/>
                <w:color w:val="auto"/>
                <w:sz w:val="32"/>
                <w:highlight w:val="none"/>
              </w:rPr>
            </w:pPr>
            <w:r>
              <w:rPr>
                <w:rFonts w:hint="eastAsia" w:ascii="宋体" w:hAnsi="宋体" w:cs="宋体"/>
                <w:color w:val="auto"/>
                <w:sz w:val="32"/>
                <w:highlight w:val="none"/>
              </w:rPr>
              <w:t>法定代表人或授权代表人签字或盖章：</w:t>
            </w:r>
            <w:r>
              <w:rPr>
                <w:rFonts w:hint="eastAsia" w:ascii="宋体" w:hAnsi="宋体" w:cs="宋体"/>
                <w:color w:val="auto"/>
                <w:sz w:val="32"/>
                <w:highlight w:val="none"/>
                <w:u w:val="single"/>
              </w:rPr>
              <w:t xml:space="preserve">           </w:t>
            </w:r>
          </w:p>
          <w:p w14:paraId="15E5510B">
            <w:pPr>
              <w:pStyle w:val="12"/>
              <w:shd w:val="clear"/>
              <w:ind w:firstLine="640"/>
              <w:rPr>
                <w:rFonts w:hint="eastAsia" w:ascii="宋体" w:hAnsi="宋体" w:cs="宋体"/>
                <w:color w:val="auto"/>
                <w:sz w:val="32"/>
                <w:highlight w:val="none"/>
              </w:rPr>
            </w:pPr>
            <w:r>
              <w:rPr>
                <w:rFonts w:hint="eastAsia" w:ascii="宋体" w:hAnsi="宋体" w:cs="宋体"/>
                <w:color w:val="auto"/>
                <w:sz w:val="32"/>
                <w:highlight w:val="none"/>
              </w:rPr>
              <w:t>地址：</w:t>
            </w:r>
            <w:r>
              <w:rPr>
                <w:rFonts w:hint="eastAsia" w:ascii="宋体" w:hAnsi="宋体" w:cs="宋体"/>
                <w:color w:val="auto"/>
                <w:sz w:val="32"/>
                <w:highlight w:val="none"/>
                <w:u w:val="single"/>
              </w:rPr>
              <w:t xml:space="preserve">                          </w:t>
            </w:r>
          </w:p>
          <w:p w14:paraId="1962DBFB">
            <w:pPr>
              <w:shd w:val="clear"/>
              <w:spacing w:line="360" w:lineRule="auto"/>
              <w:ind w:firstLine="0" w:firstLineChars="0"/>
              <w:jc w:val="center"/>
              <w:rPr>
                <w:rFonts w:hint="eastAsia" w:ascii="宋体" w:hAnsi="宋体" w:cs="宋体"/>
                <w:color w:val="auto"/>
                <w:highlight w:val="none"/>
              </w:rPr>
            </w:pPr>
            <w:r>
              <w:rPr>
                <w:rFonts w:hint="eastAsia" w:ascii="宋体" w:hAnsi="宋体" w:cs="宋体"/>
                <w:color w:val="auto"/>
                <w:sz w:val="32"/>
                <w:highlight w:val="none"/>
              </w:rPr>
              <w:t>二〇二五年    月    日</w:t>
            </w:r>
          </w:p>
          <w:p w14:paraId="009DDC84">
            <w:pPr>
              <w:shd w:val="clear"/>
              <w:adjustRightInd w:val="0"/>
              <w:snapToGrid w:val="0"/>
              <w:spacing w:line="360" w:lineRule="auto"/>
              <w:ind w:firstLine="480"/>
              <w:rPr>
                <w:rFonts w:hint="eastAsia" w:ascii="宋体" w:hAnsi="宋体" w:cs="宋体"/>
                <w:color w:val="auto"/>
                <w:highlight w:val="none"/>
              </w:rPr>
            </w:pPr>
          </w:p>
        </w:tc>
      </w:tr>
    </w:tbl>
    <w:p w14:paraId="74728E28">
      <w:pPr>
        <w:pStyle w:val="2"/>
        <w:numPr>
          <w:ilvl w:val="0"/>
          <w:numId w:val="0"/>
        </w:numPr>
        <w:shd w:val="clear"/>
        <w:spacing w:before="312" w:after="312"/>
        <w:rPr>
          <w:rFonts w:hint="eastAsia" w:ascii="宋体" w:hAnsi="宋体" w:cs="宋体"/>
          <w:color w:val="auto"/>
          <w:sz w:val="30"/>
          <w:szCs w:val="30"/>
          <w:highlight w:val="none"/>
        </w:rPr>
      </w:pPr>
      <w:bookmarkStart w:id="434" w:name="_Toc31092"/>
      <w:bookmarkStart w:id="435" w:name="_Toc24312"/>
      <w:bookmarkStart w:id="436" w:name="_Toc6917"/>
      <w:bookmarkStart w:id="437" w:name="_Toc8274"/>
      <w:bookmarkStart w:id="438" w:name="_Toc9336"/>
      <w:r>
        <w:rPr>
          <w:rFonts w:hint="eastAsia" w:ascii="宋体" w:hAnsi="宋体" w:cs="宋体"/>
          <w:color w:val="auto"/>
          <w:sz w:val="30"/>
          <w:szCs w:val="30"/>
          <w:highlight w:val="none"/>
        </w:rPr>
        <w:t>投标人客观分自评分指引表</w:t>
      </w:r>
      <w:bookmarkEnd w:id="434"/>
      <w:bookmarkEnd w:id="435"/>
      <w:bookmarkEnd w:id="436"/>
      <w:bookmarkEnd w:id="437"/>
      <w:bookmarkEnd w:id="438"/>
    </w:p>
    <w:tbl>
      <w:tblPr>
        <w:tblStyle w:val="43"/>
        <w:tblW w:w="499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17"/>
        <w:gridCol w:w="2440"/>
        <w:gridCol w:w="2599"/>
        <w:gridCol w:w="1779"/>
        <w:gridCol w:w="2111"/>
      </w:tblGrid>
      <w:tr w14:paraId="0B4D2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9" w:hRule="atLeast"/>
          <w:jc w:val="center"/>
        </w:trPr>
        <w:tc>
          <w:tcPr>
            <w:tcW w:w="511" w:type="pct"/>
            <w:vAlign w:val="center"/>
          </w:tcPr>
          <w:p w14:paraId="69C484D9">
            <w:pPr>
              <w:pStyle w:val="16"/>
              <w:shd w:val="clear"/>
              <w:tabs>
                <w:tab w:val="left" w:pos="0"/>
                <w:tab w:val="left" w:pos="993"/>
                <w:tab w:val="left" w:pos="1134"/>
              </w:tabs>
              <w:adjustRightInd w:val="0"/>
              <w:ind w:firstLine="0" w:firstLineChars="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序号</w:t>
            </w:r>
          </w:p>
        </w:tc>
        <w:tc>
          <w:tcPr>
            <w:tcW w:w="1226" w:type="pct"/>
            <w:vAlign w:val="center"/>
          </w:tcPr>
          <w:p w14:paraId="33295D76">
            <w:pPr>
              <w:pStyle w:val="16"/>
              <w:shd w:val="clear"/>
              <w:tabs>
                <w:tab w:val="left" w:pos="0"/>
                <w:tab w:val="left" w:pos="993"/>
                <w:tab w:val="left" w:pos="1134"/>
              </w:tabs>
              <w:adjustRightInd w:val="0"/>
              <w:ind w:firstLine="0" w:firstLineChars="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评分标准</w:t>
            </w:r>
          </w:p>
        </w:tc>
        <w:tc>
          <w:tcPr>
            <w:tcW w:w="1306" w:type="pct"/>
            <w:vAlign w:val="center"/>
          </w:tcPr>
          <w:p w14:paraId="54F34F88">
            <w:pPr>
              <w:pStyle w:val="16"/>
              <w:shd w:val="clear"/>
              <w:tabs>
                <w:tab w:val="left" w:pos="0"/>
                <w:tab w:val="left" w:pos="993"/>
                <w:tab w:val="left" w:pos="1134"/>
              </w:tabs>
              <w:adjustRightInd w:val="0"/>
              <w:ind w:firstLine="0" w:firstLineChars="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投标文件页码</w:t>
            </w:r>
          </w:p>
        </w:tc>
        <w:tc>
          <w:tcPr>
            <w:tcW w:w="894" w:type="pct"/>
            <w:vAlign w:val="center"/>
          </w:tcPr>
          <w:p w14:paraId="153F022E">
            <w:pPr>
              <w:pStyle w:val="16"/>
              <w:shd w:val="clear"/>
              <w:tabs>
                <w:tab w:val="left" w:pos="0"/>
                <w:tab w:val="left" w:pos="993"/>
                <w:tab w:val="left" w:pos="1134"/>
              </w:tabs>
              <w:adjustRightInd w:val="0"/>
              <w:ind w:firstLine="0" w:firstLineChars="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得分</w:t>
            </w:r>
          </w:p>
        </w:tc>
        <w:tc>
          <w:tcPr>
            <w:tcW w:w="1061" w:type="pct"/>
            <w:vAlign w:val="center"/>
          </w:tcPr>
          <w:p w14:paraId="2D435629">
            <w:pPr>
              <w:pStyle w:val="16"/>
              <w:shd w:val="clear"/>
              <w:tabs>
                <w:tab w:val="left" w:pos="0"/>
                <w:tab w:val="left" w:pos="993"/>
                <w:tab w:val="left" w:pos="1134"/>
              </w:tabs>
              <w:adjustRightInd w:val="0"/>
              <w:ind w:firstLine="0" w:firstLineChars="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说明</w:t>
            </w:r>
          </w:p>
        </w:tc>
      </w:tr>
      <w:tr w14:paraId="29118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511" w:type="pct"/>
            <w:vAlign w:val="center"/>
          </w:tcPr>
          <w:p w14:paraId="29C170C5">
            <w:pPr>
              <w:pStyle w:val="16"/>
              <w:shd w:val="clear"/>
              <w:tabs>
                <w:tab w:val="left" w:pos="0"/>
                <w:tab w:val="left" w:pos="993"/>
                <w:tab w:val="left" w:pos="1134"/>
              </w:tabs>
              <w:adjustRightInd w:val="0"/>
              <w:ind w:firstLine="0" w:firstLineChars="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1</w:t>
            </w:r>
          </w:p>
        </w:tc>
        <w:tc>
          <w:tcPr>
            <w:tcW w:w="1226" w:type="pct"/>
            <w:vAlign w:val="center"/>
          </w:tcPr>
          <w:p w14:paraId="7D0FF148">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c>
          <w:tcPr>
            <w:tcW w:w="1306" w:type="pct"/>
            <w:vAlign w:val="center"/>
          </w:tcPr>
          <w:p w14:paraId="67A84E71">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c>
          <w:tcPr>
            <w:tcW w:w="894" w:type="pct"/>
            <w:vAlign w:val="center"/>
          </w:tcPr>
          <w:p w14:paraId="3ED6257C">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c>
          <w:tcPr>
            <w:tcW w:w="1061" w:type="pct"/>
            <w:vAlign w:val="center"/>
          </w:tcPr>
          <w:p w14:paraId="3868D71F">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r>
      <w:tr w14:paraId="55F79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511" w:type="pct"/>
            <w:vAlign w:val="center"/>
          </w:tcPr>
          <w:p w14:paraId="20A587E6">
            <w:pPr>
              <w:pStyle w:val="16"/>
              <w:shd w:val="clear"/>
              <w:tabs>
                <w:tab w:val="left" w:pos="0"/>
                <w:tab w:val="left" w:pos="993"/>
                <w:tab w:val="left" w:pos="1134"/>
              </w:tabs>
              <w:adjustRightInd w:val="0"/>
              <w:ind w:firstLine="0" w:firstLineChars="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2</w:t>
            </w:r>
          </w:p>
        </w:tc>
        <w:tc>
          <w:tcPr>
            <w:tcW w:w="1226" w:type="pct"/>
            <w:vAlign w:val="center"/>
          </w:tcPr>
          <w:p w14:paraId="095B4B50">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c>
          <w:tcPr>
            <w:tcW w:w="1306" w:type="pct"/>
            <w:vAlign w:val="center"/>
          </w:tcPr>
          <w:p w14:paraId="0E64FDDA">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c>
          <w:tcPr>
            <w:tcW w:w="894" w:type="pct"/>
            <w:vAlign w:val="center"/>
          </w:tcPr>
          <w:p w14:paraId="536B5A1A">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c>
          <w:tcPr>
            <w:tcW w:w="1061" w:type="pct"/>
            <w:vAlign w:val="center"/>
          </w:tcPr>
          <w:p w14:paraId="586C8357">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r>
      <w:tr w14:paraId="110CC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511" w:type="pct"/>
            <w:vAlign w:val="center"/>
          </w:tcPr>
          <w:p w14:paraId="155D13D8">
            <w:pPr>
              <w:pStyle w:val="16"/>
              <w:shd w:val="clear"/>
              <w:tabs>
                <w:tab w:val="left" w:pos="0"/>
                <w:tab w:val="left" w:pos="993"/>
                <w:tab w:val="left" w:pos="1134"/>
              </w:tabs>
              <w:adjustRightInd w:val="0"/>
              <w:ind w:firstLine="0" w:firstLineChars="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3</w:t>
            </w:r>
          </w:p>
        </w:tc>
        <w:tc>
          <w:tcPr>
            <w:tcW w:w="1226" w:type="pct"/>
            <w:vAlign w:val="center"/>
          </w:tcPr>
          <w:p w14:paraId="2ECEFAE5">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c>
          <w:tcPr>
            <w:tcW w:w="1306" w:type="pct"/>
            <w:vAlign w:val="center"/>
          </w:tcPr>
          <w:p w14:paraId="557BEA39">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c>
          <w:tcPr>
            <w:tcW w:w="894" w:type="pct"/>
            <w:vAlign w:val="center"/>
          </w:tcPr>
          <w:p w14:paraId="0DD56E0B">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c>
          <w:tcPr>
            <w:tcW w:w="1061" w:type="pct"/>
            <w:vAlign w:val="center"/>
          </w:tcPr>
          <w:p w14:paraId="4FEB4D99">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r>
      <w:tr w14:paraId="4EBC2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511" w:type="pct"/>
            <w:vAlign w:val="center"/>
          </w:tcPr>
          <w:p w14:paraId="32A8F09D">
            <w:pPr>
              <w:pStyle w:val="16"/>
              <w:shd w:val="clear"/>
              <w:tabs>
                <w:tab w:val="left" w:pos="0"/>
                <w:tab w:val="left" w:pos="993"/>
                <w:tab w:val="left" w:pos="1134"/>
              </w:tabs>
              <w:adjustRightInd w:val="0"/>
              <w:ind w:firstLine="0" w:firstLineChars="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w:t>
            </w:r>
          </w:p>
        </w:tc>
        <w:tc>
          <w:tcPr>
            <w:tcW w:w="1226" w:type="pct"/>
            <w:vAlign w:val="center"/>
          </w:tcPr>
          <w:p w14:paraId="16237BE6">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c>
          <w:tcPr>
            <w:tcW w:w="1306" w:type="pct"/>
            <w:vAlign w:val="center"/>
          </w:tcPr>
          <w:p w14:paraId="6A54D741">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c>
          <w:tcPr>
            <w:tcW w:w="894" w:type="pct"/>
            <w:vAlign w:val="center"/>
          </w:tcPr>
          <w:p w14:paraId="53D2DB5D">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c>
          <w:tcPr>
            <w:tcW w:w="1061" w:type="pct"/>
            <w:vAlign w:val="center"/>
          </w:tcPr>
          <w:p w14:paraId="5B365733">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r>
      <w:tr w14:paraId="24B96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0" w:hRule="atLeast"/>
          <w:jc w:val="center"/>
        </w:trPr>
        <w:tc>
          <w:tcPr>
            <w:tcW w:w="1737" w:type="pct"/>
            <w:gridSpan w:val="2"/>
            <w:vAlign w:val="center"/>
          </w:tcPr>
          <w:p w14:paraId="23146694">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r>
              <w:rPr>
                <w:rFonts w:hint="eastAsia" w:ascii="宋体" w:hAnsi="宋体" w:cs="宋体"/>
                <w:color w:val="auto"/>
                <w:sz w:val="28"/>
                <w:szCs w:val="28"/>
                <w:highlight w:val="none"/>
              </w:rPr>
              <w:t>合计得分</w:t>
            </w:r>
          </w:p>
        </w:tc>
        <w:tc>
          <w:tcPr>
            <w:tcW w:w="1306" w:type="pct"/>
            <w:vAlign w:val="center"/>
          </w:tcPr>
          <w:p w14:paraId="60B002DF">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c>
          <w:tcPr>
            <w:tcW w:w="894" w:type="pct"/>
            <w:vAlign w:val="center"/>
          </w:tcPr>
          <w:p w14:paraId="5B6B0D50">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c>
          <w:tcPr>
            <w:tcW w:w="1061" w:type="pct"/>
            <w:vAlign w:val="center"/>
          </w:tcPr>
          <w:p w14:paraId="34EA89E9">
            <w:pPr>
              <w:pStyle w:val="16"/>
              <w:shd w:val="clear"/>
              <w:tabs>
                <w:tab w:val="left" w:pos="0"/>
                <w:tab w:val="left" w:pos="993"/>
                <w:tab w:val="left" w:pos="1134"/>
              </w:tabs>
              <w:adjustRightInd w:val="0"/>
              <w:ind w:firstLine="560"/>
              <w:jc w:val="center"/>
              <w:rPr>
                <w:rFonts w:hint="eastAsia" w:ascii="宋体" w:hAnsi="宋体" w:cs="宋体"/>
                <w:color w:val="auto"/>
                <w:sz w:val="28"/>
                <w:szCs w:val="28"/>
                <w:highlight w:val="none"/>
              </w:rPr>
            </w:pPr>
          </w:p>
        </w:tc>
      </w:tr>
    </w:tbl>
    <w:p w14:paraId="7894FCFD">
      <w:pPr>
        <w:shd w:val="clear"/>
        <w:adjustRightInd w:val="0"/>
        <w:snapToGrid w:val="0"/>
        <w:ind w:firstLine="0" w:firstLineChars="0"/>
        <w:jc w:val="center"/>
        <w:rPr>
          <w:rFonts w:cs="宋体"/>
          <w:color w:val="auto"/>
          <w:spacing w:val="113"/>
          <w:sz w:val="36"/>
          <w:highlight w:val="none"/>
        </w:rPr>
      </w:pPr>
    </w:p>
    <w:p w14:paraId="06BA72E5">
      <w:pPr>
        <w:shd w:val="clear"/>
        <w:adjustRightInd w:val="0"/>
        <w:snapToGrid w:val="0"/>
        <w:ind w:firstLine="0" w:firstLineChars="0"/>
        <w:jc w:val="center"/>
        <w:rPr>
          <w:rFonts w:cs="宋体"/>
          <w:color w:val="auto"/>
          <w:spacing w:val="113"/>
          <w:sz w:val="36"/>
          <w:highlight w:val="none"/>
        </w:rPr>
      </w:pPr>
    </w:p>
    <w:p w14:paraId="39D66DC5">
      <w:pPr>
        <w:shd w:val="clear"/>
        <w:adjustRightInd w:val="0"/>
        <w:snapToGrid w:val="0"/>
        <w:ind w:firstLine="0" w:firstLineChars="0"/>
        <w:jc w:val="center"/>
        <w:rPr>
          <w:rFonts w:cs="宋体"/>
          <w:color w:val="auto"/>
          <w:spacing w:val="113"/>
          <w:sz w:val="36"/>
          <w:highlight w:val="none"/>
        </w:rPr>
      </w:pPr>
    </w:p>
    <w:p w14:paraId="723DE958">
      <w:pPr>
        <w:shd w:val="clear"/>
        <w:adjustRightInd w:val="0"/>
        <w:snapToGrid w:val="0"/>
        <w:ind w:firstLine="0" w:firstLineChars="0"/>
        <w:jc w:val="center"/>
        <w:rPr>
          <w:rFonts w:cs="宋体"/>
          <w:color w:val="auto"/>
          <w:spacing w:val="113"/>
          <w:sz w:val="36"/>
          <w:highlight w:val="none"/>
        </w:rPr>
      </w:pPr>
    </w:p>
    <w:p w14:paraId="4C2DB972">
      <w:pPr>
        <w:shd w:val="clear"/>
        <w:adjustRightInd w:val="0"/>
        <w:snapToGrid w:val="0"/>
        <w:ind w:firstLine="0" w:firstLineChars="0"/>
        <w:jc w:val="center"/>
        <w:rPr>
          <w:rFonts w:cs="宋体"/>
          <w:color w:val="auto"/>
          <w:spacing w:val="113"/>
          <w:sz w:val="36"/>
          <w:highlight w:val="none"/>
        </w:rPr>
      </w:pPr>
    </w:p>
    <w:p w14:paraId="11303A96">
      <w:pPr>
        <w:shd w:val="clear"/>
        <w:adjustRightInd w:val="0"/>
        <w:snapToGrid w:val="0"/>
        <w:ind w:firstLine="0" w:firstLineChars="0"/>
        <w:jc w:val="center"/>
        <w:rPr>
          <w:rFonts w:cs="宋体"/>
          <w:color w:val="auto"/>
          <w:spacing w:val="113"/>
          <w:sz w:val="36"/>
          <w:highlight w:val="none"/>
        </w:rPr>
      </w:pPr>
    </w:p>
    <w:p w14:paraId="02443CC0">
      <w:pPr>
        <w:shd w:val="clear"/>
        <w:adjustRightInd w:val="0"/>
        <w:snapToGrid w:val="0"/>
        <w:ind w:firstLine="0" w:firstLineChars="0"/>
        <w:jc w:val="center"/>
        <w:rPr>
          <w:rFonts w:cs="宋体"/>
          <w:color w:val="auto"/>
          <w:spacing w:val="113"/>
          <w:sz w:val="36"/>
          <w:highlight w:val="none"/>
        </w:rPr>
      </w:pPr>
    </w:p>
    <w:p w14:paraId="0EDB4454">
      <w:pPr>
        <w:shd w:val="clear"/>
        <w:adjustRightInd w:val="0"/>
        <w:snapToGrid w:val="0"/>
        <w:ind w:firstLine="0" w:firstLineChars="0"/>
        <w:jc w:val="center"/>
        <w:rPr>
          <w:rFonts w:cs="宋体"/>
          <w:color w:val="auto"/>
          <w:spacing w:val="113"/>
          <w:sz w:val="36"/>
          <w:highlight w:val="none"/>
        </w:rPr>
      </w:pPr>
    </w:p>
    <w:p w14:paraId="0CD9154D">
      <w:pPr>
        <w:shd w:val="clear"/>
        <w:adjustRightInd w:val="0"/>
        <w:snapToGrid w:val="0"/>
        <w:ind w:firstLine="0" w:firstLineChars="0"/>
        <w:jc w:val="center"/>
        <w:rPr>
          <w:rFonts w:cs="宋体"/>
          <w:color w:val="auto"/>
          <w:spacing w:val="113"/>
          <w:sz w:val="36"/>
          <w:highlight w:val="none"/>
        </w:rPr>
      </w:pPr>
    </w:p>
    <w:p w14:paraId="7F12D9B9">
      <w:pPr>
        <w:shd w:val="clear"/>
        <w:adjustRightInd w:val="0"/>
        <w:snapToGrid w:val="0"/>
        <w:ind w:firstLine="0" w:firstLineChars="0"/>
        <w:jc w:val="center"/>
        <w:rPr>
          <w:rFonts w:cs="宋体"/>
          <w:color w:val="auto"/>
          <w:spacing w:val="113"/>
          <w:sz w:val="36"/>
          <w:highlight w:val="none"/>
        </w:rPr>
      </w:pPr>
    </w:p>
    <w:p w14:paraId="11379B9A">
      <w:pPr>
        <w:shd w:val="clear"/>
        <w:adjustRightInd w:val="0"/>
        <w:snapToGrid w:val="0"/>
        <w:ind w:firstLine="0" w:firstLineChars="0"/>
        <w:jc w:val="center"/>
        <w:rPr>
          <w:rFonts w:cs="宋体"/>
          <w:color w:val="auto"/>
          <w:spacing w:val="113"/>
          <w:sz w:val="36"/>
          <w:highlight w:val="none"/>
        </w:rPr>
      </w:pPr>
    </w:p>
    <w:p w14:paraId="1D590D22">
      <w:pPr>
        <w:shd w:val="clear"/>
        <w:adjustRightInd w:val="0"/>
        <w:snapToGrid w:val="0"/>
        <w:ind w:firstLine="0" w:firstLineChars="0"/>
        <w:rPr>
          <w:rFonts w:cs="宋体"/>
          <w:color w:val="auto"/>
          <w:spacing w:val="113"/>
          <w:sz w:val="36"/>
          <w:highlight w:val="none"/>
        </w:rPr>
      </w:pPr>
    </w:p>
    <w:p w14:paraId="7C598EF0">
      <w:pPr>
        <w:shd w:val="clear"/>
        <w:adjustRightInd w:val="0"/>
        <w:snapToGrid w:val="0"/>
        <w:ind w:firstLine="0" w:firstLineChars="0"/>
        <w:jc w:val="center"/>
        <w:rPr>
          <w:rFonts w:cs="宋体"/>
          <w:color w:val="auto"/>
          <w:sz w:val="36"/>
          <w:highlight w:val="none"/>
        </w:rPr>
      </w:pPr>
      <w:r>
        <w:rPr>
          <w:rFonts w:hint="eastAsia" w:cs="宋体"/>
          <w:color w:val="auto"/>
          <w:spacing w:val="113"/>
          <w:sz w:val="36"/>
          <w:highlight w:val="none"/>
        </w:rPr>
        <w:t>目</w:t>
      </w:r>
      <w:r>
        <w:rPr>
          <w:rFonts w:hint="eastAsia" w:cs="宋体"/>
          <w:color w:val="auto"/>
          <w:sz w:val="36"/>
          <w:highlight w:val="none"/>
        </w:rPr>
        <w:t>录</w:t>
      </w:r>
    </w:p>
    <w:p w14:paraId="12CD993B">
      <w:pPr>
        <w:pStyle w:val="36"/>
        <w:widowControl w:val="0"/>
        <w:shd w:val="clear"/>
        <w:adjustRightInd w:val="0"/>
        <w:snapToGrid w:val="0"/>
        <w:ind w:right="960" w:rightChars="400" w:firstLine="560"/>
        <w:jc w:val="both"/>
        <w:rPr>
          <w:rFonts w:cs="宋体"/>
          <w:color w:val="auto"/>
          <w:sz w:val="28"/>
          <w:szCs w:val="28"/>
          <w:highlight w:val="none"/>
        </w:rPr>
      </w:pPr>
      <w:r>
        <w:rPr>
          <w:rFonts w:hint="eastAsia" w:cs="宋体"/>
          <w:color w:val="auto"/>
          <w:sz w:val="28"/>
          <w:szCs w:val="28"/>
          <w:highlight w:val="none"/>
        </w:rPr>
        <w:t>【根据投标文件组成内容和提供的格式编制投标文件，并编制目录】</w:t>
      </w:r>
    </w:p>
    <w:p w14:paraId="747C32A3">
      <w:pPr>
        <w:shd w:val="clear"/>
        <w:ind w:firstLine="0" w:firstLineChars="0"/>
        <w:rPr>
          <w:rFonts w:hint="eastAsia" w:ascii="宋体" w:hAnsi="宋体" w:cs="宋体"/>
          <w:b/>
          <w:bCs/>
          <w:color w:val="auto"/>
          <w:highlight w:val="none"/>
        </w:rPr>
      </w:pPr>
    </w:p>
    <w:p w14:paraId="5BAF9EFC">
      <w:pPr>
        <w:shd w:val="clear"/>
        <w:ind w:firstLine="0" w:firstLineChars="0"/>
        <w:rPr>
          <w:rFonts w:hint="eastAsia" w:ascii="宋体" w:hAnsi="宋体" w:cs="宋体"/>
          <w:b/>
          <w:bCs/>
          <w:color w:val="auto"/>
          <w:highlight w:val="none"/>
        </w:rPr>
      </w:pPr>
    </w:p>
    <w:p w14:paraId="7B73087A">
      <w:pPr>
        <w:pStyle w:val="40"/>
        <w:shd w:val="clear"/>
        <w:ind w:firstLine="422"/>
        <w:rPr>
          <w:rFonts w:hAnsi="宋体" w:cs="宋体"/>
          <w:b/>
          <w:bCs/>
          <w:color w:val="auto"/>
          <w:highlight w:val="none"/>
        </w:rPr>
      </w:pPr>
    </w:p>
    <w:p w14:paraId="071935D9">
      <w:pPr>
        <w:pStyle w:val="41"/>
        <w:shd w:val="clear"/>
        <w:ind w:firstLine="482"/>
        <w:rPr>
          <w:rFonts w:hint="eastAsia" w:ascii="宋体" w:hAnsi="宋体" w:cs="宋体"/>
          <w:b/>
          <w:bCs/>
          <w:color w:val="auto"/>
          <w:highlight w:val="none"/>
        </w:rPr>
      </w:pPr>
    </w:p>
    <w:p w14:paraId="6D336D51">
      <w:pPr>
        <w:pStyle w:val="42"/>
        <w:shd w:val="clear"/>
        <w:rPr>
          <w:rFonts w:hint="eastAsia" w:ascii="宋体" w:hAnsi="宋体" w:cs="宋体"/>
          <w:b/>
          <w:bCs/>
          <w:color w:val="auto"/>
          <w:highlight w:val="none"/>
        </w:rPr>
      </w:pPr>
    </w:p>
    <w:p w14:paraId="68F5B210">
      <w:pPr>
        <w:pStyle w:val="42"/>
        <w:shd w:val="clear"/>
        <w:rPr>
          <w:rFonts w:hint="eastAsia" w:ascii="宋体" w:hAnsi="宋体" w:cs="宋体"/>
          <w:b/>
          <w:bCs/>
          <w:color w:val="auto"/>
          <w:highlight w:val="none"/>
        </w:rPr>
      </w:pPr>
    </w:p>
    <w:p w14:paraId="34BCF08C">
      <w:pPr>
        <w:pStyle w:val="42"/>
        <w:shd w:val="clear"/>
        <w:rPr>
          <w:rFonts w:hint="eastAsia" w:ascii="宋体" w:hAnsi="宋体" w:cs="宋体"/>
          <w:b/>
          <w:bCs/>
          <w:color w:val="auto"/>
          <w:highlight w:val="none"/>
        </w:rPr>
      </w:pPr>
    </w:p>
    <w:p w14:paraId="4F64F171">
      <w:pPr>
        <w:pStyle w:val="42"/>
        <w:shd w:val="clear"/>
        <w:rPr>
          <w:rFonts w:hint="eastAsia" w:ascii="宋体" w:hAnsi="宋体" w:cs="宋体"/>
          <w:b/>
          <w:bCs/>
          <w:color w:val="auto"/>
          <w:highlight w:val="none"/>
        </w:rPr>
      </w:pPr>
    </w:p>
    <w:p w14:paraId="6E8F59EF">
      <w:pPr>
        <w:pStyle w:val="42"/>
        <w:shd w:val="clear"/>
        <w:rPr>
          <w:rFonts w:hint="eastAsia" w:ascii="宋体" w:hAnsi="宋体" w:cs="宋体"/>
          <w:b/>
          <w:bCs/>
          <w:color w:val="auto"/>
          <w:highlight w:val="none"/>
        </w:rPr>
      </w:pPr>
    </w:p>
    <w:p w14:paraId="0C7A1685">
      <w:pPr>
        <w:pStyle w:val="42"/>
        <w:shd w:val="clear"/>
        <w:rPr>
          <w:rFonts w:hint="eastAsia" w:ascii="宋体" w:hAnsi="宋体" w:cs="宋体"/>
          <w:b/>
          <w:bCs/>
          <w:color w:val="auto"/>
          <w:highlight w:val="none"/>
        </w:rPr>
      </w:pPr>
    </w:p>
    <w:p w14:paraId="42BEA6FC">
      <w:pPr>
        <w:pStyle w:val="42"/>
        <w:shd w:val="clear"/>
        <w:rPr>
          <w:rFonts w:hint="eastAsia" w:ascii="宋体" w:hAnsi="宋体" w:cs="宋体"/>
          <w:b/>
          <w:bCs/>
          <w:color w:val="auto"/>
          <w:highlight w:val="none"/>
        </w:rPr>
      </w:pPr>
    </w:p>
    <w:p w14:paraId="2718F401">
      <w:pPr>
        <w:pStyle w:val="42"/>
        <w:shd w:val="clear"/>
        <w:rPr>
          <w:rFonts w:hint="eastAsia" w:ascii="宋体" w:hAnsi="宋体" w:cs="宋体"/>
          <w:b/>
          <w:bCs/>
          <w:color w:val="auto"/>
          <w:highlight w:val="none"/>
        </w:rPr>
      </w:pPr>
    </w:p>
    <w:p w14:paraId="035597C5">
      <w:pPr>
        <w:pStyle w:val="42"/>
        <w:shd w:val="clear"/>
        <w:rPr>
          <w:rFonts w:hint="eastAsia" w:ascii="宋体" w:hAnsi="宋体" w:cs="宋体"/>
          <w:b/>
          <w:bCs/>
          <w:color w:val="auto"/>
          <w:highlight w:val="none"/>
        </w:rPr>
      </w:pPr>
    </w:p>
    <w:p w14:paraId="05AC0609">
      <w:pPr>
        <w:pStyle w:val="42"/>
        <w:shd w:val="clear"/>
        <w:rPr>
          <w:rFonts w:hint="eastAsia" w:ascii="宋体" w:hAnsi="宋体" w:cs="宋体"/>
          <w:b/>
          <w:bCs/>
          <w:color w:val="auto"/>
          <w:highlight w:val="none"/>
        </w:rPr>
      </w:pPr>
    </w:p>
    <w:p w14:paraId="337033DA">
      <w:pPr>
        <w:pStyle w:val="42"/>
        <w:shd w:val="clear"/>
        <w:rPr>
          <w:rFonts w:hint="eastAsia" w:ascii="宋体" w:hAnsi="宋体" w:cs="宋体"/>
          <w:b/>
          <w:bCs/>
          <w:color w:val="auto"/>
          <w:highlight w:val="none"/>
        </w:rPr>
      </w:pPr>
    </w:p>
    <w:p w14:paraId="72820EF4">
      <w:pPr>
        <w:pStyle w:val="42"/>
        <w:shd w:val="clear"/>
        <w:rPr>
          <w:rFonts w:hint="eastAsia" w:ascii="宋体" w:hAnsi="宋体" w:cs="宋体"/>
          <w:b/>
          <w:bCs/>
          <w:color w:val="auto"/>
          <w:highlight w:val="none"/>
        </w:rPr>
      </w:pPr>
    </w:p>
    <w:p w14:paraId="0284A1E7">
      <w:pPr>
        <w:pStyle w:val="42"/>
        <w:shd w:val="clear"/>
        <w:rPr>
          <w:rFonts w:hint="eastAsia" w:ascii="宋体" w:hAnsi="宋体" w:cs="宋体"/>
          <w:b/>
          <w:bCs/>
          <w:color w:val="auto"/>
          <w:highlight w:val="none"/>
        </w:rPr>
      </w:pPr>
    </w:p>
    <w:p w14:paraId="3543C6C1">
      <w:pPr>
        <w:pStyle w:val="42"/>
        <w:shd w:val="clear"/>
        <w:rPr>
          <w:rFonts w:hint="eastAsia" w:ascii="宋体" w:hAnsi="宋体" w:cs="宋体"/>
          <w:b/>
          <w:bCs/>
          <w:color w:val="auto"/>
          <w:highlight w:val="none"/>
        </w:rPr>
      </w:pPr>
    </w:p>
    <w:p w14:paraId="042C9790">
      <w:pPr>
        <w:pStyle w:val="42"/>
        <w:shd w:val="clear"/>
        <w:rPr>
          <w:rFonts w:hint="eastAsia" w:ascii="宋体" w:hAnsi="宋体" w:cs="宋体"/>
          <w:b/>
          <w:bCs/>
          <w:color w:val="auto"/>
          <w:highlight w:val="none"/>
        </w:rPr>
      </w:pPr>
    </w:p>
    <w:p w14:paraId="3DBF1155">
      <w:pPr>
        <w:pStyle w:val="42"/>
        <w:shd w:val="clear"/>
        <w:rPr>
          <w:rFonts w:hint="eastAsia" w:ascii="宋体" w:hAnsi="宋体" w:cs="宋体"/>
          <w:b/>
          <w:bCs/>
          <w:color w:val="auto"/>
          <w:highlight w:val="none"/>
        </w:rPr>
      </w:pPr>
    </w:p>
    <w:p w14:paraId="6608AF30">
      <w:pPr>
        <w:pStyle w:val="42"/>
        <w:shd w:val="clear"/>
        <w:rPr>
          <w:rFonts w:hint="eastAsia" w:ascii="宋体" w:hAnsi="宋体" w:cs="宋体"/>
          <w:b/>
          <w:bCs/>
          <w:color w:val="auto"/>
          <w:highlight w:val="none"/>
        </w:rPr>
      </w:pPr>
    </w:p>
    <w:p w14:paraId="76359EF3">
      <w:pPr>
        <w:pStyle w:val="42"/>
        <w:shd w:val="clear"/>
        <w:rPr>
          <w:rFonts w:hint="eastAsia" w:ascii="宋体" w:hAnsi="宋体" w:cs="宋体"/>
          <w:b/>
          <w:bCs/>
          <w:color w:val="auto"/>
          <w:highlight w:val="none"/>
        </w:rPr>
      </w:pPr>
    </w:p>
    <w:p w14:paraId="021FBA4E">
      <w:pPr>
        <w:pStyle w:val="42"/>
        <w:shd w:val="clear"/>
        <w:rPr>
          <w:rFonts w:hint="eastAsia" w:ascii="宋体" w:hAnsi="宋体" w:cs="宋体"/>
          <w:b/>
          <w:bCs/>
          <w:color w:val="auto"/>
          <w:highlight w:val="none"/>
        </w:rPr>
      </w:pPr>
    </w:p>
    <w:p w14:paraId="163AF6B7">
      <w:pPr>
        <w:pStyle w:val="42"/>
        <w:shd w:val="clear"/>
        <w:rPr>
          <w:rFonts w:hint="eastAsia" w:ascii="宋体" w:hAnsi="宋体" w:cs="宋体"/>
          <w:b/>
          <w:bCs/>
          <w:color w:val="auto"/>
          <w:highlight w:val="none"/>
        </w:rPr>
      </w:pPr>
    </w:p>
    <w:p w14:paraId="6F177CAF">
      <w:pPr>
        <w:pStyle w:val="42"/>
        <w:shd w:val="clear"/>
        <w:rPr>
          <w:rFonts w:hint="eastAsia" w:ascii="宋体" w:hAnsi="宋体" w:cs="宋体"/>
          <w:b/>
          <w:bCs/>
          <w:color w:val="auto"/>
          <w:highlight w:val="none"/>
        </w:rPr>
      </w:pPr>
    </w:p>
    <w:p w14:paraId="73172AE0">
      <w:pPr>
        <w:pStyle w:val="42"/>
        <w:shd w:val="clear"/>
        <w:rPr>
          <w:rFonts w:hint="eastAsia" w:ascii="宋体" w:hAnsi="宋体" w:cs="宋体"/>
          <w:b/>
          <w:bCs/>
          <w:color w:val="auto"/>
          <w:highlight w:val="none"/>
        </w:rPr>
      </w:pPr>
    </w:p>
    <w:p w14:paraId="5AD4C364">
      <w:pPr>
        <w:pStyle w:val="42"/>
        <w:shd w:val="clear"/>
        <w:rPr>
          <w:rFonts w:hint="eastAsia" w:ascii="宋体" w:hAnsi="宋体" w:cs="宋体"/>
          <w:b/>
          <w:bCs/>
          <w:color w:val="auto"/>
          <w:highlight w:val="none"/>
        </w:rPr>
      </w:pPr>
    </w:p>
    <w:p w14:paraId="2F58C273">
      <w:pPr>
        <w:pStyle w:val="42"/>
        <w:shd w:val="clear"/>
        <w:rPr>
          <w:rFonts w:hint="eastAsia" w:ascii="宋体" w:hAnsi="宋体" w:cs="宋体"/>
          <w:b/>
          <w:bCs/>
          <w:color w:val="auto"/>
          <w:highlight w:val="none"/>
        </w:rPr>
      </w:pPr>
    </w:p>
    <w:p w14:paraId="7B287790">
      <w:pPr>
        <w:pStyle w:val="42"/>
        <w:shd w:val="clear"/>
        <w:rPr>
          <w:rFonts w:hint="eastAsia" w:ascii="宋体" w:hAnsi="宋体" w:cs="宋体"/>
          <w:b/>
          <w:bCs/>
          <w:color w:val="auto"/>
          <w:highlight w:val="none"/>
        </w:rPr>
      </w:pPr>
    </w:p>
    <w:p w14:paraId="5A7FBB95">
      <w:pPr>
        <w:pStyle w:val="42"/>
        <w:shd w:val="clear"/>
        <w:rPr>
          <w:rFonts w:hint="eastAsia" w:ascii="宋体" w:hAnsi="宋体" w:cs="宋体"/>
          <w:b/>
          <w:bCs/>
          <w:color w:val="auto"/>
          <w:highlight w:val="none"/>
        </w:rPr>
      </w:pPr>
    </w:p>
    <w:p w14:paraId="714C2F19">
      <w:pPr>
        <w:pStyle w:val="42"/>
        <w:shd w:val="clear"/>
        <w:rPr>
          <w:rFonts w:hint="eastAsia" w:ascii="宋体" w:hAnsi="宋体" w:cs="宋体"/>
          <w:b/>
          <w:bCs/>
          <w:color w:val="auto"/>
          <w:highlight w:val="none"/>
        </w:rPr>
      </w:pPr>
    </w:p>
    <w:p w14:paraId="12B7C879">
      <w:pPr>
        <w:pStyle w:val="42"/>
        <w:shd w:val="clear"/>
        <w:rPr>
          <w:rFonts w:hint="eastAsia" w:ascii="宋体" w:hAnsi="宋体" w:cs="宋体"/>
          <w:b/>
          <w:bCs/>
          <w:color w:val="auto"/>
          <w:highlight w:val="none"/>
        </w:rPr>
      </w:pPr>
    </w:p>
    <w:p w14:paraId="2F927D22">
      <w:pPr>
        <w:pStyle w:val="42"/>
        <w:shd w:val="clear"/>
        <w:rPr>
          <w:rFonts w:hint="eastAsia" w:ascii="宋体" w:hAnsi="宋体" w:cs="宋体"/>
          <w:b/>
          <w:bCs/>
          <w:color w:val="auto"/>
          <w:highlight w:val="none"/>
        </w:rPr>
      </w:pPr>
    </w:p>
    <w:p w14:paraId="21D75D84">
      <w:pPr>
        <w:pStyle w:val="42"/>
        <w:shd w:val="clear"/>
        <w:rPr>
          <w:rFonts w:hint="eastAsia" w:ascii="宋体" w:hAnsi="宋体" w:cs="宋体"/>
          <w:b/>
          <w:bCs/>
          <w:color w:val="auto"/>
          <w:highlight w:val="none"/>
        </w:rPr>
      </w:pPr>
    </w:p>
    <w:p w14:paraId="5E2B5476">
      <w:pPr>
        <w:pStyle w:val="42"/>
        <w:shd w:val="clear"/>
        <w:rPr>
          <w:rFonts w:hint="eastAsia" w:ascii="宋体" w:hAnsi="宋体" w:cs="宋体"/>
          <w:b/>
          <w:bCs/>
          <w:color w:val="auto"/>
          <w:highlight w:val="none"/>
        </w:rPr>
      </w:pPr>
    </w:p>
    <w:p w14:paraId="3F5425F5">
      <w:pPr>
        <w:pStyle w:val="42"/>
        <w:shd w:val="clear"/>
        <w:rPr>
          <w:rFonts w:hint="eastAsia" w:ascii="宋体" w:hAnsi="宋体" w:cs="宋体"/>
          <w:b/>
          <w:bCs/>
          <w:color w:val="auto"/>
          <w:highlight w:val="none"/>
        </w:rPr>
      </w:pPr>
    </w:p>
    <w:p w14:paraId="1A4101D8">
      <w:pPr>
        <w:pStyle w:val="42"/>
        <w:shd w:val="clear"/>
        <w:rPr>
          <w:rFonts w:hint="eastAsia" w:ascii="宋体" w:hAnsi="宋体" w:cs="宋体"/>
          <w:b/>
          <w:bCs/>
          <w:color w:val="auto"/>
          <w:highlight w:val="none"/>
        </w:rPr>
      </w:pPr>
    </w:p>
    <w:p w14:paraId="4AF08D24">
      <w:pPr>
        <w:pStyle w:val="42"/>
        <w:shd w:val="clear"/>
        <w:rPr>
          <w:rFonts w:hint="eastAsia" w:ascii="宋体" w:hAnsi="宋体" w:cs="宋体"/>
          <w:b/>
          <w:bCs/>
          <w:color w:val="auto"/>
          <w:highlight w:val="none"/>
        </w:rPr>
      </w:pPr>
    </w:p>
    <w:p w14:paraId="09637779">
      <w:pPr>
        <w:pStyle w:val="42"/>
        <w:shd w:val="clear"/>
        <w:rPr>
          <w:rFonts w:hint="eastAsia" w:ascii="宋体" w:hAnsi="宋体" w:cs="宋体"/>
          <w:b/>
          <w:bCs/>
          <w:color w:val="auto"/>
          <w:highlight w:val="none"/>
        </w:rPr>
      </w:pPr>
    </w:p>
    <w:p w14:paraId="47EB04D2">
      <w:pPr>
        <w:shd w:val="clear"/>
        <w:ind w:firstLine="0" w:firstLineChars="0"/>
        <w:outlineLvl w:val="0"/>
        <w:rPr>
          <w:rFonts w:hint="eastAsia" w:ascii="宋体" w:hAnsi="宋体" w:cs="宋体"/>
          <w:b/>
          <w:bCs/>
          <w:color w:val="auto"/>
          <w:highlight w:val="none"/>
        </w:rPr>
      </w:pPr>
      <w:r>
        <w:rPr>
          <w:rFonts w:hint="eastAsia" w:ascii="宋体" w:hAnsi="宋体" w:cs="宋体"/>
          <w:b/>
          <w:bCs/>
          <w:color w:val="auto"/>
          <w:highlight w:val="none"/>
        </w:rPr>
        <w:t>附件1</w:t>
      </w:r>
    </w:p>
    <w:p w14:paraId="1E24B80B">
      <w:pPr>
        <w:shd w:val="clear"/>
        <w:ind w:firstLine="0" w:firstLineChars="0"/>
        <w:jc w:val="center"/>
        <w:outlineLvl w:val="0"/>
        <w:rPr>
          <w:rFonts w:hint="eastAsia" w:ascii="宋体" w:hAnsi="宋体" w:cs="宋体"/>
          <w:b/>
          <w:color w:val="auto"/>
          <w:highlight w:val="none"/>
        </w:rPr>
      </w:pPr>
      <w:bookmarkStart w:id="439" w:name="_Toc12466"/>
      <w:bookmarkStart w:id="440" w:name="_Toc32708"/>
      <w:bookmarkStart w:id="441" w:name="_Toc7669"/>
      <w:r>
        <w:rPr>
          <w:rFonts w:hint="eastAsia" w:ascii="宋体" w:hAnsi="宋体" w:cs="宋体"/>
          <w:b/>
          <w:color w:val="auto"/>
          <w:sz w:val="32"/>
          <w:szCs w:val="32"/>
          <w:highlight w:val="none"/>
          <w:lang w:bidi="ar"/>
        </w:rPr>
        <w:t>投标人基本情况表</w:t>
      </w:r>
      <w:bookmarkEnd w:id="439"/>
      <w:bookmarkEnd w:id="440"/>
      <w:bookmarkEnd w:id="441"/>
    </w:p>
    <w:tbl>
      <w:tblPr>
        <w:tblStyle w:val="43"/>
        <w:tblW w:w="10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3"/>
        <w:gridCol w:w="2912"/>
        <w:gridCol w:w="2313"/>
        <w:gridCol w:w="2912"/>
      </w:tblGrid>
      <w:tr w14:paraId="22E3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0" w:type="dxa"/>
            <w:gridSpan w:val="4"/>
            <w:vAlign w:val="center"/>
          </w:tcPr>
          <w:p w14:paraId="01B549FA">
            <w:pPr>
              <w:shd w:val="clear"/>
              <w:snapToGrid w:val="0"/>
              <w:spacing w:before="93" w:beforeLines="30" w:after="93" w:afterLines="30" w:line="240" w:lineRule="auto"/>
              <w:ind w:firstLine="480"/>
              <w:jc w:val="center"/>
              <w:rPr>
                <w:rFonts w:cs="宋体"/>
                <w:color w:val="auto"/>
                <w:highlight w:val="none"/>
              </w:rPr>
            </w:pPr>
            <w:r>
              <w:rPr>
                <w:rFonts w:hint="eastAsia" w:cs="宋体"/>
                <w:color w:val="auto"/>
                <w:highlight w:val="none"/>
              </w:rPr>
              <w:t>投标人信息</w:t>
            </w:r>
          </w:p>
        </w:tc>
      </w:tr>
      <w:tr w14:paraId="2AAE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3" w:type="dxa"/>
            <w:vAlign w:val="center"/>
          </w:tcPr>
          <w:p w14:paraId="14D6FC21">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投标人名称</w:t>
            </w:r>
          </w:p>
        </w:tc>
        <w:tc>
          <w:tcPr>
            <w:tcW w:w="8137" w:type="dxa"/>
            <w:gridSpan w:val="3"/>
            <w:vAlign w:val="center"/>
          </w:tcPr>
          <w:p w14:paraId="16934446">
            <w:pPr>
              <w:shd w:val="clear"/>
              <w:snapToGrid w:val="0"/>
              <w:spacing w:before="93" w:beforeLines="30" w:after="93" w:afterLines="30" w:line="240" w:lineRule="auto"/>
              <w:ind w:firstLine="480"/>
              <w:rPr>
                <w:rFonts w:cs="宋体"/>
                <w:color w:val="auto"/>
                <w:highlight w:val="none"/>
              </w:rPr>
            </w:pPr>
          </w:p>
        </w:tc>
      </w:tr>
      <w:tr w14:paraId="2C8E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3" w:type="dxa"/>
            <w:vAlign w:val="center"/>
          </w:tcPr>
          <w:p w14:paraId="14BE10DE">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联合体</w:t>
            </w:r>
          </w:p>
        </w:tc>
        <w:tc>
          <w:tcPr>
            <w:tcW w:w="2912" w:type="dxa"/>
            <w:vAlign w:val="center"/>
          </w:tcPr>
          <w:p w14:paraId="5A99CDD1">
            <w:pPr>
              <w:shd w:val="clear"/>
              <w:snapToGrid w:val="0"/>
              <w:spacing w:before="93" w:beforeLines="30" w:after="93" w:afterLines="30" w:line="240" w:lineRule="auto"/>
              <w:ind w:firstLine="480"/>
              <w:rPr>
                <w:rFonts w:cs="宋体"/>
                <w:color w:val="auto"/>
                <w:highlight w:val="none"/>
              </w:rPr>
            </w:pPr>
            <w:r>
              <w:rPr>
                <w:rFonts w:hint="eastAsia" w:cs="宋体"/>
                <w:color w:val="auto"/>
                <w:highlight w:val="none"/>
              </w:rPr>
              <w:t>是□    否□</w:t>
            </w:r>
          </w:p>
        </w:tc>
        <w:tc>
          <w:tcPr>
            <w:tcW w:w="2313" w:type="dxa"/>
            <w:vAlign w:val="center"/>
          </w:tcPr>
          <w:p w14:paraId="5979BB78">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联合体成员单位</w:t>
            </w:r>
          </w:p>
        </w:tc>
        <w:tc>
          <w:tcPr>
            <w:tcW w:w="2912" w:type="dxa"/>
            <w:vAlign w:val="center"/>
          </w:tcPr>
          <w:p w14:paraId="2E19BDB1">
            <w:pPr>
              <w:shd w:val="clear"/>
              <w:snapToGrid w:val="0"/>
              <w:spacing w:before="93" w:beforeLines="30" w:after="93" w:afterLines="30" w:line="240" w:lineRule="auto"/>
              <w:ind w:firstLine="480"/>
              <w:rPr>
                <w:rFonts w:cs="宋体"/>
                <w:color w:val="auto"/>
                <w:highlight w:val="none"/>
              </w:rPr>
            </w:pPr>
          </w:p>
        </w:tc>
      </w:tr>
      <w:tr w14:paraId="7A3A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3" w:type="dxa"/>
            <w:vAlign w:val="center"/>
          </w:tcPr>
          <w:p w14:paraId="032580DF">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性质</w:t>
            </w:r>
          </w:p>
        </w:tc>
        <w:tc>
          <w:tcPr>
            <w:tcW w:w="8137" w:type="dxa"/>
            <w:gridSpan w:val="3"/>
            <w:vAlign w:val="center"/>
          </w:tcPr>
          <w:p w14:paraId="50CD9785">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国有□     国有控股□     私营□     事业单位□</w:t>
            </w:r>
          </w:p>
        </w:tc>
      </w:tr>
      <w:tr w14:paraId="5342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3" w:type="dxa"/>
            <w:vAlign w:val="center"/>
          </w:tcPr>
          <w:p w14:paraId="35F6E531">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统一社会信用代码</w:t>
            </w:r>
          </w:p>
        </w:tc>
        <w:tc>
          <w:tcPr>
            <w:tcW w:w="2912" w:type="dxa"/>
            <w:vAlign w:val="center"/>
          </w:tcPr>
          <w:p w14:paraId="5BC3518E">
            <w:pPr>
              <w:shd w:val="clear"/>
              <w:snapToGrid w:val="0"/>
              <w:spacing w:before="93" w:beforeLines="30" w:after="93" w:afterLines="30" w:line="240" w:lineRule="auto"/>
              <w:ind w:firstLine="0" w:firstLineChars="0"/>
              <w:rPr>
                <w:rFonts w:cs="宋体"/>
                <w:color w:val="auto"/>
                <w:highlight w:val="none"/>
              </w:rPr>
            </w:pPr>
          </w:p>
        </w:tc>
        <w:tc>
          <w:tcPr>
            <w:tcW w:w="2313" w:type="dxa"/>
            <w:vAlign w:val="center"/>
          </w:tcPr>
          <w:p w14:paraId="6F1C9CBC">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注册资本</w:t>
            </w:r>
          </w:p>
        </w:tc>
        <w:tc>
          <w:tcPr>
            <w:tcW w:w="2912" w:type="dxa"/>
            <w:vAlign w:val="center"/>
          </w:tcPr>
          <w:p w14:paraId="37B5C492">
            <w:pPr>
              <w:shd w:val="clear"/>
              <w:snapToGrid w:val="0"/>
              <w:spacing w:before="93" w:beforeLines="30" w:after="93" w:afterLines="30" w:line="240" w:lineRule="auto"/>
              <w:ind w:firstLine="0" w:firstLineChars="0"/>
              <w:rPr>
                <w:rFonts w:cs="宋体"/>
                <w:color w:val="auto"/>
                <w:highlight w:val="none"/>
              </w:rPr>
            </w:pPr>
          </w:p>
        </w:tc>
      </w:tr>
      <w:tr w14:paraId="3BD9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3" w:type="dxa"/>
            <w:vAlign w:val="center"/>
          </w:tcPr>
          <w:p w14:paraId="46CAE254">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法定代表人</w:t>
            </w:r>
          </w:p>
        </w:tc>
        <w:tc>
          <w:tcPr>
            <w:tcW w:w="2912" w:type="dxa"/>
            <w:vAlign w:val="center"/>
          </w:tcPr>
          <w:p w14:paraId="70598A0D">
            <w:pPr>
              <w:shd w:val="clear"/>
              <w:snapToGrid w:val="0"/>
              <w:spacing w:before="93" w:beforeLines="30" w:after="93" w:afterLines="30" w:line="240" w:lineRule="auto"/>
              <w:ind w:firstLine="0" w:firstLineChars="0"/>
              <w:rPr>
                <w:rFonts w:cs="宋体"/>
                <w:color w:val="auto"/>
                <w:highlight w:val="none"/>
              </w:rPr>
            </w:pPr>
          </w:p>
        </w:tc>
        <w:tc>
          <w:tcPr>
            <w:tcW w:w="2313" w:type="dxa"/>
            <w:vAlign w:val="center"/>
          </w:tcPr>
          <w:p w14:paraId="36121740">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技术负责人</w:t>
            </w:r>
          </w:p>
        </w:tc>
        <w:tc>
          <w:tcPr>
            <w:tcW w:w="2912" w:type="dxa"/>
            <w:vAlign w:val="center"/>
          </w:tcPr>
          <w:p w14:paraId="6F12B5E8">
            <w:pPr>
              <w:shd w:val="clear"/>
              <w:snapToGrid w:val="0"/>
              <w:spacing w:before="93" w:beforeLines="30" w:after="93" w:afterLines="30" w:line="240" w:lineRule="auto"/>
              <w:ind w:firstLine="0" w:firstLineChars="0"/>
              <w:rPr>
                <w:rFonts w:cs="宋体"/>
                <w:color w:val="auto"/>
                <w:highlight w:val="none"/>
              </w:rPr>
            </w:pPr>
          </w:p>
        </w:tc>
      </w:tr>
      <w:tr w14:paraId="63B2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3" w:type="dxa"/>
            <w:vAlign w:val="center"/>
          </w:tcPr>
          <w:p w14:paraId="23025673">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通信地址</w:t>
            </w:r>
          </w:p>
        </w:tc>
        <w:tc>
          <w:tcPr>
            <w:tcW w:w="2912" w:type="dxa"/>
            <w:vAlign w:val="center"/>
          </w:tcPr>
          <w:p w14:paraId="2BBB33C6">
            <w:pPr>
              <w:shd w:val="clear"/>
              <w:snapToGrid w:val="0"/>
              <w:spacing w:before="93" w:beforeLines="30" w:after="93" w:afterLines="30" w:line="240" w:lineRule="auto"/>
              <w:ind w:firstLine="0" w:firstLineChars="0"/>
              <w:rPr>
                <w:rFonts w:cs="宋体"/>
                <w:color w:val="auto"/>
                <w:highlight w:val="none"/>
              </w:rPr>
            </w:pPr>
          </w:p>
        </w:tc>
        <w:tc>
          <w:tcPr>
            <w:tcW w:w="2313" w:type="dxa"/>
            <w:vAlign w:val="center"/>
          </w:tcPr>
          <w:p w14:paraId="47BDFD09">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邮政编码</w:t>
            </w:r>
          </w:p>
        </w:tc>
        <w:tc>
          <w:tcPr>
            <w:tcW w:w="2912" w:type="dxa"/>
            <w:vAlign w:val="center"/>
          </w:tcPr>
          <w:p w14:paraId="5EA10E65">
            <w:pPr>
              <w:shd w:val="clear"/>
              <w:snapToGrid w:val="0"/>
              <w:spacing w:before="93" w:beforeLines="30" w:after="93" w:afterLines="30" w:line="240" w:lineRule="auto"/>
              <w:ind w:firstLine="0" w:firstLineChars="0"/>
              <w:rPr>
                <w:rFonts w:cs="宋体"/>
                <w:color w:val="auto"/>
                <w:highlight w:val="none"/>
              </w:rPr>
            </w:pPr>
          </w:p>
        </w:tc>
      </w:tr>
      <w:tr w14:paraId="3F1C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3" w:type="dxa"/>
            <w:vAlign w:val="center"/>
          </w:tcPr>
          <w:p w14:paraId="44A298DE">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公司电话</w:t>
            </w:r>
          </w:p>
        </w:tc>
        <w:tc>
          <w:tcPr>
            <w:tcW w:w="2912" w:type="dxa"/>
            <w:vAlign w:val="center"/>
          </w:tcPr>
          <w:p w14:paraId="2CCF530B">
            <w:pPr>
              <w:shd w:val="clear"/>
              <w:snapToGrid w:val="0"/>
              <w:spacing w:before="93" w:beforeLines="30" w:after="93" w:afterLines="30" w:line="240" w:lineRule="auto"/>
              <w:ind w:firstLine="0" w:firstLineChars="0"/>
              <w:rPr>
                <w:rFonts w:cs="宋体"/>
                <w:color w:val="auto"/>
                <w:highlight w:val="none"/>
              </w:rPr>
            </w:pPr>
          </w:p>
        </w:tc>
        <w:tc>
          <w:tcPr>
            <w:tcW w:w="2313" w:type="dxa"/>
            <w:vAlign w:val="center"/>
          </w:tcPr>
          <w:p w14:paraId="28B19108">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传真</w:t>
            </w:r>
          </w:p>
        </w:tc>
        <w:tc>
          <w:tcPr>
            <w:tcW w:w="2912" w:type="dxa"/>
            <w:vAlign w:val="center"/>
          </w:tcPr>
          <w:p w14:paraId="3F15B70C">
            <w:pPr>
              <w:shd w:val="clear"/>
              <w:snapToGrid w:val="0"/>
              <w:spacing w:before="93" w:beforeLines="30" w:after="93" w:afterLines="30" w:line="240" w:lineRule="auto"/>
              <w:ind w:firstLine="0" w:firstLineChars="0"/>
              <w:rPr>
                <w:rFonts w:cs="宋体"/>
                <w:color w:val="auto"/>
                <w:highlight w:val="none"/>
              </w:rPr>
            </w:pPr>
          </w:p>
        </w:tc>
      </w:tr>
      <w:tr w14:paraId="612D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3" w:type="dxa"/>
            <w:vAlign w:val="center"/>
          </w:tcPr>
          <w:p w14:paraId="369F82C7">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公司网址</w:t>
            </w:r>
          </w:p>
        </w:tc>
        <w:tc>
          <w:tcPr>
            <w:tcW w:w="2912" w:type="dxa"/>
            <w:vAlign w:val="center"/>
          </w:tcPr>
          <w:p w14:paraId="2068CD09">
            <w:pPr>
              <w:shd w:val="clear"/>
              <w:snapToGrid w:val="0"/>
              <w:spacing w:before="93" w:beforeLines="30" w:after="93" w:afterLines="30" w:line="240" w:lineRule="auto"/>
              <w:ind w:firstLine="0" w:firstLineChars="0"/>
              <w:rPr>
                <w:rFonts w:cs="宋体"/>
                <w:color w:val="auto"/>
                <w:highlight w:val="none"/>
              </w:rPr>
            </w:pPr>
          </w:p>
        </w:tc>
        <w:tc>
          <w:tcPr>
            <w:tcW w:w="2313" w:type="dxa"/>
            <w:vAlign w:val="center"/>
          </w:tcPr>
          <w:p w14:paraId="6F8E8358">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电子邮箱</w:t>
            </w:r>
          </w:p>
        </w:tc>
        <w:tc>
          <w:tcPr>
            <w:tcW w:w="2912" w:type="dxa"/>
            <w:vAlign w:val="center"/>
          </w:tcPr>
          <w:p w14:paraId="4951C632">
            <w:pPr>
              <w:shd w:val="clear"/>
              <w:snapToGrid w:val="0"/>
              <w:spacing w:before="93" w:beforeLines="30" w:after="93" w:afterLines="30" w:line="240" w:lineRule="auto"/>
              <w:ind w:firstLine="0" w:firstLineChars="0"/>
              <w:rPr>
                <w:rFonts w:cs="宋体"/>
                <w:color w:val="auto"/>
                <w:highlight w:val="none"/>
              </w:rPr>
            </w:pPr>
          </w:p>
        </w:tc>
      </w:tr>
      <w:tr w14:paraId="213D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3" w:type="dxa"/>
            <w:vAlign w:val="center"/>
          </w:tcPr>
          <w:p w14:paraId="235BC996">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开户银行</w:t>
            </w:r>
          </w:p>
        </w:tc>
        <w:tc>
          <w:tcPr>
            <w:tcW w:w="2912" w:type="dxa"/>
            <w:vAlign w:val="center"/>
          </w:tcPr>
          <w:p w14:paraId="1351409C">
            <w:pPr>
              <w:shd w:val="clear"/>
              <w:snapToGrid w:val="0"/>
              <w:spacing w:before="93" w:beforeLines="30" w:after="93" w:afterLines="30" w:line="240" w:lineRule="auto"/>
              <w:ind w:firstLine="0" w:firstLineChars="0"/>
              <w:rPr>
                <w:rFonts w:cs="宋体"/>
                <w:color w:val="auto"/>
                <w:highlight w:val="none"/>
              </w:rPr>
            </w:pPr>
          </w:p>
        </w:tc>
        <w:tc>
          <w:tcPr>
            <w:tcW w:w="2313" w:type="dxa"/>
            <w:vAlign w:val="center"/>
          </w:tcPr>
          <w:p w14:paraId="2F284E3B">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账号</w:t>
            </w:r>
          </w:p>
        </w:tc>
        <w:tc>
          <w:tcPr>
            <w:tcW w:w="2912" w:type="dxa"/>
            <w:vAlign w:val="center"/>
          </w:tcPr>
          <w:p w14:paraId="384DF1B2">
            <w:pPr>
              <w:shd w:val="clear"/>
              <w:snapToGrid w:val="0"/>
              <w:spacing w:before="93" w:beforeLines="30" w:after="93" w:afterLines="30" w:line="240" w:lineRule="auto"/>
              <w:ind w:firstLine="0" w:firstLineChars="0"/>
              <w:rPr>
                <w:rFonts w:cs="宋体"/>
                <w:color w:val="auto"/>
                <w:highlight w:val="none"/>
              </w:rPr>
            </w:pPr>
          </w:p>
        </w:tc>
      </w:tr>
      <w:tr w14:paraId="23C3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3" w:type="dxa"/>
            <w:vMerge w:val="restart"/>
            <w:vAlign w:val="center"/>
          </w:tcPr>
          <w:p w14:paraId="6279D052">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人员情况</w:t>
            </w:r>
          </w:p>
        </w:tc>
        <w:tc>
          <w:tcPr>
            <w:tcW w:w="8137" w:type="dxa"/>
            <w:gridSpan w:val="3"/>
            <w:vAlign w:val="center"/>
          </w:tcPr>
          <w:p w14:paraId="7639D591">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项目经理:            电话：</w:t>
            </w:r>
          </w:p>
        </w:tc>
      </w:tr>
      <w:tr w14:paraId="6239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3" w:type="dxa"/>
            <w:vMerge w:val="continue"/>
            <w:vAlign w:val="center"/>
          </w:tcPr>
          <w:p w14:paraId="0F78D3D5">
            <w:pPr>
              <w:shd w:val="clear"/>
              <w:snapToGrid w:val="0"/>
              <w:spacing w:before="93" w:beforeLines="30" w:after="93" w:afterLines="30" w:line="240" w:lineRule="auto"/>
              <w:ind w:firstLine="0" w:firstLineChars="0"/>
              <w:rPr>
                <w:rFonts w:cs="宋体"/>
                <w:color w:val="auto"/>
                <w:highlight w:val="none"/>
              </w:rPr>
            </w:pPr>
          </w:p>
        </w:tc>
        <w:tc>
          <w:tcPr>
            <w:tcW w:w="8137" w:type="dxa"/>
            <w:gridSpan w:val="3"/>
            <w:vAlign w:val="center"/>
          </w:tcPr>
          <w:p w14:paraId="29635178">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高级职称人数:    人，中级职称人数:    人，初级职称人数:    人</w:t>
            </w:r>
          </w:p>
        </w:tc>
      </w:tr>
      <w:tr w14:paraId="0FBD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393" w:type="dxa"/>
            <w:vAlign w:val="center"/>
          </w:tcPr>
          <w:p w14:paraId="496031E0">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经营范围</w:t>
            </w:r>
          </w:p>
        </w:tc>
        <w:tc>
          <w:tcPr>
            <w:tcW w:w="8137" w:type="dxa"/>
            <w:gridSpan w:val="3"/>
            <w:vAlign w:val="center"/>
          </w:tcPr>
          <w:p w14:paraId="0A66404F">
            <w:pPr>
              <w:shd w:val="clear"/>
              <w:snapToGrid w:val="0"/>
              <w:spacing w:before="93" w:beforeLines="30" w:after="93" w:afterLines="30" w:line="240" w:lineRule="auto"/>
              <w:ind w:firstLine="0" w:firstLineChars="0"/>
              <w:rPr>
                <w:rFonts w:cs="宋体"/>
                <w:color w:val="auto"/>
                <w:highlight w:val="none"/>
              </w:rPr>
            </w:pPr>
          </w:p>
        </w:tc>
      </w:tr>
      <w:tr w14:paraId="54A1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3" w:type="dxa"/>
            <w:vAlign w:val="center"/>
          </w:tcPr>
          <w:p w14:paraId="0154F741">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企业资质</w:t>
            </w:r>
          </w:p>
        </w:tc>
        <w:tc>
          <w:tcPr>
            <w:tcW w:w="8137" w:type="dxa"/>
            <w:gridSpan w:val="3"/>
            <w:vAlign w:val="center"/>
          </w:tcPr>
          <w:p w14:paraId="339E2293">
            <w:pPr>
              <w:shd w:val="clear"/>
              <w:snapToGrid w:val="0"/>
              <w:spacing w:before="93" w:beforeLines="30" w:after="93" w:afterLines="30" w:line="240" w:lineRule="auto"/>
              <w:ind w:firstLine="0" w:firstLineChars="0"/>
              <w:rPr>
                <w:rFonts w:cs="宋体"/>
                <w:color w:val="auto"/>
                <w:highlight w:val="none"/>
              </w:rPr>
            </w:pPr>
          </w:p>
        </w:tc>
      </w:tr>
      <w:tr w14:paraId="73FF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3" w:type="dxa"/>
            <w:vAlign w:val="center"/>
          </w:tcPr>
          <w:p w14:paraId="46CCA952">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备注</w:t>
            </w:r>
          </w:p>
        </w:tc>
        <w:tc>
          <w:tcPr>
            <w:tcW w:w="8137" w:type="dxa"/>
            <w:gridSpan w:val="3"/>
            <w:vAlign w:val="center"/>
          </w:tcPr>
          <w:p w14:paraId="34888269">
            <w:pPr>
              <w:shd w:val="clear"/>
              <w:snapToGrid w:val="0"/>
              <w:spacing w:before="93" w:beforeLines="30" w:after="93" w:afterLines="30" w:line="240" w:lineRule="auto"/>
              <w:ind w:firstLine="0" w:firstLineChars="0"/>
              <w:rPr>
                <w:rFonts w:cs="宋体"/>
                <w:color w:val="auto"/>
                <w:highlight w:val="none"/>
              </w:rPr>
            </w:pPr>
          </w:p>
        </w:tc>
      </w:tr>
      <w:tr w14:paraId="1E8A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0" w:type="dxa"/>
            <w:gridSpan w:val="4"/>
            <w:vAlign w:val="center"/>
          </w:tcPr>
          <w:p w14:paraId="36315B5C">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投标人联系人信息</w:t>
            </w:r>
          </w:p>
        </w:tc>
      </w:tr>
      <w:tr w14:paraId="54D78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3" w:type="dxa"/>
            <w:vAlign w:val="center"/>
          </w:tcPr>
          <w:p w14:paraId="49448D41">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姓名</w:t>
            </w:r>
          </w:p>
        </w:tc>
        <w:tc>
          <w:tcPr>
            <w:tcW w:w="2912" w:type="dxa"/>
            <w:vAlign w:val="center"/>
          </w:tcPr>
          <w:p w14:paraId="65EBD09A">
            <w:pPr>
              <w:shd w:val="clear"/>
              <w:snapToGrid w:val="0"/>
              <w:spacing w:before="93" w:beforeLines="30" w:after="93" w:afterLines="30" w:line="240" w:lineRule="auto"/>
              <w:ind w:firstLine="0" w:firstLineChars="0"/>
              <w:rPr>
                <w:rFonts w:cs="宋体"/>
                <w:color w:val="auto"/>
                <w:highlight w:val="none"/>
              </w:rPr>
            </w:pPr>
          </w:p>
        </w:tc>
        <w:tc>
          <w:tcPr>
            <w:tcW w:w="2313" w:type="dxa"/>
            <w:vAlign w:val="center"/>
          </w:tcPr>
          <w:p w14:paraId="22AE838E">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移动电话</w:t>
            </w:r>
          </w:p>
        </w:tc>
        <w:tc>
          <w:tcPr>
            <w:tcW w:w="2912" w:type="dxa"/>
            <w:vAlign w:val="center"/>
          </w:tcPr>
          <w:p w14:paraId="1BF9AFBC">
            <w:pPr>
              <w:shd w:val="clear"/>
              <w:snapToGrid w:val="0"/>
              <w:spacing w:before="93" w:beforeLines="30" w:after="93" w:afterLines="30" w:line="240" w:lineRule="auto"/>
              <w:ind w:firstLine="0" w:firstLineChars="0"/>
              <w:rPr>
                <w:rFonts w:cs="宋体"/>
                <w:color w:val="auto"/>
                <w:highlight w:val="none"/>
              </w:rPr>
            </w:pPr>
          </w:p>
        </w:tc>
      </w:tr>
      <w:tr w14:paraId="3448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3" w:type="dxa"/>
            <w:vAlign w:val="center"/>
          </w:tcPr>
          <w:p w14:paraId="6C79D823">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电子邮箱</w:t>
            </w:r>
          </w:p>
        </w:tc>
        <w:tc>
          <w:tcPr>
            <w:tcW w:w="2912" w:type="dxa"/>
            <w:vAlign w:val="center"/>
          </w:tcPr>
          <w:p w14:paraId="1965A636">
            <w:pPr>
              <w:shd w:val="clear"/>
              <w:snapToGrid w:val="0"/>
              <w:spacing w:before="93" w:beforeLines="30" w:after="93" w:afterLines="30" w:line="240" w:lineRule="auto"/>
              <w:ind w:firstLine="0" w:firstLineChars="0"/>
              <w:rPr>
                <w:rFonts w:cs="宋体"/>
                <w:color w:val="auto"/>
                <w:highlight w:val="none"/>
              </w:rPr>
            </w:pPr>
          </w:p>
        </w:tc>
        <w:tc>
          <w:tcPr>
            <w:tcW w:w="2313" w:type="dxa"/>
            <w:vAlign w:val="center"/>
          </w:tcPr>
          <w:p w14:paraId="6BA623E1">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固定电话</w:t>
            </w:r>
          </w:p>
        </w:tc>
        <w:tc>
          <w:tcPr>
            <w:tcW w:w="2912" w:type="dxa"/>
            <w:vAlign w:val="center"/>
          </w:tcPr>
          <w:p w14:paraId="5FBB6CC4">
            <w:pPr>
              <w:shd w:val="clear"/>
              <w:snapToGrid w:val="0"/>
              <w:spacing w:before="93" w:beforeLines="30" w:after="93" w:afterLines="30" w:line="240" w:lineRule="auto"/>
              <w:ind w:firstLine="0" w:firstLineChars="0"/>
              <w:rPr>
                <w:rFonts w:cs="宋体"/>
                <w:color w:val="auto"/>
                <w:highlight w:val="none"/>
              </w:rPr>
            </w:pPr>
          </w:p>
        </w:tc>
      </w:tr>
      <w:tr w14:paraId="5D0D6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30" w:type="dxa"/>
            <w:gridSpan w:val="4"/>
            <w:vAlign w:val="center"/>
          </w:tcPr>
          <w:p w14:paraId="5DC15602">
            <w:pPr>
              <w:shd w:val="clear"/>
              <w:snapToGrid w:val="0"/>
              <w:spacing w:before="93" w:beforeLines="30" w:after="93" w:afterLines="30" w:line="240" w:lineRule="auto"/>
              <w:ind w:firstLine="0" w:firstLineChars="0"/>
              <w:rPr>
                <w:rFonts w:cs="宋体"/>
                <w:color w:val="auto"/>
                <w:highlight w:val="none"/>
              </w:rPr>
            </w:pPr>
            <w:r>
              <w:rPr>
                <w:rFonts w:hint="eastAsia" w:cs="宋体"/>
                <w:color w:val="auto"/>
                <w:highlight w:val="none"/>
              </w:rPr>
              <w:t>企业简介：（可另附页或企业对外宣传手册）</w:t>
            </w:r>
          </w:p>
        </w:tc>
      </w:tr>
    </w:tbl>
    <w:p w14:paraId="66FD1328">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 xml:space="preserve"> </w:t>
      </w:r>
    </w:p>
    <w:p w14:paraId="15D4C092">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投标人名称（盖章）:</w:t>
      </w:r>
    </w:p>
    <w:p w14:paraId="1DEC6F1E">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法定代表人或授权代理人（签字或盖章）:</w:t>
      </w:r>
    </w:p>
    <w:p w14:paraId="126F8FB8">
      <w:pPr>
        <w:widowControl/>
        <w:shd w:val="clear"/>
        <w:adjustRightInd w:val="0"/>
        <w:snapToGrid w:val="0"/>
        <w:spacing w:line="360" w:lineRule="auto"/>
        <w:ind w:firstLine="4080" w:firstLineChars="1700"/>
        <w:rPr>
          <w:rFonts w:hint="eastAsia" w:ascii="宋体" w:hAnsi="宋体" w:cs="宋体"/>
          <w:color w:val="auto"/>
          <w:highlight w:val="none"/>
        </w:rPr>
      </w:pPr>
      <w:r>
        <w:rPr>
          <w:rFonts w:hint="eastAsia" w:ascii="宋体" w:hAnsi="宋体" w:cs="宋体"/>
          <w:color w:val="auto"/>
          <w:highlight w:val="none"/>
          <w:lang w:bidi="ar"/>
        </w:rPr>
        <w:t>日期:2025年   月   日</w:t>
      </w:r>
    </w:p>
    <w:p w14:paraId="41B8552F">
      <w:pPr>
        <w:shd w:val="clear"/>
        <w:ind w:firstLine="480"/>
        <w:rPr>
          <w:rFonts w:hint="eastAsia" w:ascii="宋体" w:hAnsi="宋体" w:cs="宋体"/>
          <w:bCs/>
          <w:color w:val="auto"/>
          <w:highlight w:val="none"/>
        </w:rPr>
        <w:sectPr>
          <w:pgSz w:w="11906" w:h="16838"/>
          <w:pgMar w:top="1440" w:right="1080" w:bottom="1440" w:left="1080" w:header="737" w:footer="907" w:gutter="0"/>
          <w:pgBorders>
            <w:top w:val="thinThickSmallGap" w:color="auto" w:sz="12" w:space="10"/>
            <w:left w:val="none" w:sz="0" w:space="0"/>
            <w:bottom w:val="thinThickSmallGap" w:color="auto" w:sz="12" w:space="10"/>
            <w:right w:val="none" w:sz="0" w:space="0"/>
          </w:pgBorders>
          <w:cols w:space="720" w:num="1"/>
          <w:docGrid w:type="lines" w:linePitch="312" w:charSpace="0"/>
        </w:sectPr>
      </w:pPr>
    </w:p>
    <w:p w14:paraId="79713A28">
      <w:pPr>
        <w:shd w:val="clear"/>
        <w:ind w:firstLine="0" w:firstLineChars="0"/>
        <w:outlineLvl w:val="0"/>
        <w:rPr>
          <w:rFonts w:hint="eastAsia" w:ascii="宋体" w:hAnsi="宋体" w:cs="宋体"/>
          <w:color w:val="auto"/>
          <w:highlight w:val="none"/>
        </w:rPr>
      </w:pPr>
      <w:r>
        <w:rPr>
          <w:rFonts w:hint="eastAsia" w:ascii="宋体" w:hAnsi="宋体" w:cs="宋体"/>
          <w:b/>
          <w:bCs/>
          <w:color w:val="auto"/>
          <w:highlight w:val="none"/>
        </w:rPr>
        <w:t>附件2</w:t>
      </w:r>
    </w:p>
    <w:p w14:paraId="07D11276">
      <w:pPr>
        <w:shd w:val="clear"/>
        <w:spacing w:line="360" w:lineRule="auto"/>
        <w:ind w:firstLine="0" w:firstLineChars="0"/>
        <w:jc w:val="center"/>
        <w:rPr>
          <w:rFonts w:hint="eastAsia" w:ascii="宋体" w:hAnsi="宋体" w:cs="宋体"/>
          <w:b/>
          <w:color w:val="auto"/>
          <w:sz w:val="28"/>
          <w:szCs w:val="28"/>
          <w:highlight w:val="none"/>
        </w:rPr>
      </w:pPr>
      <w:r>
        <w:rPr>
          <w:rFonts w:hint="eastAsia" w:ascii="宋体" w:hAnsi="宋体" w:cs="宋体"/>
          <w:b/>
          <w:color w:val="auto"/>
          <w:sz w:val="28"/>
          <w:szCs w:val="28"/>
          <w:highlight w:val="none"/>
        </w:rPr>
        <w:t>符合参加政府采购活动应当具备的一般条件的承诺函</w:t>
      </w:r>
    </w:p>
    <w:p w14:paraId="7ABDEB24">
      <w:pPr>
        <w:shd w:val="clear"/>
        <w:ind w:firstLine="480"/>
        <w:rPr>
          <w:rFonts w:hint="eastAsia" w:ascii="宋体" w:hAnsi="宋体" w:cs="宋体"/>
          <w:color w:val="auto"/>
          <w:highlight w:val="none"/>
        </w:rPr>
      </w:pPr>
      <w:r>
        <w:rPr>
          <w:rFonts w:hint="eastAsia" w:ascii="宋体" w:hAnsi="宋体" w:cs="宋体"/>
          <w:color w:val="auto"/>
          <w:highlight w:val="none"/>
        </w:rPr>
        <w:t>致：</w:t>
      </w:r>
      <w:r>
        <w:rPr>
          <w:rFonts w:hint="eastAsia" w:ascii="宋体" w:hAnsi="宋体" w:cs="宋体"/>
          <w:color w:val="auto"/>
          <w:highlight w:val="none"/>
          <w:u w:val="single"/>
          <w:lang w:eastAsia="zh-CN"/>
        </w:rPr>
        <w:t>龙游县东华街道办事处</w:t>
      </w:r>
      <w:r>
        <w:rPr>
          <w:rFonts w:hint="eastAsia" w:ascii="宋体" w:hAnsi="宋体" w:cs="宋体"/>
          <w:color w:val="auto"/>
          <w:highlight w:val="none"/>
        </w:rPr>
        <w:t>：</w:t>
      </w:r>
    </w:p>
    <w:p w14:paraId="62F2BFB5">
      <w:pPr>
        <w:pStyle w:val="36"/>
        <w:shd w:val="clear"/>
        <w:ind w:firstLine="480"/>
        <w:rPr>
          <w:color w:val="auto"/>
          <w:highlight w:val="none"/>
        </w:rPr>
      </w:pPr>
      <w:r>
        <w:rPr>
          <w:color w:val="auto"/>
          <w:highlight w:val="none"/>
        </w:rPr>
        <w:t>我方参加</w:t>
      </w:r>
      <w:r>
        <w:rPr>
          <w:color w:val="auto"/>
          <w:highlight w:val="none"/>
          <w:u w:val="single"/>
        </w:rPr>
        <w:t>项目</w:t>
      </w:r>
      <w:r>
        <w:rPr>
          <w:rFonts w:hint="eastAsia"/>
          <w:color w:val="auto"/>
          <w:highlight w:val="none"/>
          <w:u w:val="single"/>
        </w:rPr>
        <w:t>名称</w:t>
      </w:r>
      <w:r>
        <w:rPr>
          <w:color w:val="auto"/>
          <w:highlight w:val="none"/>
          <w:u w:val="single"/>
        </w:rPr>
        <w:t>（项目编号)</w:t>
      </w:r>
      <w:r>
        <w:rPr>
          <w:color w:val="auto"/>
          <w:highlight w:val="none"/>
        </w:rPr>
        <w:t>政府采购活动，郑重承诺：</w:t>
      </w:r>
    </w:p>
    <w:p w14:paraId="15B177DF">
      <w:pPr>
        <w:pStyle w:val="36"/>
        <w:shd w:val="clear"/>
        <w:ind w:firstLine="480"/>
        <w:outlineLvl w:val="1"/>
        <w:rPr>
          <w:rFonts w:hint="eastAsia" w:ascii="宋体" w:hAnsi="宋体" w:cs="宋体"/>
          <w:color w:val="auto"/>
          <w:highlight w:val="none"/>
        </w:rPr>
      </w:pPr>
      <w:bookmarkStart w:id="442" w:name="_Toc17960"/>
      <w:bookmarkStart w:id="443" w:name="_Toc23734"/>
      <w:bookmarkStart w:id="444" w:name="_Toc30732"/>
      <w:bookmarkStart w:id="445" w:name="_Toc24699"/>
      <w:bookmarkStart w:id="446" w:name="_Toc12364"/>
      <w:r>
        <w:rPr>
          <w:rFonts w:hint="eastAsia" w:ascii="宋体" w:hAnsi="宋体" w:cs="宋体"/>
          <w:color w:val="auto"/>
          <w:highlight w:val="none"/>
        </w:rPr>
        <w:t>一、具备《中华人民共和国政府采购法》第二十二条规定的条件：</w:t>
      </w:r>
      <w:bookmarkEnd w:id="442"/>
      <w:bookmarkEnd w:id="443"/>
      <w:bookmarkEnd w:id="444"/>
      <w:bookmarkEnd w:id="445"/>
      <w:bookmarkEnd w:id="446"/>
    </w:p>
    <w:p w14:paraId="545055D1">
      <w:pPr>
        <w:pStyle w:val="36"/>
        <w:shd w:val="clear"/>
        <w:ind w:firstLine="480"/>
        <w:rPr>
          <w:rFonts w:hint="eastAsia" w:ascii="宋体" w:hAnsi="宋体" w:cs="宋体"/>
          <w:color w:val="auto"/>
          <w:highlight w:val="none"/>
        </w:rPr>
      </w:pPr>
      <w:r>
        <w:rPr>
          <w:rFonts w:hint="eastAsia" w:ascii="宋体" w:hAnsi="宋体" w:cs="宋体"/>
          <w:color w:val="auto"/>
          <w:highlight w:val="none"/>
        </w:rPr>
        <w:t>1.具有独立承担民事责任的能力；</w:t>
      </w:r>
    </w:p>
    <w:p w14:paraId="28F9086C">
      <w:pPr>
        <w:pStyle w:val="36"/>
        <w:shd w:val="clear"/>
        <w:ind w:firstLine="480"/>
        <w:rPr>
          <w:rFonts w:hint="eastAsia" w:ascii="宋体" w:hAnsi="宋体" w:cs="宋体"/>
          <w:color w:val="auto"/>
          <w:highlight w:val="none"/>
        </w:rPr>
      </w:pPr>
      <w:r>
        <w:rPr>
          <w:rFonts w:hint="eastAsia" w:ascii="宋体" w:hAnsi="宋体" w:cs="宋体"/>
          <w:color w:val="auto"/>
          <w:highlight w:val="none"/>
        </w:rPr>
        <w:t>2.具有良好的商业信誉和健全的财务会计制度；</w:t>
      </w:r>
    </w:p>
    <w:p w14:paraId="74C4D45F">
      <w:pPr>
        <w:pStyle w:val="36"/>
        <w:shd w:val="clear"/>
        <w:ind w:firstLine="480"/>
        <w:rPr>
          <w:rFonts w:hint="eastAsia" w:ascii="宋体" w:hAnsi="宋体" w:cs="宋体"/>
          <w:color w:val="auto"/>
          <w:highlight w:val="none"/>
        </w:rPr>
      </w:pPr>
      <w:r>
        <w:rPr>
          <w:rFonts w:hint="eastAsia" w:ascii="宋体" w:hAnsi="宋体" w:cs="宋体"/>
          <w:color w:val="auto"/>
          <w:highlight w:val="none"/>
        </w:rPr>
        <w:t>3.具有履行合同所必需的设备和专业技术能力；</w:t>
      </w:r>
    </w:p>
    <w:p w14:paraId="3E14491B">
      <w:pPr>
        <w:pStyle w:val="36"/>
        <w:shd w:val="clear"/>
        <w:ind w:firstLine="480"/>
        <w:rPr>
          <w:rFonts w:hint="eastAsia" w:ascii="宋体" w:hAnsi="宋体" w:cs="宋体"/>
          <w:color w:val="auto"/>
          <w:highlight w:val="none"/>
        </w:rPr>
      </w:pPr>
      <w:r>
        <w:rPr>
          <w:rFonts w:hint="eastAsia" w:ascii="宋体" w:hAnsi="宋体" w:cs="宋体"/>
          <w:color w:val="auto"/>
          <w:highlight w:val="none"/>
        </w:rPr>
        <w:t>4.有依法缴纳税收和社会保障资金的良好记录；</w:t>
      </w:r>
    </w:p>
    <w:p w14:paraId="2B456FBF">
      <w:pPr>
        <w:pStyle w:val="36"/>
        <w:shd w:val="clear"/>
        <w:ind w:firstLine="480"/>
        <w:rPr>
          <w:rFonts w:hint="eastAsia" w:ascii="宋体" w:hAnsi="宋体" w:cs="宋体"/>
          <w:color w:val="auto"/>
          <w:highlight w:val="none"/>
        </w:rPr>
      </w:pPr>
      <w:r>
        <w:rPr>
          <w:rFonts w:hint="eastAsia" w:ascii="宋体" w:hAnsi="宋体" w:cs="宋体"/>
          <w:color w:val="auto"/>
          <w:highlight w:val="none"/>
        </w:rPr>
        <w:t>5.参加政府采购活动前三年内，在经营活动中没有重大违法记录；</w:t>
      </w:r>
    </w:p>
    <w:p w14:paraId="21DCAB2F">
      <w:pPr>
        <w:pStyle w:val="36"/>
        <w:shd w:val="clear"/>
        <w:ind w:firstLine="480"/>
        <w:rPr>
          <w:rFonts w:hint="eastAsia" w:ascii="宋体" w:hAnsi="宋体" w:cs="宋体"/>
          <w:color w:val="auto"/>
          <w:highlight w:val="none"/>
        </w:rPr>
      </w:pPr>
      <w:r>
        <w:rPr>
          <w:rFonts w:hint="eastAsia" w:ascii="宋体" w:hAnsi="宋体" w:cs="宋体"/>
          <w:color w:val="auto"/>
          <w:highlight w:val="none"/>
        </w:rPr>
        <w:t>6.具有法律、行政法规规定的其他条件。</w:t>
      </w:r>
    </w:p>
    <w:p w14:paraId="299FF7C7">
      <w:pPr>
        <w:pStyle w:val="36"/>
        <w:shd w:val="clear"/>
        <w:ind w:firstLine="480"/>
        <w:rPr>
          <w:rFonts w:hint="eastAsia" w:ascii="宋体" w:hAnsi="宋体" w:cs="宋体"/>
          <w:color w:val="auto"/>
          <w:highlight w:val="none"/>
        </w:rPr>
      </w:pPr>
      <w:r>
        <w:rPr>
          <w:rFonts w:hint="eastAsia" w:ascii="宋体" w:hAnsi="宋体" w:cs="宋体"/>
          <w:color w:val="auto"/>
          <w:highlight w:val="none"/>
        </w:rPr>
        <w:t>二、未被“信用中国”（www.creditchina.gov.cn)、中国政府采购网（www.ccgp.gov.cn）列入失信被执行人、重大税收违法案件当事人名单、政府采购严重违法失信行为记录名单。</w:t>
      </w:r>
    </w:p>
    <w:p w14:paraId="78F14EA1">
      <w:pPr>
        <w:pStyle w:val="36"/>
        <w:shd w:val="clear"/>
        <w:ind w:firstLine="480"/>
        <w:outlineLvl w:val="1"/>
        <w:rPr>
          <w:rFonts w:hint="eastAsia" w:ascii="宋体" w:hAnsi="宋体" w:cs="宋体"/>
          <w:color w:val="auto"/>
          <w:highlight w:val="none"/>
        </w:rPr>
      </w:pPr>
      <w:bookmarkStart w:id="447" w:name="_Toc26101"/>
      <w:bookmarkStart w:id="448" w:name="_Toc7996"/>
      <w:bookmarkStart w:id="449" w:name="_Toc11632"/>
      <w:bookmarkStart w:id="450" w:name="_Toc27521"/>
      <w:bookmarkStart w:id="451" w:name="_Toc15622"/>
      <w:r>
        <w:rPr>
          <w:rFonts w:hint="eastAsia" w:ascii="宋体" w:hAnsi="宋体" w:cs="宋体"/>
          <w:color w:val="auto"/>
          <w:highlight w:val="none"/>
        </w:rPr>
        <w:t>三、没有下列情形：</w:t>
      </w:r>
      <w:bookmarkEnd w:id="447"/>
      <w:bookmarkEnd w:id="448"/>
      <w:bookmarkEnd w:id="449"/>
      <w:bookmarkEnd w:id="450"/>
      <w:bookmarkEnd w:id="451"/>
    </w:p>
    <w:p w14:paraId="5C625F50">
      <w:pPr>
        <w:pStyle w:val="36"/>
        <w:shd w:val="clear"/>
        <w:ind w:firstLine="480"/>
        <w:rPr>
          <w:rFonts w:hint="eastAsia" w:ascii="宋体" w:hAnsi="宋体" w:cs="宋体"/>
          <w:color w:val="auto"/>
          <w:highlight w:val="none"/>
        </w:rPr>
      </w:pPr>
      <w:r>
        <w:rPr>
          <w:rFonts w:hint="eastAsia" w:ascii="宋体" w:hAnsi="宋体" w:cs="宋体"/>
          <w:color w:val="auto"/>
          <w:highlight w:val="none"/>
        </w:rPr>
        <w:t>1.单位负责人为同一人或者存在直接控股、管理关系的不同投标人参加同一合同项下的政府采购活动的；</w:t>
      </w:r>
    </w:p>
    <w:p w14:paraId="44EF5E66">
      <w:pPr>
        <w:pStyle w:val="36"/>
        <w:shd w:val="clear"/>
        <w:ind w:firstLine="480"/>
        <w:rPr>
          <w:rFonts w:hint="eastAsia" w:ascii="宋体" w:hAnsi="宋体" w:cs="宋体"/>
          <w:color w:val="auto"/>
          <w:highlight w:val="none"/>
        </w:rPr>
      </w:pPr>
      <w:r>
        <w:rPr>
          <w:rFonts w:hint="eastAsia" w:ascii="宋体" w:hAnsi="宋体" w:cs="宋体"/>
          <w:color w:val="auto"/>
          <w:highlight w:val="none"/>
        </w:rPr>
        <w:t>2.为采购项目提供整体设计、规范编制或者项目管理、监理、检测等服务后再参加该采购项目的其他采购活动的。</w:t>
      </w:r>
    </w:p>
    <w:p w14:paraId="2E053CD5">
      <w:pPr>
        <w:pStyle w:val="36"/>
        <w:shd w:val="clear"/>
        <w:ind w:firstLine="480"/>
        <w:rPr>
          <w:rFonts w:hint="eastAsia" w:ascii="宋体" w:hAnsi="宋体" w:cs="宋体"/>
          <w:color w:val="auto"/>
          <w:highlight w:val="none"/>
        </w:rPr>
      </w:pPr>
      <w:r>
        <w:rPr>
          <w:rFonts w:hint="eastAsia" w:ascii="宋体" w:hAnsi="宋体" w:cs="宋体"/>
          <w:color w:val="auto"/>
          <w:highlight w:val="none"/>
        </w:rPr>
        <w:t>我方对上述承诺的内</w:t>
      </w:r>
      <w:r>
        <w:rPr>
          <w:rFonts w:hint="eastAsia" w:ascii="宋体" w:hAnsi="宋体" w:cs="宋体"/>
          <w:color w:val="auto"/>
          <w:highlight w:val="none"/>
          <w:lang w:eastAsia="zh-CN"/>
        </w:rPr>
        <w:t>容和</w:t>
      </w:r>
      <w:r>
        <w:rPr>
          <w:rFonts w:hint="eastAsia" w:ascii="宋体" w:hAnsi="宋体" w:cs="宋体"/>
          <w:color w:val="auto"/>
          <w:highlight w:val="none"/>
        </w:rPr>
        <w:t>事项真实性负责，如有虚假，由我方承担相关法律责任。</w:t>
      </w:r>
    </w:p>
    <w:p w14:paraId="19FB7FB0">
      <w:pPr>
        <w:shd w:val="clear"/>
        <w:ind w:firstLine="480"/>
        <w:rPr>
          <w:rFonts w:hint="eastAsia" w:ascii="宋体" w:hAnsi="宋体" w:cs="宋体"/>
          <w:color w:val="auto"/>
          <w:highlight w:val="none"/>
        </w:rPr>
      </w:pPr>
    </w:p>
    <w:p w14:paraId="605E4147">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投标人名称（盖章）:</w:t>
      </w:r>
    </w:p>
    <w:p w14:paraId="1AFB1F6E">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法定代表人或授权代理人（签字或盖章）:</w:t>
      </w:r>
    </w:p>
    <w:p w14:paraId="2EF1823F">
      <w:pPr>
        <w:widowControl/>
        <w:shd w:val="clear"/>
        <w:adjustRightInd w:val="0"/>
        <w:snapToGrid w:val="0"/>
        <w:spacing w:line="360" w:lineRule="auto"/>
        <w:ind w:firstLine="4080" w:firstLineChars="1700"/>
        <w:rPr>
          <w:rFonts w:hint="eastAsia" w:ascii="宋体" w:hAnsi="宋体" w:cs="宋体"/>
          <w:color w:val="auto"/>
          <w:highlight w:val="none"/>
        </w:rPr>
      </w:pPr>
      <w:r>
        <w:rPr>
          <w:rFonts w:hint="eastAsia" w:ascii="宋体" w:hAnsi="宋体" w:cs="宋体"/>
          <w:color w:val="auto"/>
          <w:highlight w:val="none"/>
          <w:lang w:bidi="ar"/>
        </w:rPr>
        <w:t>日期:2025年   月   日</w:t>
      </w:r>
    </w:p>
    <w:p w14:paraId="021E8913">
      <w:pPr>
        <w:pStyle w:val="40"/>
        <w:shd w:val="clear"/>
        <w:rPr>
          <w:rFonts w:hAnsi="宋体" w:cs="宋体"/>
          <w:color w:val="auto"/>
          <w:highlight w:val="none"/>
        </w:rPr>
      </w:pPr>
    </w:p>
    <w:p w14:paraId="687D5DBD">
      <w:pPr>
        <w:shd w:val="clear"/>
        <w:ind w:firstLine="480"/>
        <w:rPr>
          <w:rFonts w:hint="eastAsia" w:ascii="宋体" w:hAnsi="宋体" w:cs="宋体"/>
          <w:color w:val="auto"/>
          <w:highlight w:val="none"/>
        </w:rPr>
      </w:pPr>
    </w:p>
    <w:p w14:paraId="2C821293">
      <w:pPr>
        <w:pStyle w:val="40"/>
        <w:shd w:val="clear"/>
        <w:rPr>
          <w:rFonts w:hAnsi="宋体" w:cs="宋体"/>
          <w:color w:val="auto"/>
          <w:highlight w:val="none"/>
        </w:rPr>
      </w:pPr>
    </w:p>
    <w:p w14:paraId="150F6600">
      <w:pPr>
        <w:shd w:val="clear"/>
        <w:ind w:firstLine="480"/>
        <w:rPr>
          <w:color w:val="auto"/>
          <w:highlight w:val="none"/>
          <w:lang w:val="zh-CN"/>
        </w:rPr>
      </w:pPr>
    </w:p>
    <w:p w14:paraId="509EB567">
      <w:pPr>
        <w:pStyle w:val="37"/>
        <w:shd w:val="clear"/>
        <w:snapToGrid w:val="0"/>
        <w:spacing w:after="120"/>
        <w:ind w:firstLine="0" w:firstLineChars="0"/>
        <w:rPr>
          <w:rFonts w:hint="eastAsia" w:cs="宋体"/>
          <w:b/>
          <w:bCs/>
          <w:color w:val="auto"/>
          <w:kern w:val="2"/>
          <w:highlight w:val="none"/>
          <w:lang w:bidi="ar"/>
        </w:rPr>
        <w:sectPr>
          <w:headerReference r:id="rId11" w:type="first"/>
          <w:footerReference r:id="rId14" w:type="first"/>
          <w:footerReference r:id="rId12" w:type="default"/>
          <w:headerReference r:id="rId10" w:type="even"/>
          <w:footerReference r:id="rId13" w:type="even"/>
          <w:pgSz w:w="11906" w:h="16838"/>
          <w:pgMar w:top="1440" w:right="1080" w:bottom="1440" w:left="1080" w:header="737" w:footer="907" w:gutter="0"/>
          <w:pgBorders>
            <w:top w:val="thinThickSmallGap" w:color="auto" w:sz="12" w:space="10"/>
            <w:left w:val="none" w:sz="0" w:space="0"/>
            <w:bottom w:val="thinThickSmallGap" w:color="auto" w:sz="12" w:space="10"/>
            <w:right w:val="none" w:sz="0" w:space="0"/>
          </w:pgBorders>
          <w:cols w:space="720" w:num="1"/>
          <w:docGrid w:type="lines" w:linePitch="312" w:charSpace="0"/>
        </w:sectPr>
      </w:pPr>
    </w:p>
    <w:p w14:paraId="60E68BF5">
      <w:pPr>
        <w:shd w:val="clear"/>
        <w:spacing w:line="360" w:lineRule="auto"/>
        <w:ind w:firstLine="0" w:firstLineChars="0"/>
        <w:jc w:val="left"/>
        <w:outlineLvl w:val="0"/>
        <w:rPr>
          <w:rFonts w:hint="eastAsia" w:ascii="仿宋" w:hAnsi="仿宋" w:eastAsia="宋体" w:cs="仿宋"/>
          <w:b/>
          <w:color w:val="auto"/>
          <w:sz w:val="30"/>
          <w:szCs w:val="30"/>
          <w:highlight w:val="none"/>
          <w:lang w:eastAsia="zh-CN"/>
        </w:rPr>
      </w:pPr>
      <w:bookmarkStart w:id="452" w:name="_Toc27893"/>
      <w:bookmarkStart w:id="453" w:name="_Toc13186"/>
      <w:bookmarkStart w:id="454" w:name="_Toc25582"/>
      <w:bookmarkStart w:id="455" w:name="_Toc7403"/>
      <w:bookmarkStart w:id="456" w:name="_Toc2511"/>
      <w:bookmarkStart w:id="457" w:name="_Toc2490"/>
      <w:bookmarkStart w:id="458" w:name="_Toc2373"/>
      <w:bookmarkStart w:id="459" w:name="_Toc14545"/>
      <w:bookmarkStart w:id="460" w:name="_Toc8536"/>
      <w:bookmarkStart w:id="461" w:name="_Toc10052"/>
      <w:bookmarkStart w:id="462" w:name="_Toc21651"/>
      <w:bookmarkStart w:id="463" w:name="_Toc31517"/>
      <w:bookmarkStart w:id="464" w:name="_Toc12176"/>
      <w:bookmarkStart w:id="465" w:name="_Toc4215"/>
      <w:bookmarkStart w:id="466" w:name="_Toc1961"/>
      <w:bookmarkStart w:id="467" w:name="_Toc5725"/>
      <w:bookmarkStart w:id="468" w:name="_Toc13370"/>
      <w:bookmarkStart w:id="469" w:name="_Toc29479"/>
      <w:bookmarkStart w:id="470" w:name="_Toc2829"/>
      <w:bookmarkStart w:id="471" w:name="_Toc17847"/>
      <w:bookmarkStart w:id="472" w:name="_Toc25446"/>
      <w:bookmarkStart w:id="473" w:name="_Toc30194"/>
      <w:bookmarkStart w:id="474" w:name="_Toc28622"/>
      <w:bookmarkStart w:id="475" w:name="_Toc4760"/>
      <w:bookmarkStart w:id="476" w:name="_Toc23717"/>
      <w:bookmarkStart w:id="477" w:name="_Toc4011"/>
      <w:bookmarkStart w:id="478" w:name="_Toc9607"/>
      <w:bookmarkStart w:id="479" w:name="_Toc32036"/>
      <w:bookmarkStart w:id="480" w:name="_Toc6518"/>
      <w:bookmarkStart w:id="481" w:name="_Toc16228"/>
      <w:bookmarkStart w:id="482" w:name="_Toc8121"/>
      <w:bookmarkStart w:id="483" w:name="_Toc28743"/>
      <w:bookmarkStart w:id="484" w:name="_Toc1055"/>
      <w:bookmarkStart w:id="485" w:name="_Toc26742"/>
      <w:bookmarkStart w:id="486" w:name="_Toc14833"/>
      <w:bookmarkStart w:id="487" w:name="_Toc7282"/>
      <w:bookmarkStart w:id="488" w:name="_Toc5912"/>
      <w:bookmarkStart w:id="489" w:name="_Toc13789"/>
      <w:bookmarkStart w:id="490" w:name="_Toc25977"/>
      <w:bookmarkStart w:id="491" w:name="_Toc9763"/>
      <w:bookmarkStart w:id="492" w:name="_Toc4680"/>
      <w:bookmarkStart w:id="493" w:name="_Toc6498"/>
      <w:bookmarkStart w:id="494" w:name="_Toc26363"/>
      <w:bookmarkStart w:id="495" w:name="_Toc11076"/>
      <w:bookmarkStart w:id="496" w:name="_Toc30821"/>
      <w:bookmarkStart w:id="497" w:name="_Toc15480"/>
      <w:bookmarkStart w:id="498" w:name="_Toc2790"/>
      <w:bookmarkStart w:id="499" w:name="_Toc28888"/>
      <w:bookmarkStart w:id="500" w:name="_Toc16637"/>
      <w:bookmarkStart w:id="501" w:name="_Toc1222"/>
      <w:r>
        <w:rPr>
          <w:rStyle w:val="97"/>
          <w:rFonts w:hint="eastAsia" w:ascii="宋体" w:hAnsi="宋体" w:eastAsia="宋体" w:cs="宋体"/>
          <w:color w:val="auto"/>
          <w:szCs w:val="28"/>
          <w:highlight w:val="none"/>
        </w:rPr>
        <w:t>附件</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Pr>
          <w:rStyle w:val="97"/>
          <w:rFonts w:hint="eastAsia" w:ascii="宋体" w:hAnsi="宋体" w:cs="宋体"/>
          <w:color w:val="auto"/>
          <w:szCs w:val="28"/>
          <w:highlight w:val="none"/>
          <w:lang w:val="en-US" w:eastAsia="zh-CN"/>
        </w:rPr>
        <w:t>3</w:t>
      </w:r>
      <w:bookmarkEnd w:id="491"/>
      <w:bookmarkEnd w:id="492"/>
      <w:bookmarkEnd w:id="493"/>
      <w:bookmarkEnd w:id="494"/>
      <w:bookmarkEnd w:id="495"/>
      <w:bookmarkEnd w:id="496"/>
    </w:p>
    <w:bookmarkEnd w:id="497"/>
    <w:p w14:paraId="126EF779">
      <w:pPr>
        <w:widowControl/>
        <w:shd w:val="clear"/>
        <w:spacing w:line="360" w:lineRule="auto"/>
        <w:ind w:firstLine="0" w:firstLineChars="0"/>
        <w:jc w:val="center"/>
        <w:rPr>
          <w:rFonts w:hint="eastAsia" w:ascii="宋体" w:hAnsi="宋体" w:cs="宋体"/>
          <w:color w:val="auto"/>
          <w:highlight w:val="none"/>
          <w:lang w:bidi="ar"/>
        </w:rPr>
      </w:pPr>
      <w:bookmarkStart w:id="502" w:name="_Toc20134"/>
      <w:r>
        <w:rPr>
          <w:rFonts w:hint="eastAsia" w:ascii="宋体" w:hAnsi="宋体" w:cs="宋体"/>
          <w:b/>
          <w:color w:val="auto"/>
          <w:sz w:val="28"/>
          <w:szCs w:val="28"/>
          <w:highlight w:val="none"/>
          <w:lang w:bidi="ar"/>
        </w:rPr>
        <w:t>在经营活动中没有行贿犯罪记录声明书</w:t>
      </w:r>
    </w:p>
    <w:p w14:paraId="4BEB4979">
      <w:pPr>
        <w:shd w:val="clear"/>
        <w:spacing w:line="480" w:lineRule="auto"/>
        <w:ind w:firstLine="960" w:firstLineChars="400"/>
        <w:rPr>
          <w:rFonts w:hint="eastAsia" w:ascii="宋体" w:hAnsi="宋体" w:cs="宋体"/>
          <w:color w:val="auto"/>
          <w:highlight w:val="none"/>
        </w:rPr>
      </w:pPr>
      <w:r>
        <w:rPr>
          <w:rFonts w:hint="eastAsia" w:ascii="宋体" w:hAnsi="宋体" w:cs="宋体"/>
          <w:color w:val="auto"/>
          <w:highlight w:val="none"/>
          <w:lang w:bidi="ar"/>
        </w:rPr>
        <w:t>致：</w:t>
      </w:r>
      <w:r>
        <w:rPr>
          <w:rFonts w:hint="eastAsia" w:ascii="宋体" w:hAnsi="宋体" w:cs="宋体"/>
          <w:color w:val="auto"/>
          <w:highlight w:val="none"/>
          <w:u w:val="single"/>
          <w:lang w:eastAsia="zh-CN" w:bidi="ar"/>
        </w:rPr>
        <w:t>龙游县东华街道办事处</w:t>
      </w:r>
      <w:r>
        <w:rPr>
          <w:rFonts w:hint="eastAsia" w:ascii="宋体" w:hAnsi="宋体" w:cs="宋体"/>
          <w:color w:val="auto"/>
          <w:highlight w:val="none"/>
          <w:lang w:bidi="ar"/>
        </w:rPr>
        <w:t>：</w:t>
      </w:r>
    </w:p>
    <w:p w14:paraId="6A17A455">
      <w:pPr>
        <w:shd w:val="clear"/>
        <w:spacing w:line="480" w:lineRule="auto"/>
        <w:ind w:firstLine="960" w:firstLineChars="400"/>
        <w:rPr>
          <w:rFonts w:hint="eastAsia" w:ascii="宋体" w:hAnsi="宋体" w:cs="宋体"/>
          <w:color w:val="auto"/>
          <w:highlight w:val="none"/>
        </w:rPr>
      </w:pPr>
      <w:r>
        <w:rPr>
          <w:rFonts w:hint="eastAsia" w:ascii="宋体" w:hAnsi="宋体" w:cs="宋体"/>
          <w:color w:val="auto"/>
          <w:highlight w:val="none"/>
          <w:lang w:bidi="ar"/>
        </w:rPr>
        <w:t>我方</w:t>
      </w:r>
      <w:r>
        <w:rPr>
          <w:rFonts w:hint="eastAsia" w:ascii="宋体" w:hAnsi="宋体" w:cs="宋体"/>
          <w:color w:val="auto"/>
          <w:highlight w:val="none"/>
          <w:u w:val="single"/>
          <w:lang w:bidi="ar"/>
        </w:rPr>
        <w:t>（投标人名称）</w:t>
      </w:r>
      <w:r>
        <w:rPr>
          <w:rFonts w:hint="eastAsia" w:ascii="宋体" w:hAnsi="宋体" w:cs="宋体"/>
          <w:color w:val="auto"/>
          <w:highlight w:val="none"/>
          <w:lang w:bidi="ar"/>
        </w:rPr>
        <w:t>郑重声明：我单位参加采购活动前三年内，</w:t>
      </w:r>
      <w:r>
        <w:rPr>
          <w:rFonts w:hint="eastAsia" w:ascii="宋体" w:hAnsi="宋体" w:cs="宋体"/>
          <w:color w:val="auto"/>
          <w:highlight w:val="none"/>
          <w:lang w:eastAsia="zh-CN" w:bidi="ar"/>
        </w:rPr>
        <w:t>投标人</w:t>
      </w:r>
      <w:r>
        <w:rPr>
          <w:rFonts w:hint="eastAsia" w:ascii="宋体" w:hAnsi="宋体" w:cs="宋体"/>
          <w:color w:val="auto"/>
          <w:highlight w:val="none"/>
          <w:lang w:bidi="ar"/>
        </w:rPr>
        <w:t>、法定代表人没有行贿犯罪等重大违法记录。</w:t>
      </w:r>
    </w:p>
    <w:p w14:paraId="3E6110D1">
      <w:pPr>
        <w:shd w:val="clear"/>
        <w:spacing w:line="480" w:lineRule="auto"/>
        <w:ind w:firstLine="480"/>
        <w:rPr>
          <w:rFonts w:hint="eastAsia" w:ascii="宋体" w:hAnsi="宋体" w:cs="宋体"/>
          <w:color w:val="auto"/>
          <w:highlight w:val="none"/>
        </w:rPr>
      </w:pPr>
      <w:r>
        <w:rPr>
          <w:rFonts w:hint="eastAsia" w:ascii="宋体" w:hAnsi="宋体" w:cs="宋体"/>
          <w:color w:val="auto"/>
          <w:highlight w:val="none"/>
          <w:lang w:bidi="ar"/>
        </w:rPr>
        <w:t>本单位对上述承诺的内容和事项真实性负责，如有虚假，由我单位承担相关法律责任。</w:t>
      </w:r>
    </w:p>
    <w:p w14:paraId="4B556B27">
      <w:pPr>
        <w:shd w:val="clear"/>
        <w:spacing w:line="480" w:lineRule="auto"/>
        <w:ind w:firstLine="480"/>
        <w:rPr>
          <w:rFonts w:hint="eastAsia" w:ascii="宋体" w:hAnsi="宋体" w:cs="宋体"/>
          <w:color w:val="auto"/>
          <w:highlight w:val="none"/>
        </w:rPr>
      </w:pPr>
      <w:r>
        <w:rPr>
          <w:rFonts w:hint="eastAsia" w:ascii="宋体" w:hAnsi="宋体" w:cs="宋体"/>
          <w:color w:val="auto"/>
          <w:highlight w:val="none"/>
          <w:lang w:bidi="ar"/>
        </w:rPr>
        <w:t>特此声明！</w:t>
      </w:r>
    </w:p>
    <w:p w14:paraId="5D553885">
      <w:pPr>
        <w:shd w:val="clear"/>
        <w:adjustRightInd w:val="0"/>
        <w:snapToGrid w:val="0"/>
        <w:spacing w:line="360" w:lineRule="auto"/>
        <w:ind w:firstLine="4080" w:firstLineChars="1700"/>
        <w:textAlignment w:val="baseline"/>
        <w:rPr>
          <w:rFonts w:hint="eastAsia" w:ascii="宋体" w:hAnsi="宋体" w:cs="宋体"/>
          <w:color w:val="auto"/>
          <w:highlight w:val="none"/>
        </w:rPr>
      </w:pPr>
    </w:p>
    <w:p w14:paraId="3C25AAC4">
      <w:pPr>
        <w:shd w:val="clear"/>
        <w:adjustRightInd w:val="0"/>
        <w:snapToGrid w:val="0"/>
        <w:spacing w:line="360" w:lineRule="auto"/>
        <w:ind w:firstLine="4080" w:firstLineChars="1700"/>
        <w:textAlignment w:val="baseline"/>
        <w:rPr>
          <w:rFonts w:hint="eastAsia" w:ascii="宋体" w:hAnsi="宋体" w:cs="宋体"/>
          <w:color w:val="auto"/>
          <w:highlight w:val="none"/>
        </w:rPr>
      </w:pPr>
    </w:p>
    <w:p w14:paraId="425AD78D">
      <w:pPr>
        <w:shd w:val="clear"/>
        <w:adjustRightInd w:val="0"/>
        <w:snapToGrid w:val="0"/>
        <w:spacing w:line="360" w:lineRule="auto"/>
        <w:ind w:firstLine="0" w:firstLineChars="0"/>
        <w:textAlignment w:val="baseline"/>
        <w:rPr>
          <w:rFonts w:hint="eastAsia" w:ascii="宋体" w:hAnsi="宋体" w:cs="宋体"/>
          <w:color w:val="auto"/>
          <w:highlight w:val="none"/>
        </w:rPr>
      </w:pPr>
    </w:p>
    <w:p w14:paraId="753E2072">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投标人名称（盖章）:</w:t>
      </w:r>
    </w:p>
    <w:p w14:paraId="77325E7F">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法定代表人或授权代理人（签字或盖章）:</w:t>
      </w:r>
    </w:p>
    <w:p w14:paraId="43FE8FD5">
      <w:pPr>
        <w:widowControl/>
        <w:shd w:val="clear"/>
        <w:adjustRightInd w:val="0"/>
        <w:snapToGrid w:val="0"/>
        <w:spacing w:line="360" w:lineRule="auto"/>
        <w:ind w:firstLine="4080" w:firstLineChars="1700"/>
        <w:rPr>
          <w:rFonts w:hint="eastAsia" w:ascii="宋体" w:hAnsi="宋体" w:cs="宋体"/>
          <w:color w:val="auto"/>
          <w:highlight w:val="none"/>
        </w:rPr>
      </w:pPr>
      <w:r>
        <w:rPr>
          <w:rFonts w:hint="eastAsia" w:ascii="宋体" w:hAnsi="宋体" w:cs="宋体"/>
          <w:color w:val="auto"/>
          <w:highlight w:val="none"/>
          <w:lang w:bidi="ar"/>
        </w:rPr>
        <w:t>日期:2025年   月   日</w:t>
      </w:r>
    </w:p>
    <w:p w14:paraId="7ACA762E">
      <w:pPr>
        <w:shd w:val="clear"/>
        <w:ind w:firstLine="0" w:firstLineChars="0"/>
        <w:jc w:val="center"/>
        <w:rPr>
          <w:rFonts w:hint="eastAsia" w:ascii="宋体" w:hAnsi="宋体" w:cs="宋体"/>
          <w:b/>
          <w:bCs/>
          <w:color w:val="auto"/>
          <w:sz w:val="32"/>
          <w:szCs w:val="32"/>
          <w:highlight w:val="none"/>
          <w:lang w:bidi="ar"/>
        </w:rPr>
      </w:pPr>
    </w:p>
    <w:p w14:paraId="3A6B6BC2">
      <w:pPr>
        <w:shd w:val="clear"/>
        <w:ind w:firstLine="0" w:firstLineChars="0"/>
        <w:jc w:val="center"/>
        <w:rPr>
          <w:rFonts w:hint="eastAsia" w:ascii="宋体" w:hAnsi="宋体" w:cs="宋体"/>
          <w:b/>
          <w:bCs/>
          <w:color w:val="auto"/>
          <w:sz w:val="32"/>
          <w:szCs w:val="32"/>
          <w:highlight w:val="none"/>
          <w:lang w:bidi="ar"/>
        </w:rPr>
      </w:pPr>
    </w:p>
    <w:p w14:paraId="063F7045">
      <w:pPr>
        <w:shd w:val="clear"/>
        <w:ind w:firstLine="0" w:firstLineChars="0"/>
        <w:jc w:val="center"/>
        <w:rPr>
          <w:rFonts w:hint="eastAsia" w:ascii="宋体" w:hAnsi="宋体" w:cs="宋体"/>
          <w:b/>
          <w:bCs/>
          <w:color w:val="auto"/>
          <w:sz w:val="32"/>
          <w:szCs w:val="32"/>
          <w:highlight w:val="none"/>
          <w:lang w:bidi="ar"/>
        </w:rPr>
      </w:pPr>
    </w:p>
    <w:p w14:paraId="16CFE177">
      <w:pPr>
        <w:shd w:val="clear"/>
        <w:ind w:firstLine="0" w:firstLineChars="0"/>
        <w:jc w:val="center"/>
        <w:rPr>
          <w:rFonts w:hint="eastAsia" w:ascii="宋体" w:hAnsi="宋体" w:cs="宋体"/>
          <w:b/>
          <w:bCs/>
          <w:color w:val="auto"/>
          <w:sz w:val="32"/>
          <w:szCs w:val="32"/>
          <w:highlight w:val="none"/>
          <w:lang w:bidi="ar"/>
        </w:rPr>
      </w:pPr>
    </w:p>
    <w:p w14:paraId="26CE5454">
      <w:pPr>
        <w:shd w:val="clear"/>
        <w:ind w:firstLine="0" w:firstLineChars="0"/>
        <w:jc w:val="center"/>
        <w:rPr>
          <w:rFonts w:hint="eastAsia" w:ascii="宋体" w:hAnsi="宋体" w:cs="宋体"/>
          <w:b/>
          <w:bCs/>
          <w:color w:val="auto"/>
          <w:sz w:val="32"/>
          <w:szCs w:val="32"/>
          <w:highlight w:val="none"/>
          <w:lang w:bidi="ar"/>
        </w:rPr>
      </w:pPr>
    </w:p>
    <w:p w14:paraId="5E43BBB0">
      <w:pPr>
        <w:shd w:val="clear"/>
        <w:ind w:firstLine="0" w:firstLineChars="0"/>
        <w:jc w:val="center"/>
        <w:rPr>
          <w:rFonts w:hint="eastAsia" w:ascii="宋体" w:hAnsi="宋体" w:cs="宋体"/>
          <w:b/>
          <w:bCs/>
          <w:color w:val="auto"/>
          <w:sz w:val="32"/>
          <w:szCs w:val="32"/>
          <w:highlight w:val="none"/>
          <w:lang w:bidi="ar"/>
        </w:rPr>
      </w:pPr>
    </w:p>
    <w:p w14:paraId="26714C4C">
      <w:pPr>
        <w:shd w:val="clear"/>
        <w:ind w:firstLine="0" w:firstLineChars="0"/>
        <w:jc w:val="center"/>
        <w:rPr>
          <w:rFonts w:hint="eastAsia" w:ascii="宋体" w:hAnsi="宋体" w:cs="宋体"/>
          <w:b/>
          <w:bCs/>
          <w:color w:val="auto"/>
          <w:sz w:val="32"/>
          <w:szCs w:val="32"/>
          <w:highlight w:val="none"/>
          <w:lang w:bidi="ar"/>
        </w:rPr>
      </w:pPr>
    </w:p>
    <w:p w14:paraId="184227E0">
      <w:pPr>
        <w:shd w:val="clear"/>
        <w:ind w:firstLine="0" w:firstLineChars="0"/>
        <w:jc w:val="center"/>
        <w:rPr>
          <w:rFonts w:hint="eastAsia" w:ascii="宋体" w:hAnsi="宋体" w:cs="宋体"/>
          <w:b/>
          <w:bCs/>
          <w:color w:val="auto"/>
          <w:sz w:val="32"/>
          <w:szCs w:val="32"/>
          <w:highlight w:val="none"/>
          <w:lang w:bidi="ar"/>
        </w:rPr>
      </w:pPr>
    </w:p>
    <w:p w14:paraId="588C63E0">
      <w:pPr>
        <w:shd w:val="clear"/>
        <w:ind w:firstLine="0" w:firstLineChars="0"/>
        <w:jc w:val="center"/>
        <w:rPr>
          <w:rFonts w:hint="eastAsia" w:ascii="宋体" w:hAnsi="宋体" w:cs="宋体"/>
          <w:b/>
          <w:bCs/>
          <w:color w:val="auto"/>
          <w:sz w:val="32"/>
          <w:szCs w:val="32"/>
          <w:highlight w:val="none"/>
          <w:lang w:bidi="ar"/>
        </w:rPr>
      </w:pPr>
    </w:p>
    <w:p w14:paraId="70280FD1">
      <w:pPr>
        <w:shd w:val="clear"/>
        <w:ind w:firstLine="0" w:firstLineChars="0"/>
        <w:jc w:val="center"/>
        <w:rPr>
          <w:rFonts w:hint="eastAsia" w:ascii="宋体" w:hAnsi="宋体" w:cs="宋体"/>
          <w:b/>
          <w:bCs/>
          <w:color w:val="auto"/>
          <w:sz w:val="32"/>
          <w:szCs w:val="32"/>
          <w:highlight w:val="none"/>
          <w:lang w:bidi="ar"/>
        </w:rPr>
      </w:pPr>
    </w:p>
    <w:p w14:paraId="75387B4A">
      <w:pPr>
        <w:pStyle w:val="3"/>
        <w:numPr>
          <w:ilvl w:val="255"/>
          <w:numId w:val="0"/>
        </w:numPr>
        <w:shd w:val="clear"/>
        <w:spacing w:before="156" w:after="156"/>
        <w:jc w:val="both"/>
        <w:rPr>
          <w:color w:val="auto"/>
          <w:highlight w:val="none"/>
        </w:rPr>
      </w:pPr>
    </w:p>
    <w:p w14:paraId="1A61AB0A">
      <w:pPr>
        <w:shd w:val="clear"/>
        <w:ind w:firstLine="0" w:firstLineChars="0"/>
        <w:jc w:val="center"/>
        <w:rPr>
          <w:rFonts w:hint="eastAsia" w:ascii="宋体" w:hAnsi="宋体" w:cs="宋体"/>
          <w:b/>
          <w:bCs/>
          <w:color w:val="auto"/>
          <w:sz w:val="32"/>
          <w:szCs w:val="32"/>
          <w:highlight w:val="none"/>
          <w:lang w:bidi="ar"/>
        </w:rPr>
      </w:pPr>
    </w:p>
    <w:p w14:paraId="57089347">
      <w:pPr>
        <w:numPr>
          <w:ilvl w:val="255"/>
          <w:numId w:val="0"/>
        </w:numPr>
        <w:shd w:val="clear"/>
        <w:spacing w:line="360" w:lineRule="auto"/>
        <w:jc w:val="left"/>
        <w:outlineLvl w:val="1"/>
        <w:rPr>
          <w:rFonts w:hint="eastAsia" w:ascii="宋体" w:hAnsi="宋体" w:cs="宋体"/>
          <w:b/>
          <w:color w:val="auto"/>
          <w:highlight w:val="none"/>
          <w:lang w:bidi="ar"/>
        </w:rPr>
      </w:pPr>
      <w:bookmarkStart w:id="503" w:name="_Toc17257"/>
    </w:p>
    <w:p w14:paraId="61BD08CF">
      <w:pPr>
        <w:numPr>
          <w:ilvl w:val="255"/>
          <w:numId w:val="0"/>
        </w:numPr>
        <w:shd w:val="clear"/>
        <w:spacing w:line="360" w:lineRule="auto"/>
        <w:jc w:val="left"/>
        <w:outlineLvl w:val="1"/>
        <w:rPr>
          <w:rFonts w:hint="eastAsia" w:ascii="宋体" w:hAnsi="宋体" w:eastAsia="宋体" w:cs="宋体"/>
          <w:b/>
          <w:color w:val="auto"/>
          <w:highlight w:val="none"/>
          <w:lang w:eastAsia="zh-CN"/>
        </w:rPr>
      </w:pPr>
      <w:r>
        <w:rPr>
          <w:rFonts w:hint="eastAsia" w:ascii="宋体" w:hAnsi="宋体" w:cs="宋体"/>
          <w:b/>
          <w:color w:val="auto"/>
          <w:highlight w:val="none"/>
          <w:lang w:bidi="ar"/>
        </w:rPr>
        <w:t>附件</w:t>
      </w:r>
      <w:bookmarkEnd w:id="503"/>
      <w:r>
        <w:rPr>
          <w:rFonts w:hint="eastAsia" w:ascii="宋体" w:hAnsi="宋体" w:cs="宋体"/>
          <w:b/>
          <w:color w:val="auto"/>
          <w:highlight w:val="none"/>
          <w:lang w:val="en-US" w:eastAsia="zh-CN" w:bidi="ar"/>
        </w:rPr>
        <w:t>4</w:t>
      </w:r>
    </w:p>
    <w:p w14:paraId="47D966F1">
      <w:pPr>
        <w:shd w:val="clear"/>
        <w:ind w:firstLine="0" w:firstLineChars="0"/>
        <w:jc w:val="center"/>
        <w:outlineLvl w:val="1"/>
        <w:rPr>
          <w:rFonts w:hint="eastAsia" w:ascii="宋体" w:hAnsi="宋体" w:cs="宋体"/>
          <w:color w:val="auto"/>
          <w:highlight w:val="none"/>
        </w:rPr>
      </w:pPr>
      <w:r>
        <w:rPr>
          <w:rFonts w:hint="eastAsia" w:ascii="宋体" w:hAnsi="宋体" w:cs="宋体"/>
          <w:b/>
          <w:bCs/>
          <w:color w:val="auto"/>
          <w:sz w:val="32"/>
          <w:szCs w:val="32"/>
          <w:highlight w:val="none"/>
          <w:lang w:bidi="ar"/>
        </w:rPr>
        <w:t>投标声明函</w:t>
      </w:r>
      <w:bookmarkEnd w:id="502"/>
    </w:p>
    <w:p w14:paraId="7A4F16C5">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致：（采购人）：</w:t>
      </w:r>
    </w:p>
    <w:p w14:paraId="472980FF">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u w:val="single"/>
          <w:lang w:bidi="ar"/>
        </w:rPr>
        <w:t>(</w:t>
      </w:r>
      <w:r>
        <w:rPr>
          <w:rFonts w:hint="eastAsia" w:ascii="宋体" w:hAnsi="宋体" w:cs="宋体"/>
          <w:color w:val="auto"/>
          <w:highlight w:val="none"/>
          <w:u w:val="single"/>
          <w:lang w:eastAsia="zh-CN" w:bidi="ar"/>
        </w:rPr>
        <w:t>投标人</w:t>
      </w:r>
      <w:r>
        <w:rPr>
          <w:rFonts w:hint="eastAsia" w:ascii="宋体" w:hAnsi="宋体" w:cs="宋体"/>
          <w:color w:val="auto"/>
          <w:highlight w:val="none"/>
          <w:u w:val="single"/>
          <w:lang w:bidi="ar"/>
        </w:rPr>
        <w:t>全称)</w:t>
      </w:r>
      <w:r>
        <w:rPr>
          <w:rFonts w:hint="eastAsia" w:ascii="宋体" w:hAnsi="宋体" w:cs="宋体"/>
          <w:color w:val="auto"/>
          <w:highlight w:val="none"/>
          <w:lang w:bidi="ar"/>
        </w:rPr>
        <w:t>授权(全权代表姓名</w:t>
      </w:r>
      <w:r>
        <w:rPr>
          <w:rFonts w:hint="eastAsia" w:ascii="宋体" w:hAnsi="宋体" w:cs="宋体"/>
          <w:color w:val="auto"/>
          <w:highlight w:val="none"/>
          <w:u w:val="single"/>
          <w:lang w:bidi="ar"/>
        </w:rPr>
        <w:t>)       (</w:t>
      </w:r>
      <w:r>
        <w:rPr>
          <w:rFonts w:hint="eastAsia" w:ascii="宋体" w:hAnsi="宋体" w:cs="宋体"/>
          <w:color w:val="auto"/>
          <w:highlight w:val="none"/>
          <w:lang w:bidi="ar"/>
        </w:rPr>
        <w:t>职务、职称)为全权代表，参加贵方组织的</w:t>
      </w:r>
      <w:r>
        <w:rPr>
          <w:rFonts w:hint="eastAsia" w:ascii="宋体" w:hAnsi="宋体" w:cs="宋体"/>
          <w:color w:val="auto"/>
          <w:highlight w:val="none"/>
          <w:lang w:eastAsia="zh-CN" w:bidi="ar"/>
        </w:rPr>
        <w:t xml:space="preserve"> 捷马化工股份有限公司宝塔路地块风险管控项目环境监理采购项目</w:t>
      </w:r>
      <w:r>
        <w:rPr>
          <w:rFonts w:hint="eastAsia" w:ascii="宋体" w:hAnsi="宋体" w:cs="宋体"/>
          <w:color w:val="auto"/>
          <w:highlight w:val="none"/>
          <w:u w:val="single"/>
          <w:lang w:bidi="ar"/>
        </w:rPr>
        <w:t>(项目编号：</w:t>
      </w:r>
      <w:r>
        <w:rPr>
          <w:rFonts w:hint="eastAsia" w:ascii="宋体" w:hAnsi="宋体" w:cs="宋体"/>
          <w:strike w:val="0"/>
          <w:color w:val="auto"/>
          <w:highlight w:val="none"/>
          <w:u w:val="single"/>
          <w:lang w:eastAsia="zh-CN" w:bidi="ar"/>
        </w:rPr>
        <w:t>LYCG2025YX-014</w:t>
      </w:r>
      <w:r>
        <w:rPr>
          <w:rFonts w:hint="eastAsia" w:ascii="宋体" w:hAnsi="宋体" w:cs="宋体"/>
          <w:color w:val="auto"/>
          <w:highlight w:val="none"/>
          <w:u w:val="single"/>
          <w:lang w:bidi="ar"/>
        </w:rPr>
        <w:t>)</w:t>
      </w:r>
      <w:r>
        <w:rPr>
          <w:rFonts w:hint="eastAsia" w:ascii="宋体" w:hAnsi="宋体" w:cs="宋体"/>
          <w:color w:val="auto"/>
          <w:highlight w:val="none"/>
          <w:lang w:bidi="ar"/>
        </w:rPr>
        <w:t>招标的有关活动，并对此项目进行投标。为此：</w:t>
      </w:r>
    </w:p>
    <w:p w14:paraId="1E46932D">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1.我方同意在</w:t>
      </w:r>
      <w:r>
        <w:rPr>
          <w:rFonts w:hint="eastAsia" w:ascii="宋体" w:hAnsi="宋体" w:cs="宋体"/>
          <w:color w:val="auto"/>
          <w:highlight w:val="none"/>
          <w:lang w:eastAsia="zh-CN" w:bidi="ar"/>
        </w:rPr>
        <w:t>投标人</w:t>
      </w:r>
      <w:r>
        <w:rPr>
          <w:rFonts w:hint="eastAsia" w:ascii="宋体" w:hAnsi="宋体" w:cs="宋体"/>
          <w:color w:val="auto"/>
          <w:highlight w:val="none"/>
          <w:lang w:bidi="ar"/>
        </w:rPr>
        <w:t>投标须知规定的开标日期起遵守本投标书中的承诺且在投标有效期满之前均具有约束力。</w:t>
      </w:r>
    </w:p>
    <w:p w14:paraId="1488E557">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2.我方承诺已经具备《中华人民共和国政府采购法》中规定的参加政府采购活动的</w:t>
      </w:r>
      <w:r>
        <w:rPr>
          <w:rFonts w:hint="eastAsia" w:ascii="宋体" w:hAnsi="宋体" w:cs="宋体"/>
          <w:color w:val="auto"/>
          <w:highlight w:val="none"/>
          <w:lang w:eastAsia="zh-CN" w:bidi="ar"/>
        </w:rPr>
        <w:t>投标人</w:t>
      </w:r>
      <w:r>
        <w:rPr>
          <w:rFonts w:hint="eastAsia" w:ascii="宋体" w:hAnsi="宋体" w:cs="宋体"/>
          <w:color w:val="auto"/>
          <w:highlight w:val="none"/>
          <w:lang w:bidi="ar"/>
        </w:rPr>
        <w:t>应当具备的条件：</w:t>
      </w:r>
    </w:p>
    <w:p w14:paraId="62D2F2BA">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 xml:space="preserve">（一）具有独立承担民事责任的能力； </w:t>
      </w:r>
    </w:p>
    <w:p w14:paraId="51B6A548">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 xml:space="preserve">（二）具有良好的商业信誉和健全的财务会计制度； </w:t>
      </w:r>
    </w:p>
    <w:p w14:paraId="66EFA195">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 xml:space="preserve">（三）具有履行合同所必需的设备和专业技术能力； </w:t>
      </w:r>
    </w:p>
    <w:p w14:paraId="1216B696">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 xml:space="preserve">（四）有依法缴纳税收和社会保障资金的良好记录； </w:t>
      </w:r>
    </w:p>
    <w:p w14:paraId="0C6749B9">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 xml:space="preserve">（五）参加政府采购活动前三年内，在经营活动中没有重大违法记录； </w:t>
      </w:r>
    </w:p>
    <w:p w14:paraId="7183FEA5">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 xml:space="preserve">（六）法律、行政法规规定的其他条件。 </w:t>
      </w:r>
    </w:p>
    <w:p w14:paraId="6FCCE1DF">
      <w:pPr>
        <w:shd w:val="clear"/>
        <w:spacing w:line="312" w:lineRule="auto"/>
        <w:ind w:firstLine="480"/>
        <w:outlineLvl w:val="0"/>
        <w:rPr>
          <w:rFonts w:hint="eastAsia" w:ascii="宋体" w:hAnsi="宋体" w:cs="宋体"/>
          <w:color w:val="auto"/>
          <w:highlight w:val="none"/>
        </w:rPr>
      </w:pPr>
      <w:bookmarkStart w:id="504" w:name="_Toc26027"/>
      <w:r>
        <w:rPr>
          <w:rFonts w:hint="eastAsia" w:ascii="宋体" w:hAnsi="宋体" w:cs="宋体"/>
          <w:color w:val="auto"/>
          <w:highlight w:val="none"/>
          <w:lang w:bidi="ar"/>
        </w:rPr>
        <w:t>（七）没有违反政府采购法规、政策的记录；</w:t>
      </w:r>
      <w:bookmarkEnd w:id="504"/>
    </w:p>
    <w:p w14:paraId="22021170">
      <w:pPr>
        <w:shd w:val="clear"/>
        <w:spacing w:line="312" w:lineRule="auto"/>
        <w:ind w:firstLine="480"/>
        <w:outlineLvl w:val="0"/>
        <w:rPr>
          <w:rFonts w:hint="eastAsia" w:ascii="宋体" w:hAnsi="宋体" w:cs="宋体"/>
          <w:color w:val="auto"/>
          <w:highlight w:val="none"/>
        </w:rPr>
      </w:pPr>
      <w:bookmarkStart w:id="505" w:name="_Toc27547"/>
      <w:r>
        <w:rPr>
          <w:rFonts w:hint="eastAsia" w:ascii="宋体" w:hAnsi="宋体" w:cs="宋体"/>
          <w:color w:val="auto"/>
          <w:highlight w:val="none"/>
          <w:lang w:bidi="ar"/>
        </w:rPr>
        <w:t>（八）没有发生重大经济纠纷和走私犯罪记录。</w:t>
      </w:r>
      <w:bookmarkEnd w:id="505"/>
    </w:p>
    <w:p w14:paraId="4463BF0B">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3.提供编制和提交招标文件须知规定的全部投标文件，具体内容为：</w:t>
      </w:r>
    </w:p>
    <w:p w14:paraId="41A4DC2B">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(1)资格文件；</w:t>
      </w:r>
    </w:p>
    <w:p w14:paraId="6C9F28EC">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(2)资信商务技术文件；</w:t>
      </w:r>
    </w:p>
    <w:p w14:paraId="30F1D4A1">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(3)报价文件；</w:t>
      </w:r>
    </w:p>
    <w:p w14:paraId="4876F7BC">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(4)投标须知要求</w:t>
      </w:r>
      <w:r>
        <w:rPr>
          <w:rFonts w:hint="eastAsia" w:ascii="宋体" w:hAnsi="宋体" w:cs="宋体"/>
          <w:color w:val="auto"/>
          <w:highlight w:val="none"/>
          <w:lang w:eastAsia="zh-CN" w:bidi="ar"/>
        </w:rPr>
        <w:t>投标人</w:t>
      </w:r>
      <w:r>
        <w:rPr>
          <w:rFonts w:hint="eastAsia" w:ascii="宋体" w:hAnsi="宋体" w:cs="宋体"/>
          <w:color w:val="auto"/>
          <w:highlight w:val="none"/>
          <w:lang w:bidi="ar"/>
        </w:rPr>
        <w:t>提交的全部文件；</w:t>
      </w:r>
    </w:p>
    <w:p w14:paraId="170AB992">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(5)按招标文件要求提供和交付的货物和服务的投标报价详见开标一览表；</w:t>
      </w:r>
    </w:p>
    <w:p w14:paraId="117DDA74">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(6)保证忠实地执行双方所签订的合同，并承担合同规定的责任和义务；</w:t>
      </w:r>
    </w:p>
    <w:p w14:paraId="24324166">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(7)保证遵守招标文件中的其他有关规定。</w:t>
      </w:r>
    </w:p>
    <w:p w14:paraId="3703B4CE">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4.我方完全理解贵方不一定要接受最低价的投标。</w:t>
      </w:r>
    </w:p>
    <w:p w14:paraId="243C1901">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5.我方愿意向贵方提供任何与该项投标有关的数据、情况和服务资料。若贵方需要，我方愿意提供我方做出的一切承诺的证明材料。</w:t>
      </w:r>
    </w:p>
    <w:p w14:paraId="309810DC">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6.我方已详细审核全部招标文件，包括招标文件修改书（如有的话）、参考资料及有关附件，确认无误。我方完全理解并接受招标文件的各项规定和要求，对招标文件的合理性、合法性不再有异议。</w:t>
      </w:r>
    </w:p>
    <w:p w14:paraId="54CB8510">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7.我方将严格遵守《中华人民共和国政府采购法》第七十七条规定，</w:t>
      </w:r>
      <w:r>
        <w:rPr>
          <w:rFonts w:hint="eastAsia" w:ascii="宋体" w:hAnsi="宋体" w:cs="宋体"/>
          <w:color w:val="auto"/>
          <w:highlight w:val="none"/>
          <w:lang w:eastAsia="zh-CN" w:bidi="ar"/>
        </w:rPr>
        <w:t>投标人</w:t>
      </w:r>
      <w:r>
        <w:rPr>
          <w:rFonts w:hint="eastAsia" w:ascii="宋体" w:hAnsi="宋体" w:cs="宋体"/>
          <w:color w:val="auto"/>
          <w:highlight w:val="none"/>
          <w:lang w:bidi="ar"/>
        </w:rPr>
        <w:t>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BC990C">
      <w:pPr>
        <w:shd w:val="clear"/>
        <w:spacing w:line="312" w:lineRule="auto"/>
        <w:ind w:firstLine="480"/>
        <w:outlineLvl w:val="1"/>
        <w:rPr>
          <w:rFonts w:hint="eastAsia" w:ascii="宋体" w:hAnsi="宋体" w:cs="宋体"/>
          <w:color w:val="auto"/>
          <w:highlight w:val="none"/>
        </w:rPr>
      </w:pPr>
      <w:bookmarkStart w:id="506" w:name="_Toc22851"/>
      <w:r>
        <w:rPr>
          <w:rFonts w:hint="eastAsia" w:ascii="宋体" w:hAnsi="宋体" w:cs="宋体"/>
          <w:color w:val="auto"/>
          <w:highlight w:val="none"/>
          <w:lang w:bidi="ar"/>
        </w:rPr>
        <w:t>(1)提供虚假材料谋取中标、成交的；</w:t>
      </w:r>
      <w:bookmarkEnd w:id="506"/>
    </w:p>
    <w:p w14:paraId="444819DB">
      <w:pPr>
        <w:shd w:val="clear"/>
        <w:spacing w:line="312" w:lineRule="auto"/>
        <w:ind w:firstLine="480"/>
        <w:outlineLvl w:val="1"/>
        <w:rPr>
          <w:rFonts w:hint="eastAsia" w:ascii="宋体" w:hAnsi="宋体" w:cs="宋体"/>
          <w:color w:val="auto"/>
          <w:highlight w:val="none"/>
        </w:rPr>
      </w:pPr>
      <w:bookmarkStart w:id="507" w:name="_Toc12434"/>
      <w:r>
        <w:rPr>
          <w:rFonts w:hint="eastAsia" w:ascii="宋体" w:hAnsi="宋体" w:cs="宋体"/>
          <w:color w:val="auto"/>
          <w:highlight w:val="none"/>
          <w:lang w:bidi="ar"/>
        </w:rPr>
        <w:t>(2)采取不正当手段诋毁、排挤其他</w:t>
      </w:r>
      <w:r>
        <w:rPr>
          <w:rFonts w:hint="eastAsia" w:ascii="宋体" w:hAnsi="宋体" w:cs="宋体"/>
          <w:color w:val="auto"/>
          <w:highlight w:val="none"/>
          <w:lang w:eastAsia="zh-CN" w:bidi="ar"/>
        </w:rPr>
        <w:t>投标人</w:t>
      </w:r>
      <w:r>
        <w:rPr>
          <w:rFonts w:hint="eastAsia" w:ascii="宋体" w:hAnsi="宋体" w:cs="宋体"/>
          <w:color w:val="auto"/>
          <w:highlight w:val="none"/>
          <w:lang w:bidi="ar"/>
        </w:rPr>
        <w:t>的；</w:t>
      </w:r>
      <w:bookmarkEnd w:id="507"/>
    </w:p>
    <w:p w14:paraId="1D14BEC0">
      <w:pPr>
        <w:shd w:val="clear"/>
        <w:spacing w:line="312" w:lineRule="auto"/>
        <w:ind w:firstLine="480"/>
        <w:outlineLvl w:val="1"/>
        <w:rPr>
          <w:rFonts w:hint="eastAsia" w:ascii="宋体" w:hAnsi="宋体" w:cs="宋体"/>
          <w:color w:val="auto"/>
          <w:highlight w:val="none"/>
        </w:rPr>
      </w:pPr>
      <w:bookmarkStart w:id="508" w:name="_Toc11710"/>
      <w:r>
        <w:rPr>
          <w:rFonts w:hint="eastAsia" w:ascii="宋体" w:hAnsi="宋体" w:cs="宋体"/>
          <w:color w:val="auto"/>
          <w:highlight w:val="none"/>
          <w:lang w:bidi="ar"/>
        </w:rPr>
        <w:t>(3)与采购人、其他</w:t>
      </w:r>
      <w:r>
        <w:rPr>
          <w:rFonts w:hint="eastAsia" w:ascii="宋体" w:hAnsi="宋体" w:cs="宋体"/>
          <w:color w:val="auto"/>
          <w:highlight w:val="none"/>
          <w:lang w:eastAsia="zh-CN" w:bidi="ar"/>
        </w:rPr>
        <w:t>投标人</w:t>
      </w:r>
      <w:r>
        <w:rPr>
          <w:rFonts w:hint="eastAsia" w:ascii="宋体" w:hAnsi="宋体" w:cs="宋体"/>
          <w:color w:val="auto"/>
          <w:highlight w:val="none"/>
          <w:lang w:bidi="ar"/>
        </w:rPr>
        <w:t>或者招标代理机构恶意串通的；</w:t>
      </w:r>
      <w:bookmarkEnd w:id="508"/>
    </w:p>
    <w:p w14:paraId="3FE69D92">
      <w:pPr>
        <w:shd w:val="clear"/>
        <w:spacing w:line="312" w:lineRule="auto"/>
        <w:ind w:firstLine="480"/>
        <w:outlineLvl w:val="1"/>
        <w:rPr>
          <w:rFonts w:hint="eastAsia" w:ascii="宋体" w:hAnsi="宋体" w:cs="宋体"/>
          <w:color w:val="auto"/>
          <w:highlight w:val="none"/>
        </w:rPr>
      </w:pPr>
      <w:bookmarkStart w:id="509" w:name="_Toc16676"/>
      <w:r>
        <w:rPr>
          <w:rFonts w:hint="eastAsia" w:ascii="宋体" w:hAnsi="宋体" w:cs="宋体"/>
          <w:color w:val="auto"/>
          <w:highlight w:val="none"/>
          <w:lang w:bidi="ar"/>
        </w:rPr>
        <w:t>(4)向采购人、招标代理机构行贿或者提供其他不正当利益的；</w:t>
      </w:r>
      <w:bookmarkEnd w:id="509"/>
    </w:p>
    <w:p w14:paraId="0D37D15E">
      <w:pPr>
        <w:shd w:val="clear"/>
        <w:spacing w:line="312" w:lineRule="auto"/>
        <w:ind w:firstLine="480"/>
        <w:outlineLvl w:val="1"/>
        <w:rPr>
          <w:rFonts w:hint="eastAsia" w:ascii="宋体" w:hAnsi="宋体" w:cs="宋体"/>
          <w:color w:val="auto"/>
          <w:highlight w:val="none"/>
        </w:rPr>
      </w:pPr>
      <w:bookmarkStart w:id="510" w:name="_Toc27044"/>
      <w:r>
        <w:rPr>
          <w:rFonts w:hint="eastAsia" w:ascii="宋体" w:hAnsi="宋体" w:cs="宋体"/>
          <w:color w:val="auto"/>
          <w:highlight w:val="none"/>
          <w:lang w:bidi="ar"/>
        </w:rPr>
        <w:t>(5)在招标采购过程中与采购人进行协商谈判的；</w:t>
      </w:r>
      <w:bookmarkEnd w:id="510"/>
    </w:p>
    <w:p w14:paraId="3167C922">
      <w:pPr>
        <w:shd w:val="clear"/>
        <w:spacing w:line="312" w:lineRule="auto"/>
        <w:ind w:firstLine="480"/>
        <w:outlineLvl w:val="1"/>
        <w:rPr>
          <w:rFonts w:hint="eastAsia" w:ascii="宋体" w:hAnsi="宋体" w:cs="宋体"/>
          <w:color w:val="auto"/>
          <w:highlight w:val="none"/>
        </w:rPr>
      </w:pPr>
      <w:bookmarkStart w:id="511" w:name="_Toc32190"/>
      <w:r>
        <w:rPr>
          <w:rFonts w:hint="eastAsia" w:ascii="宋体" w:hAnsi="宋体" w:cs="宋体"/>
          <w:color w:val="auto"/>
          <w:highlight w:val="none"/>
          <w:lang w:bidi="ar"/>
        </w:rPr>
        <w:t>(6)拒绝有关部门监督检查或提供虚假情况的。</w:t>
      </w:r>
      <w:bookmarkEnd w:id="511"/>
    </w:p>
    <w:p w14:paraId="759BE9DA">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eastAsia="zh-CN" w:bidi="ar"/>
        </w:rPr>
        <w:t>投标人</w:t>
      </w:r>
      <w:r>
        <w:rPr>
          <w:rFonts w:hint="eastAsia" w:ascii="宋体" w:hAnsi="宋体" w:cs="宋体"/>
          <w:color w:val="auto"/>
          <w:highlight w:val="none"/>
          <w:lang w:bidi="ar"/>
        </w:rPr>
        <w:t>有前款第(1)至(4)项情形之一的，中标、成交无效。</w:t>
      </w:r>
    </w:p>
    <w:p w14:paraId="79673B7D">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 xml:space="preserve"> </w:t>
      </w:r>
    </w:p>
    <w:p w14:paraId="08622ED0">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 xml:space="preserve">法定（授权）代表人（签字或盖章）：                    </w:t>
      </w:r>
      <w:r>
        <w:rPr>
          <w:rFonts w:hint="eastAsia" w:ascii="宋体" w:hAnsi="宋体" w:cs="宋体"/>
          <w:color w:val="auto"/>
          <w:highlight w:val="none"/>
          <w:lang w:bidi="ar"/>
        </w:rPr>
        <w:tab/>
      </w:r>
    </w:p>
    <w:p w14:paraId="39AA938A">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eastAsia="zh-CN" w:bidi="ar"/>
        </w:rPr>
        <w:t>投标人</w:t>
      </w:r>
      <w:r>
        <w:rPr>
          <w:rFonts w:hint="eastAsia" w:ascii="宋体" w:hAnsi="宋体" w:cs="宋体"/>
          <w:color w:val="auto"/>
          <w:highlight w:val="none"/>
          <w:lang w:bidi="ar"/>
        </w:rPr>
        <w:t xml:space="preserve">盖 章：                       </w:t>
      </w:r>
    </w:p>
    <w:p w14:paraId="5FEAF4E4">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 xml:space="preserve">联系电话：           传真：              电子邮件：              </w:t>
      </w:r>
    </w:p>
    <w:p w14:paraId="53C1ADE9">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 xml:space="preserve">联系地址：                                                    </w:t>
      </w:r>
    </w:p>
    <w:p w14:paraId="4839B0BD">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 xml:space="preserve">邮政编码：                     传真号码：                     </w:t>
      </w:r>
    </w:p>
    <w:p w14:paraId="683E2E7B">
      <w:pPr>
        <w:shd w:val="clear"/>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 xml:space="preserve">日期：        年    </w:t>
      </w:r>
      <w:r>
        <w:rPr>
          <w:rFonts w:hint="eastAsia" w:ascii="宋体" w:hAnsi="宋体" w:cs="宋体"/>
          <w:color w:val="auto"/>
          <w:highlight w:val="none"/>
          <w:lang w:bidi="ar"/>
        </w:rPr>
        <w:tab/>
      </w:r>
      <w:r>
        <w:rPr>
          <w:rFonts w:hint="eastAsia" w:ascii="宋体" w:hAnsi="宋体" w:cs="宋体"/>
          <w:color w:val="auto"/>
          <w:highlight w:val="none"/>
          <w:lang w:bidi="ar"/>
        </w:rPr>
        <w:t>月    日</w:t>
      </w:r>
    </w:p>
    <w:p w14:paraId="348A0D22">
      <w:pPr>
        <w:shd w:val="clear"/>
        <w:ind w:firstLine="482"/>
        <w:rPr>
          <w:rFonts w:hint="eastAsia" w:ascii="宋体" w:hAnsi="宋体" w:cs="宋体"/>
          <w:b/>
          <w:bCs/>
          <w:color w:val="auto"/>
          <w:highlight w:val="none"/>
        </w:rPr>
      </w:pPr>
      <w:r>
        <w:rPr>
          <w:rFonts w:hint="eastAsia" w:ascii="宋体" w:hAnsi="宋体" w:cs="宋体"/>
          <w:b/>
          <w:bCs/>
          <w:color w:val="auto"/>
          <w:highlight w:val="none"/>
          <w:lang w:bidi="ar"/>
        </w:rPr>
        <w:t>注：未按照本投标声明函要求填报的将被视为非实质性响应，从而可能导致该投标文件被拒绝。</w:t>
      </w:r>
    </w:p>
    <w:p w14:paraId="2F26B322">
      <w:pPr>
        <w:shd w:val="clear"/>
        <w:ind w:firstLine="0" w:firstLineChars="0"/>
        <w:rPr>
          <w:rFonts w:hint="eastAsia" w:ascii="宋体" w:hAnsi="宋体" w:cs="宋体"/>
          <w:color w:val="auto"/>
          <w:highlight w:val="none"/>
        </w:rPr>
      </w:pPr>
      <w:r>
        <w:rPr>
          <w:rFonts w:hint="eastAsia" w:ascii="宋体" w:hAnsi="宋体" w:cs="宋体"/>
          <w:color w:val="auto"/>
          <w:highlight w:val="none"/>
          <w:lang w:bidi="ar"/>
        </w:rPr>
        <w:t xml:space="preserve"> </w:t>
      </w:r>
    </w:p>
    <w:p w14:paraId="7AB2FAC3">
      <w:pPr>
        <w:pStyle w:val="37"/>
        <w:widowControl w:val="0"/>
        <w:shd w:val="clear"/>
        <w:spacing w:before="0" w:after="120" w:afterAutospacing="0"/>
        <w:ind w:left="480" w:leftChars="200" w:firstLine="480"/>
        <w:jc w:val="both"/>
        <w:rPr>
          <w:rFonts w:hint="eastAsia" w:cs="宋体"/>
          <w:color w:val="auto"/>
          <w:kern w:val="2"/>
          <w:highlight w:val="none"/>
        </w:rPr>
      </w:pPr>
      <w:r>
        <w:rPr>
          <w:rFonts w:hint="eastAsia" w:cs="宋体"/>
          <w:color w:val="auto"/>
          <w:kern w:val="2"/>
          <w:highlight w:val="none"/>
          <w:lang w:bidi="ar"/>
        </w:rPr>
        <w:t xml:space="preserve"> </w:t>
      </w:r>
    </w:p>
    <w:p w14:paraId="3F4AFBC2">
      <w:pPr>
        <w:shd w:val="clear"/>
        <w:spacing w:line="360" w:lineRule="auto"/>
        <w:ind w:firstLine="0" w:firstLineChars="0"/>
        <w:jc w:val="left"/>
        <w:rPr>
          <w:rFonts w:hint="eastAsia" w:ascii="宋体" w:hAnsi="宋体" w:cs="宋体"/>
          <w:b/>
          <w:color w:val="auto"/>
          <w:highlight w:val="none"/>
          <w:lang w:bidi="ar"/>
        </w:rPr>
      </w:pPr>
      <w:r>
        <w:rPr>
          <w:rFonts w:hint="eastAsia" w:ascii="宋体" w:hAnsi="宋体" w:cs="宋体"/>
          <w:b/>
          <w:color w:val="auto"/>
          <w:highlight w:val="none"/>
          <w:lang w:bidi="ar"/>
        </w:rPr>
        <w:t xml:space="preserve"> </w:t>
      </w:r>
    </w:p>
    <w:p w14:paraId="3AA91120">
      <w:pPr>
        <w:shd w:val="clear"/>
        <w:spacing w:line="360" w:lineRule="auto"/>
        <w:ind w:firstLine="0" w:firstLineChars="0"/>
        <w:jc w:val="left"/>
        <w:rPr>
          <w:rFonts w:hint="eastAsia" w:ascii="宋体" w:hAnsi="宋体" w:cs="宋体"/>
          <w:b/>
          <w:color w:val="auto"/>
          <w:highlight w:val="none"/>
          <w:lang w:bidi="ar"/>
        </w:rPr>
      </w:pPr>
    </w:p>
    <w:p w14:paraId="0302D5B1">
      <w:pPr>
        <w:shd w:val="clear"/>
        <w:spacing w:line="360" w:lineRule="auto"/>
        <w:ind w:firstLine="0" w:firstLineChars="0"/>
        <w:jc w:val="left"/>
        <w:rPr>
          <w:rFonts w:hint="eastAsia" w:ascii="宋体" w:hAnsi="宋体" w:cs="宋体"/>
          <w:b/>
          <w:color w:val="auto"/>
          <w:highlight w:val="none"/>
          <w:lang w:bidi="ar"/>
        </w:rPr>
      </w:pPr>
    </w:p>
    <w:p w14:paraId="1ECC8B58">
      <w:pPr>
        <w:shd w:val="clear"/>
        <w:spacing w:line="360" w:lineRule="auto"/>
        <w:ind w:firstLine="0" w:firstLineChars="0"/>
        <w:jc w:val="left"/>
        <w:rPr>
          <w:rFonts w:hint="eastAsia" w:ascii="宋体" w:hAnsi="宋体" w:cs="宋体"/>
          <w:b/>
          <w:color w:val="auto"/>
          <w:highlight w:val="none"/>
          <w:lang w:bidi="ar"/>
        </w:rPr>
      </w:pPr>
    </w:p>
    <w:p w14:paraId="280A709C">
      <w:pPr>
        <w:shd w:val="clear"/>
        <w:spacing w:line="360" w:lineRule="auto"/>
        <w:ind w:firstLine="482"/>
        <w:jc w:val="left"/>
        <w:rPr>
          <w:rFonts w:hint="eastAsia" w:ascii="宋体" w:hAnsi="宋体" w:cs="宋体"/>
          <w:b/>
          <w:color w:val="auto"/>
          <w:highlight w:val="none"/>
          <w:lang w:bidi="ar"/>
        </w:rPr>
      </w:pPr>
      <w:r>
        <w:rPr>
          <w:rFonts w:hint="eastAsia" w:ascii="宋体" w:hAnsi="宋体" w:cs="宋体"/>
          <w:b/>
          <w:color w:val="auto"/>
          <w:highlight w:val="none"/>
          <w:lang w:bidi="ar"/>
        </w:rPr>
        <w:t xml:space="preserve"> </w:t>
      </w:r>
    </w:p>
    <w:p w14:paraId="338EDFA6">
      <w:pPr>
        <w:pStyle w:val="3"/>
        <w:numPr>
          <w:ilvl w:val="255"/>
          <w:numId w:val="0"/>
        </w:numPr>
        <w:shd w:val="clear"/>
        <w:spacing w:before="156" w:after="156"/>
        <w:jc w:val="both"/>
        <w:rPr>
          <w:rFonts w:hint="eastAsia" w:ascii="宋体" w:hAnsi="宋体" w:cs="宋体"/>
          <w:b/>
          <w:color w:val="auto"/>
          <w:highlight w:val="none"/>
          <w:lang w:bidi="ar"/>
        </w:rPr>
      </w:pPr>
    </w:p>
    <w:p w14:paraId="0B26A804">
      <w:pPr>
        <w:shd w:val="clear"/>
        <w:ind w:firstLine="480"/>
        <w:rPr>
          <w:color w:val="auto"/>
          <w:highlight w:val="none"/>
        </w:rPr>
      </w:pPr>
    </w:p>
    <w:p w14:paraId="65086A95">
      <w:pPr>
        <w:shd w:val="clear"/>
        <w:ind w:firstLine="480"/>
        <w:rPr>
          <w:color w:val="auto"/>
          <w:highlight w:val="none"/>
        </w:rPr>
      </w:pPr>
    </w:p>
    <w:p w14:paraId="0EEDBAC3">
      <w:pPr>
        <w:shd w:val="clear"/>
        <w:spacing w:line="360" w:lineRule="auto"/>
        <w:ind w:firstLine="0" w:firstLineChars="0"/>
        <w:jc w:val="left"/>
        <w:rPr>
          <w:rFonts w:hint="eastAsia" w:ascii="宋体" w:hAnsi="宋体" w:cs="宋体"/>
          <w:b/>
          <w:color w:val="auto"/>
          <w:highlight w:val="none"/>
          <w:lang w:bidi="ar"/>
        </w:rPr>
      </w:pPr>
      <w:r>
        <w:rPr>
          <w:rFonts w:hint="eastAsia" w:ascii="宋体" w:hAnsi="宋体" w:cs="宋体"/>
          <w:b/>
          <w:color w:val="auto"/>
          <w:highlight w:val="none"/>
          <w:lang w:bidi="ar"/>
        </w:rPr>
        <w:t xml:space="preserve"> </w:t>
      </w:r>
    </w:p>
    <w:p w14:paraId="51227C24">
      <w:pPr>
        <w:shd w:val="clear"/>
        <w:spacing w:line="360" w:lineRule="auto"/>
        <w:ind w:firstLine="0" w:firstLineChars="0"/>
        <w:jc w:val="left"/>
        <w:outlineLvl w:val="1"/>
        <w:rPr>
          <w:rFonts w:hint="eastAsia" w:ascii="宋体" w:hAnsi="宋体" w:eastAsia="宋体" w:cs="宋体"/>
          <w:b/>
          <w:color w:val="auto"/>
          <w:highlight w:val="none"/>
          <w:lang w:eastAsia="zh-CN"/>
        </w:rPr>
      </w:pPr>
      <w:bookmarkStart w:id="512" w:name="_Toc14223"/>
      <w:r>
        <w:rPr>
          <w:rFonts w:hint="eastAsia" w:ascii="宋体" w:hAnsi="宋体" w:cs="宋体"/>
          <w:b/>
          <w:color w:val="auto"/>
          <w:highlight w:val="none"/>
          <w:lang w:bidi="ar"/>
        </w:rPr>
        <w:t>附件</w:t>
      </w:r>
      <w:bookmarkEnd w:id="512"/>
      <w:r>
        <w:rPr>
          <w:rFonts w:hint="eastAsia" w:ascii="宋体" w:hAnsi="宋体" w:cs="宋体"/>
          <w:b/>
          <w:color w:val="auto"/>
          <w:highlight w:val="none"/>
          <w:lang w:val="en-US" w:eastAsia="zh-CN" w:bidi="ar"/>
        </w:rPr>
        <w:t>5</w:t>
      </w:r>
    </w:p>
    <w:p w14:paraId="33015ED9">
      <w:pPr>
        <w:pStyle w:val="3"/>
        <w:numPr>
          <w:ilvl w:val="255"/>
          <w:numId w:val="0"/>
        </w:numPr>
        <w:shd w:val="clear"/>
        <w:spacing w:before="156" w:after="156"/>
        <w:ind w:left="-575"/>
        <w:rPr>
          <w:rFonts w:hint="eastAsia" w:ascii="宋体" w:hAnsi="宋体" w:cs="宋体"/>
          <w:b/>
          <w:color w:val="auto"/>
          <w:szCs w:val="30"/>
          <w:highlight w:val="none"/>
          <w:lang w:bidi="ar"/>
        </w:rPr>
      </w:pPr>
      <w:bookmarkStart w:id="513" w:name="_Toc2799"/>
      <w:r>
        <w:rPr>
          <w:rFonts w:ascii="宋体" w:hAnsi="宋体" w:cs="宋体"/>
          <w:b/>
          <w:color w:val="auto"/>
          <w:szCs w:val="30"/>
          <w:highlight w:val="none"/>
          <w:lang w:bidi="ar"/>
        </w:rPr>
        <w:t>（一）法定代表人身份证明</w:t>
      </w:r>
      <w:bookmarkEnd w:id="513"/>
    </w:p>
    <w:p w14:paraId="56A088A4">
      <w:pPr>
        <w:shd w:val="clear"/>
        <w:spacing w:line="440" w:lineRule="exact"/>
        <w:ind w:firstLine="400"/>
        <w:rPr>
          <w:rFonts w:hint="eastAsia" w:ascii="宋体" w:hAnsi="宋体" w:cs="宋体"/>
          <w:color w:val="auto"/>
          <w:highlight w:val="none"/>
        </w:rPr>
      </w:pPr>
      <w:r>
        <w:rPr>
          <w:rFonts w:hint="eastAsia" w:ascii="宋体" w:hAnsi="宋体" w:cs="宋体"/>
          <w:color w:val="auto"/>
          <w:sz w:val="20"/>
          <w:szCs w:val="20"/>
          <w:highlight w:val="none"/>
          <w:lang w:bidi="ar"/>
        </w:rPr>
        <w:t xml:space="preserve"> </w:t>
      </w:r>
    </w:p>
    <w:p w14:paraId="67A6E54D">
      <w:pPr>
        <w:shd w:val="clear"/>
        <w:spacing w:line="440" w:lineRule="exact"/>
        <w:ind w:firstLine="480"/>
        <w:rPr>
          <w:rFonts w:hint="eastAsia" w:ascii="宋体" w:hAnsi="宋体" w:cs="宋体"/>
          <w:color w:val="auto"/>
          <w:highlight w:val="none"/>
        </w:rPr>
      </w:pPr>
      <w:r>
        <w:rPr>
          <w:rFonts w:hint="eastAsia" w:ascii="宋体" w:hAnsi="宋体" w:cs="宋体"/>
          <w:color w:val="auto"/>
          <w:highlight w:val="none"/>
          <w:lang w:eastAsia="zh-CN" w:bidi="ar"/>
        </w:rPr>
        <w:t>投标人</w:t>
      </w:r>
      <w:r>
        <w:rPr>
          <w:rFonts w:hint="eastAsia" w:ascii="宋体" w:hAnsi="宋体" w:cs="宋体"/>
          <w:color w:val="auto"/>
          <w:highlight w:val="none"/>
          <w:lang w:bidi="ar"/>
        </w:rPr>
        <w:t>名称：</w:t>
      </w:r>
      <w:r>
        <w:rPr>
          <w:rFonts w:hint="eastAsia" w:ascii="宋体" w:hAnsi="宋体" w:cs="宋体"/>
          <w:color w:val="auto"/>
          <w:highlight w:val="none"/>
          <w:u w:val="single"/>
          <w:lang w:bidi="ar"/>
        </w:rPr>
        <w:t xml:space="preserve">                            </w:t>
      </w:r>
      <w:r>
        <w:rPr>
          <w:rFonts w:hint="eastAsia" w:ascii="宋体" w:hAnsi="宋体" w:cs="宋体"/>
          <w:color w:val="auto"/>
          <w:highlight w:val="none"/>
          <w:lang w:bidi="ar"/>
        </w:rPr>
        <w:t xml:space="preserve"> </w:t>
      </w:r>
    </w:p>
    <w:p w14:paraId="08B7A021">
      <w:pPr>
        <w:shd w:val="clear"/>
        <w:spacing w:line="440" w:lineRule="exact"/>
        <w:ind w:firstLine="480"/>
        <w:rPr>
          <w:rFonts w:hint="eastAsia" w:ascii="宋体" w:hAnsi="宋体" w:cs="宋体"/>
          <w:color w:val="auto"/>
          <w:highlight w:val="none"/>
        </w:rPr>
      </w:pPr>
      <w:r>
        <w:rPr>
          <w:rFonts w:hint="eastAsia" w:ascii="宋体" w:hAnsi="宋体" w:cs="宋体"/>
          <w:color w:val="auto"/>
          <w:highlight w:val="none"/>
          <w:lang w:bidi="ar"/>
        </w:rPr>
        <w:t>单位性质：</w:t>
      </w:r>
      <w:r>
        <w:rPr>
          <w:rFonts w:hint="eastAsia" w:ascii="宋体" w:hAnsi="宋体" w:cs="宋体"/>
          <w:color w:val="auto"/>
          <w:highlight w:val="none"/>
          <w:u w:val="single"/>
          <w:lang w:bidi="ar"/>
        </w:rPr>
        <w:t xml:space="preserve">                               </w:t>
      </w:r>
      <w:r>
        <w:rPr>
          <w:rFonts w:hint="eastAsia" w:ascii="宋体" w:hAnsi="宋体" w:cs="宋体"/>
          <w:color w:val="auto"/>
          <w:highlight w:val="none"/>
          <w:lang w:bidi="ar"/>
        </w:rPr>
        <w:t xml:space="preserve"> </w:t>
      </w:r>
    </w:p>
    <w:p w14:paraId="0786CDB6">
      <w:pPr>
        <w:shd w:val="clear"/>
        <w:spacing w:line="440" w:lineRule="exact"/>
        <w:ind w:firstLine="480"/>
        <w:rPr>
          <w:rFonts w:hint="eastAsia" w:ascii="宋体" w:hAnsi="宋体" w:cs="宋体"/>
          <w:color w:val="auto"/>
          <w:highlight w:val="none"/>
        </w:rPr>
      </w:pPr>
      <w:r>
        <w:rPr>
          <w:rFonts w:hint="eastAsia" w:ascii="宋体" w:hAnsi="宋体" w:cs="宋体"/>
          <w:color w:val="auto"/>
          <w:highlight w:val="none"/>
          <w:lang w:bidi="ar"/>
        </w:rPr>
        <w:t>地址：</w:t>
      </w:r>
      <w:r>
        <w:rPr>
          <w:rFonts w:hint="eastAsia" w:ascii="宋体" w:hAnsi="宋体" w:cs="宋体"/>
          <w:color w:val="auto"/>
          <w:highlight w:val="none"/>
          <w:u w:val="single"/>
          <w:lang w:bidi="ar"/>
        </w:rPr>
        <w:t xml:space="preserve">                                   </w:t>
      </w:r>
    </w:p>
    <w:p w14:paraId="598E69AD">
      <w:pPr>
        <w:shd w:val="clear"/>
        <w:spacing w:line="440" w:lineRule="exact"/>
        <w:ind w:firstLine="480"/>
        <w:rPr>
          <w:rFonts w:hint="eastAsia" w:ascii="宋体" w:hAnsi="宋体" w:cs="宋体"/>
          <w:color w:val="auto"/>
          <w:highlight w:val="none"/>
        </w:rPr>
      </w:pPr>
      <w:r>
        <w:rPr>
          <w:rFonts w:hint="eastAsia" w:ascii="宋体" w:hAnsi="宋体" w:cs="宋体"/>
          <w:color w:val="auto"/>
          <w:highlight w:val="none"/>
          <w:lang w:bidi="ar"/>
        </w:rPr>
        <w:t>成立时间：</w:t>
      </w:r>
      <w:r>
        <w:rPr>
          <w:rFonts w:hint="eastAsia" w:ascii="宋体" w:hAnsi="宋体" w:cs="宋体"/>
          <w:color w:val="auto"/>
          <w:highlight w:val="none"/>
          <w:u w:val="single"/>
          <w:lang w:bidi="ar"/>
        </w:rPr>
        <w:t xml:space="preserve">          </w:t>
      </w:r>
      <w:r>
        <w:rPr>
          <w:rFonts w:hint="eastAsia" w:ascii="宋体" w:hAnsi="宋体" w:cs="宋体"/>
          <w:color w:val="auto"/>
          <w:highlight w:val="none"/>
          <w:lang w:bidi="ar"/>
        </w:rPr>
        <w:t>年</w:t>
      </w:r>
      <w:r>
        <w:rPr>
          <w:rFonts w:hint="eastAsia" w:ascii="宋体" w:hAnsi="宋体" w:cs="宋体"/>
          <w:color w:val="auto"/>
          <w:highlight w:val="none"/>
          <w:u w:val="single"/>
          <w:lang w:bidi="ar"/>
        </w:rPr>
        <w:t xml:space="preserve">        </w:t>
      </w:r>
      <w:r>
        <w:rPr>
          <w:rFonts w:hint="eastAsia" w:ascii="宋体" w:hAnsi="宋体" w:cs="宋体"/>
          <w:color w:val="auto"/>
          <w:highlight w:val="none"/>
          <w:lang w:bidi="ar"/>
        </w:rPr>
        <w:t>月</w:t>
      </w:r>
      <w:r>
        <w:rPr>
          <w:rFonts w:hint="eastAsia" w:ascii="宋体" w:hAnsi="宋体" w:cs="宋体"/>
          <w:color w:val="auto"/>
          <w:highlight w:val="none"/>
          <w:u w:val="single"/>
          <w:lang w:bidi="ar"/>
        </w:rPr>
        <w:t xml:space="preserve">        </w:t>
      </w:r>
      <w:r>
        <w:rPr>
          <w:rFonts w:hint="eastAsia" w:ascii="宋体" w:hAnsi="宋体" w:cs="宋体"/>
          <w:color w:val="auto"/>
          <w:highlight w:val="none"/>
          <w:lang w:bidi="ar"/>
        </w:rPr>
        <w:t>日</w:t>
      </w:r>
    </w:p>
    <w:p w14:paraId="4778F248">
      <w:pPr>
        <w:shd w:val="clear"/>
        <w:spacing w:line="440" w:lineRule="exact"/>
        <w:ind w:firstLine="480"/>
        <w:rPr>
          <w:rFonts w:hint="eastAsia" w:ascii="宋体" w:hAnsi="宋体" w:cs="宋体"/>
          <w:color w:val="auto"/>
          <w:highlight w:val="none"/>
        </w:rPr>
      </w:pPr>
      <w:r>
        <w:rPr>
          <w:rFonts w:hint="eastAsia" w:ascii="宋体" w:hAnsi="宋体" w:cs="宋体"/>
          <w:color w:val="auto"/>
          <w:highlight w:val="none"/>
          <w:lang w:bidi="ar"/>
        </w:rPr>
        <w:t>经营期限：</w:t>
      </w:r>
      <w:r>
        <w:rPr>
          <w:rFonts w:hint="eastAsia" w:ascii="宋体" w:hAnsi="宋体" w:cs="宋体"/>
          <w:color w:val="auto"/>
          <w:highlight w:val="none"/>
          <w:u w:val="single"/>
          <w:lang w:bidi="ar"/>
        </w:rPr>
        <w:t xml:space="preserve">                               </w:t>
      </w:r>
    </w:p>
    <w:p w14:paraId="05F3853C">
      <w:pPr>
        <w:shd w:val="clear"/>
        <w:spacing w:line="440" w:lineRule="exact"/>
        <w:ind w:firstLine="480"/>
        <w:rPr>
          <w:rFonts w:hint="eastAsia" w:ascii="宋体" w:hAnsi="宋体" w:cs="宋体"/>
          <w:color w:val="auto"/>
          <w:highlight w:val="none"/>
        </w:rPr>
      </w:pPr>
      <w:r>
        <w:rPr>
          <w:rFonts w:hint="eastAsia" w:ascii="宋体" w:hAnsi="宋体" w:cs="宋体"/>
          <w:color w:val="auto"/>
          <w:highlight w:val="none"/>
          <w:lang w:bidi="ar"/>
        </w:rPr>
        <w:t>姓名：</w:t>
      </w:r>
      <w:r>
        <w:rPr>
          <w:rFonts w:hint="eastAsia" w:ascii="宋体" w:hAnsi="宋体" w:cs="宋体"/>
          <w:color w:val="auto"/>
          <w:highlight w:val="none"/>
          <w:u w:val="single"/>
          <w:lang w:bidi="ar"/>
        </w:rPr>
        <w:t xml:space="preserve">         </w:t>
      </w:r>
      <w:r>
        <w:rPr>
          <w:rFonts w:hint="eastAsia" w:ascii="宋体" w:hAnsi="宋体" w:cs="宋体"/>
          <w:color w:val="auto"/>
          <w:highlight w:val="none"/>
          <w:lang w:bidi="ar"/>
        </w:rPr>
        <w:t xml:space="preserve"> 性别：</w:t>
      </w:r>
      <w:r>
        <w:rPr>
          <w:rFonts w:hint="eastAsia" w:ascii="宋体" w:hAnsi="宋体" w:cs="宋体"/>
          <w:color w:val="auto"/>
          <w:highlight w:val="none"/>
          <w:u w:val="single"/>
          <w:lang w:bidi="ar"/>
        </w:rPr>
        <w:t xml:space="preserve">         </w:t>
      </w:r>
      <w:r>
        <w:rPr>
          <w:rFonts w:hint="eastAsia" w:ascii="宋体" w:hAnsi="宋体" w:cs="宋体"/>
          <w:color w:val="auto"/>
          <w:highlight w:val="none"/>
          <w:lang w:bidi="ar"/>
        </w:rPr>
        <w:t>年龄：</w:t>
      </w:r>
      <w:r>
        <w:rPr>
          <w:rFonts w:hint="eastAsia" w:ascii="宋体" w:hAnsi="宋体" w:cs="宋体"/>
          <w:color w:val="auto"/>
          <w:highlight w:val="none"/>
          <w:u w:val="single"/>
          <w:lang w:bidi="ar"/>
        </w:rPr>
        <w:t xml:space="preserve">        </w:t>
      </w:r>
      <w:r>
        <w:rPr>
          <w:rFonts w:hint="eastAsia" w:ascii="宋体" w:hAnsi="宋体" w:cs="宋体"/>
          <w:color w:val="auto"/>
          <w:highlight w:val="none"/>
          <w:lang w:bidi="ar"/>
        </w:rPr>
        <w:t>职务：</w:t>
      </w:r>
      <w:r>
        <w:rPr>
          <w:rFonts w:hint="eastAsia" w:ascii="宋体" w:hAnsi="宋体" w:cs="宋体"/>
          <w:color w:val="auto"/>
          <w:highlight w:val="none"/>
          <w:u w:val="single"/>
          <w:lang w:bidi="ar"/>
        </w:rPr>
        <w:t xml:space="preserve">        联系号码：</w:t>
      </w:r>
    </w:p>
    <w:p w14:paraId="6A4AF070">
      <w:pPr>
        <w:shd w:val="clear"/>
        <w:spacing w:line="440" w:lineRule="exact"/>
        <w:ind w:firstLine="480"/>
        <w:rPr>
          <w:rFonts w:hint="eastAsia" w:ascii="宋体" w:hAnsi="宋体" w:cs="宋体"/>
          <w:color w:val="auto"/>
          <w:highlight w:val="none"/>
        </w:rPr>
      </w:pPr>
      <w:r>
        <w:rPr>
          <w:rFonts w:hint="eastAsia" w:ascii="宋体" w:hAnsi="宋体" w:cs="宋体"/>
          <w:color w:val="auto"/>
          <w:highlight w:val="none"/>
          <w:lang w:bidi="ar"/>
        </w:rPr>
        <w:t>系</w:t>
      </w:r>
      <w:r>
        <w:rPr>
          <w:rFonts w:hint="eastAsia" w:ascii="宋体" w:hAnsi="宋体" w:cs="宋体"/>
          <w:color w:val="auto"/>
          <w:highlight w:val="none"/>
          <w:u w:val="single"/>
          <w:lang w:bidi="ar"/>
        </w:rPr>
        <w:t xml:space="preserve">                             </w:t>
      </w:r>
      <w:r>
        <w:rPr>
          <w:rFonts w:hint="eastAsia" w:ascii="宋体" w:hAnsi="宋体" w:cs="宋体"/>
          <w:color w:val="auto"/>
          <w:highlight w:val="none"/>
          <w:lang w:bidi="ar"/>
        </w:rPr>
        <w:t xml:space="preserve"> （</w:t>
      </w:r>
      <w:r>
        <w:rPr>
          <w:rFonts w:hint="eastAsia" w:ascii="宋体" w:hAnsi="宋体" w:cs="宋体"/>
          <w:color w:val="auto"/>
          <w:highlight w:val="none"/>
          <w:lang w:eastAsia="zh-CN" w:bidi="ar"/>
        </w:rPr>
        <w:t>投标人</w:t>
      </w:r>
      <w:r>
        <w:rPr>
          <w:rFonts w:hint="eastAsia" w:ascii="宋体" w:hAnsi="宋体" w:cs="宋体"/>
          <w:color w:val="auto"/>
          <w:highlight w:val="none"/>
          <w:lang w:bidi="ar"/>
        </w:rPr>
        <w:t>名称）的法定代表人。</w:t>
      </w:r>
    </w:p>
    <w:p w14:paraId="57F6E7E1">
      <w:pPr>
        <w:shd w:val="clear"/>
        <w:spacing w:line="440" w:lineRule="exact"/>
        <w:ind w:firstLine="480"/>
        <w:rPr>
          <w:rFonts w:hint="eastAsia" w:ascii="宋体" w:hAnsi="宋体" w:cs="宋体"/>
          <w:color w:val="auto"/>
          <w:highlight w:val="none"/>
        </w:rPr>
      </w:pPr>
      <w:r>
        <w:rPr>
          <w:rFonts w:hint="eastAsia" w:ascii="宋体" w:hAnsi="宋体" w:cs="宋体"/>
          <w:color w:val="auto"/>
          <w:highlight w:val="none"/>
          <w:lang w:bidi="ar"/>
        </w:rPr>
        <w:t>特此证明。</w:t>
      </w:r>
    </w:p>
    <w:p w14:paraId="362A91DC">
      <w:pPr>
        <w:shd w:val="clear"/>
        <w:spacing w:line="440" w:lineRule="exact"/>
        <w:ind w:firstLine="480"/>
        <w:rPr>
          <w:rFonts w:hint="eastAsia" w:ascii="宋体" w:hAnsi="宋体" w:cs="宋体"/>
          <w:color w:val="auto"/>
          <w:highlight w:val="none"/>
        </w:rPr>
      </w:pPr>
      <w:r>
        <w:rPr>
          <w:rFonts w:hint="eastAsia" w:ascii="宋体" w:hAnsi="宋体" w:cs="宋体"/>
          <w:color w:val="auto"/>
          <w:highlight w:val="none"/>
          <w:lang w:bidi="ar"/>
        </w:rPr>
        <w:t xml:space="preserve"> </w:t>
      </w:r>
    </w:p>
    <w:p w14:paraId="1A2A66B6">
      <w:pPr>
        <w:shd w:val="clear"/>
        <w:spacing w:line="440" w:lineRule="exact"/>
        <w:ind w:firstLine="480"/>
        <w:rPr>
          <w:rFonts w:hint="eastAsia" w:ascii="宋体" w:hAnsi="宋体" w:cs="宋体"/>
          <w:color w:val="auto"/>
          <w:highlight w:val="none"/>
        </w:rPr>
      </w:pPr>
      <w:r>
        <w:rPr>
          <w:rFonts w:hint="eastAsia" w:ascii="宋体" w:hAnsi="宋体" w:cs="宋体"/>
          <w:color w:val="auto"/>
          <w:highlight w:val="none"/>
          <w:lang w:bidi="ar"/>
        </w:rPr>
        <w:t xml:space="preserve"> </w:t>
      </w:r>
    </w:p>
    <w:p w14:paraId="67B31A06">
      <w:pPr>
        <w:shd w:val="clear"/>
        <w:spacing w:line="440" w:lineRule="exact"/>
        <w:ind w:firstLine="480"/>
        <w:rPr>
          <w:rFonts w:hint="eastAsia" w:ascii="宋体" w:hAnsi="宋体" w:cs="宋体"/>
          <w:color w:val="auto"/>
          <w:highlight w:val="none"/>
        </w:rPr>
      </w:pPr>
      <w:r>
        <w:rPr>
          <w:rFonts w:hint="eastAsia" w:ascii="宋体" w:hAnsi="宋体" w:cs="宋体"/>
          <w:color w:val="auto"/>
          <w:highlight w:val="none"/>
          <w:lang w:bidi="ar"/>
        </w:rPr>
        <w:t xml:space="preserve">                          </w:t>
      </w:r>
      <w:r>
        <w:rPr>
          <w:rFonts w:hint="eastAsia" w:ascii="宋体" w:hAnsi="宋体" w:cs="宋体"/>
          <w:color w:val="auto"/>
          <w:highlight w:val="none"/>
          <w:lang w:eastAsia="zh-CN" w:bidi="ar"/>
        </w:rPr>
        <w:t>投标人</w:t>
      </w:r>
      <w:r>
        <w:rPr>
          <w:rFonts w:hint="eastAsia" w:ascii="宋体" w:hAnsi="宋体" w:cs="宋体"/>
          <w:color w:val="auto"/>
          <w:highlight w:val="none"/>
          <w:lang w:bidi="ar"/>
        </w:rPr>
        <w:t>：</w:t>
      </w:r>
      <w:r>
        <w:rPr>
          <w:rFonts w:hint="eastAsia" w:ascii="宋体" w:hAnsi="宋体" w:cs="宋体"/>
          <w:color w:val="auto"/>
          <w:highlight w:val="none"/>
          <w:u w:val="single"/>
          <w:lang w:bidi="ar"/>
        </w:rPr>
        <w:t xml:space="preserve">                 </w:t>
      </w:r>
      <w:r>
        <w:rPr>
          <w:rFonts w:hint="eastAsia" w:ascii="宋体" w:hAnsi="宋体" w:cs="宋体"/>
          <w:color w:val="auto"/>
          <w:highlight w:val="none"/>
          <w:lang w:bidi="ar"/>
        </w:rPr>
        <w:t>（盖单位章）</w:t>
      </w:r>
    </w:p>
    <w:p w14:paraId="5CFA4413">
      <w:pPr>
        <w:shd w:val="clear"/>
        <w:ind w:firstLine="0" w:firstLineChars="0"/>
        <w:jc w:val="center"/>
        <w:rPr>
          <w:rFonts w:hint="eastAsia" w:ascii="宋体" w:hAnsi="宋体" w:cs="宋体"/>
          <w:color w:val="auto"/>
          <w:highlight w:val="none"/>
        </w:rPr>
      </w:pPr>
      <w:r>
        <w:rPr>
          <w:rFonts w:hint="eastAsia" w:ascii="宋体" w:hAnsi="宋体" w:cs="宋体"/>
          <w:color w:val="auto"/>
          <w:highlight w:val="none"/>
          <w:lang w:bidi="ar"/>
        </w:rPr>
        <w:t xml:space="preserve">               </w:t>
      </w:r>
      <w:r>
        <w:rPr>
          <w:rFonts w:hint="eastAsia" w:ascii="宋体" w:hAnsi="宋体" w:cs="宋体"/>
          <w:color w:val="auto"/>
          <w:highlight w:val="none"/>
          <w:u w:val="single"/>
          <w:lang w:bidi="ar"/>
        </w:rPr>
        <w:t xml:space="preserve">       </w:t>
      </w:r>
      <w:r>
        <w:rPr>
          <w:rFonts w:hint="eastAsia" w:ascii="宋体" w:hAnsi="宋体" w:cs="宋体"/>
          <w:color w:val="auto"/>
          <w:highlight w:val="none"/>
          <w:lang w:bidi="ar"/>
        </w:rPr>
        <w:t>年</w:t>
      </w:r>
      <w:r>
        <w:rPr>
          <w:rFonts w:hint="eastAsia" w:ascii="宋体" w:hAnsi="宋体" w:cs="宋体"/>
          <w:color w:val="auto"/>
          <w:highlight w:val="none"/>
          <w:u w:val="single"/>
          <w:lang w:bidi="ar"/>
        </w:rPr>
        <w:t xml:space="preserve">       </w:t>
      </w:r>
      <w:r>
        <w:rPr>
          <w:rFonts w:hint="eastAsia" w:ascii="宋体" w:hAnsi="宋体" w:cs="宋体"/>
          <w:color w:val="auto"/>
          <w:highlight w:val="none"/>
          <w:lang w:bidi="ar"/>
        </w:rPr>
        <w:t>月</w:t>
      </w:r>
      <w:r>
        <w:rPr>
          <w:rFonts w:hint="eastAsia" w:ascii="宋体" w:hAnsi="宋体" w:cs="宋体"/>
          <w:color w:val="auto"/>
          <w:highlight w:val="none"/>
          <w:u w:val="single"/>
          <w:lang w:bidi="ar"/>
        </w:rPr>
        <w:t xml:space="preserve">       </w:t>
      </w:r>
      <w:r>
        <w:rPr>
          <w:rFonts w:hint="eastAsia" w:ascii="宋体" w:hAnsi="宋体" w:cs="宋体"/>
          <w:color w:val="auto"/>
          <w:highlight w:val="none"/>
          <w:lang w:bidi="ar"/>
        </w:rPr>
        <w:t xml:space="preserve">日      </w:t>
      </w:r>
    </w:p>
    <w:p w14:paraId="08127C53">
      <w:pPr>
        <w:shd w:val="clear"/>
        <w:ind w:firstLine="0" w:firstLineChars="0"/>
        <w:jc w:val="center"/>
        <w:rPr>
          <w:rFonts w:hint="eastAsia" w:ascii="宋体" w:hAnsi="宋体" w:cs="宋体"/>
          <w:color w:val="auto"/>
          <w:highlight w:val="none"/>
        </w:rPr>
      </w:pPr>
      <w:r>
        <w:rPr>
          <w:rFonts w:hint="eastAsia" w:ascii="宋体" w:hAnsi="宋体" w:cs="宋体"/>
          <w:color w:val="auto"/>
          <w:highlight w:val="none"/>
          <w:lang w:bidi="ar"/>
        </w:rPr>
        <w:t xml:space="preserve"> </w:t>
      </w:r>
    </w:p>
    <w:p w14:paraId="48383373">
      <w:pPr>
        <w:shd w:val="clear"/>
        <w:ind w:firstLine="0" w:firstLineChars="0"/>
        <w:jc w:val="center"/>
        <w:rPr>
          <w:rFonts w:hint="eastAsia" w:ascii="宋体" w:hAnsi="宋体" w:cs="宋体"/>
          <w:color w:val="auto"/>
          <w:highlight w:val="none"/>
        </w:rPr>
      </w:pPr>
      <w:r>
        <w:rPr>
          <w:rFonts w:hint="eastAsia" w:ascii="宋体" w:hAnsi="宋体" w:cs="宋体"/>
          <w:color w:val="auto"/>
          <w:highlight w:val="none"/>
          <w:lang w:bidi="ar"/>
        </w:rPr>
        <w:t xml:space="preserve"> </w:t>
      </w:r>
    </w:p>
    <w:p w14:paraId="2F1A9E91">
      <w:pPr>
        <w:pStyle w:val="37"/>
        <w:shd w:val="clear"/>
        <w:snapToGrid w:val="0"/>
        <w:spacing w:before="0" w:after="0"/>
        <w:ind w:left="960" w:leftChars="400" w:firstLine="560"/>
        <w:jc w:val="both"/>
        <w:rPr>
          <w:rFonts w:hint="eastAsia" w:cs="宋体"/>
          <w:color w:val="auto"/>
          <w:sz w:val="28"/>
          <w:szCs w:val="28"/>
          <w:highlight w:val="none"/>
        </w:rPr>
      </w:pPr>
      <w:r>
        <w:rPr>
          <w:rFonts w:hint="eastAsia" w:cs="宋体"/>
          <w:color w:val="auto"/>
          <w:sz w:val="28"/>
          <w:szCs w:val="28"/>
          <w:highlight w:val="none"/>
          <w:lang w:bidi="ar"/>
        </w:rPr>
        <w:t xml:space="preserve"> </w:t>
      </w:r>
    </w:p>
    <w:p w14:paraId="2B41E7B6">
      <w:pPr>
        <w:shd w:val="clear"/>
        <w:ind w:firstLine="0" w:firstLineChars="0"/>
        <w:jc w:val="center"/>
        <w:rPr>
          <w:rFonts w:hint="eastAsia" w:ascii="宋体" w:hAnsi="宋体" w:cs="宋体"/>
          <w:color w:val="auto"/>
          <w:highlight w:val="none"/>
        </w:rPr>
      </w:pPr>
      <w:r>
        <w:rPr>
          <w:rFonts w:hint="eastAsia" w:ascii="宋体" w:hAnsi="宋体" w:cs="宋体"/>
          <w:color w:val="auto"/>
          <w:highlight w:val="none"/>
          <w:lang w:bidi="ar"/>
        </w:rPr>
        <w:t xml:space="preserve"> </w:t>
      </w:r>
    </w:p>
    <w:p w14:paraId="1A62EC17">
      <w:pPr>
        <w:shd w:val="clear"/>
        <w:ind w:firstLine="0" w:firstLineChars="0"/>
        <w:jc w:val="center"/>
        <w:rPr>
          <w:rFonts w:hint="eastAsia" w:ascii="宋体" w:hAnsi="宋体" w:cs="宋体"/>
          <w:color w:val="auto"/>
          <w:highlight w:val="none"/>
        </w:rPr>
      </w:pPr>
      <w:r>
        <w:rPr>
          <w:rFonts w:hint="eastAsia" w:ascii="宋体" w:hAnsi="宋体" w:cs="宋体"/>
          <w:color w:val="auto"/>
          <w:highlight w:val="none"/>
          <w:lang w:bidi="ar"/>
        </w:rPr>
        <w:t xml:space="preserve"> </w:t>
      </w:r>
    </w:p>
    <w:p w14:paraId="6007DFF5">
      <w:pPr>
        <w:shd w:val="clear"/>
        <w:ind w:firstLine="0" w:firstLineChars="0"/>
        <w:jc w:val="center"/>
        <w:rPr>
          <w:rFonts w:hint="eastAsia" w:ascii="宋体" w:hAnsi="宋体" w:cs="宋体"/>
          <w:color w:val="auto"/>
          <w:highlight w:val="none"/>
        </w:rPr>
      </w:pPr>
      <w:r>
        <w:rPr>
          <w:rFonts w:hint="eastAsia" w:ascii="宋体" w:hAnsi="宋体" w:cs="宋体"/>
          <w:color w:val="auto"/>
          <w:highlight w:val="none"/>
          <w:lang w:bidi="ar"/>
        </w:rPr>
        <w:t xml:space="preserve"> </w:t>
      </w:r>
    </w:p>
    <w:p w14:paraId="29279D49">
      <w:pPr>
        <w:pStyle w:val="37"/>
        <w:widowControl w:val="0"/>
        <w:shd w:val="clear"/>
        <w:spacing w:before="0" w:beforeAutospacing="0" w:after="0" w:afterAutospacing="0"/>
        <w:ind w:firstLine="480"/>
        <w:rPr>
          <w:rFonts w:hint="eastAsia" w:cs="宋体"/>
          <w:bCs/>
          <w:color w:val="auto"/>
          <w:kern w:val="2"/>
          <w:highlight w:val="none"/>
        </w:rPr>
      </w:pPr>
      <w:r>
        <w:rPr>
          <w:rFonts w:hint="eastAsia" w:cs="宋体"/>
          <w:bCs/>
          <w:color w:val="auto"/>
          <w:kern w:val="2"/>
          <w:highlight w:val="none"/>
          <w:lang w:bidi="ar"/>
        </w:rPr>
        <w:t xml:space="preserve"> </w:t>
      </w:r>
    </w:p>
    <w:p w14:paraId="6FC9C6D8">
      <w:pPr>
        <w:widowControl/>
        <w:shd w:val="clear"/>
        <w:ind w:firstLine="480"/>
        <w:rPr>
          <w:rFonts w:hint="eastAsia" w:ascii="宋体" w:hAnsi="宋体" w:cs="宋体"/>
          <w:bCs/>
          <w:color w:val="auto"/>
          <w:highlight w:val="none"/>
        </w:rPr>
      </w:pPr>
      <w:r>
        <w:rPr>
          <w:rFonts w:hint="eastAsia" w:ascii="宋体" w:hAnsi="宋体" w:cs="宋体"/>
          <w:bCs/>
          <w:color w:val="auto"/>
          <w:highlight w:val="none"/>
        </w:rPr>
        <w:t xml:space="preserve"> </w:t>
      </w:r>
    </w:p>
    <w:p w14:paraId="2ADE37B1">
      <w:pPr>
        <w:pStyle w:val="3"/>
        <w:numPr>
          <w:ilvl w:val="255"/>
          <w:numId w:val="0"/>
        </w:numPr>
        <w:shd w:val="clear"/>
        <w:spacing w:before="156" w:after="156"/>
        <w:jc w:val="both"/>
        <w:rPr>
          <w:rFonts w:hint="eastAsia" w:ascii="宋体" w:hAnsi="宋体" w:cs="宋体"/>
          <w:color w:val="auto"/>
          <w:highlight w:val="none"/>
        </w:rPr>
      </w:pPr>
    </w:p>
    <w:p w14:paraId="2A0B5872">
      <w:pPr>
        <w:shd w:val="clear"/>
        <w:ind w:firstLine="480"/>
        <w:rPr>
          <w:color w:val="auto"/>
          <w:highlight w:val="none"/>
        </w:rPr>
      </w:pPr>
    </w:p>
    <w:p w14:paraId="104CCA69">
      <w:pPr>
        <w:shd w:val="clear"/>
        <w:ind w:firstLine="0" w:firstLineChars="0"/>
        <w:rPr>
          <w:rFonts w:hint="eastAsia" w:ascii="宋体" w:hAnsi="宋体" w:cs="宋体"/>
          <w:b/>
          <w:bCs/>
          <w:color w:val="auto"/>
          <w:sz w:val="30"/>
          <w:szCs w:val="30"/>
          <w:highlight w:val="none"/>
        </w:rPr>
      </w:pPr>
    </w:p>
    <w:p w14:paraId="6CFDCC13">
      <w:pPr>
        <w:shd w:val="clear"/>
        <w:ind w:firstLine="0" w:firstLineChars="0"/>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lang w:bidi="ar"/>
        </w:rPr>
        <w:t>（二）法定代表人授权委托书</w:t>
      </w:r>
    </w:p>
    <w:p w14:paraId="5F8ADC01">
      <w:pPr>
        <w:shd w:val="clear"/>
        <w:snapToGrid w:val="0"/>
        <w:ind w:firstLine="482"/>
        <w:jc w:val="center"/>
        <w:rPr>
          <w:rFonts w:hint="eastAsia" w:ascii="宋体" w:hAnsi="宋体" w:cs="宋体"/>
          <w:b/>
          <w:color w:val="auto"/>
          <w:highlight w:val="none"/>
        </w:rPr>
      </w:pPr>
      <w:r>
        <w:rPr>
          <w:rFonts w:hint="eastAsia" w:ascii="宋体" w:hAnsi="宋体" w:cs="宋体"/>
          <w:b/>
          <w:color w:val="auto"/>
          <w:highlight w:val="none"/>
          <w:lang w:bidi="ar"/>
        </w:rPr>
        <w:t xml:space="preserve"> </w:t>
      </w:r>
    </w:p>
    <w:p w14:paraId="6D26E9CD">
      <w:pPr>
        <w:shd w:val="clear"/>
        <w:ind w:firstLine="480"/>
        <w:rPr>
          <w:rFonts w:hint="eastAsia" w:ascii="宋体" w:hAnsi="宋体" w:cs="宋体"/>
          <w:color w:val="auto"/>
          <w:highlight w:val="none"/>
        </w:rPr>
      </w:pPr>
      <w:r>
        <w:rPr>
          <w:rFonts w:hint="eastAsia" w:ascii="宋体" w:hAnsi="宋体" w:cs="宋体"/>
          <w:color w:val="auto"/>
          <w:highlight w:val="none"/>
          <w:lang w:bidi="ar"/>
        </w:rPr>
        <w:t xml:space="preserve">本人 </w:t>
      </w:r>
      <w:r>
        <w:rPr>
          <w:rFonts w:hint="eastAsia" w:ascii="宋体" w:hAnsi="宋体" w:cs="宋体"/>
          <w:color w:val="auto"/>
          <w:highlight w:val="none"/>
          <w:u w:val="single"/>
          <w:lang w:bidi="ar"/>
        </w:rPr>
        <w:t xml:space="preserve"> （姓名）  </w:t>
      </w:r>
      <w:r>
        <w:rPr>
          <w:rFonts w:hint="eastAsia" w:ascii="宋体" w:hAnsi="宋体" w:cs="宋体"/>
          <w:color w:val="auto"/>
          <w:highlight w:val="none"/>
          <w:lang w:bidi="ar"/>
        </w:rPr>
        <w:t>系</w:t>
      </w:r>
      <w:r>
        <w:rPr>
          <w:rFonts w:hint="eastAsia" w:ascii="宋体" w:hAnsi="宋体" w:cs="宋体"/>
          <w:color w:val="auto"/>
          <w:highlight w:val="none"/>
          <w:u w:val="single"/>
          <w:lang w:bidi="ar"/>
        </w:rPr>
        <w:t xml:space="preserve">        （</w:t>
      </w:r>
      <w:r>
        <w:rPr>
          <w:rFonts w:hint="eastAsia" w:ascii="宋体" w:hAnsi="宋体" w:cs="宋体"/>
          <w:color w:val="auto"/>
          <w:highlight w:val="none"/>
          <w:u w:val="single"/>
          <w:lang w:eastAsia="zh-CN" w:bidi="ar"/>
        </w:rPr>
        <w:t>投标人</w:t>
      </w:r>
      <w:r>
        <w:rPr>
          <w:rFonts w:hint="eastAsia" w:ascii="宋体" w:hAnsi="宋体" w:cs="宋体"/>
          <w:color w:val="auto"/>
          <w:highlight w:val="none"/>
          <w:u w:val="single"/>
          <w:lang w:bidi="ar"/>
        </w:rPr>
        <w:t xml:space="preserve">名称）      </w:t>
      </w:r>
      <w:r>
        <w:rPr>
          <w:rFonts w:hint="eastAsia" w:ascii="宋体" w:hAnsi="宋体" w:cs="宋体"/>
          <w:color w:val="auto"/>
          <w:highlight w:val="none"/>
          <w:lang w:bidi="ar"/>
        </w:rPr>
        <w:t>的法定代表人，现授权</w:t>
      </w:r>
      <w:r>
        <w:rPr>
          <w:rFonts w:hint="eastAsia" w:ascii="宋体" w:hAnsi="宋体" w:cs="宋体"/>
          <w:color w:val="auto"/>
          <w:highlight w:val="none"/>
          <w:u w:val="single"/>
          <w:lang w:bidi="ar"/>
        </w:rPr>
        <w:t xml:space="preserve">     （姓名）  （   身份证号码   ）</w:t>
      </w:r>
      <w:r>
        <w:rPr>
          <w:rFonts w:hint="eastAsia" w:ascii="宋体" w:hAnsi="宋体" w:cs="宋体"/>
          <w:color w:val="auto"/>
          <w:highlight w:val="none"/>
          <w:lang w:bidi="ar"/>
        </w:rPr>
        <w:t>为我方代理人。授权代理人根据授权对</w:t>
      </w:r>
      <w:r>
        <w:rPr>
          <w:rFonts w:hint="eastAsia" w:ascii="宋体" w:hAnsi="宋体" w:cs="宋体"/>
          <w:color w:val="auto"/>
          <w:highlight w:val="none"/>
          <w:u w:val="single"/>
          <w:lang w:bidi="ar"/>
        </w:rPr>
        <w:t xml:space="preserve">   （项目名称）（项目编号）  投</w:t>
      </w:r>
      <w:r>
        <w:rPr>
          <w:rFonts w:hint="eastAsia" w:ascii="宋体" w:hAnsi="宋体" w:cs="宋体"/>
          <w:color w:val="auto"/>
          <w:highlight w:val="none"/>
          <w:lang w:bidi="ar"/>
        </w:rPr>
        <w:t>标，以我方名义签署、澄清、说明、补正、提交、撤回、修改投标文件，签订合同和处理有关事宜，其法律后果由我方承担。</w:t>
      </w:r>
    </w:p>
    <w:p w14:paraId="08E45CB4">
      <w:pPr>
        <w:shd w:val="clear"/>
        <w:ind w:firstLine="480"/>
        <w:rPr>
          <w:rFonts w:hint="eastAsia" w:ascii="宋体" w:hAnsi="宋体" w:cs="宋体"/>
          <w:color w:val="auto"/>
          <w:highlight w:val="none"/>
        </w:rPr>
      </w:pPr>
      <w:r>
        <w:rPr>
          <w:rFonts w:hint="eastAsia" w:ascii="宋体" w:hAnsi="宋体" w:cs="宋体"/>
          <w:color w:val="auto"/>
          <w:highlight w:val="none"/>
          <w:lang w:bidi="ar"/>
        </w:rPr>
        <w:t xml:space="preserve"> </w:t>
      </w:r>
    </w:p>
    <w:p w14:paraId="3BC5295A">
      <w:pPr>
        <w:shd w:val="clear"/>
        <w:ind w:firstLine="480"/>
        <w:rPr>
          <w:rFonts w:hint="eastAsia" w:ascii="宋体" w:hAnsi="宋体" w:cs="宋体"/>
          <w:color w:val="auto"/>
          <w:highlight w:val="none"/>
        </w:rPr>
      </w:pPr>
      <w:r>
        <w:rPr>
          <w:rFonts w:hint="eastAsia" w:ascii="宋体" w:hAnsi="宋体" w:cs="宋体"/>
          <w:color w:val="auto"/>
          <w:highlight w:val="none"/>
          <w:lang w:bidi="ar"/>
        </w:rPr>
        <w:t>委托期限：2025年  月  日—2025年  月  日止。</w:t>
      </w:r>
    </w:p>
    <w:p w14:paraId="15D031DF">
      <w:pPr>
        <w:shd w:val="clear"/>
        <w:ind w:firstLine="480"/>
        <w:rPr>
          <w:rFonts w:hint="eastAsia" w:ascii="宋体" w:hAnsi="宋体" w:cs="宋体"/>
          <w:color w:val="auto"/>
          <w:highlight w:val="none"/>
        </w:rPr>
      </w:pPr>
      <w:r>
        <w:rPr>
          <w:rFonts w:hint="eastAsia" w:ascii="宋体" w:hAnsi="宋体" w:cs="宋体"/>
          <w:color w:val="auto"/>
          <w:highlight w:val="none"/>
          <w:lang w:bidi="ar"/>
        </w:rPr>
        <w:t>授权代理人无转委托权。</w:t>
      </w:r>
    </w:p>
    <w:p w14:paraId="6F15F91F">
      <w:pPr>
        <w:shd w:val="clear"/>
        <w:snapToGrid w:val="0"/>
        <w:spacing w:line="312" w:lineRule="auto"/>
        <w:ind w:firstLine="0" w:firstLineChars="0"/>
        <w:rPr>
          <w:rFonts w:hint="eastAsia" w:ascii="宋体" w:hAnsi="宋体" w:cs="宋体"/>
          <w:color w:val="auto"/>
          <w:highlight w:val="none"/>
        </w:rPr>
      </w:pPr>
      <w:r>
        <w:rPr>
          <w:rFonts w:hint="eastAsia" w:ascii="宋体" w:hAnsi="宋体" w:cs="宋体"/>
          <w:color w:val="auto"/>
          <w:highlight w:val="none"/>
          <w:lang w:bidi="ar"/>
        </w:rPr>
        <w:t xml:space="preserve"> </w:t>
      </w:r>
    </w:p>
    <w:p w14:paraId="3903148C">
      <w:pPr>
        <w:shd w:val="clear"/>
        <w:snapToGrid w:val="0"/>
        <w:spacing w:line="312" w:lineRule="auto"/>
        <w:ind w:firstLine="480"/>
        <w:rPr>
          <w:rFonts w:hint="eastAsia" w:ascii="宋体" w:hAnsi="宋体" w:cs="宋体"/>
          <w:color w:val="auto"/>
          <w:highlight w:val="none"/>
        </w:rPr>
      </w:pPr>
      <w:r>
        <w:rPr>
          <w:rFonts w:hint="eastAsia" w:ascii="宋体" w:hAnsi="宋体" w:cs="宋体"/>
          <w:color w:val="auto"/>
          <w:highlight w:val="none"/>
          <w:lang w:bidi="ar"/>
        </w:rPr>
        <w:t xml:space="preserve"> </w:t>
      </w:r>
    </w:p>
    <w:p w14:paraId="4638031E">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eastAsia="zh-CN" w:bidi="ar"/>
        </w:rPr>
        <w:t>投标人</w:t>
      </w:r>
      <w:r>
        <w:rPr>
          <w:rFonts w:hint="eastAsia" w:ascii="宋体" w:hAnsi="宋体" w:cs="宋体"/>
          <w:color w:val="auto"/>
          <w:highlight w:val="none"/>
          <w:lang w:bidi="ar"/>
        </w:rPr>
        <w:t>名称（盖章）:</w:t>
      </w:r>
    </w:p>
    <w:p w14:paraId="6DDC81F1">
      <w:pPr>
        <w:shd w:val="clear"/>
        <w:adjustRightInd w:val="0"/>
        <w:snapToGrid w:val="0"/>
        <w:spacing w:line="360" w:lineRule="auto"/>
        <w:ind w:firstLine="4080" w:firstLineChars="1700"/>
        <w:textAlignment w:val="baseline"/>
        <w:rPr>
          <w:rFonts w:hint="eastAsia" w:ascii="宋体" w:hAnsi="宋体" w:cs="宋体"/>
          <w:color w:val="auto"/>
          <w:highlight w:val="none"/>
          <w:u w:val="single"/>
        </w:rPr>
      </w:pPr>
      <w:r>
        <w:rPr>
          <w:rFonts w:hint="eastAsia" w:ascii="宋体" w:hAnsi="宋体" w:cs="宋体"/>
          <w:color w:val="auto"/>
          <w:highlight w:val="none"/>
          <w:lang w:bidi="ar"/>
        </w:rPr>
        <w:t>法定代表人（签字或盖章）:</w:t>
      </w:r>
    </w:p>
    <w:p w14:paraId="3F71F7E8">
      <w:pPr>
        <w:shd w:val="clear"/>
        <w:adjustRightInd w:val="0"/>
        <w:snapToGrid w:val="0"/>
        <w:spacing w:line="360" w:lineRule="auto"/>
        <w:ind w:firstLine="4080" w:firstLineChars="1700"/>
        <w:textAlignment w:val="baseline"/>
        <w:rPr>
          <w:rFonts w:hint="eastAsia" w:ascii="宋体" w:hAnsi="宋体" w:cs="宋体"/>
          <w:color w:val="auto"/>
          <w:highlight w:val="none"/>
          <w:u w:val="single"/>
        </w:rPr>
      </w:pPr>
      <w:r>
        <w:rPr>
          <w:rFonts w:hint="eastAsia" w:ascii="宋体" w:hAnsi="宋体" w:cs="宋体"/>
          <w:color w:val="auto"/>
          <w:highlight w:val="none"/>
          <w:lang w:bidi="ar"/>
        </w:rPr>
        <w:t>法定代表人移动电话:</w:t>
      </w:r>
    </w:p>
    <w:p w14:paraId="124054C7">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授权代理人移动电话:</w:t>
      </w:r>
    </w:p>
    <w:p w14:paraId="4901136F">
      <w:pPr>
        <w:shd w:val="clear"/>
        <w:ind w:right="440" w:firstLine="4080" w:firstLineChars="1700"/>
        <w:rPr>
          <w:rFonts w:hint="eastAsia" w:ascii="宋体" w:hAnsi="宋体" w:cs="宋体"/>
          <w:b/>
          <w:bCs/>
          <w:color w:val="auto"/>
          <w:highlight w:val="none"/>
        </w:rPr>
      </w:pPr>
      <w:r>
        <w:rPr>
          <w:rFonts w:hint="eastAsia" w:ascii="宋体" w:hAnsi="宋体" w:cs="宋体"/>
          <w:bCs/>
          <w:color w:val="auto"/>
          <w:highlight w:val="none"/>
          <w:lang w:bidi="ar"/>
        </w:rPr>
        <w:t>授权委托日期：   年   月  日</w:t>
      </w:r>
    </w:p>
    <w:p w14:paraId="49536B8E">
      <w:pPr>
        <w:shd w:val="clear"/>
        <w:spacing w:line="360" w:lineRule="exact"/>
        <w:ind w:left="2699" w:firstLine="480"/>
        <w:rPr>
          <w:rFonts w:hint="eastAsia" w:ascii="宋体" w:hAnsi="宋体" w:cs="宋体"/>
          <w:color w:val="auto"/>
          <w:kern w:val="0"/>
          <w:highlight w:val="none"/>
        </w:rPr>
      </w:pPr>
      <w:r>
        <w:rPr>
          <w:rFonts w:hint="eastAsia" w:ascii="宋体" w:hAnsi="宋体" w:cs="宋体"/>
          <w:color w:val="auto"/>
          <w:kern w:val="0"/>
          <w:highlight w:val="none"/>
          <w:lang w:bidi="ar"/>
        </w:rPr>
        <w:t xml:space="preserve"> </w:t>
      </w:r>
    </w:p>
    <w:tbl>
      <w:tblPr>
        <w:tblStyle w:val="43"/>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14:paraId="6B6F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9" w:hRule="atLeast"/>
        </w:trPr>
        <w:tc>
          <w:tcPr>
            <w:tcW w:w="9356" w:type="dxa"/>
            <w:tcBorders>
              <w:top w:val="single" w:color="auto" w:sz="4" w:space="0"/>
              <w:left w:val="single" w:color="auto" w:sz="4" w:space="0"/>
              <w:bottom w:val="single" w:color="auto" w:sz="4" w:space="0"/>
              <w:right w:val="single" w:color="auto" w:sz="4" w:space="0"/>
            </w:tcBorders>
            <w:shd w:val="clear" w:color="auto" w:fill="auto"/>
          </w:tcPr>
          <w:p w14:paraId="20520573">
            <w:pPr>
              <w:shd w:val="clear"/>
              <w:adjustRightInd w:val="0"/>
              <w:snapToGrid w:val="0"/>
              <w:spacing w:line="360" w:lineRule="exact"/>
              <w:ind w:firstLine="480"/>
              <w:jc w:val="center"/>
              <w:rPr>
                <w:rFonts w:hint="eastAsia" w:ascii="宋体" w:hAnsi="宋体" w:cs="宋体"/>
                <w:color w:val="auto"/>
                <w:kern w:val="0"/>
                <w:highlight w:val="none"/>
              </w:rPr>
            </w:pPr>
          </w:p>
          <w:p w14:paraId="05A7BE9C">
            <w:pPr>
              <w:shd w:val="clear"/>
              <w:adjustRightInd w:val="0"/>
              <w:snapToGrid w:val="0"/>
              <w:spacing w:line="360" w:lineRule="exact"/>
              <w:ind w:firstLine="480"/>
              <w:jc w:val="center"/>
              <w:rPr>
                <w:rFonts w:hint="eastAsia" w:ascii="宋体" w:hAnsi="宋体" w:cs="宋体"/>
                <w:color w:val="auto"/>
                <w:kern w:val="0"/>
                <w:highlight w:val="none"/>
              </w:rPr>
            </w:pPr>
          </w:p>
          <w:p w14:paraId="0F481222">
            <w:pPr>
              <w:shd w:val="clear"/>
              <w:adjustRightInd w:val="0"/>
              <w:snapToGrid w:val="0"/>
              <w:spacing w:line="360" w:lineRule="exact"/>
              <w:ind w:firstLine="480"/>
              <w:jc w:val="center"/>
              <w:rPr>
                <w:rFonts w:hint="eastAsia" w:ascii="宋体" w:hAnsi="宋体" w:cs="宋体"/>
                <w:color w:val="auto"/>
                <w:kern w:val="0"/>
                <w:highlight w:val="none"/>
              </w:rPr>
            </w:pPr>
            <w:r>
              <w:rPr>
                <w:rFonts w:hint="eastAsia" w:ascii="宋体" w:hAnsi="宋体" w:cs="宋体"/>
                <w:color w:val="auto"/>
                <w:kern w:val="0"/>
                <w:highlight w:val="none"/>
                <w:lang w:bidi="ar"/>
              </w:rPr>
              <w:t>粘贴法人授权代表身份证复印影印件</w:t>
            </w:r>
          </w:p>
          <w:p w14:paraId="5AEC6350">
            <w:pPr>
              <w:shd w:val="clear"/>
              <w:adjustRightInd w:val="0"/>
              <w:snapToGrid w:val="0"/>
              <w:spacing w:line="360" w:lineRule="exact"/>
              <w:ind w:firstLine="480"/>
              <w:jc w:val="center"/>
              <w:rPr>
                <w:rFonts w:hint="eastAsia" w:ascii="宋体" w:hAnsi="宋体" w:cs="宋体"/>
                <w:color w:val="auto"/>
                <w:kern w:val="0"/>
                <w:highlight w:val="none"/>
              </w:rPr>
            </w:pPr>
          </w:p>
          <w:p w14:paraId="39AAE069">
            <w:pPr>
              <w:shd w:val="clear"/>
              <w:adjustRightInd w:val="0"/>
              <w:snapToGrid w:val="0"/>
              <w:spacing w:line="360" w:lineRule="exact"/>
              <w:ind w:firstLine="480"/>
              <w:jc w:val="center"/>
              <w:rPr>
                <w:rFonts w:hint="eastAsia" w:ascii="宋体" w:hAnsi="宋体" w:cs="宋体"/>
                <w:color w:val="auto"/>
                <w:kern w:val="0"/>
                <w:highlight w:val="none"/>
              </w:rPr>
            </w:pPr>
          </w:p>
        </w:tc>
      </w:tr>
    </w:tbl>
    <w:p w14:paraId="3F3CED3D">
      <w:pPr>
        <w:shd w:val="clear"/>
        <w:adjustRightInd w:val="0"/>
        <w:snapToGrid w:val="0"/>
        <w:spacing w:line="360" w:lineRule="exact"/>
        <w:ind w:firstLine="480"/>
        <w:jc w:val="center"/>
        <w:rPr>
          <w:rFonts w:hint="eastAsia" w:ascii="宋体" w:hAnsi="宋体" w:cs="宋体"/>
          <w:color w:val="auto"/>
          <w:kern w:val="0"/>
          <w:highlight w:val="none"/>
        </w:rPr>
      </w:pPr>
      <w:r>
        <w:rPr>
          <w:rFonts w:hint="eastAsia" w:ascii="宋体" w:hAnsi="宋体" w:cs="宋体"/>
          <w:color w:val="auto"/>
          <w:kern w:val="0"/>
          <w:highlight w:val="none"/>
          <w:lang w:bidi="ar"/>
        </w:rPr>
        <w:t xml:space="preserve"> </w:t>
      </w:r>
    </w:p>
    <w:p w14:paraId="1F661B33">
      <w:pPr>
        <w:shd w:val="clear"/>
        <w:adjustRightInd w:val="0"/>
        <w:snapToGrid w:val="0"/>
        <w:spacing w:line="360" w:lineRule="exact"/>
        <w:ind w:firstLine="480"/>
        <w:jc w:val="center"/>
        <w:rPr>
          <w:rFonts w:hint="eastAsia" w:ascii="宋体" w:hAnsi="宋体" w:cs="宋体"/>
          <w:color w:val="auto"/>
          <w:kern w:val="0"/>
          <w:highlight w:val="none"/>
        </w:rPr>
      </w:pPr>
      <w:r>
        <w:rPr>
          <w:rFonts w:hint="eastAsia" w:ascii="宋体" w:hAnsi="宋体" w:cs="宋体"/>
          <w:color w:val="auto"/>
          <w:kern w:val="0"/>
          <w:highlight w:val="none"/>
          <w:lang w:bidi="ar"/>
        </w:rPr>
        <w:t xml:space="preserve"> </w:t>
      </w:r>
    </w:p>
    <w:tbl>
      <w:tblPr>
        <w:tblStyle w:val="43"/>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14:paraId="0F05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9356" w:type="dxa"/>
            <w:tcBorders>
              <w:top w:val="single" w:color="auto" w:sz="4" w:space="0"/>
              <w:left w:val="single" w:color="auto" w:sz="4" w:space="0"/>
              <w:bottom w:val="single" w:color="auto" w:sz="4" w:space="0"/>
              <w:right w:val="single" w:color="auto" w:sz="4" w:space="0"/>
            </w:tcBorders>
            <w:shd w:val="clear" w:color="auto" w:fill="auto"/>
          </w:tcPr>
          <w:p w14:paraId="2B2E256E">
            <w:pPr>
              <w:shd w:val="clear"/>
              <w:adjustRightInd w:val="0"/>
              <w:snapToGrid w:val="0"/>
              <w:spacing w:line="360" w:lineRule="exact"/>
              <w:ind w:firstLine="480"/>
              <w:jc w:val="center"/>
              <w:rPr>
                <w:rFonts w:hint="eastAsia" w:ascii="宋体" w:hAnsi="宋体" w:cs="宋体"/>
                <w:color w:val="auto"/>
                <w:kern w:val="0"/>
                <w:highlight w:val="none"/>
              </w:rPr>
            </w:pPr>
          </w:p>
          <w:p w14:paraId="245EC5C1">
            <w:pPr>
              <w:shd w:val="clear"/>
              <w:adjustRightInd w:val="0"/>
              <w:snapToGrid w:val="0"/>
              <w:spacing w:line="360" w:lineRule="exact"/>
              <w:ind w:firstLine="480"/>
              <w:jc w:val="center"/>
              <w:rPr>
                <w:rFonts w:hint="eastAsia" w:ascii="宋体" w:hAnsi="宋体" w:cs="宋体"/>
                <w:color w:val="auto"/>
                <w:kern w:val="0"/>
                <w:highlight w:val="none"/>
              </w:rPr>
            </w:pPr>
          </w:p>
          <w:p w14:paraId="62D539F4">
            <w:pPr>
              <w:shd w:val="clear"/>
              <w:adjustRightInd w:val="0"/>
              <w:snapToGrid w:val="0"/>
              <w:spacing w:line="360" w:lineRule="exact"/>
              <w:ind w:firstLine="480"/>
              <w:jc w:val="center"/>
              <w:rPr>
                <w:rFonts w:hint="eastAsia" w:ascii="宋体" w:hAnsi="宋体" w:cs="宋体"/>
                <w:color w:val="auto"/>
                <w:kern w:val="0"/>
                <w:highlight w:val="none"/>
              </w:rPr>
            </w:pPr>
            <w:r>
              <w:rPr>
                <w:rFonts w:hint="eastAsia" w:ascii="宋体" w:hAnsi="宋体" w:cs="宋体"/>
                <w:color w:val="auto"/>
                <w:kern w:val="0"/>
                <w:highlight w:val="none"/>
                <w:lang w:bidi="ar"/>
              </w:rPr>
              <w:t>粘贴法人身份证复印影印件</w:t>
            </w:r>
          </w:p>
          <w:p w14:paraId="291D325D">
            <w:pPr>
              <w:shd w:val="clear"/>
              <w:adjustRightInd w:val="0"/>
              <w:snapToGrid w:val="0"/>
              <w:spacing w:line="360" w:lineRule="exact"/>
              <w:ind w:firstLine="480"/>
              <w:jc w:val="center"/>
              <w:rPr>
                <w:rFonts w:hint="eastAsia" w:ascii="宋体" w:hAnsi="宋体" w:cs="宋体"/>
                <w:color w:val="auto"/>
                <w:kern w:val="0"/>
                <w:highlight w:val="none"/>
              </w:rPr>
            </w:pPr>
          </w:p>
          <w:p w14:paraId="6021E2C4">
            <w:pPr>
              <w:shd w:val="clear"/>
              <w:adjustRightInd w:val="0"/>
              <w:snapToGrid w:val="0"/>
              <w:spacing w:line="360" w:lineRule="exact"/>
              <w:ind w:firstLine="480"/>
              <w:jc w:val="center"/>
              <w:rPr>
                <w:rFonts w:hint="eastAsia" w:ascii="宋体" w:hAnsi="宋体" w:cs="宋体"/>
                <w:color w:val="auto"/>
                <w:kern w:val="0"/>
                <w:highlight w:val="none"/>
              </w:rPr>
            </w:pPr>
          </w:p>
        </w:tc>
      </w:tr>
    </w:tbl>
    <w:p w14:paraId="59D6E419">
      <w:pPr>
        <w:shd w:val="clear"/>
        <w:ind w:firstLine="0" w:firstLineChars="0"/>
        <w:jc w:val="left"/>
        <w:rPr>
          <w:rFonts w:hint="eastAsia" w:ascii="宋体" w:hAnsi="宋体" w:cs="宋体"/>
          <w:b/>
          <w:bCs/>
          <w:color w:val="auto"/>
          <w:highlight w:val="none"/>
          <w:lang w:bidi="ar"/>
        </w:rPr>
      </w:pPr>
      <w:r>
        <w:rPr>
          <w:rFonts w:hint="eastAsia" w:ascii="宋体" w:hAnsi="宋体" w:cs="宋体"/>
          <w:b/>
          <w:bCs/>
          <w:color w:val="auto"/>
          <w:highlight w:val="none"/>
          <w:lang w:bidi="ar"/>
        </w:rPr>
        <w:t xml:space="preserve"> </w:t>
      </w:r>
    </w:p>
    <w:p w14:paraId="23F9801B">
      <w:pPr>
        <w:shd w:val="clear"/>
        <w:ind w:firstLine="0" w:firstLineChars="0"/>
        <w:rPr>
          <w:rFonts w:hint="eastAsia" w:ascii="宋体" w:hAnsi="宋体" w:cs="宋体"/>
          <w:b/>
          <w:bCs/>
          <w:color w:val="auto"/>
          <w:highlight w:val="none"/>
          <w:lang w:bidi="ar"/>
        </w:rPr>
      </w:pPr>
    </w:p>
    <w:p w14:paraId="35B44A4D">
      <w:pPr>
        <w:shd w:val="clear"/>
        <w:ind w:firstLine="0" w:firstLineChars="0"/>
        <w:rPr>
          <w:rFonts w:hint="eastAsia" w:ascii="宋体" w:hAnsi="宋体" w:cs="宋体"/>
          <w:b/>
          <w:bCs/>
          <w:color w:val="auto"/>
          <w:highlight w:val="none"/>
          <w:lang w:bidi="ar"/>
        </w:rPr>
      </w:pPr>
    </w:p>
    <w:p w14:paraId="6093322E">
      <w:pPr>
        <w:shd w:val="clear"/>
        <w:ind w:firstLine="0" w:firstLineChars="0"/>
        <w:rPr>
          <w:rFonts w:hint="eastAsia" w:ascii="宋体" w:hAnsi="宋体" w:eastAsia="宋体" w:cs="宋体"/>
          <w:b/>
          <w:bCs/>
          <w:color w:val="auto"/>
          <w:sz w:val="30"/>
          <w:szCs w:val="30"/>
          <w:highlight w:val="none"/>
          <w:lang w:val="en-US" w:eastAsia="zh-CN" w:bidi="ar"/>
        </w:rPr>
      </w:pPr>
      <w:r>
        <w:rPr>
          <w:rFonts w:hint="eastAsia" w:ascii="宋体" w:hAnsi="宋体" w:cs="宋体"/>
          <w:b/>
          <w:bCs/>
          <w:color w:val="auto"/>
          <w:highlight w:val="none"/>
          <w:lang w:bidi="ar"/>
        </w:rPr>
        <w:t>附件</w:t>
      </w:r>
      <w:r>
        <w:rPr>
          <w:rFonts w:hint="eastAsia" w:ascii="宋体" w:hAnsi="宋体" w:cs="宋体"/>
          <w:b/>
          <w:bCs/>
          <w:color w:val="auto"/>
          <w:highlight w:val="none"/>
          <w:lang w:val="en-US" w:eastAsia="zh-CN" w:bidi="ar"/>
        </w:rPr>
        <w:t>6</w:t>
      </w:r>
    </w:p>
    <w:p w14:paraId="09F8F01F">
      <w:pPr>
        <w:shd w:val="clear"/>
        <w:ind w:firstLine="0" w:firstLineChars="0"/>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lang w:bidi="ar"/>
        </w:rPr>
        <w:t>同类业绩一览表</w:t>
      </w:r>
    </w:p>
    <w:p w14:paraId="2E208DD6">
      <w:pPr>
        <w:shd w:val="clear"/>
        <w:ind w:firstLine="480"/>
        <w:rPr>
          <w:rFonts w:cs="宋体"/>
          <w:color w:val="auto"/>
          <w:highlight w:val="none"/>
        </w:rPr>
      </w:pPr>
      <w:r>
        <w:rPr>
          <w:rFonts w:hint="eastAsia" w:ascii="宋体" w:hAnsi="宋体" w:cs="宋体"/>
          <w:color w:val="auto"/>
          <w:highlight w:val="none"/>
          <w:lang w:bidi="ar"/>
        </w:rPr>
        <w:t>项目名称：</w:t>
      </w:r>
    </w:p>
    <w:p w14:paraId="31EE038A">
      <w:pPr>
        <w:shd w:val="clear"/>
        <w:ind w:firstLine="480"/>
        <w:rPr>
          <w:rFonts w:cs="宋体"/>
          <w:color w:val="auto"/>
          <w:highlight w:val="none"/>
        </w:rPr>
      </w:pPr>
      <w:r>
        <w:rPr>
          <w:rFonts w:hint="eastAsia" w:ascii="宋体" w:hAnsi="宋体" w:cs="宋体"/>
          <w:color w:val="auto"/>
          <w:highlight w:val="none"/>
          <w:lang w:bidi="ar"/>
        </w:rPr>
        <w:t>项目编号：</w:t>
      </w:r>
    </w:p>
    <w:tbl>
      <w:tblPr>
        <w:tblStyle w:val="43"/>
        <w:tblW w:w="9566"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734"/>
        <w:gridCol w:w="1243"/>
        <w:gridCol w:w="1832"/>
        <w:gridCol w:w="1425"/>
        <w:gridCol w:w="1565"/>
        <w:gridCol w:w="1767"/>
      </w:tblGrid>
      <w:tr w14:paraId="4942458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cantSplit/>
          <w:trHeight w:val="1212" w:hRule="atLeast"/>
          <w:jc w:val="center"/>
        </w:trPr>
        <w:tc>
          <w:tcPr>
            <w:tcW w:w="1734" w:type="dxa"/>
            <w:tcBorders>
              <w:top w:val="single" w:color="auto" w:sz="4" w:space="0"/>
              <w:left w:val="single" w:color="auto" w:sz="4" w:space="0"/>
              <w:bottom w:val="single" w:color="auto" w:sz="4" w:space="0"/>
              <w:right w:val="single" w:color="auto" w:sz="4" w:space="0"/>
            </w:tcBorders>
            <w:shd w:val="clear" w:color="auto" w:fill="auto"/>
            <w:vAlign w:val="center"/>
          </w:tcPr>
          <w:p w14:paraId="130A92D6">
            <w:pPr>
              <w:shd w:val="clear"/>
              <w:snapToGrid w:val="0"/>
              <w:ind w:firstLine="0" w:firstLineChars="0"/>
              <w:jc w:val="center"/>
              <w:rPr>
                <w:rFonts w:cs="Times New Roman"/>
                <w:color w:val="auto"/>
                <w:highlight w:val="none"/>
              </w:rPr>
            </w:pPr>
            <w:r>
              <w:rPr>
                <w:rFonts w:hint="eastAsia" w:ascii="宋体" w:hAnsi="宋体" w:cs="宋体"/>
                <w:color w:val="auto"/>
                <w:highlight w:val="none"/>
                <w:lang w:bidi="ar"/>
              </w:rPr>
              <w:t>采购人名称</w:t>
            </w:r>
          </w:p>
        </w:tc>
        <w:tc>
          <w:tcPr>
            <w:tcW w:w="1243" w:type="dxa"/>
            <w:tcBorders>
              <w:top w:val="single" w:color="auto" w:sz="4" w:space="0"/>
              <w:left w:val="nil"/>
              <w:bottom w:val="single" w:color="auto" w:sz="4" w:space="0"/>
              <w:right w:val="single" w:color="auto" w:sz="4" w:space="0"/>
            </w:tcBorders>
            <w:shd w:val="clear" w:color="auto" w:fill="auto"/>
            <w:vAlign w:val="center"/>
          </w:tcPr>
          <w:p w14:paraId="17AFDD15">
            <w:pPr>
              <w:shd w:val="clear"/>
              <w:snapToGrid w:val="0"/>
              <w:ind w:firstLine="0" w:firstLineChars="0"/>
              <w:jc w:val="center"/>
              <w:rPr>
                <w:rFonts w:cs="Times New Roman"/>
                <w:color w:val="auto"/>
                <w:highlight w:val="none"/>
              </w:rPr>
            </w:pPr>
            <w:r>
              <w:rPr>
                <w:rFonts w:hint="eastAsia" w:ascii="宋体" w:hAnsi="宋体" w:cs="宋体"/>
                <w:color w:val="auto"/>
                <w:highlight w:val="none"/>
                <w:lang w:bidi="ar"/>
              </w:rPr>
              <w:t>项目名称</w:t>
            </w:r>
          </w:p>
        </w:tc>
        <w:tc>
          <w:tcPr>
            <w:tcW w:w="1832" w:type="dxa"/>
            <w:tcBorders>
              <w:top w:val="single" w:color="auto" w:sz="4" w:space="0"/>
              <w:left w:val="nil"/>
              <w:bottom w:val="nil"/>
              <w:right w:val="single" w:color="auto" w:sz="4" w:space="0"/>
            </w:tcBorders>
            <w:shd w:val="clear" w:color="auto" w:fill="auto"/>
            <w:vAlign w:val="center"/>
          </w:tcPr>
          <w:p w14:paraId="50C13117">
            <w:pPr>
              <w:shd w:val="clear"/>
              <w:snapToGrid w:val="0"/>
              <w:ind w:firstLine="0" w:firstLineChars="0"/>
              <w:jc w:val="center"/>
              <w:rPr>
                <w:rFonts w:cs="Times New Roman"/>
                <w:color w:val="auto"/>
                <w:highlight w:val="none"/>
              </w:rPr>
            </w:pPr>
            <w:r>
              <w:rPr>
                <w:rFonts w:hint="eastAsia" w:ascii="宋体" w:hAnsi="宋体" w:cs="宋体"/>
                <w:color w:val="auto"/>
                <w:highlight w:val="none"/>
                <w:lang w:bidi="ar"/>
              </w:rPr>
              <w:t>项目简要描述</w:t>
            </w:r>
          </w:p>
        </w:tc>
        <w:tc>
          <w:tcPr>
            <w:tcW w:w="1425" w:type="dxa"/>
            <w:tcBorders>
              <w:top w:val="single" w:color="auto" w:sz="4" w:space="0"/>
              <w:left w:val="nil"/>
              <w:bottom w:val="single" w:color="auto" w:sz="4" w:space="0"/>
              <w:right w:val="single" w:color="auto" w:sz="4" w:space="0"/>
            </w:tcBorders>
            <w:shd w:val="clear" w:color="auto" w:fill="auto"/>
            <w:vAlign w:val="center"/>
          </w:tcPr>
          <w:p w14:paraId="1E851D9E">
            <w:pPr>
              <w:shd w:val="clear"/>
              <w:snapToGrid w:val="0"/>
              <w:ind w:firstLine="0" w:firstLineChars="0"/>
              <w:jc w:val="center"/>
              <w:rPr>
                <w:rFonts w:cs="Times New Roman"/>
                <w:color w:val="auto"/>
                <w:highlight w:val="none"/>
              </w:rPr>
            </w:pPr>
            <w:r>
              <w:rPr>
                <w:rFonts w:hint="eastAsia" w:ascii="宋体" w:hAnsi="宋体" w:cs="宋体"/>
                <w:color w:val="auto"/>
                <w:highlight w:val="none"/>
                <w:lang w:bidi="ar"/>
              </w:rPr>
              <w:t>合同价格</w:t>
            </w:r>
          </w:p>
        </w:tc>
        <w:tc>
          <w:tcPr>
            <w:tcW w:w="1565" w:type="dxa"/>
            <w:tcBorders>
              <w:top w:val="single" w:color="auto" w:sz="4" w:space="0"/>
              <w:left w:val="nil"/>
              <w:bottom w:val="nil"/>
              <w:right w:val="single" w:color="auto" w:sz="4" w:space="0"/>
            </w:tcBorders>
            <w:shd w:val="clear" w:color="auto" w:fill="auto"/>
            <w:vAlign w:val="center"/>
          </w:tcPr>
          <w:p w14:paraId="73CDFD34">
            <w:pPr>
              <w:shd w:val="clear"/>
              <w:snapToGrid w:val="0"/>
              <w:ind w:firstLine="0" w:firstLineChars="0"/>
              <w:jc w:val="center"/>
              <w:rPr>
                <w:rFonts w:cs="Times New Roman"/>
                <w:color w:val="auto"/>
                <w:highlight w:val="none"/>
              </w:rPr>
            </w:pPr>
            <w:r>
              <w:rPr>
                <w:rFonts w:hint="eastAsia" w:ascii="宋体" w:hAnsi="宋体" w:cs="宋体"/>
                <w:color w:val="auto"/>
                <w:highlight w:val="none"/>
                <w:lang w:bidi="ar"/>
              </w:rPr>
              <w:t>合同签订时间</w:t>
            </w:r>
          </w:p>
        </w:tc>
        <w:tc>
          <w:tcPr>
            <w:tcW w:w="1767" w:type="dxa"/>
            <w:tcBorders>
              <w:top w:val="single" w:color="auto" w:sz="4" w:space="0"/>
              <w:left w:val="nil"/>
              <w:bottom w:val="single" w:color="auto" w:sz="4" w:space="0"/>
              <w:right w:val="single" w:color="auto" w:sz="4" w:space="0"/>
            </w:tcBorders>
            <w:shd w:val="clear" w:color="auto" w:fill="auto"/>
            <w:vAlign w:val="center"/>
          </w:tcPr>
          <w:p w14:paraId="4077A6AE">
            <w:pPr>
              <w:shd w:val="clear"/>
              <w:snapToGrid w:val="0"/>
              <w:ind w:firstLine="0" w:firstLineChars="0"/>
              <w:jc w:val="center"/>
              <w:rPr>
                <w:rFonts w:cs="Times New Roman"/>
                <w:color w:val="auto"/>
                <w:highlight w:val="none"/>
              </w:rPr>
            </w:pPr>
            <w:r>
              <w:rPr>
                <w:rFonts w:hint="eastAsia" w:ascii="宋体" w:hAnsi="宋体" w:cs="宋体"/>
                <w:color w:val="auto"/>
                <w:highlight w:val="none"/>
                <w:lang w:bidi="ar"/>
              </w:rPr>
              <w:t>采购人联系人及联系电话</w:t>
            </w:r>
          </w:p>
        </w:tc>
      </w:tr>
      <w:tr w14:paraId="74AA99B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1734" w:type="dxa"/>
            <w:tcBorders>
              <w:top w:val="single" w:color="auto" w:sz="4" w:space="0"/>
              <w:left w:val="single" w:color="auto" w:sz="4" w:space="0"/>
              <w:bottom w:val="single" w:color="auto" w:sz="4" w:space="0"/>
              <w:right w:val="single" w:color="auto" w:sz="4" w:space="0"/>
            </w:tcBorders>
            <w:shd w:val="clear" w:color="auto" w:fill="auto"/>
            <w:vAlign w:val="center"/>
          </w:tcPr>
          <w:p w14:paraId="0E72A14B">
            <w:pPr>
              <w:shd w:val="clear"/>
              <w:snapToGrid w:val="0"/>
              <w:spacing w:before="50" w:after="156" w:afterLines="50"/>
              <w:ind w:firstLine="480"/>
              <w:jc w:val="center"/>
              <w:rPr>
                <w:rFonts w:cs="Times New Roman"/>
                <w:color w:val="auto"/>
                <w:highlight w:val="none"/>
              </w:rPr>
            </w:pPr>
          </w:p>
        </w:tc>
        <w:tc>
          <w:tcPr>
            <w:tcW w:w="1243" w:type="dxa"/>
            <w:tcBorders>
              <w:top w:val="single" w:color="auto" w:sz="4" w:space="0"/>
              <w:left w:val="nil"/>
              <w:bottom w:val="single" w:color="auto" w:sz="4" w:space="0"/>
              <w:right w:val="single" w:color="auto" w:sz="4" w:space="0"/>
            </w:tcBorders>
            <w:shd w:val="clear" w:color="auto" w:fill="auto"/>
            <w:vAlign w:val="center"/>
          </w:tcPr>
          <w:p w14:paraId="5EA26BC6">
            <w:pPr>
              <w:shd w:val="clear"/>
              <w:snapToGrid w:val="0"/>
              <w:spacing w:before="50" w:after="156" w:afterLines="50"/>
              <w:ind w:firstLine="480"/>
              <w:jc w:val="center"/>
              <w:rPr>
                <w:rFonts w:cs="Times New Roman"/>
                <w:color w:val="auto"/>
                <w:highlight w:val="none"/>
              </w:rPr>
            </w:pPr>
          </w:p>
        </w:tc>
        <w:tc>
          <w:tcPr>
            <w:tcW w:w="1832" w:type="dxa"/>
            <w:tcBorders>
              <w:top w:val="single" w:color="auto" w:sz="4" w:space="0"/>
              <w:left w:val="nil"/>
              <w:bottom w:val="single" w:color="auto" w:sz="4" w:space="0"/>
              <w:right w:val="single" w:color="auto" w:sz="4" w:space="0"/>
            </w:tcBorders>
            <w:shd w:val="clear" w:color="auto" w:fill="auto"/>
            <w:vAlign w:val="center"/>
          </w:tcPr>
          <w:p w14:paraId="180D673E">
            <w:pPr>
              <w:shd w:val="clear"/>
              <w:snapToGrid w:val="0"/>
              <w:spacing w:before="50" w:after="156" w:afterLines="50"/>
              <w:ind w:firstLine="480"/>
              <w:jc w:val="center"/>
              <w:rPr>
                <w:rFonts w:cs="Times New Roman"/>
                <w:color w:val="auto"/>
                <w:highlight w:val="none"/>
              </w:rPr>
            </w:pPr>
          </w:p>
        </w:tc>
        <w:tc>
          <w:tcPr>
            <w:tcW w:w="1425" w:type="dxa"/>
            <w:tcBorders>
              <w:top w:val="single" w:color="auto" w:sz="4" w:space="0"/>
              <w:left w:val="nil"/>
              <w:bottom w:val="single" w:color="auto" w:sz="4" w:space="0"/>
              <w:right w:val="single" w:color="auto" w:sz="4" w:space="0"/>
            </w:tcBorders>
            <w:shd w:val="clear" w:color="auto" w:fill="auto"/>
            <w:vAlign w:val="center"/>
          </w:tcPr>
          <w:p w14:paraId="553E86F8">
            <w:pPr>
              <w:shd w:val="clear"/>
              <w:snapToGrid w:val="0"/>
              <w:spacing w:before="50" w:after="156" w:afterLines="50"/>
              <w:ind w:firstLine="480"/>
              <w:jc w:val="center"/>
              <w:rPr>
                <w:rFonts w:cs="Times New Roman"/>
                <w:color w:val="auto"/>
                <w:highlight w:val="none"/>
              </w:rPr>
            </w:pPr>
          </w:p>
        </w:tc>
        <w:tc>
          <w:tcPr>
            <w:tcW w:w="1565" w:type="dxa"/>
            <w:tcBorders>
              <w:top w:val="single" w:color="auto" w:sz="4" w:space="0"/>
              <w:left w:val="nil"/>
              <w:bottom w:val="single" w:color="auto" w:sz="4" w:space="0"/>
              <w:right w:val="single" w:color="auto" w:sz="4" w:space="0"/>
            </w:tcBorders>
            <w:shd w:val="clear" w:color="auto" w:fill="auto"/>
            <w:vAlign w:val="center"/>
          </w:tcPr>
          <w:p w14:paraId="5ACCC2F1">
            <w:pPr>
              <w:shd w:val="clear"/>
              <w:snapToGrid w:val="0"/>
              <w:spacing w:before="50" w:after="156" w:afterLines="50"/>
              <w:ind w:firstLine="480"/>
              <w:jc w:val="center"/>
              <w:rPr>
                <w:rFonts w:cs="Times New Roman"/>
                <w:color w:val="auto"/>
                <w:highlight w:val="none"/>
              </w:rPr>
            </w:pPr>
          </w:p>
        </w:tc>
        <w:tc>
          <w:tcPr>
            <w:tcW w:w="1767" w:type="dxa"/>
            <w:tcBorders>
              <w:top w:val="single" w:color="auto" w:sz="4" w:space="0"/>
              <w:left w:val="nil"/>
              <w:bottom w:val="single" w:color="auto" w:sz="4" w:space="0"/>
              <w:right w:val="single" w:color="auto" w:sz="4" w:space="0"/>
            </w:tcBorders>
            <w:shd w:val="clear" w:color="auto" w:fill="auto"/>
            <w:vAlign w:val="center"/>
          </w:tcPr>
          <w:p w14:paraId="7C5F7223">
            <w:pPr>
              <w:shd w:val="clear"/>
              <w:snapToGrid w:val="0"/>
              <w:spacing w:before="50" w:after="156" w:afterLines="50"/>
              <w:ind w:firstLine="480"/>
              <w:jc w:val="center"/>
              <w:rPr>
                <w:rFonts w:cs="Times New Roman"/>
                <w:color w:val="auto"/>
                <w:highlight w:val="none"/>
              </w:rPr>
            </w:pPr>
          </w:p>
        </w:tc>
      </w:tr>
      <w:tr w14:paraId="7188B13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0" w:hRule="atLeast"/>
          <w:jc w:val="center"/>
        </w:trPr>
        <w:tc>
          <w:tcPr>
            <w:tcW w:w="1734" w:type="dxa"/>
            <w:tcBorders>
              <w:top w:val="single" w:color="auto" w:sz="4" w:space="0"/>
              <w:left w:val="single" w:color="auto" w:sz="4" w:space="0"/>
              <w:bottom w:val="single" w:color="auto" w:sz="4" w:space="0"/>
              <w:right w:val="single" w:color="auto" w:sz="4" w:space="0"/>
            </w:tcBorders>
            <w:shd w:val="clear" w:color="auto" w:fill="auto"/>
            <w:vAlign w:val="center"/>
          </w:tcPr>
          <w:p w14:paraId="4FD78B4C">
            <w:pPr>
              <w:shd w:val="clear"/>
              <w:snapToGrid w:val="0"/>
              <w:spacing w:before="50" w:after="156" w:afterLines="50"/>
              <w:ind w:firstLine="480"/>
              <w:jc w:val="center"/>
              <w:rPr>
                <w:rFonts w:cs="Times New Roman"/>
                <w:color w:val="auto"/>
                <w:highlight w:val="none"/>
              </w:rPr>
            </w:pPr>
          </w:p>
        </w:tc>
        <w:tc>
          <w:tcPr>
            <w:tcW w:w="1243" w:type="dxa"/>
            <w:tcBorders>
              <w:top w:val="single" w:color="auto" w:sz="4" w:space="0"/>
              <w:left w:val="nil"/>
              <w:bottom w:val="single" w:color="auto" w:sz="4" w:space="0"/>
              <w:right w:val="single" w:color="auto" w:sz="4" w:space="0"/>
            </w:tcBorders>
            <w:shd w:val="clear" w:color="auto" w:fill="auto"/>
            <w:vAlign w:val="center"/>
          </w:tcPr>
          <w:p w14:paraId="1B07B4A9">
            <w:pPr>
              <w:shd w:val="clear"/>
              <w:snapToGrid w:val="0"/>
              <w:spacing w:before="50" w:after="156" w:afterLines="50"/>
              <w:ind w:firstLine="480"/>
              <w:jc w:val="center"/>
              <w:rPr>
                <w:rFonts w:cs="Times New Roman"/>
                <w:color w:val="auto"/>
                <w:highlight w:val="none"/>
              </w:rPr>
            </w:pPr>
          </w:p>
        </w:tc>
        <w:tc>
          <w:tcPr>
            <w:tcW w:w="1832" w:type="dxa"/>
            <w:tcBorders>
              <w:top w:val="single" w:color="auto" w:sz="4" w:space="0"/>
              <w:left w:val="nil"/>
              <w:bottom w:val="single" w:color="auto" w:sz="4" w:space="0"/>
              <w:right w:val="single" w:color="auto" w:sz="4" w:space="0"/>
            </w:tcBorders>
            <w:shd w:val="clear" w:color="auto" w:fill="auto"/>
            <w:vAlign w:val="center"/>
          </w:tcPr>
          <w:p w14:paraId="11AA66E7">
            <w:pPr>
              <w:shd w:val="clear"/>
              <w:snapToGrid w:val="0"/>
              <w:spacing w:before="50" w:after="156" w:afterLines="50"/>
              <w:ind w:firstLine="480"/>
              <w:jc w:val="center"/>
              <w:rPr>
                <w:rFonts w:cs="Times New Roman"/>
                <w:color w:val="auto"/>
                <w:highlight w:val="none"/>
              </w:rPr>
            </w:pPr>
          </w:p>
        </w:tc>
        <w:tc>
          <w:tcPr>
            <w:tcW w:w="1425" w:type="dxa"/>
            <w:tcBorders>
              <w:top w:val="single" w:color="auto" w:sz="4" w:space="0"/>
              <w:left w:val="nil"/>
              <w:bottom w:val="single" w:color="auto" w:sz="4" w:space="0"/>
              <w:right w:val="single" w:color="auto" w:sz="4" w:space="0"/>
            </w:tcBorders>
            <w:shd w:val="clear" w:color="auto" w:fill="auto"/>
            <w:vAlign w:val="center"/>
          </w:tcPr>
          <w:p w14:paraId="513A6589">
            <w:pPr>
              <w:shd w:val="clear"/>
              <w:snapToGrid w:val="0"/>
              <w:spacing w:before="50" w:after="156" w:afterLines="50"/>
              <w:ind w:firstLine="480"/>
              <w:jc w:val="center"/>
              <w:rPr>
                <w:rFonts w:cs="Times New Roman"/>
                <w:color w:val="auto"/>
                <w:highlight w:val="none"/>
              </w:rPr>
            </w:pPr>
          </w:p>
        </w:tc>
        <w:tc>
          <w:tcPr>
            <w:tcW w:w="1565" w:type="dxa"/>
            <w:tcBorders>
              <w:top w:val="single" w:color="auto" w:sz="4" w:space="0"/>
              <w:left w:val="nil"/>
              <w:bottom w:val="single" w:color="auto" w:sz="4" w:space="0"/>
              <w:right w:val="single" w:color="auto" w:sz="4" w:space="0"/>
            </w:tcBorders>
            <w:shd w:val="clear" w:color="auto" w:fill="auto"/>
            <w:vAlign w:val="center"/>
          </w:tcPr>
          <w:p w14:paraId="48562CC2">
            <w:pPr>
              <w:shd w:val="clear"/>
              <w:snapToGrid w:val="0"/>
              <w:spacing w:before="50" w:after="156" w:afterLines="50"/>
              <w:ind w:firstLine="480"/>
              <w:jc w:val="center"/>
              <w:rPr>
                <w:rFonts w:cs="Times New Roman"/>
                <w:color w:val="auto"/>
                <w:highlight w:val="none"/>
              </w:rPr>
            </w:pPr>
          </w:p>
        </w:tc>
        <w:tc>
          <w:tcPr>
            <w:tcW w:w="1767" w:type="dxa"/>
            <w:tcBorders>
              <w:top w:val="single" w:color="auto" w:sz="4" w:space="0"/>
              <w:left w:val="nil"/>
              <w:bottom w:val="single" w:color="auto" w:sz="4" w:space="0"/>
              <w:right w:val="single" w:color="auto" w:sz="4" w:space="0"/>
            </w:tcBorders>
            <w:shd w:val="clear" w:color="auto" w:fill="auto"/>
            <w:vAlign w:val="center"/>
          </w:tcPr>
          <w:p w14:paraId="2CFFEF36">
            <w:pPr>
              <w:shd w:val="clear"/>
              <w:snapToGrid w:val="0"/>
              <w:spacing w:before="50" w:after="156" w:afterLines="50"/>
              <w:ind w:firstLine="480"/>
              <w:jc w:val="center"/>
              <w:rPr>
                <w:rFonts w:cs="Times New Roman"/>
                <w:color w:val="auto"/>
                <w:highlight w:val="none"/>
              </w:rPr>
            </w:pPr>
          </w:p>
        </w:tc>
      </w:tr>
      <w:tr w14:paraId="4619F6E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1734" w:type="dxa"/>
            <w:tcBorders>
              <w:top w:val="single" w:color="auto" w:sz="4" w:space="0"/>
              <w:left w:val="single" w:color="auto" w:sz="4" w:space="0"/>
              <w:bottom w:val="single" w:color="auto" w:sz="4" w:space="0"/>
              <w:right w:val="single" w:color="auto" w:sz="4" w:space="0"/>
            </w:tcBorders>
            <w:shd w:val="clear" w:color="auto" w:fill="auto"/>
            <w:vAlign w:val="center"/>
          </w:tcPr>
          <w:p w14:paraId="2402CF6A">
            <w:pPr>
              <w:shd w:val="clear"/>
              <w:snapToGrid w:val="0"/>
              <w:spacing w:before="50" w:after="156" w:afterLines="50"/>
              <w:ind w:firstLine="480"/>
              <w:jc w:val="center"/>
              <w:rPr>
                <w:rFonts w:cs="Times New Roman"/>
                <w:color w:val="auto"/>
                <w:highlight w:val="none"/>
              </w:rPr>
            </w:pPr>
          </w:p>
        </w:tc>
        <w:tc>
          <w:tcPr>
            <w:tcW w:w="1243" w:type="dxa"/>
            <w:tcBorders>
              <w:top w:val="single" w:color="auto" w:sz="4" w:space="0"/>
              <w:left w:val="nil"/>
              <w:bottom w:val="single" w:color="auto" w:sz="4" w:space="0"/>
              <w:right w:val="single" w:color="auto" w:sz="4" w:space="0"/>
            </w:tcBorders>
            <w:shd w:val="clear" w:color="auto" w:fill="auto"/>
            <w:vAlign w:val="center"/>
          </w:tcPr>
          <w:p w14:paraId="1ADBDFEA">
            <w:pPr>
              <w:shd w:val="clear"/>
              <w:snapToGrid w:val="0"/>
              <w:spacing w:before="50" w:after="156" w:afterLines="50"/>
              <w:ind w:firstLine="480"/>
              <w:jc w:val="center"/>
              <w:rPr>
                <w:rFonts w:cs="Times New Roman"/>
                <w:color w:val="auto"/>
                <w:highlight w:val="none"/>
              </w:rPr>
            </w:pPr>
          </w:p>
        </w:tc>
        <w:tc>
          <w:tcPr>
            <w:tcW w:w="1832" w:type="dxa"/>
            <w:tcBorders>
              <w:top w:val="single" w:color="auto" w:sz="4" w:space="0"/>
              <w:left w:val="nil"/>
              <w:bottom w:val="single" w:color="auto" w:sz="4" w:space="0"/>
              <w:right w:val="single" w:color="auto" w:sz="4" w:space="0"/>
            </w:tcBorders>
            <w:shd w:val="clear" w:color="auto" w:fill="auto"/>
            <w:vAlign w:val="center"/>
          </w:tcPr>
          <w:p w14:paraId="0029D5A6">
            <w:pPr>
              <w:shd w:val="clear"/>
              <w:snapToGrid w:val="0"/>
              <w:spacing w:before="50" w:after="156" w:afterLines="50"/>
              <w:ind w:firstLine="480"/>
              <w:jc w:val="center"/>
              <w:rPr>
                <w:rFonts w:cs="Times New Roman"/>
                <w:color w:val="auto"/>
                <w:highlight w:val="none"/>
              </w:rPr>
            </w:pPr>
          </w:p>
        </w:tc>
        <w:tc>
          <w:tcPr>
            <w:tcW w:w="1425" w:type="dxa"/>
            <w:tcBorders>
              <w:top w:val="single" w:color="auto" w:sz="4" w:space="0"/>
              <w:left w:val="nil"/>
              <w:bottom w:val="single" w:color="auto" w:sz="4" w:space="0"/>
              <w:right w:val="single" w:color="auto" w:sz="4" w:space="0"/>
            </w:tcBorders>
            <w:shd w:val="clear" w:color="auto" w:fill="auto"/>
            <w:vAlign w:val="center"/>
          </w:tcPr>
          <w:p w14:paraId="5FF5F946">
            <w:pPr>
              <w:shd w:val="clear"/>
              <w:snapToGrid w:val="0"/>
              <w:spacing w:before="50" w:after="156" w:afterLines="50"/>
              <w:ind w:firstLine="480"/>
              <w:jc w:val="center"/>
              <w:rPr>
                <w:rFonts w:cs="Times New Roman"/>
                <w:color w:val="auto"/>
                <w:highlight w:val="none"/>
              </w:rPr>
            </w:pPr>
          </w:p>
        </w:tc>
        <w:tc>
          <w:tcPr>
            <w:tcW w:w="1565" w:type="dxa"/>
            <w:tcBorders>
              <w:top w:val="single" w:color="auto" w:sz="4" w:space="0"/>
              <w:left w:val="nil"/>
              <w:bottom w:val="single" w:color="auto" w:sz="4" w:space="0"/>
              <w:right w:val="single" w:color="auto" w:sz="4" w:space="0"/>
            </w:tcBorders>
            <w:shd w:val="clear" w:color="auto" w:fill="auto"/>
            <w:vAlign w:val="center"/>
          </w:tcPr>
          <w:p w14:paraId="7A68E691">
            <w:pPr>
              <w:shd w:val="clear"/>
              <w:snapToGrid w:val="0"/>
              <w:spacing w:before="50" w:after="156" w:afterLines="50"/>
              <w:ind w:firstLine="480"/>
              <w:jc w:val="center"/>
              <w:rPr>
                <w:rFonts w:cs="Times New Roman"/>
                <w:color w:val="auto"/>
                <w:highlight w:val="none"/>
              </w:rPr>
            </w:pPr>
          </w:p>
        </w:tc>
        <w:tc>
          <w:tcPr>
            <w:tcW w:w="1767" w:type="dxa"/>
            <w:tcBorders>
              <w:top w:val="single" w:color="auto" w:sz="4" w:space="0"/>
              <w:left w:val="nil"/>
              <w:bottom w:val="single" w:color="auto" w:sz="4" w:space="0"/>
              <w:right w:val="single" w:color="auto" w:sz="4" w:space="0"/>
            </w:tcBorders>
            <w:shd w:val="clear" w:color="auto" w:fill="auto"/>
            <w:vAlign w:val="center"/>
          </w:tcPr>
          <w:p w14:paraId="256245BC">
            <w:pPr>
              <w:shd w:val="clear"/>
              <w:snapToGrid w:val="0"/>
              <w:spacing w:before="50" w:after="156" w:afterLines="50"/>
              <w:ind w:firstLine="480"/>
              <w:jc w:val="center"/>
              <w:rPr>
                <w:rFonts w:cs="Times New Roman"/>
                <w:color w:val="auto"/>
                <w:highlight w:val="none"/>
              </w:rPr>
            </w:pPr>
          </w:p>
        </w:tc>
      </w:tr>
      <w:tr w14:paraId="4607229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1734" w:type="dxa"/>
            <w:tcBorders>
              <w:top w:val="single" w:color="auto" w:sz="4" w:space="0"/>
              <w:left w:val="single" w:color="auto" w:sz="4" w:space="0"/>
              <w:bottom w:val="single" w:color="auto" w:sz="4" w:space="0"/>
              <w:right w:val="single" w:color="auto" w:sz="4" w:space="0"/>
            </w:tcBorders>
            <w:shd w:val="clear" w:color="auto" w:fill="auto"/>
            <w:vAlign w:val="center"/>
          </w:tcPr>
          <w:p w14:paraId="6D2262FF">
            <w:pPr>
              <w:shd w:val="clear"/>
              <w:snapToGrid w:val="0"/>
              <w:spacing w:before="50" w:after="156" w:afterLines="50"/>
              <w:ind w:firstLine="480"/>
              <w:jc w:val="center"/>
              <w:rPr>
                <w:rFonts w:cs="Times New Roman"/>
                <w:color w:val="auto"/>
                <w:highlight w:val="none"/>
              </w:rPr>
            </w:pPr>
          </w:p>
        </w:tc>
        <w:tc>
          <w:tcPr>
            <w:tcW w:w="1243" w:type="dxa"/>
            <w:tcBorders>
              <w:top w:val="single" w:color="auto" w:sz="4" w:space="0"/>
              <w:left w:val="nil"/>
              <w:bottom w:val="single" w:color="auto" w:sz="4" w:space="0"/>
              <w:right w:val="single" w:color="auto" w:sz="4" w:space="0"/>
            </w:tcBorders>
            <w:shd w:val="clear" w:color="auto" w:fill="auto"/>
            <w:vAlign w:val="center"/>
          </w:tcPr>
          <w:p w14:paraId="5B3CB15E">
            <w:pPr>
              <w:shd w:val="clear"/>
              <w:snapToGrid w:val="0"/>
              <w:spacing w:before="50" w:after="156" w:afterLines="50"/>
              <w:ind w:firstLine="480"/>
              <w:jc w:val="center"/>
              <w:rPr>
                <w:rFonts w:cs="Times New Roman"/>
                <w:color w:val="auto"/>
                <w:highlight w:val="none"/>
              </w:rPr>
            </w:pPr>
          </w:p>
        </w:tc>
        <w:tc>
          <w:tcPr>
            <w:tcW w:w="1832" w:type="dxa"/>
            <w:tcBorders>
              <w:top w:val="single" w:color="auto" w:sz="4" w:space="0"/>
              <w:left w:val="nil"/>
              <w:bottom w:val="single" w:color="auto" w:sz="4" w:space="0"/>
              <w:right w:val="single" w:color="auto" w:sz="4" w:space="0"/>
            </w:tcBorders>
            <w:shd w:val="clear" w:color="auto" w:fill="auto"/>
            <w:vAlign w:val="center"/>
          </w:tcPr>
          <w:p w14:paraId="426D502B">
            <w:pPr>
              <w:shd w:val="clear"/>
              <w:snapToGrid w:val="0"/>
              <w:spacing w:before="50" w:after="156" w:afterLines="50"/>
              <w:ind w:firstLine="480"/>
              <w:jc w:val="center"/>
              <w:rPr>
                <w:rFonts w:cs="Times New Roman"/>
                <w:color w:val="auto"/>
                <w:highlight w:val="none"/>
              </w:rPr>
            </w:pPr>
          </w:p>
        </w:tc>
        <w:tc>
          <w:tcPr>
            <w:tcW w:w="1425" w:type="dxa"/>
            <w:tcBorders>
              <w:top w:val="single" w:color="auto" w:sz="4" w:space="0"/>
              <w:left w:val="nil"/>
              <w:bottom w:val="single" w:color="auto" w:sz="4" w:space="0"/>
              <w:right w:val="single" w:color="auto" w:sz="4" w:space="0"/>
            </w:tcBorders>
            <w:shd w:val="clear" w:color="auto" w:fill="auto"/>
            <w:vAlign w:val="center"/>
          </w:tcPr>
          <w:p w14:paraId="76A96679">
            <w:pPr>
              <w:shd w:val="clear"/>
              <w:snapToGrid w:val="0"/>
              <w:spacing w:before="50" w:after="156" w:afterLines="50"/>
              <w:ind w:firstLine="480"/>
              <w:jc w:val="center"/>
              <w:rPr>
                <w:rFonts w:cs="Times New Roman"/>
                <w:color w:val="auto"/>
                <w:highlight w:val="none"/>
              </w:rPr>
            </w:pPr>
          </w:p>
        </w:tc>
        <w:tc>
          <w:tcPr>
            <w:tcW w:w="1565" w:type="dxa"/>
            <w:tcBorders>
              <w:top w:val="single" w:color="auto" w:sz="4" w:space="0"/>
              <w:left w:val="nil"/>
              <w:bottom w:val="single" w:color="auto" w:sz="4" w:space="0"/>
              <w:right w:val="single" w:color="auto" w:sz="4" w:space="0"/>
            </w:tcBorders>
            <w:shd w:val="clear" w:color="auto" w:fill="auto"/>
            <w:vAlign w:val="center"/>
          </w:tcPr>
          <w:p w14:paraId="5BCD1C87">
            <w:pPr>
              <w:shd w:val="clear"/>
              <w:snapToGrid w:val="0"/>
              <w:spacing w:before="50" w:after="156" w:afterLines="50"/>
              <w:ind w:firstLine="480"/>
              <w:jc w:val="center"/>
              <w:rPr>
                <w:rFonts w:cs="Times New Roman"/>
                <w:color w:val="auto"/>
                <w:highlight w:val="none"/>
              </w:rPr>
            </w:pPr>
          </w:p>
        </w:tc>
        <w:tc>
          <w:tcPr>
            <w:tcW w:w="1767" w:type="dxa"/>
            <w:tcBorders>
              <w:top w:val="single" w:color="auto" w:sz="4" w:space="0"/>
              <w:left w:val="nil"/>
              <w:bottom w:val="single" w:color="auto" w:sz="4" w:space="0"/>
              <w:right w:val="single" w:color="auto" w:sz="4" w:space="0"/>
            </w:tcBorders>
            <w:shd w:val="clear" w:color="auto" w:fill="auto"/>
            <w:vAlign w:val="center"/>
          </w:tcPr>
          <w:p w14:paraId="66CC4886">
            <w:pPr>
              <w:shd w:val="clear"/>
              <w:snapToGrid w:val="0"/>
              <w:spacing w:before="50" w:after="156" w:afterLines="50"/>
              <w:ind w:firstLine="480"/>
              <w:jc w:val="center"/>
              <w:rPr>
                <w:rFonts w:cs="Times New Roman"/>
                <w:color w:val="auto"/>
                <w:highlight w:val="none"/>
              </w:rPr>
            </w:pPr>
          </w:p>
        </w:tc>
      </w:tr>
      <w:tr w14:paraId="0CD3D1F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1734" w:type="dxa"/>
            <w:tcBorders>
              <w:top w:val="single" w:color="auto" w:sz="4" w:space="0"/>
              <w:left w:val="single" w:color="auto" w:sz="4" w:space="0"/>
              <w:bottom w:val="single" w:color="auto" w:sz="4" w:space="0"/>
              <w:right w:val="single" w:color="auto" w:sz="4" w:space="0"/>
            </w:tcBorders>
            <w:shd w:val="clear" w:color="auto" w:fill="auto"/>
            <w:vAlign w:val="center"/>
          </w:tcPr>
          <w:p w14:paraId="1AC6892B">
            <w:pPr>
              <w:shd w:val="clear"/>
              <w:snapToGrid w:val="0"/>
              <w:spacing w:before="50" w:after="156" w:afterLines="50"/>
              <w:ind w:firstLine="480"/>
              <w:jc w:val="center"/>
              <w:rPr>
                <w:rFonts w:cs="Times New Roman"/>
                <w:color w:val="auto"/>
                <w:highlight w:val="none"/>
              </w:rPr>
            </w:pPr>
          </w:p>
        </w:tc>
        <w:tc>
          <w:tcPr>
            <w:tcW w:w="1243" w:type="dxa"/>
            <w:tcBorders>
              <w:top w:val="single" w:color="auto" w:sz="4" w:space="0"/>
              <w:left w:val="nil"/>
              <w:bottom w:val="single" w:color="auto" w:sz="4" w:space="0"/>
              <w:right w:val="single" w:color="auto" w:sz="4" w:space="0"/>
            </w:tcBorders>
            <w:shd w:val="clear" w:color="auto" w:fill="auto"/>
            <w:vAlign w:val="center"/>
          </w:tcPr>
          <w:p w14:paraId="4D8904B2">
            <w:pPr>
              <w:shd w:val="clear"/>
              <w:snapToGrid w:val="0"/>
              <w:spacing w:before="50" w:after="156" w:afterLines="50"/>
              <w:ind w:firstLine="480"/>
              <w:jc w:val="center"/>
              <w:rPr>
                <w:rFonts w:cs="Times New Roman"/>
                <w:color w:val="auto"/>
                <w:highlight w:val="none"/>
              </w:rPr>
            </w:pPr>
          </w:p>
        </w:tc>
        <w:tc>
          <w:tcPr>
            <w:tcW w:w="1832" w:type="dxa"/>
            <w:tcBorders>
              <w:top w:val="single" w:color="auto" w:sz="4" w:space="0"/>
              <w:left w:val="nil"/>
              <w:bottom w:val="single" w:color="auto" w:sz="4" w:space="0"/>
              <w:right w:val="single" w:color="auto" w:sz="4" w:space="0"/>
            </w:tcBorders>
            <w:shd w:val="clear" w:color="auto" w:fill="auto"/>
            <w:vAlign w:val="center"/>
          </w:tcPr>
          <w:p w14:paraId="1C8604D8">
            <w:pPr>
              <w:shd w:val="clear"/>
              <w:snapToGrid w:val="0"/>
              <w:spacing w:before="50" w:after="156" w:afterLines="50"/>
              <w:ind w:firstLine="480"/>
              <w:jc w:val="center"/>
              <w:rPr>
                <w:rFonts w:cs="Times New Roman"/>
                <w:color w:val="auto"/>
                <w:highlight w:val="none"/>
              </w:rPr>
            </w:pPr>
          </w:p>
        </w:tc>
        <w:tc>
          <w:tcPr>
            <w:tcW w:w="1425" w:type="dxa"/>
            <w:tcBorders>
              <w:top w:val="single" w:color="auto" w:sz="4" w:space="0"/>
              <w:left w:val="nil"/>
              <w:bottom w:val="single" w:color="auto" w:sz="4" w:space="0"/>
              <w:right w:val="single" w:color="auto" w:sz="4" w:space="0"/>
            </w:tcBorders>
            <w:shd w:val="clear" w:color="auto" w:fill="auto"/>
            <w:vAlign w:val="center"/>
          </w:tcPr>
          <w:p w14:paraId="5C74A6B0">
            <w:pPr>
              <w:shd w:val="clear"/>
              <w:snapToGrid w:val="0"/>
              <w:spacing w:before="50" w:after="156" w:afterLines="50"/>
              <w:ind w:firstLine="480"/>
              <w:jc w:val="center"/>
              <w:rPr>
                <w:rFonts w:cs="Times New Roman"/>
                <w:color w:val="auto"/>
                <w:highlight w:val="none"/>
              </w:rPr>
            </w:pPr>
          </w:p>
        </w:tc>
        <w:tc>
          <w:tcPr>
            <w:tcW w:w="1565" w:type="dxa"/>
            <w:tcBorders>
              <w:top w:val="single" w:color="auto" w:sz="4" w:space="0"/>
              <w:left w:val="nil"/>
              <w:bottom w:val="single" w:color="auto" w:sz="4" w:space="0"/>
              <w:right w:val="single" w:color="auto" w:sz="4" w:space="0"/>
            </w:tcBorders>
            <w:shd w:val="clear" w:color="auto" w:fill="auto"/>
            <w:vAlign w:val="center"/>
          </w:tcPr>
          <w:p w14:paraId="022B8E13">
            <w:pPr>
              <w:shd w:val="clear"/>
              <w:snapToGrid w:val="0"/>
              <w:spacing w:before="50" w:after="156" w:afterLines="50"/>
              <w:ind w:firstLine="480"/>
              <w:jc w:val="center"/>
              <w:rPr>
                <w:rFonts w:cs="Times New Roman"/>
                <w:color w:val="auto"/>
                <w:highlight w:val="none"/>
              </w:rPr>
            </w:pPr>
          </w:p>
        </w:tc>
        <w:tc>
          <w:tcPr>
            <w:tcW w:w="1767" w:type="dxa"/>
            <w:tcBorders>
              <w:top w:val="single" w:color="auto" w:sz="4" w:space="0"/>
              <w:left w:val="nil"/>
              <w:bottom w:val="single" w:color="auto" w:sz="4" w:space="0"/>
              <w:right w:val="single" w:color="auto" w:sz="4" w:space="0"/>
            </w:tcBorders>
            <w:shd w:val="clear" w:color="auto" w:fill="auto"/>
            <w:vAlign w:val="center"/>
          </w:tcPr>
          <w:p w14:paraId="5BF6241A">
            <w:pPr>
              <w:shd w:val="clear"/>
              <w:snapToGrid w:val="0"/>
              <w:spacing w:before="50" w:after="156" w:afterLines="50"/>
              <w:ind w:firstLine="480"/>
              <w:jc w:val="center"/>
              <w:rPr>
                <w:rFonts w:cs="Times New Roman"/>
                <w:color w:val="auto"/>
                <w:highlight w:val="none"/>
              </w:rPr>
            </w:pPr>
          </w:p>
        </w:tc>
      </w:tr>
      <w:tr w14:paraId="6DCC503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1734" w:type="dxa"/>
            <w:tcBorders>
              <w:top w:val="single" w:color="auto" w:sz="4" w:space="0"/>
              <w:left w:val="single" w:color="auto" w:sz="4" w:space="0"/>
              <w:bottom w:val="single" w:color="auto" w:sz="4" w:space="0"/>
              <w:right w:val="single" w:color="auto" w:sz="4" w:space="0"/>
            </w:tcBorders>
            <w:shd w:val="clear" w:color="auto" w:fill="auto"/>
            <w:vAlign w:val="center"/>
          </w:tcPr>
          <w:p w14:paraId="3529C286">
            <w:pPr>
              <w:shd w:val="clear"/>
              <w:snapToGrid w:val="0"/>
              <w:spacing w:before="50" w:after="156" w:afterLines="50"/>
              <w:ind w:firstLine="480"/>
              <w:jc w:val="center"/>
              <w:rPr>
                <w:rFonts w:cs="Times New Roman"/>
                <w:color w:val="auto"/>
                <w:highlight w:val="none"/>
              </w:rPr>
            </w:pPr>
          </w:p>
        </w:tc>
        <w:tc>
          <w:tcPr>
            <w:tcW w:w="1243" w:type="dxa"/>
            <w:tcBorders>
              <w:top w:val="single" w:color="auto" w:sz="4" w:space="0"/>
              <w:left w:val="nil"/>
              <w:bottom w:val="single" w:color="auto" w:sz="4" w:space="0"/>
              <w:right w:val="single" w:color="auto" w:sz="4" w:space="0"/>
            </w:tcBorders>
            <w:shd w:val="clear" w:color="auto" w:fill="auto"/>
            <w:vAlign w:val="center"/>
          </w:tcPr>
          <w:p w14:paraId="1E185C75">
            <w:pPr>
              <w:shd w:val="clear"/>
              <w:snapToGrid w:val="0"/>
              <w:spacing w:before="50" w:after="156" w:afterLines="50"/>
              <w:ind w:firstLine="480"/>
              <w:jc w:val="center"/>
              <w:rPr>
                <w:rFonts w:cs="Times New Roman"/>
                <w:color w:val="auto"/>
                <w:highlight w:val="none"/>
              </w:rPr>
            </w:pPr>
          </w:p>
        </w:tc>
        <w:tc>
          <w:tcPr>
            <w:tcW w:w="1832" w:type="dxa"/>
            <w:tcBorders>
              <w:top w:val="single" w:color="auto" w:sz="4" w:space="0"/>
              <w:left w:val="nil"/>
              <w:bottom w:val="single" w:color="auto" w:sz="4" w:space="0"/>
              <w:right w:val="single" w:color="auto" w:sz="4" w:space="0"/>
            </w:tcBorders>
            <w:shd w:val="clear" w:color="auto" w:fill="auto"/>
            <w:vAlign w:val="center"/>
          </w:tcPr>
          <w:p w14:paraId="279FBCD0">
            <w:pPr>
              <w:shd w:val="clear"/>
              <w:snapToGrid w:val="0"/>
              <w:spacing w:before="50" w:after="156" w:afterLines="50"/>
              <w:ind w:firstLine="480"/>
              <w:jc w:val="center"/>
              <w:rPr>
                <w:rFonts w:cs="Times New Roman"/>
                <w:color w:val="auto"/>
                <w:highlight w:val="none"/>
              </w:rPr>
            </w:pPr>
          </w:p>
        </w:tc>
        <w:tc>
          <w:tcPr>
            <w:tcW w:w="1425" w:type="dxa"/>
            <w:tcBorders>
              <w:top w:val="single" w:color="auto" w:sz="4" w:space="0"/>
              <w:left w:val="nil"/>
              <w:bottom w:val="single" w:color="auto" w:sz="4" w:space="0"/>
              <w:right w:val="single" w:color="auto" w:sz="4" w:space="0"/>
            </w:tcBorders>
            <w:shd w:val="clear" w:color="auto" w:fill="auto"/>
            <w:vAlign w:val="center"/>
          </w:tcPr>
          <w:p w14:paraId="361B35E7">
            <w:pPr>
              <w:shd w:val="clear"/>
              <w:snapToGrid w:val="0"/>
              <w:spacing w:before="50" w:after="156" w:afterLines="50"/>
              <w:ind w:firstLine="480"/>
              <w:jc w:val="center"/>
              <w:rPr>
                <w:rFonts w:cs="Times New Roman"/>
                <w:color w:val="auto"/>
                <w:highlight w:val="none"/>
              </w:rPr>
            </w:pPr>
          </w:p>
        </w:tc>
        <w:tc>
          <w:tcPr>
            <w:tcW w:w="1565" w:type="dxa"/>
            <w:tcBorders>
              <w:top w:val="single" w:color="auto" w:sz="4" w:space="0"/>
              <w:left w:val="nil"/>
              <w:bottom w:val="single" w:color="auto" w:sz="4" w:space="0"/>
              <w:right w:val="single" w:color="auto" w:sz="4" w:space="0"/>
            </w:tcBorders>
            <w:shd w:val="clear" w:color="auto" w:fill="auto"/>
            <w:vAlign w:val="center"/>
          </w:tcPr>
          <w:p w14:paraId="4CEFBD8D">
            <w:pPr>
              <w:shd w:val="clear"/>
              <w:snapToGrid w:val="0"/>
              <w:spacing w:before="50" w:after="156" w:afterLines="50"/>
              <w:ind w:firstLine="480"/>
              <w:jc w:val="center"/>
              <w:rPr>
                <w:rFonts w:cs="Times New Roman"/>
                <w:color w:val="auto"/>
                <w:highlight w:val="none"/>
              </w:rPr>
            </w:pPr>
          </w:p>
        </w:tc>
        <w:tc>
          <w:tcPr>
            <w:tcW w:w="1767" w:type="dxa"/>
            <w:tcBorders>
              <w:top w:val="single" w:color="auto" w:sz="4" w:space="0"/>
              <w:left w:val="nil"/>
              <w:bottom w:val="single" w:color="auto" w:sz="4" w:space="0"/>
              <w:right w:val="single" w:color="auto" w:sz="4" w:space="0"/>
            </w:tcBorders>
            <w:shd w:val="clear" w:color="auto" w:fill="auto"/>
            <w:vAlign w:val="center"/>
          </w:tcPr>
          <w:p w14:paraId="2447B3E0">
            <w:pPr>
              <w:shd w:val="clear"/>
              <w:snapToGrid w:val="0"/>
              <w:spacing w:before="50" w:after="156" w:afterLines="50"/>
              <w:ind w:firstLine="480"/>
              <w:jc w:val="center"/>
              <w:rPr>
                <w:rFonts w:cs="Times New Roman"/>
                <w:color w:val="auto"/>
                <w:highlight w:val="none"/>
              </w:rPr>
            </w:pPr>
          </w:p>
        </w:tc>
      </w:tr>
      <w:tr w14:paraId="3FA7D9D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1734" w:type="dxa"/>
            <w:tcBorders>
              <w:top w:val="single" w:color="auto" w:sz="4" w:space="0"/>
              <w:left w:val="single" w:color="auto" w:sz="4" w:space="0"/>
              <w:bottom w:val="single" w:color="auto" w:sz="4" w:space="0"/>
              <w:right w:val="single" w:color="auto" w:sz="4" w:space="0"/>
            </w:tcBorders>
            <w:shd w:val="clear" w:color="auto" w:fill="auto"/>
            <w:vAlign w:val="center"/>
          </w:tcPr>
          <w:p w14:paraId="522D745E">
            <w:pPr>
              <w:shd w:val="clear"/>
              <w:snapToGrid w:val="0"/>
              <w:spacing w:before="50" w:after="156" w:afterLines="50"/>
              <w:ind w:firstLine="480"/>
              <w:jc w:val="center"/>
              <w:rPr>
                <w:rFonts w:cs="Times New Roman"/>
                <w:color w:val="auto"/>
                <w:highlight w:val="none"/>
              </w:rPr>
            </w:pPr>
          </w:p>
        </w:tc>
        <w:tc>
          <w:tcPr>
            <w:tcW w:w="1243" w:type="dxa"/>
            <w:tcBorders>
              <w:top w:val="single" w:color="auto" w:sz="4" w:space="0"/>
              <w:left w:val="nil"/>
              <w:bottom w:val="single" w:color="auto" w:sz="4" w:space="0"/>
              <w:right w:val="single" w:color="auto" w:sz="4" w:space="0"/>
            </w:tcBorders>
            <w:shd w:val="clear" w:color="auto" w:fill="auto"/>
            <w:vAlign w:val="center"/>
          </w:tcPr>
          <w:p w14:paraId="34D60AB3">
            <w:pPr>
              <w:shd w:val="clear"/>
              <w:snapToGrid w:val="0"/>
              <w:spacing w:before="50" w:after="156" w:afterLines="50"/>
              <w:ind w:firstLine="480"/>
              <w:jc w:val="center"/>
              <w:rPr>
                <w:rFonts w:cs="Times New Roman"/>
                <w:color w:val="auto"/>
                <w:highlight w:val="none"/>
              </w:rPr>
            </w:pPr>
          </w:p>
        </w:tc>
        <w:tc>
          <w:tcPr>
            <w:tcW w:w="1832" w:type="dxa"/>
            <w:tcBorders>
              <w:top w:val="single" w:color="auto" w:sz="4" w:space="0"/>
              <w:left w:val="nil"/>
              <w:bottom w:val="single" w:color="auto" w:sz="4" w:space="0"/>
              <w:right w:val="single" w:color="auto" w:sz="4" w:space="0"/>
            </w:tcBorders>
            <w:shd w:val="clear" w:color="auto" w:fill="auto"/>
            <w:vAlign w:val="center"/>
          </w:tcPr>
          <w:p w14:paraId="1265329F">
            <w:pPr>
              <w:shd w:val="clear"/>
              <w:snapToGrid w:val="0"/>
              <w:spacing w:before="50" w:after="156" w:afterLines="50"/>
              <w:ind w:firstLine="480"/>
              <w:jc w:val="center"/>
              <w:rPr>
                <w:rFonts w:cs="Times New Roman"/>
                <w:color w:val="auto"/>
                <w:highlight w:val="none"/>
              </w:rPr>
            </w:pPr>
          </w:p>
        </w:tc>
        <w:tc>
          <w:tcPr>
            <w:tcW w:w="1425" w:type="dxa"/>
            <w:tcBorders>
              <w:top w:val="single" w:color="auto" w:sz="4" w:space="0"/>
              <w:left w:val="nil"/>
              <w:bottom w:val="single" w:color="auto" w:sz="4" w:space="0"/>
              <w:right w:val="single" w:color="auto" w:sz="4" w:space="0"/>
            </w:tcBorders>
            <w:shd w:val="clear" w:color="auto" w:fill="auto"/>
            <w:vAlign w:val="center"/>
          </w:tcPr>
          <w:p w14:paraId="4F53BD13">
            <w:pPr>
              <w:shd w:val="clear"/>
              <w:snapToGrid w:val="0"/>
              <w:spacing w:before="50" w:after="156" w:afterLines="50"/>
              <w:ind w:firstLine="480"/>
              <w:jc w:val="center"/>
              <w:rPr>
                <w:rFonts w:cs="Times New Roman"/>
                <w:color w:val="auto"/>
                <w:highlight w:val="none"/>
              </w:rPr>
            </w:pPr>
          </w:p>
        </w:tc>
        <w:tc>
          <w:tcPr>
            <w:tcW w:w="1565" w:type="dxa"/>
            <w:tcBorders>
              <w:top w:val="single" w:color="auto" w:sz="4" w:space="0"/>
              <w:left w:val="nil"/>
              <w:bottom w:val="single" w:color="auto" w:sz="4" w:space="0"/>
              <w:right w:val="single" w:color="auto" w:sz="4" w:space="0"/>
            </w:tcBorders>
            <w:shd w:val="clear" w:color="auto" w:fill="auto"/>
            <w:vAlign w:val="center"/>
          </w:tcPr>
          <w:p w14:paraId="5A896E66">
            <w:pPr>
              <w:shd w:val="clear"/>
              <w:snapToGrid w:val="0"/>
              <w:spacing w:before="50" w:after="156" w:afterLines="50"/>
              <w:ind w:firstLine="480"/>
              <w:jc w:val="center"/>
              <w:rPr>
                <w:rFonts w:cs="Times New Roman"/>
                <w:color w:val="auto"/>
                <w:highlight w:val="none"/>
              </w:rPr>
            </w:pPr>
          </w:p>
        </w:tc>
        <w:tc>
          <w:tcPr>
            <w:tcW w:w="1767" w:type="dxa"/>
            <w:tcBorders>
              <w:top w:val="single" w:color="auto" w:sz="4" w:space="0"/>
              <w:left w:val="nil"/>
              <w:bottom w:val="single" w:color="auto" w:sz="4" w:space="0"/>
              <w:right w:val="single" w:color="auto" w:sz="4" w:space="0"/>
            </w:tcBorders>
            <w:shd w:val="clear" w:color="auto" w:fill="auto"/>
            <w:vAlign w:val="center"/>
          </w:tcPr>
          <w:p w14:paraId="655D197E">
            <w:pPr>
              <w:shd w:val="clear"/>
              <w:snapToGrid w:val="0"/>
              <w:spacing w:before="50" w:after="156" w:afterLines="50"/>
              <w:ind w:firstLine="480"/>
              <w:jc w:val="center"/>
              <w:rPr>
                <w:rFonts w:cs="Times New Roman"/>
                <w:color w:val="auto"/>
                <w:highlight w:val="none"/>
              </w:rPr>
            </w:pPr>
          </w:p>
        </w:tc>
      </w:tr>
    </w:tbl>
    <w:p w14:paraId="255C78CD">
      <w:pPr>
        <w:shd w:val="clear"/>
        <w:ind w:firstLine="480"/>
        <w:rPr>
          <w:rFonts w:cs="宋体"/>
          <w:color w:val="auto"/>
          <w:highlight w:val="none"/>
        </w:rPr>
      </w:pPr>
      <w:r>
        <w:rPr>
          <w:rFonts w:hint="eastAsia" w:ascii="宋体" w:hAnsi="宋体" w:cs="宋体"/>
          <w:color w:val="auto"/>
          <w:highlight w:val="none"/>
          <w:lang w:bidi="ar"/>
        </w:rPr>
        <w:t>注：</w:t>
      </w:r>
      <w:r>
        <w:rPr>
          <w:rFonts w:hint="eastAsia" w:ascii="宋体" w:hAnsi="宋体" w:cs="宋体"/>
          <w:color w:val="auto"/>
          <w:highlight w:val="none"/>
          <w:lang w:eastAsia="zh-CN" w:bidi="ar"/>
        </w:rPr>
        <w:t>投标人</w:t>
      </w:r>
      <w:r>
        <w:rPr>
          <w:rFonts w:hint="eastAsia" w:ascii="宋体" w:hAnsi="宋体" w:cs="宋体"/>
          <w:color w:val="auto"/>
          <w:highlight w:val="none"/>
          <w:lang w:bidi="ar"/>
        </w:rPr>
        <w:t>可按上述的格式自行编制。</w:t>
      </w:r>
    </w:p>
    <w:p w14:paraId="679321B1">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 xml:space="preserve"> </w:t>
      </w:r>
    </w:p>
    <w:p w14:paraId="12807F9C">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 xml:space="preserve"> </w:t>
      </w:r>
    </w:p>
    <w:p w14:paraId="66AC4442">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 xml:space="preserve"> </w:t>
      </w:r>
    </w:p>
    <w:p w14:paraId="79C387D7">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投标人名称（盖章）:</w:t>
      </w:r>
    </w:p>
    <w:p w14:paraId="5D3F4A93">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法定代表人或授权代理人（签字或盖章）:</w:t>
      </w:r>
    </w:p>
    <w:p w14:paraId="601CD2D3">
      <w:pPr>
        <w:widowControl/>
        <w:shd w:val="clear"/>
        <w:adjustRightInd w:val="0"/>
        <w:snapToGrid w:val="0"/>
        <w:spacing w:line="360" w:lineRule="auto"/>
        <w:ind w:firstLine="4080" w:firstLineChars="1700"/>
        <w:rPr>
          <w:rFonts w:hint="eastAsia" w:ascii="宋体" w:hAnsi="宋体" w:cs="宋体"/>
          <w:color w:val="auto"/>
          <w:highlight w:val="none"/>
        </w:rPr>
      </w:pPr>
      <w:r>
        <w:rPr>
          <w:rFonts w:hint="eastAsia" w:ascii="宋体" w:hAnsi="宋体" w:cs="宋体"/>
          <w:color w:val="auto"/>
          <w:highlight w:val="none"/>
          <w:lang w:bidi="ar"/>
        </w:rPr>
        <w:t>日期:2025年   月   日</w:t>
      </w:r>
    </w:p>
    <w:p w14:paraId="4CD0D84C">
      <w:pPr>
        <w:shd w:val="clear"/>
        <w:ind w:firstLine="0" w:firstLineChars="0"/>
        <w:jc w:val="center"/>
        <w:rPr>
          <w:rFonts w:hint="eastAsia" w:ascii="宋体" w:hAnsi="宋体" w:cs="宋体"/>
          <w:b/>
          <w:bCs/>
          <w:color w:val="auto"/>
          <w:sz w:val="30"/>
          <w:szCs w:val="30"/>
          <w:highlight w:val="none"/>
          <w:lang w:bidi="ar"/>
        </w:rPr>
      </w:pPr>
    </w:p>
    <w:p w14:paraId="0306A7D1">
      <w:pPr>
        <w:shd w:val="clear"/>
        <w:ind w:firstLine="0" w:firstLineChars="0"/>
        <w:jc w:val="center"/>
        <w:rPr>
          <w:rFonts w:hint="eastAsia" w:ascii="宋体" w:hAnsi="宋体" w:cs="宋体"/>
          <w:b/>
          <w:bCs/>
          <w:color w:val="auto"/>
          <w:sz w:val="30"/>
          <w:szCs w:val="30"/>
          <w:highlight w:val="none"/>
          <w:lang w:bidi="ar"/>
        </w:rPr>
      </w:pPr>
    </w:p>
    <w:p w14:paraId="3160A5FD">
      <w:pPr>
        <w:shd w:val="clear"/>
        <w:ind w:firstLine="0" w:firstLineChars="0"/>
        <w:jc w:val="center"/>
        <w:rPr>
          <w:rFonts w:hint="eastAsia" w:ascii="宋体" w:hAnsi="宋体" w:cs="宋体"/>
          <w:b/>
          <w:bCs/>
          <w:color w:val="auto"/>
          <w:sz w:val="30"/>
          <w:szCs w:val="30"/>
          <w:highlight w:val="none"/>
          <w:lang w:bidi="ar"/>
        </w:rPr>
      </w:pPr>
    </w:p>
    <w:p w14:paraId="63CCA311">
      <w:pPr>
        <w:shd w:val="clear"/>
        <w:ind w:firstLine="0" w:firstLineChars="0"/>
        <w:jc w:val="center"/>
        <w:rPr>
          <w:rFonts w:hint="eastAsia" w:ascii="宋体" w:hAnsi="宋体" w:cs="宋体"/>
          <w:b/>
          <w:bCs/>
          <w:color w:val="auto"/>
          <w:sz w:val="30"/>
          <w:szCs w:val="30"/>
          <w:highlight w:val="none"/>
          <w:lang w:bidi="ar"/>
        </w:rPr>
      </w:pPr>
      <w:r>
        <w:rPr>
          <w:rFonts w:hint="eastAsia" w:ascii="宋体" w:hAnsi="宋体" w:cs="宋体"/>
          <w:b/>
          <w:bCs/>
          <w:color w:val="auto"/>
          <w:sz w:val="30"/>
          <w:szCs w:val="30"/>
          <w:highlight w:val="none"/>
          <w:lang w:bidi="ar"/>
        </w:rPr>
        <w:t xml:space="preserve"> </w:t>
      </w:r>
    </w:p>
    <w:p w14:paraId="3C98B0F2">
      <w:pPr>
        <w:shd w:val="clear"/>
        <w:spacing w:line="240" w:lineRule="auto"/>
        <w:ind w:firstLine="0" w:firstLineChars="0"/>
        <w:outlineLvl w:val="1"/>
        <w:rPr>
          <w:rFonts w:hint="eastAsia" w:ascii="宋体" w:hAnsi="宋体" w:cs="宋体"/>
          <w:b/>
          <w:bCs/>
          <w:color w:val="auto"/>
          <w:highlight w:val="none"/>
          <w:lang w:bidi="ar"/>
        </w:rPr>
      </w:pPr>
      <w:bookmarkStart w:id="514" w:name="_Toc9415"/>
    </w:p>
    <w:p w14:paraId="48C911B9">
      <w:pPr>
        <w:shd w:val="clear"/>
        <w:spacing w:line="240" w:lineRule="auto"/>
        <w:ind w:firstLine="0" w:firstLineChars="0"/>
        <w:outlineLvl w:val="1"/>
        <w:rPr>
          <w:rFonts w:hint="eastAsia" w:ascii="宋体" w:hAnsi="宋体" w:eastAsia="宋体" w:cs="宋体"/>
          <w:b/>
          <w:color w:val="auto"/>
          <w:sz w:val="30"/>
          <w:szCs w:val="30"/>
          <w:highlight w:val="none"/>
          <w:lang w:eastAsia="zh-CN"/>
        </w:rPr>
      </w:pPr>
      <w:r>
        <w:rPr>
          <w:rFonts w:hint="eastAsia" w:ascii="宋体" w:hAnsi="宋体" w:cs="宋体"/>
          <w:b/>
          <w:bCs/>
          <w:color w:val="auto"/>
          <w:highlight w:val="none"/>
          <w:lang w:bidi="ar"/>
        </w:rPr>
        <w:t>附件</w:t>
      </w:r>
      <w:bookmarkEnd w:id="514"/>
      <w:r>
        <w:rPr>
          <w:rFonts w:hint="eastAsia" w:ascii="宋体" w:hAnsi="宋体" w:cs="宋体"/>
          <w:b/>
          <w:bCs/>
          <w:color w:val="auto"/>
          <w:highlight w:val="none"/>
          <w:lang w:val="en-US" w:eastAsia="zh-CN" w:bidi="ar"/>
        </w:rPr>
        <w:t>7</w:t>
      </w:r>
    </w:p>
    <w:p w14:paraId="7C962C66">
      <w:pPr>
        <w:keepNext w:val="0"/>
        <w:keepLines w:val="0"/>
        <w:widowControl w:val="0"/>
        <w:suppressLineNumbers w:val="0"/>
        <w:shd w:val="clear"/>
        <w:spacing w:before="0" w:beforeAutospacing="0" w:after="0" w:afterAutospacing="0" w:line="420" w:lineRule="auto"/>
        <w:ind w:left="0" w:right="0" w:firstLine="0" w:firstLineChars="0"/>
        <w:jc w:val="center"/>
        <w:outlineLvl w:val="0"/>
        <w:rPr>
          <w:rFonts w:hint="eastAsia" w:ascii="宋体" w:hAnsi="宋体" w:eastAsia="宋体" w:cs="黑体"/>
          <w:b/>
          <w:bCs/>
          <w:color w:val="auto"/>
          <w:kern w:val="2"/>
          <w:sz w:val="30"/>
          <w:szCs w:val="30"/>
          <w:highlight w:val="none"/>
        </w:rPr>
      </w:pPr>
      <w:r>
        <w:rPr>
          <w:rFonts w:hint="eastAsia" w:ascii="宋体" w:hAnsi="宋体" w:eastAsia="宋体" w:cs="宋体"/>
          <w:b/>
          <w:bCs/>
          <w:color w:val="auto"/>
          <w:kern w:val="2"/>
          <w:sz w:val="30"/>
          <w:szCs w:val="30"/>
          <w:highlight w:val="none"/>
          <w:lang w:val="en-US" w:eastAsia="zh-CN" w:bidi="ar"/>
        </w:rPr>
        <w:t>拟投入本项目的人员配备表</w:t>
      </w:r>
    </w:p>
    <w:p w14:paraId="3EB1FA12">
      <w:pPr>
        <w:pStyle w:val="37"/>
        <w:keepNext w:val="0"/>
        <w:keepLines w:val="0"/>
        <w:widowControl w:val="0"/>
        <w:suppressLineNumbers w:val="0"/>
        <w:shd w:val="clear"/>
        <w:adjustRightInd w:val="0"/>
        <w:snapToGrid w:val="0"/>
        <w:spacing w:before="0" w:beforeAutospacing="0" w:after="0" w:afterAutospacing="0" w:line="360" w:lineRule="auto"/>
        <w:ind w:left="178" w:right="0" w:firstLine="480" w:firstLineChars="200"/>
        <w:jc w:val="left"/>
        <w:rPr>
          <w:rFonts w:hint="eastAsia" w:ascii="宋体" w:hAnsi="Courier New" w:eastAsia="宋体" w:cs="黑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项目名称：</w:t>
      </w:r>
    </w:p>
    <w:p w14:paraId="16596F02">
      <w:pPr>
        <w:pStyle w:val="37"/>
        <w:keepNext w:val="0"/>
        <w:keepLines w:val="0"/>
        <w:widowControl w:val="0"/>
        <w:suppressLineNumbers w:val="0"/>
        <w:shd w:val="clear"/>
        <w:adjustRightInd w:val="0"/>
        <w:snapToGrid w:val="0"/>
        <w:spacing w:before="0" w:beforeAutospacing="0" w:after="0" w:afterAutospacing="0" w:line="360" w:lineRule="auto"/>
        <w:ind w:left="178" w:right="0" w:firstLine="480" w:firstLineChars="200"/>
        <w:jc w:val="left"/>
        <w:rPr>
          <w:rFonts w:hint="eastAsia" w:ascii="宋体" w:hAnsi="Courier New" w:eastAsia="宋体" w:cs="黑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项目编号：</w:t>
      </w:r>
    </w:p>
    <w:tbl>
      <w:tblPr>
        <w:tblStyle w:val="43"/>
        <w:tblW w:w="9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6"/>
        <w:gridCol w:w="1420"/>
        <w:gridCol w:w="1000"/>
        <w:gridCol w:w="1002"/>
        <w:gridCol w:w="1126"/>
        <w:gridCol w:w="1369"/>
        <w:gridCol w:w="1516"/>
        <w:gridCol w:w="1512"/>
      </w:tblGrid>
      <w:tr w14:paraId="1C50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14:paraId="4A419015">
            <w:pPr>
              <w:keepNext w:val="0"/>
              <w:keepLines w:val="0"/>
              <w:widowControl w:val="0"/>
              <w:suppressLineNumbers w:val="0"/>
              <w:shd w:val="clear"/>
              <w:autoSpaceDE w:val="0"/>
              <w:autoSpaceDN w:val="0"/>
              <w:spacing w:before="0" w:beforeAutospacing="0" w:after="0" w:afterAutospacing="0" w:line="500" w:lineRule="exact"/>
              <w:ind w:left="0" w:leftChars="0" w:right="0" w:firstLine="0" w:firstLineChars="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序号</w:t>
            </w:r>
          </w:p>
        </w:tc>
        <w:tc>
          <w:tcPr>
            <w:tcW w:w="1420" w:type="dxa"/>
            <w:tcBorders>
              <w:top w:val="single" w:color="auto" w:sz="4" w:space="0"/>
              <w:left w:val="single" w:color="auto" w:sz="4" w:space="0"/>
              <w:bottom w:val="single" w:color="auto" w:sz="4" w:space="0"/>
              <w:right w:val="single" w:color="auto" w:sz="4" w:space="0"/>
            </w:tcBorders>
            <w:noWrap w:val="0"/>
            <w:vAlign w:val="center"/>
          </w:tcPr>
          <w:p w14:paraId="2CFD3848">
            <w:pPr>
              <w:keepNext w:val="0"/>
              <w:keepLines w:val="0"/>
              <w:widowControl w:val="0"/>
              <w:suppressLineNumbers w:val="0"/>
              <w:shd w:val="clear"/>
              <w:autoSpaceDE w:val="0"/>
              <w:autoSpaceDN w:val="0"/>
              <w:spacing w:before="0" w:beforeAutospacing="0" w:after="0" w:afterAutospacing="0" w:line="500" w:lineRule="exact"/>
              <w:ind w:left="0" w:leftChars="0" w:right="0" w:firstLine="0" w:firstLineChars="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职位名称</w:t>
            </w:r>
          </w:p>
        </w:tc>
        <w:tc>
          <w:tcPr>
            <w:tcW w:w="1000" w:type="dxa"/>
            <w:tcBorders>
              <w:top w:val="single" w:color="auto" w:sz="4" w:space="0"/>
              <w:left w:val="single" w:color="auto" w:sz="4" w:space="0"/>
              <w:bottom w:val="single" w:color="auto" w:sz="4" w:space="0"/>
              <w:right w:val="single" w:color="auto" w:sz="4" w:space="0"/>
            </w:tcBorders>
            <w:noWrap w:val="0"/>
            <w:vAlign w:val="center"/>
          </w:tcPr>
          <w:p w14:paraId="3EA3C246">
            <w:pPr>
              <w:keepNext w:val="0"/>
              <w:keepLines w:val="0"/>
              <w:widowControl w:val="0"/>
              <w:suppressLineNumbers w:val="0"/>
              <w:shd w:val="clear"/>
              <w:autoSpaceDE w:val="0"/>
              <w:autoSpaceDN w:val="0"/>
              <w:spacing w:before="0" w:beforeAutospacing="0" w:after="0" w:afterAutospacing="0" w:line="500" w:lineRule="exact"/>
              <w:ind w:left="0" w:leftChars="0" w:right="0" w:firstLine="0" w:firstLineChars="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姓  名</w:t>
            </w:r>
          </w:p>
        </w:tc>
        <w:tc>
          <w:tcPr>
            <w:tcW w:w="1002" w:type="dxa"/>
            <w:tcBorders>
              <w:top w:val="single" w:color="auto" w:sz="4" w:space="0"/>
              <w:left w:val="single" w:color="auto" w:sz="4" w:space="0"/>
              <w:bottom w:val="single" w:color="auto" w:sz="4" w:space="0"/>
              <w:right w:val="single" w:color="auto" w:sz="4" w:space="0"/>
            </w:tcBorders>
            <w:noWrap w:val="0"/>
            <w:vAlign w:val="center"/>
          </w:tcPr>
          <w:p w14:paraId="2EA851B0">
            <w:pPr>
              <w:keepNext w:val="0"/>
              <w:keepLines w:val="0"/>
              <w:widowControl w:val="0"/>
              <w:suppressLineNumbers w:val="0"/>
              <w:shd w:val="clear"/>
              <w:autoSpaceDE w:val="0"/>
              <w:autoSpaceDN w:val="0"/>
              <w:spacing w:before="0" w:beforeAutospacing="0" w:after="0" w:afterAutospacing="0" w:line="500" w:lineRule="exact"/>
              <w:ind w:left="0" w:leftChars="0" w:right="0" w:firstLine="0" w:firstLineChars="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学历</w:t>
            </w: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CE2B15E">
            <w:pPr>
              <w:keepNext w:val="0"/>
              <w:keepLines w:val="0"/>
              <w:widowControl w:val="0"/>
              <w:suppressLineNumbers w:val="0"/>
              <w:shd w:val="clear"/>
              <w:autoSpaceDE w:val="0"/>
              <w:autoSpaceDN w:val="0"/>
              <w:spacing w:before="0" w:beforeAutospacing="0" w:after="0" w:afterAutospacing="0" w:line="500" w:lineRule="exact"/>
              <w:ind w:left="0" w:leftChars="0" w:right="0" w:firstLine="0" w:firstLineChars="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相关资质</w:t>
            </w:r>
          </w:p>
          <w:p w14:paraId="15DF2FDC">
            <w:pPr>
              <w:keepNext w:val="0"/>
              <w:keepLines w:val="0"/>
              <w:widowControl w:val="0"/>
              <w:suppressLineNumbers w:val="0"/>
              <w:shd w:val="clear"/>
              <w:autoSpaceDE w:val="0"/>
              <w:autoSpaceDN w:val="0"/>
              <w:spacing w:before="0" w:beforeAutospacing="0" w:after="0" w:afterAutospacing="0" w:line="500" w:lineRule="exact"/>
              <w:ind w:left="0" w:leftChars="0" w:right="0" w:firstLine="0" w:firstLineChars="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证书</w:t>
            </w:r>
          </w:p>
        </w:tc>
        <w:tc>
          <w:tcPr>
            <w:tcW w:w="1369" w:type="dxa"/>
            <w:tcBorders>
              <w:top w:val="single" w:color="auto" w:sz="4" w:space="0"/>
              <w:left w:val="single" w:color="auto" w:sz="4" w:space="0"/>
              <w:bottom w:val="single" w:color="auto" w:sz="4" w:space="0"/>
              <w:right w:val="single" w:color="auto" w:sz="4" w:space="0"/>
            </w:tcBorders>
            <w:noWrap w:val="0"/>
            <w:vAlign w:val="center"/>
          </w:tcPr>
          <w:p w14:paraId="7ABF6EC3">
            <w:pPr>
              <w:keepNext w:val="0"/>
              <w:keepLines w:val="0"/>
              <w:widowControl w:val="0"/>
              <w:suppressLineNumbers w:val="0"/>
              <w:shd w:val="clear"/>
              <w:autoSpaceDE w:val="0"/>
              <w:autoSpaceDN w:val="0"/>
              <w:spacing w:before="0" w:beforeAutospacing="0" w:after="0" w:afterAutospacing="0" w:line="500" w:lineRule="exact"/>
              <w:ind w:left="0" w:leftChars="0" w:right="0" w:firstLine="0" w:firstLineChars="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证书编号</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4C8AAB6D">
            <w:pPr>
              <w:keepNext w:val="0"/>
              <w:keepLines w:val="0"/>
              <w:widowControl w:val="0"/>
              <w:suppressLineNumbers w:val="0"/>
              <w:shd w:val="clear"/>
              <w:autoSpaceDE w:val="0"/>
              <w:autoSpaceDN w:val="0"/>
              <w:spacing w:before="0" w:beforeAutospacing="0" w:after="0" w:afterAutospacing="0" w:line="500" w:lineRule="exact"/>
              <w:ind w:left="0" w:leftChars="0" w:right="0" w:firstLine="0" w:firstLineChars="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工作／业务经历年限</w:t>
            </w:r>
          </w:p>
        </w:tc>
        <w:tc>
          <w:tcPr>
            <w:tcW w:w="1512" w:type="dxa"/>
            <w:tcBorders>
              <w:top w:val="single" w:color="auto" w:sz="4" w:space="0"/>
              <w:left w:val="single" w:color="auto" w:sz="4" w:space="0"/>
              <w:bottom w:val="single" w:color="auto" w:sz="4" w:space="0"/>
              <w:right w:val="single" w:color="auto" w:sz="4" w:space="0"/>
            </w:tcBorders>
            <w:noWrap w:val="0"/>
            <w:vAlign w:val="center"/>
          </w:tcPr>
          <w:p w14:paraId="156C6DE5">
            <w:pPr>
              <w:keepNext w:val="0"/>
              <w:keepLines w:val="0"/>
              <w:widowControl w:val="0"/>
              <w:suppressLineNumbers w:val="0"/>
              <w:shd w:val="clear"/>
              <w:autoSpaceDE w:val="0"/>
              <w:autoSpaceDN w:val="0"/>
              <w:spacing w:before="0" w:beforeAutospacing="0" w:after="0" w:afterAutospacing="0" w:line="500" w:lineRule="exact"/>
              <w:ind w:left="0" w:leftChars="0" w:right="0" w:firstLine="0" w:firstLineChars="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类似职位工作经历年限</w:t>
            </w:r>
          </w:p>
        </w:tc>
      </w:tr>
      <w:tr w14:paraId="0427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14:paraId="6784A9EB">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4860E710">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noWrap w:val="0"/>
            <w:vAlign w:val="center"/>
          </w:tcPr>
          <w:p w14:paraId="5590946E">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579C0696">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126" w:type="dxa"/>
            <w:tcBorders>
              <w:top w:val="single" w:color="auto" w:sz="4" w:space="0"/>
              <w:left w:val="single" w:color="auto" w:sz="4" w:space="0"/>
              <w:bottom w:val="single" w:color="auto" w:sz="4" w:space="0"/>
              <w:right w:val="single" w:color="auto" w:sz="4" w:space="0"/>
            </w:tcBorders>
            <w:noWrap w:val="0"/>
            <w:vAlign w:val="center"/>
          </w:tcPr>
          <w:p w14:paraId="2B18B8C7">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369" w:type="dxa"/>
            <w:tcBorders>
              <w:top w:val="single" w:color="auto" w:sz="4" w:space="0"/>
              <w:left w:val="single" w:color="auto" w:sz="4" w:space="0"/>
              <w:bottom w:val="single" w:color="auto" w:sz="4" w:space="0"/>
              <w:right w:val="single" w:color="auto" w:sz="4" w:space="0"/>
            </w:tcBorders>
            <w:noWrap w:val="0"/>
            <w:vAlign w:val="center"/>
          </w:tcPr>
          <w:p w14:paraId="0514C5B7">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6432A85B">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2" w:type="dxa"/>
            <w:tcBorders>
              <w:top w:val="single" w:color="auto" w:sz="4" w:space="0"/>
              <w:left w:val="single" w:color="auto" w:sz="4" w:space="0"/>
              <w:bottom w:val="single" w:color="auto" w:sz="4" w:space="0"/>
              <w:right w:val="single" w:color="auto" w:sz="4" w:space="0"/>
            </w:tcBorders>
            <w:noWrap w:val="0"/>
            <w:vAlign w:val="center"/>
          </w:tcPr>
          <w:p w14:paraId="6B63C983">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r>
      <w:tr w14:paraId="1F4A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14:paraId="5670F304">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54593423">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noWrap w:val="0"/>
            <w:vAlign w:val="center"/>
          </w:tcPr>
          <w:p w14:paraId="31C9E49B">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653DC2CE">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0A475A5">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369" w:type="dxa"/>
            <w:tcBorders>
              <w:top w:val="single" w:color="auto" w:sz="4" w:space="0"/>
              <w:left w:val="single" w:color="auto" w:sz="4" w:space="0"/>
              <w:bottom w:val="single" w:color="auto" w:sz="4" w:space="0"/>
              <w:right w:val="single" w:color="auto" w:sz="4" w:space="0"/>
            </w:tcBorders>
            <w:noWrap w:val="0"/>
            <w:vAlign w:val="center"/>
          </w:tcPr>
          <w:p w14:paraId="106A3A50">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6D43883">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2" w:type="dxa"/>
            <w:tcBorders>
              <w:top w:val="single" w:color="auto" w:sz="4" w:space="0"/>
              <w:left w:val="single" w:color="auto" w:sz="4" w:space="0"/>
              <w:bottom w:val="single" w:color="auto" w:sz="4" w:space="0"/>
              <w:right w:val="single" w:color="auto" w:sz="4" w:space="0"/>
            </w:tcBorders>
            <w:noWrap w:val="0"/>
            <w:vAlign w:val="center"/>
          </w:tcPr>
          <w:p w14:paraId="614C67D8">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r>
      <w:tr w14:paraId="75E6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14:paraId="45E2061B">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58E1CB28">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noWrap w:val="0"/>
            <w:vAlign w:val="center"/>
          </w:tcPr>
          <w:p w14:paraId="65907637">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642DE7F0">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505C7BB">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369" w:type="dxa"/>
            <w:tcBorders>
              <w:top w:val="single" w:color="auto" w:sz="4" w:space="0"/>
              <w:left w:val="single" w:color="auto" w:sz="4" w:space="0"/>
              <w:bottom w:val="single" w:color="auto" w:sz="4" w:space="0"/>
              <w:right w:val="single" w:color="auto" w:sz="4" w:space="0"/>
            </w:tcBorders>
            <w:noWrap w:val="0"/>
            <w:vAlign w:val="center"/>
          </w:tcPr>
          <w:p w14:paraId="1CB8CE0A">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55C05469">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2" w:type="dxa"/>
            <w:tcBorders>
              <w:top w:val="single" w:color="auto" w:sz="4" w:space="0"/>
              <w:left w:val="single" w:color="auto" w:sz="4" w:space="0"/>
              <w:bottom w:val="single" w:color="auto" w:sz="4" w:space="0"/>
              <w:right w:val="single" w:color="auto" w:sz="4" w:space="0"/>
            </w:tcBorders>
            <w:noWrap w:val="0"/>
            <w:vAlign w:val="center"/>
          </w:tcPr>
          <w:p w14:paraId="6D8F1618">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r>
      <w:tr w14:paraId="0EB7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14:paraId="76DD00C1">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0E1F4A2B">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noWrap w:val="0"/>
            <w:vAlign w:val="center"/>
          </w:tcPr>
          <w:p w14:paraId="3C2BEA77">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591EB9E6">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126" w:type="dxa"/>
            <w:tcBorders>
              <w:top w:val="single" w:color="auto" w:sz="4" w:space="0"/>
              <w:left w:val="single" w:color="auto" w:sz="4" w:space="0"/>
              <w:bottom w:val="single" w:color="auto" w:sz="4" w:space="0"/>
              <w:right w:val="single" w:color="auto" w:sz="4" w:space="0"/>
            </w:tcBorders>
            <w:noWrap w:val="0"/>
            <w:vAlign w:val="center"/>
          </w:tcPr>
          <w:p w14:paraId="50F7CEE4">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369" w:type="dxa"/>
            <w:tcBorders>
              <w:top w:val="single" w:color="auto" w:sz="4" w:space="0"/>
              <w:left w:val="single" w:color="auto" w:sz="4" w:space="0"/>
              <w:bottom w:val="single" w:color="auto" w:sz="4" w:space="0"/>
              <w:right w:val="single" w:color="auto" w:sz="4" w:space="0"/>
            </w:tcBorders>
            <w:noWrap w:val="0"/>
            <w:vAlign w:val="center"/>
          </w:tcPr>
          <w:p w14:paraId="31F4589B">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34D0FC5C">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2" w:type="dxa"/>
            <w:tcBorders>
              <w:top w:val="single" w:color="auto" w:sz="4" w:space="0"/>
              <w:left w:val="single" w:color="auto" w:sz="4" w:space="0"/>
              <w:bottom w:val="single" w:color="auto" w:sz="4" w:space="0"/>
              <w:right w:val="single" w:color="auto" w:sz="4" w:space="0"/>
            </w:tcBorders>
            <w:noWrap w:val="0"/>
            <w:vAlign w:val="center"/>
          </w:tcPr>
          <w:p w14:paraId="4BC77173">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r>
      <w:tr w14:paraId="1489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14:paraId="3DFFF609">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12BD2BE5">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noWrap w:val="0"/>
            <w:vAlign w:val="center"/>
          </w:tcPr>
          <w:p w14:paraId="14A44365">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6AE3F986">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126" w:type="dxa"/>
            <w:tcBorders>
              <w:top w:val="single" w:color="auto" w:sz="4" w:space="0"/>
              <w:left w:val="single" w:color="auto" w:sz="4" w:space="0"/>
              <w:bottom w:val="single" w:color="auto" w:sz="4" w:space="0"/>
              <w:right w:val="single" w:color="auto" w:sz="4" w:space="0"/>
            </w:tcBorders>
            <w:noWrap w:val="0"/>
            <w:vAlign w:val="center"/>
          </w:tcPr>
          <w:p w14:paraId="14758E7A">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369" w:type="dxa"/>
            <w:tcBorders>
              <w:top w:val="single" w:color="auto" w:sz="4" w:space="0"/>
              <w:left w:val="single" w:color="auto" w:sz="4" w:space="0"/>
              <w:bottom w:val="single" w:color="auto" w:sz="4" w:space="0"/>
              <w:right w:val="single" w:color="auto" w:sz="4" w:space="0"/>
            </w:tcBorders>
            <w:noWrap w:val="0"/>
            <w:vAlign w:val="center"/>
          </w:tcPr>
          <w:p w14:paraId="570462C9">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16D300F8">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2" w:type="dxa"/>
            <w:tcBorders>
              <w:top w:val="single" w:color="auto" w:sz="4" w:space="0"/>
              <w:left w:val="single" w:color="auto" w:sz="4" w:space="0"/>
              <w:bottom w:val="single" w:color="auto" w:sz="4" w:space="0"/>
              <w:right w:val="single" w:color="auto" w:sz="4" w:space="0"/>
            </w:tcBorders>
            <w:noWrap w:val="0"/>
            <w:vAlign w:val="center"/>
          </w:tcPr>
          <w:p w14:paraId="059DF559">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r>
      <w:tr w14:paraId="1C92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14:paraId="52E84A7C">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1C0F6EAA">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noWrap w:val="0"/>
            <w:vAlign w:val="center"/>
          </w:tcPr>
          <w:p w14:paraId="64F71C90">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50E54301">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F0F9E3A">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369" w:type="dxa"/>
            <w:tcBorders>
              <w:top w:val="single" w:color="auto" w:sz="4" w:space="0"/>
              <w:left w:val="single" w:color="auto" w:sz="4" w:space="0"/>
              <w:bottom w:val="single" w:color="auto" w:sz="4" w:space="0"/>
              <w:right w:val="single" w:color="auto" w:sz="4" w:space="0"/>
            </w:tcBorders>
            <w:noWrap w:val="0"/>
            <w:vAlign w:val="center"/>
          </w:tcPr>
          <w:p w14:paraId="28027A4A">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72D36F24">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2" w:type="dxa"/>
            <w:tcBorders>
              <w:top w:val="single" w:color="auto" w:sz="4" w:space="0"/>
              <w:left w:val="single" w:color="auto" w:sz="4" w:space="0"/>
              <w:bottom w:val="single" w:color="auto" w:sz="4" w:space="0"/>
              <w:right w:val="single" w:color="auto" w:sz="4" w:space="0"/>
            </w:tcBorders>
            <w:noWrap w:val="0"/>
            <w:vAlign w:val="center"/>
          </w:tcPr>
          <w:p w14:paraId="593705DE">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r>
      <w:tr w14:paraId="6BF8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14:paraId="2FD4C386">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14AE40BA">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noWrap w:val="0"/>
            <w:vAlign w:val="center"/>
          </w:tcPr>
          <w:p w14:paraId="1A21576D">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71A80738">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126" w:type="dxa"/>
            <w:tcBorders>
              <w:top w:val="single" w:color="auto" w:sz="4" w:space="0"/>
              <w:left w:val="single" w:color="auto" w:sz="4" w:space="0"/>
              <w:bottom w:val="single" w:color="auto" w:sz="4" w:space="0"/>
              <w:right w:val="single" w:color="auto" w:sz="4" w:space="0"/>
            </w:tcBorders>
            <w:noWrap w:val="0"/>
            <w:vAlign w:val="center"/>
          </w:tcPr>
          <w:p w14:paraId="48F0DCF8">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369" w:type="dxa"/>
            <w:tcBorders>
              <w:top w:val="single" w:color="auto" w:sz="4" w:space="0"/>
              <w:left w:val="single" w:color="auto" w:sz="4" w:space="0"/>
              <w:bottom w:val="single" w:color="auto" w:sz="4" w:space="0"/>
              <w:right w:val="single" w:color="auto" w:sz="4" w:space="0"/>
            </w:tcBorders>
            <w:noWrap w:val="0"/>
            <w:vAlign w:val="center"/>
          </w:tcPr>
          <w:p w14:paraId="70FA5E7A">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14AEC342">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2" w:type="dxa"/>
            <w:tcBorders>
              <w:top w:val="single" w:color="auto" w:sz="4" w:space="0"/>
              <w:left w:val="single" w:color="auto" w:sz="4" w:space="0"/>
              <w:bottom w:val="single" w:color="auto" w:sz="4" w:space="0"/>
              <w:right w:val="single" w:color="auto" w:sz="4" w:space="0"/>
            </w:tcBorders>
            <w:noWrap w:val="0"/>
            <w:vAlign w:val="center"/>
          </w:tcPr>
          <w:p w14:paraId="705B4156">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r>
      <w:tr w14:paraId="6E98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866" w:type="dxa"/>
            <w:tcBorders>
              <w:top w:val="single" w:color="auto" w:sz="4" w:space="0"/>
              <w:left w:val="single" w:color="auto" w:sz="4" w:space="0"/>
              <w:bottom w:val="single" w:color="auto" w:sz="4" w:space="0"/>
              <w:right w:val="single" w:color="auto" w:sz="4" w:space="0"/>
            </w:tcBorders>
            <w:noWrap w:val="0"/>
            <w:vAlign w:val="center"/>
          </w:tcPr>
          <w:p w14:paraId="2DCF309C">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420" w:type="dxa"/>
            <w:tcBorders>
              <w:top w:val="single" w:color="auto" w:sz="4" w:space="0"/>
              <w:left w:val="single" w:color="auto" w:sz="4" w:space="0"/>
              <w:bottom w:val="single" w:color="auto" w:sz="4" w:space="0"/>
              <w:right w:val="single" w:color="auto" w:sz="4" w:space="0"/>
            </w:tcBorders>
            <w:noWrap w:val="0"/>
            <w:vAlign w:val="center"/>
          </w:tcPr>
          <w:p w14:paraId="2A0EF17E">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0" w:type="dxa"/>
            <w:tcBorders>
              <w:top w:val="single" w:color="auto" w:sz="4" w:space="0"/>
              <w:left w:val="single" w:color="auto" w:sz="4" w:space="0"/>
              <w:bottom w:val="single" w:color="auto" w:sz="4" w:space="0"/>
              <w:right w:val="single" w:color="auto" w:sz="4" w:space="0"/>
            </w:tcBorders>
            <w:noWrap w:val="0"/>
            <w:vAlign w:val="center"/>
          </w:tcPr>
          <w:p w14:paraId="042F2F68">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002" w:type="dxa"/>
            <w:tcBorders>
              <w:top w:val="single" w:color="auto" w:sz="4" w:space="0"/>
              <w:left w:val="single" w:color="auto" w:sz="4" w:space="0"/>
              <w:bottom w:val="single" w:color="auto" w:sz="4" w:space="0"/>
              <w:right w:val="single" w:color="auto" w:sz="4" w:space="0"/>
            </w:tcBorders>
            <w:noWrap w:val="0"/>
            <w:vAlign w:val="center"/>
          </w:tcPr>
          <w:p w14:paraId="58AC7803">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126" w:type="dxa"/>
            <w:tcBorders>
              <w:top w:val="single" w:color="auto" w:sz="4" w:space="0"/>
              <w:left w:val="single" w:color="auto" w:sz="4" w:space="0"/>
              <w:bottom w:val="single" w:color="auto" w:sz="4" w:space="0"/>
              <w:right w:val="single" w:color="auto" w:sz="4" w:space="0"/>
            </w:tcBorders>
            <w:noWrap w:val="0"/>
            <w:vAlign w:val="center"/>
          </w:tcPr>
          <w:p w14:paraId="7444EF96">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369" w:type="dxa"/>
            <w:tcBorders>
              <w:top w:val="single" w:color="auto" w:sz="4" w:space="0"/>
              <w:left w:val="single" w:color="auto" w:sz="4" w:space="0"/>
              <w:bottom w:val="single" w:color="auto" w:sz="4" w:space="0"/>
              <w:right w:val="single" w:color="auto" w:sz="4" w:space="0"/>
            </w:tcBorders>
            <w:noWrap w:val="0"/>
            <w:vAlign w:val="center"/>
          </w:tcPr>
          <w:p w14:paraId="08A45D7A">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0B7AF68">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c>
          <w:tcPr>
            <w:tcW w:w="1512" w:type="dxa"/>
            <w:tcBorders>
              <w:top w:val="single" w:color="auto" w:sz="4" w:space="0"/>
              <w:left w:val="single" w:color="auto" w:sz="4" w:space="0"/>
              <w:bottom w:val="single" w:color="auto" w:sz="4" w:space="0"/>
              <w:right w:val="single" w:color="auto" w:sz="4" w:space="0"/>
            </w:tcBorders>
            <w:noWrap w:val="0"/>
            <w:vAlign w:val="center"/>
          </w:tcPr>
          <w:p w14:paraId="1D795668">
            <w:pPr>
              <w:keepNext w:val="0"/>
              <w:keepLines w:val="0"/>
              <w:widowControl w:val="0"/>
              <w:suppressLineNumbers w:val="0"/>
              <w:shd w:val="clear"/>
              <w:autoSpaceDE w:val="0"/>
              <w:autoSpaceDN w:val="0"/>
              <w:spacing w:before="0" w:beforeAutospacing="0" w:after="0" w:afterAutospacing="0" w:line="500" w:lineRule="exact"/>
              <w:ind w:left="0" w:right="0" w:firstLine="480" w:firstLineChars="200"/>
              <w:jc w:val="center"/>
              <w:rPr>
                <w:rFonts w:hint="eastAsia" w:ascii="宋体" w:hAnsi="Times New Roman" w:eastAsia="宋体" w:cs="宋体"/>
                <w:color w:val="auto"/>
                <w:kern w:val="0"/>
                <w:sz w:val="24"/>
                <w:szCs w:val="24"/>
                <w:highlight w:val="none"/>
              </w:rPr>
            </w:pPr>
          </w:p>
        </w:tc>
      </w:tr>
    </w:tbl>
    <w:p w14:paraId="7F43DFB1">
      <w:pPr>
        <w:keepNext w:val="0"/>
        <w:keepLines w:val="0"/>
        <w:widowControl w:val="0"/>
        <w:suppressLineNumbers w:val="0"/>
        <w:shd w:val="clear"/>
        <w:snapToGrid w:val="0"/>
        <w:spacing w:before="0" w:beforeAutospacing="0" w:after="0" w:afterAutospacing="0" w:line="480" w:lineRule="exact"/>
        <w:ind w:left="0" w:right="0" w:firstLine="0" w:firstLineChars="0"/>
        <w:jc w:val="both"/>
        <w:rPr>
          <w:rFonts w:hint="eastAsia" w:ascii="宋体" w:hAnsi="宋体" w:eastAsia="宋体" w:cs="黑体"/>
          <w:color w:val="auto"/>
          <w:kern w:val="2"/>
          <w:sz w:val="24"/>
          <w:szCs w:val="24"/>
          <w:highlight w:val="none"/>
        </w:rPr>
      </w:pPr>
      <w:r>
        <w:rPr>
          <w:rFonts w:hint="eastAsia" w:ascii="宋体" w:hAnsi="宋体" w:eastAsia="宋体" w:cs="黑体"/>
          <w:color w:val="auto"/>
          <w:kern w:val="2"/>
          <w:sz w:val="24"/>
          <w:szCs w:val="24"/>
          <w:highlight w:val="none"/>
          <w:lang w:val="en-US" w:eastAsia="zh-CN" w:bidi="ar"/>
        </w:rPr>
        <w:t xml:space="preserve"> </w:t>
      </w:r>
    </w:p>
    <w:p w14:paraId="2E2BDC28">
      <w:pPr>
        <w:keepNext w:val="0"/>
        <w:keepLines w:val="0"/>
        <w:widowControl w:val="0"/>
        <w:suppressLineNumbers w:val="0"/>
        <w:shd w:val="clear"/>
        <w:snapToGrid w:val="0"/>
        <w:spacing w:before="72" w:beforeAutospacing="0" w:after="72" w:afterAutospacing="0" w:line="360" w:lineRule="exact"/>
        <w:ind w:left="0" w:right="0" w:firstLine="0" w:firstLineChars="0"/>
        <w:jc w:val="both"/>
        <w:rPr>
          <w:rFonts w:hint="eastAsia" w:ascii="宋体" w:hAnsi="宋体" w:eastAsia="宋体" w:cs="黑体"/>
          <w:color w:val="auto"/>
          <w:kern w:val="2"/>
          <w:sz w:val="24"/>
          <w:szCs w:val="24"/>
          <w:highlight w:val="none"/>
        </w:rPr>
      </w:pPr>
      <w:r>
        <w:rPr>
          <w:rFonts w:hint="default" w:ascii="华文中宋" w:hAnsi="华文中宋" w:eastAsia="华文中宋" w:cs="华文中宋"/>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投标人名称（盖章）：</w:t>
      </w:r>
    </w:p>
    <w:p w14:paraId="3441EF87">
      <w:pPr>
        <w:keepNext w:val="0"/>
        <w:keepLines w:val="0"/>
        <w:widowControl w:val="0"/>
        <w:suppressLineNumbers w:val="0"/>
        <w:shd w:val="clear"/>
        <w:snapToGrid w:val="0"/>
        <w:spacing w:before="72" w:beforeAutospacing="0" w:after="72" w:afterAutospacing="0" w:line="360" w:lineRule="exact"/>
        <w:ind w:left="0" w:right="0" w:firstLine="0" w:firstLineChars="0"/>
        <w:jc w:val="both"/>
        <w:rPr>
          <w:rFonts w:hint="eastAsia" w:ascii="宋体" w:hAnsi="宋体" w:eastAsia="宋体" w:cs="黑体"/>
          <w:color w:val="auto"/>
          <w:kern w:val="2"/>
          <w:sz w:val="24"/>
          <w:szCs w:val="24"/>
          <w:highlight w:val="none"/>
        </w:rPr>
      </w:pPr>
      <w:r>
        <w:rPr>
          <w:rFonts w:hint="default" w:ascii="华文中宋" w:hAnsi="华文中宋" w:eastAsia="华文中宋" w:cs="华文中宋"/>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法定代表人或授权委托人（签字或盖章）：</w:t>
      </w:r>
    </w:p>
    <w:p w14:paraId="6C534583">
      <w:pPr>
        <w:keepNext w:val="0"/>
        <w:keepLines w:val="0"/>
        <w:widowControl w:val="0"/>
        <w:suppressLineNumbers w:val="0"/>
        <w:shd w:val="clear"/>
        <w:snapToGrid w:val="0"/>
        <w:spacing w:before="72" w:beforeAutospacing="0" w:after="72" w:afterAutospacing="0" w:line="360" w:lineRule="exact"/>
        <w:ind w:left="0" w:right="0" w:firstLine="4560" w:firstLineChars="1900"/>
        <w:jc w:val="both"/>
        <w:rPr>
          <w:rFonts w:hint="eastAsia" w:ascii="宋体" w:hAnsi="宋体" w:eastAsia="宋体" w:cs="黑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日期：2025年</w:t>
      </w:r>
      <w:r>
        <w:rPr>
          <w:rFonts w:hint="eastAsia" w:ascii="宋体" w:hAnsi="宋体" w:eastAsia="宋体" w:cs="黑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宋体" w:hAnsi="宋体" w:eastAsia="宋体" w:cs="黑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14:paraId="1364342C">
      <w:pPr>
        <w:widowControl/>
        <w:shd w:val="clear"/>
        <w:ind w:firstLine="0" w:firstLineChars="0"/>
        <w:jc w:val="center"/>
        <w:rPr>
          <w:rFonts w:hint="eastAsia" w:ascii="宋体" w:hAnsi="宋体" w:cs="宋体"/>
          <w:b/>
          <w:bCs/>
          <w:color w:val="auto"/>
          <w:sz w:val="32"/>
          <w:szCs w:val="32"/>
          <w:highlight w:val="none"/>
        </w:rPr>
      </w:pPr>
    </w:p>
    <w:p w14:paraId="63A61E07">
      <w:pPr>
        <w:widowControl/>
        <w:shd w:val="clear"/>
        <w:ind w:firstLine="0" w:firstLineChars="0"/>
        <w:jc w:val="center"/>
        <w:rPr>
          <w:rFonts w:hint="eastAsia" w:ascii="宋体" w:hAnsi="宋体" w:cs="宋体"/>
          <w:b/>
          <w:bCs/>
          <w:color w:val="auto"/>
          <w:sz w:val="32"/>
          <w:szCs w:val="32"/>
          <w:highlight w:val="none"/>
        </w:rPr>
      </w:pPr>
    </w:p>
    <w:p w14:paraId="76DAE5B4">
      <w:pPr>
        <w:widowControl/>
        <w:shd w:val="clear"/>
        <w:ind w:firstLine="0" w:firstLineChars="0"/>
        <w:jc w:val="center"/>
        <w:rPr>
          <w:rFonts w:hint="eastAsia" w:ascii="宋体" w:hAnsi="宋体" w:cs="宋体"/>
          <w:b/>
          <w:bCs/>
          <w:color w:val="auto"/>
          <w:sz w:val="32"/>
          <w:szCs w:val="32"/>
          <w:highlight w:val="none"/>
        </w:rPr>
      </w:pPr>
    </w:p>
    <w:p w14:paraId="75A23581">
      <w:pPr>
        <w:pStyle w:val="12"/>
        <w:shd w:val="clear"/>
        <w:rPr>
          <w:rFonts w:hint="eastAsia" w:ascii="宋体" w:hAnsi="宋体" w:cs="宋体"/>
          <w:b/>
          <w:bCs/>
          <w:color w:val="auto"/>
          <w:sz w:val="32"/>
          <w:szCs w:val="32"/>
          <w:highlight w:val="none"/>
        </w:rPr>
      </w:pPr>
    </w:p>
    <w:p w14:paraId="78F13E67">
      <w:pPr>
        <w:pStyle w:val="12"/>
        <w:shd w:val="clear"/>
        <w:rPr>
          <w:rFonts w:hint="eastAsia" w:ascii="宋体" w:hAnsi="宋体" w:cs="宋体"/>
          <w:b/>
          <w:bCs/>
          <w:color w:val="auto"/>
          <w:sz w:val="32"/>
          <w:szCs w:val="32"/>
          <w:highlight w:val="none"/>
        </w:rPr>
      </w:pPr>
    </w:p>
    <w:p w14:paraId="46AB3190">
      <w:pPr>
        <w:widowControl/>
        <w:shd w:val="clear"/>
        <w:ind w:firstLine="0" w:firstLineChars="0"/>
        <w:jc w:val="center"/>
        <w:rPr>
          <w:rFonts w:hint="eastAsia" w:ascii="宋体" w:hAnsi="宋体" w:cs="宋体"/>
          <w:b/>
          <w:bCs/>
          <w:color w:val="auto"/>
          <w:sz w:val="32"/>
          <w:szCs w:val="32"/>
          <w:highlight w:val="none"/>
        </w:rPr>
      </w:pPr>
    </w:p>
    <w:p w14:paraId="30992EDD">
      <w:pPr>
        <w:widowControl/>
        <w:shd w:val="clear"/>
        <w:ind w:firstLine="0" w:firstLineChars="0"/>
        <w:jc w:val="center"/>
        <w:rPr>
          <w:rFonts w:hint="eastAsia" w:ascii="宋体" w:hAnsi="宋体" w:cs="宋体"/>
          <w:b/>
          <w:bCs/>
          <w:color w:val="auto"/>
          <w:sz w:val="32"/>
          <w:szCs w:val="32"/>
          <w:highlight w:val="none"/>
        </w:rPr>
      </w:pPr>
    </w:p>
    <w:p w14:paraId="7FA7AE0C">
      <w:pPr>
        <w:widowControl/>
        <w:shd w:val="clear"/>
        <w:ind w:firstLine="0" w:firstLineChars="0"/>
        <w:rPr>
          <w:rFonts w:hint="eastAsia" w:ascii="宋体" w:hAnsi="宋体" w:cs="宋体"/>
          <w:b/>
          <w:bCs/>
          <w:color w:val="auto"/>
          <w:sz w:val="32"/>
          <w:szCs w:val="32"/>
          <w:highlight w:val="none"/>
        </w:rPr>
      </w:pPr>
    </w:p>
    <w:p w14:paraId="5ECCF36D">
      <w:pPr>
        <w:shd w:val="clear"/>
        <w:ind w:firstLine="0" w:firstLineChars="0"/>
        <w:outlineLvl w:val="1"/>
        <w:rPr>
          <w:rFonts w:hint="eastAsia" w:ascii="宋体" w:hAnsi="宋体" w:eastAsia="宋体" w:cs="宋体"/>
          <w:b/>
          <w:bCs/>
          <w:color w:val="auto"/>
          <w:highlight w:val="none"/>
          <w:lang w:eastAsia="zh-CN"/>
        </w:rPr>
      </w:pPr>
      <w:bookmarkStart w:id="515" w:name="_Toc6153"/>
      <w:r>
        <w:rPr>
          <w:rFonts w:hint="eastAsia" w:ascii="宋体" w:hAnsi="宋体" w:cs="宋体"/>
          <w:b/>
          <w:bCs/>
          <w:color w:val="auto"/>
          <w:highlight w:val="none"/>
          <w:lang w:bidi="ar"/>
        </w:rPr>
        <w:t>附件</w:t>
      </w:r>
      <w:bookmarkEnd w:id="515"/>
      <w:r>
        <w:rPr>
          <w:rFonts w:hint="eastAsia" w:ascii="宋体" w:hAnsi="宋体" w:cs="宋体"/>
          <w:b/>
          <w:bCs/>
          <w:color w:val="auto"/>
          <w:highlight w:val="none"/>
          <w:lang w:val="en-US" w:eastAsia="zh-CN" w:bidi="ar"/>
        </w:rPr>
        <w:t>8</w:t>
      </w:r>
    </w:p>
    <w:p w14:paraId="25D113CA">
      <w:pPr>
        <w:keepNext w:val="0"/>
        <w:keepLines w:val="0"/>
        <w:widowControl w:val="0"/>
        <w:suppressLineNumbers w:val="0"/>
        <w:shd w:val="clear"/>
        <w:spacing w:before="0" w:beforeAutospacing="0" w:after="0" w:afterAutospacing="0" w:line="500" w:lineRule="exact"/>
        <w:ind w:left="0" w:leftChars="0" w:right="0" w:firstLine="0" w:firstLineChars="0"/>
        <w:jc w:val="center"/>
        <w:outlineLvl w:val="0"/>
        <w:rPr>
          <w:rFonts w:hint="eastAsia" w:ascii="宋体" w:hAnsi="宋体" w:eastAsia="宋体" w:cs="宋体"/>
          <w:b/>
          <w:bCs/>
          <w:color w:val="auto"/>
          <w:kern w:val="2"/>
          <w:sz w:val="30"/>
          <w:szCs w:val="30"/>
          <w:highlight w:val="none"/>
        </w:rPr>
      </w:pPr>
      <w:r>
        <w:rPr>
          <w:rFonts w:hint="eastAsia" w:ascii="宋体" w:hAnsi="宋体" w:eastAsia="宋体" w:cs="宋体"/>
          <w:b/>
          <w:bCs/>
          <w:color w:val="auto"/>
          <w:kern w:val="2"/>
          <w:sz w:val="30"/>
          <w:szCs w:val="30"/>
          <w:highlight w:val="none"/>
          <w:lang w:val="en-US" w:eastAsia="zh-CN" w:bidi="ar"/>
        </w:rPr>
        <w:t xml:space="preserve">  拟投入本项目使用的设备一览表</w:t>
      </w:r>
    </w:p>
    <w:p w14:paraId="4F6632D7">
      <w:pPr>
        <w:keepNext w:val="0"/>
        <w:keepLines w:val="0"/>
        <w:widowControl w:val="0"/>
        <w:suppressLineNumbers w:val="0"/>
        <w:shd w:val="clear"/>
        <w:spacing w:before="0" w:beforeAutospacing="0" w:after="0" w:afterAutospacing="0" w:line="500" w:lineRule="exact"/>
        <w:ind w:left="0" w:right="0" w:firstLine="480" w:firstLineChars="200"/>
        <w:jc w:val="both"/>
        <w:rPr>
          <w:rFonts w:hint="eastAsia" w:ascii="宋体" w:hAnsi="宋体" w:eastAsia="宋体" w:cs="黑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项目名称：</w:t>
      </w:r>
      <w:r>
        <w:rPr>
          <w:rFonts w:hint="eastAsia" w:ascii="宋体" w:hAnsi="宋体" w:eastAsia="宋体" w:cs="黑体"/>
          <w:color w:val="auto"/>
          <w:kern w:val="2"/>
          <w:sz w:val="24"/>
          <w:szCs w:val="24"/>
          <w:highlight w:val="none"/>
          <w:lang w:val="en-US" w:eastAsia="zh-CN" w:bidi="ar"/>
        </w:rPr>
        <w:t xml:space="preserve">                                </w:t>
      </w:r>
    </w:p>
    <w:p w14:paraId="0F77711F">
      <w:pPr>
        <w:keepNext w:val="0"/>
        <w:keepLines w:val="0"/>
        <w:widowControl w:val="0"/>
        <w:suppressLineNumbers w:val="0"/>
        <w:shd w:val="clear"/>
        <w:spacing w:before="0" w:beforeAutospacing="0" w:after="0" w:afterAutospacing="0" w:line="500" w:lineRule="exact"/>
        <w:ind w:left="0" w:right="0" w:firstLine="480" w:firstLineChars="200"/>
        <w:jc w:val="both"/>
        <w:rPr>
          <w:rFonts w:hint="eastAsia" w:ascii="宋体" w:hAnsi="宋体" w:eastAsia="宋体" w:cs="黑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项目编号：</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750"/>
        <w:gridCol w:w="930"/>
        <w:gridCol w:w="1930"/>
        <w:gridCol w:w="1800"/>
        <w:gridCol w:w="1612"/>
      </w:tblGrid>
      <w:tr w14:paraId="46F6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40DB1A7C">
            <w:pPr>
              <w:keepNext w:val="0"/>
              <w:keepLines w:val="0"/>
              <w:widowControl w:val="0"/>
              <w:suppressLineNumbers w:val="0"/>
              <w:shd w:val="clear"/>
              <w:spacing w:before="0" w:beforeAutospacing="0" w:after="0" w:afterAutospacing="0" w:line="500" w:lineRule="exact"/>
              <w:ind w:left="0" w:leftChars="0" w:right="0" w:firstLine="0" w:firstLineChars="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设备名称</w:t>
            </w:r>
          </w:p>
        </w:tc>
        <w:tc>
          <w:tcPr>
            <w:tcW w:w="750" w:type="dxa"/>
            <w:tcBorders>
              <w:top w:val="single" w:color="auto" w:sz="4" w:space="0"/>
              <w:left w:val="single" w:color="auto" w:sz="4" w:space="0"/>
              <w:bottom w:val="single" w:color="auto" w:sz="4" w:space="0"/>
              <w:right w:val="single" w:color="auto" w:sz="4" w:space="0"/>
            </w:tcBorders>
            <w:noWrap w:val="0"/>
            <w:vAlign w:val="center"/>
          </w:tcPr>
          <w:p w14:paraId="7DE03E39">
            <w:pPr>
              <w:keepNext w:val="0"/>
              <w:keepLines w:val="0"/>
              <w:widowControl w:val="0"/>
              <w:suppressLineNumbers w:val="0"/>
              <w:shd w:val="clear"/>
              <w:spacing w:before="0" w:beforeAutospacing="0" w:after="0" w:afterAutospacing="0" w:line="500" w:lineRule="exact"/>
              <w:ind w:left="0" w:leftChars="0" w:right="0" w:firstLine="0" w:firstLineChars="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单位</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0A79C1B5">
            <w:pPr>
              <w:keepNext w:val="0"/>
              <w:keepLines w:val="0"/>
              <w:widowControl w:val="0"/>
              <w:suppressLineNumbers w:val="0"/>
              <w:shd w:val="clear"/>
              <w:spacing w:before="0" w:beforeAutospacing="0" w:after="0" w:afterAutospacing="0" w:line="500" w:lineRule="exact"/>
              <w:ind w:left="0" w:leftChars="0" w:right="0" w:firstLine="0" w:firstLineChars="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数量</w:t>
            </w:r>
          </w:p>
        </w:tc>
        <w:tc>
          <w:tcPr>
            <w:tcW w:w="1930" w:type="dxa"/>
            <w:tcBorders>
              <w:top w:val="single" w:color="auto" w:sz="4" w:space="0"/>
              <w:left w:val="single" w:color="auto" w:sz="4" w:space="0"/>
              <w:bottom w:val="single" w:color="auto" w:sz="4" w:space="0"/>
              <w:right w:val="single" w:color="auto" w:sz="4" w:space="0"/>
            </w:tcBorders>
            <w:noWrap w:val="0"/>
            <w:vAlign w:val="center"/>
          </w:tcPr>
          <w:p w14:paraId="0F301C28">
            <w:pPr>
              <w:keepNext w:val="0"/>
              <w:keepLines w:val="0"/>
              <w:widowControl w:val="0"/>
              <w:suppressLineNumbers w:val="0"/>
              <w:shd w:val="clear"/>
              <w:spacing w:before="0" w:beforeAutospacing="0" w:after="0" w:afterAutospacing="0" w:line="500" w:lineRule="exact"/>
              <w:ind w:left="0" w:leftChars="0" w:right="0" w:firstLine="0" w:firstLineChars="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品牌型号</w:t>
            </w: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35DF90B">
            <w:pPr>
              <w:keepNext w:val="0"/>
              <w:keepLines w:val="0"/>
              <w:widowControl w:val="0"/>
              <w:suppressLineNumbers w:val="0"/>
              <w:shd w:val="clear"/>
              <w:spacing w:before="0" w:beforeAutospacing="0" w:after="0" w:afterAutospacing="0" w:line="500" w:lineRule="exact"/>
              <w:ind w:left="0" w:leftChars="0" w:right="0" w:firstLine="0" w:firstLineChars="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场地</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13BB6DE1">
            <w:pPr>
              <w:keepNext w:val="0"/>
              <w:keepLines w:val="0"/>
              <w:widowControl w:val="0"/>
              <w:suppressLineNumbers w:val="0"/>
              <w:shd w:val="clear"/>
              <w:spacing w:before="0" w:beforeAutospacing="0" w:after="0" w:afterAutospacing="0" w:line="500" w:lineRule="exact"/>
              <w:ind w:left="0" w:leftChars="0" w:right="0" w:firstLine="0" w:firstLineChars="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已使用年限</w:t>
            </w:r>
          </w:p>
        </w:tc>
      </w:tr>
      <w:tr w14:paraId="537F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66D1D0B6">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4D2FA124">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7878EEF4">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930" w:type="dxa"/>
            <w:tcBorders>
              <w:top w:val="single" w:color="auto" w:sz="4" w:space="0"/>
              <w:left w:val="single" w:color="auto" w:sz="4" w:space="0"/>
              <w:bottom w:val="single" w:color="auto" w:sz="4" w:space="0"/>
              <w:right w:val="single" w:color="auto" w:sz="4" w:space="0"/>
            </w:tcBorders>
            <w:noWrap w:val="0"/>
            <w:vAlign w:val="center"/>
          </w:tcPr>
          <w:p w14:paraId="50BD1182">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2084BFF">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5A1DF46B">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r>
      <w:tr w14:paraId="5DD4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0C2D4C0C">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4A29C367">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633D2415">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930" w:type="dxa"/>
            <w:tcBorders>
              <w:top w:val="single" w:color="auto" w:sz="4" w:space="0"/>
              <w:left w:val="single" w:color="auto" w:sz="4" w:space="0"/>
              <w:bottom w:val="single" w:color="auto" w:sz="4" w:space="0"/>
              <w:right w:val="single" w:color="auto" w:sz="4" w:space="0"/>
            </w:tcBorders>
            <w:noWrap w:val="0"/>
            <w:vAlign w:val="center"/>
          </w:tcPr>
          <w:p w14:paraId="71E0B8AF">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7435E61">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284ADE59">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r>
      <w:tr w14:paraId="15BB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130B2ED5">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54F76BA0">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2F9CAACC">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930" w:type="dxa"/>
            <w:tcBorders>
              <w:top w:val="single" w:color="auto" w:sz="4" w:space="0"/>
              <w:left w:val="single" w:color="auto" w:sz="4" w:space="0"/>
              <w:bottom w:val="single" w:color="auto" w:sz="4" w:space="0"/>
              <w:right w:val="single" w:color="auto" w:sz="4" w:space="0"/>
            </w:tcBorders>
            <w:noWrap w:val="0"/>
            <w:vAlign w:val="center"/>
          </w:tcPr>
          <w:p w14:paraId="0E837585">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89FE08D">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0748CACF">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r>
      <w:tr w14:paraId="7257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4B044474">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3F4D1970">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560C4BF8">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930" w:type="dxa"/>
            <w:tcBorders>
              <w:top w:val="single" w:color="auto" w:sz="4" w:space="0"/>
              <w:left w:val="single" w:color="auto" w:sz="4" w:space="0"/>
              <w:bottom w:val="single" w:color="auto" w:sz="4" w:space="0"/>
              <w:right w:val="single" w:color="auto" w:sz="4" w:space="0"/>
            </w:tcBorders>
            <w:noWrap w:val="0"/>
            <w:vAlign w:val="center"/>
          </w:tcPr>
          <w:p w14:paraId="2EBD6372">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71D07E5">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3DFA654A">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r>
      <w:tr w14:paraId="0CC9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587968E6">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3B77A56F">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2A25124B">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930" w:type="dxa"/>
            <w:tcBorders>
              <w:top w:val="single" w:color="auto" w:sz="4" w:space="0"/>
              <w:left w:val="single" w:color="auto" w:sz="4" w:space="0"/>
              <w:bottom w:val="single" w:color="auto" w:sz="4" w:space="0"/>
              <w:right w:val="single" w:color="auto" w:sz="4" w:space="0"/>
            </w:tcBorders>
            <w:noWrap w:val="0"/>
            <w:vAlign w:val="center"/>
          </w:tcPr>
          <w:p w14:paraId="63E081CC">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A0FE2B2">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679E9320">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r>
      <w:tr w14:paraId="0B19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6AF477BC">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7864AA6A">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755D3261">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930" w:type="dxa"/>
            <w:tcBorders>
              <w:top w:val="single" w:color="auto" w:sz="4" w:space="0"/>
              <w:left w:val="single" w:color="auto" w:sz="4" w:space="0"/>
              <w:bottom w:val="single" w:color="auto" w:sz="4" w:space="0"/>
              <w:right w:val="single" w:color="auto" w:sz="4" w:space="0"/>
            </w:tcBorders>
            <w:noWrap w:val="0"/>
            <w:vAlign w:val="center"/>
          </w:tcPr>
          <w:p w14:paraId="2051E002">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3528907B">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20FDB8E9">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r>
      <w:tr w14:paraId="12C8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74F86E54">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2BF64584">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3ACED9F5">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930" w:type="dxa"/>
            <w:tcBorders>
              <w:top w:val="single" w:color="auto" w:sz="4" w:space="0"/>
              <w:left w:val="single" w:color="auto" w:sz="4" w:space="0"/>
              <w:bottom w:val="single" w:color="auto" w:sz="4" w:space="0"/>
              <w:right w:val="single" w:color="auto" w:sz="4" w:space="0"/>
            </w:tcBorders>
            <w:noWrap w:val="0"/>
            <w:vAlign w:val="center"/>
          </w:tcPr>
          <w:p w14:paraId="711F20A2">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5C60D318">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19244340">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r>
      <w:tr w14:paraId="1B34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56D7B9DA">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15598440">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36FD39D1">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930" w:type="dxa"/>
            <w:tcBorders>
              <w:top w:val="single" w:color="auto" w:sz="4" w:space="0"/>
              <w:left w:val="single" w:color="auto" w:sz="4" w:space="0"/>
              <w:bottom w:val="single" w:color="auto" w:sz="4" w:space="0"/>
              <w:right w:val="single" w:color="auto" w:sz="4" w:space="0"/>
            </w:tcBorders>
            <w:noWrap w:val="0"/>
            <w:vAlign w:val="center"/>
          </w:tcPr>
          <w:p w14:paraId="6691D924">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66841D5D">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22ACEECA">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r>
      <w:tr w14:paraId="51F6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2E584C74">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2C362908">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747A8C73">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930" w:type="dxa"/>
            <w:tcBorders>
              <w:top w:val="single" w:color="auto" w:sz="4" w:space="0"/>
              <w:left w:val="single" w:color="auto" w:sz="4" w:space="0"/>
              <w:bottom w:val="single" w:color="auto" w:sz="4" w:space="0"/>
              <w:right w:val="single" w:color="auto" w:sz="4" w:space="0"/>
            </w:tcBorders>
            <w:noWrap w:val="0"/>
            <w:vAlign w:val="center"/>
          </w:tcPr>
          <w:p w14:paraId="3BB4D365">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07E9FB51">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5AA08EE6">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r>
      <w:tr w14:paraId="6008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2D7EF4EE">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4A1A5201">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3685A41B">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930" w:type="dxa"/>
            <w:tcBorders>
              <w:top w:val="single" w:color="auto" w:sz="4" w:space="0"/>
              <w:left w:val="single" w:color="auto" w:sz="4" w:space="0"/>
              <w:bottom w:val="single" w:color="auto" w:sz="4" w:space="0"/>
              <w:right w:val="single" w:color="auto" w:sz="4" w:space="0"/>
            </w:tcBorders>
            <w:noWrap w:val="0"/>
            <w:vAlign w:val="center"/>
          </w:tcPr>
          <w:p w14:paraId="175C0556">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2A1BD27">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610A0704">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r>
      <w:tr w14:paraId="2251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2F198D34">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18E5855E">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48F046AA">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930" w:type="dxa"/>
            <w:tcBorders>
              <w:top w:val="single" w:color="auto" w:sz="4" w:space="0"/>
              <w:left w:val="single" w:color="auto" w:sz="4" w:space="0"/>
              <w:bottom w:val="single" w:color="auto" w:sz="4" w:space="0"/>
              <w:right w:val="single" w:color="auto" w:sz="4" w:space="0"/>
            </w:tcBorders>
            <w:noWrap w:val="0"/>
            <w:vAlign w:val="center"/>
          </w:tcPr>
          <w:p w14:paraId="6BFE94D0">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4E897083">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016C4F0B">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r>
      <w:tr w14:paraId="0C9A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40BC3C34">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286A6D1F">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0D307B4C">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930" w:type="dxa"/>
            <w:tcBorders>
              <w:top w:val="single" w:color="auto" w:sz="4" w:space="0"/>
              <w:left w:val="single" w:color="auto" w:sz="4" w:space="0"/>
              <w:bottom w:val="single" w:color="auto" w:sz="4" w:space="0"/>
              <w:right w:val="single" w:color="auto" w:sz="4" w:space="0"/>
            </w:tcBorders>
            <w:noWrap w:val="0"/>
            <w:vAlign w:val="center"/>
          </w:tcPr>
          <w:p w14:paraId="6A444F2B">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7A4568DB">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6D6AABEF">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r>
      <w:tr w14:paraId="3CF6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33" w:type="dxa"/>
            <w:tcBorders>
              <w:top w:val="single" w:color="auto" w:sz="4" w:space="0"/>
              <w:left w:val="single" w:color="auto" w:sz="4" w:space="0"/>
              <w:bottom w:val="single" w:color="auto" w:sz="4" w:space="0"/>
              <w:right w:val="single" w:color="auto" w:sz="4" w:space="0"/>
            </w:tcBorders>
            <w:noWrap w:val="0"/>
            <w:vAlign w:val="center"/>
          </w:tcPr>
          <w:p w14:paraId="19C87563">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750" w:type="dxa"/>
            <w:tcBorders>
              <w:top w:val="single" w:color="auto" w:sz="4" w:space="0"/>
              <w:left w:val="single" w:color="auto" w:sz="4" w:space="0"/>
              <w:bottom w:val="single" w:color="auto" w:sz="4" w:space="0"/>
              <w:right w:val="single" w:color="auto" w:sz="4" w:space="0"/>
            </w:tcBorders>
            <w:noWrap w:val="0"/>
            <w:vAlign w:val="center"/>
          </w:tcPr>
          <w:p w14:paraId="08916B9C">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6FFC9018">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930" w:type="dxa"/>
            <w:tcBorders>
              <w:top w:val="single" w:color="auto" w:sz="4" w:space="0"/>
              <w:left w:val="single" w:color="auto" w:sz="4" w:space="0"/>
              <w:bottom w:val="single" w:color="auto" w:sz="4" w:space="0"/>
              <w:right w:val="single" w:color="auto" w:sz="4" w:space="0"/>
            </w:tcBorders>
            <w:noWrap w:val="0"/>
            <w:vAlign w:val="center"/>
          </w:tcPr>
          <w:p w14:paraId="56414856">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14:paraId="2B626682">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5E1F9297">
            <w:pPr>
              <w:keepNext w:val="0"/>
              <w:keepLines w:val="0"/>
              <w:widowControl w:val="0"/>
              <w:suppressLineNumbers w:val="0"/>
              <w:shd w:val="clear"/>
              <w:adjustRightInd w:val="0"/>
              <w:snapToGrid w:val="0"/>
              <w:spacing w:before="0" w:beforeAutospacing="0" w:after="0" w:afterAutospacing="0" w:line="312" w:lineRule="auto"/>
              <w:ind w:left="0" w:right="0" w:firstLine="480" w:firstLineChars="200"/>
              <w:jc w:val="both"/>
              <w:rPr>
                <w:rFonts w:hint="eastAsia" w:ascii="仿宋" w:hAnsi="仿宋" w:eastAsia="仿宋" w:cs="宋体"/>
                <w:color w:val="auto"/>
                <w:kern w:val="2"/>
                <w:sz w:val="24"/>
                <w:szCs w:val="24"/>
                <w:highlight w:val="none"/>
              </w:rPr>
            </w:pPr>
          </w:p>
        </w:tc>
      </w:tr>
    </w:tbl>
    <w:p w14:paraId="45AF394F">
      <w:pPr>
        <w:keepNext w:val="0"/>
        <w:keepLines w:val="0"/>
        <w:widowControl w:val="0"/>
        <w:suppressLineNumbers w:val="0"/>
        <w:shd w:val="clear"/>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56DEAE2F">
      <w:pPr>
        <w:pStyle w:val="3"/>
        <w:widowControl/>
        <w:numPr>
          <w:ilvl w:val="0"/>
          <w:numId w:val="0"/>
        </w:numPr>
        <w:shd w:val="clear"/>
        <w:ind w:left="0" w:firstLine="0"/>
        <w:jc w:val="both"/>
        <w:rPr>
          <w:rFonts w:hint="eastAsia" w:ascii="Arial" w:hAnsi="Arial" w:eastAsia="宋体" w:cs="黑体"/>
          <w:bCs/>
          <w:color w:val="auto"/>
          <w:kern w:val="2"/>
          <w:sz w:val="30"/>
          <w:szCs w:val="30"/>
          <w:highlight w:val="none"/>
        </w:rPr>
      </w:pPr>
    </w:p>
    <w:p w14:paraId="1F4F9852">
      <w:pPr>
        <w:keepNext w:val="0"/>
        <w:keepLines w:val="0"/>
        <w:widowControl w:val="0"/>
        <w:suppressLineNumbers w:val="0"/>
        <w:shd w:val="clear"/>
        <w:adjustRightInd w:val="0"/>
        <w:snapToGrid w:val="0"/>
        <w:spacing w:before="0" w:beforeAutospacing="0" w:after="0" w:afterAutospacing="0" w:line="360" w:lineRule="auto"/>
        <w:ind w:left="0" w:right="0" w:firstLine="4080" w:firstLineChars="1700"/>
        <w:jc w:val="left"/>
        <w:textAlignment w:val="baseline"/>
        <w:rPr>
          <w:rFonts w:hint="eastAsia" w:ascii="宋体" w:hAnsi="宋体" w:eastAsia="宋体" w:cs="宋体"/>
          <w:color w:val="auto"/>
          <w:kern w:val="2"/>
          <w:sz w:val="24"/>
          <w:szCs w:val="24"/>
          <w:highlight w:val="none"/>
          <w:vertAlign w:val="baseline"/>
        </w:rPr>
      </w:pPr>
      <w:r>
        <w:rPr>
          <w:rFonts w:hint="eastAsia" w:ascii="宋体" w:hAnsi="宋体" w:eastAsia="宋体" w:cs="宋体"/>
          <w:color w:val="auto"/>
          <w:kern w:val="2"/>
          <w:sz w:val="24"/>
          <w:szCs w:val="24"/>
          <w:highlight w:val="none"/>
          <w:vertAlign w:val="baseline"/>
          <w:lang w:val="en-US" w:eastAsia="zh-CN" w:bidi="ar"/>
        </w:rPr>
        <w:t>投标人名称（盖章）：</w:t>
      </w:r>
    </w:p>
    <w:p w14:paraId="25F10D62">
      <w:pPr>
        <w:keepNext w:val="0"/>
        <w:keepLines w:val="0"/>
        <w:widowControl w:val="0"/>
        <w:suppressLineNumbers w:val="0"/>
        <w:shd w:val="clear"/>
        <w:adjustRightInd w:val="0"/>
        <w:snapToGrid w:val="0"/>
        <w:spacing w:before="0" w:beforeAutospacing="0" w:after="0" w:afterAutospacing="0" w:line="360" w:lineRule="auto"/>
        <w:ind w:left="0" w:right="0" w:firstLine="4080" w:firstLineChars="1700"/>
        <w:jc w:val="left"/>
        <w:textAlignment w:val="baseline"/>
        <w:rPr>
          <w:rFonts w:hint="eastAsia" w:ascii="宋体" w:hAnsi="宋体" w:eastAsia="宋体" w:cs="宋体"/>
          <w:color w:val="auto"/>
          <w:kern w:val="2"/>
          <w:sz w:val="24"/>
          <w:szCs w:val="24"/>
          <w:highlight w:val="none"/>
          <w:u w:val="single"/>
          <w:vertAlign w:val="baseline"/>
        </w:rPr>
      </w:pPr>
      <w:r>
        <w:rPr>
          <w:rFonts w:hint="eastAsia" w:ascii="宋体" w:hAnsi="宋体" w:eastAsia="宋体" w:cs="宋体"/>
          <w:color w:val="auto"/>
          <w:kern w:val="2"/>
          <w:sz w:val="24"/>
          <w:szCs w:val="24"/>
          <w:highlight w:val="none"/>
          <w:vertAlign w:val="baseline"/>
          <w:lang w:val="en-US" w:eastAsia="zh-CN" w:bidi="ar"/>
        </w:rPr>
        <w:t>法定代表人或授权代理人（签字或盖章）：</w:t>
      </w:r>
    </w:p>
    <w:p w14:paraId="7443A0B6">
      <w:pPr>
        <w:keepNext w:val="0"/>
        <w:keepLines w:val="0"/>
        <w:widowControl/>
        <w:suppressLineNumbers w:val="0"/>
        <w:shd w:val="clear"/>
        <w:adjustRightInd w:val="0"/>
        <w:snapToGrid w:val="0"/>
        <w:spacing w:before="0" w:beforeAutospacing="0" w:after="0" w:afterAutospacing="0" w:line="360" w:lineRule="auto"/>
        <w:ind w:left="0" w:right="0" w:firstLine="4080" w:firstLineChars="17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日期：202</w:t>
      </w:r>
      <w:r>
        <w:rPr>
          <w:rFonts w:hint="eastAsia" w:ascii="宋体" w:hAnsi="宋体" w:cs="宋体"/>
          <w:color w:val="auto"/>
          <w:kern w:val="2"/>
          <w:sz w:val="24"/>
          <w:szCs w:val="24"/>
          <w:highlight w:val="none"/>
          <w:lang w:val="en-US" w:eastAsia="zh-CN" w:bidi="ar"/>
        </w:rPr>
        <w:t>5</w:t>
      </w:r>
      <w:r>
        <w:rPr>
          <w:rFonts w:hint="eastAsia" w:ascii="宋体" w:hAnsi="宋体" w:eastAsia="宋体" w:cs="宋体"/>
          <w:color w:val="auto"/>
          <w:kern w:val="2"/>
          <w:sz w:val="24"/>
          <w:szCs w:val="24"/>
          <w:highlight w:val="none"/>
          <w:lang w:val="en-US" w:eastAsia="zh-CN" w:bidi="ar"/>
        </w:rPr>
        <w:t>年   月   日</w:t>
      </w:r>
    </w:p>
    <w:p w14:paraId="024B0346">
      <w:pPr>
        <w:shd w:val="clear"/>
        <w:ind w:firstLine="0" w:firstLineChars="0"/>
        <w:outlineLvl w:val="1"/>
        <w:rPr>
          <w:rFonts w:hint="default" w:ascii="宋体" w:hAnsi="宋体" w:eastAsia="宋体" w:cs="宋体"/>
          <w:b/>
          <w:bCs/>
          <w:color w:val="auto"/>
          <w:highlight w:val="none"/>
          <w:lang w:val="en-US" w:eastAsia="zh-CN"/>
        </w:rPr>
      </w:pPr>
      <w:r>
        <w:rPr>
          <w:rFonts w:hint="eastAsia" w:ascii="宋体" w:hAnsi="宋体" w:cs="Arial"/>
          <w:bCs/>
          <w:color w:val="auto"/>
          <w:sz w:val="22"/>
          <w:szCs w:val="22"/>
          <w:highlight w:val="none"/>
          <w:lang w:bidi="ar"/>
        </w:rPr>
        <w:br w:type="page"/>
      </w:r>
      <w:bookmarkStart w:id="516" w:name="_Toc17877"/>
      <w:r>
        <w:rPr>
          <w:rFonts w:hint="eastAsia" w:ascii="宋体" w:hAnsi="宋体" w:cs="宋体"/>
          <w:b/>
          <w:bCs/>
          <w:color w:val="auto"/>
          <w:highlight w:val="none"/>
          <w:lang w:bidi="ar"/>
        </w:rPr>
        <w:t>附件</w:t>
      </w:r>
      <w:bookmarkEnd w:id="516"/>
      <w:r>
        <w:rPr>
          <w:rFonts w:hint="eastAsia" w:ascii="宋体" w:hAnsi="宋体" w:cs="宋体"/>
          <w:b/>
          <w:bCs/>
          <w:color w:val="auto"/>
          <w:highlight w:val="none"/>
          <w:lang w:val="en-US" w:eastAsia="zh-CN" w:bidi="ar"/>
        </w:rPr>
        <w:t>9</w:t>
      </w:r>
    </w:p>
    <w:p w14:paraId="12C93759">
      <w:pPr>
        <w:shd w:val="clear"/>
        <w:ind w:firstLine="200" w:firstLineChars="0"/>
        <w:jc w:val="center"/>
        <w:rPr>
          <w:rFonts w:cs="宋体"/>
          <w:b/>
          <w:color w:val="auto"/>
          <w:sz w:val="28"/>
          <w:szCs w:val="28"/>
          <w:highlight w:val="none"/>
        </w:rPr>
      </w:pPr>
      <w:r>
        <w:rPr>
          <w:rFonts w:hint="eastAsia" w:ascii="宋体" w:hAnsi="宋体" w:cs="宋体"/>
          <w:b/>
          <w:bCs/>
          <w:color w:val="auto"/>
          <w:sz w:val="30"/>
          <w:szCs w:val="30"/>
          <w:highlight w:val="none"/>
          <w:lang w:bidi="ar"/>
        </w:rPr>
        <w:t>商务条款响应（偏离）表</w:t>
      </w:r>
    </w:p>
    <w:p w14:paraId="4C5D1D89">
      <w:pPr>
        <w:shd w:val="clear"/>
        <w:snapToGrid w:val="0"/>
        <w:spacing w:before="50" w:after="50"/>
        <w:ind w:firstLine="240" w:firstLineChars="100"/>
        <w:rPr>
          <w:rFonts w:cs="宋体"/>
          <w:color w:val="auto"/>
          <w:highlight w:val="none"/>
        </w:rPr>
      </w:pPr>
      <w:r>
        <w:rPr>
          <w:rFonts w:hint="eastAsia" w:ascii="宋体" w:hAnsi="宋体" w:cs="宋体"/>
          <w:color w:val="auto"/>
          <w:highlight w:val="none"/>
          <w:lang w:bidi="ar"/>
        </w:rPr>
        <w:t>项目名称：</w:t>
      </w:r>
    </w:p>
    <w:p w14:paraId="2B42F733">
      <w:pPr>
        <w:shd w:val="clear"/>
        <w:snapToGrid w:val="0"/>
        <w:spacing w:before="50" w:after="50"/>
        <w:ind w:firstLine="240" w:firstLineChars="100"/>
        <w:rPr>
          <w:rFonts w:cs="宋体"/>
          <w:color w:val="auto"/>
          <w:spacing w:val="20"/>
          <w:highlight w:val="none"/>
        </w:rPr>
      </w:pPr>
      <w:r>
        <w:rPr>
          <w:rFonts w:hint="eastAsia" w:ascii="宋体" w:hAnsi="宋体" w:cs="宋体"/>
          <w:color w:val="auto"/>
          <w:highlight w:val="none"/>
          <w:lang w:bidi="ar"/>
        </w:rPr>
        <w:t>项目编号：</w:t>
      </w:r>
      <w:r>
        <w:rPr>
          <w:rFonts w:hint="eastAsia" w:cs="宋体"/>
          <w:color w:val="auto"/>
          <w:highlight w:val="none"/>
          <w:lang w:bidi="ar"/>
        </w:rPr>
        <w:t xml:space="preserve">             </w:t>
      </w:r>
    </w:p>
    <w:tbl>
      <w:tblPr>
        <w:tblStyle w:val="43"/>
        <w:tblW w:w="1011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03"/>
        <w:gridCol w:w="1678"/>
        <w:gridCol w:w="4388"/>
        <w:gridCol w:w="982"/>
        <w:gridCol w:w="2264"/>
      </w:tblGrid>
      <w:tr w14:paraId="3CA4CB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803"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3121E9E">
            <w:pPr>
              <w:shd w:val="clear"/>
              <w:adjustRightInd w:val="0"/>
              <w:snapToGrid w:val="0"/>
              <w:ind w:firstLine="0" w:firstLineChars="0"/>
              <w:jc w:val="center"/>
              <w:rPr>
                <w:rFonts w:cs="宋体"/>
                <w:color w:val="auto"/>
                <w:spacing w:val="20"/>
                <w:highlight w:val="none"/>
              </w:rPr>
            </w:pPr>
            <w:r>
              <w:rPr>
                <w:rFonts w:hint="eastAsia" w:ascii="宋体" w:hAnsi="宋体" w:cs="宋体"/>
                <w:color w:val="auto"/>
                <w:spacing w:val="20"/>
                <w:highlight w:val="none"/>
                <w:lang w:bidi="ar"/>
              </w:rPr>
              <w:t>序号</w:t>
            </w:r>
          </w:p>
        </w:tc>
        <w:tc>
          <w:tcPr>
            <w:tcW w:w="1678"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92D6AFE">
            <w:pPr>
              <w:shd w:val="clear"/>
              <w:adjustRightInd w:val="0"/>
              <w:snapToGrid w:val="0"/>
              <w:ind w:firstLine="0" w:firstLineChars="0"/>
              <w:jc w:val="center"/>
              <w:rPr>
                <w:rFonts w:cs="宋体"/>
                <w:color w:val="auto"/>
                <w:spacing w:val="20"/>
                <w:highlight w:val="none"/>
              </w:rPr>
            </w:pPr>
            <w:r>
              <w:rPr>
                <w:rFonts w:hint="eastAsia" w:ascii="宋体" w:hAnsi="宋体" w:cs="宋体"/>
                <w:color w:val="auto"/>
                <w:spacing w:val="20"/>
                <w:highlight w:val="none"/>
                <w:lang w:bidi="ar"/>
              </w:rPr>
              <w:t>内</w:t>
            </w:r>
            <w:r>
              <w:rPr>
                <w:rFonts w:hint="eastAsia" w:cs="宋体"/>
                <w:color w:val="auto"/>
                <w:spacing w:val="20"/>
                <w:highlight w:val="none"/>
                <w:lang w:bidi="ar"/>
              </w:rPr>
              <w:t xml:space="preserve"> </w:t>
            </w:r>
            <w:r>
              <w:rPr>
                <w:rFonts w:hint="eastAsia" w:ascii="宋体" w:hAnsi="宋体" w:cs="宋体"/>
                <w:color w:val="auto"/>
                <w:spacing w:val="20"/>
                <w:highlight w:val="none"/>
                <w:lang w:bidi="ar"/>
              </w:rPr>
              <w:t>容</w:t>
            </w:r>
          </w:p>
        </w:tc>
        <w:tc>
          <w:tcPr>
            <w:tcW w:w="4388"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E6E52B6">
            <w:pPr>
              <w:shd w:val="clear"/>
              <w:adjustRightInd w:val="0"/>
              <w:snapToGrid w:val="0"/>
              <w:ind w:firstLine="0" w:firstLineChars="0"/>
              <w:jc w:val="center"/>
              <w:rPr>
                <w:rFonts w:cs="宋体"/>
                <w:color w:val="auto"/>
                <w:spacing w:val="20"/>
                <w:highlight w:val="none"/>
              </w:rPr>
            </w:pPr>
            <w:r>
              <w:rPr>
                <w:rFonts w:hint="eastAsia" w:ascii="宋体" w:hAnsi="宋体" w:cs="宋体"/>
                <w:color w:val="auto"/>
                <w:spacing w:val="20"/>
                <w:highlight w:val="none"/>
                <w:lang w:bidi="ar"/>
              </w:rPr>
              <w:t>文件要求</w:t>
            </w:r>
          </w:p>
        </w:tc>
        <w:tc>
          <w:tcPr>
            <w:tcW w:w="982"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967F20C">
            <w:pPr>
              <w:shd w:val="clear"/>
              <w:adjustRightInd w:val="0"/>
              <w:snapToGrid w:val="0"/>
              <w:ind w:firstLine="0" w:firstLineChars="0"/>
              <w:jc w:val="center"/>
              <w:rPr>
                <w:rFonts w:cs="宋体"/>
                <w:color w:val="auto"/>
                <w:spacing w:val="20"/>
                <w:highlight w:val="none"/>
              </w:rPr>
            </w:pPr>
            <w:r>
              <w:rPr>
                <w:rFonts w:hint="eastAsia" w:ascii="宋体" w:hAnsi="宋体" w:cs="宋体"/>
                <w:color w:val="auto"/>
                <w:spacing w:val="20"/>
                <w:highlight w:val="none"/>
                <w:lang w:bidi="ar"/>
              </w:rPr>
              <w:t>是否响应</w:t>
            </w:r>
          </w:p>
        </w:tc>
        <w:tc>
          <w:tcPr>
            <w:tcW w:w="226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3BD9FB6">
            <w:pPr>
              <w:shd w:val="clear"/>
              <w:adjustRightInd w:val="0"/>
              <w:snapToGrid w:val="0"/>
              <w:ind w:firstLine="0" w:firstLineChars="0"/>
              <w:jc w:val="center"/>
              <w:rPr>
                <w:rFonts w:cs="宋体"/>
                <w:color w:val="auto"/>
                <w:spacing w:val="20"/>
                <w:highlight w:val="none"/>
              </w:rPr>
            </w:pPr>
            <w:r>
              <w:rPr>
                <w:rFonts w:hint="eastAsia" w:ascii="宋体" w:hAnsi="宋体" w:cs="宋体"/>
                <w:color w:val="auto"/>
                <w:spacing w:val="20"/>
                <w:highlight w:val="none"/>
                <w:lang w:bidi="ar"/>
              </w:rPr>
              <w:t>备注</w:t>
            </w:r>
          </w:p>
        </w:tc>
      </w:tr>
      <w:tr w14:paraId="345311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56" w:hRule="atLeast"/>
        </w:trPr>
        <w:tc>
          <w:tcPr>
            <w:tcW w:w="803"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922CB07">
            <w:pPr>
              <w:shd w:val="clear"/>
              <w:adjustRightInd w:val="0"/>
              <w:snapToGrid w:val="0"/>
              <w:ind w:firstLine="0" w:firstLineChars="0"/>
              <w:jc w:val="center"/>
              <w:rPr>
                <w:rFonts w:hint="eastAsia" w:ascii="宋体" w:hAnsi="宋体" w:cs="宋体"/>
                <w:color w:val="auto"/>
                <w:spacing w:val="20"/>
                <w:highlight w:val="none"/>
              </w:rPr>
            </w:pPr>
            <w:r>
              <w:rPr>
                <w:rFonts w:hint="eastAsia" w:ascii="宋体" w:hAnsi="宋体" w:cs="宋体"/>
                <w:color w:val="auto"/>
                <w:spacing w:val="20"/>
                <w:highlight w:val="none"/>
                <w:lang w:bidi="ar"/>
              </w:rPr>
              <w:t>1</w:t>
            </w:r>
          </w:p>
        </w:tc>
        <w:tc>
          <w:tcPr>
            <w:tcW w:w="1678"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6D39259">
            <w:pPr>
              <w:shd w:val="clear"/>
              <w:adjustRightInd w:val="0"/>
              <w:ind w:firstLine="0" w:firstLineChars="0"/>
              <w:jc w:val="center"/>
              <w:rPr>
                <w:rFonts w:hint="eastAsia" w:ascii="宋体" w:hAnsi="宋体" w:eastAsia="宋体" w:cs="宋体"/>
                <w:color w:val="auto"/>
                <w:spacing w:val="20"/>
                <w:highlight w:val="none"/>
                <w:lang w:eastAsia="zh-CN"/>
              </w:rPr>
            </w:pPr>
            <w:r>
              <w:rPr>
                <w:rFonts w:hint="eastAsia" w:ascii="宋体" w:hAnsi="宋体" w:cs="宋体"/>
                <w:color w:val="auto"/>
                <w:spacing w:val="20"/>
                <w:highlight w:val="none"/>
                <w:lang w:val="en-US" w:eastAsia="zh-CN" w:bidi="ar"/>
              </w:rPr>
              <w:t>服务期限</w:t>
            </w:r>
          </w:p>
        </w:tc>
        <w:tc>
          <w:tcPr>
            <w:tcW w:w="4388"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DA2531F">
            <w:pPr>
              <w:shd w:val="clear"/>
              <w:adjustRightInd w:val="0"/>
              <w:ind w:firstLine="200" w:firstLineChars="0"/>
              <w:jc w:val="center"/>
              <w:rPr>
                <w:rFonts w:hint="eastAsia" w:ascii="宋体" w:hAnsi="宋体" w:cs="宋体"/>
                <w:color w:val="auto"/>
                <w:spacing w:val="20"/>
                <w:highlight w:val="none"/>
              </w:rPr>
            </w:pPr>
          </w:p>
        </w:tc>
        <w:tc>
          <w:tcPr>
            <w:tcW w:w="982"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75BB097">
            <w:pPr>
              <w:shd w:val="clear"/>
              <w:adjustRightInd w:val="0"/>
              <w:snapToGrid w:val="0"/>
              <w:ind w:firstLine="0" w:firstLineChars="0"/>
              <w:jc w:val="center"/>
              <w:rPr>
                <w:rFonts w:hint="eastAsia" w:ascii="宋体" w:hAnsi="宋体" w:cs="宋体"/>
                <w:color w:val="auto"/>
                <w:spacing w:val="20"/>
                <w:highlight w:val="none"/>
              </w:rPr>
            </w:pPr>
          </w:p>
        </w:tc>
        <w:tc>
          <w:tcPr>
            <w:tcW w:w="2264" w:type="dxa"/>
            <w:vMerge w:val="restart"/>
            <w:tcBorders>
              <w:top w:val="nil"/>
              <w:left w:val="single" w:color="auto" w:sz="6" w:space="0"/>
              <w:bottom w:val="single" w:color="auto" w:sz="6" w:space="0"/>
              <w:right w:val="single" w:color="auto" w:sz="6" w:space="0"/>
            </w:tcBorders>
            <w:shd w:val="clear" w:color="auto" w:fill="auto"/>
            <w:noWrap/>
            <w:vAlign w:val="center"/>
          </w:tcPr>
          <w:p w14:paraId="53927303">
            <w:pPr>
              <w:shd w:val="clear"/>
              <w:adjustRightInd w:val="0"/>
              <w:snapToGrid w:val="0"/>
              <w:ind w:firstLine="0" w:firstLineChars="0"/>
              <w:jc w:val="center"/>
              <w:rPr>
                <w:rFonts w:hint="eastAsia" w:ascii="宋体" w:hAnsi="宋体" w:cs="宋体"/>
                <w:color w:val="auto"/>
                <w:spacing w:val="20"/>
                <w:highlight w:val="none"/>
              </w:rPr>
            </w:pPr>
            <w:r>
              <w:rPr>
                <w:rFonts w:hint="eastAsia" w:ascii="宋体" w:hAnsi="宋体" w:cs="宋体"/>
                <w:color w:val="auto"/>
                <w:spacing w:val="20"/>
                <w:highlight w:val="none"/>
                <w:lang w:bidi="ar"/>
              </w:rPr>
              <w:t>对于商务条款的任何负偏离，直接作无效标处理。</w:t>
            </w:r>
          </w:p>
        </w:tc>
      </w:tr>
      <w:tr w14:paraId="4DF83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7" w:hRule="atLeast"/>
        </w:trPr>
        <w:tc>
          <w:tcPr>
            <w:tcW w:w="803" w:type="dxa"/>
            <w:tcBorders>
              <w:top w:val="single" w:color="auto" w:sz="6" w:space="0"/>
              <w:left w:val="single" w:color="auto" w:sz="6" w:space="0"/>
              <w:bottom w:val="single" w:color="auto" w:sz="6" w:space="0"/>
              <w:right w:val="single" w:color="auto" w:sz="6" w:space="0"/>
            </w:tcBorders>
            <w:shd w:val="clear" w:color="auto" w:fill="auto"/>
            <w:noWrap/>
            <w:vAlign w:val="center"/>
          </w:tcPr>
          <w:p w14:paraId="71E5A67E">
            <w:pPr>
              <w:shd w:val="clear"/>
              <w:adjustRightInd w:val="0"/>
              <w:snapToGrid w:val="0"/>
              <w:ind w:firstLine="0" w:firstLineChars="0"/>
              <w:jc w:val="center"/>
              <w:rPr>
                <w:rFonts w:hint="eastAsia" w:ascii="宋体" w:hAnsi="宋体" w:cs="宋体"/>
                <w:color w:val="auto"/>
                <w:spacing w:val="20"/>
                <w:highlight w:val="none"/>
              </w:rPr>
            </w:pPr>
            <w:r>
              <w:rPr>
                <w:rFonts w:hint="eastAsia" w:ascii="宋体" w:hAnsi="宋体" w:cs="宋体"/>
                <w:color w:val="auto"/>
                <w:spacing w:val="20"/>
                <w:highlight w:val="none"/>
                <w:lang w:bidi="ar"/>
              </w:rPr>
              <w:t>2</w:t>
            </w:r>
          </w:p>
        </w:tc>
        <w:tc>
          <w:tcPr>
            <w:tcW w:w="1678" w:type="dxa"/>
            <w:tcBorders>
              <w:top w:val="single" w:color="auto" w:sz="6" w:space="0"/>
              <w:left w:val="single" w:color="auto" w:sz="6" w:space="0"/>
              <w:bottom w:val="single" w:color="auto" w:sz="6" w:space="0"/>
              <w:right w:val="single" w:color="auto" w:sz="6" w:space="0"/>
            </w:tcBorders>
            <w:shd w:val="clear" w:color="auto" w:fill="auto"/>
            <w:noWrap/>
            <w:vAlign w:val="center"/>
          </w:tcPr>
          <w:p w14:paraId="12312796">
            <w:pPr>
              <w:shd w:val="clear"/>
              <w:adjustRightInd w:val="0"/>
              <w:snapToGrid w:val="0"/>
              <w:ind w:firstLine="0" w:firstLineChars="0"/>
              <w:jc w:val="center"/>
              <w:rPr>
                <w:rFonts w:hint="eastAsia" w:ascii="宋体" w:hAnsi="宋体" w:cs="宋体"/>
                <w:color w:val="auto"/>
                <w:spacing w:val="20"/>
                <w:highlight w:val="none"/>
              </w:rPr>
            </w:pPr>
            <w:r>
              <w:rPr>
                <w:rFonts w:hint="eastAsia" w:ascii="宋体" w:hAnsi="宋体" w:cs="宋体"/>
                <w:color w:val="auto"/>
                <w:spacing w:val="20"/>
                <w:highlight w:val="none"/>
                <w:lang w:bidi="ar"/>
              </w:rPr>
              <w:t>付款方式</w:t>
            </w:r>
          </w:p>
        </w:tc>
        <w:tc>
          <w:tcPr>
            <w:tcW w:w="4388"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2C86A0E">
            <w:pPr>
              <w:shd w:val="clear"/>
              <w:adjustRightInd w:val="0"/>
              <w:snapToGrid w:val="0"/>
              <w:ind w:firstLine="0" w:firstLineChars="0"/>
              <w:jc w:val="center"/>
              <w:rPr>
                <w:rFonts w:hint="eastAsia" w:ascii="宋体" w:hAnsi="宋体" w:cs="宋体"/>
                <w:color w:val="auto"/>
                <w:spacing w:val="20"/>
                <w:highlight w:val="none"/>
              </w:rPr>
            </w:pPr>
          </w:p>
        </w:tc>
        <w:tc>
          <w:tcPr>
            <w:tcW w:w="982"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D995647">
            <w:pPr>
              <w:shd w:val="clear"/>
              <w:adjustRightInd w:val="0"/>
              <w:snapToGrid w:val="0"/>
              <w:ind w:firstLine="0" w:firstLineChars="0"/>
              <w:jc w:val="center"/>
              <w:rPr>
                <w:rFonts w:hint="eastAsia" w:ascii="宋体" w:hAnsi="宋体" w:cs="宋体"/>
                <w:color w:val="auto"/>
                <w:spacing w:val="20"/>
                <w:highlight w:val="none"/>
              </w:rPr>
            </w:pPr>
          </w:p>
        </w:tc>
        <w:tc>
          <w:tcPr>
            <w:tcW w:w="2264" w:type="dxa"/>
            <w:vMerge w:val="continue"/>
            <w:tcBorders>
              <w:top w:val="nil"/>
              <w:left w:val="single" w:color="auto" w:sz="6" w:space="0"/>
              <w:bottom w:val="single" w:color="auto" w:sz="6" w:space="0"/>
              <w:right w:val="single" w:color="auto" w:sz="6" w:space="0"/>
            </w:tcBorders>
            <w:shd w:val="clear" w:color="auto" w:fill="auto"/>
            <w:noWrap/>
            <w:vAlign w:val="center"/>
          </w:tcPr>
          <w:p w14:paraId="5E8FCEAA">
            <w:pPr>
              <w:shd w:val="clear"/>
              <w:ind w:firstLine="400"/>
              <w:rPr>
                <w:rFonts w:cs="Times New Roman"/>
                <w:color w:val="auto"/>
                <w:sz w:val="20"/>
                <w:szCs w:val="20"/>
                <w:highlight w:val="none"/>
              </w:rPr>
            </w:pPr>
          </w:p>
        </w:tc>
      </w:tr>
      <w:tr w14:paraId="4D1191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42" w:hRule="atLeast"/>
        </w:trPr>
        <w:tc>
          <w:tcPr>
            <w:tcW w:w="803"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7630198">
            <w:pPr>
              <w:shd w:val="clear"/>
              <w:adjustRightInd w:val="0"/>
              <w:snapToGrid w:val="0"/>
              <w:ind w:firstLine="0" w:firstLineChars="0"/>
              <w:jc w:val="center"/>
              <w:rPr>
                <w:rFonts w:hint="eastAsia" w:ascii="宋体" w:hAnsi="宋体" w:cs="宋体"/>
                <w:color w:val="auto"/>
                <w:spacing w:val="20"/>
                <w:highlight w:val="none"/>
              </w:rPr>
            </w:pPr>
            <w:r>
              <w:rPr>
                <w:rFonts w:hint="eastAsia" w:ascii="宋体" w:hAnsi="宋体" w:cs="宋体"/>
                <w:color w:val="auto"/>
                <w:spacing w:val="20"/>
                <w:highlight w:val="none"/>
                <w:lang w:bidi="ar"/>
              </w:rPr>
              <w:t>3</w:t>
            </w:r>
          </w:p>
        </w:tc>
        <w:tc>
          <w:tcPr>
            <w:tcW w:w="1678"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C4105B3">
            <w:pPr>
              <w:shd w:val="clear"/>
              <w:adjustRightInd w:val="0"/>
              <w:snapToGrid w:val="0"/>
              <w:ind w:firstLine="0" w:firstLineChars="0"/>
              <w:jc w:val="center"/>
              <w:rPr>
                <w:rFonts w:hint="eastAsia" w:ascii="宋体" w:hAnsi="宋体" w:cs="宋体"/>
                <w:color w:val="auto"/>
                <w:spacing w:val="20"/>
                <w:highlight w:val="none"/>
              </w:rPr>
            </w:pPr>
            <w:r>
              <w:rPr>
                <w:rFonts w:hint="eastAsia" w:ascii="宋体" w:hAnsi="宋体" w:cs="宋体"/>
                <w:color w:val="auto"/>
                <w:spacing w:val="20"/>
                <w:highlight w:val="none"/>
                <w:lang w:bidi="ar"/>
              </w:rPr>
              <w:t>……</w:t>
            </w:r>
          </w:p>
        </w:tc>
        <w:tc>
          <w:tcPr>
            <w:tcW w:w="4388"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58489EF">
            <w:pPr>
              <w:shd w:val="clear"/>
              <w:adjustRightInd w:val="0"/>
              <w:snapToGrid w:val="0"/>
              <w:ind w:firstLine="0" w:firstLineChars="0"/>
              <w:jc w:val="center"/>
              <w:rPr>
                <w:rFonts w:hint="eastAsia" w:ascii="宋体" w:hAnsi="宋体" w:cs="宋体"/>
                <w:color w:val="auto"/>
                <w:spacing w:val="20"/>
                <w:highlight w:val="none"/>
              </w:rPr>
            </w:pPr>
          </w:p>
        </w:tc>
        <w:tc>
          <w:tcPr>
            <w:tcW w:w="982"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8AC4A7F">
            <w:pPr>
              <w:shd w:val="clear"/>
              <w:adjustRightInd w:val="0"/>
              <w:snapToGrid w:val="0"/>
              <w:ind w:firstLine="0" w:firstLineChars="0"/>
              <w:jc w:val="center"/>
              <w:rPr>
                <w:rFonts w:hint="eastAsia" w:ascii="宋体" w:hAnsi="宋体" w:cs="宋体"/>
                <w:color w:val="auto"/>
                <w:spacing w:val="20"/>
                <w:highlight w:val="none"/>
              </w:rPr>
            </w:pPr>
          </w:p>
        </w:tc>
        <w:tc>
          <w:tcPr>
            <w:tcW w:w="2264"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4B2DE94">
            <w:pPr>
              <w:shd w:val="clear"/>
              <w:adjustRightInd w:val="0"/>
              <w:snapToGrid w:val="0"/>
              <w:ind w:firstLine="0" w:firstLineChars="0"/>
              <w:jc w:val="center"/>
              <w:rPr>
                <w:rFonts w:hint="eastAsia" w:ascii="宋体" w:hAnsi="宋体" w:cs="宋体"/>
                <w:color w:val="auto"/>
                <w:spacing w:val="20"/>
                <w:highlight w:val="none"/>
              </w:rPr>
            </w:pPr>
          </w:p>
        </w:tc>
      </w:tr>
    </w:tbl>
    <w:p w14:paraId="360AD559">
      <w:pPr>
        <w:widowControl/>
        <w:shd w:val="clear"/>
        <w:adjustRightInd w:val="0"/>
        <w:snapToGrid w:val="0"/>
        <w:spacing w:line="360" w:lineRule="auto"/>
        <w:ind w:firstLine="0" w:firstLineChars="0"/>
        <w:jc w:val="left"/>
        <w:rPr>
          <w:rFonts w:hint="eastAsia" w:ascii="宋体" w:hAnsi="宋体" w:cs="宋体"/>
          <w:color w:val="auto"/>
          <w:highlight w:val="none"/>
        </w:rPr>
      </w:pPr>
      <w:r>
        <w:rPr>
          <w:rFonts w:hint="eastAsia" w:ascii="宋体" w:hAnsi="宋体" w:cs="宋体"/>
          <w:color w:val="auto"/>
          <w:highlight w:val="none"/>
          <w:lang w:bidi="ar"/>
        </w:rPr>
        <w:t xml:space="preserve"> </w:t>
      </w:r>
    </w:p>
    <w:p w14:paraId="58A79777">
      <w:pPr>
        <w:pStyle w:val="37"/>
        <w:widowControl w:val="0"/>
        <w:shd w:val="clear"/>
        <w:spacing w:before="0" w:beforeAutospacing="0" w:after="0" w:afterAutospacing="0"/>
        <w:ind w:firstLine="480"/>
        <w:rPr>
          <w:rFonts w:hint="eastAsia" w:cs="宋体"/>
          <w:bCs/>
          <w:color w:val="auto"/>
          <w:kern w:val="2"/>
          <w:highlight w:val="none"/>
        </w:rPr>
      </w:pPr>
      <w:r>
        <w:rPr>
          <w:rFonts w:hint="eastAsia" w:cs="宋体"/>
          <w:bCs/>
          <w:color w:val="auto"/>
          <w:kern w:val="2"/>
          <w:highlight w:val="none"/>
          <w:lang w:bidi="ar"/>
        </w:rPr>
        <w:t xml:space="preserve"> </w:t>
      </w:r>
    </w:p>
    <w:p w14:paraId="306A8BCB">
      <w:pPr>
        <w:shd w:val="clear"/>
        <w:ind w:firstLine="480"/>
        <w:rPr>
          <w:rFonts w:hint="eastAsia" w:ascii="宋体" w:hAnsi="宋体" w:cs="宋体"/>
          <w:color w:val="auto"/>
          <w:highlight w:val="none"/>
        </w:rPr>
      </w:pPr>
      <w:r>
        <w:rPr>
          <w:rFonts w:hint="eastAsia" w:ascii="宋体" w:hAnsi="宋体" w:cs="宋体"/>
          <w:color w:val="auto"/>
          <w:highlight w:val="none"/>
          <w:lang w:bidi="ar"/>
        </w:rPr>
        <w:t xml:space="preserve"> </w:t>
      </w:r>
    </w:p>
    <w:p w14:paraId="0281C33E">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投标人名称（盖章）:</w:t>
      </w:r>
    </w:p>
    <w:p w14:paraId="472BC27E">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法定代表人或授权代理人（签字或盖章）:</w:t>
      </w:r>
    </w:p>
    <w:p w14:paraId="74D1329D">
      <w:pPr>
        <w:widowControl/>
        <w:shd w:val="clear"/>
        <w:adjustRightInd w:val="0"/>
        <w:snapToGrid w:val="0"/>
        <w:spacing w:line="360" w:lineRule="auto"/>
        <w:ind w:firstLine="4080" w:firstLineChars="1700"/>
        <w:rPr>
          <w:rFonts w:hint="eastAsia" w:ascii="宋体" w:hAnsi="宋体" w:cs="宋体"/>
          <w:color w:val="auto"/>
          <w:highlight w:val="none"/>
        </w:rPr>
      </w:pPr>
      <w:r>
        <w:rPr>
          <w:rFonts w:hint="eastAsia" w:ascii="宋体" w:hAnsi="宋体" w:cs="宋体"/>
          <w:color w:val="auto"/>
          <w:highlight w:val="none"/>
          <w:lang w:bidi="ar"/>
        </w:rPr>
        <w:t>日期:2025年   月   日</w:t>
      </w:r>
    </w:p>
    <w:p w14:paraId="188FB5E3">
      <w:pPr>
        <w:pStyle w:val="37"/>
        <w:widowControl w:val="0"/>
        <w:shd w:val="clear"/>
        <w:spacing w:before="0" w:beforeAutospacing="0" w:after="0" w:afterAutospacing="0"/>
        <w:ind w:firstLine="480"/>
        <w:rPr>
          <w:rFonts w:hint="eastAsia" w:cs="宋体"/>
          <w:bCs/>
          <w:color w:val="auto"/>
          <w:kern w:val="2"/>
          <w:highlight w:val="none"/>
        </w:rPr>
      </w:pPr>
      <w:r>
        <w:rPr>
          <w:rFonts w:hint="eastAsia" w:cs="宋体"/>
          <w:bCs/>
          <w:color w:val="auto"/>
          <w:kern w:val="2"/>
          <w:highlight w:val="none"/>
          <w:lang w:bidi="ar"/>
        </w:rPr>
        <w:t xml:space="preserve"> </w:t>
      </w:r>
    </w:p>
    <w:p w14:paraId="5C417AE3">
      <w:pPr>
        <w:widowControl/>
        <w:shd w:val="clear"/>
        <w:ind w:firstLine="480"/>
        <w:rPr>
          <w:rFonts w:hint="eastAsia" w:ascii="宋体" w:hAnsi="宋体" w:cs="宋体"/>
          <w:bCs/>
          <w:color w:val="auto"/>
          <w:highlight w:val="none"/>
        </w:rPr>
      </w:pPr>
      <w:r>
        <w:rPr>
          <w:rFonts w:hint="eastAsia" w:ascii="宋体" w:hAnsi="宋体" w:cs="宋体"/>
          <w:bCs/>
          <w:color w:val="auto"/>
          <w:highlight w:val="none"/>
        </w:rPr>
        <w:t xml:space="preserve"> </w:t>
      </w:r>
    </w:p>
    <w:p w14:paraId="571443DC">
      <w:pPr>
        <w:shd w:val="clear"/>
        <w:ind w:firstLine="480"/>
        <w:rPr>
          <w:rFonts w:cs="Times New Roman"/>
          <w:color w:val="auto"/>
          <w:highlight w:val="none"/>
        </w:rPr>
      </w:pPr>
      <w:r>
        <w:rPr>
          <w:rFonts w:cs="Times New Roman"/>
          <w:color w:val="auto"/>
          <w:highlight w:val="none"/>
          <w:lang w:bidi="ar"/>
        </w:rPr>
        <w:t xml:space="preserve"> </w:t>
      </w:r>
    </w:p>
    <w:p w14:paraId="3F7C3041">
      <w:pPr>
        <w:shd w:val="clear"/>
        <w:ind w:firstLine="0" w:firstLineChars="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lang w:bidi="ar"/>
        </w:rPr>
        <w:t xml:space="preserve"> </w:t>
      </w:r>
    </w:p>
    <w:p w14:paraId="1A540595">
      <w:pPr>
        <w:shd w:val="clear"/>
        <w:ind w:firstLine="0" w:firstLineChars="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lang w:bidi="ar"/>
        </w:rPr>
        <w:t xml:space="preserve"> </w:t>
      </w:r>
    </w:p>
    <w:p w14:paraId="2466E20C">
      <w:pPr>
        <w:shd w:val="clear"/>
        <w:ind w:firstLine="0" w:firstLineChars="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lang w:bidi="ar"/>
        </w:rPr>
        <w:t xml:space="preserve"> </w:t>
      </w:r>
    </w:p>
    <w:p w14:paraId="19FAB3B0">
      <w:pPr>
        <w:shd w:val="clear"/>
        <w:ind w:firstLine="0" w:firstLineChars="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lang w:bidi="ar"/>
        </w:rPr>
        <w:t xml:space="preserve"> </w:t>
      </w:r>
    </w:p>
    <w:p w14:paraId="41CC2BCC">
      <w:pPr>
        <w:shd w:val="clear"/>
        <w:ind w:firstLine="643"/>
        <w:jc w:val="center"/>
        <w:rPr>
          <w:rFonts w:hint="eastAsia" w:ascii="宋体" w:hAnsi="宋体" w:cs="宋体"/>
          <w:b/>
          <w:color w:val="auto"/>
          <w:sz w:val="32"/>
          <w:szCs w:val="32"/>
          <w:highlight w:val="none"/>
          <w:lang w:bidi="ar"/>
        </w:rPr>
      </w:pPr>
    </w:p>
    <w:p w14:paraId="50B9082D">
      <w:pPr>
        <w:shd w:val="clear"/>
        <w:ind w:firstLine="0" w:firstLineChars="0"/>
        <w:rPr>
          <w:rFonts w:hint="eastAsia" w:ascii="宋体" w:hAnsi="宋体" w:cs="宋体"/>
          <w:b/>
          <w:bCs/>
          <w:color w:val="auto"/>
          <w:highlight w:val="none"/>
          <w:lang w:bidi="ar"/>
        </w:rPr>
      </w:pPr>
    </w:p>
    <w:p w14:paraId="657B82BB">
      <w:pPr>
        <w:shd w:val="clear"/>
        <w:ind w:firstLine="0" w:firstLineChars="0"/>
        <w:outlineLvl w:val="0"/>
        <w:rPr>
          <w:rFonts w:hint="eastAsia" w:eastAsia="宋体" w:cs="Times New Roman"/>
          <w:color w:val="auto"/>
          <w:highlight w:val="none"/>
          <w:lang w:eastAsia="zh-CN"/>
        </w:rPr>
      </w:pPr>
      <w:bookmarkStart w:id="517" w:name="_Toc2025"/>
      <w:r>
        <w:rPr>
          <w:rFonts w:hint="eastAsia" w:ascii="宋体" w:hAnsi="宋体" w:cs="宋体"/>
          <w:b/>
          <w:bCs/>
          <w:color w:val="auto"/>
          <w:highlight w:val="none"/>
          <w:lang w:bidi="ar"/>
        </w:rPr>
        <w:t>附件1</w:t>
      </w:r>
      <w:bookmarkEnd w:id="517"/>
      <w:r>
        <w:rPr>
          <w:rFonts w:hint="eastAsia" w:ascii="宋体" w:hAnsi="宋体" w:cs="宋体"/>
          <w:b/>
          <w:bCs/>
          <w:color w:val="auto"/>
          <w:highlight w:val="none"/>
          <w:lang w:val="en-US" w:eastAsia="zh-CN" w:bidi="ar"/>
        </w:rPr>
        <w:t>0</w:t>
      </w:r>
    </w:p>
    <w:p w14:paraId="4E533EB6">
      <w:pPr>
        <w:shd w:val="clear"/>
        <w:spacing w:line="360" w:lineRule="auto"/>
        <w:ind w:firstLine="0" w:firstLineChars="0"/>
        <w:jc w:val="center"/>
        <w:rPr>
          <w:rFonts w:hint="eastAsia" w:ascii="宋体" w:hAnsi="宋体" w:cs="Times New Roman"/>
          <w:color w:val="auto"/>
          <w:spacing w:val="-4"/>
          <w:highlight w:val="none"/>
        </w:rPr>
      </w:pPr>
      <w:r>
        <w:rPr>
          <w:rFonts w:hint="eastAsia" w:ascii="宋体" w:hAnsi="宋体" w:cs="宋体"/>
          <w:b/>
          <w:color w:val="auto"/>
          <w:spacing w:val="-4"/>
          <w:sz w:val="32"/>
          <w:szCs w:val="32"/>
          <w:highlight w:val="none"/>
          <w:lang w:bidi="ar"/>
        </w:rPr>
        <w:t>开标一览表</w:t>
      </w:r>
      <w:r>
        <w:rPr>
          <w:rFonts w:hint="eastAsia" w:ascii="宋体" w:hAnsi="宋体" w:cs="Times New Roman"/>
          <w:color w:val="auto"/>
          <w:spacing w:val="-4"/>
          <w:highlight w:val="none"/>
          <w:lang w:bidi="ar"/>
        </w:rPr>
        <w:t xml:space="preserve"> </w:t>
      </w:r>
    </w:p>
    <w:p w14:paraId="6A99B2D7">
      <w:pPr>
        <w:shd w:val="clear"/>
        <w:spacing w:line="360" w:lineRule="auto"/>
        <w:ind w:firstLine="720" w:firstLineChars="300"/>
        <w:rPr>
          <w:rFonts w:hint="eastAsia" w:ascii="宋体" w:hAnsi="宋体" w:cs="Times New Roman"/>
          <w:color w:val="auto"/>
          <w:spacing w:val="-4"/>
          <w:highlight w:val="none"/>
          <w:u w:val="single"/>
        </w:rPr>
      </w:pPr>
      <w:r>
        <w:rPr>
          <w:rFonts w:hint="eastAsia" w:cs="宋体"/>
          <w:color w:val="auto"/>
          <w:highlight w:val="none"/>
          <w:lang w:bidi="ar"/>
        </w:rPr>
        <w:t xml:space="preserve"> </w:t>
      </w:r>
      <w:r>
        <w:rPr>
          <w:rFonts w:hint="eastAsia" w:ascii="宋体" w:hAnsi="宋体" w:cs="Times New Roman"/>
          <w:color w:val="auto"/>
          <w:spacing w:val="-4"/>
          <w:highlight w:val="none"/>
          <w:lang w:bidi="ar"/>
        </w:rPr>
        <w:t xml:space="preserve">                                                           </w:t>
      </w:r>
      <w:r>
        <w:rPr>
          <w:rFonts w:hint="eastAsia" w:ascii="宋体" w:hAnsi="宋体" w:cs="宋体"/>
          <w:color w:val="auto"/>
          <w:spacing w:val="-4"/>
          <w:highlight w:val="none"/>
          <w:lang w:bidi="ar"/>
        </w:rPr>
        <w:t>货币形式：</w:t>
      </w:r>
      <w:r>
        <w:rPr>
          <w:rFonts w:hint="eastAsia" w:ascii="宋体" w:hAnsi="宋体" w:cs="宋体"/>
          <w:color w:val="auto"/>
          <w:spacing w:val="-4"/>
          <w:highlight w:val="none"/>
          <w:u w:val="single"/>
          <w:lang w:bidi="ar"/>
        </w:rPr>
        <w:t>人民币/元</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33"/>
        <w:gridCol w:w="6973"/>
      </w:tblGrid>
      <w:tr w14:paraId="09B57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jc w:val="center"/>
        </w:trPr>
        <w:tc>
          <w:tcPr>
            <w:tcW w:w="2733" w:type="dxa"/>
            <w:vAlign w:val="center"/>
          </w:tcPr>
          <w:p w14:paraId="256EE36F">
            <w:pPr>
              <w:shd w:val="clear"/>
              <w:adjustRightInd w:val="0"/>
              <w:snapToGrid w:val="0"/>
              <w:spacing w:line="312" w:lineRule="auto"/>
              <w:ind w:firstLine="0" w:firstLineChars="0"/>
              <w:jc w:val="center"/>
              <w:rPr>
                <w:rFonts w:hint="eastAsia" w:ascii="宋体" w:hAnsi="宋体" w:cs="宋体"/>
                <w:color w:val="auto"/>
                <w:highlight w:val="none"/>
              </w:rPr>
            </w:pPr>
          </w:p>
          <w:p w14:paraId="2A17E06F">
            <w:pPr>
              <w:shd w:val="clear"/>
              <w:adjustRightInd w:val="0"/>
              <w:snapToGrid w:val="0"/>
              <w:spacing w:line="312"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项目编号</w:t>
            </w:r>
          </w:p>
        </w:tc>
        <w:tc>
          <w:tcPr>
            <w:tcW w:w="6973" w:type="dxa"/>
          </w:tcPr>
          <w:p w14:paraId="7109C442">
            <w:pPr>
              <w:shd w:val="clear"/>
              <w:adjustRightInd w:val="0"/>
              <w:snapToGrid w:val="0"/>
              <w:spacing w:line="312" w:lineRule="auto"/>
              <w:ind w:firstLine="480"/>
              <w:rPr>
                <w:rFonts w:hint="eastAsia" w:ascii="宋体" w:hAnsi="宋体" w:cs="宋体"/>
                <w:color w:val="auto"/>
                <w:highlight w:val="none"/>
              </w:rPr>
            </w:pPr>
          </w:p>
          <w:p w14:paraId="1EBB1230">
            <w:pPr>
              <w:shd w:val="clear"/>
              <w:adjustRightInd w:val="0"/>
              <w:snapToGrid w:val="0"/>
              <w:spacing w:line="312" w:lineRule="auto"/>
              <w:ind w:firstLine="480"/>
              <w:rPr>
                <w:rFonts w:hint="eastAsia" w:ascii="宋体" w:hAnsi="宋体" w:cs="宋体"/>
                <w:color w:val="auto"/>
                <w:highlight w:val="none"/>
              </w:rPr>
            </w:pPr>
          </w:p>
        </w:tc>
      </w:tr>
      <w:tr w14:paraId="3A430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jc w:val="center"/>
        </w:trPr>
        <w:tc>
          <w:tcPr>
            <w:tcW w:w="2733" w:type="dxa"/>
            <w:vAlign w:val="center"/>
          </w:tcPr>
          <w:p w14:paraId="11E8479D">
            <w:pPr>
              <w:shd w:val="clear"/>
              <w:adjustRightInd w:val="0"/>
              <w:snapToGrid w:val="0"/>
              <w:spacing w:line="312" w:lineRule="auto"/>
              <w:ind w:firstLine="0" w:firstLineChars="0"/>
              <w:jc w:val="center"/>
              <w:rPr>
                <w:rFonts w:hint="eastAsia" w:ascii="宋体" w:hAnsi="宋体" w:cs="宋体"/>
                <w:color w:val="auto"/>
                <w:highlight w:val="none"/>
              </w:rPr>
            </w:pPr>
          </w:p>
          <w:p w14:paraId="170FFE2C">
            <w:pPr>
              <w:shd w:val="clear"/>
              <w:adjustRightInd w:val="0"/>
              <w:snapToGrid w:val="0"/>
              <w:spacing w:line="312"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项目名称</w:t>
            </w:r>
          </w:p>
        </w:tc>
        <w:tc>
          <w:tcPr>
            <w:tcW w:w="6973" w:type="dxa"/>
          </w:tcPr>
          <w:p w14:paraId="5B9690EF">
            <w:pPr>
              <w:shd w:val="clear"/>
              <w:adjustRightInd w:val="0"/>
              <w:snapToGrid w:val="0"/>
              <w:spacing w:line="312" w:lineRule="auto"/>
              <w:ind w:firstLine="480"/>
              <w:rPr>
                <w:rFonts w:hint="eastAsia" w:ascii="宋体" w:hAnsi="宋体" w:cs="宋体"/>
                <w:color w:val="auto"/>
                <w:highlight w:val="none"/>
              </w:rPr>
            </w:pPr>
          </w:p>
        </w:tc>
      </w:tr>
      <w:tr w14:paraId="4621A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jc w:val="center"/>
        </w:trPr>
        <w:tc>
          <w:tcPr>
            <w:tcW w:w="2733" w:type="dxa"/>
            <w:vAlign w:val="center"/>
          </w:tcPr>
          <w:p w14:paraId="398DFB4A">
            <w:pPr>
              <w:shd w:val="clear"/>
              <w:adjustRightInd w:val="0"/>
              <w:snapToGrid w:val="0"/>
              <w:spacing w:line="312" w:lineRule="auto"/>
              <w:ind w:firstLine="0" w:firstLineChars="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服务期限</w:t>
            </w:r>
          </w:p>
        </w:tc>
        <w:tc>
          <w:tcPr>
            <w:tcW w:w="6973" w:type="dxa"/>
            <w:vAlign w:val="center"/>
          </w:tcPr>
          <w:p w14:paraId="16EE117D">
            <w:pPr>
              <w:shd w:val="clear"/>
              <w:adjustRightInd w:val="0"/>
              <w:snapToGrid w:val="0"/>
              <w:spacing w:line="312" w:lineRule="auto"/>
              <w:ind w:firstLine="480"/>
              <w:jc w:val="center"/>
              <w:rPr>
                <w:rFonts w:hint="default" w:ascii="宋体" w:hAnsi="宋体" w:eastAsia="宋体" w:cs="宋体"/>
                <w:color w:val="auto"/>
                <w:highlight w:val="none"/>
                <w:lang w:val="en-US" w:eastAsia="zh-CN"/>
              </w:rPr>
            </w:pPr>
          </w:p>
        </w:tc>
      </w:tr>
      <w:tr w14:paraId="0E53D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jc w:val="center"/>
        </w:trPr>
        <w:tc>
          <w:tcPr>
            <w:tcW w:w="2733" w:type="dxa"/>
            <w:vAlign w:val="center"/>
          </w:tcPr>
          <w:p w14:paraId="402F4B70">
            <w:pPr>
              <w:shd w:val="clear"/>
              <w:adjustRightInd w:val="0"/>
              <w:snapToGrid w:val="0"/>
              <w:spacing w:line="312" w:lineRule="auto"/>
              <w:ind w:firstLine="0" w:firstLineChars="0"/>
              <w:jc w:val="center"/>
              <w:rPr>
                <w:rFonts w:hint="default" w:ascii="宋体" w:hAnsi="宋体" w:cs="宋体"/>
                <w:color w:val="auto"/>
                <w:highlight w:val="none"/>
                <w:lang w:val="en-US" w:eastAsia="zh-CN"/>
              </w:rPr>
            </w:pPr>
            <w:r>
              <w:rPr>
                <w:rFonts w:hint="eastAsia" w:ascii="宋体" w:hAnsi="宋体" w:cs="宋体"/>
                <w:color w:val="auto"/>
                <w:highlight w:val="none"/>
                <w:lang w:val="en-US" w:eastAsia="zh-CN"/>
              </w:rPr>
              <w:t>项目负责人</w:t>
            </w:r>
          </w:p>
        </w:tc>
        <w:tc>
          <w:tcPr>
            <w:tcW w:w="6973" w:type="dxa"/>
            <w:shd w:val="clear" w:color="auto" w:fill="auto"/>
            <w:vAlign w:val="center"/>
          </w:tcPr>
          <w:p w14:paraId="5A248231">
            <w:pPr>
              <w:shd w:val="clear"/>
              <w:adjustRightInd w:val="0"/>
              <w:snapToGrid w:val="0"/>
              <w:spacing w:line="312" w:lineRule="auto"/>
              <w:ind w:firstLine="0" w:firstLineChars="0"/>
              <w:jc w:val="left"/>
              <w:rPr>
                <w:rFonts w:hint="eastAsia" w:ascii="宋体" w:hAnsi="宋体" w:eastAsia="宋体" w:cs="宋体"/>
                <w:color w:val="auto"/>
                <w:kern w:val="2"/>
                <w:sz w:val="24"/>
                <w:szCs w:val="24"/>
                <w:highlight w:val="none"/>
                <w:lang w:val="en-US" w:eastAsia="zh-CN" w:bidi="ar-SA"/>
              </w:rPr>
            </w:pPr>
          </w:p>
        </w:tc>
      </w:tr>
      <w:tr w14:paraId="67BFC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1" w:hRule="atLeast"/>
          <w:jc w:val="center"/>
        </w:trPr>
        <w:tc>
          <w:tcPr>
            <w:tcW w:w="2733" w:type="dxa"/>
            <w:vAlign w:val="center"/>
          </w:tcPr>
          <w:p w14:paraId="13FB72E8">
            <w:pPr>
              <w:shd w:val="clear"/>
              <w:adjustRightInd w:val="0"/>
              <w:snapToGrid w:val="0"/>
              <w:spacing w:line="312" w:lineRule="auto"/>
              <w:ind w:firstLine="0" w:firstLineChars="0"/>
              <w:jc w:val="center"/>
              <w:rPr>
                <w:rFonts w:hint="eastAsia" w:ascii="宋体" w:hAnsi="宋体" w:cs="宋体"/>
                <w:color w:val="auto"/>
                <w:highlight w:val="none"/>
              </w:rPr>
            </w:pPr>
            <w:r>
              <w:rPr>
                <w:rFonts w:hint="eastAsia" w:ascii="宋体" w:hAnsi="宋体" w:cs="宋体"/>
                <w:color w:val="auto"/>
                <w:highlight w:val="none"/>
              </w:rPr>
              <w:t>投标</w:t>
            </w:r>
            <w:r>
              <w:rPr>
                <w:rFonts w:hint="eastAsia" w:ascii="宋体" w:hAnsi="宋体" w:cs="宋体"/>
                <w:color w:val="auto"/>
                <w:highlight w:val="none"/>
                <w:lang w:bidi="ar"/>
              </w:rPr>
              <w:t>报价</w:t>
            </w:r>
          </w:p>
        </w:tc>
        <w:tc>
          <w:tcPr>
            <w:tcW w:w="6973" w:type="dxa"/>
            <w:vAlign w:val="center"/>
          </w:tcPr>
          <w:p w14:paraId="3073DBB0">
            <w:pPr>
              <w:shd w:val="clear"/>
              <w:adjustRightInd w:val="0"/>
              <w:snapToGrid w:val="0"/>
              <w:spacing w:line="312" w:lineRule="auto"/>
              <w:ind w:firstLine="0" w:firstLineChars="0"/>
              <w:jc w:val="left"/>
              <w:rPr>
                <w:rFonts w:hint="eastAsia" w:ascii="宋体" w:hAnsi="宋体" w:cs="宋体"/>
                <w:color w:val="auto"/>
                <w:highlight w:val="none"/>
              </w:rPr>
            </w:pPr>
            <w:r>
              <w:rPr>
                <w:rFonts w:hint="eastAsia" w:ascii="宋体" w:hAnsi="宋体" w:cs="宋体"/>
                <w:color w:val="auto"/>
                <w:highlight w:val="none"/>
              </w:rPr>
              <w:t>人民币大写：</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lang w:bidi="ar"/>
              </w:rPr>
              <w:t>元</w:t>
            </w:r>
            <w:r>
              <w:rPr>
                <w:rFonts w:hint="eastAsia" w:ascii="宋体" w:hAnsi="宋体" w:cs="宋体"/>
                <w:color w:val="auto"/>
                <w:highlight w:val="none"/>
              </w:rPr>
              <w:t>；小写¥：</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lang w:bidi="ar"/>
              </w:rPr>
              <w:t>元</w:t>
            </w:r>
            <w:r>
              <w:rPr>
                <w:rFonts w:hint="eastAsia" w:ascii="宋体" w:hAnsi="宋体" w:cs="宋体"/>
                <w:color w:val="auto"/>
                <w:highlight w:val="none"/>
              </w:rPr>
              <w:t>；</w:t>
            </w:r>
          </w:p>
        </w:tc>
      </w:tr>
    </w:tbl>
    <w:p w14:paraId="43F3870D">
      <w:pPr>
        <w:shd w:val="clear"/>
        <w:adjustRightInd w:val="0"/>
        <w:snapToGrid w:val="0"/>
        <w:spacing w:line="312" w:lineRule="auto"/>
        <w:ind w:firstLine="480"/>
        <w:outlineLvl w:val="0"/>
        <w:rPr>
          <w:rFonts w:hint="eastAsia" w:ascii="宋体" w:hAnsi="宋体" w:cs="宋体"/>
          <w:color w:val="auto"/>
          <w:highlight w:val="none"/>
        </w:rPr>
      </w:pPr>
      <w:bookmarkStart w:id="518" w:name="_Toc30902"/>
      <w:r>
        <w:rPr>
          <w:rFonts w:hint="eastAsia" w:ascii="宋体" w:hAnsi="宋体" w:cs="宋体"/>
          <w:color w:val="auto"/>
          <w:highlight w:val="none"/>
        </w:rPr>
        <w:t>注：采用印刷体打印，字迹清晰，不得随意改变格式。</w:t>
      </w:r>
      <w:bookmarkEnd w:id="518"/>
    </w:p>
    <w:p w14:paraId="7090D3F6">
      <w:pPr>
        <w:shd w:val="clear"/>
        <w:snapToGrid w:val="0"/>
        <w:spacing w:line="480" w:lineRule="exact"/>
        <w:ind w:firstLine="3840" w:firstLineChars="1600"/>
        <w:rPr>
          <w:rFonts w:cs="Times New Roman"/>
          <w:color w:val="auto"/>
          <w:highlight w:val="none"/>
        </w:rPr>
      </w:pPr>
      <w:r>
        <w:rPr>
          <w:rFonts w:hint="eastAsia" w:ascii="宋体" w:hAnsi="宋体" w:cs="Times New Roman"/>
          <w:color w:val="auto"/>
          <w:highlight w:val="none"/>
          <w:lang w:bidi="ar"/>
        </w:rPr>
        <w:t xml:space="preserve"> </w:t>
      </w:r>
      <w:r>
        <w:rPr>
          <w:rFonts w:cs="Times New Roman"/>
          <w:color w:val="auto"/>
          <w:highlight w:val="none"/>
          <w:lang w:bidi="ar"/>
        </w:rPr>
        <w:t xml:space="preserve"> </w:t>
      </w:r>
    </w:p>
    <w:p w14:paraId="7F208730">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投标人名称（盖章）:</w:t>
      </w:r>
    </w:p>
    <w:p w14:paraId="1DEF4256">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法定代表人或授权代理人（签字或盖章）:</w:t>
      </w:r>
    </w:p>
    <w:p w14:paraId="7ED0A77E">
      <w:pPr>
        <w:widowControl/>
        <w:shd w:val="clear"/>
        <w:adjustRightInd w:val="0"/>
        <w:snapToGrid w:val="0"/>
        <w:spacing w:line="360" w:lineRule="auto"/>
        <w:ind w:firstLine="4080" w:firstLineChars="1700"/>
        <w:rPr>
          <w:rFonts w:hint="eastAsia" w:ascii="宋体" w:hAnsi="宋体" w:cs="宋体"/>
          <w:color w:val="auto"/>
          <w:highlight w:val="none"/>
          <w:lang w:bidi="ar"/>
        </w:rPr>
      </w:pPr>
      <w:r>
        <w:rPr>
          <w:rFonts w:hint="eastAsia" w:ascii="宋体" w:hAnsi="宋体" w:cs="宋体"/>
          <w:color w:val="auto"/>
          <w:highlight w:val="none"/>
          <w:lang w:bidi="ar"/>
        </w:rPr>
        <w:t>日期:2025年   月   日</w:t>
      </w:r>
    </w:p>
    <w:p w14:paraId="0C428C25">
      <w:pPr>
        <w:pStyle w:val="74"/>
        <w:shd w:val="clear"/>
        <w:rPr>
          <w:rFonts w:hint="eastAsia" w:ascii="宋体" w:hAnsi="宋体" w:cs="宋体"/>
          <w:color w:val="auto"/>
          <w:highlight w:val="none"/>
          <w:lang w:bidi="ar"/>
        </w:rPr>
      </w:pPr>
    </w:p>
    <w:p w14:paraId="1132D4A6">
      <w:pPr>
        <w:pStyle w:val="74"/>
        <w:shd w:val="clear"/>
        <w:rPr>
          <w:rFonts w:hint="eastAsia" w:ascii="宋体" w:hAnsi="宋体" w:cs="宋体"/>
          <w:color w:val="auto"/>
          <w:highlight w:val="none"/>
          <w:lang w:bidi="ar"/>
        </w:rPr>
      </w:pPr>
    </w:p>
    <w:p w14:paraId="367AC775">
      <w:pPr>
        <w:pStyle w:val="74"/>
        <w:shd w:val="clear"/>
        <w:rPr>
          <w:rFonts w:hint="eastAsia" w:ascii="宋体" w:hAnsi="宋体" w:cs="宋体"/>
          <w:color w:val="auto"/>
          <w:highlight w:val="none"/>
          <w:lang w:bidi="ar"/>
        </w:rPr>
      </w:pPr>
    </w:p>
    <w:p w14:paraId="6149A394">
      <w:pPr>
        <w:pStyle w:val="74"/>
        <w:shd w:val="clear"/>
        <w:rPr>
          <w:rFonts w:hint="eastAsia" w:ascii="宋体" w:hAnsi="宋体" w:cs="宋体"/>
          <w:color w:val="auto"/>
          <w:highlight w:val="none"/>
          <w:lang w:bidi="ar"/>
        </w:rPr>
      </w:pPr>
    </w:p>
    <w:p w14:paraId="5233FA6D">
      <w:pPr>
        <w:pStyle w:val="74"/>
        <w:shd w:val="clear"/>
        <w:rPr>
          <w:rFonts w:hint="eastAsia" w:ascii="宋体" w:hAnsi="宋体" w:cs="宋体"/>
          <w:color w:val="auto"/>
          <w:highlight w:val="none"/>
          <w:lang w:bidi="ar"/>
        </w:rPr>
      </w:pPr>
    </w:p>
    <w:p w14:paraId="7D78A7D8">
      <w:pPr>
        <w:pStyle w:val="74"/>
        <w:shd w:val="clear"/>
        <w:rPr>
          <w:rFonts w:hint="eastAsia" w:ascii="宋体" w:hAnsi="宋体" w:cs="宋体"/>
          <w:color w:val="auto"/>
          <w:highlight w:val="none"/>
          <w:lang w:bidi="ar"/>
        </w:rPr>
      </w:pPr>
    </w:p>
    <w:p w14:paraId="20B3F5C3">
      <w:pPr>
        <w:pStyle w:val="74"/>
        <w:shd w:val="clear"/>
        <w:rPr>
          <w:rFonts w:hint="eastAsia" w:ascii="宋体" w:hAnsi="宋体" w:cs="宋体"/>
          <w:color w:val="auto"/>
          <w:highlight w:val="none"/>
          <w:lang w:bidi="ar"/>
        </w:rPr>
      </w:pPr>
    </w:p>
    <w:p w14:paraId="3E4D5050">
      <w:pPr>
        <w:pStyle w:val="74"/>
        <w:shd w:val="clear"/>
        <w:rPr>
          <w:rFonts w:hint="eastAsia" w:ascii="宋体" w:hAnsi="宋体" w:cs="宋体"/>
          <w:color w:val="auto"/>
          <w:highlight w:val="none"/>
          <w:lang w:bidi="ar"/>
        </w:rPr>
      </w:pPr>
    </w:p>
    <w:p w14:paraId="5C2BAFE9">
      <w:pPr>
        <w:pStyle w:val="74"/>
        <w:shd w:val="clear"/>
        <w:rPr>
          <w:rFonts w:hint="eastAsia" w:ascii="宋体" w:hAnsi="宋体" w:cs="宋体"/>
          <w:color w:val="auto"/>
          <w:highlight w:val="none"/>
          <w:lang w:bidi="ar"/>
        </w:rPr>
      </w:pPr>
    </w:p>
    <w:p w14:paraId="47D7F5C1">
      <w:pPr>
        <w:pStyle w:val="74"/>
        <w:shd w:val="clear"/>
        <w:rPr>
          <w:rFonts w:hint="eastAsia" w:ascii="宋体" w:hAnsi="宋体" w:cs="宋体"/>
          <w:color w:val="auto"/>
          <w:highlight w:val="none"/>
          <w:lang w:bidi="ar"/>
        </w:rPr>
      </w:pPr>
    </w:p>
    <w:p w14:paraId="0C893CF4">
      <w:pPr>
        <w:pStyle w:val="74"/>
        <w:shd w:val="clear"/>
        <w:rPr>
          <w:rFonts w:hint="eastAsia" w:ascii="宋体" w:hAnsi="宋体" w:cs="宋体"/>
          <w:color w:val="auto"/>
          <w:highlight w:val="none"/>
          <w:lang w:bidi="ar"/>
        </w:rPr>
      </w:pPr>
    </w:p>
    <w:p w14:paraId="4EA5282F">
      <w:pPr>
        <w:pStyle w:val="74"/>
        <w:shd w:val="clear"/>
        <w:rPr>
          <w:rFonts w:hint="eastAsia" w:ascii="宋体" w:hAnsi="宋体" w:cs="宋体"/>
          <w:color w:val="auto"/>
          <w:highlight w:val="none"/>
          <w:lang w:bidi="ar"/>
        </w:rPr>
      </w:pPr>
    </w:p>
    <w:p w14:paraId="53B01AAB">
      <w:pPr>
        <w:pStyle w:val="74"/>
        <w:shd w:val="clear"/>
        <w:rPr>
          <w:rFonts w:hint="eastAsia" w:ascii="宋体" w:hAnsi="宋体" w:cs="宋体"/>
          <w:color w:val="auto"/>
          <w:highlight w:val="none"/>
          <w:lang w:bidi="ar"/>
        </w:rPr>
      </w:pPr>
    </w:p>
    <w:p w14:paraId="038A363F">
      <w:pPr>
        <w:pStyle w:val="74"/>
        <w:shd w:val="clear"/>
        <w:rPr>
          <w:rFonts w:hint="eastAsia" w:ascii="宋体" w:hAnsi="宋体" w:cs="宋体"/>
          <w:color w:val="auto"/>
          <w:highlight w:val="none"/>
          <w:lang w:bidi="ar"/>
        </w:rPr>
      </w:pPr>
    </w:p>
    <w:p w14:paraId="20F704E5">
      <w:pPr>
        <w:shd w:val="clear"/>
        <w:ind w:firstLine="0" w:firstLineChars="0"/>
        <w:outlineLvl w:val="0"/>
        <w:rPr>
          <w:rFonts w:hint="eastAsia" w:ascii="宋体" w:hAnsi="宋体" w:cs="宋体"/>
          <w:b/>
          <w:bCs/>
          <w:color w:val="auto"/>
          <w:highlight w:val="none"/>
          <w:lang w:val="en-US" w:eastAsia="zh-CN" w:bidi="ar"/>
        </w:rPr>
      </w:pPr>
      <w:r>
        <w:rPr>
          <w:rFonts w:hint="eastAsia" w:ascii="宋体" w:hAnsi="宋体" w:cs="宋体"/>
          <w:b/>
          <w:bCs/>
          <w:color w:val="auto"/>
          <w:highlight w:val="none"/>
          <w:lang w:bidi="ar"/>
        </w:rPr>
        <w:t>附件1</w:t>
      </w:r>
      <w:r>
        <w:rPr>
          <w:rFonts w:hint="eastAsia" w:ascii="宋体" w:hAnsi="宋体" w:cs="宋体"/>
          <w:b/>
          <w:bCs/>
          <w:color w:val="auto"/>
          <w:highlight w:val="none"/>
          <w:lang w:val="en-US" w:eastAsia="zh-CN" w:bidi="ar"/>
        </w:rPr>
        <w:t>1</w:t>
      </w:r>
    </w:p>
    <w:p w14:paraId="5CC518CA">
      <w:pPr>
        <w:shd w:val="clear"/>
        <w:spacing w:line="360" w:lineRule="auto"/>
        <w:ind w:firstLine="0" w:firstLineChars="0"/>
        <w:jc w:val="center"/>
        <w:rPr>
          <w:rFonts w:hint="eastAsia" w:ascii="宋体" w:hAnsi="宋体" w:cs="Times New Roman"/>
          <w:color w:val="auto"/>
          <w:spacing w:val="-4"/>
          <w:highlight w:val="none"/>
        </w:rPr>
      </w:pPr>
      <w:r>
        <w:rPr>
          <w:rFonts w:hint="eastAsia" w:ascii="宋体" w:hAnsi="宋体" w:cs="宋体"/>
          <w:b/>
          <w:color w:val="auto"/>
          <w:spacing w:val="-4"/>
          <w:sz w:val="32"/>
          <w:szCs w:val="32"/>
          <w:highlight w:val="none"/>
          <w:lang w:val="en-US" w:eastAsia="zh-CN" w:bidi="ar"/>
        </w:rPr>
        <w:t>报价明细</w:t>
      </w:r>
      <w:r>
        <w:rPr>
          <w:rFonts w:hint="eastAsia" w:ascii="宋体" w:hAnsi="宋体" w:cs="宋体"/>
          <w:b/>
          <w:color w:val="auto"/>
          <w:spacing w:val="-4"/>
          <w:sz w:val="32"/>
          <w:szCs w:val="32"/>
          <w:highlight w:val="none"/>
          <w:lang w:bidi="ar"/>
        </w:rPr>
        <w:t>表</w:t>
      </w:r>
      <w:r>
        <w:rPr>
          <w:rFonts w:hint="eastAsia" w:ascii="宋体" w:hAnsi="宋体" w:cs="Times New Roman"/>
          <w:color w:val="auto"/>
          <w:spacing w:val="-4"/>
          <w:highlight w:val="none"/>
          <w:lang w:bidi="ar"/>
        </w:rPr>
        <w:t xml:space="preserve"> </w:t>
      </w:r>
    </w:p>
    <w:p w14:paraId="29605927">
      <w:pPr>
        <w:pStyle w:val="17"/>
        <w:shd w:val="clear"/>
        <w:rPr>
          <w:rFonts w:hint="eastAsia"/>
          <w:color w:val="auto"/>
          <w:highlight w:val="none"/>
          <w:lang w:val="en-US" w:eastAsia="zh-CN"/>
        </w:rPr>
      </w:pPr>
    </w:p>
    <w:tbl>
      <w:tblPr>
        <w:tblStyle w:val="43"/>
        <w:tblW w:w="97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5433"/>
        <w:gridCol w:w="888"/>
        <w:gridCol w:w="1292"/>
        <w:gridCol w:w="1339"/>
      </w:tblGrid>
      <w:tr w14:paraId="5FB2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26" w:type="dxa"/>
            <w:noWrap w:val="0"/>
            <w:vAlign w:val="center"/>
          </w:tcPr>
          <w:p w14:paraId="4774B2AE">
            <w:pPr>
              <w:shd w:val="clear"/>
              <w:ind w:left="0" w:leftChars="0" w:firstLine="0" w:firstLineChars="0"/>
              <w:jc w:val="center"/>
              <w:rPr>
                <w:rFonts w:hint="eastAsia" w:ascii="宋体" w:eastAsia="宋体"/>
                <w:b w:val="0"/>
                <w:color w:val="auto"/>
                <w:sz w:val="22"/>
                <w:szCs w:val="22"/>
                <w:highlight w:val="none"/>
              </w:rPr>
            </w:pPr>
            <w:r>
              <w:rPr>
                <w:rFonts w:hint="eastAsia" w:ascii="宋体" w:eastAsia="宋体"/>
                <w:b w:val="0"/>
                <w:color w:val="auto"/>
                <w:sz w:val="22"/>
                <w:szCs w:val="22"/>
                <w:highlight w:val="none"/>
              </w:rPr>
              <w:t>序号</w:t>
            </w:r>
          </w:p>
        </w:tc>
        <w:tc>
          <w:tcPr>
            <w:tcW w:w="5433" w:type="dxa"/>
            <w:noWrap w:val="0"/>
            <w:vAlign w:val="center"/>
          </w:tcPr>
          <w:p w14:paraId="1AF4B0BE">
            <w:pPr>
              <w:shd w:val="clear"/>
              <w:ind w:left="0" w:leftChars="0" w:firstLine="0" w:firstLineChars="0"/>
              <w:jc w:val="center"/>
              <w:rPr>
                <w:rFonts w:hint="eastAsia" w:ascii="宋体" w:eastAsia="宋体"/>
                <w:b w:val="0"/>
                <w:color w:val="auto"/>
                <w:sz w:val="22"/>
                <w:szCs w:val="22"/>
                <w:highlight w:val="none"/>
                <w:lang w:eastAsia="zh-CN"/>
              </w:rPr>
            </w:pPr>
            <w:r>
              <w:rPr>
                <w:rFonts w:hint="eastAsia" w:ascii="宋体" w:eastAsia="宋体"/>
                <w:b w:val="0"/>
                <w:color w:val="auto"/>
                <w:sz w:val="22"/>
                <w:szCs w:val="22"/>
                <w:highlight w:val="none"/>
                <w:lang w:val="en-US" w:eastAsia="zh-CN"/>
              </w:rPr>
              <w:t>服务</w:t>
            </w:r>
            <w:r>
              <w:rPr>
                <w:rFonts w:hint="eastAsia" w:ascii="宋体" w:eastAsia="宋体"/>
                <w:b w:val="0"/>
                <w:color w:val="auto"/>
                <w:sz w:val="22"/>
                <w:szCs w:val="22"/>
                <w:highlight w:val="none"/>
                <w:lang w:eastAsia="zh-CN"/>
              </w:rPr>
              <w:t>内容</w:t>
            </w:r>
          </w:p>
        </w:tc>
        <w:tc>
          <w:tcPr>
            <w:tcW w:w="888" w:type="dxa"/>
            <w:noWrap w:val="0"/>
            <w:vAlign w:val="center"/>
          </w:tcPr>
          <w:p w14:paraId="476E1B7E">
            <w:pPr>
              <w:shd w:val="clear"/>
              <w:ind w:left="0" w:leftChars="0" w:firstLine="0" w:firstLineChars="0"/>
              <w:jc w:val="both"/>
              <w:rPr>
                <w:rFonts w:hint="eastAsia" w:ascii="宋体" w:eastAsia="宋体"/>
                <w:b w:val="0"/>
                <w:color w:val="auto"/>
                <w:sz w:val="22"/>
                <w:szCs w:val="22"/>
                <w:highlight w:val="none"/>
              </w:rPr>
            </w:pPr>
            <w:r>
              <w:rPr>
                <w:rFonts w:hint="eastAsia" w:ascii="宋体" w:eastAsia="宋体"/>
                <w:b w:val="0"/>
                <w:color w:val="auto"/>
                <w:sz w:val="22"/>
                <w:szCs w:val="22"/>
                <w:highlight w:val="none"/>
              </w:rPr>
              <w:t>数量</w:t>
            </w:r>
          </w:p>
        </w:tc>
        <w:tc>
          <w:tcPr>
            <w:tcW w:w="1292" w:type="dxa"/>
            <w:noWrap w:val="0"/>
            <w:vAlign w:val="center"/>
          </w:tcPr>
          <w:p w14:paraId="09D63B44">
            <w:pPr>
              <w:shd w:val="clear"/>
              <w:ind w:left="0" w:leftChars="0" w:firstLine="0" w:firstLineChars="0"/>
              <w:jc w:val="both"/>
              <w:rPr>
                <w:rFonts w:hint="eastAsia" w:ascii="宋体" w:eastAsia="宋体"/>
                <w:b w:val="0"/>
                <w:color w:val="auto"/>
                <w:sz w:val="22"/>
                <w:szCs w:val="22"/>
                <w:highlight w:val="none"/>
              </w:rPr>
            </w:pPr>
            <w:r>
              <w:rPr>
                <w:rFonts w:hint="eastAsia" w:ascii="宋体" w:eastAsia="宋体"/>
                <w:b w:val="0"/>
                <w:color w:val="auto"/>
                <w:sz w:val="22"/>
                <w:szCs w:val="22"/>
                <w:highlight w:val="none"/>
              </w:rPr>
              <w:t>单价</w:t>
            </w:r>
            <w:r>
              <w:rPr>
                <w:rFonts w:hint="eastAsia" w:ascii="宋体" w:eastAsia="宋体"/>
                <w:b w:val="0"/>
                <w:color w:val="auto"/>
                <w:sz w:val="22"/>
                <w:szCs w:val="22"/>
                <w:highlight w:val="none"/>
                <w:lang w:eastAsia="zh-CN"/>
              </w:rPr>
              <w:t>（</w:t>
            </w:r>
            <w:r>
              <w:rPr>
                <w:rFonts w:hint="eastAsia" w:ascii="宋体" w:eastAsia="宋体"/>
                <w:b w:val="0"/>
                <w:color w:val="auto"/>
                <w:sz w:val="22"/>
                <w:szCs w:val="22"/>
                <w:highlight w:val="none"/>
                <w:lang w:val="en-US" w:eastAsia="zh-CN"/>
              </w:rPr>
              <w:t>元</w:t>
            </w:r>
            <w:r>
              <w:rPr>
                <w:rFonts w:hint="eastAsia" w:ascii="宋体" w:eastAsia="宋体"/>
                <w:b w:val="0"/>
                <w:color w:val="auto"/>
                <w:sz w:val="22"/>
                <w:szCs w:val="22"/>
                <w:highlight w:val="none"/>
                <w:lang w:eastAsia="zh-CN"/>
              </w:rPr>
              <w:t>）</w:t>
            </w:r>
          </w:p>
        </w:tc>
        <w:tc>
          <w:tcPr>
            <w:tcW w:w="1339" w:type="dxa"/>
            <w:noWrap w:val="0"/>
            <w:vAlign w:val="center"/>
          </w:tcPr>
          <w:p w14:paraId="46570ED0">
            <w:pPr>
              <w:shd w:val="clear"/>
              <w:ind w:left="0" w:leftChars="0" w:firstLine="0" w:firstLineChars="0"/>
              <w:jc w:val="both"/>
              <w:rPr>
                <w:rFonts w:hint="eastAsia" w:ascii="宋体" w:eastAsia="宋体"/>
                <w:b w:val="0"/>
                <w:color w:val="auto"/>
                <w:sz w:val="22"/>
                <w:szCs w:val="22"/>
                <w:highlight w:val="none"/>
                <w:lang w:eastAsia="zh-CN"/>
              </w:rPr>
            </w:pPr>
            <w:r>
              <w:rPr>
                <w:rFonts w:hint="eastAsia" w:ascii="宋体" w:eastAsia="宋体"/>
                <w:b w:val="0"/>
                <w:color w:val="auto"/>
                <w:sz w:val="22"/>
                <w:szCs w:val="22"/>
                <w:highlight w:val="none"/>
              </w:rPr>
              <w:t>合价</w:t>
            </w:r>
            <w:r>
              <w:rPr>
                <w:rFonts w:hint="eastAsia" w:ascii="宋体" w:eastAsia="宋体"/>
                <w:b w:val="0"/>
                <w:color w:val="auto"/>
                <w:sz w:val="22"/>
                <w:szCs w:val="22"/>
                <w:highlight w:val="none"/>
                <w:lang w:eastAsia="zh-CN"/>
              </w:rPr>
              <w:t>（</w:t>
            </w:r>
            <w:r>
              <w:rPr>
                <w:rFonts w:hint="eastAsia" w:ascii="宋体" w:eastAsia="宋体"/>
                <w:b w:val="0"/>
                <w:color w:val="auto"/>
                <w:sz w:val="22"/>
                <w:szCs w:val="22"/>
                <w:highlight w:val="none"/>
                <w:lang w:val="en-US" w:eastAsia="zh-CN"/>
              </w:rPr>
              <w:t>元</w:t>
            </w:r>
            <w:r>
              <w:rPr>
                <w:rFonts w:hint="eastAsia" w:ascii="宋体" w:eastAsia="宋体"/>
                <w:b w:val="0"/>
                <w:color w:val="auto"/>
                <w:sz w:val="22"/>
                <w:szCs w:val="22"/>
                <w:highlight w:val="none"/>
                <w:lang w:eastAsia="zh-CN"/>
              </w:rPr>
              <w:t>）</w:t>
            </w:r>
          </w:p>
        </w:tc>
      </w:tr>
      <w:tr w14:paraId="5067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826" w:type="dxa"/>
            <w:noWrap w:val="0"/>
            <w:vAlign w:val="center"/>
          </w:tcPr>
          <w:p w14:paraId="1F417672">
            <w:pPr>
              <w:shd w:val="clear"/>
              <w:ind w:left="0" w:leftChars="0" w:firstLine="0" w:firstLineChars="0"/>
              <w:jc w:val="center"/>
              <w:rPr>
                <w:rFonts w:hint="eastAsia" w:ascii="宋体" w:hAnsi="Times New Roman" w:eastAsia="宋体"/>
                <w:b w:val="0"/>
                <w:color w:val="auto"/>
                <w:sz w:val="22"/>
                <w:szCs w:val="22"/>
                <w:highlight w:val="none"/>
              </w:rPr>
            </w:pPr>
            <w:r>
              <w:rPr>
                <w:rFonts w:hint="eastAsia" w:ascii="宋体" w:hAnsi="Times New Roman" w:eastAsia="宋体"/>
                <w:b w:val="0"/>
                <w:color w:val="auto"/>
                <w:sz w:val="22"/>
                <w:szCs w:val="22"/>
                <w:highlight w:val="none"/>
              </w:rPr>
              <w:t>1</w:t>
            </w:r>
          </w:p>
        </w:tc>
        <w:tc>
          <w:tcPr>
            <w:tcW w:w="5433" w:type="dxa"/>
            <w:noWrap w:val="0"/>
            <w:vAlign w:val="center"/>
          </w:tcPr>
          <w:p w14:paraId="17832E21">
            <w:pPr>
              <w:shd w:val="clear"/>
              <w:ind w:left="0" w:leftChars="0" w:firstLine="0" w:firstLineChars="0"/>
              <w:jc w:val="center"/>
              <w:rPr>
                <w:rFonts w:hint="eastAsia" w:ascii="宋体" w:hAnsi="Times New Roman" w:eastAsia="宋体"/>
                <w:b w:val="0"/>
                <w:color w:val="auto"/>
                <w:sz w:val="22"/>
                <w:szCs w:val="22"/>
                <w:highlight w:val="none"/>
              </w:rPr>
            </w:pPr>
          </w:p>
        </w:tc>
        <w:tc>
          <w:tcPr>
            <w:tcW w:w="888" w:type="dxa"/>
            <w:noWrap w:val="0"/>
            <w:vAlign w:val="center"/>
          </w:tcPr>
          <w:p w14:paraId="1046A8A2">
            <w:pPr>
              <w:shd w:val="clear"/>
              <w:ind w:left="0" w:leftChars="0" w:firstLine="0" w:firstLineChars="0"/>
              <w:jc w:val="both"/>
              <w:rPr>
                <w:rFonts w:hint="eastAsia" w:ascii="宋体" w:hAnsi="Times New Roman" w:eastAsia="宋体"/>
                <w:b w:val="0"/>
                <w:color w:val="auto"/>
                <w:sz w:val="22"/>
                <w:szCs w:val="22"/>
                <w:highlight w:val="none"/>
              </w:rPr>
            </w:pPr>
          </w:p>
        </w:tc>
        <w:tc>
          <w:tcPr>
            <w:tcW w:w="1292" w:type="dxa"/>
            <w:noWrap w:val="0"/>
            <w:vAlign w:val="center"/>
          </w:tcPr>
          <w:p w14:paraId="096C0F70">
            <w:pPr>
              <w:shd w:val="clear"/>
              <w:ind w:left="0" w:leftChars="0" w:firstLine="0" w:firstLineChars="0"/>
              <w:jc w:val="both"/>
              <w:rPr>
                <w:rFonts w:hint="eastAsia" w:ascii="宋体" w:hAnsi="Times New Roman" w:eastAsia="宋体"/>
                <w:b w:val="0"/>
                <w:color w:val="auto"/>
                <w:sz w:val="22"/>
                <w:szCs w:val="22"/>
                <w:highlight w:val="none"/>
              </w:rPr>
            </w:pPr>
          </w:p>
        </w:tc>
        <w:tc>
          <w:tcPr>
            <w:tcW w:w="1339" w:type="dxa"/>
            <w:noWrap w:val="0"/>
            <w:vAlign w:val="center"/>
          </w:tcPr>
          <w:p w14:paraId="35FDCCED">
            <w:pPr>
              <w:shd w:val="clear"/>
              <w:ind w:left="0" w:leftChars="0" w:firstLine="0" w:firstLineChars="0"/>
              <w:jc w:val="both"/>
              <w:rPr>
                <w:rFonts w:hint="eastAsia" w:ascii="宋体" w:hAnsi="Times New Roman" w:eastAsia="宋体"/>
                <w:b w:val="0"/>
                <w:color w:val="auto"/>
                <w:sz w:val="22"/>
                <w:szCs w:val="22"/>
                <w:highlight w:val="none"/>
              </w:rPr>
            </w:pPr>
          </w:p>
        </w:tc>
      </w:tr>
      <w:tr w14:paraId="35E7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826" w:type="dxa"/>
            <w:noWrap w:val="0"/>
            <w:vAlign w:val="center"/>
          </w:tcPr>
          <w:p w14:paraId="51F55815">
            <w:pPr>
              <w:shd w:val="clear"/>
              <w:ind w:left="0" w:leftChars="0" w:firstLine="0" w:firstLineChars="0"/>
              <w:jc w:val="center"/>
              <w:rPr>
                <w:rFonts w:hint="eastAsia" w:ascii="宋体" w:hAnsi="Times New Roman" w:eastAsia="宋体"/>
                <w:b w:val="0"/>
                <w:color w:val="auto"/>
                <w:sz w:val="22"/>
                <w:szCs w:val="22"/>
                <w:highlight w:val="none"/>
              </w:rPr>
            </w:pPr>
            <w:r>
              <w:rPr>
                <w:rFonts w:hint="eastAsia" w:ascii="宋体" w:hAnsi="Times New Roman" w:eastAsia="宋体"/>
                <w:b w:val="0"/>
                <w:color w:val="auto"/>
                <w:sz w:val="22"/>
                <w:szCs w:val="22"/>
                <w:highlight w:val="none"/>
              </w:rPr>
              <w:t>2</w:t>
            </w:r>
          </w:p>
        </w:tc>
        <w:tc>
          <w:tcPr>
            <w:tcW w:w="5433" w:type="dxa"/>
            <w:noWrap w:val="0"/>
            <w:vAlign w:val="center"/>
          </w:tcPr>
          <w:p w14:paraId="63109327">
            <w:pPr>
              <w:shd w:val="clear"/>
              <w:ind w:left="0" w:leftChars="0" w:firstLine="0" w:firstLineChars="0"/>
              <w:jc w:val="center"/>
              <w:rPr>
                <w:rFonts w:hint="eastAsia" w:ascii="宋体" w:hAnsi="Times New Roman" w:eastAsia="宋体"/>
                <w:b w:val="0"/>
                <w:color w:val="auto"/>
                <w:sz w:val="22"/>
                <w:szCs w:val="22"/>
                <w:highlight w:val="none"/>
              </w:rPr>
            </w:pPr>
          </w:p>
        </w:tc>
        <w:tc>
          <w:tcPr>
            <w:tcW w:w="888" w:type="dxa"/>
            <w:noWrap w:val="0"/>
            <w:vAlign w:val="center"/>
          </w:tcPr>
          <w:p w14:paraId="5DDD9D69">
            <w:pPr>
              <w:shd w:val="clear"/>
              <w:ind w:left="0" w:leftChars="0" w:firstLine="0" w:firstLineChars="0"/>
              <w:jc w:val="both"/>
              <w:rPr>
                <w:rFonts w:hint="eastAsia" w:ascii="宋体" w:hAnsi="Times New Roman" w:eastAsia="宋体"/>
                <w:b w:val="0"/>
                <w:color w:val="auto"/>
                <w:sz w:val="22"/>
                <w:szCs w:val="22"/>
                <w:highlight w:val="none"/>
              </w:rPr>
            </w:pPr>
          </w:p>
        </w:tc>
        <w:tc>
          <w:tcPr>
            <w:tcW w:w="1292" w:type="dxa"/>
            <w:noWrap w:val="0"/>
            <w:vAlign w:val="center"/>
          </w:tcPr>
          <w:p w14:paraId="167A38BA">
            <w:pPr>
              <w:shd w:val="clear"/>
              <w:ind w:left="0" w:leftChars="0" w:firstLine="0" w:firstLineChars="0"/>
              <w:jc w:val="both"/>
              <w:rPr>
                <w:rFonts w:hint="eastAsia" w:ascii="宋体" w:hAnsi="Times New Roman" w:eastAsia="宋体"/>
                <w:b w:val="0"/>
                <w:color w:val="auto"/>
                <w:sz w:val="22"/>
                <w:szCs w:val="22"/>
                <w:highlight w:val="none"/>
              </w:rPr>
            </w:pPr>
          </w:p>
        </w:tc>
        <w:tc>
          <w:tcPr>
            <w:tcW w:w="1339" w:type="dxa"/>
            <w:noWrap w:val="0"/>
            <w:vAlign w:val="center"/>
          </w:tcPr>
          <w:p w14:paraId="095FAEED">
            <w:pPr>
              <w:shd w:val="clear"/>
              <w:ind w:left="0" w:leftChars="0" w:firstLine="0" w:firstLineChars="0"/>
              <w:jc w:val="both"/>
              <w:rPr>
                <w:rFonts w:hint="eastAsia" w:ascii="宋体" w:hAnsi="Times New Roman" w:eastAsia="宋体"/>
                <w:b w:val="0"/>
                <w:color w:val="auto"/>
                <w:sz w:val="22"/>
                <w:szCs w:val="22"/>
                <w:highlight w:val="none"/>
              </w:rPr>
            </w:pPr>
          </w:p>
        </w:tc>
      </w:tr>
      <w:tr w14:paraId="25789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826" w:type="dxa"/>
            <w:noWrap w:val="0"/>
            <w:vAlign w:val="center"/>
          </w:tcPr>
          <w:p w14:paraId="53B1E098">
            <w:pPr>
              <w:shd w:val="clear"/>
              <w:ind w:left="0" w:leftChars="0" w:firstLine="0" w:firstLineChars="0"/>
              <w:jc w:val="center"/>
              <w:rPr>
                <w:rFonts w:hint="eastAsia" w:ascii="宋体" w:hAnsi="Times New Roman" w:eastAsia="宋体"/>
                <w:b w:val="0"/>
                <w:color w:val="auto"/>
                <w:sz w:val="22"/>
                <w:szCs w:val="22"/>
                <w:highlight w:val="none"/>
              </w:rPr>
            </w:pPr>
            <w:r>
              <w:rPr>
                <w:rFonts w:hint="eastAsia" w:ascii="宋体" w:hAnsi="Times New Roman" w:eastAsia="宋体"/>
                <w:b w:val="0"/>
                <w:color w:val="auto"/>
                <w:sz w:val="22"/>
                <w:szCs w:val="22"/>
                <w:highlight w:val="none"/>
              </w:rPr>
              <w:t>3</w:t>
            </w:r>
          </w:p>
        </w:tc>
        <w:tc>
          <w:tcPr>
            <w:tcW w:w="5433" w:type="dxa"/>
            <w:noWrap w:val="0"/>
            <w:vAlign w:val="center"/>
          </w:tcPr>
          <w:p w14:paraId="63A037AD">
            <w:pPr>
              <w:shd w:val="clear"/>
              <w:ind w:left="0" w:leftChars="0" w:firstLine="0" w:firstLineChars="0"/>
              <w:jc w:val="center"/>
              <w:rPr>
                <w:rFonts w:hint="eastAsia" w:ascii="宋体" w:hAnsi="Times New Roman" w:eastAsia="宋体"/>
                <w:b w:val="0"/>
                <w:color w:val="auto"/>
                <w:sz w:val="22"/>
                <w:szCs w:val="22"/>
                <w:highlight w:val="none"/>
              </w:rPr>
            </w:pPr>
          </w:p>
        </w:tc>
        <w:tc>
          <w:tcPr>
            <w:tcW w:w="888" w:type="dxa"/>
            <w:noWrap w:val="0"/>
            <w:vAlign w:val="center"/>
          </w:tcPr>
          <w:p w14:paraId="11A000C5">
            <w:pPr>
              <w:shd w:val="clear"/>
              <w:ind w:left="0" w:leftChars="0" w:firstLine="0" w:firstLineChars="0"/>
              <w:jc w:val="both"/>
              <w:rPr>
                <w:rFonts w:hint="eastAsia" w:ascii="宋体" w:hAnsi="Times New Roman" w:eastAsia="宋体"/>
                <w:b w:val="0"/>
                <w:color w:val="auto"/>
                <w:sz w:val="22"/>
                <w:szCs w:val="22"/>
                <w:highlight w:val="none"/>
              </w:rPr>
            </w:pPr>
          </w:p>
        </w:tc>
        <w:tc>
          <w:tcPr>
            <w:tcW w:w="1292" w:type="dxa"/>
            <w:noWrap w:val="0"/>
            <w:vAlign w:val="center"/>
          </w:tcPr>
          <w:p w14:paraId="2327C049">
            <w:pPr>
              <w:shd w:val="clear"/>
              <w:ind w:left="0" w:leftChars="0" w:firstLine="0" w:firstLineChars="0"/>
              <w:jc w:val="both"/>
              <w:rPr>
                <w:rFonts w:hint="eastAsia" w:ascii="宋体" w:hAnsi="Times New Roman" w:eastAsia="宋体"/>
                <w:b w:val="0"/>
                <w:color w:val="auto"/>
                <w:sz w:val="22"/>
                <w:szCs w:val="22"/>
                <w:highlight w:val="none"/>
              </w:rPr>
            </w:pPr>
          </w:p>
        </w:tc>
        <w:tc>
          <w:tcPr>
            <w:tcW w:w="1339" w:type="dxa"/>
            <w:noWrap w:val="0"/>
            <w:vAlign w:val="center"/>
          </w:tcPr>
          <w:p w14:paraId="705FDCE1">
            <w:pPr>
              <w:shd w:val="clear"/>
              <w:ind w:left="0" w:leftChars="0" w:firstLine="0" w:firstLineChars="0"/>
              <w:jc w:val="both"/>
              <w:rPr>
                <w:rFonts w:hint="eastAsia" w:ascii="宋体" w:hAnsi="Times New Roman" w:eastAsia="宋体"/>
                <w:b w:val="0"/>
                <w:color w:val="auto"/>
                <w:sz w:val="22"/>
                <w:szCs w:val="22"/>
                <w:highlight w:val="none"/>
              </w:rPr>
            </w:pPr>
          </w:p>
        </w:tc>
      </w:tr>
      <w:tr w14:paraId="1530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826" w:type="dxa"/>
            <w:noWrap w:val="0"/>
            <w:vAlign w:val="center"/>
          </w:tcPr>
          <w:p w14:paraId="45A186DC">
            <w:pPr>
              <w:shd w:val="clear"/>
              <w:ind w:left="0" w:leftChars="0" w:firstLine="0" w:firstLineChars="0"/>
              <w:jc w:val="center"/>
              <w:rPr>
                <w:rFonts w:hint="eastAsia" w:ascii="宋体" w:hAnsi="Times New Roman" w:eastAsia="宋体"/>
                <w:b w:val="0"/>
                <w:color w:val="auto"/>
                <w:sz w:val="22"/>
                <w:szCs w:val="22"/>
                <w:highlight w:val="none"/>
              </w:rPr>
            </w:pPr>
            <w:r>
              <w:rPr>
                <w:rFonts w:hint="eastAsia" w:ascii="宋体" w:hAnsi="Times New Roman" w:eastAsia="宋体"/>
                <w:b w:val="0"/>
                <w:color w:val="auto"/>
                <w:sz w:val="22"/>
                <w:szCs w:val="22"/>
                <w:highlight w:val="none"/>
              </w:rPr>
              <w:t>4</w:t>
            </w:r>
          </w:p>
        </w:tc>
        <w:tc>
          <w:tcPr>
            <w:tcW w:w="5433" w:type="dxa"/>
            <w:noWrap w:val="0"/>
            <w:vAlign w:val="center"/>
          </w:tcPr>
          <w:p w14:paraId="1CF15FAF">
            <w:pPr>
              <w:shd w:val="clear"/>
              <w:ind w:left="0" w:leftChars="0" w:firstLine="0" w:firstLineChars="0"/>
              <w:jc w:val="center"/>
              <w:rPr>
                <w:rFonts w:hint="eastAsia" w:ascii="宋体" w:hAnsi="Times New Roman" w:eastAsia="宋体"/>
                <w:b w:val="0"/>
                <w:color w:val="auto"/>
                <w:sz w:val="22"/>
                <w:szCs w:val="22"/>
                <w:highlight w:val="none"/>
              </w:rPr>
            </w:pPr>
          </w:p>
        </w:tc>
        <w:tc>
          <w:tcPr>
            <w:tcW w:w="888" w:type="dxa"/>
            <w:noWrap w:val="0"/>
            <w:vAlign w:val="center"/>
          </w:tcPr>
          <w:p w14:paraId="6592E8F9">
            <w:pPr>
              <w:shd w:val="clear"/>
              <w:ind w:left="0" w:leftChars="0" w:firstLine="0" w:firstLineChars="0"/>
              <w:jc w:val="both"/>
              <w:rPr>
                <w:rFonts w:hint="eastAsia" w:ascii="宋体" w:hAnsi="Times New Roman" w:eastAsia="宋体"/>
                <w:b w:val="0"/>
                <w:color w:val="auto"/>
                <w:sz w:val="22"/>
                <w:szCs w:val="22"/>
                <w:highlight w:val="none"/>
              </w:rPr>
            </w:pPr>
          </w:p>
        </w:tc>
        <w:tc>
          <w:tcPr>
            <w:tcW w:w="1292" w:type="dxa"/>
            <w:noWrap w:val="0"/>
            <w:vAlign w:val="center"/>
          </w:tcPr>
          <w:p w14:paraId="3DF00A8D">
            <w:pPr>
              <w:shd w:val="clear"/>
              <w:ind w:left="0" w:leftChars="0" w:firstLine="0" w:firstLineChars="0"/>
              <w:jc w:val="both"/>
              <w:rPr>
                <w:rFonts w:hint="eastAsia" w:ascii="宋体" w:hAnsi="Times New Roman" w:eastAsia="宋体"/>
                <w:b w:val="0"/>
                <w:color w:val="auto"/>
                <w:sz w:val="22"/>
                <w:szCs w:val="22"/>
                <w:highlight w:val="none"/>
              </w:rPr>
            </w:pPr>
          </w:p>
        </w:tc>
        <w:tc>
          <w:tcPr>
            <w:tcW w:w="1339" w:type="dxa"/>
            <w:noWrap w:val="0"/>
            <w:vAlign w:val="center"/>
          </w:tcPr>
          <w:p w14:paraId="526542F5">
            <w:pPr>
              <w:shd w:val="clear"/>
              <w:ind w:left="0" w:leftChars="0" w:firstLine="0" w:firstLineChars="0"/>
              <w:jc w:val="both"/>
              <w:rPr>
                <w:rFonts w:hint="eastAsia" w:ascii="宋体" w:hAnsi="Times New Roman" w:eastAsia="宋体"/>
                <w:b w:val="0"/>
                <w:color w:val="auto"/>
                <w:sz w:val="22"/>
                <w:szCs w:val="22"/>
                <w:highlight w:val="none"/>
              </w:rPr>
            </w:pPr>
          </w:p>
        </w:tc>
      </w:tr>
      <w:tr w14:paraId="6E90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826" w:type="dxa"/>
            <w:noWrap w:val="0"/>
            <w:vAlign w:val="center"/>
          </w:tcPr>
          <w:p w14:paraId="2406CB2C">
            <w:pPr>
              <w:shd w:val="clear"/>
              <w:ind w:left="0" w:leftChars="0" w:firstLine="0" w:firstLineChars="0"/>
              <w:jc w:val="center"/>
              <w:rPr>
                <w:rFonts w:hint="eastAsia" w:ascii="宋体" w:hAnsi="Times New Roman" w:eastAsia="宋体"/>
                <w:b w:val="0"/>
                <w:color w:val="auto"/>
                <w:sz w:val="22"/>
                <w:szCs w:val="22"/>
                <w:highlight w:val="none"/>
              </w:rPr>
            </w:pPr>
            <w:r>
              <w:rPr>
                <w:rFonts w:hint="eastAsia" w:ascii="宋体" w:hAnsi="Times New Roman" w:eastAsia="宋体"/>
                <w:b w:val="0"/>
                <w:color w:val="auto"/>
                <w:sz w:val="22"/>
                <w:szCs w:val="22"/>
                <w:highlight w:val="none"/>
              </w:rPr>
              <w:t>5</w:t>
            </w:r>
          </w:p>
        </w:tc>
        <w:tc>
          <w:tcPr>
            <w:tcW w:w="5433" w:type="dxa"/>
            <w:noWrap w:val="0"/>
            <w:vAlign w:val="center"/>
          </w:tcPr>
          <w:p w14:paraId="0C236B3D">
            <w:pPr>
              <w:shd w:val="clear"/>
              <w:ind w:left="0" w:leftChars="0" w:firstLine="0" w:firstLineChars="0"/>
              <w:jc w:val="center"/>
              <w:rPr>
                <w:rFonts w:hint="eastAsia" w:ascii="宋体" w:hAnsi="Times New Roman" w:eastAsia="宋体"/>
                <w:b w:val="0"/>
                <w:color w:val="auto"/>
                <w:sz w:val="22"/>
                <w:szCs w:val="22"/>
                <w:highlight w:val="none"/>
              </w:rPr>
            </w:pPr>
          </w:p>
        </w:tc>
        <w:tc>
          <w:tcPr>
            <w:tcW w:w="888" w:type="dxa"/>
            <w:noWrap w:val="0"/>
            <w:vAlign w:val="center"/>
          </w:tcPr>
          <w:p w14:paraId="1C217F2E">
            <w:pPr>
              <w:shd w:val="clear"/>
              <w:ind w:left="0" w:leftChars="0" w:firstLine="0" w:firstLineChars="0"/>
              <w:jc w:val="both"/>
              <w:rPr>
                <w:rFonts w:hint="eastAsia" w:ascii="宋体" w:hAnsi="Times New Roman" w:eastAsia="宋体"/>
                <w:b w:val="0"/>
                <w:color w:val="auto"/>
                <w:sz w:val="22"/>
                <w:szCs w:val="22"/>
                <w:highlight w:val="none"/>
              </w:rPr>
            </w:pPr>
          </w:p>
        </w:tc>
        <w:tc>
          <w:tcPr>
            <w:tcW w:w="1292" w:type="dxa"/>
            <w:noWrap w:val="0"/>
            <w:vAlign w:val="center"/>
          </w:tcPr>
          <w:p w14:paraId="2DE55FED">
            <w:pPr>
              <w:shd w:val="clear"/>
              <w:ind w:left="0" w:leftChars="0" w:firstLine="0" w:firstLineChars="0"/>
              <w:jc w:val="both"/>
              <w:rPr>
                <w:rFonts w:hint="eastAsia" w:ascii="宋体" w:hAnsi="Times New Roman" w:eastAsia="宋体"/>
                <w:b w:val="0"/>
                <w:color w:val="auto"/>
                <w:sz w:val="22"/>
                <w:szCs w:val="22"/>
                <w:highlight w:val="none"/>
              </w:rPr>
            </w:pPr>
          </w:p>
        </w:tc>
        <w:tc>
          <w:tcPr>
            <w:tcW w:w="1339" w:type="dxa"/>
            <w:noWrap w:val="0"/>
            <w:vAlign w:val="center"/>
          </w:tcPr>
          <w:p w14:paraId="4F1D86E0">
            <w:pPr>
              <w:shd w:val="clear"/>
              <w:ind w:left="0" w:leftChars="0" w:firstLine="0" w:firstLineChars="0"/>
              <w:jc w:val="both"/>
              <w:rPr>
                <w:rFonts w:hint="eastAsia" w:ascii="宋体" w:hAnsi="Times New Roman" w:eastAsia="宋体"/>
                <w:b w:val="0"/>
                <w:color w:val="auto"/>
                <w:sz w:val="22"/>
                <w:szCs w:val="22"/>
                <w:highlight w:val="none"/>
              </w:rPr>
            </w:pPr>
          </w:p>
        </w:tc>
      </w:tr>
      <w:tr w14:paraId="160D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826" w:type="dxa"/>
            <w:noWrap w:val="0"/>
            <w:vAlign w:val="center"/>
          </w:tcPr>
          <w:p w14:paraId="33BF0568">
            <w:pPr>
              <w:shd w:val="clear"/>
              <w:ind w:left="0" w:leftChars="0" w:firstLine="0" w:firstLineChars="0"/>
              <w:jc w:val="center"/>
              <w:rPr>
                <w:rFonts w:hint="eastAsia" w:ascii="宋体" w:hAnsi="Times New Roman" w:eastAsia="宋体"/>
                <w:b w:val="0"/>
                <w:color w:val="auto"/>
                <w:sz w:val="22"/>
                <w:szCs w:val="22"/>
                <w:highlight w:val="none"/>
              </w:rPr>
            </w:pPr>
            <w:r>
              <w:rPr>
                <w:rFonts w:hint="eastAsia" w:ascii="宋体" w:hAnsi="Times New Roman" w:eastAsia="宋体"/>
                <w:b w:val="0"/>
                <w:color w:val="auto"/>
                <w:sz w:val="22"/>
                <w:szCs w:val="22"/>
                <w:highlight w:val="none"/>
              </w:rPr>
              <w:t>6</w:t>
            </w:r>
          </w:p>
        </w:tc>
        <w:tc>
          <w:tcPr>
            <w:tcW w:w="5433" w:type="dxa"/>
            <w:noWrap w:val="0"/>
            <w:vAlign w:val="center"/>
          </w:tcPr>
          <w:p w14:paraId="0DFACE18">
            <w:pPr>
              <w:shd w:val="clear"/>
              <w:ind w:left="0" w:leftChars="0" w:firstLine="0" w:firstLineChars="0"/>
              <w:jc w:val="center"/>
              <w:rPr>
                <w:rFonts w:hint="eastAsia" w:ascii="宋体" w:hAnsi="Times New Roman" w:eastAsia="宋体"/>
                <w:b w:val="0"/>
                <w:color w:val="auto"/>
                <w:sz w:val="22"/>
                <w:szCs w:val="22"/>
                <w:highlight w:val="none"/>
              </w:rPr>
            </w:pPr>
          </w:p>
        </w:tc>
        <w:tc>
          <w:tcPr>
            <w:tcW w:w="888" w:type="dxa"/>
            <w:noWrap w:val="0"/>
            <w:vAlign w:val="center"/>
          </w:tcPr>
          <w:p w14:paraId="449E9AF8">
            <w:pPr>
              <w:shd w:val="clear"/>
              <w:ind w:left="0" w:leftChars="0" w:firstLine="0" w:firstLineChars="0"/>
              <w:jc w:val="both"/>
              <w:rPr>
                <w:rFonts w:hint="eastAsia" w:ascii="宋体" w:hAnsi="Times New Roman" w:eastAsia="宋体"/>
                <w:b w:val="0"/>
                <w:color w:val="auto"/>
                <w:sz w:val="22"/>
                <w:szCs w:val="22"/>
                <w:highlight w:val="none"/>
              </w:rPr>
            </w:pPr>
          </w:p>
        </w:tc>
        <w:tc>
          <w:tcPr>
            <w:tcW w:w="1292" w:type="dxa"/>
            <w:noWrap w:val="0"/>
            <w:vAlign w:val="center"/>
          </w:tcPr>
          <w:p w14:paraId="09F0D92D">
            <w:pPr>
              <w:shd w:val="clear"/>
              <w:ind w:left="0" w:leftChars="0" w:firstLine="0" w:firstLineChars="0"/>
              <w:jc w:val="both"/>
              <w:rPr>
                <w:rFonts w:hint="eastAsia" w:ascii="宋体" w:hAnsi="Times New Roman" w:eastAsia="宋体"/>
                <w:b w:val="0"/>
                <w:color w:val="auto"/>
                <w:sz w:val="22"/>
                <w:szCs w:val="22"/>
                <w:highlight w:val="none"/>
              </w:rPr>
            </w:pPr>
          </w:p>
        </w:tc>
        <w:tc>
          <w:tcPr>
            <w:tcW w:w="1339" w:type="dxa"/>
            <w:noWrap w:val="0"/>
            <w:vAlign w:val="center"/>
          </w:tcPr>
          <w:p w14:paraId="6B776687">
            <w:pPr>
              <w:shd w:val="clear"/>
              <w:ind w:left="0" w:leftChars="0" w:firstLine="0" w:firstLineChars="0"/>
              <w:jc w:val="both"/>
              <w:rPr>
                <w:rFonts w:hint="eastAsia" w:ascii="宋体" w:hAnsi="Times New Roman" w:eastAsia="宋体"/>
                <w:b w:val="0"/>
                <w:color w:val="auto"/>
                <w:sz w:val="22"/>
                <w:szCs w:val="22"/>
                <w:highlight w:val="none"/>
              </w:rPr>
            </w:pPr>
          </w:p>
        </w:tc>
      </w:tr>
      <w:tr w14:paraId="4247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826" w:type="dxa"/>
            <w:noWrap w:val="0"/>
            <w:vAlign w:val="center"/>
          </w:tcPr>
          <w:p w14:paraId="05FDB024">
            <w:pPr>
              <w:shd w:val="clear"/>
              <w:ind w:left="0" w:leftChars="0" w:firstLine="0" w:firstLineChars="0"/>
              <w:jc w:val="center"/>
              <w:rPr>
                <w:rFonts w:hint="eastAsia" w:ascii="宋体" w:hAnsi="Times New Roman" w:eastAsia="宋体"/>
                <w:b w:val="0"/>
                <w:color w:val="auto"/>
                <w:sz w:val="22"/>
                <w:szCs w:val="22"/>
                <w:highlight w:val="none"/>
              </w:rPr>
            </w:pPr>
            <w:r>
              <w:rPr>
                <w:rFonts w:hint="eastAsia" w:ascii="宋体" w:hAnsi="Times New Roman" w:eastAsia="宋体"/>
                <w:b w:val="0"/>
                <w:color w:val="auto"/>
                <w:sz w:val="22"/>
                <w:szCs w:val="22"/>
                <w:highlight w:val="none"/>
              </w:rPr>
              <w:t>7</w:t>
            </w:r>
          </w:p>
        </w:tc>
        <w:tc>
          <w:tcPr>
            <w:tcW w:w="5433" w:type="dxa"/>
            <w:noWrap w:val="0"/>
            <w:vAlign w:val="center"/>
          </w:tcPr>
          <w:p w14:paraId="147C053F">
            <w:pPr>
              <w:shd w:val="clear"/>
              <w:ind w:left="0" w:leftChars="0" w:firstLine="0" w:firstLineChars="0"/>
              <w:jc w:val="center"/>
              <w:rPr>
                <w:rFonts w:hint="eastAsia" w:ascii="宋体" w:hAnsi="Times New Roman" w:eastAsia="宋体"/>
                <w:b w:val="0"/>
                <w:color w:val="auto"/>
                <w:sz w:val="22"/>
                <w:szCs w:val="22"/>
                <w:highlight w:val="none"/>
              </w:rPr>
            </w:pPr>
          </w:p>
        </w:tc>
        <w:tc>
          <w:tcPr>
            <w:tcW w:w="888" w:type="dxa"/>
            <w:noWrap w:val="0"/>
            <w:vAlign w:val="center"/>
          </w:tcPr>
          <w:p w14:paraId="6A7F0CED">
            <w:pPr>
              <w:shd w:val="clear"/>
              <w:ind w:left="0" w:leftChars="0" w:firstLine="0" w:firstLineChars="0"/>
              <w:jc w:val="both"/>
              <w:rPr>
                <w:rFonts w:hint="eastAsia" w:ascii="宋体" w:hAnsi="Times New Roman" w:eastAsia="宋体"/>
                <w:b w:val="0"/>
                <w:color w:val="auto"/>
                <w:sz w:val="22"/>
                <w:szCs w:val="22"/>
                <w:highlight w:val="none"/>
              </w:rPr>
            </w:pPr>
          </w:p>
        </w:tc>
        <w:tc>
          <w:tcPr>
            <w:tcW w:w="1292" w:type="dxa"/>
            <w:noWrap w:val="0"/>
            <w:vAlign w:val="center"/>
          </w:tcPr>
          <w:p w14:paraId="5331015B">
            <w:pPr>
              <w:shd w:val="clear"/>
              <w:ind w:left="0" w:leftChars="0" w:firstLine="0" w:firstLineChars="0"/>
              <w:jc w:val="both"/>
              <w:rPr>
                <w:rFonts w:hint="eastAsia" w:ascii="宋体" w:hAnsi="Times New Roman" w:eastAsia="宋体"/>
                <w:b w:val="0"/>
                <w:color w:val="auto"/>
                <w:sz w:val="22"/>
                <w:szCs w:val="22"/>
                <w:highlight w:val="none"/>
              </w:rPr>
            </w:pPr>
          </w:p>
        </w:tc>
        <w:tc>
          <w:tcPr>
            <w:tcW w:w="1339" w:type="dxa"/>
            <w:noWrap w:val="0"/>
            <w:vAlign w:val="center"/>
          </w:tcPr>
          <w:p w14:paraId="4C6D00F9">
            <w:pPr>
              <w:shd w:val="clear"/>
              <w:ind w:left="0" w:leftChars="0" w:firstLine="0" w:firstLineChars="0"/>
              <w:jc w:val="both"/>
              <w:rPr>
                <w:rFonts w:hint="eastAsia" w:ascii="宋体" w:hAnsi="Times New Roman" w:eastAsia="宋体"/>
                <w:b w:val="0"/>
                <w:color w:val="auto"/>
                <w:sz w:val="22"/>
                <w:szCs w:val="22"/>
                <w:highlight w:val="none"/>
              </w:rPr>
            </w:pPr>
          </w:p>
        </w:tc>
      </w:tr>
      <w:tr w14:paraId="3D09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826" w:type="dxa"/>
            <w:noWrap w:val="0"/>
            <w:vAlign w:val="center"/>
          </w:tcPr>
          <w:p w14:paraId="4657B8D3">
            <w:pPr>
              <w:shd w:val="clear"/>
              <w:ind w:left="0" w:leftChars="0" w:firstLine="0" w:firstLineChars="0"/>
              <w:jc w:val="center"/>
              <w:rPr>
                <w:rFonts w:hint="eastAsia" w:ascii="宋体" w:hAnsi="Times New Roman" w:eastAsia="宋体"/>
                <w:b w:val="0"/>
                <w:color w:val="auto"/>
                <w:sz w:val="22"/>
                <w:szCs w:val="22"/>
                <w:highlight w:val="none"/>
              </w:rPr>
            </w:pPr>
            <w:r>
              <w:rPr>
                <w:rFonts w:hint="eastAsia" w:ascii="宋体" w:hAnsi="Times New Roman" w:eastAsia="宋体"/>
                <w:b w:val="0"/>
                <w:color w:val="auto"/>
                <w:sz w:val="22"/>
                <w:szCs w:val="22"/>
                <w:highlight w:val="none"/>
              </w:rPr>
              <w:t>8</w:t>
            </w:r>
          </w:p>
        </w:tc>
        <w:tc>
          <w:tcPr>
            <w:tcW w:w="5433" w:type="dxa"/>
            <w:noWrap w:val="0"/>
            <w:vAlign w:val="center"/>
          </w:tcPr>
          <w:p w14:paraId="0B007B2F">
            <w:pPr>
              <w:shd w:val="clear"/>
              <w:ind w:left="0" w:leftChars="0" w:firstLine="0" w:firstLineChars="0"/>
              <w:jc w:val="center"/>
              <w:rPr>
                <w:rFonts w:hint="eastAsia" w:ascii="宋体" w:hAnsi="Times New Roman" w:eastAsia="宋体"/>
                <w:b w:val="0"/>
                <w:color w:val="auto"/>
                <w:sz w:val="22"/>
                <w:szCs w:val="22"/>
                <w:highlight w:val="none"/>
              </w:rPr>
            </w:pPr>
          </w:p>
        </w:tc>
        <w:tc>
          <w:tcPr>
            <w:tcW w:w="888" w:type="dxa"/>
            <w:noWrap w:val="0"/>
            <w:vAlign w:val="center"/>
          </w:tcPr>
          <w:p w14:paraId="6F827D3A">
            <w:pPr>
              <w:shd w:val="clear"/>
              <w:ind w:left="0" w:leftChars="0" w:firstLine="0" w:firstLineChars="0"/>
              <w:jc w:val="both"/>
              <w:rPr>
                <w:rFonts w:hint="eastAsia" w:ascii="宋体" w:hAnsi="Times New Roman" w:eastAsia="宋体"/>
                <w:b w:val="0"/>
                <w:color w:val="auto"/>
                <w:sz w:val="22"/>
                <w:szCs w:val="22"/>
                <w:highlight w:val="none"/>
              </w:rPr>
            </w:pPr>
          </w:p>
        </w:tc>
        <w:tc>
          <w:tcPr>
            <w:tcW w:w="1292" w:type="dxa"/>
            <w:noWrap w:val="0"/>
            <w:vAlign w:val="center"/>
          </w:tcPr>
          <w:p w14:paraId="7820DAD8">
            <w:pPr>
              <w:shd w:val="clear"/>
              <w:ind w:left="0" w:leftChars="0" w:firstLine="0" w:firstLineChars="0"/>
              <w:jc w:val="both"/>
              <w:rPr>
                <w:rFonts w:hint="eastAsia" w:ascii="宋体" w:hAnsi="Times New Roman" w:eastAsia="宋体"/>
                <w:b w:val="0"/>
                <w:color w:val="auto"/>
                <w:sz w:val="22"/>
                <w:szCs w:val="22"/>
                <w:highlight w:val="none"/>
              </w:rPr>
            </w:pPr>
          </w:p>
        </w:tc>
        <w:tc>
          <w:tcPr>
            <w:tcW w:w="1339" w:type="dxa"/>
            <w:noWrap w:val="0"/>
            <w:vAlign w:val="center"/>
          </w:tcPr>
          <w:p w14:paraId="06ED6D51">
            <w:pPr>
              <w:shd w:val="clear"/>
              <w:ind w:left="0" w:leftChars="0" w:firstLine="0" w:firstLineChars="0"/>
              <w:jc w:val="both"/>
              <w:rPr>
                <w:rFonts w:hint="eastAsia" w:ascii="宋体" w:hAnsi="Times New Roman" w:eastAsia="宋体"/>
                <w:b w:val="0"/>
                <w:color w:val="auto"/>
                <w:sz w:val="22"/>
                <w:szCs w:val="22"/>
                <w:highlight w:val="none"/>
              </w:rPr>
            </w:pPr>
          </w:p>
        </w:tc>
      </w:tr>
      <w:tr w14:paraId="773F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826" w:type="dxa"/>
            <w:noWrap w:val="0"/>
            <w:vAlign w:val="center"/>
          </w:tcPr>
          <w:p w14:paraId="29004203">
            <w:pPr>
              <w:shd w:val="clear"/>
              <w:ind w:left="0" w:leftChars="0" w:firstLine="0" w:firstLineChars="0"/>
              <w:jc w:val="center"/>
              <w:rPr>
                <w:rFonts w:hint="eastAsia" w:ascii="宋体" w:hAnsi="Times New Roman" w:eastAsia="宋体"/>
                <w:b w:val="0"/>
                <w:color w:val="auto"/>
                <w:sz w:val="22"/>
                <w:szCs w:val="22"/>
                <w:highlight w:val="none"/>
              </w:rPr>
            </w:pPr>
            <w:r>
              <w:rPr>
                <w:rFonts w:hint="eastAsia" w:ascii="宋体" w:hAnsi="Times New Roman" w:eastAsia="宋体"/>
                <w:b w:val="0"/>
                <w:color w:val="auto"/>
                <w:sz w:val="22"/>
                <w:szCs w:val="22"/>
                <w:highlight w:val="none"/>
              </w:rPr>
              <w:t>9</w:t>
            </w:r>
          </w:p>
        </w:tc>
        <w:tc>
          <w:tcPr>
            <w:tcW w:w="5433" w:type="dxa"/>
            <w:noWrap w:val="0"/>
            <w:vAlign w:val="center"/>
          </w:tcPr>
          <w:p w14:paraId="479ED3A7">
            <w:pPr>
              <w:shd w:val="clear"/>
              <w:ind w:left="0" w:leftChars="0" w:firstLine="0" w:firstLineChars="0"/>
              <w:jc w:val="center"/>
              <w:rPr>
                <w:rFonts w:hint="eastAsia" w:ascii="宋体" w:hAnsi="Times New Roman" w:eastAsia="宋体"/>
                <w:b w:val="0"/>
                <w:color w:val="auto"/>
                <w:sz w:val="22"/>
                <w:szCs w:val="22"/>
                <w:highlight w:val="none"/>
              </w:rPr>
            </w:pPr>
          </w:p>
        </w:tc>
        <w:tc>
          <w:tcPr>
            <w:tcW w:w="888" w:type="dxa"/>
            <w:noWrap w:val="0"/>
            <w:vAlign w:val="center"/>
          </w:tcPr>
          <w:p w14:paraId="309AEEC4">
            <w:pPr>
              <w:shd w:val="clear"/>
              <w:ind w:left="0" w:leftChars="0" w:firstLine="0" w:firstLineChars="0"/>
              <w:jc w:val="both"/>
              <w:rPr>
                <w:rFonts w:hint="eastAsia" w:ascii="宋体" w:hAnsi="Times New Roman" w:eastAsia="宋体"/>
                <w:b w:val="0"/>
                <w:color w:val="auto"/>
                <w:sz w:val="22"/>
                <w:szCs w:val="22"/>
                <w:highlight w:val="none"/>
              </w:rPr>
            </w:pPr>
          </w:p>
        </w:tc>
        <w:tc>
          <w:tcPr>
            <w:tcW w:w="1292" w:type="dxa"/>
            <w:noWrap w:val="0"/>
            <w:vAlign w:val="center"/>
          </w:tcPr>
          <w:p w14:paraId="54C4B4D9">
            <w:pPr>
              <w:shd w:val="clear"/>
              <w:ind w:left="0" w:leftChars="0" w:firstLine="0" w:firstLineChars="0"/>
              <w:jc w:val="both"/>
              <w:rPr>
                <w:rFonts w:hint="eastAsia" w:ascii="宋体" w:hAnsi="Times New Roman" w:eastAsia="宋体"/>
                <w:b w:val="0"/>
                <w:color w:val="auto"/>
                <w:sz w:val="22"/>
                <w:szCs w:val="22"/>
                <w:highlight w:val="none"/>
              </w:rPr>
            </w:pPr>
          </w:p>
        </w:tc>
        <w:tc>
          <w:tcPr>
            <w:tcW w:w="1339" w:type="dxa"/>
            <w:noWrap w:val="0"/>
            <w:vAlign w:val="center"/>
          </w:tcPr>
          <w:p w14:paraId="7DB1D56F">
            <w:pPr>
              <w:shd w:val="clear"/>
              <w:ind w:left="0" w:leftChars="0" w:firstLine="0" w:firstLineChars="0"/>
              <w:jc w:val="both"/>
              <w:rPr>
                <w:rFonts w:hint="eastAsia" w:ascii="宋体" w:hAnsi="Times New Roman" w:eastAsia="宋体"/>
                <w:b w:val="0"/>
                <w:color w:val="auto"/>
                <w:sz w:val="22"/>
                <w:szCs w:val="22"/>
                <w:highlight w:val="none"/>
              </w:rPr>
            </w:pPr>
          </w:p>
        </w:tc>
      </w:tr>
      <w:tr w14:paraId="28EF4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826" w:type="dxa"/>
            <w:noWrap w:val="0"/>
            <w:vAlign w:val="center"/>
          </w:tcPr>
          <w:p w14:paraId="1286B4BA">
            <w:pPr>
              <w:shd w:val="clear"/>
              <w:ind w:left="0" w:leftChars="0" w:firstLine="0" w:firstLineChars="0"/>
              <w:jc w:val="center"/>
              <w:rPr>
                <w:rFonts w:hint="eastAsia" w:ascii="宋体" w:hAnsi="Times New Roman" w:eastAsia="宋体"/>
                <w:b w:val="0"/>
                <w:color w:val="auto"/>
                <w:sz w:val="22"/>
                <w:szCs w:val="22"/>
                <w:highlight w:val="none"/>
              </w:rPr>
            </w:pPr>
            <w:r>
              <w:rPr>
                <w:rFonts w:hint="eastAsia" w:ascii="宋体" w:hAnsi="Times New Roman" w:eastAsia="宋体"/>
                <w:b w:val="0"/>
                <w:color w:val="auto"/>
                <w:sz w:val="22"/>
                <w:szCs w:val="22"/>
                <w:highlight w:val="none"/>
              </w:rPr>
              <w:t>10</w:t>
            </w:r>
          </w:p>
        </w:tc>
        <w:tc>
          <w:tcPr>
            <w:tcW w:w="5433" w:type="dxa"/>
            <w:noWrap w:val="0"/>
            <w:vAlign w:val="center"/>
          </w:tcPr>
          <w:p w14:paraId="517CD2DA">
            <w:pPr>
              <w:shd w:val="clear"/>
              <w:ind w:left="0" w:leftChars="0" w:firstLine="0" w:firstLineChars="0"/>
              <w:jc w:val="center"/>
              <w:rPr>
                <w:rFonts w:hint="eastAsia" w:ascii="宋体" w:hAnsi="Times New Roman" w:eastAsia="宋体"/>
                <w:b w:val="0"/>
                <w:color w:val="auto"/>
                <w:sz w:val="22"/>
                <w:szCs w:val="22"/>
                <w:highlight w:val="none"/>
              </w:rPr>
            </w:pPr>
          </w:p>
        </w:tc>
        <w:tc>
          <w:tcPr>
            <w:tcW w:w="888" w:type="dxa"/>
            <w:noWrap w:val="0"/>
            <w:vAlign w:val="center"/>
          </w:tcPr>
          <w:p w14:paraId="34417E03">
            <w:pPr>
              <w:shd w:val="clear"/>
              <w:ind w:left="0" w:leftChars="0" w:firstLine="0" w:firstLineChars="0"/>
              <w:jc w:val="both"/>
              <w:rPr>
                <w:rFonts w:hint="eastAsia" w:ascii="宋体" w:hAnsi="Times New Roman" w:eastAsia="宋体"/>
                <w:b w:val="0"/>
                <w:color w:val="auto"/>
                <w:sz w:val="22"/>
                <w:szCs w:val="22"/>
                <w:highlight w:val="none"/>
              </w:rPr>
            </w:pPr>
          </w:p>
        </w:tc>
        <w:tc>
          <w:tcPr>
            <w:tcW w:w="1292" w:type="dxa"/>
            <w:noWrap w:val="0"/>
            <w:vAlign w:val="center"/>
          </w:tcPr>
          <w:p w14:paraId="316B4F13">
            <w:pPr>
              <w:shd w:val="clear"/>
              <w:ind w:left="0" w:leftChars="0" w:firstLine="0" w:firstLineChars="0"/>
              <w:jc w:val="both"/>
              <w:rPr>
                <w:rFonts w:hint="eastAsia" w:ascii="宋体" w:hAnsi="Times New Roman" w:eastAsia="宋体"/>
                <w:b w:val="0"/>
                <w:color w:val="auto"/>
                <w:sz w:val="22"/>
                <w:szCs w:val="22"/>
                <w:highlight w:val="none"/>
              </w:rPr>
            </w:pPr>
          </w:p>
        </w:tc>
        <w:tc>
          <w:tcPr>
            <w:tcW w:w="1339" w:type="dxa"/>
            <w:noWrap w:val="0"/>
            <w:vAlign w:val="center"/>
          </w:tcPr>
          <w:p w14:paraId="4774C0F8">
            <w:pPr>
              <w:shd w:val="clear"/>
              <w:ind w:left="0" w:leftChars="0" w:firstLine="0" w:firstLineChars="0"/>
              <w:jc w:val="both"/>
              <w:rPr>
                <w:rFonts w:hint="eastAsia" w:ascii="宋体" w:hAnsi="Times New Roman" w:eastAsia="宋体"/>
                <w:b w:val="0"/>
                <w:color w:val="auto"/>
                <w:sz w:val="22"/>
                <w:szCs w:val="22"/>
                <w:highlight w:val="none"/>
              </w:rPr>
            </w:pPr>
          </w:p>
        </w:tc>
      </w:tr>
      <w:tr w14:paraId="37F4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826" w:type="dxa"/>
            <w:noWrap w:val="0"/>
            <w:vAlign w:val="center"/>
          </w:tcPr>
          <w:p w14:paraId="1D117902">
            <w:pPr>
              <w:shd w:val="clear"/>
              <w:ind w:left="0" w:leftChars="0" w:firstLine="0" w:firstLineChars="0"/>
              <w:jc w:val="center"/>
              <w:rPr>
                <w:rFonts w:hint="eastAsia" w:ascii="宋体" w:hAnsi="Times New Roman" w:eastAsia="宋体"/>
                <w:b w:val="0"/>
                <w:color w:val="auto"/>
                <w:sz w:val="22"/>
                <w:szCs w:val="22"/>
                <w:highlight w:val="none"/>
              </w:rPr>
            </w:pPr>
            <w:r>
              <w:rPr>
                <w:rFonts w:hint="eastAsia" w:ascii="宋体" w:hAnsi="Times New Roman" w:eastAsia="宋体"/>
                <w:b w:val="0"/>
                <w:color w:val="auto"/>
                <w:sz w:val="22"/>
                <w:szCs w:val="22"/>
                <w:highlight w:val="none"/>
              </w:rPr>
              <w:t>…</w:t>
            </w:r>
          </w:p>
        </w:tc>
        <w:tc>
          <w:tcPr>
            <w:tcW w:w="5433" w:type="dxa"/>
            <w:noWrap w:val="0"/>
            <w:vAlign w:val="center"/>
          </w:tcPr>
          <w:p w14:paraId="113EEB56">
            <w:pPr>
              <w:shd w:val="clear"/>
              <w:ind w:left="0" w:leftChars="0" w:firstLine="0" w:firstLineChars="0"/>
              <w:jc w:val="center"/>
              <w:rPr>
                <w:rFonts w:hint="eastAsia" w:ascii="宋体" w:hAnsi="Times New Roman" w:eastAsia="宋体"/>
                <w:b w:val="0"/>
                <w:color w:val="auto"/>
                <w:sz w:val="22"/>
                <w:szCs w:val="22"/>
                <w:highlight w:val="none"/>
              </w:rPr>
            </w:pPr>
          </w:p>
        </w:tc>
        <w:tc>
          <w:tcPr>
            <w:tcW w:w="888" w:type="dxa"/>
            <w:noWrap w:val="0"/>
            <w:vAlign w:val="center"/>
          </w:tcPr>
          <w:p w14:paraId="632579CE">
            <w:pPr>
              <w:shd w:val="clear"/>
              <w:ind w:left="0" w:leftChars="0" w:firstLine="0" w:firstLineChars="0"/>
              <w:jc w:val="both"/>
              <w:rPr>
                <w:rFonts w:hint="eastAsia" w:ascii="宋体" w:hAnsi="Times New Roman" w:eastAsia="宋体"/>
                <w:b w:val="0"/>
                <w:color w:val="auto"/>
                <w:sz w:val="22"/>
                <w:szCs w:val="22"/>
                <w:highlight w:val="none"/>
              </w:rPr>
            </w:pPr>
          </w:p>
        </w:tc>
        <w:tc>
          <w:tcPr>
            <w:tcW w:w="1292" w:type="dxa"/>
            <w:noWrap w:val="0"/>
            <w:vAlign w:val="center"/>
          </w:tcPr>
          <w:p w14:paraId="4FC0B1B4">
            <w:pPr>
              <w:shd w:val="clear"/>
              <w:ind w:left="0" w:leftChars="0" w:firstLine="0" w:firstLineChars="0"/>
              <w:jc w:val="both"/>
              <w:rPr>
                <w:rFonts w:hint="eastAsia" w:ascii="宋体" w:hAnsi="Times New Roman" w:eastAsia="宋体"/>
                <w:b w:val="0"/>
                <w:color w:val="auto"/>
                <w:sz w:val="22"/>
                <w:szCs w:val="22"/>
                <w:highlight w:val="none"/>
              </w:rPr>
            </w:pPr>
          </w:p>
        </w:tc>
        <w:tc>
          <w:tcPr>
            <w:tcW w:w="1339" w:type="dxa"/>
            <w:noWrap w:val="0"/>
            <w:vAlign w:val="center"/>
          </w:tcPr>
          <w:p w14:paraId="27B9BF64">
            <w:pPr>
              <w:shd w:val="clear"/>
              <w:ind w:left="0" w:leftChars="0" w:firstLine="0" w:firstLineChars="0"/>
              <w:jc w:val="both"/>
              <w:rPr>
                <w:rFonts w:hint="eastAsia" w:ascii="宋体" w:hAnsi="Times New Roman" w:eastAsia="宋体"/>
                <w:b w:val="0"/>
                <w:color w:val="auto"/>
                <w:sz w:val="22"/>
                <w:szCs w:val="22"/>
                <w:highlight w:val="none"/>
              </w:rPr>
            </w:pPr>
          </w:p>
        </w:tc>
      </w:tr>
      <w:tr w14:paraId="6A35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259" w:type="dxa"/>
            <w:gridSpan w:val="2"/>
            <w:noWrap w:val="0"/>
            <w:vAlign w:val="center"/>
          </w:tcPr>
          <w:p w14:paraId="32343B2B">
            <w:pPr>
              <w:shd w:val="clear"/>
              <w:ind w:left="0" w:leftChars="0" w:firstLine="0" w:firstLineChars="0"/>
              <w:jc w:val="center"/>
              <w:rPr>
                <w:rFonts w:hint="eastAsia" w:ascii="宋体" w:hAnsi="Times New Roman" w:eastAsia="宋体"/>
                <w:b w:val="0"/>
                <w:color w:val="auto"/>
                <w:sz w:val="22"/>
                <w:szCs w:val="22"/>
                <w:highlight w:val="none"/>
              </w:rPr>
            </w:pPr>
            <w:r>
              <w:rPr>
                <w:rFonts w:hint="eastAsia" w:ascii="宋体" w:hAnsi="Times New Roman" w:eastAsia="宋体"/>
                <w:b w:val="0"/>
                <w:color w:val="auto"/>
                <w:sz w:val="22"/>
                <w:szCs w:val="22"/>
                <w:highlight w:val="none"/>
              </w:rPr>
              <w:t>合计报价</w:t>
            </w:r>
          </w:p>
        </w:tc>
        <w:tc>
          <w:tcPr>
            <w:tcW w:w="3519" w:type="dxa"/>
            <w:gridSpan w:val="3"/>
            <w:noWrap w:val="0"/>
            <w:vAlign w:val="center"/>
          </w:tcPr>
          <w:p w14:paraId="59172DAC">
            <w:pPr>
              <w:shd w:val="clear"/>
              <w:ind w:left="0" w:leftChars="0" w:firstLine="0" w:firstLineChars="0"/>
              <w:jc w:val="both"/>
              <w:rPr>
                <w:rFonts w:hint="eastAsia" w:ascii="宋体" w:hAnsi="Times New Roman" w:eastAsia="宋体"/>
                <w:b w:val="0"/>
                <w:color w:val="auto"/>
                <w:sz w:val="22"/>
                <w:szCs w:val="22"/>
                <w:highlight w:val="none"/>
              </w:rPr>
            </w:pPr>
          </w:p>
        </w:tc>
      </w:tr>
    </w:tbl>
    <w:p w14:paraId="54B3231F">
      <w:pPr>
        <w:keepNext w:val="0"/>
        <w:keepLines w:val="0"/>
        <w:pageBreakBefore w:val="0"/>
        <w:widowControl w:val="0"/>
        <w:shd w:val="clear"/>
        <w:kinsoku/>
        <w:wordWrap/>
        <w:overflowPunct/>
        <w:topLinePunct w:val="0"/>
        <w:autoSpaceDE/>
        <w:autoSpaceDN/>
        <w:bidi w:val="0"/>
        <w:adjustRightInd/>
        <w:snapToGrid/>
        <w:spacing w:line="312" w:lineRule="auto"/>
        <w:ind w:left="0" w:leftChars="0" w:firstLine="480" w:firstLineChars="200"/>
        <w:jc w:val="both"/>
        <w:textAlignment w:val="auto"/>
        <w:rPr>
          <w:rFonts w:hint="eastAsia" w:ascii="宋体" w:hAnsi="Times New Roman" w:eastAsia="宋体"/>
          <w:b w:val="0"/>
          <w:color w:val="auto"/>
          <w:sz w:val="24"/>
          <w:szCs w:val="24"/>
          <w:highlight w:val="none"/>
          <w:lang w:val="en-US" w:eastAsia="zh-CN"/>
        </w:rPr>
      </w:pPr>
      <w:r>
        <w:rPr>
          <w:rFonts w:hint="eastAsia" w:ascii="宋体" w:hAnsi="Times New Roman" w:eastAsia="宋体"/>
          <w:b w:val="0"/>
          <w:color w:val="auto"/>
          <w:sz w:val="24"/>
          <w:szCs w:val="24"/>
          <w:highlight w:val="none"/>
          <w:lang w:val="en-US" w:eastAsia="zh-CN"/>
        </w:rPr>
        <w:t>注：</w:t>
      </w:r>
    </w:p>
    <w:p w14:paraId="11E12A7B">
      <w:pPr>
        <w:keepNext w:val="0"/>
        <w:keepLines w:val="0"/>
        <w:pageBreakBefore w:val="0"/>
        <w:widowControl w:val="0"/>
        <w:shd w:val="clear"/>
        <w:kinsoku/>
        <w:wordWrap/>
        <w:overflowPunct/>
        <w:topLinePunct w:val="0"/>
        <w:autoSpaceDE/>
        <w:autoSpaceDN/>
        <w:bidi w:val="0"/>
        <w:adjustRightInd/>
        <w:snapToGrid/>
        <w:spacing w:line="312" w:lineRule="auto"/>
        <w:ind w:left="0" w:leftChars="0" w:firstLine="480" w:firstLineChars="200"/>
        <w:jc w:val="both"/>
        <w:textAlignment w:val="auto"/>
        <w:rPr>
          <w:rFonts w:hint="eastAsia" w:ascii="宋体" w:hAnsi="Times New Roman" w:eastAsia="宋体"/>
          <w:b w:val="0"/>
          <w:color w:val="auto"/>
          <w:sz w:val="24"/>
          <w:szCs w:val="24"/>
          <w:highlight w:val="none"/>
        </w:rPr>
      </w:pPr>
      <w:r>
        <w:rPr>
          <w:rFonts w:hint="eastAsia" w:ascii="宋体" w:hAnsi="Times New Roman" w:eastAsia="宋体"/>
          <w:b w:val="0"/>
          <w:color w:val="auto"/>
          <w:sz w:val="24"/>
          <w:szCs w:val="24"/>
          <w:highlight w:val="none"/>
        </w:rPr>
        <w:t>1. 本表为《开标一览表》的报价明细表，如有缺项、漏项，视为投标报价中已包含相关费用，采购人无需另外支付任何费用。</w:t>
      </w:r>
    </w:p>
    <w:p w14:paraId="2075A439">
      <w:pPr>
        <w:keepNext w:val="0"/>
        <w:keepLines w:val="0"/>
        <w:pageBreakBefore w:val="0"/>
        <w:widowControl w:val="0"/>
        <w:shd w:val="clear"/>
        <w:kinsoku/>
        <w:wordWrap/>
        <w:overflowPunct/>
        <w:topLinePunct w:val="0"/>
        <w:autoSpaceDE/>
        <w:autoSpaceDN/>
        <w:bidi w:val="0"/>
        <w:adjustRightInd/>
        <w:snapToGrid/>
        <w:spacing w:line="312" w:lineRule="auto"/>
        <w:ind w:left="0" w:leftChars="0" w:firstLine="480" w:firstLineChars="200"/>
        <w:jc w:val="both"/>
        <w:textAlignment w:val="auto"/>
        <w:rPr>
          <w:rFonts w:hint="eastAsia" w:ascii="宋体" w:hAnsi="Times New Roman" w:eastAsia="宋体"/>
          <w:b w:val="0"/>
          <w:color w:val="auto"/>
          <w:sz w:val="24"/>
          <w:szCs w:val="24"/>
          <w:highlight w:val="none"/>
          <w:lang w:val="zh-CN"/>
        </w:rPr>
      </w:pPr>
      <w:r>
        <w:rPr>
          <w:rFonts w:hint="eastAsia" w:ascii="宋体" w:hAnsi="Times New Roman" w:eastAsia="宋体"/>
          <w:b w:val="0"/>
          <w:color w:val="auto"/>
          <w:sz w:val="24"/>
          <w:szCs w:val="24"/>
          <w:highlight w:val="none"/>
        </w:rPr>
        <w:t>2.</w:t>
      </w:r>
      <w:r>
        <w:rPr>
          <w:rFonts w:hint="eastAsia" w:ascii="宋体" w:hAnsi="Times New Roman" w:eastAsia="宋体"/>
          <w:b w:val="0"/>
          <w:color w:val="auto"/>
          <w:sz w:val="24"/>
          <w:szCs w:val="24"/>
          <w:highlight w:val="none"/>
          <w:lang w:val="zh-CN"/>
        </w:rPr>
        <w:t>“报价明细表”中的报价合计应与“开标一览表”中的投标总报价相一致，不一致时，以开标一览表为准。</w:t>
      </w:r>
    </w:p>
    <w:p w14:paraId="6ECF8E34">
      <w:pPr>
        <w:shd w:val="clear"/>
        <w:adjustRightInd w:val="0"/>
        <w:snapToGrid w:val="0"/>
        <w:spacing w:line="360" w:lineRule="auto"/>
        <w:ind w:firstLine="4080" w:firstLineChars="1700"/>
        <w:textAlignment w:val="baseline"/>
        <w:rPr>
          <w:rFonts w:hint="eastAsia" w:ascii="宋体" w:hAnsi="宋体" w:cs="宋体"/>
          <w:color w:val="auto"/>
          <w:highlight w:val="none"/>
          <w:lang w:bidi="ar"/>
        </w:rPr>
      </w:pPr>
    </w:p>
    <w:p w14:paraId="0DE9BA62">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投标人名称（盖章）:</w:t>
      </w:r>
    </w:p>
    <w:p w14:paraId="78319043">
      <w:pPr>
        <w:shd w:val="clear"/>
        <w:adjustRightInd w:val="0"/>
        <w:snapToGrid w:val="0"/>
        <w:spacing w:line="360" w:lineRule="auto"/>
        <w:ind w:firstLine="4080" w:firstLineChars="1700"/>
        <w:textAlignment w:val="baseline"/>
        <w:rPr>
          <w:rFonts w:hint="eastAsia" w:ascii="宋体" w:hAnsi="宋体" w:cs="宋体"/>
          <w:color w:val="auto"/>
          <w:highlight w:val="none"/>
        </w:rPr>
      </w:pPr>
      <w:r>
        <w:rPr>
          <w:rFonts w:hint="eastAsia" w:ascii="宋体" w:hAnsi="宋体" w:cs="宋体"/>
          <w:color w:val="auto"/>
          <w:highlight w:val="none"/>
          <w:lang w:bidi="ar"/>
        </w:rPr>
        <w:t>法定代表人或授权代理人（签字或盖章）:</w:t>
      </w:r>
    </w:p>
    <w:p w14:paraId="016110E0">
      <w:pPr>
        <w:widowControl/>
        <w:shd w:val="clear"/>
        <w:adjustRightInd w:val="0"/>
        <w:snapToGrid w:val="0"/>
        <w:spacing w:line="360" w:lineRule="auto"/>
        <w:ind w:firstLine="4080" w:firstLineChars="1700"/>
        <w:rPr>
          <w:rFonts w:hint="eastAsia" w:cs="宋体"/>
          <w:b/>
          <w:bCs/>
          <w:color w:val="auto"/>
          <w:kern w:val="2"/>
          <w:highlight w:val="none"/>
          <w:lang w:bidi="ar"/>
        </w:rPr>
      </w:pPr>
      <w:r>
        <w:rPr>
          <w:rFonts w:hint="eastAsia" w:ascii="宋体" w:hAnsi="宋体" w:cs="宋体"/>
          <w:color w:val="auto"/>
          <w:highlight w:val="none"/>
          <w:lang w:bidi="ar"/>
        </w:rPr>
        <w:t>日期:2025年   月   日</w:t>
      </w:r>
    </w:p>
    <w:bookmarkEnd w:id="498"/>
    <w:bookmarkEnd w:id="499"/>
    <w:bookmarkEnd w:id="500"/>
    <w:bookmarkEnd w:id="501"/>
    <w:p w14:paraId="564E6204">
      <w:pPr>
        <w:pStyle w:val="2"/>
        <w:numPr>
          <w:ilvl w:val="0"/>
          <w:numId w:val="0"/>
        </w:numPr>
        <w:shd w:val="clear"/>
        <w:ind w:leftChars="0"/>
        <w:jc w:val="both"/>
        <w:rPr>
          <w:rFonts w:hint="eastAsia" w:ascii="宋体" w:hAnsi="宋体" w:cs="宋体"/>
          <w:b/>
          <w:bCs/>
          <w:color w:val="auto"/>
          <w:highlight w:val="none"/>
          <w:lang w:bidi="ar"/>
        </w:rPr>
      </w:pPr>
    </w:p>
    <w:p w14:paraId="45EF74E7">
      <w:pPr>
        <w:shd w:val="clear"/>
        <w:rPr>
          <w:rFonts w:hint="eastAsia"/>
          <w:color w:val="auto"/>
          <w:highlight w:val="none"/>
        </w:rPr>
      </w:pPr>
    </w:p>
    <w:p w14:paraId="10D7C191">
      <w:pPr>
        <w:shd w:val="clear"/>
        <w:ind w:firstLine="0" w:firstLineChars="0"/>
        <w:outlineLvl w:val="0"/>
        <w:rPr>
          <w:rFonts w:hint="default" w:eastAsia="宋体" w:cs="Times New Roman"/>
          <w:color w:val="auto"/>
          <w:highlight w:val="none"/>
          <w:lang w:val="en-US" w:eastAsia="zh-CN"/>
        </w:rPr>
      </w:pPr>
      <w:r>
        <w:rPr>
          <w:rFonts w:hint="eastAsia" w:ascii="宋体" w:hAnsi="宋体" w:cs="宋体"/>
          <w:b/>
          <w:bCs/>
          <w:color w:val="auto"/>
          <w:highlight w:val="none"/>
          <w:lang w:bidi="ar"/>
        </w:rPr>
        <w:t>附件</w:t>
      </w:r>
      <w:r>
        <w:rPr>
          <w:rFonts w:hint="eastAsia" w:ascii="宋体" w:hAnsi="宋体" w:cs="宋体"/>
          <w:b/>
          <w:bCs/>
          <w:color w:val="auto"/>
          <w:highlight w:val="none"/>
          <w:lang w:val="en-US" w:eastAsia="zh-CN" w:bidi="ar"/>
        </w:rPr>
        <w:t>12</w:t>
      </w:r>
    </w:p>
    <w:p w14:paraId="55376FCB">
      <w:pPr>
        <w:shd w:val="clear"/>
        <w:spacing w:line="360" w:lineRule="auto"/>
        <w:ind w:firstLine="0" w:firstLineChars="0"/>
        <w:jc w:val="center"/>
        <w:rPr>
          <w:rFonts w:ascii="宋体" w:hAnsi="宋体" w:cs="宋体"/>
          <w:b/>
          <w:color w:val="auto"/>
          <w:sz w:val="30"/>
          <w:szCs w:val="30"/>
          <w:highlight w:val="none"/>
          <w:lang w:val="en-GB"/>
        </w:rPr>
      </w:pPr>
      <w:r>
        <w:rPr>
          <w:rFonts w:hint="eastAsia" w:ascii="宋体" w:hAnsi="宋体" w:cs="宋体"/>
          <w:b/>
          <w:color w:val="auto"/>
          <w:sz w:val="30"/>
          <w:szCs w:val="30"/>
          <w:highlight w:val="none"/>
          <w:lang w:val="en-GB"/>
        </w:rPr>
        <w:t>中小企业声明函、监狱企业、残疾人福利性单位及其他相关的充分的证明材料中小企业声明函及其相关的充分的证明材料</w:t>
      </w:r>
    </w:p>
    <w:p w14:paraId="015431EA">
      <w:pPr>
        <w:shd w:val="clear"/>
        <w:tabs>
          <w:tab w:val="left" w:pos="420"/>
        </w:tabs>
        <w:ind w:firstLine="612"/>
        <w:jc w:val="center"/>
        <w:rPr>
          <w:rFonts w:ascii="宋体" w:hAnsi="宋体" w:cs="Arial"/>
          <w:b/>
          <w:bCs/>
          <w:color w:val="auto"/>
          <w:kern w:val="0"/>
          <w:sz w:val="30"/>
          <w:szCs w:val="30"/>
          <w:highlight w:val="none"/>
        </w:rPr>
      </w:pPr>
      <w:r>
        <w:rPr>
          <w:rFonts w:hint="eastAsia" w:ascii="宋体" w:hAnsi="宋体" w:cs="Arial"/>
          <w:b/>
          <w:bCs/>
          <w:color w:val="auto"/>
          <w:kern w:val="0"/>
          <w:sz w:val="30"/>
          <w:szCs w:val="30"/>
          <w:highlight w:val="none"/>
        </w:rPr>
        <w:t>中小企业声明函（服务）</w:t>
      </w:r>
    </w:p>
    <w:p w14:paraId="65FB352C">
      <w:pPr>
        <w:shd w:val="clear"/>
        <w:ind w:firstLine="0" w:firstLineChars="0"/>
        <w:rPr>
          <w:color w:val="auto"/>
          <w:highlight w:val="none"/>
        </w:rPr>
      </w:pPr>
    </w:p>
    <w:p w14:paraId="38C6B703">
      <w:pPr>
        <w:shd w:val="clear"/>
        <w:tabs>
          <w:tab w:val="left" w:pos="420"/>
        </w:tabs>
        <w:spacing w:line="360" w:lineRule="auto"/>
        <w:ind w:firstLine="480"/>
        <w:jc w:val="left"/>
        <w:rPr>
          <w:rFonts w:ascii="宋体" w:hAnsi="宋体" w:cs="Arial"/>
          <w:bCs/>
          <w:color w:val="auto"/>
          <w:kern w:val="0"/>
          <w:highlight w:val="none"/>
        </w:rPr>
      </w:pPr>
      <w:r>
        <w:rPr>
          <w:rFonts w:hint="eastAsia" w:ascii="宋体" w:hAnsi="宋体" w:cs="Arial"/>
          <w:bCs/>
          <w:color w:val="auto"/>
          <w:kern w:val="0"/>
          <w:highlight w:val="none"/>
        </w:rPr>
        <w:t>本公司郑重声明，根据《政府采购促进中小企业发展管理办法》（财库</w:t>
      </w:r>
      <w:r>
        <w:rPr>
          <w:rFonts w:hint="eastAsia" w:ascii="宋体" w:hAnsi="宋体"/>
          <w:color w:val="auto"/>
          <w:highlight w:val="none"/>
        </w:rPr>
        <w:t>〔2020〕</w:t>
      </w:r>
      <w:r>
        <w:rPr>
          <w:rFonts w:hint="eastAsia" w:ascii="宋体" w:hAnsi="宋体" w:cs="Arial"/>
          <w:bCs/>
          <w:color w:val="auto"/>
          <w:kern w:val="0"/>
          <w:highlight w:val="none"/>
        </w:rPr>
        <w:t>46 号）的规定，本公司参加__________________（单位名称） 的__________________（项目名称） 采购活动，服务全部由符合政策要求的中小企业承接。相关企业（含联合体中的中小企业、签订分包意向协议的中小企业）的具体情况如下：</w:t>
      </w:r>
    </w:p>
    <w:p w14:paraId="27BE5E9E">
      <w:pPr>
        <w:shd w:val="clear"/>
        <w:tabs>
          <w:tab w:val="left" w:pos="420"/>
        </w:tabs>
        <w:spacing w:line="360" w:lineRule="auto"/>
        <w:ind w:firstLine="480"/>
        <w:jc w:val="left"/>
        <w:rPr>
          <w:rFonts w:ascii="宋体" w:hAnsi="宋体" w:cs="Arial"/>
          <w:bCs/>
          <w:color w:val="auto"/>
          <w:kern w:val="0"/>
          <w:highlight w:val="none"/>
        </w:rPr>
      </w:pPr>
      <w:r>
        <w:rPr>
          <w:rFonts w:hint="eastAsia" w:ascii="宋体" w:hAnsi="宋体" w:cs="Arial"/>
          <w:bCs/>
          <w:color w:val="auto"/>
          <w:kern w:val="0"/>
          <w:highlight w:val="none"/>
        </w:rPr>
        <w:t>（标的名称），属于（</w:t>
      </w:r>
      <w:r>
        <w:rPr>
          <w:rFonts w:hint="eastAsia" w:ascii="宋体" w:hAnsi="宋体" w:cs="Arial"/>
          <w:bCs/>
          <w:color w:val="auto"/>
          <w:kern w:val="0"/>
          <w:highlight w:val="none"/>
          <w:lang w:eastAsia="zh-CN"/>
        </w:rPr>
        <w:t>招标文件</w:t>
      </w:r>
      <w:r>
        <w:rPr>
          <w:rFonts w:hint="eastAsia" w:ascii="宋体" w:hAnsi="宋体" w:cs="Arial"/>
          <w:bCs/>
          <w:color w:val="auto"/>
          <w:kern w:val="0"/>
          <w:highlight w:val="none"/>
        </w:rPr>
        <w:t>中明确的所属行业）行业；承接企业为 （企业名称），从业人员_____人，营业收入为_____万元，资产总额为_____万元，属于（中型企业、小型企业、微型企业）；</w:t>
      </w:r>
    </w:p>
    <w:p w14:paraId="52DE49EA">
      <w:pPr>
        <w:shd w:val="clear"/>
        <w:tabs>
          <w:tab w:val="left" w:pos="420"/>
        </w:tabs>
        <w:spacing w:line="360" w:lineRule="auto"/>
        <w:ind w:firstLine="480"/>
        <w:jc w:val="left"/>
        <w:rPr>
          <w:rFonts w:ascii="宋体" w:hAnsi="宋体" w:cs="Arial"/>
          <w:bCs/>
          <w:color w:val="auto"/>
          <w:kern w:val="0"/>
          <w:highlight w:val="none"/>
        </w:rPr>
      </w:pPr>
      <w:r>
        <w:rPr>
          <w:rFonts w:hint="eastAsia" w:ascii="宋体" w:hAnsi="宋体" w:cs="Arial"/>
          <w:bCs/>
          <w:color w:val="auto"/>
          <w:kern w:val="0"/>
          <w:highlight w:val="none"/>
        </w:rPr>
        <w:t>本企业对上述声明内容的真实性负责。如有虚假，将依法承担相应责任。</w:t>
      </w:r>
    </w:p>
    <w:p w14:paraId="7D8DCDC1">
      <w:pPr>
        <w:shd w:val="clear"/>
        <w:tabs>
          <w:tab w:val="left" w:pos="420"/>
        </w:tabs>
        <w:spacing w:line="360" w:lineRule="auto"/>
        <w:ind w:firstLine="480"/>
        <w:jc w:val="left"/>
        <w:rPr>
          <w:rFonts w:ascii="宋体" w:hAnsi="宋体" w:cs="Arial"/>
          <w:bCs/>
          <w:color w:val="auto"/>
          <w:kern w:val="0"/>
          <w:highlight w:val="none"/>
        </w:rPr>
      </w:pPr>
    </w:p>
    <w:p w14:paraId="06B5BA80">
      <w:pPr>
        <w:shd w:val="clear"/>
        <w:adjustRightInd w:val="0"/>
        <w:snapToGrid w:val="0"/>
        <w:ind w:firstLine="5040" w:firstLineChars="2100"/>
        <w:rPr>
          <w:rFonts w:ascii="宋体" w:hAnsi="宋体"/>
          <w:color w:val="auto"/>
          <w:szCs w:val="21"/>
          <w:highlight w:val="none"/>
          <w:u w:val="single"/>
        </w:rPr>
      </w:pPr>
      <w:r>
        <w:rPr>
          <w:rFonts w:hint="eastAsia" w:ascii="宋体" w:hAnsi="宋体"/>
          <w:color w:val="auto"/>
          <w:szCs w:val="21"/>
          <w:highlight w:val="none"/>
          <w:lang w:eastAsia="zh-CN"/>
        </w:rPr>
        <w:t>投标人</w:t>
      </w:r>
      <w:r>
        <w:rPr>
          <w:rFonts w:hint="eastAsia" w:ascii="宋体" w:hAnsi="宋体"/>
          <w:color w:val="auto"/>
          <w:szCs w:val="21"/>
          <w:highlight w:val="none"/>
        </w:rPr>
        <w:t>名称（盖章）：</w:t>
      </w:r>
    </w:p>
    <w:p w14:paraId="2738D566">
      <w:pPr>
        <w:shd w:val="clear"/>
        <w:adjustRightInd w:val="0"/>
        <w:snapToGrid w:val="0"/>
        <w:ind w:firstLine="3600" w:firstLineChars="1500"/>
        <w:rPr>
          <w:rFonts w:ascii="宋体" w:hAnsi="宋体"/>
          <w:color w:val="auto"/>
          <w:szCs w:val="21"/>
          <w:highlight w:val="none"/>
        </w:rPr>
      </w:pPr>
    </w:p>
    <w:p w14:paraId="58823620">
      <w:pPr>
        <w:shd w:val="clear"/>
        <w:adjustRightInd w:val="0"/>
        <w:snapToGrid w:val="0"/>
        <w:ind w:firstLine="5040" w:firstLineChars="2100"/>
        <w:rPr>
          <w:rFonts w:ascii="宋体" w:hAnsi="宋体"/>
          <w:color w:val="auto"/>
          <w:szCs w:val="21"/>
          <w:highlight w:val="none"/>
        </w:rPr>
      </w:pPr>
      <w:r>
        <w:rPr>
          <w:rFonts w:hint="eastAsia" w:ascii="宋体" w:hAnsi="宋体"/>
          <w:color w:val="auto"/>
          <w:szCs w:val="21"/>
          <w:highlight w:val="none"/>
        </w:rPr>
        <w:t>日期：    年   月   日</w:t>
      </w:r>
    </w:p>
    <w:p w14:paraId="02657155">
      <w:pPr>
        <w:shd w:val="clear"/>
        <w:tabs>
          <w:tab w:val="left" w:pos="420"/>
        </w:tabs>
        <w:spacing w:before="100" w:beforeAutospacing="1" w:after="100" w:afterAutospacing="1"/>
        <w:ind w:firstLine="489"/>
        <w:rPr>
          <w:rFonts w:ascii="宋体" w:hAnsi="宋体" w:cs="Arial"/>
          <w:b/>
          <w:bCs/>
          <w:color w:val="auto"/>
          <w:kern w:val="0"/>
          <w:highlight w:val="none"/>
        </w:rPr>
      </w:pPr>
    </w:p>
    <w:p w14:paraId="5312BA1F">
      <w:pPr>
        <w:shd w:val="clear"/>
        <w:rPr>
          <w:rFonts w:ascii="宋体" w:hAnsi="宋体" w:cs="Arial"/>
          <w:b/>
          <w:bCs/>
          <w:color w:val="auto"/>
          <w:kern w:val="0"/>
          <w:highlight w:val="none"/>
        </w:rPr>
      </w:pPr>
    </w:p>
    <w:p w14:paraId="5266A7CE">
      <w:pPr>
        <w:shd w:val="clear"/>
        <w:rPr>
          <w:color w:val="auto"/>
          <w:highlight w:val="none"/>
        </w:rPr>
      </w:pPr>
    </w:p>
    <w:p w14:paraId="591BBB50">
      <w:pPr>
        <w:widowControl/>
        <w:shd w:val="clear"/>
        <w:snapToGrid w:val="0"/>
        <w:ind w:firstLine="480"/>
        <w:rPr>
          <w:rFonts w:ascii="宋体" w:hAnsi="宋体"/>
          <w:color w:val="auto"/>
          <w:szCs w:val="21"/>
          <w:highlight w:val="none"/>
        </w:rPr>
      </w:pPr>
      <w:r>
        <w:rPr>
          <w:rFonts w:hint="eastAsia" w:ascii="宋体" w:hAnsi="宋体"/>
          <w:color w:val="auto"/>
          <w:szCs w:val="21"/>
          <w:highlight w:val="none"/>
        </w:rPr>
        <w:t>注：</w:t>
      </w:r>
    </w:p>
    <w:p w14:paraId="36AD7131">
      <w:pPr>
        <w:widowControl/>
        <w:shd w:val="clear"/>
        <w:snapToGrid w:val="0"/>
        <w:ind w:firstLine="480"/>
        <w:outlineLvl w:val="1"/>
        <w:rPr>
          <w:rFonts w:ascii="宋体" w:hAnsi="宋体"/>
          <w:color w:val="auto"/>
          <w:szCs w:val="21"/>
          <w:highlight w:val="none"/>
        </w:rPr>
      </w:pPr>
      <w:bookmarkStart w:id="519" w:name="_Toc30340"/>
      <w:bookmarkStart w:id="520" w:name="_Toc23423"/>
      <w:bookmarkStart w:id="521" w:name="_Toc1304"/>
      <w:bookmarkStart w:id="522" w:name="_Toc3031"/>
      <w:bookmarkStart w:id="523" w:name="_Toc15083"/>
      <w:bookmarkStart w:id="524" w:name="_Toc823"/>
      <w:r>
        <w:rPr>
          <w:rFonts w:hint="eastAsia" w:ascii="宋体" w:hAnsi="宋体"/>
          <w:color w:val="auto"/>
          <w:szCs w:val="21"/>
          <w:highlight w:val="none"/>
        </w:rPr>
        <w:t>1.如承接单位为小微企业，则需提供中小企业声明函。</w:t>
      </w:r>
      <w:bookmarkEnd w:id="519"/>
      <w:bookmarkEnd w:id="520"/>
      <w:bookmarkEnd w:id="521"/>
      <w:bookmarkEnd w:id="522"/>
      <w:bookmarkEnd w:id="523"/>
      <w:bookmarkEnd w:id="524"/>
    </w:p>
    <w:p w14:paraId="53260854">
      <w:pPr>
        <w:widowControl/>
        <w:shd w:val="clear"/>
        <w:snapToGrid w:val="0"/>
        <w:ind w:firstLine="480"/>
        <w:rPr>
          <w:rFonts w:ascii="宋体" w:hAnsi="宋体"/>
          <w:color w:val="auto"/>
          <w:szCs w:val="21"/>
          <w:highlight w:val="none"/>
        </w:rPr>
      </w:pPr>
      <w:r>
        <w:rPr>
          <w:rFonts w:hint="eastAsia" w:ascii="宋体" w:hAnsi="宋体"/>
          <w:color w:val="auto"/>
          <w:szCs w:val="21"/>
          <w:highlight w:val="none"/>
        </w:rPr>
        <w:t>2.如</w:t>
      </w:r>
      <w:r>
        <w:rPr>
          <w:rFonts w:hint="eastAsia" w:ascii="宋体" w:hAnsi="宋体"/>
          <w:color w:val="auto"/>
          <w:szCs w:val="21"/>
          <w:highlight w:val="none"/>
          <w:lang w:eastAsia="zh-CN"/>
        </w:rPr>
        <w:t>中标人</w:t>
      </w:r>
      <w:r>
        <w:rPr>
          <w:rFonts w:hint="eastAsia" w:ascii="宋体" w:hAnsi="宋体"/>
          <w:color w:val="auto"/>
          <w:szCs w:val="21"/>
          <w:highlight w:val="none"/>
        </w:rPr>
        <w:t>声明为小微企业，本声明函将随成交结果同时公告，接受社会监督。</w:t>
      </w:r>
    </w:p>
    <w:p w14:paraId="03235ECD">
      <w:pPr>
        <w:widowControl/>
        <w:shd w:val="clear"/>
        <w:snapToGrid w:val="0"/>
        <w:ind w:firstLine="480"/>
        <w:rPr>
          <w:color w:val="auto"/>
          <w:highlight w:val="none"/>
          <w:lang w:val="zh-CN"/>
        </w:rPr>
      </w:pPr>
      <w:r>
        <w:rPr>
          <w:rFonts w:hint="eastAsia" w:ascii="宋体" w:hAnsi="宋体" w:cs="宋体"/>
          <w:color w:val="auto"/>
          <w:szCs w:val="21"/>
          <w:highlight w:val="none"/>
        </w:rPr>
        <w:t>3.如</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声明为小微企业，本声明函将随中标结果同时公告，接受社会监督。</w:t>
      </w:r>
    </w:p>
    <w:p w14:paraId="5BC1E729">
      <w:pPr>
        <w:shd w:val="clear"/>
        <w:spacing w:line="360" w:lineRule="auto"/>
        <w:ind w:firstLine="0" w:firstLineChars="0"/>
        <w:jc w:val="center"/>
        <w:rPr>
          <w:rFonts w:ascii="宋体" w:hAnsi="宋体" w:cs="宋体"/>
          <w:b/>
          <w:color w:val="auto"/>
          <w:sz w:val="30"/>
          <w:szCs w:val="30"/>
          <w:highlight w:val="none"/>
          <w:lang w:val="zh-CN"/>
        </w:rPr>
      </w:pPr>
    </w:p>
    <w:p w14:paraId="6B2891ED">
      <w:pPr>
        <w:shd w:val="clear"/>
        <w:spacing w:line="360" w:lineRule="auto"/>
        <w:ind w:firstLine="0" w:firstLineChars="0"/>
        <w:jc w:val="both"/>
        <w:rPr>
          <w:rFonts w:hint="eastAsia" w:ascii="宋体" w:hAnsi="宋体" w:cs="宋体"/>
          <w:b/>
          <w:color w:val="auto"/>
          <w:sz w:val="30"/>
          <w:szCs w:val="30"/>
          <w:highlight w:val="none"/>
          <w:lang w:val="zh-CN"/>
        </w:rPr>
      </w:pPr>
    </w:p>
    <w:p w14:paraId="1241677A">
      <w:pPr>
        <w:shd w:val="clear"/>
        <w:tabs>
          <w:tab w:val="left" w:pos="420"/>
        </w:tabs>
        <w:ind w:left="0" w:leftChars="0" w:firstLine="0" w:firstLineChars="0"/>
        <w:jc w:val="center"/>
        <w:rPr>
          <w:rFonts w:hint="eastAsia" w:ascii="宋体" w:hAnsi="宋体" w:cs="Arial"/>
          <w:b/>
          <w:bCs/>
          <w:color w:val="auto"/>
          <w:kern w:val="0"/>
          <w:sz w:val="30"/>
          <w:szCs w:val="30"/>
          <w:highlight w:val="none"/>
          <w:lang w:val="zh-CN"/>
        </w:rPr>
      </w:pPr>
      <w:r>
        <w:rPr>
          <w:rFonts w:hint="eastAsia" w:ascii="宋体" w:hAnsi="宋体" w:cs="Arial"/>
          <w:b/>
          <w:bCs/>
          <w:color w:val="auto"/>
          <w:kern w:val="0"/>
          <w:sz w:val="30"/>
          <w:szCs w:val="30"/>
          <w:highlight w:val="none"/>
          <w:lang w:val="zh-CN"/>
        </w:rPr>
        <w:t>监狱企业声明函</w:t>
      </w:r>
    </w:p>
    <w:p w14:paraId="7BEB76E9">
      <w:pPr>
        <w:shd w:val="clear"/>
        <w:tabs>
          <w:tab w:val="left" w:pos="420"/>
        </w:tabs>
        <w:ind w:left="0" w:leftChars="0" w:firstLine="0" w:firstLineChars="0"/>
        <w:jc w:val="center"/>
        <w:rPr>
          <w:rFonts w:hint="eastAsia" w:ascii="宋体" w:hAnsi="宋体" w:cs="Arial"/>
          <w:b/>
          <w:bCs/>
          <w:color w:val="auto"/>
          <w:kern w:val="0"/>
          <w:sz w:val="30"/>
          <w:szCs w:val="30"/>
          <w:highlight w:val="none"/>
          <w:lang w:val="zh-CN"/>
        </w:rPr>
      </w:pPr>
      <w:r>
        <w:rPr>
          <w:rFonts w:hint="eastAsia" w:ascii="宋体" w:hAnsi="宋体" w:cs="Arial"/>
          <w:b/>
          <w:bCs/>
          <w:color w:val="auto"/>
          <w:kern w:val="0"/>
          <w:sz w:val="30"/>
          <w:szCs w:val="30"/>
          <w:highlight w:val="none"/>
          <w:lang w:val="zh-CN"/>
        </w:rPr>
        <w:t>【非监狱企业不需提供】</w:t>
      </w:r>
    </w:p>
    <w:p w14:paraId="1A4EA9B5">
      <w:pPr>
        <w:widowControl/>
        <w:shd w:val="clear"/>
        <w:adjustRightInd w:val="0"/>
        <w:snapToGrid w:val="0"/>
        <w:ind w:firstLine="480"/>
        <w:jc w:val="left"/>
        <w:rPr>
          <w:rFonts w:ascii="宋体" w:hAnsi="宋体" w:cs="宋体"/>
          <w:color w:val="auto"/>
          <w:szCs w:val="21"/>
          <w:highlight w:val="none"/>
        </w:rPr>
      </w:pPr>
      <w:r>
        <w:rPr>
          <w:rFonts w:hint="eastAsia" w:ascii="宋体" w:hAnsi="宋体" w:cs="宋体"/>
          <w:color w:val="auto"/>
          <w:szCs w:val="21"/>
          <w:highlight w:val="none"/>
        </w:rPr>
        <w:t>本企业郑重声明，根据《关于政府采购支持监狱企业发展有关问题的通知》（财库</w:t>
      </w:r>
      <w:r>
        <w:rPr>
          <w:rFonts w:hint="eastAsia" w:ascii="宋体" w:hAnsi="宋体" w:cs="宋体"/>
          <w:color w:val="auto"/>
          <w:highlight w:val="none"/>
        </w:rPr>
        <w:t>〔2014〕</w:t>
      </w:r>
      <w:r>
        <w:rPr>
          <w:rFonts w:hint="eastAsia" w:ascii="宋体" w:hAnsi="宋体" w:cs="宋体"/>
          <w:color w:val="auto"/>
          <w:szCs w:val="21"/>
          <w:highlight w:val="none"/>
        </w:rPr>
        <w:t>68号）的规定，本企业为</w:t>
      </w:r>
      <w:r>
        <w:rPr>
          <w:rFonts w:hint="eastAsia" w:ascii="宋体" w:hAnsi="宋体" w:cs="宋体"/>
          <w:color w:val="auto"/>
          <w:szCs w:val="21"/>
          <w:highlight w:val="none"/>
          <w:u w:val="single"/>
        </w:rPr>
        <w:t>监狱企业</w:t>
      </w:r>
      <w:r>
        <w:rPr>
          <w:rFonts w:hint="eastAsia" w:ascii="宋体" w:hAnsi="宋体" w:cs="宋体"/>
          <w:color w:val="auto"/>
          <w:szCs w:val="21"/>
          <w:highlight w:val="none"/>
        </w:rPr>
        <w:t>。</w:t>
      </w:r>
    </w:p>
    <w:p w14:paraId="791F6A91">
      <w:pPr>
        <w:widowControl/>
        <w:shd w:val="clear"/>
        <w:adjustRightInd w:val="0"/>
        <w:snapToGrid w:val="0"/>
        <w:ind w:firstLine="480"/>
        <w:jc w:val="left"/>
        <w:rPr>
          <w:rFonts w:ascii="宋体" w:hAnsi="宋体" w:cs="宋体"/>
          <w:color w:val="auto"/>
          <w:szCs w:val="21"/>
          <w:highlight w:val="none"/>
        </w:rPr>
      </w:pPr>
      <w:r>
        <w:rPr>
          <w:rFonts w:hint="eastAsia" w:ascii="宋体" w:hAnsi="宋体" w:cs="宋体"/>
          <w:color w:val="auto"/>
          <w:szCs w:val="21"/>
          <w:highlight w:val="none"/>
        </w:rPr>
        <w:t>根据上述标准，我企业属于</w:t>
      </w:r>
      <w:r>
        <w:rPr>
          <w:rFonts w:hint="eastAsia" w:ascii="宋体" w:hAnsi="宋体" w:cs="宋体"/>
          <w:color w:val="auto"/>
          <w:szCs w:val="21"/>
          <w:highlight w:val="none"/>
          <w:u w:val="single"/>
        </w:rPr>
        <w:t>监狱企业</w:t>
      </w:r>
      <w:r>
        <w:rPr>
          <w:rFonts w:hint="eastAsia" w:ascii="宋体" w:hAnsi="宋体" w:cs="宋体"/>
          <w:color w:val="auto"/>
          <w:szCs w:val="21"/>
          <w:highlight w:val="none"/>
        </w:rPr>
        <w:t>的理由为：</w:t>
      </w:r>
    </w:p>
    <w:p w14:paraId="216B3521">
      <w:pPr>
        <w:widowControl/>
        <w:shd w:val="clear"/>
        <w:adjustRightInd w:val="0"/>
        <w:snapToGrid w:val="0"/>
        <w:ind w:firstLine="480"/>
        <w:rPr>
          <w:rFonts w:ascii="宋体" w:hAnsi="宋体" w:cs="宋体"/>
          <w:color w:val="auto"/>
          <w:szCs w:val="21"/>
          <w:highlight w:val="none"/>
        </w:rPr>
      </w:pPr>
      <w:r>
        <w:rPr>
          <w:rFonts w:hint="eastAsia" w:ascii="宋体" w:hAnsi="宋体" w:cs="宋体"/>
          <w:color w:val="auto"/>
          <w:szCs w:val="21"/>
          <w:highlight w:val="none"/>
        </w:rPr>
        <w:t>本企业为参加（项目名称：）（项目编号：）采购活动提供本企业的产品。</w:t>
      </w:r>
    </w:p>
    <w:p w14:paraId="77FAC8BC">
      <w:pPr>
        <w:widowControl/>
        <w:shd w:val="clear"/>
        <w:adjustRightInd w:val="0"/>
        <w:snapToGrid w:val="0"/>
        <w:ind w:firstLine="480"/>
        <w:rPr>
          <w:rFonts w:ascii="宋体" w:hAnsi="宋体" w:cs="宋体"/>
          <w:color w:val="auto"/>
          <w:szCs w:val="21"/>
          <w:highlight w:val="none"/>
        </w:rPr>
      </w:pPr>
      <w:r>
        <w:rPr>
          <w:rFonts w:hint="eastAsia" w:ascii="宋体" w:hAnsi="宋体" w:cs="宋体"/>
          <w:color w:val="auto"/>
          <w:szCs w:val="21"/>
          <w:highlight w:val="none"/>
        </w:rPr>
        <w:t>本企业对上述声明的真实性负责。如有虚假，将依法承担相应责任。</w:t>
      </w:r>
    </w:p>
    <w:p w14:paraId="0F6194EB">
      <w:pPr>
        <w:shd w:val="clear"/>
        <w:adjustRightInd w:val="0"/>
        <w:snapToGrid w:val="0"/>
        <w:ind w:firstLine="480"/>
        <w:jc w:val="center"/>
        <w:rPr>
          <w:rFonts w:ascii="宋体" w:hAnsi="宋体" w:cs="宋体"/>
          <w:color w:val="auto"/>
          <w:szCs w:val="21"/>
          <w:highlight w:val="none"/>
        </w:rPr>
      </w:pPr>
    </w:p>
    <w:p w14:paraId="70140C04">
      <w:pPr>
        <w:shd w:val="clear"/>
        <w:adjustRightInd w:val="0"/>
        <w:snapToGrid w:val="0"/>
        <w:ind w:firstLine="480"/>
        <w:jc w:val="center"/>
        <w:rPr>
          <w:rFonts w:ascii="宋体" w:hAnsi="宋体" w:cs="宋体"/>
          <w:color w:val="auto"/>
          <w:szCs w:val="21"/>
          <w:highlight w:val="none"/>
        </w:rPr>
      </w:pPr>
    </w:p>
    <w:p w14:paraId="43BDBACF">
      <w:pPr>
        <w:shd w:val="clear"/>
        <w:adjustRightInd w:val="0"/>
        <w:snapToGrid w:val="0"/>
        <w:ind w:firstLine="480"/>
        <w:jc w:val="center"/>
        <w:rPr>
          <w:rFonts w:ascii="宋体" w:hAnsi="宋体" w:cs="宋体"/>
          <w:color w:val="auto"/>
          <w:szCs w:val="21"/>
          <w:highlight w:val="none"/>
        </w:rPr>
      </w:pPr>
    </w:p>
    <w:p w14:paraId="54E09085">
      <w:pPr>
        <w:shd w:val="clear"/>
        <w:adjustRightInd w:val="0"/>
        <w:snapToGrid w:val="0"/>
        <w:ind w:firstLine="480"/>
        <w:rPr>
          <w:rFonts w:ascii="宋体" w:hAnsi="宋体" w:cs="宋体"/>
          <w:color w:val="auto"/>
          <w:szCs w:val="21"/>
          <w:highlight w:val="none"/>
        </w:rPr>
      </w:pPr>
    </w:p>
    <w:p w14:paraId="60391536">
      <w:pPr>
        <w:shd w:val="clear"/>
        <w:adjustRightInd w:val="0"/>
        <w:snapToGrid w:val="0"/>
        <w:ind w:firstLine="480"/>
        <w:jc w:val="center"/>
        <w:rPr>
          <w:rFonts w:ascii="宋体" w:hAnsi="宋体" w:cs="宋体"/>
          <w:color w:val="auto"/>
          <w:szCs w:val="21"/>
          <w:highlight w:val="none"/>
        </w:rPr>
      </w:pPr>
    </w:p>
    <w:p w14:paraId="30E20E11">
      <w:pPr>
        <w:shd w:val="clear"/>
        <w:adjustRightInd w:val="0"/>
        <w:snapToGrid w:val="0"/>
        <w:ind w:firstLine="480"/>
        <w:jc w:val="center"/>
        <w:rPr>
          <w:rFonts w:ascii="宋体" w:hAnsi="宋体" w:cs="宋体"/>
          <w:color w:val="auto"/>
          <w:szCs w:val="21"/>
          <w:highlight w:val="none"/>
        </w:rPr>
      </w:pPr>
    </w:p>
    <w:p w14:paraId="4F3C86D1">
      <w:pPr>
        <w:shd w:val="clear"/>
        <w:adjustRightInd w:val="0"/>
        <w:snapToGrid w:val="0"/>
        <w:ind w:firstLine="480"/>
        <w:jc w:val="center"/>
        <w:rPr>
          <w:rFonts w:ascii="宋体" w:hAnsi="宋体" w:cs="宋体"/>
          <w:color w:val="auto"/>
          <w:szCs w:val="21"/>
          <w:highlight w:val="none"/>
        </w:rPr>
      </w:pPr>
    </w:p>
    <w:p w14:paraId="1D7D2248">
      <w:pPr>
        <w:shd w:val="clear"/>
        <w:adjustRightInd w:val="0"/>
        <w:snapToGrid w:val="0"/>
        <w:ind w:firstLine="480"/>
        <w:jc w:val="center"/>
        <w:rPr>
          <w:rFonts w:ascii="宋体" w:hAnsi="宋体" w:cs="宋体"/>
          <w:color w:val="auto"/>
          <w:szCs w:val="21"/>
          <w:highlight w:val="none"/>
        </w:rPr>
      </w:pPr>
    </w:p>
    <w:p w14:paraId="6A950D8E">
      <w:pPr>
        <w:shd w:val="clear"/>
        <w:adjustRightInd w:val="0"/>
        <w:snapToGrid w:val="0"/>
        <w:ind w:firstLine="5040" w:firstLineChars="2100"/>
        <w:rPr>
          <w:rFonts w:ascii="宋体" w:hAnsi="宋体" w:cs="宋体"/>
          <w:color w:val="auto"/>
          <w:szCs w:val="21"/>
          <w:highlight w:val="none"/>
          <w:u w:val="single"/>
        </w:rPr>
      </w:pP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名称（盖章）：</w:t>
      </w:r>
    </w:p>
    <w:p w14:paraId="5A278C43">
      <w:pPr>
        <w:shd w:val="clear"/>
        <w:adjustRightInd w:val="0"/>
        <w:snapToGrid w:val="0"/>
        <w:ind w:firstLine="3600" w:firstLineChars="1500"/>
        <w:rPr>
          <w:rFonts w:ascii="宋体" w:hAnsi="宋体" w:cs="宋体"/>
          <w:color w:val="auto"/>
          <w:szCs w:val="21"/>
          <w:highlight w:val="none"/>
        </w:rPr>
      </w:pPr>
    </w:p>
    <w:p w14:paraId="4637607B">
      <w:pPr>
        <w:shd w:val="clear"/>
        <w:adjustRightInd w:val="0"/>
        <w:snapToGrid w:val="0"/>
        <w:ind w:firstLine="5040" w:firstLineChars="2100"/>
        <w:rPr>
          <w:rFonts w:ascii="宋体" w:hAnsi="宋体" w:cs="宋体"/>
          <w:color w:val="auto"/>
          <w:szCs w:val="21"/>
          <w:highlight w:val="none"/>
        </w:rPr>
      </w:pPr>
      <w:r>
        <w:rPr>
          <w:rFonts w:hint="eastAsia" w:ascii="宋体" w:hAnsi="宋体" w:cs="宋体"/>
          <w:color w:val="auto"/>
          <w:szCs w:val="21"/>
          <w:highlight w:val="none"/>
        </w:rPr>
        <w:t>日期：    年   月   日</w:t>
      </w:r>
    </w:p>
    <w:p w14:paraId="365B6EEC">
      <w:pPr>
        <w:widowControl/>
        <w:shd w:val="clear"/>
        <w:snapToGrid w:val="0"/>
        <w:ind w:firstLine="480"/>
        <w:rPr>
          <w:rFonts w:ascii="宋体" w:hAnsi="宋体" w:cs="宋体"/>
          <w:color w:val="auto"/>
          <w:szCs w:val="21"/>
          <w:highlight w:val="none"/>
        </w:rPr>
      </w:pPr>
    </w:p>
    <w:p w14:paraId="5EB4FD7D">
      <w:pPr>
        <w:widowControl/>
        <w:shd w:val="clear"/>
        <w:snapToGrid w:val="0"/>
        <w:ind w:firstLine="480"/>
        <w:rPr>
          <w:rFonts w:ascii="宋体" w:hAnsi="宋体" w:cs="宋体"/>
          <w:color w:val="auto"/>
          <w:szCs w:val="21"/>
          <w:highlight w:val="none"/>
        </w:rPr>
      </w:pPr>
    </w:p>
    <w:p w14:paraId="6B7DD1CA">
      <w:pPr>
        <w:pStyle w:val="2"/>
        <w:numPr>
          <w:ilvl w:val="0"/>
          <w:numId w:val="0"/>
        </w:numPr>
        <w:shd w:val="clear"/>
        <w:spacing w:before="312" w:after="312"/>
        <w:jc w:val="both"/>
        <w:outlineLvl w:val="9"/>
        <w:rPr>
          <w:color w:val="auto"/>
          <w:highlight w:val="none"/>
        </w:rPr>
      </w:pPr>
    </w:p>
    <w:p w14:paraId="0E5B1074">
      <w:pPr>
        <w:widowControl/>
        <w:shd w:val="clear"/>
        <w:snapToGrid w:val="0"/>
        <w:ind w:firstLine="480"/>
        <w:rPr>
          <w:rFonts w:ascii="宋体" w:hAnsi="宋体" w:cs="宋体"/>
          <w:color w:val="auto"/>
          <w:szCs w:val="21"/>
          <w:highlight w:val="none"/>
        </w:rPr>
      </w:pP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为监狱</w:t>
      </w:r>
      <w:r>
        <w:rPr>
          <w:rFonts w:hint="eastAsia" w:ascii="宋体" w:hAnsi="宋体" w:cs="宋体"/>
          <w:color w:val="auto"/>
          <w:szCs w:val="21"/>
          <w:highlight w:val="none"/>
          <w:lang w:eastAsia="zh-CN"/>
        </w:rPr>
        <w:t>企业</w:t>
      </w:r>
      <w:r>
        <w:rPr>
          <w:rFonts w:hint="eastAsia" w:ascii="宋体" w:hAnsi="宋体" w:cs="宋体"/>
          <w:color w:val="auto"/>
          <w:szCs w:val="21"/>
          <w:highlight w:val="none"/>
        </w:rPr>
        <w:t>提供此函。</w:t>
      </w:r>
    </w:p>
    <w:p w14:paraId="0127FAED">
      <w:pPr>
        <w:widowControl/>
        <w:shd w:val="clear"/>
        <w:snapToGrid w:val="0"/>
        <w:ind w:firstLine="480"/>
        <w:rPr>
          <w:rFonts w:ascii="宋体" w:hAnsi="宋体" w:cs="宋体"/>
          <w:bCs/>
          <w:color w:val="auto"/>
          <w:szCs w:val="21"/>
          <w:highlight w:val="none"/>
        </w:rPr>
      </w:pPr>
      <w:r>
        <w:rPr>
          <w:rFonts w:hint="eastAsia" w:ascii="宋体" w:hAnsi="宋体" w:cs="宋体"/>
          <w:color w:val="auto"/>
          <w:szCs w:val="21"/>
          <w:highlight w:val="none"/>
        </w:rPr>
        <w:t>监狱企业参加政府采购活动时，应当提供由省级以上监狱管理局、戒毒管理局（含新疆生产建设兵团）出具的属于监狱企业的证明文件。</w:t>
      </w:r>
    </w:p>
    <w:p w14:paraId="27D85004">
      <w:pPr>
        <w:shd w:val="clear"/>
        <w:adjustRightInd w:val="0"/>
        <w:snapToGrid w:val="0"/>
        <w:ind w:firstLine="0" w:firstLineChars="0"/>
        <w:jc w:val="center"/>
        <w:textAlignment w:val="baseline"/>
        <w:outlineLvl w:val="9"/>
        <w:rPr>
          <w:rFonts w:hint="eastAsia" w:ascii="宋体" w:hAnsi="宋体"/>
          <w:b/>
          <w:bCs/>
          <w:color w:val="auto"/>
          <w:sz w:val="28"/>
          <w:szCs w:val="28"/>
          <w:highlight w:val="none"/>
        </w:rPr>
      </w:pPr>
      <w:bookmarkStart w:id="525" w:name="_Toc29991"/>
      <w:bookmarkStart w:id="526" w:name="_Toc7928"/>
      <w:bookmarkStart w:id="527" w:name="_Toc21443"/>
      <w:bookmarkStart w:id="528" w:name="_Toc18008"/>
      <w:bookmarkStart w:id="529" w:name="_Toc31084"/>
      <w:bookmarkStart w:id="530" w:name="_Toc27651"/>
      <w:bookmarkStart w:id="531" w:name="_Toc1065"/>
      <w:bookmarkStart w:id="532" w:name="_Toc14359"/>
      <w:bookmarkStart w:id="533" w:name="_Toc1090"/>
      <w:bookmarkStart w:id="534" w:name="_Toc3807"/>
      <w:bookmarkStart w:id="535" w:name="_Toc14085"/>
      <w:bookmarkStart w:id="536" w:name="_Toc25334"/>
    </w:p>
    <w:p w14:paraId="3FD66906">
      <w:pPr>
        <w:shd w:val="clear"/>
        <w:adjustRightInd w:val="0"/>
        <w:snapToGrid w:val="0"/>
        <w:ind w:firstLine="0" w:firstLineChars="0"/>
        <w:jc w:val="center"/>
        <w:textAlignment w:val="baseline"/>
        <w:outlineLvl w:val="9"/>
        <w:rPr>
          <w:rFonts w:hint="eastAsia" w:ascii="宋体" w:hAnsi="宋体"/>
          <w:b/>
          <w:bCs/>
          <w:color w:val="auto"/>
          <w:sz w:val="28"/>
          <w:szCs w:val="28"/>
          <w:highlight w:val="none"/>
        </w:rPr>
      </w:pPr>
      <w:bookmarkStart w:id="537" w:name="_Toc22523"/>
    </w:p>
    <w:p w14:paraId="089741B6">
      <w:pPr>
        <w:shd w:val="clear"/>
        <w:tabs>
          <w:tab w:val="left" w:pos="420"/>
        </w:tabs>
        <w:ind w:firstLine="612"/>
        <w:jc w:val="center"/>
        <w:rPr>
          <w:rFonts w:hint="eastAsia" w:ascii="宋体" w:hAnsi="宋体" w:cs="Arial"/>
          <w:b/>
          <w:bCs/>
          <w:color w:val="auto"/>
          <w:kern w:val="0"/>
          <w:sz w:val="30"/>
          <w:szCs w:val="30"/>
          <w:highlight w:val="none"/>
          <w:lang w:val="zh-CN"/>
        </w:rPr>
      </w:pPr>
      <w:r>
        <w:rPr>
          <w:rFonts w:hint="eastAsia" w:ascii="宋体" w:hAnsi="宋体" w:cs="Arial"/>
          <w:b/>
          <w:bCs/>
          <w:color w:val="auto"/>
          <w:kern w:val="0"/>
          <w:sz w:val="30"/>
          <w:szCs w:val="30"/>
          <w:highlight w:val="none"/>
          <w:lang w:val="zh-CN"/>
        </w:rPr>
        <w:t>残疾人福利性单位声明函</w:t>
      </w:r>
      <w:bookmarkEnd w:id="525"/>
      <w:bookmarkEnd w:id="526"/>
      <w:bookmarkEnd w:id="527"/>
      <w:bookmarkEnd w:id="528"/>
      <w:bookmarkEnd w:id="529"/>
      <w:bookmarkEnd w:id="530"/>
      <w:bookmarkEnd w:id="531"/>
      <w:bookmarkEnd w:id="532"/>
      <w:bookmarkEnd w:id="533"/>
      <w:bookmarkEnd w:id="534"/>
      <w:bookmarkEnd w:id="535"/>
      <w:bookmarkEnd w:id="536"/>
      <w:bookmarkEnd w:id="537"/>
    </w:p>
    <w:p w14:paraId="35F1CADC">
      <w:pPr>
        <w:shd w:val="clear"/>
        <w:tabs>
          <w:tab w:val="left" w:pos="420"/>
        </w:tabs>
        <w:ind w:firstLine="612"/>
        <w:jc w:val="center"/>
        <w:rPr>
          <w:rFonts w:hint="eastAsia" w:ascii="宋体" w:hAnsi="宋体" w:cs="Arial"/>
          <w:b/>
          <w:bCs/>
          <w:color w:val="auto"/>
          <w:kern w:val="0"/>
          <w:sz w:val="30"/>
          <w:szCs w:val="30"/>
          <w:highlight w:val="none"/>
          <w:lang w:val="zh-CN"/>
        </w:rPr>
      </w:pPr>
      <w:bookmarkStart w:id="538" w:name="_Toc29768"/>
      <w:bookmarkStart w:id="539" w:name="_Toc24609"/>
      <w:bookmarkStart w:id="540" w:name="_Toc28464"/>
      <w:bookmarkStart w:id="541" w:name="_Toc16520"/>
      <w:bookmarkStart w:id="542" w:name="_Toc18269"/>
      <w:bookmarkStart w:id="543" w:name="_Toc32537"/>
      <w:bookmarkStart w:id="544" w:name="_Toc13934"/>
      <w:bookmarkStart w:id="545" w:name="_Toc31645"/>
      <w:bookmarkStart w:id="546" w:name="_Toc15231"/>
      <w:bookmarkStart w:id="547" w:name="_Toc24336"/>
      <w:bookmarkStart w:id="548" w:name="_Toc10855"/>
      <w:bookmarkStart w:id="549" w:name="_Toc31408"/>
      <w:bookmarkStart w:id="550" w:name="_Toc22421"/>
      <w:bookmarkStart w:id="551" w:name="_Toc31591"/>
      <w:bookmarkStart w:id="552" w:name="_Toc19455"/>
      <w:bookmarkStart w:id="553" w:name="_Toc1605"/>
      <w:bookmarkStart w:id="554" w:name="_Toc22388"/>
      <w:bookmarkStart w:id="555" w:name="_Toc12560"/>
      <w:bookmarkStart w:id="556" w:name="_Toc1650"/>
      <w:bookmarkStart w:id="557" w:name="_Toc226"/>
      <w:bookmarkStart w:id="558" w:name="_Toc7823"/>
      <w:bookmarkStart w:id="559" w:name="_Toc32388"/>
      <w:bookmarkStart w:id="560" w:name="_Toc3769"/>
      <w:bookmarkStart w:id="561" w:name="_Toc32409"/>
      <w:bookmarkStart w:id="562" w:name="_Toc17040"/>
      <w:bookmarkStart w:id="563" w:name="_Toc9848"/>
      <w:bookmarkStart w:id="564" w:name="_Toc14977"/>
      <w:bookmarkStart w:id="565" w:name="_Toc29152"/>
      <w:bookmarkStart w:id="566" w:name="_Toc20083"/>
      <w:bookmarkStart w:id="567" w:name="_Toc11676"/>
      <w:r>
        <w:rPr>
          <w:rFonts w:hint="eastAsia" w:ascii="宋体" w:hAnsi="宋体" w:cs="Arial"/>
          <w:b/>
          <w:bCs/>
          <w:color w:val="auto"/>
          <w:kern w:val="0"/>
          <w:sz w:val="30"/>
          <w:szCs w:val="30"/>
          <w:highlight w:val="none"/>
          <w:lang w:val="zh-CN"/>
        </w:rPr>
        <w:t>【非残疾人福利性单位不需提供】</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6BDB938D">
      <w:pPr>
        <w:shd w:val="clear"/>
        <w:snapToGrid w:val="0"/>
        <w:ind w:firstLine="480"/>
        <w:rPr>
          <w:rFonts w:ascii="宋体" w:hAnsi="宋体"/>
          <w:color w:val="auto"/>
          <w:szCs w:val="21"/>
          <w:highlight w:val="none"/>
        </w:rPr>
      </w:pPr>
      <w:r>
        <w:rPr>
          <w:rFonts w:hint="eastAsia" w:ascii="宋体" w:hAnsi="宋体"/>
          <w:color w:val="auto"/>
          <w:szCs w:val="21"/>
          <w:highlight w:val="none"/>
        </w:rPr>
        <w:t>本单位郑重声明，根据《财政部民政部中国残疾人联合会关于促进残疾人就业政府采购政策的通知》（财库〔2017〕141号）的规定，本单位为符合条件的残疾人福利性单位，且本单位参加</w:t>
      </w:r>
      <w:r>
        <w:rPr>
          <w:rFonts w:hint="eastAsia" w:ascii="宋体" w:hAnsi="宋体"/>
          <w:color w:val="auto"/>
          <w:szCs w:val="21"/>
          <w:highlight w:val="none"/>
          <w:u w:val="single"/>
        </w:rPr>
        <w:t>（采购人名称）</w:t>
      </w:r>
      <w:r>
        <w:rPr>
          <w:rFonts w:hint="eastAsia" w:ascii="宋体" w:hAnsi="宋体"/>
          <w:color w:val="auto"/>
          <w:szCs w:val="21"/>
          <w:highlight w:val="none"/>
        </w:rPr>
        <w:t>单位的</w:t>
      </w:r>
      <w:r>
        <w:rPr>
          <w:rFonts w:hint="eastAsia" w:ascii="宋体" w:hAnsi="宋体"/>
          <w:color w:val="auto"/>
          <w:szCs w:val="21"/>
          <w:highlight w:val="none"/>
          <w:u w:val="single"/>
        </w:rPr>
        <w:t>（项目名称）</w:t>
      </w:r>
      <w:r>
        <w:rPr>
          <w:rFonts w:hint="eastAsia" w:ascii="宋体" w:hAnsi="宋体"/>
          <w:color w:val="auto"/>
          <w:szCs w:val="21"/>
          <w:highlight w:val="none"/>
        </w:rPr>
        <w:t>项目采购活动提供本单位制造的货物（由本单位承担工程/提供服务），或者提供其他残疾人福利性单位制造的货物（不包括使用非残疾人福利性单位注册商标的货物）。</w:t>
      </w:r>
    </w:p>
    <w:p w14:paraId="4A260237">
      <w:pPr>
        <w:shd w:val="clear"/>
        <w:snapToGrid w:val="0"/>
        <w:ind w:firstLine="48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558E8624">
      <w:pPr>
        <w:shd w:val="clear"/>
        <w:snapToGrid w:val="0"/>
        <w:ind w:firstLine="480"/>
        <w:rPr>
          <w:rFonts w:ascii="宋体" w:hAnsi="宋体"/>
          <w:color w:val="auto"/>
          <w:szCs w:val="21"/>
          <w:highlight w:val="none"/>
        </w:rPr>
      </w:pPr>
    </w:p>
    <w:p w14:paraId="7A23A80B">
      <w:pPr>
        <w:shd w:val="clear"/>
        <w:snapToGrid w:val="0"/>
        <w:ind w:firstLine="480"/>
        <w:rPr>
          <w:rFonts w:ascii="宋体" w:hAnsi="宋体"/>
          <w:color w:val="auto"/>
          <w:szCs w:val="21"/>
          <w:highlight w:val="none"/>
        </w:rPr>
      </w:pPr>
    </w:p>
    <w:p w14:paraId="0E74284F">
      <w:pPr>
        <w:shd w:val="clear"/>
        <w:adjustRightInd w:val="0"/>
        <w:snapToGrid w:val="0"/>
        <w:ind w:firstLine="480"/>
        <w:rPr>
          <w:rFonts w:ascii="宋体" w:hAnsi="宋体"/>
          <w:color w:val="auto"/>
          <w:szCs w:val="21"/>
          <w:highlight w:val="none"/>
        </w:rPr>
      </w:pPr>
    </w:p>
    <w:p w14:paraId="24EBF39A">
      <w:pPr>
        <w:shd w:val="clear"/>
        <w:adjustRightInd w:val="0"/>
        <w:snapToGrid w:val="0"/>
        <w:ind w:firstLine="480"/>
        <w:rPr>
          <w:rFonts w:ascii="宋体" w:hAnsi="宋体"/>
          <w:color w:val="auto"/>
          <w:szCs w:val="21"/>
          <w:highlight w:val="none"/>
        </w:rPr>
      </w:pPr>
    </w:p>
    <w:p w14:paraId="79AD7574">
      <w:pPr>
        <w:shd w:val="clear"/>
        <w:adjustRightInd w:val="0"/>
        <w:snapToGrid w:val="0"/>
        <w:ind w:firstLine="480"/>
        <w:rPr>
          <w:rFonts w:ascii="宋体" w:hAnsi="宋体"/>
          <w:color w:val="auto"/>
          <w:szCs w:val="21"/>
          <w:highlight w:val="none"/>
        </w:rPr>
      </w:pPr>
    </w:p>
    <w:p w14:paraId="0E189CFE">
      <w:pPr>
        <w:shd w:val="clear"/>
        <w:adjustRightInd w:val="0"/>
        <w:snapToGrid w:val="0"/>
        <w:ind w:firstLine="480"/>
        <w:rPr>
          <w:rFonts w:ascii="宋体" w:hAnsi="宋体"/>
          <w:color w:val="auto"/>
          <w:szCs w:val="21"/>
          <w:highlight w:val="none"/>
        </w:rPr>
      </w:pPr>
    </w:p>
    <w:p w14:paraId="1B5DD74A">
      <w:pPr>
        <w:shd w:val="clear"/>
        <w:adjustRightInd w:val="0"/>
        <w:snapToGrid w:val="0"/>
        <w:ind w:firstLine="480"/>
        <w:rPr>
          <w:rFonts w:ascii="宋体" w:hAnsi="宋体"/>
          <w:color w:val="auto"/>
          <w:szCs w:val="21"/>
          <w:highlight w:val="none"/>
        </w:rPr>
      </w:pPr>
    </w:p>
    <w:p w14:paraId="36EDFECF">
      <w:pPr>
        <w:shd w:val="clear"/>
        <w:adjustRightInd w:val="0"/>
        <w:snapToGrid w:val="0"/>
        <w:ind w:firstLine="4080" w:firstLineChars="1700"/>
        <w:rPr>
          <w:rFonts w:ascii="宋体" w:hAnsi="宋体"/>
          <w:color w:val="auto"/>
          <w:szCs w:val="21"/>
          <w:highlight w:val="none"/>
          <w:u w:val="single"/>
        </w:rPr>
      </w:pPr>
      <w:r>
        <w:rPr>
          <w:rFonts w:hint="eastAsia" w:ascii="宋体" w:hAnsi="宋体"/>
          <w:color w:val="auto"/>
          <w:szCs w:val="21"/>
          <w:highlight w:val="none"/>
          <w:lang w:eastAsia="zh-CN"/>
        </w:rPr>
        <w:t>投标人</w:t>
      </w:r>
      <w:r>
        <w:rPr>
          <w:rFonts w:hint="eastAsia" w:ascii="宋体" w:hAnsi="宋体"/>
          <w:color w:val="auto"/>
          <w:szCs w:val="21"/>
          <w:highlight w:val="none"/>
        </w:rPr>
        <w:t>名称（盖章）：</w:t>
      </w:r>
    </w:p>
    <w:p w14:paraId="545AC419">
      <w:pPr>
        <w:shd w:val="clear"/>
        <w:tabs>
          <w:tab w:val="left" w:pos="8028"/>
        </w:tabs>
        <w:adjustRightInd w:val="0"/>
        <w:snapToGrid w:val="0"/>
        <w:ind w:firstLine="3600" w:firstLineChars="1500"/>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ab/>
      </w:r>
    </w:p>
    <w:p w14:paraId="31088A68">
      <w:pPr>
        <w:shd w:val="clear"/>
        <w:adjustRightInd w:val="0"/>
        <w:snapToGrid w:val="0"/>
        <w:ind w:firstLine="4080" w:firstLineChars="1700"/>
        <w:rPr>
          <w:rFonts w:ascii="宋体" w:hAnsi="宋体"/>
          <w:color w:val="auto"/>
          <w:szCs w:val="21"/>
          <w:highlight w:val="none"/>
        </w:rPr>
      </w:pPr>
      <w:r>
        <w:rPr>
          <w:rFonts w:hint="eastAsia" w:ascii="宋体" w:hAnsi="宋体"/>
          <w:color w:val="auto"/>
          <w:szCs w:val="21"/>
          <w:highlight w:val="none"/>
        </w:rPr>
        <w:t>日期：    年   月  日</w:t>
      </w:r>
    </w:p>
    <w:p w14:paraId="3D25A25F">
      <w:pPr>
        <w:shd w:val="clear"/>
        <w:adjustRightInd w:val="0"/>
        <w:snapToGrid w:val="0"/>
        <w:ind w:firstLine="480"/>
        <w:rPr>
          <w:rFonts w:ascii="宋体" w:hAnsi="宋体"/>
          <w:color w:val="auto"/>
          <w:szCs w:val="21"/>
          <w:highlight w:val="none"/>
        </w:rPr>
      </w:pPr>
    </w:p>
    <w:p w14:paraId="37812793">
      <w:pPr>
        <w:shd w:val="clear"/>
        <w:adjustRightInd w:val="0"/>
        <w:snapToGrid w:val="0"/>
        <w:ind w:firstLine="480"/>
        <w:rPr>
          <w:rFonts w:ascii="宋体" w:hAnsi="宋体"/>
          <w:color w:val="auto"/>
          <w:szCs w:val="21"/>
          <w:highlight w:val="none"/>
        </w:rPr>
      </w:pPr>
    </w:p>
    <w:p w14:paraId="6982CFC6">
      <w:pPr>
        <w:shd w:val="clear"/>
        <w:adjustRightInd w:val="0"/>
        <w:snapToGrid w:val="0"/>
        <w:ind w:firstLine="480"/>
        <w:rPr>
          <w:rFonts w:ascii="宋体" w:hAnsi="宋体"/>
          <w:color w:val="auto"/>
          <w:szCs w:val="21"/>
          <w:highlight w:val="none"/>
        </w:rPr>
      </w:pPr>
    </w:p>
    <w:p w14:paraId="343D7AE4">
      <w:pPr>
        <w:shd w:val="clear"/>
        <w:adjustRightInd w:val="0"/>
        <w:snapToGrid w:val="0"/>
        <w:ind w:firstLine="480"/>
        <w:rPr>
          <w:rFonts w:ascii="宋体" w:hAnsi="宋体"/>
          <w:color w:val="auto"/>
          <w:szCs w:val="21"/>
          <w:highlight w:val="none"/>
        </w:rPr>
      </w:pPr>
      <w:r>
        <w:rPr>
          <w:rFonts w:hint="eastAsia" w:ascii="宋体" w:hAnsi="宋体"/>
          <w:color w:val="auto"/>
          <w:szCs w:val="21"/>
          <w:highlight w:val="none"/>
          <w:lang w:eastAsia="zh-CN"/>
        </w:rPr>
        <w:t>投标人</w:t>
      </w:r>
      <w:r>
        <w:rPr>
          <w:rFonts w:hint="eastAsia" w:ascii="宋体" w:hAnsi="宋体"/>
          <w:color w:val="auto"/>
          <w:szCs w:val="21"/>
          <w:highlight w:val="none"/>
        </w:rPr>
        <w:t>为残疾人福利性</w:t>
      </w:r>
      <w:r>
        <w:rPr>
          <w:rFonts w:hint="eastAsia" w:ascii="宋体" w:hAnsi="宋体"/>
          <w:color w:val="auto"/>
          <w:szCs w:val="21"/>
          <w:highlight w:val="none"/>
          <w:lang w:eastAsia="zh-CN"/>
        </w:rPr>
        <w:t>单位</w:t>
      </w:r>
      <w:r>
        <w:rPr>
          <w:rFonts w:hint="eastAsia" w:ascii="宋体" w:hAnsi="宋体"/>
          <w:color w:val="auto"/>
          <w:szCs w:val="21"/>
          <w:highlight w:val="none"/>
        </w:rPr>
        <w:t>提供此函。</w:t>
      </w:r>
    </w:p>
    <w:p w14:paraId="19FCD67C">
      <w:pPr>
        <w:shd w:val="clear"/>
        <w:spacing w:before="100" w:beforeAutospacing="1" w:after="120"/>
        <w:ind w:firstLine="480"/>
        <w:rPr>
          <w:rFonts w:hint="eastAsia" w:cs="宋体"/>
          <w:b/>
          <w:bCs/>
          <w:color w:val="auto"/>
          <w:kern w:val="2"/>
          <w:highlight w:val="none"/>
          <w:lang w:bidi="ar"/>
        </w:rPr>
      </w:pPr>
      <w:r>
        <w:rPr>
          <w:rFonts w:hint="eastAsia" w:ascii="宋体" w:hAnsi="宋体"/>
          <w:color w:val="auto"/>
          <w:szCs w:val="21"/>
          <w:highlight w:val="none"/>
        </w:rPr>
        <w:t>备注：</w:t>
      </w:r>
      <w:r>
        <w:rPr>
          <w:rFonts w:hint="eastAsia" w:ascii="宋体" w:hAnsi="宋体"/>
          <w:color w:val="auto"/>
          <w:szCs w:val="21"/>
          <w:highlight w:val="none"/>
          <w:lang w:eastAsia="zh-CN"/>
        </w:rPr>
        <w:t>中标人</w:t>
      </w:r>
      <w:r>
        <w:rPr>
          <w:rFonts w:hint="eastAsia" w:ascii="宋体" w:hAnsi="宋体"/>
          <w:color w:val="auto"/>
          <w:szCs w:val="21"/>
          <w:highlight w:val="none"/>
        </w:rPr>
        <w:t>为残疾人福利性单位的，应当随中标结果同时公告其《残疾人福利性单位声明函》，接受社会监督。</w:t>
      </w:r>
    </w:p>
    <w:p w14:paraId="43900234">
      <w:pPr>
        <w:numPr>
          <w:ilvl w:val="255"/>
          <w:numId w:val="0"/>
        </w:numPr>
        <w:shd w:val="clear"/>
        <w:spacing w:line="360" w:lineRule="auto"/>
        <w:jc w:val="left"/>
        <w:outlineLvl w:val="1"/>
        <w:rPr>
          <w:rFonts w:hint="eastAsia" w:ascii="宋体" w:hAnsi="宋体" w:cs="宋体"/>
          <w:b/>
          <w:color w:val="auto"/>
          <w:highlight w:val="none"/>
          <w:lang w:bidi="ar"/>
        </w:rPr>
      </w:pPr>
    </w:p>
    <w:p w14:paraId="33914C47">
      <w:pPr>
        <w:pStyle w:val="2"/>
        <w:numPr>
          <w:ilvl w:val="0"/>
          <w:numId w:val="0"/>
        </w:numPr>
        <w:shd w:val="clear"/>
        <w:ind w:leftChars="0"/>
        <w:jc w:val="both"/>
        <w:rPr>
          <w:color w:val="auto"/>
          <w:highlight w:val="none"/>
        </w:rPr>
      </w:pPr>
    </w:p>
    <w:sectPr>
      <w:headerReference r:id="rId15" w:type="default"/>
      <w:footerReference r:id="rId16" w:type="default"/>
      <w:pgSz w:w="11906" w:h="16838"/>
      <w:pgMar w:top="1440" w:right="1080" w:bottom="1440" w:left="1080" w:header="737" w:footer="850" w:gutter="0"/>
      <w:pgBorders>
        <w:top w:val="thinThickSmallGap" w:color="auto" w:sz="12" w:space="10"/>
        <w:left w:val="none" w:sz="0" w:space="0"/>
        <w:bottom w:val="thinThickSmallGap" w:color="auto" w:sz="12" w:space="10"/>
        <w:right w:val="none" w:sz="0" w:space="0"/>
      </w:pgBorders>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Helvetica">
    <w:panose1 w:val="020B0504020202030204"/>
    <w:charset w:val="00"/>
    <w:family w:val="swiss"/>
    <w:pitch w:val="default"/>
    <w:sig w:usb0="00000007" w:usb1="00000000" w:usb2="00000000" w:usb3="00000000" w:csb0="00000093" w:csb1="00000000"/>
  </w:font>
  <w:font w:name="ヒラギノ角ゴ Pro W3">
    <w:altName w:val="Yu Gothic"/>
    <w:panose1 w:val="00000000000000000000"/>
    <w:charset w:val="80"/>
    <w:family w:val="auto"/>
    <w:pitch w:val="default"/>
    <w:sig w:usb0="00000000" w:usb1="00000000" w:usb2="00000012" w:usb3="00000000" w:csb0="0002000D" w:csb1="00000000"/>
  </w:font>
  <w:font w:name="Yu Gothic">
    <w:panose1 w:val="020B04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swiss"/>
    <w:pitch w:val="default"/>
    <w:sig w:usb0="80000287" w:usb1="2ACF0010" w:usb2="00000016" w:usb3="00000000" w:csb0="0004001F"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AdobeSongStd-Light">
    <w:altName w:val="宋体"/>
    <w:panose1 w:val="00000000000000000000"/>
    <w:charset w:val="86"/>
    <w:family w:val="auto"/>
    <w:pitch w:val="default"/>
    <w:sig w:usb0="00000000" w:usb1="00000000" w:usb2="00000000" w:usb3="00000000" w:csb0="00040000" w:csb1="00000000"/>
  </w:font>
  <w:font w:name="CESI黑体-GB2312">
    <w:altName w:val="黑体"/>
    <w:panose1 w:val="02000500000000000000"/>
    <w:charset w:val="86"/>
    <w:family w:val="auto"/>
    <w:pitch w:val="default"/>
    <w:sig w:usb0="00000000" w:usb1="00000000" w:usb2="00000012" w:usb3="00000000" w:csb0="0004000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D492A">
    <w:pPr>
      <w:pStyle w:val="2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B884B">
                          <w:pPr>
                            <w:pStyle w:val="27"/>
                            <w:ind w:firstLine="361"/>
                            <w:rPr>
                              <w:rFonts w:hint="eastAsia" w:ascii="宋体" w:hAnsi="宋体" w:cs="宋体"/>
                              <w:b/>
                              <w:bCs/>
                            </w:rPr>
                          </w:pPr>
                          <w:r>
                            <w:rPr>
                              <w:rFonts w:hint="eastAsia" w:ascii="宋体" w:hAnsi="宋体" w:cs="宋体"/>
                              <w:b/>
                              <w:bCs/>
                            </w:rPr>
                            <w:t xml:space="preserve">第 </w:t>
                          </w:r>
                          <w:r>
                            <w:rPr>
                              <w:rFonts w:hint="eastAsia" w:ascii="宋体" w:hAnsi="宋体" w:cs="宋体"/>
                              <w:b/>
                              <w:bCs/>
                            </w:rPr>
                            <w:fldChar w:fldCharType="begin"/>
                          </w:r>
                          <w:r>
                            <w:rPr>
                              <w:rFonts w:hint="eastAsia" w:ascii="宋体" w:hAnsi="宋体" w:cs="宋体"/>
                              <w:b/>
                              <w:bCs/>
                            </w:rPr>
                            <w:instrText xml:space="preserve"> PAGE  \* MERGEFORMAT </w:instrText>
                          </w:r>
                          <w:r>
                            <w:rPr>
                              <w:rFonts w:hint="eastAsia" w:ascii="宋体" w:hAnsi="宋体" w:cs="宋体"/>
                              <w:b/>
                              <w:bCs/>
                            </w:rPr>
                            <w:fldChar w:fldCharType="separate"/>
                          </w:r>
                          <w:r>
                            <w:rPr>
                              <w:rFonts w:hint="eastAsia" w:ascii="宋体" w:hAnsi="宋体" w:cs="宋体"/>
                              <w:b/>
                              <w:bCs/>
                            </w:rPr>
                            <w:t>2</w:t>
                          </w:r>
                          <w:r>
                            <w:rPr>
                              <w:rFonts w:hint="eastAsia" w:ascii="宋体" w:hAnsi="宋体" w:cs="宋体"/>
                              <w:b/>
                              <w:bCs/>
                            </w:rPr>
                            <w:fldChar w:fldCharType="end"/>
                          </w:r>
                          <w:r>
                            <w:rPr>
                              <w:rFonts w:hint="eastAsia" w:ascii="宋体" w:hAnsi="宋体" w:cs="宋体"/>
                              <w:b/>
                              <w:bCs/>
                            </w:rPr>
                            <w:t xml:space="preserve"> 页 共 </w:t>
                          </w:r>
                          <w:r>
                            <w:rPr>
                              <w:rFonts w:hint="eastAsia" w:ascii="宋体" w:hAnsi="宋体" w:cs="宋体"/>
                              <w:b/>
                              <w:bCs/>
                            </w:rPr>
                            <w:fldChar w:fldCharType="begin"/>
                          </w:r>
                          <w:r>
                            <w:rPr>
                              <w:rFonts w:hint="eastAsia" w:ascii="宋体" w:hAnsi="宋体" w:cs="宋体"/>
                              <w:b/>
                              <w:bCs/>
                            </w:rPr>
                            <w:instrText xml:space="preserve"> NUMPAGES  \* MERGEFORMAT </w:instrText>
                          </w:r>
                          <w:r>
                            <w:rPr>
                              <w:rFonts w:hint="eastAsia" w:ascii="宋体" w:hAnsi="宋体" w:cs="宋体"/>
                              <w:b/>
                              <w:bCs/>
                            </w:rPr>
                            <w:fldChar w:fldCharType="separate"/>
                          </w:r>
                          <w:r>
                            <w:rPr>
                              <w:rFonts w:hint="eastAsia" w:ascii="宋体" w:hAnsi="宋体" w:cs="宋体"/>
                              <w:b/>
                              <w:bCs/>
                            </w:rPr>
                            <w:t>61</w:t>
                          </w:r>
                          <w:r>
                            <w:rPr>
                              <w:rFonts w:hint="eastAsia" w:ascii="宋体" w:hAnsi="宋体" w:cs="宋体"/>
                              <w:b/>
                              <w:bCs/>
                            </w:rPr>
                            <w:fldChar w:fldCharType="end"/>
                          </w:r>
                          <w:r>
                            <w:rPr>
                              <w:rFonts w:hint="eastAsia" w:ascii="宋体" w:hAnsi="宋体" w:cs="宋体"/>
                              <w:b/>
                              <w:bCs/>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65B884B">
                    <w:pPr>
                      <w:pStyle w:val="27"/>
                      <w:ind w:firstLine="361"/>
                      <w:rPr>
                        <w:rFonts w:hint="eastAsia" w:ascii="宋体" w:hAnsi="宋体" w:cs="宋体"/>
                        <w:b/>
                        <w:bCs/>
                      </w:rPr>
                    </w:pPr>
                    <w:r>
                      <w:rPr>
                        <w:rFonts w:hint="eastAsia" w:ascii="宋体" w:hAnsi="宋体" w:cs="宋体"/>
                        <w:b/>
                        <w:bCs/>
                      </w:rPr>
                      <w:t xml:space="preserve">第 </w:t>
                    </w:r>
                    <w:r>
                      <w:rPr>
                        <w:rFonts w:hint="eastAsia" w:ascii="宋体" w:hAnsi="宋体" w:cs="宋体"/>
                        <w:b/>
                        <w:bCs/>
                      </w:rPr>
                      <w:fldChar w:fldCharType="begin"/>
                    </w:r>
                    <w:r>
                      <w:rPr>
                        <w:rFonts w:hint="eastAsia" w:ascii="宋体" w:hAnsi="宋体" w:cs="宋体"/>
                        <w:b/>
                        <w:bCs/>
                      </w:rPr>
                      <w:instrText xml:space="preserve"> PAGE  \* MERGEFORMAT </w:instrText>
                    </w:r>
                    <w:r>
                      <w:rPr>
                        <w:rFonts w:hint="eastAsia" w:ascii="宋体" w:hAnsi="宋体" w:cs="宋体"/>
                        <w:b/>
                        <w:bCs/>
                      </w:rPr>
                      <w:fldChar w:fldCharType="separate"/>
                    </w:r>
                    <w:r>
                      <w:rPr>
                        <w:rFonts w:hint="eastAsia" w:ascii="宋体" w:hAnsi="宋体" w:cs="宋体"/>
                        <w:b/>
                        <w:bCs/>
                      </w:rPr>
                      <w:t>2</w:t>
                    </w:r>
                    <w:r>
                      <w:rPr>
                        <w:rFonts w:hint="eastAsia" w:ascii="宋体" w:hAnsi="宋体" w:cs="宋体"/>
                        <w:b/>
                        <w:bCs/>
                      </w:rPr>
                      <w:fldChar w:fldCharType="end"/>
                    </w:r>
                    <w:r>
                      <w:rPr>
                        <w:rFonts w:hint="eastAsia" w:ascii="宋体" w:hAnsi="宋体" w:cs="宋体"/>
                        <w:b/>
                        <w:bCs/>
                      </w:rPr>
                      <w:t xml:space="preserve"> 页 共 </w:t>
                    </w:r>
                    <w:r>
                      <w:rPr>
                        <w:rFonts w:hint="eastAsia" w:ascii="宋体" w:hAnsi="宋体" w:cs="宋体"/>
                        <w:b/>
                        <w:bCs/>
                      </w:rPr>
                      <w:fldChar w:fldCharType="begin"/>
                    </w:r>
                    <w:r>
                      <w:rPr>
                        <w:rFonts w:hint="eastAsia" w:ascii="宋体" w:hAnsi="宋体" w:cs="宋体"/>
                        <w:b/>
                        <w:bCs/>
                      </w:rPr>
                      <w:instrText xml:space="preserve"> NUMPAGES  \* MERGEFORMAT </w:instrText>
                    </w:r>
                    <w:r>
                      <w:rPr>
                        <w:rFonts w:hint="eastAsia" w:ascii="宋体" w:hAnsi="宋体" w:cs="宋体"/>
                        <w:b/>
                        <w:bCs/>
                      </w:rPr>
                      <w:fldChar w:fldCharType="separate"/>
                    </w:r>
                    <w:r>
                      <w:rPr>
                        <w:rFonts w:hint="eastAsia" w:ascii="宋体" w:hAnsi="宋体" w:cs="宋体"/>
                        <w:b/>
                        <w:bCs/>
                      </w:rPr>
                      <w:t>61</w:t>
                    </w:r>
                    <w:r>
                      <w:rPr>
                        <w:rFonts w:hint="eastAsia" w:ascii="宋体" w:hAnsi="宋体" w:cs="宋体"/>
                        <w:b/>
                        <w:bCs/>
                      </w:rPr>
                      <w:fldChar w:fldCharType="end"/>
                    </w:r>
                    <w:r>
                      <w:rPr>
                        <w:rFonts w:hint="eastAsia" w:ascii="宋体" w:hAnsi="宋体" w:cs="宋体"/>
                        <w:b/>
                        <w:bCs/>
                      </w:rPr>
                      <w:t xml:space="preserve"> 页</w:t>
                    </w:r>
                  </w:p>
                </w:txbxContent>
              </v:textbox>
            </v:shape>
          </w:pict>
        </mc:Fallback>
      </mc:AlternateContent>
    </w:r>
    <w:r>
      <w:rPr>
        <w:rFonts w:ascii="宋体" w:hAnsi="宋体"/>
        <w:b/>
        <w:bCs/>
        <w:i/>
        <w:iCs/>
        <w:color w:val="00B050"/>
      </w:rPr>
      <w:drawing>
        <wp:anchor distT="0" distB="0" distL="114300" distR="114300" simplePos="0" relativeHeight="251663360" behindDoc="1" locked="0" layoutInCell="1" allowOverlap="1">
          <wp:simplePos x="0" y="0"/>
          <wp:positionH relativeFrom="column">
            <wp:posOffset>8890</wp:posOffset>
          </wp:positionH>
          <wp:positionV relativeFrom="page">
            <wp:posOffset>9935845</wp:posOffset>
          </wp:positionV>
          <wp:extent cx="927735" cy="173990"/>
          <wp:effectExtent l="0" t="0" r="5715" b="35560"/>
          <wp:wrapTight wrapText="bothSides">
            <wp:wrapPolygon>
              <wp:start x="0" y="0"/>
              <wp:lineTo x="0" y="18920"/>
              <wp:lineTo x="21290" y="18920"/>
              <wp:lineTo x="21290" y="0"/>
              <wp:lineTo x="0" y="0"/>
            </wp:wrapPolygon>
          </wp:wrapTight>
          <wp:docPr id="6" name="图片 6" descr="1660788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0788654(1)"/>
                  <pic:cNvPicPr>
                    <a:picLocks noChangeAspect="1"/>
                  </pic:cNvPicPr>
                </pic:nvPicPr>
                <pic:blipFill>
                  <a:blip r:embed="rId1"/>
                  <a:stretch>
                    <a:fillRect/>
                  </a:stretch>
                </pic:blipFill>
                <pic:spPr>
                  <a:xfrm>
                    <a:off x="0" y="0"/>
                    <a:ext cx="927735" cy="17399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9EFEA">
    <w:pPr>
      <w:pStyle w:val="27"/>
      <w:ind w:firstLine="361"/>
    </w:pPr>
    <w:r>
      <mc:AlternateContent>
        <mc:Choice Requires="wps">
          <w:drawing>
            <wp:anchor distT="0" distB="0" distL="114300" distR="114300" simplePos="0" relativeHeight="251665408" behindDoc="0" locked="0" layoutInCell="1" allowOverlap="1">
              <wp:simplePos x="0" y="0"/>
              <wp:positionH relativeFrom="margin">
                <wp:posOffset>2226945</wp:posOffset>
              </wp:positionH>
              <wp:positionV relativeFrom="paragraph">
                <wp:posOffset>-7620</wp:posOffset>
              </wp:positionV>
              <wp:extent cx="1790065" cy="28321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790065" cy="283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C0D15">
                          <w:pPr>
                            <w:pStyle w:val="27"/>
                            <w:ind w:firstLine="361"/>
                            <w:rPr>
                              <w:rFonts w:hint="eastAsia" w:ascii="宋体" w:hAnsi="宋体" w:cs="宋体"/>
                            </w:rPr>
                          </w:pPr>
                          <w:r>
                            <w:rPr>
                              <w:rFonts w:hint="eastAsia" w:ascii="宋体" w:hAnsi="宋体" w:cs="宋体"/>
                              <w:b/>
                              <w:bCs/>
                            </w:rPr>
                            <w:t xml:space="preserve">第 </w:t>
                          </w:r>
                          <w:r>
                            <w:rPr>
                              <w:rFonts w:hint="eastAsia" w:ascii="宋体" w:hAnsi="宋体" w:cs="宋体"/>
                              <w:b/>
                              <w:bCs/>
                            </w:rPr>
                            <w:fldChar w:fldCharType="begin"/>
                          </w:r>
                          <w:r>
                            <w:rPr>
                              <w:rFonts w:hint="eastAsia" w:ascii="宋体" w:hAnsi="宋体" w:cs="宋体"/>
                              <w:b/>
                              <w:bCs/>
                            </w:rPr>
                            <w:instrText xml:space="preserve"> PAGE  \* MERGEFORMAT </w:instrText>
                          </w:r>
                          <w:r>
                            <w:rPr>
                              <w:rFonts w:hint="eastAsia" w:ascii="宋体" w:hAnsi="宋体" w:cs="宋体"/>
                              <w:b/>
                              <w:bCs/>
                            </w:rPr>
                            <w:fldChar w:fldCharType="separate"/>
                          </w:r>
                          <w:r>
                            <w:rPr>
                              <w:rFonts w:hint="eastAsia" w:ascii="宋体" w:hAnsi="宋体" w:cs="宋体"/>
                              <w:b/>
                              <w:bCs/>
                            </w:rPr>
                            <w:t>1</w:t>
                          </w:r>
                          <w:r>
                            <w:rPr>
                              <w:rFonts w:hint="eastAsia" w:ascii="宋体" w:hAnsi="宋体" w:cs="宋体"/>
                              <w:b/>
                              <w:bCs/>
                            </w:rPr>
                            <w:fldChar w:fldCharType="end"/>
                          </w:r>
                          <w:r>
                            <w:rPr>
                              <w:rFonts w:hint="eastAsia" w:ascii="宋体" w:hAnsi="宋体" w:cs="宋体"/>
                              <w:b/>
                              <w:bCs/>
                            </w:rPr>
                            <w:t xml:space="preserve"> 页 共 </w:t>
                          </w:r>
                          <w:r>
                            <w:rPr>
                              <w:rFonts w:hint="eastAsia" w:ascii="宋体" w:hAnsi="宋体" w:cs="宋体"/>
                              <w:b/>
                              <w:bCs/>
                            </w:rPr>
                            <w:fldChar w:fldCharType="begin"/>
                          </w:r>
                          <w:r>
                            <w:rPr>
                              <w:rFonts w:hint="eastAsia" w:ascii="宋体" w:hAnsi="宋体" w:cs="宋体"/>
                              <w:b/>
                              <w:bCs/>
                            </w:rPr>
                            <w:instrText xml:space="preserve"> NUMPAGES  \* MERGEFORMAT </w:instrText>
                          </w:r>
                          <w:r>
                            <w:rPr>
                              <w:rFonts w:hint="eastAsia" w:ascii="宋体" w:hAnsi="宋体" w:cs="宋体"/>
                              <w:b/>
                              <w:bCs/>
                            </w:rPr>
                            <w:fldChar w:fldCharType="separate"/>
                          </w:r>
                          <w:r>
                            <w:rPr>
                              <w:rFonts w:hint="eastAsia" w:ascii="宋体" w:hAnsi="宋体" w:cs="宋体"/>
                              <w:b/>
                              <w:bCs/>
                            </w:rPr>
                            <w:t>61</w:t>
                          </w:r>
                          <w:r>
                            <w:rPr>
                              <w:rFonts w:hint="eastAsia" w:ascii="宋体" w:hAnsi="宋体" w:cs="宋体"/>
                              <w:b/>
                              <w:bCs/>
                            </w:rPr>
                            <w:fldChar w:fldCharType="end"/>
                          </w:r>
                          <w:r>
                            <w:rPr>
                              <w:rFonts w:hint="eastAsia" w:ascii="宋体" w:hAnsi="宋体" w:cs="宋体"/>
                              <w:b/>
                              <w:bCs/>
                            </w:rP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75.35pt;margin-top:-0.6pt;height:22.3pt;width:140.95pt;mso-position-horizontal-relative:margin;z-index:251665408;mso-width-relative:page;mso-height-relative:page;" filled="f" stroked="f" coordsize="21600,21600" o:gfxdata="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Ea0tgAAAAJAQAADwAAAAAAAAABACAAAAAiAAAAZHJzL2Rvd25yZXYueG1s&#10;UEsBAhQAFAAAAAgAh07iQO6sYxsxAgAAVgQAAA4AAAAAAAAAAQAgAAAAJwEAAGRycy9lMm9Eb2Mu&#10;eG1sUEsFBgAAAAAGAAYAWQEAAMoFAAAAAA==&#10;">
              <v:fill on="f" focussize="0,0"/>
              <v:stroke on="f" weight="0.5pt"/>
              <v:imagedata o:title=""/>
              <o:lock v:ext="edit" aspectratio="f"/>
              <v:textbox inset="0mm,0mm,0mm,0mm">
                <w:txbxContent>
                  <w:p w14:paraId="620C0D15">
                    <w:pPr>
                      <w:pStyle w:val="27"/>
                      <w:ind w:firstLine="361"/>
                      <w:rPr>
                        <w:rFonts w:hint="eastAsia" w:ascii="宋体" w:hAnsi="宋体" w:cs="宋体"/>
                      </w:rPr>
                    </w:pPr>
                    <w:r>
                      <w:rPr>
                        <w:rFonts w:hint="eastAsia" w:ascii="宋体" w:hAnsi="宋体" w:cs="宋体"/>
                        <w:b/>
                        <w:bCs/>
                      </w:rPr>
                      <w:t xml:space="preserve">第 </w:t>
                    </w:r>
                    <w:r>
                      <w:rPr>
                        <w:rFonts w:hint="eastAsia" w:ascii="宋体" w:hAnsi="宋体" w:cs="宋体"/>
                        <w:b/>
                        <w:bCs/>
                      </w:rPr>
                      <w:fldChar w:fldCharType="begin"/>
                    </w:r>
                    <w:r>
                      <w:rPr>
                        <w:rFonts w:hint="eastAsia" w:ascii="宋体" w:hAnsi="宋体" w:cs="宋体"/>
                        <w:b/>
                        <w:bCs/>
                      </w:rPr>
                      <w:instrText xml:space="preserve"> PAGE  \* MERGEFORMAT </w:instrText>
                    </w:r>
                    <w:r>
                      <w:rPr>
                        <w:rFonts w:hint="eastAsia" w:ascii="宋体" w:hAnsi="宋体" w:cs="宋体"/>
                        <w:b/>
                        <w:bCs/>
                      </w:rPr>
                      <w:fldChar w:fldCharType="separate"/>
                    </w:r>
                    <w:r>
                      <w:rPr>
                        <w:rFonts w:hint="eastAsia" w:ascii="宋体" w:hAnsi="宋体" w:cs="宋体"/>
                        <w:b/>
                        <w:bCs/>
                      </w:rPr>
                      <w:t>1</w:t>
                    </w:r>
                    <w:r>
                      <w:rPr>
                        <w:rFonts w:hint="eastAsia" w:ascii="宋体" w:hAnsi="宋体" w:cs="宋体"/>
                        <w:b/>
                        <w:bCs/>
                      </w:rPr>
                      <w:fldChar w:fldCharType="end"/>
                    </w:r>
                    <w:r>
                      <w:rPr>
                        <w:rFonts w:hint="eastAsia" w:ascii="宋体" w:hAnsi="宋体" w:cs="宋体"/>
                        <w:b/>
                        <w:bCs/>
                      </w:rPr>
                      <w:t xml:space="preserve"> 页 共 </w:t>
                    </w:r>
                    <w:r>
                      <w:rPr>
                        <w:rFonts w:hint="eastAsia" w:ascii="宋体" w:hAnsi="宋体" w:cs="宋体"/>
                        <w:b/>
                        <w:bCs/>
                      </w:rPr>
                      <w:fldChar w:fldCharType="begin"/>
                    </w:r>
                    <w:r>
                      <w:rPr>
                        <w:rFonts w:hint="eastAsia" w:ascii="宋体" w:hAnsi="宋体" w:cs="宋体"/>
                        <w:b/>
                        <w:bCs/>
                      </w:rPr>
                      <w:instrText xml:space="preserve"> NUMPAGES  \* MERGEFORMAT </w:instrText>
                    </w:r>
                    <w:r>
                      <w:rPr>
                        <w:rFonts w:hint="eastAsia" w:ascii="宋体" w:hAnsi="宋体" w:cs="宋体"/>
                        <w:b/>
                        <w:bCs/>
                      </w:rPr>
                      <w:fldChar w:fldCharType="separate"/>
                    </w:r>
                    <w:r>
                      <w:rPr>
                        <w:rFonts w:hint="eastAsia" w:ascii="宋体" w:hAnsi="宋体" w:cs="宋体"/>
                        <w:b/>
                        <w:bCs/>
                      </w:rPr>
                      <w:t>61</w:t>
                    </w:r>
                    <w:r>
                      <w:rPr>
                        <w:rFonts w:hint="eastAsia" w:ascii="宋体" w:hAnsi="宋体" w:cs="宋体"/>
                        <w:b/>
                        <w:bCs/>
                      </w:rPr>
                      <w:fldChar w:fldCharType="end"/>
                    </w:r>
                    <w:r>
                      <w:rPr>
                        <w:rFonts w:hint="eastAsia" w:ascii="宋体" w:hAnsi="宋体" w:cs="宋体"/>
                        <w:b/>
                        <w:bCs/>
                      </w:rPr>
                      <w:t xml:space="preserve"> 页</w:t>
                    </w:r>
                  </w:p>
                </w:txbxContent>
              </v:textbox>
            </v:shape>
          </w:pict>
        </mc:Fallback>
      </mc:AlternateContent>
    </w:r>
    <w:r>
      <w:rPr>
        <w:rFonts w:ascii="宋体" w:hAnsi="宋体"/>
        <w:b/>
        <w:bCs/>
        <w:i/>
        <w:iCs/>
        <w:color w:val="00B050"/>
      </w:rPr>
      <w:drawing>
        <wp:anchor distT="0" distB="0" distL="114300" distR="114300" simplePos="0" relativeHeight="251666432" behindDoc="1" locked="0" layoutInCell="1" allowOverlap="1">
          <wp:simplePos x="0" y="0"/>
          <wp:positionH relativeFrom="column">
            <wp:posOffset>44450</wp:posOffset>
          </wp:positionH>
          <wp:positionV relativeFrom="page">
            <wp:posOffset>9946005</wp:posOffset>
          </wp:positionV>
          <wp:extent cx="927735" cy="201930"/>
          <wp:effectExtent l="0" t="0" r="5715" b="26670"/>
          <wp:wrapTight wrapText="bothSides">
            <wp:wrapPolygon>
              <wp:start x="0" y="0"/>
              <wp:lineTo x="0" y="19698"/>
              <wp:lineTo x="21290" y="19698"/>
              <wp:lineTo x="21290" y="0"/>
              <wp:lineTo x="0" y="0"/>
            </wp:wrapPolygon>
          </wp:wrapTight>
          <wp:docPr id="2" name="图片 2" descr="1660788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0788654(1)"/>
                  <pic:cNvPicPr>
                    <a:picLocks noChangeAspect="1"/>
                  </pic:cNvPicPr>
                </pic:nvPicPr>
                <pic:blipFill>
                  <a:blip r:embed="rId1"/>
                  <a:stretch>
                    <a:fillRect/>
                  </a:stretch>
                </pic:blipFill>
                <pic:spPr>
                  <a:xfrm>
                    <a:off x="0" y="0"/>
                    <a:ext cx="927735" cy="20193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51509">
    <w:pPr>
      <w:pStyle w:val="27"/>
      <w:tabs>
        <w:tab w:val="center" w:pos="4873"/>
        <w:tab w:val="clear" w:pos="4153"/>
      </w:tabs>
      <w:spacing w:line="240" w:lineRule="auto"/>
      <w:ind w:firstLine="0" w:firstLineChars="0"/>
    </w:pPr>
    <w:r>
      <mc:AlternateContent>
        <mc:Choice Requires="wps">
          <w:drawing>
            <wp:anchor distT="0" distB="0" distL="114300" distR="114300" simplePos="0" relativeHeight="251661312" behindDoc="0" locked="0" layoutInCell="1" allowOverlap="1">
              <wp:simplePos x="0" y="0"/>
              <wp:positionH relativeFrom="margin">
                <wp:posOffset>2309495</wp:posOffset>
              </wp:positionH>
              <wp:positionV relativeFrom="paragraph">
                <wp:posOffset>-172720</wp:posOffset>
              </wp:positionV>
              <wp:extent cx="1569085" cy="74422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569085" cy="744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D2C35C">
                          <w:pPr>
                            <w:pStyle w:val="27"/>
                            <w:ind w:firstLine="361"/>
                            <w:rPr>
                              <w:rFonts w:hint="eastAsia" w:ascii="宋体" w:hAnsi="宋体" w:cs="宋体"/>
                              <w:b/>
                              <w:bCs/>
                            </w:rPr>
                          </w:pPr>
                          <w:r>
                            <w:rPr>
                              <w:rFonts w:ascii="宋体" w:hAnsi="宋体" w:cs="宋体"/>
                              <w:b/>
                              <w:bCs/>
                            </w:rPr>
                            <w:t xml:space="preserve">第 </w:t>
                          </w:r>
                          <w:r>
                            <w:rPr>
                              <w:rFonts w:ascii="宋体" w:hAnsi="宋体" w:cs="宋体"/>
                              <w:b/>
                              <w:bCs/>
                            </w:rPr>
                            <w:fldChar w:fldCharType="begin"/>
                          </w:r>
                          <w:r>
                            <w:rPr>
                              <w:rFonts w:ascii="宋体" w:hAnsi="宋体" w:cs="宋体"/>
                              <w:b/>
                              <w:bCs/>
                            </w:rPr>
                            <w:instrText xml:space="preserve"> PAGE  \* MERGEFORMAT </w:instrText>
                          </w:r>
                          <w:r>
                            <w:rPr>
                              <w:rFonts w:ascii="宋体" w:hAnsi="宋体" w:cs="宋体"/>
                              <w:b/>
                              <w:bCs/>
                            </w:rPr>
                            <w:fldChar w:fldCharType="separate"/>
                          </w:r>
                          <w:r>
                            <w:rPr>
                              <w:rFonts w:ascii="宋体" w:hAnsi="宋体" w:cs="宋体"/>
                              <w:b/>
                              <w:bCs/>
                            </w:rPr>
                            <w:t>49</w:t>
                          </w:r>
                          <w:r>
                            <w:rPr>
                              <w:rFonts w:ascii="宋体" w:hAnsi="宋体" w:cs="宋体"/>
                              <w:b/>
                              <w:bCs/>
                            </w:rPr>
                            <w:fldChar w:fldCharType="end"/>
                          </w:r>
                          <w:r>
                            <w:rPr>
                              <w:rFonts w:ascii="宋体" w:hAnsi="宋体" w:cs="宋体"/>
                              <w:b/>
                              <w:bCs/>
                            </w:rPr>
                            <w:t xml:space="preserve"> 页 共 </w:t>
                          </w:r>
                          <w:r>
                            <w:rPr>
                              <w:rFonts w:ascii="宋体" w:hAnsi="宋体" w:cs="宋体"/>
                              <w:b/>
                              <w:bCs/>
                            </w:rPr>
                            <w:fldChar w:fldCharType="begin"/>
                          </w:r>
                          <w:r>
                            <w:rPr>
                              <w:rFonts w:ascii="宋体" w:hAnsi="宋体" w:cs="宋体"/>
                              <w:b/>
                              <w:bCs/>
                            </w:rPr>
                            <w:instrText xml:space="preserve"> NUMPAGES  \* MERGEFORMAT </w:instrText>
                          </w:r>
                          <w:r>
                            <w:rPr>
                              <w:rFonts w:ascii="宋体" w:hAnsi="宋体" w:cs="宋体"/>
                              <w:b/>
                              <w:bCs/>
                            </w:rPr>
                            <w:fldChar w:fldCharType="separate"/>
                          </w:r>
                          <w:r>
                            <w:rPr>
                              <w:rFonts w:ascii="宋体" w:hAnsi="宋体" w:cs="宋体"/>
                              <w:b/>
                              <w:bCs/>
                            </w:rPr>
                            <w:t>61</w:t>
                          </w:r>
                          <w:r>
                            <w:rPr>
                              <w:rFonts w:ascii="宋体" w:hAnsi="宋体" w:cs="宋体"/>
                              <w:b/>
                              <w:bCs/>
                            </w:rPr>
                            <w:fldChar w:fldCharType="end"/>
                          </w:r>
                          <w:r>
                            <w:rPr>
                              <w:rFonts w:ascii="宋体" w:hAnsi="宋体" w:cs="宋体"/>
                              <w:b/>
                              <w:bCs/>
                            </w:rP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81.85pt;margin-top:-13.6pt;height:58.6pt;width:123.55pt;mso-position-horizontal-relative:margin;z-index:251661312;mso-width-relative:page;mso-height-relative:page;" filled="f" stroked="f" coordsize="21600,21600" o:gfxdata="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X0Q6g2QAAAAoBAAAPAAAAAAAAAAEAIAAAACIAAABkcnMvZG93bnJldi54&#10;bWxQSwECFAAUAAAACACHTuJAPNvywTICAABYBAAADgAAAAAAAAABACAAAAAoAQAAZHJzL2Uyb0Rv&#10;Yy54bWxQSwUGAAAAAAYABgBZAQAAzAUAAAAA&#10;">
              <v:fill on="f" focussize="0,0"/>
              <v:stroke on="f" weight="0.5pt"/>
              <v:imagedata o:title=""/>
              <o:lock v:ext="edit" aspectratio="f"/>
              <v:textbox inset="0mm,0mm,0mm,0mm">
                <w:txbxContent>
                  <w:p w14:paraId="74D2C35C">
                    <w:pPr>
                      <w:pStyle w:val="27"/>
                      <w:ind w:firstLine="361"/>
                      <w:rPr>
                        <w:rFonts w:hint="eastAsia" w:ascii="宋体" w:hAnsi="宋体" w:cs="宋体"/>
                        <w:b/>
                        <w:bCs/>
                      </w:rPr>
                    </w:pPr>
                    <w:r>
                      <w:rPr>
                        <w:rFonts w:ascii="宋体" w:hAnsi="宋体" w:cs="宋体"/>
                        <w:b/>
                        <w:bCs/>
                      </w:rPr>
                      <w:t xml:space="preserve">第 </w:t>
                    </w:r>
                    <w:r>
                      <w:rPr>
                        <w:rFonts w:ascii="宋体" w:hAnsi="宋体" w:cs="宋体"/>
                        <w:b/>
                        <w:bCs/>
                      </w:rPr>
                      <w:fldChar w:fldCharType="begin"/>
                    </w:r>
                    <w:r>
                      <w:rPr>
                        <w:rFonts w:ascii="宋体" w:hAnsi="宋体" w:cs="宋体"/>
                        <w:b/>
                        <w:bCs/>
                      </w:rPr>
                      <w:instrText xml:space="preserve"> PAGE  \* MERGEFORMAT </w:instrText>
                    </w:r>
                    <w:r>
                      <w:rPr>
                        <w:rFonts w:ascii="宋体" w:hAnsi="宋体" w:cs="宋体"/>
                        <w:b/>
                        <w:bCs/>
                      </w:rPr>
                      <w:fldChar w:fldCharType="separate"/>
                    </w:r>
                    <w:r>
                      <w:rPr>
                        <w:rFonts w:ascii="宋体" w:hAnsi="宋体" w:cs="宋体"/>
                        <w:b/>
                        <w:bCs/>
                      </w:rPr>
                      <w:t>49</w:t>
                    </w:r>
                    <w:r>
                      <w:rPr>
                        <w:rFonts w:ascii="宋体" w:hAnsi="宋体" w:cs="宋体"/>
                        <w:b/>
                        <w:bCs/>
                      </w:rPr>
                      <w:fldChar w:fldCharType="end"/>
                    </w:r>
                    <w:r>
                      <w:rPr>
                        <w:rFonts w:ascii="宋体" w:hAnsi="宋体" w:cs="宋体"/>
                        <w:b/>
                        <w:bCs/>
                      </w:rPr>
                      <w:t xml:space="preserve"> 页 共 </w:t>
                    </w:r>
                    <w:r>
                      <w:rPr>
                        <w:rFonts w:ascii="宋体" w:hAnsi="宋体" w:cs="宋体"/>
                        <w:b/>
                        <w:bCs/>
                      </w:rPr>
                      <w:fldChar w:fldCharType="begin"/>
                    </w:r>
                    <w:r>
                      <w:rPr>
                        <w:rFonts w:ascii="宋体" w:hAnsi="宋体" w:cs="宋体"/>
                        <w:b/>
                        <w:bCs/>
                      </w:rPr>
                      <w:instrText xml:space="preserve"> NUMPAGES  \* MERGEFORMAT </w:instrText>
                    </w:r>
                    <w:r>
                      <w:rPr>
                        <w:rFonts w:ascii="宋体" w:hAnsi="宋体" w:cs="宋体"/>
                        <w:b/>
                        <w:bCs/>
                      </w:rPr>
                      <w:fldChar w:fldCharType="separate"/>
                    </w:r>
                    <w:r>
                      <w:rPr>
                        <w:rFonts w:ascii="宋体" w:hAnsi="宋体" w:cs="宋体"/>
                        <w:b/>
                        <w:bCs/>
                      </w:rPr>
                      <w:t>61</w:t>
                    </w:r>
                    <w:r>
                      <w:rPr>
                        <w:rFonts w:ascii="宋体" w:hAnsi="宋体" w:cs="宋体"/>
                        <w:b/>
                        <w:bCs/>
                      </w:rPr>
                      <w:fldChar w:fldCharType="end"/>
                    </w:r>
                    <w:r>
                      <w:rPr>
                        <w:rFonts w:ascii="宋体" w:hAnsi="宋体" w:cs="宋体"/>
                        <w:b/>
                        <w:bCs/>
                      </w:rPr>
                      <w:t xml:space="preserve"> 页</w:t>
                    </w:r>
                  </w:p>
                </w:txbxContent>
              </v:textbox>
            </v:shape>
          </w:pict>
        </mc:Fallback>
      </mc:AlternateContent>
    </w:r>
    <w:r>
      <w:rPr>
        <w:rFonts w:ascii="宋体" w:hAnsi="宋体"/>
        <w:b/>
        <w:bCs/>
        <w:i/>
        <w:iCs/>
        <w:color w:val="00B050"/>
      </w:rPr>
      <w:drawing>
        <wp:anchor distT="0" distB="0" distL="114300" distR="114300" simplePos="0" relativeHeight="251662336" behindDoc="1" locked="0" layoutInCell="1" allowOverlap="1">
          <wp:simplePos x="0" y="0"/>
          <wp:positionH relativeFrom="column">
            <wp:posOffset>8890</wp:posOffset>
          </wp:positionH>
          <wp:positionV relativeFrom="page">
            <wp:posOffset>9935845</wp:posOffset>
          </wp:positionV>
          <wp:extent cx="927735" cy="191135"/>
          <wp:effectExtent l="0" t="0" r="5715" b="18415"/>
          <wp:wrapTight wrapText="bothSides">
            <wp:wrapPolygon>
              <wp:start x="0" y="0"/>
              <wp:lineTo x="0" y="19375"/>
              <wp:lineTo x="21290" y="19375"/>
              <wp:lineTo x="21290" y="0"/>
              <wp:lineTo x="0" y="0"/>
            </wp:wrapPolygon>
          </wp:wrapTight>
          <wp:docPr id="8" name="图片 8" descr="1660788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0788654(1)"/>
                  <pic:cNvPicPr>
                    <a:picLocks noChangeAspect="1"/>
                  </pic:cNvPicPr>
                </pic:nvPicPr>
                <pic:blipFill>
                  <a:blip r:embed="rId1"/>
                  <a:stretch>
                    <a:fillRect/>
                  </a:stretch>
                </pic:blipFill>
                <pic:spPr>
                  <a:xfrm>
                    <a:off x="0" y="0"/>
                    <a:ext cx="927735" cy="191135"/>
                  </a:xfrm>
                  <a:prstGeom prst="rect">
                    <a:avLst/>
                  </a:prstGeom>
                </pic:spPr>
              </pic:pic>
            </a:graphicData>
          </a:graphic>
        </wp:anchor>
      </w:drawing>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4A402">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FFA82">
    <w:pPr>
      <w:pStyle w:val="27"/>
      <w:ind w:firstLine="361"/>
    </w:pPr>
    <w:r>
      <w:rPr>
        <w:rFonts w:ascii="宋体" w:hAnsi="宋体"/>
        <w:b/>
        <w:bCs/>
        <w:i/>
        <w:iCs/>
        <w:color w:val="00B050"/>
      </w:rPr>
      <w:drawing>
        <wp:anchor distT="0" distB="0" distL="114300" distR="114300" simplePos="0" relativeHeight="251663360" behindDoc="1" locked="0" layoutInCell="1" allowOverlap="1">
          <wp:simplePos x="0" y="0"/>
          <wp:positionH relativeFrom="column">
            <wp:posOffset>8890</wp:posOffset>
          </wp:positionH>
          <wp:positionV relativeFrom="page">
            <wp:posOffset>9935845</wp:posOffset>
          </wp:positionV>
          <wp:extent cx="927735" cy="190500"/>
          <wp:effectExtent l="0" t="0" r="5715" b="0"/>
          <wp:wrapTight wrapText="bothSides">
            <wp:wrapPolygon>
              <wp:start x="0" y="0"/>
              <wp:lineTo x="0" y="21600"/>
              <wp:lineTo x="21600" y="21600"/>
              <wp:lineTo x="21600" y="0"/>
              <wp:lineTo x="0" y="0"/>
            </wp:wrapPolygon>
          </wp:wrapTight>
          <wp:docPr id="5" name="图片 5" descr="1660788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0788654(1)"/>
                  <pic:cNvPicPr>
                    <a:picLocks noChangeAspect="1"/>
                  </pic:cNvPicPr>
                </pic:nvPicPr>
                <pic:blipFill>
                  <a:blip r:embed="rId1"/>
                  <a:stretch>
                    <a:fillRect/>
                  </a:stretch>
                </pic:blipFill>
                <pic:spPr>
                  <a:xfrm>
                    <a:off x="0" y="0"/>
                    <a:ext cx="927735" cy="190500"/>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007B5">
    <w:pPr>
      <w:pStyle w:val="27"/>
      <w:ind w:firstLine="0" w:firstLineChars="0"/>
      <w:jc w:val="both"/>
      <w:rPr>
        <w:rFonts w:hint="eastAsia" w:ascii="微软雅黑" w:hAnsi="微软雅黑" w:cs="微软雅黑"/>
        <w:b/>
        <w:bCs/>
        <w:i/>
        <w:iCs/>
        <w:color w:val="00B050"/>
      </w:rPr>
    </w:pPr>
    <w:r>
      <w:rPr>
        <w:rFonts w:ascii="宋体" w:hAnsi="宋体" w:cs="宋体"/>
        <w:b/>
        <w:bCs/>
        <w:i/>
        <w:iCs/>
        <w:color w:val="00B050"/>
      </w:rPr>
      <mc:AlternateContent>
        <mc:Choice Requires="wps">
          <w:drawing>
            <wp:anchor distT="0" distB="0" distL="114300" distR="114300" simplePos="0" relativeHeight="251659264" behindDoc="0" locked="0" layoutInCell="1" allowOverlap="1">
              <wp:simplePos x="0" y="0"/>
              <wp:positionH relativeFrom="margin">
                <wp:posOffset>2432050</wp:posOffset>
              </wp:positionH>
              <wp:positionV relativeFrom="paragraph">
                <wp:posOffset>-12065</wp:posOffset>
              </wp:positionV>
              <wp:extent cx="1323975" cy="368300"/>
              <wp:effectExtent l="0" t="0" r="0" b="0"/>
              <wp:wrapNone/>
              <wp:docPr id="1" name="Text Box 5"/>
              <wp:cNvGraphicFramePr/>
              <a:graphic xmlns:a="http://schemas.openxmlformats.org/drawingml/2006/main">
                <a:graphicData uri="http://schemas.microsoft.com/office/word/2010/wordprocessingShape">
                  <wps:wsp>
                    <wps:cNvSpPr txBox="1">
                      <a:spLocks noChangeArrowheads="1"/>
                    </wps:cNvSpPr>
                    <wps:spPr bwMode="auto">
                      <a:xfrm>
                        <a:off x="0" y="0"/>
                        <a:ext cx="1323975" cy="368300"/>
                      </a:xfrm>
                      <a:prstGeom prst="rect">
                        <a:avLst/>
                      </a:prstGeom>
                      <a:noFill/>
                      <a:ln>
                        <a:noFill/>
                      </a:ln>
                    </wps:spPr>
                    <wps:txbx>
                      <w:txbxContent>
                        <w:p w14:paraId="3E8F6737">
                          <w:pPr>
                            <w:pStyle w:val="27"/>
                            <w:ind w:firstLine="361"/>
                            <w:rPr>
                              <w:rFonts w:hint="eastAsia" w:ascii="宋体" w:hAnsi="宋体" w:cs="宋体"/>
                              <w:b/>
                              <w:bCs/>
                            </w:rPr>
                          </w:pPr>
                          <w:r>
                            <w:rPr>
                              <w:rFonts w:ascii="宋体" w:hAnsi="宋体" w:cs="宋体"/>
                              <w:b/>
                              <w:bCs/>
                            </w:rPr>
                            <w:t xml:space="preserve">第 </w:t>
                          </w:r>
                          <w:r>
                            <w:rPr>
                              <w:rFonts w:ascii="宋体" w:hAnsi="宋体" w:cs="宋体"/>
                              <w:b/>
                              <w:bCs/>
                            </w:rPr>
                            <w:fldChar w:fldCharType="begin"/>
                          </w:r>
                          <w:r>
                            <w:rPr>
                              <w:rFonts w:ascii="宋体" w:hAnsi="宋体" w:cs="宋体"/>
                              <w:b/>
                              <w:bCs/>
                            </w:rPr>
                            <w:instrText xml:space="preserve"> PAGE  \* MERGEFORMAT </w:instrText>
                          </w:r>
                          <w:r>
                            <w:rPr>
                              <w:rFonts w:ascii="宋体" w:hAnsi="宋体" w:cs="宋体"/>
                              <w:b/>
                              <w:bCs/>
                            </w:rPr>
                            <w:fldChar w:fldCharType="separate"/>
                          </w:r>
                          <w:r>
                            <w:rPr>
                              <w:rFonts w:ascii="宋体" w:hAnsi="宋体" w:cs="宋体"/>
                              <w:b/>
                              <w:bCs/>
                            </w:rPr>
                            <w:t>1</w:t>
                          </w:r>
                          <w:r>
                            <w:rPr>
                              <w:rFonts w:ascii="宋体" w:hAnsi="宋体" w:cs="宋体"/>
                              <w:b/>
                              <w:bCs/>
                            </w:rPr>
                            <w:fldChar w:fldCharType="end"/>
                          </w:r>
                          <w:r>
                            <w:rPr>
                              <w:rFonts w:ascii="宋体" w:hAnsi="宋体" w:cs="宋体"/>
                              <w:b/>
                              <w:bCs/>
                            </w:rPr>
                            <w:t xml:space="preserve"> 页 共 </w:t>
                          </w:r>
                          <w:r>
                            <w:rPr>
                              <w:rFonts w:ascii="宋体" w:hAnsi="宋体" w:cs="宋体"/>
                              <w:b/>
                              <w:bCs/>
                            </w:rPr>
                            <w:fldChar w:fldCharType="begin"/>
                          </w:r>
                          <w:r>
                            <w:rPr>
                              <w:rFonts w:ascii="宋体" w:hAnsi="宋体" w:cs="宋体"/>
                              <w:b/>
                              <w:bCs/>
                            </w:rPr>
                            <w:instrText xml:space="preserve"> NUMPAGES  \* MERGEFORMAT </w:instrText>
                          </w:r>
                          <w:r>
                            <w:rPr>
                              <w:rFonts w:ascii="宋体" w:hAnsi="宋体" w:cs="宋体"/>
                              <w:b/>
                              <w:bCs/>
                            </w:rPr>
                            <w:fldChar w:fldCharType="separate"/>
                          </w:r>
                          <w:r>
                            <w:rPr>
                              <w:rFonts w:ascii="宋体" w:hAnsi="宋体" w:cs="宋体"/>
                              <w:b/>
                              <w:bCs/>
                            </w:rPr>
                            <w:t>61</w:t>
                          </w:r>
                          <w:r>
                            <w:rPr>
                              <w:rFonts w:ascii="宋体" w:hAnsi="宋体" w:cs="宋体"/>
                              <w:b/>
                              <w:bCs/>
                            </w:rPr>
                            <w:fldChar w:fldCharType="end"/>
                          </w:r>
                          <w:r>
                            <w:rPr>
                              <w:rFonts w:ascii="宋体" w:hAnsi="宋体" w:cs="宋体"/>
                              <w:b/>
                              <w:bCs/>
                            </w:rPr>
                            <w:t xml:space="preserve"> 页</w:t>
                          </w:r>
                        </w:p>
                      </w:txbxContent>
                    </wps:txbx>
                    <wps:bodyPr rot="0" vert="horz" wrap="square" lIns="0" tIns="0" rIns="0" bIns="0" anchor="t" anchorCtr="0" upright="1">
                      <a:noAutofit/>
                    </wps:bodyPr>
                  </wps:wsp>
                </a:graphicData>
              </a:graphic>
            </wp:anchor>
          </w:drawing>
        </mc:Choice>
        <mc:Fallback>
          <w:pict>
            <v:shape id="Text Box 5" o:spid="_x0000_s1026" o:spt="202" type="#_x0000_t202" style="position:absolute;left:0pt;margin-left:191.5pt;margin-top:-0.95pt;height:29pt;width:104.25pt;mso-position-horizontal-relative:margin;z-index:251659264;mso-width-relative:page;mso-height-relative:page;" filled="f" stroked="f" coordsize="21600,21600" o:gfxdata="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Brw/dkAAAAJAQAADwAAAAAAAAABACAAAAAiAAAAZHJzL2Rvd25y&#10;ZXYueG1sUEsBAhQAFAAAAAgAh07iQLoSEqr9AQAABAQAAA4AAAAAAAAAAQAgAAAAKAEAAGRycy9l&#10;Mm9Eb2MueG1sUEsFBgAAAAAGAAYAWQEAAJcFAAAAAA==&#10;">
              <v:fill on="f" focussize="0,0"/>
              <v:stroke on="f"/>
              <v:imagedata o:title=""/>
              <o:lock v:ext="edit" aspectratio="f"/>
              <v:textbox inset="0mm,0mm,0mm,0mm">
                <w:txbxContent>
                  <w:p w14:paraId="3E8F6737">
                    <w:pPr>
                      <w:pStyle w:val="27"/>
                      <w:ind w:firstLine="361"/>
                      <w:rPr>
                        <w:rFonts w:hint="eastAsia" w:ascii="宋体" w:hAnsi="宋体" w:cs="宋体"/>
                        <w:b/>
                        <w:bCs/>
                      </w:rPr>
                    </w:pPr>
                    <w:r>
                      <w:rPr>
                        <w:rFonts w:ascii="宋体" w:hAnsi="宋体" w:cs="宋体"/>
                        <w:b/>
                        <w:bCs/>
                      </w:rPr>
                      <w:t xml:space="preserve">第 </w:t>
                    </w:r>
                    <w:r>
                      <w:rPr>
                        <w:rFonts w:ascii="宋体" w:hAnsi="宋体" w:cs="宋体"/>
                        <w:b/>
                        <w:bCs/>
                      </w:rPr>
                      <w:fldChar w:fldCharType="begin"/>
                    </w:r>
                    <w:r>
                      <w:rPr>
                        <w:rFonts w:ascii="宋体" w:hAnsi="宋体" w:cs="宋体"/>
                        <w:b/>
                        <w:bCs/>
                      </w:rPr>
                      <w:instrText xml:space="preserve"> PAGE  \* MERGEFORMAT </w:instrText>
                    </w:r>
                    <w:r>
                      <w:rPr>
                        <w:rFonts w:ascii="宋体" w:hAnsi="宋体" w:cs="宋体"/>
                        <w:b/>
                        <w:bCs/>
                      </w:rPr>
                      <w:fldChar w:fldCharType="separate"/>
                    </w:r>
                    <w:r>
                      <w:rPr>
                        <w:rFonts w:ascii="宋体" w:hAnsi="宋体" w:cs="宋体"/>
                        <w:b/>
                        <w:bCs/>
                      </w:rPr>
                      <w:t>1</w:t>
                    </w:r>
                    <w:r>
                      <w:rPr>
                        <w:rFonts w:ascii="宋体" w:hAnsi="宋体" w:cs="宋体"/>
                        <w:b/>
                        <w:bCs/>
                      </w:rPr>
                      <w:fldChar w:fldCharType="end"/>
                    </w:r>
                    <w:r>
                      <w:rPr>
                        <w:rFonts w:ascii="宋体" w:hAnsi="宋体" w:cs="宋体"/>
                        <w:b/>
                        <w:bCs/>
                      </w:rPr>
                      <w:t xml:space="preserve"> 页 共 </w:t>
                    </w:r>
                    <w:r>
                      <w:rPr>
                        <w:rFonts w:ascii="宋体" w:hAnsi="宋体" w:cs="宋体"/>
                        <w:b/>
                        <w:bCs/>
                      </w:rPr>
                      <w:fldChar w:fldCharType="begin"/>
                    </w:r>
                    <w:r>
                      <w:rPr>
                        <w:rFonts w:ascii="宋体" w:hAnsi="宋体" w:cs="宋体"/>
                        <w:b/>
                        <w:bCs/>
                      </w:rPr>
                      <w:instrText xml:space="preserve"> NUMPAGES  \* MERGEFORMAT </w:instrText>
                    </w:r>
                    <w:r>
                      <w:rPr>
                        <w:rFonts w:ascii="宋体" w:hAnsi="宋体" w:cs="宋体"/>
                        <w:b/>
                        <w:bCs/>
                      </w:rPr>
                      <w:fldChar w:fldCharType="separate"/>
                    </w:r>
                    <w:r>
                      <w:rPr>
                        <w:rFonts w:ascii="宋体" w:hAnsi="宋体" w:cs="宋体"/>
                        <w:b/>
                        <w:bCs/>
                      </w:rPr>
                      <w:t>61</w:t>
                    </w:r>
                    <w:r>
                      <w:rPr>
                        <w:rFonts w:ascii="宋体" w:hAnsi="宋体" w:cs="宋体"/>
                        <w:b/>
                        <w:bCs/>
                      </w:rPr>
                      <w:fldChar w:fldCharType="end"/>
                    </w:r>
                    <w:r>
                      <w:rPr>
                        <w:rFonts w:ascii="宋体" w:hAnsi="宋体" w:cs="宋体"/>
                        <w:b/>
                        <w:bCs/>
                      </w:rPr>
                      <w:t xml:space="preserve"> 页</w:t>
                    </w:r>
                  </w:p>
                </w:txbxContent>
              </v:textbox>
            </v:shape>
          </w:pict>
        </mc:Fallback>
      </mc:AlternateContent>
    </w:r>
    <w:r>
      <w:rPr>
        <w:rFonts w:ascii="宋体" w:hAnsi="宋体"/>
        <w:b/>
        <w:bCs/>
        <w:i/>
        <w:iCs/>
        <w:color w:val="00B050"/>
      </w:rPr>
      <w:drawing>
        <wp:anchor distT="0" distB="0" distL="114300" distR="114300" simplePos="0" relativeHeight="251660288" behindDoc="1" locked="0" layoutInCell="1" allowOverlap="1">
          <wp:simplePos x="0" y="0"/>
          <wp:positionH relativeFrom="column">
            <wp:posOffset>34290</wp:posOffset>
          </wp:positionH>
          <wp:positionV relativeFrom="page">
            <wp:posOffset>9953625</wp:posOffset>
          </wp:positionV>
          <wp:extent cx="927735" cy="159385"/>
          <wp:effectExtent l="0" t="0" r="5715" b="12065"/>
          <wp:wrapTight wrapText="bothSides">
            <wp:wrapPolygon>
              <wp:start x="0" y="0"/>
              <wp:lineTo x="0" y="18674"/>
              <wp:lineTo x="21290" y="18674"/>
              <wp:lineTo x="21290" y="0"/>
              <wp:lineTo x="0" y="0"/>
            </wp:wrapPolygon>
          </wp:wrapTight>
          <wp:docPr id="3" name="图片 3" descr="1660788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0788654(1)"/>
                  <pic:cNvPicPr>
                    <a:picLocks noChangeAspect="1"/>
                  </pic:cNvPicPr>
                </pic:nvPicPr>
                <pic:blipFill>
                  <a:blip r:embed="rId1"/>
                  <a:stretch>
                    <a:fillRect/>
                  </a:stretch>
                </pic:blipFill>
                <pic:spPr>
                  <a:xfrm>
                    <a:off x="0" y="0"/>
                    <a:ext cx="927735" cy="15938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A0446">
    <w:pPr>
      <w:pStyle w:val="28"/>
      <w:pBdr>
        <w:bottom w:val="none" w:color="auto" w:sz="0" w:space="0"/>
      </w:pBdr>
      <w:ind w:firstLine="0" w:firstLineChars="0"/>
      <w:jc w:val="left"/>
    </w:pPr>
    <w:r>
      <w:rPr>
        <w:rFonts w:hint="eastAsia" w:ascii="宋体" w:hAnsi="宋体" w:cs="宋体"/>
        <w:sz w:val="15"/>
        <w:szCs w:val="15"/>
      </w:rPr>
      <w:t xml:space="preserve"> </w:t>
    </w:r>
    <w:r>
      <w:rPr>
        <w:rFonts w:hint="eastAsia" w:ascii="宋体" w:hAnsi="宋体" w:cs="宋体"/>
        <w:sz w:val="15"/>
        <w:szCs w:val="15"/>
        <w:lang w:val="zh-CN"/>
      </w:rPr>
      <w:t xml:space="preserve"> 捷马化工股份有限公司宝塔路地块风险管控项目环境监理采购项目</w:t>
    </w:r>
    <w:r>
      <w:rPr>
        <w:rFonts w:hint="eastAsia" w:ascii="宋体" w:hAnsi="宋体" w:cs="宋体"/>
        <w:sz w:val="15"/>
        <w:szCs w:val="15"/>
      </w:rPr>
      <w:t xml:space="preserve">的公开招标文件                               </w:t>
    </w:r>
    <w:r>
      <w:rPr>
        <w:rFonts w:hint="eastAsia" w:ascii="宋体" w:hAnsi="宋体" w:cs="宋体"/>
        <w:sz w:val="15"/>
        <w:szCs w:val="15"/>
        <w:lang w:val="en-US" w:eastAsia="zh-CN"/>
      </w:rPr>
      <w:t xml:space="preserve">        </w:t>
    </w:r>
    <w:r>
      <w:rPr>
        <w:rFonts w:hint="eastAsia" w:ascii="宋体" w:hAnsi="宋体" w:cs="宋体"/>
        <w:sz w:val="15"/>
        <w:szCs w:val="15"/>
      </w:rPr>
      <w:t xml:space="preserve">  </w:t>
    </w:r>
    <w:r>
      <w:rPr>
        <w:rFonts w:hint="eastAsia" w:ascii="宋体" w:hAnsi="宋体" w:cs="宋体"/>
        <w:sz w:val="15"/>
        <w:szCs w:val="15"/>
        <w:lang w:eastAsia="zh-CN"/>
      </w:rPr>
      <w:t>LYCG2025YX-014</w:t>
    </w:r>
    <w:r>
      <w:rPr>
        <w:rFonts w:hint="eastAsia" w:ascii="宋体" w:hAnsi="宋体" w:cs="宋体"/>
        <w:sz w:val="15"/>
        <w:szCs w:val="15"/>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309B8">
    <w:pPr>
      <w:pStyle w:val="28"/>
      <w:ind w:firstLine="36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0A9B8">
    <w:pPr>
      <w:pStyle w:val="28"/>
      <w:pBdr>
        <w:bottom w:val="none" w:color="auto" w:sz="0" w:space="1"/>
      </w:pBdr>
      <w:ind w:firstLine="0" w:firstLineChars="0"/>
      <w:jc w:val="left"/>
    </w:pPr>
    <w:r>
      <w:rPr>
        <w:rFonts w:hint="eastAsia" w:ascii="宋体" w:hAnsi="宋体" w:cs="宋体"/>
        <w:sz w:val="15"/>
        <w:szCs w:val="15"/>
        <w:lang w:val="zh-CN"/>
      </w:rPr>
      <w:t xml:space="preserve"> 捷马化工股份有限公司宝塔路地块风险管控项目环境监理采购项目</w:t>
    </w:r>
    <w:r>
      <w:rPr>
        <w:rFonts w:hint="eastAsia" w:ascii="宋体" w:hAnsi="宋体" w:cs="宋体"/>
        <w:sz w:val="15"/>
        <w:szCs w:val="15"/>
      </w:rPr>
      <w:t xml:space="preserve">的公开招标文件            </w:t>
    </w:r>
    <w:r>
      <w:rPr>
        <w:rFonts w:hint="eastAsia" w:ascii="宋体" w:hAnsi="宋体" w:cs="宋体"/>
        <w:sz w:val="15"/>
        <w:szCs w:val="15"/>
        <w:lang w:val="en-US" w:eastAsia="zh-CN"/>
      </w:rPr>
      <w:t xml:space="preserve">                             </w:t>
    </w:r>
    <w:r>
      <w:rPr>
        <w:rFonts w:hint="eastAsia" w:ascii="宋体" w:hAnsi="宋体" w:cs="宋体"/>
        <w:sz w:val="15"/>
        <w:szCs w:val="15"/>
        <w:lang w:eastAsia="zh-CN"/>
      </w:rPr>
      <w:t>LYCG2025YX-014</w:t>
    </w:r>
    <w:r>
      <w:rPr>
        <w:rFonts w:hint="eastAsia" w:ascii="宋体" w:hAnsi="宋体" w:cs="宋体"/>
        <w:sz w:val="15"/>
        <w:szCs w:val="15"/>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8B6EA">
    <w:pPr>
      <w:pStyle w:val="28"/>
      <w:ind w:firstLine="36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FB708">
    <w:pPr>
      <w:pStyle w:val="28"/>
      <w:pBdr>
        <w:bottom w:val="none" w:color="auto" w:sz="0" w:space="1"/>
      </w:pBdr>
      <w:ind w:firstLine="0" w:firstLineChars="0"/>
      <w:jc w:val="left"/>
      <w:rPr>
        <w:rFonts w:hint="eastAsia" w:eastAsia="宋体"/>
        <w:lang w:eastAsia="zh-CN"/>
      </w:rPr>
    </w:pPr>
    <w:r>
      <w:rPr>
        <w:rFonts w:hint="eastAsia" w:ascii="宋体" w:hAnsi="宋体" w:cs="宋体"/>
        <w:sz w:val="15"/>
        <w:szCs w:val="15"/>
        <w:lang w:val="zh-CN"/>
      </w:rPr>
      <w:t xml:space="preserve"> 捷马化工股份有限公司宝塔路地块风险管控项目环境监理采购项目</w:t>
    </w:r>
    <w:r>
      <w:rPr>
        <w:rFonts w:hint="eastAsia" w:ascii="宋体" w:hAnsi="宋体" w:cs="宋体"/>
        <w:sz w:val="15"/>
        <w:szCs w:val="15"/>
      </w:rPr>
      <w:t xml:space="preserve">的公开招标文件                              </w:t>
    </w:r>
    <w:r>
      <w:rPr>
        <w:rFonts w:hint="eastAsia" w:ascii="宋体" w:hAnsi="宋体" w:cs="宋体"/>
        <w:sz w:val="15"/>
        <w:szCs w:val="15"/>
        <w:lang w:eastAsia="zh-CN"/>
      </w:rPr>
      <w:t>LYCG2025YX-014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EDCC4">
    <w:pPr>
      <w:pStyle w:val="28"/>
      <w:pBdr>
        <w:bottom w:val="none" w:color="auto" w:sz="0" w:space="1"/>
      </w:pBdr>
      <w:ind w:firstLine="0" w:firstLineChars="0"/>
      <w:jc w:val="left"/>
    </w:pPr>
    <w:r>
      <w:rPr>
        <w:rFonts w:hint="eastAsia" w:ascii="宋体" w:hAnsi="宋体" w:cs="宋体"/>
        <w:sz w:val="15"/>
        <w:szCs w:val="15"/>
        <w:lang w:eastAsia="zh-CN"/>
      </w:rPr>
      <w:t xml:space="preserve"> 捷马化工股份有限公司宝塔路地块风险管控项目环境监理采购项目</w:t>
    </w:r>
    <w:r>
      <w:rPr>
        <w:rFonts w:hint="eastAsia" w:ascii="宋体" w:hAnsi="宋体" w:cs="宋体"/>
        <w:sz w:val="15"/>
        <w:szCs w:val="15"/>
      </w:rPr>
      <w:t>的公开招标文件</w:t>
    </w:r>
    <w:r>
      <w:rPr>
        <w:rFonts w:hint="eastAsia" w:ascii="宋体" w:hAnsi="宋体" w:cs="宋体"/>
        <w:color w:val="FF0000"/>
        <w:sz w:val="15"/>
        <w:szCs w:val="15"/>
      </w:rPr>
      <w:t xml:space="preserve">   </w:t>
    </w:r>
    <w:r>
      <w:rPr>
        <w:rFonts w:hint="eastAsia" w:ascii="宋体" w:hAnsi="宋体" w:cs="宋体"/>
        <w:sz w:val="15"/>
        <w:szCs w:val="15"/>
      </w:rPr>
      <w:t xml:space="preserve"> </w:t>
    </w:r>
    <w:r>
      <w:rPr>
        <w:rFonts w:hint="eastAsia" w:ascii="宋体" w:hAnsi="宋体" w:cs="宋体"/>
        <w:sz w:val="15"/>
        <w:szCs w:val="15"/>
        <w:lang w:val="en-US" w:eastAsia="zh-CN"/>
      </w:rPr>
      <w:t xml:space="preserve">     </w:t>
    </w:r>
    <w:r>
      <w:rPr>
        <w:rFonts w:hint="eastAsia" w:ascii="宋体" w:hAnsi="宋体" w:cs="宋体"/>
        <w:sz w:val="15"/>
        <w:szCs w:val="15"/>
      </w:rPr>
      <w:t xml:space="preserve">                       </w:t>
    </w:r>
    <w:r>
      <w:rPr>
        <w:rFonts w:hint="eastAsia" w:ascii="宋体" w:hAnsi="宋体" w:cs="宋体"/>
        <w:sz w:val="15"/>
        <w:szCs w:val="15"/>
        <w:lang w:val="en-US" w:eastAsia="zh-CN"/>
      </w:rPr>
      <w:t xml:space="preserve">       </w:t>
    </w:r>
    <w:r>
      <w:rPr>
        <w:rFonts w:hint="eastAsia" w:ascii="宋体" w:hAnsi="宋体" w:cs="宋体"/>
        <w:sz w:val="15"/>
        <w:szCs w:val="15"/>
      </w:rPr>
      <w:t xml:space="preserve">   </w:t>
    </w:r>
    <w:r>
      <w:rPr>
        <w:rFonts w:hint="eastAsia" w:ascii="宋体" w:hAnsi="宋体" w:cs="宋体"/>
        <w:sz w:val="15"/>
        <w:szCs w:val="15"/>
        <w:lang w:eastAsia="zh-CN"/>
      </w:rPr>
      <w:t>LYCG2025YX-014</w:t>
    </w:r>
    <w:r>
      <w:rPr>
        <w:rFonts w:hint="eastAsia" w:ascii="宋体" w:hAnsi="宋体" w:cs="宋体"/>
        <w:sz w:val="15"/>
        <w:szCs w:val="15"/>
      </w:rPr>
      <w:t xml:space="preserve"> </w:t>
    </w:r>
    <w:r>
      <w:rPr>
        <w:rFonts w:hint="eastAsia" w:ascii="宋体" w:hAnsi="宋体" w:cs="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E8E9C"/>
    <w:multiLevelType w:val="singleLevel"/>
    <w:tmpl w:val="942E8E9C"/>
    <w:lvl w:ilvl="0" w:tentative="0">
      <w:start w:val="1"/>
      <w:numFmt w:val="decimal"/>
      <w:suff w:val="nothing"/>
      <w:lvlText w:val="%1．"/>
      <w:lvlJc w:val="left"/>
      <w:pPr>
        <w:ind w:left="83" w:firstLine="397"/>
      </w:pPr>
      <w:rPr>
        <w:rFonts w:hint="default" w:ascii="宋体" w:hAnsi="宋体" w:eastAsia="宋体" w:cs="宋体"/>
        <w:b/>
        <w:bCs/>
      </w:rPr>
    </w:lvl>
  </w:abstractNum>
  <w:abstractNum w:abstractNumId="1">
    <w:nsid w:val="AD2A8FEE"/>
    <w:multiLevelType w:val="singleLevel"/>
    <w:tmpl w:val="AD2A8FEE"/>
    <w:lvl w:ilvl="0" w:tentative="0">
      <w:start w:val="3"/>
      <w:numFmt w:val="chineseCounting"/>
      <w:suff w:val="space"/>
      <w:lvlText w:val="第%1章"/>
      <w:lvlJc w:val="left"/>
      <w:rPr>
        <w:rFonts w:hint="eastAsia"/>
      </w:rPr>
    </w:lvl>
  </w:abstractNum>
  <w:abstractNum w:abstractNumId="2">
    <w:nsid w:val="DB5FE334"/>
    <w:multiLevelType w:val="multilevel"/>
    <w:tmpl w:val="DB5FE334"/>
    <w:lvl w:ilvl="0" w:tentative="0">
      <w:start w:val="1"/>
      <w:numFmt w:val="chineseCounting"/>
      <w:pStyle w:val="2"/>
      <w:suff w:val="nothing"/>
      <w:lvlText w:val="第%1章 "/>
      <w:lvlJc w:val="left"/>
      <w:pPr>
        <w:ind w:left="0" w:hanging="432"/>
      </w:pPr>
      <w:rPr>
        <w:rFonts w:hint="eastAsia"/>
      </w:rPr>
    </w:lvl>
    <w:lvl w:ilvl="1" w:tentative="0">
      <w:start w:val="1"/>
      <w:numFmt w:val="decimal"/>
      <w:pStyle w:val="3"/>
      <w:isLgl/>
      <w:lvlText w:val="%1.%2."/>
      <w:lvlJc w:val="left"/>
      <w:pPr>
        <w:ind w:left="2078"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379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abstractNum w:abstractNumId="3">
    <w:nsid w:val="DDB8CC5A"/>
    <w:multiLevelType w:val="singleLevel"/>
    <w:tmpl w:val="DDB8CC5A"/>
    <w:lvl w:ilvl="0" w:tentative="0">
      <w:start w:val="1"/>
      <w:numFmt w:val="decimal"/>
      <w:lvlText w:val="%1."/>
      <w:lvlJc w:val="left"/>
      <w:pPr>
        <w:tabs>
          <w:tab w:val="left" w:pos="312"/>
        </w:tabs>
      </w:pPr>
    </w:lvl>
  </w:abstractNum>
  <w:abstractNum w:abstractNumId="4">
    <w:nsid w:val="F3F29C65"/>
    <w:multiLevelType w:val="singleLevel"/>
    <w:tmpl w:val="F3F29C65"/>
    <w:lvl w:ilvl="0" w:tentative="0">
      <w:start w:val="1"/>
      <w:numFmt w:val="decimal"/>
      <w:lvlText w:val="%1."/>
      <w:lvlJc w:val="left"/>
      <w:pPr>
        <w:tabs>
          <w:tab w:val="left" w:pos="312"/>
        </w:tabs>
        <w:ind w:left="825" w:firstLine="0"/>
      </w:pPr>
    </w:lvl>
  </w:abstractNum>
  <w:abstractNum w:abstractNumId="5">
    <w:nsid w:val="00000003"/>
    <w:multiLevelType w:val="multilevel"/>
    <w:tmpl w:val="00000003"/>
    <w:lvl w:ilvl="0" w:tentative="0">
      <w:start w:val="1"/>
      <w:numFmt w:val="decimal"/>
      <w:suff w:val="nothing"/>
      <w:lvlText w:val="%1."/>
      <w:lvlJc w:val="left"/>
      <w:pPr>
        <w:tabs>
          <w:tab w:val="left" w:pos="0"/>
        </w:tabs>
        <w:ind w:left="425" w:hanging="425"/>
      </w:pPr>
      <w:rPr>
        <w:rFonts w:hint="default" w:ascii="宋体" w:hAnsi="宋体" w:eastAsia="宋体" w:cs="宋体"/>
      </w:rPr>
    </w:lvl>
    <w:lvl w:ilvl="1" w:tentative="0">
      <w:start w:val="1"/>
      <w:numFmt w:val="decimal"/>
      <w:suff w:val="nothing"/>
      <w:lvlText w:val="%1.%2."/>
      <w:lvlJc w:val="left"/>
      <w:pPr>
        <w:tabs>
          <w:tab w:val="left" w:pos="420"/>
        </w:tabs>
        <w:ind w:left="567" w:hanging="567"/>
      </w:pPr>
      <w:rPr>
        <w:rFonts w:hint="default" w:ascii="黑体" w:hAnsi="黑体"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6">
    <w:nsid w:val="0000001C"/>
    <w:multiLevelType w:val="multilevel"/>
    <w:tmpl w:val="0000001C"/>
    <w:lvl w:ilvl="0" w:tentative="0">
      <w:start w:val="1"/>
      <w:numFmt w:val="decimal"/>
      <w:pStyle w:val="126"/>
      <w:lvlText w:val="(%1)"/>
      <w:lvlJc w:val="left"/>
      <w:pPr>
        <w:tabs>
          <w:tab w:val="left" w:pos="750"/>
        </w:tabs>
        <w:ind w:left="750" w:hanging="270"/>
      </w:pPr>
      <w:rPr>
        <w:rFonts w:hint="default" w:ascii="宋体" w:hAnsi="宋体" w:eastAsia="宋体" w:cs="宋体"/>
      </w:rPr>
    </w:lvl>
    <w:lvl w:ilvl="1" w:tentative="0">
      <w:start w:val="1"/>
      <w:numFmt w:val="decimal"/>
      <w:suff w:val="nothing"/>
      <w:lvlText w:val="%1.%2."/>
      <w:lvlJc w:val="left"/>
      <w:pPr>
        <w:tabs>
          <w:tab w:val="left" w:pos="420"/>
        </w:tabs>
        <w:ind w:left="567" w:hanging="567"/>
      </w:pPr>
      <w:rPr>
        <w:rFonts w:hint="default" w:ascii="黑体" w:hAnsi="黑体" w:eastAsia="黑体" w:cs="黑体"/>
      </w:rPr>
    </w:lvl>
    <w:lvl w:ilvl="2" w:tentative="0">
      <w:start w:val="1"/>
      <w:numFmt w:val="decimal"/>
      <w:suff w:val="nothing"/>
      <w:lvlText w:val="%1.%2.%3."/>
      <w:lvlJc w:val="left"/>
      <w:pPr>
        <w:tabs>
          <w:tab w:val="left" w:pos="420"/>
        </w:tabs>
        <w:ind w:left="709" w:hanging="709"/>
      </w:pPr>
      <w:rPr>
        <w:rFonts w:hint="default" w:ascii="黑体" w:hAnsi="黑体" w:eastAsia="黑体" w:cs="黑体"/>
      </w:rPr>
    </w:lvl>
    <w:lvl w:ilvl="3" w:tentative="0">
      <w:start w:val="1"/>
      <w:numFmt w:val="decimal"/>
      <w:lvlText w:val="%1.%2.%3.%4."/>
      <w:lvlJc w:val="left"/>
      <w:pPr>
        <w:tabs>
          <w:tab w:val="left" w:pos="0"/>
        </w:tabs>
        <w:ind w:left="850" w:hanging="850"/>
      </w:pPr>
      <w:rPr>
        <w:rFonts w:hint="default"/>
      </w:rPr>
    </w:lvl>
    <w:lvl w:ilvl="4" w:tentative="0">
      <w:start w:val="1"/>
      <w:numFmt w:val="decimal"/>
      <w:lvlText w:val="%1.%2.%3.%4.%5."/>
      <w:lvlJc w:val="left"/>
      <w:pPr>
        <w:tabs>
          <w:tab w:val="left" w:pos="0"/>
        </w:tabs>
        <w:ind w:left="991" w:hanging="991"/>
      </w:pPr>
      <w:rPr>
        <w:rFonts w:hint="default"/>
      </w:rPr>
    </w:lvl>
    <w:lvl w:ilvl="5" w:tentative="0">
      <w:start w:val="1"/>
      <w:numFmt w:val="decimal"/>
      <w:lvlText w:val="%1.%2.%3.%4.%5.%6."/>
      <w:lvlJc w:val="left"/>
      <w:pPr>
        <w:tabs>
          <w:tab w:val="left" w:pos="0"/>
        </w:tabs>
        <w:ind w:left="1134" w:hanging="1134"/>
      </w:pPr>
      <w:rPr>
        <w:rFonts w:hint="default"/>
      </w:rPr>
    </w:lvl>
    <w:lvl w:ilvl="6" w:tentative="0">
      <w:start w:val="1"/>
      <w:numFmt w:val="decimal"/>
      <w:lvlText w:val="%1.%2.%3.%4.%5.%6.%7."/>
      <w:lvlJc w:val="left"/>
      <w:pPr>
        <w:tabs>
          <w:tab w:val="left" w:pos="0"/>
        </w:tabs>
        <w:ind w:left="1275" w:hanging="1275"/>
      </w:pPr>
      <w:rPr>
        <w:rFonts w:hint="default"/>
      </w:rPr>
    </w:lvl>
    <w:lvl w:ilvl="7" w:tentative="0">
      <w:start w:val="1"/>
      <w:numFmt w:val="decimal"/>
      <w:lvlText w:val="%1.%2.%3.%4.%5.%6.%7.%8."/>
      <w:lvlJc w:val="left"/>
      <w:pPr>
        <w:tabs>
          <w:tab w:val="left" w:pos="0"/>
        </w:tabs>
        <w:ind w:left="1418" w:hanging="1418"/>
      </w:pPr>
      <w:rPr>
        <w:rFonts w:hint="default"/>
      </w:rPr>
    </w:lvl>
    <w:lvl w:ilvl="8" w:tentative="0">
      <w:start w:val="1"/>
      <w:numFmt w:val="decimal"/>
      <w:lvlText w:val="%1.%2.%3.%4.%5.%6.%7.%8.%9."/>
      <w:lvlJc w:val="left"/>
      <w:pPr>
        <w:tabs>
          <w:tab w:val="left" w:pos="0"/>
        </w:tabs>
        <w:ind w:left="1558" w:hanging="1558"/>
      </w:pPr>
      <w:rPr>
        <w:rFonts w:hint="default"/>
      </w:rPr>
    </w:lvl>
  </w:abstractNum>
  <w:abstractNum w:abstractNumId="7">
    <w:nsid w:val="47F53821"/>
    <w:multiLevelType w:val="multilevel"/>
    <w:tmpl w:val="47F53821"/>
    <w:lvl w:ilvl="0" w:tentative="0">
      <w:start w:val="3"/>
      <w:numFmt w:val="chineseCountingThousand"/>
      <w:suff w:val="space"/>
      <w:lvlText w:val="%1"/>
      <w:lvlJc w:val="left"/>
      <w:pPr>
        <w:tabs>
          <w:tab w:val="left" w:pos="0"/>
        </w:tabs>
        <w:ind w:left="425" w:firstLine="142"/>
      </w:pPr>
      <w:rPr>
        <w:rFonts w:hint="eastAsia" w:cs="Times New Roman"/>
      </w:rPr>
    </w:lvl>
    <w:lvl w:ilvl="1" w:tentative="0">
      <w:start w:val="9"/>
      <w:numFmt w:val="decimal"/>
      <w:suff w:val="space"/>
      <w:lvlText w:val="%2."/>
      <w:lvlJc w:val="left"/>
      <w:pPr>
        <w:tabs>
          <w:tab w:val="left" w:pos="0"/>
        </w:tabs>
        <w:ind w:left="0" w:firstLine="567"/>
      </w:pPr>
      <w:rPr>
        <w:rFonts w:hint="eastAsia" w:cs="Times New Roman"/>
        <w:b w:val="0"/>
        <w:i w:val="0"/>
      </w:rPr>
    </w:lvl>
    <w:lvl w:ilvl="2" w:tentative="0">
      <w:start w:val="1"/>
      <w:numFmt w:val="decimal"/>
      <w:suff w:val="nothing"/>
      <w:lvlText w:val="%2.%3"/>
      <w:lvlJc w:val="left"/>
      <w:pPr>
        <w:tabs>
          <w:tab w:val="left" w:pos="0"/>
        </w:tabs>
        <w:ind w:left="0" w:firstLine="567"/>
      </w:pPr>
      <w:rPr>
        <w:rFonts w:hint="eastAsia" w:cs="Times New Roman"/>
      </w:rPr>
    </w:lvl>
    <w:lvl w:ilvl="3" w:tentative="0">
      <w:start w:val="1"/>
      <w:numFmt w:val="decimal"/>
      <w:suff w:val="nothing"/>
      <w:lvlText w:val="%2.%3.%4"/>
      <w:lvlJc w:val="left"/>
      <w:pPr>
        <w:tabs>
          <w:tab w:val="left" w:pos="0"/>
        </w:tabs>
        <w:ind w:left="63" w:firstLine="567"/>
      </w:pPr>
      <w:rPr>
        <w:rFonts w:hint="default"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8">
    <w:nsid w:val="594B9240"/>
    <w:multiLevelType w:val="singleLevel"/>
    <w:tmpl w:val="594B9240"/>
    <w:lvl w:ilvl="0" w:tentative="0">
      <w:start w:val="1"/>
      <w:numFmt w:val="decimal"/>
      <w:suff w:val="nothing"/>
      <w:lvlText w:val="(%1)"/>
      <w:lvlJc w:val="left"/>
      <w:pPr>
        <w:tabs>
          <w:tab w:val="left" w:pos="397"/>
        </w:tabs>
        <w:ind w:left="454" w:hanging="454"/>
      </w:pPr>
      <w:rPr>
        <w:rFonts w:hint="default" w:ascii="黑体" w:hAnsi="黑体" w:eastAsia="黑体" w:cs="黑体"/>
      </w:rPr>
    </w:lvl>
  </w:abstractNum>
  <w:num w:numId="1">
    <w:abstractNumId w:val="2"/>
  </w:num>
  <w:num w:numId="2">
    <w:abstractNumId w:val="6"/>
  </w:num>
  <w:num w:numId="3">
    <w:abstractNumId w:val="4"/>
  </w:num>
  <w:num w:numId="4">
    <w:abstractNumId w:val="0"/>
  </w:num>
  <w:num w:numId="5">
    <w:abstractNumId w:val="7"/>
  </w:num>
  <w:num w:numId="6">
    <w:abstractNumId w:val="8"/>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NhZDBhZDQ5ZWM5NWUzMTM3YzBlMGYyYzM4ZDhlOTYifQ=="/>
  </w:docVars>
  <w:rsids>
    <w:rsidRoot w:val="00172A27"/>
    <w:rsid w:val="00001B86"/>
    <w:rsid w:val="0001574A"/>
    <w:rsid w:val="00030CA1"/>
    <w:rsid w:val="000677E8"/>
    <w:rsid w:val="000720FD"/>
    <w:rsid w:val="00075658"/>
    <w:rsid w:val="00087E9B"/>
    <w:rsid w:val="000919D5"/>
    <w:rsid w:val="00095BB3"/>
    <w:rsid w:val="000B12C4"/>
    <w:rsid w:val="000B4D49"/>
    <w:rsid w:val="000C1FF9"/>
    <w:rsid w:val="000E6CB8"/>
    <w:rsid w:val="000F4724"/>
    <w:rsid w:val="000F6652"/>
    <w:rsid w:val="00110020"/>
    <w:rsid w:val="001135EF"/>
    <w:rsid w:val="00131DED"/>
    <w:rsid w:val="00134482"/>
    <w:rsid w:val="0014486E"/>
    <w:rsid w:val="00160C00"/>
    <w:rsid w:val="00166B83"/>
    <w:rsid w:val="00172A27"/>
    <w:rsid w:val="00174D1F"/>
    <w:rsid w:val="001825B1"/>
    <w:rsid w:val="001B43B8"/>
    <w:rsid w:val="001B669C"/>
    <w:rsid w:val="001D2A2C"/>
    <w:rsid w:val="001D3AC9"/>
    <w:rsid w:val="001E3818"/>
    <w:rsid w:val="0023244A"/>
    <w:rsid w:val="00237181"/>
    <w:rsid w:val="00242C70"/>
    <w:rsid w:val="00250784"/>
    <w:rsid w:val="00251B20"/>
    <w:rsid w:val="00264E69"/>
    <w:rsid w:val="00280EB2"/>
    <w:rsid w:val="00291118"/>
    <w:rsid w:val="002B5669"/>
    <w:rsid w:val="002C2150"/>
    <w:rsid w:val="002C296C"/>
    <w:rsid w:val="002C6DBF"/>
    <w:rsid w:val="002D0CD7"/>
    <w:rsid w:val="002D0E14"/>
    <w:rsid w:val="003206DB"/>
    <w:rsid w:val="00321511"/>
    <w:rsid w:val="0034086A"/>
    <w:rsid w:val="003532FE"/>
    <w:rsid w:val="00356D83"/>
    <w:rsid w:val="0036392B"/>
    <w:rsid w:val="003661AC"/>
    <w:rsid w:val="00372743"/>
    <w:rsid w:val="00377076"/>
    <w:rsid w:val="00393AC1"/>
    <w:rsid w:val="003A1C52"/>
    <w:rsid w:val="003D28DF"/>
    <w:rsid w:val="003E3AC5"/>
    <w:rsid w:val="003F163D"/>
    <w:rsid w:val="003F28D5"/>
    <w:rsid w:val="004256CC"/>
    <w:rsid w:val="00442E9B"/>
    <w:rsid w:val="00456C36"/>
    <w:rsid w:val="00464A79"/>
    <w:rsid w:val="004827F1"/>
    <w:rsid w:val="004A6B6E"/>
    <w:rsid w:val="004B29DF"/>
    <w:rsid w:val="004C0A9D"/>
    <w:rsid w:val="004C1068"/>
    <w:rsid w:val="004D68B1"/>
    <w:rsid w:val="004D6CFA"/>
    <w:rsid w:val="004E2821"/>
    <w:rsid w:val="0050444F"/>
    <w:rsid w:val="005067AA"/>
    <w:rsid w:val="00530FC5"/>
    <w:rsid w:val="005346EE"/>
    <w:rsid w:val="00570865"/>
    <w:rsid w:val="00585E51"/>
    <w:rsid w:val="005A5587"/>
    <w:rsid w:val="005A66C9"/>
    <w:rsid w:val="005C6ADC"/>
    <w:rsid w:val="005D65F3"/>
    <w:rsid w:val="006257EE"/>
    <w:rsid w:val="00637F97"/>
    <w:rsid w:val="00641561"/>
    <w:rsid w:val="00656C7F"/>
    <w:rsid w:val="00681239"/>
    <w:rsid w:val="00682233"/>
    <w:rsid w:val="00687FD5"/>
    <w:rsid w:val="00691733"/>
    <w:rsid w:val="00695207"/>
    <w:rsid w:val="006D0E96"/>
    <w:rsid w:val="006D2E0A"/>
    <w:rsid w:val="006D5C1D"/>
    <w:rsid w:val="006F1760"/>
    <w:rsid w:val="006F7D98"/>
    <w:rsid w:val="00712D43"/>
    <w:rsid w:val="007170A5"/>
    <w:rsid w:val="00720531"/>
    <w:rsid w:val="007271D6"/>
    <w:rsid w:val="00732090"/>
    <w:rsid w:val="00741652"/>
    <w:rsid w:val="00741A6D"/>
    <w:rsid w:val="00745A51"/>
    <w:rsid w:val="00771A04"/>
    <w:rsid w:val="00794D0F"/>
    <w:rsid w:val="007A3406"/>
    <w:rsid w:val="007A53BE"/>
    <w:rsid w:val="007A7EC2"/>
    <w:rsid w:val="007B5D5A"/>
    <w:rsid w:val="007B6021"/>
    <w:rsid w:val="007D6C87"/>
    <w:rsid w:val="007E7C77"/>
    <w:rsid w:val="0081086A"/>
    <w:rsid w:val="00826550"/>
    <w:rsid w:val="00826647"/>
    <w:rsid w:val="008332A0"/>
    <w:rsid w:val="008A56F1"/>
    <w:rsid w:val="008A7D2D"/>
    <w:rsid w:val="008B1210"/>
    <w:rsid w:val="008F1686"/>
    <w:rsid w:val="00911744"/>
    <w:rsid w:val="00917F96"/>
    <w:rsid w:val="009301A9"/>
    <w:rsid w:val="00951D06"/>
    <w:rsid w:val="0095235D"/>
    <w:rsid w:val="00954876"/>
    <w:rsid w:val="00960603"/>
    <w:rsid w:val="00961809"/>
    <w:rsid w:val="009722FA"/>
    <w:rsid w:val="0099154C"/>
    <w:rsid w:val="009E7C52"/>
    <w:rsid w:val="009F1C84"/>
    <w:rsid w:val="00A04C1C"/>
    <w:rsid w:val="00A076A2"/>
    <w:rsid w:val="00A17AD8"/>
    <w:rsid w:val="00A37ED3"/>
    <w:rsid w:val="00A51BEB"/>
    <w:rsid w:val="00A73D7D"/>
    <w:rsid w:val="00A9539D"/>
    <w:rsid w:val="00AD217A"/>
    <w:rsid w:val="00AE043D"/>
    <w:rsid w:val="00B23941"/>
    <w:rsid w:val="00B25D5D"/>
    <w:rsid w:val="00B34E87"/>
    <w:rsid w:val="00B41252"/>
    <w:rsid w:val="00B451B3"/>
    <w:rsid w:val="00B61F45"/>
    <w:rsid w:val="00B9055E"/>
    <w:rsid w:val="00BA4C66"/>
    <w:rsid w:val="00C05CBB"/>
    <w:rsid w:val="00C25FE8"/>
    <w:rsid w:val="00C324D2"/>
    <w:rsid w:val="00C358F9"/>
    <w:rsid w:val="00C41BE3"/>
    <w:rsid w:val="00C5771C"/>
    <w:rsid w:val="00C65E39"/>
    <w:rsid w:val="00C77BA6"/>
    <w:rsid w:val="00C85511"/>
    <w:rsid w:val="00C95363"/>
    <w:rsid w:val="00D047D9"/>
    <w:rsid w:val="00D21566"/>
    <w:rsid w:val="00D27920"/>
    <w:rsid w:val="00D4030B"/>
    <w:rsid w:val="00D46B8D"/>
    <w:rsid w:val="00D553F0"/>
    <w:rsid w:val="00D735A6"/>
    <w:rsid w:val="00D82BEA"/>
    <w:rsid w:val="00DB32A1"/>
    <w:rsid w:val="00DC6BD3"/>
    <w:rsid w:val="00DD51F1"/>
    <w:rsid w:val="00DD5630"/>
    <w:rsid w:val="00DE3A1B"/>
    <w:rsid w:val="00DE7CE0"/>
    <w:rsid w:val="00DF0E7E"/>
    <w:rsid w:val="00DF4EE0"/>
    <w:rsid w:val="00E03919"/>
    <w:rsid w:val="00E12664"/>
    <w:rsid w:val="00E14CA4"/>
    <w:rsid w:val="00E27EAD"/>
    <w:rsid w:val="00E367D5"/>
    <w:rsid w:val="00E56C96"/>
    <w:rsid w:val="00E57A29"/>
    <w:rsid w:val="00E6702C"/>
    <w:rsid w:val="00E76D46"/>
    <w:rsid w:val="00E80E0C"/>
    <w:rsid w:val="00E92EA4"/>
    <w:rsid w:val="00EA263A"/>
    <w:rsid w:val="00EA78D6"/>
    <w:rsid w:val="00EB51E8"/>
    <w:rsid w:val="00ED68A7"/>
    <w:rsid w:val="00F05400"/>
    <w:rsid w:val="00F07B13"/>
    <w:rsid w:val="00F148F7"/>
    <w:rsid w:val="00F166FD"/>
    <w:rsid w:val="00F453C0"/>
    <w:rsid w:val="00F46DAC"/>
    <w:rsid w:val="00F8095F"/>
    <w:rsid w:val="00F85681"/>
    <w:rsid w:val="00F96F51"/>
    <w:rsid w:val="00F9798D"/>
    <w:rsid w:val="00FA7BB3"/>
    <w:rsid w:val="00FB3CEF"/>
    <w:rsid w:val="00FB62F5"/>
    <w:rsid w:val="00FC6550"/>
    <w:rsid w:val="00FE4E96"/>
    <w:rsid w:val="01023BF0"/>
    <w:rsid w:val="0103164E"/>
    <w:rsid w:val="010333FC"/>
    <w:rsid w:val="010541E0"/>
    <w:rsid w:val="010B405F"/>
    <w:rsid w:val="01141165"/>
    <w:rsid w:val="01145009"/>
    <w:rsid w:val="011E7A06"/>
    <w:rsid w:val="012045F7"/>
    <w:rsid w:val="01211AD4"/>
    <w:rsid w:val="012F6E79"/>
    <w:rsid w:val="0134060D"/>
    <w:rsid w:val="0136616B"/>
    <w:rsid w:val="01401F5A"/>
    <w:rsid w:val="014063FE"/>
    <w:rsid w:val="01457570"/>
    <w:rsid w:val="0150385C"/>
    <w:rsid w:val="015B4FE6"/>
    <w:rsid w:val="015D0C80"/>
    <w:rsid w:val="01610122"/>
    <w:rsid w:val="0167398B"/>
    <w:rsid w:val="016D4D19"/>
    <w:rsid w:val="01704002"/>
    <w:rsid w:val="01706634"/>
    <w:rsid w:val="01722330"/>
    <w:rsid w:val="01757B4B"/>
    <w:rsid w:val="017C5404"/>
    <w:rsid w:val="018620BC"/>
    <w:rsid w:val="018857CB"/>
    <w:rsid w:val="018D431C"/>
    <w:rsid w:val="01906A31"/>
    <w:rsid w:val="019329D2"/>
    <w:rsid w:val="019C2519"/>
    <w:rsid w:val="01A25893"/>
    <w:rsid w:val="01A802A3"/>
    <w:rsid w:val="01AD47CF"/>
    <w:rsid w:val="01B11310"/>
    <w:rsid w:val="01C15056"/>
    <w:rsid w:val="01C2347D"/>
    <w:rsid w:val="01CD7566"/>
    <w:rsid w:val="01CF32DE"/>
    <w:rsid w:val="01D42A2B"/>
    <w:rsid w:val="01DC6F3A"/>
    <w:rsid w:val="01E176EE"/>
    <w:rsid w:val="01E42F86"/>
    <w:rsid w:val="01E72785"/>
    <w:rsid w:val="01E84AF7"/>
    <w:rsid w:val="01ED1932"/>
    <w:rsid w:val="01EE19B6"/>
    <w:rsid w:val="01F176F8"/>
    <w:rsid w:val="020B3367"/>
    <w:rsid w:val="021A0D6B"/>
    <w:rsid w:val="021C6A93"/>
    <w:rsid w:val="02300221"/>
    <w:rsid w:val="0234526F"/>
    <w:rsid w:val="023702FD"/>
    <w:rsid w:val="02385327"/>
    <w:rsid w:val="023D73FF"/>
    <w:rsid w:val="023F2212"/>
    <w:rsid w:val="02447828"/>
    <w:rsid w:val="024C71F6"/>
    <w:rsid w:val="024D47DA"/>
    <w:rsid w:val="025A0DEA"/>
    <w:rsid w:val="02632EF4"/>
    <w:rsid w:val="026B3BD5"/>
    <w:rsid w:val="02923524"/>
    <w:rsid w:val="02987B74"/>
    <w:rsid w:val="0299656C"/>
    <w:rsid w:val="02A05AD0"/>
    <w:rsid w:val="02A36C44"/>
    <w:rsid w:val="02A4249C"/>
    <w:rsid w:val="02A93B2F"/>
    <w:rsid w:val="02B96C5E"/>
    <w:rsid w:val="02C1356F"/>
    <w:rsid w:val="02C754CF"/>
    <w:rsid w:val="02CD3CC1"/>
    <w:rsid w:val="02CE3596"/>
    <w:rsid w:val="02D07463"/>
    <w:rsid w:val="02D22B2F"/>
    <w:rsid w:val="02E96323"/>
    <w:rsid w:val="02EC044F"/>
    <w:rsid w:val="02EC3DA4"/>
    <w:rsid w:val="02FC6355"/>
    <w:rsid w:val="03070FE3"/>
    <w:rsid w:val="030B2A3C"/>
    <w:rsid w:val="030F59F5"/>
    <w:rsid w:val="0311594C"/>
    <w:rsid w:val="03192AFC"/>
    <w:rsid w:val="03282B7E"/>
    <w:rsid w:val="03284B8C"/>
    <w:rsid w:val="032B0C60"/>
    <w:rsid w:val="0333397C"/>
    <w:rsid w:val="0339068B"/>
    <w:rsid w:val="033A4EFB"/>
    <w:rsid w:val="034026E5"/>
    <w:rsid w:val="03430000"/>
    <w:rsid w:val="0353648E"/>
    <w:rsid w:val="03563CB7"/>
    <w:rsid w:val="035B4572"/>
    <w:rsid w:val="035C5C24"/>
    <w:rsid w:val="03676838"/>
    <w:rsid w:val="036D12B2"/>
    <w:rsid w:val="03906A9D"/>
    <w:rsid w:val="0394658D"/>
    <w:rsid w:val="039676A9"/>
    <w:rsid w:val="039B54A3"/>
    <w:rsid w:val="03A03184"/>
    <w:rsid w:val="03A42052"/>
    <w:rsid w:val="03A61BE5"/>
    <w:rsid w:val="03AD764F"/>
    <w:rsid w:val="03B33B11"/>
    <w:rsid w:val="03BB0082"/>
    <w:rsid w:val="03BF5757"/>
    <w:rsid w:val="03C20113"/>
    <w:rsid w:val="03CB00BA"/>
    <w:rsid w:val="03CE7CF1"/>
    <w:rsid w:val="03D35307"/>
    <w:rsid w:val="03EC0177"/>
    <w:rsid w:val="03F1578E"/>
    <w:rsid w:val="03F735B2"/>
    <w:rsid w:val="03FC232D"/>
    <w:rsid w:val="04164480"/>
    <w:rsid w:val="042518DB"/>
    <w:rsid w:val="042B71C6"/>
    <w:rsid w:val="043D484D"/>
    <w:rsid w:val="043D4E77"/>
    <w:rsid w:val="044127E2"/>
    <w:rsid w:val="04531FA4"/>
    <w:rsid w:val="045A77D7"/>
    <w:rsid w:val="045D7CA1"/>
    <w:rsid w:val="045F303F"/>
    <w:rsid w:val="04855627"/>
    <w:rsid w:val="04901171"/>
    <w:rsid w:val="04936A23"/>
    <w:rsid w:val="049B4192"/>
    <w:rsid w:val="049D08B8"/>
    <w:rsid w:val="049F168E"/>
    <w:rsid w:val="04A143E4"/>
    <w:rsid w:val="04A276AB"/>
    <w:rsid w:val="04AA470E"/>
    <w:rsid w:val="04B41B16"/>
    <w:rsid w:val="04B47F34"/>
    <w:rsid w:val="04B72CCE"/>
    <w:rsid w:val="04C9495C"/>
    <w:rsid w:val="04CD7FA9"/>
    <w:rsid w:val="04DA4474"/>
    <w:rsid w:val="04E15802"/>
    <w:rsid w:val="04E90B5B"/>
    <w:rsid w:val="04F05A45"/>
    <w:rsid w:val="04F76DD4"/>
    <w:rsid w:val="04F90435"/>
    <w:rsid w:val="04FD7C2A"/>
    <w:rsid w:val="05080FE1"/>
    <w:rsid w:val="05112449"/>
    <w:rsid w:val="051712DA"/>
    <w:rsid w:val="051C1E78"/>
    <w:rsid w:val="051D78E1"/>
    <w:rsid w:val="05227E98"/>
    <w:rsid w:val="052C3B6E"/>
    <w:rsid w:val="052E77A1"/>
    <w:rsid w:val="053172CC"/>
    <w:rsid w:val="05340028"/>
    <w:rsid w:val="053D133D"/>
    <w:rsid w:val="053E1C91"/>
    <w:rsid w:val="05441FF6"/>
    <w:rsid w:val="05492F7F"/>
    <w:rsid w:val="05540C99"/>
    <w:rsid w:val="055A55B4"/>
    <w:rsid w:val="055B3C3D"/>
    <w:rsid w:val="055C36E7"/>
    <w:rsid w:val="056C0D1F"/>
    <w:rsid w:val="057234FD"/>
    <w:rsid w:val="057A17B3"/>
    <w:rsid w:val="057A4A8F"/>
    <w:rsid w:val="05827F45"/>
    <w:rsid w:val="058A5E99"/>
    <w:rsid w:val="058E5FA2"/>
    <w:rsid w:val="059648AF"/>
    <w:rsid w:val="0599432F"/>
    <w:rsid w:val="059B3313"/>
    <w:rsid w:val="059E28D3"/>
    <w:rsid w:val="05A01370"/>
    <w:rsid w:val="05A44B94"/>
    <w:rsid w:val="05AD1B88"/>
    <w:rsid w:val="05AE18D3"/>
    <w:rsid w:val="05B147D4"/>
    <w:rsid w:val="05B72A07"/>
    <w:rsid w:val="05BC7ADE"/>
    <w:rsid w:val="05BF2D2D"/>
    <w:rsid w:val="05C14C3D"/>
    <w:rsid w:val="05C8457A"/>
    <w:rsid w:val="05D52B2A"/>
    <w:rsid w:val="05E34DA7"/>
    <w:rsid w:val="05E41A4E"/>
    <w:rsid w:val="05E530D0"/>
    <w:rsid w:val="05E77162"/>
    <w:rsid w:val="05F4123A"/>
    <w:rsid w:val="05F41565"/>
    <w:rsid w:val="05F9301F"/>
    <w:rsid w:val="06094F71"/>
    <w:rsid w:val="061609DC"/>
    <w:rsid w:val="061614DB"/>
    <w:rsid w:val="061F6226"/>
    <w:rsid w:val="061F6FD3"/>
    <w:rsid w:val="06222576"/>
    <w:rsid w:val="062430A3"/>
    <w:rsid w:val="06270B33"/>
    <w:rsid w:val="062E2CC9"/>
    <w:rsid w:val="06541E3A"/>
    <w:rsid w:val="06603A00"/>
    <w:rsid w:val="0661460E"/>
    <w:rsid w:val="06614E5B"/>
    <w:rsid w:val="066849C1"/>
    <w:rsid w:val="06690716"/>
    <w:rsid w:val="06731BEF"/>
    <w:rsid w:val="06757435"/>
    <w:rsid w:val="06782196"/>
    <w:rsid w:val="067B6D2E"/>
    <w:rsid w:val="06815AFC"/>
    <w:rsid w:val="068663E4"/>
    <w:rsid w:val="068D7C64"/>
    <w:rsid w:val="06952D48"/>
    <w:rsid w:val="069B03E5"/>
    <w:rsid w:val="06A7132C"/>
    <w:rsid w:val="06B31420"/>
    <w:rsid w:val="06B50CF4"/>
    <w:rsid w:val="06BA470B"/>
    <w:rsid w:val="06BD5D71"/>
    <w:rsid w:val="06C07699"/>
    <w:rsid w:val="06D8039E"/>
    <w:rsid w:val="06DB2355"/>
    <w:rsid w:val="06DF3FC3"/>
    <w:rsid w:val="06F400A7"/>
    <w:rsid w:val="06F7212D"/>
    <w:rsid w:val="06F86E33"/>
    <w:rsid w:val="06FF4174"/>
    <w:rsid w:val="07093827"/>
    <w:rsid w:val="071C0D73"/>
    <w:rsid w:val="073F2733"/>
    <w:rsid w:val="074104B4"/>
    <w:rsid w:val="074602F4"/>
    <w:rsid w:val="074B4CEF"/>
    <w:rsid w:val="074C6649"/>
    <w:rsid w:val="074F1149"/>
    <w:rsid w:val="07511973"/>
    <w:rsid w:val="075168E0"/>
    <w:rsid w:val="075F5104"/>
    <w:rsid w:val="076A5F83"/>
    <w:rsid w:val="076F17EB"/>
    <w:rsid w:val="07723089"/>
    <w:rsid w:val="07741E75"/>
    <w:rsid w:val="07794418"/>
    <w:rsid w:val="077A5294"/>
    <w:rsid w:val="078608BC"/>
    <w:rsid w:val="078C2EA6"/>
    <w:rsid w:val="078C71BF"/>
    <w:rsid w:val="0797489E"/>
    <w:rsid w:val="07993F2A"/>
    <w:rsid w:val="079C0106"/>
    <w:rsid w:val="07A95C73"/>
    <w:rsid w:val="07AA45D1"/>
    <w:rsid w:val="07AB7DE9"/>
    <w:rsid w:val="07B214E9"/>
    <w:rsid w:val="07B60678"/>
    <w:rsid w:val="07C5140B"/>
    <w:rsid w:val="07CA4C73"/>
    <w:rsid w:val="07CF2B0E"/>
    <w:rsid w:val="07DA303C"/>
    <w:rsid w:val="07DE69F8"/>
    <w:rsid w:val="07E775D3"/>
    <w:rsid w:val="07F24573"/>
    <w:rsid w:val="07F7358F"/>
    <w:rsid w:val="07F8458B"/>
    <w:rsid w:val="07FB3286"/>
    <w:rsid w:val="08033CE1"/>
    <w:rsid w:val="08075E2A"/>
    <w:rsid w:val="080C1275"/>
    <w:rsid w:val="080D6D7E"/>
    <w:rsid w:val="080F2EBC"/>
    <w:rsid w:val="080F30D9"/>
    <w:rsid w:val="08275C22"/>
    <w:rsid w:val="08306989"/>
    <w:rsid w:val="083A2D5C"/>
    <w:rsid w:val="083E54A1"/>
    <w:rsid w:val="08406CE4"/>
    <w:rsid w:val="084B2667"/>
    <w:rsid w:val="08512AD9"/>
    <w:rsid w:val="08560F6B"/>
    <w:rsid w:val="08564759"/>
    <w:rsid w:val="085E53BC"/>
    <w:rsid w:val="0863080D"/>
    <w:rsid w:val="086F75C9"/>
    <w:rsid w:val="08722947"/>
    <w:rsid w:val="0878647D"/>
    <w:rsid w:val="08812363"/>
    <w:rsid w:val="088C71AD"/>
    <w:rsid w:val="089474E5"/>
    <w:rsid w:val="08A2174C"/>
    <w:rsid w:val="08AC4379"/>
    <w:rsid w:val="08AF79C5"/>
    <w:rsid w:val="08BA6A96"/>
    <w:rsid w:val="08C37475"/>
    <w:rsid w:val="08CC463A"/>
    <w:rsid w:val="08D06CD2"/>
    <w:rsid w:val="08DD09D6"/>
    <w:rsid w:val="08DD4532"/>
    <w:rsid w:val="08EA14B6"/>
    <w:rsid w:val="08EB1612"/>
    <w:rsid w:val="08EE3262"/>
    <w:rsid w:val="08EF5980"/>
    <w:rsid w:val="08F20C25"/>
    <w:rsid w:val="090D60CD"/>
    <w:rsid w:val="09154475"/>
    <w:rsid w:val="091F0D16"/>
    <w:rsid w:val="09377229"/>
    <w:rsid w:val="093D0405"/>
    <w:rsid w:val="09455276"/>
    <w:rsid w:val="09497839"/>
    <w:rsid w:val="09540C99"/>
    <w:rsid w:val="096F639D"/>
    <w:rsid w:val="09722120"/>
    <w:rsid w:val="09727BA4"/>
    <w:rsid w:val="097C3D4B"/>
    <w:rsid w:val="098D7D07"/>
    <w:rsid w:val="09931921"/>
    <w:rsid w:val="0994504E"/>
    <w:rsid w:val="09951BEF"/>
    <w:rsid w:val="09A6701A"/>
    <w:rsid w:val="09AF5771"/>
    <w:rsid w:val="09BE5E69"/>
    <w:rsid w:val="09C33728"/>
    <w:rsid w:val="09C46E19"/>
    <w:rsid w:val="09CC2D1E"/>
    <w:rsid w:val="09D46050"/>
    <w:rsid w:val="09DA6E2A"/>
    <w:rsid w:val="09E33DCA"/>
    <w:rsid w:val="09E5446B"/>
    <w:rsid w:val="09E702DD"/>
    <w:rsid w:val="09F7266F"/>
    <w:rsid w:val="0A067AB9"/>
    <w:rsid w:val="0A0D52EB"/>
    <w:rsid w:val="0A0F2E11"/>
    <w:rsid w:val="0A110938"/>
    <w:rsid w:val="0A242C6D"/>
    <w:rsid w:val="0A290CFF"/>
    <w:rsid w:val="0A2A5EEF"/>
    <w:rsid w:val="0A4347C8"/>
    <w:rsid w:val="0A454634"/>
    <w:rsid w:val="0A5A4272"/>
    <w:rsid w:val="0A605E9D"/>
    <w:rsid w:val="0A613063"/>
    <w:rsid w:val="0A652A31"/>
    <w:rsid w:val="0A656ED5"/>
    <w:rsid w:val="0A694687"/>
    <w:rsid w:val="0A6F38B0"/>
    <w:rsid w:val="0A723725"/>
    <w:rsid w:val="0A771892"/>
    <w:rsid w:val="0A785488"/>
    <w:rsid w:val="0A7B2E0A"/>
    <w:rsid w:val="0A80603A"/>
    <w:rsid w:val="0A8448A0"/>
    <w:rsid w:val="0A883255"/>
    <w:rsid w:val="0A8E4115"/>
    <w:rsid w:val="0A91199F"/>
    <w:rsid w:val="0A913826"/>
    <w:rsid w:val="0A914309"/>
    <w:rsid w:val="0A986B90"/>
    <w:rsid w:val="0A9B46A5"/>
    <w:rsid w:val="0A9E3062"/>
    <w:rsid w:val="0A9F0EAA"/>
    <w:rsid w:val="0A9F3102"/>
    <w:rsid w:val="0AA74DF8"/>
    <w:rsid w:val="0AAB0D8C"/>
    <w:rsid w:val="0AAC48A7"/>
    <w:rsid w:val="0ABA506A"/>
    <w:rsid w:val="0ABF0C3B"/>
    <w:rsid w:val="0AC1204C"/>
    <w:rsid w:val="0ACC6B3A"/>
    <w:rsid w:val="0AD100C7"/>
    <w:rsid w:val="0AD81455"/>
    <w:rsid w:val="0AEB73DB"/>
    <w:rsid w:val="0AEC0FF3"/>
    <w:rsid w:val="0AEC4D30"/>
    <w:rsid w:val="0AEE5CC9"/>
    <w:rsid w:val="0AEF7E7E"/>
    <w:rsid w:val="0AF26D60"/>
    <w:rsid w:val="0AF85654"/>
    <w:rsid w:val="0B00170D"/>
    <w:rsid w:val="0B0D6165"/>
    <w:rsid w:val="0B195DEC"/>
    <w:rsid w:val="0B375A37"/>
    <w:rsid w:val="0B37608B"/>
    <w:rsid w:val="0B491D94"/>
    <w:rsid w:val="0B6131F9"/>
    <w:rsid w:val="0B6B4077"/>
    <w:rsid w:val="0B6F4ED0"/>
    <w:rsid w:val="0B7D5340"/>
    <w:rsid w:val="0B87039C"/>
    <w:rsid w:val="0B976B50"/>
    <w:rsid w:val="0B9B695E"/>
    <w:rsid w:val="0BA61553"/>
    <w:rsid w:val="0BA92DF2"/>
    <w:rsid w:val="0BAB69EC"/>
    <w:rsid w:val="0BB03234"/>
    <w:rsid w:val="0BB2614A"/>
    <w:rsid w:val="0BB26C0D"/>
    <w:rsid w:val="0BCA23AB"/>
    <w:rsid w:val="0BCD11A6"/>
    <w:rsid w:val="0BD240F7"/>
    <w:rsid w:val="0BD54AC1"/>
    <w:rsid w:val="0BD56F10"/>
    <w:rsid w:val="0BDF124C"/>
    <w:rsid w:val="0BDF2CAC"/>
    <w:rsid w:val="0BE66D02"/>
    <w:rsid w:val="0BF05890"/>
    <w:rsid w:val="0BF2478A"/>
    <w:rsid w:val="0BF60CFA"/>
    <w:rsid w:val="0BF75417"/>
    <w:rsid w:val="0BF87C3C"/>
    <w:rsid w:val="0BF93A5E"/>
    <w:rsid w:val="0C075659"/>
    <w:rsid w:val="0C0A5DFC"/>
    <w:rsid w:val="0C0B048E"/>
    <w:rsid w:val="0C1F7219"/>
    <w:rsid w:val="0C2F1549"/>
    <w:rsid w:val="0C332F3F"/>
    <w:rsid w:val="0C3A0624"/>
    <w:rsid w:val="0C3A4DF1"/>
    <w:rsid w:val="0C3B7EEE"/>
    <w:rsid w:val="0C403756"/>
    <w:rsid w:val="0C4F16A1"/>
    <w:rsid w:val="0C4F67E2"/>
    <w:rsid w:val="0C522348"/>
    <w:rsid w:val="0C5516A8"/>
    <w:rsid w:val="0C61547A"/>
    <w:rsid w:val="0C654F6B"/>
    <w:rsid w:val="0C6E2563"/>
    <w:rsid w:val="0C741AD6"/>
    <w:rsid w:val="0C8B4B82"/>
    <w:rsid w:val="0C8C4C5A"/>
    <w:rsid w:val="0C9E4EF0"/>
    <w:rsid w:val="0CA84E57"/>
    <w:rsid w:val="0CB01370"/>
    <w:rsid w:val="0CB101B0"/>
    <w:rsid w:val="0CB25637"/>
    <w:rsid w:val="0CBD6B55"/>
    <w:rsid w:val="0CBF36BB"/>
    <w:rsid w:val="0CD22E44"/>
    <w:rsid w:val="0CEC743A"/>
    <w:rsid w:val="0CEE78D1"/>
    <w:rsid w:val="0CEF0CD8"/>
    <w:rsid w:val="0CF100B4"/>
    <w:rsid w:val="0CF35DAA"/>
    <w:rsid w:val="0CFD3AB8"/>
    <w:rsid w:val="0D01119E"/>
    <w:rsid w:val="0D054058"/>
    <w:rsid w:val="0D0B3AEB"/>
    <w:rsid w:val="0D0B3D64"/>
    <w:rsid w:val="0D0D6F08"/>
    <w:rsid w:val="0D1C7D1F"/>
    <w:rsid w:val="0D21323C"/>
    <w:rsid w:val="0D227363"/>
    <w:rsid w:val="0D2C5A88"/>
    <w:rsid w:val="0D2F4203"/>
    <w:rsid w:val="0D3E2F48"/>
    <w:rsid w:val="0D430FD0"/>
    <w:rsid w:val="0D440F4F"/>
    <w:rsid w:val="0D4505A4"/>
    <w:rsid w:val="0D533015"/>
    <w:rsid w:val="0D554FDF"/>
    <w:rsid w:val="0D556D8D"/>
    <w:rsid w:val="0D58062B"/>
    <w:rsid w:val="0D5A43A4"/>
    <w:rsid w:val="0D692839"/>
    <w:rsid w:val="0D6A65BF"/>
    <w:rsid w:val="0D6B5D0D"/>
    <w:rsid w:val="0D72790F"/>
    <w:rsid w:val="0D7D62E4"/>
    <w:rsid w:val="0D806089"/>
    <w:rsid w:val="0D902199"/>
    <w:rsid w:val="0D955A73"/>
    <w:rsid w:val="0D986425"/>
    <w:rsid w:val="0D995086"/>
    <w:rsid w:val="0DA3593E"/>
    <w:rsid w:val="0DA444A7"/>
    <w:rsid w:val="0DAB4895"/>
    <w:rsid w:val="0DAF2891"/>
    <w:rsid w:val="0DAF2FA5"/>
    <w:rsid w:val="0DB1664B"/>
    <w:rsid w:val="0DBD4932"/>
    <w:rsid w:val="0DC141F2"/>
    <w:rsid w:val="0DC45CC1"/>
    <w:rsid w:val="0DC51A08"/>
    <w:rsid w:val="0DCD4F6C"/>
    <w:rsid w:val="0DD02F0F"/>
    <w:rsid w:val="0DD4472D"/>
    <w:rsid w:val="0DE501A0"/>
    <w:rsid w:val="0DF27A86"/>
    <w:rsid w:val="0DF376DD"/>
    <w:rsid w:val="0E0A401C"/>
    <w:rsid w:val="0E0E45D2"/>
    <w:rsid w:val="0E19425F"/>
    <w:rsid w:val="0E237841"/>
    <w:rsid w:val="0E29730F"/>
    <w:rsid w:val="0E2D7BE3"/>
    <w:rsid w:val="0E342E47"/>
    <w:rsid w:val="0E3D06A0"/>
    <w:rsid w:val="0E4137B5"/>
    <w:rsid w:val="0E462C4C"/>
    <w:rsid w:val="0E4B1A1C"/>
    <w:rsid w:val="0E4D215A"/>
    <w:rsid w:val="0E504189"/>
    <w:rsid w:val="0E527771"/>
    <w:rsid w:val="0E5556B2"/>
    <w:rsid w:val="0E561CB2"/>
    <w:rsid w:val="0E583303"/>
    <w:rsid w:val="0E5C693D"/>
    <w:rsid w:val="0E6010A8"/>
    <w:rsid w:val="0E680D42"/>
    <w:rsid w:val="0E792F4F"/>
    <w:rsid w:val="0E8012D9"/>
    <w:rsid w:val="0E833B53"/>
    <w:rsid w:val="0E8C1749"/>
    <w:rsid w:val="0E9059C9"/>
    <w:rsid w:val="0E972E44"/>
    <w:rsid w:val="0E9B1118"/>
    <w:rsid w:val="0EA33B28"/>
    <w:rsid w:val="0EA7314F"/>
    <w:rsid w:val="0EAE0E4B"/>
    <w:rsid w:val="0EB02638"/>
    <w:rsid w:val="0EB9334C"/>
    <w:rsid w:val="0EC3752D"/>
    <w:rsid w:val="0ECC307F"/>
    <w:rsid w:val="0ECE4A09"/>
    <w:rsid w:val="0ED57430"/>
    <w:rsid w:val="0ED729EE"/>
    <w:rsid w:val="0EDC5E02"/>
    <w:rsid w:val="0EDF706C"/>
    <w:rsid w:val="0EE72CEE"/>
    <w:rsid w:val="0EE85CDA"/>
    <w:rsid w:val="0EEA79A9"/>
    <w:rsid w:val="0EF146A7"/>
    <w:rsid w:val="0EF31966"/>
    <w:rsid w:val="0EF34AB0"/>
    <w:rsid w:val="0EFA4090"/>
    <w:rsid w:val="0F037A1F"/>
    <w:rsid w:val="0F0A1DF9"/>
    <w:rsid w:val="0F1133CB"/>
    <w:rsid w:val="0F1173AD"/>
    <w:rsid w:val="0F244060"/>
    <w:rsid w:val="0F29708F"/>
    <w:rsid w:val="0F350296"/>
    <w:rsid w:val="0F405BCB"/>
    <w:rsid w:val="0F4438D5"/>
    <w:rsid w:val="0F4E5368"/>
    <w:rsid w:val="0F5D63CD"/>
    <w:rsid w:val="0F5D698D"/>
    <w:rsid w:val="0F5F5CA1"/>
    <w:rsid w:val="0F6A68A1"/>
    <w:rsid w:val="0F7D4811"/>
    <w:rsid w:val="0F827BE2"/>
    <w:rsid w:val="0F847DFE"/>
    <w:rsid w:val="0F871FA7"/>
    <w:rsid w:val="0F881ACB"/>
    <w:rsid w:val="0F8C5688"/>
    <w:rsid w:val="0F915CF4"/>
    <w:rsid w:val="0F93489A"/>
    <w:rsid w:val="0F9B4410"/>
    <w:rsid w:val="0F9D0EBF"/>
    <w:rsid w:val="0FA21996"/>
    <w:rsid w:val="0FAC06D9"/>
    <w:rsid w:val="0FAD016D"/>
    <w:rsid w:val="0FAF0058"/>
    <w:rsid w:val="0FBB78EB"/>
    <w:rsid w:val="0FBD5F7F"/>
    <w:rsid w:val="0FC63BDB"/>
    <w:rsid w:val="0FC64AEA"/>
    <w:rsid w:val="0FD41D0C"/>
    <w:rsid w:val="0FE66BBE"/>
    <w:rsid w:val="0FED0C0B"/>
    <w:rsid w:val="0FEF5F5D"/>
    <w:rsid w:val="0FF02D9D"/>
    <w:rsid w:val="0FF0673A"/>
    <w:rsid w:val="0FF42037"/>
    <w:rsid w:val="0FF4353B"/>
    <w:rsid w:val="0FF65639"/>
    <w:rsid w:val="0FF7412C"/>
    <w:rsid w:val="101565F4"/>
    <w:rsid w:val="101A3E7C"/>
    <w:rsid w:val="101B45B3"/>
    <w:rsid w:val="102041B0"/>
    <w:rsid w:val="1025642B"/>
    <w:rsid w:val="1027514F"/>
    <w:rsid w:val="102B29FC"/>
    <w:rsid w:val="102D1D40"/>
    <w:rsid w:val="10304C1F"/>
    <w:rsid w:val="10305890"/>
    <w:rsid w:val="10497F6A"/>
    <w:rsid w:val="104F6378"/>
    <w:rsid w:val="105552F6"/>
    <w:rsid w:val="105B0B5E"/>
    <w:rsid w:val="105B5D70"/>
    <w:rsid w:val="105C0433"/>
    <w:rsid w:val="105C7C29"/>
    <w:rsid w:val="10615A49"/>
    <w:rsid w:val="10627D00"/>
    <w:rsid w:val="106D4B78"/>
    <w:rsid w:val="1072039F"/>
    <w:rsid w:val="107700EF"/>
    <w:rsid w:val="10837DAE"/>
    <w:rsid w:val="10855BDB"/>
    <w:rsid w:val="10867E54"/>
    <w:rsid w:val="1088747A"/>
    <w:rsid w:val="10905C22"/>
    <w:rsid w:val="109113BA"/>
    <w:rsid w:val="10976E01"/>
    <w:rsid w:val="109802C9"/>
    <w:rsid w:val="10A122E9"/>
    <w:rsid w:val="10A15A4A"/>
    <w:rsid w:val="10A2678D"/>
    <w:rsid w:val="10A670E3"/>
    <w:rsid w:val="10B448AF"/>
    <w:rsid w:val="10B77B5F"/>
    <w:rsid w:val="10BA0065"/>
    <w:rsid w:val="10BA6FC7"/>
    <w:rsid w:val="10C03740"/>
    <w:rsid w:val="10C34956"/>
    <w:rsid w:val="10C62793"/>
    <w:rsid w:val="10D31780"/>
    <w:rsid w:val="10D4446D"/>
    <w:rsid w:val="10E137BD"/>
    <w:rsid w:val="10E51C43"/>
    <w:rsid w:val="10F31B33"/>
    <w:rsid w:val="10F878E1"/>
    <w:rsid w:val="10FB1CFE"/>
    <w:rsid w:val="10FB57F0"/>
    <w:rsid w:val="110F7B9B"/>
    <w:rsid w:val="11161E06"/>
    <w:rsid w:val="111B4847"/>
    <w:rsid w:val="11221ADC"/>
    <w:rsid w:val="11241AA9"/>
    <w:rsid w:val="11266649"/>
    <w:rsid w:val="11297EC9"/>
    <w:rsid w:val="11381CFF"/>
    <w:rsid w:val="113E2E5F"/>
    <w:rsid w:val="113E3FDC"/>
    <w:rsid w:val="11402E0F"/>
    <w:rsid w:val="11423ACC"/>
    <w:rsid w:val="114333A1"/>
    <w:rsid w:val="114430CC"/>
    <w:rsid w:val="11553800"/>
    <w:rsid w:val="115630D4"/>
    <w:rsid w:val="11586E4C"/>
    <w:rsid w:val="11687794"/>
    <w:rsid w:val="116C6D9B"/>
    <w:rsid w:val="11761FC4"/>
    <w:rsid w:val="11776A7F"/>
    <w:rsid w:val="11777E64"/>
    <w:rsid w:val="11795660"/>
    <w:rsid w:val="117A14B8"/>
    <w:rsid w:val="117B268D"/>
    <w:rsid w:val="117B2B3A"/>
    <w:rsid w:val="118529A6"/>
    <w:rsid w:val="11867E5D"/>
    <w:rsid w:val="11880F61"/>
    <w:rsid w:val="11902A8A"/>
    <w:rsid w:val="11913A5E"/>
    <w:rsid w:val="119202C7"/>
    <w:rsid w:val="11A07623"/>
    <w:rsid w:val="11A55E09"/>
    <w:rsid w:val="11A7392F"/>
    <w:rsid w:val="11AB3900"/>
    <w:rsid w:val="11B52B07"/>
    <w:rsid w:val="11B62E1B"/>
    <w:rsid w:val="11BA71FD"/>
    <w:rsid w:val="11BF7BE1"/>
    <w:rsid w:val="11C75D80"/>
    <w:rsid w:val="11DA1F57"/>
    <w:rsid w:val="11E4195E"/>
    <w:rsid w:val="11E44B84"/>
    <w:rsid w:val="11EB7CC0"/>
    <w:rsid w:val="11F500D0"/>
    <w:rsid w:val="1207193D"/>
    <w:rsid w:val="120A52F6"/>
    <w:rsid w:val="120A5FBD"/>
    <w:rsid w:val="120E5971"/>
    <w:rsid w:val="120F1501"/>
    <w:rsid w:val="121012A0"/>
    <w:rsid w:val="121511E1"/>
    <w:rsid w:val="121D56EB"/>
    <w:rsid w:val="12211934"/>
    <w:rsid w:val="12282E23"/>
    <w:rsid w:val="123632B2"/>
    <w:rsid w:val="12366443"/>
    <w:rsid w:val="123D0690"/>
    <w:rsid w:val="123D3724"/>
    <w:rsid w:val="124878CD"/>
    <w:rsid w:val="124C3DA0"/>
    <w:rsid w:val="125B6724"/>
    <w:rsid w:val="12641E84"/>
    <w:rsid w:val="12646C00"/>
    <w:rsid w:val="126924BD"/>
    <w:rsid w:val="126B0108"/>
    <w:rsid w:val="126D63D9"/>
    <w:rsid w:val="127E28A6"/>
    <w:rsid w:val="127F754C"/>
    <w:rsid w:val="12986019"/>
    <w:rsid w:val="12993BC0"/>
    <w:rsid w:val="129A025D"/>
    <w:rsid w:val="12AC3A9D"/>
    <w:rsid w:val="12BD412E"/>
    <w:rsid w:val="12BE3627"/>
    <w:rsid w:val="12C61325"/>
    <w:rsid w:val="12CF38C9"/>
    <w:rsid w:val="12D05FEA"/>
    <w:rsid w:val="12D40754"/>
    <w:rsid w:val="12D9220E"/>
    <w:rsid w:val="12D96F24"/>
    <w:rsid w:val="12DD6110"/>
    <w:rsid w:val="12DE5A77"/>
    <w:rsid w:val="12E43A46"/>
    <w:rsid w:val="12E52961"/>
    <w:rsid w:val="12E55783"/>
    <w:rsid w:val="12E806A4"/>
    <w:rsid w:val="12F217F1"/>
    <w:rsid w:val="12F2327E"/>
    <w:rsid w:val="12FE7EC7"/>
    <w:rsid w:val="1303728B"/>
    <w:rsid w:val="130628D8"/>
    <w:rsid w:val="130A100F"/>
    <w:rsid w:val="13141499"/>
    <w:rsid w:val="131A6229"/>
    <w:rsid w:val="13205400"/>
    <w:rsid w:val="13207E3D"/>
    <w:rsid w:val="13262314"/>
    <w:rsid w:val="132971BE"/>
    <w:rsid w:val="132A0CBC"/>
    <w:rsid w:val="1332514D"/>
    <w:rsid w:val="133425B1"/>
    <w:rsid w:val="133905DA"/>
    <w:rsid w:val="133D454B"/>
    <w:rsid w:val="133E2072"/>
    <w:rsid w:val="134E7BAB"/>
    <w:rsid w:val="13552C80"/>
    <w:rsid w:val="135936B5"/>
    <w:rsid w:val="135B7C44"/>
    <w:rsid w:val="135C4646"/>
    <w:rsid w:val="1367622C"/>
    <w:rsid w:val="136D70D1"/>
    <w:rsid w:val="13751FD7"/>
    <w:rsid w:val="13865F49"/>
    <w:rsid w:val="138C4596"/>
    <w:rsid w:val="13A0077C"/>
    <w:rsid w:val="13AA7707"/>
    <w:rsid w:val="13B231DF"/>
    <w:rsid w:val="13B42D6D"/>
    <w:rsid w:val="13BB36C2"/>
    <w:rsid w:val="13BF593A"/>
    <w:rsid w:val="13C22CA3"/>
    <w:rsid w:val="13C36B5C"/>
    <w:rsid w:val="13C509A3"/>
    <w:rsid w:val="13C70B45"/>
    <w:rsid w:val="13CC5951"/>
    <w:rsid w:val="13D252E0"/>
    <w:rsid w:val="13D84274"/>
    <w:rsid w:val="13DD18EF"/>
    <w:rsid w:val="13E0137B"/>
    <w:rsid w:val="13EE2074"/>
    <w:rsid w:val="13F416E5"/>
    <w:rsid w:val="13FB15C8"/>
    <w:rsid w:val="1404577A"/>
    <w:rsid w:val="1416601D"/>
    <w:rsid w:val="141A2ADF"/>
    <w:rsid w:val="1423576F"/>
    <w:rsid w:val="1427164E"/>
    <w:rsid w:val="143D7C6D"/>
    <w:rsid w:val="14426230"/>
    <w:rsid w:val="14450686"/>
    <w:rsid w:val="14465682"/>
    <w:rsid w:val="144D4C62"/>
    <w:rsid w:val="145062A0"/>
    <w:rsid w:val="14526751"/>
    <w:rsid w:val="14554F87"/>
    <w:rsid w:val="145767D9"/>
    <w:rsid w:val="1462121F"/>
    <w:rsid w:val="14643764"/>
    <w:rsid w:val="146A3560"/>
    <w:rsid w:val="146C5A05"/>
    <w:rsid w:val="14702016"/>
    <w:rsid w:val="14765768"/>
    <w:rsid w:val="14795A57"/>
    <w:rsid w:val="147B7480"/>
    <w:rsid w:val="147E74D6"/>
    <w:rsid w:val="14804E7E"/>
    <w:rsid w:val="148A7C64"/>
    <w:rsid w:val="148D26ED"/>
    <w:rsid w:val="14901E99"/>
    <w:rsid w:val="14943B26"/>
    <w:rsid w:val="149B5BB4"/>
    <w:rsid w:val="149D34E2"/>
    <w:rsid w:val="14A625C4"/>
    <w:rsid w:val="14A62D61"/>
    <w:rsid w:val="14AE6DF5"/>
    <w:rsid w:val="14BE70A5"/>
    <w:rsid w:val="14CC6EAC"/>
    <w:rsid w:val="14D26F15"/>
    <w:rsid w:val="14D34889"/>
    <w:rsid w:val="14DB04C0"/>
    <w:rsid w:val="14DF0F6E"/>
    <w:rsid w:val="14F670A8"/>
    <w:rsid w:val="14F7137E"/>
    <w:rsid w:val="14FC0436"/>
    <w:rsid w:val="1501324B"/>
    <w:rsid w:val="15035321"/>
    <w:rsid w:val="15136330"/>
    <w:rsid w:val="151529B4"/>
    <w:rsid w:val="15233018"/>
    <w:rsid w:val="152359C3"/>
    <w:rsid w:val="152509D7"/>
    <w:rsid w:val="152B6F63"/>
    <w:rsid w:val="15314A2C"/>
    <w:rsid w:val="1534197E"/>
    <w:rsid w:val="1537146E"/>
    <w:rsid w:val="1558225D"/>
    <w:rsid w:val="155E69FB"/>
    <w:rsid w:val="155F58F6"/>
    <w:rsid w:val="15602773"/>
    <w:rsid w:val="156B65E2"/>
    <w:rsid w:val="156F6E5A"/>
    <w:rsid w:val="1571257F"/>
    <w:rsid w:val="157524F2"/>
    <w:rsid w:val="157D3325"/>
    <w:rsid w:val="15820E68"/>
    <w:rsid w:val="15836BFD"/>
    <w:rsid w:val="15852C95"/>
    <w:rsid w:val="158D5AFE"/>
    <w:rsid w:val="159D14F7"/>
    <w:rsid w:val="15A0604A"/>
    <w:rsid w:val="15AA1C40"/>
    <w:rsid w:val="15B45973"/>
    <w:rsid w:val="15B64EC7"/>
    <w:rsid w:val="15B74140"/>
    <w:rsid w:val="15BC293A"/>
    <w:rsid w:val="15C90318"/>
    <w:rsid w:val="15CA0E7F"/>
    <w:rsid w:val="15D078F9"/>
    <w:rsid w:val="15DA4014"/>
    <w:rsid w:val="15DD3DC4"/>
    <w:rsid w:val="15DD7A73"/>
    <w:rsid w:val="15DE174F"/>
    <w:rsid w:val="15E3366A"/>
    <w:rsid w:val="16041350"/>
    <w:rsid w:val="16063AA0"/>
    <w:rsid w:val="16066CA6"/>
    <w:rsid w:val="16092E0B"/>
    <w:rsid w:val="16134D55"/>
    <w:rsid w:val="161B07E5"/>
    <w:rsid w:val="162B4B2F"/>
    <w:rsid w:val="16322361"/>
    <w:rsid w:val="16347871"/>
    <w:rsid w:val="163C065A"/>
    <w:rsid w:val="163D73D7"/>
    <w:rsid w:val="16405AB5"/>
    <w:rsid w:val="1647748F"/>
    <w:rsid w:val="164901B2"/>
    <w:rsid w:val="164E394B"/>
    <w:rsid w:val="165F6ECF"/>
    <w:rsid w:val="166813E7"/>
    <w:rsid w:val="16687394"/>
    <w:rsid w:val="166938A9"/>
    <w:rsid w:val="16711794"/>
    <w:rsid w:val="167A2727"/>
    <w:rsid w:val="167A6959"/>
    <w:rsid w:val="168240D2"/>
    <w:rsid w:val="1686191E"/>
    <w:rsid w:val="168D3A3C"/>
    <w:rsid w:val="168E1562"/>
    <w:rsid w:val="168E4F39"/>
    <w:rsid w:val="16976668"/>
    <w:rsid w:val="16AB6DCA"/>
    <w:rsid w:val="16B35DA1"/>
    <w:rsid w:val="16B56757"/>
    <w:rsid w:val="16B9038D"/>
    <w:rsid w:val="16BF2C26"/>
    <w:rsid w:val="16C65FA2"/>
    <w:rsid w:val="16C808CD"/>
    <w:rsid w:val="16C91141"/>
    <w:rsid w:val="16D30323"/>
    <w:rsid w:val="16D90A2F"/>
    <w:rsid w:val="16DD1801"/>
    <w:rsid w:val="16DE20A4"/>
    <w:rsid w:val="16DF77E9"/>
    <w:rsid w:val="16E42F30"/>
    <w:rsid w:val="16EC15B1"/>
    <w:rsid w:val="16ED44DA"/>
    <w:rsid w:val="16EF791E"/>
    <w:rsid w:val="16F43A6B"/>
    <w:rsid w:val="16F54E7E"/>
    <w:rsid w:val="16F64EA3"/>
    <w:rsid w:val="1703785A"/>
    <w:rsid w:val="172004E9"/>
    <w:rsid w:val="173D00AC"/>
    <w:rsid w:val="175517FF"/>
    <w:rsid w:val="17600040"/>
    <w:rsid w:val="17671DD7"/>
    <w:rsid w:val="176C5A33"/>
    <w:rsid w:val="17853C1F"/>
    <w:rsid w:val="178C3191"/>
    <w:rsid w:val="178D3AF2"/>
    <w:rsid w:val="179235A8"/>
    <w:rsid w:val="17926D92"/>
    <w:rsid w:val="17932454"/>
    <w:rsid w:val="17973558"/>
    <w:rsid w:val="179A1852"/>
    <w:rsid w:val="17A141F6"/>
    <w:rsid w:val="17A20C6B"/>
    <w:rsid w:val="17AC1A7D"/>
    <w:rsid w:val="17AC33BB"/>
    <w:rsid w:val="17B747D9"/>
    <w:rsid w:val="17C37A7E"/>
    <w:rsid w:val="17D44B46"/>
    <w:rsid w:val="17DA1C7A"/>
    <w:rsid w:val="17DB3497"/>
    <w:rsid w:val="17DF7A9B"/>
    <w:rsid w:val="17EA27C8"/>
    <w:rsid w:val="17EF6030"/>
    <w:rsid w:val="17F00EC8"/>
    <w:rsid w:val="17F35B20"/>
    <w:rsid w:val="17F92A0B"/>
    <w:rsid w:val="17FB10E8"/>
    <w:rsid w:val="18007FB7"/>
    <w:rsid w:val="18041ADC"/>
    <w:rsid w:val="180514C3"/>
    <w:rsid w:val="18057779"/>
    <w:rsid w:val="180E582C"/>
    <w:rsid w:val="181250C7"/>
    <w:rsid w:val="181B0BD3"/>
    <w:rsid w:val="18221F62"/>
    <w:rsid w:val="18253800"/>
    <w:rsid w:val="182A7068"/>
    <w:rsid w:val="18300B23"/>
    <w:rsid w:val="183415C3"/>
    <w:rsid w:val="1840063A"/>
    <w:rsid w:val="1853036D"/>
    <w:rsid w:val="18812C1B"/>
    <w:rsid w:val="188B645A"/>
    <w:rsid w:val="189152F2"/>
    <w:rsid w:val="189C1D14"/>
    <w:rsid w:val="189D12B1"/>
    <w:rsid w:val="18A83CA4"/>
    <w:rsid w:val="18A84204"/>
    <w:rsid w:val="18AB4F78"/>
    <w:rsid w:val="18AF6E69"/>
    <w:rsid w:val="18B51CE9"/>
    <w:rsid w:val="18B6097D"/>
    <w:rsid w:val="18B90B18"/>
    <w:rsid w:val="18C96988"/>
    <w:rsid w:val="18E47167"/>
    <w:rsid w:val="18E831AB"/>
    <w:rsid w:val="18EC510F"/>
    <w:rsid w:val="18ED2570"/>
    <w:rsid w:val="18F2402A"/>
    <w:rsid w:val="18F75BB9"/>
    <w:rsid w:val="19103F29"/>
    <w:rsid w:val="1912647A"/>
    <w:rsid w:val="19177273"/>
    <w:rsid w:val="19185113"/>
    <w:rsid w:val="1919248B"/>
    <w:rsid w:val="191C2E55"/>
    <w:rsid w:val="192352E4"/>
    <w:rsid w:val="192455D8"/>
    <w:rsid w:val="192A633A"/>
    <w:rsid w:val="192F0DDA"/>
    <w:rsid w:val="19346A48"/>
    <w:rsid w:val="193957B5"/>
    <w:rsid w:val="194523AD"/>
    <w:rsid w:val="19481E9C"/>
    <w:rsid w:val="19487EBC"/>
    <w:rsid w:val="194B654D"/>
    <w:rsid w:val="194E0E5A"/>
    <w:rsid w:val="19502B47"/>
    <w:rsid w:val="19597772"/>
    <w:rsid w:val="195B1BCF"/>
    <w:rsid w:val="196A4428"/>
    <w:rsid w:val="1970644A"/>
    <w:rsid w:val="197131A1"/>
    <w:rsid w:val="19754608"/>
    <w:rsid w:val="197C0D71"/>
    <w:rsid w:val="19805192"/>
    <w:rsid w:val="198C1D89"/>
    <w:rsid w:val="19A25590"/>
    <w:rsid w:val="19AC1A4C"/>
    <w:rsid w:val="19AD1261"/>
    <w:rsid w:val="19B227D3"/>
    <w:rsid w:val="19B3365C"/>
    <w:rsid w:val="19B55912"/>
    <w:rsid w:val="19BC195B"/>
    <w:rsid w:val="19C72DC1"/>
    <w:rsid w:val="19CB567A"/>
    <w:rsid w:val="19D86F64"/>
    <w:rsid w:val="19E25E4D"/>
    <w:rsid w:val="19E96456"/>
    <w:rsid w:val="19EB31CD"/>
    <w:rsid w:val="19EB7A42"/>
    <w:rsid w:val="19EC0A79"/>
    <w:rsid w:val="19F32962"/>
    <w:rsid w:val="19F32E2F"/>
    <w:rsid w:val="19FD1C49"/>
    <w:rsid w:val="1A010C96"/>
    <w:rsid w:val="1A0F5222"/>
    <w:rsid w:val="1A111A09"/>
    <w:rsid w:val="1A1621C7"/>
    <w:rsid w:val="1A1A6026"/>
    <w:rsid w:val="1A1C2C19"/>
    <w:rsid w:val="1A24540D"/>
    <w:rsid w:val="1A2A59B6"/>
    <w:rsid w:val="1A3A17E5"/>
    <w:rsid w:val="1A3E71FD"/>
    <w:rsid w:val="1A422994"/>
    <w:rsid w:val="1A4563DB"/>
    <w:rsid w:val="1A495ECC"/>
    <w:rsid w:val="1A542310"/>
    <w:rsid w:val="1A5959E3"/>
    <w:rsid w:val="1A642D06"/>
    <w:rsid w:val="1A651146"/>
    <w:rsid w:val="1A6A7BF0"/>
    <w:rsid w:val="1A6E23B6"/>
    <w:rsid w:val="1A725422"/>
    <w:rsid w:val="1A7E3DE6"/>
    <w:rsid w:val="1A8018D6"/>
    <w:rsid w:val="1A805FAA"/>
    <w:rsid w:val="1AB34603"/>
    <w:rsid w:val="1AB86F6A"/>
    <w:rsid w:val="1ABA0B77"/>
    <w:rsid w:val="1ABC2E59"/>
    <w:rsid w:val="1AC56101"/>
    <w:rsid w:val="1AD67034"/>
    <w:rsid w:val="1AD90B28"/>
    <w:rsid w:val="1ADA2FC8"/>
    <w:rsid w:val="1ADD2699"/>
    <w:rsid w:val="1AE5074D"/>
    <w:rsid w:val="1AE94B9D"/>
    <w:rsid w:val="1AED6CFA"/>
    <w:rsid w:val="1AEF729B"/>
    <w:rsid w:val="1AFA54C9"/>
    <w:rsid w:val="1AFC4CEC"/>
    <w:rsid w:val="1B0422FF"/>
    <w:rsid w:val="1B067919"/>
    <w:rsid w:val="1B102545"/>
    <w:rsid w:val="1B134833"/>
    <w:rsid w:val="1B170CA1"/>
    <w:rsid w:val="1B1D009E"/>
    <w:rsid w:val="1B28788F"/>
    <w:rsid w:val="1B2B3823"/>
    <w:rsid w:val="1B334486"/>
    <w:rsid w:val="1B3A53E7"/>
    <w:rsid w:val="1B44346C"/>
    <w:rsid w:val="1B467DB8"/>
    <w:rsid w:val="1B5543FC"/>
    <w:rsid w:val="1B555DD3"/>
    <w:rsid w:val="1B5F3E2D"/>
    <w:rsid w:val="1B713592"/>
    <w:rsid w:val="1B7156DA"/>
    <w:rsid w:val="1B7818DE"/>
    <w:rsid w:val="1B80591D"/>
    <w:rsid w:val="1B9A6B18"/>
    <w:rsid w:val="1BA96CA8"/>
    <w:rsid w:val="1BAA7852"/>
    <w:rsid w:val="1BAB226E"/>
    <w:rsid w:val="1BC44079"/>
    <w:rsid w:val="1BC72207"/>
    <w:rsid w:val="1BC76857"/>
    <w:rsid w:val="1BCA4F7A"/>
    <w:rsid w:val="1BD45C69"/>
    <w:rsid w:val="1BD605F3"/>
    <w:rsid w:val="1BD6553D"/>
    <w:rsid w:val="1BDE669C"/>
    <w:rsid w:val="1BE13EE2"/>
    <w:rsid w:val="1BE37C5A"/>
    <w:rsid w:val="1BE6510A"/>
    <w:rsid w:val="1BE75189"/>
    <w:rsid w:val="1BF01FFA"/>
    <w:rsid w:val="1BF115FF"/>
    <w:rsid w:val="1C0D72D6"/>
    <w:rsid w:val="1C194EA0"/>
    <w:rsid w:val="1C4306F9"/>
    <w:rsid w:val="1C4454C3"/>
    <w:rsid w:val="1C4526C3"/>
    <w:rsid w:val="1C4671C1"/>
    <w:rsid w:val="1C4B6499"/>
    <w:rsid w:val="1C521ECE"/>
    <w:rsid w:val="1C5446B4"/>
    <w:rsid w:val="1C551849"/>
    <w:rsid w:val="1C5A0D60"/>
    <w:rsid w:val="1C5F6D67"/>
    <w:rsid w:val="1C654AED"/>
    <w:rsid w:val="1C7C60E2"/>
    <w:rsid w:val="1C931680"/>
    <w:rsid w:val="1CAF6A61"/>
    <w:rsid w:val="1CB12E70"/>
    <w:rsid w:val="1CB54FBC"/>
    <w:rsid w:val="1CB67720"/>
    <w:rsid w:val="1CB7443F"/>
    <w:rsid w:val="1CBD04AB"/>
    <w:rsid w:val="1CBD1B01"/>
    <w:rsid w:val="1CBF4223"/>
    <w:rsid w:val="1CCB2BC8"/>
    <w:rsid w:val="1CCE2454"/>
    <w:rsid w:val="1CD31210"/>
    <w:rsid w:val="1CD557F5"/>
    <w:rsid w:val="1CDA5429"/>
    <w:rsid w:val="1CDC4D20"/>
    <w:rsid w:val="1CDF5444"/>
    <w:rsid w:val="1CE26164"/>
    <w:rsid w:val="1CE33463"/>
    <w:rsid w:val="1CEC0D90"/>
    <w:rsid w:val="1CFE7CC5"/>
    <w:rsid w:val="1CFF32CC"/>
    <w:rsid w:val="1D0428D1"/>
    <w:rsid w:val="1D042F44"/>
    <w:rsid w:val="1D0F39CD"/>
    <w:rsid w:val="1D100F23"/>
    <w:rsid w:val="1D1628DD"/>
    <w:rsid w:val="1D187DD7"/>
    <w:rsid w:val="1D1C78C7"/>
    <w:rsid w:val="1D1D0F4A"/>
    <w:rsid w:val="1D247B2E"/>
    <w:rsid w:val="1D320E99"/>
    <w:rsid w:val="1D352737"/>
    <w:rsid w:val="1D3D6E21"/>
    <w:rsid w:val="1D4A104F"/>
    <w:rsid w:val="1D5105FE"/>
    <w:rsid w:val="1D553369"/>
    <w:rsid w:val="1D566256"/>
    <w:rsid w:val="1D594678"/>
    <w:rsid w:val="1D5E2B68"/>
    <w:rsid w:val="1D645145"/>
    <w:rsid w:val="1D682760"/>
    <w:rsid w:val="1D684BFF"/>
    <w:rsid w:val="1D7777EA"/>
    <w:rsid w:val="1D790876"/>
    <w:rsid w:val="1D862C10"/>
    <w:rsid w:val="1D8B7007"/>
    <w:rsid w:val="1D9317D5"/>
    <w:rsid w:val="1D96726F"/>
    <w:rsid w:val="1D990F18"/>
    <w:rsid w:val="1D994785"/>
    <w:rsid w:val="1D9C1C9E"/>
    <w:rsid w:val="1DA022A7"/>
    <w:rsid w:val="1DAE7300"/>
    <w:rsid w:val="1DB37F40"/>
    <w:rsid w:val="1DB418AE"/>
    <w:rsid w:val="1DC13FCB"/>
    <w:rsid w:val="1DC33119"/>
    <w:rsid w:val="1DCF11AF"/>
    <w:rsid w:val="1DDF6990"/>
    <w:rsid w:val="1DE57C15"/>
    <w:rsid w:val="1DE71932"/>
    <w:rsid w:val="1DE859FC"/>
    <w:rsid w:val="1DF52C4F"/>
    <w:rsid w:val="1DF70DA7"/>
    <w:rsid w:val="1DF779ED"/>
    <w:rsid w:val="1E067FD0"/>
    <w:rsid w:val="1E195BB5"/>
    <w:rsid w:val="1E1C296E"/>
    <w:rsid w:val="1E2B296F"/>
    <w:rsid w:val="1E2D709A"/>
    <w:rsid w:val="1E3B3DBE"/>
    <w:rsid w:val="1E4504E9"/>
    <w:rsid w:val="1E455902"/>
    <w:rsid w:val="1E482113"/>
    <w:rsid w:val="1E4A0224"/>
    <w:rsid w:val="1E4A0464"/>
    <w:rsid w:val="1E566A9B"/>
    <w:rsid w:val="1E5933F2"/>
    <w:rsid w:val="1E5D33B2"/>
    <w:rsid w:val="1E604118"/>
    <w:rsid w:val="1E62130A"/>
    <w:rsid w:val="1E625BA4"/>
    <w:rsid w:val="1E6F1BF7"/>
    <w:rsid w:val="1E742207"/>
    <w:rsid w:val="1E860D4B"/>
    <w:rsid w:val="1E872FCB"/>
    <w:rsid w:val="1E8B091C"/>
    <w:rsid w:val="1E8D490C"/>
    <w:rsid w:val="1EA94266"/>
    <w:rsid w:val="1EAF2075"/>
    <w:rsid w:val="1EB1525C"/>
    <w:rsid w:val="1EB549B3"/>
    <w:rsid w:val="1EC21DA9"/>
    <w:rsid w:val="1EC732BD"/>
    <w:rsid w:val="1ECC0E79"/>
    <w:rsid w:val="1EDF295B"/>
    <w:rsid w:val="1EE408E7"/>
    <w:rsid w:val="1EE91A2B"/>
    <w:rsid w:val="1EE9292A"/>
    <w:rsid w:val="1EEC6E65"/>
    <w:rsid w:val="1EF328AA"/>
    <w:rsid w:val="1F053EED"/>
    <w:rsid w:val="1F0717E1"/>
    <w:rsid w:val="1F095C2A"/>
    <w:rsid w:val="1F0B6573"/>
    <w:rsid w:val="1F0F342B"/>
    <w:rsid w:val="1F122490"/>
    <w:rsid w:val="1F274071"/>
    <w:rsid w:val="1F2904D8"/>
    <w:rsid w:val="1F2C1C7F"/>
    <w:rsid w:val="1F2D3EE7"/>
    <w:rsid w:val="1F3429E6"/>
    <w:rsid w:val="1F394761"/>
    <w:rsid w:val="1F453CAA"/>
    <w:rsid w:val="1F510CDC"/>
    <w:rsid w:val="1F537DE4"/>
    <w:rsid w:val="1F566EB8"/>
    <w:rsid w:val="1F58672D"/>
    <w:rsid w:val="1F5F3A9B"/>
    <w:rsid w:val="1F69460B"/>
    <w:rsid w:val="1F7E03C6"/>
    <w:rsid w:val="1F7F116C"/>
    <w:rsid w:val="1F811CDE"/>
    <w:rsid w:val="1F837CBF"/>
    <w:rsid w:val="1F8F4381"/>
    <w:rsid w:val="1F975732"/>
    <w:rsid w:val="1F9A2CFD"/>
    <w:rsid w:val="1F9C1C18"/>
    <w:rsid w:val="1F9C64CE"/>
    <w:rsid w:val="1F9E2816"/>
    <w:rsid w:val="1FA40111"/>
    <w:rsid w:val="1FA82BC2"/>
    <w:rsid w:val="1FB137B2"/>
    <w:rsid w:val="1FB45C7C"/>
    <w:rsid w:val="1FB71404"/>
    <w:rsid w:val="1FBF0C01"/>
    <w:rsid w:val="1FBF6C2C"/>
    <w:rsid w:val="1FC73B9A"/>
    <w:rsid w:val="1FD20DA4"/>
    <w:rsid w:val="1FD8770A"/>
    <w:rsid w:val="1FDB2A7E"/>
    <w:rsid w:val="1FE44B36"/>
    <w:rsid w:val="1FEF26C4"/>
    <w:rsid w:val="1FF316FB"/>
    <w:rsid w:val="1FF56E00"/>
    <w:rsid w:val="1FF959D3"/>
    <w:rsid w:val="20005BAF"/>
    <w:rsid w:val="20022A1A"/>
    <w:rsid w:val="200310FC"/>
    <w:rsid w:val="200770BD"/>
    <w:rsid w:val="200C67DD"/>
    <w:rsid w:val="20120B0E"/>
    <w:rsid w:val="20124FB2"/>
    <w:rsid w:val="20127FCD"/>
    <w:rsid w:val="20157DC4"/>
    <w:rsid w:val="20174D0D"/>
    <w:rsid w:val="20182154"/>
    <w:rsid w:val="20191E9C"/>
    <w:rsid w:val="201A0C7D"/>
    <w:rsid w:val="201C7BDE"/>
    <w:rsid w:val="201F2DDD"/>
    <w:rsid w:val="202069BA"/>
    <w:rsid w:val="20246E3B"/>
    <w:rsid w:val="202A5BD2"/>
    <w:rsid w:val="202F2518"/>
    <w:rsid w:val="2030379D"/>
    <w:rsid w:val="204A3926"/>
    <w:rsid w:val="20522205"/>
    <w:rsid w:val="205D090C"/>
    <w:rsid w:val="20682939"/>
    <w:rsid w:val="20721DF5"/>
    <w:rsid w:val="207C0588"/>
    <w:rsid w:val="20806F83"/>
    <w:rsid w:val="20856C7D"/>
    <w:rsid w:val="20863935"/>
    <w:rsid w:val="20927A47"/>
    <w:rsid w:val="209617EF"/>
    <w:rsid w:val="20971013"/>
    <w:rsid w:val="20B816B5"/>
    <w:rsid w:val="20B97912"/>
    <w:rsid w:val="20BA4E89"/>
    <w:rsid w:val="20BB11A5"/>
    <w:rsid w:val="20BD1908"/>
    <w:rsid w:val="20BD4F1E"/>
    <w:rsid w:val="20BE3057"/>
    <w:rsid w:val="20BF6FF2"/>
    <w:rsid w:val="20C742D6"/>
    <w:rsid w:val="20CA7F82"/>
    <w:rsid w:val="20E029BA"/>
    <w:rsid w:val="20EA01C4"/>
    <w:rsid w:val="20EB02CA"/>
    <w:rsid w:val="20EB4E1A"/>
    <w:rsid w:val="20EC5803"/>
    <w:rsid w:val="20EF35E8"/>
    <w:rsid w:val="20EF4493"/>
    <w:rsid w:val="20F16975"/>
    <w:rsid w:val="20F67E1D"/>
    <w:rsid w:val="210A7749"/>
    <w:rsid w:val="21121E38"/>
    <w:rsid w:val="2112799E"/>
    <w:rsid w:val="21132D8F"/>
    <w:rsid w:val="2113462E"/>
    <w:rsid w:val="211A0471"/>
    <w:rsid w:val="211A411E"/>
    <w:rsid w:val="21323553"/>
    <w:rsid w:val="2136082C"/>
    <w:rsid w:val="213663E1"/>
    <w:rsid w:val="21386872"/>
    <w:rsid w:val="213960B7"/>
    <w:rsid w:val="213C47A6"/>
    <w:rsid w:val="213C6869"/>
    <w:rsid w:val="213D197A"/>
    <w:rsid w:val="213F5F9C"/>
    <w:rsid w:val="214B42B4"/>
    <w:rsid w:val="214B6D4C"/>
    <w:rsid w:val="215277DE"/>
    <w:rsid w:val="21547189"/>
    <w:rsid w:val="21576A6A"/>
    <w:rsid w:val="21594B94"/>
    <w:rsid w:val="21630741"/>
    <w:rsid w:val="217016BE"/>
    <w:rsid w:val="217961F5"/>
    <w:rsid w:val="217A2887"/>
    <w:rsid w:val="21804E5D"/>
    <w:rsid w:val="218A7CDE"/>
    <w:rsid w:val="218B39F0"/>
    <w:rsid w:val="21902632"/>
    <w:rsid w:val="219B4CCB"/>
    <w:rsid w:val="21AB4A3D"/>
    <w:rsid w:val="21AE6F25"/>
    <w:rsid w:val="21BA4448"/>
    <w:rsid w:val="21CB366A"/>
    <w:rsid w:val="21CD1190"/>
    <w:rsid w:val="21CE1561"/>
    <w:rsid w:val="21D50045"/>
    <w:rsid w:val="21D56297"/>
    <w:rsid w:val="21D94524"/>
    <w:rsid w:val="21E21860"/>
    <w:rsid w:val="21EF7359"/>
    <w:rsid w:val="21F22A09"/>
    <w:rsid w:val="21FB3E29"/>
    <w:rsid w:val="22065492"/>
    <w:rsid w:val="220D5A31"/>
    <w:rsid w:val="220D77DF"/>
    <w:rsid w:val="22127D94"/>
    <w:rsid w:val="221756CB"/>
    <w:rsid w:val="2219008B"/>
    <w:rsid w:val="22197164"/>
    <w:rsid w:val="2220229D"/>
    <w:rsid w:val="222734EC"/>
    <w:rsid w:val="22391127"/>
    <w:rsid w:val="224C47AB"/>
    <w:rsid w:val="22525B39"/>
    <w:rsid w:val="22576CAC"/>
    <w:rsid w:val="22577E9D"/>
    <w:rsid w:val="225A171B"/>
    <w:rsid w:val="225A547C"/>
    <w:rsid w:val="225B5797"/>
    <w:rsid w:val="225B70B1"/>
    <w:rsid w:val="225C1B8B"/>
    <w:rsid w:val="22650C04"/>
    <w:rsid w:val="22680EB9"/>
    <w:rsid w:val="226B29C3"/>
    <w:rsid w:val="226B2C78"/>
    <w:rsid w:val="226F3A30"/>
    <w:rsid w:val="226F45A0"/>
    <w:rsid w:val="22791318"/>
    <w:rsid w:val="227D1357"/>
    <w:rsid w:val="227E242A"/>
    <w:rsid w:val="227E42BE"/>
    <w:rsid w:val="227F5DD8"/>
    <w:rsid w:val="228D6B72"/>
    <w:rsid w:val="2291155E"/>
    <w:rsid w:val="22971DEB"/>
    <w:rsid w:val="22993768"/>
    <w:rsid w:val="229D5613"/>
    <w:rsid w:val="229E5854"/>
    <w:rsid w:val="229F30BB"/>
    <w:rsid w:val="229F6964"/>
    <w:rsid w:val="22AA1450"/>
    <w:rsid w:val="22AA7E1E"/>
    <w:rsid w:val="22AD4BEF"/>
    <w:rsid w:val="22B45EAC"/>
    <w:rsid w:val="22CF3CDA"/>
    <w:rsid w:val="22D629CA"/>
    <w:rsid w:val="22DE117B"/>
    <w:rsid w:val="22E204FA"/>
    <w:rsid w:val="22E5075C"/>
    <w:rsid w:val="22E92FB8"/>
    <w:rsid w:val="22EC6B17"/>
    <w:rsid w:val="230445FC"/>
    <w:rsid w:val="230D7B6D"/>
    <w:rsid w:val="23183019"/>
    <w:rsid w:val="2318643B"/>
    <w:rsid w:val="231F5A1C"/>
    <w:rsid w:val="231F5D2B"/>
    <w:rsid w:val="23321A81"/>
    <w:rsid w:val="23490CEA"/>
    <w:rsid w:val="235012F5"/>
    <w:rsid w:val="235B7624"/>
    <w:rsid w:val="235C0A1E"/>
    <w:rsid w:val="23623B5A"/>
    <w:rsid w:val="23636E2B"/>
    <w:rsid w:val="236A6CF0"/>
    <w:rsid w:val="236B4CA2"/>
    <w:rsid w:val="23704BA9"/>
    <w:rsid w:val="237678AA"/>
    <w:rsid w:val="237D06A2"/>
    <w:rsid w:val="238E7207"/>
    <w:rsid w:val="238F24D8"/>
    <w:rsid w:val="239947B9"/>
    <w:rsid w:val="23B148E2"/>
    <w:rsid w:val="23BB79C9"/>
    <w:rsid w:val="23C349EF"/>
    <w:rsid w:val="23D82812"/>
    <w:rsid w:val="23D8346C"/>
    <w:rsid w:val="23D84773"/>
    <w:rsid w:val="23E85E15"/>
    <w:rsid w:val="23EA6463"/>
    <w:rsid w:val="23F016A2"/>
    <w:rsid w:val="23FA07D1"/>
    <w:rsid w:val="23FD2161"/>
    <w:rsid w:val="23FD6E50"/>
    <w:rsid w:val="240D3AC6"/>
    <w:rsid w:val="240F5C1B"/>
    <w:rsid w:val="240F5CB6"/>
    <w:rsid w:val="241D402C"/>
    <w:rsid w:val="242B1FEF"/>
    <w:rsid w:val="244140D2"/>
    <w:rsid w:val="24465AD5"/>
    <w:rsid w:val="24467E41"/>
    <w:rsid w:val="244D480A"/>
    <w:rsid w:val="245A309F"/>
    <w:rsid w:val="245B3B5C"/>
    <w:rsid w:val="245C67FB"/>
    <w:rsid w:val="24633930"/>
    <w:rsid w:val="246456B0"/>
    <w:rsid w:val="24696133"/>
    <w:rsid w:val="246C3480"/>
    <w:rsid w:val="24733DEA"/>
    <w:rsid w:val="247E6772"/>
    <w:rsid w:val="248D5E87"/>
    <w:rsid w:val="24985DA7"/>
    <w:rsid w:val="249A1A6B"/>
    <w:rsid w:val="24A551E3"/>
    <w:rsid w:val="24A969C4"/>
    <w:rsid w:val="24BB1FD8"/>
    <w:rsid w:val="24BC54EC"/>
    <w:rsid w:val="24C05D6D"/>
    <w:rsid w:val="24C22B02"/>
    <w:rsid w:val="24C30629"/>
    <w:rsid w:val="24D23C9C"/>
    <w:rsid w:val="24ED6857"/>
    <w:rsid w:val="24F001C4"/>
    <w:rsid w:val="24FA4BE3"/>
    <w:rsid w:val="24FB6014"/>
    <w:rsid w:val="24FB7DC2"/>
    <w:rsid w:val="2501017D"/>
    <w:rsid w:val="2501732F"/>
    <w:rsid w:val="2503311B"/>
    <w:rsid w:val="25042435"/>
    <w:rsid w:val="25070F12"/>
    <w:rsid w:val="250A5532"/>
    <w:rsid w:val="25195BF6"/>
    <w:rsid w:val="252B78BE"/>
    <w:rsid w:val="252F0691"/>
    <w:rsid w:val="25315EDA"/>
    <w:rsid w:val="253C2302"/>
    <w:rsid w:val="253D662D"/>
    <w:rsid w:val="254B4E37"/>
    <w:rsid w:val="254E1C62"/>
    <w:rsid w:val="254E25E8"/>
    <w:rsid w:val="25537674"/>
    <w:rsid w:val="255676EF"/>
    <w:rsid w:val="25666E08"/>
    <w:rsid w:val="256736AA"/>
    <w:rsid w:val="25673A5B"/>
    <w:rsid w:val="25756A10"/>
    <w:rsid w:val="257768A5"/>
    <w:rsid w:val="258129BE"/>
    <w:rsid w:val="258904E5"/>
    <w:rsid w:val="258C08A2"/>
    <w:rsid w:val="259A494D"/>
    <w:rsid w:val="25A05602"/>
    <w:rsid w:val="25AA2900"/>
    <w:rsid w:val="25AF6479"/>
    <w:rsid w:val="25B368C0"/>
    <w:rsid w:val="25B82B80"/>
    <w:rsid w:val="25BB35C5"/>
    <w:rsid w:val="25BC1D3A"/>
    <w:rsid w:val="25C1499B"/>
    <w:rsid w:val="25C1725E"/>
    <w:rsid w:val="25C56630"/>
    <w:rsid w:val="25CE08CA"/>
    <w:rsid w:val="25DB5394"/>
    <w:rsid w:val="25E919A9"/>
    <w:rsid w:val="25ED5E58"/>
    <w:rsid w:val="25F077EA"/>
    <w:rsid w:val="25F47529"/>
    <w:rsid w:val="26026E9C"/>
    <w:rsid w:val="2604539D"/>
    <w:rsid w:val="260C722F"/>
    <w:rsid w:val="260D4251"/>
    <w:rsid w:val="260F68D2"/>
    <w:rsid w:val="2616406B"/>
    <w:rsid w:val="26192BF6"/>
    <w:rsid w:val="261E3E24"/>
    <w:rsid w:val="26241C37"/>
    <w:rsid w:val="262553CE"/>
    <w:rsid w:val="26296BB1"/>
    <w:rsid w:val="26297314"/>
    <w:rsid w:val="263712CE"/>
    <w:rsid w:val="263E265D"/>
    <w:rsid w:val="26451C3D"/>
    <w:rsid w:val="264634D2"/>
    <w:rsid w:val="26530E12"/>
    <w:rsid w:val="26695200"/>
    <w:rsid w:val="266A5EAB"/>
    <w:rsid w:val="267017DF"/>
    <w:rsid w:val="267243CA"/>
    <w:rsid w:val="2677489A"/>
    <w:rsid w:val="267B07EE"/>
    <w:rsid w:val="267C13D7"/>
    <w:rsid w:val="267E514F"/>
    <w:rsid w:val="267E5188"/>
    <w:rsid w:val="26887D7C"/>
    <w:rsid w:val="26942CC6"/>
    <w:rsid w:val="2698180C"/>
    <w:rsid w:val="269B6CA4"/>
    <w:rsid w:val="269F0C21"/>
    <w:rsid w:val="26A1728F"/>
    <w:rsid w:val="26B2676D"/>
    <w:rsid w:val="26B474A7"/>
    <w:rsid w:val="26B7240F"/>
    <w:rsid w:val="26BB2FF0"/>
    <w:rsid w:val="26CC6DAE"/>
    <w:rsid w:val="26DB1108"/>
    <w:rsid w:val="26DB434F"/>
    <w:rsid w:val="26DD1E76"/>
    <w:rsid w:val="26E03714"/>
    <w:rsid w:val="26E07A13"/>
    <w:rsid w:val="26E77D2A"/>
    <w:rsid w:val="26FB60FE"/>
    <w:rsid w:val="26FB7E82"/>
    <w:rsid w:val="270278E7"/>
    <w:rsid w:val="27062D33"/>
    <w:rsid w:val="27230737"/>
    <w:rsid w:val="27247AA4"/>
    <w:rsid w:val="27264508"/>
    <w:rsid w:val="27275308"/>
    <w:rsid w:val="272B69DA"/>
    <w:rsid w:val="27300FF9"/>
    <w:rsid w:val="27306961"/>
    <w:rsid w:val="27346B8F"/>
    <w:rsid w:val="27452AAD"/>
    <w:rsid w:val="275D2FB6"/>
    <w:rsid w:val="276471EB"/>
    <w:rsid w:val="276A122F"/>
    <w:rsid w:val="276C6AAD"/>
    <w:rsid w:val="276E2ACE"/>
    <w:rsid w:val="276F1C0A"/>
    <w:rsid w:val="27734588"/>
    <w:rsid w:val="2778394C"/>
    <w:rsid w:val="27897032"/>
    <w:rsid w:val="278A18D2"/>
    <w:rsid w:val="279B3ADF"/>
    <w:rsid w:val="27A635DC"/>
    <w:rsid w:val="27B11893"/>
    <w:rsid w:val="27B301F5"/>
    <w:rsid w:val="27B343EB"/>
    <w:rsid w:val="27B917D9"/>
    <w:rsid w:val="27BB67F2"/>
    <w:rsid w:val="27C052F3"/>
    <w:rsid w:val="27C260E2"/>
    <w:rsid w:val="27CE17BE"/>
    <w:rsid w:val="27D112AE"/>
    <w:rsid w:val="27D52B4D"/>
    <w:rsid w:val="27D75C67"/>
    <w:rsid w:val="27DD3E45"/>
    <w:rsid w:val="27E03472"/>
    <w:rsid w:val="27E7741F"/>
    <w:rsid w:val="27EE38FE"/>
    <w:rsid w:val="27EE440B"/>
    <w:rsid w:val="27F0062F"/>
    <w:rsid w:val="27F33EE4"/>
    <w:rsid w:val="27F409D5"/>
    <w:rsid w:val="28017DE6"/>
    <w:rsid w:val="280612FE"/>
    <w:rsid w:val="280A6C77"/>
    <w:rsid w:val="280C5045"/>
    <w:rsid w:val="280D0DD8"/>
    <w:rsid w:val="280D43ED"/>
    <w:rsid w:val="280E42B1"/>
    <w:rsid w:val="281774F5"/>
    <w:rsid w:val="282F2BE6"/>
    <w:rsid w:val="28342F2F"/>
    <w:rsid w:val="284515A8"/>
    <w:rsid w:val="284964C8"/>
    <w:rsid w:val="284B2E0F"/>
    <w:rsid w:val="284C629E"/>
    <w:rsid w:val="285409FA"/>
    <w:rsid w:val="28551EE0"/>
    <w:rsid w:val="28575C58"/>
    <w:rsid w:val="285A12A4"/>
    <w:rsid w:val="285D1191"/>
    <w:rsid w:val="285F1FD2"/>
    <w:rsid w:val="286345FC"/>
    <w:rsid w:val="28690923"/>
    <w:rsid w:val="286B1A6F"/>
    <w:rsid w:val="286C1CD2"/>
    <w:rsid w:val="28752728"/>
    <w:rsid w:val="28771E56"/>
    <w:rsid w:val="287E4F92"/>
    <w:rsid w:val="287F70C8"/>
    <w:rsid w:val="28822F06"/>
    <w:rsid w:val="28836A4D"/>
    <w:rsid w:val="2885273C"/>
    <w:rsid w:val="28877B07"/>
    <w:rsid w:val="28880DF6"/>
    <w:rsid w:val="28921CDC"/>
    <w:rsid w:val="289D1D9F"/>
    <w:rsid w:val="289E0BE5"/>
    <w:rsid w:val="28AA4330"/>
    <w:rsid w:val="28AB1254"/>
    <w:rsid w:val="28B041DE"/>
    <w:rsid w:val="28B41765"/>
    <w:rsid w:val="28B96D7F"/>
    <w:rsid w:val="28C4446D"/>
    <w:rsid w:val="28C976D2"/>
    <w:rsid w:val="28CD36A6"/>
    <w:rsid w:val="28D21782"/>
    <w:rsid w:val="28DC615D"/>
    <w:rsid w:val="28E8569A"/>
    <w:rsid w:val="28E868B0"/>
    <w:rsid w:val="28EA2628"/>
    <w:rsid w:val="28EF49A4"/>
    <w:rsid w:val="28F25980"/>
    <w:rsid w:val="28F434A6"/>
    <w:rsid w:val="28F507E0"/>
    <w:rsid w:val="28F74D45"/>
    <w:rsid w:val="28F95257"/>
    <w:rsid w:val="28FD67FF"/>
    <w:rsid w:val="28FF1471"/>
    <w:rsid w:val="28FF3418"/>
    <w:rsid w:val="29035317"/>
    <w:rsid w:val="290424DB"/>
    <w:rsid w:val="29053906"/>
    <w:rsid w:val="290C43B0"/>
    <w:rsid w:val="291612ED"/>
    <w:rsid w:val="29180602"/>
    <w:rsid w:val="292178F6"/>
    <w:rsid w:val="292264E0"/>
    <w:rsid w:val="29286333"/>
    <w:rsid w:val="292A336C"/>
    <w:rsid w:val="292D5FDC"/>
    <w:rsid w:val="292F2731"/>
    <w:rsid w:val="29306638"/>
    <w:rsid w:val="29386107"/>
    <w:rsid w:val="29394CEC"/>
    <w:rsid w:val="29501316"/>
    <w:rsid w:val="29531B28"/>
    <w:rsid w:val="295B595D"/>
    <w:rsid w:val="29613FA7"/>
    <w:rsid w:val="29614488"/>
    <w:rsid w:val="296323DA"/>
    <w:rsid w:val="296C74E1"/>
    <w:rsid w:val="29720F92"/>
    <w:rsid w:val="29725FA9"/>
    <w:rsid w:val="297D16EE"/>
    <w:rsid w:val="29905D8B"/>
    <w:rsid w:val="2991644E"/>
    <w:rsid w:val="2992006A"/>
    <w:rsid w:val="29964799"/>
    <w:rsid w:val="2999687A"/>
    <w:rsid w:val="299F1664"/>
    <w:rsid w:val="29AF6A79"/>
    <w:rsid w:val="29B15C29"/>
    <w:rsid w:val="29C53C70"/>
    <w:rsid w:val="29C966E1"/>
    <w:rsid w:val="29CC63E6"/>
    <w:rsid w:val="29CE2227"/>
    <w:rsid w:val="29D42826"/>
    <w:rsid w:val="29DC49F4"/>
    <w:rsid w:val="29E17ECF"/>
    <w:rsid w:val="29E928DF"/>
    <w:rsid w:val="29EB19A2"/>
    <w:rsid w:val="29EC7864"/>
    <w:rsid w:val="29ED4A29"/>
    <w:rsid w:val="29EF7509"/>
    <w:rsid w:val="29F06E6F"/>
    <w:rsid w:val="29F174B1"/>
    <w:rsid w:val="2A047719"/>
    <w:rsid w:val="2A0A6E59"/>
    <w:rsid w:val="2A106F1F"/>
    <w:rsid w:val="2A1F176D"/>
    <w:rsid w:val="2A1F27A5"/>
    <w:rsid w:val="2A2B2EF8"/>
    <w:rsid w:val="2A2C5E20"/>
    <w:rsid w:val="2A2D63B5"/>
    <w:rsid w:val="2A2F1F1E"/>
    <w:rsid w:val="2A391AB9"/>
    <w:rsid w:val="2A3D4927"/>
    <w:rsid w:val="2A401D9D"/>
    <w:rsid w:val="2A497822"/>
    <w:rsid w:val="2A5E426D"/>
    <w:rsid w:val="2A6660C1"/>
    <w:rsid w:val="2A69053B"/>
    <w:rsid w:val="2A706C7F"/>
    <w:rsid w:val="2A713C7F"/>
    <w:rsid w:val="2A7147D9"/>
    <w:rsid w:val="2A78126D"/>
    <w:rsid w:val="2A816DE6"/>
    <w:rsid w:val="2A8947DB"/>
    <w:rsid w:val="2A895E70"/>
    <w:rsid w:val="2A8D1AFD"/>
    <w:rsid w:val="2A9271E7"/>
    <w:rsid w:val="2A965385"/>
    <w:rsid w:val="2A97233B"/>
    <w:rsid w:val="2A972457"/>
    <w:rsid w:val="2AA66A22"/>
    <w:rsid w:val="2ABB7304"/>
    <w:rsid w:val="2AC817FF"/>
    <w:rsid w:val="2ACE1AD5"/>
    <w:rsid w:val="2AD510B6"/>
    <w:rsid w:val="2AD924CA"/>
    <w:rsid w:val="2AE72064"/>
    <w:rsid w:val="2AE729DA"/>
    <w:rsid w:val="2AF1047D"/>
    <w:rsid w:val="2AF81DD8"/>
    <w:rsid w:val="2AF91248"/>
    <w:rsid w:val="2AFE060C"/>
    <w:rsid w:val="2AFE7F0C"/>
    <w:rsid w:val="2B0A3ECC"/>
    <w:rsid w:val="2B294DB1"/>
    <w:rsid w:val="2B33447D"/>
    <w:rsid w:val="2B3E4EAD"/>
    <w:rsid w:val="2B3E5D0E"/>
    <w:rsid w:val="2B3E7934"/>
    <w:rsid w:val="2B536BAA"/>
    <w:rsid w:val="2B567AF0"/>
    <w:rsid w:val="2B610732"/>
    <w:rsid w:val="2B6C7C6C"/>
    <w:rsid w:val="2B7D025F"/>
    <w:rsid w:val="2B886128"/>
    <w:rsid w:val="2B8D4158"/>
    <w:rsid w:val="2B9335DC"/>
    <w:rsid w:val="2B942D1F"/>
    <w:rsid w:val="2B983ECA"/>
    <w:rsid w:val="2B9B22FF"/>
    <w:rsid w:val="2BA75ECB"/>
    <w:rsid w:val="2BB138D1"/>
    <w:rsid w:val="2BB62C95"/>
    <w:rsid w:val="2BB72D43"/>
    <w:rsid w:val="2BBD71D9"/>
    <w:rsid w:val="2BC445B9"/>
    <w:rsid w:val="2BCB64AE"/>
    <w:rsid w:val="2BDB7600"/>
    <w:rsid w:val="2BEB6DE3"/>
    <w:rsid w:val="2BF01C4F"/>
    <w:rsid w:val="2BF612E4"/>
    <w:rsid w:val="2BF71D69"/>
    <w:rsid w:val="2BFB575E"/>
    <w:rsid w:val="2BFD08C4"/>
    <w:rsid w:val="2C002162"/>
    <w:rsid w:val="2C035777"/>
    <w:rsid w:val="2C0E6DA4"/>
    <w:rsid w:val="2C0E70A9"/>
    <w:rsid w:val="2C1A6EB9"/>
    <w:rsid w:val="2C1F1AC9"/>
    <w:rsid w:val="2C2A243C"/>
    <w:rsid w:val="2C2A71DF"/>
    <w:rsid w:val="2C2C2F57"/>
    <w:rsid w:val="2C302A48"/>
    <w:rsid w:val="2C351E0C"/>
    <w:rsid w:val="2C3A5674"/>
    <w:rsid w:val="2C4040EE"/>
    <w:rsid w:val="2C477D91"/>
    <w:rsid w:val="2C4A10B5"/>
    <w:rsid w:val="2C4A329A"/>
    <w:rsid w:val="2C4A407F"/>
    <w:rsid w:val="2C4B0C83"/>
    <w:rsid w:val="2C4B162F"/>
    <w:rsid w:val="2C4E1904"/>
    <w:rsid w:val="2C4F180B"/>
    <w:rsid w:val="2C5016D4"/>
    <w:rsid w:val="2C51605B"/>
    <w:rsid w:val="2C623873"/>
    <w:rsid w:val="2C626979"/>
    <w:rsid w:val="2C673F8F"/>
    <w:rsid w:val="2C817F6A"/>
    <w:rsid w:val="2C82199F"/>
    <w:rsid w:val="2C822C4A"/>
    <w:rsid w:val="2C8479B6"/>
    <w:rsid w:val="2C855915"/>
    <w:rsid w:val="2C8949FE"/>
    <w:rsid w:val="2CAA1BF4"/>
    <w:rsid w:val="2CC1414B"/>
    <w:rsid w:val="2CC31B0E"/>
    <w:rsid w:val="2CD535EF"/>
    <w:rsid w:val="2CD63A16"/>
    <w:rsid w:val="2CE64BA5"/>
    <w:rsid w:val="2D045C82"/>
    <w:rsid w:val="2D0C1B61"/>
    <w:rsid w:val="2D0D0FDB"/>
    <w:rsid w:val="2D0D2D89"/>
    <w:rsid w:val="2D186DEB"/>
    <w:rsid w:val="2D1E19DF"/>
    <w:rsid w:val="2D1E6D44"/>
    <w:rsid w:val="2D216834"/>
    <w:rsid w:val="2D320D31"/>
    <w:rsid w:val="2D354363"/>
    <w:rsid w:val="2D3E1194"/>
    <w:rsid w:val="2D3E73E6"/>
    <w:rsid w:val="2D3F044C"/>
    <w:rsid w:val="2D47136C"/>
    <w:rsid w:val="2D4744ED"/>
    <w:rsid w:val="2D4A5D8B"/>
    <w:rsid w:val="2D5504D7"/>
    <w:rsid w:val="2D5664DE"/>
    <w:rsid w:val="2D5B3E67"/>
    <w:rsid w:val="2D626C0E"/>
    <w:rsid w:val="2D6410DD"/>
    <w:rsid w:val="2D6918FE"/>
    <w:rsid w:val="2D7163A4"/>
    <w:rsid w:val="2D7828F8"/>
    <w:rsid w:val="2D7B7CF2"/>
    <w:rsid w:val="2D7D7839"/>
    <w:rsid w:val="2D875713"/>
    <w:rsid w:val="2D8C01F5"/>
    <w:rsid w:val="2D8D245B"/>
    <w:rsid w:val="2D937732"/>
    <w:rsid w:val="2D9A6AF9"/>
    <w:rsid w:val="2D9B7F27"/>
    <w:rsid w:val="2DA34CD8"/>
    <w:rsid w:val="2DB17BB8"/>
    <w:rsid w:val="2DB96405"/>
    <w:rsid w:val="2DBB08D7"/>
    <w:rsid w:val="2DC62405"/>
    <w:rsid w:val="2DCA69B9"/>
    <w:rsid w:val="2DD9710F"/>
    <w:rsid w:val="2DE93825"/>
    <w:rsid w:val="2DEC6E42"/>
    <w:rsid w:val="2DF94BAE"/>
    <w:rsid w:val="2DFA6269"/>
    <w:rsid w:val="2E03257A"/>
    <w:rsid w:val="2E0C560D"/>
    <w:rsid w:val="2E0E6DB8"/>
    <w:rsid w:val="2E0F1BDF"/>
    <w:rsid w:val="2E0F5C61"/>
    <w:rsid w:val="2E142036"/>
    <w:rsid w:val="2E2268D1"/>
    <w:rsid w:val="2E290D28"/>
    <w:rsid w:val="2E352597"/>
    <w:rsid w:val="2E3B3926"/>
    <w:rsid w:val="2E3D4AF1"/>
    <w:rsid w:val="2E456552"/>
    <w:rsid w:val="2E496D0A"/>
    <w:rsid w:val="2E4D2C29"/>
    <w:rsid w:val="2E501652"/>
    <w:rsid w:val="2E514DC3"/>
    <w:rsid w:val="2E520D92"/>
    <w:rsid w:val="2E692241"/>
    <w:rsid w:val="2E770CDA"/>
    <w:rsid w:val="2E7A6325"/>
    <w:rsid w:val="2E7D5CEC"/>
    <w:rsid w:val="2E80471D"/>
    <w:rsid w:val="2E8452CD"/>
    <w:rsid w:val="2E8C5F2F"/>
    <w:rsid w:val="2E924F48"/>
    <w:rsid w:val="2E951288"/>
    <w:rsid w:val="2E9B0AC6"/>
    <w:rsid w:val="2EA75890"/>
    <w:rsid w:val="2EAB0AAB"/>
    <w:rsid w:val="2EB401C1"/>
    <w:rsid w:val="2EBC4A66"/>
    <w:rsid w:val="2EC13E2B"/>
    <w:rsid w:val="2EC753D2"/>
    <w:rsid w:val="2ECE6548"/>
    <w:rsid w:val="2ED26BAD"/>
    <w:rsid w:val="2EDA40AD"/>
    <w:rsid w:val="2EE87609"/>
    <w:rsid w:val="2EEA497C"/>
    <w:rsid w:val="2EEB0EA8"/>
    <w:rsid w:val="2EF444CA"/>
    <w:rsid w:val="2EFB298B"/>
    <w:rsid w:val="2F01691D"/>
    <w:rsid w:val="2F0A4903"/>
    <w:rsid w:val="2F0B0FAD"/>
    <w:rsid w:val="2F0E4F72"/>
    <w:rsid w:val="2F1403FE"/>
    <w:rsid w:val="2F1679A2"/>
    <w:rsid w:val="2F174C3D"/>
    <w:rsid w:val="2F206E4A"/>
    <w:rsid w:val="2F250E3B"/>
    <w:rsid w:val="2F2B1E8F"/>
    <w:rsid w:val="2F3F2610"/>
    <w:rsid w:val="2F451C2D"/>
    <w:rsid w:val="2F4B5DEA"/>
    <w:rsid w:val="2F541C99"/>
    <w:rsid w:val="2F57046A"/>
    <w:rsid w:val="2F590507"/>
    <w:rsid w:val="2F5A089B"/>
    <w:rsid w:val="2F612A17"/>
    <w:rsid w:val="2F633134"/>
    <w:rsid w:val="2F672985"/>
    <w:rsid w:val="2F682106"/>
    <w:rsid w:val="2F692858"/>
    <w:rsid w:val="2F6D5D61"/>
    <w:rsid w:val="2F7B66D0"/>
    <w:rsid w:val="2F7E7F6E"/>
    <w:rsid w:val="2F837A4C"/>
    <w:rsid w:val="2F89769B"/>
    <w:rsid w:val="2F8F20DF"/>
    <w:rsid w:val="2F917956"/>
    <w:rsid w:val="2F921E6A"/>
    <w:rsid w:val="2F940399"/>
    <w:rsid w:val="2F990913"/>
    <w:rsid w:val="2F9C21A2"/>
    <w:rsid w:val="2FB61F4F"/>
    <w:rsid w:val="2FB7522E"/>
    <w:rsid w:val="2FC0489B"/>
    <w:rsid w:val="2FC46619"/>
    <w:rsid w:val="2FCF694B"/>
    <w:rsid w:val="2FD33ADF"/>
    <w:rsid w:val="2FD3653B"/>
    <w:rsid w:val="2FD472F4"/>
    <w:rsid w:val="2FDA5E67"/>
    <w:rsid w:val="2FDD1780"/>
    <w:rsid w:val="2FE126DD"/>
    <w:rsid w:val="2FE9706B"/>
    <w:rsid w:val="2FE975F0"/>
    <w:rsid w:val="2FEC3129"/>
    <w:rsid w:val="2FF95846"/>
    <w:rsid w:val="2FFB1A6A"/>
    <w:rsid w:val="30000983"/>
    <w:rsid w:val="30055990"/>
    <w:rsid w:val="300B6158"/>
    <w:rsid w:val="300D700E"/>
    <w:rsid w:val="30126B4E"/>
    <w:rsid w:val="301277B1"/>
    <w:rsid w:val="30152D2F"/>
    <w:rsid w:val="30153346"/>
    <w:rsid w:val="30156353"/>
    <w:rsid w:val="301C0738"/>
    <w:rsid w:val="30233B2A"/>
    <w:rsid w:val="302A1EA4"/>
    <w:rsid w:val="302C1778"/>
    <w:rsid w:val="302D2B26"/>
    <w:rsid w:val="302D30A6"/>
    <w:rsid w:val="30403C29"/>
    <w:rsid w:val="3042421D"/>
    <w:rsid w:val="304A55B1"/>
    <w:rsid w:val="305807BF"/>
    <w:rsid w:val="30644772"/>
    <w:rsid w:val="306F52A8"/>
    <w:rsid w:val="307032E8"/>
    <w:rsid w:val="30704CC6"/>
    <w:rsid w:val="307B25E8"/>
    <w:rsid w:val="308642B3"/>
    <w:rsid w:val="309E246E"/>
    <w:rsid w:val="30AA3658"/>
    <w:rsid w:val="30AE2286"/>
    <w:rsid w:val="30AE6631"/>
    <w:rsid w:val="30AF6BC4"/>
    <w:rsid w:val="30B644A3"/>
    <w:rsid w:val="30CE166B"/>
    <w:rsid w:val="30CE55C8"/>
    <w:rsid w:val="30D140CD"/>
    <w:rsid w:val="30DB50D5"/>
    <w:rsid w:val="30DD3F27"/>
    <w:rsid w:val="30DE489E"/>
    <w:rsid w:val="30EC089E"/>
    <w:rsid w:val="30EE2ED1"/>
    <w:rsid w:val="30F304E8"/>
    <w:rsid w:val="30F32296"/>
    <w:rsid w:val="30F52CFA"/>
    <w:rsid w:val="30FA7AC8"/>
    <w:rsid w:val="30FD3CA6"/>
    <w:rsid w:val="310149B3"/>
    <w:rsid w:val="31017ADC"/>
    <w:rsid w:val="310B6B56"/>
    <w:rsid w:val="310E68AD"/>
    <w:rsid w:val="31126BC0"/>
    <w:rsid w:val="3118459C"/>
    <w:rsid w:val="311917B6"/>
    <w:rsid w:val="311C17EC"/>
    <w:rsid w:val="31231DD2"/>
    <w:rsid w:val="312608BD"/>
    <w:rsid w:val="312863E3"/>
    <w:rsid w:val="31295CB7"/>
    <w:rsid w:val="312F5B44"/>
    <w:rsid w:val="3131279D"/>
    <w:rsid w:val="3135465C"/>
    <w:rsid w:val="313905F0"/>
    <w:rsid w:val="314B257E"/>
    <w:rsid w:val="314B328A"/>
    <w:rsid w:val="315045FA"/>
    <w:rsid w:val="31523460"/>
    <w:rsid w:val="315630E8"/>
    <w:rsid w:val="31574285"/>
    <w:rsid w:val="315E3A28"/>
    <w:rsid w:val="3160383C"/>
    <w:rsid w:val="31666F0B"/>
    <w:rsid w:val="316A2F37"/>
    <w:rsid w:val="316B62D0"/>
    <w:rsid w:val="31705C7D"/>
    <w:rsid w:val="317062B6"/>
    <w:rsid w:val="31725D9D"/>
    <w:rsid w:val="317433D6"/>
    <w:rsid w:val="3179289B"/>
    <w:rsid w:val="31795FC2"/>
    <w:rsid w:val="317A4765"/>
    <w:rsid w:val="317F50EB"/>
    <w:rsid w:val="3185606E"/>
    <w:rsid w:val="318642D2"/>
    <w:rsid w:val="31864FFD"/>
    <w:rsid w:val="318869AB"/>
    <w:rsid w:val="319B5AB3"/>
    <w:rsid w:val="319C4A3C"/>
    <w:rsid w:val="319D59C2"/>
    <w:rsid w:val="31BB24EE"/>
    <w:rsid w:val="31C27FA8"/>
    <w:rsid w:val="31C64FD3"/>
    <w:rsid w:val="31D57C0E"/>
    <w:rsid w:val="31D641D8"/>
    <w:rsid w:val="31DD71CE"/>
    <w:rsid w:val="31E61640"/>
    <w:rsid w:val="31F57241"/>
    <w:rsid w:val="31F91B2E"/>
    <w:rsid w:val="31FD161E"/>
    <w:rsid w:val="3201418F"/>
    <w:rsid w:val="3203418B"/>
    <w:rsid w:val="32087FC3"/>
    <w:rsid w:val="320F4EAD"/>
    <w:rsid w:val="3216630D"/>
    <w:rsid w:val="32191325"/>
    <w:rsid w:val="321D4C62"/>
    <w:rsid w:val="322842EF"/>
    <w:rsid w:val="32342B66"/>
    <w:rsid w:val="32351D9D"/>
    <w:rsid w:val="323B62CA"/>
    <w:rsid w:val="32430E48"/>
    <w:rsid w:val="3246000F"/>
    <w:rsid w:val="32503088"/>
    <w:rsid w:val="32516877"/>
    <w:rsid w:val="32543A2E"/>
    <w:rsid w:val="32546D64"/>
    <w:rsid w:val="325D3E6B"/>
    <w:rsid w:val="32634ED6"/>
    <w:rsid w:val="326A47D9"/>
    <w:rsid w:val="326E42CA"/>
    <w:rsid w:val="32736509"/>
    <w:rsid w:val="3276317E"/>
    <w:rsid w:val="327B181C"/>
    <w:rsid w:val="327B3FA5"/>
    <w:rsid w:val="32823DDB"/>
    <w:rsid w:val="328626B9"/>
    <w:rsid w:val="32874C14"/>
    <w:rsid w:val="32904380"/>
    <w:rsid w:val="32976BE6"/>
    <w:rsid w:val="32981347"/>
    <w:rsid w:val="32A71F93"/>
    <w:rsid w:val="32AB773A"/>
    <w:rsid w:val="32AF7100"/>
    <w:rsid w:val="32B50A5D"/>
    <w:rsid w:val="32B954BB"/>
    <w:rsid w:val="32BE6D38"/>
    <w:rsid w:val="32BF4B25"/>
    <w:rsid w:val="32C947BB"/>
    <w:rsid w:val="32CD72CC"/>
    <w:rsid w:val="32CE034A"/>
    <w:rsid w:val="32CE3F9C"/>
    <w:rsid w:val="32D103B5"/>
    <w:rsid w:val="32D14ADB"/>
    <w:rsid w:val="32DC56D7"/>
    <w:rsid w:val="32DF2BCE"/>
    <w:rsid w:val="32E35176"/>
    <w:rsid w:val="32E427DE"/>
    <w:rsid w:val="32E4633A"/>
    <w:rsid w:val="32FE0237"/>
    <w:rsid w:val="33016D23"/>
    <w:rsid w:val="330771D2"/>
    <w:rsid w:val="330B463D"/>
    <w:rsid w:val="33155ECA"/>
    <w:rsid w:val="33182487"/>
    <w:rsid w:val="331B463D"/>
    <w:rsid w:val="33224DA6"/>
    <w:rsid w:val="3323216C"/>
    <w:rsid w:val="33240E2C"/>
    <w:rsid w:val="33245355"/>
    <w:rsid w:val="33270F22"/>
    <w:rsid w:val="3333106F"/>
    <w:rsid w:val="333371F3"/>
    <w:rsid w:val="33360887"/>
    <w:rsid w:val="333D0637"/>
    <w:rsid w:val="333D0CEC"/>
    <w:rsid w:val="333F17C2"/>
    <w:rsid w:val="334A3A91"/>
    <w:rsid w:val="334A46FB"/>
    <w:rsid w:val="334C5311"/>
    <w:rsid w:val="334E5EA9"/>
    <w:rsid w:val="3350065B"/>
    <w:rsid w:val="33547F33"/>
    <w:rsid w:val="3358439F"/>
    <w:rsid w:val="335F1E64"/>
    <w:rsid w:val="33631E0B"/>
    <w:rsid w:val="33641F81"/>
    <w:rsid w:val="336A13A5"/>
    <w:rsid w:val="336A4256"/>
    <w:rsid w:val="33872C3D"/>
    <w:rsid w:val="339A78CE"/>
    <w:rsid w:val="339C4E66"/>
    <w:rsid w:val="33A32227"/>
    <w:rsid w:val="33A361F5"/>
    <w:rsid w:val="33A67108"/>
    <w:rsid w:val="33AB3DCC"/>
    <w:rsid w:val="33B37F5C"/>
    <w:rsid w:val="33B7481C"/>
    <w:rsid w:val="33B95251"/>
    <w:rsid w:val="33BB5540"/>
    <w:rsid w:val="33C32FB0"/>
    <w:rsid w:val="33C50529"/>
    <w:rsid w:val="33C7731C"/>
    <w:rsid w:val="33D04B10"/>
    <w:rsid w:val="33D22636"/>
    <w:rsid w:val="33D75164"/>
    <w:rsid w:val="33D94875"/>
    <w:rsid w:val="33E83C08"/>
    <w:rsid w:val="33EF3432"/>
    <w:rsid w:val="33FA5772"/>
    <w:rsid w:val="33FB393B"/>
    <w:rsid w:val="340547BA"/>
    <w:rsid w:val="34067514"/>
    <w:rsid w:val="34086C8B"/>
    <w:rsid w:val="341E4DC2"/>
    <w:rsid w:val="3423623B"/>
    <w:rsid w:val="342A5F2C"/>
    <w:rsid w:val="342F7DEC"/>
    <w:rsid w:val="343126B5"/>
    <w:rsid w:val="34346E4D"/>
    <w:rsid w:val="34385DC7"/>
    <w:rsid w:val="344233E9"/>
    <w:rsid w:val="34476B80"/>
    <w:rsid w:val="34623692"/>
    <w:rsid w:val="34665642"/>
    <w:rsid w:val="346D124D"/>
    <w:rsid w:val="34711390"/>
    <w:rsid w:val="34757B91"/>
    <w:rsid w:val="3480243A"/>
    <w:rsid w:val="34853B4C"/>
    <w:rsid w:val="3486019B"/>
    <w:rsid w:val="34931A96"/>
    <w:rsid w:val="349561DB"/>
    <w:rsid w:val="349D086A"/>
    <w:rsid w:val="349F7FDC"/>
    <w:rsid w:val="34A03348"/>
    <w:rsid w:val="34A87F6D"/>
    <w:rsid w:val="34AF629B"/>
    <w:rsid w:val="34B02D58"/>
    <w:rsid w:val="34CF0F0F"/>
    <w:rsid w:val="34D649FE"/>
    <w:rsid w:val="34DB5BDC"/>
    <w:rsid w:val="34E206E1"/>
    <w:rsid w:val="34E263DB"/>
    <w:rsid w:val="34E4026A"/>
    <w:rsid w:val="34E7529C"/>
    <w:rsid w:val="34EC3AC9"/>
    <w:rsid w:val="34F2533E"/>
    <w:rsid w:val="34FA3BF3"/>
    <w:rsid w:val="34FB4A36"/>
    <w:rsid w:val="35143970"/>
    <w:rsid w:val="351533ED"/>
    <w:rsid w:val="351D7AE8"/>
    <w:rsid w:val="35301EC3"/>
    <w:rsid w:val="353115DE"/>
    <w:rsid w:val="35393682"/>
    <w:rsid w:val="3541200A"/>
    <w:rsid w:val="354168C4"/>
    <w:rsid w:val="35472BB0"/>
    <w:rsid w:val="3548790C"/>
    <w:rsid w:val="354D6418"/>
    <w:rsid w:val="35555B4E"/>
    <w:rsid w:val="355D42E6"/>
    <w:rsid w:val="356279EA"/>
    <w:rsid w:val="35654127"/>
    <w:rsid w:val="357557F7"/>
    <w:rsid w:val="357A4D33"/>
    <w:rsid w:val="357D1B56"/>
    <w:rsid w:val="357F56BE"/>
    <w:rsid w:val="358149EF"/>
    <w:rsid w:val="359258CF"/>
    <w:rsid w:val="35941EE4"/>
    <w:rsid w:val="359779FE"/>
    <w:rsid w:val="35984047"/>
    <w:rsid w:val="35996A01"/>
    <w:rsid w:val="359E4EC6"/>
    <w:rsid w:val="35A3159E"/>
    <w:rsid w:val="35B57271"/>
    <w:rsid w:val="35B6181A"/>
    <w:rsid w:val="35BD7658"/>
    <w:rsid w:val="35BE11A8"/>
    <w:rsid w:val="35C9607E"/>
    <w:rsid w:val="35CD3B05"/>
    <w:rsid w:val="35CE07E8"/>
    <w:rsid w:val="35D24B6F"/>
    <w:rsid w:val="35D723E7"/>
    <w:rsid w:val="35DA3A24"/>
    <w:rsid w:val="35DA5DB0"/>
    <w:rsid w:val="35DB5EC1"/>
    <w:rsid w:val="35E23E2E"/>
    <w:rsid w:val="35E7439C"/>
    <w:rsid w:val="35ED2F28"/>
    <w:rsid w:val="35F11419"/>
    <w:rsid w:val="35F418C0"/>
    <w:rsid w:val="35F5085E"/>
    <w:rsid w:val="36025A84"/>
    <w:rsid w:val="36032F7B"/>
    <w:rsid w:val="3612647C"/>
    <w:rsid w:val="36147018"/>
    <w:rsid w:val="362128FE"/>
    <w:rsid w:val="36260A17"/>
    <w:rsid w:val="362A49AB"/>
    <w:rsid w:val="362A675A"/>
    <w:rsid w:val="362C6B8B"/>
    <w:rsid w:val="36317AE8"/>
    <w:rsid w:val="363475D8"/>
    <w:rsid w:val="36360607"/>
    <w:rsid w:val="363C4DE7"/>
    <w:rsid w:val="363D2F83"/>
    <w:rsid w:val="36455341"/>
    <w:rsid w:val="364907A3"/>
    <w:rsid w:val="36571E8A"/>
    <w:rsid w:val="3667099E"/>
    <w:rsid w:val="3667669B"/>
    <w:rsid w:val="366854D4"/>
    <w:rsid w:val="36706B22"/>
    <w:rsid w:val="367865FB"/>
    <w:rsid w:val="36835E6A"/>
    <w:rsid w:val="368A2F3E"/>
    <w:rsid w:val="368F480F"/>
    <w:rsid w:val="369333B7"/>
    <w:rsid w:val="369342FF"/>
    <w:rsid w:val="36965B9D"/>
    <w:rsid w:val="369F5C48"/>
    <w:rsid w:val="36A155A7"/>
    <w:rsid w:val="36A35C8D"/>
    <w:rsid w:val="36A93B22"/>
    <w:rsid w:val="36AC716F"/>
    <w:rsid w:val="36BE73B3"/>
    <w:rsid w:val="36BF714A"/>
    <w:rsid w:val="36C06A28"/>
    <w:rsid w:val="36C32574"/>
    <w:rsid w:val="36C41988"/>
    <w:rsid w:val="36C73FA8"/>
    <w:rsid w:val="36C871D4"/>
    <w:rsid w:val="36CC43AF"/>
    <w:rsid w:val="36D31D90"/>
    <w:rsid w:val="36DC35FA"/>
    <w:rsid w:val="36DD1A1E"/>
    <w:rsid w:val="36E0221D"/>
    <w:rsid w:val="36E0288E"/>
    <w:rsid w:val="36E345A3"/>
    <w:rsid w:val="36E67C80"/>
    <w:rsid w:val="36F2632E"/>
    <w:rsid w:val="370878A0"/>
    <w:rsid w:val="370B7204"/>
    <w:rsid w:val="370F5BF3"/>
    <w:rsid w:val="371F6FE6"/>
    <w:rsid w:val="372B776E"/>
    <w:rsid w:val="372C3876"/>
    <w:rsid w:val="37455673"/>
    <w:rsid w:val="375901B0"/>
    <w:rsid w:val="37592C62"/>
    <w:rsid w:val="376143FD"/>
    <w:rsid w:val="37621CCD"/>
    <w:rsid w:val="37672250"/>
    <w:rsid w:val="37695EFA"/>
    <w:rsid w:val="376A7405"/>
    <w:rsid w:val="376B527C"/>
    <w:rsid w:val="376B62D4"/>
    <w:rsid w:val="377063EE"/>
    <w:rsid w:val="37712166"/>
    <w:rsid w:val="37721846"/>
    <w:rsid w:val="37734130"/>
    <w:rsid w:val="377C4D93"/>
    <w:rsid w:val="377D6D5D"/>
    <w:rsid w:val="377E2FB7"/>
    <w:rsid w:val="378352D8"/>
    <w:rsid w:val="378656E9"/>
    <w:rsid w:val="378C0712"/>
    <w:rsid w:val="378C393B"/>
    <w:rsid w:val="378D61E4"/>
    <w:rsid w:val="37910951"/>
    <w:rsid w:val="379561F9"/>
    <w:rsid w:val="379E7954"/>
    <w:rsid w:val="379F0AA2"/>
    <w:rsid w:val="37A147F9"/>
    <w:rsid w:val="37A33238"/>
    <w:rsid w:val="37A54D04"/>
    <w:rsid w:val="37A75B88"/>
    <w:rsid w:val="37A974A4"/>
    <w:rsid w:val="37AA1CCC"/>
    <w:rsid w:val="37AF7D92"/>
    <w:rsid w:val="37AF7EE0"/>
    <w:rsid w:val="37B51B38"/>
    <w:rsid w:val="37B85ECB"/>
    <w:rsid w:val="37BC1633"/>
    <w:rsid w:val="37BE08A2"/>
    <w:rsid w:val="37C87AAE"/>
    <w:rsid w:val="37CA01F4"/>
    <w:rsid w:val="37CD55EE"/>
    <w:rsid w:val="37CF1981"/>
    <w:rsid w:val="37D2440C"/>
    <w:rsid w:val="37D42E21"/>
    <w:rsid w:val="37DB599D"/>
    <w:rsid w:val="37F2136C"/>
    <w:rsid w:val="37F45271"/>
    <w:rsid w:val="37F52D97"/>
    <w:rsid w:val="37F561E6"/>
    <w:rsid w:val="37F60FE9"/>
    <w:rsid w:val="37FA274B"/>
    <w:rsid w:val="37FC04AB"/>
    <w:rsid w:val="38080218"/>
    <w:rsid w:val="380B1E16"/>
    <w:rsid w:val="380B6117"/>
    <w:rsid w:val="38105348"/>
    <w:rsid w:val="381D2CE6"/>
    <w:rsid w:val="38206AF7"/>
    <w:rsid w:val="3825731A"/>
    <w:rsid w:val="382A3096"/>
    <w:rsid w:val="382A6E0F"/>
    <w:rsid w:val="38392C84"/>
    <w:rsid w:val="38397128"/>
    <w:rsid w:val="384122EC"/>
    <w:rsid w:val="384344D3"/>
    <w:rsid w:val="3847495D"/>
    <w:rsid w:val="384818BA"/>
    <w:rsid w:val="385D0CEB"/>
    <w:rsid w:val="3866173D"/>
    <w:rsid w:val="386D6DD1"/>
    <w:rsid w:val="3870318F"/>
    <w:rsid w:val="38726196"/>
    <w:rsid w:val="387939C8"/>
    <w:rsid w:val="38877407"/>
    <w:rsid w:val="388B06CF"/>
    <w:rsid w:val="388B5B4D"/>
    <w:rsid w:val="388D4D7E"/>
    <w:rsid w:val="38931E37"/>
    <w:rsid w:val="38936CED"/>
    <w:rsid w:val="389F684B"/>
    <w:rsid w:val="38A32936"/>
    <w:rsid w:val="38AD5A5E"/>
    <w:rsid w:val="38B4055C"/>
    <w:rsid w:val="38B467AE"/>
    <w:rsid w:val="38B86BCD"/>
    <w:rsid w:val="38BD1242"/>
    <w:rsid w:val="38BD1B07"/>
    <w:rsid w:val="38C74734"/>
    <w:rsid w:val="38C81E6C"/>
    <w:rsid w:val="38C92DDF"/>
    <w:rsid w:val="38D66725"/>
    <w:rsid w:val="38D84F92"/>
    <w:rsid w:val="38DA28E3"/>
    <w:rsid w:val="38DE382B"/>
    <w:rsid w:val="38EA7D3C"/>
    <w:rsid w:val="38F92413"/>
    <w:rsid w:val="38FE2276"/>
    <w:rsid w:val="39043DB8"/>
    <w:rsid w:val="39047124"/>
    <w:rsid w:val="39051213"/>
    <w:rsid w:val="39113C01"/>
    <w:rsid w:val="391332F6"/>
    <w:rsid w:val="391667AB"/>
    <w:rsid w:val="39167469"/>
    <w:rsid w:val="391B05DB"/>
    <w:rsid w:val="391D4354"/>
    <w:rsid w:val="391E1AF1"/>
    <w:rsid w:val="39225AD9"/>
    <w:rsid w:val="3922727F"/>
    <w:rsid w:val="39243934"/>
    <w:rsid w:val="392F1402"/>
    <w:rsid w:val="3932023F"/>
    <w:rsid w:val="3934619F"/>
    <w:rsid w:val="394C69E7"/>
    <w:rsid w:val="394F0285"/>
    <w:rsid w:val="39512953"/>
    <w:rsid w:val="39516662"/>
    <w:rsid w:val="39561D2C"/>
    <w:rsid w:val="39644FDE"/>
    <w:rsid w:val="39660B6F"/>
    <w:rsid w:val="396B18F5"/>
    <w:rsid w:val="396E6BFE"/>
    <w:rsid w:val="397F31CA"/>
    <w:rsid w:val="39894B3E"/>
    <w:rsid w:val="398A2824"/>
    <w:rsid w:val="398E6FFF"/>
    <w:rsid w:val="39A20CFD"/>
    <w:rsid w:val="39A75E83"/>
    <w:rsid w:val="39AA35E8"/>
    <w:rsid w:val="39AE702A"/>
    <w:rsid w:val="39B50A30"/>
    <w:rsid w:val="39B62978"/>
    <w:rsid w:val="39B747A8"/>
    <w:rsid w:val="39CC096E"/>
    <w:rsid w:val="39CC0F50"/>
    <w:rsid w:val="39D013C6"/>
    <w:rsid w:val="39E60BE9"/>
    <w:rsid w:val="39E73698"/>
    <w:rsid w:val="39F30880"/>
    <w:rsid w:val="39F72DF7"/>
    <w:rsid w:val="39FA49B1"/>
    <w:rsid w:val="39FB4D8F"/>
    <w:rsid w:val="39FE4EB6"/>
    <w:rsid w:val="39FF3A59"/>
    <w:rsid w:val="3A067163"/>
    <w:rsid w:val="3A080B60"/>
    <w:rsid w:val="3A0E43A9"/>
    <w:rsid w:val="3A131647"/>
    <w:rsid w:val="3A207BDC"/>
    <w:rsid w:val="3A2619FB"/>
    <w:rsid w:val="3A296D8E"/>
    <w:rsid w:val="3A2B0CF2"/>
    <w:rsid w:val="3A2B5401"/>
    <w:rsid w:val="3A4756F3"/>
    <w:rsid w:val="3A4A561C"/>
    <w:rsid w:val="3A4E7A20"/>
    <w:rsid w:val="3A5262EA"/>
    <w:rsid w:val="3A5913BB"/>
    <w:rsid w:val="3A5A5133"/>
    <w:rsid w:val="3A5C62C1"/>
    <w:rsid w:val="3A5F7D57"/>
    <w:rsid w:val="3A6A7A6C"/>
    <w:rsid w:val="3A6B3DFF"/>
    <w:rsid w:val="3A6C1FFF"/>
    <w:rsid w:val="3A6D1460"/>
    <w:rsid w:val="3A6E37BE"/>
    <w:rsid w:val="3A7152A8"/>
    <w:rsid w:val="3A770D92"/>
    <w:rsid w:val="3A7B3A28"/>
    <w:rsid w:val="3A7F3C43"/>
    <w:rsid w:val="3A851A34"/>
    <w:rsid w:val="3A8C79E3"/>
    <w:rsid w:val="3A970136"/>
    <w:rsid w:val="3A9B5E78"/>
    <w:rsid w:val="3AA27206"/>
    <w:rsid w:val="3AA700A1"/>
    <w:rsid w:val="3AA8084F"/>
    <w:rsid w:val="3AAA6FAD"/>
    <w:rsid w:val="3AB947E1"/>
    <w:rsid w:val="3AC32CD9"/>
    <w:rsid w:val="3ACF78CF"/>
    <w:rsid w:val="3ADE5D64"/>
    <w:rsid w:val="3AE671D5"/>
    <w:rsid w:val="3AE72E6B"/>
    <w:rsid w:val="3AEA37F3"/>
    <w:rsid w:val="3AED1BBB"/>
    <w:rsid w:val="3AF21490"/>
    <w:rsid w:val="3AFA7DAE"/>
    <w:rsid w:val="3B044EA2"/>
    <w:rsid w:val="3B0752BB"/>
    <w:rsid w:val="3B1F0857"/>
    <w:rsid w:val="3B2C6648"/>
    <w:rsid w:val="3B390A93"/>
    <w:rsid w:val="3B3A575C"/>
    <w:rsid w:val="3B3D6F2F"/>
    <w:rsid w:val="3B3F4A55"/>
    <w:rsid w:val="3B3F7E3E"/>
    <w:rsid w:val="3B5A31DA"/>
    <w:rsid w:val="3B5D2003"/>
    <w:rsid w:val="3B614F1D"/>
    <w:rsid w:val="3B643511"/>
    <w:rsid w:val="3B6566A6"/>
    <w:rsid w:val="3B6A7123"/>
    <w:rsid w:val="3B73316E"/>
    <w:rsid w:val="3B7A303F"/>
    <w:rsid w:val="3B7F30A4"/>
    <w:rsid w:val="3B8C1D59"/>
    <w:rsid w:val="3B9B15AF"/>
    <w:rsid w:val="3B9D79CE"/>
    <w:rsid w:val="3BA527DF"/>
    <w:rsid w:val="3BA63804"/>
    <w:rsid w:val="3BB6283D"/>
    <w:rsid w:val="3BBA0580"/>
    <w:rsid w:val="3BC44F5A"/>
    <w:rsid w:val="3BD3519D"/>
    <w:rsid w:val="3BD36B6B"/>
    <w:rsid w:val="3BDE524C"/>
    <w:rsid w:val="3BE26AE1"/>
    <w:rsid w:val="3BE439CC"/>
    <w:rsid w:val="3BF13876"/>
    <w:rsid w:val="3BF22375"/>
    <w:rsid w:val="3C0161AE"/>
    <w:rsid w:val="3C1F3E49"/>
    <w:rsid w:val="3C24404F"/>
    <w:rsid w:val="3C277DB9"/>
    <w:rsid w:val="3C410359"/>
    <w:rsid w:val="3C537E81"/>
    <w:rsid w:val="3C555A1E"/>
    <w:rsid w:val="3C5B317F"/>
    <w:rsid w:val="3C651580"/>
    <w:rsid w:val="3C770CF1"/>
    <w:rsid w:val="3C7C3A87"/>
    <w:rsid w:val="3C82611B"/>
    <w:rsid w:val="3C892371"/>
    <w:rsid w:val="3C8C25D2"/>
    <w:rsid w:val="3C95770C"/>
    <w:rsid w:val="3C987704"/>
    <w:rsid w:val="3CA32DC2"/>
    <w:rsid w:val="3CA619B1"/>
    <w:rsid w:val="3CAC611A"/>
    <w:rsid w:val="3CAF3139"/>
    <w:rsid w:val="3CB13731"/>
    <w:rsid w:val="3CC33464"/>
    <w:rsid w:val="3CC80C7F"/>
    <w:rsid w:val="3CD916F6"/>
    <w:rsid w:val="3CE70DB8"/>
    <w:rsid w:val="3CE83692"/>
    <w:rsid w:val="3CF17FD1"/>
    <w:rsid w:val="3CF35A94"/>
    <w:rsid w:val="3CF41400"/>
    <w:rsid w:val="3CF63839"/>
    <w:rsid w:val="3CFC17D0"/>
    <w:rsid w:val="3D09356D"/>
    <w:rsid w:val="3D0D2FB0"/>
    <w:rsid w:val="3D1513A5"/>
    <w:rsid w:val="3D163594"/>
    <w:rsid w:val="3D1825A2"/>
    <w:rsid w:val="3D191A51"/>
    <w:rsid w:val="3D22283E"/>
    <w:rsid w:val="3D2263DC"/>
    <w:rsid w:val="3D3103CE"/>
    <w:rsid w:val="3D3E226D"/>
    <w:rsid w:val="3D3F2217"/>
    <w:rsid w:val="3D4520CB"/>
    <w:rsid w:val="3D5134CB"/>
    <w:rsid w:val="3D55447E"/>
    <w:rsid w:val="3D600CB3"/>
    <w:rsid w:val="3D6179CB"/>
    <w:rsid w:val="3D6F73FC"/>
    <w:rsid w:val="3D7130B2"/>
    <w:rsid w:val="3D73400A"/>
    <w:rsid w:val="3D884472"/>
    <w:rsid w:val="3D8E3A72"/>
    <w:rsid w:val="3D8F7BCA"/>
    <w:rsid w:val="3D9034BE"/>
    <w:rsid w:val="3D917CF4"/>
    <w:rsid w:val="3D9C187B"/>
    <w:rsid w:val="3D9F17DB"/>
    <w:rsid w:val="3DA20767"/>
    <w:rsid w:val="3DAA0180"/>
    <w:rsid w:val="3DAD45E9"/>
    <w:rsid w:val="3DB652AD"/>
    <w:rsid w:val="3DBE0321"/>
    <w:rsid w:val="3DC2196D"/>
    <w:rsid w:val="3DCF03F9"/>
    <w:rsid w:val="3DDA706A"/>
    <w:rsid w:val="3DDF423F"/>
    <w:rsid w:val="3DE939FC"/>
    <w:rsid w:val="3DEF41EA"/>
    <w:rsid w:val="3DF02037"/>
    <w:rsid w:val="3DF16CDF"/>
    <w:rsid w:val="3DF60BBB"/>
    <w:rsid w:val="3E014687"/>
    <w:rsid w:val="3E0D0E3B"/>
    <w:rsid w:val="3E1D08B5"/>
    <w:rsid w:val="3E2145FB"/>
    <w:rsid w:val="3E2239FA"/>
    <w:rsid w:val="3E247F32"/>
    <w:rsid w:val="3E3143FD"/>
    <w:rsid w:val="3E342DF1"/>
    <w:rsid w:val="3E351707"/>
    <w:rsid w:val="3E36420B"/>
    <w:rsid w:val="3E3846C5"/>
    <w:rsid w:val="3E390643"/>
    <w:rsid w:val="3E3A0201"/>
    <w:rsid w:val="3E3A59A8"/>
    <w:rsid w:val="3E3B796C"/>
    <w:rsid w:val="3E3F21B1"/>
    <w:rsid w:val="3E4920FF"/>
    <w:rsid w:val="3E4A5B2A"/>
    <w:rsid w:val="3E523112"/>
    <w:rsid w:val="3E5C147A"/>
    <w:rsid w:val="3E5C392E"/>
    <w:rsid w:val="3E5C4D5B"/>
    <w:rsid w:val="3E647817"/>
    <w:rsid w:val="3E654263"/>
    <w:rsid w:val="3E7B46E8"/>
    <w:rsid w:val="3E7E66BF"/>
    <w:rsid w:val="3E813130"/>
    <w:rsid w:val="3E9514D0"/>
    <w:rsid w:val="3E9A368F"/>
    <w:rsid w:val="3E9E6530"/>
    <w:rsid w:val="3EAD30B6"/>
    <w:rsid w:val="3EB43064"/>
    <w:rsid w:val="3EB81A14"/>
    <w:rsid w:val="3EB85781"/>
    <w:rsid w:val="3EBA3015"/>
    <w:rsid w:val="3EBE72FD"/>
    <w:rsid w:val="3EBF0C71"/>
    <w:rsid w:val="3EC52C0E"/>
    <w:rsid w:val="3ECC2AA4"/>
    <w:rsid w:val="3ECC4F11"/>
    <w:rsid w:val="3ECF60F0"/>
    <w:rsid w:val="3ED90C96"/>
    <w:rsid w:val="3ED951C1"/>
    <w:rsid w:val="3EDE27D7"/>
    <w:rsid w:val="3EED47C8"/>
    <w:rsid w:val="3EF11F0E"/>
    <w:rsid w:val="3EF6342D"/>
    <w:rsid w:val="3EFB5E90"/>
    <w:rsid w:val="3F081602"/>
    <w:rsid w:val="3F0A35CC"/>
    <w:rsid w:val="3F104137"/>
    <w:rsid w:val="3F1400B3"/>
    <w:rsid w:val="3F140594"/>
    <w:rsid w:val="3F152851"/>
    <w:rsid w:val="3F1925D1"/>
    <w:rsid w:val="3F2006FA"/>
    <w:rsid w:val="3F2356B2"/>
    <w:rsid w:val="3F3A0789"/>
    <w:rsid w:val="3F454604"/>
    <w:rsid w:val="3F456272"/>
    <w:rsid w:val="3F4568C2"/>
    <w:rsid w:val="3F535B1A"/>
    <w:rsid w:val="3F544847"/>
    <w:rsid w:val="3F553CBB"/>
    <w:rsid w:val="3F6B1805"/>
    <w:rsid w:val="3F6F2CA5"/>
    <w:rsid w:val="3F6F74A6"/>
    <w:rsid w:val="3F704041"/>
    <w:rsid w:val="3F7222FD"/>
    <w:rsid w:val="3F8142FF"/>
    <w:rsid w:val="3F88428B"/>
    <w:rsid w:val="3F8A23C9"/>
    <w:rsid w:val="3F9134F1"/>
    <w:rsid w:val="3F92608C"/>
    <w:rsid w:val="3F964FE0"/>
    <w:rsid w:val="3F997779"/>
    <w:rsid w:val="3FA26DC7"/>
    <w:rsid w:val="3FB376C0"/>
    <w:rsid w:val="3FBD4CDE"/>
    <w:rsid w:val="3FBE71EB"/>
    <w:rsid w:val="3FC073EB"/>
    <w:rsid w:val="3FC27A03"/>
    <w:rsid w:val="3FC40F33"/>
    <w:rsid w:val="3FC96FE3"/>
    <w:rsid w:val="3FCC5DA0"/>
    <w:rsid w:val="3FDE235C"/>
    <w:rsid w:val="3FDF6807"/>
    <w:rsid w:val="3FE07E89"/>
    <w:rsid w:val="3FEF50DC"/>
    <w:rsid w:val="3FF43FD3"/>
    <w:rsid w:val="400F2C87"/>
    <w:rsid w:val="401D04E8"/>
    <w:rsid w:val="401F09B1"/>
    <w:rsid w:val="40200374"/>
    <w:rsid w:val="40261ECE"/>
    <w:rsid w:val="402B1A4C"/>
    <w:rsid w:val="402D7572"/>
    <w:rsid w:val="403673E9"/>
    <w:rsid w:val="40373AAA"/>
    <w:rsid w:val="403A57EB"/>
    <w:rsid w:val="403C641F"/>
    <w:rsid w:val="403C7AC4"/>
    <w:rsid w:val="40423D07"/>
    <w:rsid w:val="4044724F"/>
    <w:rsid w:val="40454AA0"/>
    <w:rsid w:val="40462F23"/>
    <w:rsid w:val="40464542"/>
    <w:rsid w:val="40480A89"/>
    <w:rsid w:val="40627D02"/>
    <w:rsid w:val="4067459F"/>
    <w:rsid w:val="4070615F"/>
    <w:rsid w:val="4090365D"/>
    <w:rsid w:val="40905D53"/>
    <w:rsid w:val="4092255F"/>
    <w:rsid w:val="40924E1B"/>
    <w:rsid w:val="40A04D80"/>
    <w:rsid w:val="40A72962"/>
    <w:rsid w:val="40A92971"/>
    <w:rsid w:val="40B530C4"/>
    <w:rsid w:val="40C003E6"/>
    <w:rsid w:val="40CA06EF"/>
    <w:rsid w:val="40CE7EEC"/>
    <w:rsid w:val="40D72FB1"/>
    <w:rsid w:val="40DC68A2"/>
    <w:rsid w:val="40DE2279"/>
    <w:rsid w:val="40E21AD4"/>
    <w:rsid w:val="40E83499"/>
    <w:rsid w:val="40EA121D"/>
    <w:rsid w:val="40EB0C8F"/>
    <w:rsid w:val="40F24318"/>
    <w:rsid w:val="40FA4F7A"/>
    <w:rsid w:val="40FC3E1B"/>
    <w:rsid w:val="41034E0B"/>
    <w:rsid w:val="41125455"/>
    <w:rsid w:val="411566A8"/>
    <w:rsid w:val="41173D7E"/>
    <w:rsid w:val="41202C33"/>
    <w:rsid w:val="41212130"/>
    <w:rsid w:val="41241AE4"/>
    <w:rsid w:val="41275362"/>
    <w:rsid w:val="412768C3"/>
    <w:rsid w:val="412828F9"/>
    <w:rsid w:val="41313092"/>
    <w:rsid w:val="41320F0C"/>
    <w:rsid w:val="413B567A"/>
    <w:rsid w:val="413E755D"/>
    <w:rsid w:val="413E7B2F"/>
    <w:rsid w:val="41401527"/>
    <w:rsid w:val="414B2885"/>
    <w:rsid w:val="414C755A"/>
    <w:rsid w:val="414D154E"/>
    <w:rsid w:val="41581F02"/>
    <w:rsid w:val="415A48B5"/>
    <w:rsid w:val="415E18CC"/>
    <w:rsid w:val="415E375B"/>
    <w:rsid w:val="41605725"/>
    <w:rsid w:val="41646EE2"/>
    <w:rsid w:val="41651C42"/>
    <w:rsid w:val="4167521D"/>
    <w:rsid w:val="41681C6B"/>
    <w:rsid w:val="416A2100"/>
    <w:rsid w:val="416C134E"/>
    <w:rsid w:val="416E4340"/>
    <w:rsid w:val="416F4EB9"/>
    <w:rsid w:val="41727207"/>
    <w:rsid w:val="41752637"/>
    <w:rsid w:val="4176435E"/>
    <w:rsid w:val="417A606C"/>
    <w:rsid w:val="417C7023"/>
    <w:rsid w:val="41840C10"/>
    <w:rsid w:val="418A2804"/>
    <w:rsid w:val="418C2200"/>
    <w:rsid w:val="41906AC2"/>
    <w:rsid w:val="419F015A"/>
    <w:rsid w:val="41A01FC6"/>
    <w:rsid w:val="41A360B9"/>
    <w:rsid w:val="41B96BE3"/>
    <w:rsid w:val="41BE7E42"/>
    <w:rsid w:val="41BF069E"/>
    <w:rsid w:val="41BF3E63"/>
    <w:rsid w:val="41C21F3C"/>
    <w:rsid w:val="41C64634"/>
    <w:rsid w:val="41C95E74"/>
    <w:rsid w:val="41D63F61"/>
    <w:rsid w:val="41D971E6"/>
    <w:rsid w:val="41DC1B54"/>
    <w:rsid w:val="41DC7E80"/>
    <w:rsid w:val="41EA3241"/>
    <w:rsid w:val="41EE0F83"/>
    <w:rsid w:val="41F57B8B"/>
    <w:rsid w:val="42002A64"/>
    <w:rsid w:val="42072A91"/>
    <w:rsid w:val="420A64CE"/>
    <w:rsid w:val="4217035F"/>
    <w:rsid w:val="42205707"/>
    <w:rsid w:val="42253C46"/>
    <w:rsid w:val="422E5823"/>
    <w:rsid w:val="42326E07"/>
    <w:rsid w:val="42330B56"/>
    <w:rsid w:val="42356728"/>
    <w:rsid w:val="42377799"/>
    <w:rsid w:val="42387954"/>
    <w:rsid w:val="424665ED"/>
    <w:rsid w:val="424E5BE4"/>
    <w:rsid w:val="42504945"/>
    <w:rsid w:val="42513B85"/>
    <w:rsid w:val="426254CD"/>
    <w:rsid w:val="42671DAC"/>
    <w:rsid w:val="42687EB7"/>
    <w:rsid w:val="42786A9F"/>
    <w:rsid w:val="427D161B"/>
    <w:rsid w:val="42882FE1"/>
    <w:rsid w:val="428D4F27"/>
    <w:rsid w:val="42911747"/>
    <w:rsid w:val="42945570"/>
    <w:rsid w:val="4299172F"/>
    <w:rsid w:val="42994B53"/>
    <w:rsid w:val="429B09F9"/>
    <w:rsid w:val="429C278D"/>
    <w:rsid w:val="42AB02FE"/>
    <w:rsid w:val="42B33603"/>
    <w:rsid w:val="42B77749"/>
    <w:rsid w:val="42C85330"/>
    <w:rsid w:val="42DE686E"/>
    <w:rsid w:val="42E47468"/>
    <w:rsid w:val="42E9367D"/>
    <w:rsid w:val="42FA7493"/>
    <w:rsid w:val="42FC155B"/>
    <w:rsid w:val="42FF46C0"/>
    <w:rsid w:val="4304511C"/>
    <w:rsid w:val="43087A30"/>
    <w:rsid w:val="430B02DB"/>
    <w:rsid w:val="43106935"/>
    <w:rsid w:val="431C567C"/>
    <w:rsid w:val="43237164"/>
    <w:rsid w:val="4324422F"/>
    <w:rsid w:val="432A3E57"/>
    <w:rsid w:val="432E3B57"/>
    <w:rsid w:val="43373E19"/>
    <w:rsid w:val="43374264"/>
    <w:rsid w:val="435172B7"/>
    <w:rsid w:val="436037BB"/>
    <w:rsid w:val="43607C5E"/>
    <w:rsid w:val="43617C1D"/>
    <w:rsid w:val="43617EE7"/>
    <w:rsid w:val="43653B74"/>
    <w:rsid w:val="43686B13"/>
    <w:rsid w:val="437159C8"/>
    <w:rsid w:val="43792ACE"/>
    <w:rsid w:val="4379487C"/>
    <w:rsid w:val="43825A45"/>
    <w:rsid w:val="43860F87"/>
    <w:rsid w:val="43876962"/>
    <w:rsid w:val="438A6B52"/>
    <w:rsid w:val="438E177B"/>
    <w:rsid w:val="438E6981"/>
    <w:rsid w:val="43943464"/>
    <w:rsid w:val="43947908"/>
    <w:rsid w:val="4396542E"/>
    <w:rsid w:val="43A00155"/>
    <w:rsid w:val="43A455EE"/>
    <w:rsid w:val="43B47DBF"/>
    <w:rsid w:val="43B50C33"/>
    <w:rsid w:val="43B807E2"/>
    <w:rsid w:val="43C27FD1"/>
    <w:rsid w:val="43C567F0"/>
    <w:rsid w:val="43C6257E"/>
    <w:rsid w:val="43CE61F3"/>
    <w:rsid w:val="43D63A7D"/>
    <w:rsid w:val="43EA7BD7"/>
    <w:rsid w:val="43EC11EF"/>
    <w:rsid w:val="43FB1E56"/>
    <w:rsid w:val="43FE54AC"/>
    <w:rsid w:val="44067207"/>
    <w:rsid w:val="44077C63"/>
    <w:rsid w:val="44103433"/>
    <w:rsid w:val="44184F2E"/>
    <w:rsid w:val="442A5B77"/>
    <w:rsid w:val="442E2670"/>
    <w:rsid w:val="44313C40"/>
    <w:rsid w:val="4437765E"/>
    <w:rsid w:val="443D2B78"/>
    <w:rsid w:val="44466BA0"/>
    <w:rsid w:val="444F63D4"/>
    <w:rsid w:val="44587A26"/>
    <w:rsid w:val="44730537"/>
    <w:rsid w:val="44741875"/>
    <w:rsid w:val="4474734A"/>
    <w:rsid w:val="44770043"/>
    <w:rsid w:val="447D039C"/>
    <w:rsid w:val="44801C3A"/>
    <w:rsid w:val="44856A0F"/>
    <w:rsid w:val="44966287"/>
    <w:rsid w:val="449E610E"/>
    <w:rsid w:val="449F0313"/>
    <w:rsid w:val="44A206D2"/>
    <w:rsid w:val="44A833B3"/>
    <w:rsid w:val="44AC72BB"/>
    <w:rsid w:val="44B31A22"/>
    <w:rsid w:val="44B8098A"/>
    <w:rsid w:val="44C775FA"/>
    <w:rsid w:val="44C85ABB"/>
    <w:rsid w:val="44D012CD"/>
    <w:rsid w:val="44DB1B93"/>
    <w:rsid w:val="44E623E5"/>
    <w:rsid w:val="44F96329"/>
    <w:rsid w:val="44FD0994"/>
    <w:rsid w:val="45060392"/>
    <w:rsid w:val="45091C30"/>
    <w:rsid w:val="450D7972"/>
    <w:rsid w:val="45123D4D"/>
    <w:rsid w:val="45164116"/>
    <w:rsid w:val="451E392D"/>
    <w:rsid w:val="452B716C"/>
    <w:rsid w:val="45301F07"/>
    <w:rsid w:val="453B51F9"/>
    <w:rsid w:val="453E6E0B"/>
    <w:rsid w:val="453F236B"/>
    <w:rsid w:val="45454D35"/>
    <w:rsid w:val="45462260"/>
    <w:rsid w:val="45464C32"/>
    <w:rsid w:val="454A2974"/>
    <w:rsid w:val="454C31E3"/>
    <w:rsid w:val="454C58BC"/>
    <w:rsid w:val="456A0921"/>
    <w:rsid w:val="456A2A4F"/>
    <w:rsid w:val="456D40D6"/>
    <w:rsid w:val="4570237F"/>
    <w:rsid w:val="4571013B"/>
    <w:rsid w:val="457556F4"/>
    <w:rsid w:val="457C0654"/>
    <w:rsid w:val="457C0E68"/>
    <w:rsid w:val="45835E86"/>
    <w:rsid w:val="459E4A6E"/>
    <w:rsid w:val="45A71B75"/>
    <w:rsid w:val="45B44292"/>
    <w:rsid w:val="45D22CCA"/>
    <w:rsid w:val="45E00BE3"/>
    <w:rsid w:val="45E52D76"/>
    <w:rsid w:val="45F34DBA"/>
    <w:rsid w:val="45F56F89"/>
    <w:rsid w:val="46063770"/>
    <w:rsid w:val="460B2C30"/>
    <w:rsid w:val="46122350"/>
    <w:rsid w:val="461261E1"/>
    <w:rsid w:val="46132D66"/>
    <w:rsid w:val="46144678"/>
    <w:rsid w:val="4618037D"/>
    <w:rsid w:val="46184820"/>
    <w:rsid w:val="461C55D4"/>
    <w:rsid w:val="4620004A"/>
    <w:rsid w:val="462F3918"/>
    <w:rsid w:val="462F5277"/>
    <w:rsid w:val="46301D24"/>
    <w:rsid w:val="463A1A05"/>
    <w:rsid w:val="46413BF9"/>
    <w:rsid w:val="464B1C3F"/>
    <w:rsid w:val="464F0520"/>
    <w:rsid w:val="465869CB"/>
    <w:rsid w:val="465A74D8"/>
    <w:rsid w:val="466261C9"/>
    <w:rsid w:val="46647A66"/>
    <w:rsid w:val="466510A1"/>
    <w:rsid w:val="466F1F67"/>
    <w:rsid w:val="46713F31"/>
    <w:rsid w:val="46720F0E"/>
    <w:rsid w:val="46753A21"/>
    <w:rsid w:val="4678706D"/>
    <w:rsid w:val="469638D6"/>
    <w:rsid w:val="469B3E0F"/>
    <w:rsid w:val="469C7CE9"/>
    <w:rsid w:val="46A71700"/>
    <w:rsid w:val="46A85FD1"/>
    <w:rsid w:val="46A911C0"/>
    <w:rsid w:val="46C422B2"/>
    <w:rsid w:val="46C50352"/>
    <w:rsid w:val="46D67E95"/>
    <w:rsid w:val="46D85D5E"/>
    <w:rsid w:val="46E05A91"/>
    <w:rsid w:val="46E85CFA"/>
    <w:rsid w:val="46EA6C4B"/>
    <w:rsid w:val="46F247B0"/>
    <w:rsid w:val="46F661E4"/>
    <w:rsid w:val="46F75E38"/>
    <w:rsid w:val="46F96400"/>
    <w:rsid w:val="46FB611D"/>
    <w:rsid w:val="4700324F"/>
    <w:rsid w:val="470531BC"/>
    <w:rsid w:val="47084895"/>
    <w:rsid w:val="470C6BD5"/>
    <w:rsid w:val="470D474B"/>
    <w:rsid w:val="47197F94"/>
    <w:rsid w:val="471E1980"/>
    <w:rsid w:val="47257150"/>
    <w:rsid w:val="472E1965"/>
    <w:rsid w:val="472E3BD0"/>
    <w:rsid w:val="47325952"/>
    <w:rsid w:val="473311E6"/>
    <w:rsid w:val="47347026"/>
    <w:rsid w:val="47392CA0"/>
    <w:rsid w:val="473C62ED"/>
    <w:rsid w:val="4751080C"/>
    <w:rsid w:val="4754272C"/>
    <w:rsid w:val="4755472C"/>
    <w:rsid w:val="475950F1"/>
    <w:rsid w:val="475B0A29"/>
    <w:rsid w:val="47657CF1"/>
    <w:rsid w:val="477240C5"/>
    <w:rsid w:val="477564FB"/>
    <w:rsid w:val="47797FC1"/>
    <w:rsid w:val="478C70C4"/>
    <w:rsid w:val="47917A70"/>
    <w:rsid w:val="479B24DA"/>
    <w:rsid w:val="479F075F"/>
    <w:rsid w:val="479F2D37"/>
    <w:rsid w:val="47AB5220"/>
    <w:rsid w:val="47B10A89"/>
    <w:rsid w:val="47B176A2"/>
    <w:rsid w:val="47C336F1"/>
    <w:rsid w:val="47D47AA7"/>
    <w:rsid w:val="47D96D05"/>
    <w:rsid w:val="47DB5B06"/>
    <w:rsid w:val="47DC7C21"/>
    <w:rsid w:val="47DE621E"/>
    <w:rsid w:val="47DF5582"/>
    <w:rsid w:val="47E623BE"/>
    <w:rsid w:val="47ED75E7"/>
    <w:rsid w:val="47F64CDE"/>
    <w:rsid w:val="47F96FE2"/>
    <w:rsid w:val="47FB6455"/>
    <w:rsid w:val="47FC06F6"/>
    <w:rsid w:val="48014FD9"/>
    <w:rsid w:val="4804261B"/>
    <w:rsid w:val="480A7EDF"/>
    <w:rsid w:val="481B05F8"/>
    <w:rsid w:val="48217D2F"/>
    <w:rsid w:val="482864D1"/>
    <w:rsid w:val="482C18D6"/>
    <w:rsid w:val="483314F5"/>
    <w:rsid w:val="48337643"/>
    <w:rsid w:val="48360F8E"/>
    <w:rsid w:val="483E64A8"/>
    <w:rsid w:val="484F4B2D"/>
    <w:rsid w:val="48507027"/>
    <w:rsid w:val="48517B76"/>
    <w:rsid w:val="48533A6B"/>
    <w:rsid w:val="48627FD5"/>
    <w:rsid w:val="48693111"/>
    <w:rsid w:val="486A0C38"/>
    <w:rsid w:val="486A6E89"/>
    <w:rsid w:val="486E3D03"/>
    <w:rsid w:val="487675DC"/>
    <w:rsid w:val="487B4BF3"/>
    <w:rsid w:val="488A12DA"/>
    <w:rsid w:val="488A3088"/>
    <w:rsid w:val="4893018E"/>
    <w:rsid w:val="489D2EDD"/>
    <w:rsid w:val="48AC1250"/>
    <w:rsid w:val="48B33A52"/>
    <w:rsid w:val="48C742DC"/>
    <w:rsid w:val="48C7608A"/>
    <w:rsid w:val="48C87033"/>
    <w:rsid w:val="48CE297D"/>
    <w:rsid w:val="48D81613"/>
    <w:rsid w:val="48D9080D"/>
    <w:rsid w:val="48E94164"/>
    <w:rsid w:val="48EB30E5"/>
    <w:rsid w:val="48EC40CC"/>
    <w:rsid w:val="48EC71F7"/>
    <w:rsid w:val="48EE43F2"/>
    <w:rsid w:val="48F15CCF"/>
    <w:rsid w:val="48F30756"/>
    <w:rsid w:val="48FD385A"/>
    <w:rsid w:val="48FD5D41"/>
    <w:rsid w:val="49066BB2"/>
    <w:rsid w:val="49080B7C"/>
    <w:rsid w:val="490A460A"/>
    <w:rsid w:val="490C51FD"/>
    <w:rsid w:val="49103C02"/>
    <w:rsid w:val="491E5F31"/>
    <w:rsid w:val="493059DD"/>
    <w:rsid w:val="493915B4"/>
    <w:rsid w:val="493C0826"/>
    <w:rsid w:val="49404E3D"/>
    <w:rsid w:val="49413E94"/>
    <w:rsid w:val="494B3609"/>
    <w:rsid w:val="496436C2"/>
    <w:rsid w:val="496D072A"/>
    <w:rsid w:val="49720597"/>
    <w:rsid w:val="49731300"/>
    <w:rsid w:val="4977360C"/>
    <w:rsid w:val="497C50C6"/>
    <w:rsid w:val="497E0E3E"/>
    <w:rsid w:val="498140E7"/>
    <w:rsid w:val="49871AC7"/>
    <w:rsid w:val="498C5EA9"/>
    <w:rsid w:val="498F4DFA"/>
    <w:rsid w:val="499833AA"/>
    <w:rsid w:val="49997FE4"/>
    <w:rsid w:val="49A563CB"/>
    <w:rsid w:val="49A65473"/>
    <w:rsid w:val="49A941EB"/>
    <w:rsid w:val="49AD05AC"/>
    <w:rsid w:val="49AF0FF8"/>
    <w:rsid w:val="49B02507"/>
    <w:rsid w:val="49B70B21"/>
    <w:rsid w:val="49BC1967"/>
    <w:rsid w:val="49BC23EF"/>
    <w:rsid w:val="49BF32E3"/>
    <w:rsid w:val="49C03205"/>
    <w:rsid w:val="49C23113"/>
    <w:rsid w:val="49C302EC"/>
    <w:rsid w:val="49D104C6"/>
    <w:rsid w:val="49D339AC"/>
    <w:rsid w:val="49E17E97"/>
    <w:rsid w:val="49E76045"/>
    <w:rsid w:val="49E92BC2"/>
    <w:rsid w:val="49ED7E45"/>
    <w:rsid w:val="49F16801"/>
    <w:rsid w:val="49FB7CC2"/>
    <w:rsid w:val="4A0045CB"/>
    <w:rsid w:val="4A023518"/>
    <w:rsid w:val="4A0B01F8"/>
    <w:rsid w:val="4A190449"/>
    <w:rsid w:val="4A19137E"/>
    <w:rsid w:val="4A19181B"/>
    <w:rsid w:val="4A1E7F2C"/>
    <w:rsid w:val="4A260D4B"/>
    <w:rsid w:val="4A275032"/>
    <w:rsid w:val="4A280DAA"/>
    <w:rsid w:val="4A3A0FE8"/>
    <w:rsid w:val="4A3E676A"/>
    <w:rsid w:val="4A3E794E"/>
    <w:rsid w:val="4A407FFE"/>
    <w:rsid w:val="4A45001D"/>
    <w:rsid w:val="4A4B42F8"/>
    <w:rsid w:val="4A4F6B22"/>
    <w:rsid w:val="4A5E7F48"/>
    <w:rsid w:val="4A607D77"/>
    <w:rsid w:val="4A6326F0"/>
    <w:rsid w:val="4A6609C3"/>
    <w:rsid w:val="4A6C59EA"/>
    <w:rsid w:val="4A6F0787"/>
    <w:rsid w:val="4A750DD0"/>
    <w:rsid w:val="4A816BF6"/>
    <w:rsid w:val="4A8A7705"/>
    <w:rsid w:val="4A915B36"/>
    <w:rsid w:val="4A926343"/>
    <w:rsid w:val="4A963F66"/>
    <w:rsid w:val="4A987CDE"/>
    <w:rsid w:val="4A9B1E46"/>
    <w:rsid w:val="4A9F72BE"/>
    <w:rsid w:val="4AA409BB"/>
    <w:rsid w:val="4AB663B6"/>
    <w:rsid w:val="4ABB58F0"/>
    <w:rsid w:val="4ABD1B22"/>
    <w:rsid w:val="4AC94B13"/>
    <w:rsid w:val="4ACF60CC"/>
    <w:rsid w:val="4AD468AE"/>
    <w:rsid w:val="4AE82413"/>
    <w:rsid w:val="4AE91D72"/>
    <w:rsid w:val="4AEF38E4"/>
    <w:rsid w:val="4AEF7CB9"/>
    <w:rsid w:val="4AFF792F"/>
    <w:rsid w:val="4B02784D"/>
    <w:rsid w:val="4B0E1D4E"/>
    <w:rsid w:val="4B0F211E"/>
    <w:rsid w:val="4B2C6678"/>
    <w:rsid w:val="4B3B68BB"/>
    <w:rsid w:val="4B400C48"/>
    <w:rsid w:val="4B4277BB"/>
    <w:rsid w:val="4B432E15"/>
    <w:rsid w:val="4B4734B2"/>
    <w:rsid w:val="4B5146DF"/>
    <w:rsid w:val="4B640C01"/>
    <w:rsid w:val="4B6840EF"/>
    <w:rsid w:val="4B793EB9"/>
    <w:rsid w:val="4B841097"/>
    <w:rsid w:val="4B8E0948"/>
    <w:rsid w:val="4B95421D"/>
    <w:rsid w:val="4B992311"/>
    <w:rsid w:val="4B9E1324"/>
    <w:rsid w:val="4BA26746"/>
    <w:rsid w:val="4BA43605"/>
    <w:rsid w:val="4BBC6F10"/>
    <w:rsid w:val="4BBC79FC"/>
    <w:rsid w:val="4BCB75EB"/>
    <w:rsid w:val="4BCC1001"/>
    <w:rsid w:val="4BD028C4"/>
    <w:rsid w:val="4BDC1831"/>
    <w:rsid w:val="4BE05D3B"/>
    <w:rsid w:val="4BE13907"/>
    <w:rsid w:val="4BE154E9"/>
    <w:rsid w:val="4BE62CCB"/>
    <w:rsid w:val="4BEA41FD"/>
    <w:rsid w:val="4BED6D03"/>
    <w:rsid w:val="4BF0670A"/>
    <w:rsid w:val="4BF13385"/>
    <w:rsid w:val="4BF6222F"/>
    <w:rsid w:val="4C03570B"/>
    <w:rsid w:val="4C1C049B"/>
    <w:rsid w:val="4C1F5620"/>
    <w:rsid w:val="4C282812"/>
    <w:rsid w:val="4C2D037B"/>
    <w:rsid w:val="4C2D08FA"/>
    <w:rsid w:val="4C3440CD"/>
    <w:rsid w:val="4C376897"/>
    <w:rsid w:val="4C3A68AE"/>
    <w:rsid w:val="4C404189"/>
    <w:rsid w:val="4C497E6E"/>
    <w:rsid w:val="4C561A87"/>
    <w:rsid w:val="4C5C21C4"/>
    <w:rsid w:val="4C616357"/>
    <w:rsid w:val="4C67500F"/>
    <w:rsid w:val="4C6F4A6E"/>
    <w:rsid w:val="4C785167"/>
    <w:rsid w:val="4C8853C2"/>
    <w:rsid w:val="4C8A3125"/>
    <w:rsid w:val="4C8C5620"/>
    <w:rsid w:val="4C8E7373"/>
    <w:rsid w:val="4C9046DD"/>
    <w:rsid w:val="4C9F3A4C"/>
    <w:rsid w:val="4CB73785"/>
    <w:rsid w:val="4CB74274"/>
    <w:rsid w:val="4CC63A4B"/>
    <w:rsid w:val="4CC81333"/>
    <w:rsid w:val="4CC92202"/>
    <w:rsid w:val="4CD11285"/>
    <w:rsid w:val="4CD62D3F"/>
    <w:rsid w:val="4CD77BB3"/>
    <w:rsid w:val="4CDB0356"/>
    <w:rsid w:val="4CDC27DA"/>
    <w:rsid w:val="4CDE7960"/>
    <w:rsid w:val="4CEC7A64"/>
    <w:rsid w:val="4CF0458E"/>
    <w:rsid w:val="4CF569C8"/>
    <w:rsid w:val="4CFF6B5B"/>
    <w:rsid w:val="4D0A3706"/>
    <w:rsid w:val="4D0F059F"/>
    <w:rsid w:val="4D111FCA"/>
    <w:rsid w:val="4D137AF0"/>
    <w:rsid w:val="4D1675E0"/>
    <w:rsid w:val="4D1E1728"/>
    <w:rsid w:val="4D1F6804"/>
    <w:rsid w:val="4D240145"/>
    <w:rsid w:val="4D2E492A"/>
    <w:rsid w:val="4D2E6AE0"/>
    <w:rsid w:val="4D31441A"/>
    <w:rsid w:val="4D34761C"/>
    <w:rsid w:val="4D5325E2"/>
    <w:rsid w:val="4D536117"/>
    <w:rsid w:val="4D53613E"/>
    <w:rsid w:val="4D5B3250"/>
    <w:rsid w:val="4D5F0F87"/>
    <w:rsid w:val="4D704F42"/>
    <w:rsid w:val="4D7215A8"/>
    <w:rsid w:val="4D765CAE"/>
    <w:rsid w:val="4D770AC3"/>
    <w:rsid w:val="4D783DF7"/>
    <w:rsid w:val="4D784C61"/>
    <w:rsid w:val="4D79113C"/>
    <w:rsid w:val="4D7A4E0D"/>
    <w:rsid w:val="4D7B6D5F"/>
    <w:rsid w:val="4D8330FD"/>
    <w:rsid w:val="4D8602C2"/>
    <w:rsid w:val="4D8B58D8"/>
    <w:rsid w:val="4D8F614E"/>
    <w:rsid w:val="4D9A4ACC"/>
    <w:rsid w:val="4D9A7089"/>
    <w:rsid w:val="4DA16EA9"/>
    <w:rsid w:val="4DA65614"/>
    <w:rsid w:val="4DA84333"/>
    <w:rsid w:val="4DBC6F01"/>
    <w:rsid w:val="4DBD5EE2"/>
    <w:rsid w:val="4DBD6446"/>
    <w:rsid w:val="4DC25F02"/>
    <w:rsid w:val="4DC7118D"/>
    <w:rsid w:val="4DC85776"/>
    <w:rsid w:val="4DCC1EF1"/>
    <w:rsid w:val="4DD454D1"/>
    <w:rsid w:val="4DD92AE7"/>
    <w:rsid w:val="4DE02888"/>
    <w:rsid w:val="4DE53D67"/>
    <w:rsid w:val="4DE96862"/>
    <w:rsid w:val="4DEB15BA"/>
    <w:rsid w:val="4DEB281B"/>
    <w:rsid w:val="4DEC260A"/>
    <w:rsid w:val="4DEF7087"/>
    <w:rsid w:val="4DF13C53"/>
    <w:rsid w:val="4DF416CF"/>
    <w:rsid w:val="4DF7375A"/>
    <w:rsid w:val="4E0070AA"/>
    <w:rsid w:val="4E014AAF"/>
    <w:rsid w:val="4E037EC3"/>
    <w:rsid w:val="4E0A0EF3"/>
    <w:rsid w:val="4E0F02B7"/>
    <w:rsid w:val="4E1213FF"/>
    <w:rsid w:val="4E151645"/>
    <w:rsid w:val="4E151983"/>
    <w:rsid w:val="4E177259"/>
    <w:rsid w:val="4E192EE4"/>
    <w:rsid w:val="4E1B63C8"/>
    <w:rsid w:val="4E1C5480"/>
    <w:rsid w:val="4E1F4EB6"/>
    <w:rsid w:val="4E2A50F1"/>
    <w:rsid w:val="4E2F2698"/>
    <w:rsid w:val="4E31591A"/>
    <w:rsid w:val="4E3441C2"/>
    <w:rsid w:val="4E385522"/>
    <w:rsid w:val="4E396368"/>
    <w:rsid w:val="4E4116FB"/>
    <w:rsid w:val="4E4B32B9"/>
    <w:rsid w:val="4E4F6905"/>
    <w:rsid w:val="4E5008D0"/>
    <w:rsid w:val="4E5F3359"/>
    <w:rsid w:val="4E685C19"/>
    <w:rsid w:val="4E7A3016"/>
    <w:rsid w:val="4E9133C2"/>
    <w:rsid w:val="4E915728"/>
    <w:rsid w:val="4E916F1E"/>
    <w:rsid w:val="4E943B74"/>
    <w:rsid w:val="4E9514C2"/>
    <w:rsid w:val="4E971335"/>
    <w:rsid w:val="4E9904C8"/>
    <w:rsid w:val="4E9D7BB0"/>
    <w:rsid w:val="4E9E77F7"/>
    <w:rsid w:val="4E9F52F3"/>
    <w:rsid w:val="4E9F6CDA"/>
    <w:rsid w:val="4EA053B3"/>
    <w:rsid w:val="4EA65FA5"/>
    <w:rsid w:val="4EAA2AF5"/>
    <w:rsid w:val="4EAA6232"/>
    <w:rsid w:val="4EAD4A8B"/>
    <w:rsid w:val="4EB63D98"/>
    <w:rsid w:val="4EB653D7"/>
    <w:rsid w:val="4EC5306C"/>
    <w:rsid w:val="4EC7378F"/>
    <w:rsid w:val="4EC8490A"/>
    <w:rsid w:val="4ECE001C"/>
    <w:rsid w:val="4ECF54AB"/>
    <w:rsid w:val="4ED10111"/>
    <w:rsid w:val="4EDF1751"/>
    <w:rsid w:val="4EFA0F67"/>
    <w:rsid w:val="4F0065C6"/>
    <w:rsid w:val="4F0C2A48"/>
    <w:rsid w:val="4F155DA1"/>
    <w:rsid w:val="4F1B20E2"/>
    <w:rsid w:val="4F2255BD"/>
    <w:rsid w:val="4F247867"/>
    <w:rsid w:val="4F2D0CF3"/>
    <w:rsid w:val="4F2E6E63"/>
    <w:rsid w:val="4F363A2B"/>
    <w:rsid w:val="4F400944"/>
    <w:rsid w:val="4F562E5E"/>
    <w:rsid w:val="4F586999"/>
    <w:rsid w:val="4F5D32A4"/>
    <w:rsid w:val="4F6102D1"/>
    <w:rsid w:val="4F665099"/>
    <w:rsid w:val="4F674073"/>
    <w:rsid w:val="4F786330"/>
    <w:rsid w:val="4F7C239F"/>
    <w:rsid w:val="4F7E1A87"/>
    <w:rsid w:val="4F8115BD"/>
    <w:rsid w:val="4F8D7575"/>
    <w:rsid w:val="4F974A08"/>
    <w:rsid w:val="4F9C4764"/>
    <w:rsid w:val="4FA00D06"/>
    <w:rsid w:val="4FA4166F"/>
    <w:rsid w:val="4FAB09B6"/>
    <w:rsid w:val="4FB159EC"/>
    <w:rsid w:val="4FB23A3B"/>
    <w:rsid w:val="4FB57E74"/>
    <w:rsid w:val="4FBD09B0"/>
    <w:rsid w:val="4FBD1088"/>
    <w:rsid w:val="4FBD4BBB"/>
    <w:rsid w:val="4FC652ED"/>
    <w:rsid w:val="4FD16062"/>
    <w:rsid w:val="4FE22A38"/>
    <w:rsid w:val="4FE77CEF"/>
    <w:rsid w:val="4FF17B27"/>
    <w:rsid w:val="4FF21C3E"/>
    <w:rsid w:val="50041972"/>
    <w:rsid w:val="50046123"/>
    <w:rsid w:val="50050846"/>
    <w:rsid w:val="500C0B37"/>
    <w:rsid w:val="501655B7"/>
    <w:rsid w:val="501B2972"/>
    <w:rsid w:val="502412EE"/>
    <w:rsid w:val="502845FF"/>
    <w:rsid w:val="502A4E02"/>
    <w:rsid w:val="502B0C73"/>
    <w:rsid w:val="502D5D4B"/>
    <w:rsid w:val="50304F7E"/>
    <w:rsid w:val="5046350A"/>
    <w:rsid w:val="504A7CCC"/>
    <w:rsid w:val="504B75A0"/>
    <w:rsid w:val="504F4A7B"/>
    <w:rsid w:val="50500713"/>
    <w:rsid w:val="505221CC"/>
    <w:rsid w:val="5066490D"/>
    <w:rsid w:val="50715259"/>
    <w:rsid w:val="50764D94"/>
    <w:rsid w:val="507D4E52"/>
    <w:rsid w:val="507E7976"/>
    <w:rsid w:val="507F0E7D"/>
    <w:rsid w:val="50817100"/>
    <w:rsid w:val="50845B41"/>
    <w:rsid w:val="508B0A34"/>
    <w:rsid w:val="509168AF"/>
    <w:rsid w:val="509349BC"/>
    <w:rsid w:val="509529A0"/>
    <w:rsid w:val="509C5AF8"/>
    <w:rsid w:val="50A8223C"/>
    <w:rsid w:val="50A96514"/>
    <w:rsid w:val="50AC5050"/>
    <w:rsid w:val="50BB64D4"/>
    <w:rsid w:val="50C21B20"/>
    <w:rsid w:val="50C35389"/>
    <w:rsid w:val="50C555A5"/>
    <w:rsid w:val="50C90D77"/>
    <w:rsid w:val="50CE26AB"/>
    <w:rsid w:val="50D30C5F"/>
    <w:rsid w:val="50E83041"/>
    <w:rsid w:val="50ED0658"/>
    <w:rsid w:val="50EF43D0"/>
    <w:rsid w:val="50F10148"/>
    <w:rsid w:val="50F145FC"/>
    <w:rsid w:val="50FA0581"/>
    <w:rsid w:val="50FA5805"/>
    <w:rsid w:val="50FB33AC"/>
    <w:rsid w:val="510F3979"/>
    <w:rsid w:val="511E7880"/>
    <w:rsid w:val="511F2F07"/>
    <w:rsid w:val="51230EC0"/>
    <w:rsid w:val="5129017C"/>
    <w:rsid w:val="51387B25"/>
    <w:rsid w:val="51452242"/>
    <w:rsid w:val="515A24AA"/>
    <w:rsid w:val="51646B6C"/>
    <w:rsid w:val="51694182"/>
    <w:rsid w:val="51696C3D"/>
    <w:rsid w:val="516B2E85"/>
    <w:rsid w:val="517111FF"/>
    <w:rsid w:val="51722E6E"/>
    <w:rsid w:val="517374E0"/>
    <w:rsid w:val="51750350"/>
    <w:rsid w:val="51793207"/>
    <w:rsid w:val="51955B7D"/>
    <w:rsid w:val="519568F3"/>
    <w:rsid w:val="51993FF5"/>
    <w:rsid w:val="519F1952"/>
    <w:rsid w:val="51AA02F7"/>
    <w:rsid w:val="51B86EB8"/>
    <w:rsid w:val="51BC2848"/>
    <w:rsid w:val="51BF54B2"/>
    <w:rsid w:val="51C3412D"/>
    <w:rsid w:val="51C63383"/>
    <w:rsid w:val="51CF3F45"/>
    <w:rsid w:val="51E406C2"/>
    <w:rsid w:val="51E47232"/>
    <w:rsid w:val="51E63A25"/>
    <w:rsid w:val="51ED15F6"/>
    <w:rsid w:val="51F41AF7"/>
    <w:rsid w:val="51F83758"/>
    <w:rsid w:val="51FC1391"/>
    <w:rsid w:val="52010CD8"/>
    <w:rsid w:val="52015F60"/>
    <w:rsid w:val="520B5239"/>
    <w:rsid w:val="520C4C6B"/>
    <w:rsid w:val="5226558C"/>
    <w:rsid w:val="522B7478"/>
    <w:rsid w:val="52326C6A"/>
    <w:rsid w:val="523302EC"/>
    <w:rsid w:val="524B3888"/>
    <w:rsid w:val="525077B8"/>
    <w:rsid w:val="525C7843"/>
    <w:rsid w:val="525E180D"/>
    <w:rsid w:val="52687C58"/>
    <w:rsid w:val="526A78D5"/>
    <w:rsid w:val="527C1C93"/>
    <w:rsid w:val="527E5C57"/>
    <w:rsid w:val="527E5EBE"/>
    <w:rsid w:val="52972F71"/>
    <w:rsid w:val="529B480F"/>
    <w:rsid w:val="52AD3580"/>
    <w:rsid w:val="52B04B3F"/>
    <w:rsid w:val="52B14033"/>
    <w:rsid w:val="52B40832"/>
    <w:rsid w:val="52B46657"/>
    <w:rsid w:val="52B61649"/>
    <w:rsid w:val="52B7716F"/>
    <w:rsid w:val="52BA3273"/>
    <w:rsid w:val="52BB31BE"/>
    <w:rsid w:val="52BC4786"/>
    <w:rsid w:val="52C131AC"/>
    <w:rsid w:val="52C13B4A"/>
    <w:rsid w:val="52C35B14"/>
    <w:rsid w:val="52CC06CD"/>
    <w:rsid w:val="52CD0741"/>
    <w:rsid w:val="52CD60C9"/>
    <w:rsid w:val="52D25F4F"/>
    <w:rsid w:val="52D816BB"/>
    <w:rsid w:val="52D834A1"/>
    <w:rsid w:val="52D86965"/>
    <w:rsid w:val="52D91DAE"/>
    <w:rsid w:val="52E6030C"/>
    <w:rsid w:val="52E873D0"/>
    <w:rsid w:val="52F33B89"/>
    <w:rsid w:val="52F45CCD"/>
    <w:rsid w:val="52FA31DE"/>
    <w:rsid w:val="52FE1B35"/>
    <w:rsid w:val="52FE6B4C"/>
    <w:rsid w:val="5305283D"/>
    <w:rsid w:val="530F0C7B"/>
    <w:rsid w:val="531620E8"/>
    <w:rsid w:val="531719BC"/>
    <w:rsid w:val="531776E2"/>
    <w:rsid w:val="5326161A"/>
    <w:rsid w:val="53263C79"/>
    <w:rsid w:val="53275D9B"/>
    <w:rsid w:val="533F3014"/>
    <w:rsid w:val="53476745"/>
    <w:rsid w:val="534810C4"/>
    <w:rsid w:val="534B7115"/>
    <w:rsid w:val="53530C46"/>
    <w:rsid w:val="535C6B19"/>
    <w:rsid w:val="536C7F5A"/>
    <w:rsid w:val="536D4A7F"/>
    <w:rsid w:val="537138C7"/>
    <w:rsid w:val="53761013"/>
    <w:rsid w:val="537B5AAA"/>
    <w:rsid w:val="53822C25"/>
    <w:rsid w:val="53861605"/>
    <w:rsid w:val="53876B42"/>
    <w:rsid w:val="538C4314"/>
    <w:rsid w:val="53966943"/>
    <w:rsid w:val="539F4F04"/>
    <w:rsid w:val="53A150D9"/>
    <w:rsid w:val="53A21BCD"/>
    <w:rsid w:val="53A2397B"/>
    <w:rsid w:val="53A27368"/>
    <w:rsid w:val="53AE142E"/>
    <w:rsid w:val="53B06098"/>
    <w:rsid w:val="53B645B0"/>
    <w:rsid w:val="53BB6616"/>
    <w:rsid w:val="53BC6E3E"/>
    <w:rsid w:val="53C30DAF"/>
    <w:rsid w:val="53C743DD"/>
    <w:rsid w:val="53CE29C2"/>
    <w:rsid w:val="53D76D2B"/>
    <w:rsid w:val="53E421E6"/>
    <w:rsid w:val="53E43F94"/>
    <w:rsid w:val="53F4213D"/>
    <w:rsid w:val="54052F8F"/>
    <w:rsid w:val="542E16B3"/>
    <w:rsid w:val="54411FA2"/>
    <w:rsid w:val="544669FD"/>
    <w:rsid w:val="54487F8F"/>
    <w:rsid w:val="545E3DDF"/>
    <w:rsid w:val="546213C7"/>
    <w:rsid w:val="54696247"/>
    <w:rsid w:val="546B52DA"/>
    <w:rsid w:val="546D21DB"/>
    <w:rsid w:val="54787704"/>
    <w:rsid w:val="5483293F"/>
    <w:rsid w:val="548C2946"/>
    <w:rsid w:val="54976AF9"/>
    <w:rsid w:val="54A51975"/>
    <w:rsid w:val="54AA25AD"/>
    <w:rsid w:val="54AE41A3"/>
    <w:rsid w:val="54B42CDF"/>
    <w:rsid w:val="54CB7CD3"/>
    <w:rsid w:val="54CF345E"/>
    <w:rsid w:val="54D1276A"/>
    <w:rsid w:val="54D975B7"/>
    <w:rsid w:val="54DD36E3"/>
    <w:rsid w:val="54DE7E84"/>
    <w:rsid w:val="54E824C4"/>
    <w:rsid w:val="54EA03CE"/>
    <w:rsid w:val="54FA797C"/>
    <w:rsid w:val="55017C9A"/>
    <w:rsid w:val="55021383"/>
    <w:rsid w:val="55083E20"/>
    <w:rsid w:val="550B6A5E"/>
    <w:rsid w:val="55160A03"/>
    <w:rsid w:val="55172B07"/>
    <w:rsid w:val="551B39E5"/>
    <w:rsid w:val="551F7930"/>
    <w:rsid w:val="55236D3E"/>
    <w:rsid w:val="552503C0"/>
    <w:rsid w:val="55274B8B"/>
    <w:rsid w:val="552A24B9"/>
    <w:rsid w:val="553920BD"/>
    <w:rsid w:val="553D7BAB"/>
    <w:rsid w:val="553E34B3"/>
    <w:rsid w:val="55484B22"/>
    <w:rsid w:val="554C3B9F"/>
    <w:rsid w:val="554D7917"/>
    <w:rsid w:val="55547B4D"/>
    <w:rsid w:val="5557732B"/>
    <w:rsid w:val="55653051"/>
    <w:rsid w:val="556A7BF9"/>
    <w:rsid w:val="556F1F83"/>
    <w:rsid w:val="55722F24"/>
    <w:rsid w:val="55747E88"/>
    <w:rsid w:val="55766B43"/>
    <w:rsid w:val="55932E46"/>
    <w:rsid w:val="55987ECC"/>
    <w:rsid w:val="559E2882"/>
    <w:rsid w:val="55A25378"/>
    <w:rsid w:val="55A256E3"/>
    <w:rsid w:val="55AA0D8E"/>
    <w:rsid w:val="55AA1478"/>
    <w:rsid w:val="55B31E70"/>
    <w:rsid w:val="55B82787"/>
    <w:rsid w:val="55C025A8"/>
    <w:rsid w:val="55CE0A58"/>
    <w:rsid w:val="55E55DA1"/>
    <w:rsid w:val="55F10BEA"/>
    <w:rsid w:val="55F174E6"/>
    <w:rsid w:val="55F21B08"/>
    <w:rsid w:val="560E6B90"/>
    <w:rsid w:val="561B7A15"/>
    <w:rsid w:val="561D378D"/>
    <w:rsid w:val="56233F50"/>
    <w:rsid w:val="562B40FC"/>
    <w:rsid w:val="562C39D0"/>
    <w:rsid w:val="5632548A"/>
    <w:rsid w:val="56327239"/>
    <w:rsid w:val="56347138"/>
    <w:rsid w:val="563A5842"/>
    <w:rsid w:val="564330AF"/>
    <w:rsid w:val="56463D93"/>
    <w:rsid w:val="56495EF2"/>
    <w:rsid w:val="56510DF0"/>
    <w:rsid w:val="56511311"/>
    <w:rsid w:val="565841FF"/>
    <w:rsid w:val="56675740"/>
    <w:rsid w:val="56676126"/>
    <w:rsid w:val="567048C3"/>
    <w:rsid w:val="567404B7"/>
    <w:rsid w:val="56773959"/>
    <w:rsid w:val="567A7A0A"/>
    <w:rsid w:val="56842BED"/>
    <w:rsid w:val="56A570FE"/>
    <w:rsid w:val="56A63783"/>
    <w:rsid w:val="56AF3802"/>
    <w:rsid w:val="56B57101"/>
    <w:rsid w:val="56C25B6C"/>
    <w:rsid w:val="56C55F1E"/>
    <w:rsid w:val="56CD0598"/>
    <w:rsid w:val="56D20E7B"/>
    <w:rsid w:val="56D26FEF"/>
    <w:rsid w:val="56D504FC"/>
    <w:rsid w:val="56DF58C0"/>
    <w:rsid w:val="56E74337"/>
    <w:rsid w:val="56E9366F"/>
    <w:rsid w:val="56EE3F4E"/>
    <w:rsid w:val="56F13B6C"/>
    <w:rsid w:val="56F24197"/>
    <w:rsid w:val="56FE711B"/>
    <w:rsid w:val="57013134"/>
    <w:rsid w:val="570255EE"/>
    <w:rsid w:val="57047E91"/>
    <w:rsid w:val="57127841"/>
    <w:rsid w:val="57160E80"/>
    <w:rsid w:val="57280E28"/>
    <w:rsid w:val="572823EA"/>
    <w:rsid w:val="57284198"/>
    <w:rsid w:val="572D456F"/>
    <w:rsid w:val="57384B5F"/>
    <w:rsid w:val="573A44C2"/>
    <w:rsid w:val="57482A8C"/>
    <w:rsid w:val="574865E8"/>
    <w:rsid w:val="57492E02"/>
    <w:rsid w:val="574C257C"/>
    <w:rsid w:val="575539CF"/>
    <w:rsid w:val="57553AF8"/>
    <w:rsid w:val="575907F5"/>
    <w:rsid w:val="5759180F"/>
    <w:rsid w:val="575C2093"/>
    <w:rsid w:val="575C306E"/>
    <w:rsid w:val="575D64F8"/>
    <w:rsid w:val="5765363E"/>
    <w:rsid w:val="57734909"/>
    <w:rsid w:val="57783371"/>
    <w:rsid w:val="577E6D98"/>
    <w:rsid w:val="5780605D"/>
    <w:rsid w:val="57840BFE"/>
    <w:rsid w:val="5784697D"/>
    <w:rsid w:val="57AD449F"/>
    <w:rsid w:val="57BE4AFC"/>
    <w:rsid w:val="57BE68AA"/>
    <w:rsid w:val="57CC546B"/>
    <w:rsid w:val="57D12A81"/>
    <w:rsid w:val="57D24312"/>
    <w:rsid w:val="57D4682F"/>
    <w:rsid w:val="57E02CC4"/>
    <w:rsid w:val="57EB2F39"/>
    <w:rsid w:val="57EB5809"/>
    <w:rsid w:val="57EC761D"/>
    <w:rsid w:val="57EE53E1"/>
    <w:rsid w:val="57F45209"/>
    <w:rsid w:val="57F675D1"/>
    <w:rsid w:val="57FF1CF3"/>
    <w:rsid w:val="58005114"/>
    <w:rsid w:val="58030761"/>
    <w:rsid w:val="58092ACC"/>
    <w:rsid w:val="580B5F93"/>
    <w:rsid w:val="581229C3"/>
    <w:rsid w:val="58136982"/>
    <w:rsid w:val="58226D2A"/>
    <w:rsid w:val="582316B5"/>
    <w:rsid w:val="582368E1"/>
    <w:rsid w:val="58296419"/>
    <w:rsid w:val="582D4846"/>
    <w:rsid w:val="582F7907"/>
    <w:rsid w:val="58301D08"/>
    <w:rsid w:val="58346D28"/>
    <w:rsid w:val="5838762D"/>
    <w:rsid w:val="58405D82"/>
    <w:rsid w:val="58513CB5"/>
    <w:rsid w:val="58527FAB"/>
    <w:rsid w:val="58533496"/>
    <w:rsid w:val="585766E9"/>
    <w:rsid w:val="58585BE4"/>
    <w:rsid w:val="585D2255"/>
    <w:rsid w:val="58663BE5"/>
    <w:rsid w:val="5868282C"/>
    <w:rsid w:val="587B16F1"/>
    <w:rsid w:val="587E182B"/>
    <w:rsid w:val="5882708A"/>
    <w:rsid w:val="588C69A8"/>
    <w:rsid w:val="58937D37"/>
    <w:rsid w:val="589A10C5"/>
    <w:rsid w:val="58A339C9"/>
    <w:rsid w:val="58A52301"/>
    <w:rsid w:val="58AD02DF"/>
    <w:rsid w:val="58B17390"/>
    <w:rsid w:val="58B33FF7"/>
    <w:rsid w:val="58B630F9"/>
    <w:rsid w:val="58BB2E28"/>
    <w:rsid w:val="58BF7AF2"/>
    <w:rsid w:val="58C8591B"/>
    <w:rsid w:val="58CF5213"/>
    <w:rsid w:val="58D740C7"/>
    <w:rsid w:val="58DE20A4"/>
    <w:rsid w:val="58DF354B"/>
    <w:rsid w:val="58E01F18"/>
    <w:rsid w:val="58E52DFC"/>
    <w:rsid w:val="58EA02AA"/>
    <w:rsid w:val="58EA13E1"/>
    <w:rsid w:val="58ED63F2"/>
    <w:rsid w:val="58F509F1"/>
    <w:rsid w:val="58FA005E"/>
    <w:rsid w:val="58FB4971"/>
    <w:rsid w:val="58FC1D80"/>
    <w:rsid w:val="590039E6"/>
    <w:rsid w:val="590315FB"/>
    <w:rsid w:val="5903310E"/>
    <w:rsid w:val="59103CDB"/>
    <w:rsid w:val="591231C6"/>
    <w:rsid w:val="59140E77"/>
    <w:rsid w:val="59190C7F"/>
    <w:rsid w:val="591F15CA"/>
    <w:rsid w:val="59223548"/>
    <w:rsid w:val="592310BA"/>
    <w:rsid w:val="593244F7"/>
    <w:rsid w:val="59345076"/>
    <w:rsid w:val="59402C3A"/>
    <w:rsid w:val="594149BA"/>
    <w:rsid w:val="59471EFF"/>
    <w:rsid w:val="594B23BF"/>
    <w:rsid w:val="595125BE"/>
    <w:rsid w:val="59607878"/>
    <w:rsid w:val="59637709"/>
    <w:rsid w:val="59651CF5"/>
    <w:rsid w:val="596A13DB"/>
    <w:rsid w:val="596A685A"/>
    <w:rsid w:val="596B480F"/>
    <w:rsid w:val="596D0A4F"/>
    <w:rsid w:val="59731491"/>
    <w:rsid w:val="597B59E0"/>
    <w:rsid w:val="597C07CB"/>
    <w:rsid w:val="597E7CD2"/>
    <w:rsid w:val="598730EE"/>
    <w:rsid w:val="598D6AC3"/>
    <w:rsid w:val="59910483"/>
    <w:rsid w:val="599975CF"/>
    <w:rsid w:val="599B0D47"/>
    <w:rsid w:val="59A07700"/>
    <w:rsid w:val="59A12FCC"/>
    <w:rsid w:val="59A41DA7"/>
    <w:rsid w:val="59A81D89"/>
    <w:rsid w:val="59B60D7B"/>
    <w:rsid w:val="59B65BAF"/>
    <w:rsid w:val="59BB12F3"/>
    <w:rsid w:val="59C25EAF"/>
    <w:rsid w:val="59C469A8"/>
    <w:rsid w:val="59C77C98"/>
    <w:rsid w:val="59CA7788"/>
    <w:rsid w:val="59CA77EF"/>
    <w:rsid w:val="59D35957"/>
    <w:rsid w:val="59D67CEC"/>
    <w:rsid w:val="59DA6D1C"/>
    <w:rsid w:val="59E036D4"/>
    <w:rsid w:val="59E07580"/>
    <w:rsid w:val="59E30A31"/>
    <w:rsid w:val="59E54492"/>
    <w:rsid w:val="59E5617B"/>
    <w:rsid w:val="59EA607C"/>
    <w:rsid w:val="59EF06CC"/>
    <w:rsid w:val="59EF71EF"/>
    <w:rsid w:val="59F139BC"/>
    <w:rsid w:val="59F1740B"/>
    <w:rsid w:val="5A105AE3"/>
    <w:rsid w:val="5A1B1453"/>
    <w:rsid w:val="5A1F0F30"/>
    <w:rsid w:val="5A223C3B"/>
    <w:rsid w:val="5A2C4C3D"/>
    <w:rsid w:val="5A2E64FD"/>
    <w:rsid w:val="5A32309C"/>
    <w:rsid w:val="5A487EB0"/>
    <w:rsid w:val="5A614E09"/>
    <w:rsid w:val="5A63069A"/>
    <w:rsid w:val="5A6B0F6B"/>
    <w:rsid w:val="5A6D4478"/>
    <w:rsid w:val="5A6E0A5B"/>
    <w:rsid w:val="5A75763A"/>
    <w:rsid w:val="5A7F67C4"/>
    <w:rsid w:val="5A897643"/>
    <w:rsid w:val="5A8C2C8F"/>
    <w:rsid w:val="5A915ACF"/>
    <w:rsid w:val="5A9234A3"/>
    <w:rsid w:val="5AA8188C"/>
    <w:rsid w:val="5AA91877"/>
    <w:rsid w:val="5AA92C2A"/>
    <w:rsid w:val="5AB1392F"/>
    <w:rsid w:val="5AB346C0"/>
    <w:rsid w:val="5ABA15AB"/>
    <w:rsid w:val="5AC60A34"/>
    <w:rsid w:val="5AC8787B"/>
    <w:rsid w:val="5AC97A40"/>
    <w:rsid w:val="5ACC3540"/>
    <w:rsid w:val="5AD00DCE"/>
    <w:rsid w:val="5AD67599"/>
    <w:rsid w:val="5AD85ED5"/>
    <w:rsid w:val="5AD924D5"/>
    <w:rsid w:val="5AE66958"/>
    <w:rsid w:val="5AE919DD"/>
    <w:rsid w:val="5AEE1A48"/>
    <w:rsid w:val="5AF77E50"/>
    <w:rsid w:val="5B1F58B2"/>
    <w:rsid w:val="5B331248"/>
    <w:rsid w:val="5B3475AF"/>
    <w:rsid w:val="5B4578E7"/>
    <w:rsid w:val="5B5F03A4"/>
    <w:rsid w:val="5B69661C"/>
    <w:rsid w:val="5B6C0858"/>
    <w:rsid w:val="5B6E783F"/>
    <w:rsid w:val="5B7200D7"/>
    <w:rsid w:val="5B76271E"/>
    <w:rsid w:val="5B7B562E"/>
    <w:rsid w:val="5B7C04A8"/>
    <w:rsid w:val="5B7C71A8"/>
    <w:rsid w:val="5B7E6A7C"/>
    <w:rsid w:val="5B8147BE"/>
    <w:rsid w:val="5B8337E5"/>
    <w:rsid w:val="5B855579"/>
    <w:rsid w:val="5B867AC2"/>
    <w:rsid w:val="5B8743CF"/>
    <w:rsid w:val="5B8837FD"/>
    <w:rsid w:val="5B885B4D"/>
    <w:rsid w:val="5B8D4F11"/>
    <w:rsid w:val="5B90523D"/>
    <w:rsid w:val="5B9A18AC"/>
    <w:rsid w:val="5B9E4722"/>
    <w:rsid w:val="5B9F4434"/>
    <w:rsid w:val="5BA245F5"/>
    <w:rsid w:val="5BA81D4B"/>
    <w:rsid w:val="5BAB6D76"/>
    <w:rsid w:val="5BB25227"/>
    <w:rsid w:val="5BC03DE2"/>
    <w:rsid w:val="5BC36B85"/>
    <w:rsid w:val="5BCA73D9"/>
    <w:rsid w:val="5BE070DC"/>
    <w:rsid w:val="5BE15F8D"/>
    <w:rsid w:val="5BE7170C"/>
    <w:rsid w:val="5BEC5D3A"/>
    <w:rsid w:val="5BFE0FF6"/>
    <w:rsid w:val="5BFF7E6A"/>
    <w:rsid w:val="5C013209"/>
    <w:rsid w:val="5C04435B"/>
    <w:rsid w:val="5C11169E"/>
    <w:rsid w:val="5C1A6677"/>
    <w:rsid w:val="5C1B42CB"/>
    <w:rsid w:val="5C1F25FB"/>
    <w:rsid w:val="5C25514A"/>
    <w:rsid w:val="5C270EC2"/>
    <w:rsid w:val="5C3B671B"/>
    <w:rsid w:val="5C3D172A"/>
    <w:rsid w:val="5C4004DF"/>
    <w:rsid w:val="5C4C62B6"/>
    <w:rsid w:val="5C4F21B0"/>
    <w:rsid w:val="5C4F3ADB"/>
    <w:rsid w:val="5C51136D"/>
    <w:rsid w:val="5C552A3C"/>
    <w:rsid w:val="5C556EA6"/>
    <w:rsid w:val="5C650FB0"/>
    <w:rsid w:val="5C6519EA"/>
    <w:rsid w:val="5C683F2D"/>
    <w:rsid w:val="5C69130F"/>
    <w:rsid w:val="5C700ABB"/>
    <w:rsid w:val="5C79253A"/>
    <w:rsid w:val="5C797243"/>
    <w:rsid w:val="5C7A4279"/>
    <w:rsid w:val="5C7B5266"/>
    <w:rsid w:val="5C8E17F7"/>
    <w:rsid w:val="5CA16EC6"/>
    <w:rsid w:val="5CA22F32"/>
    <w:rsid w:val="5CA354AC"/>
    <w:rsid w:val="5CB35584"/>
    <w:rsid w:val="5CB45F05"/>
    <w:rsid w:val="5CB55CD5"/>
    <w:rsid w:val="5CBA1D36"/>
    <w:rsid w:val="5CBC678C"/>
    <w:rsid w:val="5CBF3BEB"/>
    <w:rsid w:val="5CC77597"/>
    <w:rsid w:val="5CD14736"/>
    <w:rsid w:val="5CD32D98"/>
    <w:rsid w:val="5CD50321"/>
    <w:rsid w:val="5CD50908"/>
    <w:rsid w:val="5CD56B70"/>
    <w:rsid w:val="5CE31D7E"/>
    <w:rsid w:val="5CFF599B"/>
    <w:rsid w:val="5D0336DD"/>
    <w:rsid w:val="5D043BDE"/>
    <w:rsid w:val="5D0542DC"/>
    <w:rsid w:val="5D0638C7"/>
    <w:rsid w:val="5D064F7B"/>
    <w:rsid w:val="5D0B07E3"/>
    <w:rsid w:val="5D0B274A"/>
    <w:rsid w:val="5D135063"/>
    <w:rsid w:val="5D1D3956"/>
    <w:rsid w:val="5D2071FB"/>
    <w:rsid w:val="5D253F3F"/>
    <w:rsid w:val="5D2573D0"/>
    <w:rsid w:val="5D2A5237"/>
    <w:rsid w:val="5D2F06D3"/>
    <w:rsid w:val="5D380EAD"/>
    <w:rsid w:val="5D395FE0"/>
    <w:rsid w:val="5D453167"/>
    <w:rsid w:val="5D811D91"/>
    <w:rsid w:val="5D8331ED"/>
    <w:rsid w:val="5D84646B"/>
    <w:rsid w:val="5D8547EA"/>
    <w:rsid w:val="5D892330"/>
    <w:rsid w:val="5D8C1B29"/>
    <w:rsid w:val="5D92498E"/>
    <w:rsid w:val="5D92506F"/>
    <w:rsid w:val="5D940211"/>
    <w:rsid w:val="5D9A027D"/>
    <w:rsid w:val="5D9C39BB"/>
    <w:rsid w:val="5DA54437"/>
    <w:rsid w:val="5DA97B86"/>
    <w:rsid w:val="5DB873CE"/>
    <w:rsid w:val="5DC801B2"/>
    <w:rsid w:val="5DC92D73"/>
    <w:rsid w:val="5DCA54C2"/>
    <w:rsid w:val="5DCB1D21"/>
    <w:rsid w:val="5DDE1A54"/>
    <w:rsid w:val="5DE033F9"/>
    <w:rsid w:val="5DE62E9E"/>
    <w:rsid w:val="5DE66C20"/>
    <w:rsid w:val="5DE67F78"/>
    <w:rsid w:val="5DF10618"/>
    <w:rsid w:val="5E046A15"/>
    <w:rsid w:val="5E056147"/>
    <w:rsid w:val="5E0A45F7"/>
    <w:rsid w:val="5E0F1C0D"/>
    <w:rsid w:val="5E1E4A95"/>
    <w:rsid w:val="5E2A6BBC"/>
    <w:rsid w:val="5E2F22B0"/>
    <w:rsid w:val="5E3A3ABF"/>
    <w:rsid w:val="5E4107AB"/>
    <w:rsid w:val="5E45554E"/>
    <w:rsid w:val="5E48511F"/>
    <w:rsid w:val="5E573E48"/>
    <w:rsid w:val="5E597ADD"/>
    <w:rsid w:val="5E5D31AA"/>
    <w:rsid w:val="5E5E4943"/>
    <w:rsid w:val="5E5F64F0"/>
    <w:rsid w:val="5E6C52B2"/>
    <w:rsid w:val="5E6E102A"/>
    <w:rsid w:val="5E714AFD"/>
    <w:rsid w:val="5E785A05"/>
    <w:rsid w:val="5E792416"/>
    <w:rsid w:val="5E7D74BF"/>
    <w:rsid w:val="5E8817D8"/>
    <w:rsid w:val="5E882027"/>
    <w:rsid w:val="5E8F570F"/>
    <w:rsid w:val="5E9255DC"/>
    <w:rsid w:val="5E935F94"/>
    <w:rsid w:val="5E96029E"/>
    <w:rsid w:val="5E9622BA"/>
    <w:rsid w:val="5E9B254F"/>
    <w:rsid w:val="5E9D167A"/>
    <w:rsid w:val="5EA031AD"/>
    <w:rsid w:val="5EA7453C"/>
    <w:rsid w:val="5EAA4951"/>
    <w:rsid w:val="5EB273E9"/>
    <w:rsid w:val="5EB50A07"/>
    <w:rsid w:val="5EB84053"/>
    <w:rsid w:val="5EC8397E"/>
    <w:rsid w:val="5ECB2990"/>
    <w:rsid w:val="5ED80DC1"/>
    <w:rsid w:val="5ED94E62"/>
    <w:rsid w:val="5EDF0ADA"/>
    <w:rsid w:val="5EE10235"/>
    <w:rsid w:val="5EED7FF0"/>
    <w:rsid w:val="5EFC7379"/>
    <w:rsid w:val="5EFC7E35"/>
    <w:rsid w:val="5EFF1C82"/>
    <w:rsid w:val="5F025C16"/>
    <w:rsid w:val="5F070A50"/>
    <w:rsid w:val="5F0F2476"/>
    <w:rsid w:val="5F131BD1"/>
    <w:rsid w:val="5F1B7866"/>
    <w:rsid w:val="5F21609C"/>
    <w:rsid w:val="5F221E14"/>
    <w:rsid w:val="5F2D3E82"/>
    <w:rsid w:val="5F2E680C"/>
    <w:rsid w:val="5F322057"/>
    <w:rsid w:val="5F324694"/>
    <w:rsid w:val="5F365651"/>
    <w:rsid w:val="5F3E6C4E"/>
    <w:rsid w:val="5F3F4774"/>
    <w:rsid w:val="5F3F50D5"/>
    <w:rsid w:val="5F4678B1"/>
    <w:rsid w:val="5F471F31"/>
    <w:rsid w:val="5F481892"/>
    <w:rsid w:val="5F4959FC"/>
    <w:rsid w:val="5F4B136B"/>
    <w:rsid w:val="5F4B5F0B"/>
    <w:rsid w:val="5F52038F"/>
    <w:rsid w:val="5F6274AD"/>
    <w:rsid w:val="5F664883"/>
    <w:rsid w:val="5F7B08DC"/>
    <w:rsid w:val="5F903222"/>
    <w:rsid w:val="5F9638AD"/>
    <w:rsid w:val="5F9C45C2"/>
    <w:rsid w:val="5F9D2510"/>
    <w:rsid w:val="5F9F3465"/>
    <w:rsid w:val="5FA12D39"/>
    <w:rsid w:val="5FA964C8"/>
    <w:rsid w:val="5FB05FBE"/>
    <w:rsid w:val="5FB16998"/>
    <w:rsid w:val="5FB310AE"/>
    <w:rsid w:val="5FB92779"/>
    <w:rsid w:val="5FBE06A9"/>
    <w:rsid w:val="5FC36ABF"/>
    <w:rsid w:val="5FC41A99"/>
    <w:rsid w:val="5FC86518"/>
    <w:rsid w:val="5FCB3F5F"/>
    <w:rsid w:val="5FCB59BA"/>
    <w:rsid w:val="5FCD2D18"/>
    <w:rsid w:val="5FD43F14"/>
    <w:rsid w:val="5FD82F7C"/>
    <w:rsid w:val="5FE002F9"/>
    <w:rsid w:val="5FEF4E02"/>
    <w:rsid w:val="5FF62290"/>
    <w:rsid w:val="5FFD062D"/>
    <w:rsid w:val="600129B9"/>
    <w:rsid w:val="600532C8"/>
    <w:rsid w:val="600734E4"/>
    <w:rsid w:val="60107EBF"/>
    <w:rsid w:val="601D1CCD"/>
    <w:rsid w:val="60237F71"/>
    <w:rsid w:val="60290E01"/>
    <w:rsid w:val="602B6AA7"/>
    <w:rsid w:val="602C19B8"/>
    <w:rsid w:val="602E3115"/>
    <w:rsid w:val="603911C4"/>
    <w:rsid w:val="603A59F7"/>
    <w:rsid w:val="60441670"/>
    <w:rsid w:val="60483AFC"/>
    <w:rsid w:val="604A35BC"/>
    <w:rsid w:val="604C2094"/>
    <w:rsid w:val="60522285"/>
    <w:rsid w:val="60535ED6"/>
    <w:rsid w:val="6054555A"/>
    <w:rsid w:val="605D5DF1"/>
    <w:rsid w:val="606F72DB"/>
    <w:rsid w:val="607D1EBB"/>
    <w:rsid w:val="60824402"/>
    <w:rsid w:val="60904C36"/>
    <w:rsid w:val="60916139"/>
    <w:rsid w:val="60920077"/>
    <w:rsid w:val="60A109EB"/>
    <w:rsid w:val="60A76A75"/>
    <w:rsid w:val="60B46A9C"/>
    <w:rsid w:val="60B71F11"/>
    <w:rsid w:val="60B90EC4"/>
    <w:rsid w:val="60BC53FD"/>
    <w:rsid w:val="60C16719"/>
    <w:rsid w:val="60CC64DC"/>
    <w:rsid w:val="60DB671F"/>
    <w:rsid w:val="60DE6003"/>
    <w:rsid w:val="60E229A9"/>
    <w:rsid w:val="60ED166D"/>
    <w:rsid w:val="60F31D02"/>
    <w:rsid w:val="60F66586"/>
    <w:rsid w:val="60F831B7"/>
    <w:rsid w:val="61027F57"/>
    <w:rsid w:val="610B6D0D"/>
    <w:rsid w:val="610E47E7"/>
    <w:rsid w:val="61157B25"/>
    <w:rsid w:val="611A5DAC"/>
    <w:rsid w:val="61271964"/>
    <w:rsid w:val="613D7AC0"/>
    <w:rsid w:val="61412A26"/>
    <w:rsid w:val="614372F4"/>
    <w:rsid w:val="61440E6E"/>
    <w:rsid w:val="61457884"/>
    <w:rsid w:val="61461DEA"/>
    <w:rsid w:val="614740AD"/>
    <w:rsid w:val="614C0479"/>
    <w:rsid w:val="615D5386"/>
    <w:rsid w:val="6160135D"/>
    <w:rsid w:val="61736E11"/>
    <w:rsid w:val="61767CB3"/>
    <w:rsid w:val="617952FC"/>
    <w:rsid w:val="6190308F"/>
    <w:rsid w:val="61936D8B"/>
    <w:rsid w:val="619863BE"/>
    <w:rsid w:val="61A415C7"/>
    <w:rsid w:val="61A56914"/>
    <w:rsid w:val="61A7403B"/>
    <w:rsid w:val="61A84853"/>
    <w:rsid w:val="61AA6062"/>
    <w:rsid w:val="61B27CA1"/>
    <w:rsid w:val="61B3707D"/>
    <w:rsid w:val="61C001CC"/>
    <w:rsid w:val="61C952DF"/>
    <w:rsid w:val="61E33ADD"/>
    <w:rsid w:val="61FF27FC"/>
    <w:rsid w:val="620328F3"/>
    <w:rsid w:val="620C2033"/>
    <w:rsid w:val="620F48D2"/>
    <w:rsid w:val="620F6F18"/>
    <w:rsid w:val="62117EBD"/>
    <w:rsid w:val="62143C96"/>
    <w:rsid w:val="621806F4"/>
    <w:rsid w:val="621C0778"/>
    <w:rsid w:val="622C4470"/>
    <w:rsid w:val="623F2EA5"/>
    <w:rsid w:val="624256BF"/>
    <w:rsid w:val="624D42BE"/>
    <w:rsid w:val="625130FB"/>
    <w:rsid w:val="62556940"/>
    <w:rsid w:val="625C615E"/>
    <w:rsid w:val="625F7ED6"/>
    <w:rsid w:val="626C7D1C"/>
    <w:rsid w:val="6271444B"/>
    <w:rsid w:val="62830E1C"/>
    <w:rsid w:val="629870A2"/>
    <w:rsid w:val="62A72D5C"/>
    <w:rsid w:val="62A74B0A"/>
    <w:rsid w:val="62A96AD4"/>
    <w:rsid w:val="62AE6250"/>
    <w:rsid w:val="62B45479"/>
    <w:rsid w:val="62BB05B6"/>
    <w:rsid w:val="62BF209A"/>
    <w:rsid w:val="62C422FA"/>
    <w:rsid w:val="62CA2184"/>
    <w:rsid w:val="62CF5E0F"/>
    <w:rsid w:val="62D43425"/>
    <w:rsid w:val="62D840D8"/>
    <w:rsid w:val="62FB6C04"/>
    <w:rsid w:val="630117D3"/>
    <w:rsid w:val="63011F0B"/>
    <w:rsid w:val="63012E32"/>
    <w:rsid w:val="63023CFD"/>
    <w:rsid w:val="63027F93"/>
    <w:rsid w:val="63084686"/>
    <w:rsid w:val="630D3399"/>
    <w:rsid w:val="630E7347"/>
    <w:rsid w:val="631101D6"/>
    <w:rsid w:val="63132F32"/>
    <w:rsid w:val="63163B80"/>
    <w:rsid w:val="63172135"/>
    <w:rsid w:val="63184EA6"/>
    <w:rsid w:val="631C57E4"/>
    <w:rsid w:val="631F28F3"/>
    <w:rsid w:val="632720A3"/>
    <w:rsid w:val="63367D3F"/>
    <w:rsid w:val="63384BF1"/>
    <w:rsid w:val="633F11E7"/>
    <w:rsid w:val="634D28B4"/>
    <w:rsid w:val="63572C11"/>
    <w:rsid w:val="635E6E8C"/>
    <w:rsid w:val="635F6D2C"/>
    <w:rsid w:val="63624ED5"/>
    <w:rsid w:val="63693145"/>
    <w:rsid w:val="636F24BB"/>
    <w:rsid w:val="63890E28"/>
    <w:rsid w:val="638B61DA"/>
    <w:rsid w:val="639170EF"/>
    <w:rsid w:val="63A8695F"/>
    <w:rsid w:val="63BA169B"/>
    <w:rsid w:val="63C15836"/>
    <w:rsid w:val="63C67212"/>
    <w:rsid w:val="63D119F0"/>
    <w:rsid w:val="63D27BE3"/>
    <w:rsid w:val="63DC1055"/>
    <w:rsid w:val="63DD33CD"/>
    <w:rsid w:val="63E90FE0"/>
    <w:rsid w:val="63ED479F"/>
    <w:rsid w:val="63F749B9"/>
    <w:rsid w:val="63FB7C3B"/>
    <w:rsid w:val="63FE4BFE"/>
    <w:rsid w:val="6401649C"/>
    <w:rsid w:val="64120C1E"/>
    <w:rsid w:val="64151F48"/>
    <w:rsid w:val="642632AF"/>
    <w:rsid w:val="64287ECD"/>
    <w:rsid w:val="642D7291"/>
    <w:rsid w:val="64382901"/>
    <w:rsid w:val="643979E4"/>
    <w:rsid w:val="643A1643"/>
    <w:rsid w:val="643E2670"/>
    <w:rsid w:val="6445282D"/>
    <w:rsid w:val="6445778C"/>
    <w:rsid w:val="644C6871"/>
    <w:rsid w:val="64515ACD"/>
    <w:rsid w:val="64572560"/>
    <w:rsid w:val="645D7C18"/>
    <w:rsid w:val="645E390D"/>
    <w:rsid w:val="64604B5D"/>
    <w:rsid w:val="64722EF6"/>
    <w:rsid w:val="647A412F"/>
    <w:rsid w:val="64821C7A"/>
    <w:rsid w:val="649607A0"/>
    <w:rsid w:val="64966BE4"/>
    <w:rsid w:val="64A82548"/>
    <w:rsid w:val="64AF1213"/>
    <w:rsid w:val="64B477E8"/>
    <w:rsid w:val="64B61035"/>
    <w:rsid w:val="64B703EC"/>
    <w:rsid w:val="64B84F5C"/>
    <w:rsid w:val="64C431C0"/>
    <w:rsid w:val="64CF569C"/>
    <w:rsid w:val="64E47160"/>
    <w:rsid w:val="64E53367"/>
    <w:rsid w:val="64E9096A"/>
    <w:rsid w:val="64E969EC"/>
    <w:rsid w:val="64EE6A20"/>
    <w:rsid w:val="64F728D5"/>
    <w:rsid w:val="65047CE3"/>
    <w:rsid w:val="65075D34"/>
    <w:rsid w:val="6510709F"/>
    <w:rsid w:val="65150451"/>
    <w:rsid w:val="651641C9"/>
    <w:rsid w:val="65173519"/>
    <w:rsid w:val="65242D17"/>
    <w:rsid w:val="654B3E73"/>
    <w:rsid w:val="65586590"/>
    <w:rsid w:val="657049D2"/>
    <w:rsid w:val="657D21FF"/>
    <w:rsid w:val="65875458"/>
    <w:rsid w:val="658904F7"/>
    <w:rsid w:val="658D448B"/>
    <w:rsid w:val="659A2AB0"/>
    <w:rsid w:val="659C51A1"/>
    <w:rsid w:val="659D508A"/>
    <w:rsid w:val="65A11CE5"/>
    <w:rsid w:val="65A83D81"/>
    <w:rsid w:val="65AD68DC"/>
    <w:rsid w:val="65AF597F"/>
    <w:rsid w:val="65BD3CE7"/>
    <w:rsid w:val="65BE0315"/>
    <w:rsid w:val="65C92FEA"/>
    <w:rsid w:val="65CC306E"/>
    <w:rsid w:val="65D025CA"/>
    <w:rsid w:val="65DD13E8"/>
    <w:rsid w:val="65E16585"/>
    <w:rsid w:val="65E21B63"/>
    <w:rsid w:val="65E41BD1"/>
    <w:rsid w:val="65E6592A"/>
    <w:rsid w:val="65EC3BB8"/>
    <w:rsid w:val="65EE2A50"/>
    <w:rsid w:val="65F00576"/>
    <w:rsid w:val="65F35011"/>
    <w:rsid w:val="65F4293E"/>
    <w:rsid w:val="65F71905"/>
    <w:rsid w:val="65F8742B"/>
    <w:rsid w:val="65FA31A3"/>
    <w:rsid w:val="65FC7FFD"/>
    <w:rsid w:val="65FF605F"/>
    <w:rsid w:val="66091638"/>
    <w:rsid w:val="660F5F33"/>
    <w:rsid w:val="66154DA9"/>
    <w:rsid w:val="6618187B"/>
    <w:rsid w:val="66246472"/>
    <w:rsid w:val="662A2DCE"/>
    <w:rsid w:val="662E541A"/>
    <w:rsid w:val="662F296E"/>
    <w:rsid w:val="66362D25"/>
    <w:rsid w:val="663A7A43"/>
    <w:rsid w:val="663B23F4"/>
    <w:rsid w:val="663C3275"/>
    <w:rsid w:val="663D12E2"/>
    <w:rsid w:val="66413EAD"/>
    <w:rsid w:val="664258E8"/>
    <w:rsid w:val="66476654"/>
    <w:rsid w:val="66490FDC"/>
    <w:rsid w:val="66503810"/>
    <w:rsid w:val="66555EDF"/>
    <w:rsid w:val="66652862"/>
    <w:rsid w:val="667239F8"/>
    <w:rsid w:val="667C2102"/>
    <w:rsid w:val="667E5D0C"/>
    <w:rsid w:val="667F4267"/>
    <w:rsid w:val="66884460"/>
    <w:rsid w:val="66932593"/>
    <w:rsid w:val="6697419B"/>
    <w:rsid w:val="6698362A"/>
    <w:rsid w:val="66A6332B"/>
    <w:rsid w:val="66A75B12"/>
    <w:rsid w:val="66AB4480"/>
    <w:rsid w:val="66BB5028"/>
    <w:rsid w:val="66BC66AA"/>
    <w:rsid w:val="66C537B1"/>
    <w:rsid w:val="66C71671"/>
    <w:rsid w:val="66DA57BF"/>
    <w:rsid w:val="66DE0D17"/>
    <w:rsid w:val="66E229A8"/>
    <w:rsid w:val="66E70059"/>
    <w:rsid w:val="66ED5DE6"/>
    <w:rsid w:val="66F422E8"/>
    <w:rsid w:val="66F8073F"/>
    <w:rsid w:val="66FB7F14"/>
    <w:rsid w:val="670267B3"/>
    <w:rsid w:val="67090533"/>
    <w:rsid w:val="670E6D38"/>
    <w:rsid w:val="67142208"/>
    <w:rsid w:val="671464E6"/>
    <w:rsid w:val="67156787"/>
    <w:rsid w:val="67172593"/>
    <w:rsid w:val="671868DB"/>
    <w:rsid w:val="6719585F"/>
    <w:rsid w:val="671A724E"/>
    <w:rsid w:val="672A7AB8"/>
    <w:rsid w:val="673F7A07"/>
    <w:rsid w:val="675237A4"/>
    <w:rsid w:val="675B4115"/>
    <w:rsid w:val="67601121"/>
    <w:rsid w:val="67621FD5"/>
    <w:rsid w:val="677218E4"/>
    <w:rsid w:val="677235F9"/>
    <w:rsid w:val="67923912"/>
    <w:rsid w:val="679A69EC"/>
    <w:rsid w:val="679E2FBD"/>
    <w:rsid w:val="679F2DEE"/>
    <w:rsid w:val="67A42D94"/>
    <w:rsid w:val="67A61B38"/>
    <w:rsid w:val="67A67F21"/>
    <w:rsid w:val="67A700E1"/>
    <w:rsid w:val="67B0377C"/>
    <w:rsid w:val="67B4741A"/>
    <w:rsid w:val="67B55E60"/>
    <w:rsid w:val="67C248FD"/>
    <w:rsid w:val="67CA1B05"/>
    <w:rsid w:val="67CE2EDF"/>
    <w:rsid w:val="67DB244E"/>
    <w:rsid w:val="67E05F5E"/>
    <w:rsid w:val="67EA2533"/>
    <w:rsid w:val="67EA33CE"/>
    <w:rsid w:val="67EB3C17"/>
    <w:rsid w:val="67EC2FBF"/>
    <w:rsid w:val="67EF02A9"/>
    <w:rsid w:val="67F72090"/>
    <w:rsid w:val="67FB1A94"/>
    <w:rsid w:val="67FC44E7"/>
    <w:rsid w:val="67FF0F45"/>
    <w:rsid w:val="680203FF"/>
    <w:rsid w:val="68133A7A"/>
    <w:rsid w:val="68155ACD"/>
    <w:rsid w:val="68161920"/>
    <w:rsid w:val="68167D38"/>
    <w:rsid w:val="681F180F"/>
    <w:rsid w:val="68272B82"/>
    <w:rsid w:val="682736B4"/>
    <w:rsid w:val="68295FC1"/>
    <w:rsid w:val="683230C8"/>
    <w:rsid w:val="6832311B"/>
    <w:rsid w:val="683426FB"/>
    <w:rsid w:val="683D4A7A"/>
    <w:rsid w:val="683D4DCE"/>
    <w:rsid w:val="684265A9"/>
    <w:rsid w:val="6843583A"/>
    <w:rsid w:val="68437083"/>
    <w:rsid w:val="68444BA9"/>
    <w:rsid w:val="68455962"/>
    <w:rsid w:val="68470F37"/>
    <w:rsid w:val="68471CFA"/>
    <w:rsid w:val="684E052E"/>
    <w:rsid w:val="684E1EF7"/>
    <w:rsid w:val="685355EC"/>
    <w:rsid w:val="685643E1"/>
    <w:rsid w:val="6858637B"/>
    <w:rsid w:val="68594929"/>
    <w:rsid w:val="686D4D23"/>
    <w:rsid w:val="68702277"/>
    <w:rsid w:val="68753642"/>
    <w:rsid w:val="687C27B3"/>
    <w:rsid w:val="687E630D"/>
    <w:rsid w:val="687F7C3A"/>
    <w:rsid w:val="68800282"/>
    <w:rsid w:val="68931CD5"/>
    <w:rsid w:val="68936434"/>
    <w:rsid w:val="689A6B90"/>
    <w:rsid w:val="689B0697"/>
    <w:rsid w:val="68A23436"/>
    <w:rsid w:val="68AC2A8E"/>
    <w:rsid w:val="68B9594A"/>
    <w:rsid w:val="68BE08B3"/>
    <w:rsid w:val="68CD2DF1"/>
    <w:rsid w:val="68DB4126"/>
    <w:rsid w:val="68E34AC6"/>
    <w:rsid w:val="68E56BBE"/>
    <w:rsid w:val="68E819D9"/>
    <w:rsid w:val="68EF4209"/>
    <w:rsid w:val="68F0088D"/>
    <w:rsid w:val="68F369E7"/>
    <w:rsid w:val="69034A64"/>
    <w:rsid w:val="690506DC"/>
    <w:rsid w:val="690523FE"/>
    <w:rsid w:val="690E58E3"/>
    <w:rsid w:val="6911105D"/>
    <w:rsid w:val="69117A34"/>
    <w:rsid w:val="6913359B"/>
    <w:rsid w:val="691935FF"/>
    <w:rsid w:val="69194288"/>
    <w:rsid w:val="69227F89"/>
    <w:rsid w:val="692844CB"/>
    <w:rsid w:val="69381564"/>
    <w:rsid w:val="69382960"/>
    <w:rsid w:val="693E2568"/>
    <w:rsid w:val="694D5CE0"/>
    <w:rsid w:val="69540E1C"/>
    <w:rsid w:val="695A4302"/>
    <w:rsid w:val="6965734D"/>
    <w:rsid w:val="696F3EA8"/>
    <w:rsid w:val="696F6D2D"/>
    <w:rsid w:val="69717C20"/>
    <w:rsid w:val="69777C6C"/>
    <w:rsid w:val="69787200"/>
    <w:rsid w:val="69796AD5"/>
    <w:rsid w:val="69855479"/>
    <w:rsid w:val="698600A5"/>
    <w:rsid w:val="698641CF"/>
    <w:rsid w:val="699F3D19"/>
    <w:rsid w:val="699F5A0A"/>
    <w:rsid w:val="69A37450"/>
    <w:rsid w:val="69AC0C58"/>
    <w:rsid w:val="69B04C83"/>
    <w:rsid w:val="69B960E8"/>
    <w:rsid w:val="69BC044F"/>
    <w:rsid w:val="69BF520A"/>
    <w:rsid w:val="69C064B2"/>
    <w:rsid w:val="69C77FE8"/>
    <w:rsid w:val="69CE59BB"/>
    <w:rsid w:val="69DF2DDC"/>
    <w:rsid w:val="69DF5C48"/>
    <w:rsid w:val="69EC54F9"/>
    <w:rsid w:val="69F90ABF"/>
    <w:rsid w:val="6A014E78"/>
    <w:rsid w:val="6A066C71"/>
    <w:rsid w:val="6A09474F"/>
    <w:rsid w:val="6A0D2B94"/>
    <w:rsid w:val="6A0D5B9B"/>
    <w:rsid w:val="6A10568B"/>
    <w:rsid w:val="6A154A4F"/>
    <w:rsid w:val="6A1A62CD"/>
    <w:rsid w:val="6A1C0E4B"/>
    <w:rsid w:val="6A2140B2"/>
    <w:rsid w:val="6A2373AF"/>
    <w:rsid w:val="6A2F23AB"/>
    <w:rsid w:val="6A3972D0"/>
    <w:rsid w:val="6A3C67A6"/>
    <w:rsid w:val="6A3D7B02"/>
    <w:rsid w:val="6A405DAE"/>
    <w:rsid w:val="6A460A79"/>
    <w:rsid w:val="6A472B90"/>
    <w:rsid w:val="6A4C7319"/>
    <w:rsid w:val="6A5006F6"/>
    <w:rsid w:val="6A553A32"/>
    <w:rsid w:val="6A560DAC"/>
    <w:rsid w:val="6A663538"/>
    <w:rsid w:val="6A692012"/>
    <w:rsid w:val="6A694826"/>
    <w:rsid w:val="6A6962F1"/>
    <w:rsid w:val="6A85011B"/>
    <w:rsid w:val="6A8D304D"/>
    <w:rsid w:val="6A8E5EDF"/>
    <w:rsid w:val="6A994787"/>
    <w:rsid w:val="6A9C2A7B"/>
    <w:rsid w:val="6AA033E6"/>
    <w:rsid w:val="6AA803C3"/>
    <w:rsid w:val="6AAD49C9"/>
    <w:rsid w:val="6AAD5F0E"/>
    <w:rsid w:val="6AB019B8"/>
    <w:rsid w:val="6AB11F32"/>
    <w:rsid w:val="6AB77B14"/>
    <w:rsid w:val="6ABF6E0B"/>
    <w:rsid w:val="6AC12A16"/>
    <w:rsid w:val="6AC24B1C"/>
    <w:rsid w:val="6ACA41DD"/>
    <w:rsid w:val="6ACE4BFE"/>
    <w:rsid w:val="6AD10D9A"/>
    <w:rsid w:val="6AD71102"/>
    <w:rsid w:val="6AE54422"/>
    <w:rsid w:val="6AE61F48"/>
    <w:rsid w:val="6AEB2A78"/>
    <w:rsid w:val="6AF361D6"/>
    <w:rsid w:val="6AF96F3B"/>
    <w:rsid w:val="6B106C62"/>
    <w:rsid w:val="6B106FC5"/>
    <w:rsid w:val="6B1533AD"/>
    <w:rsid w:val="6B17611C"/>
    <w:rsid w:val="6B19231D"/>
    <w:rsid w:val="6B197A81"/>
    <w:rsid w:val="6B1F11E2"/>
    <w:rsid w:val="6B25797B"/>
    <w:rsid w:val="6B31378F"/>
    <w:rsid w:val="6B325BF7"/>
    <w:rsid w:val="6B3B484B"/>
    <w:rsid w:val="6B3C3C68"/>
    <w:rsid w:val="6B42603A"/>
    <w:rsid w:val="6B427FCD"/>
    <w:rsid w:val="6B431030"/>
    <w:rsid w:val="6B436A8D"/>
    <w:rsid w:val="6B4E5778"/>
    <w:rsid w:val="6B581098"/>
    <w:rsid w:val="6B5C220A"/>
    <w:rsid w:val="6B5D5230"/>
    <w:rsid w:val="6B607E5C"/>
    <w:rsid w:val="6B625A72"/>
    <w:rsid w:val="6B684B2B"/>
    <w:rsid w:val="6B6A4927"/>
    <w:rsid w:val="6B6C68F1"/>
    <w:rsid w:val="6B6D4417"/>
    <w:rsid w:val="6B713F07"/>
    <w:rsid w:val="6B7439F8"/>
    <w:rsid w:val="6B756B41"/>
    <w:rsid w:val="6B782B8D"/>
    <w:rsid w:val="6B98412E"/>
    <w:rsid w:val="6B9A628E"/>
    <w:rsid w:val="6BA81FC6"/>
    <w:rsid w:val="6BA972A1"/>
    <w:rsid w:val="6BAE5658"/>
    <w:rsid w:val="6BCB1032"/>
    <w:rsid w:val="6BCC676B"/>
    <w:rsid w:val="6BCD6965"/>
    <w:rsid w:val="6BD16ED3"/>
    <w:rsid w:val="6BD275B7"/>
    <w:rsid w:val="6BDB5825"/>
    <w:rsid w:val="6BDD7E70"/>
    <w:rsid w:val="6BEA6C23"/>
    <w:rsid w:val="6BEA7B51"/>
    <w:rsid w:val="6BF568E6"/>
    <w:rsid w:val="6BFC1155"/>
    <w:rsid w:val="6BFF25F4"/>
    <w:rsid w:val="6C0528A2"/>
    <w:rsid w:val="6C0601F1"/>
    <w:rsid w:val="6C06177A"/>
    <w:rsid w:val="6C075B03"/>
    <w:rsid w:val="6C0D5B92"/>
    <w:rsid w:val="6C112B24"/>
    <w:rsid w:val="6C164AAF"/>
    <w:rsid w:val="6C1F5711"/>
    <w:rsid w:val="6C224F66"/>
    <w:rsid w:val="6C2B1798"/>
    <w:rsid w:val="6C311952"/>
    <w:rsid w:val="6C313697"/>
    <w:rsid w:val="6C3F24CA"/>
    <w:rsid w:val="6C4130C1"/>
    <w:rsid w:val="6C422159"/>
    <w:rsid w:val="6C47110C"/>
    <w:rsid w:val="6C4C4A8D"/>
    <w:rsid w:val="6C5147F6"/>
    <w:rsid w:val="6C5527E5"/>
    <w:rsid w:val="6C553EED"/>
    <w:rsid w:val="6C5B406F"/>
    <w:rsid w:val="6C6058A7"/>
    <w:rsid w:val="6C683B9C"/>
    <w:rsid w:val="6C697BBF"/>
    <w:rsid w:val="6C711CE5"/>
    <w:rsid w:val="6C7520FA"/>
    <w:rsid w:val="6C7E1F8F"/>
    <w:rsid w:val="6C8C4686"/>
    <w:rsid w:val="6C9205D9"/>
    <w:rsid w:val="6C975BF0"/>
    <w:rsid w:val="6C984236"/>
    <w:rsid w:val="6CA33918"/>
    <w:rsid w:val="6CAA08FF"/>
    <w:rsid w:val="6CB21A56"/>
    <w:rsid w:val="6CB86E80"/>
    <w:rsid w:val="6CD06CF5"/>
    <w:rsid w:val="6CD07B9A"/>
    <w:rsid w:val="6CD45945"/>
    <w:rsid w:val="6CDA60C2"/>
    <w:rsid w:val="6CDC3602"/>
    <w:rsid w:val="6CDC43E9"/>
    <w:rsid w:val="6CDF25C2"/>
    <w:rsid w:val="6CE63063"/>
    <w:rsid w:val="6CE7250C"/>
    <w:rsid w:val="6CE80A80"/>
    <w:rsid w:val="6CE8644B"/>
    <w:rsid w:val="6CEF77DA"/>
    <w:rsid w:val="6CF245FA"/>
    <w:rsid w:val="6CF70BFF"/>
    <w:rsid w:val="6D00090C"/>
    <w:rsid w:val="6D0428AB"/>
    <w:rsid w:val="6D1014FE"/>
    <w:rsid w:val="6D165E10"/>
    <w:rsid w:val="6D181281"/>
    <w:rsid w:val="6D2A08D5"/>
    <w:rsid w:val="6D386416"/>
    <w:rsid w:val="6D47333A"/>
    <w:rsid w:val="6D517303"/>
    <w:rsid w:val="6D590593"/>
    <w:rsid w:val="6D594C53"/>
    <w:rsid w:val="6D5E6EBF"/>
    <w:rsid w:val="6D602485"/>
    <w:rsid w:val="6D6209B3"/>
    <w:rsid w:val="6D6B416B"/>
    <w:rsid w:val="6D6D1B92"/>
    <w:rsid w:val="6D7133CC"/>
    <w:rsid w:val="6D720BA9"/>
    <w:rsid w:val="6D7B16CC"/>
    <w:rsid w:val="6D7C3DDB"/>
    <w:rsid w:val="6D7E7792"/>
    <w:rsid w:val="6D8E6624"/>
    <w:rsid w:val="6D925BDE"/>
    <w:rsid w:val="6DA01445"/>
    <w:rsid w:val="6DA22D00"/>
    <w:rsid w:val="6DB04CB2"/>
    <w:rsid w:val="6DB4178C"/>
    <w:rsid w:val="6DC01B3D"/>
    <w:rsid w:val="6DC02F24"/>
    <w:rsid w:val="6DC03450"/>
    <w:rsid w:val="6DD17D62"/>
    <w:rsid w:val="6DD2529F"/>
    <w:rsid w:val="6DD8201C"/>
    <w:rsid w:val="6DDE4298"/>
    <w:rsid w:val="6DF05E3F"/>
    <w:rsid w:val="6DF61D70"/>
    <w:rsid w:val="6DF7425E"/>
    <w:rsid w:val="6DFA03C4"/>
    <w:rsid w:val="6E054DDB"/>
    <w:rsid w:val="6E076D34"/>
    <w:rsid w:val="6E0A1325"/>
    <w:rsid w:val="6E1A7B10"/>
    <w:rsid w:val="6E276AFF"/>
    <w:rsid w:val="6E3B3B2D"/>
    <w:rsid w:val="6E3D0A6D"/>
    <w:rsid w:val="6E4848D8"/>
    <w:rsid w:val="6E4A5328"/>
    <w:rsid w:val="6E533D98"/>
    <w:rsid w:val="6E565D07"/>
    <w:rsid w:val="6E5C03A9"/>
    <w:rsid w:val="6E5C7B73"/>
    <w:rsid w:val="6E6C478D"/>
    <w:rsid w:val="6E757270"/>
    <w:rsid w:val="6E884778"/>
    <w:rsid w:val="6E891A4E"/>
    <w:rsid w:val="6E8A4814"/>
    <w:rsid w:val="6E932533"/>
    <w:rsid w:val="6E940421"/>
    <w:rsid w:val="6E9A4FA5"/>
    <w:rsid w:val="6EA16191"/>
    <w:rsid w:val="6EA90FDE"/>
    <w:rsid w:val="6EB34837"/>
    <w:rsid w:val="6EB96D3E"/>
    <w:rsid w:val="6EBD1C57"/>
    <w:rsid w:val="6EC30F1E"/>
    <w:rsid w:val="6EC64922"/>
    <w:rsid w:val="6ECB55B8"/>
    <w:rsid w:val="6ED24951"/>
    <w:rsid w:val="6ED43694"/>
    <w:rsid w:val="6ED87E74"/>
    <w:rsid w:val="6EE53DE0"/>
    <w:rsid w:val="6EED40D9"/>
    <w:rsid w:val="6EFA2466"/>
    <w:rsid w:val="6F0B5CC5"/>
    <w:rsid w:val="6F0F3FB5"/>
    <w:rsid w:val="6F1418CC"/>
    <w:rsid w:val="6F1E2296"/>
    <w:rsid w:val="6F23498B"/>
    <w:rsid w:val="6F3040D9"/>
    <w:rsid w:val="6F36229B"/>
    <w:rsid w:val="6F3659D8"/>
    <w:rsid w:val="6F392F8E"/>
    <w:rsid w:val="6F427577"/>
    <w:rsid w:val="6F466612"/>
    <w:rsid w:val="6F5002D8"/>
    <w:rsid w:val="6F5C7A75"/>
    <w:rsid w:val="6F5E0C47"/>
    <w:rsid w:val="6F6048FE"/>
    <w:rsid w:val="6F6124E5"/>
    <w:rsid w:val="6F633146"/>
    <w:rsid w:val="6F655B31"/>
    <w:rsid w:val="6F6C691B"/>
    <w:rsid w:val="6F6F1085"/>
    <w:rsid w:val="6F806E0F"/>
    <w:rsid w:val="6F9208F0"/>
    <w:rsid w:val="6F943C5A"/>
    <w:rsid w:val="6FB27708"/>
    <w:rsid w:val="6FB478B7"/>
    <w:rsid w:val="6FBF4BFE"/>
    <w:rsid w:val="6FC8448B"/>
    <w:rsid w:val="6FD35191"/>
    <w:rsid w:val="6FD827A7"/>
    <w:rsid w:val="6FD83771"/>
    <w:rsid w:val="6FD900B8"/>
    <w:rsid w:val="6FDE202A"/>
    <w:rsid w:val="6FE43C35"/>
    <w:rsid w:val="6FE4739E"/>
    <w:rsid w:val="6FE52CEE"/>
    <w:rsid w:val="6FEA5A1C"/>
    <w:rsid w:val="6FEB253B"/>
    <w:rsid w:val="6FED3D79"/>
    <w:rsid w:val="6FFE09D9"/>
    <w:rsid w:val="70041B6B"/>
    <w:rsid w:val="700E7FC4"/>
    <w:rsid w:val="7012558D"/>
    <w:rsid w:val="70194B6E"/>
    <w:rsid w:val="701B5335"/>
    <w:rsid w:val="702A2886"/>
    <w:rsid w:val="703379DD"/>
    <w:rsid w:val="703674CE"/>
    <w:rsid w:val="703951EF"/>
    <w:rsid w:val="703B0129"/>
    <w:rsid w:val="703C27F4"/>
    <w:rsid w:val="70423C64"/>
    <w:rsid w:val="705A0D9A"/>
    <w:rsid w:val="705F2162"/>
    <w:rsid w:val="70630383"/>
    <w:rsid w:val="70696A50"/>
    <w:rsid w:val="707C4965"/>
    <w:rsid w:val="70866B41"/>
    <w:rsid w:val="709B5583"/>
    <w:rsid w:val="709F3B54"/>
    <w:rsid w:val="70A83FBF"/>
    <w:rsid w:val="70AB523A"/>
    <w:rsid w:val="70B36D70"/>
    <w:rsid w:val="70B74B36"/>
    <w:rsid w:val="70C26FB3"/>
    <w:rsid w:val="70CD23C0"/>
    <w:rsid w:val="70D32B61"/>
    <w:rsid w:val="70D36C12"/>
    <w:rsid w:val="70D85FC1"/>
    <w:rsid w:val="70F01C44"/>
    <w:rsid w:val="70F516CE"/>
    <w:rsid w:val="70FD0BC5"/>
    <w:rsid w:val="7114113C"/>
    <w:rsid w:val="711C0906"/>
    <w:rsid w:val="712437CA"/>
    <w:rsid w:val="7126679C"/>
    <w:rsid w:val="71292B19"/>
    <w:rsid w:val="712B2BDC"/>
    <w:rsid w:val="712C10F3"/>
    <w:rsid w:val="713C1844"/>
    <w:rsid w:val="71450BD3"/>
    <w:rsid w:val="7146355D"/>
    <w:rsid w:val="714D0F73"/>
    <w:rsid w:val="7151052E"/>
    <w:rsid w:val="71573B9F"/>
    <w:rsid w:val="7162419C"/>
    <w:rsid w:val="71643374"/>
    <w:rsid w:val="716A7B93"/>
    <w:rsid w:val="716B31A7"/>
    <w:rsid w:val="716F2C97"/>
    <w:rsid w:val="717474DC"/>
    <w:rsid w:val="718A6801"/>
    <w:rsid w:val="718E6353"/>
    <w:rsid w:val="718F3339"/>
    <w:rsid w:val="71A01A9F"/>
    <w:rsid w:val="71AF5213"/>
    <w:rsid w:val="71BB71E6"/>
    <w:rsid w:val="71BE0B36"/>
    <w:rsid w:val="71C54FAD"/>
    <w:rsid w:val="71C81340"/>
    <w:rsid w:val="71C8398B"/>
    <w:rsid w:val="71CE65CD"/>
    <w:rsid w:val="71E847F7"/>
    <w:rsid w:val="71EE5577"/>
    <w:rsid w:val="71FE1AD4"/>
    <w:rsid w:val="72007BEE"/>
    <w:rsid w:val="72075D53"/>
    <w:rsid w:val="720B51B6"/>
    <w:rsid w:val="720C6738"/>
    <w:rsid w:val="721E1F6F"/>
    <w:rsid w:val="72234D69"/>
    <w:rsid w:val="724759C2"/>
    <w:rsid w:val="7253713E"/>
    <w:rsid w:val="725D5379"/>
    <w:rsid w:val="726447C6"/>
    <w:rsid w:val="72737B82"/>
    <w:rsid w:val="727F0905"/>
    <w:rsid w:val="727F12F9"/>
    <w:rsid w:val="72895D82"/>
    <w:rsid w:val="728F1117"/>
    <w:rsid w:val="72945E87"/>
    <w:rsid w:val="72953AC7"/>
    <w:rsid w:val="7296204E"/>
    <w:rsid w:val="72BA6194"/>
    <w:rsid w:val="72BE3825"/>
    <w:rsid w:val="72BF4F7D"/>
    <w:rsid w:val="72CB7276"/>
    <w:rsid w:val="72CC5BB9"/>
    <w:rsid w:val="72CF3B0D"/>
    <w:rsid w:val="72DD1E82"/>
    <w:rsid w:val="72E871A5"/>
    <w:rsid w:val="72EA091E"/>
    <w:rsid w:val="72EB11D1"/>
    <w:rsid w:val="72F86CBC"/>
    <w:rsid w:val="72FB4772"/>
    <w:rsid w:val="72FD24F2"/>
    <w:rsid w:val="730423A2"/>
    <w:rsid w:val="73067B6A"/>
    <w:rsid w:val="73090EC9"/>
    <w:rsid w:val="732249A1"/>
    <w:rsid w:val="732950C8"/>
    <w:rsid w:val="73357F10"/>
    <w:rsid w:val="733C4DFB"/>
    <w:rsid w:val="73441807"/>
    <w:rsid w:val="734464A7"/>
    <w:rsid w:val="7347663E"/>
    <w:rsid w:val="734D3BC8"/>
    <w:rsid w:val="734E17EE"/>
    <w:rsid w:val="73504D4A"/>
    <w:rsid w:val="73506918"/>
    <w:rsid w:val="735230D5"/>
    <w:rsid w:val="73554010"/>
    <w:rsid w:val="73571C35"/>
    <w:rsid w:val="735D2C3A"/>
    <w:rsid w:val="735D39B8"/>
    <w:rsid w:val="73711549"/>
    <w:rsid w:val="73786272"/>
    <w:rsid w:val="737C0FFA"/>
    <w:rsid w:val="738A025C"/>
    <w:rsid w:val="738B5D82"/>
    <w:rsid w:val="739619CC"/>
    <w:rsid w:val="73992B41"/>
    <w:rsid w:val="739E08B8"/>
    <w:rsid w:val="73A111BE"/>
    <w:rsid w:val="73A25EFD"/>
    <w:rsid w:val="73A95B56"/>
    <w:rsid w:val="73B452D9"/>
    <w:rsid w:val="73B61051"/>
    <w:rsid w:val="73B9644B"/>
    <w:rsid w:val="73BB13AD"/>
    <w:rsid w:val="73BB5D6B"/>
    <w:rsid w:val="73BC1C0C"/>
    <w:rsid w:val="73C4268A"/>
    <w:rsid w:val="73CA2CA4"/>
    <w:rsid w:val="73CA314A"/>
    <w:rsid w:val="73CC3327"/>
    <w:rsid w:val="73E55492"/>
    <w:rsid w:val="73E57241"/>
    <w:rsid w:val="73F2319F"/>
    <w:rsid w:val="740775BE"/>
    <w:rsid w:val="741B3FD0"/>
    <w:rsid w:val="74202640"/>
    <w:rsid w:val="743326A2"/>
    <w:rsid w:val="743401C8"/>
    <w:rsid w:val="74347F19"/>
    <w:rsid w:val="743E44FA"/>
    <w:rsid w:val="74414766"/>
    <w:rsid w:val="74453829"/>
    <w:rsid w:val="744568C7"/>
    <w:rsid w:val="747D1B6F"/>
    <w:rsid w:val="747F58E7"/>
    <w:rsid w:val="74803981"/>
    <w:rsid w:val="748E671C"/>
    <w:rsid w:val="74922AC0"/>
    <w:rsid w:val="749420F2"/>
    <w:rsid w:val="74A225EF"/>
    <w:rsid w:val="74B45395"/>
    <w:rsid w:val="74C4622B"/>
    <w:rsid w:val="74C87F16"/>
    <w:rsid w:val="74CB28DA"/>
    <w:rsid w:val="74D04DB6"/>
    <w:rsid w:val="74D90969"/>
    <w:rsid w:val="74DA2B1D"/>
    <w:rsid w:val="74DA48CB"/>
    <w:rsid w:val="74DE41A5"/>
    <w:rsid w:val="74E70CB8"/>
    <w:rsid w:val="74E92D60"/>
    <w:rsid w:val="74EC7067"/>
    <w:rsid w:val="74F5194B"/>
    <w:rsid w:val="74F72AF3"/>
    <w:rsid w:val="74F7365D"/>
    <w:rsid w:val="74F811F5"/>
    <w:rsid w:val="74F87C2C"/>
    <w:rsid w:val="74FA31C0"/>
    <w:rsid w:val="7501454E"/>
    <w:rsid w:val="75097D55"/>
    <w:rsid w:val="750A2CD7"/>
    <w:rsid w:val="750A5428"/>
    <w:rsid w:val="752437F8"/>
    <w:rsid w:val="752A12F1"/>
    <w:rsid w:val="753D404C"/>
    <w:rsid w:val="754378F0"/>
    <w:rsid w:val="754430F8"/>
    <w:rsid w:val="75454B54"/>
    <w:rsid w:val="75456373"/>
    <w:rsid w:val="75491A51"/>
    <w:rsid w:val="75524368"/>
    <w:rsid w:val="755B7C0B"/>
    <w:rsid w:val="755D54FC"/>
    <w:rsid w:val="756019C9"/>
    <w:rsid w:val="756659DC"/>
    <w:rsid w:val="75680129"/>
    <w:rsid w:val="756D53EE"/>
    <w:rsid w:val="75792336"/>
    <w:rsid w:val="757F58D8"/>
    <w:rsid w:val="758104C3"/>
    <w:rsid w:val="75862CA5"/>
    <w:rsid w:val="758C51E5"/>
    <w:rsid w:val="759341F6"/>
    <w:rsid w:val="75A03342"/>
    <w:rsid w:val="75AA6994"/>
    <w:rsid w:val="75AB2B8A"/>
    <w:rsid w:val="75AF16E6"/>
    <w:rsid w:val="75AF3FAA"/>
    <w:rsid w:val="75B1318F"/>
    <w:rsid w:val="75BD3566"/>
    <w:rsid w:val="75D10E0C"/>
    <w:rsid w:val="75D4260F"/>
    <w:rsid w:val="75D75712"/>
    <w:rsid w:val="75DD0582"/>
    <w:rsid w:val="75EB3CEA"/>
    <w:rsid w:val="75ED2F23"/>
    <w:rsid w:val="75F11E61"/>
    <w:rsid w:val="75F220E9"/>
    <w:rsid w:val="75F428A6"/>
    <w:rsid w:val="75F52486"/>
    <w:rsid w:val="7602548E"/>
    <w:rsid w:val="760320FA"/>
    <w:rsid w:val="76110158"/>
    <w:rsid w:val="76126652"/>
    <w:rsid w:val="761402B1"/>
    <w:rsid w:val="76182072"/>
    <w:rsid w:val="761B7D80"/>
    <w:rsid w:val="761C0A74"/>
    <w:rsid w:val="761E4C8C"/>
    <w:rsid w:val="762B0D2A"/>
    <w:rsid w:val="76382F12"/>
    <w:rsid w:val="76434322"/>
    <w:rsid w:val="764F2B2D"/>
    <w:rsid w:val="765C5EC2"/>
    <w:rsid w:val="765D7381"/>
    <w:rsid w:val="76684159"/>
    <w:rsid w:val="766A7ED1"/>
    <w:rsid w:val="766C1E9B"/>
    <w:rsid w:val="76760624"/>
    <w:rsid w:val="768014A2"/>
    <w:rsid w:val="768A39BC"/>
    <w:rsid w:val="768F2D9D"/>
    <w:rsid w:val="769D02A6"/>
    <w:rsid w:val="76B000B8"/>
    <w:rsid w:val="76B57B1A"/>
    <w:rsid w:val="76B62E18"/>
    <w:rsid w:val="76B73919"/>
    <w:rsid w:val="76B8516C"/>
    <w:rsid w:val="76C92D0B"/>
    <w:rsid w:val="76D23B71"/>
    <w:rsid w:val="76D34B31"/>
    <w:rsid w:val="76D90BB3"/>
    <w:rsid w:val="76DC73B5"/>
    <w:rsid w:val="76E50438"/>
    <w:rsid w:val="76E81C8A"/>
    <w:rsid w:val="77061685"/>
    <w:rsid w:val="7706409E"/>
    <w:rsid w:val="770A73B3"/>
    <w:rsid w:val="770C3AED"/>
    <w:rsid w:val="770E74AA"/>
    <w:rsid w:val="771542E1"/>
    <w:rsid w:val="77154480"/>
    <w:rsid w:val="77182CF2"/>
    <w:rsid w:val="771D4D4C"/>
    <w:rsid w:val="77206E17"/>
    <w:rsid w:val="77220638"/>
    <w:rsid w:val="77251B93"/>
    <w:rsid w:val="772B318E"/>
    <w:rsid w:val="772B3B04"/>
    <w:rsid w:val="772D2680"/>
    <w:rsid w:val="772E5490"/>
    <w:rsid w:val="77314F11"/>
    <w:rsid w:val="773B0D91"/>
    <w:rsid w:val="77470212"/>
    <w:rsid w:val="775C1F10"/>
    <w:rsid w:val="776042C2"/>
    <w:rsid w:val="77633E9B"/>
    <w:rsid w:val="77665300"/>
    <w:rsid w:val="776F6A13"/>
    <w:rsid w:val="77752FD1"/>
    <w:rsid w:val="777C3A99"/>
    <w:rsid w:val="77807966"/>
    <w:rsid w:val="77873058"/>
    <w:rsid w:val="778A6B73"/>
    <w:rsid w:val="778F321E"/>
    <w:rsid w:val="77A4357D"/>
    <w:rsid w:val="77AD62C7"/>
    <w:rsid w:val="77AE670B"/>
    <w:rsid w:val="77BF31C3"/>
    <w:rsid w:val="77C11D73"/>
    <w:rsid w:val="77C82ECA"/>
    <w:rsid w:val="77CB114B"/>
    <w:rsid w:val="77CB1A30"/>
    <w:rsid w:val="77DE1039"/>
    <w:rsid w:val="77E05069"/>
    <w:rsid w:val="77E108A2"/>
    <w:rsid w:val="77E20853"/>
    <w:rsid w:val="77F55D5D"/>
    <w:rsid w:val="77FC5C01"/>
    <w:rsid w:val="780138A2"/>
    <w:rsid w:val="780177FB"/>
    <w:rsid w:val="780974B2"/>
    <w:rsid w:val="783464A7"/>
    <w:rsid w:val="7839241C"/>
    <w:rsid w:val="783C589D"/>
    <w:rsid w:val="783E33C3"/>
    <w:rsid w:val="78423D48"/>
    <w:rsid w:val="785901FD"/>
    <w:rsid w:val="785D33E7"/>
    <w:rsid w:val="785D489D"/>
    <w:rsid w:val="785E5813"/>
    <w:rsid w:val="78614E88"/>
    <w:rsid w:val="78632C3D"/>
    <w:rsid w:val="7866720A"/>
    <w:rsid w:val="78686692"/>
    <w:rsid w:val="786C14C2"/>
    <w:rsid w:val="786C7F30"/>
    <w:rsid w:val="78774B27"/>
    <w:rsid w:val="7877762E"/>
    <w:rsid w:val="787A7E9F"/>
    <w:rsid w:val="788B1F02"/>
    <w:rsid w:val="788E5C50"/>
    <w:rsid w:val="789835B7"/>
    <w:rsid w:val="78A76272"/>
    <w:rsid w:val="78A8679B"/>
    <w:rsid w:val="78AC2A23"/>
    <w:rsid w:val="78AC7D6F"/>
    <w:rsid w:val="78B83176"/>
    <w:rsid w:val="78B86684"/>
    <w:rsid w:val="78C0027C"/>
    <w:rsid w:val="78CA2E70"/>
    <w:rsid w:val="78CD15F4"/>
    <w:rsid w:val="78CF2423"/>
    <w:rsid w:val="78D83818"/>
    <w:rsid w:val="78E34B02"/>
    <w:rsid w:val="78E811D1"/>
    <w:rsid w:val="78E96C93"/>
    <w:rsid w:val="78F817C4"/>
    <w:rsid w:val="78FA0EF3"/>
    <w:rsid w:val="78FA7D70"/>
    <w:rsid w:val="78FD03CE"/>
    <w:rsid w:val="78FD3DB1"/>
    <w:rsid w:val="790A7005"/>
    <w:rsid w:val="790F5FD1"/>
    <w:rsid w:val="791B040F"/>
    <w:rsid w:val="79243D01"/>
    <w:rsid w:val="79254583"/>
    <w:rsid w:val="79300AA4"/>
    <w:rsid w:val="793228FA"/>
    <w:rsid w:val="7932623C"/>
    <w:rsid w:val="793C296C"/>
    <w:rsid w:val="793C51B2"/>
    <w:rsid w:val="794F0D9D"/>
    <w:rsid w:val="7954485D"/>
    <w:rsid w:val="79561AC8"/>
    <w:rsid w:val="79681A30"/>
    <w:rsid w:val="79711576"/>
    <w:rsid w:val="79733540"/>
    <w:rsid w:val="79782905"/>
    <w:rsid w:val="797F3C93"/>
    <w:rsid w:val="79844921"/>
    <w:rsid w:val="798B47E7"/>
    <w:rsid w:val="798E2A40"/>
    <w:rsid w:val="799314ED"/>
    <w:rsid w:val="799460F3"/>
    <w:rsid w:val="79951709"/>
    <w:rsid w:val="79A4194C"/>
    <w:rsid w:val="79BD47BC"/>
    <w:rsid w:val="79C022DD"/>
    <w:rsid w:val="79C616A5"/>
    <w:rsid w:val="79D939C9"/>
    <w:rsid w:val="79DA1594"/>
    <w:rsid w:val="79E47F9A"/>
    <w:rsid w:val="79E61F64"/>
    <w:rsid w:val="79F20909"/>
    <w:rsid w:val="79F44681"/>
    <w:rsid w:val="79F53FAD"/>
    <w:rsid w:val="7A044199"/>
    <w:rsid w:val="7A111D74"/>
    <w:rsid w:val="7A17211E"/>
    <w:rsid w:val="7A284F52"/>
    <w:rsid w:val="7A2B2B3C"/>
    <w:rsid w:val="7A326F58"/>
    <w:rsid w:val="7A392094"/>
    <w:rsid w:val="7A4602B8"/>
    <w:rsid w:val="7A495E80"/>
    <w:rsid w:val="7A4B2C37"/>
    <w:rsid w:val="7A4D15E8"/>
    <w:rsid w:val="7A505DAD"/>
    <w:rsid w:val="7A594895"/>
    <w:rsid w:val="7A637111"/>
    <w:rsid w:val="7A6A4943"/>
    <w:rsid w:val="7A6A78DB"/>
    <w:rsid w:val="7A710BA7"/>
    <w:rsid w:val="7A754286"/>
    <w:rsid w:val="7A807F4C"/>
    <w:rsid w:val="7A8378C2"/>
    <w:rsid w:val="7A886B78"/>
    <w:rsid w:val="7A8D62FA"/>
    <w:rsid w:val="7AA40B0A"/>
    <w:rsid w:val="7AA833A4"/>
    <w:rsid w:val="7AAF67FA"/>
    <w:rsid w:val="7AB10FD4"/>
    <w:rsid w:val="7ABB3F96"/>
    <w:rsid w:val="7ABC24D7"/>
    <w:rsid w:val="7ABF6014"/>
    <w:rsid w:val="7AC14FCE"/>
    <w:rsid w:val="7ACF47A6"/>
    <w:rsid w:val="7AD7365B"/>
    <w:rsid w:val="7ADD519D"/>
    <w:rsid w:val="7AE2097E"/>
    <w:rsid w:val="7AEC4D72"/>
    <w:rsid w:val="7AF7106B"/>
    <w:rsid w:val="7AFE32DE"/>
    <w:rsid w:val="7AFF62DC"/>
    <w:rsid w:val="7AFF67A2"/>
    <w:rsid w:val="7B002BB2"/>
    <w:rsid w:val="7B05660A"/>
    <w:rsid w:val="7B0D7BC8"/>
    <w:rsid w:val="7B18090F"/>
    <w:rsid w:val="7B193C15"/>
    <w:rsid w:val="7B2B077A"/>
    <w:rsid w:val="7B2C1BF9"/>
    <w:rsid w:val="7B396B7D"/>
    <w:rsid w:val="7B3D4676"/>
    <w:rsid w:val="7B413F7E"/>
    <w:rsid w:val="7B42141C"/>
    <w:rsid w:val="7B537186"/>
    <w:rsid w:val="7B581AC3"/>
    <w:rsid w:val="7B6018A2"/>
    <w:rsid w:val="7B687B75"/>
    <w:rsid w:val="7B6B5B27"/>
    <w:rsid w:val="7B713AB0"/>
    <w:rsid w:val="7B7D3FAF"/>
    <w:rsid w:val="7B831689"/>
    <w:rsid w:val="7B95779E"/>
    <w:rsid w:val="7B9C6D7F"/>
    <w:rsid w:val="7BA36DF4"/>
    <w:rsid w:val="7BA615A2"/>
    <w:rsid w:val="7BA67BFD"/>
    <w:rsid w:val="7BA9512D"/>
    <w:rsid w:val="7BAB5214"/>
    <w:rsid w:val="7BBD6CF5"/>
    <w:rsid w:val="7BC254CF"/>
    <w:rsid w:val="7BC26C10"/>
    <w:rsid w:val="7BC9569A"/>
    <w:rsid w:val="7BD5390A"/>
    <w:rsid w:val="7BE00B87"/>
    <w:rsid w:val="7BEC12EC"/>
    <w:rsid w:val="7BED75E5"/>
    <w:rsid w:val="7BEE728A"/>
    <w:rsid w:val="7BEF3120"/>
    <w:rsid w:val="7BEFF81C"/>
    <w:rsid w:val="7BF96898"/>
    <w:rsid w:val="7C021BFF"/>
    <w:rsid w:val="7C0972AA"/>
    <w:rsid w:val="7C136915"/>
    <w:rsid w:val="7C1B3D98"/>
    <w:rsid w:val="7C246D74"/>
    <w:rsid w:val="7C363418"/>
    <w:rsid w:val="7C377F58"/>
    <w:rsid w:val="7C3D3992"/>
    <w:rsid w:val="7C3F5D9E"/>
    <w:rsid w:val="7C4B2553"/>
    <w:rsid w:val="7C4C264F"/>
    <w:rsid w:val="7C4F3DF1"/>
    <w:rsid w:val="7C53272D"/>
    <w:rsid w:val="7C5C4760"/>
    <w:rsid w:val="7C624734"/>
    <w:rsid w:val="7C655B98"/>
    <w:rsid w:val="7C691019"/>
    <w:rsid w:val="7C760E26"/>
    <w:rsid w:val="7C7700A4"/>
    <w:rsid w:val="7C7750F6"/>
    <w:rsid w:val="7C7A6994"/>
    <w:rsid w:val="7C907F65"/>
    <w:rsid w:val="7C945CA8"/>
    <w:rsid w:val="7C97070F"/>
    <w:rsid w:val="7C9D177F"/>
    <w:rsid w:val="7C9F2371"/>
    <w:rsid w:val="7CA7192E"/>
    <w:rsid w:val="7CAD6D69"/>
    <w:rsid w:val="7CB24380"/>
    <w:rsid w:val="7CB34B68"/>
    <w:rsid w:val="7CB46824"/>
    <w:rsid w:val="7CBB1486"/>
    <w:rsid w:val="7CC66ACE"/>
    <w:rsid w:val="7CCA7F60"/>
    <w:rsid w:val="7CCC021E"/>
    <w:rsid w:val="7CD2057E"/>
    <w:rsid w:val="7CD4792B"/>
    <w:rsid w:val="7CD940D7"/>
    <w:rsid w:val="7CDE1088"/>
    <w:rsid w:val="7CE2710F"/>
    <w:rsid w:val="7CF3248A"/>
    <w:rsid w:val="7D0042EC"/>
    <w:rsid w:val="7D0F49D7"/>
    <w:rsid w:val="7D1053DC"/>
    <w:rsid w:val="7D1965EB"/>
    <w:rsid w:val="7D1D6273"/>
    <w:rsid w:val="7D281EBD"/>
    <w:rsid w:val="7D2C0EF9"/>
    <w:rsid w:val="7D3D1E9B"/>
    <w:rsid w:val="7D3F0770"/>
    <w:rsid w:val="7D4B43A1"/>
    <w:rsid w:val="7D592A4D"/>
    <w:rsid w:val="7D600C47"/>
    <w:rsid w:val="7D6334CD"/>
    <w:rsid w:val="7D6F401F"/>
    <w:rsid w:val="7D7358BD"/>
    <w:rsid w:val="7D751B04"/>
    <w:rsid w:val="7D7B492C"/>
    <w:rsid w:val="7D890844"/>
    <w:rsid w:val="7D8A1BBB"/>
    <w:rsid w:val="7D8D4178"/>
    <w:rsid w:val="7D9D285B"/>
    <w:rsid w:val="7DA15DA2"/>
    <w:rsid w:val="7DA23DC6"/>
    <w:rsid w:val="7DA63EE4"/>
    <w:rsid w:val="7DAE456B"/>
    <w:rsid w:val="7DAF3575"/>
    <w:rsid w:val="7DD81820"/>
    <w:rsid w:val="7DDD2456"/>
    <w:rsid w:val="7DE33C3D"/>
    <w:rsid w:val="7DEC58BF"/>
    <w:rsid w:val="7DF03033"/>
    <w:rsid w:val="7DF32EA2"/>
    <w:rsid w:val="7DF75355"/>
    <w:rsid w:val="7DFC0E51"/>
    <w:rsid w:val="7DFD20AA"/>
    <w:rsid w:val="7E0470FA"/>
    <w:rsid w:val="7E163E97"/>
    <w:rsid w:val="7E1739A0"/>
    <w:rsid w:val="7E1B24C9"/>
    <w:rsid w:val="7E1C4C96"/>
    <w:rsid w:val="7E1D1CCD"/>
    <w:rsid w:val="7E244BDB"/>
    <w:rsid w:val="7E251AE0"/>
    <w:rsid w:val="7E265025"/>
    <w:rsid w:val="7E2819DD"/>
    <w:rsid w:val="7E293579"/>
    <w:rsid w:val="7E2B3DA2"/>
    <w:rsid w:val="7E3B692B"/>
    <w:rsid w:val="7E3C190F"/>
    <w:rsid w:val="7E5A648D"/>
    <w:rsid w:val="7E5F4740"/>
    <w:rsid w:val="7E6401F6"/>
    <w:rsid w:val="7E6416AA"/>
    <w:rsid w:val="7E663305"/>
    <w:rsid w:val="7E6D055E"/>
    <w:rsid w:val="7E6F077A"/>
    <w:rsid w:val="7E7074A7"/>
    <w:rsid w:val="7E720703"/>
    <w:rsid w:val="7E73476D"/>
    <w:rsid w:val="7E751B09"/>
    <w:rsid w:val="7E757ABD"/>
    <w:rsid w:val="7E7E1815"/>
    <w:rsid w:val="7E7F0FB4"/>
    <w:rsid w:val="7E8104AE"/>
    <w:rsid w:val="7E87442F"/>
    <w:rsid w:val="7E996E25"/>
    <w:rsid w:val="7E9F76F2"/>
    <w:rsid w:val="7EA12A16"/>
    <w:rsid w:val="7EA1645A"/>
    <w:rsid w:val="7EA321D2"/>
    <w:rsid w:val="7EA339B2"/>
    <w:rsid w:val="7EA46E9F"/>
    <w:rsid w:val="7EA94FED"/>
    <w:rsid w:val="7EBD3942"/>
    <w:rsid w:val="7EBE700C"/>
    <w:rsid w:val="7ECD225B"/>
    <w:rsid w:val="7ED17B3E"/>
    <w:rsid w:val="7ED71E7C"/>
    <w:rsid w:val="7EDF04BA"/>
    <w:rsid w:val="7EE06F82"/>
    <w:rsid w:val="7EE23801"/>
    <w:rsid w:val="7EE54599"/>
    <w:rsid w:val="7EF300D6"/>
    <w:rsid w:val="7EF63574"/>
    <w:rsid w:val="7EF63E16"/>
    <w:rsid w:val="7EF73380"/>
    <w:rsid w:val="7EFFF654"/>
    <w:rsid w:val="7F036648"/>
    <w:rsid w:val="7F192494"/>
    <w:rsid w:val="7F1EC1CF"/>
    <w:rsid w:val="7F236326"/>
    <w:rsid w:val="7F2D7CEE"/>
    <w:rsid w:val="7F3207CA"/>
    <w:rsid w:val="7F376DBE"/>
    <w:rsid w:val="7F392B36"/>
    <w:rsid w:val="7F3F7EA3"/>
    <w:rsid w:val="7F403EC5"/>
    <w:rsid w:val="7F5B7CB9"/>
    <w:rsid w:val="7F663065"/>
    <w:rsid w:val="7F6B1BAD"/>
    <w:rsid w:val="7F701B3E"/>
    <w:rsid w:val="7F7741AE"/>
    <w:rsid w:val="7F7D5708"/>
    <w:rsid w:val="7F911DDB"/>
    <w:rsid w:val="7F9A7290"/>
    <w:rsid w:val="7FAD6F33"/>
    <w:rsid w:val="7FB923B7"/>
    <w:rsid w:val="7FC00703"/>
    <w:rsid w:val="7FC5261C"/>
    <w:rsid w:val="7FC543CA"/>
    <w:rsid w:val="7FC87BF2"/>
    <w:rsid w:val="7FD73216"/>
    <w:rsid w:val="7FD76069"/>
    <w:rsid w:val="7FDD34C2"/>
    <w:rsid w:val="7FE117F7"/>
    <w:rsid w:val="7FE57A5D"/>
    <w:rsid w:val="AB7E4BDD"/>
    <w:rsid w:val="B9391AD9"/>
    <w:rsid w:val="BDDDAB8D"/>
    <w:rsid w:val="DBFE9078"/>
    <w:rsid w:val="DFFDBBBE"/>
    <w:rsid w:val="EC7B858B"/>
    <w:rsid w:val="EDFF3B46"/>
    <w:rsid w:val="F27E1DE6"/>
    <w:rsid w:val="FBDF351C"/>
    <w:rsid w:val="FFDB315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uiPriority="0" w:name="toc 5"/>
    <w:lsdException w:qFormat="1" w:uiPriority="39" w:semiHidden="0" w:name="toc 6"/>
    <w:lsdException w:uiPriority="0" w:name="toc 7"/>
    <w:lsdException w:uiPriority="0" w:name="toc 8"/>
    <w:lsdException w:uiPriority="0" w:name="toc 9"/>
    <w:lsdException w:qFormat="1" w:unhideWhenUsed="0" w:uiPriority="0" w:semiHidden="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0"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iPriority="99" w:semiHidden="0" w:name="page number"/>
    <w:lsdException w:uiPriority="0" w:name="endnote reference"/>
    <w:lsdException w:qFormat="1" w:unhideWhenUsed="0" w:uiPriority="99" w:semiHidden="0" w:name="endnote text"/>
    <w:lsdException w:qFormat="1"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qFormat="1" w:unhideWhenUsed="0" w:uiPriority="99"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ind w:firstLine="360"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118"/>
    <w:qFormat/>
    <w:uiPriority w:val="0"/>
    <w:pPr>
      <w:keepNext/>
      <w:numPr>
        <w:ilvl w:val="0"/>
        <w:numId w:val="1"/>
      </w:numPr>
      <w:tabs>
        <w:tab w:val="left" w:pos="480"/>
      </w:tabs>
      <w:spacing w:beforeLines="100" w:afterLines="100" w:line="240" w:lineRule="auto"/>
      <w:ind w:firstLine="0" w:firstLineChars="0"/>
      <w:jc w:val="center"/>
      <w:outlineLvl w:val="0"/>
    </w:pPr>
    <w:rPr>
      <w:b/>
      <w:sz w:val="36"/>
      <w:szCs w:val="20"/>
    </w:rPr>
  </w:style>
  <w:style w:type="paragraph" w:styleId="3">
    <w:name w:val="heading 2"/>
    <w:basedOn w:val="1"/>
    <w:next w:val="1"/>
    <w:link w:val="80"/>
    <w:unhideWhenUsed/>
    <w:qFormat/>
    <w:uiPriority w:val="0"/>
    <w:pPr>
      <w:keepNext/>
      <w:keepLines/>
      <w:numPr>
        <w:ilvl w:val="1"/>
        <w:numId w:val="1"/>
      </w:numPr>
      <w:tabs>
        <w:tab w:val="left" w:pos="480"/>
      </w:tabs>
      <w:spacing w:beforeLines="50" w:afterLines="50" w:line="240" w:lineRule="auto"/>
      <w:ind w:left="575" w:firstLine="0" w:firstLineChars="0"/>
      <w:jc w:val="center"/>
      <w:outlineLvl w:val="1"/>
    </w:pPr>
    <w:rPr>
      <w:rFonts w:ascii="Arial" w:hAnsi="Arial"/>
      <w:bCs/>
      <w:sz w:val="30"/>
      <w:szCs w:val="32"/>
    </w:rPr>
  </w:style>
  <w:style w:type="paragraph" w:styleId="4">
    <w:name w:val="heading 3"/>
    <w:basedOn w:val="1"/>
    <w:next w:val="1"/>
    <w:link w:val="97"/>
    <w:unhideWhenUsed/>
    <w:qFormat/>
    <w:uiPriority w:val="0"/>
    <w:pPr>
      <w:numPr>
        <w:ilvl w:val="2"/>
        <w:numId w:val="1"/>
      </w:numPr>
      <w:tabs>
        <w:tab w:val="left" w:pos="2651"/>
      </w:tabs>
      <w:ind w:firstLine="0" w:firstLineChars="0"/>
      <w:jc w:val="left"/>
      <w:outlineLvl w:val="2"/>
    </w:pPr>
    <w:rPr>
      <w:rFonts w:ascii="仿宋_GB2312" w:hAnsi="仿宋_GB2312"/>
      <w:b/>
      <w:kern w:val="0"/>
      <w:sz w:val="28"/>
      <w:szCs w:val="20"/>
    </w:rPr>
  </w:style>
  <w:style w:type="paragraph" w:styleId="5">
    <w:name w:val="heading 4"/>
    <w:basedOn w:val="1"/>
    <w:next w:val="1"/>
    <w:unhideWhenUsed/>
    <w:qFormat/>
    <w:uiPriority w:val="0"/>
    <w:pPr>
      <w:keepNext/>
      <w:keepLines/>
      <w:numPr>
        <w:ilvl w:val="3"/>
        <w:numId w:val="1"/>
      </w:numPr>
      <w:spacing w:line="372" w:lineRule="auto"/>
      <w:ind w:firstLine="0" w:firstLineChars="0"/>
      <w:outlineLvl w:val="3"/>
    </w:pPr>
    <w:rPr>
      <w:rFonts w:ascii="Arial" w:hAnsi="Arial" w:eastAsia="黑体"/>
      <w:b/>
      <w:sz w:val="28"/>
    </w:rPr>
  </w:style>
  <w:style w:type="paragraph" w:styleId="6">
    <w:name w:val="heading 5"/>
    <w:basedOn w:val="1"/>
    <w:next w:val="1"/>
    <w:unhideWhenUsed/>
    <w:qFormat/>
    <w:uiPriority w:val="0"/>
    <w:pPr>
      <w:keepNext/>
      <w:keepLines/>
      <w:numPr>
        <w:ilvl w:val="4"/>
        <w:numId w:val="1"/>
      </w:numPr>
      <w:spacing w:line="372" w:lineRule="auto"/>
      <w:ind w:firstLine="0" w:firstLineChars="0"/>
      <w:outlineLvl w:val="4"/>
    </w:pPr>
    <w:rPr>
      <w:b/>
      <w:sz w:val="28"/>
    </w:rPr>
  </w:style>
  <w:style w:type="paragraph" w:styleId="7">
    <w:name w:val="heading 6"/>
    <w:basedOn w:val="1"/>
    <w:next w:val="1"/>
    <w:qFormat/>
    <w:uiPriority w:val="0"/>
    <w:pPr>
      <w:keepNext/>
      <w:keepLines/>
      <w:widowControl/>
      <w:numPr>
        <w:ilvl w:val="5"/>
        <w:numId w:val="1"/>
      </w:numPr>
      <w:tabs>
        <w:tab w:val="left" w:pos="1440"/>
      </w:tabs>
      <w:spacing w:before="240" w:after="64" w:line="317" w:lineRule="auto"/>
      <w:ind w:firstLine="0" w:firstLineChars="0"/>
      <w:jc w:val="left"/>
      <w:outlineLvl w:val="5"/>
    </w:pPr>
    <w:rPr>
      <w:rFonts w:ascii="Arial" w:hAnsi="Arial" w:eastAsia="黑体"/>
      <w:b/>
      <w:kern w:val="0"/>
      <w:szCs w:val="20"/>
    </w:rPr>
  </w:style>
  <w:style w:type="paragraph" w:styleId="8">
    <w:name w:val="heading 7"/>
    <w:basedOn w:val="1"/>
    <w:next w:val="1"/>
    <w:semiHidden/>
    <w:unhideWhenUsed/>
    <w:qFormat/>
    <w:uiPriority w:val="0"/>
    <w:pPr>
      <w:keepNext/>
      <w:keepLines/>
      <w:numPr>
        <w:ilvl w:val="6"/>
        <w:numId w:val="1"/>
      </w:numPr>
      <w:spacing w:before="240" w:after="64" w:line="317" w:lineRule="auto"/>
      <w:ind w:firstLine="0" w:firstLineChars="0"/>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ind w:firstLine="0" w:firstLineChars="0"/>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able of authorities"/>
    <w:basedOn w:val="1"/>
    <w:next w:val="1"/>
    <w:semiHidden/>
    <w:unhideWhenUsed/>
    <w:qFormat/>
    <w:uiPriority w:val="0"/>
    <w:pPr>
      <w:ind w:left="420" w:leftChars="200"/>
    </w:pPr>
    <w:rPr>
      <w:rFonts w:cs="Times New Roman"/>
    </w:rPr>
  </w:style>
  <w:style w:type="paragraph" w:styleId="12">
    <w:name w:val="Normal Indent"/>
    <w:basedOn w:val="1"/>
    <w:qFormat/>
    <w:uiPriority w:val="0"/>
    <w:pPr>
      <w:ind w:firstLine="420"/>
    </w:pPr>
    <w:rPr>
      <w:rFonts w:cs="Times New Roman"/>
    </w:rPr>
  </w:style>
  <w:style w:type="paragraph" w:styleId="13">
    <w:name w:val="caption"/>
    <w:basedOn w:val="1"/>
    <w:next w:val="1"/>
    <w:qFormat/>
    <w:uiPriority w:val="0"/>
    <w:rPr>
      <w:rFonts w:ascii="Arial" w:hAnsi="Arial" w:eastAsia="黑体" w:cs="Arial"/>
      <w:sz w:val="20"/>
      <w:szCs w:val="20"/>
    </w:rPr>
  </w:style>
  <w:style w:type="paragraph" w:styleId="14">
    <w:name w:val="annotation text"/>
    <w:basedOn w:val="1"/>
    <w:link w:val="165"/>
    <w:unhideWhenUsed/>
    <w:qFormat/>
    <w:uiPriority w:val="0"/>
    <w:pPr>
      <w:jc w:val="left"/>
    </w:pPr>
  </w:style>
  <w:style w:type="paragraph" w:styleId="15">
    <w:name w:val="Body Text 3"/>
    <w:basedOn w:val="1"/>
    <w:qFormat/>
    <w:uiPriority w:val="0"/>
    <w:pPr>
      <w:snapToGrid w:val="0"/>
    </w:pPr>
  </w:style>
  <w:style w:type="paragraph" w:styleId="16">
    <w:name w:val="Body Text"/>
    <w:basedOn w:val="1"/>
    <w:next w:val="17"/>
    <w:link w:val="69"/>
    <w:qFormat/>
    <w:uiPriority w:val="0"/>
    <w:pPr>
      <w:jc w:val="left"/>
    </w:pPr>
    <w:rPr>
      <w:bCs/>
    </w:rPr>
  </w:style>
  <w:style w:type="paragraph" w:styleId="17">
    <w:name w:val="Body Text First Indent"/>
    <w:basedOn w:val="16"/>
    <w:next w:val="18"/>
    <w:qFormat/>
    <w:uiPriority w:val="0"/>
    <w:pPr>
      <w:ind w:firstLine="420" w:firstLineChars="100"/>
    </w:pPr>
  </w:style>
  <w:style w:type="paragraph" w:styleId="18">
    <w:name w:val="toc 6"/>
    <w:basedOn w:val="1"/>
    <w:next w:val="1"/>
    <w:unhideWhenUsed/>
    <w:qFormat/>
    <w:uiPriority w:val="39"/>
    <w:pPr>
      <w:spacing w:line="240" w:lineRule="auto"/>
      <w:ind w:left="1050" w:firstLine="0" w:firstLineChars="0"/>
      <w:jc w:val="left"/>
    </w:pPr>
    <w:rPr>
      <w:szCs w:val="21"/>
    </w:rPr>
  </w:style>
  <w:style w:type="paragraph" w:styleId="19">
    <w:name w:val="Body Text Indent"/>
    <w:basedOn w:val="1"/>
    <w:next w:val="1"/>
    <w:link w:val="87"/>
    <w:qFormat/>
    <w:uiPriority w:val="0"/>
    <w:pPr>
      <w:ind w:left="420" w:leftChars="200"/>
    </w:pPr>
  </w:style>
  <w:style w:type="paragraph" w:styleId="20">
    <w:name w:val="List 2"/>
    <w:basedOn w:val="1"/>
    <w:qFormat/>
    <w:uiPriority w:val="99"/>
    <w:pPr>
      <w:ind w:left="100" w:leftChars="200" w:hanging="200" w:hangingChars="200"/>
      <w:contextualSpacing/>
    </w:pPr>
  </w:style>
  <w:style w:type="paragraph" w:styleId="21">
    <w:name w:val="toc 3"/>
    <w:basedOn w:val="1"/>
    <w:next w:val="1"/>
    <w:unhideWhenUsed/>
    <w:qFormat/>
    <w:uiPriority w:val="0"/>
    <w:pPr>
      <w:ind w:left="840" w:leftChars="400"/>
    </w:pPr>
  </w:style>
  <w:style w:type="paragraph" w:styleId="22">
    <w:name w:val="Plain Text"/>
    <w:basedOn w:val="1"/>
    <w:next w:val="23"/>
    <w:link w:val="167"/>
    <w:qFormat/>
    <w:uiPriority w:val="0"/>
    <w:rPr>
      <w:rFonts w:ascii="宋体" w:hAnsi="Courier New"/>
      <w:szCs w:val="20"/>
    </w:rPr>
  </w:style>
  <w:style w:type="paragraph" w:styleId="23">
    <w:name w:val="Date"/>
    <w:basedOn w:val="1"/>
    <w:next w:val="1"/>
    <w:qFormat/>
    <w:uiPriority w:val="0"/>
    <w:rPr>
      <w:rFonts w:ascii="楷体_GB2312" w:eastAsia="楷体_GB2312"/>
      <w:b/>
      <w:sz w:val="28"/>
    </w:rPr>
  </w:style>
  <w:style w:type="paragraph" w:styleId="24">
    <w:name w:val="Body Text Indent 2"/>
    <w:basedOn w:val="1"/>
    <w:qFormat/>
    <w:uiPriority w:val="0"/>
    <w:pPr>
      <w:spacing w:line="432" w:lineRule="auto"/>
      <w:ind w:firstLine="480"/>
    </w:pPr>
    <w:rPr>
      <w:szCs w:val="21"/>
    </w:rPr>
  </w:style>
  <w:style w:type="paragraph" w:styleId="25">
    <w:name w:val="endnote text"/>
    <w:basedOn w:val="1"/>
    <w:qFormat/>
    <w:uiPriority w:val="99"/>
    <w:pPr>
      <w:snapToGrid w:val="0"/>
      <w:jc w:val="left"/>
    </w:pPr>
  </w:style>
  <w:style w:type="paragraph" w:styleId="26">
    <w:name w:val="Balloon Text"/>
    <w:basedOn w:val="1"/>
    <w:link w:val="86"/>
    <w:qFormat/>
    <w:uiPriority w:val="0"/>
    <w:pPr>
      <w:spacing w:line="240" w:lineRule="auto"/>
    </w:pPr>
    <w:rPr>
      <w:sz w:val="18"/>
      <w:szCs w:val="18"/>
    </w:rPr>
  </w:style>
  <w:style w:type="paragraph" w:styleId="27">
    <w:name w:val="footer"/>
    <w:basedOn w:val="1"/>
    <w:qFormat/>
    <w:uiPriority w:val="0"/>
    <w:pPr>
      <w:tabs>
        <w:tab w:val="center" w:pos="4153"/>
        <w:tab w:val="right" w:pos="8306"/>
      </w:tabs>
      <w:snapToGrid w:val="0"/>
      <w:jc w:val="left"/>
    </w:pPr>
    <w:rPr>
      <w:sz w:val="18"/>
      <w:szCs w:val="18"/>
    </w:rPr>
  </w:style>
  <w:style w:type="paragraph" w:styleId="28">
    <w:name w:val="header"/>
    <w:basedOn w:val="1"/>
    <w:qFormat/>
    <w:uiPriority w:val="0"/>
    <w:pPr>
      <w:pBdr>
        <w:bottom w:val="single" w:color="auto" w:sz="6" w:space="1"/>
      </w:pBdr>
      <w:tabs>
        <w:tab w:val="center" w:pos="4153"/>
        <w:tab w:val="right" w:pos="8306"/>
      </w:tabs>
      <w:snapToGrid w:val="0"/>
      <w:jc w:val="center"/>
    </w:pPr>
    <w:rPr>
      <w:b/>
      <w:sz w:val="18"/>
      <w:szCs w:val="18"/>
    </w:rPr>
  </w:style>
  <w:style w:type="paragraph" w:styleId="29">
    <w:name w:val="toc 1"/>
    <w:basedOn w:val="1"/>
    <w:next w:val="1"/>
    <w:qFormat/>
    <w:uiPriority w:val="0"/>
    <w:pPr>
      <w:tabs>
        <w:tab w:val="right" w:leader="hyphen" w:pos="9628"/>
      </w:tabs>
      <w:spacing w:line="800" w:lineRule="exact"/>
      <w:jc w:val="left"/>
    </w:pPr>
    <w:rPr>
      <w:rFonts w:ascii="新宋体" w:hAnsi="新宋体" w:eastAsia="新宋体"/>
      <w:b/>
      <w:bCs/>
      <w:caps/>
      <w:sz w:val="28"/>
      <w:szCs w:val="28"/>
    </w:rPr>
  </w:style>
  <w:style w:type="paragraph" w:styleId="30">
    <w:name w:val="toc 4"/>
    <w:basedOn w:val="1"/>
    <w:next w:val="1"/>
    <w:qFormat/>
    <w:uiPriority w:val="0"/>
    <w:pPr>
      <w:ind w:left="630"/>
      <w:jc w:val="left"/>
    </w:pPr>
    <w:rPr>
      <w:sz w:val="18"/>
      <w:szCs w:val="18"/>
    </w:rPr>
  </w:style>
  <w:style w:type="paragraph" w:styleId="31">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semiHidden/>
    <w:unhideWhenUsed/>
    <w:qFormat/>
    <w:uiPriority w:val="0"/>
    <w:pPr>
      <w:snapToGrid w:val="0"/>
      <w:jc w:val="left"/>
    </w:pPr>
    <w:rPr>
      <w:rFonts w:cs="Times New Roman"/>
      <w:sz w:val="18"/>
      <w:szCs w:val="18"/>
    </w:rPr>
  </w:style>
  <w:style w:type="paragraph" w:styleId="33">
    <w:name w:val="table of figures"/>
    <w:basedOn w:val="1"/>
    <w:next w:val="1"/>
    <w:unhideWhenUsed/>
    <w:qFormat/>
    <w:uiPriority w:val="0"/>
    <w:pPr>
      <w:tabs>
        <w:tab w:val="left" w:pos="1270"/>
      </w:tabs>
      <w:spacing w:line="360" w:lineRule="auto"/>
      <w:ind w:left="1270" w:hanging="420"/>
      <w:jc w:val="left"/>
    </w:pPr>
    <w:rPr>
      <w:smallCaps/>
      <w:sz w:val="20"/>
      <w:szCs w:val="20"/>
    </w:rPr>
  </w:style>
  <w:style w:type="paragraph" w:styleId="34">
    <w:name w:val="toc 2"/>
    <w:basedOn w:val="1"/>
    <w:next w:val="1"/>
    <w:qFormat/>
    <w:uiPriority w:val="0"/>
    <w:pPr>
      <w:tabs>
        <w:tab w:val="right" w:leader="hyphen" w:pos="9628"/>
      </w:tabs>
      <w:spacing w:line="800" w:lineRule="exact"/>
      <w:ind w:left="420" w:leftChars="200"/>
      <w:jc w:val="left"/>
    </w:pPr>
    <w:rPr>
      <w:rFonts w:ascii="宋体" w:hAnsi="宋体"/>
      <w:b/>
      <w:smallCaps/>
    </w:rPr>
  </w:style>
  <w:style w:type="paragraph" w:styleId="35">
    <w:name w:val="Body Text 2"/>
    <w:basedOn w:val="1"/>
    <w:qFormat/>
    <w:uiPriority w:val="0"/>
    <w:pPr>
      <w:spacing w:after="120" w:line="480" w:lineRule="auto"/>
    </w:pPr>
  </w:style>
  <w:style w:type="paragraph" w:styleId="3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style>
  <w:style w:type="paragraph" w:styleId="37">
    <w:name w:val="Normal (Web)"/>
    <w:basedOn w:val="1"/>
    <w:qFormat/>
    <w:uiPriority w:val="0"/>
    <w:pPr>
      <w:widowControl/>
      <w:spacing w:before="100" w:beforeAutospacing="1" w:after="100" w:afterAutospacing="1"/>
      <w:jc w:val="left"/>
    </w:pPr>
    <w:rPr>
      <w:rFonts w:ascii="宋体" w:hAnsi="宋体"/>
      <w:kern w:val="0"/>
    </w:rPr>
  </w:style>
  <w:style w:type="paragraph" w:styleId="38">
    <w:name w:val="Title"/>
    <w:basedOn w:val="1"/>
    <w:next w:val="1"/>
    <w:qFormat/>
    <w:uiPriority w:val="0"/>
    <w:pPr>
      <w:spacing w:before="240" w:after="60"/>
      <w:jc w:val="center"/>
      <w:outlineLvl w:val="0"/>
    </w:pPr>
    <w:rPr>
      <w:rFonts w:ascii="Arial" w:hAnsi="Arial" w:cs="Times New Roman"/>
      <w:b/>
      <w:bCs/>
      <w:sz w:val="32"/>
      <w:szCs w:val="32"/>
    </w:rPr>
  </w:style>
  <w:style w:type="paragraph" w:styleId="39">
    <w:name w:val="annotation subject"/>
    <w:basedOn w:val="14"/>
    <w:next w:val="14"/>
    <w:link w:val="166"/>
    <w:semiHidden/>
    <w:unhideWhenUsed/>
    <w:qFormat/>
    <w:uiPriority w:val="0"/>
    <w:rPr>
      <w:b/>
      <w:bCs/>
    </w:rPr>
  </w:style>
  <w:style w:type="paragraph" w:styleId="40">
    <w:name w:val="Body Text First Indent 2"/>
    <w:basedOn w:val="41"/>
    <w:next w:val="41"/>
    <w:qFormat/>
    <w:uiPriority w:val="0"/>
    <w:pPr>
      <w:snapToGrid w:val="0"/>
      <w:spacing w:after="120" w:line="240" w:lineRule="auto"/>
      <w:ind w:firstLine="420"/>
    </w:pPr>
    <w:rPr>
      <w:rFonts w:hint="eastAsia" w:ascii="宋体"/>
      <w:kern w:val="0"/>
      <w:sz w:val="21"/>
      <w:szCs w:val="21"/>
    </w:rPr>
  </w:style>
  <w:style w:type="paragraph" w:customStyle="1" w:styleId="41">
    <w:name w:val="文章正文"/>
    <w:basedOn w:val="1"/>
    <w:next w:val="42"/>
    <w:qFormat/>
    <w:uiPriority w:val="0"/>
    <w:pPr>
      <w:spacing w:line="360" w:lineRule="auto"/>
      <w:ind w:firstLine="200"/>
    </w:pPr>
    <w:rPr>
      <w:rFonts w:ascii="Calibri" w:hAnsi="Calibri" w:cs="Times New Roman"/>
    </w:rPr>
  </w:style>
  <w:style w:type="paragraph" w:customStyle="1" w:styleId="42">
    <w:name w:val="公式样式 变量"/>
    <w:qFormat/>
    <w:uiPriority w:val="0"/>
    <w:rPr>
      <w:rFonts w:ascii="Times New Roman" w:hAnsi="Times New Roman" w:eastAsia="宋体" w:cs="Times New Roman"/>
      <w:i/>
      <w:lang w:val="en-US" w:eastAsia="zh-CN" w:bidi="ar-SA"/>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46">
    <w:name w:val="Strong"/>
    <w:basedOn w:val="45"/>
    <w:qFormat/>
    <w:uiPriority w:val="0"/>
    <w:rPr>
      <w:b/>
      <w:bCs/>
    </w:rPr>
  </w:style>
  <w:style w:type="character" w:styleId="47">
    <w:name w:val="page number"/>
    <w:basedOn w:val="45"/>
    <w:unhideWhenUsed/>
    <w:qFormat/>
    <w:uiPriority w:val="99"/>
  </w:style>
  <w:style w:type="character" w:styleId="48">
    <w:name w:val="Hyperlink"/>
    <w:basedOn w:val="45"/>
    <w:qFormat/>
    <w:uiPriority w:val="0"/>
    <w:rPr>
      <w:color w:val="0000FF"/>
      <w:u w:val="single"/>
    </w:rPr>
  </w:style>
  <w:style w:type="character" w:styleId="49">
    <w:name w:val="annotation reference"/>
    <w:basedOn w:val="45"/>
    <w:qFormat/>
    <w:uiPriority w:val="0"/>
    <w:rPr>
      <w:sz w:val="21"/>
      <w:szCs w:val="21"/>
    </w:rPr>
  </w:style>
  <w:style w:type="paragraph" w:customStyle="1" w:styleId="50">
    <w:name w:val="样式 表格正文 + 两端对齐"/>
    <w:basedOn w:val="1"/>
    <w:next w:val="51"/>
    <w:qFormat/>
    <w:uiPriority w:val="0"/>
    <w:pPr>
      <w:spacing w:line="300" w:lineRule="auto"/>
      <w:ind w:firstLine="0"/>
    </w:pPr>
  </w:style>
  <w:style w:type="paragraph" w:customStyle="1" w:styleId="51">
    <w:name w:val="正文1"/>
    <w:basedOn w:val="21"/>
    <w:next w:val="52"/>
    <w:qFormat/>
    <w:uiPriority w:val="0"/>
    <w:pPr>
      <w:widowControl/>
      <w:snapToGrid w:val="0"/>
      <w:ind w:firstLine="567"/>
    </w:pPr>
    <w:rPr>
      <w:rFonts w:ascii="楷体_GB2312" w:eastAsia="楷体_GB2312"/>
      <w:kern w:val="0"/>
      <w:sz w:val="28"/>
      <w:szCs w:val="20"/>
    </w:rPr>
  </w:style>
  <w:style w:type="paragraph" w:customStyle="1" w:styleId="52">
    <w:name w:val="自动更正"/>
    <w:next w:val="5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
    <w:name w:val="xl39"/>
    <w:basedOn w:val="1"/>
    <w:next w:val="54"/>
    <w:qFormat/>
    <w:uiPriority w:val="0"/>
    <w:pPr>
      <w:widowControl/>
      <w:pBdr>
        <w:top w:val="single" w:color="auto" w:sz="4" w:space="0"/>
        <w:bottom w:val="single" w:color="auto" w:sz="4" w:space="0"/>
        <w:right w:val="single" w:color="auto" w:sz="4" w:space="0"/>
      </w:pBdr>
      <w:spacing w:before="100" w:after="100"/>
      <w:jc w:val="left"/>
      <w:textAlignment w:val="center"/>
    </w:pPr>
    <w:rPr>
      <w:kern w:val="0"/>
      <w:szCs w:val="20"/>
    </w:rPr>
  </w:style>
  <w:style w:type="paragraph" w:customStyle="1" w:styleId="54">
    <w:name w:val="分手多日，近况如何？"/>
    <w:next w:val="1"/>
    <w:qFormat/>
    <w:uiPriority w:val="0"/>
    <w:pPr>
      <w:widowControl w:val="0"/>
      <w:jc w:val="both"/>
    </w:pPr>
    <w:rPr>
      <w:rFonts w:ascii="Times New Roman" w:hAnsi="Times New Roman" w:eastAsia="宋体" w:cs="Times New Roman"/>
      <w:sz w:val="21"/>
      <w:lang w:val="en-US" w:eastAsia="zh-CN" w:bidi="ar-SA"/>
    </w:rPr>
  </w:style>
  <w:style w:type="paragraph" w:customStyle="1" w:styleId="55">
    <w:name w:val="目录 33"/>
    <w:next w:val="1"/>
    <w:qFormat/>
    <w:uiPriority w:val="0"/>
    <w:pPr>
      <w:wordWrap w:val="0"/>
      <w:ind w:left="425"/>
      <w:jc w:val="both"/>
    </w:pPr>
    <w:rPr>
      <w:rFonts w:ascii="Calibri" w:hAnsi="Calibri" w:eastAsia="宋体" w:cs="Times New Roman"/>
      <w:sz w:val="21"/>
      <w:lang w:val="en-US" w:eastAsia="zh-CN" w:bidi="ar-SA"/>
    </w:rPr>
  </w:style>
  <w:style w:type="paragraph" w:customStyle="1" w:styleId="56">
    <w:name w:val="[Normal]"/>
    <w:qFormat/>
    <w:uiPriority w:val="99"/>
    <w:rPr>
      <w:rFonts w:ascii="宋体" w:hAnsi="宋体" w:eastAsia="宋体" w:cs="Times New Roman"/>
      <w:sz w:val="24"/>
      <w:szCs w:val="22"/>
      <w:lang w:val="zh-CN" w:eastAsia="zh-CN" w:bidi="ar-SA"/>
    </w:rPr>
  </w:style>
  <w:style w:type="paragraph" w:customStyle="1" w:styleId="57">
    <w:name w:val="Heading2"/>
    <w:basedOn w:val="1"/>
    <w:next w:val="1"/>
    <w:qFormat/>
    <w:uiPriority w:val="0"/>
    <w:pPr>
      <w:keepNext/>
      <w:keepLines/>
      <w:spacing w:before="260" w:after="260" w:line="416" w:lineRule="auto"/>
    </w:pPr>
    <w:rPr>
      <w:rFonts w:ascii="Cambria" w:hAnsi="Cambria"/>
      <w:sz w:val="32"/>
      <w:szCs w:val="32"/>
    </w:rPr>
  </w:style>
  <w:style w:type="paragraph" w:customStyle="1" w:styleId="58">
    <w:name w:val="xl5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59">
    <w:name w:val="Body Text First Indent1"/>
    <w:basedOn w:val="16"/>
    <w:next w:val="18"/>
    <w:qFormat/>
    <w:uiPriority w:val="0"/>
    <w:pPr>
      <w:spacing w:after="120"/>
      <w:ind w:firstLine="420" w:firstLineChars="100"/>
      <w:jc w:val="both"/>
    </w:pPr>
    <w:rPr>
      <w:rFonts w:ascii="Calibri" w:hAnsi="Calibri" w:cs="Calibri"/>
      <w:sz w:val="21"/>
      <w:szCs w:val="21"/>
    </w:rPr>
  </w:style>
  <w:style w:type="paragraph" w:customStyle="1" w:styleId="60">
    <w:name w:val="BodyText1I"/>
    <w:basedOn w:val="61"/>
    <w:qFormat/>
    <w:uiPriority w:val="0"/>
    <w:pPr>
      <w:spacing w:after="120"/>
      <w:ind w:firstLine="420"/>
    </w:pPr>
    <w:rPr>
      <w:rFonts w:ascii="仿宋_GB2312" w:hAnsi="Times New Roman" w:eastAsia="仿宋_GB2312"/>
      <w:sz w:val="28"/>
      <w:lang w:bidi="ar-SA"/>
    </w:rPr>
  </w:style>
  <w:style w:type="paragraph" w:customStyle="1" w:styleId="61">
    <w:name w:val="BodyText"/>
    <w:basedOn w:val="1"/>
    <w:qFormat/>
    <w:uiPriority w:val="0"/>
    <w:pPr>
      <w:textAlignment w:val="baseline"/>
    </w:pPr>
    <w:rPr>
      <w:rFonts w:ascii="仿宋" w:hAnsi="仿宋" w:eastAsia="仿宋"/>
      <w:lang w:val="zh-CN" w:bidi="zh-CN"/>
    </w:rPr>
  </w:style>
  <w:style w:type="paragraph" w:customStyle="1" w:styleId="62">
    <w:name w:val="标准正文"/>
    <w:basedOn w:val="1"/>
    <w:qFormat/>
    <w:uiPriority w:val="0"/>
    <w:pPr>
      <w:spacing w:line="360" w:lineRule="auto"/>
      <w:ind w:firstLine="200"/>
    </w:pPr>
    <w:rPr>
      <w:szCs w:val="20"/>
    </w:rPr>
  </w:style>
  <w:style w:type="paragraph" w:customStyle="1" w:styleId="63">
    <w:name w:val="章正文"/>
    <w:basedOn w:val="1"/>
    <w:qFormat/>
    <w:uiPriority w:val="0"/>
    <w:pPr>
      <w:spacing w:before="156" w:beforeLines="50" w:after="120" w:line="300" w:lineRule="auto"/>
      <w:ind w:firstLine="480"/>
    </w:pPr>
    <w:rPr>
      <w:rFonts w:ascii="Helvetica" w:hAnsi="Helvetica"/>
      <w:kern w:val="0"/>
    </w:rPr>
  </w:style>
  <w:style w:type="paragraph" w:customStyle="1" w:styleId="64">
    <w:name w:val="正文文本 31"/>
    <w:basedOn w:val="1"/>
    <w:qFormat/>
    <w:uiPriority w:val="0"/>
    <w:rPr>
      <w:sz w:val="16"/>
      <w:szCs w:val="16"/>
    </w:rPr>
  </w:style>
  <w:style w:type="paragraph" w:customStyle="1" w:styleId="65">
    <w:name w:val="Char Char1 Char"/>
    <w:basedOn w:val="1"/>
    <w:qFormat/>
    <w:uiPriority w:val="0"/>
  </w:style>
  <w:style w:type="character" w:customStyle="1" w:styleId="66">
    <w:name w:val="标题 2 Char"/>
    <w:basedOn w:val="45"/>
    <w:qFormat/>
    <w:uiPriority w:val="0"/>
    <w:rPr>
      <w:rFonts w:ascii="Arial" w:hAnsi="Arial" w:eastAsia="宋体" w:cstheme="minorBidi"/>
      <w:b/>
      <w:bCs/>
      <w:sz w:val="28"/>
      <w:szCs w:val="32"/>
    </w:rPr>
  </w:style>
  <w:style w:type="character" w:customStyle="1" w:styleId="67">
    <w:name w:val="标题 3 Char"/>
    <w:qFormat/>
    <w:uiPriority w:val="9"/>
    <w:rPr>
      <w:rFonts w:ascii="仿宋_GB2312" w:hAnsi="仿宋_GB2312" w:eastAsia="宋体" w:cstheme="minorBidi"/>
      <w:b/>
      <w:bCs/>
      <w:sz w:val="28"/>
      <w:szCs w:val="20"/>
    </w:rPr>
  </w:style>
  <w:style w:type="character" w:customStyle="1" w:styleId="68">
    <w:name w:val="标题 1 Char"/>
    <w:qFormat/>
    <w:locked/>
    <w:uiPriority w:val="99"/>
    <w:rPr>
      <w:rFonts w:ascii="Times New Roman" w:hAnsi="Times New Roman" w:eastAsia="宋体" w:cstheme="minorBidi"/>
      <w:b/>
      <w:sz w:val="36"/>
      <w:szCs w:val="20"/>
    </w:rPr>
  </w:style>
  <w:style w:type="character" w:customStyle="1" w:styleId="69">
    <w:name w:val="正文文本 字符"/>
    <w:basedOn w:val="45"/>
    <w:link w:val="16"/>
    <w:semiHidden/>
    <w:qFormat/>
    <w:locked/>
    <w:uiPriority w:val="99"/>
    <w:rPr>
      <w:rFonts w:ascii="Calibri" w:hAnsi="Calibri" w:eastAsia="仿宋" w:cs="Times New Roman"/>
      <w:sz w:val="24"/>
    </w:rPr>
  </w:style>
  <w:style w:type="paragraph" w:customStyle="1" w:styleId="70">
    <w:name w:val="普通(网站)1"/>
    <w:basedOn w:val="1"/>
    <w:qFormat/>
    <w:uiPriority w:val="0"/>
    <w:pPr>
      <w:widowControl/>
      <w:spacing w:beforeAutospacing="1" w:afterAutospacing="1"/>
      <w:jc w:val="left"/>
    </w:pPr>
    <w:rPr>
      <w:rFonts w:ascii="宋体" w:hAnsi="宋体"/>
      <w:kern w:val="0"/>
      <w:szCs w:val="20"/>
    </w:rPr>
  </w:style>
  <w:style w:type="paragraph" w:customStyle="1" w:styleId="71">
    <w:name w:val="索引 11"/>
    <w:basedOn w:val="1"/>
    <w:next w:val="1"/>
    <w:qFormat/>
    <w:uiPriority w:val="0"/>
    <w:pPr>
      <w:snapToGrid w:val="0"/>
    </w:pPr>
    <w:rPr>
      <w:szCs w:val="21"/>
    </w:rPr>
  </w:style>
  <w:style w:type="character" w:customStyle="1" w:styleId="72">
    <w:name w:val="large1"/>
    <w:qFormat/>
    <w:uiPriority w:val="0"/>
    <w:rPr>
      <w:rFonts w:hint="eastAsia" w:ascii="宋体" w:hAnsi="宋体" w:eastAsia="宋体"/>
      <w:sz w:val="21"/>
      <w:szCs w:val="21"/>
    </w:rPr>
  </w:style>
  <w:style w:type="paragraph" w:customStyle="1" w:styleId="73">
    <w:name w:val="List Paragraph1"/>
    <w:basedOn w:val="1"/>
    <w:qFormat/>
    <w:uiPriority w:val="0"/>
    <w:pPr>
      <w:widowControl/>
      <w:ind w:firstLine="420"/>
      <w:jc w:val="left"/>
    </w:pPr>
    <w:rPr>
      <w:rFonts w:ascii="Calibri" w:hAnsi="Calibri"/>
      <w:szCs w:val="22"/>
    </w:rPr>
  </w:style>
  <w:style w:type="paragraph" w:customStyle="1" w:styleId="7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5">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76">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77">
    <w:name w:val="正文_17"/>
    <w:qFormat/>
    <w:uiPriority w:val="0"/>
    <w:pPr>
      <w:widowControl w:val="0"/>
      <w:jc w:val="both"/>
    </w:pPr>
    <w:rPr>
      <w:rFonts w:ascii="Calibri" w:hAnsi="Calibri" w:eastAsia="宋体" w:cs="Times New Roman"/>
      <w:kern w:val="2"/>
      <w:sz w:val="21"/>
      <w:szCs w:val="24"/>
      <w:lang w:val="en-US" w:eastAsia="zh-CN" w:bidi="ar-SA"/>
    </w:rPr>
  </w:style>
  <w:style w:type="paragraph" w:customStyle="1" w:styleId="78">
    <w:name w:val="DG正文"/>
    <w:basedOn w:val="1"/>
    <w:qFormat/>
    <w:uiPriority w:val="0"/>
    <w:pPr>
      <w:widowControl/>
      <w:spacing w:line="360" w:lineRule="auto"/>
      <w:ind w:right="142" w:firstLine="640"/>
      <w:jc w:val="left"/>
    </w:pPr>
    <w:rPr>
      <w:rFonts w:ascii="Calibri" w:hAnsi="Calibri" w:cs="Calibri"/>
    </w:rPr>
  </w:style>
  <w:style w:type="paragraph" w:customStyle="1" w:styleId="79">
    <w:name w:val="正文 A"/>
    <w:qFormat/>
    <w:uiPriority w:val="0"/>
    <w:rPr>
      <w:rFonts w:ascii="Times New Roman" w:hAnsi="Times New Roman" w:eastAsia="ヒラギノ角ゴ Pro W3" w:cs="Times New Roman"/>
      <w:color w:val="000000"/>
      <w:sz w:val="24"/>
      <w:szCs w:val="22"/>
      <w:lang w:val="en-US" w:eastAsia="zh-CN" w:bidi="ar-SA"/>
    </w:rPr>
  </w:style>
  <w:style w:type="character" w:customStyle="1" w:styleId="80">
    <w:name w:val="标题 2 字符"/>
    <w:basedOn w:val="45"/>
    <w:link w:val="3"/>
    <w:qFormat/>
    <w:uiPriority w:val="0"/>
    <w:rPr>
      <w:rFonts w:ascii="Arial" w:hAnsi="Arial" w:eastAsia="宋体"/>
      <w:bCs/>
      <w:kern w:val="2"/>
      <w:sz w:val="30"/>
      <w:szCs w:val="32"/>
      <w:lang w:val="en-US" w:eastAsia="zh-CN" w:bidi="ar-SA"/>
    </w:rPr>
  </w:style>
  <w:style w:type="paragraph" w:customStyle="1" w:styleId="81">
    <w:name w:val="Proposals body"/>
    <w:basedOn w:val="1"/>
    <w:next w:val="1"/>
    <w:qFormat/>
    <w:uiPriority w:val="0"/>
    <w:pPr>
      <w:widowControl/>
      <w:spacing w:line="360" w:lineRule="auto"/>
      <w:jc w:val="left"/>
    </w:pPr>
    <w:rPr>
      <w:rFonts w:ascii="宋体" w:eastAsia="仿宋_GB2312"/>
      <w:snapToGrid w:val="0"/>
      <w:color w:val="000000"/>
      <w:kern w:val="0"/>
      <w:szCs w:val="20"/>
    </w:rPr>
  </w:style>
  <w:style w:type="paragraph" w:customStyle="1" w:styleId="82">
    <w:name w:val="列出段落1"/>
    <w:basedOn w:val="1"/>
    <w:qFormat/>
    <w:uiPriority w:val="34"/>
    <w:pPr>
      <w:ind w:firstLine="420"/>
    </w:pPr>
  </w:style>
  <w:style w:type="paragraph" w:customStyle="1" w:styleId="83">
    <w:name w:val="L正文"/>
    <w:basedOn w:val="1"/>
    <w:qFormat/>
    <w:uiPriority w:val="0"/>
    <w:pPr>
      <w:spacing w:afterLines="50" w:line="240" w:lineRule="auto"/>
      <w:ind w:left="160" w:leftChars="160"/>
    </w:pPr>
    <w:rPr>
      <w:rFonts w:cs="Times New Roman"/>
      <w:sz w:val="21"/>
    </w:rPr>
  </w:style>
  <w:style w:type="paragraph" w:customStyle="1" w:styleId="84">
    <w:name w:val="列出段落11"/>
    <w:basedOn w:val="1"/>
    <w:qFormat/>
    <w:uiPriority w:val="34"/>
    <w:pPr>
      <w:spacing w:line="240" w:lineRule="auto"/>
      <w:ind w:firstLine="420"/>
    </w:pPr>
    <w:rPr>
      <w:rFonts w:cs="宋体"/>
      <w:sz w:val="21"/>
      <w:szCs w:val="21"/>
    </w:rPr>
  </w:style>
  <w:style w:type="paragraph" w:customStyle="1" w:styleId="85">
    <w:name w:val="Char"/>
    <w:basedOn w:val="1"/>
    <w:next w:val="1"/>
    <w:qFormat/>
    <w:uiPriority w:val="0"/>
    <w:rPr>
      <w:rFonts w:ascii="Tahoma" w:hAnsi="Tahoma"/>
      <w:szCs w:val="20"/>
    </w:rPr>
  </w:style>
  <w:style w:type="character" w:customStyle="1" w:styleId="86">
    <w:name w:val="批注框文本 字符"/>
    <w:basedOn w:val="45"/>
    <w:link w:val="26"/>
    <w:qFormat/>
    <w:uiPriority w:val="0"/>
    <w:rPr>
      <w:rFonts w:ascii="Times New Roman" w:hAnsi="Times New Roman" w:cstheme="minorBidi"/>
      <w:kern w:val="2"/>
      <w:sz w:val="18"/>
      <w:szCs w:val="18"/>
    </w:rPr>
  </w:style>
  <w:style w:type="character" w:customStyle="1" w:styleId="87">
    <w:name w:val="正文文本缩进 字符"/>
    <w:basedOn w:val="45"/>
    <w:link w:val="19"/>
    <w:qFormat/>
    <w:uiPriority w:val="0"/>
    <w:rPr>
      <w:rFonts w:ascii="Times New Roman" w:hAnsi="Times New Roman" w:cstheme="minorBidi"/>
      <w:kern w:val="2"/>
      <w:sz w:val="24"/>
      <w:szCs w:val="24"/>
    </w:rPr>
  </w:style>
  <w:style w:type="character" w:customStyle="1" w:styleId="88">
    <w:name w:val="未命名4"/>
    <w:basedOn w:val="45"/>
    <w:qFormat/>
    <w:uiPriority w:val="0"/>
  </w:style>
  <w:style w:type="paragraph" w:customStyle="1" w:styleId="89">
    <w:name w:val="表格文字"/>
    <w:basedOn w:val="22"/>
    <w:next w:val="16"/>
    <w:qFormat/>
    <w:uiPriority w:val="0"/>
    <w:pPr>
      <w:adjustRightInd w:val="0"/>
      <w:spacing w:line="420" w:lineRule="atLeast"/>
      <w:jc w:val="left"/>
      <w:textAlignment w:val="baseline"/>
    </w:pPr>
    <w:rPr>
      <w:kern w:val="0"/>
    </w:rPr>
  </w:style>
  <w:style w:type="paragraph" w:customStyle="1" w:styleId="90">
    <w:name w:val="reader-word-layer reader-word-s27-4"/>
    <w:basedOn w:val="1"/>
    <w:qFormat/>
    <w:uiPriority w:val="99"/>
    <w:pPr>
      <w:widowControl/>
      <w:spacing w:before="100" w:beforeAutospacing="1" w:after="100" w:afterAutospacing="1" w:line="440" w:lineRule="exact"/>
      <w:ind w:firstLine="1040"/>
      <w:jc w:val="left"/>
    </w:pPr>
    <w:rPr>
      <w:rFonts w:ascii="宋体" w:hAnsi="宋体" w:eastAsia="微软雅黑" w:cs="宋体"/>
      <w:kern w:val="0"/>
    </w:rPr>
  </w:style>
  <w:style w:type="character" w:customStyle="1" w:styleId="91">
    <w:name w:val="font81"/>
    <w:basedOn w:val="45"/>
    <w:qFormat/>
    <w:uiPriority w:val="0"/>
    <w:rPr>
      <w:rFonts w:hint="default" w:ascii="Times New Roman" w:hAnsi="Times New Roman" w:cs="Times New Roman"/>
      <w:color w:val="000000"/>
      <w:sz w:val="24"/>
      <w:szCs w:val="24"/>
      <w:u w:val="none"/>
    </w:rPr>
  </w:style>
  <w:style w:type="paragraph" w:customStyle="1" w:styleId="92">
    <w:name w:val="WPSOffice手动目录 1"/>
    <w:qFormat/>
    <w:uiPriority w:val="0"/>
    <w:rPr>
      <w:rFonts w:ascii="Times New Roman" w:hAnsi="Times New Roman" w:eastAsia="宋体" w:cs="Times New Roman"/>
      <w:lang w:val="en-US" w:eastAsia="zh-CN" w:bidi="ar-SA"/>
    </w:rPr>
  </w:style>
  <w:style w:type="paragraph" w:customStyle="1" w:styleId="9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94">
    <w:name w:val="普通(网站)2"/>
    <w:basedOn w:val="1"/>
    <w:qFormat/>
    <w:uiPriority w:val="0"/>
    <w:pPr>
      <w:widowControl/>
      <w:spacing w:before="100" w:beforeAutospacing="1" w:after="100" w:afterAutospacing="1"/>
      <w:jc w:val="left"/>
    </w:pPr>
    <w:rPr>
      <w:rFonts w:ascii="宋体" w:hAnsi="宋体"/>
      <w:kern w:val="0"/>
      <w:szCs w:val="20"/>
    </w:rPr>
  </w:style>
  <w:style w:type="paragraph" w:customStyle="1" w:styleId="95">
    <w:name w:val="保留正文"/>
    <w:basedOn w:val="16"/>
    <w:qFormat/>
    <w:uiPriority w:val="0"/>
    <w:pPr>
      <w:keepNext/>
      <w:spacing w:after="160"/>
    </w:pPr>
    <w:rPr>
      <w:sz w:val="21"/>
    </w:rPr>
  </w:style>
  <w:style w:type="paragraph" w:customStyle="1" w:styleId="96">
    <w:name w:val="首行缩进"/>
    <w:basedOn w:val="1"/>
    <w:qFormat/>
    <w:uiPriority w:val="0"/>
    <w:pPr>
      <w:spacing w:line="360" w:lineRule="auto"/>
      <w:ind w:firstLine="420"/>
    </w:pPr>
    <w:rPr>
      <w:rFonts w:ascii="宋体" w:hAnsi="宋体"/>
    </w:rPr>
  </w:style>
  <w:style w:type="character" w:customStyle="1" w:styleId="97">
    <w:name w:val="标题 3 字符"/>
    <w:link w:val="4"/>
    <w:qFormat/>
    <w:uiPriority w:val="9"/>
    <w:rPr>
      <w:rFonts w:ascii="仿宋_GB2312" w:hAnsi="仿宋_GB2312" w:eastAsia="仿宋" w:cs="Times New Roman"/>
      <w:b/>
      <w:bCs/>
      <w:sz w:val="24"/>
      <w:szCs w:val="20"/>
    </w:rPr>
  </w:style>
  <w:style w:type="paragraph" w:customStyle="1" w:styleId="98">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99">
    <w:name w:val="font31"/>
    <w:basedOn w:val="45"/>
    <w:qFormat/>
    <w:uiPriority w:val="0"/>
    <w:rPr>
      <w:rFonts w:hint="eastAsia" w:ascii="微软雅黑" w:hAnsi="微软雅黑" w:eastAsia="微软雅黑" w:cs="微软雅黑"/>
      <w:color w:val="000000"/>
      <w:sz w:val="22"/>
      <w:szCs w:val="22"/>
      <w:u w:val="none"/>
    </w:rPr>
  </w:style>
  <w:style w:type="character" w:customStyle="1" w:styleId="100">
    <w:name w:val="font71"/>
    <w:basedOn w:val="45"/>
    <w:qFormat/>
    <w:uiPriority w:val="0"/>
    <w:rPr>
      <w:rFonts w:hint="eastAsia" w:ascii="微软雅黑" w:hAnsi="微软雅黑" w:eastAsia="微软雅黑" w:cs="微软雅黑"/>
      <w:color w:val="000000"/>
      <w:sz w:val="22"/>
      <w:szCs w:val="22"/>
      <w:u w:val="none"/>
      <w:vertAlign w:val="superscript"/>
    </w:rPr>
  </w:style>
  <w:style w:type="character" w:customStyle="1" w:styleId="101">
    <w:name w:val="font21"/>
    <w:basedOn w:val="45"/>
    <w:qFormat/>
    <w:uiPriority w:val="0"/>
    <w:rPr>
      <w:rFonts w:hint="eastAsia" w:ascii="微软雅黑" w:hAnsi="微软雅黑" w:eastAsia="微软雅黑" w:cs="微软雅黑"/>
      <w:color w:val="000000"/>
      <w:sz w:val="22"/>
      <w:szCs w:val="22"/>
      <w:u w:val="none"/>
    </w:rPr>
  </w:style>
  <w:style w:type="character" w:customStyle="1" w:styleId="102">
    <w:name w:val="font61"/>
    <w:basedOn w:val="45"/>
    <w:qFormat/>
    <w:uiPriority w:val="0"/>
    <w:rPr>
      <w:rFonts w:hint="eastAsia" w:ascii="微软雅黑" w:hAnsi="微软雅黑" w:eastAsia="微软雅黑" w:cs="微软雅黑"/>
      <w:color w:val="000000"/>
      <w:sz w:val="22"/>
      <w:szCs w:val="22"/>
      <w:u w:val="none"/>
      <w:vertAlign w:val="superscript"/>
    </w:rPr>
  </w:style>
  <w:style w:type="character" w:customStyle="1" w:styleId="103">
    <w:name w:val="font01"/>
    <w:basedOn w:val="45"/>
    <w:qFormat/>
    <w:uiPriority w:val="0"/>
    <w:rPr>
      <w:rFonts w:hint="eastAsia" w:ascii="宋体" w:hAnsi="宋体" w:eastAsia="宋体" w:cs="宋体"/>
      <w:color w:val="000000"/>
      <w:sz w:val="22"/>
      <w:szCs w:val="22"/>
      <w:u w:val="none"/>
    </w:rPr>
  </w:style>
  <w:style w:type="paragraph" w:customStyle="1" w:styleId="104">
    <w:name w:val="p0"/>
    <w:basedOn w:val="1"/>
    <w:qFormat/>
    <w:uiPriority w:val="0"/>
    <w:pPr>
      <w:widowControl/>
    </w:pPr>
    <w:rPr>
      <w:kern w:val="0"/>
      <w:szCs w:val="21"/>
    </w:rPr>
  </w:style>
  <w:style w:type="paragraph" w:customStyle="1" w:styleId="105">
    <w:name w:val="表头文字"/>
    <w:basedOn w:val="1"/>
    <w:qFormat/>
    <w:uiPriority w:val="0"/>
    <w:pPr>
      <w:widowControl/>
      <w:jc w:val="left"/>
    </w:pPr>
    <w:rPr>
      <w:rFonts w:eastAsia="仿宋" w:cs="宋体"/>
      <w:b/>
      <w:kern w:val="0"/>
      <w:szCs w:val="21"/>
    </w:rPr>
  </w:style>
  <w:style w:type="character" w:customStyle="1" w:styleId="106">
    <w:name w:val="font41"/>
    <w:basedOn w:val="45"/>
    <w:qFormat/>
    <w:uiPriority w:val="0"/>
    <w:rPr>
      <w:rFonts w:hint="eastAsia" w:ascii="微软雅黑" w:hAnsi="微软雅黑" w:eastAsia="微软雅黑" w:cs="微软雅黑"/>
      <w:color w:val="000000"/>
      <w:sz w:val="20"/>
      <w:szCs w:val="20"/>
      <w:u w:val="none"/>
    </w:rPr>
  </w:style>
  <w:style w:type="character" w:customStyle="1" w:styleId="107">
    <w:name w:val="font111"/>
    <w:basedOn w:val="45"/>
    <w:qFormat/>
    <w:uiPriority w:val="0"/>
    <w:rPr>
      <w:rFonts w:hint="eastAsia" w:ascii="微软雅黑" w:hAnsi="微软雅黑" w:eastAsia="微软雅黑" w:cs="微软雅黑"/>
      <w:color w:val="000000"/>
      <w:sz w:val="20"/>
      <w:szCs w:val="20"/>
      <w:u w:val="none"/>
      <w:vertAlign w:val="superscript"/>
    </w:rPr>
  </w:style>
  <w:style w:type="character" w:customStyle="1" w:styleId="108">
    <w:name w:val="font101"/>
    <w:basedOn w:val="45"/>
    <w:qFormat/>
    <w:uiPriority w:val="0"/>
    <w:rPr>
      <w:rFonts w:hint="eastAsia" w:ascii="微软雅黑" w:hAnsi="微软雅黑" w:eastAsia="微软雅黑" w:cs="微软雅黑"/>
      <w:color w:val="000000"/>
      <w:sz w:val="20"/>
      <w:szCs w:val="20"/>
      <w:u w:val="none"/>
      <w:vertAlign w:val="superscript"/>
    </w:rPr>
  </w:style>
  <w:style w:type="character" w:customStyle="1" w:styleId="109">
    <w:name w:val="font122"/>
    <w:basedOn w:val="45"/>
    <w:qFormat/>
    <w:uiPriority w:val="0"/>
    <w:rPr>
      <w:rFonts w:hint="eastAsia" w:ascii="宋体" w:hAnsi="宋体" w:eastAsia="宋体" w:cs="宋体"/>
      <w:b/>
      <w:bCs/>
      <w:color w:val="FF0000"/>
      <w:sz w:val="22"/>
      <w:szCs w:val="22"/>
      <w:u w:val="none"/>
    </w:rPr>
  </w:style>
  <w:style w:type="character" w:customStyle="1" w:styleId="110">
    <w:name w:val="font91"/>
    <w:basedOn w:val="45"/>
    <w:qFormat/>
    <w:uiPriority w:val="0"/>
    <w:rPr>
      <w:rFonts w:hint="eastAsia" w:ascii="宋体" w:hAnsi="宋体" w:eastAsia="宋体" w:cs="宋体"/>
      <w:color w:val="000000"/>
      <w:sz w:val="22"/>
      <w:szCs w:val="22"/>
      <w:u w:val="none"/>
    </w:rPr>
  </w:style>
  <w:style w:type="character" w:customStyle="1" w:styleId="111">
    <w:name w:val="font51"/>
    <w:basedOn w:val="45"/>
    <w:qFormat/>
    <w:uiPriority w:val="0"/>
    <w:rPr>
      <w:rFonts w:hint="eastAsia" w:ascii="微软雅黑" w:hAnsi="微软雅黑" w:eastAsia="微软雅黑" w:cs="微软雅黑"/>
      <w:color w:val="000000"/>
      <w:sz w:val="20"/>
      <w:szCs w:val="20"/>
      <w:u w:val="none"/>
      <w:vertAlign w:val="superscript"/>
    </w:rPr>
  </w:style>
  <w:style w:type="character" w:customStyle="1" w:styleId="112">
    <w:name w:val="font112"/>
    <w:basedOn w:val="45"/>
    <w:qFormat/>
    <w:uiPriority w:val="0"/>
    <w:rPr>
      <w:rFonts w:hint="eastAsia" w:ascii="宋体" w:hAnsi="宋体" w:eastAsia="宋体" w:cs="宋体"/>
      <w:color w:val="000000"/>
      <w:sz w:val="24"/>
      <w:szCs w:val="24"/>
      <w:u w:val="none"/>
    </w:rPr>
  </w:style>
  <w:style w:type="paragraph" w:customStyle="1" w:styleId="113">
    <w:name w:val="样式1"/>
    <w:basedOn w:val="1"/>
    <w:qFormat/>
    <w:uiPriority w:val="0"/>
    <w:pPr>
      <w:spacing w:line="360" w:lineRule="exact"/>
      <w:ind w:firstLine="200"/>
    </w:pPr>
    <w:rPr>
      <w:rFonts w:ascii="Arial" w:hAnsi="Arial"/>
    </w:rPr>
  </w:style>
  <w:style w:type="paragraph" w:customStyle="1" w:styleId="114">
    <w:name w:val="无间隔2"/>
    <w:qFormat/>
    <w:uiPriority w:val="1"/>
    <w:rPr>
      <w:rFonts w:ascii="Times New Roman" w:hAnsi="Times New Roman" w:eastAsia="宋体" w:cs="Times New Roman"/>
      <w:sz w:val="22"/>
      <w:szCs w:val="22"/>
      <w:lang w:val="en-US" w:eastAsia="en-US" w:bidi="en-US"/>
    </w:rPr>
  </w:style>
  <w:style w:type="paragraph" w:customStyle="1" w:styleId="115">
    <w:name w:val="_Style 1"/>
    <w:basedOn w:val="1"/>
    <w:link w:val="124"/>
    <w:qFormat/>
    <w:uiPriority w:val="0"/>
    <w:pPr>
      <w:widowControl/>
      <w:jc w:val="left"/>
    </w:pPr>
    <w:rPr>
      <w:rFonts w:ascii="Calibri" w:hAnsi="Calibri" w:cs="Times New Roman"/>
      <w:sz w:val="28"/>
      <w:szCs w:val="28"/>
    </w:rPr>
  </w:style>
  <w:style w:type="paragraph" w:customStyle="1" w:styleId="116">
    <w:name w:val="Table Paragraph"/>
    <w:basedOn w:val="1"/>
    <w:qFormat/>
    <w:uiPriority w:val="99"/>
    <w:rPr>
      <w:rFonts w:ascii="宋体" w:hAnsi="宋体" w:cs="宋体"/>
      <w:lang w:val="zh-CN"/>
    </w:rPr>
  </w:style>
  <w:style w:type="character" w:customStyle="1" w:styleId="117">
    <w:name w:val="NormalCharacter"/>
    <w:qFormat/>
    <w:uiPriority w:val="0"/>
  </w:style>
  <w:style w:type="character" w:customStyle="1" w:styleId="118">
    <w:name w:val="标题 1 字符"/>
    <w:basedOn w:val="45"/>
    <w:link w:val="2"/>
    <w:qFormat/>
    <w:locked/>
    <w:uiPriority w:val="99"/>
    <w:rPr>
      <w:rFonts w:ascii="宋体" w:hAnsi="宋体" w:eastAsia="宋体" w:cs="宋体"/>
      <w:b/>
      <w:bCs/>
      <w:kern w:val="36"/>
      <w:sz w:val="48"/>
      <w:szCs w:val="48"/>
    </w:rPr>
  </w:style>
  <w:style w:type="paragraph" w:customStyle="1" w:styleId="119">
    <w:name w:val="正文首行缩进两字符"/>
    <w:basedOn w:val="1"/>
    <w:qFormat/>
    <w:uiPriority w:val="0"/>
    <w:pPr>
      <w:spacing w:line="360" w:lineRule="auto"/>
      <w:ind w:firstLine="200"/>
    </w:pPr>
  </w:style>
  <w:style w:type="paragraph" w:customStyle="1" w:styleId="120">
    <w:name w:val="正文（文章）"/>
    <w:basedOn w:val="1"/>
    <w:qFormat/>
    <w:uiPriority w:val="0"/>
    <w:pPr>
      <w:ind w:firstLine="560"/>
    </w:pPr>
    <w:rPr>
      <w:rFonts w:cs="宋体"/>
      <w:szCs w:val="20"/>
    </w:rPr>
  </w:style>
  <w:style w:type="paragraph" w:styleId="121">
    <w:name w:val="List Paragraph"/>
    <w:basedOn w:val="1"/>
    <w:qFormat/>
    <w:uiPriority w:val="34"/>
    <w:pPr>
      <w:ind w:firstLine="420"/>
    </w:pPr>
  </w:style>
  <w:style w:type="paragraph" w:customStyle="1" w:styleId="122">
    <w:name w:val="正文缩进1"/>
    <w:basedOn w:val="1"/>
    <w:qFormat/>
    <w:uiPriority w:val="0"/>
    <w:pPr>
      <w:ind w:firstLine="420"/>
    </w:pPr>
  </w:style>
  <w:style w:type="paragraph" w:customStyle="1" w:styleId="123">
    <w:name w:val="Heading #2|1"/>
    <w:basedOn w:val="1"/>
    <w:qFormat/>
    <w:uiPriority w:val="0"/>
    <w:pPr>
      <w:spacing w:after="5580"/>
      <w:jc w:val="center"/>
      <w:outlineLvl w:val="1"/>
    </w:pPr>
    <w:rPr>
      <w:b/>
      <w:bCs/>
      <w:sz w:val="44"/>
      <w:szCs w:val="44"/>
      <w:lang w:val="zh-TW" w:eastAsia="zh-TW" w:bidi="zh-TW"/>
    </w:rPr>
  </w:style>
  <w:style w:type="character" w:customStyle="1" w:styleId="124">
    <w:name w:val="_Style 1 Char"/>
    <w:link w:val="115"/>
    <w:qFormat/>
    <w:uiPriority w:val="0"/>
    <w:rPr>
      <w:rFonts w:ascii="Calibri" w:hAnsi="Calibri" w:cs="Times New Roman"/>
      <w:sz w:val="28"/>
      <w:szCs w:val="28"/>
    </w:rPr>
  </w:style>
  <w:style w:type="paragraph" w:customStyle="1" w:styleId="125">
    <w:name w:val="+正文 Char Char"/>
    <w:basedOn w:val="1"/>
    <w:qFormat/>
    <w:uiPriority w:val="0"/>
    <w:pPr>
      <w:spacing w:line="360" w:lineRule="auto"/>
      <w:ind w:firstLine="200"/>
    </w:pPr>
    <w:rPr>
      <w:szCs w:val="28"/>
    </w:rPr>
  </w:style>
  <w:style w:type="paragraph" w:customStyle="1" w:styleId="126">
    <w:name w:val="+●"/>
    <w:qFormat/>
    <w:uiPriority w:val="0"/>
    <w:pPr>
      <w:numPr>
        <w:ilvl w:val="0"/>
        <w:numId w:val="2"/>
      </w:numPr>
      <w:tabs>
        <w:tab w:val="left" w:pos="900"/>
        <w:tab w:val="left" w:pos="958"/>
      </w:tabs>
      <w:ind w:firstLine="0"/>
    </w:pPr>
    <w:rPr>
      <w:rFonts w:ascii="Times New Roman" w:hAnsi="Times New Roman" w:eastAsia="宋体" w:cs="Times New Roman"/>
      <w:lang w:val="en-US" w:eastAsia="zh-CN" w:bidi="ar-SA"/>
    </w:rPr>
  </w:style>
  <w:style w:type="paragraph" w:customStyle="1" w:styleId="127">
    <w:name w:val="文字"/>
    <w:basedOn w:val="1"/>
    <w:qFormat/>
    <w:uiPriority w:val="0"/>
    <w:pPr>
      <w:tabs>
        <w:tab w:val="left" w:pos="8520"/>
      </w:tabs>
      <w:spacing w:line="312" w:lineRule="auto"/>
      <w:ind w:right="-210" w:firstLine="556"/>
    </w:pPr>
    <w:rPr>
      <w:rFonts w:ascii="楷体_GB2312" w:eastAsia="楷体_GB2312"/>
      <w:sz w:val="28"/>
      <w:szCs w:val="20"/>
    </w:rPr>
  </w:style>
  <w:style w:type="paragraph" w:customStyle="1" w:styleId="128">
    <w:name w:val="_正文"/>
    <w:basedOn w:val="1"/>
    <w:qFormat/>
    <w:uiPriority w:val="0"/>
    <w:pPr>
      <w:tabs>
        <w:tab w:val="left" w:pos="540"/>
      </w:tabs>
    </w:pPr>
    <w:rPr>
      <w:rFonts w:cs="Arial"/>
    </w:rPr>
  </w:style>
  <w:style w:type="paragraph" w:customStyle="1" w:styleId="129">
    <w:name w:val="+正文"/>
    <w:basedOn w:val="1"/>
    <w:qFormat/>
    <w:uiPriority w:val="0"/>
    <w:pPr>
      <w:spacing w:line="360" w:lineRule="auto"/>
      <w:ind w:firstLine="200"/>
    </w:pPr>
  </w:style>
  <w:style w:type="character" w:customStyle="1" w:styleId="130">
    <w:name w:val="fontstyle01"/>
    <w:qFormat/>
    <w:uiPriority w:val="0"/>
    <w:rPr>
      <w:rFonts w:hint="eastAsia" w:ascii="宋体" w:hAnsi="宋体" w:eastAsia="宋体"/>
      <w:color w:val="000000"/>
      <w:sz w:val="22"/>
      <w:szCs w:val="22"/>
    </w:rPr>
  </w:style>
  <w:style w:type="paragraph" w:customStyle="1" w:styleId="131">
    <w:name w:val="标题4"/>
    <w:basedOn w:val="1"/>
    <w:qFormat/>
    <w:uiPriority w:val="0"/>
    <w:rPr>
      <w:rFonts w:eastAsia="仿宋_GB2312"/>
      <w:sz w:val="32"/>
      <w:szCs w:val="20"/>
    </w:rPr>
  </w:style>
  <w:style w:type="character" w:customStyle="1" w:styleId="132">
    <w:name w:val="标题 4 Char"/>
    <w:qFormat/>
    <w:uiPriority w:val="0"/>
    <w:rPr>
      <w:rFonts w:eastAsia="黑体"/>
      <w:b/>
      <w:bCs/>
      <w:kern w:val="2"/>
      <w:sz w:val="30"/>
      <w:szCs w:val="30"/>
      <w:lang w:val="en-US" w:eastAsia="zh-CN" w:bidi="ar-SA"/>
    </w:rPr>
  </w:style>
  <w:style w:type="paragraph" w:customStyle="1" w:styleId="133">
    <w:name w:val="reader-word-layer reader-word-s1-7"/>
    <w:basedOn w:val="1"/>
    <w:qFormat/>
    <w:uiPriority w:val="0"/>
    <w:pPr>
      <w:widowControl/>
      <w:spacing w:before="100" w:beforeAutospacing="1" w:after="100" w:afterAutospacing="1"/>
      <w:jc w:val="left"/>
    </w:pPr>
    <w:rPr>
      <w:rFonts w:ascii="宋体" w:hAnsi="宋体" w:cs="宋体"/>
      <w:kern w:val="0"/>
    </w:rPr>
  </w:style>
  <w:style w:type="character" w:customStyle="1" w:styleId="134">
    <w:name w:val="font11"/>
    <w:basedOn w:val="45"/>
    <w:qFormat/>
    <w:uiPriority w:val="0"/>
    <w:rPr>
      <w:rFonts w:hint="eastAsia" w:ascii="宋体" w:hAnsi="宋体" w:eastAsia="宋体" w:cs="宋体"/>
      <w:color w:val="000000"/>
      <w:sz w:val="20"/>
      <w:szCs w:val="20"/>
      <w:u w:val="none"/>
    </w:rPr>
  </w:style>
  <w:style w:type="character" w:customStyle="1" w:styleId="135">
    <w:name w:val="10"/>
    <w:qFormat/>
    <w:uiPriority w:val="0"/>
    <w:rPr>
      <w:rFonts w:hint="default" w:ascii="Times New Roman" w:hAnsi="Times New Roman" w:cs="Times New Roman"/>
    </w:rPr>
  </w:style>
  <w:style w:type="paragraph" w:customStyle="1" w:styleId="136">
    <w:name w:val="blockquote"/>
    <w:basedOn w:val="1"/>
    <w:qFormat/>
    <w:uiPriority w:val="0"/>
    <w:pPr>
      <w:widowControl/>
      <w:spacing w:before="100" w:beforeAutospacing="1" w:after="100" w:afterAutospacing="1"/>
      <w:jc w:val="left"/>
    </w:pPr>
    <w:rPr>
      <w:rFonts w:ascii="宋体" w:hAnsi="宋体"/>
      <w:kern w:val="0"/>
    </w:rPr>
  </w:style>
  <w:style w:type="paragraph" w:customStyle="1" w:styleId="137">
    <w:name w:val="无间隔3"/>
    <w:qFormat/>
    <w:uiPriority w:val="1"/>
    <w:rPr>
      <w:rFonts w:ascii="Times New Roman" w:hAnsi="Times New Roman" w:eastAsia="宋体" w:cs="Times New Roman"/>
      <w:sz w:val="22"/>
      <w:szCs w:val="22"/>
      <w:lang w:val="en-US" w:eastAsia="en-US" w:bidi="en-US"/>
    </w:rPr>
  </w:style>
  <w:style w:type="paragraph" w:customStyle="1" w:styleId="138">
    <w:name w:val="正文文本缩进1"/>
    <w:basedOn w:val="1"/>
    <w:qFormat/>
    <w:uiPriority w:val="0"/>
    <w:pPr>
      <w:spacing w:line="360" w:lineRule="auto"/>
      <w:ind w:firstLine="435"/>
    </w:pPr>
    <w:rPr>
      <w:sz w:val="28"/>
    </w:rPr>
  </w:style>
  <w:style w:type="paragraph" w:customStyle="1" w:styleId="139">
    <w:name w:val="No Spacing_7e509324-65a2-4ed7-bf10-9eaa9c0383f4"/>
    <w:qFormat/>
    <w:uiPriority w:val="1"/>
    <w:rPr>
      <w:rFonts w:ascii="Times New Roman" w:hAnsi="Times New Roman" w:eastAsia="宋体" w:cs="Times New Roman"/>
      <w:sz w:val="22"/>
      <w:szCs w:val="22"/>
      <w:lang w:val="en-US" w:eastAsia="en-US" w:bidi="en-US"/>
    </w:rPr>
  </w:style>
  <w:style w:type="paragraph" w:customStyle="1" w:styleId="140">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41">
    <w:name w:val="无间距1"/>
    <w:qFormat/>
    <w:uiPriority w:val="1"/>
    <w:pPr>
      <w:widowControl w:val="0"/>
      <w:jc w:val="both"/>
    </w:pPr>
    <w:rPr>
      <w:rFonts w:ascii="Calibri" w:hAnsi="Calibri" w:eastAsia="微软雅黑 Light" w:cs="Times New Roman"/>
      <w:kern w:val="2"/>
      <w:sz w:val="24"/>
      <w:szCs w:val="22"/>
      <w:lang w:val="en-US" w:eastAsia="zh-CN" w:bidi="ar-SA"/>
    </w:rPr>
  </w:style>
  <w:style w:type="paragraph" w:customStyle="1" w:styleId="142">
    <w:name w:val="正文（缩进）"/>
    <w:qFormat/>
    <w:uiPriority w:val="0"/>
    <w:pPr>
      <w:widowControl w:val="0"/>
      <w:spacing w:before="156" w:after="156"/>
      <w:ind w:firstLine="480" w:firstLineChars="200"/>
      <w:jc w:val="both"/>
    </w:pPr>
    <w:rPr>
      <w:rFonts w:ascii="Times New Roman" w:hAnsi="Times New Roman" w:eastAsia="宋体" w:cs="Times New Roman"/>
      <w:kern w:val="2"/>
      <w:sz w:val="21"/>
      <w:szCs w:val="24"/>
      <w:lang w:val="en-US" w:eastAsia="zh-CN" w:bidi="ar-SA"/>
    </w:rPr>
  </w:style>
  <w:style w:type="paragraph" w:customStyle="1" w:styleId="143">
    <w:name w:val="_正文段落"/>
    <w:basedOn w:val="1"/>
    <w:qFormat/>
    <w:uiPriority w:val="0"/>
    <w:pPr>
      <w:spacing w:beforeLines="15" w:afterLines="15" w:line="360" w:lineRule="auto"/>
      <w:ind w:firstLine="560"/>
    </w:pPr>
    <w:rPr>
      <w:rFonts w:eastAsia="仿宋"/>
      <w:sz w:val="28"/>
    </w:rPr>
  </w:style>
  <w:style w:type="paragraph" w:customStyle="1" w:styleId="144">
    <w:name w:val="正文_0_0_0"/>
    <w:basedOn w:val="1"/>
    <w:qFormat/>
    <w:uiPriority w:val="0"/>
    <w:pPr>
      <w:spacing w:line="240" w:lineRule="auto"/>
      <w:ind w:firstLine="0" w:firstLineChars="0"/>
    </w:pPr>
    <w:rPr>
      <w:rFonts w:cs="Times New Roman"/>
      <w:sz w:val="21"/>
      <w:szCs w:val="21"/>
    </w:rPr>
  </w:style>
  <w:style w:type="character" w:customStyle="1" w:styleId="145">
    <w:name w:val="15"/>
    <w:basedOn w:val="45"/>
    <w:qFormat/>
    <w:uiPriority w:val="0"/>
    <w:rPr>
      <w:rFonts w:hint="default" w:ascii="Times New Roman" w:hAnsi="Times New Roman" w:cs="Times New Roman"/>
    </w:rPr>
  </w:style>
  <w:style w:type="paragraph" w:customStyle="1" w:styleId="146">
    <w:name w:val="列表段落1"/>
    <w:basedOn w:val="1"/>
    <w:qFormat/>
    <w:uiPriority w:val="34"/>
    <w:pPr>
      <w:spacing w:line="360" w:lineRule="auto"/>
      <w:ind w:firstLine="200"/>
    </w:pPr>
    <w:rPr>
      <w:rFonts w:eastAsia="楷体_GB2312" w:cs="Lucida Sans"/>
    </w:rPr>
  </w:style>
  <w:style w:type="paragraph" w:styleId="14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148">
    <w:name w:val="正文2"/>
    <w:basedOn w:val="1"/>
    <w:next w:val="29"/>
    <w:qFormat/>
    <w:uiPriority w:val="0"/>
    <w:pPr>
      <w:spacing w:before="156" w:line="360" w:lineRule="auto"/>
      <w:ind w:firstLine="510"/>
    </w:pPr>
  </w:style>
  <w:style w:type="paragraph" w:customStyle="1" w:styleId="149">
    <w:name w:val="纯文本3"/>
    <w:basedOn w:val="1"/>
    <w:qFormat/>
    <w:uiPriority w:val="0"/>
    <w:rPr>
      <w:rFonts w:ascii="宋体" w:hAnsi="Courier New"/>
    </w:rPr>
  </w:style>
  <w:style w:type="paragraph" w:customStyle="1" w:styleId="150">
    <w:name w:val="text-tag"/>
    <w:basedOn w:val="1"/>
    <w:qFormat/>
    <w:uiPriority w:val="0"/>
    <w:pPr>
      <w:widowControl/>
      <w:spacing w:beforeAutospacing="1" w:afterAutospacing="1"/>
      <w:jc w:val="left"/>
    </w:pPr>
    <w:rPr>
      <w:rFonts w:hint="eastAsia" w:ascii="宋体" w:hAnsi="宋体" w:cs="Times New Roman"/>
      <w:kern w:val="0"/>
    </w:rPr>
  </w:style>
  <w:style w:type="paragraph" w:customStyle="1" w:styleId="151">
    <w:name w:val="纯文本1"/>
    <w:basedOn w:val="1"/>
    <w:qFormat/>
    <w:uiPriority w:val="0"/>
    <w:rPr>
      <w:rFonts w:hint="eastAsia" w:ascii="宋体" w:hAnsi="Courier New" w:cs="Times New Roman"/>
      <w:kern w:val="0"/>
      <w:sz w:val="20"/>
      <w:szCs w:val="20"/>
    </w:rPr>
  </w:style>
  <w:style w:type="paragraph" w:customStyle="1" w:styleId="152">
    <w:name w:val="标书正文格式"/>
    <w:qFormat/>
    <w:uiPriority w:val="0"/>
    <w:pPr>
      <w:spacing w:line="360" w:lineRule="auto"/>
      <w:ind w:firstLine="480" w:firstLineChars="200"/>
    </w:pPr>
    <w:rPr>
      <w:rFonts w:ascii="楷体_GB2312" w:hAnsi="Times New Roman" w:eastAsia="楷体_GB2312" w:cs="Times New Roman"/>
      <w:color w:val="000000"/>
      <w:kern w:val="2"/>
      <w:sz w:val="24"/>
      <w:szCs w:val="24"/>
      <w:lang w:val="en-US" w:eastAsia="zh-CN" w:bidi="ar-SA"/>
    </w:rPr>
  </w:style>
  <w:style w:type="paragraph" w:customStyle="1" w:styleId="153">
    <w:name w:val="Other|1"/>
    <w:basedOn w:val="1"/>
    <w:qFormat/>
    <w:uiPriority w:val="0"/>
    <w:pPr>
      <w:spacing w:line="399" w:lineRule="exact"/>
    </w:pPr>
    <w:rPr>
      <w:rFonts w:ascii="宋体" w:hAnsi="宋体" w:cs="宋体"/>
      <w:sz w:val="22"/>
      <w:szCs w:val="22"/>
      <w:lang w:val="zh-TW" w:eastAsia="zh-TW" w:bidi="zh-TW"/>
    </w:rPr>
  </w:style>
  <w:style w:type="paragraph" w:customStyle="1" w:styleId="154">
    <w:name w:val="正文文本首行缩进1"/>
    <w:basedOn w:val="16"/>
    <w:next w:val="18"/>
    <w:qFormat/>
    <w:uiPriority w:val="0"/>
    <w:pPr>
      <w:spacing w:after="120"/>
      <w:ind w:firstLine="420" w:firstLineChars="100"/>
      <w:jc w:val="both"/>
    </w:pPr>
    <w:rPr>
      <w:rFonts w:ascii="Calibri" w:hAnsi="Calibri" w:cs="Calibri"/>
      <w:sz w:val="21"/>
      <w:szCs w:val="21"/>
    </w:rPr>
  </w:style>
  <w:style w:type="paragraph" w:customStyle="1" w:styleId="155">
    <w:name w:val="表格2"/>
    <w:basedOn w:val="1"/>
    <w:qFormat/>
    <w:uiPriority w:val="0"/>
    <w:pPr>
      <w:spacing w:line="240" w:lineRule="auto"/>
      <w:ind w:firstLine="0" w:firstLineChars="0"/>
    </w:pPr>
    <w:rPr>
      <w:rFonts w:ascii="宋体" w:hAnsi="宋体"/>
      <w:szCs w:val="32"/>
      <w:lang w:val="zh-CN"/>
    </w:rPr>
  </w:style>
  <w:style w:type="table" w:customStyle="1" w:styleId="156">
    <w:name w:val="TableGrid"/>
    <w:qFormat/>
    <w:uiPriority w:val="0"/>
    <w:tblPr>
      <w:tblCellMar>
        <w:top w:w="0" w:type="dxa"/>
        <w:left w:w="0" w:type="dxa"/>
        <w:bottom w:w="0" w:type="dxa"/>
        <w:right w:w="0" w:type="dxa"/>
      </w:tblCellMar>
    </w:tblPr>
  </w:style>
  <w:style w:type="paragraph" w:customStyle="1" w:styleId="157">
    <w:name w:val="正文段"/>
    <w:basedOn w:val="1"/>
    <w:qFormat/>
    <w:uiPriority w:val="0"/>
    <w:pPr>
      <w:widowControl/>
      <w:snapToGrid w:val="0"/>
      <w:spacing w:afterLines="50"/>
      <w:ind w:firstLine="200"/>
    </w:pPr>
    <w:rPr>
      <w:rFonts w:cs="Times New Roman"/>
      <w:kern w:val="0"/>
    </w:rPr>
  </w:style>
  <w:style w:type="paragraph" w:customStyle="1" w:styleId="158">
    <w:name w:val="正文文本首行缩进 21"/>
    <w:basedOn w:val="159"/>
    <w:qFormat/>
    <w:uiPriority w:val="0"/>
    <w:pPr>
      <w:snapToGrid w:val="0"/>
      <w:spacing w:after="120" w:line="240" w:lineRule="auto"/>
      <w:ind w:firstLine="420"/>
    </w:pPr>
    <w:rPr>
      <w:rFonts w:hint="eastAsia" w:ascii="宋体" w:cs="Times New Roman"/>
      <w:kern w:val="0"/>
      <w:sz w:val="21"/>
      <w:szCs w:val="21"/>
    </w:rPr>
  </w:style>
  <w:style w:type="paragraph" w:customStyle="1" w:styleId="159">
    <w:name w:val="正文文本缩进2"/>
    <w:basedOn w:val="1"/>
    <w:qFormat/>
    <w:uiPriority w:val="0"/>
    <w:pPr>
      <w:ind w:left="420" w:leftChars="200"/>
    </w:pPr>
    <w:rPr>
      <w:rFonts w:cs="黑体"/>
    </w:rPr>
  </w:style>
  <w:style w:type="paragraph" w:customStyle="1" w:styleId="160">
    <w:name w:val="[基本段落]"/>
    <w:basedOn w:val="161"/>
    <w:unhideWhenUsed/>
    <w:qFormat/>
    <w:uiPriority w:val="99"/>
  </w:style>
  <w:style w:type="paragraph" w:customStyle="1" w:styleId="161">
    <w:name w:val="[无段落样式]"/>
    <w:unhideWhenUsed/>
    <w:qFormat/>
    <w:uiPriority w:val="99"/>
    <w:pPr>
      <w:widowControl w:val="0"/>
      <w:autoSpaceDE w:val="0"/>
      <w:autoSpaceDN w:val="0"/>
      <w:adjustRightInd w:val="0"/>
      <w:spacing w:line="288" w:lineRule="auto"/>
      <w:jc w:val="both"/>
      <w:textAlignment w:val="center"/>
    </w:pPr>
    <w:rPr>
      <w:rFonts w:hint="eastAsia" w:ascii="AdobeSongStd-Light" w:hAnsi="AdobeSongStd-Light" w:eastAsia="AdobeSongStd-Light" w:cstheme="minorBidi"/>
      <w:color w:val="000000"/>
      <w:sz w:val="24"/>
      <w:szCs w:val="24"/>
      <w:lang w:val="zh-CN" w:eastAsia="zh-CN" w:bidi="ar-SA"/>
    </w:rPr>
  </w:style>
  <w:style w:type="paragraph" w:customStyle="1" w:styleId="162">
    <w:name w:val="样式 标题 2 + Times New Roman 四号 非加粗 段前: 5 磅 段后: 0 磅 行距: 固定值 20..."/>
    <w:basedOn w:val="3"/>
    <w:qFormat/>
    <w:uiPriority w:val="0"/>
    <w:pPr>
      <w:spacing w:before="100" w:line="400" w:lineRule="exact"/>
    </w:pPr>
    <w:rPr>
      <w:rFonts w:ascii="Times New Roman" w:hAnsi="Times New Roman" w:cs="宋体"/>
      <w:bCs w:val="0"/>
      <w:sz w:val="28"/>
      <w:szCs w:val="20"/>
    </w:rPr>
  </w:style>
  <w:style w:type="paragraph" w:customStyle="1" w:styleId="163">
    <w:name w:val="List Paragraph_41d0cc91-dce1-4733-b767-3adef058dad0"/>
    <w:basedOn w:val="1"/>
    <w:qFormat/>
    <w:uiPriority w:val="34"/>
    <w:pPr>
      <w:ind w:firstLine="420"/>
    </w:pPr>
  </w:style>
  <w:style w:type="paragraph" w:customStyle="1" w:styleId="164">
    <w:name w:val="Revision"/>
    <w:hidden/>
    <w:unhideWhenUsed/>
    <w:qFormat/>
    <w:uiPriority w:val="99"/>
    <w:rPr>
      <w:rFonts w:ascii="Times New Roman" w:hAnsi="Times New Roman" w:eastAsia="宋体" w:cstheme="minorBidi"/>
      <w:kern w:val="2"/>
      <w:sz w:val="24"/>
      <w:szCs w:val="24"/>
      <w:lang w:val="en-US" w:eastAsia="zh-CN" w:bidi="ar-SA"/>
    </w:rPr>
  </w:style>
  <w:style w:type="character" w:customStyle="1" w:styleId="165">
    <w:name w:val="批注文字 字符"/>
    <w:basedOn w:val="45"/>
    <w:link w:val="14"/>
    <w:qFormat/>
    <w:uiPriority w:val="0"/>
    <w:rPr>
      <w:rFonts w:cstheme="minorBidi"/>
      <w:kern w:val="2"/>
      <w:sz w:val="24"/>
      <w:szCs w:val="24"/>
    </w:rPr>
  </w:style>
  <w:style w:type="character" w:customStyle="1" w:styleId="166">
    <w:name w:val="批注主题 字符"/>
    <w:basedOn w:val="165"/>
    <w:link w:val="39"/>
    <w:semiHidden/>
    <w:qFormat/>
    <w:uiPriority w:val="0"/>
    <w:rPr>
      <w:rFonts w:cstheme="minorBidi"/>
      <w:b/>
      <w:bCs/>
      <w:kern w:val="2"/>
      <w:sz w:val="24"/>
      <w:szCs w:val="24"/>
    </w:rPr>
  </w:style>
  <w:style w:type="character" w:customStyle="1" w:styleId="167">
    <w:name w:val="纯文本 字符"/>
    <w:basedOn w:val="45"/>
    <w:link w:val="22"/>
    <w:qFormat/>
    <w:uiPriority w:val="0"/>
    <w:rPr>
      <w:rFonts w:ascii="宋体" w:hAnsi="Courier New" w:cstheme="minorBidi"/>
      <w:kern w:val="2"/>
      <w:sz w:val="24"/>
    </w:rPr>
  </w:style>
  <w:style w:type="paragraph" w:customStyle="1" w:styleId="16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style>
  <w:style w:type="paragraph" w:customStyle="1" w:styleId="169">
    <w:name w:val="Body Text First Indent 2"/>
    <w:basedOn w:val="170"/>
    <w:qFormat/>
    <w:uiPriority w:val="0"/>
    <w:pPr>
      <w:snapToGrid w:val="0"/>
      <w:spacing w:after="120" w:afterLines="0" w:line="240" w:lineRule="auto"/>
      <w:ind w:firstLine="420"/>
    </w:pPr>
    <w:rPr>
      <w:rFonts w:hint="eastAsia" w:ascii="宋体" w:cs="Times New Roman"/>
      <w:kern w:val="0"/>
      <w:sz w:val="21"/>
      <w:szCs w:val="21"/>
    </w:rPr>
  </w:style>
  <w:style w:type="paragraph" w:customStyle="1" w:styleId="170">
    <w:name w:val="Body Text Indent"/>
    <w:basedOn w:val="1"/>
    <w:qFormat/>
    <w:uiPriority w:val="0"/>
    <w:pPr>
      <w:ind w:left="420" w:leftChars="200"/>
    </w:pPr>
    <w:rPr>
      <w:rFonts w:ascii="Times New Roman" w:hAnsi="Times New Roman" w:cs="黑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15894</Words>
  <Characters>17255</Characters>
  <Lines>341</Lines>
  <Paragraphs>96</Paragraphs>
  <TotalTime>12</TotalTime>
  <ScaleCrop>false</ScaleCrop>
  <LinksUpToDate>false</LinksUpToDate>
  <CharactersWithSpaces>17500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2022-10-01T17:36:00Z</dcterms:created>
  <dc:creator>宇正-王</dc:creator>
  <cp:lastModifiedBy>Administrator</cp:lastModifiedBy>
  <cp:lastPrinted>2025-05-14T02:48:00Z</cp:lastPrinted>
  <dcterms:modified xsi:type="dcterms:W3CDTF">2025-06-26T13:23:53Z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82A03B287B0D44D6A3E4E05CB88239FD_13</vt:lpwstr>
  </property>
  <property fmtid="{D5CDD505-2E9C-101B-9397-08002B2CF9AE}" pid="4" name="KSOTemplateDocerSaveRecord">
    <vt:lpwstr>eyJoZGlkIjoiYmNhZDBhZDQ5ZWM5NWUzMTM3YzBlMGYyYzM4ZDhlOTYiLCJ1c2VySWQiOiIxMTU5NDcwNzk3In0=</vt:lpwstr>
  </property>
</Properties>
</file>