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cs="仿宋_GB2312"/>
          <w:sz w:val="84"/>
          <w:lang w:val="zh-CN"/>
        </w:rPr>
      </w:pPr>
    </w:p>
    <w:p>
      <w:pPr>
        <w:jc w:val="center"/>
        <w:rPr>
          <w:rFonts w:ascii="仿宋" w:hAnsi="仿宋" w:eastAsia="仿宋" w:cs="仿宋_GB2312"/>
          <w:sz w:val="84"/>
          <w:lang w:val="zh-CN"/>
        </w:rPr>
      </w:pPr>
      <w:r>
        <w:rPr>
          <w:rFonts w:hint="eastAsia" w:ascii="仿宋" w:hAnsi="仿宋" w:eastAsia="仿宋" w:cs="仿宋_GB2312"/>
          <w:sz w:val="84"/>
          <w:lang w:val="zh-CN"/>
        </w:rPr>
        <w:t>询价采购文件</w:t>
      </w:r>
    </w:p>
    <w:p>
      <w:pPr>
        <w:rPr>
          <w:rFonts w:ascii="仿宋" w:hAnsi="仿宋" w:eastAsia="仿宋" w:cs="仿宋_GB2312"/>
          <w:b/>
          <w:sz w:val="84"/>
          <w:lang w:val="zh-CN"/>
        </w:rPr>
      </w:pPr>
    </w:p>
    <w:p>
      <w:pPr>
        <w:jc w:val="center"/>
        <w:rPr>
          <w:rFonts w:ascii="仿宋" w:hAnsi="仿宋" w:eastAsia="仿宋" w:cs="仿宋_GB2312"/>
          <w:szCs w:val="21"/>
        </w:rPr>
      </w:pPr>
    </w:p>
    <w:p>
      <w:pPr>
        <w:jc w:val="center"/>
        <w:rPr>
          <w:rFonts w:ascii="仿宋" w:hAnsi="仿宋" w:eastAsia="仿宋" w:cs="仿宋_GB2312"/>
          <w:sz w:val="30"/>
          <w:szCs w:val="30"/>
        </w:rPr>
      </w:pPr>
    </w:p>
    <w:p>
      <w:pPr>
        <w:tabs>
          <w:tab w:val="left" w:pos="900"/>
        </w:tabs>
        <w:snapToGrid w:val="0"/>
        <w:spacing w:line="360" w:lineRule="auto"/>
        <w:jc w:val="left"/>
        <w:rPr>
          <w:rFonts w:ascii="仿宋" w:hAnsi="仿宋" w:eastAsia="仿宋"/>
          <w:snapToGrid w:val="0"/>
          <w:szCs w:val="20"/>
        </w:rPr>
      </w:pPr>
      <w:r>
        <w:rPr>
          <w:rFonts w:hint="eastAsia" w:ascii="仿宋" w:hAnsi="仿宋" w:eastAsia="仿宋" w:cs="仿宋_GB2312"/>
          <w:bCs/>
          <w:sz w:val="30"/>
          <w:szCs w:val="30"/>
          <w:lang w:val="zh-CN"/>
        </w:rPr>
        <w:t>采购编号：HRZFCG2021-015</w:t>
      </w:r>
    </w:p>
    <w:p>
      <w:pPr>
        <w:tabs>
          <w:tab w:val="left" w:pos="900"/>
        </w:tabs>
        <w:snapToGrid w:val="0"/>
        <w:spacing w:line="360" w:lineRule="auto"/>
        <w:jc w:val="left"/>
        <w:rPr>
          <w:rFonts w:ascii="仿宋" w:hAnsi="仿宋" w:eastAsia="仿宋"/>
          <w:snapToGrid w:val="0"/>
          <w:szCs w:val="20"/>
        </w:rPr>
      </w:pPr>
      <w:r>
        <w:rPr>
          <w:rFonts w:hint="eastAsia" w:ascii="仿宋" w:hAnsi="仿宋" w:eastAsia="仿宋" w:cs="仿宋_GB2312"/>
          <w:bCs/>
          <w:sz w:val="30"/>
          <w:szCs w:val="30"/>
          <w:lang w:val="zh-CN"/>
        </w:rPr>
        <w:t>项目名称：龙游传媒集团（龙游县广播电视总台）机顶盒采购项目</w:t>
      </w:r>
    </w:p>
    <w:p>
      <w:pPr>
        <w:tabs>
          <w:tab w:val="left" w:pos="3852"/>
        </w:tabs>
        <w:jc w:val="left"/>
        <w:rPr>
          <w:rFonts w:ascii="仿宋" w:hAnsi="仿宋" w:eastAsia="仿宋" w:cs="仿宋_GB2312"/>
          <w:sz w:val="30"/>
          <w:szCs w:val="30"/>
        </w:rPr>
      </w:pPr>
    </w:p>
    <w:p>
      <w:pPr>
        <w:tabs>
          <w:tab w:val="left" w:pos="3852"/>
        </w:tabs>
        <w:jc w:val="left"/>
        <w:rPr>
          <w:rFonts w:ascii="仿宋" w:hAnsi="仿宋" w:eastAsia="仿宋" w:cs="仿宋_GB2312"/>
          <w:sz w:val="30"/>
          <w:szCs w:val="30"/>
        </w:rPr>
      </w:pPr>
    </w:p>
    <w:p>
      <w:pPr>
        <w:tabs>
          <w:tab w:val="left" w:pos="913"/>
        </w:tabs>
        <w:jc w:val="left"/>
        <w:rPr>
          <w:rFonts w:ascii="仿宋" w:hAnsi="仿宋" w:eastAsia="仿宋"/>
          <w:bCs/>
          <w:sz w:val="32"/>
          <w:szCs w:val="44"/>
          <w:u w:val="single"/>
        </w:rPr>
      </w:pPr>
      <w:r>
        <w:rPr>
          <w:rFonts w:hint="eastAsia" w:ascii="仿宋" w:hAnsi="仿宋" w:eastAsia="仿宋"/>
          <w:bCs/>
          <w:sz w:val="32"/>
          <w:szCs w:val="44"/>
        </w:rPr>
        <w:t>采购单位：</w:t>
      </w:r>
      <w:r>
        <w:rPr>
          <w:rFonts w:hint="eastAsia" w:ascii="仿宋" w:hAnsi="仿宋" w:eastAsia="仿宋"/>
          <w:bCs/>
          <w:sz w:val="32"/>
          <w:szCs w:val="44"/>
          <w:u w:val="single"/>
        </w:rPr>
        <w:t>龙游传媒集团（龙游县广播电视总台）  （盖章）</w:t>
      </w:r>
    </w:p>
    <w:p>
      <w:pPr>
        <w:tabs>
          <w:tab w:val="left" w:pos="913"/>
        </w:tabs>
        <w:jc w:val="left"/>
        <w:rPr>
          <w:rFonts w:ascii="仿宋" w:hAnsi="仿宋" w:eastAsia="仿宋"/>
          <w:bCs/>
          <w:sz w:val="32"/>
          <w:szCs w:val="44"/>
          <w:u w:val="single"/>
        </w:rPr>
      </w:pPr>
    </w:p>
    <w:p>
      <w:pPr>
        <w:tabs>
          <w:tab w:val="left" w:pos="913"/>
        </w:tabs>
        <w:jc w:val="left"/>
        <w:rPr>
          <w:rFonts w:ascii="仿宋" w:hAnsi="仿宋" w:eastAsia="仿宋"/>
          <w:bCs/>
          <w:sz w:val="32"/>
          <w:szCs w:val="44"/>
          <w:u w:val="single"/>
          <w:lang w:val="zh-CN"/>
        </w:rPr>
      </w:pPr>
      <w:r>
        <w:rPr>
          <w:rFonts w:hint="eastAsia" w:ascii="仿宋" w:hAnsi="仿宋" w:eastAsia="仿宋"/>
          <w:bCs/>
          <w:sz w:val="32"/>
          <w:szCs w:val="44"/>
        </w:rPr>
        <w:t>代理机构：</w:t>
      </w:r>
      <w:r>
        <w:rPr>
          <w:rFonts w:hint="eastAsia" w:ascii="仿宋" w:hAnsi="仿宋" w:eastAsia="仿宋"/>
          <w:bCs/>
          <w:sz w:val="32"/>
          <w:szCs w:val="44"/>
          <w:u w:val="single"/>
          <w:lang w:val="zh-CN"/>
        </w:rPr>
        <w:t>浙江浩睿招标代理有限公司  （盖章）</w:t>
      </w:r>
    </w:p>
    <w:p>
      <w:pPr>
        <w:snapToGrid w:val="0"/>
        <w:spacing w:line="440" w:lineRule="exact"/>
        <w:jc w:val="left"/>
        <w:rPr>
          <w:rFonts w:ascii="仿宋" w:hAnsi="仿宋" w:eastAsia="仿宋"/>
          <w:b/>
          <w:bCs/>
          <w:sz w:val="36"/>
          <w:szCs w:val="36"/>
          <w:lang w:val="zh-CN"/>
        </w:rPr>
      </w:pPr>
    </w:p>
    <w:p>
      <w:pPr>
        <w:pStyle w:val="2"/>
        <w:jc w:val="left"/>
        <w:rPr>
          <w:rFonts w:ascii="仿宋" w:hAnsi="仿宋" w:eastAsia="仿宋"/>
          <w:lang w:val="zh-CN"/>
        </w:rPr>
      </w:pPr>
    </w:p>
    <w:p>
      <w:pPr>
        <w:snapToGrid w:val="0"/>
        <w:spacing w:line="440" w:lineRule="exact"/>
        <w:jc w:val="center"/>
        <w:rPr>
          <w:rFonts w:ascii="仿宋" w:hAnsi="仿宋" w:eastAsia="仿宋"/>
          <w:bCs/>
          <w:sz w:val="36"/>
          <w:szCs w:val="36"/>
          <w:lang w:val="zh-CN"/>
        </w:rPr>
      </w:pPr>
      <w:r>
        <w:rPr>
          <w:rFonts w:hint="eastAsia" w:ascii="仿宋" w:hAnsi="仿宋" w:eastAsia="仿宋"/>
          <w:bCs/>
          <w:sz w:val="32"/>
          <w:szCs w:val="36"/>
          <w:lang w:val="zh-CN"/>
        </w:rPr>
        <w:t>二O二一年</w:t>
      </w:r>
      <w:r>
        <w:rPr>
          <w:rFonts w:hint="eastAsia" w:ascii="仿宋" w:hAnsi="仿宋" w:eastAsia="仿宋"/>
          <w:bCs/>
          <w:sz w:val="32"/>
          <w:szCs w:val="36"/>
          <w:lang w:val="en-US" w:eastAsia="zh-CN"/>
        </w:rPr>
        <w:t>六</w:t>
      </w:r>
      <w:r>
        <w:rPr>
          <w:rFonts w:hint="eastAsia" w:ascii="仿宋" w:hAnsi="仿宋" w:eastAsia="仿宋"/>
          <w:bCs/>
          <w:sz w:val="32"/>
          <w:szCs w:val="36"/>
          <w:lang w:val="zh-CN"/>
        </w:rPr>
        <w:t>月</w:t>
      </w:r>
    </w:p>
    <w:p>
      <w:pPr>
        <w:snapToGrid w:val="0"/>
        <w:spacing w:line="440" w:lineRule="exact"/>
        <w:jc w:val="left"/>
        <w:rPr>
          <w:rFonts w:ascii="仿宋" w:hAnsi="仿宋" w:eastAsia="仿宋" w:cs="仿宋_GB2312"/>
          <w:b/>
          <w:sz w:val="44"/>
          <w:lang w:val="zh-CN"/>
        </w:rPr>
        <w:sectPr>
          <w:headerReference r:id="rId4" w:type="first"/>
          <w:footerReference r:id="rId6" w:type="first"/>
          <w:headerReference r:id="rId3" w:type="default"/>
          <w:footerReference r:id="rId5" w:type="default"/>
          <w:pgSz w:w="11850" w:h="16783"/>
          <w:pgMar w:top="1157" w:right="1080" w:bottom="1440" w:left="1080" w:header="851" w:footer="850" w:gutter="227"/>
          <w:pgNumType w:start="0"/>
          <w:cols w:space="0" w:num="1"/>
          <w:titlePg/>
          <w:docGrid w:type="linesAndChars" w:linePitch="312" w:charSpace="0"/>
        </w:sectPr>
      </w:pPr>
    </w:p>
    <w:p>
      <w:pPr>
        <w:spacing w:line="800" w:lineRule="exact"/>
        <w:jc w:val="center"/>
        <w:rPr>
          <w:rFonts w:ascii="仿宋" w:hAnsi="仿宋" w:eastAsia="仿宋" w:cs="仿宋_GB2312"/>
          <w:b/>
          <w:sz w:val="44"/>
          <w:lang w:val="zh-CN"/>
        </w:rPr>
      </w:pPr>
      <w:r>
        <w:rPr>
          <w:rFonts w:hint="eastAsia" w:ascii="仿宋" w:hAnsi="仿宋" w:eastAsia="仿宋" w:cs="仿宋_GB2312"/>
          <w:b/>
          <w:sz w:val="44"/>
          <w:lang w:val="zh-CN"/>
        </w:rPr>
        <w:t>目  录</w:t>
      </w:r>
    </w:p>
    <w:sdt>
      <w:sdtPr>
        <w:rPr>
          <w:rFonts w:ascii="仿宋" w:hAnsi="仿宋" w:eastAsia="仿宋" w:cs="Times New Roman"/>
          <w:b w:val="0"/>
          <w:bCs w:val="0"/>
          <w:color w:val="auto"/>
          <w:kern w:val="2"/>
          <w:sz w:val="21"/>
          <w:szCs w:val="24"/>
          <w:lang w:val="zh-CN"/>
        </w:rPr>
        <w:id w:val="11838776"/>
        <w:docPartObj>
          <w:docPartGallery w:val="Table of Contents"/>
          <w:docPartUnique/>
        </w:docPartObj>
      </w:sdtPr>
      <w:sdtEndPr>
        <w:rPr>
          <w:rFonts w:ascii="仿宋" w:hAnsi="仿宋" w:eastAsia="仿宋" w:cs="Times New Roman"/>
          <w:b w:val="0"/>
          <w:bCs w:val="0"/>
          <w:color w:val="auto"/>
          <w:kern w:val="2"/>
          <w:sz w:val="24"/>
          <w:szCs w:val="24"/>
          <w:lang w:val="en-US"/>
        </w:rPr>
      </w:sdtEndPr>
      <w:sdtContent>
        <w:p>
          <w:pPr>
            <w:pStyle w:val="225"/>
            <w:rPr>
              <w:rFonts w:ascii="仿宋" w:hAnsi="仿宋" w:eastAsia="仿宋"/>
            </w:rPr>
          </w:pPr>
        </w:p>
        <w:p>
          <w:pPr>
            <w:pStyle w:val="30"/>
            <w:tabs>
              <w:tab w:val="right" w:leader="dot" w:pos="9509"/>
            </w:tabs>
            <w:spacing w:line="360" w:lineRule="auto"/>
            <w:ind w:left="210" w:right="210"/>
            <w:rPr>
              <w:rFonts w:ascii="仿宋" w:hAnsi="仿宋" w:eastAsia="仿宋" w:cstheme="minorBidi"/>
              <w:b w:val="0"/>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r>
            <w:fldChar w:fldCharType="begin"/>
          </w:r>
          <w:r>
            <w:instrText xml:space="preserve"> HYPERLINK \l "_Toc72941045" </w:instrText>
          </w:r>
          <w:r>
            <w:fldChar w:fldCharType="separate"/>
          </w:r>
          <w:r>
            <w:rPr>
              <w:rStyle w:val="46"/>
              <w:rFonts w:ascii="仿宋" w:hAnsi="仿宋" w:eastAsia="仿宋"/>
              <w:b w:val="0"/>
              <w:sz w:val="24"/>
            </w:rPr>
            <w:t>第一章  询价公告</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_Toc72941045 \h </w:instrText>
          </w:r>
          <w:r>
            <w:rPr>
              <w:rFonts w:ascii="仿宋" w:hAnsi="仿宋" w:eastAsia="仿宋"/>
              <w:b w:val="0"/>
              <w:sz w:val="24"/>
            </w:rPr>
            <w:fldChar w:fldCharType="separate"/>
          </w:r>
          <w:r>
            <w:rPr>
              <w:rFonts w:ascii="仿宋" w:hAnsi="仿宋" w:eastAsia="仿宋"/>
              <w:b w:val="0"/>
              <w:sz w:val="24"/>
            </w:rPr>
            <w:t>2</w:t>
          </w:r>
          <w:r>
            <w:rPr>
              <w:rFonts w:ascii="仿宋" w:hAnsi="仿宋" w:eastAsia="仿宋"/>
              <w:b w:val="0"/>
              <w:sz w:val="24"/>
            </w:rPr>
            <w:fldChar w:fldCharType="end"/>
          </w:r>
          <w:r>
            <w:rPr>
              <w:rFonts w:ascii="仿宋" w:hAnsi="仿宋" w:eastAsia="仿宋"/>
              <w:b w:val="0"/>
              <w:sz w:val="24"/>
            </w:rPr>
            <w:fldChar w:fldCharType="end"/>
          </w:r>
        </w:p>
        <w:p>
          <w:pPr>
            <w:pStyle w:val="30"/>
            <w:tabs>
              <w:tab w:val="right" w:leader="dot" w:pos="9509"/>
            </w:tabs>
            <w:spacing w:line="360" w:lineRule="auto"/>
            <w:ind w:left="210" w:right="210"/>
            <w:rPr>
              <w:rFonts w:ascii="仿宋" w:hAnsi="仿宋" w:eastAsia="仿宋" w:cstheme="minorBidi"/>
              <w:b w:val="0"/>
              <w:sz w:val="24"/>
            </w:rPr>
          </w:pPr>
          <w:r>
            <w:fldChar w:fldCharType="begin"/>
          </w:r>
          <w:r>
            <w:instrText xml:space="preserve"> HYPERLINK \l "_Toc72941046" </w:instrText>
          </w:r>
          <w:r>
            <w:fldChar w:fldCharType="separate"/>
          </w:r>
          <w:r>
            <w:rPr>
              <w:rStyle w:val="46"/>
              <w:rFonts w:ascii="仿宋" w:hAnsi="仿宋" w:eastAsia="仿宋"/>
              <w:b w:val="0"/>
              <w:sz w:val="24"/>
            </w:rPr>
            <w:t>第二章  询价须知前附表及询价须知</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_Toc72941046 \h </w:instrText>
          </w:r>
          <w:r>
            <w:rPr>
              <w:rFonts w:ascii="仿宋" w:hAnsi="仿宋" w:eastAsia="仿宋"/>
              <w:b w:val="0"/>
              <w:sz w:val="24"/>
            </w:rPr>
            <w:fldChar w:fldCharType="separate"/>
          </w:r>
          <w:r>
            <w:rPr>
              <w:rFonts w:ascii="仿宋" w:hAnsi="仿宋" w:eastAsia="仿宋"/>
              <w:b w:val="0"/>
              <w:sz w:val="24"/>
            </w:rPr>
            <w:t>6</w:t>
          </w:r>
          <w:r>
            <w:rPr>
              <w:rFonts w:ascii="仿宋" w:hAnsi="仿宋" w:eastAsia="仿宋"/>
              <w:b w:val="0"/>
              <w:sz w:val="24"/>
            </w:rPr>
            <w:fldChar w:fldCharType="end"/>
          </w:r>
          <w:r>
            <w:rPr>
              <w:rFonts w:ascii="仿宋" w:hAnsi="仿宋" w:eastAsia="仿宋"/>
              <w:b w:val="0"/>
              <w:sz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"_Toc72941047" </w:instrText>
          </w:r>
          <w:r>
            <w:fldChar w:fldCharType="separate"/>
          </w:r>
          <w:r>
            <w:rPr>
              <w:rStyle w:val="46"/>
              <w:rFonts w:ascii="仿宋" w:hAnsi="仿宋" w:eastAsia="仿宋" w:cs="仿宋_GB2312"/>
              <w:b w:val="0"/>
              <w:sz w:val="24"/>
              <w:szCs w:val="24"/>
            </w:rPr>
            <w:t>一、询价须知前附表</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_Toc72941047 \h </w:instrText>
          </w:r>
          <w:r>
            <w:rPr>
              <w:rFonts w:ascii="仿宋" w:hAnsi="仿宋" w:eastAsia="仿宋"/>
              <w:b w:val="0"/>
              <w:sz w:val="24"/>
              <w:szCs w:val="24"/>
            </w:rPr>
            <w:fldChar w:fldCharType="separate"/>
          </w:r>
          <w:r>
            <w:rPr>
              <w:rFonts w:ascii="仿宋" w:hAnsi="仿宋" w:eastAsia="仿宋"/>
              <w:b w:val="0"/>
              <w:sz w:val="24"/>
              <w:szCs w:val="24"/>
            </w:rPr>
            <w:t>6</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"_Toc72941048" </w:instrText>
          </w:r>
          <w:r>
            <w:fldChar w:fldCharType="separate"/>
          </w:r>
          <w:r>
            <w:rPr>
              <w:rStyle w:val="46"/>
              <w:rFonts w:ascii="仿宋" w:hAnsi="仿宋" w:eastAsia="仿宋" w:cs="仿宋_GB2312"/>
              <w:b w:val="0"/>
              <w:sz w:val="24"/>
              <w:szCs w:val="24"/>
            </w:rPr>
            <w:t>二、询价须知</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_Toc72941048 \h </w:instrText>
          </w:r>
          <w:r>
            <w:rPr>
              <w:rFonts w:ascii="仿宋" w:hAnsi="仿宋" w:eastAsia="仿宋"/>
              <w:b w:val="0"/>
              <w:sz w:val="24"/>
              <w:szCs w:val="24"/>
            </w:rPr>
            <w:fldChar w:fldCharType="separate"/>
          </w:r>
          <w:r>
            <w:rPr>
              <w:rFonts w:ascii="仿宋" w:hAnsi="仿宋" w:eastAsia="仿宋"/>
              <w:b w:val="0"/>
              <w:sz w:val="24"/>
              <w:szCs w:val="24"/>
            </w:rPr>
            <w:t>7</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"_Toc72941049" </w:instrText>
          </w:r>
          <w:r>
            <w:fldChar w:fldCharType="separate"/>
          </w:r>
          <w:r>
            <w:rPr>
              <w:rStyle w:val="46"/>
              <w:rFonts w:ascii="仿宋" w:hAnsi="仿宋" w:eastAsia="仿宋" w:cs="华文中宋"/>
              <w:b w:val="0"/>
              <w:sz w:val="24"/>
              <w:szCs w:val="24"/>
            </w:rPr>
            <w:t>三、询价文件说明</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_Toc72941049 \h </w:instrText>
          </w:r>
          <w:r>
            <w:rPr>
              <w:rFonts w:ascii="仿宋" w:hAnsi="仿宋" w:eastAsia="仿宋"/>
              <w:b w:val="0"/>
              <w:sz w:val="24"/>
              <w:szCs w:val="24"/>
            </w:rPr>
            <w:fldChar w:fldCharType="separate"/>
          </w:r>
          <w:r>
            <w:rPr>
              <w:rFonts w:ascii="仿宋" w:hAnsi="仿宋" w:eastAsia="仿宋"/>
              <w:b w:val="0"/>
              <w:sz w:val="24"/>
              <w:szCs w:val="24"/>
            </w:rPr>
            <w:t>10</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"_Toc72941050" </w:instrText>
          </w:r>
          <w:r>
            <w:fldChar w:fldCharType="separate"/>
          </w:r>
          <w:r>
            <w:rPr>
              <w:rStyle w:val="46"/>
              <w:rFonts w:ascii="仿宋" w:hAnsi="仿宋" w:eastAsia="仿宋" w:cs="华文中宋"/>
              <w:b w:val="0"/>
              <w:sz w:val="24"/>
              <w:szCs w:val="24"/>
            </w:rPr>
            <w:t>四、询价文件的编制</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_Toc72941050 \h </w:instrText>
          </w:r>
          <w:r>
            <w:rPr>
              <w:rFonts w:ascii="仿宋" w:hAnsi="仿宋" w:eastAsia="仿宋"/>
              <w:b w:val="0"/>
              <w:sz w:val="24"/>
              <w:szCs w:val="24"/>
            </w:rPr>
            <w:fldChar w:fldCharType="separate"/>
          </w:r>
          <w:r>
            <w:rPr>
              <w:rFonts w:ascii="仿宋" w:hAnsi="仿宋" w:eastAsia="仿宋"/>
              <w:b w:val="0"/>
              <w:sz w:val="24"/>
              <w:szCs w:val="24"/>
            </w:rPr>
            <w:t>11</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"_Toc72941051" </w:instrText>
          </w:r>
          <w:r>
            <w:fldChar w:fldCharType="separate"/>
          </w:r>
          <w:r>
            <w:rPr>
              <w:rStyle w:val="46"/>
              <w:rFonts w:ascii="仿宋" w:hAnsi="仿宋" w:eastAsia="仿宋" w:cs="华文中宋"/>
              <w:b w:val="0"/>
              <w:sz w:val="24"/>
              <w:szCs w:val="24"/>
            </w:rPr>
            <w:t>五、询价响应文件的递交</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_Toc72941051 \h </w:instrText>
          </w:r>
          <w:r>
            <w:rPr>
              <w:rFonts w:ascii="仿宋" w:hAnsi="仿宋" w:eastAsia="仿宋"/>
              <w:b w:val="0"/>
              <w:sz w:val="24"/>
              <w:szCs w:val="24"/>
            </w:rPr>
            <w:fldChar w:fldCharType="separate"/>
          </w:r>
          <w:r>
            <w:rPr>
              <w:rFonts w:ascii="仿宋" w:hAnsi="仿宋" w:eastAsia="仿宋"/>
              <w:b w:val="0"/>
              <w:sz w:val="24"/>
              <w:szCs w:val="24"/>
            </w:rPr>
            <w:t>13</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"_Toc72941052" </w:instrText>
          </w:r>
          <w:r>
            <w:fldChar w:fldCharType="separate"/>
          </w:r>
          <w:r>
            <w:rPr>
              <w:rStyle w:val="46"/>
              <w:rFonts w:ascii="仿宋" w:hAnsi="仿宋" w:eastAsia="仿宋" w:cs="华文中宋"/>
              <w:b w:val="0"/>
              <w:sz w:val="24"/>
              <w:szCs w:val="24"/>
            </w:rPr>
            <w:t>六、询价响应无效的情形</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_Toc72941052 \h </w:instrText>
          </w:r>
          <w:r>
            <w:rPr>
              <w:rFonts w:ascii="仿宋" w:hAnsi="仿宋" w:eastAsia="仿宋"/>
              <w:b w:val="0"/>
              <w:sz w:val="24"/>
              <w:szCs w:val="24"/>
            </w:rPr>
            <w:fldChar w:fldCharType="separate"/>
          </w:r>
          <w:r>
            <w:rPr>
              <w:rFonts w:ascii="仿宋" w:hAnsi="仿宋" w:eastAsia="仿宋"/>
              <w:b w:val="0"/>
              <w:sz w:val="24"/>
              <w:szCs w:val="24"/>
            </w:rPr>
            <w:t>13</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"_Toc72941053" </w:instrText>
          </w:r>
          <w:r>
            <w:fldChar w:fldCharType="separate"/>
          </w:r>
          <w:r>
            <w:rPr>
              <w:rStyle w:val="46"/>
              <w:rFonts w:ascii="仿宋" w:hAnsi="仿宋" w:eastAsia="仿宋" w:cs="华文中宋"/>
              <w:b w:val="0"/>
              <w:sz w:val="24"/>
              <w:szCs w:val="24"/>
            </w:rPr>
            <w:t>七、终止的情形</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_Toc72941053 \h </w:instrText>
          </w:r>
          <w:r>
            <w:rPr>
              <w:rFonts w:ascii="仿宋" w:hAnsi="仿宋" w:eastAsia="仿宋"/>
              <w:b w:val="0"/>
              <w:sz w:val="24"/>
              <w:szCs w:val="24"/>
            </w:rPr>
            <w:fldChar w:fldCharType="separate"/>
          </w:r>
          <w:r>
            <w:rPr>
              <w:rFonts w:ascii="仿宋" w:hAnsi="仿宋" w:eastAsia="仿宋"/>
              <w:b w:val="0"/>
              <w:sz w:val="24"/>
              <w:szCs w:val="24"/>
            </w:rPr>
            <w:t>14</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"_Toc72941054" </w:instrText>
          </w:r>
          <w:r>
            <w:fldChar w:fldCharType="separate"/>
          </w:r>
          <w:r>
            <w:rPr>
              <w:rStyle w:val="46"/>
              <w:rFonts w:ascii="仿宋" w:hAnsi="仿宋" w:eastAsia="仿宋" w:cs="华文中宋"/>
              <w:b w:val="0"/>
              <w:sz w:val="24"/>
              <w:szCs w:val="24"/>
            </w:rPr>
            <w:t>八、询价</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_Toc72941054 \h </w:instrText>
          </w:r>
          <w:r>
            <w:rPr>
              <w:rFonts w:ascii="仿宋" w:hAnsi="仿宋" w:eastAsia="仿宋"/>
              <w:b w:val="0"/>
              <w:sz w:val="24"/>
              <w:szCs w:val="24"/>
            </w:rPr>
            <w:fldChar w:fldCharType="separate"/>
          </w:r>
          <w:r>
            <w:rPr>
              <w:rFonts w:ascii="仿宋" w:hAnsi="仿宋" w:eastAsia="仿宋"/>
              <w:b w:val="0"/>
              <w:sz w:val="24"/>
              <w:szCs w:val="24"/>
            </w:rPr>
            <w:t>14</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"_Toc72941055" </w:instrText>
          </w:r>
          <w:r>
            <w:fldChar w:fldCharType="separate"/>
          </w:r>
          <w:r>
            <w:rPr>
              <w:rStyle w:val="46"/>
              <w:rFonts w:ascii="仿宋" w:hAnsi="仿宋" w:eastAsia="仿宋" w:cs="华文中宋"/>
              <w:b w:val="0"/>
              <w:sz w:val="24"/>
              <w:szCs w:val="24"/>
            </w:rPr>
            <w:t>九、授予合同</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_Toc72941055 \h </w:instrText>
          </w:r>
          <w:r>
            <w:rPr>
              <w:rFonts w:ascii="仿宋" w:hAnsi="仿宋" w:eastAsia="仿宋"/>
              <w:b w:val="0"/>
              <w:sz w:val="24"/>
              <w:szCs w:val="24"/>
            </w:rPr>
            <w:fldChar w:fldCharType="separate"/>
          </w:r>
          <w:r>
            <w:rPr>
              <w:rFonts w:ascii="仿宋" w:hAnsi="仿宋" w:eastAsia="仿宋"/>
              <w:b w:val="0"/>
              <w:sz w:val="24"/>
              <w:szCs w:val="24"/>
            </w:rPr>
            <w:t>15</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"_Toc72941056" </w:instrText>
          </w:r>
          <w:r>
            <w:fldChar w:fldCharType="separate"/>
          </w:r>
          <w:r>
            <w:rPr>
              <w:rStyle w:val="46"/>
              <w:rFonts w:ascii="仿宋" w:hAnsi="仿宋" w:eastAsia="仿宋" w:cs="华文中宋"/>
              <w:b w:val="0"/>
              <w:sz w:val="24"/>
              <w:szCs w:val="24"/>
            </w:rPr>
            <w:t>十、法律责任</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_Toc72941056 \h </w:instrText>
          </w:r>
          <w:r>
            <w:rPr>
              <w:rFonts w:ascii="仿宋" w:hAnsi="仿宋" w:eastAsia="仿宋"/>
              <w:b w:val="0"/>
              <w:sz w:val="24"/>
              <w:szCs w:val="24"/>
            </w:rPr>
            <w:fldChar w:fldCharType="separate"/>
          </w:r>
          <w:r>
            <w:rPr>
              <w:rFonts w:ascii="仿宋" w:hAnsi="仿宋" w:eastAsia="仿宋"/>
              <w:b w:val="0"/>
              <w:sz w:val="24"/>
              <w:szCs w:val="24"/>
            </w:rPr>
            <w:t>16</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spacing w:line="360" w:lineRule="auto"/>
            <w:rPr>
              <w:rFonts w:ascii="仿宋" w:hAnsi="仿宋" w:eastAsia="仿宋" w:cstheme="minorBidi"/>
              <w:b w:val="0"/>
              <w:bCs w:val="0"/>
              <w:sz w:val="24"/>
              <w:szCs w:val="24"/>
            </w:rPr>
          </w:pPr>
          <w:r>
            <w:fldChar w:fldCharType="begin"/>
          </w:r>
          <w:r>
            <w:instrText xml:space="preserve"> HYPERLINK \l "_Toc72941057" </w:instrText>
          </w:r>
          <w:r>
            <w:fldChar w:fldCharType="separate"/>
          </w:r>
          <w:r>
            <w:rPr>
              <w:rStyle w:val="46"/>
              <w:rFonts w:ascii="仿宋" w:hAnsi="仿宋" w:eastAsia="仿宋" w:cs="华文中宋"/>
              <w:b w:val="0"/>
              <w:sz w:val="24"/>
              <w:szCs w:val="24"/>
            </w:rPr>
            <w:t>十一、其他</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_Toc72941057 \h </w:instrText>
          </w:r>
          <w:r>
            <w:rPr>
              <w:rFonts w:ascii="仿宋" w:hAnsi="仿宋" w:eastAsia="仿宋"/>
              <w:b w:val="0"/>
              <w:sz w:val="24"/>
              <w:szCs w:val="24"/>
            </w:rPr>
            <w:fldChar w:fldCharType="separate"/>
          </w:r>
          <w:r>
            <w:rPr>
              <w:rFonts w:ascii="仿宋" w:hAnsi="仿宋" w:eastAsia="仿宋"/>
              <w:b w:val="0"/>
              <w:sz w:val="24"/>
              <w:szCs w:val="24"/>
            </w:rPr>
            <w:t>16</w:t>
          </w:r>
          <w:r>
            <w:rPr>
              <w:rFonts w:ascii="仿宋" w:hAnsi="仿宋" w:eastAsia="仿宋"/>
              <w:b w:val="0"/>
              <w:sz w:val="24"/>
              <w:szCs w:val="24"/>
            </w:rPr>
            <w:fldChar w:fldCharType="end"/>
          </w:r>
          <w:r>
            <w:rPr>
              <w:rFonts w:ascii="仿宋" w:hAnsi="仿宋" w:eastAsia="仿宋"/>
              <w:b w:val="0"/>
              <w:sz w:val="24"/>
              <w:szCs w:val="24"/>
            </w:rPr>
            <w:fldChar w:fldCharType="end"/>
          </w:r>
        </w:p>
        <w:p>
          <w:pPr>
            <w:pStyle w:val="30"/>
            <w:tabs>
              <w:tab w:val="right" w:leader="dot" w:pos="9509"/>
            </w:tabs>
            <w:spacing w:line="360" w:lineRule="auto"/>
            <w:ind w:left="210" w:right="210"/>
            <w:rPr>
              <w:rFonts w:ascii="仿宋" w:hAnsi="仿宋" w:eastAsia="仿宋" w:cstheme="minorBidi"/>
              <w:b w:val="0"/>
              <w:sz w:val="24"/>
            </w:rPr>
          </w:pPr>
          <w:r>
            <w:fldChar w:fldCharType="begin"/>
          </w:r>
          <w:r>
            <w:instrText xml:space="preserve"> HYPERLINK \l "_Toc72941058" </w:instrText>
          </w:r>
          <w:r>
            <w:fldChar w:fldCharType="separate"/>
          </w:r>
          <w:r>
            <w:rPr>
              <w:rStyle w:val="46"/>
              <w:rFonts w:ascii="仿宋" w:hAnsi="仿宋" w:eastAsia="仿宋"/>
              <w:b w:val="0"/>
              <w:sz w:val="24"/>
            </w:rPr>
            <w:t>第三章 采购内容及要求</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_Toc72941058 \h </w:instrText>
          </w:r>
          <w:r>
            <w:rPr>
              <w:rFonts w:ascii="仿宋" w:hAnsi="仿宋" w:eastAsia="仿宋"/>
              <w:b w:val="0"/>
              <w:sz w:val="24"/>
            </w:rPr>
            <w:fldChar w:fldCharType="separate"/>
          </w:r>
          <w:r>
            <w:rPr>
              <w:rFonts w:ascii="仿宋" w:hAnsi="仿宋" w:eastAsia="仿宋"/>
              <w:b w:val="0"/>
              <w:sz w:val="24"/>
            </w:rPr>
            <w:t>17</w:t>
          </w:r>
          <w:r>
            <w:rPr>
              <w:rFonts w:ascii="仿宋" w:hAnsi="仿宋" w:eastAsia="仿宋"/>
              <w:b w:val="0"/>
              <w:sz w:val="24"/>
            </w:rPr>
            <w:fldChar w:fldCharType="end"/>
          </w:r>
          <w:r>
            <w:rPr>
              <w:rFonts w:ascii="仿宋" w:hAnsi="仿宋" w:eastAsia="仿宋"/>
              <w:b w:val="0"/>
              <w:sz w:val="24"/>
            </w:rPr>
            <w:fldChar w:fldCharType="end"/>
          </w:r>
        </w:p>
        <w:p>
          <w:pPr>
            <w:pStyle w:val="30"/>
            <w:tabs>
              <w:tab w:val="right" w:leader="dot" w:pos="9509"/>
            </w:tabs>
            <w:spacing w:line="360" w:lineRule="auto"/>
            <w:ind w:left="210" w:right="210"/>
            <w:rPr>
              <w:rFonts w:ascii="仿宋" w:hAnsi="仿宋" w:eastAsia="仿宋" w:cstheme="minorBidi"/>
              <w:b w:val="0"/>
              <w:sz w:val="24"/>
            </w:rPr>
          </w:pPr>
          <w:r>
            <w:fldChar w:fldCharType="begin"/>
          </w:r>
          <w:r>
            <w:instrText xml:space="preserve"> HYPERLINK \l "_Toc72941059" </w:instrText>
          </w:r>
          <w:r>
            <w:fldChar w:fldCharType="separate"/>
          </w:r>
          <w:r>
            <w:rPr>
              <w:rStyle w:val="46"/>
              <w:rFonts w:ascii="仿宋" w:hAnsi="仿宋" w:eastAsia="仿宋"/>
              <w:b w:val="0"/>
              <w:sz w:val="24"/>
            </w:rPr>
            <w:t>采购需求</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_Toc72941059 \h </w:instrText>
          </w:r>
          <w:r>
            <w:rPr>
              <w:rFonts w:ascii="仿宋" w:hAnsi="仿宋" w:eastAsia="仿宋"/>
              <w:b w:val="0"/>
              <w:sz w:val="24"/>
            </w:rPr>
            <w:fldChar w:fldCharType="separate"/>
          </w:r>
          <w:r>
            <w:rPr>
              <w:rFonts w:ascii="仿宋" w:hAnsi="仿宋" w:eastAsia="仿宋"/>
              <w:b w:val="0"/>
              <w:sz w:val="24"/>
            </w:rPr>
            <w:t>17</w:t>
          </w:r>
          <w:r>
            <w:rPr>
              <w:rFonts w:ascii="仿宋" w:hAnsi="仿宋" w:eastAsia="仿宋"/>
              <w:b w:val="0"/>
              <w:sz w:val="24"/>
            </w:rPr>
            <w:fldChar w:fldCharType="end"/>
          </w:r>
          <w:r>
            <w:rPr>
              <w:rFonts w:ascii="仿宋" w:hAnsi="仿宋" w:eastAsia="仿宋"/>
              <w:b w:val="0"/>
              <w:sz w:val="24"/>
            </w:rPr>
            <w:fldChar w:fldCharType="end"/>
          </w:r>
        </w:p>
        <w:p>
          <w:pPr>
            <w:pStyle w:val="30"/>
            <w:tabs>
              <w:tab w:val="right" w:leader="dot" w:pos="9509"/>
            </w:tabs>
            <w:spacing w:line="360" w:lineRule="auto"/>
            <w:ind w:left="210" w:right="210"/>
            <w:rPr>
              <w:rFonts w:ascii="仿宋" w:hAnsi="仿宋" w:eastAsia="仿宋" w:cstheme="minorBidi"/>
              <w:b w:val="0"/>
              <w:sz w:val="24"/>
            </w:rPr>
          </w:pPr>
          <w:r>
            <w:fldChar w:fldCharType="begin"/>
          </w:r>
          <w:r>
            <w:instrText xml:space="preserve"> HYPERLINK \l "_Toc72941060" </w:instrText>
          </w:r>
          <w:r>
            <w:fldChar w:fldCharType="separate"/>
          </w:r>
          <w:r>
            <w:rPr>
              <w:rStyle w:val="46"/>
              <w:rFonts w:ascii="仿宋" w:hAnsi="仿宋" w:eastAsia="仿宋"/>
              <w:b w:val="0"/>
              <w:sz w:val="24"/>
            </w:rPr>
            <w:t>技术规范及要求</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_Toc72941060 \h </w:instrText>
          </w:r>
          <w:r>
            <w:rPr>
              <w:rFonts w:ascii="仿宋" w:hAnsi="仿宋" w:eastAsia="仿宋"/>
              <w:b w:val="0"/>
              <w:sz w:val="24"/>
            </w:rPr>
            <w:fldChar w:fldCharType="separate"/>
          </w:r>
          <w:r>
            <w:rPr>
              <w:rFonts w:ascii="仿宋" w:hAnsi="仿宋" w:eastAsia="仿宋"/>
              <w:b w:val="0"/>
              <w:sz w:val="24"/>
            </w:rPr>
            <w:t>19</w:t>
          </w:r>
          <w:r>
            <w:rPr>
              <w:rFonts w:ascii="仿宋" w:hAnsi="仿宋" w:eastAsia="仿宋"/>
              <w:b w:val="0"/>
              <w:sz w:val="24"/>
            </w:rPr>
            <w:fldChar w:fldCharType="end"/>
          </w:r>
          <w:r>
            <w:rPr>
              <w:rFonts w:ascii="仿宋" w:hAnsi="仿宋" w:eastAsia="仿宋"/>
              <w:b w:val="0"/>
              <w:sz w:val="24"/>
            </w:rPr>
            <w:fldChar w:fldCharType="end"/>
          </w:r>
        </w:p>
        <w:p>
          <w:pPr>
            <w:pStyle w:val="22"/>
            <w:tabs>
              <w:tab w:val="left" w:pos="1470"/>
            </w:tabs>
            <w:spacing w:line="360" w:lineRule="auto"/>
            <w:rPr>
              <w:rFonts w:ascii="仿宋" w:hAnsi="仿宋" w:eastAsia="仿宋" w:cstheme="minorBidi"/>
              <w:b w:val="0"/>
              <w:bCs w:val="0"/>
              <w:sz w:val="24"/>
              <w:szCs w:val="24"/>
            </w:rPr>
          </w:pPr>
          <w:r>
            <w:fldChar w:fldCharType="begin"/>
          </w:r>
          <w:r>
            <w:instrText xml:space="preserve"> HYPERLINK \l "_Toc72941061" </w:instrText>
          </w:r>
          <w:r>
            <w:fldChar w:fldCharType="separate"/>
          </w:r>
          <w:r>
            <w:rPr>
              <w:rStyle w:val="46"/>
              <w:rFonts w:ascii="仿宋" w:hAnsi="仿宋" w:eastAsia="仿宋"/>
              <w:b w:val="0"/>
              <w:sz w:val="24"/>
              <w:szCs w:val="24"/>
            </w:rPr>
            <w:t>1.1</w:t>
          </w:r>
          <w:r>
            <w:rPr>
              <w:rFonts w:ascii="仿宋" w:hAnsi="仿宋" w:eastAsia="仿宋" w:cstheme="minorBidi"/>
              <w:b w:val="0"/>
              <w:bCs w:val="0"/>
              <w:sz w:val="24"/>
              <w:szCs w:val="24"/>
            </w:rPr>
            <w:tab/>
          </w:r>
          <w:r>
            <w:rPr>
              <w:rStyle w:val="46"/>
              <w:rFonts w:ascii="仿宋" w:hAnsi="仿宋" w:eastAsia="仿宋"/>
              <w:b w:val="0"/>
              <w:sz w:val="24"/>
              <w:szCs w:val="24"/>
            </w:rPr>
            <w:t>机顶盒通用要求</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_Toc72941061 \h </w:instrText>
          </w:r>
          <w:r>
            <w:rPr>
              <w:rFonts w:ascii="仿宋" w:hAnsi="仿宋" w:eastAsia="仿宋"/>
              <w:b w:val="0"/>
              <w:sz w:val="24"/>
              <w:szCs w:val="24"/>
            </w:rPr>
            <w:fldChar w:fldCharType="separate"/>
          </w:r>
          <w:r>
            <w:rPr>
              <w:rFonts w:ascii="仿宋" w:hAnsi="仿宋" w:eastAsia="仿宋"/>
              <w:b w:val="0"/>
              <w:sz w:val="24"/>
              <w:szCs w:val="24"/>
            </w:rPr>
            <w:t>19</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tabs>
              <w:tab w:val="left" w:pos="1470"/>
            </w:tabs>
            <w:spacing w:line="360" w:lineRule="auto"/>
            <w:rPr>
              <w:rFonts w:ascii="仿宋" w:hAnsi="仿宋" w:eastAsia="仿宋" w:cstheme="minorBidi"/>
              <w:b w:val="0"/>
              <w:bCs w:val="0"/>
              <w:sz w:val="24"/>
              <w:szCs w:val="24"/>
            </w:rPr>
          </w:pPr>
          <w:r>
            <w:fldChar w:fldCharType="begin"/>
          </w:r>
          <w:r>
            <w:instrText xml:space="preserve"> HYPERLINK \l "_Toc72941062" </w:instrText>
          </w:r>
          <w:r>
            <w:fldChar w:fldCharType="separate"/>
          </w:r>
          <w:r>
            <w:rPr>
              <w:rStyle w:val="46"/>
              <w:rFonts w:ascii="仿宋" w:hAnsi="仿宋" w:eastAsia="仿宋"/>
              <w:b w:val="0"/>
              <w:sz w:val="24"/>
              <w:szCs w:val="24"/>
            </w:rPr>
            <w:t>1.2</w:t>
          </w:r>
          <w:r>
            <w:rPr>
              <w:rFonts w:ascii="仿宋" w:hAnsi="仿宋" w:eastAsia="仿宋" w:cstheme="minorBidi"/>
              <w:b w:val="0"/>
              <w:bCs w:val="0"/>
              <w:sz w:val="24"/>
              <w:szCs w:val="24"/>
            </w:rPr>
            <w:tab/>
          </w:r>
          <w:r>
            <w:rPr>
              <w:rStyle w:val="46"/>
              <w:rFonts w:ascii="仿宋" w:hAnsi="仿宋" w:eastAsia="仿宋"/>
              <w:b w:val="0"/>
              <w:sz w:val="24"/>
              <w:szCs w:val="24"/>
            </w:rPr>
            <w:t>高清交互型个人版机顶盒</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_Toc72941062 \h </w:instrText>
          </w:r>
          <w:r>
            <w:rPr>
              <w:rFonts w:ascii="仿宋" w:hAnsi="仿宋" w:eastAsia="仿宋"/>
              <w:b w:val="0"/>
              <w:sz w:val="24"/>
              <w:szCs w:val="24"/>
            </w:rPr>
            <w:fldChar w:fldCharType="separate"/>
          </w:r>
          <w:r>
            <w:rPr>
              <w:rFonts w:ascii="仿宋" w:hAnsi="仿宋" w:eastAsia="仿宋"/>
              <w:b w:val="0"/>
              <w:sz w:val="24"/>
              <w:szCs w:val="24"/>
            </w:rPr>
            <w:t>20</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tabs>
              <w:tab w:val="left" w:pos="1470"/>
            </w:tabs>
            <w:spacing w:line="360" w:lineRule="auto"/>
            <w:rPr>
              <w:rFonts w:ascii="仿宋" w:hAnsi="仿宋" w:eastAsia="仿宋" w:cstheme="minorBidi"/>
              <w:b w:val="0"/>
              <w:bCs w:val="0"/>
              <w:sz w:val="24"/>
              <w:szCs w:val="24"/>
            </w:rPr>
          </w:pPr>
          <w:r>
            <w:fldChar w:fldCharType="begin"/>
          </w:r>
          <w:r>
            <w:instrText xml:space="preserve"> HYPERLINK \l "_Toc72941063" </w:instrText>
          </w:r>
          <w:r>
            <w:fldChar w:fldCharType="separate"/>
          </w:r>
          <w:r>
            <w:rPr>
              <w:rStyle w:val="46"/>
              <w:rFonts w:ascii="仿宋" w:hAnsi="仿宋" w:eastAsia="仿宋"/>
              <w:b w:val="0"/>
              <w:sz w:val="24"/>
              <w:szCs w:val="24"/>
            </w:rPr>
            <w:t>1.3</w:t>
          </w:r>
          <w:r>
            <w:rPr>
              <w:rFonts w:ascii="仿宋" w:hAnsi="仿宋" w:eastAsia="仿宋" w:cstheme="minorBidi"/>
              <w:b w:val="0"/>
              <w:bCs w:val="0"/>
              <w:sz w:val="24"/>
              <w:szCs w:val="24"/>
            </w:rPr>
            <w:tab/>
          </w:r>
          <w:r>
            <w:rPr>
              <w:rStyle w:val="46"/>
              <w:rFonts w:ascii="仿宋" w:hAnsi="仿宋" w:eastAsia="仿宋"/>
              <w:b w:val="0"/>
              <w:sz w:val="24"/>
              <w:szCs w:val="24"/>
            </w:rPr>
            <w:t>高清交互型宾馆版机顶盒</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_Toc72941063 \h </w:instrText>
          </w:r>
          <w:r>
            <w:rPr>
              <w:rFonts w:ascii="仿宋" w:hAnsi="仿宋" w:eastAsia="仿宋"/>
              <w:b w:val="0"/>
              <w:sz w:val="24"/>
              <w:szCs w:val="24"/>
            </w:rPr>
            <w:fldChar w:fldCharType="separate"/>
          </w:r>
          <w:r>
            <w:rPr>
              <w:rFonts w:ascii="仿宋" w:hAnsi="仿宋" w:eastAsia="仿宋"/>
              <w:b w:val="0"/>
              <w:sz w:val="24"/>
              <w:szCs w:val="24"/>
            </w:rPr>
            <w:t>28</w:t>
          </w:r>
          <w:r>
            <w:rPr>
              <w:rFonts w:ascii="仿宋" w:hAnsi="仿宋" w:eastAsia="仿宋"/>
              <w:b w:val="0"/>
              <w:sz w:val="24"/>
              <w:szCs w:val="24"/>
            </w:rPr>
            <w:fldChar w:fldCharType="end"/>
          </w:r>
          <w:r>
            <w:rPr>
              <w:rFonts w:ascii="仿宋" w:hAnsi="仿宋" w:eastAsia="仿宋"/>
              <w:b w:val="0"/>
              <w:sz w:val="24"/>
              <w:szCs w:val="24"/>
            </w:rPr>
            <w:fldChar w:fldCharType="end"/>
          </w:r>
        </w:p>
        <w:p>
          <w:pPr>
            <w:pStyle w:val="22"/>
            <w:tabs>
              <w:tab w:val="left" w:pos="1470"/>
            </w:tabs>
            <w:spacing w:line="360" w:lineRule="auto"/>
            <w:rPr>
              <w:rFonts w:ascii="仿宋" w:hAnsi="仿宋" w:eastAsia="仿宋" w:cstheme="minorBidi"/>
              <w:b w:val="0"/>
              <w:bCs w:val="0"/>
              <w:sz w:val="24"/>
              <w:szCs w:val="24"/>
            </w:rPr>
          </w:pPr>
          <w:r>
            <w:fldChar w:fldCharType="begin"/>
          </w:r>
          <w:r>
            <w:instrText xml:space="preserve"> HYPERLINK \l "_Toc72941064" </w:instrText>
          </w:r>
          <w:r>
            <w:fldChar w:fldCharType="separate"/>
          </w:r>
          <w:r>
            <w:rPr>
              <w:rStyle w:val="46"/>
              <w:rFonts w:ascii="仿宋" w:hAnsi="仿宋" w:eastAsia="仿宋"/>
              <w:b w:val="0"/>
              <w:sz w:val="24"/>
              <w:szCs w:val="24"/>
            </w:rPr>
            <w:t>1.4</w:t>
          </w:r>
          <w:r>
            <w:rPr>
              <w:rFonts w:ascii="仿宋" w:hAnsi="仿宋" w:eastAsia="仿宋" w:cstheme="minorBidi"/>
              <w:b w:val="0"/>
              <w:bCs w:val="0"/>
              <w:sz w:val="24"/>
              <w:szCs w:val="24"/>
            </w:rPr>
            <w:tab/>
          </w:r>
          <w:r>
            <w:rPr>
              <w:rStyle w:val="46"/>
              <w:rFonts w:ascii="仿宋" w:hAnsi="仿宋" w:eastAsia="仿宋"/>
              <w:b w:val="0"/>
              <w:sz w:val="24"/>
              <w:szCs w:val="24"/>
            </w:rPr>
            <w:t>机顶盒内置AP模块的要求</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_Toc72941064 \h </w:instrText>
          </w:r>
          <w:r>
            <w:rPr>
              <w:rFonts w:ascii="仿宋" w:hAnsi="仿宋" w:eastAsia="仿宋"/>
              <w:b w:val="0"/>
              <w:sz w:val="24"/>
              <w:szCs w:val="24"/>
            </w:rPr>
            <w:fldChar w:fldCharType="separate"/>
          </w:r>
          <w:r>
            <w:rPr>
              <w:rFonts w:ascii="仿宋" w:hAnsi="仿宋" w:eastAsia="仿宋"/>
              <w:b w:val="0"/>
              <w:sz w:val="24"/>
              <w:szCs w:val="24"/>
            </w:rPr>
            <w:t>33</w:t>
          </w:r>
          <w:r>
            <w:rPr>
              <w:rFonts w:ascii="仿宋" w:hAnsi="仿宋" w:eastAsia="仿宋"/>
              <w:b w:val="0"/>
              <w:sz w:val="24"/>
              <w:szCs w:val="24"/>
            </w:rPr>
            <w:fldChar w:fldCharType="end"/>
          </w:r>
          <w:r>
            <w:rPr>
              <w:rFonts w:ascii="仿宋" w:hAnsi="仿宋" w:eastAsia="仿宋"/>
              <w:b w:val="0"/>
              <w:sz w:val="24"/>
              <w:szCs w:val="24"/>
            </w:rPr>
            <w:fldChar w:fldCharType="end"/>
          </w:r>
        </w:p>
        <w:p>
          <w:pPr>
            <w:pStyle w:val="30"/>
            <w:tabs>
              <w:tab w:val="right" w:leader="dot" w:pos="9509"/>
            </w:tabs>
            <w:spacing w:line="360" w:lineRule="auto"/>
            <w:ind w:left="210" w:right="210"/>
            <w:rPr>
              <w:rFonts w:ascii="仿宋" w:hAnsi="仿宋" w:eastAsia="仿宋" w:cstheme="minorBidi"/>
              <w:b w:val="0"/>
              <w:sz w:val="24"/>
            </w:rPr>
          </w:pPr>
          <w:r>
            <w:fldChar w:fldCharType="begin"/>
          </w:r>
          <w:r>
            <w:instrText xml:space="preserve"> HYPERLINK \l "_Toc72941065" </w:instrText>
          </w:r>
          <w:r>
            <w:fldChar w:fldCharType="separate"/>
          </w:r>
          <w:r>
            <w:rPr>
              <w:rStyle w:val="46"/>
              <w:rFonts w:ascii="仿宋" w:hAnsi="仿宋" w:eastAsia="仿宋"/>
              <w:b w:val="0"/>
              <w:sz w:val="24"/>
            </w:rPr>
            <w:t>第四章 合同主要条款</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_Toc72941065 \h </w:instrText>
          </w:r>
          <w:r>
            <w:rPr>
              <w:rFonts w:ascii="仿宋" w:hAnsi="仿宋" w:eastAsia="仿宋"/>
              <w:b w:val="0"/>
              <w:sz w:val="24"/>
            </w:rPr>
            <w:fldChar w:fldCharType="separate"/>
          </w:r>
          <w:r>
            <w:rPr>
              <w:rFonts w:ascii="仿宋" w:hAnsi="仿宋" w:eastAsia="仿宋"/>
              <w:b w:val="0"/>
              <w:sz w:val="24"/>
            </w:rPr>
            <w:t>37</w:t>
          </w:r>
          <w:r>
            <w:rPr>
              <w:rFonts w:ascii="仿宋" w:hAnsi="仿宋" w:eastAsia="仿宋"/>
              <w:b w:val="0"/>
              <w:sz w:val="24"/>
            </w:rPr>
            <w:fldChar w:fldCharType="end"/>
          </w:r>
          <w:r>
            <w:rPr>
              <w:rFonts w:ascii="仿宋" w:hAnsi="仿宋" w:eastAsia="仿宋"/>
              <w:b w:val="0"/>
              <w:sz w:val="24"/>
            </w:rPr>
            <w:fldChar w:fldCharType="end"/>
          </w:r>
        </w:p>
        <w:p>
          <w:pPr>
            <w:pStyle w:val="30"/>
            <w:tabs>
              <w:tab w:val="right" w:leader="dot" w:pos="9509"/>
            </w:tabs>
            <w:spacing w:line="360" w:lineRule="auto"/>
            <w:ind w:left="210" w:right="210"/>
            <w:rPr>
              <w:rFonts w:ascii="仿宋" w:hAnsi="仿宋" w:eastAsia="仿宋" w:cstheme="minorBidi"/>
              <w:b w:val="0"/>
              <w:sz w:val="21"/>
              <w:szCs w:val="22"/>
            </w:rPr>
          </w:pPr>
          <w:r>
            <w:fldChar w:fldCharType="begin"/>
          </w:r>
          <w:r>
            <w:instrText xml:space="preserve"> HYPERLINK \l "_Toc72941066" </w:instrText>
          </w:r>
          <w:r>
            <w:fldChar w:fldCharType="separate"/>
          </w:r>
          <w:r>
            <w:rPr>
              <w:rStyle w:val="46"/>
              <w:rFonts w:ascii="仿宋" w:hAnsi="仿宋" w:eastAsia="仿宋"/>
              <w:b w:val="0"/>
              <w:sz w:val="24"/>
            </w:rPr>
            <w:t>第五章 应提交的有关格式范例</w:t>
          </w:r>
          <w:r>
            <w:rPr>
              <w:rFonts w:ascii="仿宋" w:hAnsi="仿宋" w:eastAsia="仿宋"/>
              <w:b w:val="0"/>
              <w:sz w:val="24"/>
            </w:rPr>
            <w:tab/>
          </w:r>
          <w:r>
            <w:rPr>
              <w:rFonts w:ascii="仿宋" w:hAnsi="仿宋" w:eastAsia="仿宋"/>
              <w:b w:val="0"/>
              <w:sz w:val="24"/>
            </w:rPr>
            <w:fldChar w:fldCharType="begin"/>
          </w:r>
          <w:r>
            <w:rPr>
              <w:rFonts w:ascii="仿宋" w:hAnsi="仿宋" w:eastAsia="仿宋"/>
              <w:b w:val="0"/>
              <w:sz w:val="24"/>
            </w:rPr>
            <w:instrText xml:space="preserve"> PAGEREF _Toc72941066 \h </w:instrText>
          </w:r>
          <w:r>
            <w:rPr>
              <w:rFonts w:ascii="仿宋" w:hAnsi="仿宋" w:eastAsia="仿宋"/>
              <w:b w:val="0"/>
              <w:sz w:val="24"/>
            </w:rPr>
            <w:fldChar w:fldCharType="separate"/>
          </w:r>
          <w:r>
            <w:rPr>
              <w:rFonts w:ascii="仿宋" w:hAnsi="仿宋" w:eastAsia="仿宋"/>
              <w:b w:val="0"/>
              <w:sz w:val="24"/>
            </w:rPr>
            <w:t>42</w:t>
          </w:r>
          <w:r>
            <w:rPr>
              <w:rFonts w:ascii="仿宋" w:hAnsi="仿宋" w:eastAsia="仿宋"/>
              <w:b w:val="0"/>
              <w:sz w:val="24"/>
            </w:rPr>
            <w:fldChar w:fldCharType="end"/>
          </w:r>
          <w:r>
            <w:rPr>
              <w:rFonts w:ascii="仿宋" w:hAnsi="仿宋" w:eastAsia="仿宋"/>
              <w:b w:val="0"/>
              <w:sz w:val="24"/>
            </w:rPr>
            <w:fldChar w:fldCharType="end"/>
          </w:r>
        </w:p>
        <w:p>
          <w:pPr>
            <w:spacing w:line="360" w:lineRule="auto"/>
            <w:rPr>
              <w:rFonts w:ascii="仿宋" w:hAnsi="仿宋" w:eastAsia="仿宋"/>
              <w:sz w:val="24"/>
            </w:rPr>
          </w:pPr>
          <w:r>
            <w:rPr>
              <w:rFonts w:ascii="仿宋" w:hAnsi="仿宋" w:eastAsia="仿宋"/>
              <w:sz w:val="24"/>
            </w:rPr>
            <w:fldChar w:fldCharType="end"/>
          </w:r>
        </w:p>
      </w:sdtContent>
    </w:sdt>
    <w:p>
      <w:pPr>
        <w:tabs>
          <w:tab w:val="left" w:pos="1035"/>
        </w:tabs>
        <w:snapToGrid w:val="0"/>
        <w:spacing w:line="800" w:lineRule="exact"/>
        <w:ind w:firstLine="1920" w:firstLineChars="600"/>
        <w:rPr>
          <w:rFonts w:ascii="仿宋" w:hAnsi="仿宋" w:eastAsia="仿宋" w:cs="仿宋_GB2312"/>
          <w:sz w:val="32"/>
        </w:rPr>
      </w:pPr>
    </w:p>
    <w:p>
      <w:pPr>
        <w:pStyle w:val="35"/>
        <w:rPr>
          <w:rFonts w:ascii="仿宋" w:hAnsi="仿宋" w:eastAsia="仿宋"/>
        </w:rPr>
      </w:pPr>
      <w:bookmarkStart w:id="0" w:name="_Toc72941045"/>
      <w:bookmarkStart w:id="1" w:name="_Toc363725309"/>
      <w:bookmarkStart w:id="2" w:name="_Toc361434456"/>
      <w:bookmarkStart w:id="3" w:name="_Toc361437141"/>
      <w:bookmarkStart w:id="4" w:name="_Toc361434555"/>
      <w:bookmarkStart w:id="5" w:name="_Toc272368140"/>
      <w:bookmarkStart w:id="6" w:name="_Toc361434891"/>
      <w:bookmarkStart w:id="7" w:name="_Toc361434795"/>
      <w:r>
        <w:rPr>
          <w:rFonts w:hint="eastAsia" w:ascii="仿宋" w:hAnsi="仿宋" w:eastAsia="仿宋"/>
        </w:rPr>
        <w:t>第一章  询价公告</w:t>
      </w:r>
      <w:bookmarkEnd w:id="0"/>
    </w:p>
    <w:p>
      <w:pPr>
        <w:snapToGrid w:val="0"/>
        <w:spacing w:line="440" w:lineRule="exact"/>
        <w:ind w:firstLine="480" w:firstLineChars="200"/>
        <w:rPr>
          <w:rFonts w:ascii="仿宋" w:hAnsi="仿宋" w:eastAsia="仿宋"/>
          <w:sz w:val="24"/>
        </w:rPr>
      </w:pPr>
      <w:r>
        <w:rPr>
          <w:rFonts w:hint="eastAsia" w:ascii="仿宋" w:hAnsi="仿宋" w:eastAsia="仿宋"/>
          <w:sz w:val="24"/>
        </w:rPr>
        <w:t>根据《中华人民共和国政府采购法》及政府采购管理有关规定，并经龙游县财政局采购监管科核准的采购计划和采购方式，</w:t>
      </w:r>
      <w:r>
        <w:rPr>
          <w:rFonts w:hint="eastAsia" w:ascii="仿宋" w:hAnsi="仿宋" w:eastAsia="仿宋"/>
          <w:sz w:val="24"/>
          <w:u w:val="single"/>
        </w:rPr>
        <w:t>浙江浩睿招标代理有限公司</w:t>
      </w:r>
      <w:r>
        <w:rPr>
          <w:rFonts w:hint="eastAsia" w:ascii="仿宋" w:hAnsi="仿宋" w:eastAsia="仿宋"/>
          <w:sz w:val="24"/>
        </w:rPr>
        <w:t>受</w:t>
      </w:r>
      <w:r>
        <w:rPr>
          <w:rFonts w:hint="eastAsia" w:ascii="仿宋" w:hAnsi="仿宋" w:eastAsia="仿宋"/>
          <w:sz w:val="24"/>
          <w:u w:val="single"/>
        </w:rPr>
        <w:t>龙游传媒集团（龙游县广播电视总台）</w:t>
      </w:r>
      <w:r>
        <w:rPr>
          <w:rFonts w:hint="eastAsia" w:ascii="仿宋" w:hAnsi="仿宋" w:eastAsia="仿宋"/>
          <w:sz w:val="24"/>
        </w:rPr>
        <w:t>委托，就</w:t>
      </w:r>
      <w:r>
        <w:rPr>
          <w:rFonts w:hint="eastAsia" w:ascii="仿宋" w:hAnsi="仿宋" w:eastAsia="仿宋"/>
          <w:sz w:val="24"/>
          <w:u w:val="single"/>
        </w:rPr>
        <w:t>龙游传媒集团（龙游县广播电视总台）机顶盒采购项目</w:t>
      </w:r>
      <w:r>
        <w:rPr>
          <w:rFonts w:hint="eastAsia" w:ascii="仿宋" w:hAnsi="仿宋" w:eastAsia="仿宋"/>
          <w:sz w:val="24"/>
        </w:rPr>
        <w:t>进行询价采购，</w:t>
      </w:r>
      <w:r>
        <w:rPr>
          <w:rFonts w:hint="eastAsia" w:ascii="仿宋" w:hAnsi="仿宋" w:eastAsia="仿宋" w:cs="仿宋_GB2312"/>
          <w:spacing w:val="-1"/>
          <w:sz w:val="24"/>
        </w:rPr>
        <w:t>欢迎有意向的供应商参加本次采</w:t>
      </w:r>
      <w:r>
        <w:rPr>
          <w:rFonts w:hint="eastAsia" w:ascii="仿宋" w:hAnsi="仿宋" w:eastAsia="仿宋" w:cs="仿宋_GB2312"/>
          <w:sz w:val="24"/>
        </w:rPr>
        <w:t>购活动。</w:t>
      </w:r>
    </w:p>
    <w:p>
      <w:pPr>
        <w:spacing w:line="440" w:lineRule="exact"/>
        <w:rPr>
          <w:rFonts w:ascii="仿宋" w:hAnsi="仿宋" w:eastAsia="仿宋" w:cs="微软雅黑"/>
          <w:sz w:val="24"/>
        </w:rPr>
      </w:pPr>
      <w:r>
        <w:rPr>
          <w:rFonts w:hint="eastAsia" w:ascii="仿宋" w:hAnsi="仿宋" w:eastAsia="仿宋" w:cs="微软雅黑"/>
          <w:b/>
          <w:bCs/>
          <w:sz w:val="24"/>
        </w:rPr>
        <w:t>一、项目名称：</w:t>
      </w:r>
      <w:r>
        <w:rPr>
          <w:rFonts w:hint="eastAsia" w:ascii="仿宋" w:hAnsi="仿宋" w:eastAsia="仿宋" w:cs="微软雅黑"/>
          <w:bCs/>
          <w:sz w:val="24"/>
        </w:rPr>
        <w:t>龙游传媒集团（龙游县广播电视总台）机顶盒采购项目</w:t>
      </w:r>
    </w:p>
    <w:p>
      <w:pPr>
        <w:adjustRightInd w:val="0"/>
        <w:snapToGrid w:val="0"/>
        <w:spacing w:line="440" w:lineRule="exact"/>
        <w:rPr>
          <w:rFonts w:ascii="仿宋" w:hAnsi="仿宋" w:eastAsia="仿宋" w:cs="微软雅黑"/>
          <w:sz w:val="24"/>
        </w:rPr>
      </w:pPr>
      <w:r>
        <w:rPr>
          <w:rFonts w:hint="eastAsia" w:ascii="仿宋" w:hAnsi="仿宋" w:eastAsia="仿宋" w:cs="微软雅黑"/>
          <w:b/>
          <w:sz w:val="24"/>
        </w:rPr>
        <w:t>二、项目编号：</w:t>
      </w:r>
      <w:r>
        <w:rPr>
          <w:rFonts w:hint="eastAsia" w:ascii="仿宋" w:hAnsi="仿宋" w:eastAsia="仿宋" w:cs="微软雅黑"/>
          <w:bCs/>
          <w:sz w:val="24"/>
        </w:rPr>
        <w:t>HRZFCG2021-015</w:t>
      </w:r>
    </w:p>
    <w:p>
      <w:pPr>
        <w:spacing w:line="440" w:lineRule="exact"/>
        <w:rPr>
          <w:rFonts w:ascii="仿宋" w:hAnsi="仿宋" w:eastAsia="仿宋" w:cs="微软雅黑"/>
          <w:sz w:val="24"/>
        </w:rPr>
      </w:pPr>
      <w:r>
        <w:rPr>
          <w:rFonts w:hint="eastAsia" w:ascii="仿宋" w:hAnsi="仿宋" w:eastAsia="仿宋" w:cs="微软雅黑"/>
          <w:b/>
          <w:sz w:val="24"/>
        </w:rPr>
        <w:t>三、采购内容：</w:t>
      </w:r>
      <w:r>
        <w:rPr>
          <w:rFonts w:hint="eastAsia" w:ascii="仿宋" w:hAnsi="仿宋" w:eastAsia="仿宋" w:cs="微软雅黑"/>
          <w:sz w:val="24"/>
        </w:rPr>
        <w:t>详见询价文件中参数要求。</w:t>
      </w:r>
    </w:p>
    <w:tbl>
      <w:tblPr>
        <w:tblStyle w:val="38"/>
        <w:tblW w:w="5152"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253"/>
        <w:gridCol w:w="851"/>
        <w:gridCol w:w="708"/>
        <w:gridCol w:w="1701"/>
        <w:gridCol w:w="169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10"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序号</w:t>
            </w:r>
          </w:p>
        </w:tc>
        <w:tc>
          <w:tcPr>
            <w:tcW w:w="2120"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采购内容</w:t>
            </w:r>
          </w:p>
        </w:tc>
        <w:tc>
          <w:tcPr>
            <w:tcW w:w="424"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单位</w:t>
            </w:r>
          </w:p>
        </w:tc>
        <w:tc>
          <w:tcPr>
            <w:tcW w:w="353"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数量</w:t>
            </w:r>
          </w:p>
        </w:tc>
        <w:tc>
          <w:tcPr>
            <w:tcW w:w="848"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最高单价限价</w:t>
            </w:r>
          </w:p>
        </w:tc>
        <w:tc>
          <w:tcPr>
            <w:tcW w:w="845"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采购内容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10" w:type="pct"/>
            <w:vAlign w:val="center"/>
          </w:tcPr>
          <w:p>
            <w:pPr>
              <w:spacing w:line="440" w:lineRule="exact"/>
              <w:jc w:val="center"/>
              <w:rPr>
                <w:rFonts w:ascii="仿宋" w:hAnsi="仿宋" w:eastAsia="仿宋" w:cs="微软雅黑"/>
                <w:sz w:val="24"/>
              </w:rPr>
            </w:pPr>
            <w:r>
              <w:rPr>
                <w:rFonts w:hint="eastAsia" w:ascii="仿宋" w:hAnsi="仿宋" w:eastAsia="仿宋" w:cs="微软雅黑"/>
                <w:bCs/>
                <w:sz w:val="24"/>
              </w:rPr>
              <w:t>1</w:t>
            </w:r>
          </w:p>
        </w:tc>
        <w:tc>
          <w:tcPr>
            <w:tcW w:w="2120"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龙游传媒集团（龙游县广播电视总台）机顶盒采购项目</w:t>
            </w:r>
          </w:p>
        </w:tc>
        <w:tc>
          <w:tcPr>
            <w:tcW w:w="424"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批</w:t>
            </w:r>
          </w:p>
        </w:tc>
        <w:tc>
          <w:tcPr>
            <w:tcW w:w="353"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1</w:t>
            </w:r>
          </w:p>
        </w:tc>
        <w:tc>
          <w:tcPr>
            <w:tcW w:w="848"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详见询价文件</w:t>
            </w:r>
          </w:p>
        </w:tc>
        <w:tc>
          <w:tcPr>
            <w:tcW w:w="845" w:type="pct"/>
            <w:vAlign w:val="center"/>
          </w:tcPr>
          <w:p>
            <w:pPr>
              <w:spacing w:line="440" w:lineRule="exact"/>
              <w:jc w:val="center"/>
              <w:rPr>
                <w:rFonts w:ascii="仿宋" w:hAnsi="仿宋" w:eastAsia="仿宋" w:cs="微软雅黑"/>
                <w:sz w:val="24"/>
              </w:rPr>
            </w:pPr>
            <w:r>
              <w:rPr>
                <w:rFonts w:hint="eastAsia" w:ascii="仿宋" w:hAnsi="仿宋" w:eastAsia="仿宋" w:cs="微软雅黑"/>
                <w:sz w:val="24"/>
              </w:rPr>
              <w:t>详见询价文件</w:t>
            </w:r>
          </w:p>
        </w:tc>
      </w:tr>
    </w:tbl>
    <w:p>
      <w:pPr>
        <w:snapToGrid w:val="0"/>
        <w:spacing w:line="440" w:lineRule="exact"/>
        <w:rPr>
          <w:rFonts w:ascii="仿宋" w:hAnsi="仿宋" w:eastAsia="仿宋" w:cs="仿宋_GB2312"/>
          <w:b/>
          <w:sz w:val="24"/>
        </w:rPr>
      </w:pPr>
      <w:r>
        <w:rPr>
          <w:rFonts w:hint="eastAsia" w:ascii="仿宋" w:hAnsi="仿宋" w:eastAsia="仿宋" w:cs="仿宋_GB2312"/>
          <w:b/>
          <w:sz w:val="24"/>
        </w:rPr>
        <w:t>四、合格的询价供应商：</w:t>
      </w:r>
    </w:p>
    <w:p>
      <w:pPr>
        <w:spacing w:line="440" w:lineRule="exact"/>
        <w:rPr>
          <w:rFonts w:ascii="仿宋" w:hAnsi="仿宋" w:eastAsia="仿宋" w:cs="华文中宋"/>
          <w:bCs/>
          <w:sz w:val="24"/>
        </w:rPr>
      </w:pPr>
      <w:r>
        <w:rPr>
          <w:rFonts w:hint="eastAsia" w:ascii="仿宋" w:hAnsi="仿宋" w:eastAsia="仿宋" w:cs="华文中宋"/>
          <w:bCs/>
          <w:sz w:val="24"/>
        </w:rPr>
        <w:t>1</w:t>
      </w:r>
      <w:r>
        <w:rPr>
          <w:rFonts w:hint="eastAsia" w:ascii="仿宋" w:hAnsi="仿宋" w:eastAsia="仿宋"/>
          <w:sz w:val="24"/>
        </w:rPr>
        <w:t>.</w:t>
      </w:r>
      <w:r>
        <w:rPr>
          <w:rFonts w:hint="eastAsia" w:ascii="仿宋" w:hAnsi="仿宋" w:eastAsia="仿宋" w:cs="华文中宋"/>
          <w:bCs/>
          <w:sz w:val="24"/>
        </w:rPr>
        <w:t>符合《中华人民共和国政府采购法》第二十二条要求；</w:t>
      </w:r>
    </w:p>
    <w:p>
      <w:pPr>
        <w:spacing w:line="440" w:lineRule="exact"/>
        <w:rPr>
          <w:rFonts w:ascii="仿宋" w:hAnsi="仿宋" w:eastAsia="仿宋" w:cs="微软雅黑"/>
          <w:sz w:val="24"/>
        </w:rPr>
      </w:pPr>
      <w:r>
        <w:rPr>
          <w:rFonts w:hint="eastAsia" w:ascii="仿宋" w:hAnsi="仿宋" w:eastAsia="仿宋" w:cs="微软雅黑"/>
          <w:sz w:val="24"/>
        </w:rPr>
        <w:t>（1）具有独立承担民事责任和履行合同能力；</w:t>
      </w:r>
    </w:p>
    <w:p>
      <w:pPr>
        <w:spacing w:line="440" w:lineRule="exact"/>
        <w:rPr>
          <w:rFonts w:ascii="仿宋" w:hAnsi="仿宋" w:eastAsia="仿宋" w:cs="微软雅黑"/>
          <w:sz w:val="24"/>
        </w:rPr>
      </w:pPr>
      <w:r>
        <w:rPr>
          <w:rFonts w:hint="eastAsia" w:ascii="仿宋" w:hAnsi="仿宋" w:eastAsia="仿宋" w:cs="微软雅黑"/>
          <w:sz w:val="24"/>
        </w:rPr>
        <w:t>（2）具有良好的商业信誉和健全的财务会计制度；</w:t>
      </w:r>
    </w:p>
    <w:p>
      <w:pPr>
        <w:spacing w:line="440" w:lineRule="exact"/>
        <w:rPr>
          <w:rFonts w:ascii="仿宋" w:hAnsi="仿宋" w:eastAsia="仿宋" w:cs="微软雅黑"/>
          <w:sz w:val="24"/>
        </w:rPr>
      </w:pPr>
      <w:r>
        <w:rPr>
          <w:rFonts w:hint="eastAsia" w:ascii="仿宋" w:hAnsi="仿宋" w:eastAsia="仿宋" w:cs="微软雅黑"/>
          <w:sz w:val="24"/>
        </w:rPr>
        <w:t>（3）具有履行合同所必需的设备和专业技术能力；</w:t>
      </w:r>
    </w:p>
    <w:p>
      <w:pPr>
        <w:spacing w:line="440" w:lineRule="exact"/>
        <w:rPr>
          <w:rFonts w:ascii="仿宋" w:hAnsi="仿宋" w:eastAsia="仿宋" w:cs="微软雅黑"/>
          <w:sz w:val="24"/>
        </w:rPr>
      </w:pPr>
      <w:r>
        <w:rPr>
          <w:rFonts w:hint="eastAsia" w:ascii="仿宋" w:hAnsi="仿宋" w:eastAsia="仿宋" w:cs="微软雅黑"/>
          <w:sz w:val="24"/>
        </w:rPr>
        <w:t>（4）有依法缴纳税收和社会保障资金的良好记录；</w:t>
      </w:r>
    </w:p>
    <w:p>
      <w:pPr>
        <w:spacing w:line="440" w:lineRule="exact"/>
        <w:rPr>
          <w:rFonts w:ascii="仿宋" w:hAnsi="仿宋" w:eastAsia="仿宋" w:cs="微软雅黑"/>
          <w:sz w:val="24"/>
        </w:rPr>
      </w:pPr>
      <w:r>
        <w:rPr>
          <w:rFonts w:hint="eastAsia" w:ascii="仿宋" w:hAnsi="仿宋" w:eastAsia="仿宋" w:cs="微软雅黑"/>
          <w:sz w:val="24"/>
        </w:rPr>
        <w:t>2.能承担本项目的厂商或代理商。</w:t>
      </w:r>
    </w:p>
    <w:p>
      <w:pPr>
        <w:spacing w:line="440" w:lineRule="exact"/>
        <w:jc w:val="left"/>
        <w:rPr>
          <w:rFonts w:ascii="仿宋" w:hAnsi="仿宋" w:eastAsia="仿宋" w:cs="华文中宋"/>
          <w:bCs/>
          <w:sz w:val="24"/>
        </w:rPr>
      </w:pPr>
      <w:r>
        <w:rPr>
          <w:rFonts w:hint="eastAsia" w:ascii="仿宋" w:hAnsi="仿宋" w:eastAsia="仿宋" w:cs="华文中宋"/>
          <w:bCs/>
          <w:sz w:val="24"/>
        </w:rPr>
        <w:t>3.本项目不接受联合体投标；</w:t>
      </w:r>
    </w:p>
    <w:p>
      <w:pPr>
        <w:spacing w:line="440" w:lineRule="exact"/>
        <w:jc w:val="left"/>
        <w:rPr>
          <w:rFonts w:ascii="仿宋" w:hAnsi="仿宋" w:eastAsia="仿宋" w:cs="华文中宋"/>
          <w:bCs/>
          <w:sz w:val="24"/>
        </w:rPr>
      </w:pPr>
      <w:r>
        <w:rPr>
          <w:rFonts w:hint="eastAsia" w:ascii="仿宋" w:hAnsi="仿宋" w:eastAsia="仿宋" w:cs="华文中宋"/>
          <w:bCs/>
          <w:sz w:val="24"/>
        </w:rPr>
        <w:t>4</w:t>
      </w:r>
      <w:r>
        <w:rPr>
          <w:rFonts w:hint="eastAsia" w:ascii="仿宋" w:hAnsi="仿宋" w:eastAsia="仿宋"/>
          <w:sz w:val="24"/>
        </w:rPr>
        <w:t>.</w:t>
      </w:r>
      <w:r>
        <w:rPr>
          <w:rFonts w:hint="eastAsia" w:ascii="仿宋" w:hAnsi="仿宋" w:eastAsia="仿宋" w:cs="华文中宋"/>
          <w:bCs/>
          <w:sz w:val="24"/>
        </w:rPr>
        <w:t>信用记录：</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根据财库[2016]125号《关于在政府采购活动中查询及使用信用记录有关问题的通知》要求，采购代理机构会对供应商信用记录进行查询并甄别。</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①信用信息查询的截止时点：投标截止时间；</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②查询渠道：</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信用中国（www.creditchina.gov.cn）</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中国政府采购网（www.ccgp.gov.cn）</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浙江政府采购网（www.zjzfcg.gov.cn）</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③信用信息查询记录和证据留存具体方式：采购代理机构经办人和监督人员将查询网页打印、签字与其他采购文件一并保存；</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④信用信息的使用规则：投标人存在不良信用记录的，其投标将被作为无效投标被拒绝。</w:t>
      </w:r>
    </w:p>
    <w:p>
      <w:pPr>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不良信用记录指：被列入失信被执行人、重大税收违法案件当事人名单、政府采购严重违法失信行为记录名单或浙江政府采购网曝光台中尚在行政处罚期内的。</w:t>
      </w:r>
    </w:p>
    <w:p>
      <w:pPr>
        <w:adjustRightInd w:val="0"/>
        <w:snapToGrid w:val="0"/>
        <w:spacing w:line="440" w:lineRule="exact"/>
        <w:jc w:val="left"/>
        <w:rPr>
          <w:rFonts w:ascii="仿宋" w:hAnsi="仿宋" w:eastAsia="仿宋"/>
          <w:b/>
          <w:snapToGrid w:val="0"/>
          <w:sz w:val="24"/>
        </w:rPr>
      </w:pPr>
      <w:r>
        <w:rPr>
          <w:rFonts w:hint="eastAsia" w:ascii="仿宋" w:hAnsi="仿宋" w:eastAsia="仿宋" w:cs="仿宋_GB2312"/>
          <w:b/>
          <w:sz w:val="24"/>
        </w:rPr>
        <w:t>六</w:t>
      </w:r>
      <w:r>
        <w:rPr>
          <w:rFonts w:hint="eastAsia" w:ascii="仿宋" w:hAnsi="仿宋" w:eastAsia="仿宋"/>
          <w:b/>
          <w:sz w:val="24"/>
        </w:rPr>
        <w:t>、投标说明</w:t>
      </w:r>
    </w:p>
    <w:p>
      <w:pPr>
        <w:spacing w:line="440" w:lineRule="exact"/>
        <w:ind w:firstLine="360" w:firstLineChars="150"/>
        <w:jc w:val="left"/>
        <w:rPr>
          <w:rFonts w:ascii="仿宋" w:hAnsi="仿宋" w:eastAsia="仿宋" w:cs="华文中宋"/>
          <w:bCs/>
          <w:sz w:val="24"/>
        </w:rPr>
      </w:pPr>
      <w:r>
        <w:rPr>
          <w:rFonts w:hint="eastAsia" w:ascii="仿宋" w:hAnsi="仿宋" w:eastAsia="仿宋" w:cs="华文中宋"/>
          <w:bCs/>
          <w:sz w:val="24"/>
        </w:rPr>
        <w:t>1</w:t>
      </w:r>
      <w:r>
        <w:rPr>
          <w:rFonts w:hint="eastAsia" w:ascii="仿宋" w:hAnsi="仿宋" w:eastAsia="仿宋"/>
          <w:sz w:val="24"/>
        </w:rPr>
        <w:t>.</w:t>
      </w:r>
      <w:r>
        <w:rPr>
          <w:rFonts w:hint="eastAsia" w:ascii="仿宋" w:hAnsi="仿宋" w:eastAsia="仿宋" w:cs="华文中宋"/>
          <w:bCs/>
          <w:sz w:val="24"/>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ordWrap w:val="0"/>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2</w:t>
      </w:r>
      <w:r>
        <w:rPr>
          <w:rFonts w:hint="eastAsia" w:ascii="仿宋" w:hAnsi="仿宋" w:eastAsia="仿宋"/>
          <w:sz w:val="24"/>
        </w:rPr>
        <w:t>.</w:t>
      </w:r>
      <w:r>
        <w:rPr>
          <w:rFonts w:hint="eastAsia" w:ascii="仿宋" w:hAnsi="仿宋" w:eastAsia="仿宋" w:cs="华文中宋"/>
          <w:bCs/>
          <w:sz w:val="24"/>
        </w:rPr>
        <w:t>投标人应在开标前完成CA数字证书办理。（办理流程详见</w:t>
      </w:r>
      <w:r>
        <w:fldChar w:fldCharType="begin"/>
      </w:r>
      <w:r>
        <w:instrText xml:space="preserve"> HYPERLINK "http://zfcg.czt.zj.gov.cn/bidClientTemplate/2019-05-27/12945.html" </w:instrText>
      </w:r>
      <w:r>
        <w:fldChar w:fldCharType="separate"/>
      </w:r>
      <w:r>
        <w:rPr>
          <w:rFonts w:hint="eastAsia" w:ascii="仿宋" w:hAnsi="仿宋" w:eastAsia="仿宋" w:cs="华文中宋"/>
          <w:bCs/>
          <w:sz w:val="24"/>
        </w:rPr>
        <w:t>http://zfcg.czt.zj.gov.cn/bidClientTemplate/2021-05-27/12945.html</w:t>
      </w:r>
      <w:r>
        <w:rPr>
          <w:rFonts w:hint="eastAsia" w:ascii="仿宋" w:hAnsi="仿宋" w:eastAsia="仿宋" w:cs="华文中宋"/>
          <w:bCs/>
          <w:sz w:val="24"/>
        </w:rPr>
        <w:fldChar w:fldCharType="end"/>
      </w:r>
      <w:r>
        <w:rPr>
          <w:rFonts w:hint="eastAsia" w:ascii="仿宋" w:hAnsi="仿宋" w:eastAsia="仿宋" w:cs="华文中宋"/>
          <w:bCs/>
          <w:sz w:val="24"/>
        </w:rPr>
        <w:t>）。完成CA数字证书办理预计一周左右，建议各投标人抓紧时间办理。</w:t>
      </w:r>
    </w:p>
    <w:p>
      <w:pPr>
        <w:wordWrap w:val="0"/>
        <w:spacing w:line="440" w:lineRule="exact"/>
        <w:ind w:firstLine="420" w:firstLineChars="175"/>
        <w:jc w:val="left"/>
        <w:rPr>
          <w:rFonts w:ascii="仿宋" w:hAnsi="仿宋" w:eastAsia="仿宋" w:cs="华文中宋"/>
          <w:bCs/>
          <w:sz w:val="24"/>
        </w:rPr>
      </w:pPr>
      <w:r>
        <w:rPr>
          <w:rFonts w:hint="eastAsia" w:ascii="仿宋" w:hAnsi="仿宋" w:eastAsia="仿宋" w:cs="华文中宋"/>
          <w:bCs/>
          <w:sz w:val="24"/>
        </w:rPr>
        <w:t>3</w:t>
      </w:r>
      <w:r>
        <w:rPr>
          <w:rFonts w:hint="eastAsia" w:ascii="仿宋" w:hAnsi="仿宋" w:eastAsia="仿宋"/>
          <w:sz w:val="24"/>
        </w:rPr>
        <w:t>.</w:t>
      </w:r>
      <w:r>
        <w:rPr>
          <w:rFonts w:hint="eastAsia" w:ascii="仿宋" w:hAnsi="仿宋" w:eastAsia="仿宋" w:cs="华文中宋"/>
          <w:bCs/>
          <w:sz w:val="24"/>
        </w:rPr>
        <w:t>投标人通过政采云平台电子投标工具制作投标文件，电子投标工具请供应商自行前往浙江省政府采购网下载并安装，（下载网址：</w:t>
      </w:r>
      <w:r>
        <w:fldChar w:fldCharType="begin"/>
      </w:r>
      <w:r>
        <w:instrText xml:space="preserve"> HYPERLINK "http://zfcg.czt.zj.gov.cn/bidClientTemplate/2019-09-24/12975.html" </w:instrText>
      </w:r>
      <w:r>
        <w:fldChar w:fldCharType="separate"/>
      </w:r>
      <w:r>
        <w:rPr>
          <w:rFonts w:hint="eastAsia" w:ascii="仿宋" w:hAnsi="仿宋" w:eastAsia="仿宋" w:cs="华文中宋"/>
          <w:bCs/>
          <w:sz w:val="24"/>
        </w:rPr>
        <w:t>http://zfcg.czt.zj.gov.cn/bidClientTemplate/2021-09-24/12975.html</w:t>
      </w:r>
      <w:r>
        <w:rPr>
          <w:rFonts w:hint="eastAsia" w:ascii="仿宋" w:hAnsi="仿宋" w:eastAsia="仿宋" w:cs="华文中宋"/>
          <w:bCs/>
          <w:sz w:val="24"/>
        </w:rPr>
        <w:fldChar w:fldCharType="end"/>
      </w:r>
      <w:r>
        <w:rPr>
          <w:rFonts w:hint="eastAsia" w:ascii="仿宋" w:hAnsi="仿宋" w:eastAsia="仿宋" w:cs="华文中宋"/>
          <w:bCs/>
          <w:sz w:val="24"/>
        </w:rPr>
        <w:t>）,电子投标具体流程文档详见网址:</w:t>
      </w:r>
      <w:r>
        <w:fldChar w:fldCharType="begin"/>
      </w:r>
      <w:r>
        <w:instrText xml:space="preserve"> HYPERLINK "https://help.zcygov.cn/web/site_2/2018/12-28/2573.html" </w:instrText>
      </w:r>
      <w:r>
        <w:fldChar w:fldCharType="separate"/>
      </w:r>
      <w:r>
        <w:rPr>
          <w:rFonts w:hint="eastAsia" w:ascii="仿宋" w:hAnsi="仿宋" w:eastAsia="仿宋" w:cs="华文中宋"/>
          <w:bCs/>
          <w:sz w:val="24"/>
        </w:rPr>
        <w:t>https://help.zcygov.cn/web/site_2/2018/12-28/2573.html</w:t>
      </w:r>
      <w:r>
        <w:rPr>
          <w:rFonts w:hint="eastAsia" w:ascii="仿宋" w:hAnsi="仿宋" w:eastAsia="仿宋" w:cs="华文中宋"/>
          <w:bCs/>
          <w:sz w:val="24"/>
        </w:rPr>
        <w:fldChar w:fldCharType="end"/>
      </w:r>
      <w:r>
        <w:rPr>
          <w:rFonts w:hint="eastAsia" w:ascii="仿宋" w:hAnsi="仿宋" w:eastAsia="仿宋" w:cs="华文中宋"/>
          <w:bCs/>
          <w:sz w:val="24"/>
        </w:rPr>
        <w:t>。</w:t>
      </w:r>
    </w:p>
    <w:p>
      <w:pPr>
        <w:adjustRightInd w:val="0"/>
        <w:snapToGrid w:val="0"/>
        <w:spacing w:line="440" w:lineRule="exact"/>
        <w:jc w:val="left"/>
        <w:rPr>
          <w:rFonts w:ascii="仿宋" w:hAnsi="仿宋" w:eastAsia="仿宋" w:cs="仿宋_GB2312"/>
          <w:sz w:val="24"/>
        </w:rPr>
      </w:pPr>
      <w:r>
        <w:rPr>
          <w:rFonts w:hint="eastAsia" w:ascii="仿宋" w:hAnsi="仿宋" w:eastAsia="仿宋"/>
          <w:b/>
          <w:sz w:val="24"/>
        </w:rPr>
        <w:t>七</w:t>
      </w:r>
      <w:r>
        <w:rPr>
          <w:rFonts w:hint="eastAsia" w:ascii="仿宋" w:hAnsi="仿宋" w:eastAsia="仿宋" w:cs="仿宋_GB2312"/>
          <w:b/>
          <w:sz w:val="24"/>
        </w:rPr>
        <w:t>、</w:t>
      </w:r>
      <w:r>
        <w:rPr>
          <w:rFonts w:hint="eastAsia" w:ascii="仿宋" w:hAnsi="仿宋" w:eastAsia="仿宋"/>
          <w:b/>
          <w:sz w:val="24"/>
        </w:rPr>
        <w:t>报名及询价文件获取方式：</w:t>
      </w:r>
    </w:p>
    <w:p>
      <w:pPr>
        <w:wordWrap w:val="0"/>
        <w:snapToGrid w:val="0"/>
        <w:spacing w:line="440" w:lineRule="exact"/>
        <w:ind w:firstLine="480" w:firstLineChars="200"/>
        <w:rPr>
          <w:rFonts w:ascii="仿宋" w:hAnsi="仿宋" w:eastAsia="仿宋"/>
          <w:sz w:val="24"/>
        </w:rPr>
      </w:pPr>
      <w:r>
        <w:rPr>
          <w:rFonts w:hint="eastAsia" w:ascii="仿宋" w:hAnsi="仿宋" w:eastAsia="仿宋"/>
          <w:sz w:val="24"/>
        </w:rPr>
        <w:t>1.获取询价文件方式 ：询价文件实行网上获取，不提供询价文件纸质版。</w:t>
      </w:r>
    </w:p>
    <w:p>
      <w:pPr>
        <w:wordWrap w:val="0"/>
        <w:snapToGrid w:val="0"/>
        <w:spacing w:line="440" w:lineRule="exact"/>
        <w:ind w:firstLine="480" w:firstLineChars="200"/>
        <w:rPr>
          <w:rFonts w:ascii="仿宋" w:hAnsi="仿宋" w:eastAsia="仿宋" w:cs="华文中宋"/>
          <w:sz w:val="24"/>
          <w:u w:val="single"/>
        </w:rPr>
      </w:pPr>
      <w:r>
        <w:rPr>
          <w:rFonts w:hint="eastAsia" w:ascii="仿宋" w:hAnsi="仿宋" w:eastAsia="仿宋"/>
          <w:sz w:val="24"/>
        </w:rPr>
        <w:t>2.</w:t>
      </w:r>
      <w:r>
        <w:rPr>
          <w:rFonts w:ascii="仿宋" w:hAnsi="仿宋" w:eastAsia="仿宋"/>
          <w:sz w:val="24"/>
        </w:rPr>
        <w:t>报名方式：</w:t>
      </w:r>
      <w:r>
        <w:rPr>
          <w:rFonts w:hint="eastAsia" w:ascii="仿宋" w:hAnsi="仿宋" w:eastAsia="仿宋" w:cs="华文中宋"/>
          <w:sz w:val="24"/>
        </w:rPr>
        <w:t>报名需提供</w:t>
      </w:r>
      <w:r>
        <w:rPr>
          <w:rFonts w:hint="eastAsia" w:ascii="仿宋" w:hAnsi="仿宋" w:eastAsia="仿宋" w:cs="华文中宋"/>
          <w:sz w:val="24"/>
          <w:highlight w:val="yellow"/>
        </w:rPr>
        <w:t>（1）能承担本项目的厂商或代理商。</w:t>
      </w:r>
      <w:r>
        <w:rPr>
          <w:rFonts w:hint="eastAsia" w:ascii="仿宋" w:hAnsi="仿宋" w:eastAsia="仿宋" w:cs="华文中宋"/>
          <w:sz w:val="24"/>
        </w:rPr>
        <w:t>（2）法定代表人授权委托书原件；（3）报名人身份证复印件（加盖单位公章）；于</w:t>
      </w:r>
      <w:r>
        <w:rPr>
          <w:rFonts w:hint="eastAsia" w:ascii="仿宋" w:hAnsi="仿宋" w:eastAsia="仿宋" w:cs="华文中宋"/>
          <w:sz w:val="24"/>
          <w:highlight w:val="yellow"/>
        </w:rPr>
        <w:t>2021</w:t>
      </w:r>
      <w:r>
        <w:rPr>
          <w:rFonts w:ascii="仿宋" w:hAnsi="仿宋" w:eastAsia="仿宋" w:cs="华文中宋"/>
          <w:sz w:val="24"/>
          <w:highlight w:val="yellow"/>
        </w:rPr>
        <w:t>年</w:t>
      </w:r>
      <w:r>
        <w:rPr>
          <w:rFonts w:hint="eastAsia" w:ascii="仿宋" w:hAnsi="仿宋" w:eastAsia="仿宋" w:cs="华文中宋"/>
          <w:sz w:val="24"/>
          <w:highlight w:val="yellow"/>
          <w:lang w:val="en-US" w:eastAsia="zh-CN"/>
        </w:rPr>
        <w:t>6</w:t>
      </w:r>
      <w:r>
        <w:rPr>
          <w:rFonts w:hint="eastAsia" w:ascii="仿宋" w:hAnsi="仿宋" w:eastAsia="仿宋" w:cs="华文中宋"/>
          <w:sz w:val="24"/>
          <w:highlight w:val="yellow"/>
        </w:rPr>
        <w:t>月</w:t>
      </w:r>
      <w:r>
        <w:rPr>
          <w:rFonts w:hint="eastAsia" w:ascii="仿宋" w:hAnsi="仿宋" w:eastAsia="仿宋" w:cs="华文中宋"/>
          <w:sz w:val="24"/>
          <w:highlight w:val="yellow"/>
          <w:lang w:val="en-US" w:eastAsia="zh-CN"/>
        </w:rPr>
        <w:t>10</w:t>
      </w:r>
      <w:r>
        <w:rPr>
          <w:rFonts w:hint="eastAsia" w:ascii="仿宋" w:hAnsi="仿宋" w:eastAsia="仿宋" w:cs="华文中宋"/>
          <w:sz w:val="24"/>
          <w:highlight w:val="yellow"/>
        </w:rPr>
        <w:t>日16</w:t>
      </w:r>
      <w:r>
        <w:rPr>
          <w:rFonts w:ascii="仿宋" w:hAnsi="仿宋" w:eastAsia="仿宋" w:cs="华文中宋"/>
          <w:sz w:val="24"/>
          <w:highlight w:val="yellow"/>
        </w:rPr>
        <w:t>:</w:t>
      </w:r>
      <w:r>
        <w:rPr>
          <w:rFonts w:hint="eastAsia" w:ascii="仿宋" w:hAnsi="仿宋" w:eastAsia="仿宋" w:cs="华文中宋"/>
          <w:sz w:val="24"/>
          <w:highlight w:val="yellow"/>
        </w:rPr>
        <w:t>30</w:t>
      </w:r>
      <w:r>
        <w:rPr>
          <w:rFonts w:hint="eastAsia" w:ascii="仿宋" w:hAnsi="仿宋" w:eastAsia="仿宋" w:cs="华文中宋"/>
          <w:sz w:val="24"/>
        </w:rPr>
        <w:t>之前（节假日除外）以邮件形式发送到</w:t>
      </w:r>
      <w:r>
        <w:rPr>
          <w:rFonts w:hint="eastAsia" w:ascii="仿宋" w:hAnsi="仿宋" w:eastAsia="仿宋" w:cs="华文中宋"/>
          <w:sz w:val="24"/>
          <w:u w:val="single"/>
        </w:rPr>
        <w:t>448272344@qq.com邮箱进行线上报名。</w:t>
      </w:r>
    </w:p>
    <w:p>
      <w:pPr>
        <w:wordWrap w:val="0"/>
        <w:snapToGrid w:val="0"/>
        <w:spacing w:line="440" w:lineRule="exact"/>
        <w:ind w:firstLine="480" w:firstLineChars="200"/>
        <w:rPr>
          <w:rFonts w:ascii="仿宋" w:hAnsi="仿宋" w:eastAsia="仿宋"/>
          <w:sz w:val="24"/>
        </w:rPr>
      </w:pPr>
      <w:r>
        <w:rPr>
          <w:rFonts w:hint="eastAsia" w:ascii="仿宋" w:hAnsi="仿宋" w:eastAsia="仿宋"/>
          <w:sz w:val="24"/>
        </w:rPr>
        <w:t>3.获取采购文件网址：浙江省政府采购网</w:t>
      </w:r>
      <w:r>
        <w:fldChar w:fldCharType="begin"/>
      </w:r>
      <w:r>
        <w:instrText xml:space="preserve"> HYPERLINK "http://zfcg.czt.zj.gov.cn/" </w:instrText>
      </w:r>
      <w:r>
        <w:fldChar w:fldCharType="separate"/>
      </w:r>
      <w:r>
        <w:rPr>
          <w:rStyle w:val="46"/>
          <w:rFonts w:hint="eastAsia" w:ascii="仿宋" w:hAnsi="仿宋" w:eastAsia="仿宋"/>
          <w:sz w:val="24"/>
        </w:rPr>
        <w:t>http://zfcg.czt.zj.gov.cn/</w:t>
      </w:r>
      <w:r>
        <w:rPr>
          <w:rStyle w:val="46"/>
          <w:rFonts w:hint="eastAsia" w:ascii="仿宋" w:hAnsi="仿宋" w:eastAsia="仿宋"/>
          <w:sz w:val="24"/>
        </w:rPr>
        <w:fldChar w:fldCharType="end"/>
      </w:r>
      <w:r>
        <w:rPr>
          <w:rFonts w:hint="eastAsia" w:ascii="仿宋" w:hAnsi="仿宋" w:eastAsia="仿宋"/>
          <w:sz w:val="24"/>
        </w:rPr>
        <w:t>（用“政采云”注册账号、密码登录系统后获取采购文件）</w:t>
      </w:r>
    </w:p>
    <w:p>
      <w:pPr>
        <w:wordWrap w:val="0"/>
        <w:snapToGrid w:val="0"/>
        <w:spacing w:line="440" w:lineRule="exact"/>
        <w:ind w:firstLine="480" w:firstLineChars="200"/>
        <w:rPr>
          <w:rFonts w:ascii="仿宋" w:hAnsi="仿宋" w:eastAsia="仿宋"/>
          <w:sz w:val="24"/>
        </w:rPr>
      </w:pPr>
      <w:r>
        <w:rPr>
          <w:rFonts w:hint="eastAsia" w:ascii="仿宋" w:hAnsi="仿宋" w:eastAsia="仿宋"/>
          <w:sz w:val="24"/>
        </w:rPr>
        <w:t>4.免费注册网址：浙江政府采购网（供应商注册页面）</w:t>
      </w:r>
      <w:r>
        <w:fldChar w:fldCharType="begin"/>
      </w:r>
      <w:r>
        <w:instrText xml:space="preserve"> HYPERLINK "https://middle.zcygov.cn/settle-front/" \l "/registry" </w:instrText>
      </w:r>
      <w:r>
        <w:fldChar w:fldCharType="separate"/>
      </w:r>
      <w:r>
        <w:rPr>
          <w:rStyle w:val="46"/>
          <w:rFonts w:hint="eastAsia" w:ascii="仿宋" w:hAnsi="仿宋" w:eastAsia="仿宋"/>
          <w:sz w:val="24"/>
        </w:rPr>
        <w:t>https://middle.zcygov.cn/settle-front/#/registry</w:t>
      </w:r>
      <w:r>
        <w:rPr>
          <w:rStyle w:val="46"/>
          <w:rFonts w:hint="eastAsia" w:ascii="仿宋" w:hAnsi="仿宋" w:eastAsia="仿宋"/>
          <w:sz w:val="24"/>
        </w:rPr>
        <w:fldChar w:fldCharType="end"/>
      </w:r>
      <w:r>
        <w:rPr>
          <w:rFonts w:hint="eastAsia" w:ascii="仿宋" w:hAnsi="仿宋" w:eastAsia="仿宋"/>
          <w:sz w:val="24"/>
        </w:rPr>
        <w:t>“政采云”，具体详见网站供应商注册要求，已经注册成功的供应商无需重复注册，本项目实行电子投标。</w:t>
      </w:r>
    </w:p>
    <w:p>
      <w:pPr>
        <w:wordWrap w:val="0"/>
        <w:snapToGrid w:val="0"/>
        <w:spacing w:line="440" w:lineRule="exact"/>
        <w:ind w:firstLine="480" w:firstLineChars="200"/>
        <w:rPr>
          <w:rFonts w:ascii="仿宋" w:hAnsi="仿宋" w:eastAsia="仿宋"/>
          <w:sz w:val="24"/>
        </w:rPr>
      </w:pPr>
      <w:r>
        <w:rPr>
          <w:rFonts w:hint="eastAsia" w:ascii="仿宋" w:hAnsi="仿宋" w:eastAsia="仿宋"/>
          <w:sz w:val="24"/>
        </w:rPr>
        <w:t>5.本采购公告中附件的采购文件仅供阅览使用，潜在供应商应当按照本采购公告规定方式获取采购文件，未按照规定方式获取的采购文件的，对采购文件提起质疑投诉不予以受理。</w:t>
      </w:r>
    </w:p>
    <w:p>
      <w:pPr>
        <w:wordWrap w:val="0"/>
        <w:snapToGrid w:val="0"/>
        <w:spacing w:line="440" w:lineRule="exact"/>
        <w:ind w:firstLine="480" w:firstLineChars="200"/>
        <w:rPr>
          <w:rFonts w:ascii="仿宋" w:hAnsi="仿宋" w:eastAsia="仿宋"/>
          <w:color w:val="FF0000"/>
          <w:sz w:val="24"/>
        </w:rPr>
      </w:pPr>
      <w:r>
        <w:rPr>
          <w:rFonts w:hint="eastAsia" w:ascii="仿宋" w:hAnsi="仿宋" w:eastAsia="仿宋"/>
          <w:color w:val="FF0000"/>
          <w:sz w:val="24"/>
        </w:rPr>
        <w:t xml:space="preserve">6.因疫情原因，投标人确定报名后应当在 </w:t>
      </w:r>
      <w:r>
        <w:rPr>
          <w:rFonts w:hint="eastAsia" w:ascii="仿宋" w:hAnsi="仿宋" w:eastAsia="仿宋"/>
          <w:color w:val="FF0000"/>
          <w:sz w:val="24"/>
          <w:highlight w:val="yellow"/>
        </w:rPr>
        <w:t>2021 年</w:t>
      </w:r>
      <w:r>
        <w:rPr>
          <w:rFonts w:hint="eastAsia" w:ascii="仿宋" w:hAnsi="仿宋" w:eastAsia="仿宋"/>
          <w:color w:val="FF0000"/>
          <w:sz w:val="24"/>
          <w:highlight w:val="yellow"/>
          <w:lang w:val="en-US" w:eastAsia="zh-CN"/>
        </w:rPr>
        <w:t>6</w:t>
      </w:r>
      <w:r>
        <w:rPr>
          <w:rFonts w:hint="eastAsia" w:ascii="仿宋" w:hAnsi="仿宋" w:eastAsia="仿宋"/>
          <w:color w:val="FF0000"/>
          <w:sz w:val="24"/>
          <w:highlight w:val="yellow"/>
        </w:rPr>
        <w:t>月</w:t>
      </w:r>
      <w:r>
        <w:rPr>
          <w:rFonts w:hint="eastAsia" w:ascii="仿宋" w:hAnsi="仿宋" w:eastAsia="仿宋"/>
          <w:color w:val="FF0000"/>
          <w:sz w:val="24"/>
          <w:highlight w:val="yellow"/>
          <w:lang w:val="en-US" w:eastAsia="zh-CN"/>
        </w:rPr>
        <w:t>10</w:t>
      </w:r>
      <w:r>
        <w:rPr>
          <w:rFonts w:hint="eastAsia" w:ascii="仿宋" w:hAnsi="仿宋" w:eastAsia="仿宋"/>
          <w:color w:val="FF0000"/>
          <w:sz w:val="24"/>
          <w:highlight w:val="yellow"/>
        </w:rPr>
        <w:t>日16:30</w:t>
      </w:r>
      <w:r>
        <w:rPr>
          <w:rFonts w:hint="eastAsia" w:ascii="仿宋" w:hAnsi="仿宋" w:eastAsia="仿宋"/>
          <w:color w:val="FF0000"/>
          <w:sz w:val="24"/>
        </w:rPr>
        <w:t>时前（收到投标文件时间）将</w:t>
      </w:r>
      <w:r>
        <w:rPr>
          <w:rFonts w:hint="eastAsia" w:ascii="仿宋" w:hAnsi="仿宋" w:eastAsia="仿宋" w:cs="华文中宋"/>
          <w:color w:val="FF0000"/>
          <w:sz w:val="24"/>
          <w:u w:val="single"/>
          <w:lang w:val="zh-CN"/>
        </w:rPr>
        <w:t>纸质备份和电子备份(U盘)</w:t>
      </w:r>
      <w:r>
        <w:rPr>
          <w:rFonts w:hint="eastAsia" w:ascii="仿宋" w:hAnsi="仿宋" w:eastAsia="仿宋"/>
          <w:color w:val="FF0000"/>
          <w:sz w:val="24"/>
        </w:rPr>
        <w:t>投标文件分别密封，邮寄到浙江浩睿招标代理有限公司，地址：浙江省衢州市龙游县龙洲街道莲湖路131号，逾期送达或未密封将被拒收。</w:t>
      </w:r>
    </w:p>
    <w:p>
      <w:pPr>
        <w:snapToGrid w:val="0"/>
        <w:spacing w:line="440" w:lineRule="exact"/>
        <w:rPr>
          <w:rFonts w:ascii="仿宋" w:hAnsi="仿宋" w:eastAsia="仿宋"/>
          <w:b/>
          <w:sz w:val="24"/>
        </w:rPr>
      </w:pPr>
      <w:r>
        <w:rPr>
          <w:rFonts w:hint="eastAsia" w:ascii="仿宋" w:hAnsi="仿宋" w:eastAsia="仿宋"/>
          <w:b/>
          <w:sz w:val="24"/>
        </w:rPr>
        <w:t>八、</w:t>
      </w:r>
      <w:r>
        <w:rPr>
          <w:rFonts w:ascii="仿宋" w:hAnsi="仿宋" w:eastAsia="仿宋"/>
          <w:b/>
          <w:sz w:val="24"/>
        </w:rPr>
        <w:t>提交答疑截止时间</w:t>
      </w:r>
      <w:r>
        <w:rPr>
          <w:rFonts w:hint="eastAsia" w:ascii="仿宋" w:hAnsi="仿宋" w:eastAsia="仿宋"/>
          <w:b/>
          <w:sz w:val="24"/>
        </w:rPr>
        <w:t>：</w:t>
      </w:r>
      <w:r>
        <w:rPr>
          <w:rFonts w:hint="eastAsia" w:ascii="仿宋" w:hAnsi="仿宋" w:eastAsia="仿宋"/>
          <w:sz w:val="24"/>
        </w:rPr>
        <w:t>如对询价文件有异议，请在</w:t>
      </w:r>
      <w:r>
        <w:rPr>
          <w:rFonts w:hint="eastAsia" w:ascii="仿宋" w:hAnsi="仿宋" w:eastAsia="仿宋"/>
          <w:sz w:val="24"/>
          <w:highlight w:val="yellow"/>
        </w:rPr>
        <w:t>2021</w:t>
      </w:r>
      <w:r>
        <w:rPr>
          <w:rFonts w:ascii="仿宋" w:hAnsi="仿宋" w:eastAsia="仿宋"/>
          <w:sz w:val="24"/>
          <w:highlight w:val="yellow"/>
        </w:rPr>
        <w:t>年</w:t>
      </w:r>
      <w:r>
        <w:rPr>
          <w:rFonts w:hint="eastAsia" w:ascii="仿宋" w:hAnsi="仿宋" w:eastAsia="仿宋"/>
          <w:sz w:val="24"/>
          <w:highlight w:val="yellow"/>
          <w:lang w:val="en-US" w:eastAsia="zh-CN"/>
        </w:rPr>
        <w:t>6</w:t>
      </w:r>
      <w:r>
        <w:rPr>
          <w:rFonts w:hint="eastAsia" w:ascii="仿宋" w:hAnsi="仿宋" w:eastAsia="仿宋"/>
          <w:sz w:val="24"/>
          <w:highlight w:val="yellow"/>
        </w:rPr>
        <w:t>月</w:t>
      </w:r>
      <w:r>
        <w:rPr>
          <w:rFonts w:hint="eastAsia" w:ascii="仿宋" w:hAnsi="仿宋" w:eastAsia="仿宋"/>
          <w:sz w:val="24"/>
          <w:highlight w:val="yellow"/>
          <w:lang w:val="en-US" w:eastAsia="zh-CN"/>
        </w:rPr>
        <w:t>10</w:t>
      </w:r>
      <w:r>
        <w:rPr>
          <w:rFonts w:hint="eastAsia" w:ascii="仿宋" w:hAnsi="仿宋" w:eastAsia="仿宋"/>
          <w:sz w:val="24"/>
          <w:highlight w:val="yellow"/>
        </w:rPr>
        <w:t>日16:30</w:t>
      </w:r>
      <w:r>
        <w:rPr>
          <w:rFonts w:hint="eastAsia" w:ascii="仿宋" w:hAnsi="仿宋" w:eastAsia="仿宋"/>
          <w:sz w:val="24"/>
        </w:rPr>
        <w:t>前以书面形式向浙江浩睿招标代理有限公司提出，逾期概不受理。</w:t>
      </w:r>
    </w:p>
    <w:p>
      <w:pPr>
        <w:tabs>
          <w:tab w:val="left" w:pos="900"/>
        </w:tabs>
        <w:snapToGrid w:val="0"/>
        <w:spacing w:line="440" w:lineRule="exact"/>
        <w:rPr>
          <w:rFonts w:ascii="仿宋" w:hAnsi="仿宋" w:eastAsia="仿宋"/>
          <w:sz w:val="24"/>
        </w:rPr>
      </w:pPr>
      <w:r>
        <w:rPr>
          <w:rFonts w:hint="eastAsia" w:ascii="仿宋" w:hAnsi="仿宋" w:eastAsia="仿宋"/>
          <w:b/>
          <w:sz w:val="24"/>
        </w:rPr>
        <w:t>九、答疑回复时间：</w:t>
      </w:r>
      <w:r>
        <w:rPr>
          <w:rFonts w:hint="eastAsia" w:ascii="仿宋" w:hAnsi="仿宋" w:eastAsia="仿宋"/>
          <w:sz w:val="24"/>
        </w:rPr>
        <w:t>询价文件的答疑、补充、修改等于</w:t>
      </w:r>
      <w:r>
        <w:rPr>
          <w:rFonts w:hint="eastAsia" w:ascii="仿宋" w:hAnsi="仿宋" w:eastAsia="仿宋"/>
          <w:sz w:val="24"/>
          <w:highlight w:val="yellow"/>
        </w:rPr>
        <w:t>2021</w:t>
      </w:r>
      <w:r>
        <w:rPr>
          <w:rFonts w:ascii="仿宋" w:hAnsi="仿宋" w:eastAsia="仿宋"/>
          <w:sz w:val="24"/>
          <w:highlight w:val="yellow"/>
        </w:rPr>
        <w:t>年</w:t>
      </w:r>
      <w:r>
        <w:rPr>
          <w:rFonts w:hint="eastAsia" w:ascii="仿宋" w:hAnsi="仿宋" w:eastAsia="仿宋"/>
          <w:sz w:val="24"/>
          <w:highlight w:val="yellow"/>
          <w:lang w:val="en-US" w:eastAsia="zh-CN"/>
        </w:rPr>
        <w:t>6</w:t>
      </w:r>
      <w:r>
        <w:rPr>
          <w:rFonts w:hint="eastAsia" w:ascii="仿宋" w:hAnsi="仿宋" w:eastAsia="仿宋"/>
          <w:sz w:val="24"/>
          <w:highlight w:val="yellow"/>
        </w:rPr>
        <w:t>月</w:t>
      </w:r>
      <w:r>
        <w:rPr>
          <w:rFonts w:hint="eastAsia" w:ascii="仿宋" w:hAnsi="仿宋" w:eastAsia="仿宋"/>
          <w:sz w:val="24"/>
          <w:highlight w:val="yellow"/>
          <w:lang w:val="en-US" w:eastAsia="zh-CN"/>
        </w:rPr>
        <w:t>10</w:t>
      </w:r>
      <w:r>
        <w:rPr>
          <w:rFonts w:hint="eastAsia" w:ascii="仿宋" w:hAnsi="仿宋" w:eastAsia="仿宋"/>
          <w:sz w:val="24"/>
          <w:highlight w:val="yellow"/>
        </w:rPr>
        <w:t>日16:30</w:t>
      </w:r>
      <w:r>
        <w:rPr>
          <w:rFonts w:hint="eastAsia" w:ascii="仿宋" w:hAnsi="仿宋" w:eastAsia="仿宋"/>
          <w:sz w:val="24"/>
        </w:rPr>
        <w:t>前在浙江政府采购网公布，请各供应商必须注意。</w:t>
      </w:r>
    </w:p>
    <w:p>
      <w:pPr>
        <w:tabs>
          <w:tab w:val="left" w:pos="8820"/>
        </w:tabs>
        <w:snapToGrid w:val="0"/>
        <w:spacing w:line="440" w:lineRule="exact"/>
        <w:rPr>
          <w:rFonts w:ascii="仿宋" w:hAnsi="仿宋" w:eastAsia="仿宋"/>
          <w:sz w:val="24"/>
        </w:rPr>
      </w:pPr>
      <w:r>
        <w:rPr>
          <w:rFonts w:hint="eastAsia" w:ascii="仿宋" w:hAnsi="仿宋" w:eastAsia="仿宋"/>
          <w:b/>
          <w:sz w:val="24"/>
        </w:rPr>
        <w:t>十</w:t>
      </w:r>
      <w:r>
        <w:rPr>
          <w:rFonts w:ascii="仿宋" w:hAnsi="仿宋" w:eastAsia="仿宋"/>
          <w:b/>
          <w:sz w:val="24"/>
        </w:rPr>
        <w:t>、开始</w:t>
      </w:r>
      <w:r>
        <w:rPr>
          <w:rFonts w:hint="eastAsia" w:ascii="仿宋" w:hAnsi="仿宋" w:eastAsia="仿宋"/>
          <w:b/>
          <w:sz w:val="24"/>
        </w:rPr>
        <w:t>询价</w:t>
      </w:r>
      <w:r>
        <w:rPr>
          <w:rFonts w:ascii="仿宋" w:hAnsi="仿宋" w:eastAsia="仿宋"/>
          <w:b/>
          <w:sz w:val="24"/>
        </w:rPr>
        <w:t>的有关信息</w:t>
      </w:r>
      <w:r>
        <w:rPr>
          <w:rFonts w:hint="eastAsia" w:ascii="仿宋" w:hAnsi="仿宋" w:eastAsia="仿宋"/>
          <w:b/>
          <w:sz w:val="24"/>
        </w:rPr>
        <w:t>：</w:t>
      </w:r>
    </w:p>
    <w:p>
      <w:pPr>
        <w:tabs>
          <w:tab w:val="left" w:pos="900"/>
        </w:tabs>
        <w:snapToGrid w:val="0"/>
        <w:spacing w:line="440" w:lineRule="exact"/>
        <w:ind w:firstLine="600" w:firstLineChars="250"/>
        <w:rPr>
          <w:rFonts w:ascii="仿宋" w:hAnsi="仿宋" w:eastAsia="仿宋"/>
          <w:sz w:val="24"/>
        </w:rPr>
      </w:pPr>
      <w:r>
        <w:rPr>
          <w:rFonts w:hint="eastAsia" w:ascii="仿宋" w:hAnsi="仿宋" w:eastAsia="仿宋"/>
          <w:sz w:val="24"/>
        </w:rPr>
        <w:t>询价响应文件提交截止时间</w:t>
      </w:r>
      <w:r>
        <w:rPr>
          <w:rFonts w:hint="eastAsia" w:ascii="仿宋" w:hAnsi="仿宋" w:eastAsia="仿宋"/>
          <w:sz w:val="24"/>
          <w:highlight w:val="yellow"/>
        </w:rPr>
        <w:t>：2021年</w:t>
      </w:r>
      <w:r>
        <w:rPr>
          <w:rFonts w:hint="eastAsia" w:ascii="仿宋" w:hAnsi="仿宋" w:eastAsia="仿宋"/>
          <w:sz w:val="24"/>
          <w:highlight w:val="yellow"/>
          <w:lang w:val="en-US" w:eastAsia="zh-CN"/>
        </w:rPr>
        <w:t>6</w:t>
      </w:r>
      <w:r>
        <w:rPr>
          <w:rFonts w:hint="eastAsia" w:ascii="仿宋" w:hAnsi="仿宋" w:eastAsia="仿宋"/>
          <w:sz w:val="24"/>
          <w:highlight w:val="yellow"/>
        </w:rPr>
        <w:t>月</w:t>
      </w:r>
      <w:r>
        <w:rPr>
          <w:rFonts w:hint="eastAsia" w:ascii="仿宋" w:hAnsi="仿宋" w:eastAsia="仿宋"/>
          <w:sz w:val="24"/>
          <w:highlight w:val="yellow"/>
          <w:lang w:val="en-US" w:eastAsia="zh-CN"/>
        </w:rPr>
        <w:t>11</w:t>
      </w:r>
      <w:r>
        <w:rPr>
          <w:rFonts w:hint="eastAsia" w:ascii="仿宋" w:hAnsi="仿宋" w:eastAsia="仿宋"/>
          <w:sz w:val="24"/>
          <w:highlight w:val="yellow"/>
        </w:rPr>
        <w:t>日</w:t>
      </w:r>
      <w:r>
        <w:rPr>
          <w:rFonts w:hint="eastAsia" w:ascii="仿宋" w:hAnsi="仿宋" w:eastAsia="仿宋"/>
          <w:sz w:val="24"/>
          <w:highlight w:val="yellow"/>
          <w:lang w:val="en-US" w:eastAsia="zh-CN"/>
        </w:rPr>
        <w:t>15</w:t>
      </w:r>
      <w:r>
        <w:rPr>
          <w:rFonts w:hint="eastAsia" w:ascii="仿宋" w:hAnsi="仿宋" w:eastAsia="仿宋"/>
          <w:sz w:val="24"/>
          <w:highlight w:val="yellow"/>
        </w:rPr>
        <w:t>:</w:t>
      </w:r>
      <w:r>
        <w:rPr>
          <w:rFonts w:hint="eastAsia" w:ascii="仿宋" w:hAnsi="仿宋" w:eastAsia="仿宋"/>
          <w:sz w:val="24"/>
          <w:highlight w:val="yellow"/>
          <w:lang w:val="en-US" w:eastAsia="zh-CN"/>
        </w:rPr>
        <w:t>0</w:t>
      </w:r>
      <w:r>
        <w:rPr>
          <w:rFonts w:hint="eastAsia" w:ascii="仿宋" w:hAnsi="仿宋" w:eastAsia="仿宋"/>
          <w:sz w:val="24"/>
          <w:highlight w:val="yellow"/>
        </w:rPr>
        <w:t>0时</w:t>
      </w:r>
    </w:p>
    <w:p>
      <w:pPr>
        <w:tabs>
          <w:tab w:val="left" w:pos="900"/>
        </w:tabs>
        <w:snapToGrid w:val="0"/>
        <w:spacing w:line="440" w:lineRule="exact"/>
        <w:ind w:firstLine="540" w:firstLineChars="225"/>
        <w:rPr>
          <w:rFonts w:ascii="仿宋" w:hAnsi="仿宋" w:eastAsia="仿宋"/>
          <w:sz w:val="24"/>
        </w:rPr>
      </w:pPr>
      <w:r>
        <w:rPr>
          <w:rFonts w:hint="eastAsia" w:ascii="仿宋" w:hAnsi="仿宋" w:eastAsia="仿宋"/>
          <w:sz w:val="24"/>
        </w:rPr>
        <w:t>开标地点：线上</w:t>
      </w:r>
    </w:p>
    <w:p>
      <w:pPr>
        <w:tabs>
          <w:tab w:val="left" w:pos="900"/>
        </w:tabs>
        <w:snapToGrid w:val="0"/>
        <w:spacing w:line="440" w:lineRule="exact"/>
        <w:ind w:firstLine="540" w:firstLineChars="225"/>
        <w:rPr>
          <w:rFonts w:ascii="仿宋" w:hAnsi="仿宋" w:eastAsia="仿宋"/>
          <w:sz w:val="24"/>
        </w:rPr>
      </w:pPr>
      <w:r>
        <w:rPr>
          <w:rFonts w:hint="eastAsia" w:ascii="仿宋" w:hAnsi="仿宋" w:eastAsia="仿宋"/>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tabs>
          <w:tab w:val="left" w:pos="900"/>
        </w:tabs>
        <w:snapToGrid w:val="0"/>
        <w:spacing w:line="440" w:lineRule="exact"/>
        <w:rPr>
          <w:rFonts w:ascii="仿宋" w:hAnsi="仿宋" w:eastAsia="仿宋"/>
          <w:b/>
          <w:sz w:val="24"/>
        </w:rPr>
      </w:pPr>
      <w:r>
        <w:rPr>
          <w:rFonts w:hint="eastAsia" w:ascii="仿宋" w:hAnsi="仿宋" w:eastAsia="仿宋"/>
          <w:b/>
          <w:sz w:val="24"/>
        </w:rPr>
        <w:t>十一</w:t>
      </w:r>
      <w:r>
        <w:rPr>
          <w:rFonts w:ascii="仿宋" w:hAnsi="仿宋" w:eastAsia="仿宋"/>
          <w:b/>
          <w:sz w:val="24"/>
        </w:rPr>
        <w:t>、本次</w:t>
      </w:r>
      <w:r>
        <w:rPr>
          <w:rFonts w:hint="eastAsia" w:ascii="仿宋" w:hAnsi="仿宋" w:eastAsia="仿宋"/>
          <w:b/>
          <w:sz w:val="24"/>
        </w:rPr>
        <w:t>询价</w:t>
      </w:r>
      <w:r>
        <w:rPr>
          <w:rFonts w:ascii="仿宋" w:hAnsi="仿宋" w:eastAsia="仿宋"/>
          <w:b/>
          <w:sz w:val="24"/>
        </w:rPr>
        <w:t>联系事项</w:t>
      </w:r>
      <w:r>
        <w:rPr>
          <w:rFonts w:hint="eastAsia" w:ascii="仿宋" w:hAnsi="仿宋" w:eastAsia="仿宋"/>
          <w:b/>
          <w:sz w:val="24"/>
        </w:rPr>
        <w:t>：</w:t>
      </w:r>
    </w:p>
    <w:p>
      <w:pPr>
        <w:tabs>
          <w:tab w:val="left" w:pos="900"/>
        </w:tabs>
        <w:snapToGrid w:val="0"/>
        <w:spacing w:line="440" w:lineRule="exact"/>
        <w:ind w:firstLine="472" w:firstLineChars="200"/>
        <w:rPr>
          <w:rFonts w:ascii="仿宋" w:hAnsi="仿宋" w:eastAsia="仿宋" w:cs="仿宋_GB2312"/>
          <w:spacing w:val="-2"/>
          <w:kern w:val="0"/>
          <w:sz w:val="24"/>
        </w:rPr>
      </w:pPr>
      <w:r>
        <w:rPr>
          <w:rFonts w:hint="eastAsia" w:ascii="仿宋" w:hAnsi="仿宋" w:eastAsia="仿宋" w:cs="仿宋_GB2312"/>
          <w:spacing w:val="-2"/>
          <w:kern w:val="0"/>
          <w:sz w:val="24"/>
        </w:rPr>
        <w:t>采购单位：龙游传媒集团（龙游县广播电视总台）</w:t>
      </w:r>
    </w:p>
    <w:p>
      <w:pPr>
        <w:tabs>
          <w:tab w:val="left" w:pos="900"/>
        </w:tabs>
        <w:snapToGrid w:val="0"/>
        <w:spacing w:line="440" w:lineRule="exact"/>
        <w:ind w:firstLine="472" w:firstLineChars="200"/>
        <w:rPr>
          <w:rFonts w:ascii="仿宋" w:hAnsi="仿宋" w:eastAsia="仿宋" w:cs="仿宋_GB2312"/>
          <w:spacing w:val="-2"/>
          <w:kern w:val="0"/>
          <w:sz w:val="24"/>
        </w:rPr>
      </w:pPr>
      <w:r>
        <w:rPr>
          <w:rFonts w:hint="eastAsia" w:ascii="仿宋" w:hAnsi="仿宋" w:eastAsia="仿宋" w:cs="仿宋_GB2312"/>
          <w:spacing w:val="-2"/>
          <w:kern w:val="0"/>
          <w:sz w:val="24"/>
        </w:rPr>
        <w:t xml:space="preserve">联系人：洪女士      联系电话：0570-7368951  </w:t>
      </w:r>
    </w:p>
    <w:p>
      <w:pPr>
        <w:tabs>
          <w:tab w:val="left" w:pos="900"/>
        </w:tabs>
        <w:snapToGrid w:val="0"/>
        <w:spacing w:line="440" w:lineRule="exact"/>
        <w:ind w:firstLine="472" w:firstLineChars="200"/>
        <w:rPr>
          <w:rFonts w:ascii="仿宋" w:hAnsi="仿宋" w:eastAsia="仿宋" w:cs="仿宋_GB2312"/>
          <w:spacing w:val="-2"/>
          <w:kern w:val="0"/>
          <w:sz w:val="24"/>
        </w:rPr>
      </w:pPr>
      <w:r>
        <w:rPr>
          <w:rFonts w:hint="eastAsia" w:ascii="仿宋" w:hAnsi="仿宋" w:eastAsia="仿宋" w:cs="仿宋_GB2312"/>
          <w:spacing w:val="-2"/>
          <w:kern w:val="0"/>
          <w:sz w:val="24"/>
        </w:rPr>
        <w:t>招标代理：浙江浩睿招标代理有限公司</w:t>
      </w:r>
    </w:p>
    <w:p>
      <w:pPr>
        <w:tabs>
          <w:tab w:val="left" w:pos="900"/>
        </w:tabs>
        <w:snapToGrid w:val="0"/>
        <w:spacing w:line="440" w:lineRule="exact"/>
        <w:ind w:firstLine="472" w:firstLineChars="200"/>
        <w:rPr>
          <w:rFonts w:ascii="仿宋" w:hAnsi="仿宋" w:eastAsia="仿宋" w:cs="仿宋_GB2312"/>
          <w:spacing w:val="-2"/>
          <w:kern w:val="0"/>
          <w:sz w:val="24"/>
        </w:rPr>
      </w:pPr>
      <w:r>
        <w:rPr>
          <w:rFonts w:hint="eastAsia" w:ascii="仿宋" w:hAnsi="仿宋" w:eastAsia="仿宋" w:cs="仿宋_GB2312"/>
          <w:spacing w:val="-2"/>
          <w:kern w:val="0"/>
          <w:sz w:val="24"/>
        </w:rPr>
        <w:t>联系人：蒋先生      联系电话：13515705796</w:t>
      </w:r>
    </w:p>
    <w:p>
      <w:pPr>
        <w:tabs>
          <w:tab w:val="left" w:pos="900"/>
        </w:tabs>
        <w:snapToGrid w:val="0"/>
        <w:spacing w:line="440" w:lineRule="exact"/>
        <w:ind w:firstLine="480" w:firstLineChars="200"/>
        <w:rPr>
          <w:rFonts w:ascii="仿宋" w:hAnsi="仿宋" w:eastAsia="仿宋"/>
          <w:b/>
          <w:sz w:val="24"/>
        </w:rPr>
      </w:pPr>
      <w:r>
        <w:rPr>
          <w:rFonts w:hint="eastAsia" w:ascii="仿宋" w:hAnsi="仿宋" w:eastAsia="仿宋" w:cs="仿宋_GB2312"/>
          <w:sz w:val="24"/>
        </w:rPr>
        <w:t>联系地址：</w:t>
      </w:r>
      <w:r>
        <w:rPr>
          <w:rFonts w:ascii="仿宋" w:hAnsi="仿宋" w:eastAsia="仿宋"/>
          <w:sz w:val="24"/>
        </w:rPr>
        <w:t>龙游县龙洲街道</w:t>
      </w:r>
      <w:r>
        <w:rPr>
          <w:rFonts w:hint="eastAsia" w:ascii="仿宋" w:hAnsi="仿宋" w:eastAsia="仿宋"/>
          <w:sz w:val="24"/>
        </w:rPr>
        <w:t>莲湖路131号</w:t>
      </w:r>
    </w:p>
    <w:p>
      <w:pPr>
        <w:tabs>
          <w:tab w:val="left" w:pos="900"/>
        </w:tabs>
        <w:snapToGrid w:val="0"/>
        <w:spacing w:line="440" w:lineRule="exact"/>
        <w:rPr>
          <w:rFonts w:ascii="仿宋" w:hAnsi="仿宋" w:eastAsia="仿宋"/>
          <w:b/>
          <w:sz w:val="24"/>
        </w:rPr>
      </w:pPr>
      <w:r>
        <w:rPr>
          <w:rFonts w:hint="eastAsia" w:ascii="仿宋" w:hAnsi="仿宋" w:eastAsia="仿宋"/>
          <w:b/>
          <w:sz w:val="24"/>
        </w:rPr>
        <w:t>十二、招标文件发布及下载地址：</w:t>
      </w:r>
    </w:p>
    <w:p>
      <w:pPr>
        <w:spacing w:line="440" w:lineRule="exact"/>
        <w:ind w:firstLine="480"/>
        <w:jc w:val="left"/>
        <w:rPr>
          <w:rFonts w:ascii="仿宋" w:hAnsi="仿宋" w:eastAsia="仿宋" w:cs="微软雅黑"/>
          <w:sz w:val="24"/>
        </w:rPr>
      </w:pPr>
      <w:r>
        <w:rPr>
          <w:rFonts w:hint="eastAsia" w:ascii="仿宋" w:hAnsi="仿宋" w:eastAsia="仿宋" w:cs="微软雅黑"/>
          <w:sz w:val="24"/>
        </w:rPr>
        <w:t>浙江政府采购网          （</w:t>
      </w:r>
      <w:r>
        <w:fldChar w:fldCharType="begin"/>
      </w:r>
      <w:r>
        <w:instrText xml:space="preserve"> HYPERLINK "http://www.zjzfcg.gov.cn" </w:instrText>
      </w:r>
      <w:r>
        <w:fldChar w:fldCharType="separate"/>
      </w:r>
      <w:r>
        <w:rPr>
          <w:rStyle w:val="46"/>
          <w:rFonts w:hint="eastAsia" w:ascii="仿宋" w:hAnsi="仿宋" w:eastAsia="仿宋" w:cs="微软雅黑"/>
          <w:sz w:val="24"/>
        </w:rPr>
        <w:t>http://http://zfcg.czt.zj.gov.cn</w:t>
      </w:r>
      <w:r>
        <w:rPr>
          <w:rStyle w:val="46"/>
          <w:rFonts w:hint="eastAsia" w:ascii="仿宋" w:hAnsi="仿宋" w:eastAsia="仿宋" w:cs="微软雅黑"/>
          <w:sz w:val="24"/>
        </w:rPr>
        <w:fldChar w:fldCharType="end"/>
      </w:r>
      <w:r>
        <w:rPr>
          <w:rFonts w:hint="eastAsia" w:ascii="仿宋" w:hAnsi="仿宋" w:eastAsia="仿宋" w:cs="微软雅黑"/>
          <w:sz w:val="24"/>
        </w:rPr>
        <w:t>）</w:t>
      </w:r>
    </w:p>
    <w:p>
      <w:pPr>
        <w:tabs>
          <w:tab w:val="left" w:pos="900"/>
        </w:tabs>
        <w:snapToGrid w:val="0"/>
        <w:spacing w:line="440" w:lineRule="exact"/>
        <w:rPr>
          <w:rFonts w:ascii="仿宋" w:hAnsi="仿宋" w:eastAsia="仿宋"/>
          <w:b/>
          <w:sz w:val="24"/>
        </w:rPr>
      </w:pPr>
      <w:r>
        <w:rPr>
          <w:rFonts w:ascii="仿宋" w:hAnsi="仿宋" w:eastAsia="仿宋"/>
          <w:b/>
          <w:sz w:val="24"/>
        </w:rPr>
        <w:t>十</w:t>
      </w:r>
      <w:r>
        <w:rPr>
          <w:rFonts w:hint="eastAsia" w:ascii="仿宋" w:hAnsi="仿宋" w:eastAsia="仿宋"/>
          <w:b/>
          <w:sz w:val="24"/>
        </w:rPr>
        <w:t>三</w:t>
      </w:r>
      <w:r>
        <w:rPr>
          <w:rFonts w:ascii="仿宋" w:hAnsi="仿宋" w:eastAsia="仿宋"/>
          <w:b/>
          <w:sz w:val="24"/>
        </w:rPr>
        <w:t>、其他</w:t>
      </w:r>
      <w:r>
        <w:rPr>
          <w:rFonts w:hint="eastAsia" w:ascii="仿宋" w:hAnsi="仿宋" w:eastAsia="仿宋"/>
          <w:b/>
          <w:sz w:val="24"/>
        </w:rPr>
        <w:t>：</w:t>
      </w:r>
    </w:p>
    <w:p>
      <w:pPr>
        <w:snapToGrid w:val="0"/>
        <w:spacing w:line="440" w:lineRule="exact"/>
        <w:ind w:firstLine="480" w:firstLineChars="200"/>
        <w:rPr>
          <w:rFonts w:ascii="仿宋" w:hAnsi="仿宋" w:eastAsia="仿宋"/>
          <w:sz w:val="24"/>
        </w:rPr>
      </w:pPr>
      <w:r>
        <w:rPr>
          <w:rFonts w:hint="eastAsia" w:ascii="仿宋" w:hAnsi="仿宋" w:eastAsia="仿宋"/>
          <w:sz w:val="24"/>
        </w:rPr>
        <w:t>1.未注册加入浙江省政府采购供应商库的供应商一旦被确定为成交供应商的，应当在《成交通知书》发出前的三个工作日内按《关于印发浙江省政府投标人注册及诚信管理暂行办法通知》[浙财采监字〔2009〕28号]文件的规定进行注册申请，否则，浙江浩睿招标代理有限公司将拒绝向其发出《成交通知书》，并可以直接推荐排名次之的供应商为成交供应商，或者重新组织招标。</w:t>
      </w:r>
    </w:p>
    <w:p>
      <w:pPr>
        <w:snapToGrid w:val="0"/>
        <w:spacing w:line="440" w:lineRule="exact"/>
        <w:ind w:firstLine="480" w:firstLineChars="200"/>
        <w:rPr>
          <w:rFonts w:ascii="仿宋" w:hAnsi="仿宋" w:eastAsia="仿宋"/>
          <w:sz w:val="24"/>
        </w:rPr>
      </w:pPr>
      <w:r>
        <w:rPr>
          <w:rFonts w:hint="eastAsia" w:ascii="仿宋" w:hAnsi="仿宋" w:eastAsia="仿宋"/>
          <w:sz w:val="24"/>
        </w:rPr>
        <w:t>2.质疑和投诉：供应商如认为询价文件、采购过程和中标结果使自身的合法权益受到损害的，可以在知道或者应知其权益受到损害之日起七个工作日内，以书面形式向浙江浩睿招标代理有限公司提出质疑。</w:t>
      </w:r>
    </w:p>
    <w:p>
      <w:pPr>
        <w:snapToGrid w:val="0"/>
        <w:spacing w:line="440" w:lineRule="exact"/>
        <w:ind w:firstLine="480" w:firstLineChars="200"/>
        <w:rPr>
          <w:rFonts w:ascii="仿宋" w:hAnsi="仿宋" w:eastAsia="仿宋"/>
          <w:sz w:val="24"/>
        </w:rPr>
      </w:pPr>
      <w:r>
        <w:rPr>
          <w:rFonts w:hint="eastAsia" w:ascii="仿宋" w:hAnsi="仿宋" w:eastAsia="仿宋"/>
          <w:sz w:val="24"/>
        </w:rPr>
        <w:t>3.供应商对浙江浩睿招标代理有限公司的质疑答复不满意或者浙江浩睿招标代理有限公司未在规定时间内作出答复的，可以在答复期满后十五个工作日内向龙游县财政局政府采购监管科</w:t>
      </w:r>
      <w:r>
        <w:rPr>
          <w:rFonts w:hint="eastAsia" w:ascii="仿宋" w:hAnsi="仿宋" w:eastAsia="仿宋"/>
          <w:sz w:val="24"/>
          <w:lang w:val="zh-CN"/>
        </w:rPr>
        <w:t>投诉</w:t>
      </w:r>
      <w:r>
        <w:rPr>
          <w:rFonts w:hint="eastAsia" w:ascii="仿宋" w:hAnsi="仿宋" w:eastAsia="仿宋"/>
          <w:sz w:val="24"/>
        </w:rPr>
        <w:t>（联系人：吴女士  电话：0570-7011687）。</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4.本次招标采取开标后资格审查。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5.新型冠状病毒感染的肺炎疫情防控期间，投标人的法定代表人（或其委托代人） 无须出席开标现场会议。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6.本采购公告中附件的采购文件仅供阅览使用，潜在供应商应当按照本采购公告 规定方式获取采购文件，未按照规定方式获取的采购文件的，对采购文件提起质疑投 诉不予受理。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7.已成功报名的投标供应商如若不参加本项目的投标，应至少提前两个工作日（投标截止时间往前推）以书面的形式（格式自拟）告知我公司，书面文件扫描件发至我公司邮箱（448272344@qq.com）。 </w:t>
      </w:r>
    </w:p>
    <w:p>
      <w:pPr>
        <w:snapToGrid w:val="0"/>
        <w:spacing w:line="440" w:lineRule="exact"/>
        <w:ind w:firstLine="480" w:firstLineChars="200"/>
        <w:rPr>
          <w:rFonts w:ascii="仿宋" w:hAnsi="仿宋" w:eastAsia="仿宋"/>
          <w:sz w:val="24"/>
        </w:rPr>
      </w:pPr>
      <w:r>
        <w:rPr>
          <w:rFonts w:hint="eastAsia" w:ascii="仿宋" w:hAnsi="仿宋" w:eastAsia="仿宋"/>
          <w:sz w:val="24"/>
        </w:rPr>
        <w:t>8.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40" w:lineRule="exact"/>
        <w:rPr>
          <w:rFonts w:ascii="仿宋" w:hAnsi="仿宋" w:eastAsia="仿宋"/>
          <w:sz w:val="24"/>
        </w:rPr>
      </w:pPr>
      <w:r>
        <w:rPr>
          <w:rFonts w:hint="eastAsia" w:ascii="仿宋" w:hAnsi="仿宋" w:eastAsia="仿宋"/>
          <w:b/>
          <w:sz w:val="24"/>
        </w:rPr>
        <w:t>十四、电子投标注意事项:</w:t>
      </w:r>
    </w:p>
    <w:p>
      <w:pPr>
        <w:snapToGrid w:val="0"/>
        <w:spacing w:line="440" w:lineRule="exact"/>
        <w:ind w:firstLine="480" w:firstLineChars="200"/>
        <w:rPr>
          <w:rFonts w:ascii="仿宋" w:hAnsi="仿宋" w:eastAsia="仿宋"/>
          <w:color w:val="FF0000"/>
          <w:sz w:val="24"/>
        </w:rPr>
      </w:pPr>
      <w:r>
        <w:rPr>
          <w:rFonts w:hint="eastAsia" w:ascii="仿宋" w:hAnsi="仿宋" w:eastAsia="仿宋"/>
          <w:color w:val="FF0000"/>
          <w:sz w:val="24"/>
        </w:rPr>
        <w:t>1.请务必确保投标文件制作客户端为最新版本，旧版本可能导致投标文件解密失败。</w:t>
      </w:r>
    </w:p>
    <w:p>
      <w:pPr>
        <w:snapToGrid w:val="0"/>
        <w:spacing w:line="440" w:lineRule="exact"/>
        <w:ind w:firstLine="480" w:firstLineChars="200"/>
        <w:rPr>
          <w:rFonts w:ascii="仿宋" w:hAnsi="仿宋" w:eastAsia="仿宋"/>
          <w:color w:val="FF0000"/>
          <w:sz w:val="24"/>
        </w:rPr>
      </w:pPr>
      <w:r>
        <w:rPr>
          <w:rFonts w:hint="eastAsia" w:ascii="仿宋" w:hAnsi="仿宋" w:eastAsia="仿宋"/>
          <w:color w:val="FF0000"/>
          <w:sz w:val="24"/>
        </w:rPr>
        <w:t>2.请务必确保投标文件制作时所用的 CA 锁与投标文件解密时的 CA 锁为同一把，否则可能导致投标文件解密失败。</w:t>
      </w:r>
    </w:p>
    <w:p>
      <w:pPr>
        <w:snapToGrid w:val="0"/>
        <w:spacing w:line="440" w:lineRule="exact"/>
        <w:ind w:firstLine="480" w:firstLineChars="200"/>
        <w:rPr>
          <w:rFonts w:ascii="仿宋" w:hAnsi="仿宋" w:eastAsia="仿宋"/>
          <w:color w:val="FF0000"/>
          <w:sz w:val="24"/>
        </w:rPr>
      </w:pPr>
      <w:r>
        <w:rPr>
          <w:rFonts w:hint="eastAsia" w:ascii="仿宋" w:hAnsi="仿宋" w:eastAsia="仿宋"/>
          <w:color w:val="FF0000"/>
          <w:sz w:val="24"/>
        </w:rPr>
        <w:t>3.在投标文件解密前，请务必检验 CA 锁与所用电脑的兼容性，部分电脑因 CA 驱动未正常安装、USB 接口兼容性差等原因可能造成投标文件解密失败。</w:t>
      </w:r>
    </w:p>
    <w:p>
      <w:pPr>
        <w:snapToGrid w:val="0"/>
        <w:spacing w:line="440" w:lineRule="exact"/>
        <w:ind w:left="1" w:firstLine="150" w:firstLineChars="100"/>
        <w:rPr>
          <w:rFonts w:ascii="仿宋" w:hAnsi="仿宋" w:eastAsia="仿宋"/>
          <w:sz w:val="15"/>
          <w:szCs w:val="15"/>
        </w:rPr>
      </w:pPr>
    </w:p>
    <w:p>
      <w:pPr>
        <w:pStyle w:val="37"/>
        <w:rPr>
          <w:rFonts w:ascii="仿宋" w:hAnsi="仿宋" w:eastAsia="仿宋"/>
        </w:rPr>
      </w:pPr>
    </w:p>
    <w:p>
      <w:pPr>
        <w:spacing w:line="440" w:lineRule="exact"/>
        <w:ind w:left="3989" w:hanging="3988" w:hangingChars="1662"/>
        <w:rPr>
          <w:rFonts w:ascii="仿宋" w:hAnsi="仿宋" w:eastAsia="仿宋" w:cs="仿宋_GB2312"/>
          <w:sz w:val="24"/>
        </w:rPr>
      </w:pPr>
      <w:r>
        <w:rPr>
          <w:rFonts w:hint="eastAsia" w:ascii="仿宋" w:hAnsi="仿宋" w:eastAsia="仿宋" w:cs="仿宋_GB2312"/>
          <w:sz w:val="24"/>
        </w:rPr>
        <w:t xml:space="preserve">                                     采购单位：</w:t>
      </w:r>
      <w:r>
        <w:rPr>
          <w:rFonts w:hint="eastAsia" w:ascii="仿宋" w:hAnsi="仿宋" w:eastAsia="仿宋"/>
          <w:sz w:val="24"/>
        </w:rPr>
        <w:t>龙游传媒集团（龙游县广播电视总台）</w:t>
      </w:r>
    </w:p>
    <w:p>
      <w:pPr>
        <w:spacing w:line="440" w:lineRule="exact"/>
        <w:ind w:firstLine="4440" w:firstLineChars="1850"/>
        <w:rPr>
          <w:rFonts w:ascii="仿宋" w:hAnsi="仿宋" w:eastAsia="仿宋" w:cs="仿宋_GB2312"/>
          <w:sz w:val="24"/>
        </w:rPr>
      </w:pPr>
      <w:r>
        <w:rPr>
          <w:rFonts w:hint="eastAsia" w:ascii="仿宋" w:hAnsi="仿宋" w:eastAsia="仿宋" w:cs="仿宋_GB2312"/>
          <w:sz w:val="24"/>
        </w:rPr>
        <w:t xml:space="preserve">代理机构：浙江浩睿招标代理有限公司  </w:t>
      </w:r>
    </w:p>
    <w:p>
      <w:pPr>
        <w:spacing w:line="440" w:lineRule="exact"/>
        <w:rPr>
          <w:rFonts w:ascii="仿宋" w:hAnsi="仿宋" w:eastAsia="仿宋" w:cs="仿宋_GB2312"/>
          <w:b/>
          <w:sz w:val="32"/>
          <w:szCs w:val="32"/>
        </w:rPr>
      </w:pPr>
      <w:r>
        <w:rPr>
          <w:rFonts w:hint="eastAsia" w:ascii="仿宋" w:hAnsi="仿宋" w:eastAsia="仿宋" w:cs="仿宋_GB2312"/>
          <w:sz w:val="24"/>
        </w:rPr>
        <w:t xml:space="preserve">                                     </w:t>
      </w:r>
      <w:r>
        <w:rPr>
          <w:rFonts w:hint="eastAsia" w:ascii="仿宋" w:hAnsi="仿宋" w:eastAsia="仿宋" w:cs="仿宋_GB2312"/>
          <w:sz w:val="24"/>
          <w:highlight w:val="yellow"/>
        </w:rPr>
        <w:t>日期:2021年  月  日</w:t>
      </w:r>
    </w:p>
    <w:p>
      <w:pPr>
        <w:pStyle w:val="35"/>
        <w:rPr>
          <w:rFonts w:ascii="仿宋" w:hAnsi="仿宋" w:eastAsia="仿宋"/>
        </w:rPr>
        <w:sectPr>
          <w:footerReference r:id="rId7" w:type="default"/>
          <w:pgSz w:w="11906" w:h="16838"/>
          <w:pgMar w:top="1440" w:right="1080" w:bottom="1440" w:left="1080" w:header="851" w:footer="850" w:gutter="227"/>
          <w:cols w:space="0" w:num="1"/>
          <w:docGrid w:type="linesAndChars" w:linePitch="312" w:charSpace="0"/>
        </w:sectPr>
      </w:pPr>
    </w:p>
    <w:p>
      <w:pPr>
        <w:pStyle w:val="35"/>
        <w:rPr>
          <w:rFonts w:ascii="仿宋" w:hAnsi="仿宋" w:eastAsia="仿宋"/>
        </w:rPr>
      </w:pPr>
      <w:bookmarkStart w:id="8" w:name="_Toc72941046"/>
      <w:r>
        <w:rPr>
          <w:rFonts w:hint="eastAsia" w:ascii="仿宋" w:hAnsi="仿宋" w:eastAsia="仿宋"/>
        </w:rPr>
        <w:t>第二章  询价须知前附表及询价须知</w:t>
      </w:r>
      <w:bookmarkEnd w:id="8"/>
    </w:p>
    <w:p>
      <w:pPr>
        <w:pStyle w:val="4"/>
        <w:numPr>
          <w:ilvl w:val="0"/>
          <w:numId w:val="0"/>
        </w:numPr>
        <w:tabs>
          <w:tab w:val="clear" w:pos="3960"/>
        </w:tabs>
        <w:spacing w:before="0" w:after="0" w:line="500" w:lineRule="exact"/>
        <w:rPr>
          <w:rFonts w:ascii="仿宋" w:hAnsi="仿宋" w:eastAsia="仿宋"/>
          <w:sz w:val="30"/>
          <w:szCs w:val="30"/>
        </w:rPr>
      </w:pPr>
      <w:bookmarkStart w:id="9" w:name="_Toc72941047"/>
      <w:bookmarkStart w:id="10" w:name="_Toc17104"/>
      <w:bookmarkStart w:id="11" w:name="_Toc32623"/>
      <w:bookmarkStart w:id="12" w:name="_Toc5338"/>
      <w:bookmarkStart w:id="13" w:name="_Toc19567"/>
      <w:bookmarkStart w:id="14" w:name="_Toc30611"/>
      <w:bookmarkStart w:id="15" w:name="_Toc2616"/>
      <w:bookmarkStart w:id="16" w:name="_Toc4371"/>
      <w:bookmarkStart w:id="17" w:name="_Toc10117"/>
      <w:bookmarkStart w:id="18" w:name="_Toc21430"/>
      <w:bookmarkStart w:id="19" w:name="_Toc11066"/>
      <w:bookmarkStart w:id="20" w:name="_Toc10678"/>
      <w:r>
        <w:rPr>
          <w:rFonts w:hint="eastAsia" w:ascii="仿宋" w:hAnsi="仿宋" w:eastAsia="仿宋" w:cs="仿宋_GB2312"/>
          <w:b w:val="0"/>
          <w:sz w:val="30"/>
          <w:szCs w:val="30"/>
        </w:rPr>
        <w:t>一、询价须知前附表</w:t>
      </w:r>
      <w:bookmarkEnd w:id="9"/>
    </w:p>
    <w:tbl>
      <w:tblPr>
        <w:tblStyle w:val="38"/>
        <w:tblW w:w="973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813"/>
        <w:gridCol w:w="5979"/>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序号</w:t>
            </w:r>
          </w:p>
        </w:tc>
        <w:tc>
          <w:tcPr>
            <w:tcW w:w="281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内  容</w:t>
            </w:r>
          </w:p>
        </w:tc>
        <w:tc>
          <w:tcPr>
            <w:tcW w:w="5979"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1</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采购人</w:t>
            </w:r>
          </w:p>
        </w:tc>
        <w:tc>
          <w:tcPr>
            <w:tcW w:w="5979" w:type="dxa"/>
            <w:vAlign w:val="center"/>
          </w:tcPr>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龙游传媒集团（龙游县广播电视总台）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19"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2</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项目名称</w:t>
            </w:r>
          </w:p>
        </w:tc>
        <w:tc>
          <w:tcPr>
            <w:tcW w:w="5979" w:type="dxa"/>
            <w:vAlign w:val="center"/>
          </w:tcPr>
          <w:p>
            <w:pPr>
              <w:wordWrap w:val="0"/>
              <w:spacing w:line="440" w:lineRule="exact"/>
              <w:rPr>
                <w:rFonts w:ascii="仿宋" w:hAnsi="仿宋" w:eastAsia="仿宋" w:cs="华文中宋"/>
                <w:szCs w:val="21"/>
              </w:rPr>
            </w:pPr>
            <w:r>
              <w:rPr>
                <w:rFonts w:hint="eastAsia" w:ascii="仿宋" w:hAnsi="仿宋" w:eastAsia="仿宋" w:cs="华文中宋"/>
                <w:szCs w:val="21"/>
              </w:rPr>
              <w:t>龙游传媒集团（龙游县广播电视总台）机顶盒采购项目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3</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最高单价限价</w:t>
            </w:r>
          </w:p>
        </w:tc>
        <w:tc>
          <w:tcPr>
            <w:tcW w:w="5979" w:type="dxa"/>
            <w:vAlign w:val="center"/>
          </w:tcPr>
          <w:p>
            <w:pPr>
              <w:wordWrap w:val="0"/>
              <w:spacing w:line="440" w:lineRule="exact"/>
              <w:rPr>
                <w:rFonts w:ascii="仿宋" w:hAnsi="仿宋" w:eastAsia="仿宋" w:cs="华文中宋"/>
                <w:szCs w:val="21"/>
              </w:rPr>
            </w:pPr>
            <w:r>
              <w:rPr>
                <w:rFonts w:hint="eastAsia" w:ascii="仿宋" w:hAnsi="仿宋" w:eastAsia="仿宋" w:cs="华文中宋"/>
                <w:szCs w:val="21"/>
              </w:rPr>
              <w:t>详见第三章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5</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询价有效期</w:t>
            </w:r>
          </w:p>
        </w:tc>
        <w:tc>
          <w:tcPr>
            <w:tcW w:w="5979" w:type="dxa"/>
            <w:vAlign w:val="center"/>
          </w:tcPr>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响应文件递交截止之日起60天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6</w:t>
            </w:r>
          </w:p>
        </w:tc>
        <w:tc>
          <w:tcPr>
            <w:tcW w:w="2813" w:type="dxa"/>
            <w:vAlign w:val="center"/>
          </w:tcPr>
          <w:p>
            <w:pPr>
              <w:pStyle w:val="21"/>
              <w:wordWrap w:val="0"/>
              <w:snapToGrid w:val="0"/>
              <w:spacing w:line="440" w:lineRule="exact"/>
              <w:jc w:val="center"/>
              <w:rPr>
                <w:rFonts w:ascii="仿宋" w:hAnsi="仿宋" w:eastAsia="仿宋" w:cs="华文中宋"/>
                <w:spacing w:val="-20"/>
                <w:szCs w:val="21"/>
              </w:rPr>
            </w:pPr>
            <w:r>
              <w:rPr>
                <w:rFonts w:hint="eastAsia" w:ascii="仿宋" w:hAnsi="仿宋" w:eastAsia="仿宋" w:cs="华文中宋"/>
                <w:spacing w:val="-20"/>
                <w:szCs w:val="21"/>
              </w:rPr>
              <w:t>询价响应文件递交截止时间</w:t>
            </w:r>
          </w:p>
        </w:tc>
        <w:tc>
          <w:tcPr>
            <w:tcW w:w="5979" w:type="dxa"/>
            <w:vAlign w:val="center"/>
          </w:tcPr>
          <w:p>
            <w:pPr>
              <w:pStyle w:val="21"/>
              <w:wordWrap w:val="0"/>
              <w:snapToGrid w:val="0"/>
              <w:spacing w:line="440" w:lineRule="exact"/>
              <w:ind w:right="205" w:rightChars="98"/>
              <w:rPr>
                <w:rFonts w:ascii="仿宋" w:hAnsi="仿宋" w:eastAsia="仿宋" w:cs="华文中宋"/>
                <w:szCs w:val="21"/>
                <w:highlight w:val="yellow"/>
              </w:rPr>
            </w:pPr>
            <w:r>
              <w:rPr>
                <w:rFonts w:hint="eastAsia" w:ascii="仿宋" w:hAnsi="仿宋" w:eastAsia="仿宋" w:cs="华文中宋"/>
                <w:szCs w:val="21"/>
              </w:rPr>
              <w:t>2021</w:t>
            </w:r>
            <w:r>
              <w:rPr>
                <w:rFonts w:hint="eastAsia" w:ascii="仿宋" w:hAnsi="仿宋" w:eastAsia="仿宋" w:cs="华文中宋"/>
                <w:szCs w:val="21"/>
                <w:highlight w:val="yellow"/>
              </w:rPr>
              <w:t>年</w:t>
            </w:r>
            <w:r>
              <w:rPr>
                <w:rFonts w:hint="eastAsia" w:ascii="仿宋" w:hAnsi="仿宋" w:eastAsia="仿宋" w:cs="华文中宋"/>
                <w:szCs w:val="21"/>
                <w:highlight w:val="yellow"/>
                <w:lang w:val="en-US" w:eastAsia="zh-CN"/>
              </w:rPr>
              <w:t>6</w:t>
            </w:r>
            <w:r>
              <w:rPr>
                <w:rFonts w:hint="eastAsia" w:ascii="仿宋" w:hAnsi="仿宋" w:eastAsia="仿宋" w:cs="华文中宋"/>
                <w:szCs w:val="21"/>
                <w:highlight w:val="yellow"/>
              </w:rPr>
              <w:t>月</w:t>
            </w:r>
            <w:r>
              <w:rPr>
                <w:rFonts w:hint="eastAsia" w:ascii="仿宋" w:hAnsi="仿宋" w:eastAsia="仿宋" w:cs="华文中宋"/>
                <w:szCs w:val="21"/>
                <w:highlight w:val="yellow"/>
                <w:lang w:val="en-US" w:eastAsia="zh-CN"/>
              </w:rPr>
              <w:t>11</w:t>
            </w:r>
            <w:r>
              <w:rPr>
                <w:rFonts w:hint="eastAsia" w:ascii="仿宋" w:hAnsi="仿宋" w:eastAsia="仿宋" w:cs="华文中宋"/>
                <w:szCs w:val="21"/>
                <w:highlight w:val="yellow"/>
              </w:rPr>
              <w:t>日</w:t>
            </w:r>
            <w:r>
              <w:rPr>
                <w:rFonts w:hint="eastAsia" w:ascii="仿宋" w:hAnsi="仿宋" w:eastAsia="仿宋" w:cs="华文中宋"/>
                <w:szCs w:val="21"/>
                <w:highlight w:val="yellow"/>
                <w:lang w:val="en-US" w:eastAsia="zh-CN"/>
              </w:rPr>
              <w:t>15:00</w:t>
            </w:r>
            <w:r>
              <w:rPr>
                <w:rFonts w:hint="eastAsia" w:ascii="仿宋" w:hAnsi="仿宋" w:eastAsia="仿宋" w:cs="华文中宋"/>
                <w:szCs w:val="21"/>
                <w:highlight w:val="yellow"/>
              </w:rPr>
              <w:t>时（北京时间</w:t>
            </w:r>
            <w:r>
              <w:rPr>
                <w:rFonts w:hint="eastAsia" w:ascii="仿宋" w:hAnsi="仿宋" w:eastAsia="仿宋" w:cs="华文中宋"/>
                <w:szCs w:val="21"/>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7</w:t>
            </w:r>
          </w:p>
        </w:tc>
        <w:tc>
          <w:tcPr>
            <w:tcW w:w="2813" w:type="dxa"/>
            <w:vAlign w:val="center"/>
          </w:tcPr>
          <w:p>
            <w:pPr>
              <w:pStyle w:val="21"/>
              <w:wordWrap w:val="0"/>
              <w:snapToGrid w:val="0"/>
              <w:spacing w:line="440" w:lineRule="exact"/>
              <w:jc w:val="center"/>
              <w:rPr>
                <w:rFonts w:ascii="仿宋" w:hAnsi="仿宋" w:eastAsia="仿宋" w:cs="华文中宋"/>
                <w:spacing w:val="-20"/>
                <w:szCs w:val="21"/>
              </w:rPr>
            </w:pPr>
            <w:r>
              <w:rPr>
                <w:rFonts w:hint="eastAsia" w:ascii="仿宋" w:hAnsi="仿宋" w:eastAsia="仿宋" w:cs="华文中宋"/>
                <w:spacing w:val="-20"/>
                <w:szCs w:val="21"/>
              </w:rPr>
              <w:t>询价地点</w:t>
            </w:r>
          </w:p>
        </w:tc>
        <w:tc>
          <w:tcPr>
            <w:tcW w:w="5979" w:type="dxa"/>
            <w:vAlign w:val="center"/>
          </w:tcPr>
          <w:p>
            <w:pPr>
              <w:wordWrap w:val="0"/>
              <w:spacing w:line="440" w:lineRule="exact"/>
              <w:rPr>
                <w:rFonts w:ascii="仿宋" w:hAnsi="仿宋" w:eastAsia="仿宋" w:cs="华文中宋"/>
                <w:bCs/>
                <w:szCs w:val="21"/>
                <w:highlight w:val="yellow"/>
              </w:rPr>
            </w:pPr>
            <w:r>
              <w:rPr>
                <w:rFonts w:hint="eastAsia" w:ascii="仿宋" w:hAnsi="仿宋" w:eastAsia="仿宋" w:cs="华文中宋"/>
                <w:szCs w:val="21"/>
              </w:rPr>
              <w:t>龙游县公共资源交易中心1楼评标室</w:t>
            </w:r>
            <w:r>
              <w:rPr>
                <w:rFonts w:hint="eastAsia" w:ascii="仿宋" w:hAnsi="仿宋" w:eastAsia="仿宋" w:cs="华文中宋"/>
                <w:szCs w:val="21"/>
                <w:lang w:val="en-US" w:eastAsia="zh-CN"/>
              </w:rPr>
              <w:t>1</w:t>
            </w:r>
            <w:r>
              <w:rPr>
                <w:rFonts w:hint="eastAsia" w:ascii="仿宋" w:hAnsi="仿宋" w:eastAsia="仿宋" w:cs="华文中宋"/>
                <w:szCs w:val="21"/>
              </w:rPr>
              <w:t>（龙游县龙翔路378号，原香溢市场西侧）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8</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pacing w:val="-20"/>
                <w:szCs w:val="21"/>
              </w:rPr>
              <w:t>询价</w:t>
            </w:r>
            <w:r>
              <w:rPr>
                <w:rFonts w:hint="eastAsia" w:ascii="仿宋" w:hAnsi="仿宋" w:eastAsia="仿宋" w:cs="华文中宋"/>
                <w:szCs w:val="21"/>
              </w:rPr>
              <w:t>时间</w:t>
            </w:r>
          </w:p>
        </w:tc>
        <w:tc>
          <w:tcPr>
            <w:tcW w:w="5979" w:type="dxa"/>
            <w:vAlign w:val="center"/>
          </w:tcPr>
          <w:p>
            <w:pPr>
              <w:pStyle w:val="21"/>
              <w:wordWrap w:val="0"/>
              <w:snapToGrid w:val="0"/>
              <w:spacing w:line="440" w:lineRule="exact"/>
              <w:ind w:right="205" w:rightChars="98"/>
              <w:rPr>
                <w:rFonts w:ascii="仿宋" w:hAnsi="仿宋" w:eastAsia="仿宋" w:cs="华文中宋"/>
                <w:szCs w:val="21"/>
                <w:highlight w:val="yellow"/>
              </w:rPr>
            </w:pPr>
            <w:r>
              <w:rPr>
                <w:rFonts w:hint="eastAsia" w:ascii="仿宋" w:hAnsi="仿宋" w:eastAsia="仿宋" w:cs="华文中宋"/>
                <w:szCs w:val="21"/>
                <w:highlight w:val="yellow"/>
              </w:rPr>
              <w:t>2021年</w:t>
            </w:r>
            <w:r>
              <w:rPr>
                <w:rFonts w:hint="eastAsia" w:ascii="仿宋" w:hAnsi="仿宋" w:eastAsia="仿宋" w:cs="华文中宋"/>
                <w:szCs w:val="21"/>
                <w:highlight w:val="yellow"/>
                <w:lang w:val="en-US" w:eastAsia="zh-CN"/>
              </w:rPr>
              <w:t>6</w:t>
            </w:r>
            <w:r>
              <w:rPr>
                <w:rFonts w:hint="eastAsia" w:ascii="仿宋" w:hAnsi="仿宋" w:eastAsia="仿宋" w:cs="华文中宋"/>
                <w:szCs w:val="21"/>
                <w:highlight w:val="yellow"/>
              </w:rPr>
              <w:t>月</w:t>
            </w:r>
            <w:r>
              <w:rPr>
                <w:rFonts w:hint="eastAsia" w:ascii="仿宋" w:hAnsi="仿宋" w:eastAsia="仿宋" w:cs="华文中宋"/>
                <w:szCs w:val="21"/>
                <w:highlight w:val="yellow"/>
                <w:lang w:val="en-US" w:eastAsia="zh-CN"/>
              </w:rPr>
              <w:t>11</w:t>
            </w:r>
            <w:r>
              <w:rPr>
                <w:rFonts w:hint="eastAsia" w:ascii="仿宋" w:hAnsi="仿宋" w:eastAsia="仿宋" w:cs="华文中宋"/>
                <w:szCs w:val="21"/>
                <w:highlight w:val="yellow"/>
              </w:rPr>
              <w:t>日</w:t>
            </w:r>
            <w:r>
              <w:rPr>
                <w:rFonts w:hint="eastAsia" w:ascii="仿宋" w:hAnsi="仿宋" w:eastAsia="仿宋" w:cs="华文中宋"/>
                <w:szCs w:val="21"/>
                <w:highlight w:val="yellow"/>
                <w:lang w:val="en-US" w:eastAsia="zh-CN"/>
              </w:rPr>
              <w:t>15:00</w:t>
            </w:r>
            <w:r>
              <w:rPr>
                <w:rFonts w:hint="eastAsia" w:ascii="仿宋" w:hAnsi="仿宋" w:eastAsia="仿宋" w:cs="华文中宋"/>
                <w:szCs w:val="21"/>
                <w:highlight w:val="yellow"/>
              </w:rPr>
              <w:t>时（北京时间）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9</w:t>
            </w:r>
          </w:p>
        </w:tc>
        <w:tc>
          <w:tcPr>
            <w:tcW w:w="2813" w:type="dxa"/>
            <w:vAlign w:val="center"/>
          </w:tcPr>
          <w:p>
            <w:pPr>
              <w:pStyle w:val="21"/>
              <w:wordWrap w:val="0"/>
              <w:snapToGrid w:val="0"/>
              <w:spacing w:before="156" w:beforeLines="50" w:after="156" w:afterLines="50" w:line="440" w:lineRule="exact"/>
              <w:jc w:val="center"/>
              <w:rPr>
                <w:rFonts w:ascii="仿宋" w:hAnsi="仿宋" w:eastAsia="仿宋" w:cs="微软雅黑"/>
                <w:spacing w:val="-20"/>
                <w:szCs w:val="21"/>
              </w:rPr>
            </w:pPr>
            <w:r>
              <w:rPr>
                <w:rFonts w:hint="eastAsia" w:ascii="仿宋" w:hAnsi="仿宋" w:eastAsia="仿宋" w:cs="微软雅黑"/>
                <w:spacing w:val="-20"/>
                <w:szCs w:val="21"/>
              </w:rPr>
              <w:t>履约保证金缴纳</w:t>
            </w:r>
          </w:p>
        </w:tc>
        <w:tc>
          <w:tcPr>
            <w:tcW w:w="5979" w:type="dxa"/>
            <w:vAlign w:val="center"/>
          </w:tcPr>
          <w:p>
            <w:pPr>
              <w:pStyle w:val="21"/>
              <w:wordWrap w:val="0"/>
              <w:snapToGrid w:val="0"/>
              <w:spacing w:before="156" w:beforeLines="50" w:after="156" w:afterLines="50" w:line="440" w:lineRule="exact"/>
              <w:ind w:right="205" w:rightChars="98"/>
              <w:jc w:val="left"/>
              <w:rPr>
                <w:rFonts w:ascii="仿宋" w:hAnsi="仿宋" w:eastAsia="仿宋" w:cs="微软雅黑"/>
                <w:szCs w:val="21"/>
              </w:rPr>
            </w:pPr>
            <w:r>
              <w:rPr>
                <w:rFonts w:hint="eastAsia" w:ascii="仿宋" w:hAnsi="仿宋" w:eastAsia="仿宋" w:cs="微软雅黑"/>
                <w:szCs w:val="21"/>
              </w:rPr>
              <w:t>中标人需缴纳</w:t>
            </w:r>
            <w:r>
              <w:rPr>
                <w:rFonts w:hint="eastAsia" w:ascii="仿宋" w:hAnsi="仿宋" w:eastAsia="仿宋" w:cs="微软雅黑"/>
                <w:szCs w:val="21"/>
                <w:highlight w:val="yellow"/>
              </w:rPr>
              <w:t>5000</w:t>
            </w:r>
            <w:r>
              <w:rPr>
                <w:rFonts w:hint="eastAsia" w:ascii="仿宋" w:hAnsi="仿宋" w:eastAsia="仿宋" w:cs="微软雅黑"/>
                <w:szCs w:val="21"/>
              </w:rPr>
              <w:t>元作为履约保证金，签订合同前向采购人交纳。</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686"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hint="eastAsia" w:ascii="仿宋" w:hAnsi="仿宋" w:eastAsia="仿宋" w:cs="华文中宋"/>
                <w:szCs w:val="21"/>
              </w:rPr>
              <w:t>1</w:t>
            </w:r>
            <w:r>
              <w:rPr>
                <w:rFonts w:ascii="仿宋" w:hAnsi="仿宋" w:eastAsia="仿宋" w:cs="华文中宋"/>
                <w:szCs w:val="21"/>
              </w:rPr>
              <w:t>0</w:t>
            </w:r>
          </w:p>
        </w:tc>
        <w:tc>
          <w:tcPr>
            <w:tcW w:w="2813" w:type="dxa"/>
            <w:vAlign w:val="center"/>
          </w:tcPr>
          <w:p>
            <w:pPr>
              <w:pStyle w:val="21"/>
              <w:wordWrap w:val="0"/>
              <w:snapToGrid w:val="0"/>
              <w:spacing w:before="156" w:beforeLines="50" w:after="156" w:afterLines="50" w:line="440" w:lineRule="exact"/>
              <w:jc w:val="center"/>
              <w:rPr>
                <w:rFonts w:ascii="仿宋" w:hAnsi="仿宋" w:eastAsia="仿宋" w:cs="微软雅黑"/>
                <w:spacing w:val="-20"/>
                <w:szCs w:val="21"/>
              </w:rPr>
            </w:pPr>
            <w:r>
              <w:rPr>
                <w:rFonts w:hint="eastAsia" w:ascii="仿宋" w:hAnsi="仿宋" w:eastAsia="仿宋" w:cs="微软雅黑"/>
                <w:spacing w:val="-20"/>
                <w:szCs w:val="21"/>
              </w:rPr>
              <w:t>履约保证金退还</w:t>
            </w:r>
          </w:p>
        </w:tc>
        <w:tc>
          <w:tcPr>
            <w:tcW w:w="5979" w:type="dxa"/>
            <w:vAlign w:val="center"/>
          </w:tcPr>
          <w:p>
            <w:pPr>
              <w:pStyle w:val="21"/>
              <w:wordWrap w:val="0"/>
              <w:snapToGrid w:val="0"/>
              <w:spacing w:before="156" w:beforeLines="50" w:after="156" w:afterLines="50" w:line="440" w:lineRule="exact"/>
              <w:ind w:right="205" w:rightChars="98"/>
              <w:jc w:val="left"/>
              <w:rPr>
                <w:rFonts w:ascii="仿宋" w:hAnsi="仿宋" w:eastAsia="仿宋" w:cs="微软雅黑"/>
                <w:color w:val="FF0000"/>
                <w:szCs w:val="21"/>
              </w:rPr>
            </w:pPr>
            <w:r>
              <w:rPr>
                <w:rFonts w:hint="eastAsia" w:ascii="仿宋" w:hAnsi="仿宋" w:eastAsia="仿宋" w:cs="微软雅黑"/>
                <w:color w:val="FF0000"/>
                <w:szCs w:val="21"/>
              </w:rPr>
              <w:t>合同期满后若中标人无违约情况，则履约保证金无息退还。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11</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签订合同</w:t>
            </w:r>
          </w:p>
        </w:tc>
        <w:tc>
          <w:tcPr>
            <w:tcW w:w="5979" w:type="dxa"/>
            <w:vAlign w:val="center"/>
          </w:tcPr>
          <w:p>
            <w:pPr>
              <w:pStyle w:val="21"/>
              <w:wordWrap w:val="0"/>
              <w:snapToGrid w:val="0"/>
              <w:spacing w:line="440" w:lineRule="exact"/>
              <w:ind w:right="205" w:rightChars="98"/>
              <w:rPr>
                <w:rFonts w:ascii="仿宋" w:hAnsi="仿宋" w:eastAsia="仿宋" w:cs="华文中宋"/>
                <w:szCs w:val="21"/>
              </w:rPr>
            </w:pPr>
            <w:r>
              <w:rPr>
                <w:rFonts w:hint="eastAsia" w:ascii="仿宋" w:hAnsi="仿宋" w:eastAsia="仿宋" w:cs="华文中宋"/>
                <w:szCs w:val="21"/>
              </w:rPr>
              <w:t>询价成交通知书发出后30日内签订合同。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43" w:type="dxa"/>
            <w:vAlign w:val="center"/>
          </w:tcPr>
          <w:p>
            <w:pPr>
              <w:pStyle w:val="21"/>
              <w:wordWrap w:val="0"/>
              <w:snapToGrid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12</w:t>
            </w:r>
          </w:p>
        </w:tc>
        <w:tc>
          <w:tcPr>
            <w:tcW w:w="2813" w:type="dxa"/>
            <w:vAlign w:val="center"/>
          </w:tcPr>
          <w:p>
            <w:pPr>
              <w:pStyle w:val="21"/>
              <w:wordWrap w:val="0"/>
              <w:spacing w:line="440" w:lineRule="exact"/>
              <w:jc w:val="center"/>
              <w:rPr>
                <w:rFonts w:ascii="仿宋" w:hAnsi="仿宋" w:eastAsia="仿宋" w:cs="华文中宋"/>
                <w:szCs w:val="21"/>
              </w:rPr>
            </w:pPr>
            <w:r>
              <w:rPr>
                <w:rFonts w:hint="eastAsia" w:ascii="仿宋" w:hAnsi="仿宋" w:eastAsia="仿宋" w:cs="华文中宋"/>
                <w:szCs w:val="21"/>
              </w:rPr>
              <w:t>联合体询价</w:t>
            </w:r>
          </w:p>
        </w:tc>
        <w:tc>
          <w:tcPr>
            <w:tcW w:w="5979" w:type="dxa"/>
            <w:vAlign w:val="center"/>
          </w:tcPr>
          <w:p>
            <w:pPr>
              <w:pStyle w:val="21"/>
              <w:wordWrap w:val="0"/>
              <w:spacing w:line="440" w:lineRule="exact"/>
              <w:ind w:right="205" w:rightChars="98"/>
              <w:rPr>
                <w:rFonts w:ascii="仿宋" w:hAnsi="仿宋" w:eastAsia="仿宋" w:cs="华文中宋"/>
                <w:szCs w:val="21"/>
                <w:lang w:val="zh-CN"/>
              </w:rPr>
            </w:pPr>
            <w:r>
              <w:rPr>
                <w:rFonts w:hint="eastAsia" w:ascii="仿宋" w:hAnsi="仿宋" w:eastAsia="仿宋" w:cs="华文中宋"/>
                <w:szCs w:val="21"/>
              </w:rPr>
              <w:t>本项目谢绝联合体参与询价。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570" w:hRule="atLeast"/>
          <w:jc w:val="center"/>
        </w:trPr>
        <w:tc>
          <w:tcPr>
            <w:tcW w:w="943" w:type="dxa"/>
            <w:vAlign w:val="center"/>
          </w:tcPr>
          <w:p>
            <w:pPr>
              <w:pStyle w:val="21"/>
              <w:wordWrap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13</w:t>
            </w:r>
          </w:p>
        </w:tc>
        <w:tc>
          <w:tcPr>
            <w:tcW w:w="2813" w:type="dxa"/>
            <w:vAlign w:val="center"/>
          </w:tcPr>
          <w:p>
            <w:pPr>
              <w:wordWrap w:val="0"/>
              <w:autoSpaceDE w:val="0"/>
              <w:autoSpaceDN w:val="0"/>
              <w:adjustRightInd w:val="0"/>
              <w:spacing w:line="440" w:lineRule="exact"/>
              <w:jc w:val="center"/>
              <w:rPr>
                <w:rFonts w:ascii="仿宋" w:hAnsi="仿宋" w:eastAsia="仿宋" w:cs="华文中宋"/>
                <w:szCs w:val="21"/>
              </w:rPr>
            </w:pPr>
            <w:r>
              <w:rPr>
                <w:rFonts w:hint="eastAsia" w:ascii="仿宋" w:hAnsi="仿宋" w:eastAsia="仿宋" w:cs="华文中宋"/>
                <w:szCs w:val="21"/>
              </w:rPr>
              <w:t>询价响应文件形式、制作及组成</w:t>
            </w:r>
          </w:p>
        </w:tc>
        <w:tc>
          <w:tcPr>
            <w:tcW w:w="5979" w:type="dxa"/>
            <w:vAlign w:val="center"/>
          </w:tcPr>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投标人应准备电子投标文件、纸质备份投标文件：</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（1）电子投标文件，按政采云平台供应商项目采购-电子招投标操作指南（网址：https://help.zcygov.cn/web/site_2/2018/12-28/2573.html）及本招标文件要求递交。</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（2）</w:t>
            </w:r>
            <w:r>
              <w:rPr>
                <w:rFonts w:hint="eastAsia" w:ascii="仿宋" w:hAnsi="仿宋" w:eastAsia="仿宋" w:cs="华文中宋"/>
                <w:szCs w:val="21"/>
                <w:u w:val="single"/>
              </w:rPr>
              <w:t>纸质备份和电子备份(U盘)</w:t>
            </w:r>
            <w:r>
              <w:rPr>
                <w:rFonts w:hint="eastAsia" w:ascii="仿宋" w:hAnsi="仿宋" w:eastAsia="仿宋" w:cs="华文中宋"/>
                <w:szCs w:val="21"/>
              </w:rPr>
              <w:t>响应文件系电子响应文件纸质版和电子版，两者内容应一致，以备份文件的形式邮寄。数量为：正本一份；电子版响应文件U盘。</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注：</w:t>
            </w:r>
            <w:r>
              <w:rPr>
                <w:rFonts w:hint="eastAsia" w:ascii="仿宋" w:hAnsi="仿宋" w:eastAsia="仿宋" w:cs="华文中宋"/>
                <w:szCs w:val="21"/>
                <w:u w:val="single"/>
              </w:rPr>
              <w:t>（项目评标结束之后，中标单位需再提供响应文件副本2份用于采购方备案）</w:t>
            </w:r>
            <w:r>
              <w:rPr>
                <w:rFonts w:hint="eastAsia" w:ascii="仿宋" w:hAnsi="仿宋" w:eastAsia="仿宋" w:cs="华文中宋"/>
                <w:szCs w:val="21"/>
              </w:rPr>
              <w:t>纸质版询价响应文件纸质版应装订成册，建议胶装。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3" w:type="dxa"/>
            <w:vAlign w:val="center"/>
          </w:tcPr>
          <w:p>
            <w:pPr>
              <w:pStyle w:val="21"/>
              <w:wordWrap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14</w:t>
            </w:r>
          </w:p>
        </w:tc>
        <w:tc>
          <w:tcPr>
            <w:tcW w:w="2813" w:type="dxa"/>
            <w:vAlign w:val="center"/>
          </w:tcPr>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电子投标文件的传输递交</w:t>
            </w:r>
          </w:p>
        </w:tc>
        <w:tc>
          <w:tcPr>
            <w:tcW w:w="5979" w:type="dxa"/>
            <w:vAlign w:val="center"/>
          </w:tcPr>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639" w:hRule="atLeast"/>
          <w:jc w:val="center"/>
        </w:trPr>
        <w:tc>
          <w:tcPr>
            <w:tcW w:w="943" w:type="dxa"/>
            <w:vAlign w:val="center"/>
          </w:tcPr>
          <w:p>
            <w:pPr>
              <w:pStyle w:val="21"/>
              <w:wordWrap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15</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联系人</w:t>
            </w:r>
          </w:p>
        </w:tc>
        <w:tc>
          <w:tcPr>
            <w:tcW w:w="5979" w:type="dxa"/>
            <w:vAlign w:val="center"/>
          </w:tcPr>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采购单位：洪女士   联系电话：0570-7368951</w:t>
            </w:r>
          </w:p>
          <w:p>
            <w:pPr>
              <w:pStyle w:val="21"/>
              <w:wordWrap w:val="0"/>
              <w:snapToGrid w:val="0"/>
              <w:spacing w:line="440" w:lineRule="exact"/>
              <w:rPr>
                <w:rFonts w:ascii="仿宋" w:hAnsi="仿宋" w:eastAsia="仿宋" w:cs="华文中宋"/>
                <w:szCs w:val="21"/>
              </w:rPr>
            </w:pPr>
            <w:r>
              <w:rPr>
                <w:rFonts w:hint="eastAsia" w:ascii="仿宋" w:hAnsi="仿宋" w:eastAsia="仿宋" w:cs="华文中宋"/>
                <w:szCs w:val="21"/>
              </w:rPr>
              <w:t>代理公司：蒋先生   联系电话：13515705796</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3" w:type="dxa"/>
            <w:vAlign w:val="center"/>
          </w:tcPr>
          <w:p>
            <w:pPr>
              <w:pStyle w:val="21"/>
              <w:wordWrap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16</w:t>
            </w:r>
          </w:p>
        </w:tc>
        <w:tc>
          <w:tcPr>
            <w:tcW w:w="2813" w:type="dxa"/>
            <w:vAlign w:val="center"/>
          </w:tcPr>
          <w:p>
            <w:pPr>
              <w:pStyle w:val="21"/>
              <w:wordWrap w:val="0"/>
              <w:snapToGrid w:val="0"/>
              <w:spacing w:line="440" w:lineRule="exact"/>
              <w:jc w:val="center"/>
              <w:rPr>
                <w:rFonts w:ascii="仿宋" w:hAnsi="仿宋" w:eastAsia="仿宋" w:cs="华文中宋"/>
                <w:szCs w:val="21"/>
              </w:rPr>
            </w:pPr>
            <w:r>
              <w:rPr>
                <w:rFonts w:hint="eastAsia" w:ascii="仿宋" w:hAnsi="仿宋" w:eastAsia="仿宋" w:cs="华文中宋"/>
                <w:szCs w:val="21"/>
              </w:rPr>
              <w:t>采购公告，更正公告，中标结果发布网址</w:t>
            </w:r>
          </w:p>
        </w:tc>
        <w:tc>
          <w:tcPr>
            <w:tcW w:w="5979" w:type="dxa"/>
            <w:vAlign w:val="center"/>
          </w:tcPr>
          <w:p>
            <w:pPr>
              <w:pStyle w:val="21"/>
              <w:wordWrap w:val="0"/>
              <w:snapToGrid w:val="0"/>
              <w:spacing w:line="440" w:lineRule="exact"/>
              <w:rPr>
                <w:rFonts w:ascii="仿宋" w:hAnsi="仿宋" w:eastAsia="仿宋" w:cs="华文中宋"/>
                <w:szCs w:val="21"/>
              </w:rPr>
            </w:pPr>
            <w:r>
              <w:rPr>
                <w:rStyle w:val="47"/>
                <w:rFonts w:hint="default" w:ascii="仿宋" w:hAnsi="仿宋" w:eastAsia="仿宋" w:cs="华文中宋"/>
              </w:rPr>
              <w:t>www.zjzfcg.gov.cn</w:t>
            </w:r>
            <w:r>
              <w:rPr>
                <w:rStyle w:val="47"/>
                <w:rFonts w:hint="default" w:ascii="仿宋" w:hAnsi="仿宋" w:eastAsia="仿宋" w:cs="华文中宋"/>
                <w:bCs/>
              </w:rPr>
              <w:t>(浙江省政府采购网)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3" w:type="dxa"/>
            <w:vAlign w:val="center"/>
          </w:tcPr>
          <w:p>
            <w:pPr>
              <w:pStyle w:val="21"/>
              <w:wordWrap w:val="0"/>
              <w:spacing w:line="440" w:lineRule="exact"/>
              <w:ind w:left="-130" w:leftChars="-62" w:right="-107" w:rightChars="-51"/>
              <w:jc w:val="center"/>
              <w:rPr>
                <w:rFonts w:ascii="仿宋" w:hAnsi="仿宋" w:eastAsia="仿宋" w:cs="华文中宋"/>
                <w:szCs w:val="21"/>
              </w:rPr>
            </w:pPr>
            <w:r>
              <w:rPr>
                <w:rFonts w:ascii="仿宋" w:hAnsi="仿宋" w:eastAsia="仿宋" w:cs="华文中宋"/>
                <w:szCs w:val="21"/>
              </w:rPr>
              <w:t>17</w:t>
            </w:r>
          </w:p>
        </w:tc>
        <w:tc>
          <w:tcPr>
            <w:tcW w:w="2813" w:type="dxa"/>
            <w:vAlign w:val="center"/>
          </w:tcPr>
          <w:p>
            <w:pPr>
              <w:wordWrap w:val="0"/>
              <w:autoSpaceDE w:val="0"/>
              <w:autoSpaceDN w:val="0"/>
              <w:adjustRightInd w:val="0"/>
              <w:spacing w:line="440" w:lineRule="exact"/>
              <w:jc w:val="center"/>
              <w:rPr>
                <w:rFonts w:ascii="仿宋" w:hAnsi="仿宋" w:eastAsia="仿宋" w:cs="华文中宋"/>
                <w:szCs w:val="21"/>
              </w:rPr>
            </w:pPr>
            <w:r>
              <w:rPr>
                <w:rFonts w:hint="eastAsia" w:ascii="仿宋" w:hAnsi="仿宋" w:eastAsia="仿宋" w:cs="华文中宋"/>
                <w:szCs w:val="21"/>
              </w:rPr>
              <w:t>注意事项</w:t>
            </w:r>
          </w:p>
        </w:tc>
        <w:tc>
          <w:tcPr>
            <w:tcW w:w="5979" w:type="dxa"/>
            <w:vAlign w:val="center"/>
          </w:tcPr>
          <w:p>
            <w:pPr>
              <w:wordWrap w:val="0"/>
              <w:autoSpaceDE w:val="0"/>
              <w:autoSpaceDN w:val="0"/>
              <w:adjustRightInd w:val="0"/>
              <w:spacing w:line="440" w:lineRule="exact"/>
              <w:rPr>
                <w:rFonts w:ascii="仿宋" w:hAnsi="仿宋" w:eastAsia="仿宋" w:cs="华文中宋"/>
                <w:szCs w:val="21"/>
                <w:u w:val="single"/>
              </w:rPr>
            </w:pPr>
            <w:r>
              <w:rPr>
                <w:rFonts w:hint="eastAsia" w:ascii="仿宋" w:hAnsi="仿宋" w:eastAsia="仿宋" w:cs="华文中宋"/>
                <w:szCs w:val="21"/>
              </w:rPr>
              <w:t>1.</w:t>
            </w:r>
            <w:r>
              <w:rPr>
                <w:rFonts w:hint="eastAsia" w:ascii="仿宋" w:hAnsi="仿宋" w:eastAsia="仿宋" w:cs="华文中宋"/>
                <w:szCs w:val="21"/>
                <w:u w:val="single"/>
              </w:rPr>
              <w:t>投标截止时间后，供应商登录政采云平台，用“项目采购-开标评标”功能对电子投标文件进行在线解密。在线解密电子投标文件时间为开标时间起半个小时内。否则视为放弃投标。</w:t>
            </w:r>
          </w:p>
          <w:p>
            <w:pPr>
              <w:wordWrap w:val="0"/>
              <w:autoSpaceDE w:val="0"/>
              <w:autoSpaceDN w:val="0"/>
              <w:adjustRightInd w:val="0"/>
              <w:spacing w:line="440" w:lineRule="exact"/>
              <w:rPr>
                <w:rFonts w:ascii="仿宋" w:hAnsi="仿宋" w:eastAsia="仿宋" w:cs="华文中宋"/>
                <w:szCs w:val="21"/>
                <w:u w:val="single"/>
              </w:rPr>
            </w:pPr>
            <w:r>
              <w:rPr>
                <w:rFonts w:hint="eastAsia" w:ascii="仿宋" w:hAnsi="仿宋" w:eastAsia="仿宋" w:cs="华文中宋"/>
                <w:szCs w:val="21"/>
              </w:rPr>
              <w:t>2</w:t>
            </w:r>
            <w:r>
              <w:rPr>
                <w:rFonts w:hint="eastAsia" w:ascii="仿宋" w:hAnsi="仿宋" w:eastAsia="仿宋" w:cs="华文中宋"/>
                <w:szCs w:val="21"/>
                <w:u w:val="single"/>
              </w:rPr>
              <w:t>.询价及询标流程，均在线上完成，各供应商不得离开电脑，并时刻留意手机短信。（提前检查“政采云”内，关于“项目采购”的岗位权限是否已勾选上。如有问题，请致电400-8817190）</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3.供应商无须到开标现场，只需自备电脑在规定时间前进行在线解密文件即可。</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4.请务必确保投标文件制作客户端为最新版本，旧版本可能导致投标文件解密失败。</w:t>
            </w:r>
          </w:p>
          <w:p>
            <w:pPr>
              <w:wordWrap w:val="0"/>
              <w:autoSpaceDE w:val="0"/>
              <w:autoSpaceDN w:val="0"/>
              <w:adjustRightInd w:val="0"/>
              <w:spacing w:line="440" w:lineRule="exact"/>
              <w:rPr>
                <w:rFonts w:ascii="仿宋" w:hAnsi="仿宋" w:eastAsia="仿宋" w:cs="华文中宋"/>
                <w:szCs w:val="21"/>
              </w:rPr>
            </w:pPr>
            <w:r>
              <w:rPr>
                <w:rFonts w:hint="eastAsia" w:ascii="仿宋" w:hAnsi="仿宋" w:eastAsia="仿宋" w:cs="华文中宋"/>
                <w:szCs w:val="21"/>
              </w:rPr>
              <w:t>5.请务必确保投标文件制作时所用的 CA 锁与投标文件解密时的 CA 锁为同一把，否则可能导致投标文件解密失败</w:t>
            </w:r>
          </w:p>
          <w:p>
            <w:pPr>
              <w:pStyle w:val="220"/>
              <w:wordWrap w:val="0"/>
              <w:spacing w:line="440" w:lineRule="exact"/>
              <w:rPr>
                <w:rFonts w:ascii="仿宋" w:hAnsi="仿宋" w:eastAsia="仿宋"/>
                <w:sz w:val="21"/>
                <w:szCs w:val="21"/>
              </w:rPr>
            </w:pPr>
            <w:r>
              <w:rPr>
                <w:rFonts w:hint="eastAsia" w:ascii="仿宋" w:hAnsi="仿宋" w:eastAsia="仿宋" w:cs="华文中宋"/>
                <w:bCs w:val="0"/>
                <w:sz w:val="21"/>
                <w:szCs w:val="21"/>
              </w:rPr>
              <w:t>6.在投标文件解密前，请务必检验 CA 锁与所用电脑的兼容性，部分电脑因 CA 驱动未正常安装、USB 接口兼容性差等原因可能造成投标文件解密失败。</w:t>
            </w:r>
          </w:p>
        </w:tc>
      </w:tr>
      <w:bookmarkEnd w:id="10"/>
      <w:bookmarkEnd w:id="11"/>
      <w:bookmarkEnd w:id="12"/>
      <w:bookmarkEnd w:id="13"/>
      <w:bookmarkEnd w:id="14"/>
      <w:bookmarkEnd w:id="15"/>
      <w:bookmarkEnd w:id="16"/>
      <w:bookmarkEnd w:id="17"/>
      <w:bookmarkEnd w:id="18"/>
      <w:bookmarkEnd w:id="19"/>
      <w:bookmarkEnd w:id="20"/>
    </w:tbl>
    <w:p>
      <w:pPr>
        <w:pStyle w:val="4"/>
        <w:numPr>
          <w:ilvl w:val="0"/>
          <w:numId w:val="0"/>
        </w:numPr>
        <w:tabs>
          <w:tab w:val="center" w:pos="4873"/>
          <w:tab w:val="clear" w:pos="3960"/>
        </w:tabs>
        <w:spacing w:before="0" w:after="0" w:line="500" w:lineRule="exact"/>
        <w:rPr>
          <w:rFonts w:ascii="仿宋" w:hAnsi="仿宋" w:eastAsia="仿宋" w:cs="仿宋_GB2312"/>
          <w:b w:val="0"/>
          <w:sz w:val="30"/>
          <w:szCs w:val="30"/>
        </w:rPr>
      </w:pPr>
      <w:bookmarkStart w:id="21" w:name="_Toc72941048"/>
      <w:bookmarkStart w:id="22" w:name="_Toc322352983"/>
      <w:bookmarkStart w:id="23" w:name="_Toc354491897"/>
      <w:bookmarkStart w:id="24" w:name="_Toc356371443"/>
      <w:bookmarkStart w:id="25" w:name="_Toc361685333"/>
      <w:r>
        <w:rPr>
          <w:rFonts w:hint="eastAsia" w:ascii="仿宋" w:hAnsi="仿宋" w:eastAsia="仿宋" w:cs="仿宋_GB2312"/>
          <w:b w:val="0"/>
          <w:sz w:val="30"/>
          <w:szCs w:val="30"/>
        </w:rPr>
        <w:t>二、询价须知</w:t>
      </w:r>
      <w:bookmarkEnd w:id="21"/>
    </w:p>
    <w:p>
      <w:pPr>
        <w:numPr>
          <w:ilvl w:val="1"/>
          <w:numId w:val="5"/>
        </w:numPr>
        <w:snapToGrid w:val="0"/>
        <w:spacing w:line="480" w:lineRule="exact"/>
        <w:ind w:firstLine="480" w:firstLineChars="200"/>
        <w:jc w:val="left"/>
        <w:rPr>
          <w:rFonts w:ascii="仿宋" w:hAnsi="仿宋" w:eastAsia="仿宋" w:cs="华文中宋"/>
          <w:b/>
          <w:sz w:val="24"/>
        </w:rPr>
      </w:pPr>
      <w:r>
        <w:rPr>
          <w:rFonts w:hint="eastAsia" w:ascii="仿宋" w:hAnsi="仿宋" w:eastAsia="仿宋" w:cs="华文中宋"/>
          <w:sz w:val="24"/>
        </w:rPr>
        <w:t>适用范围</w:t>
      </w:r>
    </w:p>
    <w:p>
      <w:pPr>
        <w:tabs>
          <w:tab w:val="left" w:pos="0"/>
          <w:tab w:val="left" w:pos="900"/>
          <w:tab w:val="left" w:pos="7020"/>
          <w:tab w:val="left" w:pos="8460"/>
        </w:tabs>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本询价文件仅适用于本次询价采购项目的询价、询标、定标、验收、合同履约、付款等行为。</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定义</w:t>
      </w:r>
    </w:p>
    <w:p>
      <w:pPr>
        <w:numPr>
          <w:ilvl w:val="2"/>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“询价组织方”系指组织本次询价的</w:t>
      </w:r>
      <w:r>
        <w:rPr>
          <w:rFonts w:hint="eastAsia" w:ascii="仿宋" w:hAnsi="仿宋" w:eastAsia="仿宋" w:cs="华文中宋"/>
          <w:bCs/>
          <w:sz w:val="24"/>
        </w:rPr>
        <w:t>浙江浩睿招标代理有限公司。</w:t>
      </w:r>
    </w:p>
    <w:p>
      <w:pPr>
        <w:numPr>
          <w:ilvl w:val="2"/>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“采购人”系指提出本次采购的委托单位龙游传媒集团（龙游县广播电视总台）。</w:t>
      </w:r>
    </w:p>
    <w:p>
      <w:pPr>
        <w:numPr>
          <w:ilvl w:val="2"/>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“询价响应方”系指向询价组织方提交询价</w:t>
      </w:r>
      <w:r>
        <w:rPr>
          <w:rFonts w:hint="eastAsia" w:ascii="仿宋" w:hAnsi="仿宋" w:eastAsia="仿宋" w:cs="华文中宋"/>
          <w:spacing w:val="-20"/>
          <w:sz w:val="24"/>
        </w:rPr>
        <w:t>响应</w:t>
      </w:r>
      <w:r>
        <w:rPr>
          <w:rFonts w:hint="eastAsia" w:ascii="仿宋" w:hAnsi="仿宋" w:eastAsia="仿宋" w:cs="华文中宋"/>
          <w:sz w:val="24"/>
        </w:rPr>
        <w:t>文件的供应商。</w:t>
      </w:r>
    </w:p>
    <w:p>
      <w:pPr>
        <w:numPr>
          <w:ilvl w:val="2"/>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 xml:space="preserve"> “服务”系指根据本合同规定，成交人必须承担龙游传媒集团（龙游县广播电视总台）机顶盒采购项目的义务。</w:t>
      </w:r>
    </w:p>
    <w:p>
      <w:pPr>
        <w:numPr>
          <w:ilvl w:val="2"/>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“▲”系指实质性要求条款。</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询价费用</w:t>
      </w:r>
    </w:p>
    <w:p>
      <w:pPr>
        <w:tabs>
          <w:tab w:val="left" w:pos="0"/>
          <w:tab w:val="left" w:pos="900"/>
          <w:tab w:val="left" w:pos="7020"/>
          <w:tab w:val="left" w:pos="8460"/>
        </w:tabs>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不论询价结果如何，询价响应方均应自行承担所有与询价有关的全部费用。</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采购方式</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本次采购采用询价方式进行。</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询价委托</w:t>
      </w:r>
    </w:p>
    <w:p>
      <w:pPr>
        <w:pStyle w:val="8"/>
        <w:spacing w:line="480" w:lineRule="exact"/>
        <w:ind w:left="105" w:leftChars="50" w:firstLine="480" w:firstLineChars="200"/>
        <w:jc w:val="left"/>
        <w:rPr>
          <w:rFonts w:ascii="仿宋" w:hAnsi="仿宋" w:eastAsia="仿宋" w:cs="华文中宋"/>
        </w:rPr>
      </w:pPr>
      <w:r>
        <w:rPr>
          <w:rFonts w:hint="eastAsia" w:ascii="仿宋" w:hAnsi="仿宋" w:eastAsia="仿宋" w:cs="华文中宋"/>
        </w:rPr>
        <w:t>询价响应方代表须携带有效身份证件。如询价响应方代表不是法定代表人，须有法定代表人出具的授权委托书（正本用原件，副本用复印件，格式见第六章）。</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联合体询价</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本项目不接受联合体参与询价。</w:t>
      </w:r>
    </w:p>
    <w:p>
      <w:pPr>
        <w:numPr>
          <w:ilvl w:val="1"/>
          <w:numId w:val="5"/>
        </w:numPr>
        <w:snapToGrid w:val="0"/>
        <w:spacing w:line="480" w:lineRule="exact"/>
        <w:ind w:firstLine="480" w:firstLineChars="200"/>
        <w:jc w:val="left"/>
        <w:rPr>
          <w:rFonts w:ascii="仿宋" w:hAnsi="仿宋" w:eastAsia="仿宋" w:cs="华文中宋"/>
          <w:kern w:val="0"/>
          <w:sz w:val="24"/>
        </w:rPr>
      </w:pPr>
      <w:r>
        <w:rPr>
          <w:rFonts w:hint="eastAsia" w:ascii="仿宋" w:hAnsi="仿宋" w:eastAsia="仿宋" w:cs="华文中宋"/>
          <w:kern w:val="0"/>
          <w:sz w:val="24"/>
        </w:rPr>
        <w:t>转包与分包</w:t>
      </w:r>
    </w:p>
    <w:p>
      <w:pPr>
        <w:snapToGrid w:val="0"/>
        <w:spacing w:line="480" w:lineRule="exact"/>
        <w:ind w:firstLine="480" w:firstLineChars="200"/>
        <w:jc w:val="left"/>
        <w:rPr>
          <w:rFonts w:ascii="仿宋" w:hAnsi="仿宋" w:eastAsia="仿宋" w:cs="华文中宋"/>
          <w:kern w:val="0"/>
          <w:sz w:val="24"/>
        </w:rPr>
      </w:pPr>
      <w:r>
        <w:rPr>
          <w:rFonts w:hint="eastAsia" w:ascii="仿宋" w:hAnsi="仿宋" w:eastAsia="仿宋" w:cs="华文中宋"/>
          <w:kern w:val="0"/>
          <w:sz w:val="24"/>
        </w:rPr>
        <w:t>本项目不允许转包，分包须经采购人书面同意后方可实施。</w:t>
      </w:r>
    </w:p>
    <w:p>
      <w:pPr>
        <w:numPr>
          <w:ilvl w:val="1"/>
          <w:numId w:val="5"/>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特别说明：</w:t>
      </w:r>
    </w:p>
    <w:p>
      <w:pPr>
        <w:spacing w:line="480" w:lineRule="exact"/>
        <w:ind w:firstLine="480"/>
        <w:rPr>
          <w:rFonts w:ascii="仿宋" w:hAnsi="仿宋" w:eastAsia="仿宋"/>
          <w:sz w:val="24"/>
        </w:rPr>
      </w:pPr>
      <w:r>
        <w:rPr>
          <w:rFonts w:hint="eastAsia" w:ascii="仿宋" w:hAnsi="仿宋" w:eastAsia="仿宋" w:cs="华文中宋"/>
          <w:sz w:val="24"/>
        </w:rPr>
        <w:t>8</w:t>
      </w:r>
      <w:r>
        <w:rPr>
          <w:rFonts w:ascii="仿宋" w:hAnsi="仿宋" w:eastAsia="仿宋" w:cs="华文中宋"/>
          <w:sz w:val="24"/>
        </w:rPr>
        <w:t>.1</w:t>
      </w:r>
      <w:r>
        <w:rPr>
          <w:rFonts w:hint="eastAsia" w:ascii="仿宋" w:hAnsi="仿宋" w:eastAsia="仿宋" w:cs="华文中宋"/>
          <w:sz w:val="24"/>
        </w:rPr>
        <w:t>▲单位负责人为同一人或者存在直接控股、管理关系的不同供应商，不得参加本项目的政府采购活动。</w:t>
      </w:r>
    </w:p>
    <w:p>
      <w:pPr>
        <w:spacing w:line="480" w:lineRule="exact"/>
        <w:ind w:firstLine="480"/>
        <w:rPr>
          <w:rFonts w:ascii="仿宋" w:hAnsi="仿宋" w:eastAsia="仿宋" w:cs="华文中宋"/>
          <w:sz w:val="24"/>
        </w:rPr>
      </w:pPr>
      <w:r>
        <w:rPr>
          <w:rFonts w:hint="eastAsia" w:ascii="仿宋" w:hAnsi="仿宋" w:eastAsia="仿宋" w:cs="华文中宋"/>
          <w:sz w:val="24"/>
        </w:rPr>
        <w:t>8</w:t>
      </w:r>
      <w:r>
        <w:rPr>
          <w:rFonts w:ascii="仿宋" w:hAnsi="仿宋" w:eastAsia="仿宋" w:cs="华文中宋"/>
          <w:sz w:val="24"/>
        </w:rPr>
        <w:t>.2</w:t>
      </w:r>
      <w:r>
        <w:rPr>
          <w:rFonts w:hint="eastAsia" w:ascii="仿宋" w:hAnsi="仿宋" w:eastAsia="仿宋" w:cs="华文中宋"/>
          <w:sz w:val="24"/>
        </w:rPr>
        <w:t>▲投标人应仔细阅读招标文件的所有内容，按照招标文件的要求提交投标文件，并对所提供的全部资料的真实性承担法律责任。</w:t>
      </w:r>
    </w:p>
    <w:p>
      <w:pPr>
        <w:spacing w:line="480" w:lineRule="exact"/>
        <w:ind w:firstLine="480"/>
        <w:rPr>
          <w:rFonts w:ascii="仿宋" w:hAnsi="仿宋" w:eastAsia="仿宋" w:cs="华文中宋"/>
          <w:sz w:val="24"/>
        </w:rPr>
      </w:pPr>
      <w:r>
        <w:rPr>
          <w:rFonts w:hint="eastAsia" w:ascii="仿宋" w:hAnsi="仿宋" w:eastAsia="仿宋" w:cs="华文中宋"/>
          <w:sz w:val="24"/>
        </w:rPr>
        <w:t>8</w:t>
      </w:r>
      <w:r>
        <w:rPr>
          <w:rFonts w:ascii="仿宋" w:hAnsi="仿宋" w:eastAsia="仿宋" w:cs="华文中宋"/>
          <w:sz w:val="24"/>
        </w:rPr>
        <w:t>.3</w:t>
      </w:r>
      <w:r>
        <w:rPr>
          <w:rFonts w:hint="eastAsia" w:ascii="仿宋" w:hAnsi="仿宋" w:eastAsia="仿宋" w:cs="华文中宋"/>
          <w:sz w:val="24"/>
        </w:rPr>
        <w:t>▲投标人在投标活动中提供任何虚假材料,其投标无效，并报监管部门查处中标后发现的,中标人须依照《中华人民共和国消费者权益保护法》第48条之规定双倍赔偿采购人，且民事赔偿并不免除违法投标人的行政与刑事责任。</w:t>
      </w:r>
    </w:p>
    <w:p>
      <w:pPr>
        <w:tabs>
          <w:tab w:val="left" w:pos="1800"/>
        </w:tabs>
        <w:spacing w:line="480" w:lineRule="exact"/>
        <w:ind w:firstLine="480"/>
        <w:rPr>
          <w:rFonts w:ascii="仿宋" w:hAnsi="仿宋" w:eastAsia="仿宋" w:cs="华文中宋"/>
          <w:sz w:val="24"/>
        </w:rPr>
      </w:pPr>
      <w:r>
        <w:rPr>
          <w:rFonts w:hint="eastAsia" w:ascii="仿宋" w:hAnsi="仿宋" w:eastAsia="仿宋" w:cs="华文中宋"/>
          <w:sz w:val="24"/>
        </w:rPr>
        <w:t>8</w:t>
      </w:r>
      <w:r>
        <w:rPr>
          <w:rFonts w:ascii="仿宋" w:hAnsi="仿宋" w:eastAsia="仿宋" w:cs="华文中宋"/>
          <w:sz w:val="24"/>
        </w:rPr>
        <w:t>.</w:t>
      </w:r>
      <w:r>
        <w:rPr>
          <w:rFonts w:hint="eastAsia" w:ascii="仿宋" w:hAnsi="仿宋" w:eastAsia="仿宋" w:cs="华文中宋"/>
          <w:sz w:val="24"/>
        </w:rPr>
        <w:t>4项目需要落实的政府采购政策</w:t>
      </w:r>
      <w:r>
        <w:rPr>
          <w:rFonts w:ascii="仿宋" w:hAnsi="仿宋" w:eastAsia="仿宋" w:cs="华文中宋"/>
          <w:sz w:val="24"/>
        </w:rPr>
        <w:t>:</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8</w:t>
      </w:r>
      <w:r>
        <w:rPr>
          <w:rFonts w:ascii="仿宋" w:hAnsi="仿宋" w:eastAsia="仿宋" w:cs="华文中宋"/>
          <w:sz w:val="24"/>
        </w:rPr>
        <w:t>.</w:t>
      </w:r>
      <w:r>
        <w:rPr>
          <w:rFonts w:hint="eastAsia" w:ascii="仿宋" w:hAnsi="仿宋" w:eastAsia="仿宋" w:cs="华文中宋"/>
          <w:sz w:val="24"/>
        </w:rPr>
        <w:t>4</w:t>
      </w:r>
      <w:r>
        <w:rPr>
          <w:rFonts w:ascii="仿宋" w:hAnsi="仿宋" w:eastAsia="仿宋" w:cs="华文中宋"/>
          <w:sz w:val="24"/>
        </w:rPr>
        <w:t>.1</w:t>
      </w:r>
      <w:r>
        <w:rPr>
          <w:rFonts w:hint="eastAsia" w:ascii="仿宋" w:hAnsi="仿宋" w:eastAsia="仿宋" w:cs="华文中宋"/>
          <w:sz w:val="24"/>
        </w:rPr>
        <w:t>中小企业参与政府采购活动</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根据《中小企业划型标准规定》（工信部联企业</w:t>
      </w:r>
      <w:r>
        <w:rPr>
          <w:rFonts w:ascii="仿宋" w:hAnsi="仿宋" w:eastAsia="仿宋" w:cs="华文中宋"/>
          <w:sz w:val="24"/>
        </w:rPr>
        <w:t>[2011]300</w:t>
      </w:r>
      <w:r>
        <w:rPr>
          <w:rFonts w:hint="eastAsia" w:ascii="仿宋" w:hAnsi="仿宋" w:eastAsia="仿宋" w:cs="华文中宋"/>
          <w:sz w:val="24"/>
        </w:rPr>
        <w:t>号）、《政府采购促进中小企业发展暂行办法》（财库</w:t>
      </w:r>
      <w:r>
        <w:rPr>
          <w:rFonts w:ascii="仿宋" w:hAnsi="仿宋" w:eastAsia="仿宋" w:cs="华文中宋"/>
          <w:sz w:val="24"/>
        </w:rPr>
        <w:t>[2011]181</w:t>
      </w:r>
      <w:r>
        <w:rPr>
          <w:rFonts w:hint="eastAsia" w:ascii="仿宋" w:hAnsi="仿宋" w:eastAsia="仿宋" w:cs="华文中宋"/>
          <w:sz w:val="24"/>
        </w:rPr>
        <w:t>号，以下简称《暂行办法》）的有关规定，《暂行办法》所称中小企业（含中型、小型、微型企业，下同）应当同时符合以下条件。</w:t>
      </w:r>
    </w:p>
    <w:p>
      <w:pPr>
        <w:tabs>
          <w:tab w:val="left" w:pos="1800"/>
        </w:tabs>
        <w:spacing w:line="480" w:lineRule="exact"/>
        <w:ind w:firstLine="480"/>
        <w:rPr>
          <w:rFonts w:ascii="仿宋" w:hAnsi="仿宋" w:eastAsia="仿宋"/>
          <w:sz w:val="24"/>
        </w:rPr>
      </w:pPr>
      <w:r>
        <w:rPr>
          <w:rFonts w:ascii="仿宋" w:hAnsi="仿宋" w:eastAsia="仿宋" w:cs="华文中宋"/>
          <w:sz w:val="24"/>
        </w:rPr>
        <w:t>1.</w:t>
      </w:r>
      <w:r>
        <w:rPr>
          <w:rFonts w:hint="eastAsia" w:ascii="仿宋" w:hAnsi="仿宋" w:eastAsia="仿宋" w:cs="华文中宋"/>
          <w:sz w:val="24"/>
        </w:rPr>
        <w:t>符合中小企业划分标准；</w:t>
      </w:r>
    </w:p>
    <w:p>
      <w:pPr>
        <w:tabs>
          <w:tab w:val="left" w:pos="1800"/>
        </w:tabs>
        <w:spacing w:line="480" w:lineRule="exact"/>
        <w:ind w:firstLine="480"/>
        <w:rPr>
          <w:rFonts w:ascii="仿宋" w:hAnsi="仿宋" w:eastAsia="仿宋"/>
          <w:sz w:val="24"/>
        </w:rPr>
      </w:pPr>
      <w:r>
        <w:rPr>
          <w:rFonts w:ascii="仿宋" w:hAnsi="仿宋" w:eastAsia="仿宋" w:cs="华文中宋"/>
          <w:sz w:val="24"/>
        </w:rPr>
        <w:t>2.</w:t>
      </w:r>
      <w:r>
        <w:rPr>
          <w:rFonts w:hint="eastAsia" w:ascii="仿宋" w:hAnsi="仿宋" w:eastAsia="仿宋" w:cs="华文中宋"/>
          <w:sz w:val="24"/>
        </w:rPr>
        <w:t>提供本企业制造的货物、承担的工程或者服务，或者提供其他中小企业制造的货物。本项所称货物不包括使用大型企业注册商标的货物。</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本《暂行办法》所称中小企业划分标准，是指国务院有关部门根据企业从业人员、营业收入、资产总额等指标制定的中小企业划型标准。</w:t>
      </w:r>
    </w:p>
    <w:p>
      <w:pPr>
        <w:tabs>
          <w:tab w:val="left" w:pos="1800"/>
        </w:tabs>
        <w:spacing w:line="480" w:lineRule="exact"/>
        <w:ind w:firstLine="480"/>
        <w:rPr>
          <w:rFonts w:ascii="仿宋" w:hAnsi="仿宋" w:eastAsia="仿宋"/>
          <w:sz w:val="24"/>
        </w:rPr>
      </w:pPr>
      <w:r>
        <w:rPr>
          <w:rFonts w:ascii="仿宋" w:hAnsi="仿宋" w:eastAsia="仿宋" w:cs="华文中宋"/>
          <w:sz w:val="24"/>
        </w:rPr>
        <w:t>3.</w:t>
      </w:r>
      <w:r>
        <w:rPr>
          <w:rFonts w:hint="eastAsia" w:ascii="仿宋" w:hAnsi="仿宋" w:eastAsia="仿宋" w:cs="华文中宋"/>
          <w:sz w:val="24"/>
        </w:rPr>
        <w:t>投标人如为小型、微型企业及其投标产品均为小、微企业制造的，参加投标时，应在响应文件中提供《小微企业声明函》及证明材料：国家企业信用信息公示系统</w:t>
      </w:r>
      <w:r>
        <w:rPr>
          <w:rFonts w:ascii="仿宋" w:hAnsi="仿宋" w:eastAsia="仿宋" w:cs="华文中宋"/>
          <w:sz w:val="24"/>
        </w:rPr>
        <w:t>——</w:t>
      </w:r>
      <w:r>
        <w:rPr>
          <w:rFonts w:hint="eastAsia" w:ascii="仿宋" w:hAnsi="仿宋" w:eastAsia="仿宋" w:cs="华文中宋"/>
          <w:sz w:val="24"/>
        </w:rPr>
        <w:t>小微企业名录（</w:t>
      </w:r>
      <w:r>
        <w:rPr>
          <w:rFonts w:ascii="仿宋" w:hAnsi="仿宋" w:eastAsia="仿宋" w:cs="华文中宋"/>
          <w:sz w:val="24"/>
        </w:rPr>
        <w:t>http://xwqy.gsxt.gov.cn</w:t>
      </w:r>
      <w:r>
        <w:rPr>
          <w:rFonts w:hint="eastAsia" w:ascii="仿宋" w:hAnsi="仿宋" w:eastAsia="仿宋" w:cs="华文中宋"/>
          <w:sz w:val="24"/>
        </w:rPr>
        <w:t>）”页面查询结果截图，否则将不能享受商务报价里小微企业产品优惠政策。</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特别说明：本款适用于投标人为小型、微型企业及其投标产品均为小、微企业制造（所投产品中有中、大型企业提供的不适用于本款）。投标人在《产品适用小微企业政策情况表》（统一格式）详细、完整填写，否则将不能享受商务报价里小微企业产品优惠政策。</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8</w:t>
      </w:r>
      <w:r>
        <w:rPr>
          <w:rFonts w:ascii="仿宋" w:hAnsi="仿宋" w:eastAsia="仿宋" w:cs="华文中宋"/>
          <w:sz w:val="24"/>
        </w:rPr>
        <w:t>.</w:t>
      </w:r>
      <w:r>
        <w:rPr>
          <w:rFonts w:hint="eastAsia" w:ascii="仿宋" w:hAnsi="仿宋" w:eastAsia="仿宋" w:cs="华文中宋"/>
          <w:sz w:val="24"/>
        </w:rPr>
        <w:t>4</w:t>
      </w:r>
      <w:r>
        <w:rPr>
          <w:rFonts w:ascii="仿宋" w:hAnsi="仿宋" w:eastAsia="仿宋" w:cs="华文中宋"/>
          <w:sz w:val="24"/>
        </w:rPr>
        <w:t>.2</w:t>
      </w:r>
      <w:r>
        <w:rPr>
          <w:rFonts w:hint="eastAsia" w:ascii="仿宋" w:hAnsi="仿宋" w:eastAsia="仿宋" w:cs="华文中宋"/>
          <w:sz w:val="24"/>
        </w:rPr>
        <w:t>监狱企业参与政府采购活动</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符合财政部司法部《关于政府采购支持监狱企业发展有关问题的通知》（财库〔</w:t>
      </w:r>
      <w:r>
        <w:rPr>
          <w:rFonts w:ascii="仿宋" w:hAnsi="仿宋" w:eastAsia="仿宋" w:cs="华文中宋"/>
          <w:sz w:val="24"/>
        </w:rPr>
        <w:t>2014</w:t>
      </w:r>
      <w:r>
        <w:rPr>
          <w:rFonts w:hint="eastAsia" w:ascii="仿宋" w:hAnsi="仿宋" w:eastAsia="仿宋" w:cs="华文中宋"/>
          <w:sz w:val="24"/>
        </w:rPr>
        <w:t>〕</w:t>
      </w:r>
      <w:r>
        <w:rPr>
          <w:rFonts w:ascii="仿宋" w:hAnsi="仿宋" w:eastAsia="仿宋" w:cs="华文中宋"/>
          <w:sz w:val="24"/>
        </w:rPr>
        <w:t>68</w:t>
      </w:r>
      <w:r>
        <w:rPr>
          <w:rFonts w:hint="eastAsia" w:ascii="仿宋" w:hAnsi="仿宋" w:eastAsia="仿宋" w:cs="华文中宋"/>
          <w:sz w:val="24"/>
        </w:rPr>
        <w:t>号）规定。</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w:t>
      </w:r>
      <w:r>
        <w:rPr>
          <w:rFonts w:ascii="仿宋" w:hAnsi="仿宋" w:eastAsia="仿宋" w:cs="华文中宋"/>
          <w:sz w:val="24"/>
        </w:rPr>
        <w:t>(</w:t>
      </w:r>
      <w:r>
        <w:rPr>
          <w:rFonts w:hint="eastAsia" w:ascii="仿宋" w:hAnsi="仿宋" w:eastAsia="仿宋" w:cs="华文中宋"/>
          <w:sz w:val="24"/>
        </w:rPr>
        <w:t>含新疆生产建设兵团</w:t>
      </w:r>
      <w:r>
        <w:rPr>
          <w:rFonts w:ascii="仿宋" w:hAnsi="仿宋" w:eastAsia="仿宋" w:cs="华文中宋"/>
          <w:sz w:val="24"/>
        </w:rPr>
        <w:t>)</w:t>
      </w:r>
      <w:r>
        <w:rPr>
          <w:rFonts w:hint="eastAsia" w:ascii="仿宋" w:hAnsi="仿宋" w:eastAsia="仿宋" w:cs="华文中宋"/>
          <w:sz w:val="24"/>
        </w:rPr>
        <w:t>出具的属于监狱企业的证明文件。</w:t>
      </w:r>
    </w:p>
    <w:p>
      <w:pPr>
        <w:tabs>
          <w:tab w:val="left" w:pos="1800"/>
        </w:tabs>
        <w:spacing w:line="480" w:lineRule="exact"/>
        <w:ind w:firstLine="480"/>
        <w:rPr>
          <w:rFonts w:ascii="仿宋" w:hAnsi="仿宋" w:eastAsia="仿宋"/>
          <w:sz w:val="24"/>
        </w:rPr>
      </w:pPr>
      <w:r>
        <w:rPr>
          <w:rFonts w:hint="eastAsia" w:ascii="仿宋" w:hAnsi="仿宋" w:eastAsia="仿宋" w:cs="华文中宋"/>
          <w:sz w:val="24"/>
        </w:rPr>
        <w:t>8</w:t>
      </w:r>
      <w:r>
        <w:rPr>
          <w:rFonts w:ascii="仿宋" w:hAnsi="仿宋" w:eastAsia="仿宋" w:cs="华文中宋"/>
          <w:sz w:val="24"/>
        </w:rPr>
        <w:t>.</w:t>
      </w:r>
      <w:r>
        <w:rPr>
          <w:rFonts w:hint="eastAsia" w:ascii="仿宋" w:hAnsi="仿宋" w:eastAsia="仿宋" w:cs="华文中宋"/>
          <w:sz w:val="24"/>
        </w:rPr>
        <w:t>4</w:t>
      </w:r>
      <w:r>
        <w:rPr>
          <w:rFonts w:ascii="仿宋" w:hAnsi="仿宋" w:eastAsia="仿宋" w:cs="华文中宋"/>
          <w:sz w:val="24"/>
        </w:rPr>
        <w:t>.3</w:t>
      </w:r>
      <w:r>
        <w:rPr>
          <w:rFonts w:hint="eastAsia" w:ascii="仿宋" w:hAnsi="仿宋" w:eastAsia="仿宋" w:cs="华文中宋"/>
          <w:sz w:val="24"/>
        </w:rPr>
        <w:t>残疾人福利性单位参与政府采购活动</w:t>
      </w:r>
    </w:p>
    <w:p>
      <w:pPr>
        <w:pStyle w:val="21"/>
        <w:adjustRightInd w:val="0"/>
        <w:snapToGrid w:val="0"/>
        <w:spacing w:line="480" w:lineRule="exact"/>
        <w:ind w:firstLine="480" w:firstLineChars="200"/>
        <w:rPr>
          <w:rFonts w:ascii="仿宋" w:hAnsi="仿宋" w:eastAsia="仿宋"/>
          <w:sz w:val="24"/>
        </w:rPr>
      </w:pPr>
      <w:r>
        <w:rPr>
          <w:rFonts w:hint="eastAsia" w:ascii="仿宋" w:hAnsi="仿宋" w:eastAsia="仿宋" w:cs="华文中宋"/>
          <w:sz w:val="24"/>
        </w:rPr>
        <w:t>符合财政部民政部中国残疾人联合会《关于促进残疾人就业政府采购政策的通知》（财库〔</w:t>
      </w:r>
      <w:r>
        <w:rPr>
          <w:rFonts w:ascii="仿宋" w:hAnsi="仿宋" w:eastAsia="仿宋" w:cs="华文中宋"/>
          <w:sz w:val="24"/>
        </w:rPr>
        <w:t>2017</w:t>
      </w:r>
      <w:r>
        <w:rPr>
          <w:rFonts w:hint="eastAsia" w:ascii="仿宋" w:hAnsi="仿宋" w:eastAsia="仿宋" w:cs="华文中宋"/>
          <w:sz w:val="24"/>
        </w:rPr>
        <w:t>〕</w:t>
      </w:r>
      <w:r>
        <w:rPr>
          <w:rFonts w:ascii="仿宋" w:hAnsi="仿宋" w:eastAsia="仿宋" w:cs="华文中宋"/>
          <w:sz w:val="24"/>
        </w:rPr>
        <w:t>141</w:t>
      </w:r>
      <w:r>
        <w:rPr>
          <w:rFonts w:hint="eastAsia" w:ascii="仿宋" w:hAnsi="仿宋" w:eastAsia="仿宋" w:cs="华文中宋"/>
          <w:sz w:val="24"/>
        </w:rPr>
        <w:t>号）规定的单位。</w:t>
      </w:r>
    </w:p>
    <w:p>
      <w:pPr>
        <w:widowControl/>
        <w:shd w:val="clear" w:color="auto" w:fill="FFFFFF"/>
        <w:spacing w:line="480" w:lineRule="exact"/>
        <w:ind w:firstLine="480" w:firstLineChars="200"/>
        <w:jc w:val="left"/>
        <w:rPr>
          <w:rFonts w:ascii="仿宋" w:hAnsi="仿宋" w:eastAsia="仿宋"/>
          <w:sz w:val="24"/>
        </w:rPr>
      </w:pPr>
      <w:r>
        <w:rPr>
          <w:rFonts w:hint="eastAsia" w:ascii="仿宋" w:hAnsi="仿宋" w:eastAsia="仿宋" w:cs="华文中宋"/>
          <w:sz w:val="24"/>
        </w:rPr>
        <w:t>享受政府采购支持政策的残疾人福利性单位应当同时满足以下条件：</w:t>
      </w:r>
      <w:r>
        <w:rPr>
          <w:rFonts w:ascii="Calibri" w:hAnsi="Calibri" w:eastAsia="仿宋" w:cs="Calibri"/>
          <w:sz w:val="24"/>
        </w:rPr>
        <w:t> </w:t>
      </w:r>
    </w:p>
    <w:p>
      <w:pPr>
        <w:widowControl/>
        <w:shd w:val="clear" w:color="auto" w:fill="FFFFFF"/>
        <w:spacing w:line="480" w:lineRule="exact"/>
        <w:jc w:val="left"/>
        <w:rPr>
          <w:rFonts w:ascii="仿宋" w:hAnsi="仿宋" w:eastAsia="仿宋"/>
          <w:sz w:val="24"/>
        </w:rPr>
      </w:pPr>
      <w:r>
        <w:rPr>
          <w:rFonts w:hint="eastAsia" w:ascii="仿宋" w:hAnsi="仿宋" w:eastAsia="仿宋" w:cs="华文中宋"/>
          <w:sz w:val="24"/>
        </w:rPr>
        <w:t>　　（一）安置的残疾人占本单位在职职工人数的比例不低于</w:t>
      </w:r>
      <w:r>
        <w:rPr>
          <w:rFonts w:ascii="仿宋" w:hAnsi="仿宋" w:eastAsia="仿宋" w:cs="华文中宋"/>
          <w:sz w:val="24"/>
        </w:rPr>
        <w:t>25%</w:t>
      </w:r>
      <w:r>
        <w:rPr>
          <w:rFonts w:hint="eastAsia" w:ascii="仿宋" w:hAnsi="仿宋" w:eastAsia="仿宋" w:cs="华文中宋"/>
          <w:sz w:val="24"/>
        </w:rPr>
        <w:t>（含</w:t>
      </w:r>
      <w:r>
        <w:rPr>
          <w:rFonts w:ascii="仿宋" w:hAnsi="仿宋" w:eastAsia="仿宋" w:cs="华文中宋"/>
          <w:sz w:val="24"/>
        </w:rPr>
        <w:t>25%</w:t>
      </w:r>
      <w:r>
        <w:rPr>
          <w:rFonts w:hint="eastAsia" w:ascii="仿宋" w:hAnsi="仿宋" w:eastAsia="仿宋" w:cs="华文中宋"/>
          <w:sz w:val="24"/>
        </w:rPr>
        <w:t>），并且安置的残疾人人数不少于</w:t>
      </w:r>
      <w:r>
        <w:rPr>
          <w:rFonts w:ascii="仿宋" w:hAnsi="仿宋" w:eastAsia="仿宋" w:cs="华文中宋"/>
          <w:sz w:val="24"/>
        </w:rPr>
        <w:t>10</w:t>
      </w:r>
      <w:r>
        <w:rPr>
          <w:rFonts w:hint="eastAsia" w:ascii="仿宋" w:hAnsi="仿宋" w:eastAsia="仿宋" w:cs="华文中宋"/>
          <w:sz w:val="24"/>
        </w:rPr>
        <w:t>人（含</w:t>
      </w:r>
      <w:r>
        <w:rPr>
          <w:rFonts w:ascii="仿宋" w:hAnsi="仿宋" w:eastAsia="仿宋" w:cs="华文中宋"/>
          <w:sz w:val="24"/>
        </w:rPr>
        <w:t>10</w:t>
      </w:r>
      <w:r>
        <w:rPr>
          <w:rFonts w:hint="eastAsia" w:ascii="仿宋" w:hAnsi="仿宋" w:eastAsia="仿宋" w:cs="华文中宋"/>
          <w:sz w:val="24"/>
        </w:rPr>
        <w:t>人）；</w:t>
      </w:r>
      <w:r>
        <w:rPr>
          <w:rFonts w:ascii="Calibri" w:hAnsi="Calibri" w:eastAsia="仿宋" w:cs="Calibri"/>
          <w:sz w:val="24"/>
        </w:rPr>
        <w:t> </w:t>
      </w:r>
    </w:p>
    <w:p>
      <w:pPr>
        <w:widowControl/>
        <w:shd w:val="clear" w:color="auto" w:fill="FFFFFF"/>
        <w:spacing w:line="480" w:lineRule="exact"/>
        <w:jc w:val="left"/>
        <w:rPr>
          <w:rFonts w:ascii="仿宋" w:hAnsi="仿宋" w:eastAsia="仿宋"/>
          <w:sz w:val="24"/>
        </w:rPr>
      </w:pPr>
      <w:r>
        <w:rPr>
          <w:rFonts w:hint="eastAsia" w:ascii="仿宋" w:hAnsi="仿宋" w:eastAsia="仿宋" w:cs="华文中宋"/>
          <w:sz w:val="24"/>
        </w:rPr>
        <w:t>　　（二）依法与安置的每位残疾人签订了一年以上（含一年）的劳动合同或服务协议；</w:t>
      </w:r>
      <w:r>
        <w:rPr>
          <w:rFonts w:ascii="Calibri" w:hAnsi="Calibri" w:eastAsia="仿宋" w:cs="Calibri"/>
          <w:sz w:val="24"/>
        </w:rPr>
        <w:t> </w:t>
      </w:r>
    </w:p>
    <w:p>
      <w:pPr>
        <w:widowControl/>
        <w:shd w:val="clear" w:color="auto" w:fill="FFFFFF"/>
        <w:spacing w:line="480" w:lineRule="exact"/>
        <w:jc w:val="left"/>
        <w:rPr>
          <w:rFonts w:ascii="仿宋" w:hAnsi="仿宋" w:eastAsia="仿宋"/>
          <w:sz w:val="24"/>
        </w:rPr>
      </w:pPr>
      <w:r>
        <w:rPr>
          <w:rFonts w:hint="eastAsia" w:ascii="仿宋" w:hAnsi="仿宋" w:eastAsia="仿宋" w:cs="华文中宋"/>
          <w:sz w:val="24"/>
        </w:rPr>
        <w:t>　　（三）为安置的每位残疾人按月足额缴纳了基本养老保险、基本医疗保险、失业保险、工伤保险和生育保险等社会保险费；</w:t>
      </w:r>
    </w:p>
    <w:p>
      <w:pPr>
        <w:widowControl/>
        <w:shd w:val="clear" w:color="auto" w:fill="FFFFFF"/>
        <w:spacing w:line="480" w:lineRule="exact"/>
        <w:ind w:firstLine="480" w:firstLineChars="200"/>
        <w:jc w:val="left"/>
        <w:rPr>
          <w:rFonts w:ascii="仿宋" w:hAnsi="仿宋" w:eastAsia="仿宋"/>
          <w:sz w:val="24"/>
        </w:rPr>
      </w:pPr>
      <w:r>
        <w:rPr>
          <w:rFonts w:hint="eastAsia" w:ascii="仿宋" w:hAnsi="仿宋" w:eastAsia="仿宋" w:cs="华文中宋"/>
          <w:sz w:val="24"/>
        </w:rPr>
        <w:t>（四）通过银行等金融机构向安置的每位残疾人，按月支付了不低于单位所在区县适用的经省级人民政府批准的月最低工资标准的工资；</w:t>
      </w:r>
      <w:r>
        <w:rPr>
          <w:rFonts w:ascii="Calibri" w:hAnsi="Calibri" w:eastAsia="仿宋" w:cs="Calibri"/>
          <w:sz w:val="24"/>
        </w:rPr>
        <w:t> </w:t>
      </w:r>
    </w:p>
    <w:p>
      <w:pPr>
        <w:widowControl/>
        <w:shd w:val="clear" w:color="auto" w:fill="FFFFFF"/>
        <w:spacing w:line="480" w:lineRule="exact"/>
        <w:ind w:firstLine="480" w:firstLineChars="200"/>
        <w:jc w:val="left"/>
        <w:rPr>
          <w:rFonts w:ascii="仿宋" w:hAnsi="仿宋" w:eastAsia="仿宋"/>
          <w:sz w:val="24"/>
        </w:rPr>
      </w:pPr>
      <w:r>
        <w:rPr>
          <w:rFonts w:hint="eastAsia" w:ascii="仿宋" w:hAnsi="仿宋" w:eastAsia="仿宋" w:cs="华文中宋"/>
          <w:sz w:val="24"/>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480" w:lineRule="exact"/>
        <w:ind w:firstLine="480" w:firstLineChars="200"/>
        <w:jc w:val="left"/>
        <w:rPr>
          <w:rFonts w:ascii="仿宋" w:hAnsi="仿宋" w:eastAsia="仿宋"/>
          <w:sz w:val="24"/>
        </w:rPr>
      </w:pPr>
      <w:r>
        <w:rPr>
          <w:rFonts w:hint="eastAsia" w:ascii="仿宋" w:hAnsi="仿宋" w:eastAsia="仿宋" w:cs="华文中宋"/>
          <w:sz w:val="24"/>
        </w:rPr>
        <w:t>残疾人福利性单位属于小型、微型企业的，不重复享受政策。供应商提供的《残疾人福利性单位声明函》与事实不符的，依照《政府采购法》第七十七条第一款的规定追究法律责任。</w:t>
      </w:r>
    </w:p>
    <w:p>
      <w:pPr>
        <w:pStyle w:val="2"/>
        <w:spacing w:after="0" w:line="480" w:lineRule="exact"/>
        <w:ind w:firstLine="480" w:firstLineChars="200"/>
        <w:rPr>
          <w:rFonts w:ascii="仿宋" w:hAnsi="仿宋" w:eastAsia="仿宋"/>
          <w:sz w:val="24"/>
        </w:rPr>
      </w:pPr>
      <w:r>
        <w:rPr>
          <w:rFonts w:hint="eastAsia" w:ascii="仿宋" w:hAnsi="仿宋" w:eastAsia="仿宋" w:cs="华文中宋"/>
          <w:sz w:val="24"/>
        </w:rPr>
        <w:t>中标供应商为残疾人福利性单位的，应当随中标结果同时公告其《残疾人福利性单位声明函》，接受社会监督。</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8</w:t>
      </w:r>
      <w:r>
        <w:rPr>
          <w:rFonts w:ascii="仿宋" w:hAnsi="仿宋" w:eastAsia="仿宋" w:cs="华文中宋"/>
          <w:sz w:val="24"/>
        </w:rPr>
        <w:t>.</w:t>
      </w:r>
      <w:r>
        <w:rPr>
          <w:rFonts w:hint="eastAsia" w:ascii="仿宋" w:hAnsi="仿宋" w:eastAsia="仿宋" w:cs="华文中宋"/>
          <w:sz w:val="24"/>
        </w:rPr>
        <w:t>4</w:t>
      </w:r>
      <w:r>
        <w:rPr>
          <w:rFonts w:ascii="仿宋" w:hAnsi="仿宋" w:eastAsia="仿宋" w:cs="华文中宋"/>
          <w:sz w:val="24"/>
        </w:rPr>
        <w:t>.4</w:t>
      </w:r>
      <w:r>
        <w:rPr>
          <w:rFonts w:hint="eastAsia" w:ascii="仿宋" w:hAnsi="仿宋" w:eastAsia="仿宋" w:cs="华文中宋"/>
          <w:sz w:val="24"/>
        </w:rPr>
        <w:t>说明：若所投产品制造商属小型</w:t>
      </w:r>
      <w:r>
        <w:rPr>
          <w:rFonts w:ascii="仿宋" w:hAnsi="仿宋" w:eastAsia="仿宋" w:cs="华文中宋"/>
          <w:sz w:val="24"/>
        </w:rPr>
        <w:t>/</w:t>
      </w:r>
      <w:r>
        <w:rPr>
          <w:rFonts w:hint="eastAsia" w:ascii="仿宋" w:hAnsi="仿宋" w:eastAsia="仿宋" w:cs="华文中宋"/>
          <w:sz w:val="24"/>
        </w:rPr>
        <w:t>微型企业，或残疾人福利性单位或监狱企业其所投产品的响应报价扣减</w:t>
      </w:r>
      <w:r>
        <w:rPr>
          <w:rFonts w:ascii="仿宋" w:hAnsi="仿宋" w:eastAsia="仿宋" w:cs="华文中宋"/>
          <w:sz w:val="24"/>
        </w:rPr>
        <w:t>6%</w:t>
      </w:r>
      <w:r>
        <w:rPr>
          <w:rFonts w:hint="eastAsia" w:ascii="仿宋" w:hAnsi="仿宋" w:eastAsia="仿宋" w:cs="华文中宋"/>
          <w:sz w:val="24"/>
        </w:rPr>
        <w:t>后再计入报价得分的评审（不累计扣减）。</w:t>
      </w:r>
    </w:p>
    <w:p>
      <w:pPr>
        <w:pStyle w:val="4"/>
        <w:numPr>
          <w:ilvl w:val="1"/>
          <w:numId w:val="0"/>
        </w:numPr>
        <w:spacing w:before="0" w:after="0" w:line="480" w:lineRule="exact"/>
        <w:rPr>
          <w:rFonts w:ascii="仿宋" w:hAnsi="仿宋" w:eastAsia="仿宋" w:cs="华文中宋"/>
          <w:b w:val="0"/>
          <w:bCs/>
          <w:sz w:val="30"/>
          <w:szCs w:val="30"/>
        </w:rPr>
      </w:pPr>
      <w:bookmarkStart w:id="26" w:name="_Toc2192"/>
      <w:bookmarkStart w:id="27" w:name="_Toc361685322"/>
      <w:bookmarkStart w:id="28" w:name="_Toc13926"/>
      <w:bookmarkStart w:id="29" w:name="_Toc20450"/>
      <w:bookmarkStart w:id="30" w:name="_Toc7183"/>
      <w:bookmarkStart w:id="31" w:name="_Toc2037"/>
      <w:bookmarkStart w:id="32" w:name="_Toc15911"/>
      <w:bookmarkStart w:id="33" w:name="_Toc6276"/>
      <w:bookmarkStart w:id="34" w:name="_Toc29968"/>
      <w:bookmarkStart w:id="35" w:name="_Toc24783"/>
      <w:bookmarkStart w:id="36" w:name="_Toc356371434"/>
      <w:bookmarkStart w:id="37" w:name="_Toc2408"/>
      <w:bookmarkStart w:id="38" w:name="_Toc27637"/>
      <w:bookmarkStart w:id="39" w:name="_Toc72941049"/>
      <w:r>
        <w:rPr>
          <w:rFonts w:hint="eastAsia" w:ascii="仿宋" w:hAnsi="仿宋" w:eastAsia="仿宋" w:cs="华文中宋"/>
          <w:b w:val="0"/>
          <w:bCs/>
          <w:sz w:val="30"/>
          <w:szCs w:val="30"/>
        </w:rPr>
        <w:t>三、</w:t>
      </w:r>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仿宋" w:hAnsi="仿宋" w:eastAsia="仿宋" w:cs="华文中宋"/>
          <w:b w:val="0"/>
          <w:bCs/>
          <w:sz w:val="30"/>
          <w:szCs w:val="30"/>
        </w:rPr>
        <w:t>询价文件说明</w:t>
      </w:r>
      <w:bookmarkEnd w:id="39"/>
    </w:p>
    <w:p>
      <w:pPr>
        <w:numPr>
          <w:ilvl w:val="1"/>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询价文件的组成；</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询价公告；</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询价须知前附表及询价须知；</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采购内容及要求；</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合同主要条款；</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应提交的有关格式范例；</w:t>
      </w:r>
    </w:p>
    <w:p>
      <w:pPr>
        <w:numPr>
          <w:ilvl w:val="1"/>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询价文件的澄清及修改；</w:t>
      </w:r>
    </w:p>
    <w:p>
      <w:pPr>
        <w:numPr>
          <w:ilvl w:val="2"/>
          <w:numId w:val="6"/>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采购方可对已发出的询价文件进行必要的澄清或修改，如澄清或修改的内容可能影响询价文件编制的，采购方应当在询价截止时间至少3个工作日前，在采购公告原发布媒体上发布更正公告，更正内容作为询价文件的组成部分；询价响应方对询价文件有异议的，应当在询价截止时间前3个工作日以书面形式向采购方提出，否则采购方将不予受理。采购方将在收到异议之日起3个工作日内作出答复，如有变更在本采购信息发布媒体上发布变更公告，公告内容作为询价文件的构成部分。不足3个工作日的，询价方将顺延提交询价响应文件的截止时间。如澄清或修改的内容不影响询价文件编制的，询价方将不延长提交询价文件的截止时间。</w:t>
      </w:r>
    </w:p>
    <w:p>
      <w:pPr>
        <w:pStyle w:val="4"/>
        <w:numPr>
          <w:ilvl w:val="1"/>
          <w:numId w:val="0"/>
        </w:numPr>
        <w:spacing w:before="0" w:after="0" w:line="480" w:lineRule="exact"/>
        <w:rPr>
          <w:rFonts w:ascii="仿宋" w:hAnsi="仿宋" w:eastAsia="仿宋" w:cs="华文中宋"/>
          <w:b w:val="0"/>
          <w:bCs/>
          <w:sz w:val="30"/>
          <w:szCs w:val="30"/>
        </w:rPr>
      </w:pPr>
      <w:bookmarkStart w:id="40" w:name="_Toc356371435"/>
      <w:bookmarkStart w:id="41" w:name="_Toc361685323"/>
      <w:bookmarkStart w:id="42" w:name="_Toc72941050"/>
      <w:bookmarkStart w:id="43" w:name="_Toc29208"/>
      <w:bookmarkStart w:id="44" w:name="_Toc2581"/>
      <w:bookmarkStart w:id="45" w:name="_Toc8226"/>
      <w:bookmarkStart w:id="46" w:name="_Toc21348"/>
      <w:bookmarkStart w:id="47" w:name="_Toc16611"/>
      <w:bookmarkStart w:id="48" w:name="_Toc21713"/>
      <w:bookmarkStart w:id="49" w:name="_Toc11679"/>
      <w:bookmarkStart w:id="50" w:name="_Toc28058"/>
      <w:bookmarkStart w:id="51" w:name="_Toc18227"/>
      <w:bookmarkStart w:id="52" w:name="_Toc24588"/>
      <w:bookmarkStart w:id="53" w:name="_Toc4711"/>
      <w:r>
        <w:rPr>
          <w:rFonts w:hint="eastAsia" w:ascii="仿宋" w:hAnsi="仿宋" w:eastAsia="仿宋" w:cs="华文中宋"/>
          <w:b w:val="0"/>
          <w:bCs/>
          <w:sz w:val="30"/>
          <w:szCs w:val="30"/>
        </w:rPr>
        <w:t>四、询价文件的编制</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numPr>
          <w:ilvl w:val="1"/>
          <w:numId w:val="7"/>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总体要求</w:t>
      </w:r>
    </w:p>
    <w:p>
      <w:pPr>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询价响应方应仔细阅读询价文件的所有内容，按本文件的要求提供询价响应文件，并保证所提供的全部资料的真实性，以使其询价响应文件对询价文件作出实质性响应，否则，其询价响应文件可能导致废标处理。</w:t>
      </w:r>
    </w:p>
    <w:p>
      <w:pPr>
        <w:numPr>
          <w:ilvl w:val="2"/>
          <w:numId w:val="7"/>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询价文件及询价响应方与采购有关的来往通知，函件和文件均应使用中文。</w:t>
      </w:r>
    </w:p>
    <w:p>
      <w:pPr>
        <w:numPr>
          <w:ilvl w:val="2"/>
          <w:numId w:val="7"/>
        </w:num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询价响应方应按本文件中提供的文件格式、内容和要求制作询价文件。询价响应文件应装订成册。</w:t>
      </w:r>
    </w:p>
    <w:p>
      <w:pPr>
        <w:numPr>
          <w:ilvl w:val="2"/>
          <w:numId w:val="7"/>
        </w:numPr>
        <w:wordWrap w:val="0"/>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电子投标文件按政采云平台供应商项目采购-电子招投标操作指南（网址：https://help.zcygov.cn/web/site_2/2018/12-28/2573.html）及本招标文件要求制作、加密。（2）纸质备份投标文件严格按照规定的顺序装订成册并编制目录，混乱的编排导致投标文件被误读或招标人查找不到有效文件是投标人的风险。</w:t>
      </w:r>
    </w:p>
    <w:p>
      <w:pPr>
        <w:snapToGrid w:val="0"/>
        <w:spacing w:line="480" w:lineRule="exact"/>
        <w:ind w:firstLine="480" w:firstLineChars="200"/>
        <w:jc w:val="left"/>
        <w:rPr>
          <w:rFonts w:ascii="仿宋" w:hAnsi="仿宋" w:eastAsia="仿宋" w:cs="华文中宋"/>
          <w:b/>
          <w:sz w:val="24"/>
        </w:rPr>
      </w:pPr>
      <w:r>
        <w:rPr>
          <w:rFonts w:hint="eastAsia" w:ascii="仿宋" w:hAnsi="仿宋" w:eastAsia="仿宋" w:cs="华文中宋"/>
          <w:b/>
          <w:sz w:val="24"/>
        </w:rPr>
        <w:t>12.询价响应文件的组成及份数</w:t>
      </w:r>
    </w:p>
    <w:p>
      <w:pPr>
        <w:tabs>
          <w:tab w:val="left" w:pos="0"/>
          <w:tab w:val="left" w:pos="900"/>
          <w:tab w:val="left" w:pos="7020"/>
          <w:tab w:val="left" w:pos="8460"/>
        </w:tabs>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12.1询价响应文件应提供正本壹份（中标供应商需再提供副本两份）;</w:t>
      </w:r>
    </w:p>
    <w:p>
      <w:pPr>
        <w:spacing w:line="480" w:lineRule="exact"/>
        <w:ind w:firstLine="480" w:firstLineChars="200"/>
        <w:jc w:val="left"/>
        <w:rPr>
          <w:rFonts w:ascii="仿宋" w:hAnsi="仿宋" w:eastAsia="仿宋"/>
          <w:sz w:val="24"/>
        </w:rPr>
      </w:pPr>
      <w:r>
        <w:rPr>
          <w:rFonts w:hint="eastAsia" w:ascii="仿宋" w:hAnsi="仿宋" w:eastAsia="仿宋"/>
          <w:sz w:val="24"/>
        </w:rPr>
        <w:t>12.1.1▲有效期内的营业执照副本复印件加盖单位公章；</w:t>
      </w:r>
    </w:p>
    <w:p>
      <w:pPr>
        <w:spacing w:line="480" w:lineRule="exact"/>
        <w:ind w:firstLine="480" w:firstLineChars="200"/>
        <w:jc w:val="left"/>
        <w:rPr>
          <w:rFonts w:ascii="仿宋" w:hAnsi="仿宋" w:eastAsia="仿宋" w:cs="华文中宋"/>
          <w:sz w:val="24"/>
          <w:szCs w:val="18"/>
        </w:rPr>
      </w:pPr>
      <w:r>
        <w:rPr>
          <w:rFonts w:hint="eastAsia" w:ascii="仿宋" w:hAnsi="仿宋" w:eastAsia="仿宋"/>
          <w:sz w:val="24"/>
        </w:rPr>
        <w:t>12.1.2税务登记证复印件加盖单位公章（如证照合一的</w:t>
      </w:r>
      <w:r>
        <w:rPr>
          <w:rFonts w:hint="eastAsia" w:ascii="仿宋" w:hAnsi="仿宋" w:eastAsia="仿宋" w:cs="华文中宋"/>
          <w:snapToGrid w:val="0"/>
          <w:sz w:val="24"/>
        </w:rPr>
        <w:t>无须提供</w:t>
      </w:r>
      <w:r>
        <w:rPr>
          <w:rFonts w:ascii="仿宋" w:hAnsi="仿宋" w:eastAsia="仿宋"/>
          <w:sz w:val="24"/>
        </w:rPr>
        <w:t>）</w:t>
      </w:r>
      <w:r>
        <w:rPr>
          <w:rFonts w:hint="eastAsia" w:ascii="仿宋" w:hAnsi="仿宋" w:eastAsia="仿宋" w:cs="华文中宋"/>
          <w:sz w:val="24"/>
          <w:szCs w:val="18"/>
        </w:rPr>
        <w:t>；</w:t>
      </w:r>
    </w:p>
    <w:p>
      <w:pPr>
        <w:spacing w:line="420" w:lineRule="exact"/>
        <w:ind w:firstLine="480" w:firstLineChars="200"/>
        <w:rPr>
          <w:rFonts w:ascii="仿宋" w:hAnsi="仿宋" w:eastAsia="仿宋"/>
          <w:sz w:val="24"/>
        </w:rPr>
      </w:pPr>
      <w:r>
        <w:rPr>
          <w:rFonts w:hint="eastAsia" w:ascii="仿宋" w:hAnsi="仿宋" w:eastAsia="仿宋" w:cs="华文中宋"/>
          <w:sz w:val="24"/>
          <w:szCs w:val="18"/>
        </w:rPr>
        <w:t>12.1.3</w:t>
      </w:r>
      <w:r>
        <w:rPr>
          <w:rFonts w:hint="eastAsia" w:ascii="仿宋" w:hAnsi="仿宋" w:eastAsia="仿宋"/>
          <w:sz w:val="24"/>
        </w:rPr>
        <w:t>▲法定代表人授权委托书及委托人身份证复印件加盖单位公章（或法定代表人身份证明及法定代表人身份证复印件加盖单位公章）；</w:t>
      </w:r>
    </w:p>
    <w:p>
      <w:pPr>
        <w:spacing w:line="480" w:lineRule="exact"/>
        <w:ind w:firstLine="480" w:firstLineChars="200"/>
        <w:jc w:val="left"/>
        <w:rPr>
          <w:rFonts w:ascii="仿宋" w:hAnsi="仿宋" w:eastAsia="仿宋" w:cs="华文中宋"/>
          <w:sz w:val="24"/>
          <w:szCs w:val="18"/>
        </w:rPr>
      </w:pPr>
      <w:r>
        <w:rPr>
          <w:rFonts w:hint="eastAsia" w:ascii="仿宋" w:hAnsi="仿宋" w:eastAsia="仿宋" w:cs="华文中宋"/>
          <w:sz w:val="24"/>
          <w:szCs w:val="18"/>
        </w:rPr>
        <w:t>12.1.4</w:t>
      </w:r>
      <w:r>
        <w:rPr>
          <w:rFonts w:hint="eastAsia" w:ascii="仿宋" w:hAnsi="仿宋" w:eastAsia="仿宋"/>
          <w:sz w:val="24"/>
        </w:rPr>
        <w:t>▲</w:t>
      </w:r>
      <w:r>
        <w:rPr>
          <w:rFonts w:hint="eastAsia" w:ascii="仿宋" w:hAnsi="仿宋" w:eastAsia="仿宋" w:cs="华文中宋"/>
          <w:sz w:val="24"/>
          <w:szCs w:val="18"/>
        </w:rPr>
        <w:t>参加政府采购活动前3年内在经营活动中没有重大违法记录的书面声明；</w:t>
      </w:r>
    </w:p>
    <w:p>
      <w:pPr>
        <w:spacing w:line="480" w:lineRule="exact"/>
        <w:ind w:firstLine="480" w:firstLineChars="200"/>
        <w:jc w:val="left"/>
        <w:rPr>
          <w:rFonts w:ascii="仿宋" w:hAnsi="仿宋" w:eastAsia="仿宋" w:cs="微软雅黑"/>
          <w:sz w:val="24"/>
        </w:rPr>
      </w:pPr>
      <w:r>
        <w:rPr>
          <w:rFonts w:hint="eastAsia" w:ascii="仿宋" w:hAnsi="仿宋" w:eastAsia="仿宋" w:cs="华文中宋"/>
          <w:sz w:val="24"/>
          <w:szCs w:val="18"/>
        </w:rPr>
        <w:t>12.1.</w:t>
      </w:r>
      <w:r>
        <w:rPr>
          <w:rFonts w:ascii="仿宋" w:hAnsi="仿宋" w:eastAsia="仿宋" w:cs="华文中宋"/>
          <w:sz w:val="24"/>
          <w:szCs w:val="18"/>
        </w:rPr>
        <w:t>5</w:t>
      </w:r>
      <w:r>
        <w:rPr>
          <w:rFonts w:hint="eastAsia" w:ascii="仿宋" w:hAnsi="仿宋" w:eastAsia="仿宋"/>
          <w:sz w:val="24"/>
        </w:rPr>
        <w:t>▲</w:t>
      </w:r>
      <w:r>
        <w:rPr>
          <w:rFonts w:hint="eastAsia" w:ascii="仿宋" w:hAnsi="仿宋" w:eastAsia="仿宋" w:cs="微软雅黑"/>
          <w:sz w:val="24"/>
        </w:rPr>
        <w:t>信用信息查询记录和证据的网页截图；</w:t>
      </w:r>
    </w:p>
    <w:p>
      <w:pPr>
        <w:spacing w:line="480" w:lineRule="exact"/>
        <w:ind w:firstLine="480" w:firstLineChars="200"/>
        <w:jc w:val="left"/>
        <w:rPr>
          <w:rFonts w:ascii="仿宋" w:hAnsi="仿宋" w:eastAsia="仿宋"/>
          <w:sz w:val="24"/>
        </w:rPr>
      </w:pPr>
      <w:r>
        <w:rPr>
          <w:rFonts w:hint="eastAsia" w:ascii="仿宋" w:hAnsi="仿宋" w:eastAsia="仿宋" w:cs="微软雅黑"/>
          <w:bCs/>
          <w:sz w:val="24"/>
          <w:szCs w:val="18"/>
        </w:rPr>
        <w:t>1</w:t>
      </w:r>
      <w:r>
        <w:rPr>
          <w:rFonts w:hint="eastAsia" w:ascii="仿宋" w:hAnsi="仿宋" w:eastAsia="仿宋"/>
          <w:sz w:val="24"/>
        </w:rPr>
        <w:t>2.1.6▲商务偏离表；（格式见附件）；</w:t>
      </w:r>
    </w:p>
    <w:p>
      <w:pPr>
        <w:spacing w:line="480" w:lineRule="exact"/>
        <w:ind w:firstLine="480" w:firstLineChars="200"/>
        <w:jc w:val="left"/>
        <w:rPr>
          <w:rFonts w:ascii="仿宋" w:hAnsi="仿宋" w:eastAsia="仿宋"/>
          <w:sz w:val="24"/>
        </w:rPr>
      </w:pPr>
      <w:r>
        <w:rPr>
          <w:rFonts w:hint="eastAsia" w:ascii="仿宋" w:hAnsi="仿宋" w:eastAsia="仿宋"/>
          <w:sz w:val="24"/>
        </w:rPr>
        <w:t>12.1.7▲技术规范偏离表（格式见附件）；</w:t>
      </w:r>
    </w:p>
    <w:p>
      <w:pPr>
        <w:spacing w:line="480" w:lineRule="exact"/>
        <w:ind w:firstLine="480" w:firstLineChars="200"/>
        <w:jc w:val="left"/>
        <w:rPr>
          <w:rFonts w:ascii="仿宋" w:hAnsi="仿宋" w:eastAsia="仿宋"/>
          <w:sz w:val="24"/>
        </w:rPr>
      </w:pPr>
      <w:r>
        <w:rPr>
          <w:rFonts w:hint="eastAsia" w:ascii="仿宋" w:hAnsi="仿宋" w:eastAsia="仿宋" w:cs="华文中宋"/>
          <w:sz w:val="24"/>
        </w:rPr>
        <w:t>12.1.8</w:t>
      </w:r>
      <w:r>
        <w:rPr>
          <w:rFonts w:hint="eastAsia" w:ascii="仿宋" w:hAnsi="仿宋" w:eastAsia="仿宋"/>
          <w:sz w:val="24"/>
        </w:rPr>
        <w:t>▲询价函;</w:t>
      </w:r>
    </w:p>
    <w:p>
      <w:pPr>
        <w:spacing w:line="480" w:lineRule="exact"/>
        <w:ind w:firstLine="480" w:firstLineChars="200"/>
        <w:jc w:val="left"/>
        <w:rPr>
          <w:rFonts w:ascii="仿宋" w:hAnsi="仿宋" w:eastAsia="仿宋" w:cs="华文中宋"/>
          <w:sz w:val="24"/>
          <w:szCs w:val="18"/>
        </w:rPr>
      </w:pPr>
      <w:r>
        <w:rPr>
          <w:rFonts w:hint="eastAsia" w:ascii="仿宋" w:hAnsi="仿宋" w:eastAsia="仿宋" w:cs="华文中宋"/>
          <w:sz w:val="24"/>
        </w:rPr>
        <w:t>12.1.9</w:t>
      </w:r>
      <w:r>
        <w:rPr>
          <w:rFonts w:hint="eastAsia" w:ascii="仿宋" w:hAnsi="仿宋" w:eastAsia="仿宋"/>
          <w:sz w:val="24"/>
        </w:rPr>
        <w:t>▲报价一览表；</w:t>
      </w:r>
    </w:p>
    <w:p>
      <w:pPr>
        <w:spacing w:line="480" w:lineRule="exact"/>
        <w:ind w:firstLine="480" w:firstLineChars="200"/>
        <w:jc w:val="left"/>
        <w:rPr>
          <w:rFonts w:ascii="仿宋" w:hAnsi="仿宋" w:eastAsia="仿宋"/>
          <w:sz w:val="24"/>
        </w:rPr>
      </w:pPr>
      <w:r>
        <w:rPr>
          <w:rFonts w:hint="eastAsia" w:ascii="仿宋" w:hAnsi="仿宋" w:eastAsia="仿宋"/>
          <w:sz w:val="24"/>
        </w:rPr>
        <w:t>12.1.10《中小企业声明函》、</w:t>
      </w:r>
      <w:r>
        <w:rPr>
          <w:rFonts w:hint="eastAsia" w:ascii="仿宋" w:hAnsi="仿宋" w:eastAsia="仿宋"/>
          <w:sz w:val="24"/>
          <w:lang w:val="zh-CN"/>
        </w:rPr>
        <w:t>《监狱企业声明函》、《残疾人福利性单位声明函》</w:t>
      </w:r>
      <w:r>
        <w:rPr>
          <w:rFonts w:hint="eastAsia" w:ascii="仿宋" w:hAnsi="仿宋" w:eastAsia="仿宋"/>
          <w:sz w:val="24"/>
        </w:rPr>
        <w:t>（</w:t>
      </w:r>
      <w:r>
        <w:rPr>
          <w:rFonts w:hint="eastAsia" w:ascii="仿宋" w:hAnsi="仿宋" w:eastAsia="仿宋"/>
          <w:sz w:val="24"/>
          <w:lang w:val="zh-CN"/>
        </w:rPr>
        <w:t>如有，统一格式）</w:t>
      </w:r>
      <w:r>
        <w:rPr>
          <w:rFonts w:hint="eastAsia" w:ascii="仿宋" w:hAnsi="仿宋" w:eastAsia="仿宋"/>
          <w:sz w:val="24"/>
        </w:rPr>
        <w:t>；</w:t>
      </w:r>
    </w:p>
    <w:p>
      <w:pPr>
        <w:spacing w:line="480" w:lineRule="exact"/>
        <w:ind w:firstLine="480" w:firstLineChars="200"/>
        <w:jc w:val="left"/>
        <w:rPr>
          <w:rFonts w:ascii="仿宋" w:hAnsi="仿宋" w:eastAsia="仿宋"/>
          <w:sz w:val="24"/>
        </w:rPr>
      </w:pPr>
      <w:r>
        <w:rPr>
          <w:rFonts w:hint="eastAsia" w:ascii="仿宋" w:hAnsi="仿宋" w:eastAsia="仿宋" w:cs="华文中宋"/>
          <w:sz w:val="24"/>
        </w:rPr>
        <w:t>12.1.11</w:t>
      </w:r>
      <w:r>
        <w:rPr>
          <w:rFonts w:hint="eastAsia" w:ascii="仿宋" w:hAnsi="仿宋" w:eastAsia="仿宋"/>
          <w:sz w:val="24"/>
        </w:rPr>
        <w:t>供应商认为需提供的其他资料。</w:t>
      </w:r>
    </w:p>
    <w:p>
      <w:pPr>
        <w:spacing w:line="480" w:lineRule="exact"/>
        <w:ind w:firstLine="480" w:firstLineChars="200"/>
        <w:jc w:val="left"/>
        <w:rPr>
          <w:rFonts w:ascii="仿宋" w:hAnsi="仿宋" w:eastAsia="仿宋"/>
          <w:sz w:val="24"/>
        </w:rPr>
      </w:pPr>
      <w:r>
        <w:rPr>
          <w:rFonts w:hint="eastAsia" w:ascii="仿宋" w:hAnsi="仿宋" w:eastAsia="仿宋"/>
          <w:sz w:val="24"/>
        </w:rPr>
        <w:t>注：由于本项目为电子标，供应商的法定代表人（或其委托代理人）无需出席开标现场会议，评审过程中的涉及到的原件部分，由各供应商上传原件扫描件进行备查。</w:t>
      </w:r>
    </w:p>
    <w:p>
      <w:pPr>
        <w:snapToGrid w:val="0"/>
        <w:spacing w:line="480" w:lineRule="exact"/>
        <w:ind w:firstLine="480" w:firstLineChars="200"/>
        <w:jc w:val="left"/>
        <w:rPr>
          <w:rFonts w:ascii="仿宋" w:hAnsi="仿宋" w:eastAsia="仿宋" w:cs="华文中宋"/>
          <w:b/>
          <w:sz w:val="24"/>
        </w:rPr>
      </w:pPr>
      <w:r>
        <w:rPr>
          <w:rFonts w:hint="eastAsia" w:ascii="仿宋" w:hAnsi="仿宋" w:eastAsia="仿宋" w:cs="华文中宋"/>
          <w:b/>
          <w:sz w:val="24"/>
        </w:rPr>
        <w:t xml:space="preserve">13.询价响应文件内容填写说明 </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13.1询价响应方应在认真阅读询价文件所有内容的基础上，按照询价文件的要求编制完整的询价文件；</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13.2《报价一览表》为在开标仪式上唱标的内容，要求按格式填写、统一规范，不得自行增减内容；</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13.3询价响应文件不得涂改和增删，如有错漏必须修改，修改处须由授权代表签字或盖章；</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13.4由于字迹模糊或表达不清引起的后果由询价响应方负责。</w:t>
      </w:r>
    </w:p>
    <w:p>
      <w:pPr>
        <w:snapToGrid w:val="0"/>
        <w:spacing w:line="480" w:lineRule="exact"/>
        <w:ind w:firstLine="480" w:firstLineChars="200"/>
        <w:jc w:val="left"/>
        <w:rPr>
          <w:rFonts w:ascii="仿宋" w:hAnsi="仿宋" w:eastAsia="仿宋" w:cs="华文中宋"/>
          <w:b/>
          <w:sz w:val="24"/>
        </w:rPr>
      </w:pPr>
      <w:r>
        <w:rPr>
          <w:rFonts w:hint="eastAsia" w:ascii="仿宋" w:hAnsi="仿宋" w:eastAsia="仿宋" w:cs="华文中宋"/>
          <w:b/>
          <w:sz w:val="24"/>
        </w:rPr>
        <w:t>14.询价报价</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14.1询价报价应按询价文件中相关附表格式填写；</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14.2</w:t>
      </w:r>
      <w:r>
        <w:rPr>
          <w:rFonts w:ascii="仿宋" w:hAnsi="仿宋" w:eastAsia="仿宋" w:cs="华文中宋"/>
          <w:sz w:val="24"/>
        </w:rPr>
        <w:t>最高</w:t>
      </w:r>
      <w:r>
        <w:rPr>
          <w:rFonts w:hint="eastAsia" w:ascii="仿宋" w:hAnsi="仿宋" w:eastAsia="仿宋" w:cs="华文中宋"/>
          <w:sz w:val="24"/>
        </w:rPr>
        <w:t>单价</w:t>
      </w:r>
      <w:r>
        <w:rPr>
          <w:rFonts w:ascii="仿宋" w:hAnsi="仿宋" w:eastAsia="仿宋" w:cs="华文中宋"/>
          <w:sz w:val="24"/>
        </w:rPr>
        <w:t>限价</w:t>
      </w:r>
      <w:r>
        <w:rPr>
          <w:rFonts w:hint="eastAsia" w:ascii="仿宋" w:hAnsi="仿宋" w:eastAsia="仿宋" w:cs="华文中宋"/>
          <w:sz w:val="24"/>
        </w:rPr>
        <w:t>详见第三章</w:t>
      </w:r>
      <w:r>
        <w:rPr>
          <w:rFonts w:ascii="仿宋" w:hAnsi="仿宋" w:eastAsia="仿宋" w:cs="华文中宋"/>
          <w:sz w:val="24"/>
        </w:rPr>
        <w:t>，供应商报价超出最高限价的，作无效</w:t>
      </w:r>
      <w:r>
        <w:rPr>
          <w:rFonts w:hint="eastAsia" w:ascii="仿宋" w:hAnsi="仿宋" w:eastAsia="仿宋" w:cs="华文中宋"/>
          <w:sz w:val="24"/>
        </w:rPr>
        <w:t>报价</w:t>
      </w:r>
      <w:r>
        <w:rPr>
          <w:rFonts w:ascii="仿宋" w:hAnsi="仿宋" w:eastAsia="仿宋" w:cs="华文中宋"/>
          <w:sz w:val="24"/>
        </w:rPr>
        <w:t>处理。</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14.3注：报价是履行合同的最终报价，供应商报价包括材料费、税金（含产品的关税、增值税等）、运输费、装卸费、质保期内的维护维修费、政策性文件规定及合同包含的所有风险、责任等各项全部费用。投标报价为投标方所能承受的最低、最终一次性报价。投标方的投标报价为整个采购项目的总报价，如有漏项，视同已包含在其总项目中，合同总价不做调整。</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14.4询价响应文件只允许有一个报价，有选择的或有条件的报价将不予接受。</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15.响应文件的关联和签署</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（一）</w:t>
      </w:r>
      <w:r>
        <w:rPr>
          <w:rFonts w:hint="eastAsia" w:ascii="仿宋" w:hAnsi="仿宋" w:eastAsia="仿宋" w:cs="华文中宋"/>
          <w:sz w:val="24"/>
        </w:rPr>
        <w:tab/>
      </w:r>
      <w:r>
        <w:rPr>
          <w:rFonts w:hint="eastAsia" w:ascii="仿宋" w:hAnsi="仿宋" w:eastAsia="仿宋" w:cs="华文中宋"/>
          <w:sz w:val="24"/>
        </w:rPr>
        <w:t>电子响应文件</w:t>
      </w:r>
    </w:p>
    <w:p>
      <w:pPr>
        <w:wordWrap w:val="0"/>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电子投标文件按政采云平台供应商项目采购-电子招投标操作指南（网址：https://help.zcygov.cn/web/site_2/2018/12-28/2573.html）及本招标文件规定的格式和顺序编制电子投标文件并进行关联定位。</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（二）纸质备份文件</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纸质备份询价响应文件的格式</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15.1供应商的纸质备份询价响应文件由资格证明部分、报价两部分组成，并按以下要求制作，否则视为无效响应：</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15.1.1纸质备份询价响应文件（含资格证明部分、报价部分）正本1份。正本必须用A4幅面纸张打印装订，并在封面标明“正本”。</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15.2纸质备份询价响应文件应由供应商的法定代表人或者其授权代表签字并加盖公章，如由后者签字，应提供“法定代表人授权委托书”。</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15.3响应使用货币为人民币。</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 xml:space="preserve">15.4供应商应提交证明其拟供采购内容符合询价文件要求的相应材料，该材料可以是文字资料、图纸和数据，并须提供主要技术要求的详细描述。                          </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15.5询价响应文件的正本和副本均应使用不能擦去的墨料或墨水打印、书写或复印，并由法定代表人或其授权代表签署，盖供应商公章。</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 xml:space="preserve">15.6全套询价响应文件应无涂改和行间插字，除非是为改正供应商造成的必须修改的错误而进行的。有改动时，修改处应由法人代表或授权代表签署并加盖公章。 </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15.7未按本须知规定的格式填写询价响应文件或询价响应文件字迹模糊不清的，其响应将被拒绝。</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15.8所有资格证明文件复印件均须在有效期内。</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b/>
          <w:sz w:val="24"/>
        </w:rPr>
        <w:t>15.询价有效期：</w:t>
      </w:r>
      <w:r>
        <w:rPr>
          <w:rFonts w:hint="eastAsia" w:ascii="仿宋" w:hAnsi="仿宋" w:eastAsia="仿宋" w:cs="华文中宋"/>
          <w:sz w:val="24"/>
        </w:rPr>
        <w:t>询价文件从询价文件递交截止之日起，有效期为60天。</w:t>
      </w:r>
    </w:p>
    <w:p>
      <w:pPr>
        <w:pStyle w:val="4"/>
        <w:numPr>
          <w:ilvl w:val="1"/>
          <w:numId w:val="0"/>
        </w:numPr>
        <w:spacing w:before="0" w:after="0" w:line="480" w:lineRule="exact"/>
        <w:rPr>
          <w:rFonts w:ascii="仿宋" w:hAnsi="仿宋" w:eastAsia="仿宋" w:cs="华文中宋"/>
          <w:b w:val="0"/>
          <w:bCs/>
          <w:sz w:val="30"/>
          <w:szCs w:val="30"/>
        </w:rPr>
      </w:pPr>
      <w:bookmarkStart w:id="54" w:name="_Toc12174"/>
      <w:bookmarkStart w:id="55" w:name="_Toc29476"/>
      <w:bookmarkStart w:id="56" w:name="_Toc12795"/>
      <w:bookmarkStart w:id="57" w:name="_Toc72941051"/>
      <w:bookmarkStart w:id="58" w:name="_Toc1208"/>
      <w:bookmarkStart w:id="59" w:name="_Toc6755"/>
      <w:bookmarkStart w:id="60" w:name="_Toc356371437"/>
      <w:bookmarkStart w:id="61" w:name="_Toc361685326"/>
      <w:bookmarkStart w:id="62" w:name="_Toc26514"/>
      <w:bookmarkStart w:id="63" w:name="_Toc13448"/>
      <w:bookmarkStart w:id="64" w:name="_Toc11318"/>
      <w:bookmarkStart w:id="65" w:name="_Toc16467"/>
      <w:bookmarkStart w:id="66" w:name="_Toc18659"/>
      <w:bookmarkStart w:id="67" w:name="_Toc16262"/>
      <w:r>
        <w:rPr>
          <w:rFonts w:hint="eastAsia" w:ascii="仿宋" w:hAnsi="仿宋" w:eastAsia="仿宋" w:cs="华文中宋"/>
          <w:b w:val="0"/>
          <w:bCs/>
          <w:sz w:val="30"/>
          <w:szCs w:val="30"/>
        </w:rPr>
        <w:t>五、询价响应文件的递交</w:t>
      </w:r>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80" w:lineRule="exact"/>
        <w:ind w:firstLine="480"/>
        <w:rPr>
          <w:rFonts w:ascii="仿宋" w:hAnsi="仿宋" w:eastAsia="仿宋" w:cs="华文中宋"/>
          <w:sz w:val="24"/>
        </w:rPr>
      </w:pPr>
      <w:bookmarkStart w:id="68" w:name="_Toc361685327"/>
      <w:bookmarkStart w:id="69" w:name="_Toc356371438"/>
      <w:bookmarkStart w:id="70" w:name="_Toc14807"/>
      <w:bookmarkStart w:id="71" w:name="_Toc21448"/>
      <w:bookmarkStart w:id="72" w:name="_Toc1393"/>
      <w:bookmarkStart w:id="73" w:name="_Toc19408"/>
      <w:bookmarkStart w:id="74" w:name="_Toc1201"/>
      <w:bookmarkStart w:id="75" w:name="_Toc20017"/>
      <w:bookmarkStart w:id="76" w:name="_Toc32374"/>
      <w:bookmarkStart w:id="77" w:name="_Toc2894"/>
      <w:bookmarkStart w:id="78" w:name="_Toc10634"/>
      <w:bookmarkStart w:id="79" w:name="_Toc11758"/>
      <w:bookmarkStart w:id="80" w:name="_Toc9120"/>
      <w:r>
        <w:rPr>
          <w:rFonts w:hint="eastAsia" w:ascii="仿宋" w:hAnsi="仿宋" w:eastAsia="仿宋" w:cs="华文中宋"/>
          <w:sz w:val="24"/>
        </w:rPr>
        <w:t>16.询价响应文件的密封、标记和递交</w:t>
      </w:r>
    </w:p>
    <w:p>
      <w:pPr>
        <w:spacing w:line="480" w:lineRule="exact"/>
        <w:ind w:firstLine="480"/>
        <w:rPr>
          <w:rFonts w:ascii="仿宋" w:hAnsi="仿宋" w:eastAsia="仿宋" w:cs="华文中宋"/>
          <w:sz w:val="24"/>
        </w:rPr>
      </w:pPr>
      <w:r>
        <w:rPr>
          <w:rFonts w:hint="eastAsia" w:ascii="仿宋" w:hAnsi="仿宋" w:eastAsia="仿宋" w:cs="华文中宋"/>
          <w:sz w:val="24"/>
        </w:rPr>
        <w:t>16.1供应商应将询价响应文件的正本和副本分别装订成册，并标明供应商名称、询价项目名称及“正本”字样。询价响应文件未密封将导致响应被拒绝。</w:t>
      </w:r>
    </w:p>
    <w:p>
      <w:pPr>
        <w:spacing w:line="480" w:lineRule="exact"/>
        <w:ind w:firstLine="480"/>
        <w:rPr>
          <w:rFonts w:ascii="仿宋" w:hAnsi="仿宋" w:eastAsia="仿宋" w:cs="华文中宋"/>
          <w:sz w:val="24"/>
        </w:rPr>
      </w:pPr>
      <w:r>
        <w:rPr>
          <w:rFonts w:hint="eastAsia" w:ascii="仿宋" w:hAnsi="仿宋" w:eastAsia="仿宋" w:cs="华文中宋"/>
          <w:sz w:val="24"/>
        </w:rPr>
        <w:t>16.2询价响应文件外封面应注明“χχ（指响应文件规定的递交截止时间）之前不得开启”的字样，并加盖供应商公章，法人代表或其授权代表签字。</w:t>
      </w:r>
    </w:p>
    <w:p>
      <w:pPr>
        <w:pStyle w:val="4"/>
        <w:numPr>
          <w:ilvl w:val="1"/>
          <w:numId w:val="0"/>
        </w:numPr>
        <w:spacing w:before="0" w:after="0" w:line="480" w:lineRule="exact"/>
        <w:rPr>
          <w:rFonts w:ascii="仿宋" w:hAnsi="仿宋" w:eastAsia="仿宋" w:cs="华文中宋"/>
          <w:b w:val="0"/>
          <w:bCs/>
          <w:sz w:val="30"/>
          <w:szCs w:val="30"/>
        </w:rPr>
      </w:pPr>
      <w:bookmarkStart w:id="81" w:name="_Toc72941052"/>
      <w:r>
        <w:rPr>
          <w:rFonts w:hint="eastAsia" w:ascii="仿宋" w:hAnsi="仿宋" w:eastAsia="仿宋" w:cs="华文中宋"/>
          <w:b w:val="0"/>
          <w:bCs/>
          <w:sz w:val="30"/>
          <w:szCs w:val="30"/>
        </w:rPr>
        <w:t>六、询价响应无效的情形</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numPr>
          <w:ilvl w:val="1"/>
          <w:numId w:val="8"/>
        </w:numPr>
        <w:snapToGrid w:val="0"/>
        <w:spacing w:line="480" w:lineRule="exact"/>
        <w:ind w:firstLine="480" w:firstLineChars="200"/>
        <w:rPr>
          <w:rFonts w:ascii="仿宋" w:hAnsi="仿宋" w:eastAsia="仿宋" w:cs="华文中宋"/>
          <w:bCs/>
          <w:sz w:val="24"/>
        </w:rPr>
      </w:pPr>
      <w:r>
        <w:rPr>
          <w:rFonts w:hint="eastAsia" w:ascii="仿宋" w:hAnsi="仿宋" w:eastAsia="仿宋" w:cs="华文中宋"/>
          <w:bCs/>
          <w:sz w:val="24"/>
        </w:rPr>
        <w:t>实质上没有响应</w:t>
      </w:r>
      <w:r>
        <w:rPr>
          <w:rFonts w:hint="eastAsia" w:ascii="仿宋" w:hAnsi="仿宋" w:eastAsia="仿宋" w:cs="华文中宋"/>
          <w:sz w:val="24"/>
        </w:rPr>
        <w:t>询价响应</w:t>
      </w:r>
      <w:r>
        <w:rPr>
          <w:rFonts w:hint="eastAsia" w:ascii="仿宋" w:hAnsi="仿宋" w:eastAsia="仿宋" w:cs="华文中宋"/>
          <w:bCs/>
          <w:sz w:val="24"/>
        </w:rPr>
        <w:t>文件要求的询价将被视为无效询价。询价响应方不得通过修正或撤消不合要求的偏离或保留从而使其询价成为实质上响应的询价。如发生下列情况之一的，其询价视为无效：</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bCs/>
          <w:sz w:val="24"/>
        </w:rPr>
        <w:t>询价响应文件逾期送达的；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sz w:val="24"/>
        </w:rPr>
        <w:t>不具备询价文件规定要求的；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sz w:val="24"/>
        </w:rPr>
        <w:t>询价响应文件有应盖而未盖公章、未按规定密封，未有效授权的；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sz w:val="24"/>
        </w:rPr>
        <w:t>询价文件中有▲处条款或▲处参数投标人未作实质性响应的；</w:t>
      </w:r>
    </w:p>
    <w:p>
      <w:pPr>
        <w:numPr>
          <w:ilvl w:val="2"/>
          <w:numId w:val="8"/>
        </w:numPr>
        <w:snapToGrid w:val="0"/>
        <w:spacing w:line="480" w:lineRule="exact"/>
        <w:ind w:left="0" w:firstLine="480" w:firstLineChars="200"/>
        <w:rPr>
          <w:rFonts w:ascii="仿宋" w:hAnsi="仿宋" w:eastAsia="仿宋"/>
          <w:sz w:val="24"/>
        </w:rPr>
      </w:pPr>
      <w:r>
        <w:rPr>
          <w:rFonts w:hint="eastAsia" w:ascii="仿宋" w:hAnsi="仿宋" w:eastAsia="仿宋"/>
          <w:sz w:val="24"/>
        </w:rPr>
        <w:t>询价响应方的报价明显高于其市场价或报价明显低于其他通过符合性审查投标人的报价，有可能影响产品质量或者不能诚信履约的，该询价响应方在评标时合理的时间内未提供书面说明及相关证明材料的；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sz w:val="24"/>
        </w:rPr>
        <w:t>询价文件关键内容字迹模糊、无法辨认的；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snapToGrid w:val="0"/>
          <w:sz w:val="24"/>
        </w:rPr>
        <w:t>报价超出采购预算价(最高限价)或预算单价的；</w:t>
      </w:r>
    </w:p>
    <w:p>
      <w:pPr>
        <w:numPr>
          <w:ilvl w:val="2"/>
          <w:numId w:val="8"/>
        </w:numPr>
        <w:snapToGrid w:val="0"/>
        <w:spacing w:line="480" w:lineRule="exact"/>
        <w:ind w:left="0" w:firstLine="480" w:firstLineChars="200"/>
        <w:rPr>
          <w:rFonts w:ascii="仿宋" w:hAnsi="仿宋" w:eastAsia="仿宋" w:cs="华文中宋"/>
          <w:bCs/>
          <w:sz w:val="24"/>
        </w:rPr>
      </w:pPr>
      <w:r>
        <w:rPr>
          <w:rFonts w:hint="eastAsia" w:ascii="仿宋" w:hAnsi="仿宋" w:eastAsia="仿宋" w:cs="华文中宋"/>
          <w:sz w:val="24"/>
        </w:rPr>
        <w:t>提供虚假材料谋取中标的；</w:t>
      </w:r>
    </w:p>
    <w:p>
      <w:pPr>
        <w:numPr>
          <w:ilvl w:val="2"/>
          <w:numId w:val="8"/>
        </w:numPr>
        <w:snapToGrid w:val="0"/>
        <w:spacing w:line="480" w:lineRule="exact"/>
        <w:ind w:left="0" w:firstLine="480" w:firstLineChars="200"/>
        <w:rPr>
          <w:rFonts w:ascii="仿宋" w:hAnsi="仿宋" w:eastAsia="仿宋" w:cs="华文中宋"/>
          <w:sz w:val="24"/>
        </w:rPr>
      </w:pPr>
      <w:r>
        <w:rPr>
          <w:rFonts w:hint="eastAsia" w:ascii="仿宋" w:hAnsi="仿宋" w:eastAsia="仿宋" w:cs="华文中宋"/>
          <w:sz w:val="24"/>
        </w:rPr>
        <w:t>不符合法律、法规和询价文件规定的其他实质性要求的。</w:t>
      </w:r>
    </w:p>
    <w:p>
      <w:pPr>
        <w:numPr>
          <w:ilvl w:val="2"/>
          <w:numId w:val="8"/>
        </w:numPr>
        <w:snapToGrid w:val="0"/>
        <w:spacing w:line="480" w:lineRule="exact"/>
        <w:ind w:left="0" w:firstLine="480" w:firstLineChars="200"/>
        <w:rPr>
          <w:rFonts w:ascii="仿宋" w:hAnsi="仿宋" w:eastAsia="仿宋" w:cs="华文中宋"/>
          <w:snapToGrid w:val="0"/>
          <w:sz w:val="24"/>
        </w:rPr>
      </w:pPr>
      <w:r>
        <w:rPr>
          <w:rFonts w:hint="eastAsia" w:ascii="仿宋" w:hAnsi="仿宋" w:eastAsia="仿宋" w:cs="华文中宋"/>
          <w:snapToGrid w:val="0"/>
          <w:sz w:val="24"/>
        </w:rPr>
        <w:t>电子投标文件未按规定要求提供电子签章的。</w:t>
      </w:r>
    </w:p>
    <w:p>
      <w:pPr>
        <w:pStyle w:val="4"/>
        <w:numPr>
          <w:ilvl w:val="1"/>
          <w:numId w:val="0"/>
        </w:numPr>
        <w:spacing w:before="0" w:after="0" w:line="480" w:lineRule="exact"/>
        <w:rPr>
          <w:rFonts w:ascii="仿宋" w:hAnsi="仿宋" w:eastAsia="仿宋" w:cs="华文中宋"/>
          <w:b w:val="0"/>
          <w:bCs/>
          <w:sz w:val="30"/>
          <w:szCs w:val="30"/>
        </w:rPr>
      </w:pPr>
      <w:bookmarkStart w:id="82" w:name="_Toc29886"/>
      <w:bookmarkStart w:id="83" w:name="_Toc361685328"/>
      <w:bookmarkStart w:id="84" w:name="_Toc29685"/>
      <w:bookmarkStart w:id="85" w:name="_Toc163"/>
      <w:bookmarkStart w:id="86" w:name="_Toc24693"/>
      <w:bookmarkStart w:id="87" w:name="_Toc24372"/>
      <w:bookmarkStart w:id="88" w:name="_Toc72941053"/>
      <w:bookmarkStart w:id="89" w:name="_Toc27675"/>
      <w:bookmarkStart w:id="90" w:name="_Toc14059"/>
      <w:bookmarkStart w:id="91" w:name="_Toc2854"/>
      <w:bookmarkStart w:id="92" w:name="_Toc2644"/>
      <w:bookmarkStart w:id="93" w:name="_Toc16655"/>
      <w:bookmarkStart w:id="94" w:name="_Toc14423"/>
      <w:r>
        <w:rPr>
          <w:rFonts w:hint="eastAsia" w:ascii="仿宋" w:hAnsi="仿宋" w:eastAsia="仿宋" w:cs="华文中宋"/>
          <w:b w:val="0"/>
          <w:bCs/>
          <w:sz w:val="30"/>
          <w:szCs w:val="30"/>
        </w:rPr>
        <w:t>七、终止的情形</w:t>
      </w:r>
      <w:bookmarkEnd w:id="82"/>
      <w:bookmarkEnd w:id="83"/>
      <w:bookmarkEnd w:id="84"/>
      <w:bookmarkEnd w:id="85"/>
      <w:bookmarkEnd w:id="86"/>
      <w:bookmarkEnd w:id="87"/>
      <w:bookmarkEnd w:id="88"/>
      <w:bookmarkEnd w:id="89"/>
      <w:bookmarkEnd w:id="90"/>
      <w:bookmarkEnd w:id="91"/>
      <w:bookmarkEnd w:id="92"/>
      <w:bookmarkEnd w:id="93"/>
      <w:bookmarkEnd w:id="94"/>
    </w:p>
    <w:p>
      <w:pPr>
        <w:numPr>
          <w:ilvl w:val="1"/>
          <w:numId w:val="8"/>
        </w:num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出现下列情形之一的，采购人或采购代理机构应当终止询价采购活动，发布项目终止公告并说明原因，重新开展采购活动：</w:t>
      </w:r>
    </w:p>
    <w:p>
      <w:pPr>
        <w:numPr>
          <w:ilvl w:val="0"/>
          <w:numId w:val="9"/>
        </w:numPr>
        <w:snapToGrid w:val="0"/>
        <w:spacing w:line="480" w:lineRule="exact"/>
        <w:ind w:left="0" w:firstLine="480" w:firstLineChars="200"/>
        <w:rPr>
          <w:rFonts w:ascii="仿宋" w:hAnsi="仿宋" w:eastAsia="仿宋" w:cs="华文中宋"/>
          <w:sz w:val="24"/>
        </w:rPr>
      </w:pPr>
      <w:r>
        <w:rPr>
          <w:rFonts w:hint="eastAsia" w:ascii="仿宋" w:hAnsi="仿宋" w:eastAsia="仿宋" w:cs="华文中宋"/>
          <w:sz w:val="24"/>
        </w:rPr>
        <w:t>因情况有变，不再符合规定的询价采购方式适用情形的；</w:t>
      </w:r>
    </w:p>
    <w:p>
      <w:pPr>
        <w:numPr>
          <w:ilvl w:val="0"/>
          <w:numId w:val="9"/>
        </w:numPr>
        <w:snapToGrid w:val="0"/>
        <w:spacing w:line="480" w:lineRule="exact"/>
        <w:ind w:left="0" w:firstLine="480" w:firstLineChars="200"/>
        <w:rPr>
          <w:rFonts w:ascii="仿宋" w:hAnsi="仿宋" w:eastAsia="仿宋" w:cs="华文中宋"/>
          <w:sz w:val="24"/>
        </w:rPr>
      </w:pPr>
      <w:r>
        <w:rPr>
          <w:rFonts w:hint="eastAsia" w:ascii="仿宋" w:hAnsi="仿宋" w:eastAsia="仿宋" w:cs="华文中宋"/>
          <w:sz w:val="24"/>
        </w:rPr>
        <w:t>出现影响采购公正的违法、违规行为的；</w:t>
      </w:r>
    </w:p>
    <w:p>
      <w:pPr>
        <w:numPr>
          <w:ilvl w:val="0"/>
          <w:numId w:val="9"/>
        </w:numPr>
        <w:snapToGrid w:val="0"/>
        <w:spacing w:line="480" w:lineRule="exact"/>
        <w:ind w:left="0" w:firstLine="480" w:firstLineChars="200"/>
        <w:rPr>
          <w:rFonts w:ascii="仿宋" w:hAnsi="仿宋" w:eastAsia="仿宋" w:cs="华文中宋"/>
          <w:sz w:val="24"/>
        </w:rPr>
      </w:pPr>
      <w:r>
        <w:rPr>
          <w:rFonts w:hint="eastAsia" w:ascii="仿宋" w:hAnsi="仿宋" w:eastAsia="仿宋" w:cs="华文中宋"/>
          <w:sz w:val="24"/>
        </w:rPr>
        <w:t>在采购过程中符合竞争要求的询价响应方或者报价未超过采购预算或预算单价的询价响应方不足三家的。</w:t>
      </w:r>
    </w:p>
    <w:p>
      <w:pPr>
        <w:pStyle w:val="4"/>
        <w:numPr>
          <w:ilvl w:val="1"/>
          <w:numId w:val="0"/>
        </w:numPr>
        <w:spacing w:before="0" w:after="0" w:line="480" w:lineRule="exact"/>
        <w:rPr>
          <w:rFonts w:ascii="仿宋" w:hAnsi="仿宋" w:eastAsia="仿宋" w:cs="华文中宋"/>
          <w:b w:val="0"/>
          <w:bCs/>
          <w:sz w:val="30"/>
          <w:szCs w:val="30"/>
        </w:rPr>
      </w:pPr>
      <w:bookmarkStart w:id="95" w:name="_Toc26381"/>
      <w:bookmarkStart w:id="96" w:name="_Toc24058"/>
      <w:bookmarkStart w:id="97" w:name="_Toc4650"/>
      <w:bookmarkStart w:id="98" w:name="_Toc18117"/>
      <w:bookmarkStart w:id="99" w:name="_Toc29452"/>
      <w:bookmarkStart w:id="100" w:name="_Toc1906"/>
      <w:bookmarkStart w:id="101" w:name="_Toc32586"/>
      <w:bookmarkStart w:id="102" w:name="_Toc6451"/>
      <w:bookmarkStart w:id="103" w:name="_Toc6023"/>
      <w:bookmarkStart w:id="104" w:name="_Toc72941054"/>
      <w:bookmarkStart w:id="105" w:name="_Toc14565"/>
      <w:bookmarkStart w:id="106" w:name="_Toc27849"/>
      <w:r>
        <w:rPr>
          <w:rFonts w:hint="eastAsia" w:ascii="仿宋" w:hAnsi="仿宋" w:eastAsia="仿宋" w:cs="华文中宋"/>
          <w:b w:val="0"/>
          <w:bCs/>
          <w:sz w:val="30"/>
          <w:szCs w:val="30"/>
        </w:rPr>
        <w:t>八、询价</w:t>
      </w:r>
      <w:bookmarkEnd w:id="95"/>
      <w:bookmarkEnd w:id="96"/>
      <w:bookmarkEnd w:id="97"/>
      <w:bookmarkEnd w:id="98"/>
      <w:bookmarkEnd w:id="99"/>
      <w:bookmarkEnd w:id="100"/>
      <w:bookmarkEnd w:id="101"/>
      <w:bookmarkEnd w:id="102"/>
      <w:bookmarkEnd w:id="103"/>
      <w:bookmarkEnd w:id="104"/>
      <w:bookmarkEnd w:id="105"/>
      <w:bookmarkEnd w:id="106"/>
    </w:p>
    <w:p>
      <w:pPr>
        <w:tabs>
          <w:tab w:val="left" w:pos="-284"/>
        </w:tabs>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21.询价组织方在规定的日期、时间和地点组织询价会，根据质量和服务均能满足采购文件实质性响应要求且报价最低的原则确定成交供应商。</w:t>
      </w:r>
      <w:r>
        <w:rPr>
          <w:rFonts w:hint="eastAsia" w:ascii="仿宋" w:hAnsi="仿宋" w:eastAsia="仿宋" w:cs="华文中宋"/>
          <w:sz w:val="24"/>
          <w:lang w:val="zh-CN"/>
        </w:rPr>
        <w:t>依法组织询价小组，询价小组由采购人代表和有关专家共</w:t>
      </w:r>
      <w:r>
        <w:rPr>
          <w:rFonts w:hint="eastAsia" w:ascii="仿宋" w:hAnsi="仿宋" w:eastAsia="仿宋" w:cs="华文中宋"/>
          <w:sz w:val="24"/>
        </w:rPr>
        <w:t>3</w:t>
      </w:r>
      <w:r>
        <w:rPr>
          <w:rFonts w:hint="eastAsia" w:ascii="仿宋" w:hAnsi="仿宋" w:eastAsia="仿宋" w:cs="华文中宋"/>
          <w:sz w:val="24"/>
          <w:lang w:val="zh-CN"/>
        </w:rPr>
        <w:t>人组成</w:t>
      </w:r>
      <w:r>
        <w:rPr>
          <w:rFonts w:hint="eastAsia" w:ascii="仿宋" w:hAnsi="仿宋" w:eastAsia="仿宋" w:cs="华文中宋"/>
          <w:sz w:val="24"/>
        </w:rPr>
        <w:t>，负责本项目的询价。</w:t>
      </w:r>
    </w:p>
    <w:p>
      <w:pPr>
        <w:tabs>
          <w:tab w:val="left" w:pos="-284"/>
        </w:tabs>
        <w:spacing w:line="480" w:lineRule="exact"/>
        <w:ind w:firstLine="480" w:firstLineChars="200"/>
        <w:jc w:val="left"/>
        <w:rPr>
          <w:rFonts w:ascii="仿宋" w:hAnsi="仿宋" w:eastAsia="仿宋" w:cs="华文中宋"/>
          <w:b/>
          <w:sz w:val="24"/>
        </w:rPr>
      </w:pPr>
      <w:r>
        <w:rPr>
          <w:rFonts w:hint="eastAsia" w:ascii="仿宋" w:hAnsi="仿宋" w:eastAsia="仿宋" w:cs="华文中宋"/>
          <w:sz w:val="24"/>
        </w:rPr>
        <w:t>22.询价小组首先对询价响应文件的完整性、符合性、响应性等进行审查。凡不符合有关规定或不响应采购文件要求的询价响应文件将不进入评审范围。评审专家对有效的询价响应文件及其询价采购供应商进行评审，应当从质量和服务均能满足采购文件实质性响应要求的供应商中，按照报价由低到高的顺序，排名第一的的供应商为成交候选人,排名第二的供应商为候补成交候选人，并编写评审报告。从评审报告推荐的成交候选人名单中，按照排名第一的成交候选人确定为成交人。评审过程中如发现有异常情况，由评审专家集体讨论决定。</w:t>
      </w:r>
    </w:p>
    <w:p>
      <w:pPr>
        <w:widowControl/>
        <w:spacing w:line="480" w:lineRule="exact"/>
        <w:ind w:firstLine="480" w:firstLineChars="200"/>
        <w:jc w:val="left"/>
        <w:rPr>
          <w:rFonts w:ascii="仿宋" w:hAnsi="仿宋" w:eastAsia="仿宋" w:cs="华文中宋"/>
          <w:kern w:val="0"/>
          <w:sz w:val="24"/>
        </w:rPr>
      </w:pPr>
      <w:r>
        <w:rPr>
          <w:rFonts w:hint="eastAsia" w:ascii="仿宋" w:hAnsi="仿宋" w:eastAsia="仿宋" w:cs="华文中宋"/>
          <w:kern w:val="0"/>
          <w:sz w:val="24"/>
        </w:rPr>
        <w:t>22.1响应文件的澄清：在询价过程中，对响应文件中含义不明确、同类问题表述不一致或者有明显文字和计算错误的内容，评审小组可以书面形式(应当由评审小组专家签字)要求询价响应方做出必要的澄清、说明或者补正。询价响应方的澄清、说明或者补正应当采用书面形式，由具有授权的代表签字，并不得超出响应文件的范围或者改变响应文件的实质性内容。</w:t>
      </w:r>
    </w:p>
    <w:p>
      <w:pPr>
        <w:pStyle w:val="34"/>
        <w:spacing w:before="0" w:beforeAutospacing="0" w:after="0" w:afterAutospacing="0" w:line="480" w:lineRule="exact"/>
        <w:ind w:firstLine="480" w:firstLineChars="200"/>
        <w:rPr>
          <w:rFonts w:ascii="仿宋" w:hAnsi="仿宋" w:eastAsia="仿宋" w:cs="华文中宋"/>
          <w:bCs/>
        </w:rPr>
      </w:pPr>
      <w:r>
        <w:rPr>
          <w:rFonts w:hint="eastAsia" w:ascii="仿宋" w:hAnsi="仿宋" w:eastAsia="仿宋" w:cs="华文中宋"/>
        </w:rPr>
        <w:t>22.2算术错误将按以下方法更正:</w:t>
      </w:r>
    </w:p>
    <w:p>
      <w:pPr>
        <w:pStyle w:val="34"/>
        <w:spacing w:before="0" w:beforeAutospacing="0" w:after="0" w:afterAutospacing="0" w:line="480" w:lineRule="exact"/>
        <w:ind w:firstLine="480" w:firstLineChars="200"/>
        <w:rPr>
          <w:rFonts w:ascii="仿宋" w:hAnsi="仿宋" w:eastAsia="仿宋" w:cs="华文中宋"/>
        </w:rPr>
      </w:pPr>
      <w:r>
        <w:rPr>
          <w:rFonts w:hint="eastAsia" w:ascii="仿宋" w:hAnsi="仿宋" w:eastAsia="仿宋" w:cs="华文中宋"/>
        </w:rPr>
        <w:t>22.2.1询价响应文件中报价一览表(报价表)内容与投标文件中相应内容不一致的，以报价一览表(报价表)为准;</w:t>
      </w:r>
    </w:p>
    <w:p>
      <w:pPr>
        <w:pStyle w:val="34"/>
        <w:spacing w:before="0" w:beforeAutospacing="0" w:after="0" w:afterAutospacing="0" w:line="480" w:lineRule="exact"/>
        <w:ind w:firstLine="480" w:firstLineChars="200"/>
        <w:rPr>
          <w:rFonts w:ascii="仿宋" w:hAnsi="仿宋" w:eastAsia="仿宋" w:cs="华文中宋"/>
        </w:rPr>
      </w:pPr>
      <w:r>
        <w:rPr>
          <w:rFonts w:hint="eastAsia" w:ascii="仿宋" w:hAnsi="仿宋" w:eastAsia="仿宋" w:cs="华文中宋"/>
        </w:rPr>
        <w:t>22.2.2大写金额和小写金额不一致的，以大写金额为准;</w:t>
      </w:r>
    </w:p>
    <w:p>
      <w:pPr>
        <w:pStyle w:val="34"/>
        <w:spacing w:before="0" w:beforeAutospacing="0" w:after="0" w:afterAutospacing="0" w:line="480" w:lineRule="exact"/>
        <w:ind w:firstLine="480" w:firstLineChars="200"/>
        <w:rPr>
          <w:rFonts w:ascii="仿宋" w:hAnsi="仿宋" w:eastAsia="仿宋" w:cs="华文中宋"/>
        </w:rPr>
      </w:pPr>
      <w:r>
        <w:rPr>
          <w:rFonts w:hint="eastAsia" w:ascii="仿宋" w:hAnsi="仿宋" w:eastAsia="仿宋" w:cs="华文中宋"/>
        </w:rPr>
        <w:t>22.2.3单价金额小数点或者百分比有明显错位的，以开标一览表的总价为准，并修改单价;</w:t>
      </w:r>
    </w:p>
    <w:p>
      <w:pPr>
        <w:pStyle w:val="34"/>
        <w:spacing w:before="0" w:beforeAutospacing="0" w:after="0" w:afterAutospacing="0" w:line="480" w:lineRule="exact"/>
        <w:ind w:firstLine="480" w:firstLineChars="200"/>
        <w:rPr>
          <w:rFonts w:ascii="仿宋" w:hAnsi="仿宋" w:eastAsia="仿宋" w:cs="华文中宋"/>
        </w:rPr>
      </w:pPr>
      <w:r>
        <w:rPr>
          <w:rFonts w:hint="eastAsia" w:ascii="仿宋" w:hAnsi="仿宋" w:eastAsia="仿宋" w:cs="华文中宋"/>
        </w:rPr>
        <w:t>22.2.4总价金额与按单价汇总金额不一致的，以单价金额计算结果为准。</w:t>
      </w:r>
    </w:p>
    <w:p>
      <w:pPr>
        <w:pStyle w:val="34"/>
        <w:spacing w:before="0" w:beforeAutospacing="0" w:after="0" w:afterAutospacing="0" w:line="480" w:lineRule="exact"/>
        <w:ind w:firstLine="480" w:firstLineChars="200"/>
        <w:rPr>
          <w:rFonts w:ascii="仿宋" w:hAnsi="仿宋" w:eastAsia="仿宋" w:cs="华文中宋"/>
        </w:rPr>
      </w:pPr>
      <w:r>
        <w:rPr>
          <w:rFonts w:hint="eastAsia" w:ascii="仿宋" w:hAnsi="仿宋" w:eastAsia="仿宋" w:cs="华文中宋"/>
        </w:rPr>
        <w:t>同时出现两种以上不一致的，按照前款规定的顺序修正。修正后的报价按规定经投标人确认后产生约束力，投标人不确认的，其投标无效。</w:t>
      </w:r>
    </w:p>
    <w:p>
      <w:pPr>
        <w:pStyle w:val="4"/>
        <w:numPr>
          <w:ilvl w:val="1"/>
          <w:numId w:val="0"/>
        </w:numPr>
        <w:spacing w:before="0" w:after="0" w:line="480" w:lineRule="exact"/>
        <w:rPr>
          <w:rFonts w:ascii="仿宋" w:hAnsi="仿宋" w:eastAsia="仿宋" w:cs="华文中宋"/>
          <w:b w:val="0"/>
          <w:bCs/>
          <w:sz w:val="30"/>
          <w:szCs w:val="30"/>
        </w:rPr>
      </w:pPr>
      <w:bookmarkStart w:id="107" w:name="_Toc14314"/>
      <w:bookmarkStart w:id="108" w:name="_Toc27922"/>
      <w:bookmarkStart w:id="109" w:name="_Toc28584"/>
      <w:bookmarkStart w:id="110" w:name="_Toc1774"/>
      <w:bookmarkStart w:id="111" w:name="_Toc31230"/>
      <w:bookmarkStart w:id="112" w:name="_Toc14977"/>
      <w:bookmarkStart w:id="113" w:name="_Toc7075"/>
      <w:bookmarkStart w:id="114" w:name="_Toc356371440"/>
      <w:bookmarkStart w:id="115" w:name="_Toc11610"/>
      <w:bookmarkStart w:id="116" w:name="_Toc12395"/>
      <w:bookmarkStart w:id="117" w:name="_Toc678"/>
      <w:bookmarkStart w:id="118" w:name="_Toc8400"/>
      <w:bookmarkStart w:id="119" w:name="_Toc72941055"/>
      <w:bookmarkStart w:id="120" w:name="_Toc361685330"/>
      <w:r>
        <w:rPr>
          <w:rFonts w:hint="eastAsia" w:ascii="仿宋" w:hAnsi="仿宋" w:eastAsia="仿宋" w:cs="华文中宋"/>
          <w:b w:val="0"/>
          <w:bCs/>
          <w:sz w:val="30"/>
          <w:szCs w:val="30"/>
        </w:rPr>
        <w:t>九、授予合同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23.成交通知和合同授予</w:t>
      </w:r>
    </w:p>
    <w:p>
      <w:pPr>
        <w:pStyle w:val="8"/>
        <w:spacing w:line="480" w:lineRule="exact"/>
        <w:ind w:left="0" w:firstLine="480" w:firstLineChars="200"/>
        <w:jc w:val="left"/>
        <w:rPr>
          <w:rFonts w:ascii="仿宋" w:hAnsi="仿宋" w:eastAsia="仿宋" w:cs="华文中宋"/>
        </w:rPr>
      </w:pPr>
      <w:r>
        <w:rPr>
          <w:rFonts w:hint="eastAsia" w:ascii="仿宋" w:hAnsi="仿宋" w:eastAsia="仿宋" w:cs="华文中宋"/>
        </w:rPr>
        <w:t>23..1经采购人确认，龙游县财政局政府采购监管科备案后，确定成交人。成交结果在浙江政府采购网予以公布，浙江浩睿招标代理有限公司在5日内向成交人发出成交通知书。</w:t>
      </w:r>
    </w:p>
    <w:p>
      <w:pPr>
        <w:pStyle w:val="8"/>
        <w:spacing w:line="480" w:lineRule="exact"/>
        <w:ind w:left="0" w:firstLine="480" w:firstLineChars="200"/>
        <w:jc w:val="left"/>
        <w:rPr>
          <w:rFonts w:ascii="仿宋" w:hAnsi="仿宋" w:eastAsia="仿宋" w:cs="华文中宋"/>
        </w:rPr>
      </w:pPr>
      <w:r>
        <w:rPr>
          <w:rFonts w:hint="eastAsia" w:ascii="仿宋" w:hAnsi="仿宋" w:eastAsia="仿宋" w:cs="华文中宋"/>
        </w:rPr>
        <w:t>23.2经龙游县财政局政府采购监管科备案后，由采购人签发政府采购成交通知书。成交通知书对采购人和确认成交供应商均具有法律效力。成交通知书发出后，采购人改变成交结果的，或者成交人放弃成交项目的，应当依法承担法律责任。</w:t>
      </w:r>
    </w:p>
    <w:p>
      <w:pPr>
        <w:pStyle w:val="8"/>
        <w:spacing w:line="480" w:lineRule="exact"/>
        <w:ind w:left="0" w:firstLine="480" w:firstLineChars="200"/>
        <w:jc w:val="left"/>
        <w:rPr>
          <w:rFonts w:ascii="仿宋" w:hAnsi="仿宋" w:eastAsia="仿宋" w:cs="华文中宋"/>
        </w:rPr>
      </w:pPr>
      <w:r>
        <w:rPr>
          <w:rFonts w:hint="eastAsia" w:ascii="仿宋" w:hAnsi="仿宋" w:eastAsia="仿宋" w:cs="华文中宋"/>
        </w:rPr>
        <w:t>23.3在成交通知书发出后七日内，成交人应按成交通知书指定的时间、地点与采购人签订合同。询价文件、成交人的询价响应文件及澄清文件等，均为签订合同的依据。</w:t>
      </w:r>
    </w:p>
    <w:p>
      <w:pPr>
        <w:spacing w:line="480" w:lineRule="exact"/>
        <w:ind w:firstLine="480" w:firstLineChars="200"/>
        <w:jc w:val="left"/>
        <w:rPr>
          <w:rFonts w:ascii="仿宋" w:hAnsi="仿宋" w:eastAsia="仿宋" w:cs="微软雅黑"/>
          <w:color w:val="FF0000"/>
          <w:sz w:val="24"/>
        </w:rPr>
      </w:pPr>
      <w:r>
        <w:rPr>
          <w:rFonts w:hint="eastAsia" w:ascii="仿宋" w:hAnsi="仿宋" w:eastAsia="仿宋" w:cs="华文中宋"/>
          <w:sz w:val="24"/>
        </w:rPr>
        <w:t>23.4</w:t>
      </w:r>
      <w:r>
        <w:rPr>
          <w:rFonts w:hint="eastAsia" w:ascii="仿宋" w:hAnsi="仿宋" w:eastAsia="仿宋" w:cs="微软雅黑"/>
          <w:sz w:val="24"/>
        </w:rPr>
        <w:t>询价成交通知书发出3日内，乙方交纳</w:t>
      </w:r>
      <w:r>
        <w:rPr>
          <w:rFonts w:hint="eastAsia" w:ascii="仿宋" w:hAnsi="仿宋" w:eastAsia="仿宋" w:cs="微软雅黑"/>
          <w:sz w:val="24"/>
          <w:highlight w:val="yellow"/>
        </w:rPr>
        <w:t>5000</w:t>
      </w:r>
      <w:r>
        <w:rPr>
          <w:rFonts w:hint="eastAsia" w:ascii="仿宋" w:hAnsi="仿宋" w:eastAsia="仿宋" w:cs="微软雅黑"/>
          <w:sz w:val="24"/>
        </w:rPr>
        <w:t>元，作为本合同的履约保证金。合同签订前缴至招标人，</w:t>
      </w:r>
      <w:r>
        <w:rPr>
          <w:rFonts w:hint="eastAsia" w:ascii="仿宋" w:hAnsi="仿宋" w:eastAsia="仿宋" w:cs="微软雅黑"/>
          <w:color w:val="FF0000"/>
          <w:sz w:val="24"/>
        </w:rPr>
        <w:t>合同期满后若中标人无违约情况，则履约保证金无息退还。</w:t>
      </w:r>
    </w:p>
    <w:p>
      <w:pPr>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23.5签订合同：询价响应方按《成交通知书》指定的时间、地点与甲方直接签订合同,并经代理公司鉴证、财政局备案后生效（报财政局备案前，合同必须公示）。在有合理证据证明询价响应方在询价过程中承诺的内容不能实质响应的，采购人有权拒签合同。合同一式七份，采购人、成交人双方各执二份、</w:t>
      </w:r>
      <w:r>
        <w:rPr>
          <w:rFonts w:hint="eastAsia" w:ascii="仿宋" w:hAnsi="仿宋" w:eastAsia="仿宋" w:cs="华文中宋"/>
          <w:sz w:val="24"/>
          <w:lang w:val="zh-CN"/>
        </w:rPr>
        <w:t>浙江浩睿招标代理有限公司</w:t>
      </w:r>
      <w:r>
        <w:rPr>
          <w:rFonts w:hint="eastAsia" w:ascii="仿宋" w:hAnsi="仿宋" w:eastAsia="仿宋" w:cs="华文中宋"/>
          <w:sz w:val="24"/>
        </w:rPr>
        <w:t>、政府采购监管科各留存一份。</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23.6询价文件、澄清文件等，均为签订合同的依据。</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23.7询价响应方不遵守询价文件的要约、承诺，擅自修改询价文件的内容或在接到成交通知书规定的时间内，借故拖延、拒签合同者，采购人将取消该询价响应方的询价资格，在此情况下，可将合同授予下一个成交候选人。</w:t>
      </w:r>
    </w:p>
    <w:p>
      <w:pPr>
        <w:snapToGrid w:val="0"/>
        <w:spacing w:line="480" w:lineRule="exact"/>
        <w:ind w:firstLine="480" w:firstLineChars="200"/>
        <w:jc w:val="left"/>
        <w:rPr>
          <w:rFonts w:ascii="仿宋" w:hAnsi="仿宋" w:eastAsia="仿宋" w:cs="华文中宋"/>
          <w:sz w:val="24"/>
        </w:rPr>
      </w:pPr>
      <w:r>
        <w:rPr>
          <w:rFonts w:hint="eastAsia" w:ascii="仿宋" w:hAnsi="仿宋" w:eastAsia="仿宋" w:cs="华文中宋"/>
          <w:sz w:val="24"/>
        </w:rPr>
        <w:t>23.8签约后即为询价结束，询价文件一律不退。</w:t>
      </w:r>
    </w:p>
    <w:p>
      <w:pPr>
        <w:pStyle w:val="4"/>
        <w:numPr>
          <w:ilvl w:val="1"/>
          <w:numId w:val="0"/>
        </w:numPr>
        <w:spacing w:before="0" w:after="0" w:line="480" w:lineRule="exact"/>
        <w:rPr>
          <w:rFonts w:ascii="仿宋" w:hAnsi="仿宋" w:eastAsia="仿宋" w:cs="华文中宋"/>
          <w:b w:val="0"/>
          <w:bCs/>
          <w:sz w:val="30"/>
          <w:szCs w:val="30"/>
        </w:rPr>
      </w:pPr>
      <w:bookmarkStart w:id="121" w:name="_Toc21365"/>
      <w:bookmarkStart w:id="122" w:name="_Toc1895"/>
      <w:bookmarkStart w:id="123" w:name="_Toc6707"/>
      <w:bookmarkStart w:id="124" w:name="_Toc29938"/>
      <w:bookmarkStart w:id="125" w:name="_Toc14588"/>
      <w:bookmarkStart w:id="126" w:name="_Toc361685331"/>
      <w:bookmarkStart w:id="127" w:name="_Toc72941056"/>
      <w:bookmarkStart w:id="128" w:name="_Toc356371441"/>
      <w:bookmarkStart w:id="129" w:name="_Toc12197"/>
      <w:bookmarkStart w:id="130" w:name="_Toc25616"/>
      <w:bookmarkStart w:id="131" w:name="_Toc27289"/>
      <w:bookmarkStart w:id="132" w:name="_Toc14765"/>
      <w:bookmarkStart w:id="133" w:name="_Toc29524"/>
      <w:bookmarkStart w:id="134" w:name="_Toc3647"/>
      <w:r>
        <w:rPr>
          <w:rFonts w:hint="eastAsia" w:ascii="仿宋" w:hAnsi="仿宋" w:eastAsia="仿宋" w:cs="华文中宋"/>
          <w:b w:val="0"/>
          <w:bCs/>
          <w:sz w:val="30"/>
          <w:szCs w:val="30"/>
        </w:rPr>
        <w:t>十、法律责任</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询价响应方有下列情形之一的,处以政府采购项目询价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24.1提供虚假材料谋取询价的;</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24.2采取不正当手段诋毁、排挤其他询价响应方的;</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24.3与采购人、采购代理机构、其他询价响应方恶意串通的;</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24.4向采购人、采购代理机构行贿或者提供其他不正当利益的;</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24.5在询价过程中与采购人进行协商谈判、不按照询价文件和询价响应文件订立合同,或者与采购人另行订立背离合同实质性内容协议的;</w:t>
      </w:r>
    </w:p>
    <w:p>
      <w:pPr>
        <w:snapToGrid w:val="0"/>
        <w:spacing w:line="480" w:lineRule="exact"/>
        <w:ind w:firstLine="480" w:firstLineChars="200"/>
        <w:rPr>
          <w:rFonts w:ascii="仿宋" w:hAnsi="仿宋" w:eastAsia="仿宋" w:cs="华文中宋"/>
          <w:sz w:val="24"/>
        </w:rPr>
      </w:pPr>
      <w:r>
        <w:rPr>
          <w:rFonts w:hint="eastAsia" w:ascii="仿宋" w:hAnsi="仿宋" w:eastAsia="仿宋" w:cs="华文中宋"/>
          <w:sz w:val="24"/>
        </w:rPr>
        <w:t>24.6拒绝有关部门监督检查或者提供虚假情况的。</w:t>
      </w:r>
    </w:p>
    <w:p>
      <w:pPr>
        <w:pStyle w:val="4"/>
        <w:numPr>
          <w:ilvl w:val="1"/>
          <w:numId w:val="0"/>
        </w:numPr>
        <w:spacing w:before="0" w:after="0" w:line="480" w:lineRule="exact"/>
        <w:rPr>
          <w:rFonts w:ascii="仿宋" w:hAnsi="仿宋" w:eastAsia="仿宋" w:cs="华文中宋"/>
          <w:b w:val="0"/>
          <w:bCs/>
          <w:sz w:val="30"/>
          <w:szCs w:val="30"/>
        </w:rPr>
      </w:pPr>
      <w:bookmarkStart w:id="135" w:name="_Toc359934218"/>
      <w:bookmarkStart w:id="136" w:name="_Toc5251"/>
      <w:bookmarkStart w:id="137" w:name="_Toc13641"/>
      <w:bookmarkStart w:id="138" w:name="_Toc5718"/>
      <w:bookmarkStart w:id="139" w:name="_Toc23962"/>
      <w:bookmarkStart w:id="140" w:name="_Toc8653"/>
      <w:bookmarkStart w:id="141" w:name="_Toc356371442"/>
      <w:bookmarkStart w:id="142" w:name="_Toc31548"/>
      <w:bookmarkStart w:id="143" w:name="_Toc359849109"/>
      <w:bookmarkStart w:id="144" w:name="_Toc10017"/>
      <w:bookmarkStart w:id="145" w:name="_Toc14698"/>
      <w:bookmarkStart w:id="146" w:name="_Toc2772"/>
      <w:bookmarkStart w:id="147" w:name="_Toc72941057"/>
      <w:bookmarkStart w:id="148" w:name="_Toc10630"/>
      <w:bookmarkStart w:id="149" w:name="_Toc22903"/>
      <w:r>
        <w:rPr>
          <w:rFonts w:hint="eastAsia" w:ascii="仿宋" w:hAnsi="仿宋" w:eastAsia="仿宋" w:cs="华文中宋"/>
          <w:b w:val="0"/>
          <w:bCs/>
          <w:sz w:val="30"/>
          <w:szCs w:val="30"/>
        </w:rPr>
        <w:t>十一、其他</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napToGrid w:val="0"/>
        <w:spacing w:line="480" w:lineRule="exact"/>
        <w:ind w:firstLine="480"/>
        <w:rPr>
          <w:rFonts w:ascii="仿宋" w:hAnsi="仿宋" w:eastAsia="仿宋" w:cs="微软雅黑"/>
          <w:sz w:val="24"/>
        </w:rPr>
      </w:pPr>
      <w:r>
        <w:rPr>
          <w:rFonts w:hint="eastAsia" w:ascii="仿宋" w:hAnsi="仿宋" w:eastAsia="仿宋" w:cs="微软雅黑"/>
          <w:sz w:val="24"/>
        </w:rPr>
        <w:t>25.采购代理服务费</w:t>
      </w:r>
    </w:p>
    <w:p>
      <w:pPr>
        <w:snapToGrid w:val="0"/>
        <w:spacing w:line="480" w:lineRule="exact"/>
        <w:ind w:firstLine="480" w:firstLineChars="200"/>
        <w:rPr>
          <w:rFonts w:ascii="仿宋" w:hAnsi="仿宋" w:eastAsia="仿宋" w:cs="微软雅黑"/>
          <w:sz w:val="24"/>
        </w:rPr>
      </w:pPr>
      <w:r>
        <w:rPr>
          <w:rFonts w:hint="eastAsia" w:ascii="仿宋" w:hAnsi="仿宋" w:eastAsia="仿宋" w:cs="微软雅黑"/>
          <w:sz w:val="24"/>
        </w:rPr>
        <w:t>25.1本次采购，招标代理费为5000元，由中标单位在领取中标通知书时交与招标代理机构。</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25.2以上费用不在报价中单列，请供应商在报价中予以考虑。</w:t>
      </w:r>
    </w:p>
    <w:p>
      <w:pPr>
        <w:snapToGrid w:val="0"/>
        <w:spacing w:line="480" w:lineRule="exact"/>
        <w:ind w:firstLine="480"/>
        <w:rPr>
          <w:rFonts w:ascii="仿宋" w:hAnsi="仿宋" w:eastAsia="仿宋" w:cs="微软雅黑"/>
          <w:sz w:val="24"/>
        </w:rPr>
      </w:pPr>
      <w:r>
        <w:rPr>
          <w:rFonts w:hint="eastAsia" w:ascii="仿宋" w:hAnsi="仿宋" w:eastAsia="仿宋" w:cs="微软雅黑"/>
          <w:sz w:val="24"/>
        </w:rPr>
        <w:t>2</w:t>
      </w:r>
      <w:r>
        <w:rPr>
          <w:rFonts w:ascii="仿宋" w:hAnsi="仿宋" w:eastAsia="仿宋" w:cs="微软雅黑"/>
          <w:sz w:val="24"/>
        </w:rPr>
        <w:t>6.</w:t>
      </w:r>
      <w:r>
        <w:rPr>
          <w:rFonts w:hint="eastAsia" w:ascii="仿宋" w:hAnsi="仿宋" w:eastAsia="仿宋" w:cs="微软雅黑"/>
          <w:sz w:val="24"/>
        </w:rPr>
        <w:t>解释权：本询价文件是依据《政府采购法》及其《实施条例》、《政府采购询价采购方式管理暂行办法》等有关规定编制的，解释权属组织方。</w:t>
      </w:r>
      <w:bookmarkEnd w:id="22"/>
      <w:bookmarkEnd w:id="23"/>
      <w:bookmarkEnd w:id="24"/>
      <w:bookmarkEnd w:id="25"/>
    </w:p>
    <w:p>
      <w:pPr>
        <w:pStyle w:val="37"/>
        <w:ind w:left="0" w:leftChars="0" w:firstLine="0" w:firstLineChars="0"/>
        <w:rPr>
          <w:rFonts w:ascii="仿宋" w:hAnsi="仿宋" w:eastAsia="仿宋"/>
        </w:rPr>
      </w:pPr>
    </w:p>
    <w:p>
      <w:pPr>
        <w:pStyle w:val="37"/>
        <w:ind w:left="0" w:leftChars="0" w:firstLine="0" w:firstLineChars="0"/>
        <w:rPr>
          <w:rFonts w:ascii="仿宋" w:hAnsi="仿宋" w:eastAsia="仿宋"/>
        </w:rPr>
      </w:pPr>
    </w:p>
    <w:p>
      <w:pPr>
        <w:pStyle w:val="37"/>
        <w:ind w:left="0" w:leftChars="0" w:firstLine="0" w:firstLineChars="0"/>
        <w:rPr>
          <w:rFonts w:ascii="仿宋" w:hAnsi="仿宋" w:eastAsia="仿宋"/>
        </w:rPr>
      </w:pPr>
    </w:p>
    <w:p>
      <w:pPr>
        <w:pStyle w:val="37"/>
        <w:ind w:left="0" w:leftChars="0" w:firstLine="0" w:firstLineChars="0"/>
        <w:rPr>
          <w:rFonts w:ascii="仿宋" w:hAnsi="仿宋" w:eastAsia="仿宋"/>
        </w:rPr>
      </w:pPr>
    </w:p>
    <w:p>
      <w:pPr>
        <w:pStyle w:val="37"/>
        <w:ind w:left="0" w:leftChars="0" w:firstLine="0" w:firstLineChars="0"/>
        <w:rPr>
          <w:rFonts w:ascii="仿宋" w:hAnsi="仿宋" w:eastAsia="仿宋"/>
        </w:rPr>
      </w:pPr>
    </w:p>
    <w:p>
      <w:pPr>
        <w:widowControl/>
        <w:jc w:val="left"/>
        <w:rPr>
          <w:rFonts w:ascii="仿宋" w:hAnsi="仿宋" w:eastAsia="仿宋"/>
          <w:snapToGrid w:val="0"/>
          <w:szCs w:val="20"/>
        </w:rPr>
      </w:pPr>
      <w:r>
        <w:rPr>
          <w:rFonts w:ascii="仿宋" w:hAnsi="仿宋" w:eastAsia="仿宋"/>
        </w:rPr>
        <w:br w:type="page"/>
      </w:r>
    </w:p>
    <w:p>
      <w:pPr>
        <w:pStyle w:val="35"/>
        <w:numPr>
          <w:ilvl w:val="0"/>
          <w:numId w:val="10"/>
        </w:numPr>
        <w:rPr>
          <w:rFonts w:ascii="仿宋" w:hAnsi="仿宋" w:eastAsia="仿宋"/>
        </w:rPr>
      </w:pPr>
      <w:bookmarkStart w:id="150" w:name="_Toc72941058"/>
      <w:r>
        <w:rPr>
          <w:rFonts w:hint="eastAsia" w:ascii="仿宋" w:hAnsi="仿宋" w:eastAsia="仿宋"/>
        </w:rPr>
        <w:t>采购内容及要求</w:t>
      </w:r>
      <w:bookmarkEnd w:id="150"/>
    </w:p>
    <w:p>
      <w:pPr>
        <w:pStyle w:val="3"/>
      </w:pPr>
      <w:bookmarkStart w:id="151" w:name="_Toc72941059"/>
      <w:r>
        <w:rPr>
          <w:rFonts w:hint="eastAsia"/>
        </w:rPr>
        <w:t>采购需求</w:t>
      </w:r>
      <w:bookmarkEnd w:id="151"/>
    </w:p>
    <w:tbl>
      <w:tblPr>
        <w:tblStyle w:val="38"/>
        <w:tblW w:w="10435" w:type="dxa"/>
        <w:jc w:val="center"/>
        <w:tblLayout w:type="fixed"/>
        <w:tblCellMar>
          <w:top w:w="0" w:type="dxa"/>
          <w:left w:w="108" w:type="dxa"/>
          <w:bottom w:w="0" w:type="dxa"/>
          <w:right w:w="108" w:type="dxa"/>
        </w:tblCellMar>
      </w:tblPr>
      <w:tblGrid>
        <w:gridCol w:w="562"/>
        <w:gridCol w:w="1133"/>
        <w:gridCol w:w="1275"/>
        <w:gridCol w:w="4718"/>
        <w:gridCol w:w="708"/>
        <w:gridCol w:w="1239"/>
        <w:gridCol w:w="800"/>
      </w:tblGrid>
      <w:tr>
        <w:tblPrEx>
          <w:tblCellMar>
            <w:top w:w="0" w:type="dxa"/>
            <w:left w:w="108" w:type="dxa"/>
            <w:bottom w:w="0" w:type="dxa"/>
            <w:right w:w="108" w:type="dxa"/>
          </w:tblCellMar>
        </w:tblPrEx>
        <w:trPr>
          <w:trHeight w:val="233"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6" w:firstLineChars="11"/>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序号</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规格</w:t>
            </w:r>
          </w:p>
        </w:tc>
        <w:tc>
          <w:tcPr>
            <w:tcW w:w="4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硬件配置要求</w:t>
            </w:r>
            <w:r>
              <w:rPr>
                <w:rFonts w:ascii="Calibri" w:hAnsi="Calibri" w:eastAsia="仿宋" w:cs="Calibri"/>
                <w:b/>
                <w:color w:val="000000" w:themeColor="text1"/>
                <w:kern w:val="0"/>
                <w:sz w:val="24"/>
                <w14:textFill>
                  <w14:solidFill>
                    <w14:schemeClr w14:val="tx1"/>
                  </w14:solidFill>
                </w14:textFill>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ind w:firstLine="33" w:firstLineChars="14"/>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单位</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单价限价（元）</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权重</w:t>
            </w:r>
          </w:p>
        </w:tc>
      </w:tr>
      <w:tr>
        <w:tblPrEx>
          <w:tblCellMar>
            <w:top w:w="0" w:type="dxa"/>
            <w:left w:w="108" w:type="dxa"/>
            <w:bottom w:w="0" w:type="dxa"/>
            <w:right w:w="108" w:type="dxa"/>
          </w:tblCellMar>
        </w:tblPrEx>
        <w:trPr>
          <w:trHeight w:val="933"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ind w:firstLine="26" w:firstLineChars="11"/>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高清交互型个人版机顶盒</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高清交互型个人版机顶盒</w:t>
            </w:r>
          </w:p>
        </w:tc>
        <w:tc>
          <w:tcPr>
            <w:tcW w:w="47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RAM≥512MB，Flash≥128M，</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电源适配器*1，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1.5米射频线*1，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2米HDMI线*1，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华数DZ34-1学习型遥控器*1，以及有中文标识的7号碱性电池*2</w:t>
            </w:r>
          </w:p>
        </w:tc>
        <w:tc>
          <w:tcPr>
            <w:tcW w:w="708" w:type="dxa"/>
            <w:tcBorders>
              <w:top w:val="nil"/>
              <w:left w:val="nil"/>
              <w:bottom w:val="single" w:color="auto" w:sz="4" w:space="0"/>
              <w:right w:val="single" w:color="auto" w:sz="4" w:space="0"/>
            </w:tcBorders>
            <w:shd w:val="clear" w:color="auto" w:fill="auto"/>
            <w:vAlign w:val="center"/>
          </w:tcPr>
          <w:p>
            <w:pPr>
              <w:widowControl/>
              <w:ind w:firstLine="33" w:firstLineChars="14"/>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台</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148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p>
        </w:tc>
      </w:tr>
      <w:tr>
        <w:tblPrEx>
          <w:tblCellMar>
            <w:top w:w="0" w:type="dxa"/>
            <w:left w:w="108" w:type="dxa"/>
            <w:bottom w:w="0" w:type="dxa"/>
            <w:right w:w="108" w:type="dxa"/>
          </w:tblCellMar>
        </w:tblPrEx>
        <w:trPr>
          <w:trHeight w:val="933" w:hRule="atLeast"/>
          <w:jc w:val="center"/>
        </w:trPr>
        <w:tc>
          <w:tcPr>
            <w:tcW w:w="562" w:type="dxa"/>
            <w:vMerge w:val="restart"/>
            <w:tcBorders>
              <w:top w:val="nil"/>
              <w:left w:val="single" w:color="auto" w:sz="4" w:space="0"/>
              <w:right w:val="single" w:color="auto" w:sz="4" w:space="0"/>
            </w:tcBorders>
            <w:shd w:val="clear" w:color="auto" w:fill="auto"/>
            <w:vAlign w:val="center"/>
          </w:tcPr>
          <w:p>
            <w:pPr>
              <w:widowControl/>
              <w:ind w:firstLine="26" w:firstLineChars="11"/>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1133"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高清交互型宾馆版机顶盒</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高清交互型宾馆版机顶盒（带内置硬AP）</w:t>
            </w:r>
          </w:p>
        </w:tc>
        <w:tc>
          <w:tcPr>
            <w:tcW w:w="47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RAM≥512MB，Flash≥128M，</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带内置硬AP，</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电源适配器*1，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1.5米射频线*1，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2米HDMI线*1，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2米红外线接收器及引线*1，</w:t>
            </w:r>
          </w:p>
          <w:p>
            <w:pPr>
              <w:widowControl/>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华数SY34学习型遥控器*1，以及有中文标识的7号碱性电池*2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台</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仿宋" w:hAnsi="仿宋" w:eastAsia="仿宋" w:cs="宋体"/>
                <w:color w:val="000000" w:themeColor="text1"/>
                <w:kern w:val="0"/>
                <w:sz w:val="24"/>
                <w14:textFill>
                  <w14:solidFill>
                    <w14:schemeClr w14:val="tx1"/>
                  </w14:solidFill>
                </w14:textFill>
              </w:rPr>
              <w:t>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0.01</w:t>
            </w:r>
          </w:p>
        </w:tc>
      </w:tr>
      <w:tr>
        <w:tblPrEx>
          <w:tblCellMar>
            <w:top w:w="0" w:type="dxa"/>
            <w:left w:w="108" w:type="dxa"/>
            <w:bottom w:w="0" w:type="dxa"/>
            <w:right w:w="108" w:type="dxa"/>
          </w:tblCellMar>
        </w:tblPrEx>
        <w:trPr>
          <w:trHeight w:val="2429" w:hRule="atLeast"/>
          <w:jc w:val="center"/>
        </w:trPr>
        <w:tc>
          <w:tcPr>
            <w:tcW w:w="562" w:type="dxa"/>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 w:hAnsi="仿宋" w:eastAsia="仿宋" w:cs="宋体"/>
                <w:color w:val="000000" w:themeColor="text1"/>
                <w:kern w:val="0"/>
                <w:sz w:val="24"/>
                <w14:textFill>
                  <w14:solidFill>
                    <w14:schemeClr w14:val="tx1"/>
                  </w14:solidFill>
                </w14:textFill>
              </w:rPr>
            </w:pPr>
          </w:p>
        </w:tc>
        <w:tc>
          <w:tcPr>
            <w:tcW w:w="1133" w:type="dxa"/>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rPr>
                <w:rFonts w:ascii="仿宋" w:hAnsi="仿宋" w:eastAsia="仿宋" w:cs="宋体"/>
                <w:color w:val="000000" w:themeColor="text1"/>
                <w:kern w:val="0"/>
                <w:sz w:val="24"/>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高清交互型宾馆版机顶盒（无AP）</w:t>
            </w:r>
          </w:p>
        </w:tc>
        <w:tc>
          <w:tcPr>
            <w:tcW w:w="47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RAM≥512MB，Flash≥128M，</w:t>
            </w:r>
          </w:p>
          <w:p>
            <w:pPr>
              <w:widowControl/>
              <w:jc w:val="left"/>
              <w:rPr>
                <w:rFonts w:ascii="仿宋" w:hAnsi="仿宋" w:eastAsia="仿宋" w:cs="宋体"/>
                <w:kern w:val="0"/>
                <w:sz w:val="24"/>
              </w:rPr>
            </w:pPr>
            <w:r>
              <w:rPr>
                <w:rFonts w:hint="eastAsia" w:ascii="仿宋" w:hAnsi="仿宋" w:eastAsia="仿宋" w:cs="宋体"/>
                <w:kern w:val="0"/>
                <w:sz w:val="24"/>
              </w:rPr>
              <w:t>电源适配器*1，</w:t>
            </w:r>
          </w:p>
          <w:p>
            <w:pPr>
              <w:widowControl/>
              <w:jc w:val="left"/>
              <w:rPr>
                <w:rFonts w:ascii="仿宋" w:hAnsi="仿宋" w:eastAsia="仿宋" w:cs="宋体"/>
                <w:kern w:val="0"/>
                <w:sz w:val="24"/>
              </w:rPr>
            </w:pPr>
            <w:r>
              <w:rPr>
                <w:rFonts w:hint="eastAsia" w:ascii="仿宋" w:hAnsi="仿宋" w:eastAsia="仿宋" w:cs="宋体"/>
                <w:kern w:val="0"/>
                <w:sz w:val="24"/>
              </w:rPr>
              <w:t>1.5米射频线*1，</w:t>
            </w:r>
          </w:p>
          <w:p>
            <w:pPr>
              <w:widowControl/>
              <w:jc w:val="left"/>
              <w:rPr>
                <w:rFonts w:ascii="仿宋" w:hAnsi="仿宋" w:eastAsia="仿宋" w:cs="宋体"/>
                <w:kern w:val="0"/>
                <w:sz w:val="24"/>
              </w:rPr>
            </w:pPr>
            <w:r>
              <w:rPr>
                <w:rFonts w:hint="eastAsia" w:ascii="仿宋" w:hAnsi="仿宋" w:eastAsia="仿宋" w:cs="宋体"/>
                <w:kern w:val="0"/>
                <w:sz w:val="24"/>
              </w:rPr>
              <w:t>2米HDMI线*1，</w:t>
            </w:r>
          </w:p>
          <w:p>
            <w:pPr>
              <w:widowControl/>
              <w:jc w:val="left"/>
              <w:rPr>
                <w:rFonts w:ascii="仿宋" w:hAnsi="仿宋" w:eastAsia="仿宋" w:cs="宋体"/>
                <w:kern w:val="0"/>
                <w:sz w:val="24"/>
              </w:rPr>
            </w:pPr>
            <w:r>
              <w:rPr>
                <w:rFonts w:hint="eastAsia" w:ascii="仿宋" w:hAnsi="仿宋" w:eastAsia="仿宋" w:cs="宋体"/>
                <w:kern w:val="0"/>
                <w:sz w:val="24"/>
              </w:rPr>
              <w:t>2米红外线接收器及引线*1，</w:t>
            </w:r>
          </w:p>
          <w:p>
            <w:pPr>
              <w:widowControl/>
              <w:jc w:val="left"/>
              <w:rPr>
                <w:rFonts w:ascii="仿宋" w:hAnsi="仿宋" w:eastAsia="仿宋" w:cs="宋体"/>
                <w:kern w:val="0"/>
                <w:sz w:val="24"/>
              </w:rPr>
            </w:pPr>
            <w:r>
              <w:rPr>
                <w:rFonts w:hint="eastAsia" w:ascii="仿宋" w:hAnsi="仿宋" w:eastAsia="仿宋" w:cs="宋体"/>
                <w:kern w:val="0"/>
                <w:sz w:val="24"/>
              </w:rPr>
              <w:t>含华数SY34学习型遥控器*1，有中文标识的7号碱性电池*2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158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0.01</w:t>
            </w:r>
          </w:p>
        </w:tc>
      </w:tr>
      <w:tr>
        <w:tblPrEx>
          <w:tblCellMar>
            <w:top w:w="0" w:type="dxa"/>
            <w:left w:w="108" w:type="dxa"/>
            <w:bottom w:w="0" w:type="dxa"/>
            <w:right w:w="108" w:type="dxa"/>
          </w:tblCellMar>
        </w:tblPrEx>
        <w:trPr>
          <w:trHeight w:val="565" w:hRule="atLeast"/>
          <w:jc w:val="center"/>
        </w:trPr>
        <w:tc>
          <w:tcPr>
            <w:tcW w:w="83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right"/>
              <w:rPr>
                <w:rFonts w:ascii="仿宋" w:hAnsi="仿宋" w:eastAsia="仿宋" w:cs="宋体"/>
                <w:kern w:val="0"/>
                <w:sz w:val="24"/>
              </w:rPr>
            </w:pPr>
            <w:r>
              <w:rPr>
                <w:rFonts w:hint="eastAsia" w:ascii="仿宋" w:hAnsi="仿宋" w:eastAsia="仿宋" w:cs="宋体"/>
                <w:kern w:val="0"/>
                <w:sz w:val="24"/>
              </w:rPr>
              <w:t>合计</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kern w:val="0"/>
                <w:sz w:val="24"/>
              </w:rPr>
            </w:pPr>
            <w:r>
              <w:rPr>
                <w:rFonts w:ascii="仿宋" w:hAnsi="仿宋" w:eastAsia="仿宋" w:cs="宋体"/>
                <w:kern w:val="0"/>
                <w:sz w:val="24"/>
              </w:rPr>
              <w:t>506</w:t>
            </w:r>
          </w:p>
        </w:tc>
        <w:tc>
          <w:tcPr>
            <w:tcW w:w="800"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宋体"/>
                <w:color w:val="000000" w:themeColor="text1"/>
                <w:kern w:val="0"/>
                <w:sz w:val="24"/>
                <w14:textFill>
                  <w14:solidFill>
                    <w14:schemeClr w14:val="tx1"/>
                  </w14:solidFill>
                </w14:textFill>
              </w:rPr>
            </w:pPr>
          </w:p>
        </w:tc>
      </w:tr>
    </w:tbl>
    <w:p>
      <w:pPr>
        <w:ind w:firstLine="480"/>
        <w:rPr>
          <w:rFonts w:ascii="仿宋" w:hAnsi="仿宋" w:eastAsia="仿宋"/>
          <w:sz w:val="24"/>
        </w:rPr>
      </w:pPr>
      <w:r>
        <w:rPr>
          <w:rFonts w:hint="eastAsia" w:ascii="仿宋" w:hAnsi="仿宋" w:eastAsia="仿宋"/>
          <w:sz w:val="24"/>
        </w:rPr>
        <w:t>注：</w:t>
      </w:r>
    </w:p>
    <w:p>
      <w:pPr>
        <w:pStyle w:val="221"/>
        <w:numPr>
          <w:ilvl w:val="0"/>
          <w:numId w:val="11"/>
        </w:numPr>
        <w:spacing w:line="360" w:lineRule="auto"/>
        <w:ind w:firstLineChars="0"/>
        <w:rPr>
          <w:rFonts w:ascii="仿宋" w:hAnsi="仿宋" w:eastAsia="仿宋"/>
          <w:sz w:val="24"/>
        </w:rPr>
      </w:pPr>
      <w:r>
        <w:rPr>
          <w:rFonts w:hint="eastAsia" w:ascii="仿宋" w:hAnsi="仿宋" w:eastAsia="仿宋"/>
          <w:sz w:val="24"/>
        </w:rPr>
        <w:t>所有机顶盒均标配足够的连接线以及保证机顶盒正常使用所需的其他所有配件；</w:t>
      </w:r>
    </w:p>
    <w:p>
      <w:pPr>
        <w:pStyle w:val="221"/>
        <w:numPr>
          <w:ilvl w:val="0"/>
          <w:numId w:val="11"/>
        </w:numPr>
        <w:spacing w:line="360" w:lineRule="auto"/>
        <w:ind w:firstLineChars="0"/>
        <w:rPr>
          <w:rFonts w:ascii="仿宋" w:hAnsi="仿宋" w:eastAsia="仿宋"/>
          <w:sz w:val="24"/>
        </w:rPr>
      </w:pPr>
      <w:r>
        <w:rPr>
          <w:rFonts w:ascii="仿宋" w:hAnsi="仿宋" w:eastAsia="仿宋"/>
          <w:sz w:val="24"/>
        </w:rPr>
        <w:t>各投标人报价不能高于采购人指定的最高限价;</w:t>
      </w:r>
    </w:p>
    <w:p>
      <w:pPr>
        <w:pStyle w:val="221"/>
        <w:numPr>
          <w:ilvl w:val="0"/>
          <w:numId w:val="11"/>
        </w:numPr>
        <w:spacing w:line="360" w:lineRule="auto"/>
        <w:ind w:firstLineChars="0"/>
        <w:rPr>
          <w:rFonts w:ascii="仿宋" w:hAnsi="仿宋" w:eastAsia="仿宋"/>
          <w:sz w:val="24"/>
        </w:rPr>
      </w:pPr>
      <w:r>
        <w:rPr>
          <w:rFonts w:ascii="仿宋" w:hAnsi="仿宋" w:eastAsia="仿宋"/>
          <w:sz w:val="24"/>
        </w:rPr>
        <w:t>报价应完全符合本标书的要求，并必须包含所投标标段内所有产品的完整报价；</w:t>
      </w:r>
    </w:p>
    <w:p>
      <w:pPr>
        <w:pStyle w:val="221"/>
        <w:numPr>
          <w:ilvl w:val="0"/>
          <w:numId w:val="11"/>
        </w:numPr>
        <w:spacing w:line="360" w:lineRule="auto"/>
        <w:ind w:firstLineChars="0"/>
        <w:rPr>
          <w:rFonts w:ascii="仿宋" w:hAnsi="仿宋" w:eastAsia="仿宋"/>
          <w:sz w:val="24"/>
        </w:rPr>
      </w:pPr>
      <w:r>
        <w:rPr>
          <w:rFonts w:ascii="仿宋" w:hAnsi="仿宋" w:eastAsia="仿宋"/>
          <w:sz w:val="24"/>
        </w:rPr>
        <w:t>投标人的报价应已包含运抵采购人指定交货地点、并卸货到采购人指定位置的价格；并且投标人的报价已包含采购人要求送货到点和零星采购时发生的生产、运输等所有成本；</w:t>
      </w:r>
    </w:p>
    <w:p>
      <w:pPr>
        <w:pStyle w:val="221"/>
        <w:numPr>
          <w:ilvl w:val="0"/>
          <w:numId w:val="11"/>
        </w:numPr>
        <w:spacing w:line="360" w:lineRule="auto"/>
        <w:ind w:firstLineChars="0"/>
        <w:rPr>
          <w:rFonts w:ascii="仿宋" w:hAnsi="仿宋" w:eastAsia="仿宋"/>
          <w:sz w:val="24"/>
        </w:rPr>
      </w:pPr>
      <w:r>
        <w:rPr>
          <w:rFonts w:ascii="仿宋" w:hAnsi="仿宋" w:eastAsia="仿宋"/>
          <w:sz w:val="24"/>
        </w:rPr>
        <w:t>投标人的报价应已包含培训和标书要求的免费维护期所需费用；</w:t>
      </w:r>
    </w:p>
    <w:p>
      <w:pPr>
        <w:pStyle w:val="221"/>
        <w:numPr>
          <w:ilvl w:val="0"/>
          <w:numId w:val="11"/>
        </w:numPr>
        <w:spacing w:line="360" w:lineRule="auto"/>
        <w:ind w:firstLineChars="0"/>
        <w:rPr>
          <w:rFonts w:ascii="仿宋" w:hAnsi="仿宋" w:eastAsia="仿宋"/>
          <w:sz w:val="24"/>
        </w:rPr>
      </w:pPr>
      <w:r>
        <w:rPr>
          <w:rFonts w:ascii="仿宋" w:hAnsi="仿宋" w:eastAsia="仿宋"/>
          <w:sz w:val="24"/>
        </w:rPr>
        <w:t>投标单位的报价必须清晰明确，并填写在对应报价项中，本次招标不接受以备注说明等方式另列的其他报价；</w:t>
      </w:r>
    </w:p>
    <w:p>
      <w:pPr>
        <w:pStyle w:val="221"/>
        <w:numPr>
          <w:ilvl w:val="0"/>
          <w:numId w:val="11"/>
        </w:numPr>
        <w:spacing w:line="360" w:lineRule="auto"/>
        <w:ind w:firstLineChars="0"/>
        <w:rPr>
          <w:rFonts w:ascii="仿宋" w:hAnsi="仿宋" w:eastAsia="仿宋"/>
          <w:sz w:val="24"/>
        </w:rPr>
      </w:pPr>
      <w:r>
        <w:rPr>
          <w:rFonts w:ascii="仿宋" w:hAnsi="仿宋" w:eastAsia="仿宋"/>
          <w:sz w:val="24"/>
        </w:rPr>
        <w:t>本框架合同有效期自合同签订之日起计算，有效期一年。</w:t>
      </w:r>
    </w:p>
    <w:p>
      <w:pPr>
        <w:pStyle w:val="221"/>
        <w:numPr>
          <w:ilvl w:val="0"/>
          <w:numId w:val="11"/>
        </w:numPr>
        <w:spacing w:line="360" w:lineRule="auto"/>
        <w:ind w:firstLineChars="0"/>
        <w:rPr>
          <w:rFonts w:ascii="仿宋" w:hAnsi="仿宋" w:eastAsia="仿宋"/>
          <w:sz w:val="24"/>
        </w:rPr>
      </w:pPr>
      <w:r>
        <w:rPr>
          <w:rFonts w:ascii="仿宋" w:hAnsi="仿宋" w:eastAsia="仿宋"/>
          <w:sz w:val="24"/>
        </w:rPr>
        <w:t>工期：甲方根据需求发送订单至乙方后，60个日历天内完成供货。</w:t>
      </w:r>
    </w:p>
    <w:p>
      <w:pPr>
        <w:pStyle w:val="221"/>
        <w:numPr>
          <w:ilvl w:val="0"/>
          <w:numId w:val="11"/>
        </w:numPr>
        <w:spacing w:line="360" w:lineRule="auto"/>
        <w:ind w:firstLineChars="0"/>
        <w:rPr>
          <w:rFonts w:ascii="仿宋" w:hAnsi="仿宋" w:eastAsia="仿宋"/>
          <w:sz w:val="24"/>
        </w:rPr>
      </w:pPr>
      <w:r>
        <w:rPr>
          <w:rFonts w:hint="eastAsia" w:ascii="仿宋" w:hAnsi="仿宋" w:eastAsia="仿宋"/>
          <w:sz w:val="24"/>
        </w:rPr>
        <w:t>质保期：五年</w:t>
      </w:r>
    </w:p>
    <w:p>
      <w:pPr>
        <w:ind w:firstLine="480"/>
        <w:rPr>
          <w:rFonts w:ascii="仿宋" w:hAnsi="仿宋" w:eastAsia="仿宋"/>
          <w:sz w:val="24"/>
        </w:rPr>
      </w:pPr>
    </w:p>
    <w:p>
      <w:pPr>
        <w:widowControl/>
        <w:ind w:firstLine="480"/>
        <w:jc w:val="left"/>
        <w:rPr>
          <w:rFonts w:ascii="仿宋" w:hAnsi="仿宋" w:eastAsia="仿宋"/>
          <w:sz w:val="24"/>
        </w:rPr>
      </w:pPr>
      <w:r>
        <w:rPr>
          <w:rFonts w:ascii="仿宋" w:hAnsi="仿宋" w:eastAsia="仿宋"/>
          <w:sz w:val="24"/>
        </w:rPr>
        <w:br w:type="page"/>
      </w:r>
    </w:p>
    <w:p>
      <w:pPr>
        <w:pStyle w:val="3"/>
      </w:pPr>
      <w:bookmarkStart w:id="152" w:name="_Toc32421"/>
      <w:bookmarkStart w:id="153" w:name="_Toc12688"/>
      <w:bookmarkStart w:id="154" w:name="_Toc13422"/>
      <w:bookmarkStart w:id="155" w:name="_Toc12735"/>
      <w:bookmarkStart w:id="156" w:name="_Toc414568763"/>
      <w:bookmarkStart w:id="157" w:name="_Toc6054"/>
      <w:bookmarkStart w:id="158" w:name="_Toc30069"/>
      <w:bookmarkStart w:id="159" w:name="_Toc532"/>
      <w:bookmarkStart w:id="160" w:name="_Toc18459"/>
      <w:bookmarkStart w:id="161" w:name="_Toc1418"/>
      <w:bookmarkStart w:id="162" w:name="_Toc15359"/>
      <w:bookmarkStart w:id="163" w:name="_Toc15972"/>
      <w:bookmarkStart w:id="164" w:name="_Toc2115"/>
      <w:bookmarkStart w:id="165" w:name="_Toc72941060"/>
      <w:r>
        <w:rPr>
          <w:rFonts w:hint="eastAsia"/>
        </w:rPr>
        <w:t>技术规范及要求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4"/>
        <w:tabs>
          <w:tab w:val="left" w:pos="0"/>
          <w:tab w:val="clear" w:pos="3960"/>
        </w:tabs>
        <w:rPr>
          <w:rFonts w:ascii="仿宋" w:hAnsi="仿宋" w:eastAsia="仿宋"/>
        </w:rPr>
      </w:pPr>
      <w:bookmarkStart w:id="166" w:name="_Toc246"/>
      <w:bookmarkStart w:id="167" w:name="_Toc18534"/>
      <w:bookmarkStart w:id="168" w:name="_Toc16068"/>
      <w:bookmarkStart w:id="169" w:name="_Toc9166"/>
      <w:bookmarkStart w:id="170" w:name="_Toc72941061"/>
      <w:bookmarkStart w:id="171" w:name="_Toc32758"/>
      <w:bookmarkStart w:id="172" w:name="_Toc8984"/>
      <w:bookmarkStart w:id="173" w:name="_Toc15826"/>
      <w:bookmarkStart w:id="174" w:name="_Toc21314"/>
      <w:bookmarkStart w:id="175" w:name="_Toc15040"/>
      <w:bookmarkStart w:id="176" w:name="_Toc531851376"/>
      <w:bookmarkStart w:id="177" w:name="_Toc30523"/>
      <w:bookmarkStart w:id="178" w:name="_Toc5719"/>
      <w:bookmarkStart w:id="179" w:name="_Toc27609"/>
      <w:r>
        <w:rPr>
          <w:rFonts w:hint="eastAsia" w:ascii="仿宋" w:hAnsi="仿宋" w:eastAsia="仿宋"/>
        </w:rPr>
        <w:t>机顶盒通用要求</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ind w:firstLine="420"/>
        <w:rPr>
          <w:rFonts w:ascii="仿宋" w:hAnsi="仿宋" w:eastAsia="仿宋"/>
        </w:rPr>
      </w:pPr>
      <w:r>
        <w:rPr>
          <w:rFonts w:hint="eastAsia" w:ascii="仿宋" w:hAnsi="仿宋" w:eastAsia="仿宋"/>
        </w:rPr>
        <w:t>数字电视机顶盒（STB）是一种以电视机为主要显示设备，可同时接收广播式数字电视（DVB）节目，或者同时具备交互式数字电视节目。其基本功能是接收下行数据，经解调、纠错解扰、解压缩等操作将数字信号恢复成AV信号，且能根据用户的需求点播相应的视频节目和完成相应的交互功能。</w:t>
      </w:r>
    </w:p>
    <w:p>
      <w:pPr>
        <w:ind w:firstLine="420"/>
        <w:rPr>
          <w:rFonts w:ascii="仿宋" w:hAnsi="仿宋" w:eastAsia="仿宋"/>
        </w:rPr>
      </w:pPr>
      <w:r>
        <w:rPr>
          <w:rFonts w:hint="eastAsia" w:ascii="仿宋" w:hAnsi="仿宋" w:eastAsia="仿宋"/>
        </w:rPr>
        <w:t>机顶盒包括公共功能模块、DVB模块或者交互模块。公共功能模块完成统一的供电、用户交互和与外界的接口等功能；DVB模块完成广播式数字电视节目的接收、播放等功能；交互模块完成交互式数字电视节目的点播、接收、播放等功能。</w:t>
      </w:r>
    </w:p>
    <w:p>
      <w:pPr>
        <w:ind w:firstLine="420"/>
        <w:rPr>
          <w:rFonts w:ascii="仿宋" w:hAnsi="仿宋" w:eastAsia="仿宋"/>
        </w:rPr>
      </w:pPr>
      <w:r>
        <w:rPr>
          <w:rFonts w:hint="eastAsia" w:ascii="仿宋" w:hAnsi="仿宋" w:eastAsia="仿宋"/>
        </w:rPr>
        <w:t>▲参与投标的机顶盒必须具备以下要求：</w:t>
      </w:r>
    </w:p>
    <w:p>
      <w:pPr>
        <w:pStyle w:val="221"/>
        <w:numPr>
          <w:ilvl w:val="0"/>
          <w:numId w:val="12"/>
        </w:numPr>
        <w:spacing w:line="360" w:lineRule="auto"/>
        <w:ind w:firstLineChars="0"/>
        <w:rPr>
          <w:rFonts w:ascii="仿宋" w:hAnsi="仿宋" w:eastAsia="仿宋"/>
        </w:rPr>
      </w:pPr>
      <w:r>
        <w:rPr>
          <w:rFonts w:hint="eastAsia" w:ascii="仿宋" w:hAnsi="仿宋" w:eastAsia="仿宋"/>
        </w:rPr>
        <w:t>数字机顶盒</w:t>
      </w:r>
      <w:r>
        <w:rPr>
          <w:rFonts w:hint="eastAsia" w:ascii="仿宋" w:hAnsi="仿宋" w:eastAsia="仿宋"/>
          <w:b/>
        </w:rPr>
        <w:t>必须通过中国强制性产品认证即3C (China Compulsory Certification)认证</w:t>
      </w:r>
      <w:r>
        <w:rPr>
          <w:rFonts w:hint="eastAsia" w:ascii="仿宋" w:hAnsi="仿宋" w:eastAsia="仿宋"/>
        </w:rPr>
        <w:t>。</w:t>
      </w:r>
    </w:p>
    <w:p>
      <w:pPr>
        <w:pStyle w:val="221"/>
        <w:numPr>
          <w:ilvl w:val="0"/>
          <w:numId w:val="12"/>
        </w:numPr>
        <w:spacing w:line="360" w:lineRule="auto"/>
        <w:ind w:firstLineChars="0"/>
        <w:rPr>
          <w:rFonts w:ascii="仿宋" w:hAnsi="仿宋" w:eastAsia="仿宋"/>
        </w:rPr>
      </w:pPr>
      <w:r>
        <w:rPr>
          <w:rFonts w:hint="eastAsia" w:ascii="仿宋" w:hAnsi="仿宋" w:eastAsia="仿宋"/>
        </w:rPr>
        <w:t>为保证机顶盒正常销售，</w:t>
      </w:r>
      <w:r>
        <w:rPr>
          <w:rFonts w:hint="eastAsia" w:ascii="仿宋" w:hAnsi="仿宋" w:eastAsia="仿宋"/>
          <w:b/>
        </w:rPr>
        <w:t>必须提供产品质量检测报告、安全认证等</w:t>
      </w:r>
      <w:r>
        <w:rPr>
          <w:rFonts w:hint="eastAsia" w:ascii="仿宋" w:hAnsi="仿宋" w:eastAsia="仿宋"/>
        </w:rPr>
        <w:t>。</w:t>
      </w:r>
    </w:p>
    <w:p>
      <w:pPr>
        <w:pStyle w:val="221"/>
        <w:numPr>
          <w:ilvl w:val="0"/>
          <w:numId w:val="12"/>
        </w:numPr>
        <w:spacing w:line="360" w:lineRule="auto"/>
        <w:ind w:firstLineChars="0"/>
        <w:rPr>
          <w:rFonts w:ascii="仿宋" w:hAnsi="仿宋" w:eastAsia="仿宋"/>
        </w:rPr>
      </w:pPr>
      <w:r>
        <w:rPr>
          <w:rFonts w:hint="eastAsia" w:ascii="仿宋" w:hAnsi="仿宋" w:eastAsia="仿宋"/>
        </w:rPr>
        <w:t>机顶盒必须已</w:t>
      </w:r>
      <w:r>
        <w:rPr>
          <w:rFonts w:hint="eastAsia" w:ascii="仿宋" w:hAnsi="仿宋" w:eastAsia="仿宋"/>
          <w:b/>
        </w:rPr>
        <w:t>完成中广指定的三家或</w:t>
      </w:r>
      <w:r>
        <w:rPr>
          <w:rFonts w:ascii="仿宋" w:hAnsi="仿宋" w:eastAsia="仿宋"/>
          <w:b/>
        </w:rPr>
        <w:t>三</w:t>
      </w:r>
      <w:r>
        <w:rPr>
          <w:rFonts w:hint="eastAsia" w:ascii="仿宋" w:hAnsi="仿宋" w:eastAsia="仿宋"/>
          <w:b/>
        </w:rPr>
        <w:t>家以上CA的集成。</w:t>
      </w:r>
    </w:p>
    <w:p>
      <w:pPr>
        <w:pStyle w:val="221"/>
        <w:numPr>
          <w:ilvl w:val="0"/>
          <w:numId w:val="12"/>
        </w:numPr>
        <w:spacing w:line="360" w:lineRule="auto"/>
        <w:ind w:firstLineChars="0"/>
        <w:rPr>
          <w:rFonts w:ascii="仿宋" w:hAnsi="仿宋" w:eastAsia="仿宋"/>
        </w:rPr>
      </w:pPr>
      <w:r>
        <w:rPr>
          <w:rFonts w:hint="eastAsia" w:ascii="仿宋" w:hAnsi="仿宋" w:eastAsia="仿宋"/>
        </w:rPr>
        <w:t>对于目前尚无可参照的国家标准，供货方要加以特别说明，并在国家标准正式出台后免费进行产品升级以符合标准。</w:t>
      </w:r>
    </w:p>
    <w:p>
      <w:pPr>
        <w:pStyle w:val="221"/>
        <w:numPr>
          <w:ilvl w:val="0"/>
          <w:numId w:val="12"/>
        </w:numPr>
        <w:spacing w:line="360" w:lineRule="auto"/>
        <w:ind w:firstLineChars="0"/>
        <w:rPr>
          <w:rFonts w:ascii="仿宋" w:hAnsi="仿宋" w:eastAsia="仿宋"/>
        </w:rPr>
      </w:pPr>
      <w:r>
        <w:rPr>
          <w:rFonts w:hint="eastAsia" w:ascii="仿宋" w:hAnsi="仿宋" w:eastAsia="仿宋"/>
        </w:rPr>
        <w:t>数字机顶盒应符合并通过我国家电类产品适用标准测试和认证，同时符合并通过我国或相关国际技术组织发布以下标准和规范：</w:t>
      </w:r>
    </w:p>
    <w:p>
      <w:pPr>
        <w:ind w:firstLine="420"/>
        <w:rPr>
          <w:rFonts w:ascii="仿宋" w:hAnsi="仿宋" w:eastAsia="仿宋"/>
        </w:rPr>
      </w:pPr>
      <w:r>
        <w:rPr>
          <w:rFonts w:hint="eastAsia" w:ascii="仿宋" w:hAnsi="仿宋" w:eastAsia="仿宋"/>
        </w:rPr>
        <w:t>EN 300 428 DVB系统中的服务信息（SI）规范（DVB-SI）</w:t>
      </w:r>
    </w:p>
    <w:p>
      <w:pPr>
        <w:ind w:firstLine="420"/>
        <w:rPr>
          <w:rFonts w:ascii="仿宋" w:hAnsi="仿宋" w:eastAsia="仿宋"/>
        </w:rPr>
      </w:pPr>
      <w:r>
        <w:rPr>
          <w:rFonts w:hint="eastAsia" w:ascii="仿宋" w:hAnsi="仿宋" w:eastAsia="仿宋"/>
        </w:rPr>
        <w:t>ETR 211 DVB服务信息（SI）的使用与执行指南（DVB-SI）</w:t>
      </w:r>
    </w:p>
    <w:p>
      <w:pPr>
        <w:ind w:firstLine="420"/>
        <w:rPr>
          <w:rFonts w:ascii="仿宋" w:hAnsi="仿宋" w:eastAsia="仿宋"/>
        </w:rPr>
      </w:pPr>
      <w:r>
        <w:rPr>
          <w:rFonts w:hint="eastAsia" w:ascii="仿宋" w:hAnsi="仿宋" w:eastAsia="仿宋"/>
        </w:rPr>
        <w:t>EN 300 472 DVB的比特流中传送图文信息和规范（DVB-TXT）</w:t>
      </w:r>
    </w:p>
    <w:p>
      <w:pPr>
        <w:ind w:firstLine="420"/>
        <w:rPr>
          <w:rFonts w:ascii="仿宋" w:hAnsi="仿宋" w:eastAsia="仿宋"/>
        </w:rPr>
      </w:pPr>
      <w:r>
        <w:rPr>
          <w:rFonts w:hint="eastAsia" w:ascii="仿宋" w:hAnsi="仿宋" w:eastAsia="仿宋"/>
        </w:rPr>
        <w:t>EN 301 192 数据广播的DVB规范（DVB-DATA）</w:t>
      </w:r>
    </w:p>
    <w:p>
      <w:pPr>
        <w:ind w:firstLine="420"/>
        <w:rPr>
          <w:rFonts w:ascii="仿宋" w:hAnsi="仿宋" w:eastAsia="仿宋"/>
        </w:rPr>
      </w:pPr>
      <w:r>
        <w:rPr>
          <w:rFonts w:hint="eastAsia" w:ascii="仿宋" w:hAnsi="仿宋" w:eastAsia="仿宋"/>
        </w:rPr>
        <w:t>EN 50211 关于条件接收和其它DVB解码器应用的通用接口规范（DVB-CI）</w:t>
      </w:r>
    </w:p>
    <w:p>
      <w:pPr>
        <w:ind w:firstLine="420"/>
        <w:rPr>
          <w:rFonts w:ascii="仿宋" w:hAnsi="仿宋" w:eastAsia="仿宋"/>
        </w:rPr>
      </w:pPr>
      <w:r>
        <w:rPr>
          <w:rFonts w:hint="eastAsia" w:ascii="仿宋" w:hAnsi="仿宋" w:eastAsia="仿宋"/>
        </w:rPr>
        <w:t>GB 7400.11-1999 数字电视用语</w:t>
      </w:r>
    </w:p>
    <w:p>
      <w:pPr>
        <w:ind w:firstLine="420"/>
        <w:rPr>
          <w:rFonts w:ascii="仿宋" w:hAnsi="仿宋" w:eastAsia="仿宋"/>
        </w:rPr>
      </w:pPr>
      <w:r>
        <w:rPr>
          <w:rFonts w:hint="eastAsia" w:ascii="仿宋" w:hAnsi="仿宋" w:eastAsia="仿宋"/>
        </w:rPr>
        <w:t>GB/Z 17975.2-2000 信息技术运动图像及其伴音信号的通用编码第2部分音频</w:t>
      </w:r>
    </w:p>
    <w:p>
      <w:pPr>
        <w:ind w:firstLine="420"/>
        <w:rPr>
          <w:rFonts w:ascii="仿宋" w:hAnsi="仿宋" w:eastAsia="仿宋"/>
        </w:rPr>
      </w:pPr>
      <w:r>
        <w:rPr>
          <w:rFonts w:hint="eastAsia" w:ascii="仿宋" w:hAnsi="仿宋" w:eastAsia="仿宋"/>
        </w:rPr>
        <w:t>GY/Z 170-2001 《有线数字电视广播信道编码与调制规范》</w:t>
      </w:r>
    </w:p>
    <w:p>
      <w:pPr>
        <w:ind w:firstLine="420"/>
        <w:rPr>
          <w:rFonts w:ascii="仿宋" w:hAnsi="仿宋" w:eastAsia="仿宋"/>
        </w:rPr>
      </w:pPr>
      <w:r>
        <w:rPr>
          <w:rFonts w:hint="eastAsia" w:ascii="仿宋" w:hAnsi="仿宋" w:eastAsia="仿宋"/>
        </w:rPr>
        <w:t>GY/Z 175－2001 《数字电视广播条件接收规范》</w:t>
      </w:r>
    </w:p>
    <w:p>
      <w:pPr>
        <w:ind w:firstLine="420"/>
        <w:rPr>
          <w:rFonts w:ascii="仿宋" w:hAnsi="仿宋" w:eastAsia="仿宋"/>
        </w:rPr>
      </w:pPr>
      <w:r>
        <w:rPr>
          <w:rFonts w:hint="eastAsia" w:ascii="仿宋" w:hAnsi="仿宋" w:eastAsia="仿宋"/>
        </w:rPr>
        <w:t>GY/Z 203-2004 《数字电视广播电子节目指南规范》</w:t>
      </w:r>
    </w:p>
    <w:p>
      <w:pPr>
        <w:ind w:firstLine="420"/>
        <w:rPr>
          <w:rFonts w:ascii="仿宋" w:hAnsi="仿宋" w:eastAsia="仿宋"/>
        </w:rPr>
      </w:pPr>
      <w:r>
        <w:rPr>
          <w:rFonts w:hint="eastAsia" w:ascii="仿宋" w:hAnsi="仿宋" w:eastAsia="仿宋"/>
        </w:rPr>
        <w:t>GB/T 16649-1996 《智能卡标准接口规范》</w:t>
      </w:r>
    </w:p>
    <w:p>
      <w:pPr>
        <w:ind w:firstLine="420"/>
        <w:rPr>
          <w:rFonts w:ascii="仿宋" w:hAnsi="仿宋" w:eastAsia="仿宋"/>
        </w:rPr>
      </w:pPr>
      <w:r>
        <w:rPr>
          <w:rFonts w:hint="eastAsia" w:ascii="仿宋" w:hAnsi="仿宋" w:eastAsia="仿宋"/>
        </w:rPr>
        <w:t>GY/T 106-1999 《有线电视广播系统技术要求》</w:t>
      </w:r>
    </w:p>
    <w:p>
      <w:pPr>
        <w:ind w:firstLine="420"/>
        <w:rPr>
          <w:rFonts w:ascii="仿宋" w:hAnsi="仿宋" w:eastAsia="仿宋"/>
        </w:rPr>
      </w:pPr>
      <w:r>
        <w:rPr>
          <w:rFonts w:hint="eastAsia" w:ascii="仿宋" w:hAnsi="仿宋" w:eastAsia="仿宋"/>
        </w:rPr>
        <w:t>GY/T 134-1998 《数字电视图像质量主观评价方法》</w:t>
      </w:r>
    </w:p>
    <w:p>
      <w:pPr>
        <w:ind w:firstLine="420"/>
        <w:rPr>
          <w:rFonts w:ascii="仿宋" w:hAnsi="仿宋" w:eastAsia="仿宋"/>
        </w:rPr>
      </w:pPr>
      <w:r>
        <w:rPr>
          <w:rFonts w:hint="eastAsia" w:ascii="仿宋" w:hAnsi="仿宋" w:eastAsia="仿宋"/>
        </w:rPr>
        <w:t>ISO/IEC 7816-3 1989 《识别卡带触电的集成电路卡》第三部分电信号与传输协议</w:t>
      </w:r>
    </w:p>
    <w:p>
      <w:pPr>
        <w:ind w:firstLine="420"/>
        <w:rPr>
          <w:rFonts w:ascii="仿宋" w:hAnsi="仿宋" w:eastAsia="仿宋"/>
        </w:rPr>
      </w:pPr>
      <w:r>
        <w:rPr>
          <w:rFonts w:hint="eastAsia" w:ascii="仿宋" w:hAnsi="仿宋" w:eastAsia="仿宋"/>
        </w:rPr>
        <w:t>SJ/T 10327-1992 电视广播接收机外观、结构和工艺评价方法</w:t>
      </w:r>
    </w:p>
    <w:p>
      <w:pPr>
        <w:ind w:firstLine="420"/>
        <w:rPr>
          <w:rFonts w:ascii="仿宋" w:hAnsi="仿宋" w:eastAsia="仿宋"/>
        </w:rPr>
      </w:pPr>
      <w:r>
        <w:rPr>
          <w:rFonts w:hint="eastAsia" w:ascii="仿宋" w:hAnsi="仿宋" w:eastAsia="仿宋"/>
        </w:rPr>
        <w:t>SJ/T 10514-1994 电视广播接收机遥控部分的技术要求和测量方法</w:t>
      </w:r>
    </w:p>
    <w:p>
      <w:pPr>
        <w:ind w:firstLine="420"/>
        <w:rPr>
          <w:rFonts w:ascii="仿宋" w:hAnsi="仿宋" w:eastAsia="仿宋"/>
        </w:rPr>
      </w:pPr>
      <w:r>
        <w:rPr>
          <w:rFonts w:hint="eastAsia" w:ascii="仿宋" w:hAnsi="仿宋" w:eastAsia="仿宋"/>
        </w:rPr>
        <w:t>JY/Z-174-2001 《数字视频广播中文业务信息规范》</w:t>
      </w:r>
    </w:p>
    <w:p>
      <w:pPr>
        <w:ind w:firstLine="420"/>
        <w:rPr>
          <w:rFonts w:ascii="仿宋" w:hAnsi="仿宋" w:eastAsia="仿宋"/>
        </w:rPr>
      </w:pPr>
      <w:r>
        <w:rPr>
          <w:rFonts w:hint="eastAsia" w:ascii="仿宋" w:hAnsi="仿宋" w:eastAsia="仿宋"/>
        </w:rPr>
        <w:t>ISMA（Internet Streaming Media Alliance Implementation Specification V1.0）互联网流媒体联盟标准</w:t>
      </w:r>
    </w:p>
    <w:p>
      <w:pPr>
        <w:ind w:firstLine="420"/>
        <w:rPr>
          <w:rFonts w:ascii="仿宋" w:hAnsi="仿宋" w:eastAsia="仿宋"/>
        </w:rPr>
      </w:pPr>
      <w:r>
        <w:rPr>
          <w:rFonts w:hint="eastAsia" w:ascii="仿宋" w:hAnsi="仿宋" w:eastAsia="仿宋"/>
        </w:rPr>
        <w:t>IETF RFC1889——RTP：A Transport Protocol For Real time Applications实时传输协议</w:t>
      </w:r>
    </w:p>
    <w:p>
      <w:pPr>
        <w:ind w:firstLine="420"/>
        <w:rPr>
          <w:rFonts w:ascii="仿宋" w:hAnsi="仿宋" w:eastAsia="仿宋"/>
        </w:rPr>
      </w:pPr>
      <w:r>
        <w:rPr>
          <w:rFonts w:hint="eastAsia" w:ascii="仿宋" w:hAnsi="仿宋" w:eastAsia="仿宋"/>
        </w:rPr>
        <w:t>IETF RFC768——UDP： User Datagram Protocol 用户数据报协议</w:t>
      </w:r>
    </w:p>
    <w:p>
      <w:pPr>
        <w:ind w:firstLine="420"/>
        <w:rPr>
          <w:rFonts w:ascii="仿宋" w:hAnsi="仿宋" w:eastAsia="仿宋"/>
        </w:rPr>
      </w:pPr>
      <w:r>
        <w:rPr>
          <w:rFonts w:hint="eastAsia" w:ascii="仿宋" w:hAnsi="仿宋" w:eastAsia="仿宋"/>
        </w:rPr>
        <w:t>IETF RFC793——TCP: Transmission Control Protocol 传输控制协议</w:t>
      </w:r>
    </w:p>
    <w:p>
      <w:pPr>
        <w:ind w:firstLine="420"/>
        <w:rPr>
          <w:rFonts w:ascii="仿宋" w:hAnsi="仿宋" w:eastAsia="仿宋"/>
        </w:rPr>
      </w:pPr>
      <w:r>
        <w:rPr>
          <w:rFonts w:hint="eastAsia" w:ascii="仿宋" w:hAnsi="仿宋" w:eastAsia="仿宋"/>
        </w:rPr>
        <w:t>IETF RFC2326——RTSP：Real time  Streaming Protocol 实时流协议</w:t>
      </w:r>
    </w:p>
    <w:p>
      <w:pPr>
        <w:ind w:firstLine="420"/>
        <w:rPr>
          <w:rFonts w:ascii="仿宋" w:hAnsi="仿宋" w:eastAsia="仿宋"/>
        </w:rPr>
      </w:pPr>
      <w:r>
        <w:rPr>
          <w:rFonts w:hint="eastAsia" w:ascii="仿宋" w:hAnsi="仿宋" w:eastAsia="仿宋"/>
        </w:rPr>
        <w:t>IETF RFC2626——HTTP1.1:HyperText Transfer Protocol 超文本传输协议</w:t>
      </w:r>
    </w:p>
    <w:p>
      <w:pPr>
        <w:ind w:firstLine="420"/>
        <w:rPr>
          <w:rFonts w:ascii="仿宋" w:hAnsi="仿宋" w:eastAsia="仿宋"/>
        </w:rPr>
      </w:pPr>
      <w:r>
        <w:rPr>
          <w:rFonts w:hint="eastAsia" w:ascii="仿宋" w:hAnsi="仿宋" w:eastAsia="仿宋"/>
        </w:rPr>
        <w:t>国家广播电影电视总局的《有线数字电视系统用户终端接收机入网技术条件和测量方法第一部分：透明传输电性能参数(暂行)》。</w:t>
      </w:r>
    </w:p>
    <w:p>
      <w:pPr>
        <w:ind w:firstLine="420"/>
        <w:rPr>
          <w:rFonts w:ascii="仿宋" w:hAnsi="仿宋" w:eastAsia="仿宋"/>
        </w:rPr>
      </w:pPr>
      <w:r>
        <w:rPr>
          <w:rFonts w:hint="eastAsia" w:ascii="仿宋" w:hAnsi="仿宋" w:eastAsia="仿宋"/>
        </w:rPr>
        <w:t>广发技字[2000]58 号文《关于我国现阶段有线电视综合业务用户终端体制的意见》。</w:t>
      </w:r>
    </w:p>
    <w:p>
      <w:pPr>
        <w:ind w:firstLine="420"/>
        <w:rPr>
          <w:rFonts w:ascii="仿宋" w:hAnsi="仿宋" w:eastAsia="仿宋"/>
        </w:rPr>
      </w:pPr>
      <w:r>
        <w:rPr>
          <w:rFonts w:hint="eastAsia" w:ascii="仿宋" w:hAnsi="仿宋" w:eastAsia="仿宋"/>
        </w:rPr>
        <w:t>GB4943《信息技术机顶盒（包括电气事务机顶盒）的安全》、GB 8898</w:t>
      </w:r>
      <w:r>
        <w:rPr>
          <w:rFonts w:ascii="仿宋" w:hAnsi="仿宋" w:eastAsia="仿宋"/>
        </w:rPr>
        <w:t>-2011</w:t>
      </w:r>
      <w:r>
        <w:rPr>
          <w:rFonts w:hint="eastAsia" w:ascii="仿宋" w:hAnsi="仿宋" w:eastAsia="仿宋"/>
        </w:rPr>
        <w:t>《电网电源供电的家用和类似一般用途的电子及有关机顶盒的安全要求》</w:t>
      </w:r>
    </w:p>
    <w:p>
      <w:pPr>
        <w:ind w:firstLine="420"/>
        <w:rPr>
          <w:rFonts w:ascii="仿宋" w:hAnsi="仿宋" w:eastAsia="仿宋"/>
        </w:rPr>
      </w:pPr>
      <w:r>
        <w:rPr>
          <w:rFonts w:hint="eastAsia" w:ascii="仿宋" w:hAnsi="仿宋" w:eastAsia="仿宋"/>
        </w:rPr>
        <w:t>对相邻网络和机顶盒产生的干扰在国家有关要求以内，电磁辐射干扰测量方法按GB 13837 《声音和电视广播接收机及有关机顶盒无线电干扰特性限值和测量方法》</w:t>
      </w:r>
    </w:p>
    <w:p>
      <w:pPr>
        <w:ind w:firstLine="420"/>
        <w:rPr>
          <w:rFonts w:ascii="仿宋" w:hAnsi="仿宋" w:eastAsia="仿宋"/>
        </w:rPr>
      </w:pPr>
      <w:r>
        <w:rPr>
          <w:rFonts w:hint="eastAsia" w:ascii="仿宋" w:hAnsi="仿宋" w:eastAsia="仿宋"/>
        </w:rPr>
        <w:t>环境要求按GB/T 2421 《电工电子产品基本环境试验规程总则》。</w:t>
      </w:r>
    </w:p>
    <w:p>
      <w:pPr>
        <w:pStyle w:val="221"/>
        <w:numPr>
          <w:ilvl w:val="0"/>
          <w:numId w:val="13"/>
        </w:numPr>
        <w:spacing w:line="360" w:lineRule="auto"/>
        <w:ind w:firstLineChars="0"/>
        <w:rPr>
          <w:rFonts w:ascii="仿宋" w:hAnsi="仿宋" w:eastAsia="仿宋"/>
        </w:rPr>
      </w:pPr>
      <w:r>
        <w:rPr>
          <w:rFonts w:hint="eastAsia" w:ascii="仿宋" w:hAnsi="仿宋" w:eastAsia="仿宋"/>
          <w:b/>
        </w:rPr>
        <w:t>必须通过HDMI认证测试，并具有合格认证证书</w:t>
      </w:r>
      <w:r>
        <w:rPr>
          <w:rFonts w:hint="eastAsia" w:ascii="仿宋" w:hAnsi="仿宋" w:eastAsia="仿宋"/>
        </w:rPr>
        <w:t>。</w:t>
      </w:r>
    </w:p>
    <w:p>
      <w:pPr>
        <w:pStyle w:val="221"/>
        <w:ind w:left="842" w:firstLine="0" w:firstLineChars="0"/>
        <w:rPr>
          <w:rFonts w:ascii="仿宋" w:hAnsi="仿宋" w:eastAsia="仿宋"/>
          <w:b/>
        </w:rPr>
      </w:pPr>
    </w:p>
    <w:p>
      <w:pPr>
        <w:pStyle w:val="4"/>
        <w:tabs>
          <w:tab w:val="clear" w:pos="3960"/>
        </w:tabs>
        <w:rPr>
          <w:rFonts w:ascii="仿宋" w:hAnsi="仿宋" w:eastAsia="仿宋"/>
        </w:rPr>
      </w:pPr>
      <w:bookmarkStart w:id="180" w:name="_Toc72941062"/>
      <w:bookmarkStart w:id="181" w:name="_Toc212446880"/>
      <w:bookmarkStart w:id="182" w:name="_Toc329007547"/>
      <w:bookmarkStart w:id="183" w:name="_Toc212457257"/>
      <w:bookmarkStart w:id="184" w:name="_Toc212456014"/>
      <w:bookmarkStart w:id="185" w:name="_Toc212457189"/>
      <w:bookmarkStart w:id="186" w:name="_Toc212446226"/>
      <w:bookmarkStart w:id="187" w:name="_Toc212398663"/>
      <w:bookmarkStart w:id="188" w:name="_Toc212445656"/>
      <w:bookmarkStart w:id="189" w:name="_Toc212398607"/>
      <w:bookmarkStart w:id="190" w:name="_Toc240857159"/>
      <w:bookmarkStart w:id="191" w:name="_Toc212457540"/>
      <w:bookmarkStart w:id="192" w:name="_Toc205029460"/>
      <w:bookmarkStart w:id="193" w:name="_Toc205088231"/>
      <w:bookmarkStart w:id="194" w:name="_Toc205088094"/>
      <w:bookmarkStart w:id="195" w:name="_Toc205799524"/>
      <w:bookmarkStart w:id="196" w:name="_Toc79468565"/>
      <w:bookmarkStart w:id="197" w:name="_Toc205088127"/>
      <w:bookmarkStart w:id="198" w:name="_Toc205088465"/>
      <w:bookmarkStart w:id="199" w:name="_Toc205088431"/>
      <w:bookmarkStart w:id="200" w:name="_Toc205098537"/>
      <w:bookmarkStart w:id="201" w:name="_Toc205088365"/>
      <w:bookmarkStart w:id="202" w:name="_Toc205088507"/>
      <w:bookmarkStart w:id="203" w:name="_Toc205088552"/>
      <w:r>
        <w:rPr>
          <w:rFonts w:hint="eastAsia" w:ascii="仿宋" w:hAnsi="仿宋" w:eastAsia="仿宋"/>
        </w:rPr>
        <w:t>高清交互型个人版机顶盒</w:t>
      </w:r>
      <w:bookmarkEnd w:id="180"/>
    </w:p>
    <w:p>
      <w:pPr>
        <w:pStyle w:val="90"/>
        <w:numPr>
          <w:ilvl w:val="3"/>
          <w:numId w:val="0"/>
        </w:numPr>
        <w:tabs>
          <w:tab w:val="left" w:pos="0"/>
        </w:tabs>
        <w:adjustRightInd w:val="0"/>
        <w:spacing w:line="360" w:lineRule="auto"/>
        <w:ind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硬件配置要求</w:t>
      </w:r>
      <w:bookmarkEnd w:id="181"/>
      <w:bookmarkEnd w:id="182"/>
      <w:bookmarkEnd w:id="183"/>
      <w:bookmarkEnd w:id="184"/>
      <w:bookmarkEnd w:id="185"/>
      <w:bookmarkEnd w:id="186"/>
      <w:bookmarkEnd w:id="187"/>
      <w:bookmarkEnd w:id="188"/>
      <w:bookmarkEnd w:id="189"/>
      <w:bookmarkEnd w:id="190"/>
      <w:bookmarkEnd w:id="191"/>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遥控单元</w:t>
      </w:r>
      <w:bookmarkEnd w:id="192"/>
      <w:bookmarkEnd w:id="193"/>
      <w:bookmarkEnd w:id="194"/>
      <w:bookmarkEnd w:id="195"/>
      <w:bookmarkEnd w:id="196"/>
      <w:bookmarkEnd w:id="197"/>
      <w:bookmarkEnd w:id="198"/>
      <w:bookmarkEnd w:id="199"/>
      <w:bookmarkEnd w:id="200"/>
      <w:bookmarkEnd w:id="201"/>
      <w:bookmarkEnd w:id="202"/>
      <w:bookmarkEnd w:id="203"/>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bookmarkStart w:id="204" w:name="_Toc70137708"/>
      <w:r>
        <w:rPr>
          <w:rFonts w:hint="eastAsia" w:ascii="仿宋" w:hAnsi="仿宋" w:eastAsia="仿宋" w:cs="宋体"/>
          <w:color w:val="000000" w:themeColor="text1"/>
          <w:sz w:val="18"/>
          <w:szCs w:val="18"/>
          <w14:textFill>
            <w14:solidFill>
              <w14:schemeClr w14:val="tx1"/>
            </w14:solidFill>
          </w14:textFill>
        </w:rPr>
        <w:t>机顶盒必须能接收和处理相应的遥控协议如红外遥控，实现用户的操作需求如切换频道和菜单操作等。</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遥控器的有效操作距离至少在8米（含）以上，有效操作角度为机顶盒接收器垂直中心线正负60度（蓝牙遥控要求为360度）。</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遥控器必须能实现机顶盒进入待机状态和取消待机状态。</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遥控器的外形和技术要求以中广有线指定为准。</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05" w:name="_Toc205088466"/>
      <w:bookmarkStart w:id="206" w:name="_Toc205088432"/>
      <w:bookmarkStart w:id="207" w:name="_Toc205029461"/>
      <w:bookmarkStart w:id="208" w:name="_Toc205088508"/>
      <w:bookmarkStart w:id="209" w:name="_Toc205088553"/>
      <w:bookmarkStart w:id="210" w:name="_Toc205098538"/>
      <w:bookmarkStart w:id="211" w:name="_Toc205088232"/>
      <w:bookmarkStart w:id="212" w:name="_Toc205088366"/>
      <w:bookmarkStart w:id="213" w:name="_Toc205799525"/>
      <w:bookmarkStart w:id="214" w:name="_Toc79468566"/>
      <w:bookmarkStart w:id="215" w:name="_Toc205088095"/>
      <w:bookmarkStart w:id="216" w:name="_Toc205088128"/>
      <w:r>
        <w:rPr>
          <w:rFonts w:hint="eastAsia" w:ascii="仿宋" w:hAnsi="仿宋" w:eastAsia="仿宋" w:cstheme="minorEastAsia"/>
          <w:color w:val="000000" w:themeColor="text1"/>
          <w14:textFill>
            <w14:solidFill>
              <w14:schemeClr w14:val="tx1"/>
            </w14:solidFill>
          </w14:textFill>
        </w:rPr>
        <w:t>面板要求</w:t>
      </w:r>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23"/>
        <w:gridCol w:w="8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628" w:type="pct"/>
            <w:shd w:val="clear" w:color="auto" w:fill="auto"/>
            <w:tcMar>
              <w:top w:w="0" w:type="dxa"/>
              <w:left w:w="108" w:type="dxa"/>
              <w:bottom w:w="0" w:type="dxa"/>
              <w:right w:w="108" w:type="dxa"/>
            </w:tcMar>
            <w:vAlign w:val="center"/>
          </w:tcPr>
          <w:p>
            <w:pPr>
              <w:widowControl/>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前面板</w:t>
            </w:r>
          </w:p>
        </w:tc>
        <w:tc>
          <w:tcPr>
            <w:tcW w:w="4372" w:type="pct"/>
            <w:shd w:val="clear" w:color="auto" w:fill="auto"/>
            <w:tcMar>
              <w:top w:w="0" w:type="dxa"/>
              <w:left w:w="108" w:type="dxa"/>
              <w:bottom w:w="0" w:type="dxa"/>
              <w:right w:w="108" w:type="dxa"/>
            </w:tcMar>
            <w:vAlign w:val="center"/>
          </w:tcPr>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【必选其一】</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前面板具有</w:t>
            </w:r>
            <w:r>
              <w:rPr>
                <w:rFonts w:hint="eastAsia" w:ascii="仿宋" w:hAnsi="仿宋" w:eastAsia="仿宋" w:cs="宋体"/>
                <w:b/>
                <w:bCs/>
                <w:color w:val="000000" w:themeColor="text1"/>
                <w:kern w:val="0"/>
                <w:sz w:val="18"/>
                <w:szCs w:val="18"/>
                <w14:textFill>
                  <w14:solidFill>
                    <w14:schemeClr w14:val="tx1"/>
                  </w14:solidFill>
                </w14:textFill>
              </w:rPr>
              <w:t>电源指示灯</w:t>
            </w:r>
            <w:r>
              <w:rPr>
                <w:rFonts w:hint="eastAsia" w:ascii="仿宋" w:hAnsi="仿宋" w:eastAsia="仿宋" w:cs="宋体"/>
                <w:color w:val="000000" w:themeColor="text1"/>
                <w:kern w:val="0"/>
                <w:sz w:val="18"/>
                <w:szCs w:val="18"/>
                <w14:textFill>
                  <w14:solidFill>
                    <w14:schemeClr w14:val="tx1"/>
                  </w14:solidFill>
                </w14:textFill>
              </w:rPr>
              <w:t>，在通电后即亮起，机顶盒正常工作时为绿色，待机时为红色，响应遥控器按键时指示灯闪烁一下。【或】具备数码管显示，通电后即亮起，并能区分开机与待机状态。</w:t>
            </w:r>
          </w:p>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电源硬开关：建议安排在前面板（所有面板合计1个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红外接收窗</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（【建议】前面板采用全透红外的材质，不单独开红外窗）</w:t>
            </w:r>
          </w:p>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智能卡槽</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具备符合ISO7816标准的智能卡槽（所有面板合计1个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 xml:space="preserve">USB通用串行接口: </w:t>
            </w:r>
            <w:r>
              <w:rPr>
                <w:rFonts w:hint="eastAsia" w:ascii="仿宋" w:hAnsi="仿宋" w:eastAsia="仿宋" w:cs="宋体"/>
                <w:color w:val="000000" w:themeColor="text1"/>
                <w:kern w:val="0"/>
                <w:sz w:val="18"/>
                <w:szCs w:val="18"/>
                <w14:textFill>
                  <w14:solidFill>
                    <w14:schemeClr w14:val="tx1"/>
                  </w14:solidFill>
                </w14:textFill>
              </w:rPr>
              <w:t>USB 2.0 Host Type A接口（所有面板合计2个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628" w:type="pct"/>
            <w:shd w:val="clear" w:color="auto" w:fill="auto"/>
            <w:tcMar>
              <w:top w:w="0" w:type="dxa"/>
              <w:left w:w="108" w:type="dxa"/>
              <w:bottom w:w="0" w:type="dxa"/>
              <w:right w:w="108" w:type="dxa"/>
            </w:tcMar>
            <w:vAlign w:val="center"/>
          </w:tcPr>
          <w:p>
            <w:pPr>
              <w:widowControl/>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侧面板与后面板</w:t>
            </w:r>
          </w:p>
        </w:tc>
        <w:tc>
          <w:tcPr>
            <w:tcW w:w="4372" w:type="pct"/>
            <w:shd w:val="clear" w:color="auto" w:fill="auto"/>
            <w:tcMar>
              <w:top w:w="0" w:type="dxa"/>
              <w:left w:w="108" w:type="dxa"/>
              <w:bottom w:w="0" w:type="dxa"/>
              <w:right w:w="108" w:type="dxa"/>
            </w:tcMar>
            <w:vAlign w:val="center"/>
          </w:tcPr>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电源输入</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直流电源输入圆口。外径5.5mm，内径2.1mm</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内正外负</w:t>
            </w:r>
          </w:p>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RF 输入</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英制F母头一个</w:t>
            </w:r>
          </w:p>
          <w:p>
            <w:pPr>
              <w:widowControl/>
              <w:spacing w:line="300" w:lineRule="atLeast"/>
              <w:ind w:firstLine="36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音视频输出：</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（1）CVBS（AV）RCA标准接口【或】复合音视频接口（3.5mm音频标准的4段式物理接口，从插孔入口开始的顺序为右声道</w:t>
            </w:r>
            <w:r>
              <w:rPr>
                <w:rFonts w:ascii="仿宋" w:hAnsi="仿宋" w:eastAsia="仿宋" w:cs="宋体"/>
                <w:color w:val="000000" w:themeColor="text1"/>
                <w:kern w:val="0"/>
                <w:sz w:val="18"/>
                <w:szCs w:val="18"/>
                <w14:textFill>
                  <w14:solidFill>
                    <w14:schemeClr w14:val="tx1"/>
                  </w14:solidFill>
                </w14:textFill>
              </w:rPr>
              <w:t>（R）、接地（GND）</w:t>
            </w:r>
            <w:r>
              <w:rPr>
                <w:rFonts w:hint="eastAsia" w:ascii="仿宋" w:hAnsi="仿宋" w:eastAsia="仿宋" w:cs="宋体"/>
                <w:color w:val="000000" w:themeColor="text1"/>
                <w:kern w:val="0"/>
                <w:sz w:val="18"/>
                <w:szCs w:val="18"/>
                <w14:textFill>
                  <w14:solidFill>
                    <w14:schemeClr w14:val="tx1"/>
                  </w14:solidFill>
                </w14:textFill>
              </w:rPr>
              <w:t>、视频</w:t>
            </w:r>
            <w:r>
              <w:rPr>
                <w:rFonts w:ascii="仿宋" w:hAnsi="仿宋" w:eastAsia="仿宋" w:cs="宋体"/>
                <w:color w:val="000000" w:themeColor="text1"/>
                <w:kern w:val="0"/>
                <w:sz w:val="18"/>
                <w:szCs w:val="18"/>
                <w14:textFill>
                  <w14:solidFill>
                    <w14:schemeClr w14:val="tx1"/>
                  </w14:solidFill>
                </w14:textFill>
              </w:rPr>
              <w:t>（TV）、</w:t>
            </w:r>
            <w:r>
              <w:rPr>
                <w:rFonts w:hint="eastAsia" w:ascii="仿宋" w:hAnsi="仿宋" w:eastAsia="仿宋" w:cs="宋体"/>
                <w:color w:val="000000" w:themeColor="text1"/>
                <w:kern w:val="0"/>
                <w:sz w:val="18"/>
                <w:szCs w:val="18"/>
                <w14:textFill>
                  <w14:solidFill>
                    <w14:schemeClr w14:val="tx1"/>
                  </w14:solidFill>
                </w14:textFill>
              </w:rPr>
              <w:t>左声道</w:t>
            </w:r>
            <w:r>
              <w:rPr>
                <w:rFonts w:ascii="仿宋" w:hAnsi="仿宋" w:eastAsia="仿宋" w:cs="宋体"/>
                <w:color w:val="000000" w:themeColor="text1"/>
                <w:kern w:val="0"/>
                <w:sz w:val="18"/>
                <w:szCs w:val="18"/>
                <w14:textFill>
                  <w14:solidFill>
                    <w14:schemeClr w14:val="tx1"/>
                  </w14:solidFill>
                </w14:textFill>
              </w:rPr>
              <w:t>（L）</w:t>
            </w:r>
            <w:r>
              <w:rPr>
                <w:rFonts w:hint="eastAsia" w:ascii="仿宋" w:hAnsi="仿宋" w:eastAsia="仿宋" w:cs="宋体"/>
                <w:color w:val="000000" w:themeColor="text1"/>
                <w:kern w:val="0"/>
                <w:sz w:val="18"/>
                <w:szCs w:val="18"/>
                <w14:textFill>
                  <w14:solidFill>
                    <w14:schemeClr w14:val="tx1"/>
                  </w14:solidFill>
                </w14:textFill>
              </w:rPr>
              <w:t>；</w:t>
            </w:r>
          </w:p>
          <w:p>
            <w:pPr>
              <w:widowControl/>
              <w:spacing w:line="300" w:lineRule="atLeast"/>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（2）HDMI接口（1.3a）</w:t>
            </w:r>
          </w:p>
          <w:p>
            <w:pPr>
              <w:widowControl/>
              <w:spacing w:line="300" w:lineRule="atLeast"/>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【可选】色差输出、SPDIF输出、RF环出</w:t>
            </w:r>
          </w:p>
          <w:p>
            <w:pPr>
              <w:widowControl/>
              <w:spacing w:line="300" w:lineRule="atLeast"/>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【可选】电源硬开关（所有面板合计1个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红外接收引出插座</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1个3.5mm音频标准的物理接口，从插孔入口开始的顺序为：地（GND）、信号（IR）、电源（Power）</w:t>
            </w:r>
          </w:p>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网络接口</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一个100Mbps RJ45接口</w:t>
            </w:r>
          </w:p>
          <w:p>
            <w:pPr>
              <w:widowControl/>
              <w:ind w:firstLine="361"/>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串行数据接口</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：一个。</w:t>
            </w:r>
            <w:r>
              <w:rPr>
                <w:rFonts w:hint="eastAsia" w:ascii="仿宋" w:hAnsi="仿宋" w:eastAsia="仿宋" w:cs="宋体"/>
                <w:color w:val="000000" w:themeColor="text1"/>
                <w:kern w:val="0"/>
                <w:sz w:val="18"/>
                <w:szCs w:val="18"/>
                <w14:textFill>
                  <w14:solidFill>
                    <w14:schemeClr w14:val="tx1"/>
                  </w14:solidFill>
                </w14:textFill>
              </w:rPr>
              <w:t>可以是DB-9、(Mini) USB、红外接收头复用或其他形式。</w:t>
            </w:r>
          </w:p>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【可选】</w:t>
            </w:r>
            <w:r>
              <w:rPr>
                <w:rFonts w:hint="eastAsia" w:ascii="仿宋" w:hAnsi="仿宋" w:eastAsia="仿宋" w:cs="宋体"/>
                <w:b/>
                <w:bCs/>
                <w:color w:val="000000" w:themeColor="text1"/>
                <w:kern w:val="0"/>
                <w:sz w:val="18"/>
                <w:szCs w:val="18"/>
                <w14:textFill>
                  <w14:solidFill>
                    <w14:schemeClr w14:val="tx1"/>
                  </w14:solidFill>
                </w14:textFill>
              </w:rPr>
              <w:t>智能卡槽：</w:t>
            </w:r>
            <w:r>
              <w:rPr>
                <w:rFonts w:hint="eastAsia" w:ascii="仿宋" w:hAnsi="仿宋" w:eastAsia="仿宋" w:cs="宋体"/>
                <w:color w:val="000000" w:themeColor="text1"/>
                <w:kern w:val="0"/>
                <w:sz w:val="18"/>
                <w:szCs w:val="18"/>
                <w14:textFill>
                  <w14:solidFill>
                    <w14:schemeClr w14:val="tx1"/>
                  </w14:solidFill>
                </w14:textFill>
              </w:rPr>
              <w:t>具备符合ISO7816标准的智能卡槽（所有面板合计1个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p>
            <w:pPr>
              <w:widowControl/>
              <w:ind w:firstLine="36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【可选】</w:t>
            </w:r>
            <w:r>
              <w:rPr>
                <w:rFonts w:hint="eastAsia" w:ascii="仿宋" w:hAnsi="仿宋" w:eastAsia="仿宋" w:cs="宋体"/>
                <w:b/>
                <w:bCs/>
                <w:color w:val="000000" w:themeColor="text1"/>
                <w:kern w:val="0"/>
                <w:sz w:val="18"/>
                <w:szCs w:val="18"/>
                <w14:textFill>
                  <w14:solidFill>
                    <w14:schemeClr w14:val="tx1"/>
                  </w14:solidFill>
                </w14:textFill>
              </w:rPr>
              <w:t xml:space="preserve">USB通用串行接口: </w:t>
            </w:r>
            <w:r>
              <w:rPr>
                <w:rFonts w:hint="eastAsia" w:ascii="仿宋" w:hAnsi="仿宋" w:eastAsia="仿宋" w:cs="宋体"/>
                <w:color w:val="000000" w:themeColor="text1"/>
                <w:kern w:val="0"/>
                <w:sz w:val="18"/>
                <w:szCs w:val="18"/>
                <w14:textFill>
                  <w14:solidFill>
                    <w14:schemeClr w14:val="tx1"/>
                  </w14:solidFill>
                </w14:textFill>
              </w:rPr>
              <w:t>USB 2.0 Host Type A接口（所有面板合计2个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tc>
      </w:tr>
    </w:tbl>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前后面板的文字丝印应采用中文。</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电源要求</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机顶盒电源输入电压：180 - 240V AC，50-60Hz（或）通过电源适配器直流电源输入，并符合国家相关安全标准和通过国家安全认证。</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电源效率高于75％。</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电源输出参数：</w:t>
      </w:r>
      <w:r>
        <w:rPr>
          <w:rFonts w:ascii="仿宋" w:hAnsi="仿宋" w:eastAsia="仿宋" w:cs="宋体"/>
          <w:color w:val="000000" w:themeColor="text1"/>
          <w:sz w:val="18"/>
          <w:szCs w:val="18"/>
          <w14:textFill>
            <w14:solidFill>
              <w14:schemeClr w14:val="tx1"/>
            </w14:solidFill>
          </w14:textFill>
        </w:rPr>
        <w:t>DC</w:t>
      </w:r>
      <w:r>
        <w:rPr>
          <w:rFonts w:hint="eastAsia" w:ascii="仿宋" w:hAnsi="仿宋" w:eastAsia="仿宋" w:cs="宋体"/>
          <w:color w:val="000000" w:themeColor="text1"/>
          <w:sz w:val="18"/>
          <w:szCs w:val="18"/>
          <w14:textFill>
            <w14:solidFill>
              <w14:schemeClr w14:val="tx1"/>
            </w14:solidFill>
          </w14:textFill>
        </w:rPr>
        <w:t>12V，1A。</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电源输出接口：外径5.5mm，内径2.1mm，内正外负</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电源标识要求▲：要求电源应有终端厂商名称标识，生产日期，以便进行区分管理。</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须提供电源适配器的3C检测报告、规格书、自测报告全文。</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w:t>
      </w:r>
      <w:r>
        <w:rPr>
          <w:rFonts w:ascii="仿宋" w:hAnsi="仿宋" w:eastAsia="仿宋" w:cs="宋体"/>
          <w:color w:val="000000" w:themeColor="text1"/>
          <w:sz w:val="18"/>
          <w:szCs w:val="18"/>
          <w14:textFill>
            <w14:solidFill>
              <w14:schemeClr w14:val="tx1"/>
            </w14:solidFill>
          </w14:textFill>
        </w:rPr>
        <w:t>防雷击保护</w:t>
      </w:r>
      <w:r>
        <w:rPr>
          <w:rFonts w:hint="eastAsia" w:ascii="仿宋" w:hAnsi="仿宋" w:eastAsia="仿宋" w:cs="宋体"/>
          <w:color w:val="000000" w:themeColor="text1"/>
          <w:sz w:val="18"/>
          <w:szCs w:val="18"/>
          <w14:textFill>
            <w14:solidFill>
              <w14:schemeClr w14:val="tx1"/>
            </w14:solidFill>
          </w14:textFill>
        </w:rPr>
        <w:t>指标至少为±4KV。</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安全要求</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增加高温老化的要求：抽取批次产品5%进行50度48小时的高温老化测试，并提供包括温升情况的检测报告。</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质量要求</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增加终端质量要求指标：开箱合格率不低于99.9%，产品在免费保修期内硬件月故障率应低于0.2％，其产品在使用寿命期内硬件月故障率不能高于1％。机顶盒软件升级的故障率低于0.5%；</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17" w:name="_Toc205029463"/>
      <w:bookmarkStart w:id="218" w:name="_Toc205799527"/>
      <w:bookmarkStart w:id="219" w:name="_Toc205088097"/>
      <w:bookmarkStart w:id="220" w:name="_Toc205088434"/>
      <w:bookmarkStart w:id="221" w:name="_Toc205088468"/>
      <w:bookmarkStart w:id="222" w:name="_Toc205088510"/>
      <w:bookmarkStart w:id="223" w:name="_Toc205088368"/>
      <w:bookmarkStart w:id="224" w:name="_Toc79468568"/>
      <w:bookmarkStart w:id="225" w:name="_Toc79318851"/>
      <w:bookmarkStart w:id="226" w:name="_Toc205088234"/>
      <w:bookmarkStart w:id="227" w:name="_Toc205088555"/>
      <w:bookmarkStart w:id="228" w:name="_Toc205088130"/>
      <w:bookmarkStart w:id="229" w:name="_Toc205098540"/>
      <w:r>
        <w:rPr>
          <w:rFonts w:hint="eastAsia" w:ascii="仿宋" w:hAnsi="仿宋" w:eastAsia="仿宋" w:cstheme="minorEastAsia"/>
          <w:color w:val="000000" w:themeColor="text1"/>
          <w14:textFill>
            <w14:solidFill>
              <w14:schemeClr w14:val="tx1"/>
            </w14:solidFill>
          </w14:textFill>
        </w:rPr>
        <w:t>机壳及内部结构</w:t>
      </w:r>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壳及内部的总体结构应充分考虑安装、维护的方便和扩容调整量的灵活性，实现部件模块化。机壳应具有足够的机械强度和刚度，机壳应具有一定的防振抗震能力，应保证设备经过常规的运输、储存和安装后不破损不变形。</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设备的表面涂敷应满足防腐的要求。所有喷漆（塑）零件的表面应平整牢固，不允许有划痕、斑疵、流挂、脱落和破损。电镀零件的表面应有金属光泽，不允许有裂纹、斑点、毛刺和缺陷。</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机顶盒的外观应注意美观、色泽协调，色调柔和。</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30" w:name="_Toc205799528"/>
      <w:r>
        <w:rPr>
          <w:rFonts w:hint="eastAsia" w:ascii="仿宋" w:hAnsi="仿宋" w:eastAsia="仿宋" w:cstheme="minorEastAsia"/>
          <w:color w:val="000000" w:themeColor="text1"/>
          <w14:textFill>
            <w14:solidFill>
              <w14:schemeClr w14:val="tx1"/>
            </w14:solidFill>
          </w14:textFill>
        </w:rPr>
        <w:t>印刷电路板</w:t>
      </w:r>
      <w:bookmarkEnd w:id="230"/>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所有印刷电路板均应防腐蚀。</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印刷电路板不允许有飞线。</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印刷电路板应插拔灵活可靠，并装有锁定装置。</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同一品种的电路板应具有完全的互换性。</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31" w:name="_Toc205088372"/>
      <w:bookmarkStart w:id="232" w:name="_Toc205088559"/>
      <w:bookmarkStart w:id="233" w:name="_Toc205799532"/>
      <w:bookmarkStart w:id="234" w:name="_Toc205088101"/>
      <w:bookmarkStart w:id="235" w:name="_Toc205098544"/>
      <w:bookmarkStart w:id="236" w:name="_Toc79468573"/>
      <w:bookmarkStart w:id="237" w:name="_Toc205088514"/>
      <w:bookmarkStart w:id="238" w:name="_Toc205088438"/>
      <w:bookmarkStart w:id="239" w:name="_Toc205088472"/>
      <w:bookmarkStart w:id="240" w:name="_Toc205088134"/>
      <w:bookmarkStart w:id="241" w:name="_Toc205088238"/>
      <w:bookmarkStart w:id="242" w:name="_Toc205029467"/>
      <w:bookmarkStart w:id="243" w:name="_Toc79318856"/>
      <w:r>
        <w:rPr>
          <w:rFonts w:hint="eastAsia" w:ascii="仿宋" w:hAnsi="仿宋" w:eastAsia="仿宋" w:cstheme="minorEastAsia"/>
          <w:color w:val="000000" w:themeColor="text1"/>
          <w14:textFill>
            <w14:solidFill>
              <w14:schemeClr w14:val="tx1"/>
            </w14:solidFill>
          </w14:textFill>
        </w:rPr>
        <w:t>其他</w:t>
      </w:r>
      <w:bookmarkEnd w:id="231"/>
      <w:bookmarkEnd w:id="232"/>
      <w:bookmarkEnd w:id="233"/>
      <w:bookmarkEnd w:id="234"/>
      <w:bookmarkEnd w:id="235"/>
      <w:bookmarkEnd w:id="236"/>
      <w:bookmarkEnd w:id="237"/>
      <w:bookmarkEnd w:id="238"/>
      <w:bookmarkEnd w:id="239"/>
      <w:bookmarkEnd w:id="240"/>
      <w:bookmarkEnd w:id="241"/>
      <w:bookmarkEnd w:id="242"/>
      <w:bookmarkEnd w:id="243"/>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92"/>
        <w:gridCol w:w="7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tcBorders>
              <w:top w:val="single" w:color="auto" w:sz="12" w:space="0"/>
            </w:tcBorders>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标记</w:t>
            </w:r>
          </w:p>
        </w:tc>
        <w:tc>
          <w:tcPr>
            <w:tcW w:w="3874" w:type="pct"/>
            <w:tcBorders>
              <w:top w:val="single" w:color="auto" w:sz="12" w:space="0"/>
            </w:tcBorders>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应符合GB8898-2011 中第5 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结构</w:t>
            </w:r>
          </w:p>
        </w:tc>
        <w:tc>
          <w:tcPr>
            <w:tcW w:w="3874" w:type="pct"/>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应符合GB8898-2011 中第8 /12/17章的要求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绝缘、抗电强度</w:t>
            </w:r>
          </w:p>
        </w:tc>
        <w:tc>
          <w:tcPr>
            <w:tcW w:w="3874" w:type="pct"/>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应符合GB8898-2011 中第9/10 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线性温升</w:t>
            </w:r>
          </w:p>
        </w:tc>
        <w:tc>
          <w:tcPr>
            <w:tcW w:w="3874" w:type="pct"/>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应符合GB8898-2011 中第7章的要求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tcBorders>
              <w:bottom w:val="single" w:color="auto" w:sz="12" w:space="0"/>
            </w:tcBorders>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射频线</w:t>
            </w:r>
          </w:p>
        </w:tc>
        <w:tc>
          <w:tcPr>
            <w:tcW w:w="3874" w:type="pct"/>
            <w:tcBorders>
              <w:bottom w:val="single" w:color="auto" w:sz="12" w:space="0"/>
            </w:tcBorders>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内导体为单芯全铜，直径1.0±0.02mm，屏蔽层为铝箔加9</w:t>
            </w:r>
            <w:r>
              <w:rPr>
                <w:rFonts w:ascii="仿宋" w:hAnsi="仿宋" w:eastAsia="仿宋" w:cs="宋体"/>
                <w:color w:val="000000" w:themeColor="text1"/>
                <w:sz w:val="18"/>
                <w:szCs w:val="18"/>
                <w14:textFill>
                  <w14:solidFill>
                    <w14:schemeClr w14:val="tx1"/>
                  </w14:solidFill>
                </w14:textFill>
              </w:rPr>
              <w:t>6股</w:t>
            </w:r>
            <w:r>
              <w:rPr>
                <w:rFonts w:hint="eastAsia" w:ascii="仿宋" w:hAnsi="仿宋" w:eastAsia="仿宋" w:cs="宋体"/>
                <w:color w:val="000000" w:themeColor="text1"/>
                <w:sz w:val="18"/>
                <w:szCs w:val="18"/>
                <w14:textFill>
                  <w14:solidFill>
                    <w14:schemeClr w14:val="tx1"/>
                  </w14:solidFill>
                </w14:textFill>
              </w:rPr>
              <w:t>以上</w:t>
            </w:r>
            <w:r>
              <w:rPr>
                <w:rFonts w:ascii="仿宋" w:hAnsi="仿宋" w:eastAsia="仿宋" w:cs="宋体"/>
                <w:color w:val="000000" w:themeColor="text1"/>
                <w:sz w:val="18"/>
                <w:szCs w:val="18"/>
                <w14:textFill>
                  <w14:solidFill>
                    <w14:schemeClr w14:val="tx1"/>
                  </w14:solidFill>
                </w14:textFill>
              </w:rPr>
              <w:t>镀锡铜线</w:t>
            </w:r>
            <w:r>
              <w:rPr>
                <w:rFonts w:hint="eastAsia" w:ascii="仿宋" w:hAnsi="仿宋" w:eastAsia="仿宋" w:cs="宋体"/>
                <w:color w:val="000000" w:themeColor="text1"/>
                <w:sz w:val="18"/>
                <w:szCs w:val="18"/>
                <w14:textFill>
                  <w14:solidFill>
                    <w14:schemeClr w14:val="tx1"/>
                  </w14:solidFill>
                </w14:textFill>
              </w:rPr>
              <w:t>编织网。其中，一端</w:t>
            </w:r>
            <w:r>
              <w:rPr>
                <w:rFonts w:ascii="仿宋" w:hAnsi="仿宋" w:eastAsia="仿宋" w:cs="宋体"/>
                <w:color w:val="000000" w:themeColor="text1"/>
                <w:sz w:val="18"/>
                <w:szCs w:val="18"/>
                <w14:textFill>
                  <w14:solidFill>
                    <w14:schemeClr w14:val="tx1"/>
                  </w14:solidFill>
                </w14:textFill>
              </w:rPr>
              <w:t>为IEC</w:t>
            </w:r>
            <w:r>
              <w:rPr>
                <w:rFonts w:hint="eastAsia" w:ascii="仿宋" w:hAnsi="仿宋" w:eastAsia="仿宋" w:cs="宋体"/>
                <w:color w:val="000000" w:themeColor="text1"/>
                <w:sz w:val="18"/>
                <w:szCs w:val="18"/>
                <w14:textFill>
                  <w14:solidFill>
                    <w14:schemeClr w14:val="tx1"/>
                  </w14:solidFill>
                </w14:textFill>
              </w:rPr>
              <w:t>直角弯公头，一端为平直英制</w:t>
            </w:r>
            <w:r>
              <w:rPr>
                <w:rFonts w:ascii="仿宋" w:hAnsi="仿宋" w:eastAsia="仿宋" w:cs="宋体"/>
                <w:color w:val="000000" w:themeColor="text1"/>
                <w:sz w:val="18"/>
                <w:szCs w:val="18"/>
                <w14:textFill>
                  <w14:solidFill>
                    <w14:schemeClr w14:val="tx1"/>
                  </w14:solidFill>
                </w14:textFill>
              </w:rPr>
              <w:t>F头</w:t>
            </w:r>
            <w:r>
              <w:rPr>
                <w:rFonts w:hint="eastAsia" w:ascii="仿宋" w:hAnsi="仿宋" w:eastAsia="仿宋" w:cs="宋体"/>
                <w:color w:val="000000" w:themeColor="text1"/>
                <w:sz w:val="18"/>
                <w:szCs w:val="18"/>
                <w14:textFill>
                  <w14:solidFill>
                    <w14:schemeClr w14:val="tx1"/>
                  </w14:solidFill>
                </w14:textFill>
              </w:rPr>
              <w:t>。并符合</w:t>
            </w:r>
            <w:r>
              <w:rPr>
                <w:rFonts w:ascii="仿宋" w:hAnsi="仿宋" w:eastAsia="仿宋" w:cs="宋体"/>
                <w:color w:val="000000" w:themeColor="text1"/>
                <w:sz w:val="18"/>
                <w:szCs w:val="18"/>
                <w14:textFill>
                  <w14:solidFill>
                    <w14:schemeClr w14:val="tx1"/>
                  </w14:solidFill>
                </w14:textFill>
              </w:rPr>
              <w:t>GY/T135-1998中对</w:t>
            </w:r>
            <w:r>
              <w:rPr>
                <w:rFonts w:hint="eastAsia" w:ascii="仿宋" w:hAnsi="仿宋" w:eastAsia="仿宋" w:cs="宋体"/>
                <w:color w:val="000000" w:themeColor="text1"/>
                <w:sz w:val="18"/>
                <w:szCs w:val="18"/>
                <w14:textFill>
                  <w14:solidFill>
                    <w14:schemeClr w14:val="tx1"/>
                  </w14:solidFill>
                </w14:textFill>
              </w:rPr>
              <w:t>S</w:t>
            </w:r>
            <w:r>
              <w:rPr>
                <w:rFonts w:ascii="仿宋" w:hAnsi="仿宋" w:eastAsia="仿宋" w:cs="宋体"/>
                <w:color w:val="000000" w:themeColor="text1"/>
                <w:sz w:val="18"/>
                <w:szCs w:val="18"/>
                <w14:textFill>
                  <w14:solidFill>
                    <w14:schemeClr w14:val="tx1"/>
                  </w14:solidFill>
                </w14:textFill>
              </w:rPr>
              <w:t>YWV-75-5</w:t>
            </w:r>
            <w:r>
              <w:rPr>
                <w:rFonts w:hint="eastAsia" w:ascii="仿宋" w:hAnsi="仿宋" w:eastAsia="仿宋" w:cs="宋体"/>
                <w:color w:val="000000" w:themeColor="text1"/>
                <w:sz w:val="18"/>
                <w:szCs w:val="18"/>
                <w14:textFill>
                  <w14:solidFill>
                    <w14:schemeClr w14:val="tx1"/>
                  </w14:solidFill>
                </w14:textFill>
              </w:rPr>
              <w:t>同轴电缆的其他技术要求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tcBorders>
              <w:bottom w:val="single" w:color="auto" w:sz="12" w:space="0"/>
            </w:tcBorders>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HDMI线</w:t>
            </w:r>
          </w:p>
        </w:tc>
        <w:tc>
          <w:tcPr>
            <w:tcW w:w="3874" w:type="pct"/>
            <w:tcBorders>
              <w:bottom w:val="single" w:color="auto" w:sz="12" w:space="0"/>
            </w:tcBorders>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bCs/>
                <w:color w:val="000000" w:themeColor="text1"/>
                <w:sz w:val="18"/>
                <w:szCs w:val="18"/>
                <w14:textFill>
                  <w14:solidFill>
                    <w14:schemeClr w14:val="tx1"/>
                  </w14:solidFill>
                </w14:textFill>
              </w:rPr>
              <w:t>内导体为</w:t>
            </w:r>
            <w:r>
              <w:rPr>
                <w:rFonts w:hint="eastAsia" w:ascii="仿宋" w:hAnsi="仿宋" w:eastAsia="仿宋" w:cs="宋体"/>
                <w:color w:val="000000" w:themeColor="text1"/>
                <w:sz w:val="18"/>
                <w:szCs w:val="18"/>
                <w14:textFill>
                  <w14:solidFill>
                    <w14:schemeClr w14:val="tx1"/>
                  </w14:solidFill>
                </w14:textFill>
              </w:rPr>
              <w:t>全铜</w:t>
            </w:r>
            <w:r>
              <w:rPr>
                <w:rFonts w:hint="eastAsia" w:ascii="仿宋" w:hAnsi="仿宋" w:eastAsia="仿宋" w:cs="宋体"/>
                <w:bCs/>
                <w:color w:val="000000" w:themeColor="text1"/>
                <w:sz w:val="18"/>
                <w:szCs w:val="18"/>
                <w14:textFill>
                  <w14:solidFill>
                    <w14:schemeClr w14:val="tx1"/>
                  </w14:solidFill>
                </w14:textFill>
              </w:rPr>
              <w:t>，直径不小于AWG</w:t>
            </w:r>
            <w:r>
              <w:rPr>
                <w:rFonts w:ascii="仿宋" w:hAnsi="仿宋" w:eastAsia="仿宋" w:cs="宋体"/>
                <w:bCs/>
                <w:color w:val="000000" w:themeColor="text1"/>
                <w:sz w:val="18"/>
                <w:szCs w:val="18"/>
                <w14:textFill>
                  <w14:solidFill>
                    <w14:schemeClr w14:val="tx1"/>
                  </w14:solidFill>
                </w14:textFill>
              </w:rPr>
              <w:t>30或</w:t>
            </w:r>
            <w:r>
              <w:rPr>
                <w:rFonts w:hint="eastAsia" w:ascii="仿宋" w:hAnsi="仿宋" w:eastAsia="仿宋" w:cs="宋体"/>
                <w:bCs/>
                <w:color w:val="000000" w:themeColor="text1"/>
                <w:sz w:val="18"/>
                <w:szCs w:val="18"/>
                <w14:textFill>
                  <w14:solidFill>
                    <w14:schemeClr w14:val="tx1"/>
                  </w14:solidFill>
                </w14:textFill>
              </w:rPr>
              <w:t>0.254mm。双侧插头为TypeA镀金公头。线材、插头结构和其他技术指标应符合</w:t>
            </w:r>
            <w:r>
              <w:rPr>
                <w:rFonts w:ascii="仿宋" w:hAnsi="仿宋" w:eastAsia="仿宋" w:cs="宋体"/>
                <w:b/>
                <w:color w:val="000000" w:themeColor="text1"/>
                <w:sz w:val="18"/>
                <w:szCs w:val="18"/>
                <w14:textFill>
                  <w14:solidFill>
                    <w14:schemeClr w14:val="tx1"/>
                  </w14:solidFill>
                </w14:textFill>
              </w:rPr>
              <w:t>The HDMI Specification Ver. 1.3a</w:t>
            </w:r>
            <w:r>
              <w:rPr>
                <w:rFonts w:hint="eastAsia" w:ascii="仿宋" w:hAnsi="仿宋" w:eastAsia="仿宋" w:cs="宋体"/>
                <w:b/>
                <w:color w:val="000000" w:themeColor="text1"/>
                <w:sz w:val="18"/>
                <w:szCs w:val="18"/>
                <w14:textFill>
                  <w14:solidFill>
                    <w14:schemeClr w14:val="tx1"/>
                  </w14:solidFill>
                </w14:textFill>
              </w:rPr>
              <w:t>中</w:t>
            </w:r>
            <w:r>
              <w:rPr>
                <w:rFonts w:ascii="仿宋" w:hAnsi="仿宋" w:eastAsia="仿宋" w:cs="宋体"/>
                <w:color w:val="000000" w:themeColor="text1"/>
                <w:sz w:val="18"/>
                <w:szCs w:val="18"/>
                <w14:textFill>
                  <w14:solidFill>
                    <w14:schemeClr w14:val="tx1"/>
                  </w14:solidFill>
                </w14:textFill>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电源线</w:t>
            </w:r>
          </w:p>
        </w:tc>
        <w:tc>
          <w:tcPr>
            <w:tcW w:w="3874" w:type="pct"/>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应符合GB8898-97 中第16 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6" w:type="pct"/>
            <w:tcBorders>
              <w:bottom w:val="single" w:color="auto" w:sz="12" w:space="0"/>
            </w:tcBorders>
            <w:shd w:val="clear" w:color="auto" w:fill="E6E6E6"/>
          </w:tcPr>
          <w:p>
            <w:pPr>
              <w:spacing w:before="60" w:after="60" w:line="420" w:lineRule="exact"/>
              <w:ind w:firstLine="361"/>
              <w:jc w:val="left"/>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其他</w:t>
            </w:r>
          </w:p>
        </w:tc>
        <w:tc>
          <w:tcPr>
            <w:tcW w:w="3874" w:type="pct"/>
            <w:tcBorders>
              <w:bottom w:val="single" w:color="auto" w:sz="12" w:space="0"/>
            </w:tcBorders>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本文件中未指明的项目也应符合GB8898-2011中所明示的要求</w:t>
            </w:r>
          </w:p>
        </w:tc>
      </w:tr>
    </w:tbl>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44" w:name="_Toc205088235"/>
      <w:bookmarkStart w:id="245" w:name="_Toc205098541"/>
      <w:bookmarkStart w:id="246" w:name="_Toc205088098"/>
      <w:bookmarkStart w:id="247" w:name="_Toc205088131"/>
      <w:bookmarkStart w:id="248" w:name="_Toc79468570"/>
      <w:bookmarkStart w:id="249" w:name="_Toc205088369"/>
      <w:bookmarkStart w:id="250" w:name="_Toc205088556"/>
      <w:bookmarkStart w:id="251" w:name="_Toc79318853"/>
      <w:bookmarkStart w:id="252" w:name="_Toc205088435"/>
      <w:bookmarkStart w:id="253" w:name="_Toc205088511"/>
      <w:bookmarkStart w:id="254" w:name="_Toc205799529"/>
      <w:bookmarkStart w:id="255" w:name="_Toc205029464"/>
      <w:bookmarkStart w:id="256" w:name="_Toc205088469"/>
      <w:r>
        <w:rPr>
          <w:rFonts w:hint="eastAsia" w:ascii="仿宋" w:hAnsi="仿宋" w:eastAsia="仿宋" w:cstheme="minorEastAsia"/>
          <w:color w:val="000000" w:themeColor="text1"/>
          <w14:textFill>
            <w14:solidFill>
              <w14:schemeClr w14:val="tx1"/>
            </w14:solidFill>
          </w14:textFill>
        </w:rPr>
        <w:t>冷却与通风</w:t>
      </w:r>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说明其设备的散热方式，设备的冷却优选自然通风散热方式。运行时，与环境温差不大于15℃，足以保证设备能够在较封闭，不通风环境下长期稳定运行。</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ascii="仿宋" w:hAnsi="仿宋" w:eastAsia="仿宋" w:cstheme="minorEastAsia"/>
          <w:color w:val="000000" w:themeColor="text1"/>
          <w14:textFill>
            <w14:solidFill>
              <w14:schemeClr w14:val="tx1"/>
            </w14:solidFill>
          </w14:textFill>
        </w:rPr>
        <w:t>电气安全性</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机顶盒的电源板和外置电源适配器应具有防雷击保护；</w:t>
      </w:r>
      <w:r>
        <w:rPr>
          <w:rFonts w:hint="eastAsia" w:ascii="仿宋" w:hAnsi="仿宋" w:eastAsia="仿宋" w:cs="宋体"/>
          <w:color w:val="000000" w:themeColor="text1"/>
          <w:sz w:val="18"/>
          <w:szCs w:val="18"/>
          <w14:textFill>
            <w14:solidFill>
              <w14:schemeClr w14:val="tx1"/>
            </w14:solidFill>
          </w14:textFill>
        </w:rPr>
        <w:t>高频头应标配内置或外置天线隔离器（隔离耐压5</w:t>
      </w:r>
      <w:r>
        <w:rPr>
          <w:rFonts w:ascii="仿宋" w:hAnsi="仿宋" w:eastAsia="仿宋" w:cs="宋体"/>
          <w:color w:val="000000" w:themeColor="text1"/>
          <w:sz w:val="18"/>
          <w:szCs w:val="18"/>
          <w14:textFill>
            <w14:solidFill>
              <w14:schemeClr w14:val="tx1"/>
            </w14:solidFill>
          </w14:textFill>
        </w:rPr>
        <w:t>00Vdc，</w:t>
      </w:r>
      <w:r>
        <w:rPr>
          <w:rFonts w:hint="eastAsia" w:ascii="仿宋" w:hAnsi="仿宋" w:eastAsia="仿宋" w:cs="宋体"/>
          <w:color w:val="000000" w:themeColor="text1"/>
          <w:sz w:val="18"/>
          <w:szCs w:val="18"/>
          <w14:textFill>
            <w14:solidFill>
              <w14:schemeClr w14:val="tx1"/>
            </w14:solidFill>
          </w14:textFill>
        </w:rPr>
        <w:t>在1Ghz以下全频段的插入损耗应小于</w:t>
      </w:r>
      <w:r>
        <w:rPr>
          <w:rFonts w:ascii="仿宋" w:hAnsi="仿宋" w:eastAsia="仿宋" w:cs="宋体"/>
          <w:color w:val="000000" w:themeColor="text1"/>
          <w:sz w:val="18"/>
          <w:szCs w:val="18"/>
          <w14:textFill>
            <w14:solidFill>
              <w14:schemeClr w14:val="tx1"/>
            </w14:solidFill>
          </w14:textFill>
        </w:rPr>
        <w:t>1db</w:t>
      </w:r>
      <w:r>
        <w:rPr>
          <w:rFonts w:hint="eastAsia" w:ascii="仿宋" w:hAnsi="仿宋" w:eastAsia="仿宋" w:cs="宋体"/>
          <w:color w:val="000000" w:themeColor="text1"/>
          <w:sz w:val="18"/>
          <w:szCs w:val="18"/>
          <w14:textFill>
            <w14:solidFill>
              <w14:schemeClr w14:val="tx1"/>
            </w14:solidFill>
          </w14:textFill>
        </w:rPr>
        <w:t>），推荐内置；所有音视频输出接口应具有防静电保护。并符合GB 8898</w:t>
      </w:r>
      <w:r>
        <w:rPr>
          <w:rFonts w:ascii="仿宋" w:hAnsi="仿宋" w:eastAsia="仿宋" w:cs="宋体"/>
          <w:color w:val="000000" w:themeColor="text1"/>
          <w:sz w:val="18"/>
          <w:szCs w:val="18"/>
          <w14:textFill>
            <w14:solidFill>
              <w14:schemeClr w14:val="tx1"/>
            </w14:solidFill>
          </w14:textFill>
        </w:rPr>
        <w:t>-2011中对于机顶盒安全性的其他</w:t>
      </w:r>
      <w:r>
        <w:rPr>
          <w:rFonts w:hint="eastAsia" w:ascii="仿宋" w:hAnsi="仿宋" w:eastAsia="仿宋" w:cs="宋体"/>
          <w:color w:val="000000" w:themeColor="text1"/>
          <w:sz w:val="18"/>
          <w:szCs w:val="18"/>
          <w14:textFill>
            <w14:solidFill>
              <w14:schemeClr w14:val="tx1"/>
            </w14:solidFill>
          </w14:textFill>
        </w:rPr>
        <w:t>规定。</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bookmarkStart w:id="257" w:name="_Toc205098543"/>
      <w:bookmarkStart w:id="258" w:name="_Toc205088513"/>
      <w:bookmarkStart w:id="259" w:name="_Toc205088558"/>
      <w:bookmarkStart w:id="260" w:name="_Toc79468572"/>
      <w:bookmarkStart w:id="261" w:name="_Toc205088437"/>
      <w:bookmarkStart w:id="262" w:name="_Toc205088237"/>
      <w:bookmarkStart w:id="263" w:name="_Toc205088100"/>
      <w:bookmarkStart w:id="264" w:name="_Toc205088371"/>
      <w:bookmarkStart w:id="265" w:name="_Toc205029466"/>
      <w:bookmarkStart w:id="266" w:name="_Toc205088471"/>
      <w:bookmarkStart w:id="267" w:name="_Toc70137711"/>
      <w:bookmarkStart w:id="268" w:name="_Toc205088133"/>
      <w:bookmarkStart w:id="269" w:name="_Toc205799531"/>
      <w:r>
        <w:rPr>
          <w:rFonts w:hint="eastAsia" w:ascii="仿宋" w:hAnsi="仿宋" w:eastAsia="仿宋" w:cstheme="minorEastAsia"/>
          <w:color w:val="000000" w:themeColor="text1"/>
          <w14:textFill>
            <w14:solidFill>
              <w14:schemeClr w14:val="tx1"/>
            </w14:solidFill>
          </w14:textFill>
        </w:rPr>
        <w:t>稳定性</w:t>
      </w:r>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机顶盒应符合在正常工作条件下，MTBF大于50000小时。</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机顶盒工作温度：0～50℃，存储温度-5～70℃。</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机顶盒工作湿度：5％～80％</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机顶盒对非正常关机如断电能提供一定的保护措施。</w:t>
      </w:r>
    </w:p>
    <w:p>
      <w:pPr>
        <w:pStyle w:val="90"/>
        <w:numPr>
          <w:ilvl w:val="3"/>
          <w:numId w:val="0"/>
        </w:numPr>
        <w:tabs>
          <w:tab w:val="left" w:pos="0"/>
        </w:tabs>
        <w:adjustRightInd w:val="0"/>
        <w:spacing w:line="360" w:lineRule="auto"/>
        <w:ind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业务</w:t>
      </w:r>
      <w:r>
        <w:rPr>
          <w:rFonts w:ascii="仿宋" w:hAnsi="仿宋" w:eastAsia="仿宋" w:cstheme="minorEastAsia"/>
          <w:color w:val="000000" w:themeColor="text1"/>
          <w14:textFill>
            <w14:solidFill>
              <w14:schemeClr w14:val="tx1"/>
            </w14:solidFill>
          </w14:textFill>
        </w:rPr>
        <w:t>相关技术要求</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基本技术功能要求</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5"/>
        <w:gridCol w:w="90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tcBorders>
              <w:top w:val="single" w:color="auto" w:sz="12" w:space="0"/>
            </w:tcBorders>
            <w:shd w:val="clear" w:color="auto" w:fill="E6E6E6"/>
          </w:tcPr>
          <w:p>
            <w:pPr>
              <w:spacing w:before="60" w:after="60" w:line="420" w:lineRule="exact"/>
              <w:ind w:firstLine="21" w:firstLineChars="12"/>
              <w:jc w:val="center"/>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序号</w:t>
            </w:r>
          </w:p>
        </w:tc>
        <w:tc>
          <w:tcPr>
            <w:tcW w:w="4638" w:type="pct"/>
            <w:tcBorders>
              <w:top w:val="single" w:color="auto" w:sz="12" w:space="0"/>
            </w:tcBorders>
            <w:shd w:val="clear" w:color="auto" w:fill="E6E6E6"/>
          </w:tcPr>
          <w:p>
            <w:pPr>
              <w:spacing w:before="60" w:after="60" w:line="420" w:lineRule="exact"/>
              <w:ind w:firstLine="21" w:firstLineChars="12"/>
              <w:jc w:val="center"/>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数字广播和数字电视节目接收功能，必须符合《华数机顶盒DVB技术规范》。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支持条件接收，必须符合《华数机顶盒CA技术规范》，要求在浏览器状态下需要接收CA</w:t>
            </w:r>
            <w:r>
              <w:rPr>
                <w:rFonts w:ascii="仿宋" w:hAnsi="仿宋" w:eastAsia="仿宋" w:cs="宋体"/>
                <w:color w:val="000000" w:themeColor="text1"/>
                <w:sz w:val="18"/>
                <w:szCs w:val="18"/>
                <w14:textFill>
                  <w14:solidFill>
                    <w14:schemeClr w14:val="tx1"/>
                  </w14:solidFill>
                </w14:textFill>
              </w:rPr>
              <w:t>信息</w:t>
            </w:r>
            <w:r>
              <w:rPr>
                <w:rFonts w:hint="eastAsia" w:ascii="仿宋" w:hAnsi="仿宋" w:eastAsia="仿宋" w:cs="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3</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支持统一LOADER，符合《华数机顶盒统一LOADER技术规范》和华数机顶盒UI升级规范。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4</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机顶盒必须支持扩展DHCP客户端功能，在启动时能够向服务器请求动态IP地址，并能显示是否成功获取IP地址功能。符合《华数VOD技术规范》。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5</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机顶盒必须能接收在网络内传输的高清交互式数字电视的数字视频和数字音频节目，具体如下：</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必须具备1～2.0Mbps符合MPEG-4 ASP Level 4标准的数字视频处理能力；</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必须具备2~20Mbps符合MPEG2 MP@ML和MP@HL标准的数字视频处理能力</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必须具备800kbps～15Mbps符合H.264 Baseline 、Main profile、High profile标准的数字视频处理能力；</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必须支持标准PAL制每秒25帧的解码；</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必须支持标准的CVBS、HDMI视频输出接口；</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必须支持4：3和16：9两种比例的电视图像信号输出；</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必须具备64Kbps-512Kbps的数字音频处理能力，且支持立体声、单声道、双声道；</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必须支持MP3（MPEG-1 layer 3 audio）、MPEG-4 AAC格式的音频解码；</w:t>
            </w:r>
          </w:p>
          <w:p>
            <w:pPr>
              <w:numPr>
                <w:ilvl w:val="0"/>
                <w:numId w:val="14"/>
              </w:num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支持透传杜比5.1环绕立体声通道功能。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6</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机顶盒必须支持IP协议的点对点（Unicast）和组播（Multicast）两种传输方式。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7</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机顶盒必须提供浏览器，并能解析基于标准HTML（Hyper Text Markup Language） 4.0和Java script语法的文本。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8</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机顶盒必须提供对DNS协议的支持。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9</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机顶盒必须支持RTP/RTSP/RTCP等协议,遵循相关接口协议，完成与华数交互式电视平台的集成。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10</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机顶盒必须支持硬件的2D加速能力，至少支持：</w:t>
            </w:r>
          </w:p>
          <w:p>
            <w:pPr>
              <w:tabs>
                <w:tab w:val="left" w:pos="360"/>
                <w:tab w:val="left" w:pos="720"/>
              </w:tabs>
              <w:spacing w:line="420" w:lineRule="exact"/>
              <w:ind w:left="360"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支持颜色格式 ARGB8888</w:t>
            </w:r>
          </w:p>
          <w:p>
            <w:pPr>
              <w:tabs>
                <w:tab w:val="left" w:pos="360"/>
                <w:tab w:val="left" w:pos="720"/>
              </w:tabs>
              <w:spacing w:line="420" w:lineRule="exact"/>
              <w:ind w:left="360"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支持位图块分配和释放</w:t>
            </w:r>
          </w:p>
          <w:p>
            <w:pPr>
              <w:tabs>
                <w:tab w:val="left" w:pos="360"/>
                <w:tab w:val="left" w:pos="720"/>
              </w:tabs>
              <w:spacing w:line="420" w:lineRule="exact"/>
              <w:ind w:left="360"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位图块搬移操作</w:t>
            </w:r>
          </w:p>
          <w:p>
            <w:pPr>
              <w:tabs>
                <w:tab w:val="left" w:pos="360"/>
                <w:tab w:val="left" w:pos="720"/>
              </w:tabs>
              <w:spacing w:line="420" w:lineRule="exact"/>
              <w:ind w:left="360"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支持位图块Alpha混合运算</w:t>
            </w:r>
          </w:p>
          <w:p>
            <w:pPr>
              <w:tabs>
                <w:tab w:val="left" w:pos="360"/>
                <w:tab w:val="left" w:pos="720"/>
              </w:tabs>
              <w:spacing w:line="420" w:lineRule="exact"/>
              <w:ind w:left="360"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支持位图块colorkey过滤</w:t>
            </w:r>
          </w:p>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支持位图块缩放操作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before="60" w:after="60"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11</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从加电启动到进入服务的时间应≤30秒。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12</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支持EPG动态更新及业务群组管理，符合《华数机顶盒EPG技术规范》。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13</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根据获得的PSI/SI信息自动完成网络搜索，建立服务列表，并显示搜索进度。如果搜索失败应显示出错信息；如果搜索成功，机顶盒应进入默认的节目频道。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14</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支持电视回放，符合《华数机顶盒时移技术规范》。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tcBorders>
              <w:top w:val="single" w:color="auto" w:sz="6" w:space="0"/>
              <w:left w:val="single" w:color="auto" w:sz="12" w:space="0"/>
              <w:bottom w:val="single" w:color="auto" w:sz="6" w:space="0"/>
              <w:right w:val="single" w:color="auto" w:sz="6" w:space="0"/>
            </w:tcBorders>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15</w:t>
            </w:r>
          </w:p>
        </w:tc>
        <w:tc>
          <w:tcPr>
            <w:tcW w:w="4638" w:type="pct"/>
            <w:tcBorders>
              <w:top w:val="single" w:color="auto" w:sz="6" w:space="0"/>
              <w:left w:val="single" w:color="auto" w:sz="6" w:space="0"/>
              <w:bottom w:val="single" w:color="auto" w:sz="6" w:space="0"/>
              <w:right w:val="single" w:color="auto" w:sz="12" w:space="0"/>
            </w:tcBorders>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支持开机广告，符合《华数开机广告技术规范》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tcBorders>
              <w:top w:val="single" w:color="auto" w:sz="6" w:space="0"/>
              <w:left w:val="single" w:color="auto" w:sz="12" w:space="0"/>
              <w:bottom w:val="single" w:color="auto" w:sz="6" w:space="0"/>
              <w:right w:val="single" w:color="auto" w:sz="6" w:space="0"/>
            </w:tcBorders>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w:t>
            </w:r>
            <w:r>
              <w:rPr>
                <w:rFonts w:ascii="仿宋" w:hAnsi="仿宋" w:eastAsia="仿宋" w:cs="宋体"/>
                <w:color w:val="000000" w:themeColor="text1"/>
                <w:sz w:val="18"/>
                <w:szCs w:val="18"/>
                <w14:textFill>
                  <w14:solidFill>
                    <w14:schemeClr w14:val="tx1"/>
                  </w14:solidFill>
                </w14:textFill>
              </w:rPr>
              <w:t>7</w:t>
            </w:r>
          </w:p>
        </w:tc>
        <w:tc>
          <w:tcPr>
            <w:tcW w:w="4638" w:type="pct"/>
            <w:tcBorders>
              <w:top w:val="single" w:color="auto" w:sz="6" w:space="0"/>
              <w:left w:val="single" w:color="auto" w:sz="6" w:space="0"/>
              <w:bottom w:val="single" w:color="auto" w:sz="6" w:space="0"/>
              <w:right w:val="single" w:color="auto" w:sz="12" w:space="0"/>
            </w:tcBorders>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支持直播广告，符合《华数省网直播广告终端技术规范》。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tcBorders>
              <w:top w:val="single" w:color="auto" w:sz="6" w:space="0"/>
              <w:left w:val="single" w:color="auto" w:sz="12" w:space="0"/>
              <w:bottom w:val="single" w:color="auto" w:sz="6" w:space="0"/>
              <w:right w:val="single" w:color="auto" w:sz="6" w:space="0"/>
            </w:tcBorders>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18</w:t>
            </w:r>
          </w:p>
        </w:tc>
        <w:tc>
          <w:tcPr>
            <w:tcW w:w="4638" w:type="pct"/>
            <w:tcBorders>
              <w:top w:val="single" w:color="auto" w:sz="6" w:space="0"/>
              <w:left w:val="single" w:color="auto" w:sz="6" w:space="0"/>
              <w:bottom w:val="single" w:color="auto" w:sz="6" w:space="0"/>
              <w:right w:val="single" w:color="auto" w:sz="12" w:space="0"/>
            </w:tcBorders>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支持收视率回传，</w:t>
            </w:r>
            <w:r>
              <w:rPr>
                <w:rFonts w:ascii="仿宋" w:hAnsi="仿宋" w:eastAsia="仿宋" w:cs="宋体"/>
                <w:color w:val="000000" w:themeColor="text1"/>
                <w:sz w:val="18"/>
                <w:szCs w:val="18"/>
                <w14:textFill>
                  <w14:solidFill>
                    <w14:schemeClr w14:val="tx1"/>
                  </w14:solidFill>
                </w14:textFill>
              </w:rPr>
              <w:t>符合《</w:t>
            </w:r>
            <w:r>
              <w:rPr>
                <w:rFonts w:hint="eastAsia" w:ascii="仿宋" w:hAnsi="仿宋" w:eastAsia="仿宋" w:cs="宋体"/>
                <w:color w:val="000000" w:themeColor="text1"/>
                <w:sz w:val="18"/>
                <w:szCs w:val="18"/>
                <w14:textFill>
                  <w14:solidFill>
                    <w14:schemeClr w14:val="tx1"/>
                  </w14:solidFill>
                </w14:textFill>
              </w:rPr>
              <w:t>华数机顶盒收视率调查技术规范</w:t>
            </w:r>
            <w:r>
              <w:rPr>
                <w:rFonts w:ascii="仿宋" w:hAnsi="仿宋" w:eastAsia="仿宋" w:cs="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19</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遥控器按键功能必须符合《华数遥控器规范》。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vAlign w:val="center"/>
          </w:tcPr>
          <w:p>
            <w:pPr>
              <w:spacing w:before="60" w:after="60"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w:t>
            </w:r>
            <w:r>
              <w:rPr>
                <w:rFonts w:ascii="仿宋" w:hAnsi="仿宋" w:eastAsia="仿宋" w:cs="宋体"/>
                <w:color w:val="000000" w:themeColor="text1"/>
                <w:sz w:val="18"/>
                <w:szCs w:val="18"/>
                <w14:textFill>
                  <w14:solidFill>
                    <w14:schemeClr w14:val="tx1"/>
                  </w14:solidFill>
                </w14:textFill>
              </w:rPr>
              <w:t>0</w:t>
            </w:r>
          </w:p>
        </w:tc>
        <w:tc>
          <w:tcPr>
            <w:tcW w:w="4638" w:type="pct"/>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条形码必须符合《华数机顶盒STBID结构规范》。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2" w:type="pct"/>
            <w:tcBorders>
              <w:bottom w:val="single" w:color="auto" w:sz="12" w:space="0"/>
            </w:tcBorders>
            <w:vAlign w:val="center"/>
          </w:tcPr>
          <w:p>
            <w:pPr>
              <w:spacing w:line="420" w:lineRule="exact"/>
              <w:ind w:firstLine="21" w:firstLineChars="12"/>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w:t>
            </w:r>
            <w:r>
              <w:rPr>
                <w:rFonts w:ascii="仿宋" w:hAnsi="仿宋" w:eastAsia="仿宋" w:cs="宋体"/>
                <w:color w:val="000000" w:themeColor="text1"/>
                <w:sz w:val="18"/>
                <w:szCs w:val="18"/>
                <w14:textFill>
                  <w14:solidFill>
                    <w14:schemeClr w14:val="tx1"/>
                  </w14:solidFill>
                </w14:textFill>
              </w:rPr>
              <w:t>1</w:t>
            </w:r>
          </w:p>
        </w:tc>
        <w:tc>
          <w:tcPr>
            <w:tcW w:w="4638" w:type="pct"/>
            <w:tcBorders>
              <w:bottom w:val="single" w:color="auto" w:sz="12" w:space="0"/>
            </w:tcBorders>
            <w:vAlign w:val="center"/>
          </w:tcPr>
          <w:p>
            <w:pPr>
              <w:spacing w:before="60" w:after="60" w:line="420" w:lineRule="exact"/>
              <w:ind w:firstLine="21" w:firstLineChars="12"/>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机顶盒电源部分必须符合《华数机顶盒电源技术规范》。</w:t>
            </w:r>
          </w:p>
        </w:tc>
      </w:tr>
    </w:tbl>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外围接口技术要求</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高清双模机顶盒具有多种输入输出接口，可与电视机、录像机、计算机、音响等家用设备和其他外接辅助设备连接。</w:t>
      </w:r>
    </w:p>
    <w:tbl>
      <w:tblPr>
        <w:tblStyle w:val="38"/>
        <w:tblW w:w="5000" w:type="pct"/>
        <w:tblInd w:w="0" w:type="dxa"/>
        <w:tblLayout w:type="autofit"/>
        <w:tblCellMar>
          <w:top w:w="0" w:type="dxa"/>
          <w:left w:w="108" w:type="dxa"/>
          <w:bottom w:w="0" w:type="dxa"/>
          <w:right w:w="108" w:type="dxa"/>
        </w:tblCellMar>
      </w:tblPr>
      <w:tblGrid>
        <w:gridCol w:w="1020"/>
        <w:gridCol w:w="1269"/>
        <w:gridCol w:w="803"/>
        <w:gridCol w:w="2564"/>
        <w:gridCol w:w="4079"/>
      </w:tblGrid>
      <w:tr>
        <w:tblPrEx>
          <w:tblCellMar>
            <w:top w:w="0" w:type="dxa"/>
            <w:left w:w="108" w:type="dxa"/>
            <w:bottom w:w="0" w:type="dxa"/>
            <w:right w:w="108" w:type="dxa"/>
          </w:tblCellMar>
        </w:tblPrEx>
        <w:trPr>
          <w:trHeight w:val="300" w:hRule="atLeast"/>
        </w:trPr>
        <w:tc>
          <w:tcPr>
            <w:tcW w:w="505" w:type="pct"/>
            <w:tcBorders>
              <w:top w:val="single" w:color="auto" w:sz="12" w:space="0"/>
              <w:left w:val="single" w:color="auto" w:sz="12" w:space="0"/>
              <w:bottom w:val="single" w:color="auto" w:sz="8" w:space="0"/>
              <w:right w:val="single" w:color="auto"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序号</w:t>
            </w:r>
          </w:p>
        </w:tc>
        <w:tc>
          <w:tcPr>
            <w:tcW w:w="2395" w:type="pct"/>
            <w:gridSpan w:val="3"/>
            <w:tcBorders>
              <w:top w:val="single" w:color="auto" w:sz="12" w:space="0"/>
              <w:left w:val="nil"/>
              <w:bottom w:val="single" w:color="auto" w:sz="8" w:space="0"/>
              <w:right w:val="single" w:color="000000"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项目</w:t>
            </w:r>
          </w:p>
        </w:tc>
        <w:tc>
          <w:tcPr>
            <w:tcW w:w="2099" w:type="pct"/>
            <w:tcBorders>
              <w:top w:val="single" w:color="auto" w:sz="12" w:space="0"/>
              <w:left w:val="nil"/>
              <w:bottom w:val="single" w:color="auto" w:sz="8" w:space="0"/>
              <w:right w:val="single" w:color="auto" w:sz="12"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值</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外围接口</w:t>
            </w:r>
          </w:p>
        </w:tc>
        <w:tc>
          <w:tcPr>
            <w:tcW w:w="417" w:type="pct"/>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射频输入接口</w:t>
            </w: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射频输入频率</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110MHz-1GHz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输入电阻/电平</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75欧姆、50-90dBuV(64QAM)</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频道带宽</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8MHz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C/N门限</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28（64QAM,6.952Mbaud）</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频率捕捉范围</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150kHz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输入反射损耗</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8dB</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本振泄漏</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43dBuV</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jc w:val="righ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解调方式</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16、32、64、128QAM（必备），256QAM（可选）</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符号率</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1-6.952Mbaud(64QAM)</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序号</w:t>
            </w:r>
          </w:p>
        </w:tc>
        <w:tc>
          <w:tcPr>
            <w:tcW w:w="2395" w:type="pct"/>
            <w:gridSpan w:val="3"/>
            <w:tcBorders>
              <w:top w:val="single" w:color="auto" w:sz="8" w:space="0"/>
              <w:left w:val="nil"/>
              <w:bottom w:val="single" w:color="auto" w:sz="8" w:space="0"/>
              <w:right w:val="single" w:color="000000" w:sz="8" w:space="0"/>
            </w:tcBorders>
            <w:shd w:val="clear" w:color="000000" w:fill="E6E6E6"/>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项目</w:t>
            </w:r>
          </w:p>
        </w:tc>
        <w:tc>
          <w:tcPr>
            <w:tcW w:w="2099" w:type="pct"/>
            <w:tcBorders>
              <w:top w:val="nil"/>
              <w:left w:val="nil"/>
              <w:bottom w:val="single" w:color="auto" w:sz="8" w:space="0"/>
              <w:right w:val="single" w:color="auto" w:sz="12" w:space="0"/>
            </w:tcBorders>
            <w:shd w:val="clear" w:color="000000" w:fill="E6E6E6"/>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值</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外</w:t>
            </w:r>
          </w:p>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围</w:t>
            </w:r>
          </w:p>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接</w:t>
            </w:r>
          </w:p>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口</w:t>
            </w:r>
          </w:p>
        </w:tc>
        <w:tc>
          <w:tcPr>
            <w:tcW w:w="417" w:type="pct"/>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视频输出接口</w:t>
            </w:r>
          </w:p>
        </w:tc>
        <w:tc>
          <w:tcPr>
            <w:tcW w:w="1321"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视频输出幅度</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700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30mV(p-p)</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视频同步幅度</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30mV(p-p)</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带外干扰抑制比</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-35dB</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视频幅度-频率特征</w:t>
            </w:r>
          </w:p>
        </w:tc>
        <w:tc>
          <w:tcPr>
            <w:tcW w:w="2099" w:type="pct"/>
            <w:tcBorders>
              <w:top w:val="nil"/>
              <w:left w:val="nil"/>
              <w:bottom w:val="single" w:color="auto" w:sz="8" w:space="0"/>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0.8(</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4.8MHz)、</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1(4.8-5MHz)、+0.5/-4(5.5MHz)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微分增益/相位</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5度</w:t>
            </w:r>
          </w:p>
        </w:tc>
      </w:tr>
      <w:tr>
        <w:tblPrEx>
          <w:tblCellMar>
            <w:top w:w="0" w:type="dxa"/>
            <w:left w:w="108" w:type="dxa"/>
            <w:bottom w:w="0" w:type="dxa"/>
            <w:right w:w="108" w:type="dxa"/>
          </w:tblCellMar>
        </w:tblPrEx>
        <w:trPr>
          <w:trHeight w:val="270" w:hRule="atLeast"/>
        </w:trPr>
        <w:tc>
          <w:tcPr>
            <w:tcW w:w="505"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物理接口</w:t>
            </w:r>
          </w:p>
        </w:tc>
        <w:tc>
          <w:tcPr>
            <w:tcW w:w="2099"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RCA或3.5mm复合视音频接口（必备），</w:t>
            </w:r>
          </w:p>
        </w:tc>
      </w:tr>
      <w:tr>
        <w:tblPrEx>
          <w:tblCellMar>
            <w:top w:w="0" w:type="dxa"/>
            <w:left w:w="108" w:type="dxa"/>
            <w:bottom w:w="0" w:type="dxa"/>
            <w:right w:w="108" w:type="dxa"/>
          </w:tblCellMar>
        </w:tblPrEx>
        <w:trPr>
          <w:trHeight w:val="285" w:hRule="atLeast"/>
        </w:trPr>
        <w:tc>
          <w:tcPr>
            <w:tcW w:w="505"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vMerge w:val="continue"/>
            <w:tcBorders>
              <w:top w:val="nil"/>
              <w:left w:val="single" w:color="auto" w:sz="8"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HDMI 接口（必备）</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信杂比（加权重）</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56dB</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非线形亮度</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8％</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色度/亮度增益差</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色度/亮度时延差</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50Ns</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K系数</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4％</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音频输出接口</w:t>
            </w: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彩色制式</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xml:space="preserve">PAL/NTSC </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音频输出电平</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6dBu</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音频失真度</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1.5(60Hz-18kHz)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音频幅频特性</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+1/-2(60Hz-18kHz)、+1/-3(60Hz-20kHz)</w:t>
            </w:r>
          </w:p>
        </w:tc>
      </w:tr>
      <w:tr>
        <w:tblPrEx>
          <w:tblCellMar>
            <w:top w:w="0" w:type="dxa"/>
            <w:left w:w="108" w:type="dxa"/>
            <w:bottom w:w="0" w:type="dxa"/>
            <w:right w:w="108" w:type="dxa"/>
          </w:tblCellMar>
        </w:tblPrEx>
        <w:trPr>
          <w:trHeight w:val="196"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音频信噪比（无权重）</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80dB</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音频左右声道串扰</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-70dB</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音频左右声道相位差</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5度（60Hz-18kHz）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21" w:firstLineChars="12"/>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音频左右声道电平差</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0.1dB(60Hz-18kHz)</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物理接口</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 x RCA (L+R) ，或3.5mm复合视音频接口（必备）</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restart"/>
            <w:tcBorders>
              <w:top w:val="nil"/>
              <w:left w:val="single" w:color="auto" w:sz="8" w:space="0"/>
              <w:bottom w:val="single" w:color="000000" w:sz="8" w:space="0"/>
              <w:right w:val="single" w:color="auto" w:sz="8" w:space="0"/>
            </w:tcBorders>
            <w:shd w:val="clear" w:color="auto" w:fill="auto"/>
            <w:textDirection w:val="tbRlV"/>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网络接口</w:t>
            </w: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电气标准</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IEEE 802.3 10/100BASE-T</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可连接介质</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五类双绞线</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物理接口</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RJ45</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41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321"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支持协议</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TCP/IP</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738" w:type="pct"/>
            <w:gridSpan w:val="2"/>
            <w:tcBorders>
              <w:top w:val="single" w:color="auto" w:sz="8" w:space="0"/>
              <w:left w:val="nil"/>
              <w:bottom w:val="single" w:color="auto" w:sz="8" w:space="0"/>
              <w:right w:val="single" w:color="000000" w:sz="8" w:space="0"/>
            </w:tcBorders>
            <w:shd w:val="clear" w:color="auto" w:fill="auto"/>
            <w:vAlign w:val="center"/>
          </w:tcPr>
          <w:p>
            <w:pPr>
              <w:widowControl/>
              <w:ind w:firstLine="361"/>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串行数据接口</w:t>
            </w:r>
          </w:p>
        </w:tc>
        <w:tc>
          <w:tcPr>
            <w:tcW w:w="2099"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1x RS-232串行接口或兼容接口</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序号</w:t>
            </w:r>
          </w:p>
        </w:tc>
        <w:tc>
          <w:tcPr>
            <w:tcW w:w="2395" w:type="pct"/>
            <w:gridSpan w:val="3"/>
            <w:tcBorders>
              <w:top w:val="single" w:color="auto" w:sz="8" w:space="0"/>
              <w:left w:val="nil"/>
              <w:bottom w:val="single" w:color="auto" w:sz="8" w:space="0"/>
              <w:right w:val="single" w:color="000000"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项目</w:t>
            </w:r>
          </w:p>
        </w:tc>
        <w:tc>
          <w:tcPr>
            <w:tcW w:w="2099" w:type="pct"/>
            <w:tcBorders>
              <w:top w:val="nil"/>
              <w:left w:val="nil"/>
              <w:bottom w:val="single" w:color="auto" w:sz="8" w:space="0"/>
              <w:right w:val="single" w:color="auto" w:sz="12"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值</w:t>
            </w:r>
          </w:p>
        </w:tc>
      </w:tr>
      <w:tr>
        <w:tblPrEx>
          <w:tblCellMar>
            <w:top w:w="0" w:type="dxa"/>
            <w:left w:w="108" w:type="dxa"/>
            <w:bottom w:w="0" w:type="dxa"/>
            <w:right w:w="108" w:type="dxa"/>
          </w:tblCellMar>
        </w:tblPrEx>
        <w:trPr>
          <w:trHeight w:val="285" w:hRule="atLeast"/>
        </w:trPr>
        <w:tc>
          <w:tcPr>
            <w:tcW w:w="505"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restart"/>
            <w:tcBorders>
              <w:top w:val="nil"/>
              <w:left w:val="single" w:color="auto" w:sz="8" w:space="0"/>
              <w:bottom w:val="single" w:color="000000" w:sz="12" w:space="0"/>
              <w:right w:val="single" w:color="auto" w:sz="8" w:space="0"/>
            </w:tcBorders>
            <w:shd w:val="clear" w:color="auto" w:fill="auto"/>
            <w:textDirection w:val="tbRlV"/>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外围接口</w:t>
            </w:r>
          </w:p>
        </w:tc>
        <w:tc>
          <w:tcPr>
            <w:tcW w:w="1738" w:type="pct"/>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智能卡插槽</w:t>
            </w: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1x ISO7816标准（T=0和T=1）</w:t>
            </w:r>
          </w:p>
        </w:tc>
      </w:tr>
      <w:tr>
        <w:tblPrEx>
          <w:tblCellMar>
            <w:top w:w="0" w:type="dxa"/>
            <w:left w:w="108" w:type="dxa"/>
            <w:bottom w:w="0" w:type="dxa"/>
            <w:right w:w="108" w:type="dxa"/>
          </w:tblCellMar>
        </w:tblPrEx>
        <w:trPr>
          <w:trHeight w:val="270" w:hRule="atLeast"/>
        </w:trPr>
        <w:tc>
          <w:tcPr>
            <w:tcW w:w="505"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738"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USB通用串行接口</w:t>
            </w:r>
          </w:p>
        </w:tc>
        <w:tc>
          <w:tcPr>
            <w:tcW w:w="2099"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2x USB 2.0</w:t>
            </w:r>
          </w:p>
        </w:tc>
      </w:tr>
      <w:tr>
        <w:tblPrEx>
          <w:tblCellMar>
            <w:top w:w="0" w:type="dxa"/>
            <w:left w:w="108" w:type="dxa"/>
            <w:bottom w:w="0" w:type="dxa"/>
            <w:right w:w="108" w:type="dxa"/>
          </w:tblCellMar>
        </w:tblPrEx>
        <w:trPr>
          <w:trHeight w:val="285" w:hRule="atLeast"/>
        </w:trPr>
        <w:tc>
          <w:tcPr>
            <w:tcW w:w="505"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657"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738"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b/>
                <w:bCs/>
                <w:color w:val="000000" w:themeColor="text1"/>
                <w:kern w:val="0"/>
                <w:sz w:val="18"/>
                <w:szCs w:val="18"/>
                <w14:textFill>
                  <w14:solidFill>
                    <w14:schemeClr w14:val="tx1"/>
                  </w14:solidFill>
                </w14:textFill>
              </w:rPr>
            </w:pPr>
          </w:p>
        </w:tc>
        <w:tc>
          <w:tcPr>
            <w:tcW w:w="2099"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类型为主机方式（Host），接口形式为Type A</w:t>
            </w:r>
          </w:p>
        </w:tc>
      </w:tr>
      <w:tr>
        <w:tblPrEx>
          <w:tblCellMar>
            <w:top w:w="0" w:type="dxa"/>
            <w:left w:w="108" w:type="dxa"/>
            <w:bottom w:w="0" w:type="dxa"/>
            <w:right w:w="108" w:type="dxa"/>
          </w:tblCellMar>
        </w:tblPrEx>
        <w:trPr>
          <w:trHeight w:val="465" w:hRule="atLeast"/>
        </w:trPr>
        <w:tc>
          <w:tcPr>
            <w:tcW w:w="505" w:type="pct"/>
            <w:tcBorders>
              <w:top w:val="nil"/>
              <w:left w:val="single" w:color="auto" w:sz="12" w:space="0"/>
              <w:bottom w:val="single" w:color="auto" w:sz="12"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657"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738" w:type="pct"/>
            <w:gridSpan w:val="2"/>
            <w:tcBorders>
              <w:top w:val="single" w:color="auto" w:sz="8" w:space="0"/>
              <w:left w:val="nil"/>
              <w:bottom w:val="single" w:color="auto" w:sz="12" w:space="0"/>
              <w:right w:val="single" w:color="000000" w:sz="8"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红外接收引出插座</w:t>
            </w:r>
          </w:p>
        </w:tc>
        <w:tc>
          <w:tcPr>
            <w:tcW w:w="2099" w:type="pct"/>
            <w:tcBorders>
              <w:top w:val="nil"/>
              <w:left w:val="nil"/>
              <w:bottom w:val="single" w:color="auto" w:sz="12"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1个，音频标准的物理接口，从插孔入口开始的顺序为：地（GND）、信号（IR）、电源（Power）</w:t>
            </w:r>
          </w:p>
        </w:tc>
      </w:tr>
    </w:tbl>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宋体"/>
          <w:color w:val="000000" w:themeColor="text1"/>
          <w14:textFill>
            <w14:solidFill>
              <w14:schemeClr w14:val="tx1"/>
            </w14:solidFill>
          </w14:textFill>
        </w:rPr>
      </w:pPr>
      <w:bookmarkStart w:id="270" w:name="_Toc240857720"/>
      <w:bookmarkStart w:id="271" w:name="_Toc223253449"/>
      <w:bookmarkStart w:id="272" w:name="_Toc223252223"/>
      <w:r>
        <w:rPr>
          <w:rFonts w:hint="eastAsia" w:ascii="仿宋" w:hAnsi="仿宋" w:eastAsia="仿宋" w:cs="宋体"/>
          <w:color w:val="000000" w:themeColor="text1"/>
          <w14:textFill>
            <w14:solidFill>
              <w14:schemeClr w14:val="tx1"/>
            </w14:solidFill>
          </w14:textFill>
        </w:rPr>
        <w:t>模块资源要求</w:t>
      </w:r>
      <w:bookmarkEnd w:id="270"/>
      <w:bookmarkEnd w:id="271"/>
      <w:bookmarkEnd w:id="272"/>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4"/>
        <w:gridCol w:w="1850"/>
        <w:gridCol w:w="2197"/>
        <w:gridCol w:w="4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tcBorders>
              <w:top w:val="single" w:color="auto" w:sz="12" w:space="0"/>
            </w:tcBorders>
            <w:shd w:val="clear" w:color="auto" w:fill="E6E6E6"/>
            <w:vAlign w:val="bottom"/>
          </w:tcPr>
          <w:p>
            <w:pPr>
              <w:pStyle w:val="172"/>
              <w:spacing w:line="300" w:lineRule="auto"/>
              <w:ind w:firstLine="22"/>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2078" w:type="pct"/>
            <w:gridSpan w:val="2"/>
            <w:tcBorders>
              <w:top w:val="single" w:color="auto" w:sz="12" w:space="0"/>
            </w:tcBorders>
            <w:shd w:val="clear" w:color="auto" w:fill="E6E6E6"/>
            <w:vAlign w:val="bottom"/>
          </w:tcPr>
          <w:p>
            <w:pPr>
              <w:pStyle w:val="172"/>
              <w:spacing w:line="300" w:lineRule="auto"/>
              <w:ind w:firstLine="22"/>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项目</w:t>
            </w:r>
          </w:p>
        </w:tc>
        <w:tc>
          <w:tcPr>
            <w:tcW w:w="2544" w:type="pct"/>
            <w:tcBorders>
              <w:top w:val="single" w:color="auto" w:sz="12" w:space="0"/>
            </w:tcBorders>
            <w:shd w:val="clear" w:color="auto" w:fill="E6E6E6"/>
            <w:vAlign w:val="center"/>
          </w:tcPr>
          <w:p>
            <w:pPr>
              <w:pStyle w:val="172"/>
              <w:spacing w:line="300" w:lineRule="auto"/>
              <w:ind w:firstLine="22"/>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center"/>
              <w:textAlignment w:val="auto"/>
              <w:rPr>
                <w:rFonts w:ascii="仿宋" w:hAnsi="仿宋" w:eastAsia="仿宋"/>
                <w:color w:val="000000" w:themeColor="text1"/>
                <w:sz w:val="18"/>
                <w:szCs w:val="18"/>
                <w14:textFill>
                  <w14:solidFill>
                    <w14:schemeClr w14:val="tx1"/>
                  </w14:solidFill>
                </w14:textFill>
              </w:rPr>
            </w:pPr>
          </w:p>
        </w:tc>
        <w:tc>
          <w:tcPr>
            <w:tcW w:w="950" w:type="pct"/>
            <w:vAlign w:val="center"/>
          </w:tcPr>
          <w:p>
            <w:pPr>
              <w:pStyle w:val="172"/>
              <w:spacing w:line="300" w:lineRule="auto"/>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CPU</w:t>
            </w: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主频</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 600Mhz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restart"/>
            <w:vAlign w:val="center"/>
          </w:tcPr>
          <w:p>
            <w:pPr>
              <w:pStyle w:val="172"/>
              <w:spacing w:line="300" w:lineRule="auto"/>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内存资源要求</w:t>
            </w: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FLASH MEMORY</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 128MB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continue"/>
            <w:vAlign w:val="center"/>
          </w:tcPr>
          <w:p>
            <w:pPr>
              <w:spacing w:line="300" w:lineRule="auto"/>
              <w:ind w:firstLine="360"/>
              <w:jc w:val="center"/>
              <w:rPr>
                <w:rFonts w:ascii="仿宋" w:hAnsi="仿宋" w:eastAsia="仿宋" w:cs="宋体"/>
                <w:color w:val="000000" w:themeColor="text1"/>
                <w:sz w:val="18"/>
                <w:szCs w:val="18"/>
                <w14:textFill>
                  <w14:solidFill>
                    <w14:schemeClr w14:val="tx1"/>
                  </w14:solidFill>
                </w14:textFill>
              </w:rPr>
            </w:pP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RAM</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 512MB，视频RAM和系统RAM可以在一起，也可以是独立分开的。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restart"/>
            <w:vAlign w:val="center"/>
          </w:tcPr>
          <w:p>
            <w:pPr>
              <w:pStyle w:val="172"/>
              <w:spacing w:line="300" w:lineRule="auto"/>
              <w:ind w:left="113" w:right="113"/>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信号要求</w:t>
            </w: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解复用器</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 32位硬件PID过滤器，机顶盒应能处理在DVB-SI标准和MPEG2标准中定义的所有强制性表格定义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continue"/>
            <w:vAlign w:val="center"/>
          </w:tcPr>
          <w:p>
            <w:pPr>
              <w:spacing w:line="300" w:lineRule="auto"/>
              <w:ind w:firstLine="360"/>
              <w:jc w:val="center"/>
              <w:rPr>
                <w:rFonts w:ascii="仿宋" w:hAnsi="仿宋" w:eastAsia="仿宋" w:cs="宋体"/>
                <w:color w:val="000000" w:themeColor="text1"/>
                <w:sz w:val="18"/>
                <w:szCs w:val="18"/>
                <w14:textFill>
                  <w14:solidFill>
                    <w14:schemeClr w14:val="tx1"/>
                  </w14:solidFill>
                </w14:textFill>
              </w:rPr>
            </w:pP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解扰器</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支持DVB通用解扰算法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restart"/>
            <w:vAlign w:val="center"/>
          </w:tcPr>
          <w:p>
            <w:pPr>
              <w:spacing w:line="300" w:lineRule="auto"/>
              <w:ind w:left="113" w:right="113" w:firstLine="361"/>
              <w:jc w:val="center"/>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显示要求</w:t>
            </w: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视频解码分辨率</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水平：1920、1080、720、640</w:t>
            </w:r>
          </w:p>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垂直：1080、720、576、480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continue"/>
            <w:vAlign w:val="center"/>
          </w:tcPr>
          <w:p>
            <w:pPr>
              <w:spacing w:line="300" w:lineRule="auto"/>
              <w:ind w:firstLine="360"/>
              <w:rPr>
                <w:rFonts w:ascii="仿宋" w:hAnsi="仿宋" w:eastAsia="仿宋" w:cs="宋体"/>
                <w:color w:val="000000" w:themeColor="text1"/>
                <w:sz w:val="18"/>
                <w:szCs w:val="18"/>
                <w14:textFill>
                  <w14:solidFill>
                    <w14:schemeClr w14:val="tx1"/>
                  </w14:solidFill>
                </w14:textFill>
              </w:rPr>
            </w:pPr>
          </w:p>
        </w:tc>
        <w:tc>
          <w:tcPr>
            <w:tcW w:w="1128"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图形平面层</w:t>
            </w:r>
          </w:p>
        </w:tc>
        <w:tc>
          <w:tcPr>
            <w:tcW w:w="2544"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不少于3层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77" w:type="pct"/>
            <w:tcBorders>
              <w:bottom w:val="single" w:color="auto" w:sz="12" w:space="0"/>
            </w:tcBorders>
            <w:vAlign w:val="center"/>
          </w:tcPr>
          <w:p>
            <w:pPr>
              <w:pStyle w:val="172"/>
              <w:numPr>
                <w:ilvl w:val="0"/>
                <w:numId w:val="15"/>
              </w:numPr>
              <w:adjustRightInd/>
              <w:spacing w:line="300" w:lineRule="auto"/>
              <w:ind w:left="0"/>
              <w:jc w:val="both"/>
              <w:textAlignment w:val="auto"/>
              <w:rPr>
                <w:rFonts w:ascii="仿宋" w:hAnsi="仿宋" w:eastAsia="仿宋"/>
                <w:color w:val="000000" w:themeColor="text1"/>
                <w:sz w:val="18"/>
                <w:szCs w:val="18"/>
                <w14:textFill>
                  <w14:solidFill>
                    <w14:schemeClr w14:val="tx1"/>
                  </w14:solidFill>
                </w14:textFill>
              </w:rPr>
            </w:pPr>
          </w:p>
        </w:tc>
        <w:tc>
          <w:tcPr>
            <w:tcW w:w="950" w:type="pct"/>
            <w:vMerge w:val="continue"/>
            <w:tcBorders>
              <w:bottom w:val="single" w:color="auto" w:sz="12" w:space="0"/>
            </w:tcBorders>
            <w:vAlign w:val="center"/>
          </w:tcPr>
          <w:p>
            <w:pPr>
              <w:spacing w:line="300" w:lineRule="auto"/>
              <w:ind w:firstLine="360"/>
              <w:rPr>
                <w:rFonts w:ascii="仿宋" w:hAnsi="仿宋" w:eastAsia="仿宋" w:cs="宋体"/>
                <w:color w:val="000000" w:themeColor="text1"/>
                <w:sz w:val="18"/>
                <w:szCs w:val="18"/>
                <w14:textFill>
                  <w14:solidFill>
                    <w14:schemeClr w14:val="tx1"/>
                  </w14:solidFill>
                </w14:textFill>
              </w:rPr>
            </w:pPr>
          </w:p>
        </w:tc>
        <w:tc>
          <w:tcPr>
            <w:tcW w:w="1128" w:type="pct"/>
            <w:tcBorders>
              <w:bottom w:val="single" w:color="auto" w:sz="12" w:space="0"/>
            </w:tcBorders>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OSD平面颜色深度</w:t>
            </w:r>
          </w:p>
        </w:tc>
        <w:tc>
          <w:tcPr>
            <w:tcW w:w="2544" w:type="pct"/>
            <w:tcBorders>
              <w:bottom w:val="single" w:color="auto" w:sz="12" w:space="0"/>
            </w:tcBorders>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≥16bpp</w:t>
            </w:r>
          </w:p>
        </w:tc>
      </w:tr>
    </w:tbl>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机顶盒附件和包装</w:t>
      </w:r>
    </w:p>
    <w:p>
      <w:pPr>
        <w:rPr>
          <w:rFonts w:ascii="仿宋" w:hAnsi="仿宋" w:eastAsia="仿宋"/>
        </w:rPr>
      </w:pPr>
      <w:r>
        <w:rPr>
          <w:rFonts w:hint="eastAsia" w:ascii="仿宋" w:hAnsi="仿宋" w:eastAsia="仿宋"/>
        </w:rPr>
        <w:t>机顶盒应配有以下附件：</w:t>
      </w:r>
    </w:p>
    <w:tbl>
      <w:tblPr>
        <w:tblStyle w:val="38"/>
        <w:tblW w:w="500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4875"/>
        <w:gridCol w:w="3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671" w:type="pct"/>
            <w:tcBorders>
              <w:top w:val="single" w:color="auto" w:sz="12" w:space="0"/>
            </w:tcBorders>
            <w:shd w:val="clear" w:color="auto" w:fill="E6E6E6"/>
          </w:tcPr>
          <w:p>
            <w:pPr>
              <w:pStyle w:val="172"/>
              <w:spacing w:line="300" w:lineRule="auto"/>
              <w:jc w:val="center"/>
              <w:rPr>
                <w:rFonts w:ascii="仿宋" w:hAnsi="仿宋" w:eastAsia="仿宋"/>
                <w:b/>
                <w:color w:val="000000" w:themeColor="text1"/>
                <w:sz w:val="18"/>
                <w:szCs w:val="18"/>
                <w14:textFill>
                  <w14:solidFill>
                    <w14:schemeClr w14:val="tx1"/>
                  </w14:solidFill>
                </w14:textFill>
              </w:rPr>
            </w:pPr>
            <w:r>
              <w:rPr>
                <w:rFonts w:ascii="仿宋" w:hAnsi="仿宋" w:eastAsia="仿宋"/>
                <w:b/>
                <w:color w:val="000000" w:themeColor="text1"/>
                <w:sz w:val="18"/>
                <w:szCs w:val="18"/>
                <w14:textFill>
                  <w14:solidFill>
                    <w14:schemeClr w14:val="tx1"/>
                  </w14:solidFill>
                </w14:textFill>
              </w:rPr>
              <w:t>说明</w:t>
            </w:r>
          </w:p>
        </w:tc>
        <w:tc>
          <w:tcPr>
            <w:tcW w:w="2501" w:type="pct"/>
            <w:tcBorders>
              <w:top w:val="single" w:color="auto" w:sz="12" w:space="0"/>
            </w:tcBorders>
            <w:shd w:val="clear" w:color="auto" w:fill="E6E6E6"/>
          </w:tcPr>
          <w:p>
            <w:pPr>
              <w:pStyle w:val="172"/>
              <w:spacing w:line="30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配件</w:t>
            </w:r>
          </w:p>
        </w:tc>
        <w:tc>
          <w:tcPr>
            <w:tcW w:w="1828" w:type="pct"/>
            <w:tcBorders>
              <w:top w:val="single" w:color="auto" w:sz="12" w:space="0"/>
            </w:tcBorders>
            <w:shd w:val="clear" w:color="auto" w:fill="E6E6E6"/>
          </w:tcPr>
          <w:p>
            <w:pPr>
              <w:pStyle w:val="172"/>
              <w:spacing w:line="300" w:lineRule="auto"/>
              <w:jc w:val="center"/>
              <w:rPr>
                <w:rFonts w:ascii="仿宋" w:hAnsi="仿宋" w:eastAsia="仿宋"/>
                <w:b/>
                <w:color w:val="000000" w:themeColor="text1"/>
                <w:sz w:val="18"/>
                <w:szCs w:val="18"/>
                <w14:textFill>
                  <w14:solidFill>
                    <w14:schemeClr w14:val="tx1"/>
                  </w14:solidFill>
                </w14:textFill>
              </w:rPr>
            </w:pPr>
            <w:r>
              <w:rPr>
                <w:rFonts w:hint="eastAsia" w:ascii="仿宋" w:hAnsi="仿宋" w:eastAsia="仿宋"/>
                <w:b/>
                <w:color w:val="000000" w:themeColor="text1"/>
                <w:sz w:val="18"/>
                <w:szCs w:val="18"/>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restart"/>
            <w:vAlign w:val="center"/>
          </w:tcPr>
          <w:p>
            <w:pPr>
              <w:pStyle w:val="172"/>
              <w:spacing w:line="300" w:lineRule="auto"/>
              <w:ind w:firstLine="22"/>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必须</w:t>
            </w:r>
          </w:p>
          <w:p>
            <w:pPr>
              <w:pStyle w:val="172"/>
              <w:spacing w:line="300" w:lineRule="auto"/>
              <w:ind w:firstLine="22"/>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配置</w:t>
            </w:r>
          </w:p>
          <w:p>
            <w:pPr>
              <w:pStyle w:val="172"/>
              <w:spacing w:line="300" w:lineRule="auto"/>
              <w:ind w:firstLine="22"/>
              <w:jc w:val="cente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内容</w:t>
            </w: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射频线</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1条（1.</w:t>
            </w:r>
            <w:r>
              <w:rPr>
                <w:rFonts w:ascii="仿宋" w:hAnsi="仿宋" w:eastAsia="仿宋"/>
                <w:color w:val="000000" w:themeColor="text1"/>
                <w:sz w:val="18"/>
                <w:szCs w:val="18"/>
                <w14:textFill>
                  <w14:solidFill>
                    <w14:schemeClr w14:val="tx1"/>
                  </w14:solidFill>
                </w14:textFill>
              </w:rPr>
              <w:t>5米</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华数DZ34-1学习型遥控器（根据具体合同要求标配或单独采购）</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1个（中广有线指定遥控器）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七号（AAA）碱性电池</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2节(具备国内销售资格,有中文标识)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产品使用说明书（中文）</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保修卡</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产品合格证</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Merge w:val="continue"/>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HDMI视频线</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1根(2米)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1" w:type="pct"/>
            <w:vAlign w:val="center"/>
          </w:tcPr>
          <w:p>
            <w:pPr>
              <w:pStyle w:val="172"/>
              <w:spacing w:line="300" w:lineRule="auto"/>
              <w:ind w:firstLine="36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选配</w:t>
            </w:r>
          </w:p>
        </w:tc>
        <w:tc>
          <w:tcPr>
            <w:tcW w:w="2501" w:type="pct"/>
            <w:vAlign w:val="center"/>
          </w:tcPr>
          <w:p>
            <w:pPr>
              <w:pStyle w:val="172"/>
              <w:spacing w:line="300" w:lineRule="auto"/>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红外接收器及引线</w:t>
            </w:r>
          </w:p>
        </w:tc>
        <w:tc>
          <w:tcPr>
            <w:tcW w:w="1828" w:type="pct"/>
            <w:vAlign w:val="center"/>
          </w:tcPr>
          <w:p>
            <w:pPr>
              <w:pStyle w:val="172"/>
              <w:spacing w:line="300" w:lineRule="auto"/>
              <w:ind w:firstLine="3"/>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1个(引线长2米)</w:t>
            </w:r>
          </w:p>
        </w:tc>
      </w:tr>
    </w:tbl>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条形码必须在机顶盒上、外包装盒上各贴一张，且附件中还应包括一张条形码，可供撕下贴到相关纸张上。</w:t>
      </w:r>
    </w:p>
    <w:p>
      <w:pPr>
        <w:pStyle w:val="90"/>
        <w:numPr>
          <w:ilvl w:val="3"/>
          <w:numId w:val="0"/>
        </w:numPr>
        <w:tabs>
          <w:tab w:val="left" w:pos="0"/>
        </w:tabs>
        <w:adjustRightInd w:val="0"/>
        <w:spacing w:line="360" w:lineRule="auto"/>
        <w:ind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ascii="仿宋" w:hAnsi="仿宋" w:eastAsia="仿宋" w:cstheme="minorEastAsia"/>
          <w:color w:val="000000" w:themeColor="text1"/>
          <w14:textFill>
            <w14:solidFill>
              <w14:schemeClr w14:val="tx1"/>
            </w14:solidFill>
          </w14:textFill>
        </w:rPr>
        <w:t>遥控器要求</w:t>
      </w:r>
      <w:r>
        <w:rPr>
          <w:rFonts w:hint="eastAsia" w:ascii="仿宋" w:hAnsi="仿宋" w:eastAsia="仿宋" w:cstheme="minorEastAsia"/>
          <w:color w:val="000000" w:themeColor="text1"/>
          <w14:textFill>
            <w14:solidFill>
              <w14:schemeClr w14:val="tx1"/>
            </w14:solidFill>
          </w14:textFill>
        </w:rPr>
        <w:t>：</w:t>
      </w:r>
    </w:p>
    <w:p>
      <w:pPr>
        <w:jc w:val="center"/>
        <w:rPr>
          <w:rFonts w:ascii="仿宋" w:hAnsi="仿宋" w:eastAsia="仿宋" w:cs="宋体"/>
        </w:rPr>
      </w:pPr>
      <w:r>
        <w:rPr>
          <w:rFonts w:ascii="仿宋" w:hAnsi="仿宋" w:eastAsia="仿宋"/>
        </w:rPr>
        <w:drawing>
          <wp:inline distT="0" distB="0" distL="114300" distR="114300">
            <wp:extent cx="1203960" cy="4457065"/>
            <wp:effectExtent l="0" t="0" r="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1217687" cy="4508033"/>
                    </a:xfrm>
                    <a:prstGeom prst="rect">
                      <a:avLst/>
                    </a:prstGeom>
                    <a:noFill/>
                    <a:ln>
                      <a:noFill/>
                    </a:ln>
                  </pic:spPr>
                </pic:pic>
              </a:graphicData>
            </a:graphic>
          </wp:inline>
        </w:drawing>
      </w:r>
      <w:r>
        <w:rPr>
          <w:rFonts w:ascii="仿宋" w:hAnsi="仿宋" w:eastAsia="仿宋"/>
        </w:rPr>
        <w:drawing>
          <wp:inline distT="0" distB="0" distL="114300" distR="114300">
            <wp:extent cx="1221105" cy="443992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1239829" cy="4506676"/>
                    </a:xfrm>
                    <a:prstGeom prst="rect">
                      <a:avLst/>
                    </a:prstGeom>
                    <a:noFill/>
                    <a:ln>
                      <a:noFill/>
                    </a:ln>
                  </pic:spPr>
                </pic:pic>
              </a:graphicData>
            </a:graphic>
          </wp:inline>
        </w:drawing>
      </w:r>
      <w:r>
        <w:rPr>
          <w:rFonts w:ascii="仿宋" w:hAnsi="仿宋" w:eastAsia="仿宋" w:cs="宋体"/>
        </w:rPr>
        <w:drawing>
          <wp:inline distT="0" distB="0" distL="0" distR="0">
            <wp:extent cx="1485900" cy="44672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42570" cy="4636208"/>
                    </a:xfrm>
                    <a:prstGeom prst="rect">
                      <a:avLst/>
                    </a:prstGeom>
                    <a:noFill/>
                    <a:ln>
                      <a:noFill/>
                    </a:ln>
                  </pic:spPr>
                </pic:pic>
              </a:graphicData>
            </a:graphic>
          </wp:inline>
        </w:drawing>
      </w:r>
    </w:p>
    <w:p>
      <w:pPr>
        <w:jc w:val="center"/>
        <w:rPr>
          <w:rFonts w:ascii="仿宋" w:hAnsi="仿宋" w:eastAsia="仿宋"/>
        </w:rPr>
      </w:pPr>
      <w:r>
        <w:rPr>
          <w:rFonts w:ascii="仿宋" w:hAnsi="仿宋" w:eastAsia="仿宋"/>
        </w:rPr>
        <w:t>D</w:t>
      </w:r>
      <w:r>
        <w:rPr>
          <w:rFonts w:hint="eastAsia" w:ascii="仿宋" w:hAnsi="仿宋" w:eastAsia="仿宋"/>
        </w:rPr>
        <w:t>Z34-1个人版遥控器</w:t>
      </w:r>
    </w:p>
    <w:p>
      <w:pPr>
        <w:ind w:firstLine="420"/>
        <w:rPr>
          <w:rFonts w:ascii="仿宋" w:hAnsi="仿宋" w:eastAsia="仿宋"/>
          <w:kern w:val="0"/>
          <w:sz w:val="18"/>
          <w:szCs w:val="18"/>
        </w:rPr>
      </w:pPr>
      <w:r>
        <w:rPr>
          <w:rFonts w:ascii="仿宋" w:hAnsi="仿宋" w:eastAsia="仿宋"/>
        </w:rPr>
        <w:br w:type="page"/>
      </w:r>
    </w:p>
    <w:p>
      <w:pPr>
        <w:pStyle w:val="4"/>
        <w:tabs>
          <w:tab w:val="left" w:pos="0"/>
          <w:tab w:val="clear" w:pos="3960"/>
        </w:tabs>
        <w:rPr>
          <w:rFonts w:ascii="仿宋" w:hAnsi="仿宋" w:eastAsia="仿宋"/>
        </w:rPr>
      </w:pPr>
      <w:bookmarkStart w:id="273" w:name="_Toc21858"/>
      <w:bookmarkStart w:id="274" w:name="_Toc26722"/>
      <w:bookmarkStart w:id="275" w:name="_Toc28600"/>
      <w:bookmarkStart w:id="276" w:name="_Toc31741"/>
      <w:bookmarkStart w:id="277" w:name="_Toc24277"/>
      <w:bookmarkStart w:id="278" w:name="_Toc9486"/>
      <w:bookmarkStart w:id="279" w:name="_Toc7856"/>
      <w:bookmarkStart w:id="280" w:name="_Toc29989"/>
      <w:bookmarkStart w:id="281" w:name="_Toc15998"/>
      <w:bookmarkStart w:id="282" w:name="_Toc21712"/>
      <w:bookmarkStart w:id="283" w:name="_Toc72941063"/>
      <w:bookmarkStart w:id="284" w:name="_Toc28601"/>
      <w:bookmarkStart w:id="285" w:name="_Toc12396"/>
      <w:r>
        <w:rPr>
          <w:rFonts w:hint="eastAsia" w:ascii="仿宋" w:hAnsi="仿宋" w:eastAsia="仿宋"/>
        </w:rPr>
        <w:t>高清交互型宾馆版机顶盒</w:t>
      </w:r>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90"/>
        <w:numPr>
          <w:ilvl w:val="3"/>
          <w:numId w:val="0"/>
        </w:numPr>
        <w:tabs>
          <w:tab w:val="left" w:pos="0"/>
        </w:tabs>
        <w:adjustRightInd w:val="0"/>
        <w:spacing w:line="360" w:lineRule="auto"/>
        <w:ind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stheme="minorEastAsia"/>
          <w:color w:val="000000" w:themeColor="text1"/>
          <w14:textFill>
            <w14:solidFill>
              <w14:schemeClr w14:val="tx1"/>
            </w14:solidFill>
          </w14:textFill>
        </w:rPr>
        <w:t>基本技术功能要求</w:t>
      </w:r>
    </w:p>
    <w:tbl>
      <w:tblPr>
        <w:tblStyle w:val="38"/>
        <w:tblW w:w="504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731"/>
        <w:gridCol w:w="9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372" w:type="pct"/>
            <w:shd w:val="clear" w:color="auto" w:fill="FFFFFF"/>
          </w:tcPr>
          <w:p>
            <w:pPr>
              <w:spacing w:before="60" w:after="60" w:line="420" w:lineRule="exact"/>
              <w:ind w:firstLine="21" w:firstLineChars="12"/>
              <w:jc w:val="center"/>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序号</w:t>
            </w:r>
          </w:p>
        </w:tc>
        <w:tc>
          <w:tcPr>
            <w:tcW w:w="4628" w:type="pct"/>
            <w:shd w:val="clear" w:color="auto" w:fill="FFFFFF"/>
          </w:tcPr>
          <w:p>
            <w:pPr>
              <w:spacing w:before="60" w:after="60" w:line="420" w:lineRule="exact"/>
              <w:ind w:firstLine="21" w:firstLineChars="12"/>
              <w:jc w:val="center"/>
              <w:rPr>
                <w:rFonts w:ascii="仿宋" w:hAnsi="仿宋" w:eastAsia="仿宋" w:cs="宋体"/>
                <w:b/>
                <w:bCs/>
                <w:color w:val="000000" w:themeColor="text1"/>
                <w:sz w:val="18"/>
                <w:szCs w:val="18"/>
                <w14:textFill>
                  <w14:solidFill>
                    <w14:schemeClr w14:val="tx1"/>
                  </w14:solidFill>
                </w14:textFill>
              </w:rPr>
            </w:pPr>
            <w:r>
              <w:rPr>
                <w:rFonts w:hint="eastAsia" w:ascii="仿宋" w:hAnsi="仿宋" w:eastAsia="仿宋" w:cs="宋体"/>
                <w:b/>
                <w:bCs/>
                <w:color w:val="000000" w:themeColor="text1"/>
                <w:sz w:val="18"/>
                <w:szCs w:val="18"/>
                <w14:textFill>
                  <w14:solidFill>
                    <w14:schemeClr w14:val="tx1"/>
                  </w14:solidFill>
                </w14:textFill>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w:t>
            </w:r>
          </w:p>
        </w:tc>
        <w:tc>
          <w:tcPr>
            <w:tcW w:w="4628" w:type="pct"/>
            <w:shd w:val="clear" w:color="auto" w:fill="FFFFFF"/>
            <w:vAlign w:val="center"/>
          </w:tcPr>
          <w:p>
            <w:pPr>
              <w:spacing w:before="60" w:after="60" w:line="420" w:lineRule="exact"/>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应集成符合中广有线要求的中间件。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w:t>
            </w:r>
          </w:p>
        </w:tc>
        <w:tc>
          <w:tcPr>
            <w:tcW w:w="4628" w:type="pct"/>
            <w:shd w:val="clear" w:color="auto" w:fill="FFFFFF"/>
            <w:vAlign w:val="center"/>
          </w:tcPr>
          <w:p>
            <w:pPr>
              <w:spacing w:before="60" w:after="60" w:line="420" w:lineRule="exact"/>
              <w:ind w:leftChars="-19" w:hanging="39" w:hangingChars="22"/>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数字广播和数字电视节目接收功能，必须符合《华数DVB技术规范-高清宾馆版机顶盒分册》。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3</w:t>
            </w:r>
          </w:p>
        </w:tc>
        <w:tc>
          <w:tcPr>
            <w:tcW w:w="4628" w:type="pct"/>
            <w:shd w:val="clear" w:color="auto" w:fill="FFFFFF"/>
            <w:vAlign w:val="center"/>
          </w:tcPr>
          <w:p>
            <w:pPr>
              <w:spacing w:before="60" w:after="60" w:line="420" w:lineRule="exact"/>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支持条件接收，必须符合《华数机顶盒CA技术规范》，在浏览器和IP点播状态下也能接收和处理CA指令。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4</w:t>
            </w:r>
          </w:p>
        </w:tc>
        <w:tc>
          <w:tcPr>
            <w:tcW w:w="4628" w:type="pct"/>
            <w:shd w:val="clear" w:color="auto" w:fill="FFFFFF"/>
            <w:vAlign w:val="center"/>
          </w:tcPr>
          <w:p>
            <w:pPr>
              <w:spacing w:before="60" w:after="60" w:line="420" w:lineRule="exact"/>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支持统一LOADER，符合《华数机顶盒统一LOADER技术规范》和华数机顶盒UI升级规范。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5</w:t>
            </w:r>
          </w:p>
        </w:tc>
        <w:tc>
          <w:tcPr>
            <w:tcW w:w="4628" w:type="pct"/>
            <w:shd w:val="clear" w:color="auto" w:fill="FFFFFF"/>
            <w:vAlign w:val="center"/>
          </w:tcPr>
          <w:p>
            <w:pPr>
              <w:spacing w:before="60" w:after="60" w:line="420" w:lineRule="exact"/>
              <w:ind w:leftChars="-19" w:hanging="39" w:hangingChars="22"/>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机顶盒必须支持扩展DHCP客户端功能，在启动时能够向服务器请求动态IP地址，并能显示是否成功获取IP地址功能。符合《华数VOD技术规范》。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6</w:t>
            </w:r>
          </w:p>
        </w:tc>
        <w:tc>
          <w:tcPr>
            <w:tcW w:w="4628" w:type="pct"/>
            <w:shd w:val="clear" w:color="auto" w:fill="FFFFFF"/>
            <w:vAlign w:val="center"/>
          </w:tcPr>
          <w:p>
            <w:pPr>
              <w:spacing w:before="60" w:after="60"/>
              <w:ind w:leftChars="-19" w:hanging="39" w:hangingChars="22"/>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机顶盒必须能接收在网络内传输的高清交互式数字电视的数字视频和数字音频节目，具体如下：</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必须具备1～2.0Mbps符合MPEG-4 ASP Level 4标准的数字视频处理能力；</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必须具备2~20Mbps符合MPEG2 MP@ML和MP@HL标准的数字视频处理能力</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必须具备800kbps～15Mbps符合H.264 Baseline 、Main profile、High profile标准的数字视频处理能力；</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必须支持标准PAL制每秒25帧的解码；</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必须支持4：3和16：9两种比例的电视图像信号输出；</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必须具备64Kbps-512Kbps的数字音频处理能力，且支持立体声、单声道、双声道；</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必须支持MP3（MPEG-1 layer 3 audio）、MPEG-4 AAC格式的音频解码；</w:t>
            </w:r>
          </w:p>
          <w:p>
            <w:pPr>
              <w:numPr>
                <w:ilvl w:val="0"/>
                <w:numId w:val="14"/>
              </w:num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支持透传杜比5.1环绕立体声通道功能。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7</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机顶盒必须支持IP协议的点对点（Unicast）和组播（Multicast）两种传输方式。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8</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机顶盒必须提供浏览器，并能解析基于标准HTML（Hyper Text Markup Language） 4.0和Java script语法的文本。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9</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机顶盒必须提供对DNS协议的支持。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10</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机顶盒必须支持RTP/RTSP/RTCP等协议,遵循相关接口协议，完成与华数交互式电视平台的集成。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11</w:t>
            </w:r>
          </w:p>
        </w:tc>
        <w:tc>
          <w:tcPr>
            <w:tcW w:w="4628" w:type="pct"/>
            <w:shd w:val="clear" w:color="auto" w:fill="FFFFFF"/>
            <w:vAlign w:val="center"/>
          </w:tcPr>
          <w:p>
            <w:pPr>
              <w:spacing w:before="60" w:after="60"/>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机顶盒必须支持硬件的2D加速能力，至少支持：</w:t>
            </w:r>
          </w:p>
          <w:p>
            <w:pPr>
              <w:tabs>
                <w:tab w:val="left" w:pos="360"/>
                <w:tab w:val="left" w:pos="720"/>
              </w:tabs>
              <w:ind w:left="360" w:firstLine="360"/>
              <w:jc w:val="left"/>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支持颜色格式 ARGB8888</w:t>
            </w:r>
          </w:p>
          <w:p>
            <w:pPr>
              <w:tabs>
                <w:tab w:val="left" w:pos="360"/>
                <w:tab w:val="left" w:pos="720"/>
              </w:tabs>
              <w:ind w:left="360" w:firstLine="360"/>
              <w:jc w:val="left"/>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支持位图块分配和释放</w:t>
            </w:r>
          </w:p>
          <w:p>
            <w:pPr>
              <w:tabs>
                <w:tab w:val="left" w:pos="360"/>
                <w:tab w:val="left" w:pos="720"/>
              </w:tabs>
              <w:ind w:left="360" w:firstLine="360"/>
              <w:jc w:val="left"/>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位图块搬移操作</w:t>
            </w:r>
          </w:p>
          <w:p>
            <w:pPr>
              <w:tabs>
                <w:tab w:val="left" w:pos="360"/>
                <w:tab w:val="left" w:pos="720"/>
              </w:tabs>
              <w:ind w:left="360" w:firstLine="360"/>
              <w:jc w:val="left"/>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支持位图块Alpha混合运算</w:t>
            </w:r>
          </w:p>
          <w:p>
            <w:pPr>
              <w:tabs>
                <w:tab w:val="left" w:pos="360"/>
                <w:tab w:val="left" w:pos="720"/>
              </w:tabs>
              <w:ind w:left="360" w:firstLine="360"/>
              <w:jc w:val="left"/>
              <w:rPr>
                <w:rFonts w:ascii="仿宋" w:hAnsi="仿宋" w:eastAsia="仿宋" w:cs="宋体"/>
                <w:b/>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支持位图块colorkey过滤</w:t>
            </w:r>
          </w:p>
          <w:p>
            <w:pPr>
              <w:spacing w:before="60" w:after="60"/>
              <w:ind w:firstLine="360"/>
              <w:jc w:val="left"/>
              <w:rPr>
                <w:rFonts w:ascii="仿宋" w:hAnsi="仿宋" w:eastAsia="仿宋" w:cs="宋体"/>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r>
              <w:rPr>
                <w:rFonts w:ascii="Calibri" w:hAnsi="Calibri" w:eastAsia="仿宋" w:cs="Calibri"/>
                <w:color w:val="000000" w:themeColor="text1"/>
                <w:sz w:val="18"/>
                <w:szCs w:val="18"/>
                <w14:textFill>
                  <w14:solidFill>
                    <w14:schemeClr w14:val="tx1"/>
                  </w14:solidFill>
                </w14:textFill>
              </w:rPr>
              <w:t> </w:t>
            </w:r>
            <w:r>
              <w:rPr>
                <w:rFonts w:hint="eastAsia" w:ascii="仿宋" w:hAnsi="仿宋" w:eastAsia="仿宋" w:cs="宋体"/>
                <w:color w:val="000000" w:themeColor="text1"/>
                <w:sz w:val="18"/>
                <w:szCs w:val="18"/>
                <w14:textFill>
                  <w14:solidFill>
                    <w14:schemeClr w14:val="tx1"/>
                  </w14:solidFill>
                </w14:textFill>
              </w:rPr>
              <w:t>支持位图块缩放操作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372" w:type="pct"/>
            <w:shd w:val="clear" w:color="auto" w:fill="FFFFFF"/>
            <w:vAlign w:val="center"/>
          </w:tcPr>
          <w:p>
            <w:pPr>
              <w:spacing w:before="60" w:after="60"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12</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从加电启动到进入服务的时间应≤30秒。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13</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支持EPG动态更新及业务群组管理，符合《华数机顶盒EPG技术规范》。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14</w:t>
            </w:r>
          </w:p>
        </w:tc>
        <w:tc>
          <w:tcPr>
            <w:tcW w:w="4628" w:type="pct"/>
            <w:shd w:val="clear" w:color="auto" w:fill="FFFFFF"/>
            <w:vAlign w:val="center"/>
          </w:tcPr>
          <w:p>
            <w:pPr>
              <w:spacing w:before="60" w:after="60"/>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根据获得的PSI/SI信息自动完成网络搜索，建立服务列表，并显示搜索进度。如果搜索失败应显示出错信息；如果搜索成功，机顶盒应进入默认的节目频道。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15</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支持电视回放，符合《华数机顶盒时移技术规范》。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16</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支持开机广告，符合《华数开机广告技术规范》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1</w:t>
            </w:r>
            <w:r>
              <w:rPr>
                <w:rFonts w:hint="eastAsia" w:ascii="仿宋" w:hAnsi="仿宋" w:eastAsia="仿宋" w:cs="宋体"/>
                <w:color w:val="000000" w:themeColor="text1"/>
                <w:sz w:val="18"/>
                <w:szCs w:val="18"/>
                <w14:textFill>
                  <w14:solidFill>
                    <w14:schemeClr w14:val="tx1"/>
                  </w14:solidFill>
                </w14:textFill>
              </w:rPr>
              <w:t>7</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遥控器按键功能必须符合《华数遥控器规范》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18</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支持收视率回传，</w:t>
            </w:r>
            <w:r>
              <w:rPr>
                <w:rFonts w:ascii="仿宋" w:hAnsi="仿宋" w:eastAsia="仿宋" w:cs="宋体"/>
                <w:color w:val="000000" w:themeColor="text1"/>
                <w:sz w:val="18"/>
                <w:szCs w:val="18"/>
                <w14:textFill>
                  <w14:solidFill>
                    <w14:schemeClr w14:val="tx1"/>
                  </w14:solidFill>
                </w14:textFill>
              </w:rPr>
              <w:t>符合《</w:t>
            </w:r>
            <w:r>
              <w:rPr>
                <w:rFonts w:hint="eastAsia" w:ascii="仿宋" w:hAnsi="仿宋" w:eastAsia="仿宋" w:cs="宋体"/>
                <w:color w:val="000000" w:themeColor="text1"/>
                <w:sz w:val="18"/>
                <w:szCs w:val="18"/>
                <w14:textFill>
                  <w14:solidFill>
                    <w14:schemeClr w14:val="tx1"/>
                  </w14:solidFill>
                </w14:textFill>
              </w:rPr>
              <w:t>华数机顶盒收视率调查技术规范</w:t>
            </w:r>
            <w:r>
              <w:rPr>
                <w:rFonts w:ascii="仿宋" w:hAnsi="仿宋" w:eastAsia="仿宋" w:cs="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1</w:t>
            </w:r>
            <w:r>
              <w:rPr>
                <w:rFonts w:hint="eastAsia" w:ascii="仿宋" w:hAnsi="仿宋" w:eastAsia="仿宋" w:cs="宋体"/>
                <w:color w:val="000000" w:themeColor="text1"/>
                <w:sz w:val="18"/>
                <w:szCs w:val="18"/>
                <w14:textFill>
                  <w14:solidFill>
                    <w14:schemeClr w14:val="tx1"/>
                  </w14:solidFill>
                </w14:textFill>
              </w:rPr>
              <w:t>9</w:t>
            </w:r>
          </w:p>
        </w:tc>
        <w:tc>
          <w:tcPr>
            <w:tcW w:w="4628" w:type="pct"/>
            <w:shd w:val="clear" w:color="auto" w:fill="FFFFFF"/>
            <w:vAlign w:val="center"/>
          </w:tcPr>
          <w:p>
            <w:p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机顶盒外壳和包装上的条形码必须符合《华数机顶盒STBID结构规范》。</w:t>
            </w:r>
          </w:p>
          <w:p>
            <w:pPr>
              <w:spacing w:before="60" w:after="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本机顶盒还需要增加一套条形码，包含AP的有线MAC地址，其规格和粘贴方式符合前述规范。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2" w:type="pct"/>
            <w:shd w:val="clear" w:color="auto" w:fill="FFFFFF"/>
            <w:vAlign w:val="center"/>
          </w:tcPr>
          <w:p>
            <w:pPr>
              <w:spacing w:line="420" w:lineRule="exact"/>
              <w:jc w:val="center"/>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20</w:t>
            </w:r>
          </w:p>
        </w:tc>
        <w:tc>
          <w:tcPr>
            <w:tcW w:w="4628" w:type="pct"/>
            <w:shd w:val="clear" w:color="auto" w:fill="FFFFFF"/>
            <w:vAlign w:val="center"/>
          </w:tcPr>
          <w:p>
            <w:pPr>
              <w:spacing w:before="60" w:after="6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机顶盒的电源部分必须符合《华数机顶盒电源技术规范》。</w:t>
            </w:r>
          </w:p>
        </w:tc>
      </w:tr>
    </w:tbl>
    <w:p>
      <w:pPr>
        <w:rPr>
          <w:rFonts w:ascii="仿宋" w:hAnsi="仿宋" w:eastAsia="仿宋"/>
        </w:rPr>
      </w:pPr>
    </w:p>
    <w:p>
      <w:pPr>
        <w:pStyle w:val="90"/>
        <w:numPr>
          <w:ilvl w:val="3"/>
          <w:numId w:val="0"/>
        </w:numPr>
        <w:tabs>
          <w:tab w:val="left" w:pos="0"/>
        </w:tabs>
        <w:adjustRightInd w:val="0"/>
        <w:spacing w:line="360" w:lineRule="auto"/>
        <w:ind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主要硬件功能要求</w:t>
      </w:r>
    </w:p>
    <w:tbl>
      <w:tblPr>
        <w:tblStyle w:val="38"/>
        <w:tblW w:w="5000" w:type="pct"/>
        <w:tblInd w:w="0" w:type="dxa"/>
        <w:tblLayout w:type="autofit"/>
        <w:tblCellMar>
          <w:top w:w="0" w:type="dxa"/>
          <w:left w:w="108" w:type="dxa"/>
          <w:bottom w:w="0" w:type="dxa"/>
          <w:right w:w="108" w:type="dxa"/>
        </w:tblCellMar>
      </w:tblPr>
      <w:tblGrid>
        <w:gridCol w:w="1329"/>
        <w:gridCol w:w="886"/>
        <w:gridCol w:w="2103"/>
        <w:gridCol w:w="5417"/>
      </w:tblGrid>
      <w:tr>
        <w:tblPrEx>
          <w:tblCellMar>
            <w:top w:w="0" w:type="dxa"/>
            <w:left w:w="108" w:type="dxa"/>
            <w:bottom w:w="0" w:type="dxa"/>
            <w:right w:w="108" w:type="dxa"/>
          </w:tblCellMar>
        </w:tblPrEx>
        <w:trPr>
          <w:trHeight w:val="300" w:hRule="atLeast"/>
        </w:trPr>
        <w:tc>
          <w:tcPr>
            <w:tcW w:w="683" w:type="pct"/>
            <w:tcBorders>
              <w:top w:val="single" w:color="auto" w:sz="12" w:space="0"/>
              <w:left w:val="single" w:color="auto" w:sz="12" w:space="0"/>
              <w:bottom w:val="single" w:color="auto" w:sz="8" w:space="0"/>
              <w:right w:val="single" w:color="auto"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序号</w:t>
            </w:r>
          </w:p>
        </w:tc>
        <w:tc>
          <w:tcPr>
            <w:tcW w:w="1535" w:type="pct"/>
            <w:gridSpan w:val="2"/>
            <w:tcBorders>
              <w:top w:val="single" w:color="auto" w:sz="12" w:space="0"/>
              <w:left w:val="nil"/>
              <w:bottom w:val="single" w:color="auto" w:sz="8" w:space="0"/>
              <w:right w:val="single" w:color="000000" w:sz="8"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项目</w:t>
            </w:r>
          </w:p>
        </w:tc>
        <w:tc>
          <w:tcPr>
            <w:tcW w:w="2782" w:type="pct"/>
            <w:tcBorders>
              <w:top w:val="single" w:color="auto" w:sz="12" w:space="0"/>
              <w:left w:val="nil"/>
              <w:bottom w:val="single" w:color="auto" w:sz="8" w:space="0"/>
              <w:right w:val="single" w:color="auto" w:sz="12" w:space="0"/>
            </w:tcBorders>
            <w:shd w:val="clear" w:color="000000" w:fill="E6E6E6"/>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描述</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射频输入接口</w:t>
            </w:r>
          </w:p>
        </w:tc>
        <w:tc>
          <w:tcPr>
            <w:tcW w:w="1080"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射频输入频率</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110MHZ-1GHz</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输入电阻/电平</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75欧姆、35-90dBuV(64QAM)</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C/N门限</w:t>
            </w:r>
          </w:p>
        </w:tc>
        <w:tc>
          <w:tcPr>
            <w:tcW w:w="2782"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28（64QAM，6.952Mbaud）</w:t>
            </w:r>
          </w:p>
        </w:tc>
      </w:tr>
      <w:tr>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解调方式\符号率</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16/32/64/128/256QAM\1-6.952Mbaud(64QAM)</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视频输出接口</w:t>
            </w: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输出幅度/同步幅度</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700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30mV(p-p)/ 300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30mV(p-p)</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带外干扰抑制比</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-35dB</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视频幅频特性</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0.8(</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4.8MHz)、</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1(4.8-5MHz)、+0.5/-4(5.5MHz)</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物理接口</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标准RCA接口【或】复合音视频接口(从插孔入口开始的顺序为：红（R）、接地（GND）黄（TV）、白（L）)；HDMI 1.3a接口</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音频输出接口</w:t>
            </w: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音频输出电平</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0</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 xml:space="preserve">6dBu </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信杂比（加权重）</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56dB</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音频失真度</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1.5(60Hz-18kHz)</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音频幅频特性</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+1/-2(60Hz-18kHz)、+1/-3(60Hz-20kHz)</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音频信噪比</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80dB</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23" w:leftChars="-11"/>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物理接口</w:t>
            </w:r>
          </w:p>
        </w:tc>
        <w:tc>
          <w:tcPr>
            <w:tcW w:w="2782" w:type="pct"/>
            <w:tcBorders>
              <w:top w:val="nil"/>
              <w:left w:val="nil"/>
              <w:bottom w:val="single" w:color="auto" w:sz="8" w:space="0"/>
              <w:right w:val="single" w:color="auto" w:sz="12" w:space="0"/>
            </w:tcBorders>
            <w:shd w:val="clear" w:color="auto" w:fill="auto"/>
            <w:vAlign w:val="center"/>
          </w:tcPr>
          <w:p>
            <w:pPr>
              <w:widowControl/>
              <w:ind w:leftChars="-11" w:hanging="23" w:hangingChars="13"/>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标准RCA接口【或】复合音频接口(从插孔入口开始的顺序为：红（R）、接地（GND）黄（TV）、白（L）)；HDMI1.3a接口</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USB通用串行接口</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1个USB 2.0，类型为Host，接口形式为Type A</w:t>
            </w:r>
          </w:p>
        </w:tc>
      </w:tr>
      <w:tr>
        <w:trPr>
          <w:trHeight w:val="270"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芯片/解码</w:t>
            </w: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主频≥600Mhz</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支持半帧解码，要求视频信号从进入TUNNER到视频输出显示，时延≤60ms；</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具备符合MPEG-2 标清/高清标准的数字视频处理能力；</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具备1～2.0Mbps符合MPEG-4 ASP Level 4标准的数字视频处理能力；</w:t>
            </w:r>
          </w:p>
        </w:tc>
      </w:tr>
      <w:tr>
        <w:tblPrEx>
          <w:tblCellMar>
            <w:top w:w="0" w:type="dxa"/>
            <w:left w:w="108" w:type="dxa"/>
            <w:bottom w:w="0" w:type="dxa"/>
            <w:right w:w="108" w:type="dxa"/>
          </w:tblCellMar>
        </w:tblPrEx>
        <w:trPr>
          <w:trHeight w:val="93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具备800kbps～12Mbps符合H.264 Baseline 、Main profile、High profile标准的数字视频处理能力；具备64Kbps-512Kbps的数字音频处理能力，且支持立体声、单声道、双声道；支持MP3(MPEG-1 layer 3 audio)、MPEG-4 AAC格式的音频解码；支持或透传杜比5.1环绕立体声通道；支持硬件的2D加速能力</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tcBorders>
              <w:top w:val="nil"/>
              <w:left w:val="nil"/>
              <w:bottom w:val="single" w:color="auto" w:sz="8"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资源</w:t>
            </w:r>
          </w:p>
        </w:tc>
        <w:tc>
          <w:tcPr>
            <w:tcW w:w="1080" w:type="pct"/>
            <w:tcBorders>
              <w:top w:val="nil"/>
              <w:left w:val="nil"/>
              <w:bottom w:val="single" w:color="auto" w:sz="8" w:space="0"/>
              <w:right w:val="single" w:color="auto" w:sz="8" w:space="0"/>
            </w:tcBorders>
            <w:shd w:val="clear" w:color="auto" w:fill="auto"/>
            <w:vAlign w:val="center"/>
          </w:tcPr>
          <w:p>
            <w:pPr>
              <w:widowControl/>
              <w:ind w:firstLine="16" w:firstLineChars="9"/>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Flash /RAM</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Flash≥128MB；RAM≥512MB</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信号要求</w:t>
            </w:r>
          </w:p>
        </w:tc>
        <w:tc>
          <w:tcPr>
            <w:tcW w:w="1080" w:type="pct"/>
            <w:tcBorders>
              <w:top w:val="nil"/>
              <w:left w:val="nil"/>
              <w:bottom w:val="single" w:color="auto" w:sz="8" w:space="0"/>
              <w:right w:val="single" w:color="auto" w:sz="8" w:space="0"/>
            </w:tcBorders>
            <w:shd w:val="clear" w:color="auto" w:fill="auto"/>
            <w:vAlign w:val="center"/>
          </w:tcPr>
          <w:p>
            <w:pPr>
              <w:widowControl/>
              <w:ind w:firstLine="16" w:firstLineChars="9"/>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解复用器</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32位硬件PID过滤器，能处理DVB-SI标准和MPEG2标准定义的所有强制性表格</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firstLine="16" w:firstLineChars="9"/>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解扰器</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支持DVB通用解扰算法</w:t>
            </w:r>
          </w:p>
        </w:tc>
      </w:tr>
      <w:tr>
        <w:tblPrEx>
          <w:tblCellMar>
            <w:top w:w="0" w:type="dxa"/>
            <w:left w:w="108" w:type="dxa"/>
            <w:bottom w:w="0" w:type="dxa"/>
            <w:right w:w="108" w:type="dxa"/>
          </w:tblCellMar>
        </w:tblPrEx>
        <w:trPr>
          <w:trHeight w:val="270"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显示要求</w:t>
            </w:r>
          </w:p>
        </w:tc>
        <w:tc>
          <w:tcPr>
            <w:tcW w:w="1080" w:type="pct"/>
            <w:vMerge w:val="restart"/>
            <w:tcBorders>
              <w:top w:val="nil"/>
              <w:left w:val="single" w:color="auto" w:sz="8" w:space="0"/>
              <w:bottom w:val="single" w:color="000000" w:sz="8" w:space="0"/>
              <w:right w:val="single" w:color="auto" w:sz="8" w:space="0"/>
            </w:tcBorders>
            <w:shd w:val="clear" w:color="auto" w:fill="auto"/>
            <w:vAlign w:val="center"/>
          </w:tcPr>
          <w:p>
            <w:pPr>
              <w:widowControl/>
              <w:ind w:firstLine="16" w:firstLineChars="9"/>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视频解码分辨率</w:t>
            </w:r>
          </w:p>
        </w:tc>
        <w:tc>
          <w:tcPr>
            <w:tcW w:w="2782" w:type="pct"/>
            <w:tcBorders>
              <w:top w:val="nil"/>
              <w:left w:val="nil"/>
              <w:bottom w:val="nil"/>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水平：1920/1080/720/640垂直：1080/720/576/480</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支持4：3和16：9两种比例的电视图像信号输出</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8" w:space="0"/>
              <w:right w:val="single" w:color="auto"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firstLine="16" w:firstLineChars="9"/>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图形层显示要求</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平面层数不少于3层，OSD平面颜色深度≥16bpp</w:t>
            </w:r>
          </w:p>
        </w:tc>
      </w:tr>
      <w:tr>
        <w:tblPrEx>
          <w:tblCellMar>
            <w:top w:w="0" w:type="dxa"/>
            <w:left w:w="108" w:type="dxa"/>
            <w:bottom w:w="0" w:type="dxa"/>
            <w:right w:w="108" w:type="dxa"/>
          </w:tblCellMar>
        </w:tblPrEx>
        <w:trPr>
          <w:trHeight w:val="675"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前面板</w:t>
            </w: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具备电源指示灯</w:t>
            </w:r>
            <w:r>
              <w:rPr>
                <w:rFonts w:hint="eastAsia" w:ascii="仿宋" w:hAnsi="仿宋" w:eastAsia="仿宋" w:cs="宋体"/>
                <w:color w:val="000000" w:themeColor="text1"/>
                <w:kern w:val="0"/>
                <w:sz w:val="18"/>
                <w:szCs w:val="18"/>
                <w14:textFill>
                  <w14:solidFill>
                    <w14:schemeClr w14:val="tx1"/>
                  </w14:solidFill>
                </w14:textFill>
              </w:rPr>
              <w:t>，在通电后即亮起，机顶盒正常工作时为绿色，待机时为红色，响应遥控器按键时指示灯闪烁一下。【或】</w:t>
            </w:r>
            <w:r>
              <w:rPr>
                <w:rFonts w:hint="eastAsia" w:ascii="仿宋" w:hAnsi="仿宋" w:eastAsia="仿宋" w:cs="宋体"/>
                <w:b/>
                <w:bCs/>
                <w:color w:val="000000" w:themeColor="text1"/>
                <w:kern w:val="0"/>
                <w:sz w:val="18"/>
                <w:szCs w:val="18"/>
                <w14:textFill>
                  <w14:solidFill>
                    <w14:schemeClr w14:val="tx1"/>
                  </w14:solidFill>
                </w14:textFill>
              </w:rPr>
              <w:t>具备数码管显示</w:t>
            </w:r>
            <w:r>
              <w:rPr>
                <w:rFonts w:hint="eastAsia" w:ascii="仿宋" w:hAnsi="仿宋" w:eastAsia="仿宋" w:cs="宋体"/>
                <w:color w:val="000000" w:themeColor="text1"/>
                <w:kern w:val="0"/>
                <w:sz w:val="18"/>
                <w:szCs w:val="18"/>
                <w14:textFill>
                  <w14:solidFill>
                    <w14:schemeClr w14:val="tx1"/>
                  </w14:solidFill>
                </w14:textFill>
              </w:rPr>
              <w:t>，通电后即亮起，并能区分开机与待机状态，并能响应遥控器按键。</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具备AP工作指示灯，通电后亮起，有数据传输时闪烁</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具备电源硬开关：</w:t>
            </w:r>
            <w:r>
              <w:rPr>
                <w:rFonts w:hint="eastAsia" w:ascii="仿宋" w:hAnsi="仿宋" w:eastAsia="仿宋" w:cs="宋体"/>
                <w:color w:val="000000" w:themeColor="text1"/>
                <w:kern w:val="0"/>
                <w:sz w:val="18"/>
                <w:szCs w:val="18"/>
                <w14:textFill>
                  <w14:solidFill>
                    <w14:schemeClr w14:val="tx1"/>
                  </w14:solidFill>
                </w14:textFill>
              </w:rPr>
              <w:t>必须有硬开关，建议在前面板，也可以安排在后面板或侧面板</w:t>
            </w:r>
            <w:r>
              <w:rPr>
                <w:rFonts w:hint="eastAsia" w:ascii="仿宋" w:hAnsi="仿宋" w:eastAsia="仿宋" w:cs="宋体"/>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b/>
                <w:bCs/>
                <w:color w:val="000000" w:themeColor="text1"/>
                <w:kern w:val="0"/>
                <w:sz w:val="18"/>
                <w:szCs w:val="18"/>
                <w14:textFill>
                  <w14:solidFill>
                    <w14:schemeClr w14:val="tx1"/>
                  </w14:solidFill>
                </w14:textFill>
              </w:rPr>
              <w:t>具备红外遥控接收器</w:t>
            </w:r>
            <w:r>
              <w:rPr>
                <w:rFonts w:hint="eastAsia" w:ascii="仿宋" w:hAnsi="仿宋" w:eastAsia="仿宋" w:cs="宋体"/>
                <w:color w:val="000000" w:themeColor="text1"/>
                <w:kern w:val="0"/>
                <w:sz w:val="18"/>
                <w:szCs w:val="18"/>
                <w14:textFill>
                  <w14:solidFill>
                    <w14:schemeClr w14:val="tx1"/>
                  </w14:solidFill>
                </w14:textFill>
              </w:rPr>
              <w:t>：建议前面板采用全透红外的材质，不单独开红外窗。</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遥控器的有效操作距离至少在8米（含）以上，有效操作角度为机顶盒正面垂直中心线正负60度。遥控器必须能实现机顶盒进入待机状态和取消待机状态。</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具备符合ISO7816标准的智能卡槽（所有面板合计1个</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USB 2.0 Host Type A接口（机顶盒全部合计至少1个USB 2.0</w:t>
            </w:r>
            <w:r>
              <w:rPr>
                <w:rFonts w:hint="eastAsia" w:ascii="仿宋" w:hAnsi="仿宋" w:eastAsia="仿宋" w:cs="宋体"/>
                <w:color w:val="000000" w:themeColor="text1"/>
                <w:kern w:val="0"/>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面板的文字丝印建议采用中文。</w:t>
            </w:r>
          </w:p>
        </w:tc>
      </w:tr>
      <w:tr>
        <w:tblPrEx>
          <w:tblCellMar>
            <w:top w:w="0" w:type="dxa"/>
            <w:left w:w="108" w:type="dxa"/>
            <w:bottom w:w="0" w:type="dxa"/>
            <w:right w:w="108" w:type="dxa"/>
          </w:tblCellMar>
        </w:tblPrEx>
        <w:trPr>
          <w:trHeight w:val="270"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ind w:firstLine="361"/>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侧面板与后面板</w:t>
            </w: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【可选】</w:t>
            </w:r>
            <w:r>
              <w:rPr>
                <w:rFonts w:hint="eastAsia" w:ascii="仿宋" w:hAnsi="仿宋" w:eastAsia="仿宋" w:cs="宋体"/>
                <w:b/>
                <w:bCs/>
                <w:color w:val="000000" w:themeColor="text1"/>
                <w:kern w:val="0"/>
                <w:sz w:val="18"/>
                <w:szCs w:val="18"/>
                <w14:textFill>
                  <w14:solidFill>
                    <w14:schemeClr w14:val="tx1"/>
                  </w14:solidFill>
                </w14:textFill>
              </w:rPr>
              <w:t>电源硬开关（整机必须至少有一个，建议安排在前面板）</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电源输入：</w:t>
            </w:r>
            <w:r>
              <w:rPr>
                <w:rFonts w:hint="eastAsia" w:ascii="仿宋" w:hAnsi="仿宋" w:eastAsia="仿宋" w:cs="宋体"/>
                <w:color w:val="000000" w:themeColor="text1"/>
                <w:kern w:val="0"/>
                <w:sz w:val="18"/>
                <w:szCs w:val="18"/>
                <w14:textFill>
                  <w14:solidFill>
                    <w14:schemeClr w14:val="tx1"/>
                  </w14:solidFill>
                </w14:textFill>
              </w:rPr>
              <w:t>直流电源输入，圆口插座。</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RF输入：</w:t>
            </w:r>
            <w:r>
              <w:rPr>
                <w:rFonts w:hint="eastAsia" w:ascii="仿宋" w:hAnsi="仿宋" w:eastAsia="仿宋" w:cs="宋体"/>
                <w:color w:val="000000" w:themeColor="text1"/>
                <w:kern w:val="0"/>
                <w:sz w:val="18"/>
                <w:szCs w:val="18"/>
                <w14:textFill>
                  <w14:solidFill>
                    <w14:schemeClr w14:val="tx1"/>
                  </w14:solidFill>
                </w14:textFill>
              </w:rPr>
              <w:t>英制F母头一个</w:t>
            </w:r>
          </w:p>
        </w:tc>
      </w:tr>
      <w:tr>
        <w:tblPrEx>
          <w:tblCellMar>
            <w:top w:w="0" w:type="dxa"/>
            <w:left w:w="108" w:type="dxa"/>
            <w:bottom w:w="0" w:type="dxa"/>
            <w:right w:w="108" w:type="dxa"/>
          </w:tblCellMar>
        </w:tblPrEx>
        <w:trPr>
          <w:trHeight w:val="67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音视频输出：</w:t>
            </w:r>
            <w:r>
              <w:rPr>
                <w:rFonts w:hint="eastAsia" w:ascii="仿宋" w:hAnsi="仿宋" w:eastAsia="仿宋" w:cs="宋体"/>
                <w:color w:val="000000" w:themeColor="text1"/>
                <w:kern w:val="0"/>
                <w:sz w:val="18"/>
                <w:szCs w:val="18"/>
                <w14:textFill>
                  <w14:solidFill>
                    <w14:schemeClr w14:val="tx1"/>
                  </w14:solidFill>
                </w14:textFill>
              </w:rPr>
              <w:t>CVBS（AV）RCA标准接口【或】复合音视频接口（3.5mm音频标准的4段式物理接口，从插孔入口开始的顺序为红（R）、接地（GND）黄（TV）、白（L））；HDMI1.3a接口</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红外接收引出插座：</w:t>
            </w:r>
            <w:r>
              <w:rPr>
                <w:rFonts w:hint="eastAsia" w:ascii="仿宋" w:hAnsi="仿宋" w:eastAsia="仿宋" w:cs="宋体"/>
                <w:color w:val="000000" w:themeColor="text1"/>
                <w:kern w:val="0"/>
                <w:sz w:val="18"/>
                <w:szCs w:val="18"/>
                <w14:textFill>
                  <w14:solidFill>
                    <w14:schemeClr w14:val="tx1"/>
                  </w14:solidFill>
                </w14:textFill>
              </w:rPr>
              <w:t>1个3.5mm音频标准的物理接口，从插孔入口开始的顺序为：地（GND）、信号（IR）、电源（Power）</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串行数据接口</w:t>
            </w:r>
            <w:r>
              <w:rPr>
                <w:rFonts w:hint="eastAsia" w:ascii="仿宋" w:hAnsi="仿宋" w:eastAsia="仿宋" w:cs="宋体"/>
                <w:color w:val="000000" w:themeColor="text1"/>
                <w:kern w:val="0"/>
                <w:sz w:val="18"/>
                <w:szCs w:val="18"/>
                <w14:textFill>
                  <w14:solidFill>
                    <w14:schemeClr w14:val="tx1"/>
                  </w14:solidFill>
                </w14:textFill>
              </w:rPr>
              <w:t>：1个(Mini) USB转串口【或】RS232 DB9【或】红外接收头复用串口【或】机顶盒内部插针</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智能卡槽</w:t>
            </w:r>
            <w:r>
              <w:rPr>
                <w:rFonts w:hint="eastAsia" w:ascii="仿宋" w:hAnsi="仿宋" w:eastAsia="仿宋" w:cs="宋体"/>
                <w:color w:val="000000" w:themeColor="text1"/>
                <w:kern w:val="0"/>
                <w:sz w:val="18"/>
                <w:szCs w:val="18"/>
                <w14:textFill>
                  <w14:solidFill>
                    <w14:schemeClr w14:val="tx1"/>
                  </w14:solidFill>
                </w14:textFill>
              </w:rPr>
              <w:t>：具备符合ISO7816标准的智能卡槽（所有面板合计1个）</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USB通用串行接口</w:t>
            </w:r>
            <w:r>
              <w:rPr>
                <w:rFonts w:hint="eastAsia" w:ascii="仿宋" w:hAnsi="仿宋" w:eastAsia="仿宋" w:cs="宋体"/>
                <w:color w:val="000000" w:themeColor="text1"/>
                <w:kern w:val="0"/>
                <w:sz w:val="18"/>
                <w:szCs w:val="18"/>
                <w14:textFill>
                  <w14:solidFill>
                    <w14:schemeClr w14:val="tx1"/>
                  </w14:solidFill>
                </w14:textFill>
              </w:rPr>
              <w:t>: 与前面板合计至少1个USB 2.0，类型为Host，接口形式为Type A</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以太网口</w:t>
            </w:r>
            <w:r>
              <w:rPr>
                <w:rFonts w:hint="eastAsia" w:ascii="仿宋" w:hAnsi="仿宋" w:eastAsia="仿宋" w:cs="宋体"/>
                <w:color w:val="000000" w:themeColor="text1"/>
                <w:kern w:val="0"/>
                <w:sz w:val="18"/>
                <w:szCs w:val="18"/>
                <w14:textFill>
                  <w14:solidFill>
                    <w14:schemeClr w14:val="tx1"/>
                  </w14:solidFill>
                </w14:textFill>
              </w:rPr>
              <w:t>：RJ45网口两个。10/100mbps自适应。作为机顶盒内置路由器的WAN口和LAN口。</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面板的文字丝印建议采用中文。</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底面板</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xml:space="preserve">必须具备壁挂设计。 </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印刷电路板</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所有印刷电路板均应防腐蚀。印刷电路板不允许有飞线。印刷电路板应插拔灵活可靠，并装有锁定装置。同一品种的电路板应具有完全的互换性。</w:t>
            </w:r>
          </w:p>
        </w:tc>
      </w:tr>
      <w:tr>
        <w:tblPrEx>
          <w:tblCellMar>
            <w:top w:w="0" w:type="dxa"/>
            <w:left w:w="108" w:type="dxa"/>
            <w:bottom w:w="0" w:type="dxa"/>
            <w:right w:w="108" w:type="dxa"/>
          </w:tblCellMar>
        </w:tblPrEx>
        <w:trPr>
          <w:trHeight w:val="675"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机壳和内部结构</w:t>
            </w: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机壳及内部的总体结构应充分考虑安装、维护的方便和扩容调整量的灵活性，实现部件模块化。机壳应具有足够的机械强度和刚度，机壳应具有一定的防振抗震能力，应保证设备经过常规的运输、储存和安装后不破损不变形。</w:t>
            </w:r>
          </w:p>
        </w:tc>
      </w:tr>
      <w:tr>
        <w:tblPrEx>
          <w:tblCellMar>
            <w:top w:w="0" w:type="dxa"/>
            <w:left w:w="108" w:type="dxa"/>
            <w:bottom w:w="0" w:type="dxa"/>
            <w:right w:w="108" w:type="dxa"/>
          </w:tblCellMar>
        </w:tblPrEx>
        <w:trPr>
          <w:trHeight w:val="67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设备的表面涂敷应满足防腐的要求。所有喷漆（塑）零件的表面应平整牢固，不允许有划痕、斑疵、流挂、脱落和破损。电镀零件的表面应有金属光泽，不允许有裂纹、斑点、毛刺和缺陷。</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机顶盒的外观应注意美观、色泽协调，色调柔和。</w:t>
            </w:r>
          </w:p>
        </w:tc>
      </w:tr>
      <w:tr>
        <w:tblPrEx>
          <w:tblCellMar>
            <w:top w:w="0" w:type="dxa"/>
            <w:left w:w="108" w:type="dxa"/>
            <w:bottom w:w="0" w:type="dxa"/>
            <w:right w:w="108" w:type="dxa"/>
          </w:tblCellMar>
        </w:tblPrEx>
        <w:trPr>
          <w:trHeight w:val="690"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稳定性</w:t>
            </w:r>
          </w:p>
        </w:tc>
        <w:tc>
          <w:tcPr>
            <w:tcW w:w="2782" w:type="pct"/>
            <w:tcBorders>
              <w:top w:val="nil"/>
              <w:left w:val="nil"/>
              <w:bottom w:val="single" w:color="auto" w:sz="8" w:space="0"/>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正常工作条件下（工作温度：0～50℃，存储温度-5～70℃，工作湿度：5％～80％），MTBF大于50000小时。机顶盒对非正常关机如断电能提供一定的保护措施。</w:t>
            </w:r>
          </w:p>
        </w:tc>
      </w:tr>
      <w:tr>
        <w:tblPrEx>
          <w:tblCellMar>
            <w:top w:w="0" w:type="dxa"/>
            <w:left w:w="108" w:type="dxa"/>
            <w:bottom w:w="0" w:type="dxa"/>
            <w:right w:w="108" w:type="dxa"/>
          </w:tblCellMar>
        </w:tblPrEx>
        <w:trPr>
          <w:trHeight w:val="270"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电气安全性</w:t>
            </w: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机顶盒的电源板和外置电源适配器应具有防雷击保护；</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高频头应标配内置或外置天线隔离器（隔离耐压500Vdc，在1Ghz以下全频段的插入损耗应小于1db），推荐内置；</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所有音视频输出接口应具有防静电保护。</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535" w:type="pct"/>
            <w:gridSpan w:val="2"/>
            <w:vMerge w:val="continue"/>
            <w:tcBorders>
              <w:top w:val="single" w:color="auto" w:sz="8" w:space="0"/>
              <w:left w:val="single" w:color="auto" w:sz="8" w:space="0"/>
              <w:bottom w:val="single" w:color="000000" w:sz="8" w:space="0"/>
              <w:right w:val="single" w:color="000000" w:sz="8" w:space="0"/>
            </w:tcBorders>
            <w:vAlign w:val="center"/>
          </w:tcPr>
          <w:p>
            <w:pPr>
              <w:widowControl/>
              <w:ind w:firstLine="16" w:firstLineChars="9"/>
              <w:jc w:val="left"/>
              <w:rPr>
                <w:rFonts w:ascii="仿宋" w:hAnsi="仿宋" w:eastAsia="仿宋" w:cs="宋体"/>
                <w:b/>
                <w:bCs/>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符合GB 8898-2011中对于机顶盒安全性的其他规定。</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冷却与通风</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设备的冷却优选被动散热方式。运行时与环境温差不大于15℃，足以保证设备能够在较封闭，不通风环境下长期稳定工作。</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1535" w:type="pct"/>
            <w:gridSpan w:val="2"/>
            <w:tcBorders>
              <w:top w:val="single" w:color="auto" w:sz="8" w:space="0"/>
              <w:left w:val="nil"/>
              <w:bottom w:val="single" w:color="auto" w:sz="8" w:space="0"/>
              <w:right w:val="single" w:color="000000"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其他机顶盒本体要求</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机顶盒的标记、结构、绝缘、抗电强度应符合GB8898-2011中所明示的要求</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restart"/>
            <w:tcBorders>
              <w:top w:val="nil"/>
              <w:left w:val="single" w:color="auto" w:sz="8" w:space="0"/>
              <w:bottom w:val="single" w:color="000000" w:sz="12" w:space="0"/>
              <w:right w:val="single" w:color="auto" w:sz="8" w:space="0"/>
            </w:tcBorders>
            <w:shd w:val="clear" w:color="auto" w:fill="auto"/>
            <w:vAlign w:val="center"/>
          </w:tcPr>
          <w:p>
            <w:pPr>
              <w:widowControl/>
              <w:ind w:firstLine="16" w:firstLineChars="9"/>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外置电源</w:t>
            </w:r>
          </w:p>
        </w:tc>
        <w:tc>
          <w:tcPr>
            <w:tcW w:w="1080" w:type="pct"/>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电源输入规格</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 xml:space="preserve">AC180V～240V，50～60Hz </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电源输出规格</w:t>
            </w:r>
          </w:p>
        </w:tc>
        <w:tc>
          <w:tcPr>
            <w:tcW w:w="2782" w:type="pct"/>
            <w:tcBorders>
              <w:top w:val="nil"/>
              <w:left w:val="nil"/>
              <w:bottom w:val="single" w:color="auto" w:sz="8" w:space="0"/>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电压DC12V，电流</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1.5A。电源效率高于75％。</w:t>
            </w:r>
          </w:p>
        </w:tc>
      </w:tr>
      <w:tr>
        <w:trPr>
          <w:trHeight w:val="270" w:hRule="atLeast"/>
        </w:trPr>
        <w:tc>
          <w:tcPr>
            <w:tcW w:w="683" w:type="pct"/>
            <w:vMerge w:val="restart"/>
            <w:tcBorders>
              <w:top w:val="nil"/>
              <w:left w:val="single" w:color="auto" w:sz="12" w:space="0"/>
              <w:bottom w:val="single" w:color="000000"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电源其他要求</w:t>
            </w:r>
          </w:p>
        </w:tc>
        <w:tc>
          <w:tcPr>
            <w:tcW w:w="2782" w:type="pct"/>
            <w:tcBorders>
              <w:top w:val="nil"/>
              <w:left w:val="nil"/>
              <w:bottom w:val="nil"/>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须提供电源适配器的3C检测报告、规格书、自测报告。</w:t>
            </w:r>
          </w:p>
        </w:tc>
      </w:tr>
      <w:tr>
        <w:tblPrEx>
          <w:tblCellMar>
            <w:top w:w="0" w:type="dxa"/>
            <w:left w:w="108" w:type="dxa"/>
            <w:bottom w:w="0" w:type="dxa"/>
            <w:right w:w="108" w:type="dxa"/>
          </w:tblCellMar>
        </w:tblPrEx>
        <w:trPr>
          <w:trHeight w:val="45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电源标识要求：要求电源应有终端厂商名称标识，生产日期，以便进行区分管理。</w:t>
            </w:r>
          </w:p>
        </w:tc>
      </w:tr>
      <w:tr>
        <w:tblPrEx>
          <w:tblCellMar>
            <w:top w:w="0" w:type="dxa"/>
            <w:left w:w="108" w:type="dxa"/>
            <w:bottom w:w="0" w:type="dxa"/>
            <w:right w:w="108" w:type="dxa"/>
          </w:tblCellMar>
        </w:tblPrEx>
        <w:trPr>
          <w:trHeight w:val="270"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2782" w:type="pct"/>
            <w:tcBorders>
              <w:top w:val="nil"/>
              <w:left w:val="nil"/>
              <w:bottom w:val="nil"/>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防雷击保护指标至少为±4KV。</w:t>
            </w:r>
          </w:p>
        </w:tc>
      </w:tr>
      <w:tr>
        <w:tblPrEx>
          <w:tblCellMar>
            <w:top w:w="0" w:type="dxa"/>
            <w:left w:w="108" w:type="dxa"/>
            <w:bottom w:w="0" w:type="dxa"/>
            <w:right w:w="108" w:type="dxa"/>
          </w:tblCellMar>
        </w:tblPrEx>
        <w:trPr>
          <w:trHeight w:val="285" w:hRule="atLeast"/>
        </w:trPr>
        <w:tc>
          <w:tcPr>
            <w:tcW w:w="683" w:type="pct"/>
            <w:vMerge w:val="continue"/>
            <w:tcBorders>
              <w:top w:val="nil"/>
              <w:left w:val="single" w:color="auto" w:sz="12" w:space="0"/>
              <w:bottom w:val="single" w:color="000000" w:sz="8"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2782" w:type="pct"/>
            <w:tcBorders>
              <w:top w:val="nil"/>
              <w:left w:val="nil"/>
              <w:bottom w:val="single" w:color="auto" w:sz="8" w:space="0"/>
              <w:right w:val="single" w:color="auto" w:sz="12"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其它要求详见《华数机顶盒电源技术规范》。</w:t>
            </w:r>
          </w:p>
          <w:p>
            <w:pPr>
              <w:widowControl/>
              <w:jc w:val="left"/>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厚度不超过</w:t>
            </w:r>
            <w:r>
              <w:rPr>
                <w:rFonts w:hint="eastAsia" w:ascii="仿宋" w:hAnsi="仿宋" w:eastAsia="仿宋" w:cs="宋体"/>
                <w:color w:val="000000" w:themeColor="text1"/>
                <w:kern w:val="0"/>
                <w:sz w:val="18"/>
                <w:szCs w:val="18"/>
                <w14:textFill>
                  <w14:solidFill>
                    <w14:schemeClr w14:val="tx1"/>
                  </w14:solidFill>
                </w14:textFill>
              </w:rPr>
              <w:t>3.7</w:t>
            </w:r>
            <w:r>
              <w:rPr>
                <w:rFonts w:ascii="仿宋" w:hAnsi="仿宋" w:eastAsia="仿宋" w:cs="宋体"/>
                <w:color w:val="000000" w:themeColor="text1"/>
                <w:kern w:val="0"/>
                <w:sz w:val="18"/>
                <w:szCs w:val="18"/>
                <w14:textFill>
                  <w14:solidFill>
                    <w14:schemeClr w14:val="tx1"/>
                  </w14:solidFill>
                </w14:textFill>
              </w:rPr>
              <w:t>c</w:t>
            </w:r>
            <w:r>
              <w:rPr>
                <w:rFonts w:hint="eastAsia" w:ascii="仿宋" w:hAnsi="仿宋" w:eastAsia="仿宋" w:cs="宋体"/>
                <w:color w:val="000000" w:themeColor="text1"/>
                <w:kern w:val="0"/>
                <w:sz w:val="18"/>
                <w:szCs w:val="18"/>
                <w14:textFill>
                  <w14:solidFill>
                    <w14:schemeClr w14:val="tx1"/>
                  </w14:solidFill>
                </w14:textFill>
              </w:rPr>
              <w:t>m</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输出接口</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DC圆口插头，外径5.5mm，内径2.1mm，内正外负</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电源线</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长度</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1m，应符合GB8898-2011 中所明示的要求</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leftChars="-11" w:hanging="23" w:hangingChars="13"/>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A</w:t>
            </w:r>
            <w:r>
              <w:rPr>
                <w:rFonts w:ascii="仿宋" w:hAnsi="仿宋" w:eastAsia="仿宋" w:cs="宋体"/>
                <w:color w:val="000000" w:themeColor="text1"/>
                <w:kern w:val="0"/>
                <w:sz w:val="18"/>
                <w:szCs w:val="18"/>
                <w14:textFill>
                  <w14:solidFill>
                    <w14:schemeClr w14:val="tx1"/>
                  </w14:solidFill>
                </w14:textFill>
              </w:rPr>
              <w:t>P</w:t>
            </w:r>
            <w:r>
              <w:rPr>
                <w:rFonts w:hint="eastAsia" w:ascii="仿宋" w:hAnsi="仿宋" w:eastAsia="仿宋" w:cs="宋体"/>
                <w:color w:val="000000" w:themeColor="text1"/>
                <w:kern w:val="0"/>
                <w:sz w:val="18"/>
                <w:szCs w:val="18"/>
                <w14:textFill>
                  <w14:solidFill>
                    <w14:schemeClr w14:val="tx1"/>
                  </w14:solidFill>
                </w14:textFill>
              </w:rPr>
              <w:t>射频线</w:t>
            </w:r>
          </w:p>
        </w:tc>
        <w:tc>
          <w:tcPr>
            <w:tcW w:w="2782"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1条(1.5米) 内导体为单芯</w:t>
            </w:r>
            <w:r>
              <w:rPr>
                <w:rFonts w:ascii="仿宋" w:hAnsi="仿宋" w:eastAsia="仿宋" w:cs="宋体"/>
                <w:color w:val="000000" w:themeColor="text1"/>
                <w:kern w:val="0"/>
                <w:sz w:val="18"/>
                <w:szCs w:val="18"/>
                <w14:textFill>
                  <w14:solidFill>
                    <w14:schemeClr w14:val="tx1"/>
                  </w14:solidFill>
                </w14:textFill>
              </w:rPr>
              <w:t>全铜</w:t>
            </w:r>
            <w:r>
              <w:rPr>
                <w:rFonts w:hint="eastAsia" w:ascii="仿宋" w:hAnsi="仿宋" w:eastAsia="仿宋" w:cs="宋体"/>
                <w:color w:val="000000" w:themeColor="text1"/>
                <w:kern w:val="0"/>
                <w:sz w:val="18"/>
                <w:szCs w:val="18"/>
                <w14:textFill>
                  <w14:solidFill>
                    <w14:schemeClr w14:val="tx1"/>
                  </w14:solidFill>
                </w14:textFill>
              </w:rPr>
              <w:t>，直径1.0±0.02mm，屏蔽层为铝箔加96股以上镀锡铜线编织网，并符合GY/T135-1998中对 SYWV-75-5同轴电缆的其他技术要求</w:t>
            </w:r>
          </w:p>
        </w:tc>
      </w:tr>
      <w:tr>
        <w:tblPrEx>
          <w:tblCellMar>
            <w:top w:w="0" w:type="dxa"/>
            <w:left w:w="108" w:type="dxa"/>
            <w:bottom w:w="0" w:type="dxa"/>
            <w:right w:w="108" w:type="dxa"/>
          </w:tblCellMar>
        </w:tblPrEx>
        <w:trPr>
          <w:trHeight w:val="690"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HDMI线</w:t>
            </w:r>
          </w:p>
        </w:tc>
        <w:tc>
          <w:tcPr>
            <w:tcW w:w="2782" w:type="pct"/>
            <w:tcBorders>
              <w:top w:val="nil"/>
              <w:left w:val="nil"/>
              <w:bottom w:val="single" w:color="auto" w:sz="8" w:space="0"/>
              <w:right w:val="single" w:color="auto" w:sz="12" w:space="0"/>
            </w:tcBorders>
            <w:shd w:val="clear" w:color="auto" w:fill="auto"/>
            <w:vAlign w:val="center"/>
          </w:tcPr>
          <w:p>
            <w:pPr>
              <w:widowControl/>
              <w:ind w:firstLine="360"/>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1条</w:t>
            </w:r>
            <w:r>
              <w:rPr>
                <w:rFonts w:hint="eastAsia" w:ascii="仿宋" w:hAnsi="仿宋" w:eastAsia="仿宋" w:cs="宋体"/>
                <w:b/>
                <w:bCs/>
                <w:color w:val="000000" w:themeColor="text1"/>
                <w:kern w:val="0"/>
                <w:sz w:val="18"/>
                <w:szCs w:val="18"/>
                <w14:textFill>
                  <w14:solidFill>
                    <w14:schemeClr w14:val="tx1"/>
                  </w14:solidFill>
                </w14:textFill>
              </w:rPr>
              <w:t>(2米)</w:t>
            </w:r>
            <w:r>
              <w:rPr>
                <w:rFonts w:hint="eastAsia" w:ascii="仿宋" w:hAnsi="仿宋" w:eastAsia="仿宋" w:cs="宋体"/>
                <w:color w:val="000000" w:themeColor="text1"/>
                <w:kern w:val="0"/>
                <w:sz w:val="18"/>
                <w:szCs w:val="18"/>
                <w14:textFill>
                  <w14:solidFill>
                    <w14:schemeClr w14:val="tx1"/>
                  </w14:solidFill>
                </w14:textFill>
              </w:rPr>
              <w:t xml:space="preserve"> 内导体为全铜，直径不小于AWG30或0.254mm。双侧插头为TypeA镀金公头。线材、插头结构和其他技术指标应符合</w:t>
            </w:r>
            <w:r>
              <w:rPr>
                <w:rFonts w:hint="eastAsia" w:ascii="仿宋" w:hAnsi="仿宋" w:eastAsia="仿宋" w:cs="宋体"/>
                <w:b/>
                <w:bCs/>
                <w:color w:val="000000" w:themeColor="text1"/>
                <w:kern w:val="0"/>
                <w:sz w:val="18"/>
                <w:szCs w:val="18"/>
                <w14:textFill>
                  <w14:solidFill>
                    <w14:schemeClr w14:val="tx1"/>
                  </w14:solidFill>
                </w14:textFill>
              </w:rPr>
              <w:t>The HDMI Specification Ver. 1.3a中</w:t>
            </w:r>
            <w:r>
              <w:rPr>
                <w:rFonts w:hint="eastAsia" w:ascii="仿宋" w:hAnsi="仿宋" w:eastAsia="仿宋" w:cs="宋体"/>
                <w:color w:val="000000" w:themeColor="text1"/>
                <w:kern w:val="0"/>
                <w:sz w:val="18"/>
                <w:szCs w:val="18"/>
                <w14:textFill>
                  <w14:solidFill>
                    <w14:schemeClr w14:val="tx1"/>
                  </w14:solidFill>
                </w14:textFill>
              </w:rPr>
              <w:t>的规定</w:t>
            </w:r>
          </w:p>
        </w:tc>
      </w:tr>
      <w:tr>
        <w:tblPrEx>
          <w:tblCellMar>
            <w:top w:w="0" w:type="dxa"/>
            <w:left w:w="108" w:type="dxa"/>
            <w:bottom w:w="0" w:type="dxa"/>
            <w:right w:w="108" w:type="dxa"/>
          </w:tblCellMar>
        </w:tblPrEx>
        <w:trPr>
          <w:trHeight w:val="285" w:hRule="atLeast"/>
        </w:trPr>
        <w:tc>
          <w:tcPr>
            <w:tcW w:w="683" w:type="pct"/>
            <w:tcBorders>
              <w:top w:val="nil"/>
              <w:left w:val="single" w:color="auto" w:sz="12" w:space="0"/>
              <w:bottom w:val="single" w:color="auto" w:sz="8"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8"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电源适配器</w:t>
            </w:r>
          </w:p>
        </w:tc>
        <w:tc>
          <w:tcPr>
            <w:tcW w:w="2782" w:type="pct"/>
            <w:tcBorders>
              <w:top w:val="nil"/>
              <w:left w:val="nil"/>
              <w:bottom w:val="single" w:color="auto" w:sz="8"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1套</w:t>
            </w:r>
          </w:p>
        </w:tc>
      </w:tr>
      <w:tr>
        <w:tblPrEx>
          <w:tblCellMar>
            <w:top w:w="0" w:type="dxa"/>
            <w:left w:w="108" w:type="dxa"/>
            <w:bottom w:w="0" w:type="dxa"/>
            <w:right w:w="108" w:type="dxa"/>
          </w:tblCellMar>
        </w:tblPrEx>
        <w:trPr>
          <w:trHeight w:val="465" w:hRule="atLeast"/>
        </w:trPr>
        <w:tc>
          <w:tcPr>
            <w:tcW w:w="683" w:type="pct"/>
            <w:tcBorders>
              <w:top w:val="nil"/>
              <w:left w:val="single" w:color="auto" w:sz="12" w:space="0"/>
              <w:bottom w:val="single" w:color="auto" w:sz="4" w:space="0"/>
              <w:right w:val="single" w:color="auto" w:sz="8"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nil"/>
              <w:left w:val="single" w:color="auto" w:sz="8" w:space="0"/>
              <w:bottom w:val="single" w:color="auto" w:sz="4"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nil"/>
              <w:left w:val="nil"/>
              <w:bottom w:val="single" w:color="auto" w:sz="4" w:space="0"/>
              <w:right w:val="single" w:color="auto" w:sz="8"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红外遥控器</w:t>
            </w:r>
          </w:p>
        </w:tc>
        <w:tc>
          <w:tcPr>
            <w:tcW w:w="2782" w:type="pct"/>
            <w:tcBorders>
              <w:top w:val="nil"/>
              <w:left w:val="nil"/>
              <w:bottom w:val="single" w:color="auto" w:sz="4" w:space="0"/>
              <w:right w:val="single" w:color="auto" w:sz="12"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1个（</w:t>
            </w:r>
            <w:r>
              <w:rPr>
                <w:rFonts w:hint="eastAsia" w:ascii="仿宋" w:hAnsi="仿宋" w:eastAsia="仿宋" w:cs="宋体"/>
                <w:b/>
                <w:bCs/>
                <w:color w:val="000000" w:themeColor="text1"/>
                <w:kern w:val="0"/>
                <w:sz w:val="18"/>
                <w:szCs w:val="18"/>
                <w14:textFill>
                  <w14:solidFill>
                    <w14:schemeClr w14:val="tx1"/>
                  </w14:solidFill>
                </w14:textFill>
              </w:rPr>
              <w:t>规格由中广有线指定</w:t>
            </w:r>
            <w:r>
              <w:rPr>
                <w:rFonts w:hint="eastAsia" w:ascii="仿宋" w:hAnsi="仿宋" w:eastAsia="仿宋" w:cs="宋体"/>
                <w:color w:val="000000" w:themeColor="text1"/>
                <w:kern w:val="0"/>
                <w:sz w:val="18"/>
                <w:szCs w:val="18"/>
                <w14:textFill>
                  <w14:solidFill>
                    <w14:schemeClr w14:val="tx1"/>
                  </w14:solidFill>
                </w14:textFill>
              </w:rPr>
              <w:t>） (含2节7号电池，电池应具备国内销售资格,有中文标识)</w:t>
            </w:r>
          </w:p>
        </w:tc>
      </w:tr>
      <w:tr>
        <w:tblPrEx>
          <w:tblCellMar>
            <w:top w:w="0" w:type="dxa"/>
            <w:left w:w="108" w:type="dxa"/>
            <w:bottom w:w="0" w:type="dxa"/>
            <w:right w:w="108" w:type="dxa"/>
          </w:tblCellMar>
        </w:tblPrEx>
        <w:trPr>
          <w:trHeight w:val="285" w:hRule="atLeast"/>
        </w:trPr>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60"/>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ascii="Calibri" w:hAnsi="Calibri" w:eastAsia="仿宋" w:cs="Calibri"/>
                <w:color w:val="000000" w:themeColor="text1"/>
                <w:kern w:val="0"/>
                <w:sz w:val="18"/>
                <w:szCs w:val="18"/>
                <w14:textFill>
                  <w14:solidFill>
                    <w14:schemeClr w14:val="tx1"/>
                  </w14:solidFill>
                </w14:textFill>
              </w:rPr>
              <w:t> </w:t>
            </w:r>
          </w:p>
        </w:tc>
        <w:tc>
          <w:tcPr>
            <w:tcW w:w="455"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产品书</w:t>
            </w:r>
          </w:p>
        </w:tc>
        <w:tc>
          <w:tcPr>
            <w:tcW w:w="27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使用说明书、保修卡、产品合格证各一个</w:t>
            </w:r>
          </w:p>
        </w:tc>
      </w:tr>
      <w:tr>
        <w:tblPrEx>
          <w:tblCellMar>
            <w:top w:w="0" w:type="dxa"/>
            <w:left w:w="108" w:type="dxa"/>
            <w:bottom w:w="0" w:type="dxa"/>
            <w:right w:w="108" w:type="dxa"/>
          </w:tblCellMar>
        </w:tblPrEx>
        <w:trPr>
          <w:trHeight w:val="285" w:hRule="atLeast"/>
        </w:trPr>
        <w:tc>
          <w:tcPr>
            <w:tcW w:w="6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r>
              <w:rPr>
                <w:rFonts w:ascii="仿宋" w:hAnsi="仿宋" w:eastAsia="仿宋" w:cs="宋体"/>
                <w:color w:val="000000" w:themeColor="text1"/>
                <w:kern w:val="0"/>
                <w:sz w:val="18"/>
                <w:szCs w:val="18"/>
                <w14:textFill>
                  <w14:solidFill>
                    <w14:schemeClr w14:val="tx1"/>
                  </w14:solidFill>
                </w14:textFill>
              </w:rPr>
              <w:t>2.</w:t>
            </w:r>
          </w:p>
        </w:tc>
        <w:tc>
          <w:tcPr>
            <w:tcW w:w="455" w:type="pct"/>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外置</w:t>
            </w:r>
            <w:r>
              <w:rPr>
                <w:rFonts w:ascii="仿宋" w:hAnsi="仿宋" w:eastAsia="仿宋" w:cs="宋体"/>
                <w:color w:val="000000" w:themeColor="text1"/>
                <w:kern w:val="0"/>
                <w:sz w:val="18"/>
                <w:szCs w:val="18"/>
                <w14:textFill>
                  <w14:solidFill>
                    <w14:schemeClr w14:val="tx1"/>
                  </w14:solidFill>
                </w14:textFill>
              </w:rPr>
              <w:t>红外</w:t>
            </w:r>
            <w:r>
              <w:rPr>
                <w:rFonts w:hint="eastAsia" w:ascii="仿宋" w:hAnsi="仿宋" w:eastAsia="仿宋" w:cs="宋体"/>
                <w:color w:val="000000" w:themeColor="text1"/>
                <w:kern w:val="0"/>
                <w:sz w:val="18"/>
                <w:szCs w:val="18"/>
                <w14:textFill>
                  <w14:solidFill>
                    <w14:schemeClr w14:val="tx1"/>
                  </w14:solidFill>
                </w14:textFill>
              </w:rPr>
              <w:t>接收器</w:t>
            </w:r>
          </w:p>
        </w:tc>
        <w:tc>
          <w:tcPr>
            <w:tcW w:w="27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1个</w:t>
            </w:r>
            <w:r>
              <w:rPr>
                <w:rFonts w:hint="eastAsia" w:ascii="仿宋" w:hAnsi="仿宋" w:eastAsia="仿宋" w:cs="宋体"/>
                <w:color w:val="000000" w:themeColor="text1"/>
                <w:kern w:val="0"/>
                <w:sz w:val="18"/>
                <w:szCs w:val="18"/>
                <w14:textFill>
                  <w14:solidFill>
                    <w14:schemeClr w14:val="tx1"/>
                  </w14:solidFill>
                </w14:textFill>
              </w:rPr>
              <w:t>(包括引线，引线长度2米)，接收性能与机顶盒自带的红外接收器一致</w:t>
            </w:r>
          </w:p>
        </w:tc>
      </w:tr>
    </w:tbl>
    <w:p>
      <w:pPr>
        <w:spacing w:before="156" w:beforeLines="50" w:after="156" w:afterLines="50" w:line="420" w:lineRule="exact"/>
        <w:ind w:left="424" w:leftChars="202" w:firstLine="360"/>
        <w:rPr>
          <w:rFonts w:ascii="仿宋" w:hAnsi="仿宋" w:eastAsia="仿宋" w:cstheme="minorEastAsia"/>
          <w:b/>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drawing>
          <wp:anchor distT="0" distB="0" distL="114300" distR="114300" simplePos="0" relativeHeight="251659264" behindDoc="0" locked="0" layoutInCell="1" allowOverlap="1">
            <wp:simplePos x="0" y="0"/>
            <wp:positionH relativeFrom="margin">
              <wp:posOffset>1371600</wp:posOffset>
            </wp:positionH>
            <wp:positionV relativeFrom="paragraph">
              <wp:posOffset>464820</wp:posOffset>
            </wp:positionV>
            <wp:extent cx="2295525" cy="2994660"/>
            <wp:effectExtent l="0" t="0" r="3175" b="2540"/>
            <wp:wrapNone/>
            <wp:docPr id="9" name="图片 9" descr="C:\Users\Administrator\Desktop\QQ图片20180307144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QQ图片2018030714415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95525" cy="2994660"/>
                    </a:xfrm>
                    <a:prstGeom prst="rect">
                      <a:avLst/>
                    </a:prstGeom>
                    <a:noFill/>
                    <a:ln>
                      <a:noFill/>
                    </a:ln>
                  </pic:spPr>
                </pic:pic>
              </a:graphicData>
            </a:graphic>
          </wp:anchor>
        </w:drawing>
      </w:r>
      <w:r>
        <w:rPr>
          <w:rFonts w:hint="eastAsia" w:ascii="仿宋" w:hAnsi="仿宋" w:eastAsia="仿宋" w:cstheme="minorEastAsia"/>
          <w:b/>
          <w:color w:val="000000" w:themeColor="text1"/>
          <w:sz w:val="18"/>
          <w:szCs w:val="18"/>
          <w14:textFill>
            <w14:solidFill>
              <w14:schemeClr w14:val="tx1"/>
            </w14:solidFill>
          </w14:textFill>
        </w:rPr>
        <w:t>电源要求图示：</w:t>
      </w:r>
      <w:r>
        <w:rPr>
          <w:rFonts w:hint="eastAsia" w:ascii="仿宋" w:hAnsi="仿宋" w:eastAsia="仿宋" w:cs="宋体"/>
          <w:b/>
          <w:bCs/>
          <w:color w:val="000000" w:themeColor="text1"/>
          <w:sz w:val="18"/>
          <w:szCs w:val="18"/>
          <w14:textFill>
            <w14:solidFill>
              <w14:schemeClr w14:val="tx1"/>
            </w14:solidFill>
          </w14:textFill>
        </w:rPr>
        <w:t>厚度不得超过3</w:t>
      </w:r>
      <w:r>
        <w:rPr>
          <w:rFonts w:ascii="仿宋" w:hAnsi="仿宋" w:eastAsia="仿宋" w:cs="宋体"/>
          <w:b/>
          <w:bCs/>
          <w:color w:val="000000" w:themeColor="text1"/>
          <w:sz w:val="18"/>
          <w:szCs w:val="18"/>
          <w14:textFill>
            <w14:solidFill>
              <w14:schemeClr w14:val="tx1"/>
            </w14:solidFill>
          </w14:textFill>
        </w:rPr>
        <w:t>.</w:t>
      </w:r>
      <w:r>
        <w:rPr>
          <w:rFonts w:hint="eastAsia" w:ascii="仿宋" w:hAnsi="仿宋" w:eastAsia="仿宋" w:cs="宋体"/>
          <w:b/>
          <w:bCs/>
          <w:color w:val="000000" w:themeColor="text1"/>
          <w:sz w:val="18"/>
          <w:szCs w:val="18"/>
          <w14:textFill>
            <w14:solidFill>
              <w14:schemeClr w14:val="tx1"/>
            </w14:solidFill>
          </w14:textFill>
        </w:rPr>
        <w:t>7</w:t>
      </w:r>
      <w:r>
        <w:rPr>
          <w:rFonts w:ascii="仿宋" w:hAnsi="仿宋" w:eastAsia="仿宋" w:cs="宋体"/>
          <w:b/>
          <w:bCs/>
          <w:color w:val="000000" w:themeColor="text1"/>
          <w:sz w:val="18"/>
          <w:szCs w:val="18"/>
          <w14:textFill>
            <w14:solidFill>
              <w14:schemeClr w14:val="tx1"/>
            </w14:solidFill>
          </w14:textFill>
        </w:rPr>
        <w:t>cm</w:t>
      </w:r>
      <w:r>
        <w:rPr>
          <w:rFonts w:hint="eastAsia" w:ascii="仿宋" w:hAnsi="仿宋" w:eastAsia="仿宋"/>
          <w:b/>
          <w:color w:val="000000" w:themeColor="text1"/>
          <w:sz w:val="18"/>
          <w:szCs w:val="18"/>
          <w14:textFill>
            <w14:solidFill>
              <w14:schemeClr w14:val="tx1"/>
            </w14:solidFill>
          </w14:textFill>
        </w:rPr>
        <w:t>如下图(仅作示意)：</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p>
    <w:p>
      <w:pPr>
        <w:spacing w:before="156" w:beforeLines="50" w:after="156" w:afterLines="50" w:line="420" w:lineRule="exact"/>
        <w:ind w:left="424" w:leftChars="202" w:firstLine="360"/>
        <w:rPr>
          <w:rFonts w:ascii="仿宋" w:hAnsi="仿宋" w:eastAsia="仿宋" w:cstheme="minorEastAsia"/>
          <w:color w:val="000000" w:themeColor="text1"/>
          <w:sz w:val="18"/>
          <w:szCs w:val="18"/>
          <w14:textFill>
            <w14:solidFill>
              <w14:schemeClr w14:val="tx1"/>
            </w14:solidFill>
          </w14:textFill>
        </w:rPr>
      </w:pPr>
      <w:r>
        <w:rPr>
          <w:rFonts w:hint="eastAsia" w:ascii="仿宋" w:hAnsi="仿宋" w:eastAsia="仿宋" w:cstheme="minorEastAsia"/>
          <w:color w:val="000000" w:themeColor="text1"/>
          <w:sz w:val="18"/>
          <w:szCs w:val="18"/>
          <w14:textFill>
            <w14:solidFill>
              <w14:schemeClr w14:val="tx1"/>
            </w14:solidFill>
          </w14:textFill>
        </w:rPr>
        <w:t>其电器性能和稳定性要求同上表中电源要求。须提供该电源适配器的3C检测证书和报告。</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同时，应配备至少一款桌面式电源供采购人选择。如下图(仅作示意)，本款电源其指标规格同前面表格中“外置电源”项目的要求。</w:t>
      </w:r>
    </w:p>
    <w:p>
      <w:pPr>
        <w:widowControl/>
        <w:ind w:firstLine="480"/>
        <w:jc w:val="cente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drawing>
          <wp:inline distT="0" distB="0" distL="0" distR="0">
            <wp:extent cx="3238500" cy="2562225"/>
            <wp:effectExtent l="0" t="0" r="0" b="3175"/>
            <wp:docPr id="11" name="图片 11" descr="C:\Users\Administrator\AppData\Roaming\Tencent\Users\119162160\QQ\WinTemp\RichOle\P5O~U32)Q8W[MO5%V[[M)J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119162160\QQ\WinTemp\RichOle\P5O~U32)Q8W[MO5%V[[M)J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38500" cy="2562225"/>
                    </a:xfrm>
                    <a:prstGeom prst="rect">
                      <a:avLst/>
                    </a:prstGeom>
                    <a:noFill/>
                    <a:ln>
                      <a:noFill/>
                    </a:ln>
                  </pic:spPr>
                </pic:pic>
              </a:graphicData>
            </a:graphic>
          </wp:inline>
        </w:drawing>
      </w:r>
    </w:p>
    <w:p>
      <w:pPr>
        <w:pStyle w:val="4"/>
        <w:tabs>
          <w:tab w:val="left" w:pos="0"/>
          <w:tab w:val="clear" w:pos="3960"/>
        </w:tabs>
        <w:rPr>
          <w:rFonts w:ascii="仿宋" w:hAnsi="仿宋" w:eastAsia="仿宋"/>
        </w:rPr>
      </w:pPr>
      <w:bookmarkStart w:id="286" w:name="_Toc72941064"/>
      <w:r>
        <w:rPr>
          <w:rFonts w:hint="eastAsia" w:ascii="仿宋" w:hAnsi="仿宋" w:eastAsia="仿宋"/>
        </w:rPr>
        <w:t>机顶盒内置AP模块的要求</w:t>
      </w:r>
      <w:bookmarkEnd w:id="286"/>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内置AP模块的基本要求</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路由模块必须能独立机顶盒主板工作，即在机顶盒主板待机、故障等异常状态下，路由模块应能保持正常工作。</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AP模块位于机顶盒内部，天线也在机顶盒内部。</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机顶盒应具备AP工作指示灯，能反映AP的工作状态，即启用时亮起，停用时不亮，有数据传输的时候闪烁（快速）。路由模块被复位时先熄灭，2秒后亮起，并闪烁3次（间隔1秒）；指示灯可以在机顶盒面板上，也可以在机顶盒内部（需要在机顶盒外壳上有明显标识，方便维护人员从该处观察到内部的AP指示灯）</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AP应具备至少2个SSID能力，且支持中英文服务标识名，默认第一个SSID为“WasuAP-”+“AP无线</w:t>
      </w:r>
      <w:r>
        <w:rPr>
          <w:rFonts w:ascii="仿宋" w:hAnsi="仿宋" w:eastAsia="仿宋" w:cs="宋体"/>
          <w:color w:val="000000" w:themeColor="text1"/>
          <w:sz w:val="18"/>
          <w:szCs w:val="18"/>
          <w14:textFill>
            <w14:solidFill>
              <w14:schemeClr w14:val="tx1"/>
            </w14:solidFill>
          </w14:textFill>
        </w:rPr>
        <w:t>MAC</w:t>
      </w:r>
      <w:r>
        <w:rPr>
          <w:rFonts w:hint="eastAsia" w:ascii="仿宋" w:hAnsi="仿宋" w:eastAsia="仿宋" w:cs="宋体"/>
          <w:color w:val="000000" w:themeColor="text1"/>
          <w:sz w:val="18"/>
          <w:szCs w:val="18"/>
          <w14:textFill>
            <w14:solidFill>
              <w14:schemeClr w14:val="tx1"/>
            </w14:solidFill>
          </w14:textFill>
        </w:rPr>
        <w:t>地址后6位”，无线安全模式为WPA/WPA2混合，</w:t>
      </w:r>
      <w:r>
        <w:rPr>
          <w:rFonts w:ascii="仿宋" w:hAnsi="仿宋" w:eastAsia="仿宋" w:cs="宋体"/>
          <w:color w:val="000000" w:themeColor="text1"/>
          <w:sz w:val="18"/>
          <w:szCs w:val="18"/>
          <w14:textFill>
            <w14:solidFill>
              <w14:schemeClr w14:val="tx1"/>
            </w14:solidFill>
          </w14:textFill>
        </w:rPr>
        <w:t>AES</w:t>
      </w:r>
      <w:r>
        <w:rPr>
          <w:rFonts w:hint="eastAsia" w:ascii="仿宋" w:hAnsi="仿宋" w:eastAsia="仿宋" w:cs="宋体"/>
          <w:color w:val="000000" w:themeColor="text1"/>
          <w:sz w:val="18"/>
          <w:szCs w:val="18"/>
          <w14:textFill>
            <w14:solidFill>
              <w14:schemeClr w14:val="tx1"/>
            </w14:solidFill>
          </w14:textFill>
        </w:rPr>
        <w:t>加密，密码为</w:t>
      </w:r>
      <w:r>
        <w:rPr>
          <w:rFonts w:ascii="仿宋" w:hAnsi="仿宋" w:eastAsia="仿宋" w:cs="宋体"/>
          <w:color w:val="000000" w:themeColor="text1"/>
          <w:sz w:val="18"/>
          <w:szCs w:val="18"/>
          <w14:textFill>
            <w14:solidFill>
              <w14:schemeClr w14:val="tx1"/>
            </w14:solidFill>
          </w14:textFill>
        </w:rPr>
        <w:t>00000000</w:t>
      </w:r>
      <w:r>
        <w:rPr>
          <w:rFonts w:hint="eastAsia" w:ascii="仿宋" w:hAnsi="仿宋" w:eastAsia="仿宋" w:cs="宋体"/>
          <w:color w:val="000000" w:themeColor="text1"/>
          <w:sz w:val="18"/>
          <w:szCs w:val="18"/>
          <w14:textFill>
            <w14:solidFill>
              <w14:schemeClr w14:val="tx1"/>
            </w14:solidFill>
          </w14:textFill>
        </w:rPr>
        <w:t>；</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其他功能及性能要求</w:t>
      </w:r>
    </w:p>
    <w:tbl>
      <w:tblPr>
        <w:tblStyle w:val="38"/>
        <w:tblW w:w="5129" w:type="pct"/>
        <w:tblInd w:w="0" w:type="dxa"/>
        <w:tblLayout w:type="autofit"/>
        <w:tblCellMar>
          <w:top w:w="0" w:type="dxa"/>
          <w:left w:w="108" w:type="dxa"/>
          <w:bottom w:w="0" w:type="dxa"/>
          <w:right w:w="108" w:type="dxa"/>
        </w:tblCellMar>
      </w:tblPr>
      <w:tblGrid>
        <w:gridCol w:w="1031"/>
        <w:gridCol w:w="2121"/>
        <w:gridCol w:w="6834"/>
      </w:tblGrid>
      <w:tr>
        <w:tblPrEx>
          <w:tblCellMar>
            <w:top w:w="0" w:type="dxa"/>
            <w:left w:w="108" w:type="dxa"/>
            <w:bottom w:w="0" w:type="dxa"/>
            <w:right w:w="108" w:type="dxa"/>
          </w:tblCellMar>
        </w:tblPrEx>
        <w:trPr>
          <w:trHeight w:val="300" w:hRule="atLeast"/>
        </w:trPr>
        <w:tc>
          <w:tcPr>
            <w:tcW w:w="516" w:type="pct"/>
            <w:vMerge w:val="restart"/>
            <w:tcBorders>
              <w:top w:val="single" w:color="auto" w:sz="12" w:space="0"/>
              <w:left w:val="single" w:color="auto" w:sz="12" w:space="0"/>
              <w:bottom w:val="single" w:color="000000" w:sz="8" w:space="0"/>
              <w:right w:val="single" w:color="auto" w:sz="8" w:space="0"/>
            </w:tcBorders>
            <w:shd w:val="clear" w:color="auto" w:fill="auto"/>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无线AP性能参数</w:t>
            </w:r>
          </w:p>
        </w:tc>
        <w:tc>
          <w:tcPr>
            <w:tcW w:w="1062" w:type="pct"/>
            <w:tcBorders>
              <w:top w:val="single" w:color="auto" w:sz="12" w:space="0"/>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无线协议</w:t>
            </w:r>
          </w:p>
        </w:tc>
        <w:tc>
          <w:tcPr>
            <w:tcW w:w="3421" w:type="pct"/>
            <w:tcBorders>
              <w:top w:val="single" w:color="auto" w:sz="12" w:space="0"/>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支持802.11b/g/n，默认为混合模式</w:t>
            </w:r>
          </w:p>
        </w:tc>
      </w:tr>
      <w:tr>
        <w:tblPrEx>
          <w:tblCellMar>
            <w:top w:w="0" w:type="dxa"/>
            <w:left w:w="108" w:type="dxa"/>
            <w:bottom w:w="0" w:type="dxa"/>
            <w:right w:w="108" w:type="dxa"/>
          </w:tblCellMar>
        </w:tblPrEx>
        <w:trPr>
          <w:trHeight w:val="46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无线频段</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2.4Ghz 信道1~13.应支持自动信道选择和手工配置两种方式，默认自动信道选择方式。</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3.</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无线带宽</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支持20Mhz和40Mhz(11n)，默认为20Mhz</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4.</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加密模式</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应支持WPA-PSK、WPA2-PSK、WPA-PSK/WPA2-PSK 混和模式。</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5.</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终端连接数及类型兼容</w:t>
            </w: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终端同时连接数要求≥6个，连接数要求可配置</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支持的终端类型应至少为电脑、安卓手机/平板、苹果手机/平板。</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发射功率</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最大值≥100mw（应在路由器界面中20~100可调，步长为5）</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7.</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天线增益</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全向的天线为3dBi</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8.</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MIMO</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2T2R或以上</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9.</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硬件配置</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64MB RAM，16MB Flash</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10.</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信号强度</w:t>
            </w: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11b模式下，协商速率为11mbps时，信号强度</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78dbm</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11g模式下，协商速率为54mbps时，信号强度</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68dbm</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11n模式下，协商速率为65mbps时，信号强度</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64dbm</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11n模式下，协商速率为135mbps时，信号强度</w:t>
            </w:r>
            <w:r>
              <w:rPr>
                <w:rFonts w:ascii="仿宋" w:hAnsi="仿宋" w:eastAsia="仿宋" w:cs="宋体"/>
                <w:color w:val="000000" w:themeColor="text1"/>
                <w:kern w:val="0"/>
                <w:sz w:val="18"/>
                <w:szCs w:val="18"/>
                <w14:textFill>
                  <w14:solidFill>
                    <w14:schemeClr w14:val="tx1"/>
                  </w14:solidFill>
                </w14:textFill>
              </w:rPr>
              <w:t></w:t>
            </w:r>
            <w:r>
              <w:rPr>
                <w:rFonts w:hint="eastAsia" w:ascii="仿宋" w:hAnsi="仿宋" w:eastAsia="仿宋" w:cs="宋体"/>
                <w:color w:val="000000" w:themeColor="text1"/>
                <w:kern w:val="0"/>
                <w:sz w:val="18"/>
                <w:szCs w:val="18"/>
                <w14:textFill>
                  <w14:solidFill>
                    <w14:schemeClr w14:val="tx1"/>
                  </w14:solidFill>
                </w14:textFill>
              </w:rPr>
              <w:t>61dbm</w:t>
            </w:r>
          </w:p>
        </w:tc>
      </w:tr>
      <w:tr>
        <w:tblPrEx>
          <w:tblCellMar>
            <w:top w:w="0" w:type="dxa"/>
            <w:left w:w="108" w:type="dxa"/>
            <w:bottom w:w="0" w:type="dxa"/>
            <w:right w:w="108" w:type="dxa"/>
          </w:tblCellMar>
        </w:tblPrEx>
        <w:trPr>
          <w:trHeight w:val="45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11.</w:t>
            </w:r>
            <w:r>
              <w:rPr>
                <w:rFonts w:ascii="Calibri" w:hAnsi="Calibri" w:eastAsia="仿宋" w:cs="Calibri"/>
                <w:color w:val="000000" w:themeColor="text1"/>
                <w:kern w:val="0"/>
                <w:sz w:val="14"/>
                <w:szCs w:val="14"/>
                <w14:textFill>
                  <w14:solidFill>
                    <w14:schemeClr w14:val="tx1"/>
                  </w14:solidFill>
                </w14:textFill>
              </w:rPr>
              <w:t> </w:t>
            </w:r>
            <w:r>
              <w:rPr>
                <w:rFonts w:ascii="仿宋" w:hAnsi="仿宋" w:eastAsia="仿宋"/>
                <w:color w:val="000000" w:themeColor="text1"/>
                <w:kern w:val="0"/>
                <w:sz w:val="14"/>
                <w:szCs w:val="14"/>
                <w14:textFill>
                  <w14:solidFill>
                    <w14:schemeClr w14:val="tx1"/>
                  </w14:solidFill>
                </w14:textFill>
              </w:rPr>
              <w:t xml:space="preserve"> </w:t>
            </w:r>
            <w:r>
              <w:rPr>
                <w:rFonts w:hint="eastAsia" w:ascii="仿宋" w:hAnsi="仿宋" w:eastAsia="仿宋" w:cs="宋体"/>
                <w:color w:val="000000" w:themeColor="text1"/>
                <w:kern w:val="0"/>
                <w:sz w:val="18"/>
                <w:szCs w:val="18"/>
                <w14:textFill>
                  <w14:solidFill>
                    <w14:schemeClr w14:val="tx1"/>
                  </w14:solidFill>
                </w14:textFill>
              </w:rPr>
              <w:t>长时间工作稳定性</w:t>
            </w: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（1）机顶盒提供的AP应能在开机后的在相对恶劣环境（温度50度，湿度80%左右）下120小时以内保证无线客户端的连接和使用。</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（2）上述120小时以内，无线终端的单次连接应能保持至少24小时不断线。</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12.无线吞吐性能（WPA2/AES加密时）</w:t>
            </w: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AP所连接的单个终端（也是2T2R）在相距5米时：</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在同信道仅存1个WiFi热点的情况下</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单连接实测速率应不低于下行80mbps，上行80mbps。</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平均延迟不大于20ms。丢包率不大于1%</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13.无线穿墙性能</w:t>
            </w: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AP所连接的单个终端在相距5米隔一堵墙（30cm厚度混泥土墙）时：</w:t>
            </w:r>
          </w:p>
        </w:tc>
      </w:tr>
      <w:tr>
        <w:tblPrEx>
          <w:tblCellMar>
            <w:top w:w="0" w:type="dxa"/>
            <w:left w:w="108" w:type="dxa"/>
            <w:bottom w:w="0" w:type="dxa"/>
            <w:right w:w="108" w:type="dxa"/>
          </w:tblCellMar>
        </w:tblPrEx>
        <w:trPr>
          <w:trHeight w:val="270"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在同信道存在5个WiFi热点的情况下：</w:t>
            </w:r>
          </w:p>
        </w:tc>
      </w:tr>
      <w:tr>
        <w:tblPrEx>
          <w:tblCellMar>
            <w:top w:w="0" w:type="dxa"/>
            <w:left w:w="108" w:type="dxa"/>
            <w:bottom w:w="0" w:type="dxa"/>
            <w:right w:w="108" w:type="dxa"/>
          </w:tblCellMar>
        </w:tblPrEx>
        <w:trPr>
          <w:trHeight w:val="285" w:hRule="atLeast"/>
        </w:trPr>
        <w:tc>
          <w:tcPr>
            <w:tcW w:w="516" w:type="pct"/>
            <w:vMerge w:val="continue"/>
            <w:tcBorders>
              <w:top w:val="single" w:color="auto" w:sz="12" w:space="0"/>
              <w:left w:val="single" w:color="auto" w:sz="12" w:space="0"/>
              <w:bottom w:val="single" w:color="000000" w:sz="8"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8"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单连接实测速率应不低于下行15mbps，上行15mbps。</w:t>
            </w:r>
          </w:p>
        </w:tc>
      </w:tr>
      <w:tr>
        <w:tblPrEx>
          <w:tblCellMar>
            <w:top w:w="0" w:type="dxa"/>
            <w:left w:w="108" w:type="dxa"/>
            <w:bottom w:w="0" w:type="dxa"/>
            <w:right w:w="108" w:type="dxa"/>
          </w:tblCellMar>
        </w:tblPrEx>
        <w:trPr>
          <w:trHeight w:val="270" w:hRule="atLeast"/>
        </w:trPr>
        <w:tc>
          <w:tcPr>
            <w:tcW w:w="516" w:type="pct"/>
            <w:vMerge w:val="restart"/>
            <w:tcBorders>
              <w:top w:val="nil"/>
              <w:left w:val="single" w:color="auto" w:sz="12" w:space="0"/>
              <w:bottom w:val="single" w:color="000000" w:sz="12" w:space="0"/>
              <w:right w:val="single" w:color="auto" w:sz="8" w:space="0"/>
            </w:tcBorders>
            <w:shd w:val="clear" w:color="auto" w:fill="auto"/>
            <w:vAlign w:val="center"/>
          </w:tcPr>
          <w:p>
            <w:pPr>
              <w:widowControl/>
              <w:ind w:firstLine="21" w:firstLineChars="12"/>
              <w:jc w:val="center"/>
              <w:rPr>
                <w:rFonts w:ascii="仿宋" w:hAnsi="仿宋" w:eastAsia="仿宋" w:cs="宋体"/>
                <w:b/>
                <w:bCs/>
                <w:color w:val="000000" w:themeColor="text1"/>
                <w:kern w:val="0"/>
                <w:sz w:val="18"/>
                <w:szCs w:val="18"/>
                <w14:textFill>
                  <w14:solidFill>
                    <w14:schemeClr w14:val="tx1"/>
                  </w14:solidFill>
                </w14:textFill>
              </w:rPr>
            </w:pPr>
            <w:r>
              <w:rPr>
                <w:rFonts w:hint="eastAsia" w:ascii="仿宋" w:hAnsi="仿宋" w:eastAsia="仿宋" w:cs="宋体"/>
                <w:b/>
                <w:bCs/>
                <w:color w:val="000000" w:themeColor="text1"/>
                <w:kern w:val="0"/>
                <w:sz w:val="18"/>
                <w:szCs w:val="18"/>
                <w14:textFill>
                  <w14:solidFill>
                    <w14:schemeClr w14:val="tx1"/>
                  </w14:solidFill>
                </w14:textFill>
              </w:rPr>
              <w:t>LAN口性能</w:t>
            </w:r>
          </w:p>
        </w:tc>
        <w:tc>
          <w:tcPr>
            <w:tcW w:w="1062" w:type="pct"/>
            <w:vMerge w:val="restart"/>
            <w:tcBorders>
              <w:top w:val="nil"/>
              <w:left w:val="single" w:color="auto" w:sz="8" w:space="0"/>
              <w:bottom w:val="single" w:color="000000" w:sz="12" w:space="0"/>
              <w:right w:val="single" w:color="auto" w:sz="8" w:space="0"/>
            </w:tcBorders>
            <w:shd w:val="clear" w:color="auto" w:fill="auto"/>
            <w:vAlign w:val="center"/>
          </w:tcPr>
          <w:p>
            <w:pPr>
              <w:widowControl/>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吞吐量</w:t>
            </w:r>
          </w:p>
        </w:tc>
        <w:tc>
          <w:tcPr>
            <w:tcW w:w="3421" w:type="pct"/>
            <w:tcBorders>
              <w:top w:val="nil"/>
              <w:left w:val="nil"/>
              <w:bottom w:val="nil"/>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WAN口到LAN口吞吐量不低于90Mbps</w:t>
            </w:r>
          </w:p>
        </w:tc>
      </w:tr>
      <w:tr>
        <w:tblPrEx>
          <w:tblCellMar>
            <w:top w:w="0" w:type="dxa"/>
            <w:left w:w="108" w:type="dxa"/>
            <w:bottom w:w="0" w:type="dxa"/>
            <w:right w:w="108" w:type="dxa"/>
          </w:tblCellMar>
        </w:tblPrEx>
        <w:trPr>
          <w:trHeight w:val="285" w:hRule="atLeast"/>
        </w:trPr>
        <w:tc>
          <w:tcPr>
            <w:tcW w:w="516" w:type="pct"/>
            <w:vMerge w:val="continue"/>
            <w:tcBorders>
              <w:top w:val="nil"/>
              <w:left w:val="single" w:color="auto" w:sz="12" w:space="0"/>
              <w:bottom w:val="single" w:color="000000" w:sz="12" w:space="0"/>
              <w:right w:val="single" w:color="auto" w:sz="8" w:space="0"/>
            </w:tcBorders>
            <w:vAlign w:val="center"/>
          </w:tcPr>
          <w:p>
            <w:pPr>
              <w:widowControl/>
              <w:ind w:firstLine="361"/>
              <w:jc w:val="left"/>
              <w:rPr>
                <w:rFonts w:ascii="仿宋" w:hAnsi="仿宋" w:eastAsia="仿宋" w:cs="宋体"/>
                <w:b/>
                <w:bCs/>
                <w:color w:val="000000" w:themeColor="text1"/>
                <w:kern w:val="0"/>
                <w:sz w:val="18"/>
                <w:szCs w:val="18"/>
                <w14:textFill>
                  <w14:solidFill>
                    <w14:schemeClr w14:val="tx1"/>
                  </w14:solidFill>
                </w14:textFill>
              </w:rPr>
            </w:pPr>
          </w:p>
        </w:tc>
        <w:tc>
          <w:tcPr>
            <w:tcW w:w="1062" w:type="pct"/>
            <w:vMerge w:val="continue"/>
            <w:tcBorders>
              <w:top w:val="nil"/>
              <w:left w:val="single" w:color="auto" w:sz="8" w:space="0"/>
              <w:bottom w:val="single" w:color="000000" w:sz="12" w:space="0"/>
              <w:right w:val="single" w:color="auto" w:sz="8" w:space="0"/>
            </w:tcBorders>
            <w:vAlign w:val="center"/>
          </w:tcPr>
          <w:p>
            <w:pPr>
              <w:widowControl/>
              <w:ind w:firstLine="360"/>
              <w:jc w:val="left"/>
              <w:rPr>
                <w:rFonts w:ascii="仿宋" w:hAnsi="仿宋" w:eastAsia="仿宋" w:cs="宋体"/>
                <w:color w:val="000000" w:themeColor="text1"/>
                <w:kern w:val="0"/>
                <w:sz w:val="18"/>
                <w:szCs w:val="18"/>
                <w14:textFill>
                  <w14:solidFill>
                    <w14:schemeClr w14:val="tx1"/>
                  </w14:solidFill>
                </w14:textFill>
              </w:rPr>
            </w:pPr>
          </w:p>
        </w:tc>
        <w:tc>
          <w:tcPr>
            <w:tcW w:w="3421" w:type="pct"/>
            <w:tcBorders>
              <w:top w:val="nil"/>
              <w:left w:val="nil"/>
              <w:bottom w:val="single" w:color="auto" w:sz="12" w:space="0"/>
              <w:right w:val="single" w:color="auto" w:sz="12" w:space="0"/>
            </w:tcBorders>
            <w:shd w:val="clear" w:color="auto" w:fill="auto"/>
            <w:vAlign w:val="center"/>
          </w:tcPr>
          <w:p>
            <w:pPr>
              <w:widowControl/>
              <w:ind w:firstLine="30" w:firstLineChars="17"/>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平均延迟不大于</w:t>
            </w:r>
            <w:r>
              <w:rPr>
                <w:rFonts w:ascii="仿宋" w:hAnsi="仿宋" w:eastAsia="仿宋" w:cs="宋体"/>
                <w:color w:val="000000" w:themeColor="text1"/>
                <w:kern w:val="0"/>
                <w:sz w:val="18"/>
                <w:szCs w:val="18"/>
                <w14:textFill>
                  <w14:solidFill>
                    <w14:schemeClr w14:val="tx1"/>
                  </w14:solidFill>
                </w14:textFill>
              </w:rPr>
              <w:t>20ms</w:t>
            </w:r>
            <w:r>
              <w:rPr>
                <w:rFonts w:hint="eastAsia" w:ascii="仿宋" w:hAnsi="仿宋" w:eastAsia="仿宋" w:cs="宋体"/>
                <w:color w:val="000000" w:themeColor="text1"/>
                <w:kern w:val="0"/>
                <w:sz w:val="18"/>
                <w:szCs w:val="18"/>
                <w14:textFill>
                  <w14:solidFill>
                    <w14:schemeClr w14:val="tx1"/>
                  </w14:solidFill>
                </w14:textFill>
              </w:rPr>
              <w:t>。丢包率不大于</w:t>
            </w:r>
            <w:r>
              <w:rPr>
                <w:rFonts w:ascii="仿宋" w:hAnsi="仿宋" w:eastAsia="仿宋" w:cs="宋体"/>
                <w:color w:val="000000" w:themeColor="text1"/>
                <w:kern w:val="0"/>
                <w:sz w:val="18"/>
                <w:szCs w:val="18"/>
                <w14:textFill>
                  <w14:solidFill>
                    <w14:schemeClr w14:val="tx1"/>
                  </w14:solidFill>
                </w14:textFill>
              </w:rPr>
              <w:t>1%</w:t>
            </w:r>
          </w:p>
        </w:tc>
      </w:tr>
    </w:tbl>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支持硬复位按键，路由模块复位后，网络设置、AP模块设置、AC平台对接的数据及设置、审计功能设置都恢复到出厂设置。同时要求此硬键不会轻易被用户误碰触，被复位时有指示灯反映复位过程。</w:t>
      </w:r>
    </w:p>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要求从路由器模块引出一个10/100Mbps自适应</w:t>
      </w:r>
      <w:r>
        <w:rPr>
          <w:rFonts w:ascii="仿宋" w:hAnsi="仿宋" w:eastAsia="仿宋"/>
          <w:color w:val="000000" w:themeColor="text1"/>
          <w14:textFill>
            <w14:solidFill>
              <w14:schemeClr w14:val="tx1"/>
            </w14:solidFill>
          </w14:textFill>
        </w:rPr>
        <w:t>LAN</w:t>
      </w:r>
      <w:r>
        <w:rPr>
          <w:rFonts w:hint="eastAsia" w:ascii="仿宋" w:hAnsi="仿宋" w:eastAsia="仿宋"/>
          <w:color w:val="000000" w:themeColor="text1"/>
          <w14:textFill>
            <w14:solidFill>
              <w14:schemeClr w14:val="tx1"/>
            </w14:solidFill>
          </w14:textFill>
        </w:rPr>
        <w:t>端口到机顶盒外面，满足用户有线上网的需求，LAN规格为</w:t>
      </w:r>
      <w:r>
        <w:rPr>
          <w:rFonts w:ascii="仿宋" w:hAnsi="仿宋" w:eastAsia="仿宋"/>
          <w:color w:val="000000" w:themeColor="text1"/>
          <w14:textFill>
            <w14:solidFill>
              <w14:schemeClr w14:val="tx1"/>
            </w14:solidFill>
          </w14:textFill>
        </w:rPr>
        <w:t>8</w:t>
      </w:r>
      <w:r>
        <w:rPr>
          <w:rFonts w:hint="eastAsia" w:ascii="仿宋" w:hAnsi="仿宋" w:eastAsia="仿宋"/>
          <w:color w:val="000000" w:themeColor="text1"/>
          <w14:textFill>
            <w14:solidFill>
              <w14:schemeClr w14:val="tx1"/>
            </w14:solidFill>
          </w14:textFill>
        </w:rPr>
        <w:t>针；</w:t>
      </w:r>
    </w:p>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在机顶盒背标贴上需印有无线网卡的MAC地址、WAN口MAC、LAN口MAC及默认SSID。</w:t>
      </w:r>
    </w:p>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设置需求：</w:t>
      </w:r>
    </w:p>
    <w:p>
      <w:pPr>
        <w:rPr>
          <w:rFonts w:ascii="仿宋" w:hAnsi="仿宋" w:eastAsia="仿宋"/>
        </w:rPr>
      </w:pPr>
      <w:r>
        <w:rPr>
          <w:rFonts w:hint="eastAsia" w:ascii="仿宋" w:hAnsi="仿宋" w:eastAsia="仿宋"/>
        </w:rPr>
        <w:t>工程人员可以通过无线或有线来访问路由器的管理页面地址为192.168.88.254，默认用户名为admin，密码为adminadmin。并能在配置页面中修改。</w:t>
      </w:r>
    </w:p>
    <w:p>
      <w:pPr>
        <w:rPr>
          <w:rFonts w:ascii="仿宋" w:hAnsi="仿宋" w:eastAsia="仿宋"/>
        </w:rPr>
      </w:pPr>
      <w:r>
        <w:rPr>
          <w:rFonts w:hint="eastAsia" w:ascii="仿宋" w:hAnsi="仿宋" w:eastAsia="仿宋"/>
        </w:rPr>
        <w:t>WAN口连接类型支持的模式有：PPPoE、动态IP（默认）、静态IP；拨号方式类型有以下几种：自动拨号（默认）、按需拨号、手动拨号，及其相关参数的设置；</w:t>
      </w:r>
    </w:p>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对接云AC平台技术要求</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对接浙江华数的云AC平台，其地址为：wifishy.wasu.com，符合相关技术规范.</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要求机顶盒终端的路由模块必须实现规范中要求的注册流程和认证流程，和网关心跳上报、终端心跳上报、终端逃生功能、用户下线、MAC无感知认证。</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在注册流程和认证流程中过程中，用户关联WiFi后，无论用户发起的是HTTP请求还是HTTPS请求，AP模块必须都能识别，并返回重定向地址。</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必须实现规范中要求的网关管理有：远程重启设备、启动Portal、停止Portal、重启Portal、SSID修改、单用户上下行速率控制、心跳时间间隔的参数设置。用户黑白名单、域白名单不作强制要求。</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AP应能通过在线软件更新方式升级固件。</w:t>
      </w:r>
    </w:p>
    <w:p>
      <w:pPr>
        <w:pStyle w:val="221"/>
        <w:numPr>
          <w:ilvl w:val="0"/>
          <w:numId w:val="16"/>
        </w:numPr>
        <w:spacing w:before="156" w:beforeLines="50" w:after="156" w:afterLines="50" w:line="420" w:lineRule="exact"/>
        <w:ind w:firstLineChars="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云AC功能应该能在AP自身设置界面中开关，默认为关。</w:t>
      </w:r>
    </w:p>
    <w:p>
      <w:pPr>
        <w:pStyle w:val="90"/>
        <w:numPr>
          <w:ilvl w:val="5"/>
          <w:numId w:val="0"/>
        </w:numPr>
        <w:tabs>
          <w:tab w:val="left" w:pos="0"/>
        </w:tabs>
        <w:adjustRightInd w:val="0"/>
        <w:spacing w:line="360" w:lineRule="auto"/>
        <w:ind w:left="227"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公安审计技术要求 </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AP应支持指定的安全审计功能，且审计模块应该能在AP自身设置界面中开关，默认为关；</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stheme="minorEastAsia"/>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硬件模块关系示意图</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内置AP（无线路由器）WAN口必须支持以下两种工作模式，并能通过AP自身的界面来选择。（默认为不区分VLAN模式）</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（1）不区分VLAN模式（点播网与互联网属于同一个VLAN）</w:t>
      </w:r>
    </w:p>
    <w:p>
      <w:pPr>
        <w:ind w:left="540" w:firstLine="360"/>
        <w:jc w:val="left"/>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drawing>
          <wp:inline distT="0" distB="0" distL="0" distR="0">
            <wp:extent cx="4838700" cy="3276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38700" cy="3276600"/>
                    </a:xfrm>
                    <a:prstGeom prst="rect">
                      <a:avLst/>
                    </a:prstGeom>
                    <a:noFill/>
                    <a:ln>
                      <a:noFill/>
                    </a:ln>
                  </pic:spPr>
                </pic:pic>
              </a:graphicData>
            </a:graphic>
          </wp:inline>
        </w:drawing>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该模式中，机顶盒的物理以太网口连接到AP模块的WAN口。AP模块的一个LAN口（连接机顶盒芯片LAN口）始终桥接到WAN口上，无线则根据路由器的LAN配置采用路由模式或者桥接模式（默认为路由模式）连接到WAN口。</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（2）双VLAN模式（点播网与互联网属于不同VLAN）</w:t>
      </w:r>
    </w:p>
    <w:p>
      <w:pPr>
        <w:ind w:left="720" w:firstLine="360"/>
        <w:rPr>
          <w:rFonts w:ascii="仿宋" w:hAnsi="仿宋" w:eastAsia="仿宋"/>
          <w:color w:val="000000" w:themeColor="text1"/>
          <w:sz w:val="18"/>
          <w:szCs w:val="18"/>
          <w14:textFill>
            <w14:solidFill>
              <w14:schemeClr w14:val="tx1"/>
            </w14:solidFill>
          </w14:textFill>
        </w:rPr>
      </w:pPr>
    </w:p>
    <w:p>
      <w:pPr>
        <w:ind w:left="720" w:firstLine="360"/>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drawing>
          <wp:inline distT="0" distB="0" distL="0" distR="0">
            <wp:extent cx="4895850" cy="3171825"/>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95850" cy="3171825"/>
                    </a:xfrm>
                    <a:prstGeom prst="rect">
                      <a:avLst/>
                    </a:prstGeom>
                    <a:noFill/>
                    <a:ln>
                      <a:noFill/>
                    </a:ln>
                  </pic:spPr>
                </pic:pic>
              </a:graphicData>
            </a:graphic>
          </wp:inline>
        </w:drawing>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该模式中，机顶盒的物理以太网口连接到AP模块的WAN口。AP模块的一个LAN口（连接机顶盒主芯片LAN口）始终桥接到WAN口上，且均打上VLANtag1。</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无线则根据路由器LAN配置采用路由模式或者桥接模式（默认为路由模式）连接到WAN口，且均打上VLANtag2。</w:t>
      </w:r>
    </w:p>
    <w:p>
      <w:pPr>
        <w:spacing w:before="156" w:beforeLines="50" w:after="156" w:afterLines="50" w:line="420" w:lineRule="exact"/>
        <w:ind w:firstLine="360"/>
        <w:jc w:val="left"/>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sz w:val="18"/>
          <w:szCs w:val="18"/>
          <w14:textFill>
            <w14:solidFill>
              <w14:schemeClr w14:val="tx1"/>
            </w14:solidFill>
          </w14:textFill>
        </w:rPr>
        <w:t>VLANtag1和2的具体数值应能在无线路由器自身的界面中输入。</w:t>
      </w:r>
    </w:p>
    <w:p>
      <w:pPr>
        <w:pStyle w:val="90"/>
        <w:numPr>
          <w:ilvl w:val="4"/>
          <w:numId w:val="0"/>
        </w:numPr>
        <w:tabs>
          <w:tab w:val="left" w:pos="0"/>
        </w:tabs>
        <w:adjustRightInd w:val="0"/>
        <w:spacing w:line="360" w:lineRule="auto"/>
        <w:ind w:left="170" w:firstLine="420"/>
        <w:jc w:val="left"/>
        <w:textAlignment w:val="baseline"/>
        <w:outlineLvl w:val="9"/>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附件A、标配华数SY34学习型遥控器</w:t>
      </w:r>
    </w:p>
    <w:p>
      <w:pPr>
        <w:jc w:val="center"/>
        <w:rPr>
          <w:rFonts w:ascii="仿宋" w:hAnsi="仿宋" w:eastAsia="仿宋" w:cstheme="minorEastAsia"/>
        </w:rPr>
      </w:pPr>
      <w:r>
        <w:rPr>
          <w:rFonts w:ascii="仿宋" w:hAnsi="仿宋" w:eastAsia="仿宋"/>
        </w:rPr>
        <w:drawing>
          <wp:inline distT="0" distB="0" distL="114300" distR="114300">
            <wp:extent cx="1308100" cy="534162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cstate="print"/>
                    <a:stretch>
                      <a:fillRect/>
                    </a:stretch>
                  </pic:blipFill>
                  <pic:spPr>
                    <a:xfrm>
                      <a:off x="0" y="0"/>
                      <a:ext cx="1310619" cy="5352268"/>
                    </a:xfrm>
                    <a:prstGeom prst="rect">
                      <a:avLst/>
                    </a:prstGeom>
                    <a:noFill/>
                    <a:ln>
                      <a:noFill/>
                    </a:ln>
                  </pic:spPr>
                </pic:pic>
              </a:graphicData>
            </a:graphic>
          </wp:inline>
        </w:drawing>
      </w:r>
      <w:r>
        <w:rPr>
          <w:rFonts w:ascii="仿宋" w:hAnsi="仿宋" w:eastAsia="仿宋"/>
        </w:rPr>
        <w:drawing>
          <wp:inline distT="0" distB="0" distL="114300" distR="114300">
            <wp:extent cx="2882900" cy="537400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887834" cy="5383147"/>
                    </a:xfrm>
                    <a:prstGeom prst="rect">
                      <a:avLst/>
                    </a:prstGeom>
                    <a:noFill/>
                    <a:ln>
                      <a:noFill/>
                    </a:ln>
                  </pic:spPr>
                </pic:pic>
              </a:graphicData>
            </a:graphic>
          </wp:inline>
        </w:drawing>
      </w:r>
    </w:p>
    <w:p>
      <w:pPr>
        <w:spacing w:line="420" w:lineRule="exact"/>
        <w:ind w:firstLine="420"/>
        <w:rPr>
          <w:rFonts w:ascii="仿宋" w:hAnsi="仿宋" w:eastAsia="仿宋"/>
          <w:color w:val="000000" w:themeColor="text1"/>
          <w14:textFill>
            <w14:solidFill>
              <w14:schemeClr w14:val="tx1"/>
            </w14:solidFill>
          </w14:textFill>
        </w:rPr>
      </w:pPr>
    </w:p>
    <w:p>
      <w:pPr>
        <w:jc w:val="cente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5"/>
        <w:spacing w:line="420" w:lineRule="exact"/>
        <w:rPr>
          <w:rFonts w:ascii="仿宋" w:hAnsi="仿宋" w:eastAsia="仿宋"/>
        </w:rPr>
      </w:pPr>
      <w:bookmarkStart w:id="287" w:name="_Toc72941065"/>
      <w:r>
        <w:rPr>
          <w:rFonts w:hint="eastAsia" w:ascii="仿宋" w:hAnsi="仿宋" w:eastAsia="仿宋"/>
        </w:rPr>
        <w:t>第四章 合同主要条款</w:t>
      </w:r>
      <w:bookmarkEnd w:id="287"/>
      <w:bookmarkStart w:id="288" w:name="_Toc361434567"/>
      <w:bookmarkStart w:id="289" w:name="_Toc361434468"/>
    </w:p>
    <w:p>
      <w:pPr>
        <w:snapToGrid w:val="0"/>
        <w:spacing w:line="480" w:lineRule="exact"/>
        <w:ind w:firstLine="482"/>
        <w:jc w:val="center"/>
        <w:rPr>
          <w:rFonts w:ascii="仿宋" w:hAnsi="仿宋" w:eastAsia="仿宋" w:cs="微软雅黑"/>
          <w:sz w:val="24"/>
        </w:rPr>
      </w:pPr>
      <w:r>
        <w:rPr>
          <w:rFonts w:hint="eastAsia" w:ascii="仿宋" w:hAnsi="仿宋" w:eastAsia="仿宋" w:cs="微软雅黑"/>
          <w:sz w:val="24"/>
        </w:rPr>
        <w:t>浙江省政府采购合同指引</w:t>
      </w:r>
      <w:bookmarkEnd w:id="288"/>
      <w:bookmarkEnd w:id="289"/>
    </w:p>
    <w:bookmarkEnd w:id="1"/>
    <w:bookmarkEnd w:id="2"/>
    <w:bookmarkEnd w:id="3"/>
    <w:bookmarkEnd w:id="4"/>
    <w:bookmarkEnd w:id="5"/>
    <w:bookmarkEnd w:id="6"/>
    <w:bookmarkEnd w:id="7"/>
    <w:p>
      <w:pPr>
        <w:snapToGrid w:val="0"/>
        <w:spacing w:line="480" w:lineRule="exact"/>
        <w:ind w:firstLine="482"/>
        <w:rPr>
          <w:rFonts w:ascii="仿宋" w:hAnsi="仿宋" w:eastAsia="仿宋" w:cs="微软雅黑"/>
          <w:sz w:val="24"/>
        </w:rPr>
      </w:pPr>
      <w:bookmarkStart w:id="290" w:name="_Toc80157775"/>
      <w:bookmarkStart w:id="291" w:name="_Toc81372964"/>
      <w:bookmarkStart w:id="292" w:name="_Toc81372787"/>
      <w:bookmarkStart w:id="293" w:name="_Toc101321800"/>
      <w:bookmarkStart w:id="294" w:name="_Toc153441912"/>
      <w:bookmarkStart w:id="295" w:name="_Toc177202003"/>
      <w:bookmarkStart w:id="296" w:name="_Toc84325981"/>
      <w:r>
        <w:rPr>
          <w:rFonts w:hint="eastAsia" w:ascii="仿宋" w:hAnsi="仿宋" w:eastAsia="仿宋" w:cs="微软雅黑"/>
          <w:sz w:val="24"/>
        </w:rPr>
        <w:t>项目名称：龙游传媒集团（龙游县广播电视总台）机顶盒采购项目</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项目编号：：HRZFCG2021-015</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甲方：龙游传媒集团（龙游县广播电视总台）</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乙方：</w:t>
      </w:r>
    </w:p>
    <w:p>
      <w:pPr>
        <w:snapToGrid w:val="0"/>
        <w:spacing w:line="480" w:lineRule="exact"/>
        <w:ind w:firstLine="482"/>
        <w:rPr>
          <w:rFonts w:ascii="仿宋" w:hAnsi="仿宋" w:eastAsia="仿宋" w:cs="微软雅黑"/>
          <w:sz w:val="24"/>
        </w:rPr>
      </w:pPr>
      <w:bookmarkStart w:id="297" w:name="_Toc1954"/>
      <w:r>
        <w:rPr>
          <w:rFonts w:hint="eastAsia" w:ascii="仿宋" w:hAnsi="仿宋" w:eastAsia="仿宋" w:cs="微软雅黑"/>
          <w:sz w:val="24"/>
        </w:rPr>
        <w:t>一、说明</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1．合同基本条款是指采购人（以下简称甲方）和成交供应商（以下简称乙方）应共同遵守的基本原则，并作为双方签约的依据。对于合同的其他条款，双方应本着互谅互让的精神协商解决。</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2．制定“合同主要条款”的依据是《中华人民共和国合同法》。</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二、合同金额</w:t>
      </w:r>
    </w:p>
    <w:tbl>
      <w:tblPr>
        <w:tblStyle w:val="38"/>
        <w:tblW w:w="50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41"/>
        <w:gridCol w:w="1488"/>
        <w:gridCol w:w="1488"/>
        <w:gridCol w:w="2294"/>
        <w:gridCol w:w="849"/>
        <w:gridCol w:w="968"/>
        <w:gridCol w:w="105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0"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序号</w:t>
            </w:r>
          </w:p>
        </w:tc>
        <w:tc>
          <w:tcPr>
            <w:tcW w:w="1145" w:type="pct"/>
            <w:gridSpan w:val="2"/>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名称</w:t>
            </w:r>
          </w:p>
        </w:tc>
        <w:tc>
          <w:tcPr>
            <w:tcW w:w="764"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品牌厂商</w:t>
            </w:r>
          </w:p>
        </w:tc>
        <w:tc>
          <w:tcPr>
            <w:tcW w:w="1178"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规格及型号</w:t>
            </w:r>
          </w:p>
        </w:tc>
        <w:tc>
          <w:tcPr>
            <w:tcW w:w="436"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数量</w:t>
            </w:r>
          </w:p>
        </w:tc>
        <w:tc>
          <w:tcPr>
            <w:tcW w:w="497"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单价（元）</w:t>
            </w:r>
          </w:p>
        </w:tc>
        <w:tc>
          <w:tcPr>
            <w:tcW w:w="540"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合价（元）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40"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1</w:t>
            </w:r>
          </w:p>
        </w:tc>
        <w:tc>
          <w:tcPr>
            <w:tcW w:w="1145" w:type="pct"/>
            <w:gridSpan w:val="2"/>
            <w:vAlign w:val="center"/>
          </w:tcPr>
          <w:p>
            <w:pPr>
              <w:snapToGrid w:val="0"/>
              <w:spacing w:line="480" w:lineRule="exact"/>
              <w:ind w:firstLine="482"/>
              <w:jc w:val="center"/>
              <w:rPr>
                <w:rFonts w:ascii="仿宋" w:hAnsi="仿宋" w:eastAsia="仿宋" w:cs="微软雅黑"/>
                <w:sz w:val="24"/>
              </w:rPr>
            </w:pPr>
          </w:p>
        </w:tc>
        <w:tc>
          <w:tcPr>
            <w:tcW w:w="764" w:type="pct"/>
            <w:vAlign w:val="center"/>
          </w:tcPr>
          <w:p>
            <w:pPr>
              <w:snapToGrid w:val="0"/>
              <w:spacing w:line="480" w:lineRule="exact"/>
              <w:ind w:firstLine="482"/>
              <w:jc w:val="center"/>
              <w:rPr>
                <w:rFonts w:ascii="仿宋" w:hAnsi="仿宋" w:eastAsia="仿宋" w:cs="微软雅黑"/>
                <w:sz w:val="24"/>
              </w:rPr>
            </w:pPr>
          </w:p>
        </w:tc>
        <w:tc>
          <w:tcPr>
            <w:tcW w:w="1178" w:type="pct"/>
            <w:vAlign w:val="center"/>
          </w:tcPr>
          <w:p>
            <w:pPr>
              <w:snapToGrid w:val="0"/>
              <w:spacing w:line="480" w:lineRule="exact"/>
              <w:ind w:firstLine="482"/>
              <w:jc w:val="center"/>
              <w:rPr>
                <w:rFonts w:ascii="仿宋" w:hAnsi="仿宋" w:eastAsia="仿宋" w:cs="微软雅黑"/>
                <w:sz w:val="24"/>
              </w:rPr>
            </w:pPr>
          </w:p>
        </w:tc>
        <w:tc>
          <w:tcPr>
            <w:tcW w:w="436" w:type="pct"/>
            <w:vAlign w:val="center"/>
          </w:tcPr>
          <w:p>
            <w:pPr>
              <w:snapToGrid w:val="0"/>
              <w:spacing w:line="480" w:lineRule="exact"/>
              <w:ind w:firstLine="482"/>
              <w:jc w:val="center"/>
              <w:rPr>
                <w:rFonts w:ascii="仿宋" w:hAnsi="仿宋" w:eastAsia="仿宋" w:cs="微软雅黑"/>
                <w:sz w:val="24"/>
              </w:rPr>
            </w:pPr>
          </w:p>
        </w:tc>
        <w:tc>
          <w:tcPr>
            <w:tcW w:w="497" w:type="pct"/>
            <w:vAlign w:val="center"/>
          </w:tcPr>
          <w:p>
            <w:pPr>
              <w:snapToGrid w:val="0"/>
              <w:spacing w:line="480" w:lineRule="exact"/>
              <w:ind w:firstLine="482"/>
              <w:jc w:val="center"/>
              <w:rPr>
                <w:rFonts w:ascii="仿宋" w:hAnsi="仿宋" w:eastAsia="仿宋" w:cs="微软雅黑"/>
                <w:sz w:val="24"/>
              </w:rPr>
            </w:pPr>
          </w:p>
        </w:tc>
        <w:tc>
          <w:tcPr>
            <w:tcW w:w="540" w:type="pct"/>
            <w:vAlign w:val="center"/>
          </w:tcPr>
          <w:p>
            <w:pPr>
              <w:snapToGrid w:val="0"/>
              <w:spacing w:line="480" w:lineRule="exact"/>
              <w:ind w:firstLine="482"/>
              <w:jc w:val="center"/>
              <w:rPr>
                <w:rFonts w:ascii="仿宋" w:hAnsi="仿宋" w:eastAsia="仿宋" w:cs="微软雅黑"/>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40"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2</w:t>
            </w:r>
          </w:p>
        </w:tc>
        <w:tc>
          <w:tcPr>
            <w:tcW w:w="1145" w:type="pct"/>
            <w:gridSpan w:val="2"/>
            <w:vAlign w:val="center"/>
          </w:tcPr>
          <w:p>
            <w:pPr>
              <w:snapToGrid w:val="0"/>
              <w:spacing w:line="480" w:lineRule="exact"/>
              <w:ind w:firstLine="482"/>
              <w:jc w:val="center"/>
              <w:rPr>
                <w:rFonts w:ascii="仿宋" w:hAnsi="仿宋" w:eastAsia="仿宋" w:cs="微软雅黑"/>
                <w:sz w:val="24"/>
              </w:rPr>
            </w:pPr>
          </w:p>
        </w:tc>
        <w:tc>
          <w:tcPr>
            <w:tcW w:w="764" w:type="pct"/>
            <w:vAlign w:val="center"/>
          </w:tcPr>
          <w:p>
            <w:pPr>
              <w:snapToGrid w:val="0"/>
              <w:spacing w:line="480" w:lineRule="exact"/>
              <w:ind w:firstLine="482"/>
              <w:jc w:val="center"/>
              <w:rPr>
                <w:rFonts w:ascii="仿宋" w:hAnsi="仿宋" w:eastAsia="仿宋" w:cs="微软雅黑"/>
                <w:sz w:val="24"/>
              </w:rPr>
            </w:pPr>
          </w:p>
        </w:tc>
        <w:tc>
          <w:tcPr>
            <w:tcW w:w="1178" w:type="pct"/>
            <w:vAlign w:val="center"/>
          </w:tcPr>
          <w:p>
            <w:pPr>
              <w:snapToGrid w:val="0"/>
              <w:spacing w:line="480" w:lineRule="exact"/>
              <w:ind w:firstLine="482"/>
              <w:jc w:val="center"/>
              <w:rPr>
                <w:rFonts w:ascii="仿宋" w:hAnsi="仿宋" w:eastAsia="仿宋" w:cs="微软雅黑"/>
                <w:sz w:val="24"/>
              </w:rPr>
            </w:pPr>
          </w:p>
        </w:tc>
        <w:tc>
          <w:tcPr>
            <w:tcW w:w="436" w:type="pct"/>
            <w:vAlign w:val="center"/>
          </w:tcPr>
          <w:p>
            <w:pPr>
              <w:snapToGrid w:val="0"/>
              <w:spacing w:line="480" w:lineRule="exact"/>
              <w:ind w:firstLine="482"/>
              <w:jc w:val="center"/>
              <w:rPr>
                <w:rFonts w:ascii="仿宋" w:hAnsi="仿宋" w:eastAsia="仿宋" w:cs="微软雅黑"/>
                <w:sz w:val="24"/>
              </w:rPr>
            </w:pPr>
          </w:p>
        </w:tc>
        <w:tc>
          <w:tcPr>
            <w:tcW w:w="497" w:type="pct"/>
            <w:vAlign w:val="center"/>
          </w:tcPr>
          <w:p>
            <w:pPr>
              <w:snapToGrid w:val="0"/>
              <w:spacing w:line="480" w:lineRule="exact"/>
              <w:ind w:firstLine="482"/>
              <w:jc w:val="center"/>
              <w:rPr>
                <w:rFonts w:ascii="仿宋" w:hAnsi="仿宋" w:eastAsia="仿宋" w:cs="微软雅黑"/>
                <w:sz w:val="24"/>
              </w:rPr>
            </w:pPr>
          </w:p>
        </w:tc>
        <w:tc>
          <w:tcPr>
            <w:tcW w:w="540" w:type="pct"/>
            <w:vAlign w:val="center"/>
          </w:tcPr>
          <w:p>
            <w:pPr>
              <w:snapToGrid w:val="0"/>
              <w:spacing w:line="480" w:lineRule="exact"/>
              <w:ind w:firstLine="482"/>
              <w:jc w:val="center"/>
              <w:rPr>
                <w:rFonts w:ascii="仿宋" w:hAnsi="仿宋" w:eastAsia="仿宋" w:cs="微软雅黑"/>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40" w:type="pct"/>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w:t>
            </w:r>
          </w:p>
        </w:tc>
        <w:tc>
          <w:tcPr>
            <w:tcW w:w="1145" w:type="pct"/>
            <w:gridSpan w:val="2"/>
            <w:vAlign w:val="center"/>
          </w:tcPr>
          <w:p>
            <w:pPr>
              <w:snapToGrid w:val="0"/>
              <w:spacing w:line="480" w:lineRule="exact"/>
              <w:ind w:firstLine="482"/>
              <w:jc w:val="center"/>
              <w:rPr>
                <w:rFonts w:ascii="仿宋" w:hAnsi="仿宋" w:eastAsia="仿宋" w:cs="微软雅黑"/>
                <w:sz w:val="24"/>
              </w:rPr>
            </w:pPr>
          </w:p>
        </w:tc>
        <w:tc>
          <w:tcPr>
            <w:tcW w:w="764" w:type="pct"/>
            <w:vAlign w:val="center"/>
          </w:tcPr>
          <w:p>
            <w:pPr>
              <w:snapToGrid w:val="0"/>
              <w:spacing w:line="480" w:lineRule="exact"/>
              <w:ind w:firstLine="482"/>
              <w:jc w:val="center"/>
              <w:rPr>
                <w:rFonts w:ascii="仿宋" w:hAnsi="仿宋" w:eastAsia="仿宋" w:cs="微软雅黑"/>
                <w:sz w:val="24"/>
              </w:rPr>
            </w:pPr>
          </w:p>
        </w:tc>
        <w:tc>
          <w:tcPr>
            <w:tcW w:w="1178" w:type="pct"/>
            <w:vAlign w:val="center"/>
          </w:tcPr>
          <w:p>
            <w:pPr>
              <w:snapToGrid w:val="0"/>
              <w:spacing w:line="480" w:lineRule="exact"/>
              <w:ind w:firstLine="482"/>
              <w:jc w:val="center"/>
              <w:rPr>
                <w:rFonts w:ascii="仿宋" w:hAnsi="仿宋" w:eastAsia="仿宋" w:cs="微软雅黑"/>
                <w:sz w:val="24"/>
              </w:rPr>
            </w:pPr>
          </w:p>
        </w:tc>
        <w:tc>
          <w:tcPr>
            <w:tcW w:w="436" w:type="pct"/>
            <w:vAlign w:val="center"/>
          </w:tcPr>
          <w:p>
            <w:pPr>
              <w:snapToGrid w:val="0"/>
              <w:spacing w:line="480" w:lineRule="exact"/>
              <w:ind w:firstLine="482"/>
              <w:jc w:val="center"/>
              <w:rPr>
                <w:rFonts w:ascii="仿宋" w:hAnsi="仿宋" w:eastAsia="仿宋" w:cs="微软雅黑"/>
                <w:sz w:val="24"/>
              </w:rPr>
            </w:pPr>
          </w:p>
        </w:tc>
        <w:tc>
          <w:tcPr>
            <w:tcW w:w="497" w:type="pct"/>
            <w:vAlign w:val="center"/>
          </w:tcPr>
          <w:p>
            <w:pPr>
              <w:snapToGrid w:val="0"/>
              <w:spacing w:line="480" w:lineRule="exact"/>
              <w:ind w:firstLine="482"/>
              <w:jc w:val="center"/>
              <w:rPr>
                <w:rFonts w:ascii="仿宋" w:hAnsi="仿宋" w:eastAsia="仿宋" w:cs="微软雅黑"/>
                <w:sz w:val="24"/>
              </w:rPr>
            </w:pPr>
          </w:p>
        </w:tc>
        <w:tc>
          <w:tcPr>
            <w:tcW w:w="540" w:type="pct"/>
            <w:vAlign w:val="center"/>
          </w:tcPr>
          <w:p>
            <w:pPr>
              <w:snapToGrid w:val="0"/>
              <w:spacing w:line="480" w:lineRule="exact"/>
              <w:ind w:firstLine="482"/>
              <w:jc w:val="center"/>
              <w:rPr>
                <w:rFonts w:ascii="仿宋" w:hAnsi="仿宋" w:eastAsia="仿宋" w:cs="微软雅黑"/>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21" w:type="pct"/>
            <w:gridSpan w:val="2"/>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合同总价</w:t>
            </w:r>
          </w:p>
        </w:tc>
        <w:tc>
          <w:tcPr>
            <w:tcW w:w="4179" w:type="pct"/>
            <w:gridSpan w:val="6"/>
            <w:vAlign w:val="center"/>
          </w:tcPr>
          <w:p>
            <w:pPr>
              <w:snapToGrid w:val="0"/>
              <w:spacing w:line="480" w:lineRule="exact"/>
              <w:ind w:firstLine="482"/>
              <w:jc w:val="center"/>
              <w:rPr>
                <w:rFonts w:ascii="仿宋" w:hAnsi="仿宋" w:eastAsia="仿宋" w:cs="微软雅黑"/>
                <w:sz w:val="24"/>
              </w:rPr>
            </w:pPr>
            <w:r>
              <w:rPr>
                <w:rFonts w:hint="eastAsia" w:ascii="仿宋" w:hAnsi="仿宋" w:eastAsia="仿宋" w:cs="微软雅黑"/>
                <w:sz w:val="24"/>
              </w:rPr>
              <w:t>人民币                     元整（</w:t>
            </w:r>
            <w:r>
              <w:rPr>
                <w:rFonts w:ascii="Calibri" w:hAnsi="Calibri" w:eastAsia="仿宋" w:cs="Calibri"/>
                <w:sz w:val="24"/>
              </w:rPr>
              <w:t>¥</w:t>
            </w:r>
            <w:r>
              <w:rPr>
                <w:rFonts w:hint="eastAsia" w:ascii="仿宋" w:hAnsi="仿宋" w:eastAsia="仿宋" w:cs="微软雅黑"/>
                <w:sz w:val="24"/>
              </w:rPr>
              <w:t xml:space="preserve">             元）</w:t>
            </w:r>
          </w:p>
        </w:tc>
      </w:tr>
    </w:tbl>
    <w:p>
      <w:pPr>
        <w:snapToGrid w:val="0"/>
        <w:spacing w:line="480" w:lineRule="exact"/>
        <w:ind w:firstLine="482"/>
        <w:rPr>
          <w:rFonts w:ascii="仿宋" w:hAnsi="仿宋" w:eastAsia="仿宋" w:cs="微软雅黑"/>
          <w:sz w:val="24"/>
        </w:rPr>
      </w:pPr>
      <w:r>
        <w:rPr>
          <w:rFonts w:hint="eastAsia" w:ascii="仿宋" w:hAnsi="仿宋" w:eastAsia="仿宋" w:cs="微软雅黑"/>
          <w:sz w:val="24"/>
        </w:rPr>
        <w:t>注：</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w:t>
      </w:r>
      <w:r>
        <w:rPr>
          <w:rFonts w:hint="eastAsia" w:ascii="仿宋" w:hAnsi="仿宋" w:eastAsia="仿宋" w:cs="微软雅黑"/>
          <w:sz w:val="24"/>
        </w:rPr>
        <w:tab/>
      </w:r>
      <w:r>
        <w:rPr>
          <w:rFonts w:hint="eastAsia" w:ascii="仿宋" w:hAnsi="仿宋" w:eastAsia="仿宋" w:cs="微软雅黑"/>
          <w:sz w:val="24"/>
        </w:rPr>
        <w:t>商品型号、数量、配置要求及使用单位地址等详见附件清单；</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w:t>
      </w:r>
      <w:r>
        <w:rPr>
          <w:rFonts w:hint="eastAsia" w:ascii="仿宋" w:hAnsi="仿宋" w:eastAsia="仿宋" w:cs="微软雅黑"/>
          <w:sz w:val="24"/>
        </w:rPr>
        <w:tab/>
      </w:r>
      <w:r>
        <w:rPr>
          <w:rFonts w:hint="eastAsia" w:ascii="仿宋" w:hAnsi="仿宋" w:eastAsia="仿宋" w:cs="微软雅黑"/>
          <w:sz w:val="24"/>
        </w:rPr>
        <w:t>以上合同总价包括人工费、材料费、材料运输费、通讯费、全额含税发票、雇员费用、利润、税金等完成本项目的其它费用和政策性文件规定及合同包含的所有风险、责任等各项应有费用等所有费用。</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w:t>
      </w:r>
      <w:r>
        <w:rPr>
          <w:rFonts w:hint="eastAsia" w:ascii="仿宋" w:hAnsi="仿宋" w:eastAsia="仿宋" w:cs="微软雅黑"/>
          <w:sz w:val="24"/>
        </w:rPr>
        <w:tab/>
      </w:r>
      <w:r>
        <w:rPr>
          <w:rFonts w:hint="eastAsia" w:ascii="仿宋" w:hAnsi="仿宋" w:eastAsia="仿宋" w:cs="微软雅黑"/>
          <w:sz w:val="24"/>
        </w:rPr>
        <w:t>合同最终结算以实际数量乘以单价进行计算。</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4.</w:t>
      </w:r>
      <w:r>
        <w:rPr>
          <w:rFonts w:hint="eastAsia" w:ascii="仿宋" w:hAnsi="仿宋" w:eastAsia="仿宋" w:cs="微软雅黑"/>
          <w:sz w:val="24"/>
        </w:rPr>
        <w:tab/>
      </w:r>
      <w:r>
        <w:rPr>
          <w:rFonts w:hint="eastAsia" w:ascii="仿宋" w:hAnsi="仿宋" w:eastAsia="仿宋" w:cs="微软雅黑"/>
          <w:sz w:val="24"/>
        </w:rPr>
        <w:t>本框架合同所对应的下单有效期自合同签订之日起计算，有效期一年。</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三、技术资料</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1.乙方应按招标文件规定的时间向甲方提供使用货物的有关技术资料。</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四、知识产权</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乙方应保证所提供的货物或其任何一部分均不会侵犯任何第三方的知识产权。</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五、履约保证金</w:t>
      </w:r>
    </w:p>
    <w:p>
      <w:pPr>
        <w:snapToGrid w:val="0"/>
        <w:spacing w:line="480" w:lineRule="exact"/>
        <w:ind w:firstLine="482"/>
        <w:rPr>
          <w:rFonts w:ascii="仿宋" w:hAnsi="仿宋" w:eastAsia="仿宋" w:cs="微软雅黑"/>
          <w:sz w:val="24"/>
          <w:lang w:val="zh-CN"/>
        </w:rPr>
      </w:pPr>
      <w:r>
        <w:rPr>
          <w:rFonts w:hint="eastAsia" w:ascii="仿宋" w:hAnsi="仿宋" w:eastAsia="仿宋" w:cs="微软雅黑"/>
          <w:sz w:val="24"/>
        </w:rPr>
        <w:t>乙方交纳人民币      元作为本合同的履约保证金，</w:t>
      </w:r>
      <w:r>
        <w:rPr>
          <w:rFonts w:hint="eastAsia" w:ascii="仿宋" w:hAnsi="仿宋" w:eastAsia="仿宋" w:cs="微软雅黑"/>
          <w:sz w:val="24"/>
          <w:lang w:val="zh-CN"/>
        </w:rPr>
        <w:t>合同期满后若中标人无违约情况，则履约保证金无息退还。</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六、产权担保</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乙方保证所交付的货物的所有权完全属于乙方且无任何抵押、查封等产权瑕疵。</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七、转包或分包</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1.本合同范围的货物，应由乙方直接供应，不得转让他人供应；</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2.除非得到甲方的书面同意，乙方不得将本合同范围的货物全部或部分分包给他人供应；</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3.如有转让和未经甲方同意的分包行为，甲方有权解除合同，并追究乙方的违约责任。</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八、质保期：五年</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九、工期要求</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甲方根据需求发送订单至乙方后，</w:t>
      </w:r>
      <w:r>
        <w:rPr>
          <w:rFonts w:ascii="仿宋" w:hAnsi="仿宋" w:eastAsia="仿宋" w:cs="微软雅黑"/>
          <w:sz w:val="24"/>
        </w:rPr>
        <w:t>60</w:t>
      </w:r>
      <w:r>
        <w:rPr>
          <w:rFonts w:hint="eastAsia" w:ascii="仿宋" w:hAnsi="仿宋" w:eastAsia="仿宋" w:cs="微软雅黑"/>
          <w:sz w:val="24"/>
        </w:rPr>
        <w:t xml:space="preserve">个工作日内完成供货。     </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十、货款支付</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1、付款方式：（按批次支付）：货到签收入库，并在收到乙方提供的对应发票后六个月内支付发票总额的100%。</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2、当采购数量与实际使用数量不一致时，乙方应根据实际使用量供货，合同的最终结算金额按实际使用量乘以成交单价进行计算。</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十一、税费</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本合同执行中相关的一切税费均由乙方负担。</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十二、质量保证及售后服务</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1.乙方应按采购文件规定的货物性能、技术要求、质量标准向甲方提供未经使用的全新产品。</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2.乙方提供的货物在质保期内因货物本身的质量问题发生故障，乙方应负责免费更换。对达不到技术要求者，根据实际情况，经双方协商，可按以下办法处理：</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⑴更换：由乙方承担所发生的全部费用。</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⑵贬值处理：由甲乙双方合议定价。</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⑶退货处理：乙方应退还甲方支付的合同款，同时应承担该货物的直接费用（运输、保险、检验、货款利息及银行手续费等）。</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如在使用过程中发生质量问题，乙方在接到甲方通知后2小时内响应并派技术人员到现场维修，24小时内修复完成。若24小时内无法修复的，无偿提供相应备用设备并负责安装调试，否则甲方有权直接委托第三方进行抢修，因此产生的费用，由乙方另行支付。如二次未响应的，没收全部质保金，且赔偿质保期内产生的所有费用。</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4.在质保期内，乙方应对货物出现的质量及安全问题负责处理解决并承担一切费用。</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十三、货物签收</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甲方对乙方提交的货物依据采购文件上的技术规格要求和国家有关质量标准进行现场签收入库，品牌型号、数量、外观、说明书符合采购文件技术要求的，给予签收，不合格的不予签收。</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十四、货物包装、发运及运输</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1.乙方应在货物发运前对其进行满足运输距离、防潮、防震、防锈和防破损装卸等要求包装，以保证货物安全运达甲方指定地点。</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2.使用说明书、质量检验证明书以及清单一并附于货物内。</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3.乙方在货物发运手续办理完毕后24小时内或货到甲方48小时前通知甲方，以准备接货。</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4.货物在交付甲方前发生的风险均由乙方负责。</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5.货物在规定的交付期限内由乙方送达甲方指定的地点视为交付，乙方同时需通知甲方货物已送达。</w:t>
      </w:r>
    </w:p>
    <w:bookmarkEnd w:id="297"/>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十五、违约责任</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1.甲方无正当理由拒收货物的，甲方向乙方偿付拒收货款总值的百分之五违约金。</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2.甲方无故逾期验收和办理货款支付手续的,甲方应按逾期付款总额每日万分之五向乙方支付违约金。</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十六、不可抗力事件处理</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1.在合同有效期内，任何一方因不可抗力事件导致不能履行合同，则合同履行期可延长，其延长期与不可抗力影响期相同。</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2.不可抗力事件发生后，应立即通知对方，并寄送有关权威机构出具的证明。</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3.不可抗力事件延续120天以上，双方应通过友好协商，确定是否继续履行合同。</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十七、诉讼</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双方在执行合同中所发生的一切争议，应通过协商解决。如协商不成，可向甲方所在地法院起诉。</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十八、合同生效及其它</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1.合同经双方法定代表人或授权代表签字并加盖单位公章，并经浙江浩睿招标代理有限公司加盖鉴证章后生效。</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2.合同执行中涉及采购资金和采购内容修改或补充的，须经龙游县财政局政府采购监管科备案同意，方可作为主合同不可分割的一部分。</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3、本合同所有附件是合同之组成部分，具同等法律效力，并自合同签订之日起一并生效。</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4.本合同未尽事宜，遵照《合同法》有关条文执行。</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5.本合同正本一式陆份，具有同等法律效力，甲乙双方各执贰份，县财政局政府采购监管科、浙江浩睿招标代理有限公司各执壹份。</w:t>
      </w:r>
    </w:p>
    <w:p>
      <w:pPr>
        <w:snapToGrid w:val="0"/>
        <w:spacing w:line="480" w:lineRule="exact"/>
        <w:ind w:firstLine="482"/>
        <w:rPr>
          <w:rFonts w:ascii="仿宋" w:hAnsi="仿宋" w:eastAsia="仿宋" w:cs="微软雅黑"/>
          <w:sz w:val="24"/>
        </w:rPr>
      </w:pPr>
    </w:p>
    <w:p>
      <w:pPr>
        <w:snapToGrid w:val="0"/>
        <w:spacing w:line="480" w:lineRule="exact"/>
        <w:ind w:firstLine="482"/>
        <w:rPr>
          <w:rFonts w:ascii="仿宋" w:hAnsi="仿宋" w:eastAsia="仿宋" w:cs="微软雅黑"/>
          <w:sz w:val="24"/>
        </w:rPr>
      </w:pPr>
    </w:p>
    <w:p>
      <w:pPr>
        <w:snapToGrid w:val="0"/>
        <w:spacing w:line="480" w:lineRule="exact"/>
        <w:ind w:firstLine="482"/>
        <w:rPr>
          <w:rFonts w:ascii="仿宋" w:hAnsi="仿宋" w:eastAsia="仿宋" w:cs="微软雅黑"/>
          <w:sz w:val="24"/>
        </w:rPr>
      </w:pP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甲方：                                   乙方：</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地址：                                   地址：</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法定（授权）代表人：                     法定（授权）代表人：</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签字日期：2021年   月   日              签字日期：2021年   月   日</w:t>
      </w:r>
    </w:p>
    <w:p>
      <w:pPr>
        <w:snapToGrid w:val="0"/>
        <w:spacing w:line="480" w:lineRule="exact"/>
        <w:ind w:firstLine="482"/>
        <w:rPr>
          <w:rFonts w:ascii="仿宋" w:hAnsi="仿宋" w:eastAsia="仿宋" w:cs="微软雅黑"/>
          <w:sz w:val="24"/>
        </w:rPr>
      </w:pPr>
    </w:p>
    <w:p>
      <w:pPr>
        <w:snapToGrid w:val="0"/>
        <w:spacing w:line="480" w:lineRule="exact"/>
        <w:ind w:firstLine="482"/>
        <w:rPr>
          <w:rFonts w:ascii="仿宋" w:hAnsi="仿宋" w:eastAsia="仿宋" w:cs="微软雅黑"/>
          <w:sz w:val="24"/>
        </w:rPr>
      </w:pP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合同鉴证方：浙江浩睿招标代理有限公司</w:t>
      </w:r>
    </w:p>
    <w:p>
      <w:pPr>
        <w:snapToGrid w:val="0"/>
        <w:spacing w:line="480" w:lineRule="exact"/>
        <w:ind w:firstLine="482"/>
        <w:rPr>
          <w:rFonts w:ascii="仿宋" w:hAnsi="仿宋" w:eastAsia="仿宋" w:cs="微软雅黑"/>
          <w:sz w:val="24"/>
        </w:rPr>
      </w:pPr>
      <w:r>
        <w:rPr>
          <w:rFonts w:hint="eastAsia" w:ascii="仿宋" w:hAnsi="仿宋" w:eastAsia="仿宋" w:cs="微软雅黑"/>
          <w:sz w:val="24"/>
        </w:rPr>
        <w:t>鉴证日期：2021</w:t>
      </w:r>
      <w:r>
        <w:rPr>
          <w:rFonts w:hint="eastAsia" w:ascii="仿宋" w:hAnsi="仿宋" w:eastAsia="仿宋" w:cs="微软雅黑"/>
          <w:sz w:val="24"/>
          <w:lang w:val="zh-CN"/>
        </w:rPr>
        <w:t>年  月  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7"/>
        <w:rPr>
          <w:rFonts w:ascii="仿宋" w:hAnsi="仿宋" w:eastAsia="仿宋"/>
        </w:rPr>
      </w:pPr>
    </w:p>
    <w:p>
      <w:pPr>
        <w:pStyle w:val="37"/>
        <w:rPr>
          <w:rFonts w:ascii="仿宋" w:hAnsi="仿宋" w:eastAsia="仿宋"/>
        </w:rPr>
      </w:pPr>
    </w:p>
    <w:p>
      <w:pPr>
        <w:widowControl/>
        <w:jc w:val="left"/>
        <w:rPr>
          <w:rFonts w:ascii="仿宋" w:hAnsi="仿宋" w:eastAsia="仿宋" w:cstheme="majorBidi"/>
          <w:b/>
          <w:bCs/>
          <w:sz w:val="32"/>
          <w:szCs w:val="32"/>
        </w:rPr>
      </w:pPr>
      <w:r>
        <w:rPr>
          <w:rFonts w:ascii="仿宋" w:hAnsi="仿宋" w:eastAsia="仿宋"/>
        </w:rPr>
        <w:br w:type="page"/>
      </w:r>
    </w:p>
    <w:p>
      <w:pPr>
        <w:pStyle w:val="35"/>
        <w:rPr>
          <w:rFonts w:ascii="仿宋" w:hAnsi="仿宋" w:eastAsia="仿宋"/>
        </w:rPr>
      </w:pPr>
      <w:bookmarkStart w:id="298" w:name="_Toc72941066"/>
      <w:r>
        <w:rPr>
          <w:rFonts w:hint="eastAsia" w:ascii="仿宋" w:hAnsi="仿宋" w:eastAsia="仿宋"/>
        </w:rPr>
        <w:t>第五章 应提交的有关格式范例</w:t>
      </w:r>
      <w:bookmarkEnd w:id="298"/>
    </w:p>
    <w:p>
      <w:pPr>
        <w:rPr>
          <w:rFonts w:ascii="仿宋" w:hAnsi="仿宋" w:eastAsia="仿宋"/>
        </w:rPr>
      </w:pPr>
    </w:p>
    <w:p>
      <w:pPr>
        <w:spacing w:line="800" w:lineRule="exact"/>
        <w:jc w:val="center"/>
        <w:rPr>
          <w:rFonts w:ascii="仿宋" w:hAnsi="仿宋" w:eastAsia="仿宋"/>
          <w:b/>
          <w:sz w:val="36"/>
          <w:szCs w:val="36"/>
        </w:rPr>
      </w:pPr>
      <w:r>
        <w:rPr>
          <w:rFonts w:hint="eastAsia" w:ascii="仿宋" w:hAnsi="仿宋" w:eastAsia="仿宋"/>
          <w:b/>
          <w:sz w:val="36"/>
          <w:szCs w:val="36"/>
        </w:rPr>
        <w:t>龙游传媒集团（龙游县广播电视总台）机顶盒采购项目</w:t>
      </w:r>
    </w:p>
    <w:p>
      <w:pPr>
        <w:snapToGrid w:val="0"/>
        <w:spacing w:before="156" w:beforeLines="50" w:after="50"/>
        <w:rPr>
          <w:rFonts w:ascii="仿宋" w:hAnsi="仿宋" w:eastAsia="仿宋"/>
          <w:bCs/>
          <w:sz w:val="24"/>
          <w:szCs w:val="20"/>
        </w:rPr>
      </w:pPr>
    </w:p>
    <w:p>
      <w:pPr>
        <w:snapToGrid w:val="0"/>
        <w:spacing w:before="156" w:beforeLines="50" w:after="50"/>
        <w:rPr>
          <w:rFonts w:ascii="仿宋" w:hAnsi="仿宋" w:eastAsia="仿宋"/>
          <w:bCs/>
          <w:sz w:val="24"/>
          <w:szCs w:val="20"/>
        </w:rPr>
      </w:pPr>
    </w:p>
    <w:p>
      <w:pPr>
        <w:snapToGrid w:val="0"/>
        <w:spacing w:before="156" w:beforeLines="50" w:after="50"/>
        <w:jc w:val="center"/>
        <w:rPr>
          <w:rFonts w:ascii="仿宋" w:hAnsi="仿宋" w:eastAsia="仿宋"/>
          <w:bCs/>
          <w:sz w:val="48"/>
          <w:szCs w:val="48"/>
        </w:rPr>
      </w:pPr>
    </w:p>
    <w:p>
      <w:pPr>
        <w:pStyle w:val="37"/>
        <w:rPr>
          <w:rFonts w:ascii="仿宋" w:hAnsi="仿宋" w:eastAsia="仿宋"/>
        </w:rPr>
      </w:pPr>
    </w:p>
    <w:p>
      <w:pPr>
        <w:snapToGrid w:val="0"/>
        <w:spacing w:before="156" w:beforeLines="50" w:after="50"/>
        <w:jc w:val="center"/>
        <w:rPr>
          <w:rFonts w:ascii="仿宋" w:hAnsi="仿宋" w:eastAsia="仿宋"/>
          <w:bCs/>
          <w:sz w:val="48"/>
          <w:szCs w:val="48"/>
        </w:rPr>
      </w:pPr>
      <w:r>
        <w:rPr>
          <w:rFonts w:hint="eastAsia" w:ascii="仿宋" w:hAnsi="仿宋" w:eastAsia="仿宋"/>
          <w:bCs/>
          <w:sz w:val="48"/>
          <w:szCs w:val="48"/>
        </w:rPr>
        <w:t>询价响应文件</w:t>
      </w:r>
    </w:p>
    <w:p>
      <w:pPr>
        <w:snapToGrid w:val="0"/>
        <w:spacing w:before="156" w:beforeLines="50" w:after="50"/>
        <w:rPr>
          <w:rFonts w:ascii="仿宋" w:hAnsi="仿宋" w:eastAsia="仿宋"/>
          <w:bCs/>
          <w:sz w:val="48"/>
          <w:szCs w:val="48"/>
        </w:rPr>
      </w:pPr>
    </w:p>
    <w:p>
      <w:pPr>
        <w:snapToGrid w:val="0"/>
        <w:spacing w:before="156" w:beforeLines="50" w:after="50"/>
        <w:rPr>
          <w:rFonts w:ascii="仿宋" w:hAnsi="仿宋" w:eastAsia="仿宋"/>
          <w:bCs/>
          <w:sz w:val="24"/>
          <w:szCs w:val="20"/>
        </w:rPr>
      </w:pPr>
    </w:p>
    <w:p>
      <w:pPr>
        <w:snapToGrid w:val="0"/>
        <w:spacing w:before="156" w:beforeLines="50" w:after="50" w:line="700" w:lineRule="exact"/>
        <w:ind w:firstLine="480" w:firstLineChars="200"/>
        <w:rPr>
          <w:rFonts w:ascii="仿宋" w:hAnsi="仿宋" w:eastAsia="仿宋"/>
          <w:bCs/>
          <w:sz w:val="24"/>
        </w:rPr>
      </w:pPr>
    </w:p>
    <w:p>
      <w:pPr>
        <w:snapToGrid w:val="0"/>
        <w:spacing w:before="156" w:beforeLines="50" w:after="50" w:line="700" w:lineRule="exact"/>
        <w:ind w:firstLine="480" w:firstLineChars="200"/>
        <w:rPr>
          <w:rFonts w:ascii="仿宋" w:hAnsi="仿宋" w:eastAsia="仿宋"/>
          <w:bCs/>
          <w:sz w:val="24"/>
        </w:rPr>
      </w:pPr>
      <w:r>
        <w:rPr>
          <w:rFonts w:hint="eastAsia" w:ascii="仿宋" w:hAnsi="仿宋" w:eastAsia="仿宋"/>
          <w:bCs/>
          <w:sz w:val="24"/>
        </w:rPr>
        <w:t>项目编号：</w:t>
      </w:r>
      <w:r>
        <w:rPr>
          <w:rFonts w:hint="eastAsia" w:ascii="仿宋" w:hAnsi="仿宋" w:eastAsia="仿宋"/>
          <w:sz w:val="24"/>
          <w:u w:val="single"/>
        </w:rPr>
        <w:t>HRZFCG2021-015</w:t>
      </w:r>
    </w:p>
    <w:p>
      <w:pPr>
        <w:snapToGrid w:val="0"/>
        <w:spacing w:before="156" w:beforeLines="50" w:after="50" w:line="700" w:lineRule="exact"/>
        <w:ind w:firstLine="480" w:firstLineChars="200"/>
        <w:rPr>
          <w:rFonts w:ascii="仿宋" w:hAnsi="仿宋" w:eastAsia="仿宋"/>
          <w:bCs/>
          <w:sz w:val="24"/>
          <w:u w:val="single"/>
        </w:rPr>
      </w:pPr>
      <w:r>
        <w:rPr>
          <w:rFonts w:hint="eastAsia" w:ascii="仿宋" w:hAnsi="仿宋" w:eastAsia="仿宋"/>
          <w:bCs/>
          <w:sz w:val="24"/>
        </w:rPr>
        <w:t>供应商名称：</w:t>
      </w:r>
      <w:r>
        <w:rPr>
          <w:rFonts w:hint="eastAsia" w:ascii="仿宋" w:hAnsi="仿宋" w:eastAsia="仿宋"/>
          <w:bCs/>
          <w:sz w:val="24"/>
          <w:u w:val="single"/>
        </w:rPr>
        <w:t xml:space="preserve">                                                    （盖章）</w:t>
      </w:r>
    </w:p>
    <w:p>
      <w:pPr>
        <w:snapToGrid w:val="0"/>
        <w:spacing w:before="156" w:beforeLines="50" w:after="50" w:line="700" w:lineRule="exact"/>
        <w:ind w:firstLine="480" w:firstLineChars="200"/>
        <w:rPr>
          <w:rFonts w:ascii="仿宋" w:hAnsi="仿宋" w:eastAsia="仿宋"/>
          <w:bCs/>
          <w:sz w:val="24"/>
        </w:rPr>
      </w:pPr>
      <w:r>
        <w:rPr>
          <w:rFonts w:hint="eastAsia" w:ascii="仿宋" w:hAnsi="仿宋" w:eastAsia="仿宋"/>
          <w:bCs/>
          <w:sz w:val="24"/>
        </w:rPr>
        <w:t>法定代表人：</w:t>
      </w:r>
      <w:r>
        <w:rPr>
          <w:rFonts w:hint="eastAsia" w:ascii="仿宋" w:hAnsi="仿宋" w:eastAsia="仿宋"/>
          <w:bCs/>
          <w:sz w:val="24"/>
          <w:u w:val="single"/>
        </w:rPr>
        <w:t xml:space="preserve">                                                    （盖章） </w:t>
      </w:r>
    </w:p>
    <w:p>
      <w:pPr>
        <w:snapToGrid w:val="0"/>
        <w:spacing w:before="156" w:beforeLines="50" w:after="50" w:line="700" w:lineRule="exact"/>
        <w:ind w:firstLine="480" w:firstLineChars="200"/>
        <w:rPr>
          <w:rFonts w:ascii="仿宋" w:hAnsi="仿宋" w:eastAsia="仿宋"/>
          <w:bCs/>
          <w:sz w:val="24"/>
        </w:rPr>
      </w:pPr>
      <w:r>
        <w:rPr>
          <w:rFonts w:hint="eastAsia" w:ascii="仿宋" w:hAnsi="仿宋" w:eastAsia="仿宋"/>
          <w:bCs/>
          <w:sz w:val="24"/>
        </w:rPr>
        <w:t>供应商地址：</w:t>
      </w:r>
    </w:p>
    <w:p>
      <w:pPr>
        <w:snapToGrid w:val="0"/>
        <w:spacing w:before="156" w:beforeLines="50" w:after="50" w:line="400" w:lineRule="exact"/>
        <w:jc w:val="center"/>
        <w:rPr>
          <w:rFonts w:ascii="仿宋" w:hAnsi="仿宋" w:eastAsia="仿宋"/>
          <w:bCs/>
          <w:sz w:val="24"/>
        </w:rPr>
      </w:pPr>
    </w:p>
    <w:p>
      <w:pPr>
        <w:snapToGrid w:val="0"/>
        <w:spacing w:before="156" w:beforeLines="50" w:after="50" w:line="400" w:lineRule="exact"/>
        <w:rPr>
          <w:rFonts w:ascii="仿宋" w:hAnsi="仿宋" w:eastAsia="仿宋"/>
          <w:bCs/>
          <w:sz w:val="24"/>
        </w:rPr>
      </w:pPr>
    </w:p>
    <w:p>
      <w:pPr>
        <w:ind w:left="-19" w:leftChars="-85" w:hanging="159" w:hangingChars="57"/>
        <w:jc w:val="center"/>
        <w:rPr>
          <w:rFonts w:ascii="仿宋" w:hAnsi="仿宋" w:eastAsia="仿宋"/>
          <w:sz w:val="28"/>
          <w:szCs w:val="28"/>
        </w:rPr>
      </w:pPr>
      <w:r>
        <w:rPr>
          <w:rFonts w:hint="eastAsia" w:ascii="仿宋" w:hAnsi="仿宋" w:eastAsia="仿宋"/>
          <w:sz w:val="28"/>
          <w:szCs w:val="28"/>
        </w:rPr>
        <w:t>在询价时间之前不得启封</w:t>
      </w:r>
    </w:p>
    <w:p>
      <w:pPr>
        <w:snapToGrid w:val="0"/>
        <w:spacing w:before="156" w:beforeLines="50" w:after="50"/>
        <w:ind w:firstLine="645"/>
        <w:jc w:val="center"/>
        <w:rPr>
          <w:rFonts w:ascii="仿宋" w:hAnsi="仿宋" w:eastAsia="仿宋"/>
          <w:bCs/>
          <w:sz w:val="24"/>
        </w:rPr>
      </w:pPr>
    </w:p>
    <w:p>
      <w:pPr>
        <w:pStyle w:val="37"/>
        <w:rPr>
          <w:rFonts w:ascii="仿宋" w:hAnsi="仿宋" w:eastAsia="仿宋"/>
        </w:rPr>
      </w:pPr>
    </w:p>
    <w:p>
      <w:pPr>
        <w:spacing w:line="800" w:lineRule="exact"/>
        <w:ind w:left="2048" w:leftChars="216" w:hanging="1595" w:hangingChars="550"/>
        <w:jc w:val="right"/>
        <w:rPr>
          <w:rFonts w:ascii="仿宋" w:hAnsi="仿宋" w:eastAsia="仿宋"/>
          <w:b/>
          <w:sz w:val="32"/>
          <w:szCs w:val="32"/>
        </w:rPr>
      </w:pPr>
      <w:r>
        <w:rPr>
          <w:rFonts w:hint="eastAsia" w:ascii="仿宋" w:hAnsi="仿宋" w:eastAsia="仿宋"/>
          <w:bCs/>
          <w:spacing w:val="1"/>
          <w:w w:val="96"/>
          <w:kern w:val="0"/>
          <w:sz w:val="30"/>
          <w:szCs w:val="30"/>
          <w:fitText w:val="1452" w:id="-1818517504"/>
        </w:rPr>
        <w:t>正本或副</w:t>
      </w:r>
      <w:r>
        <w:rPr>
          <w:rFonts w:hint="eastAsia" w:ascii="仿宋" w:hAnsi="仿宋" w:eastAsia="仿宋"/>
          <w:bCs/>
          <w:spacing w:val="7"/>
          <w:w w:val="96"/>
          <w:kern w:val="0"/>
          <w:sz w:val="30"/>
          <w:szCs w:val="30"/>
          <w:fitText w:val="1452" w:id="-1818517504"/>
        </w:rPr>
        <w:t>本</w:t>
      </w:r>
    </w:p>
    <w:p>
      <w:pPr>
        <w:spacing w:line="800" w:lineRule="exact"/>
        <w:jc w:val="center"/>
        <w:rPr>
          <w:rFonts w:ascii="仿宋" w:hAnsi="仿宋" w:eastAsia="仿宋"/>
          <w:b/>
          <w:sz w:val="36"/>
          <w:szCs w:val="36"/>
        </w:rPr>
      </w:pPr>
      <w:r>
        <w:rPr>
          <w:rFonts w:hint="eastAsia" w:ascii="仿宋" w:hAnsi="仿宋" w:eastAsia="仿宋"/>
          <w:b/>
          <w:sz w:val="36"/>
          <w:szCs w:val="36"/>
        </w:rPr>
        <w:t>龙游传媒集团（龙游县广播电视总台）机顶盒采购项目</w:t>
      </w:r>
    </w:p>
    <w:p>
      <w:pPr>
        <w:snapToGrid w:val="0"/>
        <w:spacing w:before="156" w:beforeLines="50" w:after="50"/>
        <w:rPr>
          <w:rFonts w:ascii="仿宋" w:hAnsi="仿宋" w:eastAsia="仿宋"/>
          <w:bCs/>
          <w:sz w:val="24"/>
          <w:szCs w:val="20"/>
        </w:rPr>
      </w:pPr>
    </w:p>
    <w:p>
      <w:pPr>
        <w:pStyle w:val="79"/>
        <w:rPr>
          <w:rFonts w:ascii="仿宋" w:hAnsi="仿宋" w:eastAsia="仿宋"/>
          <w:lang w:eastAsia="zh-CN"/>
        </w:rPr>
      </w:pPr>
    </w:p>
    <w:p>
      <w:pPr>
        <w:snapToGrid w:val="0"/>
        <w:spacing w:before="156" w:beforeLines="50" w:after="50"/>
        <w:jc w:val="center"/>
        <w:rPr>
          <w:rFonts w:ascii="仿宋" w:hAnsi="仿宋" w:eastAsia="仿宋"/>
          <w:bCs/>
          <w:sz w:val="48"/>
          <w:szCs w:val="48"/>
        </w:rPr>
      </w:pPr>
      <w:r>
        <w:rPr>
          <w:rFonts w:hint="eastAsia" w:ascii="仿宋" w:hAnsi="仿宋" w:eastAsia="仿宋"/>
          <w:bCs/>
          <w:sz w:val="48"/>
          <w:szCs w:val="48"/>
        </w:rPr>
        <w:t>询价响应文件</w:t>
      </w:r>
    </w:p>
    <w:p>
      <w:pPr>
        <w:snapToGrid w:val="0"/>
        <w:spacing w:before="156" w:beforeLines="50" w:after="50" w:line="700" w:lineRule="exact"/>
        <w:rPr>
          <w:rFonts w:ascii="仿宋" w:hAnsi="仿宋" w:eastAsia="仿宋"/>
          <w:bCs/>
          <w:sz w:val="24"/>
        </w:rPr>
      </w:pPr>
    </w:p>
    <w:p>
      <w:pPr>
        <w:snapToGrid w:val="0"/>
        <w:spacing w:before="156" w:beforeLines="50" w:after="50" w:line="700" w:lineRule="exact"/>
        <w:ind w:firstLine="480" w:firstLineChars="200"/>
        <w:rPr>
          <w:rFonts w:ascii="仿宋" w:hAnsi="仿宋" w:eastAsia="仿宋"/>
          <w:bCs/>
          <w:sz w:val="24"/>
        </w:rPr>
      </w:pPr>
    </w:p>
    <w:p>
      <w:pPr>
        <w:snapToGrid w:val="0"/>
        <w:spacing w:before="156" w:beforeLines="50" w:after="50" w:line="700" w:lineRule="exact"/>
        <w:ind w:firstLine="480" w:firstLineChars="200"/>
        <w:rPr>
          <w:rFonts w:ascii="仿宋" w:hAnsi="仿宋" w:eastAsia="仿宋"/>
          <w:sz w:val="24"/>
          <w:u w:val="single"/>
        </w:rPr>
      </w:pPr>
      <w:r>
        <w:rPr>
          <w:rFonts w:hint="eastAsia" w:ascii="仿宋" w:hAnsi="仿宋" w:eastAsia="仿宋"/>
          <w:bCs/>
          <w:sz w:val="24"/>
        </w:rPr>
        <w:t>项目编号：HRZFCG2021-015</w:t>
      </w:r>
    </w:p>
    <w:p>
      <w:pPr>
        <w:snapToGrid w:val="0"/>
        <w:spacing w:before="156" w:beforeLines="50" w:after="50" w:line="700" w:lineRule="exact"/>
        <w:ind w:firstLine="480" w:firstLineChars="200"/>
        <w:rPr>
          <w:rFonts w:ascii="仿宋" w:hAnsi="仿宋" w:eastAsia="仿宋"/>
          <w:bCs/>
          <w:sz w:val="24"/>
          <w:u w:val="single"/>
        </w:rPr>
      </w:pPr>
      <w:r>
        <w:rPr>
          <w:rFonts w:hint="eastAsia" w:ascii="仿宋" w:hAnsi="仿宋" w:eastAsia="仿宋"/>
          <w:bCs/>
          <w:sz w:val="24"/>
        </w:rPr>
        <w:t>供应商名称：</w:t>
      </w:r>
      <w:r>
        <w:rPr>
          <w:rFonts w:hint="eastAsia" w:ascii="仿宋" w:hAnsi="仿宋" w:eastAsia="仿宋"/>
          <w:bCs/>
          <w:sz w:val="24"/>
          <w:u w:val="single"/>
        </w:rPr>
        <w:t xml:space="preserve">                                                  （盖章）</w:t>
      </w:r>
    </w:p>
    <w:p>
      <w:pPr>
        <w:snapToGrid w:val="0"/>
        <w:spacing w:before="156" w:beforeLines="50" w:after="50" w:line="700" w:lineRule="exact"/>
        <w:ind w:firstLine="480" w:firstLineChars="200"/>
        <w:rPr>
          <w:rFonts w:ascii="仿宋" w:hAnsi="仿宋" w:eastAsia="仿宋"/>
          <w:bCs/>
          <w:sz w:val="24"/>
        </w:rPr>
      </w:pPr>
      <w:r>
        <w:rPr>
          <w:rFonts w:hint="eastAsia" w:ascii="仿宋" w:hAnsi="仿宋" w:eastAsia="仿宋"/>
          <w:bCs/>
          <w:sz w:val="24"/>
        </w:rPr>
        <w:t>法定代表人：</w:t>
      </w:r>
      <w:r>
        <w:rPr>
          <w:rFonts w:hint="eastAsia" w:ascii="仿宋" w:hAnsi="仿宋" w:eastAsia="仿宋"/>
          <w:bCs/>
          <w:sz w:val="24"/>
          <w:u w:val="single"/>
        </w:rPr>
        <w:t xml:space="preserve">                                                  （盖章）</w:t>
      </w:r>
    </w:p>
    <w:p>
      <w:pPr>
        <w:snapToGrid w:val="0"/>
        <w:spacing w:before="156" w:beforeLines="50" w:after="50" w:line="700" w:lineRule="exact"/>
        <w:ind w:firstLine="480" w:firstLineChars="200"/>
        <w:rPr>
          <w:rFonts w:ascii="仿宋" w:hAnsi="仿宋" w:eastAsia="仿宋"/>
          <w:bCs/>
          <w:sz w:val="24"/>
        </w:rPr>
      </w:pPr>
      <w:r>
        <w:rPr>
          <w:rFonts w:hint="eastAsia" w:ascii="仿宋" w:hAnsi="仿宋" w:eastAsia="仿宋"/>
          <w:bCs/>
          <w:sz w:val="24"/>
        </w:rPr>
        <w:t>供应商地址：</w:t>
      </w:r>
    </w:p>
    <w:p>
      <w:pPr>
        <w:snapToGrid w:val="0"/>
        <w:spacing w:before="156" w:beforeLines="50" w:after="50" w:line="400" w:lineRule="exact"/>
        <w:rPr>
          <w:rFonts w:ascii="仿宋" w:hAnsi="仿宋" w:eastAsia="仿宋"/>
          <w:bCs/>
          <w:sz w:val="28"/>
          <w:szCs w:val="28"/>
        </w:rPr>
      </w:pPr>
    </w:p>
    <w:p>
      <w:pPr>
        <w:snapToGrid w:val="0"/>
        <w:spacing w:before="156" w:beforeLines="50" w:after="50" w:line="400" w:lineRule="exact"/>
        <w:jc w:val="center"/>
        <w:rPr>
          <w:rFonts w:ascii="仿宋" w:hAnsi="仿宋" w:eastAsia="仿宋"/>
          <w:bCs/>
          <w:sz w:val="28"/>
          <w:szCs w:val="28"/>
        </w:rPr>
      </w:pPr>
      <w:r>
        <w:rPr>
          <w:rFonts w:hint="eastAsia" w:ascii="仿宋" w:hAnsi="仿宋" w:eastAsia="仿宋"/>
          <w:bCs/>
          <w:sz w:val="28"/>
          <w:szCs w:val="28"/>
        </w:rPr>
        <w:t>编制日期：2021年   月    日</w:t>
      </w:r>
    </w:p>
    <w:p>
      <w:pPr>
        <w:snapToGrid w:val="0"/>
        <w:spacing w:before="156" w:beforeLines="50" w:after="50"/>
        <w:rPr>
          <w:rFonts w:ascii="仿宋" w:hAnsi="仿宋" w:eastAsia="仿宋"/>
          <w:sz w:val="28"/>
          <w:szCs w:val="28"/>
        </w:rPr>
      </w:pPr>
    </w:p>
    <w:p>
      <w:pPr>
        <w:ind w:right="205" w:rightChars="98"/>
        <w:jc w:val="center"/>
        <w:rPr>
          <w:rStyle w:val="63"/>
          <w:rFonts w:ascii="仿宋" w:hAnsi="仿宋" w:eastAsia="仿宋" w:cs="微软雅黑"/>
          <w:b w:val="0"/>
          <w:bCs w:val="0"/>
          <w:sz w:val="44"/>
          <w:szCs w:val="44"/>
        </w:rPr>
      </w:pPr>
      <w:bookmarkStart w:id="299" w:name="_Toc16686747"/>
      <w:bookmarkStart w:id="300" w:name="_Toc16686689"/>
    </w:p>
    <w:p>
      <w:pPr>
        <w:pStyle w:val="37"/>
        <w:ind w:firstLine="880"/>
        <w:rPr>
          <w:rStyle w:val="63"/>
          <w:rFonts w:ascii="仿宋" w:hAnsi="仿宋" w:eastAsia="仿宋" w:cs="微软雅黑"/>
          <w:b w:val="0"/>
          <w:bCs w:val="0"/>
          <w:sz w:val="44"/>
          <w:szCs w:val="44"/>
        </w:rPr>
      </w:pPr>
    </w:p>
    <w:p>
      <w:pPr>
        <w:widowControl/>
        <w:jc w:val="left"/>
        <w:rPr>
          <w:rStyle w:val="63"/>
          <w:rFonts w:ascii="仿宋" w:hAnsi="仿宋" w:eastAsia="仿宋" w:cs="微软雅黑"/>
          <w:b w:val="0"/>
          <w:bCs w:val="0"/>
          <w:sz w:val="44"/>
          <w:szCs w:val="44"/>
        </w:rPr>
      </w:pPr>
      <w:r>
        <w:rPr>
          <w:rStyle w:val="63"/>
          <w:rFonts w:ascii="仿宋" w:hAnsi="仿宋" w:eastAsia="仿宋" w:cs="微软雅黑"/>
          <w:b w:val="0"/>
          <w:bCs w:val="0"/>
          <w:sz w:val="44"/>
          <w:szCs w:val="44"/>
        </w:rPr>
        <w:br w:type="page"/>
      </w:r>
    </w:p>
    <w:p>
      <w:pPr>
        <w:ind w:right="205" w:rightChars="98"/>
        <w:jc w:val="center"/>
        <w:rPr>
          <w:rStyle w:val="63"/>
          <w:rFonts w:ascii="仿宋" w:hAnsi="仿宋" w:eastAsia="仿宋" w:cs="微软雅黑"/>
          <w:b w:val="0"/>
          <w:bCs w:val="0"/>
          <w:sz w:val="44"/>
          <w:szCs w:val="44"/>
        </w:rPr>
      </w:pPr>
      <w:r>
        <w:rPr>
          <w:rStyle w:val="63"/>
          <w:rFonts w:hint="eastAsia" w:ascii="仿宋" w:hAnsi="仿宋" w:eastAsia="仿宋" w:cs="微软雅黑"/>
          <w:b w:val="0"/>
          <w:bCs w:val="0"/>
          <w:sz w:val="44"/>
          <w:szCs w:val="44"/>
        </w:rPr>
        <w:t>询价响应文件目录</w:t>
      </w:r>
      <w:bookmarkEnd w:id="299"/>
      <w:bookmarkEnd w:id="300"/>
    </w:p>
    <w:p>
      <w:pPr>
        <w:ind w:right="205" w:rightChars="98"/>
        <w:jc w:val="center"/>
        <w:rPr>
          <w:rFonts w:ascii="仿宋" w:hAnsi="仿宋" w:eastAsia="仿宋" w:cs="微软雅黑"/>
          <w:sz w:val="44"/>
          <w:szCs w:val="44"/>
        </w:rPr>
      </w:pPr>
      <w:r>
        <w:rPr>
          <w:rFonts w:hint="eastAsia" w:ascii="仿宋" w:hAnsi="仿宋" w:eastAsia="仿宋" w:cs="微软雅黑"/>
          <w:sz w:val="24"/>
        </w:rPr>
        <w:t>（由供应商自行创建）</w:t>
      </w: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rPr>
      </w:pPr>
    </w:p>
    <w:p>
      <w:pPr>
        <w:spacing w:line="600" w:lineRule="exact"/>
        <w:jc w:val="left"/>
        <w:rPr>
          <w:rFonts w:ascii="仿宋" w:hAnsi="仿宋" w:eastAsia="仿宋" w:cs="华文中宋"/>
          <w:sz w:val="24"/>
          <w:lang w:val="zh-CN"/>
        </w:rPr>
      </w:pPr>
    </w:p>
    <w:p>
      <w:pPr>
        <w:widowControl/>
        <w:jc w:val="left"/>
        <w:rPr>
          <w:rFonts w:ascii="仿宋" w:hAnsi="仿宋" w:eastAsia="仿宋" w:cs="华文中宋"/>
          <w:sz w:val="24"/>
          <w:lang w:val="zh-CN"/>
        </w:rPr>
      </w:pPr>
      <w:r>
        <w:rPr>
          <w:rFonts w:ascii="仿宋" w:hAnsi="仿宋" w:eastAsia="仿宋" w:cs="华文中宋"/>
          <w:sz w:val="24"/>
          <w:lang w:val="zh-CN"/>
        </w:rPr>
        <w:br w:type="page"/>
      </w:r>
    </w:p>
    <w:p>
      <w:pPr>
        <w:spacing w:line="600" w:lineRule="exact"/>
        <w:jc w:val="left"/>
        <w:rPr>
          <w:rFonts w:ascii="仿宋" w:hAnsi="仿宋" w:eastAsia="仿宋" w:cs="华文中宋"/>
          <w:sz w:val="24"/>
          <w:lang w:val="zh-CN"/>
        </w:rPr>
      </w:pPr>
      <w:r>
        <w:rPr>
          <w:rFonts w:hint="eastAsia" w:ascii="仿宋" w:hAnsi="仿宋" w:eastAsia="仿宋" w:cs="华文中宋"/>
          <w:sz w:val="24"/>
          <w:lang w:val="zh-CN"/>
        </w:rPr>
        <w:t>附件1</w:t>
      </w:r>
    </w:p>
    <w:p>
      <w:pPr>
        <w:spacing w:line="400" w:lineRule="exact"/>
        <w:ind w:left="-718" w:leftChars="-342" w:right="205" w:rightChars="98" w:firstLine="716" w:firstLineChars="256"/>
        <w:jc w:val="center"/>
        <w:rPr>
          <w:rStyle w:val="63"/>
          <w:rFonts w:ascii="仿宋" w:hAnsi="仿宋" w:eastAsia="仿宋" w:cs="微软雅黑"/>
          <w:sz w:val="28"/>
          <w:szCs w:val="28"/>
        </w:rPr>
      </w:pPr>
      <w:bookmarkStart w:id="301" w:name="_Toc16686693"/>
      <w:bookmarkStart w:id="302" w:name="_Toc16686751"/>
      <w:r>
        <w:rPr>
          <w:rStyle w:val="63"/>
          <w:rFonts w:hint="eastAsia" w:ascii="仿宋" w:hAnsi="仿宋" w:eastAsia="仿宋" w:cs="微软雅黑"/>
          <w:sz w:val="28"/>
          <w:szCs w:val="28"/>
        </w:rPr>
        <w:t>询价函</w:t>
      </w:r>
      <w:bookmarkEnd w:id="301"/>
      <w:bookmarkEnd w:id="302"/>
    </w:p>
    <w:p>
      <w:pPr>
        <w:spacing w:line="400" w:lineRule="exact"/>
        <w:ind w:left="-718" w:leftChars="-342" w:right="205" w:rightChars="98" w:firstLine="614" w:firstLineChars="256"/>
        <w:rPr>
          <w:rFonts w:ascii="仿宋" w:hAnsi="仿宋" w:eastAsia="仿宋" w:cs="微软雅黑"/>
          <w:sz w:val="24"/>
        </w:rPr>
      </w:pPr>
    </w:p>
    <w:p>
      <w:pPr>
        <w:snapToGrid w:val="0"/>
        <w:spacing w:line="480" w:lineRule="exact"/>
        <w:ind w:firstLine="480"/>
        <w:rPr>
          <w:rFonts w:ascii="仿宋" w:hAnsi="仿宋" w:eastAsia="仿宋" w:cs="宋体"/>
          <w:sz w:val="24"/>
        </w:rPr>
      </w:pPr>
      <w:r>
        <w:rPr>
          <w:rFonts w:hint="eastAsia" w:ascii="仿宋" w:hAnsi="仿宋" w:eastAsia="仿宋" w:cs="宋体"/>
          <w:sz w:val="24"/>
        </w:rPr>
        <w:t>致</w:t>
      </w:r>
      <w:r>
        <w:rPr>
          <w:rFonts w:hint="eastAsia" w:ascii="仿宋" w:hAnsi="仿宋" w:eastAsia="仿宋" w:cs="宋体"/>
          <w:sz w:val="24"/>
          <w:u w:val="single"/>
        </w:rPr>
        <w:t>：          （</w:t>
      </w:r>
      <w:r>
        <w:rPr>
          <w:rFonts w:hint="eastAsia" w:ascii="仿宋" w:hAnsi="仿宋" w:eastAsia="仿宋" w:cs="宋体"/>
          <w:sz w:val="24"/>
        </w:rPr>
        <w:t>询价采购单位名称）：</w:t>
      </w:r>
    </w:p>
    <w:p>
      <w:pPr>
        <w:snapToGrid w:val="0"/>
        <w:spacing w:line="480" w:lineRule="exact"/>
        <w:ind w:firstLine="480"/>
        <w:rPr>
          <w:rFonts w:ascii="仿宋" w:hAnsi="仿宋" w:eastAsia="仿宋" w:cs="宋体"/>
          <w:sz w:val="24"/>
        </w:rPr>
      </w:pPr>
      <w:r>
        <w:rPr>
          <w:rFonts w:hint="eastAsia" w:ascii="仿宋" w:hAnsi="仿宋" w:eastAsia="仿宋" w:cs="宋体"/>
          <w:sz w:val="24"/>
        </w:rPr>
        <w:t>根据贵方为_____________________________项目的询价公告，签字代表_________（全名）经正式授权并代表询价响应方_________________（询价响应方名称）提交询价响应文件正本一份。</w:t>
      </w:r>
    </w:p>
    <w:p>
      <w:pPr>
        <w:snapToGrid w:val="0"/>
        <w:spacing w:line="480" w:lineRule="exact"/>
        <w:ind w:firstLine="480"/>
        <w:rPr>
          <w:rFonts w:ascii="仿宋" w:hAnsi="仿宋" w:eastAsia="仿宋" w:cs="宋体"/>
          <w:sz w:val="24"/>
        </w:rPr>
      </w:pPr>
      <w:r>
        <w:rPr>
          <w:rFonts w:hint="eastAsia" w:ascii="仿宋" w:hAnsi="仿宋" w:eastAsia="仿宋" w:cs="宋体"/>
          <w:sz w:val="24"/>
        </w:rPr>
        <w:t>据此函，签字代表宣布同意如下：</w:t>
      </w:r>
    </w:p>
    <w:p>
      <w:pPr>
        <w:snapToGrid w:val="0"/>
        <w:spacing w:line="480" w:lineRule="exact"/>
        <w:ind w:firstLine="480"/>
        <w:rPr>
          <w:rFonts w:ascii="仿宋" w:hAnsi="仿宋" w:eastAsia="仿宋" w:cs="宋体"/>
          <w:sz w:val="24"/>
        </w:rPr>
      </w:pPr>
      <w:r>
        <w:rPr>
          <w:rFonts w:hint="eastAsia" w:ascii="仿宋" w:hAnsi="仿宋" w:eastAsia="仿宋" w:cs="宋体"/>
          <w:sz w:val="24"/>
        </w:rPr>
        <w:t>1. 我方向贵方提交的所有询价文件、资料都是准确的和真实的。</w:t>
      </w:r>
    </w:p>
    <w:p>
      <w:pPr>
        <w:snapToGrid w:val="0"/>
        <w:spacing w:line="480" w:lineRule="exact"/>
        <w:ind w:firstLine="480"/>
        <w:rPr>
          <w:rFonts w:ascii="仿宋" w:hAnsi="仿宋" w:eastAsia="仿宋" w:cs="宋体"/>
          <w:sz w:val="24"/>
        </w:rPr>
      </w:pPr>
      <w:r>
        <w:rPr>
          <w:rFonts w:hint="eastAsia" w:ascii="仿宋" w:hAnsi="仿宋" w:eastAsia="仿宋" w:cs="宋体"/>
          <w:sz w:val="24"/>
        </w:rPr>
        <w:t>2.我方已详细审查全部“询价文件”，包括修改文件（如有的话）以及全部参考资料和有关附件，已经了解我方对于询价文件、采购过程、采购结果有依法进行询问、质疑、投诉的权利及相关渠道和要求。</w:t>
      </w:r>
    </w:p>
    <w:p>
      <w:pPr>
        <w:snapToGrid w:val="0"/>
        <w:spacing w:line="480" w:lineRule="exact"/>
        <w:ind w:firstLine="480"/>
        <w:rPr>
          <w:rFonts w:ascii="仿宋" w:hAnsi="仿宋" w:eastAsia="仿宋" w:cs="宋体"/>
          <w:sz w:val="24"/>
        </w:rPr>
      </w:pPr>
      <w:r>
        <w:rPr>
          <w:rFonts w:hint="eastAsia" w:ascii="仿宋" w:hAnsi="仿宋" w:eastAsia="仿宋" w:cs="宋体"/>
          <w:sz w:val="24"/>
        </w:rPr>
        <w:t>3.我方在询价之前已经与贵方进行了充分的沟通，完全理解并接受询价文件的各项规定和要求，对询价文件的合理性、合法性不再有争议。</w:t>
      </w:r>
    </w:p>
    <w:p>
      <w:pPr>
        <w:snapToGrid w:val="0"/>
        <w:spacing w:line="480" w:lineRule="exact"/>
        <w:ind w:firstLine="480"/>
        <w:rPr>
          <w:rFonts w:ascii="仿宋" w:hAnsi="仿宋" w:eastAsia="仿宋" w:cs="宋体"/>
          <w:sz w:val="24"/>
        </w:rPr>
      </w:pPr>
      <w:r>
        <w:rPr>
          <w:rFonts w:hint="eastAsia" w:ascii="仿宋" w:hAnsi="仿宋" w:eastAsia="仿宋" w:cs="宋体"/>
          <w:sz w:val="24"/>
        </w:rPr>
        <w:t>4.本询价有效期自开标日起60个日历天。</w:t>
      </w:r>
    </w:p>
    <w:p>
      <w:pPr>
        <w:snapToGrid w:val="0"/>
        <w:spacing w:line="480" w:lineRule="exact"/>
        <w:ind w:firstLine="480"/>
        <w:rPr>
          <w:rFonts w:ascii="仿宋" w:hAnsi="仿宋" w:eastAsia="仿宋" w:cs="宋体"/>
          <w:sz w:val="24"/>
        </w:rPr>
      </w:pPr>
      <w:r>
        <w:rPr>
          <w:rFonts w:hint="eastAsia" w:ascii="仿宋" w:hAnsi="仿宋" w:eastAsia="仿宋" w:cs="宋体"/>
          <w:sz w:val="24"/>
        </w:rPr>
        <w:t>5.如询价，本询价文件至本项目合同履行完毕止均保持有效，本询价响应方将按“询价文件”及政府采购法律、法规的规定履行合同责任和义务。</w:t>
      </w:r>
    </w:p>
    <w:p>
      <w:pPr>
        <w:snapToGrid w:val="0"/>
        <w:spacing w:line="480" w:lineRule="exact"/>
        <w:ind w:firstLine="480"/>
        <w:rPr>
          <w:rFonts w:ascii="仿宋" w:hAnsi="仿宋" w:eastAsia="仿宋" w:cs="宋体"/>
          <w:sz w:val="24"/>
        </w:rPr>
      </w:pPr>
      <w:r>
        <w:rPr>
          <w:rFonts w:hint="eastAsia" w:ascii="仿宋" w:hAnsi="仿宋" w:eastAsia="仿宋" w:cs="宋体"/>
          <w:sz w:val="24"/>
        </w:rPr>
        <w:t>6.我方同意按照贵方要求提供与询价有关的一切数据或资料。</w:t>
      </w:r>
    </w:p>
    <w:p>
      <w:pPr>
        <w:snapToGrid w:val="0"/>
        <w:spacing w:line="480" w:lineRule="exact"/>
        <w:ind w:firstLine="480"/>
        <w:rPr>
          <w:rFonts w:ascii="仿宋" w:hAnsi="仿宋" w:eastAsia="仿宋" w:cs="宋体"/>
          <w:sz w:val="24"/>
        </w:rPr>
      </w:pPr>
      <w:r>
        <w:rPr>
          <w:rFonts w:hint="eastAsia" w:ascii="仿宋" w:hAnsi="仿宋" w:eastAsia="仿宋" w:cs="宋体"/>
          <w:sz w:val="24"/>
        </w:rPr>
        <w:t>7.与本询价项目有关的一切正式往来信函请寄：</w:t>
      </w:r>
    </w:p>
    <w:p>
      <w:pPr>
        <w:snapToGrid w:val="0"/>
        <w:spacing w:line="480" w:lineRule="exact"/>
        <w:ind w:firstLine="480"/>
        <w:rPr>
          <w:rFonts w:ascii="仿宋" w:hAnsi="仿宋" w:eastAsia="仿宋" w:cs="宋体"/>
          <w:sz w:val="24"/>
        </w:rPr>
      </w:pPr>
      <w:r>
        <w:rPr>
          <w:rFonts w:hint="eastAsia" w:ascii="仿宋" w:hAnsi="仿宋" w:eastAsia="仿宋" w:cs="宋体"/>
          <w:sz w:val="24"/>
        </w:rPr>
        <w:t>地址：__________      邮编：__________   电话：______________</w:t>
      </w:r>
    </w:p>
    <w:p>
      <w:pPr>
        <w:snapToGrid w:val="0"/>
        <w:spacing w:line="480" w:lineRule="exact"/>
        <w:ind w:firstLine="480"/>
        <w:rPr>
          <w:rFonts w:ascii="仿宋" w:hAnsi="仿宋" w:eastAsia="仿宋" w:cs="宋体"/>
          <w:sz w:val="24"/>
        </w:rPr>
      </w:pPr>
      <w:r>
        <w:rPr>
          <w:rFonts w:hint="eastAsia" w:ascii="仿宋" w:hAnsi="仿宋" w:eastAsia="仿宋" w:cs="宋体"/>
          <w:sz w:val="24"/>
        </w:rPr>
        <w:t xml:space="preserve">传真：______________询价响应方代表姓名 _______ 职务：              </w:t>
      </w:r>
    </w:p>
    <w:p>
      <w:pPr>
        <w:snapToGrid w:val="0"/>
        <w:spacing w:line="480" w:lineRule="exact"/>
        <w:ind w:firstLine="480"/>
        <w:rPr>
          <w:rFonts w:ascii="仿宋" w:hAnsi="仿宋" w:eastAsia="仿宋" w:cs="宋体"/>
          <w:sz w:val="24"/>
        </w:rPr>
      </w:pPr>
      <w:r>
        <w:rPr>
          <w:rFonts w:hint="eastAsia" w:ascii="仿宋" w:hAnsi="仿宋" w:eastAsia="仿宋" w:cs="宋体"/>
          <w:sz w:val="24"/>
        </w:rPr>
        <w:t>询价响应方名称(公章):___________________</w:t>
      </w:r>
    </w:p>
    <w:p>
      <w:pPr>
        <w:snapToGrid w:val="0"/>
        <w:spacing w:line="480" w:lineRule="exact"/>
        <w:ind w:firstLine="480"/>
        <w:rPr>
          <w:rFonts w:ascii="仿宋" w:hAnsi="仿宋" w:eastAsia="仿宋" w:cs="宋体"/>
          <w:sz w:val="24"/>
        </w:rPr>
      </w:pPr>
      <w:r>
        <w:rPr>
          <w:rFonts w:hint="eastAsia" w:ascii="仿宋" w:hAnsi="仿宋" w:eastAsia="仿宋" w:cs="宋体"/>
          <w:sz w:val="24"/>
        </w:rPr>
        <w:t xml:space="preserve">开户银行：                         银行帐号：                     </w:t>
      </w:r>
    </w:p>
    <w:p>
      <w:pPr>
        <w:snapToGrid w:val="0"/>
        <w:spacing w:line="480" w:lineRule="exact"/>
        <w:ind w:firstLine="480"/>
        <w:rPr>
          <w:rFonts w:ascii="仿宋" w:hAnsi="仿宋" w:eastAsia="仿宋" w:cs="宋体"/>
          <w:sz w:val="24"/>
        </w:rPr>
      </w:pPr>
      <w:r>
        <w:rPr>
          <w:rFonts w:hint="eastAsia" w:ascii="仿宋" w:hAnsi="仿宋" w:eastAsia="仿宋" w:cs="宋体"/>
          <w:sz w:val="24"/>
        </w:rPr>
        <w:t xml:space="preserve">授权代表签字:___________                     </w:t>
      </w:r>
    </w:p>
    <w:p>
      <w:pPr>
        <w:snapToGrid w:val="0"/>
        <w:spacing w:line="480" w:lineRule="exact"/>
        <w:ind w:firstLine="480"/>
        <w:rPr>
          <w:rFonts w:ascii="仿宋" w:hAnsi="仿宋" w:eastAsia="仿宋" w:cs="宋体"/>
          <w:sz w:val="24"/>
        </w:rPr>
      </w:pPr>
      <w:r>
        <w:rPr>
          <w:rFonts w:hint="eastAsia" w:ascii="仿宋" w:hAnsi="仿宋" w:eastAsia="仿宋" w:cs="宋体"/>
          <w:sz w:val="24"/>
        </w:rPr>
        <w:t>日期:_____年___月___日</w:t>
      </w:r>
    </w:p>
    <w:p>
      <w:pPr>
        <w:snapToGrid w:val="0"/>
        <w:spacing w:line="480" w:lineRule="exact"/>
        <w:ind w:firstLine="480"/>
        <w:rPr>
          <w:rFonts w:ascii="仿宋" w:hAnsi="仿宋" w:eastAsia="仿宋" w:cs="宋体"/>
          <w:sz w:val="24"/>
        </w:rPr>
      </w:pPr>
    </w:p>
    <w:p>
      <w:pPr>
        <w:snapToGrid w:val="0"/>
        <w:spacing w:line="480" w:lineRule="exact"/>
        <w:ind w:firstLine="480"/>
        <w:rPr>
          <w:rFonts w:ascii="仿宋" w:hAnsi="仿宋" w:eastAsia="仿宋" w:cs="宋体"/>
          <w:sz w:val="24"/>
        </w:rPr>
      </w:pPr>
    </w:p>
    <w:p>
      <w:pPr>
        <w:snapToGrid w:val="0"/>
        <w:spacing w:line="480" w:lineRule="exact"/>
        <w:ind w:firstLine="480"/>
        <w:rPr>
          <w:rFonts w:ascii="仿宋" w:hAnsi="仿宋" w:eastAsia="仿宋" w:cs="宋体"/>
          <w:sz w:val="24"/>
        </w:rPr>
      </w:pPr>
    </w:p>
    <w:p>
      <w:pPr>
        <w:snapToGrid w:val="0"/>
        <w:spacing w:line="480" w:lineRule="exact"/>
        <w:ind w:firstLine="480"/>
        <w:rPr>
          <w:rFonts w:ascii="仿宋" w:hAnsi="仿宋" w:eastAsia="仿宋" w:cs="宋体"/>
          <w:sz w:val="24"/>
        </w:rPr>
      </w:pPr>
    </w:p>
    <w:p>
      <w:pPr>
        <w:spacing w:line="600" w:lineRule="exact"/>
        <w:rPr>
          <w:rFonts w:ascii="仿宋" w:hAnsi="仿宋" w:eastAsia="仿宋" w:cs="华文中宋"/>
          <w:sz w:val="24"/>
          <w:lang w:val="zh-CN"/>
        </w:rPr>
      </w:pPr>
      <w:r>
        <w:rPr>
          <w:rFonts w:hint="eastAsia" w:ascii="仿宋" w:hAnsi="仿宋" w:eastAsia="仿宋" w:cs="华文中宋"/>
          <w:sz w:val="24"/>
          <w:lang w:val="zh-CN"/>
        </w:rPr>
        <w:t>附件2</w:t>
      </w:r>
    </w:p>
    <w:p>
      <w:pPr>
        <w:spacing w:line="600" w:lineRule="exact"/>
        <w:jc w:val="center"/>
        <w:rPr>
          <w:rFonts w:ascii="仿宋" w:hAnsi="仿宋" w:eastAsia="仿宋" w:cs="华文中宋"/>
          <w:b/>
          <w:sz w:val="32"/>
          <w:szCs w:val="32"/>
        </w:rPr>
      </w:pPr>
      <w:r>
        <w:rPr>
          <w:rFonts w:hint="eastAsia" w:ascii="仿宋" w:hAnsi="仿宋" w:eastAsia="仿宋" w:cs="华文中宋"/>
          <w:b/>
          <w:sz w:val="32"/>
          <w:szCs w:val="32"/>
        </w:rPr>
        <w:t>报价一览表</w:t>
      </w:r>
    </w:p>
    <w:p>
      <w:pPr>
        <w:snapToGrid w:val="0"/>
        <w:spacing w:line="480" w:lineRule="exact"/>
        <w:rPr>
          <w:rFonts w:ascii="仿宋" w:hAnsi="仿宋" w:eastAsia="仿宋" w:cs="宋体"/>
          <w:sz w:val="24"/>
        </w:rPr>
      </w:pPr>
      <w:r>
        <w:rPr>
          <w:rFonts w:hint="eastAsia" w:ascii="仿宋" w:hAnsi="仿宋" w:eastAsia="仿宋" w:cs="宋体"/>
          <w:sz w:val="24"/>
        </w:rPr>
        <w:t>项目名称：</w:t>
      </w:r>
    </w:p>
    <w:p>
      <w:pPr>
        <w:snapToGrid w:val="0"/>
        <w:spacing w:line="480" w:lineRule="exact"/>
        <w:rPr>
          <w:rFonts w:ascii="仿宋" w:hAnsi="仿宋" w:eastAsia="仿宋" w:cs="宋体"/>
          <w:sz w:val="24"/>
        </w:rPr>
      </w:pPr>
      <w:r>
        <w:rPr>
          <w:rFonts w:hint="eastAsia" w:ascii="仿宋" w:hAnsi="仿宋" w:eastAsia="仿宋" w:cs="宋体"/>
          <w:sz w:val="24"/>
        </w:rPr>
        <w:t>项目编号：</w:t>
      </w:r>
    </w:p>
    <w:tbl>
      <w:tblPr>
        <w:tblStyle w:val="38"/>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3617"/>
        <w:gridCol w:w="706"/>
        <w:gridCol w:w="1489"/>
        <w:gridCol w:w="84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04"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产品名称</w:t>
            </w:r>
          </w:p>
        </w:tc>
        <w:tc>
          <w:tcPr>
            <w:tcW w:w="3617"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规格</w:t>
            </w:r>
          </w:p>
        </w:tc>
        <w:tc>
          <w:tcPr>
            <w:tcW w:w="706"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单位</w:t>
            </w:r>
          </w:p>
        </w:tc>
        <w:tc>
          <w:tcPr>
            <w:tcW w:w="1489"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单价限价</w:t>
            </w:r>
          </w:p>
          <w:p>
            <w:pPr>
              <w:snapToGrid w:val="0"/>
              <w:spacing w:line="480" w:lineRule="exact"/>
              <w:jc w:val="center"/>
              <w:rPr>
                <w:rFonts w:ascii="仿宋" w:hAnsi="仿宋" w:eastAsia="仿宋" w:cs="微软雅黑"/>
                <w:sz w:val="24"/>
              </w:rPr>
            </w:pPr>
            <w:r>
              <w:rPr>
                <w:rFonts w:hint="eastAsia" w:ascii="仿宋" w:hAnsi="仿宋" w:eastAsia="仿宋" w:cs="微软雅黑"/>
                <w:sz w:val="24"/>
              </w:rPr>
              <w:t>（元）</w:t>
            </w:r>
          </w:p>
        </w:tc>
        <w:tc>
          <w:tcPr>
            <w:tcW w:w="849"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权重</w:t>
            </w:r>
          </w:p>
        </w:tc>
        <w:tc>
          <w:tcPr>
            <w:tcW w:w="1276"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加权报价</w:t>
            </w:r>
          </w:p>
          <w:p>
            <w:pPr>
              <w:snapToGrid w:val="0"/>
              <w:spacing w:line="480" w:lineRule="exact"/>
              <w:jc w:val="center"/>
              <w:rPr>
                <w:rFonts w:ascii="仿宋" w:hAnsi="仿宋" w:eastAsia="仿宋" w:cs="微软雅黑"/>
                <w:sz w:val="24"/>
              </w:rPr>
            </w:pPr>
            <w:r>
              <w:rPr>
                <w:rFonts w:hint="eastAsia" w:ascii="仿宋" w:hAnsi="仿宋" w:eastAsia="仿宋" w:cs="微软雅黑"/>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04" w:type="dxa"/>
            <w:vAlign w:val="center"/>
          </w:tcPr>
          <w:p>
            <w:pPr>
              <w:widowControl/>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高清交互型个人版机顶盒</w:t>
            </w:r>
          </w:p>
        </w:tc>
        <w:tc>
          <w:tcPr>
            <w:tcW w:w="3617" w:type="dxa"/>
            <w:vAlign w:val="center"/>
          </w:tcPr>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高清交互型个人版机顶盒：RAM≥512MB，Flash≥128M，</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电源适配器*1，</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1.5米射频线*1，</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2米HDMI线*1，</w:t>
            </w:r>
          </w:p>
          <w:p>
            <w:pPr>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华数DZ34-1学习型遥控器*1，以及有中文标识的7号碱性电池*2</w:t>
            </w:r>
          </w:p>
        </w:tc>
        <w:tc>
          <w:tcPr>
            <w:tcW w:w="706" w:type="dxa"/>
            <w:vAlign w:val="center"/>
          </w:tcPr>
          <w:p>
            <w:pPr>
              <w:snapToGrid w:val="0"/>
              <w:spacing w:line="240" w:lineRule="exact"/>
              <w:jc w:val="center"/>
              <w:rPr>
                <w:rFonts w:ascii="仿宋" w:hAnsi="仿宋" w:eastAsia="仿宋" w:cs="微软雅黑"/>
                <w:sz w:val="24"/>
              </w:rPr>
            </w:pPr>
            <w:r>
              <w:rPr>
                <w:rFonts w:hint="eastAsia" w:ascii="仿宋" w:hAnsi="仿宋" w:eastAsia="仿宋" w:cs="微软雅黑"/>
                <w:sz w:val="24"/>
              </w:rPr>
              <w:t>台</w:t>
            </w:r>
          </w:p>
        </w:tc>
        <w:tc>
          <w:tcPr>
            <w:tcW w:w="1489"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148</w:t>
            </w:r>
          </w:p>
        </w:tc>
        <w:tc>
          <w:tcPr>
            <w:tcW w:w="849" w:type="dxa"/>
            <w:vAlign w:val="center"/>
          </w:tcPr>
          <w:p>
            <w:pPr>
              <w:snapToGrid w:val="0"/>
              <w:spacing w:line="480" w:lineRule="exact"/>
              <w:jc w:val="center"/>
              <w:rPr>
                <w:rFonts w:ascii="仿宋" w:hAnsi="仿宋" w:eastAsia="仿宋" w:cs="微软雅黑"/>
                <w:sz w:val="24"/>
                <w:highlight w:val="yellow"/>
              </w:rPr>
            </w:pPr>
            <w:r>
              <w:rPr>
                <w:rFonts w:ascii="仿宋" w:hAnsi="仿宋" w:eastAsia="仿宋" w:cs="微软雅黑"/>
                <w:sz w:val="24"/>
                <w:highlight w:val="yellow"/>
              </w:rPr>
              <w:t>1</w:t>
            </w:r>
          </w:p>
        </w:tc>
        <w:tc>
          <w:tcPr>
            <w:tcW w:w="1276" w:type="dxa"/>
            <w:vAlign w:val="center"/>
          </w:tcPr>
          <w:p>
            <w:pPr>
              <w:snapToGrid w:val="0"/>
              <w:spacing w:line="480" w:lineRule="exact"/>
              <w:jc w:val="center"/>
              <w:rPr>
                <w:rFonts w:ascii="仿宋" w:hAnsi="仿宋" w:eastAsia="仿宋"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104" w:type="dxa"/>
            <w:vMerge w:val="restart"/>
            <w:vAlign w:val="center"/>
          </w:tcPr>
          <w:p>
            <w:pPr>
              <w:widowControl/>
              <w:jc w:val="center"/>
              <w:rPr>
                <w:rFonts w:ascii="仿宋" w:hAnsi="仿宋" w:eastAsia="仿宋" w:cs="微软雅黑"/>
              </w:rPr>
            </w:pPr>
            <w:r>
              <w:rPr>
                <w:rFonts w:hint="eastAsia" w:ascii="仿宋" w:hAnsi="仿宋" w:eastAsia="仿宋" w:cs="宋体"/>
                <w:color w:val="000000" w:themeColor="text1"/>
                <w:kern w:val="0"/>
                <w14:textFill>
                  <w14:solidFill>
                    <w14:schemeClr w14:val="tx1"/>
                  </w14:solidFill>
                </w14:textFill>
              </w:rPr>
              <w:t>高清交互型宾馆版机顶盒</w:t>
            </w:r>
          </w:p>
        </w:tc>
        <w:tc>
          <w:tcPr>
            <w:tcW w:w="3617" w:type="dxa"/>
            <w:vAlign w:val="center"/>
          </w:tcPr>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高清交互型宾馆版机顶盒（带内置硬AP）：RAM≥512MB，Flash≥128M，</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带内置硬AP，</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电源适配器*1，</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1.5米射频线*1，</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2米HDMI线*1，</w:t>
            </w:r>
          </w:p>
          <w:p>
            <w:pPr>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2米红外线接收器及引线*1，</w:t>
            </w:r>
          </w:p>
          <w:p>
            <w:pPr>
              <w:snapToGrid w:val="0"/>
              <w:jc w:val="left"/>
              <w:rPr>
                <w:rFonts w:ascii="仿宋" w:hAnsi="仿宋" w:eastAsia="仿宋" w:cs="微软雅黑"/>
              </w:rPr>
            </w:pPr>
            <w:r>
              <w:rPr>
                <w:rFonts w:hint="eastAsia" w:ascii="仿宋" w:hAnsi="仿宋" w:eastAsia="仿宋" w:cs="宋体"/>
                <w:color w:val="000000" w:themeColor="text1"/>
                <w:kern w:val="0"/>
                <w14:textFill>
                  <w14:solidFill>
                    <w14:schemeClr w14:val="tx1"/>
                  </w14:solidFill>
                </w14:textFill>
              </w:rPr>
              <w:t>华数SY34学习型遥控器*1，以及有中文标识的7号碱性电池*2</w:t>
            </w:r>
          </w:p>
        </w:tc>
        <w:tc>
          <w:tcPr>
            <w:tcW w:w="706" w:type="dxa"/>
            <w:vAlign w:val="center"/>
          </w:tcPr>
          <w:p>
            <w:pPr>
              <w:snapToGrid w:val="0"/>
              <w:spacing w:line="240" w:lineRule="exact"/>
              <w:jc w:val="center"/>
              <w:rPr>
                <w:rFonts w:ascii="仿宋" w:hAnsi="仿宋" w:eastAsia="仿宋" w:cs="微软雅黑"/>
                <w:sz w:val="24"/>
              </w:rPr>
            </w:pPr>
            <w:r>
              <w:rPr>
                <w:rFonts w:hint="eastAsia" w:ascii="仿宋" w:hAnsi="仿宋" w:eastAsia="仿宋" w:cs="微软雅黑"/>
                <w:sz w:val="24"/>
              </w:rPr>
              <w:t>台</w:t>
            </w:r>
          </w:p>
        </w:tc>
        <w:tc>
          <w:tcPr>
            <w:tcW w:w="1489"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200</w:t>
            </w:r>
          </w:p>
        </w:tc>
        <w:tc>
          <w:tcPr>
            <w:tcW w:w="849" w:type="dxa"/>
            <w:vAlign w:val="center"/>
          </w:tcPr>
          <w:p>
            <w:pPr>
              <w:jc w:val="center"/>
              <w:rPr>
                <w:rFonts w:ascii="仿宋" w:hAnsi="仿宋" w:eastAsia="仿宋" w:cs="微软雅黑"/>
                <w:sz w:val="24"/>
                <w:highlight w:val="yellow"/>
              </w:rPr>
            </w:pPr>
            <w:r>
              <w:rPr>
                <w:rFonts w:hint="eastAsia" w:ascii="仿宋" w:hAnsi="仿宋" w:eastAsia="仿宋" w:cs="微软雅黑"/>
                <w:sz w:val="24"/>
                <w:highlight w:val="yellow"/>
              </w:rPr>
              <w:t>0.01</w:t>
            </w:r>
          </w:p>
        </w:tc>
        <w:tc>
          <w:tcPr>
            <w:tcW w:w="1276" w:type="dxa"/>
            <w:vAlign w:val="center"/>
          </w:tcPr>
          <w:p>
            <w:pPr>
              <w:jc w:val="center"/>
              <w:rPr>
                <w:rFonts w:ascii="仿宋" w:hAnsi="仿宋" w:eastAsia="仿宋"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104" w:type="dxa"/>
            <w:vMerge w:val="continue"/>
            <w:vAlign w:val="center"/>
          </w:tcPr>
          <w:p>
            <w:pPr>
              <w:snapToGrid w:val="0"/>
              <w:spacing w:line="480" w:lineRule="exact"/>
              <w:jc w:val="center"/>
              <w:rPr>
                <w:rFonts w:ascii="仿宋" w:hAnsi="仿宋" w:eastAsia="仿宋" w:cs="微软雅黑"/>
              </w:rPr>
            </w:pPr>
          </w:p>
        </w:tc>
        <w:tc>
          <w:tcPr>
            <w:tcW w:w="3617" w:type="dxa"/>
            <w:vAlign w:val="center"/>
          </w:tcPr>
          <w:p>
            <w:pPr>
              <w:widowControl/>
              <w:jc w:val="left"/>
              <w:rPr>
                <w:rFonts w:ascii="仿宋" w:hAnsi="仿宋" w:eastAsia="仿宋" w:cs="宋体"/>
                <w:kern w:val="0"/>
              </w:rPr>
            </w:pPr>
            <w:r>
              <w:rPr>
                <w:rFonts w:hint="eastAsia" w:ascii="仿宋" w:hAnsi="仿宋" w:eastAsia="仿宋" w:cs="宋体"/>
                <w:kern w:val="0"/>
              </w:rPr>
              <w:t>高清交互型宾馆版机顶盒（无AP）：RAM≥512MB，Flash≥128M，</w:t>
            </w:r>
          </w:p>
          <w:p>
            <w:pPr>
              <w:widowControl/>
              <w:jc w:val="left"/>
              <w:rPr>
                <w:rFonts w:ascii="仿宋" w:hAnsi="仿宋" w:eastAsia="仿宋" w:cs="宋体"/>
                <w:kern w:val="0"/>
              </w:rPr>
            </w:pPr>
            <w:r>
              <w:rPr>
                <w:rFonts w:hint="eastAsia" w:ascii="仿宋" w:hAnsi="仿宋" w:eastAsia="仿宋" w:cs="宋体"/>
                <w:kern w:val="0"/>
              </w:rPr>
              <w:t>电源适配器*1，</w:t>
            </w:r>
          </w:p>
          <w:p>
            <w:pPr>
              <w:widowControl/>
              <w:jc w:val="left"/>
              <w:rPr>
                <w:rFonts w:ascii="仿宋" w:hAnsi="仿宋" w:eastAsia="仿宋" w:cs="宋体"/>
                <w:kern w:val="0"/>
              </w:rPr>
            </w:pPr>
            <w:r>
              <w:rPr>
                <w:rFonts w:hint="eastAsia" w:ascii="仿宋" w:hAnsi="仿宋" w:eastAsia="仿宋" w:cs="宋体"/>
                <w:kern w:val="0"/>
              </w:rPr>
              <w:t>1.5米射频线*1，</w:t>
            </w:r>
          </w:p>
          <w:p>
            <w:pPr>
              <w:widowControl/>
              <w:jc w:val="left"/>
              <w:rPr>
                <w:rFonts w:ascii="仿宋" w:hAnsi="仿宋" w:eastAsia="仿宋" w:cs="宋体"/>
                <w:kern w:val="0"/>
              </w:rPr>
            </w:pPr>
            <w:r>
              <w:rPr>
                <w:rFonts w:hint="eastAsia" w:ascii="仿宋" w:hAnsi="仿宋" w:eastAsia="仿宋" w:cs="宋体"/>
                <w:kern w:val="0"/>
              </w:rPr>
              <w:t>2米HDMI线*1，</w:t>
            </w:r>
          </w:p>
          <w:p>
            <w:pPr>
              <w:widowControl/>
              <w:jc w:val="left"/>
              <w:rPr>
                <w:rFonts w:ascii="仿宋" w:hAnsi="仿宋" w:eastAsia="仿宋" w:cs="宋体"/>
                <w:kern w:val="0"/>
              </w:rPr>
            </w:pPr>
            <w:r>
              <w:rPr>
                <w:rFonts w:hint="eastAsia" w:ascii="仿宋" w:hAnsi="仿宋" w:eastAsia="仿宋" w:cs="宋体"/>
                <w:kern w:val="0"/>
              </w:rPr>
              <w:t>2米红外线接收器及引线*1，</w:t>
            </w:r>
          </w:p>
          <w:p>
            <w:pPr>
              <w:snapToGrid w:val="0"/>
              <w:jc w:val="left"/>
              <w:rPr>
                <w:rFonts w:ascii="仿宋" w:hAnsi="仿宋" w:eastAsia="仿宋" w:cs="微软雅黑"/>
              </w:rPr>
            </w:pPr>
            <w:r>
              <w:rPr>
                <w:rFonts w:hint="eastAsia" w:ascii="仿宋" w:hAnsi="仿宋" w:eastAsia="仿宋" w:cs="宋体"/>
                <w:kern w:val="0"/>
              </w:rPr>
              <w:t>含华数SY34学习型遥控器*1，有中文标识的7号碱性电池*2</w:t>
            </w:r>
          </w:p>
        </w:tc>
        <w:tc>
          <w:tcPr>
            <w:tcW w:w="706" w:type="dxa"/>
            <w:vAlign w:val="center"/>
          </w:tcPr>
          <w:p>
            <w:pPr>
              <w:snapToGrid w:val="0"/>
              <w:spacing w:line="240" w:lineRule="exact"/>
              <w:jc w:val="center"/>
              <w:rPr>
                <w:rFonts w:ascii="仿宋" w:hAnsi="仿宋" w:eastAsia="仿宋" w:cs="微软雅黑"/>
                <w:sz w:val="24"/>
              </w:rPr>
            </w:pPr>
            <w:r>
              <w:rPr>
                <w:rFonts w:hint="eastAsia" w:ascii="仿宋" w:hAnsi="仿宋" w:eastAsia="仿宋" w:cs="微软雅黑"/>
                <w:sz w:val="24"/>
              </w:rPr>
              <w:t>台</w:t>
            </w:r>
          </w:p>
        </w:tc>
        <w:tc>
          <w:tcPr>
            <w:tcW w:w="1489" w:type="dxa"/>
            <w:vAlign w:val="center"/>
          </w:tcPr>
          <w:p>
            <w:pPr>
              <w:snapToGrid w:val="0"/>
              <w:spacing w:line="480" w:lineRule="exact"/>
              <w:jc w:val="center"/>
              <w:rPr>
                <w:rFonts w:ascii="仿宋" w:hAnsi="仿宋" w:eastAsia="仿宋" w:cs="微软雅黑"/>
                <w:sz w:val="24"/>
              </w:rPr>
            </w:pPr>
            <w:r>
              <w:rPr>
                <w:rFonts w:hint="eastAsia" w:ascii="仿宋" w:hAnsi="仿宋" w:eastAsia="仿宋" w:cs="微软雅黑"/>
                <w:sz w:val="24"/>
              </w:rPr>
              <w:t>158</w:t>
            </w:r>
          </w:p>
        </w:tc>
        <w:tc>
          <w:tcPr>
            <w:tcW w:w="849" w:type="dxa"/>
            <w:vAlign w:val="center"/>
          </w:tcPr>
          <w:p>
            <w:pPr>
              <w:jc w:val="center"/>
              <w:rPr>
                <w:rFonts w:ascii="仿宋" w:hAnsi="仿宋" w:eastAsia="仿宋" w:cs="微软雅黑"/>
                <w:sz w:val="24"/>
                <w:highlight w:val="yellow"/>
              </w:rPr>
            </w:pPr>
            <w:r>
              <w:rPr>
                <w:rFonts w:hint="eastAsia" w:ascii="仿宋" w:hAnsi="仿宋" w:eastAsia="仿宋" w:cs="微软雅黑"/>
                <w:sz w:val="24"/>
                <w:highlight w:val="yellow"/>
              </w:rPr>
              <w:t>0</w:t>
            </w:r>
            <w:r>
              <w:rPr>
                <w:rFonts w:ascii="仿宋" w:hAnsi="仿宋" w:eastAsia="仿宋" w:cs="微软雅黑"/>
                <w:sz w:val="24"/>
                <w:highlight w:val="yellow"/>
              </w:rPr>
              <w:t>.</w:t>
            </w:r>
            <w:r>
              <w:rPr>
                <w:rFonts w:hint="eastAsia" w:ascii="仿宋" w:hAnsi="仿宋" w:eastAsia="仿宋" w:cs="微软雅黑"/>
                <w:sz w:val="24"/>
                <w:highlight w:val="yellow"/>
              </w:rPr>
              <w:t>01</w:t>
            </w:r>
          </w:p>
        </w:tc>
        <w:tc>
          <w:tcPr>
            <w:tcW w:w="1276" w:type="dxa"/>
            <w:vAlign w:val="center"/>
          </w:tcPr>
          <w:p>
            <w:pPr>
              <w:jc w:val="center"/>
              <w:rPr>
                <w:rFonts w:ascii="仿宋" w:hAnsi="仿宋" w:eastAsia="仿宋"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765" w:type="dxa"/>
            <w:gridSpan w:val="5"/>
            <w:vAlign w:val="center"/>
          </w:tcPr>
          <w:p>
            <w:pPr>
              <w:jc w:val="right"/>
              <w:rPr>
                <w:rFonts w:ascii="仿宋" w:hAnsi="仿宋" w:eastAsia="仿宋" w:cs="微软雅黑"/>
                <w:sz w:val="24"/>
              </w:rPr>
            </w:pPr>
            <w:r>
              <w:rPr>
                <w:rFonts w:hint="eastAsia" w:ascii="仿宋" w:hAnsi="仿宋" w:eastAsia="仿宋" w:cs="微软雅黑"/>
                <w:sz w:val="24"/>
              </w:rPr>
              <w:t>加权合计</w:t>
            </w:r>
          </w:p>
        </w:tc>
        <w:tc>
          <w:tcPr>
            <w:tcW w:w="1276" w:type="dxa"/>
            <w:vAlign w:val="center"/>
          </w:tcPr>
          <w:p>
            <w:pPr>
              <w:jc w:val="center"/>
              <w:rPr>
                <w:rFonts w:ascii="仿宋" w:hAnsi="仿宋" w:eastAsia="仿宋" w:cs="微软雅黑"/>
                <w:sz w:val="24"/>
              </w:rPr>
            </w:pPr>
          </w:p>
        </w:tc>
      </w:tr>
    </w:tbl>
    <w:p>
      <w:pPr>
        <w:pStyle w:val="8"/>
        <w:spacing w:line="500" w:lineRule="exact"/>
        <w:ind w:left="0" w:firstLine="0"/>
        <w:rPr>
          <w:rFonts w:ascii="仿宋" w:hAnsi="仿宋" w:eastAsia="仿宋"/>
          <w:shd w:val="pct10" w:color="auto" w:fill="FFFFFF"/>
        </w:rPr>
      </w:pPr>
      <w:r>
        <w:rPr>
          <w:rFonts w:hint="eastAsia" w:ascii="仿宋" w:hAnsi="仿宋" w:eastAsia="仿宋" w:cs="华文中宋"/>
          <w:shd w:val="pct10" w:color="auto" w:fill="FFFFFF"/>
        </w:rPr>
        <w:t>注：</w:t>
      </w:r>
      <w:r>
        <w:rPr>
          <w:rFonts w:hint="eastAsia" w:ascii="仿宋" w:hAnsi="仿宋" w:eastAsia="仿宋" w:cs="华文中宋"/>
        </w:rPr>
        <w:t>▲</w:t>
      </w:r>
      <w:r>
        <w:rPr>
          <w:rFonts w:hint="eastAsia" w:ascii="仿宋" w:hAnsi="仿宋" w:eastAsia="仿宋" w:cs="华文中宋"/>
          <w:b/>
          <w:bCs/>
          <w:shd w:val="pct10" w:color="auto" w:fill="FFFFFF"/>
        </w:rPr>
        <w:t>1.报价采用印刷体打印；其它方式作无效处理。</w:t>
      </w:r>
    </w:p>
    <w:p>
      <w:pPr>
        <w:pStyle w:val="88"/>
        <w:spacing w:line="360" w:lineRule="auto"/>
        <w:ind w:firstLine="420" w:firstLineChars="200"/>
        <w:jc w:val="left"/>
        <w:rPr>
          <w:rFonts w:ascii="仿宋" w:hAnsi="仿宋" w:eastAsia="仿宋" w:cs="华文中宋"/>
          <w:b/>
          <w:sz w:val="32"/>
          <w:szCs w:val="32"/>
        </w:rPr>
      </w:pPr>
      <w:r>
        <w:rPr>
          <w:rFonts w:hint="eastAsia" w:ascii="仿宋" w:hAnsi="仿宋" w:eastAsia="仿宋" w:cs="华文中宋"/>
          <w:bCs/>
          <w:shd w:val="pct10" w:color="auto" w:fill="FFFFFF"/>
        </w:rPr>
        <w:t>2. 报价中必须包括材料费、税金（含产品的关税、增值税等）、运输费、装卸费</w:t>
      </w:r>
      <w:bookmarkStart w:id="312" w:name="_GoBack"/>
      <w:bookmarkEnd w:id="312"/>
      <w:r>
        <w:rPr>
          <w:rFonts w:hint="eastAsia" w:ascii="仿宋" w:hAnsi="仿宋" w:eastAsia="仿宋" w:cs="华文中宋"/>
          <w:bCs/>
          <w:shd w:val="pct10" w:color="auto" w:fill="FFFFFF"/>
        </w:rPr>
        <w:t>、质保期内的维护维修费、政策性文件规定及合同包含的所有风险、责任等各项全部费用。</w:t>
      </w:r>
    </w:p>
    <w:p>
      <w:pPr>
        <w:pStyle w:val="88"/>
        <w:spacing w:line="360" w:lineRule="auto"/>
        <w:ind w:firstLine="3720" w:firstLineChars="1550"/>
        <w:jc w:val="left"/>
        <w:rPr>
          <w:rFonts w:ascii="仿宋" w:hAnsi="仿宋" w:eastAsia="仿宋"/>
          <w:sz w:val="24"/>
        </w:rPr>
      </w:pPr>
      <w:r>
        <w:rPr>
          <w:rFonts w:hint="eastAsia" w:ascii="仿宋" w:hAnsi="仿宋" w:eastAsia="仿宋"/>
          <w:sz w:val="24"/>
        </w:rPr>
        <w:t>供应商名称：（盖公章）</w:t>
      </w:r>
    </w:p>
    <w:p>
      <w:pPr>
        <w:pStyle w:val="88"/>
        <w:spacing w:line="360" w:lineRule="auto"/>
        <w:ind w:firstLine="3720" w:firstLineChars="1550"/>
        <w:jc w:val="left"/>
        <w:rPr>
          <w:rFonts w:ascii="仿宋" w:hAnsi="仿宋" w:eastAsia="仿宋"/>
          <w:sz w:val="24"/>
        </w:rPr>
      </w:pPr>
      <w:r>
        <w:rPr>
          <w:rFonts w:hint="eastAsia" w:ascii="仿宋" w:hAnsi="仿宋" w:eastAsia="仿宋"/>
          <w:sz w:val="24"/>
        </w:rPr>
        <w:t xml:space="preserve">法定代表人或授权代表人：（签字或盖章） </w:t>
      </w:r>
    </w:p>
    <w:p>
      <w:pPr>
        <w:pStyle w:val="88"/>
        <w:spacing w:line="360" w:lineRule="auto"/>
        <w:ind w:firstLine="3720" w:firstLineChars="1550"/>
        <w:jc w:val="left"/>
        <w:rPr>
          <w:rFonts w:ascii="仿宋" w:hAnsi="仿宋" w:eastAsia="仿宋" w:cs="华文中宋"/>
          <w:sz w:val="24"/>
          <w:lang w:val="zh-CN"/>
        </w:rPr>
      </w:pPr>
      <w:r>
        <w:rPr>
          <w:rFonts w:hint="eastAsia" w:ascii="仿宋" w:hAnsi="仿宋" w:eastAsia="仿宋"/>
          <w:sz w:val="24"/>
        </w:rPr>
        <w:t>2021年  月 日</w:t>
      </w:r>
    </w:p>
    <w:p>
      <w:pPr>
        <w:spacing w:line="600" w:lineRule="exact"/>
        <w:jc w:val="left"/>
        <w:rPr>
          <w:rFonts w:ascii="仿宋" w:hAnsi="仿宋" w:eastAsia="仿宋" w:cs="华文中宋"/>
          <w:sz w:val="24"/>
          <w:lang w:val="zh-CN"/>
        </w:rPr>
      </w:pPr>
      <w:r>
        <w:rPr>
          <w:rFonts w:hint="eastAsia" w:ascii="仿宋" w:hAnsi="仿宋" w:eastAsia="仿宋" w:cs="华文中宋"/>
          <w:sz w:val="24"/>
          <w:lang w:val="zh-CN"/>
        </w:rPr>
        <w:t>附件</w:t>
      </w:r>
      <w:r>
        <w:rPr>
          <w:rFonts w:hint="eastAsia" w:ascii="仿宋" w:hAnsi="仿宋" w:eastAsia="仿宋" w:cs="华文中宋"/>
          <w:sz w:val="24"/>
        </w:rPr>
        <w:t>3</w:t>
      </w:r>
    </w:p>
    <w:bookmarkEnd w:id="290"/>
    <w:bookmarkEnd w:id="291"/>
    <w:bookmarkEnd w:id="292"/>
    <w:bookmarkEnd w:id="293"/>
    <w:bookmarkEnd w:id="294"/>
    <w:bookmarkEnd w:id="295"/>
    <w:bookmarkEnd w:id="296"/>
    <w:p>
      <w:pPr>
        <w:spacing w:before="156" w:beforeLines="50" w:line="360" w:lineRule="auto"/>
        <w:jc w:val="center"/>
        <w:rPr>
          <w:rFonts w:ascii="仿宋" w:hAnsi="仿宋" w:eastAsia="仿宋" w:cs="微软雅黑"/>
          <w:b/>
          <w:bCs/>
          <w:sz w:val="32"/>
          <w:szCs w:val="32"/>
        </w:rPr>
      </w:pPr>
      <w:r>
        <w:rPr>
          <w:rFonts w:hint="eastAsia" w:ascii="仿宋" w:hAnsi="仿宋" w:eastAsia="仿宋" w:cs="微软雅黑"/>
          <w:b/>
          <w:bCs/>
          <w:sz w:val="32"/>
          <w:szCs w:val="32"/>
        </w:rPr>
        <w:t>法定代表人授权委托书</w:t>
      </w:r>
    </w:p>
    <w:p>
      <w:pPr>
        <w:snapToGrid w:val="0"/>
        <w:spacing w:line="312" w:lineRule="auto"/>
        <w:ind w:firstLine="480"/>
        <w:rPr>
          <w:rFonts w:ascii="仿宋" w:hAnsi="仿宋" w:eastAsia="仿宋"/>
          <w:sz w:val="24"/>
          <w:lang w:val="zh-CN"/>
        </w:rPr>
      </w:pPr>
      <w:r>
        <w:rPr>
          <w:rFonts w:hint="eastAsia" w:ascii="仿宋" w:hAnsi="仿宋" w:eastAsia="仿宋"/>
          <w:sz w:val="24"/>
          <w:lang w:val="zh-CN"/>
        </w:rPr>
        <w:t>本人</w:t>
      </w:r>
      <w:r>
        <w:rPr>
          <w:rFonts w:hint="eastAsia" w:ascii="仿宋" w:hAnsi="仿宋" w:eastAsia="仿宋"/>
          <w:sz w:val="24"/>
          <w:u w:val="single"/>
          <w:lang w:val="zh-CN"/>
        </w:rPr>
        <w:t>（姓名）</w:t>
      </w:r>
      <w:r>
        <w:rPr>
          <w:rFonts w:hint="eastAsia" w:ascii="仿宋" w:hAnsi="仿宋" w:eastAsia="仿宋"/>
          <w:sz w:val="24"/>
          <w:lang w:val="zh-CN"/>
        </w:rPr>
        <w:t>系</w:t>
      </w:r>
      <w:r>
        <w:rPr>
          <w:rFonts w:hint="eastAsia" w:ascii="仿宋" w:hAnsi="仿宋" w:eastAsia="仿宋"/>
          <w:sz w:val="24"/>
          <w:u w:val="single"/>
          <w:lang w:val="zh-CN"/>
        </w:rPr>
        <w:t>（投标人名称）</w:t>
      </w:r>
      <w:r>
        <w:rPr>
          <w:rFonts w:hint="eastAsia" w:ascii="仿宋" w:hAnsi="仿宋" w:eastAsia="仿宋"/>
          <w:sz w:val="24"/>
          <w:lang w:val="zh-CN"/>
        </w:rPr>
        <w:t>的法定代表人，现授权</w:t>
      </w:r>
      <w:r>
        <w:rPr>
          <w:rFonts w:hint="eastAsia" w:ascii="仿宋" w:hAnsi="仿宋" w:eastAsia="仿宋"/>
          <w:sz w:val="24"/>
          <w:u w:val="single"/>
          <w:lang w:val="zh-CN"/>
        </w:rPr>
        <w:t>（姓名）</w:t>
      </w:r>
      <w:r>
        <w:rPr>
          <w:rFonts w:hint="eastAsia" w:ascii="仿宋" w:hAnsi="仿宋" w:eastAsia="仿宋"/>
          <w:sz w:val="24"/>
          <w:lang w:val="zh-CN"/>
        </w:rPr>
        <w:t>（</w:t>
      </w:r>
      <w:r>
        <w:rPr>
          <w:rFonts w:hint="eastAsia" w:ascii="仿宋" w:hAnsi="仿宋" w:eastAsia="仿宋"/>
          <w:sz w:val="24"/>
          <w:u w:val="single"/>
          <w:lang w:val="zh-CN"/>
        </w:rPr>
        <w:t xml:space="preserve">   身份证号码   </w:t>
      </w:r>
      <w:r>
        <w:rPr>
          <w:rFonts w:hint="eastAsia" w:ascii="仿宋" w:hAnsi="仿宋" w:eastAsia="仿宋"/>
          <w:sz w:val="24"/>
          <w:lang w:val="zh-CN"/>
        </w:rPr>
        <w:t>）为我方代理人。授权代理人根据授权对</w:t>
      </w:r>
      <w:r>
        <w:rPr>
          <w:rFonts w:hint="eastAsia" w:ascii="仿宋" w:hAnsi="仿宋" w:eastAsia="仿宋"/>
          <w:sz w:val="24"/>
          <w:u w:val="single"/>
          <w:lang w:val="zh-CN"/>
        </w:rPr>
        <w:t>（项目名称）</w:t>
      </w:r>
      <w:r>
        <w:rPr>
          <w:rFonts w:hint="eastAsia" w:ascii="仿宋" w:hAnsi="仿宋" w:eastAsia="仿宋"/>
          <w:sz w:val="24"/>
          <w:lang w:val="zh-CN"/>
        </w:rPr>
        <w:t>投标，以我方名义签署、澄清、说明、补正、提交、撤回、修改投标文件，签订合同和处理有关事宜，其法律后果由我方承担。</w:t>
      </w:r>
    </w:p>
    <w:p>
      <w:pPr>
        <w:snapToGrid w:val="0"/>
        <w:spacing w:line="312" w:lineRule="auto"/>
        <w:ind w:firstLine="480"/>
        <w:rPr>
          <w:rFonts w:ascii="仿宋" w:hAnsi="仿宋" w:eastAsia="仿宋"/>
          <w:sz w:val="24"/>
          <w:lang w:val="zh-CN"/>
        </w:rPr>
      </w:pPr>
    </w:p>
    <w:p>
      <w:pPr>
        <w:tabs>
          <w:tab w:val="left" w:pos="426"/>
        </w:tabs>
        <w:snapToGrid w:val="0"/>
        <w:spacing w:line="312" w:lineRule="auto"/>
        <w:ind w:firstLine="480"/>
        <w:rPr>
          <w:rFonts w:ascii="仿宋" w:hAnsi="仿宋" w:eastAsia="仿宋"/>
          <w:sz w:val="24"/>
          <w:lang w:val="zh-CN"/>
        </w:rPr>
      </w:pPr>
      <w:r>
        <w:rPr>
          <w:rFonts w:hint="eastAsia" w:ascii="仿宋" w:hAnsi="仿宋" w:eastAsia="仿宋"/>
          <w:sz w:val="24"/>
          <w:lang w:val="zh-CN"/>
        </w:rPr>
        <w:t>委托期限：2021年  月  日-2021年  月  日止</w:t>
      </w:r>
    </w:p>
    <w:p>
      <w:pPr>
        <w:tabs>
          <w:tab w:val="left" w:pos="426"/>
        </w:tabs>
        <w:snapToGrid w:val="0"/>
        <w:spacing w:line="312" w:lineRule="auto"/>
        <w:ind w:firstLine="480"/>
        <w:rPr>
          <w:rFonts w:ascii="仿宋" w:hAnsi="仿宋" w:eastAsia="仿宋"/>
          <w:sz w:val="24"/>
          <w:lang w:val="zh-CN"/>
        </w:rPr>
      </w:pPr>
      <w:r>
        <w:rPr>
          <w:rFonts w:hint="eastAsia" w:ascii="仿宋" w:hAnsi="仿宋" w:eastAsia="仿宋"/>
          <w:sz w:val="24"/>
          <w:lang w:val="zh-CN"/>
        </w:rPr>
        <w:t>授权代理人无转委托权。</w:t>
      </w:r>
    </w:p>
    <w:p>
      <w:pPr>
        <w:tabs>
          <w:tab w:val="left" w:pos="426"/>
        </w:tabs>
        <w:snapToGrid w:val="0"/>
        <w:spacing w:line="312" w:lineRule="auto"/>
        <w:ind w:firstLine="480"/>
        <w:rPr>
          <w:rFonts w:ascii="仿宋" w:hAnsi="仿宋" w:eastAsia="仿宋"/>
          <w:sz w:val="24"/>
          <w:lang w:val="zh-CN"/>
        </w:rPr>
      </w:pPr>
    </w:p>
    <w:p>
      <w:pPr>
        <w:tabs>
          <w:tab w:val="left" w:pos="426"/>
        </w:tabs>
        <w:adjustRightInd w:val="0"/>
        <w:snapToGrid w:val="0"/>
        <w:spacing w:line="360" w:lineRule="auto"/>
        <w:ind w:firstLine="2239" w:firstLineChars="933"/>
        <w:rPr>
          <w:rFonts w:ascii="仿宋" w:hAnsi="仿宋" w:eastAsia="仿宋" w:cs="微软雅黑"/>
          <w:sz w:val="24"/>
        </w:rPr>
      </w:pPr>
      <w:r>
        <w:rPr>
          <w:rFonts w:hint="eastAsia" w:ascii="仿宋" w:hAnsi="仿宋" w:eastAsia="仿宋" w:cs="微软雅黑"/>
          <w:sz w:val="24"/>
        </w:rPr>
        <w:t>投标人（盖章）：                法定代表人移动电话：</w:t>
      </w:r>
    </w:p>
    <w:p>
      <w:pPr>
        <w:tabs>
          <w:tab w:val="left" w:pos="426"/>
        </w:tabs>
        <w:adjustRightInd w:val="0"/>
        <w:snapToGrid w:val="0"/>
        <w:spacing w:line="360" w:lineRule="auto"/>
        <w:ind w:firstLine="1080" w:firstLineChars="450"/>
        <w:rPr>
          <w:rFonts w:ascii="仿宋" w:hAnsi="仿宋" w:eastAsia="仿宋" w:cs="微软雅黑"/>
          <w:sz w:val="24"/>
        </w:rPr>
      </w:pPr>
      <w:r>
        <w:rPr>
          <w:rFonts w:hint="eastAsia" w:ascii="仿宋" w:hAnsi="仿宋" w:eastAsia="仿宋" w:cs="微软雅黑"/>
          <w:sz w:val="24"/>
        </w:rPr>
        <w:t>法定代表人（签字或盖章）：                授权代理人移动电话：</w:t>
      </w:r>
    </w:p>
    <w:p>
      <w:pPr>
        <w:tabs>
          <w:tab w:val="left" w:pos="426"/>
        </w:tabs>
        <w:adjustRightInd w:val="0"/>
        <w:snapToGrid w:val="0"/>
        <w:spacing w:line="360" w:lineRule="auto"/>
        <w:ind w:firstLine="6679" w:firstLineChars="2783"/>
        <w:rPr>
          <w:rFonts w:ascii="仿宋" w:hAnsi="仿宋" w:eastAsia="仿宋" w:cs="微软雅黑"/>
          <w:sz w:val="24"/>
        </w:rPr>
      </w:pPr>
      <w:r>
        <w:rPr>
          <w:rFonts w:hint="eastAsia" w:ascii="仿宋" w:hAnsi="仿宋" w:eastAsia="仿宋" w:cs="微软雅黑"/>
          <w:sz w:val="24"/>
        </w:rPr>
        <w:t>年  月  日</w:t>
      </w:r>
    </w:p>
    <w:tbl>
      <w:tblPr>
        <w:tblStyle w:val="38"/>
        <w:tblW w:w="0" w:type="auto"/>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283"/>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835" w:type="dxa"/>
            <w:vAlign w:val="center"/>
          </w:tcPr>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法定代表人身份证影印件/复印件</w:t>
            </w:r>
          </w:p>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（国徽面）</w:t>
            </w:r>
          </w:p>
        </w:tc>
        <w:tc>
          <w:tcPr>
            <w:tcW w:w="283" w:type="dxa"/>
            <w:tcBorders>
              <w:top w:val="nil"/>
              <w:bottom w:val="nil"/>
            </w:tcBorders>
            <w:shd w:val="clear" w:color="auto" w:fill="auto"/>
          </w:tcPr>
          <w:p>
            <w:pPr>
              <w:widowControl/>
              <w:tabs>
                <w:tab w:val="left" w:pos="426"/>
              </w:tabs>
              <w:jc w:val="left"/>
              <w:rPr>
                <w:rFonts w:ascii="仿宋" w:hAnsi="仿宋" w:eastAsia="仿宋"/>
                <w:szCs w:val="21"/>
                <w:lang w:val="zh-CN"/>
              </w:rPr>
            </w:pPr>
          </w:p>
        </w:tc>
        <w:tc>
          <w:tcPr>
            <w:tcW w:w="3828" w:type="dxa"/>
            <w:shd w:val="clear" w:color="auto" w:fill="auto"/>
            <w:vAlign w:val="center"/>
          </w:tcPr>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法定代表人身份证影印件/复印件</w:t>
            </w:r>
          </w:p>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（人像面）</w:t>
            </w:r>
          </w:p>
        </w:tc>
      </w:tr>
    </w:tbl>
    <w:p>
      <w:pPr>
        <w:tabs>
          <w:tab w:val="left" w:pos="426"/>
          <w:tab w:val="left" w:pos="1575"/>
        </w:tabs>
        <w:snapToGrid w:val="0"/>
        <w:ind w:firstLine="480"/>
        <w:rPr>
          <w:rFonts w:ascii="仿宋" w:hAnsi="仿宋" w:eastAsia="仿宋"/>
          <w:sz w:val="24"/>
          <w:lang w:val="zh-CN"/>
        </w:rPr>
      </w:pP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283"/>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3827" w:type="dxa"/>
            <w:vAlign w:val="center"/>
          </w:tcPr>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授权代理人身份证影印件/复印件</w:t>
            </w:r>
          </w:p>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（国徽面）</w:t>
            </w:r>
          </w:p>
        </w:tc>
        <w:tc>
          <w:tcPr>
            <w:tcW w:w="283" w:type="dxa"/>
            <w:tcBorders>
              <w:top w:val="nil"/>
              <w:bottom w:val="nil"/>
            </w:tcBorders>
            <w:shd w:val="clear" w:color="auto" w:fill="auto"/>
          </w:tcPr>
          <w:p>
            <w:pPr>
              <w:widowControl/>
              <w:tabs>
                <w:tab w:val="left" w:pos="426"/>
              </w:tabs>
              <w:jc w:val="left"/>
              <w:rPr>
                <w:rFonts w:ascii="仿宋" w:hAnsi="仿宋" w:eastAsia="仿宋"/>
                <w:szCs w:val="21"/>
                <w:lang w:val="zh-CN"/>
              </w:rPr>
            </w:pPr>
          </w:p>
        </w:tc>
        <w:tc>
          <w:tcPr>
            <w:tcW w:w="3828" w:type="dxa"/>
            <w:shd w:val="clear" w:color="auto" w:fill="auto"/>
            <w:vAlign w:val="center"/>
          </w:tcPr>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授权代理人身份证影印件/复印件</w:t>
            </w:r>
          </w:p>
          <w:p>
            <w:pPr>
              <w:tabs>
                <w:tab w:val="left" w:pos="426"/>
              </w:tabs>
              <w:snapToGrid w:val="0"/>
              <w:spacing w:line="340" w:lineRule="exact"/>
              <w:jc w:val="center"/>
              <w:rPr>
                <w:rFonts w:ascii="仿宋" w:hAnsi="仿宋" w:eastAsia="仿宋"/>
                <w:szCs w:val="21"/>
                <w:lang w:val="zh-CN"/>
              </w:rPr>
            </w:pPr>
            <w:r>
              <w:rPr>
                <w:rFonts w:hint="eastAsia" w:ascii="仿宋" w:hAnsi="仿宋" w:eastAsia="仿宋"/>
                <w:szCs w:val="21"/>
                <w:lang w:val="zh-CN"/>
              </w:rPr>
              <w:t>（人像面）</w:t>
            </w:r>
          </w:p>
        </w:tc>
      </w:tr>
    </w:tbl>
    <w:p>
      <w:pPr>
        <w:tabs>
          <w:tab w:val="left" w:pos="426"/>
          <w:tab w:val="left" w:pos="1575"/>
        </w:tabs>
        <w:snapToGrid w:val="0"/>
        <w:ind w:firstLine="480"/>
        <w:rPr>
          <w:rFonts w:ascii="仿宋" w:hAnsi="仿宋" w:eastAsia="仿宋"/>
          <w:sz w:val="24"/>
          <w:lang w:val="zh-CN"/>
        </w:rPr>
      </w:pPr>
    </w:p>
    <w:p>
      <w:pPr>
        <w:tabs>
          <w:tab w:val="left" w:pos="426"/>
        </w:tabs>
        <w:snapToGrid w:val="0"/>
        <w:spacing w:line="312" w:lineRule="auto"/>
        <w:ind w:firstLine="480"/>
        <w:rPr>
          <w:rFonts w:ascii="仿宋" w:hAnsi="仿宋" w:eastAsia="仿宋"/>
          <w:b/>
          <w:sz w:val="24"/>
          <w:lang w:val="zh-CN"/>
        </w:rPr>
      </w:pPr>
      <w:r>
        <w:rPr>
          <w:rFonts w:hint="eastAsia" w:ascii="仿宋" w:hAnsi="仿宋" w:eastAsia="仿宋"/>
          <w:b/>
          <w:sz w:val="24"/>
          <w:lang w:val="zh-CN"/>
        </w:rPr>
        <w:t>注：法定代表人参加投标的及签署投标文件的则不需提供该授权书</w:t>
      </w:r>
    </w:p>
    <w:p>
      <w:pPr>
        <w:spacing w:line="600" w:lineRule="exact"/>
        <w:jc w:val="left"/>
        <w:rPr>
          <w:rFonts w:ascii="仿宋" w:hAnsi="仿宋" w:eastAsia="仿宋" w:cs="华文中宋"/>
          <w:sz w:val="24"/>
          <w:lang w:val="zh-CN"/>
        </w:rPr>
      </w:pPr>
    </w:p>
    <w:p>
      <w:pPr>
        <w:pStyle w:val="37"/>
        <w:rPr>
          <w:rFonts w:ascii="仿宋" w:hAnsi="仿宋" w:eastAsia="仿宋"/>
          <w:lang w:val="zh-CN"/>
        </w:rPr>
      </w:pPr>
    </w:p>
    <w:p>
      <w:pPr>
        <w:pStyle w:val="37"/>
        <w:rPr>
          <w:rFonts w:ascii="仿宋" w:hAnsi="仿宋" w:eastAsia="仿宋"/>
          <w:lang w:val="zh-CN"/>
        </w:rPr>
      </w:pPr>
    </w:p>
    <w:p>
      <w:pPr>
        <w:pStyle w:val="37"/>
        <w:rPr>
          <w:rFonts w:ascii="仿宋" w:hAnsi="仿宋" w:eastAsia="仿宋"/>
          <w:lang w:val="zh-CN"/>
        </w:rPr>
      </w:pPr>
    </w:p>
    <w:p>
      <w:pPr>
        <w:pStyle w:val="37"/>
        <w:rPr>
          <w:rFonts w:ascii="仿宋" w:hAnsi="仿宋" w:eastAsia="仿宋"/>
          <w:lang w:val="zh-CN"/>
        </w:rPr>
      </w:pPr>
    </w:p>
    <w:p>
      <w:pPr>
        <w:pStyle w:val="37"/>
        <w:ind w:left="0" w:leftChars="0" w:firstLine="0" w:firstLineChars="0"/>
        <w:rPr>
          <w:rFonts w:ascii="仿宋" w:hAnsi="仿宋" w:eastAsia="仿宋"/>
          <w:lang w:val="zh-CN"/>
        </w:rPr>
      </w:pPr>
    </w:p>
    <w:p>
      <w:pPr>
        <w:pStyle w:val="37"/>
        <w:rPr>
          <w:rFonts w:ascii="仿宋" w:hAnsi="仿宋" w:eastAsia="仿宋"/>
          <w:lang w:val="zh-CN"/>
        </w:rPr>
        <w:sectPr>
          <w:pgSz w:w="11906" w:h="16838"/>
          <w:pgMar w:top="1440" w:right="1080" w:bottom="1440" w:left="1080" w:header="851" w:footer="850" w:gutter="227"/>
          <w:cols w:space="0" w:num="1"/>
          <w:docGrid w:type="linesAndChars" w:linePitch="312" w:charSpace="0"/>
        </w:sectPr>
      </w:pPr>
    </w:p>
    <w:p>
      <w:pPr>
        <w:spacing w:line="600" w:lineRule="exact"/>
        <w:jc w:val="left"/>
        <w:rPr>
          <w:rFonts w:ascii="仿宋" w:hAnsi="仿宋" w:eastAsia="仿宋" w:cs="华文中宋"/>
          <w:sz w:val="24"/>
        </w:rPr>
      </w:pPr>
      <w:bookmarkStart w:id="303" w:name="_Toc69224256"/>
      <w:r>
        <w:rPr>
          <w:rFonts w:hint="eastAsia" w:ascii="仿宋" w:hAnsi="仿宋" w:eastAsia="仿宋" w:cs="华文中宋"/>
          <w:sz w:val="24"/>
          <w:lang w:val="zh-CN"/>
        </w:rPr>
        <w:t>附件</w:t>
      </w:r>
      <w:r>
        <w:rPr>
          <w:rFonts w:hint="eastAsia" w:ascii="仿宋" w:hAnsi="仿宋" w:eastAsia="仿宋" w:cs="华文中宋"/>
          <w:sz w:val="24"/>
        </w:rPr>
        <w:t>4</w:t>
      </w:r>
    </w:p>
    <w:p>
      <w:pPr>
        <w:pStyle w:val="4"/>
        <w:numPr>
          <w:ilvl w:val="0"/>
          <w:numId w:val="0"/>
        </w:numPr>
        <w:rPr>
          <w:rFonts w:ascii="仿宋" w:hAnsi="仿宋" w:eastAsia="仿宋"/>
        </w:rPr>
      </w:pPr>
      <w:r>
        <w:rPr>
          <w:rFonts w:ascii="仿宋" w:hAnsi="仿宋" w:eastAsia="仿宋"/>
        </w:rPr>
        <w:t>商务偏离表</w:t>
      </w:r>
      <w:bookmarkEnd w:id="303"/>
    </w:p>
    <w:p>
      <w:pPr>
        <w:pStyle w:val="32"/>
        <w:rPr>
          <w:rFonts w:ascii="仿宋" w:hAnsi="仿宋" w:eastAsia="仿宋"/>
          <w:color w:val="auto"/>
          <w:lang w:val="zh-CN"/>
        </w:rPr>
      </w:pPr>
      <w:r>
        <w:rPr>
          <w:rFonts w:hint="eastAsia" w:ascii="仿宋" w:hAnsi="仿宋" w:eastAsia="仿宋"/>
          <w:color w:val="auto"/>
          <w:lang w:val="zh-CN"/>
        </w:rPr>
        <w:t>投标人在投标时应对于该部分给予充分的考虑。为了采购人评议的需要，投标人应将这些条款的异议逐条提出或根据以下要求的格式提出偏差。</w:t>
      </w:r>
      <w:r>
        <w:rPr>
          <w:rFonts w:ascii="仿宋" w:hAnsi="仿宋" w:eastAsia="仿宋"/>
          <w:color w:val="auto"/>
          <w:lang w:val="zh-CN"/>
        </w:rPr>
        <w:t>（如无偏差，请在本页上写“无”）。</w:t>
      </w:r>
    </w:p>
    <w:p>
      <w:pPr>
        <w:spacing w:line="400" w:lineRule="exact"/>
        <w:jc w:val="left"/>
        <w:rPr>
          <w:rFonts w:ascii="仿宋" w:hAnsi="仿宋" w:eastAsia="仿宋" w:cs="华文中宋"/>
          <w:sz w:val="24"/>
        </w:rPr>
      </w:pPr>
      <w:r>
        <w:rPr>
          <w:rFonts w:hint="eastAsia" w:ascii="仿宋" w:hAnsi="仿宋" w:eastAsia="仿宋" w:cs="华文中宋"/>
          <w:sz w:val="24"/>
        </w:rPr>
        <w:t xml:space="preserve">项目编号：  </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520"/>
        <w:gridCol w:w="1106"/>
        <w:gridCol w:w="3063"/>
        <w:gridCol w:w="2889"/>
        <w:gridCol w:w="690"/>
        <w:gridCol w:w="1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82" w:type="pct"/>
            <w:gridSpan w:val="2"/>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序号</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名称</w:t>
            </w:r>
          </w:p>
        </w:tc>
        <w:tc>
          <w:tcPr>
            <w:tcW w:w="1574"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招标文件要求</w:t>
            </w:r>
          </w:p>
        </w:tc>
        <w:tc>
          <w:tcPr>
            <w:tcW w:w="1485"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投标文件响应</w:t>
            </w:r>
          </w:p>
        </w:tc>
        <w:tc>
          <w:tcPr>
            <w:tcW w:w="355"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偏离</w:t>
            </w:r>
          </w:p>
          <w:p>
            <w:pPr>
              <w:spacing w:line="400" w:lineRule="exact"/>
              <w:jc w:val="center"/>
              <w:rPr>
                <w:rFonts w:ascii="仿宋" w:hAnsi="仿宋" w:eastAsia="仿宋" w:cs="华文中宋"/>
                <w:szCs w:val="21"/>
              </w:rPr>
            </w:pPr>
            <w:r>
              <w:rPr>
                <w:rFonts w:hint="eastAsia" w:ascii="仿宋" w:hAnsi="仿宋" w:eastAsia="仿宋" w:cs="华文中宋"/>
                <w:szCs w:val="21"/>
              </w:rPr>
              <w:t>情况</w:t>
            </w:r>
          </w:p>
        </w:tc>
        <w:tc>
          <w:tcPr>
            <w:tcW w:w="535"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214" w:type="pct"/>
            <w:vMerge w:val="restar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商务偏离</w:t>
            </w:r>
          </w:p>
        </w:tc>
        <w:tc>
          <w:tcPr>
            <w:tcW w:w="268" w:type="pct"/>
            <w:vAlign w:val="center"/>
          </w:tcPr>
          <w:p>
            <w:pPr>
              <w:spacing w:line="400" w:lineRule="exact"/>
              <w:jc w:val="center"/>
              <w:rPr>
                <w:rFonts w:ascii="仿宋" w:hAnsi="仿宋" w:eastAsia="仿宋" w:cs="华文中宋"/>
                <w:szCs w:val="21"/>
              </w:rPr>
            </w:pPr>
            <w:r>
              <w:rPr>
                <w:rFonts w:ascii="仿宋" w:hAnsi="仿宋" w:eastAsia="仿宋" w:cs="华文中宋"/>
                <w:szCs w:val="21"/>
              </w:rPr>
              <w:t>1</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质保期</w:t>
            </w:r>
          </w:p>
        </w:tc>
        <w:tc>
          <w:tcPr>
            <w:tcW w:w="1574" w:type="pct"/>
            <w:vAlign w:val="center"/>
          </w:tcPr>
          <w:p>
            <w:pPr>
              <w:spacing w:line="400" w:lineRule="exact"/>
              <w:jc w:val="left"/>
              <w:rPr>
                <w:rFonts w:ascii="仿宋" w:hAnsi="仿宋" w:eastAsia="仿宋" w:cs="华文中宋"/>
                <w:szCs w:val="21"/>
              </w:rPr>
            </w:pPr>
            <w:r>
              <w:rPr>
                <w:rFonts w:hint="eastAsia" w:ascii="仿宋" w:hAnsi="仿宋" w:eastAsia="仿宋" w:cs="华文中宋"/>
                <w:szCs w:val="21"/>
              </w:rPr>
              <w:t>质保期：五年。</w:t>
            </w:r>
          </w:p>
        </w:tc>
        <w:tc>
          <w:tcPr>
            <w:tcW w:w="1485" w:type="pct"/>
            <w:vAlign w:val="center"/>
          </w:tcPr>
          <w:p>
            <w:pPr>
              <w:spacing w:line="400" w:lineRule="exact"/>
              <w:jc w:val="left"/>
              <w:rPr>
                <w:rFonts w:ascii="仿宋" w:hAnsi="仿宋" w:eastAsia="仿宋" w:cs="华文中宋"/>
                <w:szCs w:val="21"/>
              </w:rPr>
            </w:pPr>
          </w:p>
        </w:tc>
        <w:tc>
          <w:tcPr>
            <w:tcW w:w="355" w:type="pct"/>
            <w:vAlign w:val="center"/>
          </w:tcPr>
          <w:p>
            <w:pPr>
              <w:spacing w:line="400" w:lineRule="exact"/>
              <w:jc w:val="left"/>
              <w:rPr>
                <w:rFonts w:ascii="仿宋" w:hAnsi="仿宋" w:eastAsia="仿宋" w:cs="华文中宋"/>
                <w:szCs w:val="21"/>
              </w:rPr>
            </w:pPr>
          </w:p>
        </w:tc>
        <w:tc>
          <w:tcPr>
            <w:tcW w:w="535" w:type="pct"/>
            <w:vAlign w:val="center"/>
          </w:tcPr>
          <w:p>
            <w:pPr>
              <w:spacing w:line="400" w:lineRule="exact"/>
              <w:jc w:val="left"/>
              <w:rPr>
                <w:rFonts w:ascii="仿宋" w:hAnsi="仿宋" w:eastAsia="仿宋" w:cs="华文中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214" w:type="pct"/>
            <w:vMerge w:val="continue"/>
            <w:vAlign w:val="center"/>
          </w:tcPr>
          <w:p>
            <w:pPr>
              <w:spacing w:line="400" w:lineRule="exact"/>
              <w:jc w:val="left"/>
              <w:rPr>
                <w:rFonts w:ascii="仿宋" w:hAnsi="仿宋" w:eastAsia="仿宋" w:cs="华文中宋"/>
                <w:szCs w:val="21"/>
              </w:rPr>
            </w:pPr>
          </w:p>
        </w:tc>
        <w:tc>
          <w:tcPr>
            <w:tcW w:w="268" w:type="pct"/>
            <w:vAlign w:val="center"/>
          </w:tcPr>
          <w:p>
            <w:pPr>
              <w:spacing w:line="400" w:lineRule="exact"/>
              <w:jc w:val="center"/>
              <w:rPr>
                <w:rFonts w:ascii="仿宋" w:hAnsi="仿宋" w:eastAsia="仿宋" w:cs="华文中宋"/>
                <w:szCs w:val="21"/>
              </w:rPr>
            </w:pPr>
            <w:r>
              <w:rPr>
                <w:rFonts w:ascii="仿宋" w:hAnsi="仿宋" w:eastAsia="仿宋" w:cs="华文中宋"/>
                <w:szCs w:val="21"/>
              </w:rPr>
              <w:t>2</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供货周期</w:t>
            </w:r>
          </w:p>
        </w:tc>
        <w:tc>
          <w:tcPr>
            <w:tcW w:w="1574" w:type="pct"/>
            <w:vAlign w:val="center"/>
          </w:tcPr>
          <w:p>
            <w:pPr>
              <w:spacing w:line="400" w:lineRule="exact"/>
              <w:jc w:val="left"/>
              <w:rPr>
                <w:rFonts w:ascii="仿宋" w:hAnsi="仿宋" w:eastAsia="仿宋" w:cs="华文中宋"/>
                <w:szCs w:val="21"/>
              </w:rPr>
            </w:pPr>
            <w:r>
              <w:rPr>
                <w:rFonts w:hint="eastAsia" w:ascii="仿宋" w:hAnsi="仿宋" w:eastAsia="仿宋" w:cs="华文中宋"/>
                <w:szCs w:val="21"/>
              </w:rPr>
              <w:t>甲方根据需求发送订单至乙方后，</w:t>
            </w:r>
            <w:r>
              <w:rPr>
                <w:rFonts w:ascii="仿宋" w:hAnsi="仿宋" w:eastAsia="仿宋" w:cs="华文中宋"/>
                <w:szCs w:val="21"/>
              </w:rPr>
              <w:t>60</w:t>
            </w:r>
            <w:r>
              <w:rPr>
                <w:rFonts w:hint="eastAsia" w:ascii="仿宋" w:hAnsi="仿宋" w:eastAsia="仿宋" w:cs="华文中宋"/>
                <w:szCs w:val="21"/>
              </w:rPr>
              <w:t>个日历天内完成供货</w:t>
            </w:r>
          </w:p>
        </w:tc>
        <w:tc>
          <w:tcPr>
            <w:tcW w:w="1485" w:type="pct"/>
            <w:vAlign w:val="center"/>
          </w:tcPr>
          <w:p>
            <w:pPr>
              <w:spacing w:line="400" w:lineRule="exact"/>
              <w:jc w:val="left"/>
              <w:rPr>
                <w:rFonts w:ascii="仿宋" w:hAnsi="仿宋" w:eastAsia="仿宋" w:cs="华文中宋"/>
                <w:szCs w:val="21"/>
              </w:rPr>
            </w:pPr>
          </w:p>
        </w:tc>
        <w:tc>
          <w:tcPr>
            <w:tcW w:w="355" w:type="pct"/>
            <w:vAlign w:val="center"/>
          </w:tcPr>
          <w:p>
            <w:pPr>
              <w:spacing w:line="400" w:lineRule="exact"/>
              <w:jc w:val="left"/>
              <w:rPr>
                <w:rFonts w:ascii="仿宋" w:hAnsi="仿宋" w:eastAsia="仿宋" w:cs="华文中宋"/>
                <w:szCs w:val="21"/>
              </w:rPr>
            </w:pPr>
          </w:p>
        </w:tc>
        <w:tc>
          <w:tcPr>
            <w:tcW w:w="535" w:type="pct"/>
            <w:vAlign w:val="center"/>
          </w:tcPr>
          <w:p>
            <w:pPr>
              <w:spacing w:line="400" w:lineRule="exact"/>
              <w:jc w:val="left"/>
              <w:rPr>
                <w:rFonts w:ascii="仿宋" w:hAnsi="仿宋" w:eastAsia="仿宋" w:cs="华文中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214" w:type="pct"/>
            <w:vMerge w:val="continue"/>
            <w:vAlign w:val="center"/>
          </w:tcPr>
          <w:p>
            <w:pPr>
              <w:spacing w:line="400" w:lineRule="exact"/>
              <w:jc w:val="left"/>
              <w:rPr>
                <w:rFonts w:ascii="仿宋" w:hAnsi="仿宋" w:eastAsia="仿宋" w:cs="华文中宋"/>
                <w:szCs w:val="21"/>
              </w:rPr>
            </w:pPr>
          </w:p>
        </w:tc>
        <w:tc>
          <w:tcPr>
            <w:tcW w:w="268" w:type="pct"/>
            <w:vAlign w:val="center"/>
          </w:tcPr>
          <w:p>
            <w:pPr>
              <w:spacing w:line="400" w:lineRule="exact"/>
              <w:jc w:val="center"/>
              <w:rPr>
                <w:rFonts w:ascii="仿宋" w:hAnsi="仿宋" w:eastAsia="仿宋" w:cs="华文中宋"/>
                <w:szCs w:val="21"/>
              </w:rPr>
            </w:pPr>
            <w:r>
              <w:rPr>
                <w:rFonts w:ascii="仿宋" w:hAnsi="仿宋" w:eastAsia="仿宋" w:cs="华文中宋"/>
                <w:szCs w:val="21"/>
              </w:rPr>
              <w:t>3</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付款方式</w:t>
            </w:r>
          </w:p>
        </w:tc>
        <w:tc>
          <w:tcPr>
            <w:tcW w:w="1574" w:type="pct"/>
            <w:vAlign w:val="center"/>
          </w:tcPr>
          <w:p>
            <w:pPr>
              <w:spacing w:line="400" w:lineRule="exact"/>
              <w:jc w:val="left"/>
              <w:rPr>
                <w:rFonts w:ascii="仿宋" w:hAnsi="仿宋" w:eastAsia="仿宋" w:cs="华文中宋"/>
                <w:szCs w:val="21"/>
              </w:rPr>
            </w:pPr>
            <w:r>
              <w:rPr>
                <w:rFonts w:hint="eastAsia" w:ascii="仿宋" w:hAnsi="仿宋" w:eastAsia="仿宋" w:cs="华文中宋"/>
                <w:szCs w:val="21"/>
              </w:rPr>
              <w:t>（按批次支付）：货到签收入库，并在收到乙方提供的对应发票后六个月内支付发票总额的100%。</w:t>
            </w:r>
          </w:p>
        </w:tc>
        <w:tc>
          <w:tcPr>
            <w:tcW w:w="1485" w:type="pct"/>
            <w:vAlign w:val="center"/>
          </w:tcPr>
          <w:p>
            <w:pPr>
              <w:spacing w:line="400" w:lineRule="exact"/>
              <w:jc w:val="left"/>
              <w:rPr>
                <w:rFonts w:ascii="仿宋" w:hAnsi="仿宋" w:eastAsia="仿宋" w:cs="华文中宋"/>
                <w:szCs w:val="21"/>
              </w:rPr>
            </w:pPr>
          </w:p>
        </w:tc>
        <w:tc>
          <w:tcPr>
            <w:tcW w:w="355" w:type="pct"/>
            <w:vAlign w:val="center"/>
          </w:tcPr>
          <w:p>
            <w:pPr>
              <w:spacing w:line="400" w:lineRule="exact"/>
              <w:jc w:val="left"/>
              <w:rPr>
                <w:rFonts w:ascii="仿宋" w:hAnsi="仿宋" w:eastAsia="仿宋" w:cs="华文中宋"/>
                <w:szCs w:val="21"/>
              </w:rPr>
            </w:pPr>
          </w:p>
        </w:tc>
        <w:tc>
          <w:tcPr>
            <w:tcW w:w="535" w:type="pct"/>
            <w:vAlign w:val="center"/>
          </w:tcPr>
          <w:p>
            <w:pPr>
              <w:spacing w:line="400" w:lineRule="exact"/>
              <w:jc w:val="left"/>
              <w:rPr>
                <w:rFonts w:ascii="仿宋" w:hAnsi="仿宋" w:eastAsia="仿宋" w:cs="华文中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214" w:type="pct"/>
            <w:vMerge w:val="continue"/>
            <w:vAlign w:val="center"/>
          </w:tcPr>
          <w:p>
            <w:pPr>
              <w:spacing w:line="400" w:lineRule="exact"/>
              <w:jc w:val="left"/>
              <w:rPr>
                <w:rFonts w:ascii="仿宋" w:hAnsi="仿宋" w:eastAsia="仿宋" w:cs="华文中宋"/>
                <w:szCs w:val="21"/>
              </w:rPr>
            </w:pPr>
          </w:p>
        </w:tc>
        <w:tc>
          <w:tcPr>
            <w:tcW w:w="268"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4</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售后服务</w:t>
            </w:r>
          </w:p>
        </w:tc>
        <w:tc>
          <w:tcPr>
            <w:tcW w:w="1574" w:type="pct"/>
            <w:vAlign w:val="center"/>
          </w:tcPr>
          <w:p>
            <w:pPr>
              <w:spacing w:line="400" w:lineRule="exact"/>
              <w:jc w:val="left"/>
              <w:rPr>
                <w:rFonts w:ascii="仿宋" w:hAnsi="仿宋" w:eastAsia="仿宋" w:cs="华文中宋"/>
                <w:szCs w:val="21"/>
              </w:rPr>
            </w:pPr>
            <w:r>
              <w:rPr>
                <w:rFonts w:hint="eastAsia" w:ascii="仿宋" w:hAnsi="仿宋" w:eastAsia="仿宋" w:cs="华文中宋"/>
                <w:szCs w:val="21"/>
              </w:rPr>
              <w:t>如在使用过程中发生质量问题，乙方在接到甲方通知后2小时内响应并派技术人员到现场维修，24小时内修复完成。若24小时内无法修复的，无偿提供相应备用设备并负责安装调试，否则甲方有权直接委托第三方进行抢修，因此产生的费用，由乙方另行支付。如二次未响应的，没收全部履约保证金，且赔偿质保期内产生的所有费用。</w:t>
            </w:r>
          </w:p>
        </w:tc>
        <w:tc>
          <w:tcPr>
            <w:tcW w:w="1485" w:type="pct"/>
            <w:vAlign w:val="center"/>
          </w:tcPr>
          <w:p>
            <w:pPr>
              <w:spacing w:line="400" w:lineRule="exact"/>
              <w:jc w:val="left"/>
              <w:rPr>
                <w:rFonts w:ascii="仿宋" w:hAnsi="仿宋" w:eastAsia="仿宋" w:cs="华文中宋"/>
                <w:szCs w:val="21"/>
              </w:rPr>
            </w:pPr>
          </w:p>
        </w:tc>
        <w:tc>
          <w:tcPr>
            <w:tcW w:w="355" w:type="pct"/>
            <w:vAlign w:val="center"/>
          </w:tcPr>
          <w:p>
            <w:pPr>
              <w:spacing w:line="400" w:lineRule="exact"/>
              <w:jc w:val="left"/>
              <w:rPr>
                <w:rFonts w:ascii="仿宋" w:hAnsi="仿宋" w:eastAsia="仿宋" w:cs="华文中宋"/>
                <w:szCs w:val="21"/>
              </w:rPr>
            </w:pPr>
          </w:p>
        </w:tc>
        <w:tc>
          <w:tcPr>
            <w:tcW w:w="535" w:type="pct"/>
            <w:vAlign w:val="center"/>
          </w:tcPr>
          <w:p>
            <w:pPr>
              <w:spacing w:line="400" w:lineRule="exact"/>
              <w:jc w:val="left"/>
              <w:rPr>
                <w:rFonts w:ascii="仿宋" w:hAnsi="仿宋" w:eastAsia="仿宋" w:cs="华文中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214" w:type="pct"/>
            <w:vAlign w:val="center"/>
          </w:tcPr>
          <w:p>
            <w:pPr>
              <w:spacing w:line="400" w:lineRule="exact"/>
              <w:jc w:val="left"/>
              <w:rPr>
                <w:rFonts w:ascii="仿宋" w:hAnsi="仿宋" w:eastAsia="仿宋" w:cs="华文中宋"/>
                <w:szCs w:val="21"/>
              </w:rPr>
            </w:pPr>
          </w:p>
        </w:tc>
        <w:tc>
          <w:tcPr>
            <w:tcW w:w="268"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5</w:t>
            </w:r>
          </w:p>
        </w:tc>
        <w:tc>
          <w:tcPr>
            <w:tcW w:w="569" w:type="pct"/>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其他</w:t>
            </w:r>
          </w:p>
        </w:tc>
        <w:tc>
          <w:tcPr>
            <w:tcW w:w="1574" w:type="pct"/>
            <w:vAlign w:val="center"/>
          </w:tcPr>
          <w:p>
            <w:pPr>
              <w:spacing w:line="400" w:lineRule="exact"/>
              <w:jc w:val="left"/>
              <w:rPr>
                <w:rFonts w:ascii="仿宋" w:hAnsi="仿宋" w:eastAsia="仿宋" w:cs="华文中宋"/>
                <w:szCs w:val="21"/>
              </w:rPr>
            </w:pPr>
            <w:r>
              <w:rPr>
                <w:rFonts w:hint="eastAsia" w:ascii="仿宋" w:hAnsi="仿宋" w:eastAsia="仿宋" w:cs="华文中宋"/>
                <w:szCs w:val="21"/>
              </w:rPr>
              <w:t>投标人其他优惠条款</w:t>
            </w:r>
          </w:p>
        </w:tc>
        <w:tc>
          <w:tcPr>
            <w:tcW w:w="1485" w:type="pct"/>
            <w:vAlign w:val="center"/>
          </w:tcPr>
          <w:p>
            <w:pPr>
              <w:spacing w:line="400" w:lineRule="exact"/>
              <w:jc w:val="left"/>
              <w:rPr>
                <w:rFonts w:ascii="仿宋" w:hAnsi="仿宋" w:eastAsia="仿宋" w:cs="华文中宋"/>
                <w:szCs w:val="21"/>
              </w:rPr>
            </w:pPr>
          </w:p>
        </w:tc>
        <w:tc>
          <w:tcPr>
            <w:tcW w:w="355" w:type="pct"/>
            <w:vAlign w:val="center"/>
          </w:tcPr>
          <w:p>
            <w:pPr>
              <w:spacing w:line="400" w:lineRule="exact"/>
              <w:jc w:val="left"/>
              <w:rPr>
                <w:rFonts w:ascii="仿宋" w:hAnsi="仿宋" w:eastAsia="仿宋" w:cs="华文中宋"/>
                <w:szCs w:val="21"/>
              </w:rPr>
            </w:pPr>
          </w:p>
        </w:tc>
        <w:tc>
          <w:tcPr>
            <w:tcW w:w="535" w:type="pct"/>
            <w:vAlign w:val="center"/>
          </w:tcPr>
          <w:p>
            <w:pPr>
              <w:spacing w:line="400" w:lineRule="exact"/>
              <w:jc w:val="left"/>
              <w:rPr>
                <w:rFonts w:ascii="仿宋" w:hAnsi="仿宋" w:eastAsia="仿宋" w:cs="华文中宋"/>
                <w:szCs w:val="21"/>
              </w:rPr>
            </w:pPr>
          </w:p>
        </w:tc>
      </w:tr>
    </w:tbl>
    <w:p>
      <w:pPr>
        <w:spacing w:line="400" w:lineRule="exact"/>
        <w:ind w:firstLine="480" w:firstLineChars="200"/>
        <w:jc w:val="left"/>
        <w:rPr>
          <w:rFonts w:ascii="仿宋" w:hAnsi="仿宋" w:eastAsia="仿宋" w:cs="华文中宋"/>
          <w:sz w:val="24"/>
        </w:rPr>
      </w:pPr>
      <w:r>
        <w:rPr>
          <w:rFonts w:hint="eastAsia" w:ascii="仿宋" w:hAnsi="仿宋" w:eastAsia="仿宋" w:cs="华文中宋"/>
          <w:sz w:val="24"/>
        </w:rPr>
        <w:t>注：投标人应对照招标文件要求在“偏离情况”栏注明“正偏离”、“负偏离”或“无偏离”。如投标人不填写内容，视为完全响应本次招标文件要求。</w:t>
      </w:r>
    </w:p>
    <w:p>
      <w:pPr>
        <w:pStyle w:val="88"/>
        <w:spacing w:line="360" w:lineRule="auto"/>
        <w:ind w:firstLine="3840" w:firstLineChars="1600"/>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（盖公章）</w:t>
      </w:r>
    </w:p>
    <w:p>
      <w:pPr>
        <w:pStyle w:val="88"/>
        <w:spacing w:line="360" w:lineRule="auto"/>
        <w:ind w:firstLine="3840" w:firstLineChars="1600"/>
        <w:jc w:val="left"/>
        <w:rPr>
          <w:rFonts w:ascii="仿宋" w:hAnsi="仿宋" w:eastAsia="仿宋"/>
          <w:sz w:val="24"/>
        </w:rPr>
      </w:pPr>
      <w:r>
        <w:rPr>
          <w:rFonts w:hint="eastAsia" w:ascii="仿宋" w:hAnsi="仿宋" w:eastAsia="仿宋"/>
          <w:sz w:val="24"/>
        </w:rPr>
        <w:t>法定代表人或授权代表人：</w:t>
      </w:r>
      <w:r>
        <w:rPr>
          <w:rFonts w:hint="eastAsia" w:ascii="仿宋" w:hAnsi="仿宋" w:eastAsia="仿宋"/>
          <w:sz w:val="24"/>
          <w:u w:val="single"/>
        </w:rPr>
        <w:t xml:space="preserve">          </w:t>
      </w:r>
      <w:r>
        <w:rPr>
          <w:rFonts w:hint="eastAsia" w:ascii="仿宋" w:hAnsi="仿宋" w:eastAsia="仿宋"/>
          <w:sz w:val="24"/>
        </w:rPr>
        <w:t xml:space="preserve">（签字或盖章） </w:t>
      </w:r>
    </w:p>
    <w:p>
      <w:pPr>
        <w:pStyle w:val="37"/>
        <w:ind w:firstLine="3360" w:firstLineChars="1400"/>
        <w:rPr>
          <w:rFonts w:ascii="仿宋" w:hAnsi="仿宋" w:eastAsia="仿宋"/>
          <w:sz w:val="24"/>
        </w:rPr>
        <w:sectPr>
          <w:pgSz w:w="11906" w:h="16838"/>
          <w:pgMar w:top="1440" w:right="1080" w:bottom="1440" w:left="1080" w:header="851" w:footer="850" w:gutter="227"/>
          <w:cols w:space="0" w:num="1"/>
          <w:docGrid w:type="linesAndChars" w:linePitch="312" w:charSpace="0"/>
        </w:sectPr>
      </w:pPr>
      <w:r>
        <w:rPr>
          <w:rFonts w:hint="eastAsia" w:ascii="仿宋" w:hAnsi="仿宋" w:eastAsia="仿宋"/>
          <w:sz w:val="24"/>
        </w:rPr>
        <w:t>2021年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4"/>
        <w:numPr>
          <w:ilvl w:val="0"/>
          <w:numId w:val="0"/>
        </w:numPr>
        <w:rPr>
          <w:rFonts w:ascii="仿宋" w:hAnsi="仿宋" w:eastAsia="仿宋"/>
        </w:rPr>
      </w:pPr>
      <w:r>
        <w:rPr>
          <w:rFonts w:hint="eastAsia" w:ascii="仿宋" w:hAnsi="仿宋" w:eastAsia="仿宋"/>
        </w:rPr>
        <w:t>技术规范偏离表</w:t>
      </w:r>
    </w:p>
    <w:p>
      <w:pPr>
        <w:spacing w:line="400" w:lineRule="exact"/>
        <w:jc w:val="left"/>
        <w:rPr>
          <w:rFonts w:ascii="仿宋" w:hAnsi="仿宋" w:eastAsia="仿宋" w:cs="华文中宋"/>
          <w:szCs w:val="21"/>
        </w:rPr>
      </w:pPr>
    </w:p>
    <w:p>
      <w:pPr>
        <w:spacing w:line="400" w:lineRule="exact"/>
        <w:jc w:val="left"/>
        <w:rPr>
          <w:rFonts w:ascii="仿宋" w:hAnsi="仿宋" w:eastAsia="仿宋" w:cs="华文中宋"/>
          <w:szCs w:val="21"/>
        </w:rPr>
      </w:pPr>
      <w:r>
        <w:rPr>
          <w:rFonts w:hint="eastAsia" w:ascii="仿宋" w:hAnsi="仿宋" w:eastAsia="仿宋" w:cs="华文中宋"/>
          <w:szCs w:val="21"/>
        </w:rPr>
        <w:t xml:space="preserve">招标项目名称：                   招标编号：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80"/>
        <w:gridCol w:w="2345"/>
        <w:gridCol w:w="2931"/>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序号</w:t>
            </w:r>
          </w:p>
        </w:tc>
        <w:tc>
          <w:tcPr>
            <w:tcW w:w="1380" w:type="dxa"/>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产品名称</w:t>
            </w:r>
          </w:p>
        </w:tc>
        <w:tc>
          <w:tcPr>
            <w:tcW w:w="2345" w:type="dxa"/>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招标要求</w:t>
            </w:r>
          </w:p>
        </w:tc>
        <w:tc>
          <w:tcPr>
            <w:tcW w:w="2931" w:type="dxa"/>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投标响应</w:t>
            </w:r>
          </w:p>
        </w:tc>
        <w:tc>
          <w:tcPr>
            <w:tcW w:w="2110" w:type="dxa"/>
            <w:vAlign w:val="center"/>
          </w:tcPr>
          <w:p>
            <w:pPr>
              <w:spacing w:line="400" w:lineRule="exact"/>
              <w:jc w:val="center"/>
              <w:rPr>
                <w:rFonts w:ascii="仿宋" w:hAnsi="仿宋" w:eastAsia="仿宋" w:cs="华文中宋"/>
                <w:szCs w:val="21"/>
              </w:rPr>
            </w:pPr>
            <w:r>
              <w:rPr>
                <w:rFonts w:hint="eastAsia" w:ascii="仿宋" w:hAnsi="仿宋" w:eastAsia="仿宋" w:cs="华文中宋"/>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spacing w:line="400" w:lineRule="exact"/>
              <w:jc w:val="center"/>
              <w:rPr>
                <w:rFonts w:ascii="仿宋" w:hAnsi="仿宋" w:eastAsia="仿宋" w:cs="华文中宋"/>
                <w:szCs w:val="21"/>
              </w:rPr>
            </w:pPr>
          </w:p>
        </w:tc>
        <w:tc>
          <w:tcPr>
            <w:tcW w:w="1380" w:type="dxa"/>
            <w:vAlign w:val="center"/>
          </w:tcPr>
          <w:p>
            <w:pPr>
              <w:spacing w:line="400" w:lineRule="exact"/>
              <w:jc w:val="center"/>
              <w:rPr>
                <w:rFonts w:ascii="仿宋" w:hAnsi="仿宋" w:eastAsia="仿宋" w:cs="华文中宋"/>
                <w:szCs w:val="21"/>
              </w:rPr>
            </w:pPr>
          </w:p>
        </w:tc>
        <w:tc>
          <w:tcPr>
            <w:tcW w:w="2345" w:type="dxa"/>
            <w:vAlign w:val="center"/>
          </w:tcPr>
          <w:p>
            <w:pPr>
              <w:spacing w:line="400" w:lineRule="exact"/>
              <w:jc w:val="center"/>
              <w:rPr>
                <w:rFonts w:ascii="仿宋" w:hAnsi="仿宋" w:eastAsia="仿宋" w:cs="华文中宋"/>
                <w:szCs w:val="21"/>
              </w:rPr>
            </w:pPr>
          </w:p>
        </w:tc>
        <w:tc>
          <w:tcPr>
            <w:tcW w:w="2931" w:type="dxa"/>
            <w:vAlign w:val="center"/>
          </w:tcPr>
          <w:p>
            <w:pPr>
              <w:spacing w:line="400" w:lineRule="exact"/>
              <w:jc w:val="center"/>
              <w:rPr>
                <w:rFonts w:ascii="仿宋" w:hAnsi="仿宋" w:eastAsia="仿宋" w:cs="华文中宋"/>
                <w:szCs w:val="21"/>
              </w:rPr>
            </w:pPr>
          </w:p>
        </w:tc>
        <w:tc>
          <w:tcPr>
            <w:tcW w:w="2110" w:type="dxa"/>
            <w:vAlign w:val="center"/>
          </w:tcPr>
          <w:p>
            <w:pPr>
              <w:spacing w:line="400" w:lineRule="exact"/>
              <w:jc w:val="center"/>
              <w:rPr>
                <w:rFonts w:ascii="仿宋" w:hAnsi="仿宋" w:eastAsia="仿宋" w:cs="华文中宋"/>
                <w:szCs w:val="21"/>
              </w:rPr>
            </w:pPr>
          </w:p>
        </w:tc>
      </w:tr>
    </w:tbl>
    <w:p>
      <w:pPr>
        <w:spacing w:line="400" w:lineRule="exact"/>
        <w:jc w:val="left"/>
        <w:rPr>
          <w:rFonts w:ascii="仿宋" w:hAnsi="仿宋" w:eastAsia="仿宋" w:cs="华文中宋"/>
          <w:szCs w:val="21"/>
        </w:rPr>
      </w:pPr>
    </w:p>
    <w:p>
      <w:pPr>
        <w:spacing w:line="400" w:lineRule="exact"/>
        <w:jc w:val="left"/>
        <w:rPr>
          <w:rFonts w:ascii="仿宋" w:hAnsi="仿宋" w:eastAsia="仿宋" w:cs="华文中宋"/>
          <w:szCs w:val="21"/>
        </w:rPr>
      </w:pPr>
    </w:p>
    <w:p>
      <w:pPr>
        <w:spacing w:line="400" w:lineRule="exact"/>
        <w:jc w:val="left"/>
        <w:rPr>
          <w:rFonts w:ascii="仿宋" w:hAnsi="仿宋" w:eastAsia="仿宋" w:cs="华文中宋"/>
          <w:szCs w:val="21"/>
        </w:rPr>
      </w:pPr>
      <w:r>
        <w:rPr>
          <w:rFonts w:hint="eastAsia" w:ascii="仿宋" w:hAnsi="仿宋" w:eastAsia="仿宋" w:cs="华文中宋"/>
          <w:szCs w:val="21"/>
        </w:rPr>
        <w:t>投标方（盖章）：</w:t>
      </w:r>
    </w:p>
    <w:p>
      <w:pPr>
        <w:spacing w:line="400" w:lineRule="exact"/>
        <w:jc w:val="left"/>
        <w:rPr>
          <w:rFonts w:ascii="仿宋" w:hAnsi="仿宋" w:eastAsia="仿宋" w:cs="华文中宋"/>
          <w:szCs w:val="21"/>
        </w:rPr>
      </w:pPr>
    </w:p>
    <w:p>
      <w:pPr>
        <w:spacing w:line="400" w:lineRule="exact"/>
        <w:jc w:val="left"/>
        <w:rPr>
          <w:rFonts w:ascii="仿宋" w:hAnsi="仿宋" w:eastAsia="仿宋" w:cs="华文中宋"/>
          <w:szCs w:val="21"/>
        </w:rPr>
      </w:pPr>
      <w:r>
        <w:rPr>
          <w:rFonts w:hint="eastAsia" w:ascii="仿宋" w:hAnsi="仿宋" w:eastAsia="仿宋" w:cs="华文中宋"/>
          <w:szCs w:val="21"/>
        </w:rPr>
        <w:t>授权代表（签字）：</w:t>
      </w:r>
    </w:p>
    <w:p>
      <w:pPr>
        <w:spacing w:line="400" w:lineRule="exact"/>
        <w:jc w:val="left"/>
        <w:rPr>
          <w:rFonts w:ascii="仿宋" w:hAnsi="仿宋" w:eastAsia="仿宋" w:cs="华文中宋"/>
          <w:szCs w:val="21"/>
        </w:rPr>
      </w:pPr>
    </w:p>
    <w:p>
      <w:pPr>
        <w:spacing w:line="400" w:lineRule="exact"/>
        <w:jc w:val="left"/>
        <w:rPr>
          <w:rFonts w:ascii="仿宋" w:hAnsi="仿宋" w:eastAsia="仿宋" w:cs="华文中宋"/>
          <w:szCs w:val="21"/>
        </w:rPr>
      </w:pPr>
      <w:r>
        <w:rPr>
          <w:rFonts w:hint="eastAsia" w:ascii="仿宋" w:hAnsi="仿宋" w:eastAsia="仿宋" w:cs="华文中宋"/>
          <w:szCs w:val="21"/>
        </w:rPr>
        <w:t>日  期：</w:t>
      </w:r>
    </w:p>
    <w:p>
      <w:pPr>
        <w:pStyle w:val="37"/>
        <w:ind w:firstLine="3360" w:firstLineChars="1400"/>
        <w:rPr>
          <w:rFonts w:ascii="仿宋" w:hAnsi="仿宋" w:eastAsia="仿宋"/>
          <w:sz w:val="24"/>
          <w:lang w:val="zh-CN"/>
        </w:rPr>
        <w:sectPr>
          <w:pgSz w:w="11906" w:h="16838"/>
          <w:pgMar w:top="1440" w:right="1080" w:bottom="1440" w:left="1080" w:header="851" w:footer="850" w:gutter="227"/>
          <w:cols w:space="0" w:num="1"/>
          <w:docGrid w:type="linesAndChars" w:linePitch="312" w:charSpace="0"/>
        </w:sectPr>
      </w:pPr>
    </w:p>
    <w:p>
      <w:pPr>
        <w:spacing w:line="600" w:lineRule="exact"/>
        <w:jc w:val="left"/>
        <w:rPr>
          <w:rFonts w:ascii="仿宋" w:hAnsi="仿宋" w:eastAsia="仿宋" w:cs="华文中宋"/>
          <w:sz w:val="24"/>
        </w:rPr>
      </w:pPr>
      <w:r>
        <w:rPr>
          <w:rFonts w:hint="eastAsia" w:ascii="仿宋" w:hAnsi="仿宋" w:eastAsia="仿宋" w:cs="华文中宋"/>
          <w:sz w:val="24"/>
          <w:lang w:val="zh-CN"/>
        </w:rPr>
        <w:t>附件</w:t>
      </w:r>
      <w:r>
        <w:rPr>
          <w:rFonts w:hint="eastAsia" w:ascii="仿宋" w:hAnsi="仿宋" w:eastAsia="仿宋" w:cs="华文中宋"/>
          <w:sz w:val="24"/>
        </w:rPr>
        <w:t>5</w:t>
      </w:r>
    </w:p>
    <w:p>
      <w:pPr>
        <w:snapToGrid w:val="0"/>
        <w:jc w:val="center"/>
        <w:rPr>
          <w:rFonts w:ascii="仿宋" w:hAnsi="仿宋" w:eastAsia="仿宋"/>
          <w:b/>
          <w:sz w:val="36"/>
          <w:szCs w:val="36"/>
        </w:rPr>
      </w:pPr>
      <w:bookmarkStart w:id="304" w:name="_Toc16686753"/>
      <w:bookmarkStart w:id="305" w:name="_Toc16686695"/>
    </w:p>
    <w:p>
      <w:pPr>
        <w:snapToGrid w:val="0"/>
        <w:jc w:val="center"/>
        <w:rPr>
          <w:rFonts w:ascii="仿宋" w:hAnsi="仿宋" w:eastAsia="仿宋"/>
          <w:b/>
          <w:sz w:val="36"/>
          <w:szCs w:val="36"/>
        </w:rPr>
      </w:pPr>
      <w:r>
        <w:rPr>
          <w:rFonts w:hint="eastAsia" w:ascii="仿宋" w:hAnsi="仿宋" w:eastAsia="仿宋"/>
          <w:b/>
          <w:sz w:val="36"/>
          <w:szCs w:val="36"/>
        </w:rPr>
        <w:t>近三年内，在经营活动中没有重大违法记录的承诺书</w:t>
      </w:r>
      <w:bookmarkEnd w:id="304"/>
      <w:bookmarkEnd w:id="305"/>
    </w:p>
    <w:p>
      <w:pPr>
        <w:spacing w:line="440" w:lineRule="exact"/>
        <w:rPr>
          <w:rStyle w:val="63"/>
          <w:rFonts w:ascii="仿宋" w:hAnsi="仿宋" w:eastAsia="仿宋" w:cs="微软雅黑"/>
          <w:bCs w:val="0"/>
          <w:sz w:val="28"/>
          <w:szCs w:val="28"/>
        </w:rPr>
      </w:pPr>
    </w:p>
    <w:p>
      <w:pPr>
        <w:snapToGrid w:val="0"/>
        <w:spacing w:line="480" w:lineRule="exact"/>
        <w:ind w:firstLine="480"/>
        <w:rPr>
          <w:rFonts w:ascii="仿宋" w:hAnsi="仿宋" w:eastAsia="仿宋" w:cs="宋体"/>
        </w:rPr>
      </w:pPr>
      <w:bookmarkStart w:id="306" w:name="_Toc16686754"/>
      <w:bookmarkStart w:id="307" w:name="_Toc16686696"/>
    </w:p>
    <w:p>
      <w:pPr>
        <w:snapToGrid w:val="0"/>
        <w:spacing w:line="480" w:lineRule="exact"/>
        <w:ind w:firstLine="480"/>
        <w:rPr>
          <w:rFonts w:ascii="仿宋" w:hAnsi="仿宋" w:eastAsia="仿宋" w:cs="宋体"/>
          <w:sz w:val="24"/>
        </w:rPr>
      </w:pPr>
      <w:r>
        <w:rPr>
          <w:rFonts w:hint="eastAsia" w:ascii="仿宋" w:hAnsi="仿宋" w:eastAsia="仿宋" w:cs="宋体"/>
          <w:sz w:val="24"/>
        </w:rPr>
        <w:t>致：</w:t>
      </w:r>
      <w:bookmarkEnd w:id="306"/>
      <w:bookmarkEnd w:id="307"/>
      <w:r>
        <w:rPr>
          <w:rFonts w:hint="eastAsia" w:ascii="仿宋" w:hAnsi="仿宋" w:eastAsia="仿宋" w:cs="宋体"/>
          <w:sz w:val="24"/>
        </w:rPr>
        <w:t>（询价采购单位名称）：</w:t>
      </w:r>
    </w:p>
    <w:p>
      <w:pPr>
        <w:snapToGrid w:val="0"/>
        <w:spacing w:line="480" w:lineRule="exact"/>
        <w:ind w:firstLine="480"/>
        <w:rPr>
          <w:rFonts w:ascii="仿宋" w:hAnsi="仿宋" w:eastAsia="仿宋" w:cs="宋体"/>
          <w:sz w:val="24"/>
        </w:rPr>
      </w:pPr>
    </w:p>
    <w:p>
      <w:pPr>
        <w:snapToGrid w:val="0"/>
        <w:spacing w:line="480" w:lineRule="exact"/>
        <w:ind w:firstLine="480"/>
        <w:rPr>
          <w:rFonts w:ascii="仿宋" w:hAnsi="仿宋" w:eastAsia="仿宋" w:cs="宋体"/>
          <w:sz w:val="24"/>
        </w:rPr>
      </w:pPr>
      <w:bookmarkStart w:id="308" w:name="_Toc16686697"/>
      <w:bookmarkStart w:id="309" w:name="_Toc16686755"/>
      <w:r>
        <w:rPr>
          <w:rFonts w:hint="eastAsia" w:ascii="仿宋" w:hAnsi="仿宋" w:eastAsia="仿宋" w:cs="宋体"/>
          <w:sz w:val="24"/>
        </w:rPr>
        <w:t>我单位近三年内，在经营活动中没有重大违法记录，特此承诺。</w:t>
      </w:r>
      <w:bookmarkEnd w:id="308"/>
      <w:bookmarkEnd w:id="309"/>
    </w:p>
    <w:p>
      <w:pPr>
        <w:snapToGrid w:val="0"/>
        <w:spacing w:line="480" w:lineRule="exact"/>
        <w:ind w:firstLine="480"/>
        <w:rPr>
          <w:rFonts w:ascii="仿宋" w:hAnsi="仿宋" w:eastAsia="仿宋" w:cs="宋体"/>
          <w:sz w:val="24"/>
        </w:rPr>
      </w:pPr>
      <w:bookmarkStart w:id="310" w:name="_Toc16686756"/>
      <w:bookmarkStart w:id="311" w:name="_Toc16686698"/>
      <w:r>
        <w:rPr>
          <w:rFonts w:hint="eastAsia" w:ascii="仿宋" w:hAnsi="仿宋" w:eastAsia="仿宋" w:cs="宋体"/>
          <w:sz w:val="24"/>
        </w:rPr>
        <w:t>若采购单位在项目（编号：HRZFCG2021-015）采购过程中发现我单位近三年内在经营活动中有重大违法记录，我单位将无条件地退出本项目的采购活动，并承担因此引起的一切后果。时间为开标之日起往前推三年。</w:t>
      </w:r>
      <w:bookmarkEnd w:id="310"/>
      <w:bookmarkEnd w:id="311"/>
    </w:p>
    <w:p>
      <w:pPr>
        <w:snapToGrid w:val="0"/>
        <w:spacing w:line="480" w:lineRule="exact"/>
        <w:ind w:firstLine="480"/>
        <w:rPr>
          <w:rFonts w:ascii="仿宋" w:hAnsi="仿宋" w:eastAsia="仿宋" w:cs="宋体"/>
        </w:rPr>
      </w:pPr>
    </w:p>
    <w:p>
      <w:pPr>
        <w:snapToGrid w:val="0"/>
        <w:spacing w:line="480" w:lineRule="exact"/>
        <w:ind w:firstLine="480"/>
        <w:rPr>
          <w:rFonts w:ascii="仿宋" w:hAnsi="仿宋" w:eastAsia="仿宋" w:cs="宋体"/>
        </w:rPr>
      </w:pPr>
    </w:p>
    <w:p>
      <w:pPr>
        <w:snapToGrid w:val="0"/>
        <w:spacing w:line="480" w:lineRule="exact"/>
        <w:ind w:firstLine="480"/>
        <w:rPr>
          <w:rFonts w:ascii="仿宋" w:hAnsi="仿宋" w:eastAsia="仿宋" w:cs="宋体"/>
        </w:rPr>
      </w:pPr>
    </w:p>
    <w:p>
      <w:pPr>
        <w:snapToGrid w:val="0"/>
        <w:spacing w:line="480" w:lineRule="exact"/>
        <w:ind w:firstLine="480"/>
        <w:rPr>
          <w:rFonts w:ascii="仿宋" w:hAnsi="仿宋" w:eastAsia="仿宋" w:cs="宋体"/>
          <w:sz w:val="24"/>
        </w:rPr>
      </w:pPr>
      <w:r>
        <w:rPr>
          <w:rFonts w:hint="eastAsia" w:ascii="仿宋" w:hAnsi="仿宋" w:eastAsia="仿宋" w:cs="宋体"/>
          <w:sz w:val="24"/>
        </w:rPr>
        <w:t>询价响应方（盖章）：</w:t>
      </w:r>
    </w:p>
    <w:p>
      <w:pPr>
        <w:snapToGrid w:val="0"/>
        <w:spacing w:line="480" w:lineRule="exact"/>
        <w:ind w:firstLine="480"/>
        <w:rPr>
          <w:rFonts w:ascii="仿宋" w:hAnsi="仿宋" w:eastAsia="仿宋" w:cs="宋体"/>
          <w:sz w:val="24"/>
        </w:rPr>
      </w:pPr>
      <w:r>
        <w:rPr>
          <w:rFonts w:hint="eastAsia" w:ascii="仿宋" w:hAnsi="仿宋" w:eastAsia="仿宋" w:cs="宋体"/>
          <w:sz w:val="24"/>
        </w:rPr>
        <w:t xml:space="preserve">法定代表人或其授权代表人（签字或盖章）：  </w:t>
      </w:r>
    </w:p>
    <w:p>
      <w:pPr>
        <w:snapToGrid w:val="0"/>
        <w:spacing w:line="480" w:lineRule="exact"/>
        <w:ind w:firstLine="480"/>
        <w:rPr>
          <w:rFonts w:ascii="仿宋" w:hAnsi="仿宋" w:eastAsia="仿宋" w:cs="宋体"/>
          <w:sz w:val="24"/>
        </w:rPr>
      </w:pPr>
      <w:r>
        <w:rPr>
          <w:rFonts w:hint="eastAsia" w:ascii="仿宋" w:hAnsi="仿宋" w:eastAsia="仿宋" w:cs="宋体"/>
          <w:sz w:val="24"/>
        </w:rPr>
        <w:t>日期 ：</w:t>
      </w: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spacing w:line="440" w:lineRule="exact"/>
        <w:jc w:val="center"/>
        <w:rPr>
          <w:rFonts w:ascii="仿宋" w:hAnsi="仿宋" w:eastAsia="仿宋" w:cs="华文中宋"/>
          <w:b/>
          <w:sz w:val="32"/>
          <w:szCs w:val="32"/>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spacing w:line="600" w:lineRule="exact"/>
        <w:jc w:val="left"/>
        <w:rPr>
          <w:rFonts w:ascii="仿宋" w:hAnsi="仿宋" w:eastAsia="仿宋" w:cs="华文中宋"/>
          <w:sz w:val="24"/>
        </w:rPr>
      </w:pPr>
      <w:r>
        <w:rPr>
          <w:rFonts w:hint="eastAsia" w:ascii="仿宋" w:hAnsi="仿宋" w:eastAsia="仿宋" w:cs="华文中宋"/>
          <w:sz w:val="24"/>
          <w:lang w:val="zh-CN"/>
        </w:rPr>
        <w:t>附件</w:t>
      </w:r>
      <w:r>
        <w:rPr>
          <w:rFonts w:hint="eastAsia" w:ascii="仿宋" w:hAnsi="仿宋" w:eastAsia="仿宋" w:cs="华文中宋"/>
          <w:sz w:val="24"/>
        </w:rPr>
        <w:t>6</w:t>
      </w:r>
    </w:p>
    <w:p>
      <w:pPr>
        <w:spacing w:line="440" w:lineRule="exact"/>
        <w:jc w:val="center"/>
        <w:rPr>
          <w:rFonts w:ascii="仿宋" w:hAnsi="仿宋" w:eastAsia="仿宋" w:cs="华文中宋"/>
          <w:b/>
          <w:sz w:val="32"/>
          <w:szCs w:val="32"/>
          <w:lang w:val="zh-CN"/>
        </w:rPr>
      </w:pPr>
      <w:r>
        <w:rPr>
          <w:rFonts w:hint="eastAsia" w:ascii="仿宋" w:hAnsi="仿宋" w:eastAsia="仿宋" w:cs="华文中宋"/>
          <w:b/>
          <w:sz w:val="32"/>
          <w:szCs w:val="32"/>
          <w:lang w:val="zh-CN"/>
        </w:rPr>
        <w:t>小微企业声明函</w:t>
      </w:r>
    </w:p>
    <w:p>
      <w:pPr>
        <w:snapToGrid w:val="0"/>
        <w:spacing w:line="480" w:lineRule="exact"/>
        <w:ind w:firstLine="480"/>
        <w:rPr>
          <w:rFonts w:ascii="仿宋" w:hAnsi="仿宋" w:eastAsia="仿宋"/>
          <w:sz w:val="24"/>
        </w:rPr>
      </w:pPr>
      <w:r>
        <w:rPr>
          <w:rFonts w:hint="eastAsia" w:ascii="仿宋" w:hAnsi="仿宋" w:eastAsia="仿宋" w:cs="华文中宋"/>
          <w:sz w:val="24"/>
        </w:rPr>
        <w:t>本公司郑重声明，根据《政府采购促进中小企业发展暂行办法》（财库〔2011〕181号）的规定，本公司为</w:t>
      </w:r>
      <w:r>
        <w:rPr>
          <w:rFonts w:hint="eastAsia" w:ascii="仿宋" w:hAnsi="仿宋" w:eastAsia="仿宋" w:cs="华文中宋"/>
          <w:sz w:val="24"/>
          <w:u w:val="single"/>
        </w:rPr>
        <w:t>（请填写：小型、微型）</w:t>
      </w:r>
      <w:r>
        <w:rPr>
          <w:rFonts w:hint="eastAsia" w:ascii="仿宋" w:hAnsi="仿宋" w:eastAsia="仿宋" w:cs="华文中宋"/>
          <w:sz w:val="24"/>
        </w:rPr>
        <w:t>企业。即，本公司同时满足以下条件：</w:t>
      </w:r>
    </w:p>
    <w:p>
      <w:pPr>
        <w:snapToGrid w:val="0"/>
        <w:spacing w:line="480" w:lineRule="exact"/>
        <w:ind w:firstLine="360" w:firstLineChars="150"/>
        <w:rPr>
          <w:rFonts w:ascii="仿宋" w:hAnsi="仿宋" w:eastAsia="仿宋"/>
          <w:sz w:val="24"/>
        </w:rPr>
      </w:pPr>
      <w:r>
        <w:rPr>
          <w:rFonts w:hint="eastAsia" w:ascii="仿宋" w:hAnsi="仿宋" w:eastAsia="仿宋" w:cs="华文中宋"/>
          <w:sz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华文中宋"/>
          <w:sz w:val="24"/>
          <w:u w:val="single"/>
        </w:rPr>
        <w:t>（请填写：小型、微型）</w:t>
      </w:r>
      <w:r>
        <w:rPr>
          <w:rFonts w:hint="eastAsia" w:ascii="仿宋" w:hAnsi="仿宋" w:eastAsia="仿宋" w:cs="华文中宋"/>
          <w:sz w:val="24"/>
        </w:rPr>
        <w:t>企业。</w:t>
      </w:r>
    </w:p>
    <w:p>
      <w:pPr>
        <w:snapToGrid w:val="0"/>
        <w:spacing w:line="480" w:lineRule="exact"/>
        <w:ind w:firstLine="360" w:firstLineChars="150"/>
        <w:rPr>
          <w:rFonts w:ascii="仿宋" w:hAnsi="仿宋" w:eastAsia="仿宋"/>
          <w:sz w:val="24"/>
        </w:rPr>
      </w:pPr>
      <w:r>
        <w:rPr>
          <w:rFonts w:hint="eastAsia" w:ascii="仿宋" w:hAnsi="仿宋" w:eastAsia="仿宋" w:cs="华文中宋"/>
          <w:sz w:val="24"/>
        </w:rPr>
        <w:t>2.本公司参加             单位的           项目采购活动提供本企业制造的货物，由本企业承担工程、提供服务，或者提供其他</w:t>
      </w:r>
      <w:r>
        <w:rPr>
          <w:rFonts w:hint="eastAsia" w:ascii="仿宋" w:hAnsi="仿宋" w:eastAsia="仿宋" w:cs="华文中宋"/>
          <w:sz w:val="24"/>
          <w:u w:val="single"/>
        </w:rPr>
        <w:t>（请填写：小型、微型）</w:t>
      </w:r>
      <w:r>
        <w:rPr>
          <w:rFonts w:hint="eastAsia" w:ascii="仿宋" w:hAnsi="仿宋" w:eastAsia="仿宋" w:cs="华文中宋"/>
          <w:sz w:val="24"/>
        </w:rPr>
        <w:t>企业制造的货物。本条所称货物不包括使用大型企业注册商标的货物。</w:t>
      </w:r>
    </w:p>
    <w:p>
      <w:pPr>
        <w:snapToGrid w:val="0"/>
        <w:spacing w:line="480" w:lineRule="exact"/>
        <w:ind w:firstLine="360" w:firstLineChars="150"/>
        <w:rPr>
          <w:rFonts w:ascii="仿宋" w:hAnsi="仿宋" w:eastAsia="仿宋"/>
          <w:sz w:val="24"/>
        </w:rPr>
      </w:pPr>
      <w:r>
        <w:rPr>
          <w:rFonts w:hint="eastAsia" w:ascii="仿宋" w:hAnsi="仿宋" w:eastAsia="仿宋" w:cs="华文中宋"/>
          <w:sz w:val="24"/>
        </w:rPr>
        <w:t>本公司对上述声明的真实性负责。如有虚假，将依法承担相应责任。</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投标人（盖章）：</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法定代表人或其授权代表人（</w:t>
      </w:r>
      <w:r>
        <w:rPr>
          <w:rFonts w:hint="eastAsia" w:ascii="仿宋" w:hAnsi="仿宋" w:eastAsia="仿宋" w:cs="微软雅黑"/>
          <w:sz w:val="24"/>
        </w:rPr>
        <w:t>签字或盖章</w:t>
      </w:r>
      <w:r>
        <w:rPr>
          <w:rFonts w:hint="eastAsia" w:ascii="仿宋" w:hAnsi="仿宋" w:eastAsia="仿宋" w:cs="华文中宋"/>
          <w:sz w:val="24"/>
        </w:rPr>
        <w:t>）：</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日  期：</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480" w:lineRule="exact"/>
        <w:rPr>
          <w:rFonts w:ascii="仿宋" w:hAnsi="仿宋" w:eastAsia="仿宋"/>
          <w:sz w:val="24"/>
        </w:rPr>
      </w:pPr>
      <w:r>
        <w:rPr>
          <w:rFonts w:hint="eastAsia" w:ascii="仿宋" w:hAnsi="仿宋" w:eastAsia="仿宋" w:cs="华文中宋"/>
          <w:sz w:val="24"/>
        </w:rPr>
        <w:t>附：1</w:t>
      </w:r>
      <w:r>
        <w:rPr>
          <w:rFonts w:hint="eastAsia" w:ascii="仿宋" w:hAnsi="仿宋" w:eastAsia="仿宋"/>
          <w:sz w:val="24"/>
        </w:rPr>
        <w:t>.</w:t>
      </w:r>
      <w:r>
        <w:rPr>
          <w:rFonts w:hint="eastAsia" w:ascii="仿宋" w:hAnsi="仿宋" w:eastAsia="仿宋" w:cs="华文中宋"/>
          <w:sz w:val="24"/>
        </w:rPr>
        <w:t>所投产品中有中、大型企业提供的不适用于本函。</w:t>
      </w:r>
    </w:p>
    <w:p>
      <w:pPr>
        <w:snapToGrid w:val="0"/>
        <w:spacing w:line="480" w:lineRule="exact"/>
        <w:ind w:firstLine="480"/>
        <w:rPr>
          <w:rFonts w:ascii="仿宋" w:hAnsi="仿宋" w:eastAsia="仿宋"/>
          <w:sz w:val="24"/>
        </w:rPr>
      </w:pPr>
      <w:r>
        <w:rPr>
          <w:rFonts w:hint="eastAsia" w:ascii="仿宋" w:hAnsi="仿宋" w:eastAsia="仿宋" w:cs="华文中宋"/>
          <w:sz w:val="24"/>
        </w:rPr>
        <w:t>2</w:t>
      </w:r>
      <w:r>
        <w:rPr>
          <w:rFonts w:hint="eastAsia" w:ascii="仿宋" w:hAnsi="仿宋" w:eastAsia="仿宋"/>
          <w:sz w:val="24"/>
        </w:rPr>
        <w:t>.</w:t>
      </w:r>
      <w:r>
        <w:rPr>
          <w:rFonts w:hint="eastAsia" w:ascii="仿宋" w:hAnsi="仿宋" w:eastAsia="仿宋" w:cs="华文中宋"/>
          <w:sz w:val="24"/>
        </w:rPr>
        <w:t>本声明函只适用于投标人。</w:t>
      </w:r>
    </w:p>
    <w:p>
      <w:pPr>
        <w:snapToGrid w:val="0"/>
        <w:spacing w:line="480" w:lineRule="exact"/>
        <w:ind w:firstLine="480"/>
        <w:rPr>
          <w:rFonts w:ascii="仿宋" w:hAnsi="仿宋" w:eastAsia="仿宋"/>
          <w:sz w:val="24"/>
        </w:rPr>
      </w:pPr>
      <w:r>
        <w:rPr>
          <w:rFonts w:hint="eastAsia" w:ascii="仿宋" w:hAnsi="仿宋" w:eastAsia="仿宋" w:cs="华文中宋"/>
          <w:sz w:val="24"/>
        </w:rPr>
        <w:t>3</w:t>
      </w:r>
      <w:r>
        <w:rPr>
          <w:rFonts w:hint="eastAsia" w:ascii="仿宋" w:hAnsi="仿宋" w:eastAsia="仿宋"/>
          <w:sz w:val="24"/>
        </w:rPr>
        <w:t>.</w:t>
      </w:r>
      <w:r>
        <w:rPr>
          <w:rFonts w:hint="eastAsia" w:ascii="仿宋" w:hAnsi="仿宋" w:eastAsia="仿宋" w:cs="华文中宋"/>
          <w:sz w:val="24"/>
        </w:rPr>
        <w:t>国家企业信用信息公示系统——小微企业名录”开标前一周内页面查询结果并加盖投标单位公章。</w:t>
      </w:r>
    </w:p>
    <w:p>
      <w:pPr>
        <w:snapToGrid w:val="0"/>
        <w:spacing w:line="480" w:lineRule="exact"/>
        <w:ind w:firstLine="480"/>
        <w:rPr>
          <w:rFonts w:ascii="仿宋" w:hAnsi="仿宋" w:eastAsia="仿宋"/>
          <w:sz w:val="24"/>
        </w:rPr>
      </w:pPr>
      <w:r>
        <w:rPr>
          <w:rFonts w:hint="eastAsia" w:ascii="仿宋" w:hAnsi="仿宋" w:eastAsia="仿宋" w:cs="华文中宋"/>
          <w:sz w:val="24"/>
        </w:rPr>
        <w:t>4</w:t>
      </w:r>
      <w:r>
        <w:rPr>
          <w:rFonts w:hint="eastAsia" w:ascii="仿宋" w:hAnsi="仿宋" w:eastAsia="仿宋"/>
          <w:sz w:val="24"/>
        </w:rPr>
        <w:t>.</w:t>
      </w:r>
      <w:r>
        <w:rPr>
          <w:rFonts w:hint="eastAsia" w:ascii="仿宋" w:hAnsi="仿宋" w:eastAsia="仿宋" w:cs="华文中宋"/>
          <w:sz w:val="24"/>
        </w:rPr>
        <w:t>说明：投标人属于小型和微型企业的，投标文件中必须同时提供《小微企业声明函》、“国家企业信用信息公示系统——小微企业名录”页面查询结果（查询时间为投标前一周内，并加盖投标单位公章）。以上材料不完整提供，不予得分。</w:t>
      </w:r>
    </w:p>
    <w:p>
      <w:pPr>
        <w:spacing w:line="600" w:lineRule="exact"/>
        <w:jc w:val="left"/>
        <w:rPr>
          <w:rFonts w:ascii="仿宋" w:hAnsi="仿宋" w:eastAsia="仿宋"/>
          <w:sz w:val="24"/>
        </w:rPr>
      </w:pPr>
    </w:p>
    <w:p>
      <w:pPr>
        <w:adjustRightInd w:val="0"/>
        <w:snapToGrid w:val="0"/>
        <w:spacing w:line="360" w:lineRule="auto"/>
        <w:rPr>
          <w:rFonts w:ascii="仿宋" w:hAnsi="仿宋" w:eastAsia="仿宋" w:cs="微软雅黑"/>
          <w:b/>
          <w:bCs/>
        </w:rPr>
      </w:pPr>
    </w:p>
    <w:p>
      <w:pPr>
        <w:adjustRightInd w:val="0"/>
        <w:snapToGrid w:val="0"/>
        <w:spacing w:line="360" w:lineRule="auto"/>
        <w:rPr>
          <w:rFonts w:ascii="仿宋" w:hAnsi="仿宋" w:eastAsia="仿宋" w:cs="微软雅黑"/>
          <w:bCs/>
        </w:rPr>
      </w:pPr>
      <w:r>
        <w:rPr>
          <w:rFonts w:hint="eastAsia" w:ascii="仿宋" w:hAnsi="仿宋" w:eastAsia="仿宋" w:cs="微软雅黑"/>
          <w:b/>
          <w:bCs/>
        </w:rPr>
        <w:t>国家企业信用信息公示系统---小微企业名录”页面查询结果参考格式</w:t>
      </w:r>
    </w:p>
    <w:p>
      <w:pPr>
        <w:pStyle w:val="37"/>
        <w:rPr>
          <w:rFonts w:ascii="仿宋" w:hAnsi="仿宋" w:eastAsia="仿宋"/>
        </w:rPr>
      </w:pPr>
    </w:p>
    <w:p>
      <w:pPr>
        <w:pStyle w:val="37"/>
        <w:rPr>
          <w:rFonts w:ascii="仿宋" w:hAnsi="仿宋" w:eastAsia="仿宋"/>
        </w:rPr>
      </w:pPr>
      <w:r>
        <w:rPr>
          <w:rFonts w:hint="eastAsia" w:ascii="仿宋" w:hAnsi="仿宋" w:eastAsia="仿宋"/>
        </w:rPr>
        <w:drawing>
          <wp:anchor distT="0" distB="0" distL="114300" distR="114300" simplePos="0" relativeHeight="251660288" behindDoc="0" locked="0" layoutInCell="1" allowOverlap="1">
            <wp:simplePos x="0" y="0"/>
            <wp:positionH relativeFrom="column">
              <wp:posOffset>28575</wp:posOffset>
            </wp:positionH>
            <wp:positionV relativeFrom="paragraph">
              <wp:posOffset>228600</wp:posOffset>
            </wp:positionV>
            <wp:extent cx="6035040" cy="3394710"/>
            <wp:effectExtent l="0" t="0" r="3810" b="15240"/>
            <wp:wrapTopAndBottom/>
            <wp:docPr id="1" name="图片 1" descr="3e315ecf1eea15bad7f06ce83451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315ecf1eea15bad7f06ce8345129a"/>
                    <pic:cNvPicPr>
                      <a:picLocks noChangeAspect="1"/>
                    </pic:cNvPicPr>
                  </pic:nvPicPr>
                  <pic:blipFill>
                    <a:blip r:embed="rId18"/>
                    <a:stretch>
                      <a:fillRect/>
                    </a:stretch>
                  </pic:blipFill>
                  <pic:spPr>
                    <a:xfrm>
                      <a:off x="0" y="0"/>
                      <a:ext cx="6035040" cy="3394710"/>
                    </a:xfrm>
                    <a:prstGeom prst="rect">
                      <a:avLst/>
                    </a:prstGeom>
                  </pic:spPr>
                </pic:pic>
              </a:graphicData>
            </a:graphic>
          </wp:anchor>
        </w:drawing>
      </w: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88"/>
        <w:spacing w:line="360" w:lineRule="auto"/>
        <w:ind w:firstLine="3840" w:firstLineChars="1600"/>
        <w:jc w:val="left"/>
        <w:rPr>
          <w:rFonts w:ascii="仿宋" w:hAnsi="仿宋" w:eastAsia="仿宋"/>
          <w:sz w:val="24"/>
          <w:u w:val="single"/>
        </w:rPr>
      </w:pPr>
      <w:r>
        <w:rPr>
          <w:rFonts w:hint="eastAsia" w:ascii="仿宋" w:hAnsi="仿宋" w:eastAsia="仿宋"/>
          <w:sz w:val="24"/>
          <w:u w:val="single"/>
        </w:rPr>
        <w:t>供应商：                               （盖章）</w:t>
      </w:r>
    </w:p>
    <w:p>
      <w:pPr>
        <w:pStyle w:val="88"/>
        <w:spacing w:line="360" w:lineRule="auto"/>
        <w:ind w:firstLine="3720" w:firstLineChars="1550"/>
        <w:jc w:val="left"/>
        <w:rPr>
          <w:rFonts w:ascii="仿宋" w:hAnsi="仿宋" w:eastAsia="仿宋"/>
          <w:sz w:val="24"/>
          <w:u w:val="single"/>
        </w:rPr>
      </w:pPr>
      <w:r>
        <w:rPr>
          <w:rFonts w:hint="eastAsia" w:ascii="仿宋" w:hAnsi="仿宋" w:eastAsia="仿宋"/>
          <w:sz w:val="24"/>
          <w:u w:val="single"/>
        </w:rPr>
        <w:t>法定代表人或授权代理人：         （签字或盖章）</w:t>
      </w:r>
    </w:p>
    <w:p>
      <w:pPr>
        <w:pStyle w:val="88"/>
        <w:spacing w:line="360" w:lineRule="auto"/>
        <w:ind w:firstLine="3720" w:firstLineChars="1550"/>
        <w:jc w:val="left"/>
        <w:rPr>
          <w:rFonts w:ascii="仿宋" w:hAnsi="仿宋" w:eastAsia="仿宋"/>
          <w:sz w:val="24"/>
          <w:u w:val="single"/>
        </w:rPr>
      </w:pPr>
      <w:r>
        <w:rPr>
          <w:rFonts w:hint="eastAsia" w:ascii="仿宋" w:hAnsi="仿宋" w:eastAsia="仿宋"/>
          <w:sz w:val="24"/>
          <w:u w:val="single"/>
        </w:rPr>
        <w:t>日期：2021年   月   日</w:t>
      </w:r>
    </w:p>
    <w:p>
      <w:pPr>
        <w:snapToGrid w:val="0"/>
        <w:jc w:val="center"/>
        <w:rPr>
          <w:rFonts w:ascii="仿宋" w:hAnsi="仿宋" w:eastAsia="仿宋" w:cs="华文中宋"/>
          <w:sz w:val="32"/>
          <w:szCs w:val="32"/>
        </w:rPr>
      </w:pPr>
    </w:p>
    <w:p>
      <w:pPr>
        <w:spacing w:line="600" w:lineRule="exact"/>
        <w:jc w:val="left"/>
        <w:rPr>
          <w:rFonts w:ascii="仿宋" w:hAnsi="仿宋" w:eastAsia="仿宋" w:cs="华文中宋"/>
          <w:sz w:val="24"/>
          <w:lang w:val="zh-CN"/>
        </w:rPr>
      </w:pPr>
    </w:p>
    <w:p>
      <w:pPr>
        <w:spacing w:line="600" w:lineRule="exact"/>
        <w:jc w:val="left"/>
        <w:rPr>
          <w:rFonts w:ascii="仿宋" w:hAnsi="仿宋" w:eastAsia="仿宋" w:cs="华文中宋"/>
          <w:sz w:val="24"/>
          <w:lang w:val="zh-CN"/>
        </w:rPr>
      </w:pPr>
    </w:p>
    <w:p>
      <w:pPr>
        <w:spacing w:line="600" w:lineRule="exact"/>
        <w:jc w:val="left"/>
        <w:rPr>
          <w:rFonts w:ascii="仿宋" w:hAnsi="仿宋" w:eastAsia="仿宋" w:cs="华文中宋"/>
          <w:sz w:val="24"/>
        </w:rPr>
      </w:pPr>
      <w:r>
        <w:rPr>
          <w:rFonts w:hint="eastAsia" w:ascii="仿宋" w:hAnsi="仿宋" w:eastAsia="仿宋" w:cs="华文中宋"/>
          <w:sz w:val="24"/>
          <w:lang w:val="zh-CN"/>
        </w:rPr>
        <w:t>附件</w:t>
      </w:r>
      <w:r>
        <w:rPr>
          <w:rFonts w:hint="eastAsia" w:ascii="仿宋" w:hAnsi="仿宋" w:eastAsia="仿宋" w:cs="华文中宋"/>
          <w:sz w:val="24"/>
        </w:rPr>
        <w:t>7</w:t>
      </w:r>
    </w:p>
    <w:p>
      <w:pPr>
        <w:spacing w:line="440" w:lineRule="exact"/>
        <w:jc w:val="center"/>
        <w:rPr>
          <w:rFonts w:ascii="仿宋" w:hAnsi="仿宋" w:eastAsia="仿宋" w:cs="华文中宋"/>
          <w:b/>
          <w:sz w:val="32"/>
          <w:szCs w:val="32"/>
          <w:lang w:val="zh-CN"/>
        </w:rPr>
      </w:pPr>
      <w:r>
        <w:rPr>
          <w:rFonts w:hint="eastAsia" w:ascii="仿宋" w:hAnsi="仿宋" w:eastAsia="仿宋" w:cs="华文中宋"/>
          <w:b/>
          <w:sz w:val="32"/>
          <w:szCs w:val="32"/>
          <w:lang w:val="zh-CN"/>
        </w:rPr>
        <w:t>产品适用小微企业政策情况表</w:t>
      </w:r>
    </w:p>
    <w:p>
      <w:pPr>
        <w:snapToGrid w:val="0"/>
        <w:jc w:val="center"/>
        <w:rPr>
          <w:rFonts w:ascii="仿宋" w:hAnsi="仿宋" w:eastAsia="仿宋" w:cs="华文中宋"/>
          <w:sz w:val="32"/>
          <w:szCs w:val="32"/>
        </w:rPr>
      </w:pPr>
      <w:r>
        <w:rPr>
          <w:rFonts w:hint="eastAsia" w:ascii="仿宋" w:hAnsi="仿宋" w:eastAsia="仿宋" w:cs="华文中宋"/>
          <w:sz w:val="32"/>
          <w:szCs w:val="32"/>
        </w:rPr>
        <w:t>（大、中型企业不用填写）</w:t>
      </w:r>
    </w:p>
    <w:tbl>
      <w:tblPr>
        <w:tblStyle w:val="3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09"/>
        <w:gridCol w:w="2076"/>
        <w:gridCol w:w="177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restart"/>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小微企业扶持政策</w:t>
            </w:r>
          </w:p>
        </w:tc>
        <w:tc>
          <w:tcPr>
            <w:tcW w:w="8201" w:type="dxa"/>
            <w:gridSpan w:val="4"/>
            <w:vAlign w:val="center"/>
          </w:tcPr>
          <w:p>
            <w:pPr>
              <w:pStyle w:val="219"/>
              <w:tabs>
                <w:tab w:val="left" w:pos="1260"/>
              </w:tabs>
              <w:spacing w:line="500" w:lineRule="exact"/>
              <w:rPr>
                <w:rFonts w:ascii="仿宋" w:hAnsi="仿宋" w:eastAsia="仿宋" w:cs="仿宋"/>
                <w:sz w:val="24"/>
                <w:lang w:val="en-GB"/>
              </w:rPr>
            </w:pPr>
            <w:r>
              <w:rPr>
                <w:rFonts w:hint="eastAsia" w:ascii="仿宋" w:hAnsi="仿宋" w:eastAsia="仿宋" w:cs="仿宋"/>
                <w:sz w:val="24"/>
                <w:lang w:val="en-GB"/>
              </w:rPr>
              <w:t>如属所列情形的，请在括号内打“√”：</w:t>
            </w:r>
          </w:p>
          <w:p>
            <w:pPr>
              <w:pStyle w:val="219"/>
              <w:tabs>
                <w:tab w:val="left" w:pos="1260"/>
              </w:tabs>
              <w:spacing w:line="500" w:lineRule="exact"/>
              <w:rPr>
                <w:rFonts w:ascii="仿宋" w:hAnsi="仿宋" w:eastAsia="仿宋" w:cs="仿宋"/>
                <w:sz w:val="24"/>
              </w:rPr>
            </w:pPr>
            <w:r>
              <w:rPr>
                <w:rFonts w:hint="eastAsia" w:ascii="仿宋" w:hAnsi="仿宋" w:eastAsia="仿宋" w:cs="仿宋"/>
                <w:sz w:val="24"/>
              </w:rPr>
              <w:t>（  ）第一种情形：投标人为小、微企业且提供本企业制造的产品。</w:t>
            </w:r>
          </w:p>
          <w:p>
            <w:pPr>
              <w:pStyle w:val="219"/>
              <w:tabs>
                <w:tab w:val="left" w:pos="1260"/>
              </w:tabs>
              <w:spacing w:line="500" w:lineRule="exact"/>
              <w:rPr>
                <w:rFonts w:ascii="仿宋" w:hAnsi="仿宋" w:eastAsia="仿宋" w:cs="仿宋"/>
                <w:sz w:val="24"/>
              </w:rPr>
            </w:pPr>
            <w:r>
              <w:rPr>
                <w:rFonts w:hint="eastAsia" w:ascii="仿宋" w:hAnsi="仿宋" w:eastAsia="仿宋" w:cs="仿宋"/>
                <w:sz w:val="24"/>
              </w:rPr>
              <w:t>（  ）第二种情形：投标人为小、微企业且全部响应产品均由其它小、微企业制造的。请填写下表内容：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219"/>
              <w:tabs>
                <w:tab w:val="left" w:pos="1260"/>
              </w:tabs>
              <w:spacing w:line="500" w:lineRule="exact"/>
              <w:jc w:val="center"/>
              <w:rPr>
                <w:rFonts w:ascii="仿宋" w:hAnsi="仿宋" w:eastAsia="仿宋" w:cs="仿宋"/>
                <w:sz w:val="24"/>
                <w:lang w:val="en-GB"/>
              </w:rPr>
            </w:pPr>
          </w:p>
        </w:tc>
        <w:tc>
          <w:tcPr>
            <w:tcW w:w="2709" w:type="dxa"/>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产品名称（品牌、型号）</w:t>
            </w:r>
          </w:p>
        </w:tc>
        <w:tc>
          <w:tcPr>
            <w:tcW w:w="2076" w:type="dxa"/>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制造商</w:t>
            </w:r>
            <w:r>
              <w:rPr>
                <w:rFonts w:hint="eastAsia" w:ascii="仿宋" w:hAnsi="仿宋" w:eastAsia="仿宋" w:cs="仿宋"/>
                <w:sz w:val="24"/>
              </w:rPr>
              <w:t>名称</w:t>
            </w:r>
          </w:p>
        </w:tc>
        <w:tc>
          <w:tcPr>
            <w:tcW w:w="1777" w:type="dxa"/>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制造商</w:t>
            </w:r>
          </w:p>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企业类型</w:t>
            </w:r>
          </w:p>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color w:val="FF0000"/>
                <w:sz w:val="24"/>
                <w:lang w:val="en-GB"/>
              </w:rPr>
              <w:t>（小型或微型）</w:t>
            </w:r>
          </w:p>
        </w:tc>
        <w:tc>
          <w:tcPr>
            <w:tcW w:w="1639" w:type="dxa"/>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219"/>
              <w:tabs>
                <w:tab w:val="left" w:pos="1260"/>
              </w:tabs>
              <w:spacing w:line="500" w:lineRule="exact"/>
              <w:jc w:val="center"/>
              <w:rPr>
                <w:rFonts w:ascii="仿宋" w:hAnsi="仿宋" w:eastAsia="仿宋" w:cs="仿宋"/>
                <w:sz w:val="24"/>
                <w:lang w:val="en-GB"/>
              </w:rPr>
            </w:pPr>
          </w:p>
        </w:tc>
        <w:tc>
          <w:tcPr>
            <w:tcW w:w="2709" w:type="dxa"/>
            <w:vAlign w:val="center"/>
          </w:tcPr>
          <w:p>
            <w:pPr>
              <w:pStyle w:val="219"/>
              <w:tabs>
                <w:tab w:val="left" w:pos="1260"/>
              </w:tabs>
              <w:spacing w:line="500" w:lineRule="exact"/>
              <w:jc w:val="center"/>
              <w:rPr>
                <w:rFonts w:ascii="仿宋" w:hAnsi="仿宋" w:eastAsia="仿宋" w:cs="仿宋"/>
                <w:sz w:val="24"/>
                <w:lang w:val="en-GB"/>
              </w:rPr>
            </w:pPr>
          </w:p>
        </w:tc>
        <w:tc>
          <w:tcPr>
            <w:tcW w:w="2076" w:type="dxa"/>
            <w:vAlign w:val="center"/>
          </w:tcPr>
          <w:p>
            <w:pPr>
              <w:pStyle w:val="219"/>
              <w:tabs>
                <w:tab w:val="left" w:pos="1260"/>
              </w:tabs>
              <w:spacing w:line="500" w:lineRule="exact"/>
              <w:jc w:val="center"/>
              <w:rPr>
                <w:rFonts w:ascii="仿宋" w:hAnsi="仿宋" w:eastAsia="仿宋" w:cs="仿宋"/>
                <w:sz w:val="24"/>
                <w:lang w:val="en-GB"/>
              </w:rPr>
            </w:pPr>
          </w:p>
        </w:tc>
        <w:tc>
          <w:tcPr>
            <w:tcW w:w="1777" w:type="dxa"/>
            <w:vAlign w:val="center"/>
          </w:tcPr>
          <w:p>
            <w:pPr>
              <w:pStyle w:val="219"/>
              <w:tabs>
                <w:tab w:val="left" w:pos="1260"/>
              </w:tabs>
              <w:spacing w:line="500" w:lineRule="exact"/>
              <w:jc w:val="center"/>
              <w:rPr>
                <w:rFonts w:ascii="仿宋" w:hAnsi="仿宋" w:eastAsia="仿宋" w:cs="仿宋"/>
                <w:sz w:val="24"/>
                <w:lang w:val="en-GB"/>
              </w:rPr>
            </w:pPr>
          </w:p>
        </w:tc>
        <w:tc>
          <w:tcPr>
            <w:tcW w:w="1639" w:type="dxa"/>
            <w:vAlign w:val="center"/>
          </w:tcPr>
          <w:p>
            <w:pPr>
              <w:pStyle w:val="219"/>
              <w:tabs>
                <w:tab w:val="left" w:pos="1260"/>
              </w:tabs>
              <w:spacing w:line="500" w:lineRule="exact"/>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219"/>
              <w:tabs>
                <w:tab w:val="left" w:pos="1260"/>
              </w:tabs>
              <w:spacing w:line="500" w:lineRule="exact"/>
              <w:jc w:val="center"/>
              <w:rPr>
                <w:rFonts w:ascii="仿宋" w:hAnsi="仿宋" w:eastAsia="仿宋" w:cs="仿宋"/>
                <w:sz w:val="24"/>
                <w:lang w:val="en-GB"/>
              </w:rPr>
            </w:pPr>
          </w:p>
        </w:tc>
        <w:tc>
          <w:tcPr>
            <w:tcW w:w="2709" w:type="dxa"/>
            <w:vAlign w:val="center"/>
          </w:tcPr>
          <w:p>
            <w:pPr>
              <w:pStyle w:val="219"/>
              <w:tabs>
                <w:tab w:val="left" w:pos="1260"/>
              </w:tabs>
              <w:spacing w:line="500" w:lineRule="exact"/>
              <w:jc w:val="center"/>
              <w:rPr>
                <w:rFonts w:ascii="仿宋" w:hAnsi="仿宋" w:eastAsia="仿宋" w:cs="仿宋"/>
                <w:sz w:val="24"/>
                <w:lang w:val="en-GB"/>
              </w:rPr>
            </w:pPr>
          </w:p>
        </w:tc>
        <w:tc>
          <w:tcPr>
            <w:tcW w:w="2076" w:type="dxa"/>
            <w:vAlign w:val="center"/>
          </w:tcPr>
          <w:p>
            <w:pPr>
              <w:pStyle w:val="219"/>
              <w:tabs>
                <w:tab w:val="left" w:pos="1260"/>
              </w:tabs>
              <w:spacing w:line="500" w:lineRule="exact"/>
              <w:jc w:val="center"/>
              <w:rPr>
                <w:rFonts w:ascii="仿宋" w:hAnsi="仿宋" w:eastAsia="仿宋" w:cs="仿宋"/>
                <w:sz w:val="24"/>
                <w:lang w:val="en-GB"/>
              </w:rPr>
            </w:pPr>
          </w:p>
        </w:tc>
        <w:tc>
          <w:tcPr>
            <w:tcW w:w="1777" w:type="dxa"/>
            <w:vAlign w:val="center"/>
          </w:tcPr>
          <w:p>
            <w:pPr>
              <w:pStyle w:val="219"/>
              <w:tabs>
                <w:tab w:val="left" w:pos="1260"/>
              </w:tabs>
              <w:spacing w:line="500" w:lineRule="exact"/>
              <w:jc w:val="center"/>
              <w:rPr>
                <w:rFonts w:ascii="仿宋" w:hAnsi="仿宋" w:eastAsia="仿宋" w:cs="仿宋"/>
                <w:sz w:val="24"/>
                <w:lang w:val="en-GB"/>
              </w:rPr>
            </w:pPr>
          </w:p>
        </w:tc>
        <w:tc>
          <w:tcPr>
            <w:tcW w:w="1639" w:type="dxa"/>
            <w:vAlign w:val="center"/>
          </w:tcPr>
          <w:p>
            <w:pPr>
              <w:pStyle w:val="219"/>
              <w:tabs>
                <w:tab w:val="left" w:pos="1260"/>
              </w:tabs>
              <w:spacing w:line="500" w:lineRule="exact"/>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219"/>
              <w:tabs>
                <w:tab w:val="left" w:pos="1260"/>
              </w:tabs>
              <w:spacing w:line="500" w:lineRule="exact"/>
              <w:jc w:val="center"/>
              <w:rPr>
                <w:rFonts w:ascii="仿宋" w:hAnsi="仿宋" w:eastAsia="仿宋" w:cs="仿宋"/>
                <w:sz w:val="24"/>
                <w:lang w:val="en-GB"/>
              </w:rPr>
            </w:pPr>
          </w:p>
        </w:tc>
        <w:tc>
          <w:tcPr>
            <w:tcW w:w="2709" w:type="dxa"/>
            <w:vAlign w:val="center"/>
          </w:tcPr>
          <w:p>
            <w:pPr>
              <w:pStyle w:val="219"/>
              <w:tabs>
                <w:tab w:val="left" w:pos="1260"/>
              </w:tabs>
              <w:spacing w:line="500" w:lineRule="exact"/>
              <w:jc w:val="center"/>
              <w:rPr>
                <w:rFonts w:ascii="仿宋" w:hAnsi="仿宋" w:eastAsia="仿宋" w:cs="仿宋"/>
                <w:sz w:val="24"/>
                <w:lang w:val="en-GB"/>
              </w:rPr>
            </w:pPr>
          </w:p>
        </w:tc>
        <w:tc>
          <w:tcPr>
            <w:tcW w:w="2076" w:type="dxa"/>
            <w:vAlign w:val="center"/>
          </w:tcPr>
          <w:p>
            <w:pPr>
              <w:pStyle w:val="219"/>
              <w:tabs>
                <w:tab w:val="left" w:pos="1260"/>
              </w:tabs>
              <w:spacing w:line="500" w:lineRule="exact"/>
              <w:jc w:val="center"/>
              <w:rPr>
                <w:rFonts w:ascii="仿宋" w:hAnsi="仿宋" w:eastAsia="仿宋" w:cs="仿宋"/>
                <w:sz w:val="24"/>
                <w:lang w:val="en-GB"/>
              </w:rPr>
            </w:pPr>
          </w:p>
        </w:tc>
        <w:tc>
          <w:tcPr>
            <w:tcW w:w="1777" w:type="dxa"/>
            <w:vAlign w:val="center"/>
          </w:tcPr>
          <w:p>
            <w:pPr>
              <w:pStyle w:val="219"/>
              <w:tabs>
                <w:tab w:val="left" w:pos="1260"/>
              </w:tabs>
              <w:spacing w:line="500" w:lineRule="exact"/>
              <w:jc w:val="center"/>
              <w:rPr>
                <w:rFonts w:ascii="仿宋" w:hAnsi="仿宋" w:eastAsia="仿宋" w:cs="仿宋"/>
                <w:sz w:val="24"/>
                <w:lang w:val="en-GB"/>
              </w:rPr>
            </w:pPr>
          </w:p>
        </w:tc>
        <w:tc>
          <w:tcPr>
            <w:tcW w:w="1639" w:type="dxa"/>
            <w:vAlign w:val="center"/>
          </w:tcPr>
          <w:p>
            <w:pPr>
              <w:pStyle w:val="219"/>
              <w:tabs>
                <w:tab w:val="left" w:pos="1260"/>
              </w:tabs>
              <w:spacing w:line="500" w:lineRule="exact"/>
              <w:jc w:val="center"/>
              <w:rPr>
                <w:rFonts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5" w:type="dxa"/>
            <w:vMerge w:val="continue"/>
            <w:vAlign w:val="center"/>
          </w:tcPr>
          <w:p>
            <w:pPr>
              <w:pStyle w:val="219"/>
              <w:tabs>
                <w:tab w:val="left" w:pos="1260"/>
              </w:tabs>
              <w:spacing w:line="500" w:lineRule="exact"/>
              <w:jc w:val="center"/>
              <w:rPr>
                <w:rFonts w:ascii="仿宋" w:hAnsi="仿宋" w:eastAsia="仿宋" w:cs="仿宋"/>
                <w:sz w:val="24"/>
                <w:lang w:val="en-GB"/>
              </w:rPr>
            </w:pPr>
          </w:p>
        </w:tc>
        <w:tc>
          <w:tcPr>
            <w:tcW w:w="6562" w:type="dxa"/>
            <w:gridSpan w:val="3"/>
            <w:vAlign w:val="center"/>
          </w:tcPr>
          <w:p>
            <w:pPr>
              <w:pStyle w:val="219"/>
              <w:tabs>
                <w:tab w:val="left" w:pos="1260"/>
              </w:tabs>
              <w:spacing w:line="500" w:lineRule="exact"/>
              <w:jc w:val="center"/>
              <w:rPr>
                <w:rFonts w:ascii="仿宋" w:hAnsi="仿宋" w:eastAsia="仿宋" w:cs="仿宋"/>
                <w:sz w:val="24"/>
                <w:lang w:val="en-GB"/>
              </w:rPr>
            </w:pPr>
            <w:r>
              <w:rPr>
                <w:rFonts w:hint="eastAsia" w:ascii="仿宋" w:hAnsi="仿宋" w:eastAsia="仿宋" w:cs="仿宋"/>
                <w:sz w:val="24"/>
                <w:lang w:val="en-GB"/>
              </w:rPr>
              <w:t>合计</w:t>
            </w:r>
          </w:p>
        </w:tc>
        <w:tc>
          <w:tcPr>
            <w:tcW w:w="1639" w:type="dxa"/>
            <w:vAlign w:val="center"/>
          </w:tcPr>
          <w:p>
            <w:pPr>
              <w:pStyle w:val="219"/>
              <w:tabs>
                <w:tab w:val="left" w:pos="1260"/>
              </w:tabs>
              <w:spacing w:line="500" w:lineRule="exact"/>
              <w:jc w:val="center"/>
              <w:rPr>
                <w:rFonts w:ascii="仿宋" w:hAnsi="仿宋" w:eastAsia="仿宋" w:cs="仿宋"/>
                <w:sz w:val="24"/>
                <w:lang w:val="en-GB"/>
              </w:rPr>
            </w:pPr>
          </w:p>
        </w:tc>
      </w:tr>
    </w:tbl>
    <w:p>
      <w:pPr>
        <w:pStyle w:val="219"/>
        <w:spacing w:line="500" w:lineRule="exact"/>
        <w:ind w:left="790" w:leftChars="100" w:hanging="580" w:hangingChars="242"/>
        <w:rPr>
          <w:rFonts w:ascii="仿宋" w:hAnsi="仿宋" w:eastAsia="仿宋" w:cs="仿宋"/>
          <w:sz w:val="24"/>
          <w:lang w:val="en-GB"/>
        </w:rPr>
      </w:pPr>
      <w:r>
        <w:rPr>
          <w:rFonts w:hint="eastAsia" w:ascii="仿宋" w:hAnsi="仿宋" w:eastAsia="仿宋" w:cs="仿宋"/>
          <w:sz w:val="24"/>
          <w:lang w:val="en-GB"/>
        </w:rPr>
        <w:t>填报要求：</w:t>
      </w:r>
    </w:p>
    <w:p>
      <w:pPr>
        <w:pStyle w:val="219"/>
        <w:spacing w:line="500" w:lineRule="exact"/>
        <w:ind w:firstLine="480" w:firstLineChars="200"/>
        <w:rPr>
          <w:rFonts w:ascii="仿宋" w:hAnsi="仿宋" w:eastAsia="仿宋" w:cs="仿宋"/>
          <w:sz w:val="24"/>
        </w:rPr>
      </w:pPr>
      <w:r>
        <w:rPr>
          <w:rFonts w:hint="eastAsia" w:ascii="仿宋" w:hAnsi="仿宋" w:eastAsia="仿宋" w:cs="仿宋"/>
          <w:sz w:val="24"/>
        </w:rPr>
        <w:t>1.投标人若属于第一种情形的，则须提供本企业“国家企业信用信息公示系统——小微企业名录（http://xwqy.gsxt.gov.cn/）”页面查询结果打印件附后。</w:t>
      </w:r>
    </w:p>
    <w:p>
      <w:pPr>
        <w:pStyle w:val="219"/>
        <w:spacing w:line="500" w:lineRule="exact"/>
        <w:ind w:firstLine="480" w:firstLineChars="200"/>
        <w:rPr>
          <w:rFonts w:ascii="仿宋" w:hAnsi="仿宋" w:eastAsia="仿宋" w:cs="仿宋"/>
          <w:sz w:val="24"/>
        </w:rPr>
      </w:pPr>
      <w:r>
        <w:rPr>
          <w:rFonts w:hint="eastAsia" w:ascii="仿宋" w:hAnsi="仿宋" w:eastAsia="仿宋" w:cs="仿宋"/>
          <w:sz w:val="24"/>
        </w:rPr>
        <w:t>2.投标人若属于第二种情形的，则须提供本企业和全部产品制造商的“国家企业信用信息公示系统——小微企业名录（http://xwqy.gsxt.gov.cn/）”页面查询结果打印件附后。</w:t>
      </w:r>
    </w:p>
    <w:p>
      <w:pPr>
        <w:pStyle w:val="219"/>
        <w:spacing w:line="500" w:lineRule="exact"/>
        <w:ind w:firstLine="480" w:firstLineChars="200"/>
        <w:rPr>
          <w:rFonts w:ascii="仿宋" w:hAnsi="仿宋" w:eastAsia="仿宋" w:cs="仿宋"/>
          <w:sz w:val="24"/>
        </w:rPr>
      </w:pPr>
      <w:r>
        <w:rPr>
          <w:rFonts w:hint="eastAsia" w:ascii="仿宋" w:hAnsi="仿宋" w:eastAsia="仿宋" w:cs="仿宋"/>
          <w:sz w:val="24"/>
        </w:rPr>
        <w:t xml:space="preserve">3.本表的产品名称、规格型号和制作商、金额必须和《报价明细表》一致,且所有产品制造商均为小微企业（所投产品中若有部分为中、大型企业提供的设备，则不适用于本表）。 </w:t>
      </w:r>
    </w:p>
    <w:p>
      <w:pPr>
        <w:pStyle w:val="219"/>
        <w:spacing w:line="500" w:lineRule="exact"/>
        <w:ind w:firstLine="480" w:firstLineChars="200"/>
        <w:rPr>
          <w:rFonts w:ascii="仿宋" w:hAnsi="仿宋" w:eastAsia="仿宋" w:cs="仿宋"/>
          <w:sz w:val="24"/>
        </w:rPr>
      </w:pPr>
      <w:r>
        <w:rPr>
          <w:rFonts w:hint="eastAsia" w:ascii="仿宋" w:hAnsi="仿宋" w:eastAsia="仿宋" w:cs="仿宋"/>
          <w:sz w:val="24"/>
        </w:rPr>
        <w:t>4.本表内容不填写完整或不提供“国家企业信用信息公示系统——小微企业名录</w:t>
      </w:r>
    </w:p>
    <w:p>
      <w:pPr>
        <w:pStyle w:val="219"/>
        <w:spacing w:line="500" w:lineRule="exact"/>
        <w:ind w:firstLine="480" w:firstLineChars="200"/>
        <w:rPr>
          <w:rFonts w:ascii="仿宋" w:hAnsi="仿宋" w:eastAsia="仿宋" w:cs="仿宋"/>
          <w:sz w:val="24"/>
        </w:rPr>
      </w:pPr>
      <w:r>
        <w:rPr>
          <w:rFonts w:hint="eastAsia" w:ascii="仿宋" w:hAnsi="仿宋" w:eastAsia="仿宋" w:cs="仿宋"/>
          <w:sz w:val="24"/>
        </w:rPr>
        <w:t>（http://xwqy.gsxt.gov.cn/）”页面查询结果打印件的，将不能享受商务报价里小微企业产品优惠政策。</w:t>
      </w:r>
    </w:p>
    <w:p>
      <w:pPr>
        <w:widowControl/>
        <w:jc w:val="left"/>
        <w:rPr>
          <w:rFonts w:ascii="仿宋" w:hAnsi="仿宋" w:eastAsia="仿宋" w:cs="华文中宋"/>
          <w:sz w:val="24"/>
        </w:rPr>
      </w:pPr>
      <w:r>
        <w:rPr>
          <w:rFonts w:ascii="仿宋" w:hAnsi="仿宋" w:eastAsia="仿宋" w:cs="华文中宋"/>
          <w:sz w:val="24"/>
        </w:rPr>
        <w:br w:type="page"/>
      </w:r>
    </w:p>
    <w:p>
      <w:pPr>
        <w:spacing w:line="600" w:lineRule="exact"/>
        <w:jc w:val="left"/>
        <w:rPr>
          <w:rFonts w:ascii="仿宋" w:hAnsi="仿宋" w:eastAsia="仿宋" w:cs="华文中宋"/>
          <w:sz w:val="24"/>
        </w:rPr>
      </w:pPr>
      <w:r>
        <w:rPr>
          <w:rFonts w:hint="eastAsia" w:ascii="仿宋" w:hAnsi="仿宋" w:eastAsia="仿宋" w:cs="华文中宋"/>
          <w:sz w:val="24"/>
          <w:lang w:val="zh-CN"/>
        </w:rPr>
        <w:t>附件</w:t>
      </w:r>
      <w:r>
        <w:rPr>
          <w:rFonts w:hint="eastAsia" w:ascii="仿宋" w:hAnsi="仿宋" w:eastAsia="仿宋" w:cs="华文中宋"/>
          <w:sz w:val="24"/>
        </w:rPr>
        <w:t>8</w:t>
      </w:r>
    </w:p>
    <w:p>
      <w:pPr>
        <w:spacing w:line="440" w:lineRule="exact"/>
        <w:jc w:val="center"/>
        <w:rPr>
          <w:rFonts w:ascii="仿宋" w:hAnsi="仿宋" w:eastAsia="仿宋" w:cs="华文中宋"/>
          <w:b/>
          <w:sz w:val="32"/>
          <w:szCs w:val="32"/>
          <w:lang w:val="zh-CN"/>
        </w:rPr>
      </w:pPr>
    </w:p>
    <w:p>
      <w:pPr>
        <w:spacing w:line="440" w:lineRule="exact"/>
        <w:jc w:val="center"/>
        <w:rPr>
          <w:rFonts w:ascii="仿宋" w:hAnsi="仿宋" w:eastAsia="仿宋" w:cs="华文中宋"/>
          <w:b/>
          <w:sz w:val="32"/>
          <w:szCs w:val="32"/>
          <w:lang w:val="zh-CN"/>
        </w:rPr>
      </w:pPr>
      <w:r>
        <w:rPr>
          <w:rFonts w:hint="eastAsia" w:ascii="仿宋" w:hAnsi="仿宋" w:eastAsia="仿宋" w:cs="华文中宋"/>
          <w:b/>
          <w:sz w:val="32"/>
          <w:szCs w:val="32"/>
          <w:lang w:val="zh-CN"/>
        </w:rPr>
        <w:t>监狱企业声明函</w:t>
      </w:r>
    </w:p>
    <w:p>
      <w:pPr>
        <w:snapToGrid w:val="0"/>
        <w:jc w:val="center"/>
        <w:rPr>
          <w:rFonts w:ascii="仿宋" w:hAnsi="仿宋" w:eastAsia="仿宋"/>
          <w:sz w:val="24"/>
        </w:rPr>
      </w:pPr>
      <w:r>
        <w:rPr>
          <w:rFonts w:hint="eastAsia" w:ascii="仿宋" w:hAnsi="仿宋" w:eastAsia="仿宋" w:cs="华文中宋"/>
          <w:sz w:val="24"/>
        </w:rPr>
        <w:t>【非监狱企业不需提供】</w:t>
      </w:r>
    </w:p>
    <w:p>
      <w:pPr>
        <w:widowControl/>
        <w:adjustRightInd w:val="0"/>
        <w:snapToGrid w:val="0"/>
        <w:spacing w:line="480" w:lineRule="exact"/>
        <w:ind w:firstLine="480"/>
        <w:jc w:val="left"/>
        <w:rPr>
          <w:rFonts w:ascii="仿宋" w:hAnsi="仿宋" w:eastAsia="仿宋"/>
          <w:sz w:val="24"/>
        </w:rPr>
      </w:pPr>
      <w:r>
        <w:rPr>
          <w:rFonts w:hint="eastAsia" w:ascii="仿宋" w:hAnsi="仿宋" w:eastAsia="仿宋" w:cs="华文中宋"/>
          <w:sz w:val="24"/>
        </w:rPr>
        <w:t>本企业郑重声明，根据《关于政府采购支持监狱企业发展有关问题的通知》（财库[2014]68号）的规定，本企业为</w:t>
      </w:r>
      <w:r>
        <w:rPr>
          <w:rFonts w:hint="eastAsia" w:ascii="仿宋" w:hAnsi="仿宋" w:eastAsia="仿宋" w:cs="华文中宋"/>
          <w:sz w:val="24"/>
          <w:u w:val="single"/>
        </w:rPr>
        <w:t>监狱企业</w:t>
      </w:r>
      <w:r>
        <w:rPr>
          <w:rFonts w:hint="eastAsia" w:ascii="仿宋" w:hAnsi="仿宋" w:eastAsia="仿宋" w:cs="华文中宋"/>
          <w:sz w:val="24"/>
        </w:rPr>
        <w:t>。</w:t>
      </w:r>
    </w:p>
    <w:p>
      <w:pPr>
        <w:widowControl/>
        <w:adjustRightInd w:val="0"/>
        <w:snapToGrid w:val="0"/>
        <w:spacing w:line="480" w:lineRule="exact"/>
        <w:ind w:firstLine="480"/>
        <w:jc w:val="left"/>
        <w:rPr>
          <w:rFonts w:ascii="仿宋" w:hAnsi="仿宋" w:eastAsia="仿宋"/>
          <w:sz w:val="24"/>
        </w:rPr>
      </w:pPr>
      <w:r>
        <w:rPr>
          <w:rFonts w:hint="eastAsia" w:ascii="仿宋" w:hAnsi="仿宋" w:eastAsia="仿宋" w:cs="华文中宋"/>
          <w:sz w:val="24"/>
        </w:rPr>
        <w:t>根据上述标准，我企业属于</w:t>
      </w:r>
      <w:r>
        <w:rPr>
          <w:rFonts w:hint="eastAsia" w:ascii="仿宋" w:hAnsi="仿宋" w:eastAsia="仿宋" w:cs="华文中宋"/>
          <w:sz w:val="24"/>
          <w:u w:val="single"/>
        </w:rPr>
        <w:t>监狱企业</w:t>
      </w:r>
      <w:r>
        <w:rPr>
          <w:rFonts w:hint="eastAsia" w:ascii="仿宋" w:hAnsi="仿宋" w:eastAsia="仿宋" w:cs="华文中宋"/>
          <w:sz w:val="24"/>
        </w:rPr>
        <w:t>的理由为：</w:t>
      </w:r>
    </w:p>
    <w:p>
      <w:pPr>
        <w:widowControl/>
        <w:adjustRightInd w:val="0"/>
        <w:snapToGrid w:val="0"/>
        <w:spacing w:line="480" w:lineRule="exact"/>
        <w:ind w:firstLine="480"/>
        <w:rPr>
          <w:rFonts w:ascii="仿宋" w:hAnsi="仿宋" w:eastAsia="仿宋"/>
          <w:sz w:val="24"/>
        </w:rPr>
      </w:pPr>
      <w:r>
        <w:rPr>
          <w:rFonts w:hint="eastAsia" w:ascii="仿宋" w:hAnsi="仿宋" w:eastAsia="仿宋" w:cs="华文中宋"/>
          <w:sz w:val="24"/>
        </w:rPr>
        <w:t>本企业为参加（项目名称：）（项目编号：）采购活动提供本企业的产品。</w:t>
      </w:r>
    </w:p>
    <w:p>
      <w:pPr>
        <w:widowControl/>
        <w:adjustRightInd w:val="0"/>
        <w:snapToGrid w:val="0"/>
        <w:spacing w:line="480" w:lineRule="exact"/>
        <w:ind w:firstLine="480"/>
        <w:rPr>
          <w:rFonts w:ascii="仿宋" w:hAnsi="仿宋" w:eastAsia="仿宋"/>
          <w:sz w:val="24"/>
        </w:rPr>
      </w:pPr>
      <w:r>
        <w:rPr>
          <w:rFonts w:hint="eastAsia" w:ascii="仿宋" w:hAnsi="仿宋" w:eastAsia="仿宋" w:cs="华文中宋"/>
          <w:sz w:val="24"/>
        </w:rPr>
        <w:t>本企业对上述声明的真实性负责。如有虚假，将依法承担相应责任。</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投标人（盖章）：</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法定代表人或其授权代表人（签字）：</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日  期：</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widowControl/>
        <w:snapToGrid w:val="0"/>
        <w:spacing w:line="480" w:lineRule="exact"/>
        <w:ind w:firstLine="480"/>
        <w:rPr>
          <w:rFonts w:ascii="仿宋" w:hAnsi="仿宋" w:eastAsia="仿宋"/>
          <w:sz w:val="24"/>
        </w:rPr>
      </w:pPr>
      <w:r>
        <w:rPr>
          <w:rFonts w:hint="eastAsia" w:ascii="仿宋" w:hAnsi="仿宋" w:eastAsia="仿宋" w:cs="华文中宋"/>
          <w:sz w:val="24"/>
        </w:rPr>
        <w:t>供应商为监狱企业的提供此函。</w:t>
      </w:r>
    </w:p>
    <w:p>
      <w:pPr>
        <w:widowControl/>
        <w:snapToGrid w:val="0"/>
        <w:spacing w:line="480" w:lineRule="exact"/>
        <w:ind w:firstLine="480"/>
        <w:rPr>
          <w:rFonts w:ascii="仿宋" w:hAnsi="仿宋" w:eastAsia="仿宋"/>
          <w:sz w:val="24"/>
        </w:rPr>
      </w:pPr>
      <w:r>
        <w:rPr>
          <w:rFonts w:hint="eastAsia" w:ascii="仿宋" w:hAnsi="仿宋" w:eastAsia="仿宋" w:cs="华文中宋"/>
          <w:sz w:val="24"/>
        </w:rPr>
        <w:t>监狱企业参加政府采购活动时，应当提供由省级以上监狱管理局、戒毒管理局（含新疆生产建设兵团）出具的属于监狱企业的证明文件。</w:t>
      </w:r>
    </w:p>
    <w:p>
      <w:pPr>
        <w:autoSpaceDE w:val="0"/>
        <w:autoSpaceDN w:val="0"/>
        <w:adjustRightInd w:val="0"/>
        <w:spacing w:line="500" w:lineRule="exact"/>
        <w:rPr>
          <w:rFonts w:ascii="仿宋" w:hAnsi="仿宋" w:eastAsia="仿宋"/>
          <w:sz w:val="24"/>
          <w:lang w:val="zh-CN"/>
        </w:rPr>
      </w:pPr>
    </w:p>
    <w:p>
      <w:pPr>
        <w:snapToGrid w:val="0"/>
        <w:jc w:val="center"/>
        <w:rPr>
          <w:rFonts w:ascii="仿宋" w:hAnsi="仿宋" w:eastAsia="仿宋"/>
          <w:sz w:val="24"/>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pStyle w:val="37"/>
        <w:rPr>
          <w:rFonts w:ascii="仿宋" w:hAnsi="仿宋" w:eastAsia="仿宋"/>
        </w:rPr>
      </w:pPr>
    </w:p>
    <w:p>
      <w:pPr>
        <w:spacing w:line="600" w:lineRule="exact"/>
        <w:jc w:val="left"/>
        <w:rPr>
          <w:rFonts w:ascii="仿宋" w:hAnsi="仿宋" w:eastAsia="仿宋" w:cs="华文中宋"/>
          <w:sz w:val="24"/>
        </w:rPr>
      </w:pPr>
      <w:r>
        <w:rPr>
          <w:rFonts w:hint="eastAsia" w:ascii="仿宋" w:hAnsi="仿宋" w:eastAsia="仿宋" w:cs="华文中宋"/>
          <w:sz w:val="24"/>
          <w:lang w:val="zh-CN"/>
        </w:rPr>
        <w:t>附件</w:t>
      </w:r>
      <w:r>
        <w:rPr>
          <w:rFonts w:hint="eastAsia" w:ascii="仿宋" w:hAnsi="仿宋" w:eastAsia="仿宋" w:cs="华文中宋"/>
          <w:sz w:val="24"/>
        </w:rPr>
        <w:t>9</w:t>
      </w:r>
    </w:p>
    <w:p>
      <w:pPr>
        <w:spacing w:line="440" w:lineRule="exact"/>
        <w:jc w:val="center"/>
        <w:rPr>
          <w:rFonts w:ascii="仿宋" w:hAnsi="仿宋" w:eastAsia="仿宋" w:cs="华文中宋"/>
          <w:b/>
          <w:sz w:val="32"/>
          <w:szCs w:val="32"/>
          <w:lang w:val="zh-CN"/>
        </w:rPr>
      </w:pPr>
    </w:p>
    <w:p>
      <w:pPr>
        <w:spacing w:line="440" w:lineRule="exact"/>
        <w:jc w:val="center"/>
        <w:rPr>
          <w:rFonts w:ascii="仿宋" w:hAnsi="仿宋" w:eastAsia="仿宋" w:cs="华文中宋"/>
          <w:b/>
          <w:sz w:val="32"/>
          <w:szCs w:val="32"/>
          <w:lang w:val="zh-CN"/>
        </w:rPr>
      </w:pPr>
    </w:p>
    <w:p>
      <w:pPr>
        <w:spacing w:line="440" w:lineRule="exact"/>
        <w:jc w:val="center"/>
        <w:rPr>
          <w:rFonts w:ascii="仿宋" w:hAnsi="仿宋" w:eastAsia="仿宋" w:cs="华文中宋"/>
          <w:b/>
          <w:sz w:val="32"/>
          <w:szCs w:val="32"/>
          <w:lang w:val="zh-CN"/>
        </w:rPr>
      </w:pPr>
    </w:p>
    <w:p>
      <w:pPr>
        <w:spacing w:line="440" w:lineRule="exact"/>
        <w:jc w:val="center"/>
        <w:rPr>
          <w:rFonts w:ascii="仿宋" w:hAnsi="仿宋" w:eastAsia="仿宋" w:cs="华文中宋"/>
          <w:b/>
          <w:sz w:val="32"/>
          <w:szCs w:val="32"/>
          <w:lang w:val="zh-CN"/>
        </w:rPr>
      </w:pPr>
      <w:r>
        <w:rPr>
          <w:rFonts w:hint="eastAsia" w:ascii="仿宋" w:hAnsi="仿宋" w:eastAsia="仿宋" w:cs="华文中宋"/>
          <w:b/>
          <w:sz w:val="32"/>
          <w:szCs w:val="32"/>
          <w:lang w:val="zh-CN"/>
        </w:rPr>
        <w:t>残疾人福利性单位声明函</w:t>
      </w:r>
    </w:p>
    <w:p>
      <w:pPr>
        <w:snapToGrid w:val="0"/>
        <w:jc w:val="center"/>
        <w:rPr>
          <w:rFonts w:ascii="仿宋" w:hAnsi="仿宋" w:eastAsia="仿宋"/>
          <w:sz w:val="24"/>
        </w:rPr>
      </w:pPr>
      <w:r>
        <w:rPr>
          <w:rFonts w:hint="eastAsia" w:ascii="仿宋" w:hAnsi="仿宋" w:eastAsia="仿宋" w:cs="华文中宋"/>
          <w:sz w:val="24"/>
        </w:rPr>
        <w:t>【非残疾人福利性单位不需提供】</w:t>
      </w:r>
    </w:p>
    <w:p>
      <w:pPr>
        <w:snapToGrid w:val="0"/>
        <w:spacing w:line="480" w:lineRule="exact"/>
        <w:ind w:firstLine="480"/>
        <w:rPr>
          <w:rFonts w:ascii="仿宋" w:hAnsi="仿宋" w:eastAsia="仿宋"/>
          <w:sz w:val="24"/>
        </w:rPr>
      </w:pPr>
      <w:r>
        <w:rPr>
          <w:rFonts w:hint="eastAsia" w:ascii="仿宋" w:hAnsi="仿宋" w:eastAsia="仿宋" w:cs="华文中宋"/>
          <w:sz w:val="24"/>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华文中宋"/>
          <w:sz w:val="24"/>
          <w:u w:val="single"/>
        </w:rPr>
        <w:t>（采购人名称）</w:t>
      </w:r>
      <w:r>
        <w:rPr>
          <w:rFonts w:hint="eastAsia" w:ascii="仿宋" w:hAnsi="仿宋" w:eastAsia="仿宋" w:cs="华文中宋"/>
          <w:sz w:val="24"/>
        </w:rPr>
        <w:t>单位的</w:t>
      </w:r>
      <w:r>
        <w:rPr>
          <w:rFonts w:hint="eastAsia" w:ascii="仿宋" w:hAnsi="仿宋" w:eastAsia="仿宋" w:cs="华文中宋"/>
          <w:sz w:val="24"/>
          <w:u w:val="single"/>
        </w:rPr>
        <w:t>（项目名称）</w:t>
      </w:r>
      <w:r>
        <w:rPr>
          <w:rFonts w:hint="eastAsia" w:ascii="仿宋" w:hAnsi="仿宋" w:eastAsia="仿宋" w:cs="华文中宋"/>
          <w:sz w:val="24"/>
        </w:rPr>
        <w:t xml:space="preserve">项目采购活动提供本单位制造的货物（由本单位承担工程/提供服务），或者提供其他残疾人福利性单位制造的货物（不包括使用非残疾人福利性单位注册商标的货物）。 </w:t>
      </w:r>
    </w:p>
    <w:p>
      <w:pPr>
        <w:snapToGrid w:val="0"/>
        <w:spacing w:line="480" w:lineRule="exact"/>
        <w:ind w:firstLine="480"/>
        <w:rPr>
          <w:rFonts w:ascii="仿宋" w:hAnsi="仿宋" w:eastAsia="仿宋"/>
          <w:sz w:val="24"/>
        </w:rPr>
      </w:pPr>
      <w:r>
        <w:rPr>
          <w:rFonts w:hint="eastAsia" w:ascii="仿宋" w:hAnsi="仿宋" w:eastAsia="仿宋" w:cs="华文中宋"/>
          <w:sz w:val="24"/>
        </w:rPr>
        <w:t>本单位对上述声明的真实性负责。如有虚假，将依法承担相应责任。</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投标人（盖章）：</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法定代表人或其授权代表人（</w:t>
      </w:r>
      <w:r>
        <w:rPr>
          <w:rFonts w:hint="eastAsia" w:ascii="仿宋" w:hAnsi="仿宋" w:eastAsia="仿宋" w:cs="微软雅黑"/>
          <w:sz w:val="24"/>
        </w:rPr>
        <w:t>签字或盖章</w:t>
      </w:r>
      <w:r>
        <w:rPr>
          <w:rFonts w:hint="eastAsia" w:ascii="仿宋" w:hAnsi="仿宋" w:eastAsia="仿宋" w:cs="华文中宋"/>
          <w:sz w:val="24"/>
        </w:rPr>
        <w:t>）：</w:t>
      </w:r>
    </w:p>
    <w:p>
      <w:pPr>
        <w:adjustRightInd w:val="0"/>
        <w:snapToGrid w:val="0"/>
        <w:spacing w:line="360" w:lineRule="auto"/>
        <w:ind w:firstLine="4759" w:firstLineChars="1983"/>
        <w:rPr>
          <w:rFonts w:ascii="仿宋" w:hAnsi="仿宋" w:eastAsia="仿宋"/>
          <w:sz w:val="24"/>
        </w:rPr>
      </w:pPr>
      <w:r>
        <w:rPr>
          <w:rFonts w:hint="eastAsia" w:ascii="仿宋" w:hAnsi="仿宋" w:eastAsia="仿宋" w:cs="华文中宋"/>
          <w:sz w:val="24"/>
        </w:rPr>
        <w:t>日  期：</w:t>
      </w: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snapToGrid w:val="0"/>
        <w:spacing w:line="312" w:lineRule="auto"/>
        <w:ind w:firstLine="480"/>
        <w:rPr>
          <w:rFonts w:ascii="仿宋" w:hAnsi="仿宋" w:eastAsia="仿宋"/>
          <w:sz w:val="24"/>
          <w:lang w:val="zh-CN"/>
        </w:rPr>
      </w:pPr>
    </w:p>
    <w:p>
      <w:pPr>
        <w:widowControl/>
        <w:snapToGrid w:val="0"/>
        <w:spacing w:line="480" w:lineRule="exact"/>
        <w:ind w:firstLine="480"/>
        <w:rPr>
          <w:rFonts w:ascii="仿宋" w:hAnsi="仿宋" w:eastAsia="仿宋"/>
          <w:sz w:val="24"/>
        </w:rPr>
      </w:pPr>
      <w:r>
        <w:rPr>
          <w:rFonts w:hint="eastAsia" w:ascii="仿宋" w:hAnsi="仿宋" w:eastAsia="仿宋" w:cs="华文中宋"/>
          <w:sz w:val="24"/>
        </w:rPr>
        <w:t>供应商为残疾人福利性单位的提供此函。</w:t>
      </w:r>
    </w:p>
    <w:p>
      <w:pPr>
        <w:spacing w:line="600" w:lineRule="exact"/>
        <w:jc w:val="left"/>
        <w:rPr>
          <w:rFonts w:ascii="仿宋" w:hAnsi="仿宋" w:eastAsia="仿宋" w:cs="华文中宋"/>
          <w:sz w:val="24"/>
        </w:rPr>
      </w:pPr>
      <w:r>
        <w:rPr>
          <w:rFonts w:hint="eastAsia" w:ascii="仿宋" w:hAnsi="仿宋" w:eastAsia="仿宋" w:cs="华文中宋"/>
          <w:sz w:val="24"/>
        </w:rPr>
        <w:t>备注：中标供应商为残疾人福利性单位的，应当随中标结果同时公告其《残疾人福利性单位声明函》，接受社会监督。</w:t>
      </w:r>
    </w:p>
    <w:p>
      <w:pPr>
        <w:pStyle w:val="37"/>
        <w:ind w:left="0" w:leftChars="0" w:firstLine="0" w:firstLineChars="0"/>
        <w:rPr>
          <w:rFonts w:ascii="仿宋" w:hAnsi="仿宋" w:eastAsia="仿宋"/>
        </w:rPr>
      </w:pPr>
    </w:p>
    <w:sectPr>
      <w:pgSz w:w="11906" w:h="16838"/>
      <w:pgMar w:top="1440" w:right="1080" w:bottom="1440" w:left="1080" w:header="851" w:footer="850" w:gutter="227"/>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大黑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中圆体">
    <w:altName w:val="宋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Dutch801 XBd BT">
    <w:altName w:val="Segoe Print"/>
    <w:panose1 w:val="00000000000000000000"/>
    <w:charset w:val="00"/>
    <w:family w:val="roman"/>
    <w:pitch w:val="default"/>
    <w:sig w:usb0="00000000" w:usb1="00000000" w:usb2="00000000" w:usb3="00000000" w:csb0="0000001B"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0276"/>
    </w:sdtPr>
    <w:sdtContent>
      <w:p>
        <w:pPr>
          <w:pStyle w:val="26"/>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26"/>
      <w:ind w:firstLine="105" w:firstLineChars="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ind w:firstLine="105" w:firstLineChars="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rPr>
        <w:rFonts w:ascii="华文中宋" w:hAnsi="华文中宋" w:eastAsia="华文中宋"/>
      </w:rPr>
    </w:pPr>
    <w:r>
      <w:rPr>
        <w:rFonts w:ascii="华文中宋" w:hAnsi="华文中宋" w:eastAsia="华文中宋"/>
      </w:rPr>
      <w:fldChar w:fldCharType="begin"/>
    </w:r>
    <w:r>
      <w:rPr>
        <w:rFonts w:ascii="华文中宋" w:hAnsi="华文中宋" w:eastAsia="华文中宋"/>
      </w:rPr>
      <w:instrText xml:space="preserve"> PAGE   \* MERGEFORMAT </w:instrText>
    </w:r>
    <w:r>
      <w:rPr>
        <w:rFonts w:ascii="华文中宋" w:hAnsi="华文中宋" w:eastAsia="华文中宋"/>
      </w:rPr>
      <w:fldChar w:fldCharType="separate"/>
    </w:r>
    <w:r>
      <w:rPr>
        <w:rFonts w:ascii="华文中宋" w:hAnsi="华文中宋" w:eastAsia="华文中宋"/>
        <w:lang w:val="zh-CN"/>
      </w:rPr>
      <w:t>47</w:t>
    </w:r>
    <w:r>
      <w:rPr>
        <w:rFonts w:ascii="华文中宋" w:hAnsi="华文中宋" w:eastAsia="华文中宋"/>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ind w:left="360" w:hanging="360" w:hangingChars="200"/>
      <w:jc w:val="center"/>
      <w:rPr>
        <w:rFonts w:eastAsia="华文中宋"/>
      </w:rPr>
    </w:pPr>
    <w:r>
      <w:rPr>
        <w:rFonts w:hint="eastAsia" w:ascii="华文中宋" w:hAnsi="华文中宋" w:eastAsia="华文中宋" w:cs="仿宋_GB2312"/>
        <w:bCs/>
        <w:sz w:val="18"/>
        <w:szCs w:val="18"/>
        <w:lang w:val="zh-CN"/>
      </w:rPr>
      <w:t>龙游传媒集团（龙游县广播电视总台）机顶盒采购项目</w:t>
    </w:r>
    <w:r>
      <w:rPr>
        <w:rFonts w:hint="eastAsia" w:ascii="华文中宋" w:hAnsi="华文中宋" w:eastAsia="华文中宋" w:cs="仿宋_GB2312"/>
        <w:bCs/>
        <w:sz w:val="18"/>
        <w:szCs w:val="18"/>
      </w:rPr>
      <w:t>HRZFCG2021-015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ind w:left="360" w:hanging="360" w:hangingChars="200"/>
      <w:jc w:val="center"/>
      <w:rPr>
        <w:rFonts w:eastAsia="华文中宋"/>
      </w:rPr>
    </w:pPr>
    <w:r>
      <w:rPr>
        <w:rFonts w:hint="eastAsia" w:ascii="华文中宋" w:hAnsi="华文中宋" w:eastAsia="华文中宋" w:cs="仿宋_GB2312"/>
        <w:b/>
        <w:bCs/>
        <w:sz w:val="18"/>
        <w:szCs w:val="18"/>
        <w:lang w:val="zh-CN"/>
      </w:rPr>
      <w:t>龙游传媒集团（龙游县广播电视总台）机顶盒采购项目</w:t>
    </w:r>
    <w:r>
      <w:rPr>
        <w:rFonts w:hint="eastAsia" w:ascii="华文中宋" w:hAnsi="华文中宋" w:eastAsia="华文中宋" w:cs="仿宋_GB2312"/>
        <w:b/>
        <w:bCs/>
        <w:sz w:val="18"/>
        <w:szCs w:val="18"/>
      </w:rPr>
      <w:t>HRZFCG2021-015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9"/>
    <w:multiLevelType w:val="multilevel"/>
    <w:tmpl w:val="00000009"/>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2">
    <w:nsid w:val="0000000D"/>
    <w:multiLevelType w:val="multilevel"/>
    <w:tmpl w:val="0000000D"/>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0"/>
    <w:multiLevelType w:val="multilevel"/>
    <w:tmpl w:val="00000010"/>
    <w:lvl w:ilvl="0" w:tentative="0">
      <w:start w:val="6"/>
      <w:numFmt w:val="chineseCountingThousand"/>
      <w:suff w:val="space"/>
      <w:lvlText w:val="%1"/>
      <w:lvlJc w:val="left"/>
      <w:pPr>
        <w:ind w:left="425" w:firstLine="142"/>
      </w:pPr>
      <w:rPr>
        <w:rFonts w:hint="eastAsia"/>
      </w:rPr>
    </w:lvl>
    <w:lvl w:ilvl="1" w:tentative="0">
      <w:start w:val="1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20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9"/>
    <w:multiLevelType w:val="multilevel"/>
    <w:tmpl w:val="00000019"/>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80A6825"/>
    <w:multiLevelType w:val="multilevel"/>
    <w:tmpl w:val="180A6825"/>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4080" w:hanging="420"/>
      </w:pPr>
    </w:lvl>
    <w:lvl w:ilvl="2" w:tentative="0">
      <w:start w:val="1"/>
      <w:numFmt w:val="lowerRoman"/>
      <w:lvlText w:val="%3."/>
      <w:lvlJc w:val="right"/>
      <w:pPr>
        <w:ind w:left="4500" w:hanging="420"/>
      </w:pPr>
    </w:lvl>
    <w:lvl w:ilvl="3" w:tentative="0">
      <w:start w:val="1"/>
      <w:numFmt w:val="decimal"/>
      <w:lvlText w:val="%4."/>
      <w:lvlJc w:val="left"/>
      <w:pPr>
        <w:ind w:left="4920" w:hanging="420"/>
      </w:pPr>
    </w:lvl>
    <w:lvl w:ilvl="4" w:tentative="0">
      <w:start w:val="1"/>
      <w:numFmt w:val="lowerLetter"/>
      <w:lvlText w:val="%5)"/>
      <w:lvlJc w:val="left"/>
      <w:pPr>
        <w:ind w:left="5340" w:hanging="420"/>
      </w:pPr>
    </w:lvl>
    <w:lvl w:ilvl="5" w:tentative="0">
      <w:start w:val="1"/>
      <w:numFmt w:val="lowerRoman"/>
      <w:lvlText w:val="%6."/>
      <w:lvlJc w:val="right"/>
      <w:pPr>
        <w:ind w:left="5760" w:hanging="420"/>
      </w:pPr>
    </w:lvl>
    <w:lvl w:ilvl="6" w:tentative="0">
      <w:start w:val="1"/>
      <w:numFmt w:val="decimal"/>
      <w:lvlText w:val="%7."/>
      <w:lvlJc w:val="left"/>
      <w:pPr>
        <w:ind w:left="6180" w:hanging="420"/>
      </w:pPr>
    </w:lvl>
    <w:lvl w:ilvl="7" w:tentative="0">
      <w:start w:val="1"/>
      <w:numFmt w:val="lowerLetter"/>
      <w:lvlText w:val="%8)"/>
      <w:lvlJc w:val="left"/>
      <w:pPr>
        <w:ind w:left="6600" w:hanging="420"/>
      </w:pPr>
    </w:lvl>
    <w:lvl w:ilvl="8" w:tentative="0">
      <w:start w:val="1"/>
      <w:numFmt w:val="lowerRoman"/>
      <w:lvlText w:val="%9."/>
      <w:lvlJc w:val="right"/>
      <w:pPr>
        <w:ind w:left="7020" w:hanging="420"/>
      </w:pPr>
    </w:lvl>
  </w:abstractNum>
  <w:abstractNum w:abstractNumId="6">
    <w:nsid w:val="25E74C65"/>
    <w:multiLevelType w:val="multilevel"/>
    <w:tmpl w:val="25E74C6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EF21684"/>
    <w:multiLevelType w:val="multilevel"/>
    <w:tmpl w:val="3EF2168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8A9601"/>
    <w:multiLevelType w:val="singleLevel"/>
    <w:tmpl w:val="448A9601"/>
    <w:lvl w:ilvl="0" w:tentative="0">
      <w:start w:val="3"/>
      <w:numFmt w:val="chineseCounting"/>
      <w:suff w:val="space"/>
      <w:lvlText w:val="第%1章"/>
      <w:lvlJc w:val="left"/>
      <w:rPr>
        <w:rFonts w:hint="eastAsia"/>
      </w:rPr>
    </w:lvl>
  </w:abstractNum>
  <w:abstractNum w:abstractNumId="9">
    <w:nsid w:val="474559D4"/>
    <w:multiLevelType w:val="multilevel"/>
    <w:tmpl w:val="474559D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50DF5192"/>
    <w:multiLevelType w:val="multilevel"/>
    <w:tmpl w:val="50DF5192"/>
    <w:lvl w:ilvl="0" w:tentative="0">
      <w:start w:val="1"/>
      <w:numFmt w:val="chineseCountingThousand"/>
      <w:lvlText w:val="第%1部分"/>
      <w:lvlJc w:val="left"/>
      <w:pPr>
        <w:tabs>
          <w:tab w:val="left" w:pos="180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1.%2.%3.%4"/>
      <w:lvlJc w:val="left"/>
      <w:pPr>
        <w:tabs>
          <w:tab w:val="left" w:pos="1440"/>
        </w:tabs>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1">
    <w:nsid w:val="57844008"/>
    <w:multiLevelType w:val="singleLevel"/>
    <w:tmpl w:val="57844008"/>
    <w:lvl w:ilvl="0" w:tentative="0">
      <w:start w:val="1"/>
      <w:numFmt w:val="decimal"/>
      <w:pStyle w:val="14"/>
      <w:lvlText w:val="%1."/>
      <w:lvlJc w:val="left"/>
      <w:pPr>
        <w:tabs>
          <w:tab w:val="left" w:pos="360"/>
        </w:tabs>
        <w:ind w:left="360" w:hanging="360"/>
      </w:pPr>
    </w:lvl>
  </w:abstractNum>
  <w:abstractNum w:abstractNumId="12">
    <w:nsid w:val="59B664A9"/>
    <w:multiLevelType w:val="multilevel"/>
    <w:tmpl w:val="59B664A9"/>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3">
    <w:nsid w:val="5B1329D4"/>
    <w:multiLevelType w:val="multilevel"/>
    <w:tmpl w:val="5B1329D4"/>
    <w:lvl w:ilvl="0" w:tentative="0">
      <w:start w:val="1"/>
      <w:numFmt w:val="decimal"/>
      <w:lvlText w:val="%1."/>
      <w:lvlJc w:val="left"/>
      <w:pPr>
        <w:tabs>
          <w:tab w:val="left" w:pos="402"/>
        </w:tabs>
        <w:ind w:left="402"/>
      </w:pPr>
      <w:rPr>
        <w:rFonts w:hint="eastAsia" w:cs="Times New Roman"/>
      </w:rPr>
    </w:lvl>
    <w:lvl w:ilvl="1" w:tentative="0">
      <w:start w:val="1"/>
      <w:numFmt w:val="lowerLetter"/>
      <w:lvlText w:val="%2)"/>
      <w:lvlJc w:val="left"/>
      <w:pPr>
        <w:tabs>
          <w:tab w:val="left" w:pos="1242"/>
        </w:tabs>
        <w:ind w:left="1242" w:hanging="420"/>
      </w:pPr>
      <w:rPr>
        <w:rFonts w:cs="Times New Roman"/>
      </w:rPr>
    </w:lvl>
    <w:lvl w:ilvl="2" w:tentative="0">
      <w:start w:val="1"/>
      <w:numFmt w:val="lowerRoman"/>
      <w:lvlText w:val="%3."/>
      <w:lvlJc w:val="right"/>
      <w:pPr>
        <w:tabs>
          <w:tab w:val="left" w:pos="1662"/>
        </w:tabs>
        <w:ind w:left="1662" w:hanging="420"/>
      </w:pPr>
      <w:rPr>
        <w:rFonts w:cs="Times New Roman"/>
      </w:rPr>
    </w:lvl>
    <w:lvl w:ilvl="3" w:tentative="0">
      <w:start w:val="1"/>
      <w:numFmt w:val="decimal"/>
      <w:lvlText w:val="%4."/>
      <w:lvlJc w:val="left"/>
      <w:pPr>
        <w:tabs>
          <w:tab w:val="left" w:pos="2082"/>
        </w:tabs>
        <w:ind w:left="2082" w:hanging="420"/>
      </w:pPr>
      <w:rPr>
        <w:rFonts w:cs="Times New Roman"/>
      </w:rPr>
    </w:lvl>
    <w:lvl w:ilvl="4" w:tentative="0">
      <w:start w:val="1"/>
      <w:numFmt w:val="lowerLetter"/>
      <w:lvlText w:val="%5)"/>
      <w:lvlJc w:val="left"/>
      <w:pPr>
        <w:tabs>
          <w:tab w:val="left" w:pos="2502"/>
        </w:tabs>
        <w:ind w:left="2502" w:hanging="420"/>
      </w:pPr>
      <w:rPr>
        <w:rFonts w:cs="Times New Roman"/>
      </w:rPr>
    </w:lvl>
    <w:lvl w:ilvl="5" w:tentative="0">
      <w:start w:val="1"/>
      <w:numFmt w:val="lowerRoman"/>
      <w:lvlText w:val="%6."/>
      <w:lvlJc w:val="right"/>
      <w:pPr>
        <w:tabs>
          <w:tab w:val="left" w:pos="2922"/>
        </w:tabs>
        <w:ind w:left="2922" w:hanging="420"/>
      </w:pPr>
      <w:rPr>
        <w:rFonts w:cs="Times New Roman"/>
      </w:rPr>
    </w:lvl>
    <w:lvl w:ilvl="6" w:tentative="0">
      <w:start w:val="1"/>
      <w:numFmt w:val="decimal"/>
      <w:lvlText w:val="%7."/>
      <w:lvlJc w:val="left"/>
      <w:pPr>
        <w:tabs>
          <w:tab w:val="left" w:pos="3342"/>
        </w:tabs>
        <w:ind w:left="3342" w:hanging="420"/>
      </w:pPr>
      <w:rPr>
        <w:rFonts w:cs="Times New Roman"/>
      </w:rPr>
    </w:lvl>
    <w:lvl w:ilvl="7" w:tentative="0">
      <w:start w:val="1"/>
      <w:numFmt w:val="lowerLetter"/>
      <w:lvlText w:val="%8)"/>
      <w:lvlJc w:val="left"/>
      <w:pPr>
        <w:tabs>
          <w:tab w:val="left" w:pos="3762"/>
        </w:tabs>
        <w:ind w:left="3762" w:hanging="420"/>
      </w:pPr>
      <w:rPr>
        <w:rFonts w:cs="Times New Roman"/>
      </w:rPr>
    </w:lvl>
    <w:lvl w:ilvl="8" w:tentative="0">
      <w:start w:val="1"/>
      <w:numFmt w:val="lowerRoman"/>
      <w:lvlText w:val="%9."/>
      <w:lvlJc w:val="right"/>
      <w:pPr>
        <w:tabs>
          <w:tab w:val="left" w:pos="4182"/>
        </w:tabs>
        <w:ind w:left="4182" w:hanging="420"/>
      </w:pPr>
      <w:rPr>
        <w:rFonts w:cs="Times New Roman"/>
      </w:rPr>
    </w:lvl>
  </w:abstractNum>
  <w:abstractNum w:abstractNumId="14">
    <w:nsid w:val="5CB017FC"/>
    <w:multiLevelType w:val="multilevel"/>
    <w:tmpl w:val="5CB017FC"/>
    <w:lvl w:ilvl="0" w:tentative="0">
      <w:start w:val="1"/>
      <w:numFmt w:val="chineseCountingThousand"/>
      <w:pStyle w:val="3"/>
      <w:lvlText w:val="%1、"/>
      <w:lvlJc w:val="left"/>
      <w:pPr>
        <w:ind w:left="420" w:hanging="420"/>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pStyle w:val="5"/>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6213BF1"/>
    <w:multiLevelType w:val="multilevel"/>
    <w:tmpl w:val="66213BF1"/>
    <w:lvl w:ilvl="0" w:tentative="0">
      <w:start w:val="1"/>
      <w:numFmt w:val="bullet"/>
      <w:lvlText w:val=""/>
      <w:lvlJc w:val="left"/>
      <w:pPr>
        <w:tabs>
          <w:tab w:val="left" w:pos="420"/>
        </w:tabs>
        <w:ind w:left="420"/>
      </w:pPr>
      <w:rPr>
        <w:rFonts w:ascii="Wingdings" w:hAnsi="Wingdings"/>
      </w:rPr>
    </w:lvl>
    <w:lvl w:ilvl="1" w:tentative="0">
      <w:start w:val="1"/>
      <w:numFmt w:val="bullet"/>
      <w:lvlText w:val=""/>
      <w:lvlJc w:val="left"/>
      <w:pPr>
        <w:tabs>
          <w:tab w:val="left" w:pos="1260"/>
        </w:tabs>
        <w:ind w:left="1260" w:hanging="420"/>
      </w:pPr>
      <w:rPr>
        <w:rFonts w:ascii="Wingdings" w:hAnsi="Wingdings"/>
      </w:rPr>
    </w:lvl>
    <w:lvl w:ilvl="2" w:tentative="0">
      <w:start w:val="1"/>
      <w:numFmt w:val="bullet"/>
      <w:lvlText w:val=""/>
      <w:lvlJc w:val="left"/>
      <w:pPr>
        <w:tabs>
          <w:tab w:val="left" w:pos="1680"/>
        </w:tabs>
        <w:ind w:left="1680" w:hanging="420"/>
      </w:pPr>
      <w:rPr>
        <w:rFonts w:ascii="Wingdings" w:hAnsi="Wingdings"/>
      </w:rPr>
    </w:lvl>
    <w:lvl w:ilvl="3" w:tentative="0">
      <w:start w:val="1"/>
      <w:numFmt w:val="bullet"/>
      <w:lvlText w:val=""/>
      <w:lvlJc w:val="left"/>
      <w:pPr>
        <w:tabs>
          <w:tab w:val="left" w:pos="2100"/>
        </w:tabs>
        <w:ind w:left="2100" w:hanging="420"/>
      </w:pPr>
      <w:rPr>
        <w:rFonts w:ascii="Wingdings" w:hAnsi="Wingdings"/>
      </w:rPr>
    </w:lvl>
    <w:lvl w:ilvl="4" w:tentative="0">
      <w:start w:val="1"/>
      <w:numFmt w:val="bullet"/>
      <w:lvlText w:val=""/>
      <w:lvlJc w:val="left"/>
      <w:pPr>
        <w:tabs>
          <w:tab w:val="left" w:pos="2520"/>
        </w:tabs>
        <w:ind w:left="2520" w:hanging="420"/>
      </w:pPr>
      <w:rPr>
        <w:rFonts w:ascii="Wingdings" w:hAnsi="Wingdings"/>
      </w:rPr>
    </w:lvl>
    <w:lvl w:ilvl="5" w:tentative="0">
      <w:start w:val="1"/>
      <w:numFmt w:val="bullet"/>
      <w:lvlText w:val=""/>
      <w:lvlJc w:val="left"/>
      <w:pPr>
        <w:tabs>
          <w:tab w:val="left" w:pos="2940"/>
        </w:tabs>
        <w:ind w:left="2940" w:hanging="420"/>
      </w:pPr>
      <w:rPr>
        <w:rFonts w:ascii="Wingdings" w:hAnsi="Wingdings"/>
      </w:rPr>
    </w:lvl>
    <w:lvl w:ilvl="6" w:tentative="0">
      <w:start w:val="1"/>
      <w:numFmt w:val="bullet"/>
      <w:lvlText w:val=""/>
      <w:lvlJc w:val="left"/>
      <w:pPr>
        <w:tabs>
          <w:tab w:val="left" w:pos="3360"/>
        </w:tabs>
        <w:ind w:left="3360" w:hanging="420"/>
      </w:pPr>
      <w:rPr>
        <w:rFonts w:ascii="Wingdings" w:hAnsi="Wingdings"/>
      </w:rPr>
    </w:lvl>
    <w:lvl w:ilvl="7" w:tentative="0">
      <w:start w:val="1"/>
      <w:numFmt w:val="bullet"/>
      <w:lvlText w:val=""/>
      <w:lvlJc w:val="left"/>
      <w:pPr>
        <w:tabs>
          <w:tab w:val="left" w:pos="3780"/>
        </w:tabs>
        <w:ind w:left="3780" w:hanging="420"/>
      </w:pPr>
      <w:rPr>
        <w:rFonts w:ascii="Wingdings" w:hAnsi="Wingdings"/>
      </w:rPr>
    </w:lvl>
    <w:lvl w:ilvl="8" w:tentative="0">
      <w:start w:val="1"/>
      <w:numFmt w:val="bullet"/>
      <w:lvlText w:val=""/>
      <w:lvlJc w:val="left"/>
      <w:pPr>
        <w:tabs>
          <w:tab w:val="left" w:pos="4200"/>
        </w:tabs>
        <w:ind w:left="4200" w:hanging="420"/>
      </w:pPr>
      <w:rPr>
        <w:rFonts w:ascii="Wingdings" w:hAnsi="Wingdings"/>
      </w:rPr>
    </w:lvl>
  </w:abstractNum>
  <w:num w:numId="1">
    <w:abstractNumId w:val="14"/>
  </w:num>
  <w:num w:numId="2">
    <w:abstractNumId w:val="5"/>
  </w:num>
  <w:num w:numId="3">
    <w:abstractNumId w:val="10"/>
  </w:num>
  <w:num w:numId="4">
    <w:abstractNumId w:val="11"/>
  </w:num>
  <w:num w:numId="5">
    <w:abstractNumId w:val="0"/>
  </w:num>
  <w:num w:numId="6">
    <w:abstractNumId w:val="2"/>
  </w:num>
  <w:num w:numId="7">
    <w:abstractNumId w:val="4"/>
  </w:num>
  <w:num w:numId="8">
    <w:abstractNumId w:val="3"/>
  </w:num>
  <w:num w:numId="9">
    <w:abstractNumId w:val="1"/>
  </w:num>
  <w:num w:numId="10">
    <w:abstractNumId w:val="8"/>
  </w:num>
  <w:num w:numId="11">
    <w:abstractNumId w:val="7"/>
  </w:num>
  <w:num w:numId="12">
    <w:abstractNumId w:val="6"/>
  </w:num>
  <w:num w:numId="13">
    <w:abstractNumId w:val="12"/>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0A"/>
    <w:rsid w:val="0000177D"/>
    <w:rsid w:val="00002315"/>
    <w:rsid w:val="00003577"/>
    <w:rsid w:val="00003A39"/>
    <w:rsid w:val="00003A7D"/>
    <w:rsid w:val="00003F9D"/>
    <w:rsid w:val="00004353"/>
    <w:rsid w:val="000045B6"/>
    <w:rsid w:val="0000554C"/>
    <w:rsid w:val="00005582"/>
    <w:rsid w:val="00006AE2"/>
    <w:rsid w:val="00006E91"/>
    <w:rsid w:val="00011BC0"/>
    <w:rsid w:val="00012D5A"/>
    <w:rsid w:val="00017475"/>
    <w:rsid w:val="0002020C"/>
    <w:rsid w:val="000212F4"/>
    <w:rsid w:val="000219B5"/>
    <w:rsid w:val="0002304E"/>
    <w:rsid w:val="00023C42"/>
    <w:rsid w:val="00023E4E"/>
    <w:rsid w:val="00024DA6"/>
    <w:rsid w:val="00024E7C"/>
    <w:rsid w:val="00025420"/>
    <w:rsid w:val="00026134"/>
    <w:rsid w:val="000262C7"/>
    <w:rsid w:val="0003086C"/>
    <w:rsid w:val="000316C8"/>
    <w:rsid w:val="0003186E"/>
    <w:rsid w:val="00032DB3"/>
    <w:rsid w:val="00033DD9"/>
    <w:rsid w:val="000344E8"/>
    <w:rsid w:val="00035842"/>
    <w:rsid w:val="00037127"/>
    <w:rsid w:val="0003759A"/>
    <w:rsid w:val="000419EE"/>
    <w:rsid w:val="00041F90"/>
    <w:rsid w:val="000422A6"/>
    <w:rsid w:val="000441BD"/>
    <w:rsid w:val="00050B78"/>
    <w:rsid w:val="0005277C"/>
    <w:rsid w:val="00052942"/>
    <w:rsid w:val="00052AFE"/>
    <w:rsid w:val="000533E3"/>
    <w:rsid w:val="00053C78"/>
    <w:rsid w:val="00054B32"/>
    <w:rsid w:val="000554FD"/>
    <w:rsid w:val="00055A8A"/>
    <w:rsid w:val="00055CA1"/>
    <w:rsid w:val="0005735E"/>
    <w:rsid w:val="000576AB"/>
    <w:rsid w:val="00057F6B"/>
    <w:rsid w:val="00060895"/>
    <w:rsid w:val="00060F53"/>
    <w:rsid w:val="00064684"/>
    <w:rsid w:val="000648C3"/>
    <w:rsid w:val="0006494F"/>
    <w:rsid w:val="0006599F"/>
    <w:rsid w:val="00065B23"/>
    <w:rsid w:val="00066620"/>
    <w:rsid w:val="00067A57"/>
    <w:rsid w:val="00067BE0"/>
    <w:rsid w:val="00070D55"/>
    <w:rsid w:val="000710B8"/>
    <w:rsid w:val="00071BF5"/>
    <w:rsid w:val="000723E3"/>
    <w:rsid w:val="000727D4"/>
    <w:rsid w:val="00073455"/>
    <w:rsid w:val="00073C78"/>
    <w:rsid w:val="00073D3F"/>
    <w:rsid w:val="00074666"/>
    <w:rsid w:val="000751F4"/>
    <w:rsid w:val="0007618D"/>
    <w:rsid w:val="000826E1"/>
    <w:rsid w:val="00084F5E"/>
    <w:rsid w:val="000859AE"/>
    <w:rsid w:val="00086171"/>
    <w:rsid w:val="000861A2"/>
    <w:rsid w:val="0008652E"/>
    <w:rsid w:val="00086E2A"/>
    <w:rsid w:val="000870E7"/>
    <w:rsid w:val="000913E8"/>
    <w:rsid w:val="0009395A"/>
    <w:rsid w:val="00093D86"/>
    <w:rsid w:val="0009410E"/>
    <w:rsid w:val="00095767"/>
    <w:rsid w:val="00096800"/>
    <w:rsid w:val="00097AE9"/>
    <w:rsid w:val="000A2287"/>
    <w:rsid w:val="000A3F8B"/>
    <w:rsid w:val="000A55D3"/>
    <w:rsid w:val="000A6051"/>
    <w:rsid w:val="000B366C"/>
    <w:rsid w:val="000B4BF4"/>
    <w:rsid w:val="000B565B"/>
    <w:rsid w:val="000C0316"/>
    <w:rsid w:val="000C5806"/>
    <w:rsid w:val="000C58C3"/>
    <w:rsid w:val="000C60C7"/>
    <w:rsid w:val="000D1543"/>
    <w:rsid w:val="000D4352"/>
    <w:rsid w:val="000D4409"/>
    <w:rsid w:val="000D536F"/>
    <w:rsid w:val="000D6886"/>
    <w:rsid w:val="000D77F7"/>
    <w:rsid w:val="000E0AEE"/>
    <w:rsid w:val="000E0B2C"/>
    <w:rsid w:val="000E1C6A"/>
    <w:rsid w:val="000E3CED"/>
    <w:rsid w:val="000E4C53"/>
    <w:rsid w:val="000E60DC"/>
    <w:rsid w:val="000F089D"/>
    <w:rsid w:val="000F09C4"/>
    <w:rsid w:val="000F0D1D"/>
    <w:rsid w:val="000F0F22"/>
    <w:rsid w:val="000F1813"/>
    <w:rsid w:val="000F2465"/>
    <w:rsid w:val="000F3431"/>
    <w:rsid w:val="000F374E"/>
    <w:rsid w:val="000F48BC"/>
    <w:rsid w:val="000F6E73"/>
    <w:rsid w:val="000F7CE7"/>
    <w:rsid w:val="001003B1"/>
    <w:rsid w:val="00100418"/>
    <w:rsid w:val="00100604"/>
    <w:rsid w:val="00100683"/>
    <w:rsid w:val="001016EF"/>
    <w:rsid w:val="00104DB6"/>
    <w:rsid w:val="00104DD1"/>
    <w:rsid w:val="001073CC"/>
    <w:rsid w:val="00107708"/>
    <w:rsid w:val="00111F90"/>
    <w:rsid w:val="00113126"/>
    <w:rsid w:val="00114A31"/>
    <w:rsid w:val="0011682E"/>
    <w:rsid w:val="00116DF3"/>
    <w:rsid w:val="00117188"/>
    <w:rsid w:val="00121115"/>
    <w:rsid w:val="00121F25"/>
    <w:rsid w:val="00121FA8"/>
    <w:rsid w:val="00123E95"/>
    <w:rsid w:val="00123F8A"/>
    <w:rsid w:val="0012453C"/>
    <w:rsid w:val="00124B79"/>
    <w:rsid w:val="0012667F"/>
    <w:rsid w:val="00126D25"/>
    <w:rsid w:val="00126F66"/>
    <w:rsid w:val="001309A1"/>
    <w:rsid w:val="0013147B"/>
    <w:rsid w:val="00131703"/>
    <w:rsid w:val="0013474C"/>
    <w:rsid w:val="001356AE"/>
    <w:rsid w:val="001369E4"/>
    <w:rsid w:val="00136ABF"/>
    <w:rsid w:val="00136D96"/>
    <w:rsid w:val="00137C60"/>
    <w:rsid w:val="00142CAA"/>
    <w:rsid w:val="00143680"/>
    <w:rsid w:val="001438A4"/>
    <w:rsid w:val="00144152"/>
    <w:rsid w:val="00144684"/>
    <w:rsid w:val="001477E9"/>
    <w:rsid w:val="00147D02"/>
    <w:rsid w:val="001509DB"/>
    <w:rsid w:val="00150F18"/>
    <w:rsid w:val="001523D0"/>
    <w:rsid w:val="0015303E"/>
    <w:rsid w:val="001546D5"/>
    <w:rsid w:val="001557F7"/>
    <w:rsid w:val="001601F9"/>
    <w:rsid w:val="00160449"/>
    <w:rsid w:val="0016092E"/>
    <w:rsid w:val="0016113C"/>
    <w:rsid w:val="00161295"/>
    <w:rsid w:val="00163629"/>
    <w:rsid w:val="00163DD6"/>
    <w:rsid w:val="001666C1"/>
    <w:rsid w:val="00166F17"/>
    <w:rsid w:val="00167120"/>
    <w:rsid w:val="00170301"/>
    <w:rsid w:val="0017093A"/>
    <w:rsid w:val="00170ECC"/>
    <w:rsid w:val="0017161A"/>
    <w:rsid w:val="001728B7"/>
    <w:rsid w:val="00174AF6"/>
    <w:rsid w:val="001775DD"/>
    <w:rsid w:val="00180B09"/>
    <w:rsid w:val="00180D52"/>
    <w:rsid w:val="00181F93"/>
    <w:rsid w:val="0018275D"/>
    <w:rsid w:val="00182951"/>
    <w:rsid w:val="00184261"/>
    <w:rsid w:val="00184527"/>
    <w:rsid w:val="00184CA7"/>
    <w:rsid w:val="00184EEA"/>
    <w:rsid w:val="00187388"/>
    <w:rsid w:val="00187527"/>
    <w:rsid w:val="0018771E"/>
    <w:rsid w:val="0018774D"/>
    <w:rsid w:val="00192737"/>
    <w:rsid w:val="00192BC6"/>
    <w:rsid w:val="00192C7C"/>
    <w:rsid w:val="00192F09"/>
    <w:rsid w:val="00192FDB"/>
    <w:rsid w:val="001943BF"/>
    <w:rsid w:val="00194788"/>
    <w:rsid w:val="0019667D"/>
    <w:rsid w:val="0019746B"/>
    <w:rsid w:val="00197D1E"/>
    <w:rsid w:val="00197F9E"/>
    <w:rsid w:val="001A1B2B"/>
    <w:rsid w:val="001A286C"/>
    <w:rsid w:val="001A28FF"/>
    <w:rsid w:val="001A34AA"/>
    <w:rsid w:val="001A3C77"/>
    <w:rsid w:val="001A4CDD"/>
    <w:rsid w:val="001A4EC9"/>
    <w:rsid w:val="001B09DD"/>
    <w:rsid w:val="001B311C"/>
    <w:rsid w:val="001B364D"/>
    <w:rsid w:val="001B4C37"/>
    <w:rsid w:val="001B58A0"/>
    <w:rsid w:val="001B7341"/>
    <w:rsid w:val="001C003C"/>
    <w:rsid w:val="001C1105"/>
    <w:rsid w:val="001C112B"/>
    <w:rsid w:val="001C157A"/>
    <w:rsid w:val="001C16BE"/>
    <w:rsid w:val="001C18A1"/>
    <w:rsid w:val="001C1900"/>
    <w:rsid w:val="001C2A7F"/>
    <w:rsid w:val="001C2D4C"/>
    <w:rsid w:val="001C4557"/>
    <w:rsid w:val="001C4CCC"/>
    <w:rsid w:val="001C5754"/>
    <w:rsid w:val="001C5A74"/>
    <w:rsid w:val="001C7077"/>
    <w:rsid w:val="001C7DE9"/>
    <w:rsid w:val="001D1A71"/>
    <w:rsid w:val="001D2195"/>
    <w:rsid w:val="001D2540"/>
    <w:rsid w:val="001D25EB"/>
    <w:rsid w:val="001D39E9"/>
    <w:rsid w:val="001D42D4"/>
    <w:rsid w:val="001D43DC"/>
    <w:rsid w:val="001D5486"/>
    <w:rsid w:val="001D5C15"/>
    <w:rsid w:val="001E0637"/>
    <w:rsid w:val="001E3C1E"/>
    <w:rsid w:val="001E472D"/>
    <w:rsid w:val="001E4DAC"/>
    <w:rsid w:val="001E4DEC"/>
    <w:rsid w:val="001E60D9"/>
    <w:rsid w:val="001E6331"/>
    <w:rsid w:val="001E76DE"/>
    <w:rsid w:val="001E7D37"/>
    <w:rsid w:val="001F0226"/>
    <w:rsid w:val="001F0514"/>
    <w:rsid w:val="001F1469"/>
    <w:rsid w:val="001F1475"/>
    <w:rsid w:val="001F4490"/>
    <w:rsid w:val="001F4A29"/>
    <w:rsid w:val="001F5545"/>
    <w:rsid w:val="001F7A90"/>
    <w:rsid w:val="0020019E"/>
    <w:rsid w:val="00200294"/>
    <w:rsid w:val="002007F9"/>
    <w:rsid w:val="002030F9"/>
    <w:rsid w:val="00203465"/>
    <w:rsid w:val="00203951"/>
    <w:rsid w:val="00203CB7"/>
    <w:rsid w:val="00205C18"/>
    <w:rsid w:val="0020642F"/>
    <w:rsid w:val="00206623"/>
    <w:rsid w:val="00206A62"/>
    <w:rsid w:val="0021179D"/>
    <w:rsid w:val="00213396"/>
    <w:rsid w:val="00214A7F"/>
    <w:rsid w:val="00214B4F"/>
    <w:rsid w:val="00214BB3"/>
    <w:rsid w:val="002152D7"/>
    <w:rsid w:val="00215DE8"/>
    <w:rsid w:val="002178A6"/>
    <w:rsid w:val="00220814"/>
    <w:rsid w:val="00222A90"/>
    <w:rsid w:val="002262C5"/>
    <w:rsid w:val="00227538"/>
    <w:rsid w:val="00227C0E"/>
    <w:rsid w:val="00230981"/>
    <w:rsid w:val="0023148F"/>
    <w:rsid w:val="0023180C"/>
    <w:rsid w:val="0023257E"/>
    <w:rsid w:val="00232818"/>
    <w:rsid w:val="00233451"/>
    <w:rsid w:val="002360B5"/>
    <w:rsid w:val="00236647"/>
    <w:rsid w:val="00236929"/>
    <w:rsid w:val="002371C4"/>
    <w:rsid w:val="0024063C"/>
    <w:rsid w:val="00241CE6"/>
    <w:rsid w:val="00242F71"/>
    <w:rsid w:val="0024351B"/>
    <w:rsid w:val="00244D57"/>
    <w:rsid w:val="00245FBB"/>
    <w:rsid w:val="00247233"/>
    <w:rsid w:val="00250BFF"/>
    <w:rsid w:val="002511E7"/>
    <w:rsid w:val="00251A33"/>
    <w:rsid w:val="00251AE2"/>
    <w:rsid w:val="00251BE1"/>
    <w:rsid w:val="00251EE4"/>
    <w:rsid w:val="002557D8"/>
    <w:rsid w:val="00261EA1"/>
    <w:rsid w:val="00263426"/>
    <w:rsid w:val="00263568"/>
    <w:rsid w:val="002636C8"/>
    <w:rsid w:val="0026762A"/>
    <w:rsid w:val="00270353"/>
    <w:rsid w:val="0027145B"/>
    <w:rsid w:val="0027239D"/>
    <w:rsid w:val="00272493"/>
    <w:rsid w:val="00272B0C"/>
    <w:rsid w:val="0027304C"/>
    <w:rsid w:val="002742A4"/>
    <w:rsid w:val="00275763"/>
    <w:rsid w:val="002758C3"/>
    <w:rsid w:val="002801C2"/>
    <w:rsid w:val="002806FF"/>
    <w:rsid w:val="00283E0A"/>
    <w:rsid w:val="0028422F"/>
    <w:rsid w:val="00285D77"/>
    <w:rsid w:val="0028693A"/>
    <w:rsid w:val="00287C39"/>
    <w:rsid w:val="00291220"/>
    <w:rsid w:val="0029499E"/>
    <w:rsid w:val="00295239"/>
    <w:rsid w:val="002963F8"/>
    <w:rsid w:val="002969D0"/>
    <w:rsid w:val="002A0518"/>
    <w:rsid w:val="002A17CF"/>
    <w:rsid w:val="002A39FA"/>
    <w:rsid w:val="002A6718"/>
    <w:rsid w:val="002B13E4"/>
    <w:rsid w:val="002B18B3"/>
    <w:rsid w:val="002B35B8"/>
    <w:rsid w:val="002B3921"/>
    <w:rsid w:val="002B40D4"/>
    <w:rsid w:val="002B488E"/>
    <w:rsid w:val="002B4F09"/>
    <w:rsid w:val="002B5031"/>
    <w:rsid w:val="002B542E"/>
    <w:rsid w:val="002C0613"/>
    <w:rsid w:val="002C071A"/>
    <w:rsid w:val="002C0F97"/>
    <w:rsid w:val="002C19A6"/>
    <w:rsid w:val="002C2194"/>
    <w:rsid w:val="002C2A24"/>
    <w:rsid w:val="002C3EC9"/>
    <w:rsid w:val="002C44AB"/>
    <w:rsid w:val="002C493D"/>
    <w:rsid w:val="002C5910"/>
    <w:rsid w:val="002C786D"/>
    <w:rsid w:val="002C7F5A"/>
    <w:rsid w:val="002D0CDE"/>
    <w:rsid w:val="002D535F"/>
    <w:rsid w:val="002D5C0C"/>
    <w:rsid w:val="002D6550"/>
    <w:rsid w:val="002D68CB"/>
    <w:rsid w:val="002E0EC8"/>
    <w:rsid w:val="002E28FF"/>
    <w:rsid w:val="002E5203"/>
    <w:rsid w:val="002E59C6"/>
    <w:rsid w:val="002E5CD1"/>
    <w:rsid w:val="002E6226"/>
    <w:rsid w:val="002E641E"/>
    <w:rsid w:val="002E64A6"/>
    <w:rsid w:val="002E6628"/>
    <w:rsid w:val="002E6FDA"/>
    <w:rsid w:val="002E7D7B"/>
    <w:rsid w:val="002F1075"/>
    <w:rsid w:val="002F15AD"/>
    <w:rsid w:val="002F439B"/>
    <w:rsid w:val="002F632F"/>
    <w:rsid w:val="002F7128"/>
    <w:rsid w:val="002F7D19"/>
    <w:rsid w:val="00301F46"/>
    <w:rsid w:val="00303573"/>
    <w:rsid w:val="00304558"/>
    <w:rsid w:val="003064A6"/>
    <w:rsid w:val="0030782E"/>
    <w:rsid w:val="003078A5"/>
    <w:rsid w:val="003104C4"/>
    <w:rsid w:val="00311056"/>
    <w:rsid w:val="00311BF3"/>
    <w:rsid w:val="003126E8"/>
    <w:rsid w:val="00313B04"/>
    <w:rsid w:val="003159C7"/>
    <w:rsid w:val="00316390"/>
    <w:rsid w:val="0031642F"/>
    <w:rsid w:val="00321512"/>
    <w:rsid w:val="00321953"/>
    <w:rsid w:val="00321D8A"/>
    <w:rsid w:val="0032214B"/>
    <w:rsid w:val="00322939"/>
    <w:rsid w:val="00322BC3"/>
    <w:rsid w:val="00323F4C"/>
    <w:rsid w:val="00323F60"/>
    <w:rsid w:val="00331F74"/>
    <w:rsid w:val="003335E1"/>
    <w:rsid w:val="00333941"/>
    <w:rsid w:val="00334874"/>
    <w:rsid w:val="0033550E"/>
    <w:rsid w:val="00337134"/>
    <w:rsid w:val="00337150"/>
    <w:rsid w:val="00337557"/>
    <w:rsid w:val="00337989"/>
    <w:rsid w:val="003413C4"/>
    <w:rsid w:val="003435D8"/>
    <w:rsid w:val="00343BBB"/>
    <w:rsid w:val="00343EA2"/>
    <w:rsid w:val="00343EAF"/>
    <w:rsid w:val="003444F2"/>
    <w:rsid w:val="003446B5"/>
    <w:rsid w:val="00344EEA"/>
    <w:rsid w:val="003458F9"/>
    <w:rsid w:val="00346921"/>
    <w:rsid w:val="00346D0A"/>
    <w:rsid w:val="00347744"/>
    <w:rsid w:val="00351DCF"/>
    <w:rsid w:val="003523C6"/>
    <w:rsid w:val="00354ECA"/>
    <w:rsid w:val="0035758A"/>
    <w:rsid w:val="00360AF0"/>
    <w:rsid w:val="00360CAB"/>
    <w:rsid w:val="003624A4"/>
    <w:rsid w:val="00364287"/>
    <w:rsid w:val="0036486E"/>
    <w:rsid w:val="00366CA4"/>
    <w:rsid w:val="00370766"/>
    <w:rsid w:val="0037112A"/>
    <w:rsid w:val="00371356"/>
    <w:rsid w:val="003737A7"/>
    <w:rsid w:val="00374C15"/>
    <w:rsid w:val="003758F1"/>
    <w:rsid w:val="00380A89"/>
    <w:rsid w:val="00380F3A"/>
    <w:rsid w:val="00382614"/>
    <w:rsid w:val="00382B58"/>
    <w:rsid w:val="00384314"/>
    <w:rsid w:val="0038546D"/>
    <w:rsid w:val="00385592"/>
    <w:rsid w:val="00386DBA"/>
    <w:rsid w:val="00392766"/>
    <w:rsid w:val="0039311D"/>
    <w:rsid w:val="0039371B"/>
    <w:rsid w:val="00393D64"/>
    <w:rsid w:val="0039434B"/>
    <w:rsid w:val="00394477"/>
    <w:rsid w:val="00395A93"/>
    <w:rsid w:val="00397531"/>
    <w:rsid w:val="00397864"/>
    <w:rsid w:val="00397C3B"/>
    <w:rsid w:val="00397EE4"/>
    <w:rsid w:val="003A0B8D"/>
    <w:rsid w:val="003A1054"/>
    <w:rsid w:val="003A13CE"/>
    <w:rsid w:val="003A1F3C"/>
    <w:rsid w:val="003A268A"/>
    <w:rsid w:val="003A4406"/>
    <w:rsid w:val="003A6113"/>
    <w:rsid w:val="003A724D"/>
    <w:rsid w:val="003B1B68"/>
    <w:rsid w:val="003B229E"/>
    <w:rsid w:val="003B258D"/>
    <w:rsid w:val="003B32B0"/>
    <w:rsid w:val="003B67E1"/>
    <w:rsid w:val="003B6872"/>
    <w:rsid w:val="003B71C4"/>
    <w:rsid w:val="003B79B1"/>
    <w:rsid w:val="003C2526"/>
    <w:rsid w:val="003C3ADB"/>
    <w:rsid w:val="003C427C"/>
    <w:rsid w:val="003C68AD"/>
    <w:rsid w:val="003C6B3C"/>
    <w:rsid w:val="003C7A55"/>
    <w:rsid w:val="003D095B"/>
    <w:rsid w:val="003D396A"/>
    <w:rsid w:val="003D4693"/>
    <w:rsid w:val="003D68B6"/>
    <w:rsid w:val="003D7A80"/>
    <w:rsid w:val="003E0B0E"/>
    <w:rsid w:val="003E1867"/>
    <w:rsid w:val="003E21EF"/>
    <w:rsid w:val="003E28A3"/>
    <w:rsid w:val="003E37DC"/>
    <w:rsid w:val="003E39F3"/>
    <w:rsid w:val="003E51BD"/>
    <w:rsid w:val="003E53F0"/>
    <w:rsid w:val="003E57EE"/>
    <w:rsid w:val="003E5B2E"/>
    <w:rsid w:val="003E62F5"/>
    <w:rsid w:val="003E699C"/>
    <w:rsid w:val="003E7BE5"/>
    <w:rsid w:val="003F24A9"/>
    <w:rsid w:val="003F2F91"/>
    <w:rsid w:val="003F30C5"/>
    <w:rsid w:val="003F3EEB"/>
    <w:rsid w:val="003F556B"/>
    <w:rsid w:val="003F6A1E"/>
    <w:rsid w:val="003F707D"/>
    <w:rsid w:val="003F7422"/>
    <w:rsid w:val="003F7F91"/>
    <w:rsid w:val="0040055F"/>
    <w:rsid w:val="00401511"/>
    <w:rsid w:val="00403069"/>
    <w:rsid w:val="004038A1"/>
    <w:rsid w:val="00405B80"/>
    <w:rsid w:val="00406774"/>
    <w:rsid w:val="004109A4"/>
    <w:rsid w:val="004116C8"/>
    <w:rsid w:val="00412EED"/>
    <w:rsid w:val="004142EB"/>
    <w:rsid w:val="00414E80"/>
    <w:rsid w:val="00416061"/>
    <w:rsid w:val="004168BC"/>
    <w:rsid w:val="00416BBB"/>
    <w:rsid w:val="00416C95"/>
    <w:rsid w:val="00417EAD"/>
    <w:rsid w:val="004201C7"/>
    <w:rsid w:val="0042175E"/>
    <w:rsid w:val="00421D18"/>
    <w:rsid w:val="00422B19"/>
    <w:rsid w:val="00422B7A"/>
    <w:rsid w:val="004249C9"/>
    <w:rsid w:val="00426551"/>
    <w:rsid w:val="004265D4"/>
    <w:rsid w:val="00426D72"/>
    <w:rsid w:val="00430630"/>
    <w:rsid w:val="00430933"/>
    <w:rsid w:val="00432C71"/>
    <w:rsid w:val="00432FA9"/>
    <w:rsid w:val="00434143"/>
    <w:rsid w:val="0043498E"/>
    <w:rsid w:val="00434C12"/>
    <w:rsid w:val="004355D0"/>
    <w:rsid w:val="0043639E"/>
    <w:rsid w:val="0043743D"/>
    <w:rsid w:val="00437873"/>
    <w:rsid w:val="00437DA4"/>
    <w:rsid w:val="004406C9"/>
    <w:rsid w:val="00441468"/>
    <w:rsid w:val="00441DAA"/>
    <w:rsid w:val="004434D2"/>
    <w:rsid w:val="004447B1"/>
    <w:rsid w:val="00447883"/>
    <w:rsid w:val="00447976"/>
    <w:rsid w:val="00447E55"/>
    <w:rsid w:val="00450210"/>
    <w:rsid w:val="004514B6"/>
    <w:rsid w:val="00451541"/>
    <w:rsid w:val="0045169D"/>
    <w:rsid w:val="0045180A"/>
    <w:rsid w:val="00451D8D"/>
    <w:rsid w:val="00451F61"/>
    <w:rsid w:val="00453E18"/>
    <w:rsid w:val="00454CC2"/>
    <w:rsid w:val="0045697B"/>
    <w:rsid w:val="004609AF"/>
    <w:rsid w:val="00462E33"/>
    <w:rsid w:val="004632F8"/>
    <w:rsid w:val="004635DE"/>
    <w:rsid w:val="00463A6E"/>
    <w:rsid w:val="00464202"/>
    <w:rsid w:val="0046426D"/>
    <w:rsid w:val="00464EAA"/>
    <w:rsid w:val="004651BB"/>
    <w:rsid w:val="0046692F"/>
    <w:rsid w:val="00466DA0"/>
    <w:rsid w:val="004677D7"/>
    <w:rsid w:val="00471500"/>
    <w:rsid w:val="004716CB"/>
    <w:rsid w:val="004720D7"/>
    <w:rsid w:val="00473C2B"/>
    <w:rsid w:val="00474DF1"/>
    <w:rsid w:val="00477587"/>
    <w:rsid w:val="00480EF8"/>
    <w:rsid w:val="004813C0"/>
    <w:rsid w:val="00481E7C"/>
    <w:rsid w:val="00481F13"/>
    <w:rsid w:val="004824CA"/>
    <w:rsid w:val="00482564"/>
    <w:rsid w:val="00482C06"/>
    <w:rsid w:val="0048519E"/>
    <w:rsid w:val="00487B52"/>
    <w:rsid w:val="004944F5"/>
    <w:rsid w:val="00495971"/>
    <w:rsid w:val="00496C43"/>
    <w:rsid w:val="00496F02"/>
    <w:rsid w:val="004A0329"/>
    <w:rsid w:val="004A0890"/>
    <w:rsid w:val="004A33DB"/>
    <w:rsid w:val="004A359B"/>
    <w:rsid w:val="004A6203"/>
    <w:rsid w:val="004A6EBD"/>
    <w:rsid w:val="004A73F3"/>
    <w:rsid w:val="004B42AE"/>
    <w:rsid w:val="004B4531"/>
    <w:rsid w:val="004B4FEF"/>
    <w:rsid w:val="004B5676"/>
    <w:rsid w:val="004B6A06"/>
    <w:rsid w:val="004B6EFA"/>
    <w:rsid w:val="004B71E8"/>
    <w:rsid w:val="004B7DE4"/>
    <w:rsid w:val="004C2498"/>
    <w:rsid w:val="004C3AE3"/>
    <w:rsid w:val="004C3D7B"/>
    <w:rsid w:val="004C3F75"/>
    <w:rsid w:val="004C54B1"/>
    <w:rsid w:val="004C57A1"/>
    <w:rsid w:val="004C610B"/>
    <w:rsid w:val="004C673E"/>
    <w:rsid w:val="004C6E4E"/>
    <w:rsid w:val="004C7738"/>
    <w:rsid w:val="004C7C99"/>
    <w:rsid w:val="004C7EEA"/>
    <w:rsid w:val="004D0CCA"/>
    <w:rsid w:val="004D17DC"/>
    <w:rsid w:val="004D1A61"/>
    <w:rsid w:val="004D53C6"/>
    <w:rsid w:val="004D56EF"/>
    <w:rsid w:val="004D5A55"/>
    <w:rsid w:val="004D66C3"/>
    <w:rsid w:val="004E00F7"/>
    <w:rsid w:val="004E155F"/>
    <w:rsid w:val="004E17BF"/>
    <w:rsid w:val="004E239B"/>
    <w:rsid w:val="004E34D7"/>
    <w:rsid w:val="004E3EEC"/>
    <w:rsid w:val="004E5F3A"/>
    <w:rsid w:val="004E6FB9"/>
    <w:rsid w:val="004F0C27"/>
    <w:rsid w:val="004F0EF3"/>
    <w:rsid w:val="004F289D"/>
    <w:rsid w:val="004F3347"/>
    <w:rsid w:val="004F475E"/>
    <w:rsid w:val="004F4FEC"/>
    <w:rsid w:val="004F5A80"/>
    <w:rsid w:val="004F6AA4"/>
    <w:rsid w:val="004F71C4"/>
    <w:rsid w:val="004F76F8"/>
    <w:rsid w:val="00500144"/>
    <w:rsid w:val="005006A9"/>
    <w:rsid w:val="0050166B"/>
    <w:rsid w:val="00501676"/>
    <w:rsid w:val="005046A6"/>
    <w:rsid w:val="00504D18"/>
    <w:rsid w:val="00505D27"/>
    <w:rsid w:val="005065B2"/>
    <w:rsid w:val="0050717A"/>
    <w:rsid w:val="0051044D"/>
    <w:rsid w:val="00510BDE"/>
    <w:rsid w:val="00510DCF"/>
    <w:rsid w:val="00511AF8"/>
    <w:rsid w:val="00512E90"/>
    <w:rsid w:val="00512F27"/>
    <w:rsid w:val="0051367A"/>
    <w:rsid w:val="00514D36"/>
    <w:rsid w:val="00515D2C"/>
    <w:rsid w:val="0051679D"/>
    <w:rsid w:val="00516D3A"/>
    <w:rsid w:val="00516F5F"/>
    <w:rsid w:val="00516FA6"/>
    <w:rsid w:val="00517431"/>
    <w:rsid w:val="005211E2"/>
    <w:rsid w:val="005216D1"/>
    <w:rsid w:val="00521E45"/>
    <w:rsid w:val="00522547"/>
    <w:rsid w:val="005239F6"/>
    <w:rsid w:val="00523D30"/>
    <w:rsid w:val="005270D5"/>
    <w:rsid w:val="005279EE"/>
    <w:rsid w:val="00530268"/>
    <w:rsid w:val="00530933"/>
    <w:rsid w:val="00531734"/>
    <w:rsid w:val="00531894"/>
    <w:rsid w:val="00531F41"/>
    <w:rsid w:val="00532B47"/>
    <w:rsid w:val="00532F1D"/>
    <w:rsid w:val="005338CB"/>
    <w:rsid w:val="0053599A"/>
    <w:rsid w:val="0053759A"/>
    <w:rsid w:val="005378AF"/>
    <w:rsid w:val="005415E8"/>
    <w:rsid w:val="005427E8"/>
    <w:rsid w:val="00543388"/>
    <w:rsid w:val="00543975"/>
    <w:rsid w:val="00543984"/>
    <w:rsid w:val="0054435A"/>
    <w:rsid w:val="005447A1"/>
    <w:rsid w:val="005451CE"/>
    <w:rsid w:val="0055071C"/>
    <w:rsid w:val="00551336"/>
    <w:rsid w:val="0055253F"/>
    <w:rsid w:val="00552649"/>
    <w:rsid w:val="0055291B"/>
    <w:rsid w:val="005547F0"/>
    <w:rsid w:val="00554D82"/>
    <w:rsid w:val="00555586"/>
    <w:rsid w:val="00555607"/>
    <w:rsid w:val="0055600E"/>
    <w:rsid w:val="00556B2E"/>
    <w:rsid w:val="005615E0"/>
    <w:rsid w:val="005632A4"/>
    <w:rsid w:val="005632C2"/>
    <w:rsid w:val="00563512"/>
    <w:rsid w:val="00564688"/>
    <w:rsid w:val="0056606A"/>
    <w:rsid w:val="005671CE"/>
    <w:rsid w:val="00567C5F"/>
    <w:rsid w:val="00570FF6"/>
    <w:rsid w:val="005713B4"/>
    <w:rsid w:val="00572AF4"/>
    <w:rsid w:val="00574ECB"/>
    <w:rsid w:val="00576834"/>
    <w:rsid w:val="00577306"/>
    <w:rsid w:val="00582347"/>
    <w:rsid w:val="00582E6D"/>
    <w:rsid w:val="00584758"/>
    <w:rsid w:val="00584AE7"/>
    <w:rsid w:val="00584E63"/>
    <w:rsid w:val="005856DD"/>
    <w:rsid w:val="0058583D"/>
    <w:rsid w:val="00587CED"/>
    <w:rsid w:val="00590A32"/>
    <w:rsid w:val="00591512"/>
    <w:rsid w:val="0059177C"/>
    <w:rsid w:val="005924DE"/>
    <w:rsid w:val="00592A89"/>
    <w:rsid w:val="00595068"/>
    <w:rsid w:val="0059648D"/>
    <w:rsid w:val="005A1E55"/>
    <w:rsid w:val="005A20A1"/>
    <w:rsid w:val="005A3795"/>
    <w:rsid w:val="005A49D9"/>
    <w:rsid w:val="005A60ED"/>
    <w:rsid w:val="005A7D73"/>
    <w:rsid w:val="005B0B38"/>
    <w:rsid w:val="005B0D1A"/>
    <w:rsid w:val="005B0D5B"/>
    <w:rsid w:val="005B298F"/>
    <w:rsid w:val="005B2B68"/>
    <w:rsid w:val="005B3157"/>
    <w:rsid w:val="005B3792"/>
    <w:rsid w:val="005B3C5D"/>
    <w:rsid w:val="005B4FF2"/>
    <w:rsid w:val="005B5D40"/>
    <w:rsid w:val="005B5F82"/>
    <w:rsid w:val="005B6030"/>
    <w:rsid w:val="005B7D78"/>
    <w:rsid w:val="005B7EBD"/>
    <w:rsid w:val="005C0D6E"/>
    <w:rsid w:val="005C0E46"/>
    <w:rsid w:val="005C11AA"/>
    <w:rsid w:val="005C1A86"/>
    <w:rsid w:val="005C1F83"/>
    <w:rsid w:val="005C3E17"/>
    <w:rsid w:val="005C623D"/>
    <w:rsid w:val="005C643D"/>
    <w:rsid w:val="005C699B"/>
    <w:rsid w:val="005C776A"/>
    <w:rsid w:val="005C7FE6"/>
    <w:rsid w:val="005D2280"/>
    <w:rsid w:val="005D3AE2"/>
    <w:rsid w:val="005D3FD4"/>
    <w:rsid w:val="005D6A8E"/>
    <w:rsid w:val="005D6CDC"/>
    <w:rsid w:val="005D78CD"/>
    <w:rsid w:val="005E10AA"/>
    <w:rsid w:val="005E21FD"/>
    <w:rsid w:val="005E2772"/>
    <w:rsid w:val="005E2BEE"/>
    <w:rsid w:val="005E396E"/>
    <w:rsid w:val="005E3D73"/>
    <w:rsid w:val="005E4401"/>
    <w:rsid w:val="005E4F33"/>
    <w:rsid w:val="005E59F3"/>
    <w:rsid w:val="005E5AA1"/>
    <w:rsid w:val="005E6988"/>
    <w:rsid w:val="005F0248"/>
    <w:rsid w:val="005F0321"/>
    <w:rsid w:val="005F1AE8"/>
    <w:rsid w:val="005F1C54"/>
    <w:rsid w:val="005F343B"/>
    <w:rsid w:val="005F34DF"/>
    <w:rsid w:val="005F4C1C"/>
    <w:rsid w:val="005F506F"/>
    <w:rsid w:val="005F5307"/>
    <w:rsid w:val="005F635D"/>
    <w:rsid w:val="005F719E"/>
    <w:rsid w:val="006001C1"/>
    <w:rsid w:val="00600CC6"/>
    <w:rsid w:val="00600EC2"/>
    <w:rsid w:val="00601A80"/>
    <w:rsid w:val="00604981"/>
    <w:rsid w:val="00606AB1"/>
    <w:rsid w:val="0060742D"/>
    <w:rsid w:val="00612938"/>
    <w:rsid w:val="00613490"/>
    <w:rsid w:val="006153D4"/>
    <w:rsid w:val="006177B9"/>
    <w:rsid w:val="00621030"/>
    <w:rsid w:val="0062397C"/>
    <w:rsid w:val="0062428B"/>
    <w:rsid w:val="0062484E"/>
    <w:rsid w:val="00624A9A"/>
    <w:rsid w:val="00630E8C"/>
    <w:rsid w:val="006312EE"/>
    <w:rsid w:val="00631746"/>
    <w:rsid w:val="006328FA"/>
    <w:rsid w:val="00632B29"/>
    <w:rsid w:val="00634BB3"/>
    <w:rsid w:val="006358B4"/>
    <w:rsid w:val="0063727B"/>
    <w:rsid w:val="00642C4D"/>
    <w:rsid w:val="00642CC1"/>
    <w:rsid w:val="00644A29"/>
    <w:rsid w:val="00644C20"/>
    <w:rsid w:val="006451CD"/>
    <w:rsid w:val="006455F0"/>
    <w:rsid w:val="00645854"/>
    <w:rsid w:val="00647661"/>
    <w:rsid w:val="00650262"/>
    <w:rsid w:val="00650C76"/>
    <w:rsid w:val="0065159C"/>
    <w:rsid w:val="00651C4B"/>
    <w:rsid w:val="0065567B"/>
    <w:rsid w:val="006576DC"/>
    <w:rsid w:val="00657E23"/>
    <w:rsid w:val="00660957"/>
    <w:rsid w:val="006610BE"/>
    <w:rsid w:val="006612F5"/>
    <w:rsid w:val="00662CB5"/>
    <w:rsid w:val="00662E8C"/>
    <w:rsid w:val="00662EE4"/>
    <w:rsid w:val="0066325B"/>
    <w:rsid w:val="006632F6"/>
    <w:rsid w:val="00664858"/>
    <w:rsid w:val="00665914"/>
    <w:rsid w:val="0066664B"/>
    <w:rsid w:val="006679AE"/>
    <w:rsid w:val="006679F2"/>
    <w:rsid w:val="00667DD9"/>
    <w:rsid w:val="00670775"/>
    <w:rsid w:val="00670A3D"/>
    <w:rsid w:val="00670C76"/>
    <w:rsid w:val="00671326"/>
    <w:rsid w:val="006715D3"/>
    <w:rsid w:val="00673E08"/>
    <w:rsid w:val="00674796"/>
    <w:rsid w:val="0067788B"/>
    <w:rsid w:val="00677953"/>
    <w:rsid w:val="006807F9"/>
    <w:rsid w:val="00683A6C"/>
    <w:rsid w:val="00684641"/>
    <w:rsid w:val="00684977"/>
    <w:rsid w:val="006863DE"/>
    <w:rsid w:val="006866B1"/>
    <w:rsid w:val="00692825"/>
    <w:rsid w:val="006931BC"/>
    <w:rsid w:val="00694955"/>
    <w:rsid w:val="00694974"/>
    <w:rsid w:val="00696C39"/>
    <w:rsid w:val="006A029C"/>
    <w:rsid w:val="006A101E"/>
    <w:rsid w:val="006A2886"/>
    <w:rsid w:val="006A3209"/>
    <w:rsid w:val="006A3289"/>
    <w:rsid w:val="006A3EB0"/>
    <w:rsid w:val="006A410A"/>
    <w:rsid w:val="006A5C60"/>
    <w:rsid w:val="006A6F40"/>
    <w:rsid w:val="006A6F96"/>
    <w:rsid w:val="006A71FB"/>
    <w:rsid w:val="006B04C6"/>
    <w:rsid w:val="006B2152"/>
    <w:rsid w:val="006B2830"/>
    <w:rsid w:val="006B4CA9"/>
    <w:rsid w:val="006B5C91"/>
    <w:rsid w:val="006B7ACE"/>
    <w:rsid w:val="006C05FC"/>
    <w:rsid w:val="006C08C3"/>
    <w:rsid w:val="006C125B"/>
    <w:rsid w:val="006C23F0"/>
    <w:rsid w:val="006C36EA"/>
    <w:rsid w:val="006C51A2"/>
    <w:rsid w:val="006C54D7"/>
    <w:rsid w:val="006C5A79"/>
    <w:rsid w:val="006C5D5D"/>
    <w:rsid w:val="006D17DE"/>
    <w:rsid w:val="006D23EC"/>
    <w:rsid w:val="006D2927"/>
    <w:rsid w:val="006D30F3"/>
    <w:rsid w:val="006D3C34"/>
    <w:rsid w:val="006D4131"/>
    <w:rsid w:val="006E23D1"/>
    <w:rsid w:val="006E3546"/>
    <w:rsid w:val="006E491A"/>
    <w:rsid w:val="006E680F"/>
    <w:rsid w:val="006F095D"/>
    <w:rsid w:val="006F1181"/>
    <w:rsid w:val="006F13C0"/>
    <w:rsid w:val="006F3019"/>
    <w:rsid w:val="006F30D3"/>
    <w:rsid w:val="006F421C"/>
    <w:rsid w:val="006F4892"/>
    <w:rsid w:val="006F5F3F"/>
    <w:rsid w:val="006F5F90"/>
    <w:rsid w:val="006F6837"/>
    <w:rsid w:val="006F68BE"/>
    <w:rsid w:val="006F7A21"/>
    <w:rsid w:val="00700481"/>
    <w:rsid w:val="00700D7B"/>
    <w:rsid w:val="00700F4F"/>
    <w:rsid w:val="00701793"/>
    <w:rsid w:val="00701F73"/>
    <w:rsid w:val="007024EF"/>
    <w:rsid w:val="0070303F"/>
    <w:rsid w:val="00703705"/>
    <w:rsid w:val="00703CE3"/>
    <w:rsid w:val="007043BC"/>
    <w:rsid w:val="0070545C"/>
    <w:rsid w:val="007065CE"/>
    <w:rsid w:val="0070684C"/>
    <w:rsid w:val="00707B66"/>
    <w:rsid w:val="00710988"/>
    <w:rsid w:val="00710C37"/>
    <w:rsid w:val="00711683"/>
    <w:rsid w:val="0071182F"/>
    <w:rsid w:val="0071201D"/>
    <w:rsid w:val="00714B4B"/>
    <w:rsid w:val="00716EFE"/>
    <w:rsid w:val="007175AA"/>
    <w:rsid w:val="00720400"/>
    <w:rsid w:val="00720537"/>
    <w:rsid w:val="00720B7D"/>
    <w:rsid w:val="00721153"/>
    <w:rsid w:val="007215BB"/>
    <w:rsid w:val="00722042"/>
    <w:rsid w:val="00722C39"/>
    <w:rsid w:val="00724226"/>
    <w:rsid w:val="00724B9F"/>
    <w:rsid w:val="00724BC0"/>
    <w:rsid w:val="00725DBD"/>
    <w:rsid w:val="007268BA"/>
    <w:rsid w:val="00726A53"/>
    <w:rsid w:val="00726DB6"/>
    <w:rsid w:val="00730935"/>
    <w:rsid w:val="007317AA"/>
    <w:rsid w:val="00732F91"/>
    <w:rsid w:val="0073380D"/>
    <w:rsid w:val="00733FF8"/>
    <w:rsid w:val="00734BB9"/>
    <w:rsid w:val="007352A3"/>
    <w:rsid w:val="007375A6"/>
    <w:rsid w:val="00737D09"/>
    <w:rsid w:val="00737D0B"/>
    <w:rsid w:val="00737D5F"/>
    <w:rsid w:val="00740327"/>
    <w:rsid w:val="00740CB5"/>
    <w:rsid w:val="00741F0E"/>
    <w:rsid w:val="00742D75"/>
    <w:rsid w:val="00743877"/>
    <w:rsid w:val="00750556"/>
    <w:rsid w:val="00752110"/>
    <w:rsid w:val="0075252F"/>
    <w:rsid w:val="00752FF1"/>
    <w:rsid w:val="00754558"/>
    <w:rsid w:val="007547EA"/>
    <w:rsid w:val="00754AE0"/>
    <w:rsid w:val="007554BF"/>
    <w:rsid w:val="0075648F"/>
    <w:rsid w:val="007574C6"/>
    <w:rsid w:val="0076287B"/>
    <w:rsid w:val="00763A51"/>
    <w:rsid w:val="007656CD"/>
    <w:rsid w:val="00767986"/>
    <w:rsid w:val="00770133"/>
    <w:rsid w:val="007702D8"/>
    <w:rsid w:val="007720D6"/>
    <w:rsid w:val="007727E6"/>
    <w:rsid w:val="00772F54"/>
    <w:rsid w:val="00774463"/>
    <w:rsid w:val="007749E6"/>
    <w:rsid w:val="007751E0"/>
    <w:rsid w:val="0077550A"/>
    <w:rsid w:val="0077551D"/>
    <w:rsid w:val="007760AC"/>
    <w:rsid w:val="00776642"/>
    <w:rsid w:val="007775E2"/>
    <w:rsid w:val="00777646"/>
    <w:rsid w:val="00777EFC"/>
    <w:rsid w:val="007807F9"/>
    <w:rsid w:val="007809CC"/>
    <w:rsid w:val="00780A63"/>
    <w:rsid w:val="007812F8"/>
    <w:rsid w:val="007815DD"/>
    <w:rsid w:val="00781DD4"/>
    <w:rsid w:val="00784201"/>
    <w:rsid w:val="00785727"/>
    <w:rsid w:val="007871C4"/>
    <w:rsid w:val="00787A2B"/>
    <w:rsid w:val="00791C50"/>
    <w:rsid w:val="0079400D"/>
    <w:rsid w:val="00794977"/>
    <w:rsid w:val="007949F8"/>
    <w:rsid w:val="007950C6"/>
    <w:rsid w:val="007953B3"/>
    <w:rsid w:val="00795D6F"/>
    <w:rsid w:val="0079644B"/>
    <w:rsid w:val="007969D9"/>
    <w:rsid w:val="00796EBA"/>
    <w:rsid w:val="00797B4A"/>
    <w:rsid w:val="007A02A5"/>
    <w:rsid w:val="007A09A4"/>
    <w:rsid w:val="007A1CC2"/>
    <w:rsid w:val="007A1D6F"/>
    <w:rsid w:val="007A25EC"/>
    <w:rsid w:val="007A33C1"/>
    <w:rsid w:val="007A40CA"/>
    <w:rsid w:val="007A6797"/>
    <w:rsid w:val="007A77D4"/>
    <w:rsid w:val="007B0987"/>
    <w:rsid w:val="007B245E"/>
    <w:rsid w:val="007B2B40"/>
    <w:rsid w:val="007B31CC"/>
    <w:rsid w:val="007B3422"/>
    <w:rsid w:val="007B3DA1"/>
    <w:rsid w:val="007B3F80"/>
    <w:rsid w:val="007B457C"/>
    <w:rsid w:val="007C160E"/>
    <w:rsid w:val="007C3094"/>
    <w:rsid w:val="007C3577"/>
    <w:rsid w:val="007C7190"/>
    <w:rsid w:val="007D1BE8"/>
    <w:rsid w:val="007D3DFD"/>
    <w:rsid w:val="007D4580"/>
    <w:rsid w:val="007D4B25"/>
    <w:rsid w:val="007D63AF"/>
    <w:rsid w:val="007D7276"/>
    <w:rsid w:val="007D74B5"/>
    <w:rsid w:val="007D75E3"/>
    <w:rsid w:val="007D7E1B"/>
    <w:rsid w:val="007E162C"/>
    <w:rsid w:val="007E16F0"/>
    <w:rsid w:val="007E1962"/>
    <w:rsid w:val="007E1C60"/>
    <w:rsid w:val="007E35C4"/>
    <w:rsid w:val="007E387B"/>
    <w:rsid w:val="007E588C"/>
    <w:rsid w:val="007E6166"/>
    <w:rsid w:val="007E64D1"/>
    <w:rsid w:val="007F0B6F"/>
    <w:rsid w:val="007F0F61"/>
    <w:rsid w:val="007F141D"/>
    <w:rsid w:val="007F3118"/>
    <w:rsid w:val="007F4B3B"/>
    <w:rsid w:val="00801C67"/>
    <w:rsid w:val="00802220"/>
    <w:rsid w:val="0080321B"/>
    <w:rsid w:val="00803F1D"/>
    <w:rsid w:val="00803F30"/>
    <w:rsid w:val="0080447B"/>
    <w:rsid w:val="00805F50"/>
    <w:rsid w:val="0081196C"/>
    <w:rsid w:val="00812C85"/>
    <w:rsid w:val="00814586"/>
    <w:rsid w:val="00814844"/>
    <w:rsid w:val="00814A61"/>
    <w:rsid w:val="00815416"/>
    <w:rsid w:val="00816FFF"/>
    <w:rsid w:val="00821D49"/>
    <w:rsid w:val="0082208E"/>
    <w:rsid w:val="008224E3"/>
    <w:rsid w:val="00825DAA"/>
    <w:rsid w:val="008267E5"/>
    <w:rsid w:val="00827DAB"/>
    <w:rsid w:val="00827FCC"/>
    <w:rsid w:val="00830CEE"/>
    <w:rsid w:val="00833149"/>
    <w:rsid w:val="0083351F"/>
    <w:rsid w:val="00833A21"/>
    <w:rsid w:val="00833AE5"/>
    <w:rsid w:val="00835E57"/>
    <w:rsid w:val="00836F4B"/>
    <w:rsid w:val="0083708E"/>
    <w:rsid w:val="00842BEB"/>
    <w:rsid w:val="008431F6"/>
    <w:rsid w:val="00843417"/>
    <w:rsid w:val="00843475"/>
    <w:rsid w:val="0084432D"/>
    <w:rsid w:val="00844A75"/>
    <w:rsid w:val="008451ED"/>
    <w:rsid w:val="008454CC"/>
    <w:rsid w:val="00847FAA"/>
    <w:rsid w:val="00850DB4"/>
    <w:rsid w:val="00851D0B"/>
    <w:rsid w:val="008530F6"/>
    <w:rsid w:val="00853758"/>
    <w:rsid w:val="00856A9A"/>
    <w:rsid w:val="00857658"/>
    <w:rsid w:val="00857F30"/>
    <w:rsid w:val="00860793"/>
    <w:rsid w:val="00861974"/>
    <w:rsid w:val="008645D3"/>
    <w:rsid w:val="0086514E"/>
    <w:rsid w:val="008673C0"/>
    <w:rsid w:val="00870048"/>
    <w:rsid w:val="00872C21"/>
    <w:rsid w:val="00876389"/>
    <w:rsid w:val="008802E4"/>
    <w:rsid w:val="0088190E"/>
    <w:rsid w:val="00881F16"/>
    <w:rsid w:val="008822A8"/>
    <w:rsid w:val="008831D6"/>
    <w:rsid w:val="008838F3"/>
    <w:rsid w:val="00883CC9"/>
    <w:rsid w:val="008863E2"/>
    <w:rsid w:val="00890421"/>
    <w:rsid w:val="00890600"/>
    <w:rsid w:val="008927EF"/>
    <w:rsid w:val="00893091"/>
    <w:rsid w:val="008936F1"/>
    <w:rsid w:val="00894F72"/>
    <w:rsid w:val="008953E6"/>
    <w:rsid w:val="00895570"/>
    <w:rsid w:val="008A11A6"/>
    <w:rsid w:val="008A2D64"/>
    <w:rsid w:val="008A33DB"/>
    <w:rsid w:val="008A3A76"/>
    <w:rsid w:val="008A5351"/>
    <w:rsid w:val="008A5AD7"/>
    <w:rsid w:val="008B0023"/>
    <w:rsid w:val="008B14FC"/>
    <w:rsid w:val="008B1ADF"/>
    <w:rsid w:val="008B2357"/>
    <w:rsid w:val="008B285F"/>
    <w:rsid w:val="008B3F16"/>
    <w:rsid w:val="008B4F89"/>
    <w:rsid w:val="008B5FAF"/>
    <w:rsid w:val="008B64A1"/>
    <w:rsid w:val="008B6E67"/>
    <w:rsid w:val="008B6F9D"/>
    <w:rsid w:val="008C0702"/>
    <w:rsid w:val="008C0998"/>
    <w:rsid w:val="008C46AC"/>
    <w:rsid w:val="008C46EA"/>
    <w:rsid w:val="008D0A87"/>
    <w:rsid w:val="008D13D5"/>
    <w:rsid w:val="008D2411"/>
    <w:rsid w:val="008D3A03"/>
    <w:rsid w:val="008D3A38"/>
    <w:rsid w:val="008D3F0B"/>
    <w:rsid w:val="008E038F"/>
    <w:rsid w:val="008E0A17"/>
    <w:rsid w:val="008E1775"/>
    <w:rsid w:val="008E2E02"/>
    <w:rsid w:val="008E3124"/>
    <w:rsid w:val="008E56DA"/>
    <w:rsid w:val="008F0540"/>
    <w:rsid w:val="008F0D44"/>
    <w:rsid w:val="008F2D28"/>
    <w:rsid w:val="008F4C23"/>
    <w:rsid w:val="008F546F"/>
    <w:rsid w:val="008F5F54"/>
    <w:rsid w:val="008F6411"/>
    <w:rsid w:val="008F7C34"/>
    <w:rsid w:val="00900225"/>
    <w:rsid w:val="0090197D"/>
    <w:rsid w:val="00902FEA"/>
    <w:rsid w:val="00904186"/>
    <w:rsid w:val="009044E6"/>
    <w:rsid w:val="00905ADE"/>
    <w:rsid w:val="00905FA9"/>
    <w:rsid w:val="00907331"/>
    <w:rsid w:val="00907C53"/>
    <w:rsid w:val="00910CC5"/>
    <w:rsid w:val="00911CF7"/>
    <w:rsid w:val="009132EB"/>
    <w:rsid w:val="00913A26"/>
    <w:rsid w:val="00913D17"/>
    <w:rsid w:val="00913DB2"/>
    <w:rsid w:val="009149BB"/>
    <w:rsid w:val="00915567"/>
    <w:rsid w:val="009162E1"/>
    <w:rsid w:val="00916616"/>
    <w:rsid w:val="009178B2"/>
    <w:rsid w:val="00917C0A"/>
    <w:rsid w:val="00917D97"/>
    <w:rsid w:val="00920ADE"/>
    <w:rsid w:val="00923D3C"/>
    <w:rsid w:val="00925936"/>
    <w:rsid w:val="00925A2E"/>
    <w:rsid w:val="00926B7B"/>
    <w:rsid w:val="0092726D"/>
    <w:rsid w:val="0093050E"/>
    <w:rsid w:val="009318CB"/>
    <w:rsid w:val="00934CED"/>
    <w:rsid w:val="009356F3"/>
    <w:rsid w:val="00935B79"/>
    <w:rsid w:val="009404B3"/>
    <w:rsid w:val="00941AE1"/>
    <w:rsid w:val="009421C3"/>
    <w:rsid w:val="009427A1"/>
    <w:rsid w:val="00943121"/>
    <w:rsid w:val="00943293"/>
    <w:rsid w:val="00946AB2"/>
    <w:rsid w:val="0094742C"/>
    <w:rsid w:val="009477D1"/>
    <w:rsid w:val="0095048A"/>
    <w:rsid w:val="0095119C"/>
    <w:rsid w:val="00951766"/>
    <w:rsid w:val="00951D75"/>
    <w:rsid w:val="00955041"/>
    <w:rsid w:val="00955139"/>
    <w:rsid w:val="00955DF0"/>
    <w:rsid w:val="00956225"/>
    <w:rsid w:val="00956904"/>
    <w:rsid w:val="00956D6F"/>
    <w:rsid w:val="009574A4"/>
    <w:rsid w:val="00960AC2"/>
    <w:rsid w:val="00962C40"/>
    <w:rsid w:val="009637B1"/>
    <w:rsid w:val="009648BA"/>
    <w:rsid w:val="00965E98"/>
    <w:rsid w:val="0096611B"/>
    <w:rsid w:val="0096697D"/>
    <w:rsid w:val="00966E5B"/>
    <w:rsid w:val="00967ED4"/>
    <w:rsid w:val="0097090B"/>
    <w:rsid w:val="00970F1D"/>
    <w:rsid w:val="009719BF"/>
    <w:rsid w:val="00972614"/>
    <w:rsid w:val="0097429C"/>
    <w:rsid w:val="00975BE5"/>
    <w:rsid w:val="00977E5E"/>
    <w:rsid w:val="00980B19"/>
    <w:rsid w:val="00982758"/>
    <w:rsid w:val="00983D8D"/>
    <w:rsid w:val="00983F6D"/>
    <w:rsid w:val="00987443"/>
    <w:rsid w:val="009910CC"/>
    <w:rsid w:val="009912A4"/>
    <w:rsid w:val="00991316"/>
    <w:rsid w:val="00992240"/>
    <w:rsid w:val="00992301"/>
    <w:rsid w:val="00992342"/>
    <w:rsid w:val="00992AEA"/>
    <w:rsid w:val="00992D55"/>
    <w:rsid w:val="0099379E"/>
    <w:rsid w:val="009956B0"/>
    <w:rsid w:val="009959A1"/>
    <w:rsid w:val="0099743E"/>
    <w:rsid w:val="00997681"/>
    <w:rsid w:val="009A03BA"/>
    <w:rsid w:val="009A2404"/>
    <w:rsid w:val="009A2E84"/>
    <w:rsid w:val="009A490A"/>
    <w:rsid w:val="009A4C4B"/>
    <w:rsid w:val="009A6BC1"/>
    <w:rsid w:val="009A7C10"/>
    <w:rsid w:val="009B010C"/>
    <w:rsid w:val="009B01EC"/>
    <w:rsid w:val="009B061B"/>
    <w:rsid w:val="009B0C70"/>
    <w:rsid w:val="009B2F26"/>
    <w:rsid w:val="009B322F"/>
    <w:rsid w:val="009B37A3"/>
    <w:rsid w:val="009B409D"/>
    <w:rsid w:val="009B5BCB"/>
    <w:rsid w:val="009B648D"/>
    <w:rsid w:val="009B739D"/>
    <w:rsid w:val="009B75EA"/>
    <w:rsid w:val="009B75F2"/>
    <w:rsid w:val="009C1B83"/>
    <w:rsid w:val="009C1C18"/>
    <w:rsid w:val="009C2ACF"/>
    <w:rsid w:val="009C412D"/>
    <w:rsid w:val="009C4C5F"/>
    <w:rsid w:val="009C5EF5"/>
    <w:rsid w:val="009C6BF7"/>
    <w:rsid w:val="009C6D48"/>
    <w:rsid w:val="009C7064"/>
    <w:rsid w:val="009C77B2"/>
    <w:rsid w:val="009D2A7E"/>
    <w:rsid w:val="009D2CBB"/>
    <w:rsid w:val="009D39AB"/>
    <w:rsid w:val="009D3AEA"/>
    <w:rsid w:val="009D3FAE"/>
    <w:rsid w:val="009D45EB"/>
    <w:rsid w:val="009D4F6D"/>
    <w:rsid w:val="009D55FC"/>
    <w:rsid w:val="009D5969"/>
    <w:rsid w:val="009D66D5"/>
    <w:rsid w:val="009D6992"/>
    <w:rsid w:val="009D6C2E"/>
    <w:rsid w:val="009D728B"/>
    <w:rsid w:val="009D72DF"/>
    <w:rsid w:val="009E0241"/>
    <w:rsid w:val="009E1590"/>
    <w:rsid w:val="009E6148"/>
    <w:rsid w:val="009E7073"/>
    <w:rsid w:val="009E7B19"/>
    <w:rsid w:val="009F0F8E"/>
    <w:rsid w:val="009F1E0C"/>
    <w:rsid w:val="009F2806"/>
    <w:rsid w:val="009F2A90"/>
    <w:rsid w:val="009F37AE"/>
    <w:rsid w:val="009F3F11"/>
    <w:rsid w:val="009F7B58"/>
    <w:rsid w:val="009F7E10"/>
    <w:rsid w:val="00A0057B"/>
    <w:rsid w:val="00A00987"/>
    <w:rsid w:val="00A0273E"/>
    <w:rsid w:val="00A02988"/>
    <w:rsid w:val="00A041F7"/>
    <w:rsid w:val="00A05D7B"/>
    <w:rsid w:val="00A06EE5"/>
    <w:rsid w:val="00A1018B"/>
    <w:rsid w:val="00A10424"/>
    <w:rsid w:val="00A104C4"/>
    <w:rsid w:val="00A131CA"/>
    <w:rsid w:val="00A1396F"/>
    <w:rsid w:val="00A13F87"/>
    <w:rsid w:val="00A14F6F"/>
    <w:rsid w:val="00A16433"/>
    <w:rsid w:val="00A21C96"/>
    <w:rsid w:val="00A23130"/>
    <w:rsid w:val="00A24FF2"/>
    <w:rsid w:val="00A274FB"/>
    <w:rsid w:val="00A27734"/>
    <w:rsid w:val="00A30055"/>
    <w:rsid w:val="00A30DFC"/>
    <w:rsid w:val="00A31028"/>
    <w:rsid w:val="00A31C93"/>
    <w:rsid w:val="00A335B2"/>
    <w:rsid w:val="00A347F6"/>
    <w:rsid w:val="00A37622"/>
    <w:rsid w:val="00A37AED"/>
    <w:rsid w:val="00A40BFD"/>
    <w:rsid w:val="00A43AD3"/>
    <w:rsid w:val="00A45C45"/>
    <w:rsid w:val="00A47657"/>
    <w:rsid w:val="00A47822"/>
    <w:rsid w:val="00A5054A"/>
    <w:rsid w:val="00A5161F"/>
    <w:rsid w:val="00A53749"/>
    <w:rsid w:val="00A5405B"/>
    <w:rsid w:val="00A540D7"/>
    <w:rsid w:val="00A544FB"/>
    <w:rsid w:val="00A547F3"/>
    <w:rsid w:val="00A551FA"/>
    <w:rsid w:val="00A556C6"/>
    <w:rsid w:val="00A556E3"/>
    <w:rsid w:val="00A55DAC"/>
    <w:rsid w:val="00A56E2A"/>
    <w:rsid w:val="00A57B92"/>
    <w:rsid w:val="00A609FC"/>
    <w:rsid w:val="00A60AF8"/>
    <w:rsid w:val="00A626C8"/>
    <w:rsid w:val="00A646B2"/>
    <w:rsid w:val="00A651A6"/>
    <w:rsid w:val="00A6707E"/>
    <w:rsid w:val="00A67781"/>
    <w:rsid w:val="00A72209"/>
    <w:rsid w:val="00A7226F"/>
    <w:rsid w:val="00A7278F"/>
    <w:rsid w:val="00A72E04"/>
    <w:rsid w:val="00A7667D"/>
    <w:rsid w:val="00A76973"/>
    <w:rsid w:val="00A77252"/>
    <w:rsid w:val="00A84D5D"/>
    <w:rsid w:val="00A852E0"/>
    <w:rsid w:val="00A8602C"/>
    <w:rsid w:val="00A8636B"/>
    <w:rsid w:val="00A86411"/>
    <w:rsid w:val="00A9007C"/>
    <w:rsid w:val="00A90A3E"/>
    <w:rsid w:val="00A92E3B"/>
    <w:rsid w:val="00A931EC"/>
    <w:rsid w:val="00A932DB"/>
    <w:rsid w:val="00A94810"/>
    <w:rsid w:val="00A94BC4"/>
    <w:rsid w:val="00A97073"/>
    <w:rsid w:val="00A97A1D"/>
    <w:rsid w:val="00AA01B0"/>
    <w:rsid w:val="00AA13E4"/>
    <w:rsid w:val="00AA188E"/>
    <w:rsid w:val="00AA2519"/>
    <w:rsid w:val="00AA2696"/>
    <w:rsid w:val="00AA3F70"/>
    <w:rsid w:val="00AA55A1"/>
    <w:rsid w:val="00AA5B8E"/>
    <w:rsid w:val="00AA61E8"/>
    <w:rsid w:val="00AA7499"/>
    <w:rsid w:val="00AB02FA"/>
    <w:rsid w:val="00AB169A"/>
    <w:rsid w:val="00AB2EA4"/>
    <w:rsid w:val="00AB300D"/>
    <w:rsid w:val="00AB40B3"/>
    <w:rsid w:val="00AB4E76"/>
    <w:rsid w:val="00AB4EEC"/>
    <w:rsid w:val="00AB6C2F"/>
    <w:rsid w:val="00AB6D29"/>
    <w:rsid w:val="00AC0270"/>
    <w:rsid w:val="00AC1AB1"/>
    <w:rsid w:val="00AC2F49"/>
    <w:rsid w:val="00AC3414"/>
    <w:rsid w:val="00AC46EB"/>
    <w:rsid w:val="00AC5C97"/>
    <w:rsid w:val="00AC61CB"/>
    <w:rsid w:val="00AC6677"/>
    <w:rsid w:val="00AC67A1"/>
    <w:rsid w:val="00AC6B41"/>
    <w:rsid w:val="00AC7343"/>
    <w:rsid w:val="00AC741E"/>
    <w:rsid w:val="00AD0BB5"/>
    <w:rsid w:val="00AD1649"/>
    <w:rsid w:val="00AD2770"/>
    <w:rsid w:val="00AD3F87"/>
    <w:rsid w:val="00AD64DB"/>
    <w:rsid w:val="00AE0216"/>
    <w:rsid w:val="00AE0DAE"/>
    <w:rsid w:val="00AE123A"/>
    <w:rsid w:val="00AE1DDD"/>
    <w:rsid w:val="00AE2029"/>
    <w:rsid w:val="00AE2CC3"/>
    <w:rsid w:val="00AE2E54"/>
    <w:rsid w:val="00AE35F6"/>
    <w:rsid w:val="00AE3609"/>
    <w:rsid w:val="00AE3995"/>
    <w:rsid w:val="00AE3F71"/>
    <w:rsid w:val="00AE68E8"/>
    <w:rsid w:val="00AE6B8F"/>
    <w:rsid w:val="00AE6EB9"/>
    <w:rsid w:val="00AE7BDF"/>
    <w:rsid w:val="00AF052E"/>
    <w:rsid w:val="00AF09C1"/>
    <w:rsid w:val="00AF1F3A"/>
    <w:rsid w:val="00AF2237"/>
    <w:rsid w:val="00AF2410"/>
    <w:rsid w:val="00AF2F01"/>
    <w:rsid w:val="00AF72DA"/>
    <w:rsid w:val="00B01A09"/>
    <w:rsid w:val="00B022BD"/>
    <w:rsid w:val="00B029D8"/>
    <w:rsid w:val="00B02CD3"/>
    <w:rsid w:val="00B03CE6"/>
    <w:rsid w:val="00B05C34"/>
    <w:rsid w:val="00B05EDF"/>
    <w:rsid w:val="00B11310"/>
    <w:rsid w:val="00B13315"/>
    <w:rsid w:val="00B13E01"/>
    <w:rsid w:val="00B14383"/>
    <w:rsid w:val="00B154D4"/>
    <w:rsid w:val="00B16A8A"/>
    <w:rsid w:val="00B17EC6"/>
    <w:rsid w:val="00B2072D"/>
    <w:rsid w:val="00B20CA7"/>
    <w:rsid w:val="00B20F03"/>
    <w:rsid w:val="00B22041"/>
    <w:rsid w:val="00B22C85"/>
    <w:rsid w:val="00B23462"/>
    <w:rsid w:val="00B252EC"/>
    <w:rsid w:val="00B277AC"/>
    <w:rsid w:val="00B30624"/>
    <w:rsid w:val="00B3117E"/>
    <w:rsid w:val="00B31954"/>
    <w:rsid w:val="00B3227E"/>
    <w:rsid w:val="00B32AA6"/>
    <w:rsid w:val="00B32DDA"/>
    <w:rsid w:val="00B34F4D"/>
    <w:rsid w:val="00B34FD0"/>
    <w:rsid w:val="00B35561"/>
    <w:rsid w:val="00B362F4"/>
    <w:rsid w:val="00B36739"/>
    <w:rsid w:val="00B407E2"/>
    <w:rsid w:val="00B41930"/>
    <w:rsid w:val="00B4262B"/>
    <w:rsid w:val="00B4273F"/>
    <w:rsid w:val="00B4362E"/>
    <w:rsid w:val="00B43E0B"/>
    <w:rsid w:val="00B44F52"/>
    <w:rsid w:val="00B44FA9"/>
    <w:rsid w:val="00B45FA8"/>
    <w:rsid w:val="00B502CB"/>
    <w:rsid w:val="00B50A77"/>
    <w:rsid w:val="00B50D1B"/>
    <w:rsid w:val="00B5191F"/>
    <w:rsid w:val="00B52D85"/>
    <w:rsid w:val="00B54974"/>
    <w:rsid w:val="00B54A37"/>
    <w:rsid w:val="00B54D39"/>
    <w:rsid w:val="00B55EF9"/>
    <w:rsid w:val="00B56456"/>
    <w:rsid w:val="00B57A51"/>
    <w:rsid w:val="00B6056C"/>
    <w:rsid w:val="00B614BA"/>
    <w:rsid w:val="00B61844"/>
    <w:rsid w:val="00B621FC"/>
    <w:rsid w:val="00B62C7F"/>
    <w:rsid w:val="00B63F57"/>
    <w:rsid w:val="00B655D0"/>
    <w:rsid w:val="00B6671A"/>
    <w:rsid w:val="00B67047"/>
    <w:rsid w:val="00B67724"/>
    <w:rsid w:val="00B70F11"/>
    <w:rsid w:val="00B71B83"/>
    <w:rsid w:val="00B738FE"/>
    <w:rsid w:val="00B74549"/>
    <w:rsid w:val="00B74764"/>
    <w:rsid w:val="00B76D24"/>
    <w:rsid w:val="00B7753C"/>
    <w:rsid w:val="00B776B8"/>
    <w:rsid w:val="00B812B0"/>
    <w:rsid w:val="00B81858"/>
    <w:rsid w:val="00B82A4C"/>
    <w:rsid w:val="00B841A6"/>
    <w:rsid w:val="00B8431B"/>
    <w:rsid w:val="00B845FA"/>
    <w:rsid w:val="00B854EC"/>
    <w:rsid w:val="00B8579E"/>
    <w:rsid w:val="00B86697"/>
    <w:rsid w:val="00B86758"/>
    <w:rsid w:val="00B97C51"/>
    <w:rsid w:val="00B97CA7"/>
    <w:rsid w:val="00BA3FA7"/>
    <w:rsid w:val="00BA4444"/>
    <w:rsid w:val="00BA5E90"/>
    <w:rsid w:val="00BA6147"/>
    <w:rsid w:val="00BA624E"/>
    <w:rsid w:val="00BA6DA5"/>
    <w:rsid w:val="00BA7AE2"/>
    <w:rsid w:val="00BA7BA6"/>
    <w:rsid w:val="00BB0952"/>
    <w:rsid w:val="00BB13C7"/>
    <w:rsid w:val="00BB2361"/>
    <w:rsid w:val="00BB314C"/>
    <w:rsid w:val="00BB5355"/>
    <w:rsid w:val="00BB710D"/>
    <w:rsid w:val="00BC0AA9"/>
    <w:rsid w:val="00BC14F1"/>
    <w:rsid w:val="00BC3201"/>
    <w:rsid w:val="00BC33D6"/>
    <w:rsid w:val="00BC46B7"/>
    <w:rsid w:val="00BC4E14"/>
    <w:rsid w:val="00BC5205"/>
    <w:rsid w:val="00BC7E49"/>
    <w:rsid w:val="00BD21C8"/>
    <w:rsid w:val="00BD6D80"/>
    <w:rsid w:val="00BD700D"/>
    <w:rsid w:val="00BD7D23"/>
    <w:rsid w:val="00BD7E82"/>
    <w:rsid w:val="00BE05A1"/>
    <w:rsid w:val="00BE0809"/>
    <w:rsid w:val="00BE4199"/>
    <w:rsid w:val="00BE47C2"/>
    <w:rsid w:val="00BE48F2"/>
    <w:rsid w:val="00BE536C"/>
    <w:rsid w:val="00BE5C60"/>
    <w:rsid w:val="00BE6577"/>
    <w:rsid w:val="00BE71EA"/>
    <w:rsid w:val="00BE7822"/>
    <w:rsid w:val="00BE7D1F"/>
    <w:rsid w:val="00BF0305"/>
    <w:rsid w:val="00BF1600"/>
    <w:rsid w:val="00BF219B"/>
    <w:rsid w:val="00BF3049"/>
    <w:rsid w:val="00C00221"/>
    <w:rsid w:val="00C02E65"/>
    <w:rsid w:val="00C02F5E"/>
    <w:rsid w:val="00C042CC"/>
    <w:rsid w:val="00C0440D"/>
    <w:rsid w:val="00C04B52"/>
    <w:rsid w:val="00C05D3C"/>
    <w:rsid w:val="00C06647"/>
    <w:rsid w:val="00C075BC"/>
    <w:rsid w:val="00C1023A"/>
    <w:rsid w:val="00C10BA0"/>
    <w:rsid w:val="00C12844"/>
    <w:rsid w:val="00C138D8"/>
    <w:rsid w:val="00C13E80"/>
    <w:rsid w:val="00C14475"/>
    <w:rsid w:val="00C147C5"/>
    <w:rsid w:val="00C16E18"/>
    <w:rsid w:val="00C17F71"/>
    <w:rsid w:val="00C17FB7"/>
    <w:rsid w:val="00C21DF7"/>
    <w:rsid w:val="00C2281C"/>
    <w:rsid w:val="00C26493"/>
    <w:rsid w:val="00C27334"/>
    <w:rsid w:val="00C30A57"/>
    <w:rsid w:val="00C31F76"/>
    <w:rsid w:val="00C32B41"/>
    <w:rsid w:val="00C358DD"/>
    <w:rsid w:val="00C35BBE"/>
    <w:rsid w:val="00C37A84"/>
    <w:rsid w:val="00C37D96"/>
    <w:rsid w:val="00C41CB8"/>
    <w:rsid w:val="00C434C0"/>
    <w:rsid w:val="00C43710"/>
    <w:rsid w:val="00C44FFC"/>
    <w:rsid w:val="00C4509C"/>
    <w:rsid w:val="00C4538E"/>
    <w:rsid w:val="00C46EDF"/>
    <w:rsid w:val="00C51569"/>
    <w:rsid w:val="00C52A37"/>
    <w:rsid w:val="00C52AB3"/>
    <w:rsid w:val="00C5418E"/>
    <w:rsid w:val="00C55571"/>
    <w:rsid w:val="00C55FCF"/>
    <w:rsid w:val="00C5626C"/>
    <w:rsid w:val="00C5650E"/>
    <w:rsid w:val="00C603DD"/>
    <w:rsid w:val="00C61263"/>
    <w:rsid w:val="00C62E33"/>
    <w:rsid w:val="00C62E9F"/>
    <w:rsid w:val="00C6517D"/>
    <w:rsid w:val="00C66C43"/>
    <w:rsid w:val="00C67610"/>
    <w:rsid w:val="00C70381"/>
    <w:rsid w:val="00C70C75"/>
    <w:rsid w:val="00C71807"/>
    <w:rsid w:val="00C737C3"/>
    <w:rsid w:val="00C73E1F"/>
    <w:rsid w:val="00C73FD7"/>
    <w:rsid w:val="00C747D6"/>
    <w:rsid w:val="00C74819"/>
    <w:rsid w:val="00C74921"/>
    <w:rsid w:val="00C75B6F"/>
    <w:rsid w:val="00C77684"/>
    <w:rsid w:val="00C80E73"/>
    <w:rsid w:val="00C839BD"/>
    <w:rsid w:val="00C84CEF"/>
    <w:rsid w:val="00C85625"/>
    <w:rsid w:val="00C86438"/>
    <w:rsid w:val="00C9073D"/>
    <w:rsid w:val="00C91699"/>
    <w:rsid w:val="00C923DE"/>
    <w:rsid w:val="00C92B6C"/>
    <w:rsid w:val="00C948E6"/>
    <w:rsid w:val="00C95C45"/>
    <w:rsid w:val="00CA00C3"/>
    <w:rsid w:val="00CA03BB"/>
    <w:rsid w:val="00CA04FE"/>
    <w:rsid w:val="00CA0953"/>
    <w:rsid w:val="00CA1170"/>
    <w:rsid w:val="00CA2336"/>
    <w:rsid w:val="00CA4310"/>
    <w:rsid w:val="00CA4372"/>
    <w:rsid w:val="00CA500A"/>
    <w:rsid w:val="00CA6482"/>
    <w:rsid w:val="00CA70DA"/>
    <w:rsid w:val="00CB0014"/>
    <w:rsid w:val="00CB22F0"/>
    <w:rsid w:val="00CB33CB"/>
    <w:rsid w:val="00CB39FF"/>
    <w:rsid w:val="00CB4840"/>
    <w:rsid w:val="00CB5087"/>
    <w:rsid w:val="00CB6693"/>
    <w:rsid w:val="00CB6775"/>
    <w:rsid w:val="00CB6917"/>
    <w:rsid w:val="00CC2748"/>
    <w:rsid w:val="00CC3CC1"/>
    <w:rsid w:val="00CC3E81"/>
    <w:rsid w:val="00CC51D6"/>
    <w:rsid w:val="00CC59C1"/>
    <w:rsid w:val="00CC7692"/>
    <w:rsid w:val="00CC7DBB"/>
    <w:rsid w:val="00CD01A9"/>
    <w:rsid w:val="00CD1997"/>
    <w:rsid w:val="00CD1D0E"/>
    <w:rsid w:val="00CD20B2"/>
    <w:rsid w:val="00CD33C4"/>
    <w:rsid w:val="00CD3B13"/>
    <w:rsid w:val="00CD4C18"/>
    <w:rsid w:val="00CD53ED"/>
    <w:rsid w:val="00CD65FB"/>
    <w:rsid w:val="00CD7219"/>
    <w:rsid w:val="00CE0B10"/>
    <w:rsid w:val="00CE1FE0"/>
    <w:rsid w:val="00CE28A0"/>
    <w:rsid w:val="00CE4A91"/>
    <w:rsid w:val="00CE545A"/>
    <w:rsid w:val="00CE5863"/>
    <w:rsid w:val="00CE71BE"/>
    <w:rsid w:val="00CF0795"/>
    <w:rsid w:val="00CF0970"/>
    <w:rsid w:val="00CF3206"/>
    <w:rsid w:val="00CF326B"/>
    <w:rsid w:val="00CF36BD"/>
    <w:rsid w:val="00CF442E"/>
    <w:rsid w:val="00CF4487"/>
    <w:rsid w:val="00CF527B"/>
    <w:rsid w:val="00CF76E3"/>
    <w:rsid w:val="00D00AEC"/>
    <w:rsid w:val="00D00E89"/>
    <w:rsid w:val="00D028E1"/>
    <w:rsid w:val="00D029A0"/>
    <w:rsid w:val="00D03511"/>
    <w:rsid w:val="00D045FA"/>
    <w:rsid w:val="00D0460D"/>
    <w:rsid w:val="00D04AA5"/>
    <w:rsid w:val="00D07C7F"/>
    <w:rsid w:val="00D07C89"/>
    <w:rsid w:val="00D07D00"/>
    <w:rsid w:val="00D07FA8"/>
    <w:rsid w:val="00D10679"/>
    <w:rsid w:val="00D130A9"/>
    <w:rsid w:val="00D13B0C"/>
    <w:rsid w:val="00D14781"/>
    <w:rsid w:val="00D15451"/>
    <w:rsid w:val="00D15767"/>
    <w:rsid w:val="00D1696A"/>
    <w:rsid w:val="00D16DDA"/>
    <w:rsid w:val="00D175FE"/>
    <w:rsid w:val="00D17A69"/>
    <w:rsid w:val="00D212F9"/>
    <w:rsid w:val="00D230D6"/>
    <w:rsid w:val="00D23521"/>
    <w:rsid w:val="00D24412"/>
    <w:rsid w:val="00D24845"/>
    <w:rsid w:val="00D25F64"/>
    <w:rsid w:val="00D274AD"/>
    <w:rsid w:val="00D277F4"/>
    <w:rsid w:val="00D30302"/>
    <w:rsid w:val="00D31ECC"/>
    <w:rsid w:val="00D351BE"/>
    <w:rsid w:val="00D36060"/>
    <w:rsid w:val="00D36846"/>
    <w:rsid w:val="00D3792D"/>
    <w:rsid w:val="00D37D0C"/>
    <w:rsid w:val="00D40521"/>
    <w:rsid w:val="00D40FEB"/>
    <w:rsid w:val="00D41163"/>
    <w:rsid w:val="00D4292D"/>
    <w:rsid w:val="00D429E4"/>
    <w:rsid w:val="00D4405D"/>
    <w:rsid w:val="00D4692D"/>
    <w:rsid w:val="00D47044"/>
    <w:rsid w:val="00D514A5"/>
    <w:rsid w:val="00D53445"/>
    <w:rsid w:val="00D54D06"/>
    <w:rsid w:val="00D5531A"/>
    <w:rsid w:val="00D60949"/>
    <w:rsid w:val="00D62E9D"/>
    <w:rsid w:val="00D72073"/>
    <w:rsid w:val="00D72844"/>
    <w:rsid w:val="00D728B4"/>
    <w:rsid w:val="00D732E0"/>
    <w:rsid w:val="00D74653"/>
    <w:rsid w:val="00D74B15"/>
    <w:rsid w:val="00D74B26"/>
    <w:rsid w:val="00D77B70"/>
    <w:rsid w:val="00D8095B"/>
    <w:rsid w:val="00D80F15"/>
    <w:rsid w:val="00D84275"/>
    <w:rsid w:val="00D84A5E"/>
    <w:rsid w:val="00D84B60"/>
    <w:rsid w:val="00D850AE"/>
    <w:rsid w:val="00D852F9"/>
    <w:rsid w:val="00D875E2"/>
    <w:rsid w:val="00D879F1"/>
    <w:rsid w:val="00D87C22"/>
    <w:rsid w:val="00D902A1"/>
    <w:rsid w:val="00D93990"/>
    <w:rsid w:val="00D966B3"/>
    <w:rsid w:val="00D966E8"/>
    <w:rsid w:val="00DA06EE"/>
    <w:rsid w:val="00DA0B8E"/>
    <w:rsid w:val="00DA1A0F"/>
    <w:rsid w:val="00DA1E3E"/>
    <w:rsid w:val="00DA2F7F"/>
    <w:rsid w:val="00DA310B"/>
    <w:rsid w:val="00DA3636"/>
    <w:rsid w:val="00DA3E84"/>
    <w:rsid w:val="00DA4956"/>
    <w:rsid w:val="00DA4A1E"/>
    <w:rsid w:val="00DA4B93"/>
    <w:rsid w:val="00DA4FB6"/>
    <w:rsid w:val="00DA76D4"/>
    <w:rsid w:val="00DB2EB6"/>
    <w:rsid w:val="00DB61CA"/>
    <w:rsid w:val="00DB7B08"/>
    <w:rsid w:val="00DC0331"/>
    <w:rsid w:val="00DC124C"/>
    <w:rsid w:val="00DC1458"/>
    <w:rsid w:val="00DC162C"/>
    <w:rsid w:val="00DC3119"/>
    <w:rsid w:val="00DC3BA0"/>
    <w:rsid w:val="00DC479C"/>
    <w:rsid w:val="00DC62B1"/>
    <w:rsid w:val="00DC71F2"/>
    <w:rsid w:val="00DC7C2F"/>
    <w:rsid w:val="00DD05C6"/>
    <w:rsid w:val="00DD0798"/>
    <w:rsid w:val="00DD0B9B"/>
    <w:rsid w:val="00DD2C12"/>
    <w:rsid w:val="00DD6739"/>
    <w:rsid w:val="00DD6AAE"/>
    <w:rsid w:val="00DD727E"/>
    <w:rsid w:val="00DE0D32"/>
    <w:rsid w:val="00DE1353"/>
    <w:rsid w:val="00DE1AB6"/>
    <w:rsid w:val="00DE5409"/>
    <w:rsid w:val="00DE61F8"/>
    <w:rsid w:val="00DE62F7"/>
    <w:rsid w:val="00DE7C68"/>
    <w:rsid w:val="00DF1258"/>
    <w:rsid w:val="00DF16CF"/>
    <w:rsid w:val="00DF2359"/>
    <w:rsid w:val="00DF2508"/>
    <w:rsid w:val="00DF4ED7"/>
    <w:rsid w:val="00DF647D"/>
    <w:rsid w:val="00DF7133"/>
    <w:rsid w:val="00E00E50"/>
    <w:rsid w:val="00E00FA5"/>
    <w:rsid w:val="00E01B32"/>
    <w:rsid w:val="00E031BB"/>
    <w:rsid w:val="00E05135"/>
    <w:rsid w:val="00E05A2C"/>
    <w:rsid w:val="00E060A5"/>
    <w:rsid w:val="00E060E8"/>
    <w:rsid w:val="00E07135"/>
    <w:rsid w:val="00E078BF"/>
    <w:rsid w:val="00E1273D"/>
    <w:rsid w:val="00E12913"/>
    <w:rsid w:val="00E13224"/>
    <w:rsid w:val="00E1416D"/>
    <w:rsid w:val="00E14386"/>
    <w:rsid w:val="00E164B9"/>
    <w:rsid w:val="00E22979"/>
    <w:rsid w:val="00E237A1"/>
    <w:rsid w:val="00E24DED"/>
    <w:rsid w:val="00E26326"/>
    <w:rsid w:val="00E26574"/>
    <w:rsid w:val="00E2706D"/>
    <w:rsid w:val="00E27660"/>
    <w:rsid w:val="00E27A49"/>
    <w:rsid w:val="00E30180"/>
    <w:rsid w:val="00E30395"/>
    <w:rsid w:val="00E30D11"/>
    <w:rsid w:val="00E30F33"/>
    <w:rsid w:val="00E3137A"/>
    <w:rsid w:val="00E31E9B"/>
    <w:rsid w:val="00E3222E"/>
    <w:rsid w:val="00E342D8"/>
    <w:rsid w:val="00E3436E"/>
    <w:rsid w:val="00E35B94"/>
    <w:rsid w:val="00E36260"/>
    <w:rsid w:val="00E369BB"/>
    <w:rsid w:val="00E36F8F"/>
    <w:rsid w:val="00E37AE7"/>
    <w:rsid w:val="00E37AFE"/>
    <w:rsid w:val="00E37B0D"/>
    <w:rsid w:val="00E40AFC"/>
    <w:rsid w:val="00E413D3"/>
    <w:rsid w:val="00E41548"/>
    <w:rsid w:val="00E43557"/>
    <w:rsid w:val="00E4534C"/>
    <w:rsid w:val="00E46279"/>
    <w:rsid w:val="00E46549"/>
    <w:rsid w:val="00E4686E"/>
    <w:rsid w:val="00E46E18"/>
    <w:rsid w:val="00E50268"/>
    <w:rsid w:val="00E50970"/>
    <w:rsid w:val="00E51DD2"/>
    <w:rsid w:val="00E52610"/>
    <w:rsid w:val="00E5379A"/>
    <w:rsid w:val="00E5404E"/>
    <w:rsid w:val="00E54C77"/>
    <w:rsid w:val="00E56892"/>
    <w:rsid w:val="00E57E33"/>
    <w:rsid w:val="00E60214"/>
    <w:rsid w:val="00E63909"/>
    <w:rsid w:val="00E64405"/>
    <w:rsid w:val="00E673F7"/>
    <w:rsid w:val="00E67E2C"/>
    <w:rsid w:val="00E70D3A"/>
    <w:rsid w:val="00E71C49"/>
    <w:rsid w:val="00E759BD"/>
    <w:rsid w:val="00E769C5"/>
    <w:rsid w:val="00E77931"/>
    <w:rsid w:val="00E809A8"/>
    <w:rsid w:val="00E80AF7"/>
    <w:rsid w:val="00E80EE8"/>
    <w:rsid w:val="00E815DB"/>
    <w:rsid w:val="00E81A13"/>
    <w:rsid w:val="00E82176"/>
    <w:rsid w:val="00E82863"/>
    <w:rsid w:val="00E82896"/>
    <w:rsid w:val="00E83751"/>
    <w:rsid w:val="00E838FE"/>
    <w:rsid w:val="00E85054"/>
    <w:rsid w:val="00E855D7"/>
    <w:rsid w:val="00E85DFB"/>
    <w:rsid w:val="00E86FA2"/>
    <w:rsid w:val="00E90295"/>
    <w:rsid w:val="00E90D93"/>
    <w:rsid w:val="00E90E77"/>
    <w:rsid w:val="00E915F0"/>
    <w:rsid w:val="00E92E0F"/>
    <w:rsid w:val="00E93950"/>
    <w:rsid w:val="00E93E1D"/>
    <w:rsid w:val="00E941C7"/>
    <w:rsid w:val="00E94621"/>
    <w:rsid w:val="00E94F22"/>
    <w:rsid w:val="00E953BF"/>
    <w:rsid w:val="00E962D9"/>
    <w:rsid w:val="00E979D5"/>
    <w:rsid w:val="00EA0965"/>
    <w:rsid w:val="00EA0F5B"/>
    <w:rsid w:val="00EA3388"/>
    <w:rsid w:val="00EA367A"/>
    <w:rsid w:val="00EA3F92"/>
    <w:rsid w:val="00EA41EC"/>
    <w:rsid w:val="00EA456B"/>
    <w:rsid w:val="00EA4A84"/>
    <w:rsid w:val="00EA50B0"/>
    <w:rsid w:val="00EA7F1A"/>
    <w:rsid w:val="00EB1A24"/>
    <w:rsid w:val="00EB2383"/>
    <w:rsid w:val="00EB3179"/>
    <w:rsid w:val="00EB4F8E"/>
    <w:rsid w:val="00EB54B1"/>
    <w:rsid w:val="00EB54F9"/>
    <w:rsid w:val="00EB5703"/>
    <w:rsid w:val="00EB7259"/>
    <w:rsid w:val="00EC0265"/>
    <w:rsid w:val="00EC1A00"/>
    <w:rsid w:val="00EC2AF0"/>
    <w:rsid w:val="00EC3187"/>
    <w:rsid w:val="00EC3F65"/>
    <w:rsid w:val="00EC5D39"/>
    <w:rsid w:val="00EC7434"/>
    <w:rsid w:val="00EC7C2E"/>
    <w:rsid w:val="00ED2393"/>
    <w:rsid w:val="00ED331F"/>
    <w:rsid w:val="00ED3551"/>
    <w:rsid w:val="00ED4986"/>
    <w:rsid w:val="00ED55B1"/>
    <w:rsid w:val="00ED5D21"/>
    <w:rsid w:val="00ED5D4A"/>
    <w:rsid w:val="00ED61AF"/>
    <w:rsid w:val="00EE1E14"/>
    <w:rsid w:val="00EE204D"/>
    <w:rsid w:val="00EE3294"/>
    <w:rsid w:val="00EE33DB"/>
    <w:rsid w:val="00EE3D87"/>
    <w:rsid w:val="00EE5AF5"/>
    <w:rsid w:val="00EE5EFD"/>
    <w:rsid w:val="00EE5FC5"/>
    <w:rsid w:val="00EE67B0"/>
    <w:rsid w:val="00EE717D"/>
    <w:rsid w:val="00EE7DDC"/>
    <w:rsid w:val="00EF0A41"/>
    <w:rsid w:val="00EF1183"/>
    <w:rsid w:val="00EF481E"/>
    <w:rsid w:val="00EF6453"/>
    <w:rsid w:val="00EF6579"/>
    <w:rsid w:val="00EF6777"/>
    <w:rsid w:val="00EF6CBC"/>
    <w:rsid w:val="00F00049"/>
    <w:rsid w:val="00F0023A"/>
    <w:rsid w:val="00F019CF"/>
    <w:rsid w:val="00F03F30"/>
    <w:rsid w:val="00F0497D"/>
    <w:rsid w:val="00F050C5"/>
    <w:rsid w:val="00F06A40"/>
    <w:rsid w:val="00F071B3"/>
    <w:rsid w:val="00F071CD"/>
    <w:rsid w:val="00F10C06"/>
    <w:rsid w:val="00F13211"/>
    <w:rsid w:val="00F134B1"/>
    <w:rsid w:val="00F15913"/>
    <w:rsid w:val="00F17B67"/>
    <w:rsid w:val="00F20BD5"/>
    <w:rsid w:val="00F220A1"/>
    <w:rsid w:val="00F22731"/>
    <w:rsid w:val="00F228AB"/>
    <w:rsid w:val="00F2294D"/>
    <w:rsid w:val="00F22A4A"/>
    <w:rsid w:val="00F232F4"/>
    <w:rsid w:val="00F2370B"/>
    <w:rsid w:val="00F239AD"/>
    <w:rsid w:val="00F23B9D"/>
    <w:rsid w:val="00F24616"/>
    <w:rsid w:val="00F25243"/>
    <w:rsid w:val="00F257F5"/>
    <w:rsid w:val="00F26077"/>
    <w:rsid w:val="00F2760D"/>
    <w:rsid w:val="00F33A7C"/>
    <w:rsid w:val="00F342B2"/>
    <w:rsid w:val="00F347C4"/>
    <w:rsid w:val="00F35177"/>
    <w:rsid w:val="00F36575"/>
    <w:rsid w:val="00F37607"/>
    <w:rsid w:val="00F40DFF"/>
    <w:rsid w:val="00F40F49"/>
    <w:rsid w:val="00F410E4"/>
    <w:rsid w:val="00F4134C"/>
    <w:rsid w:val="00F417B8"/>
    <w:rsid w:val="00F42659"/>
    <w:rsid w:val="00F42960"/>
    <w:rsid w:val="00F4317F"/>
    <w:rsid w:val="00F433A6"/>
    <w:rsid w:val="00F440FD"/>
    <w:rsid w:val="00F44221"/>
    <w:rsid w:val="00F44242"/>
    <w:rsid w:val="00F44EC5"/>
    <w:rsid w:val="00F4587F"/>
    <w:rsid w:val="00F46D08"/>
    <w:rsid w:val="00F476EE"/>
    <w:rsid w:val="00F504CB"/>
    <w:rsid w:val="00F50954"/>
    <w:rsid w:val="00F51A55"/>
    <w:rsid w:val="00F51CAF"/>
    <w:rsid w:val="00F52402"/>
    <w:rsid w:val="00F52C9E"/>
    <w:rsid w:val="00F53608"/>
    <w:rsid w:val="00F536EE"/>
    <w:rsid w:val="00F55971"/>
    <w:rsid w:val="00F55F5B"/>
    <w:rsid w:val="00F56C7C"/>
    <w:rsid w:val="00F573F9"/>
    <w:rsid w:val="00F577EB"/>
    <w:rsid w:val="00F5792B"/>
    <w:rsid w:val="00F61590"/>
    <w:rsid w:val="00F62F1A"/>
    <w:rsid w:val="00F644FD"/>
    <w:rsid w:val="00F64B40"/>
    <w:rsid w:val="00F6515A"/>
    <w:rsid w:val="00F6575F"/>
    <w:rsid w:val="00F65E57"/>
    <w:rsid w:val="00F67800"/>
    <w:rsid w:val="00F67CE5"/>
    <w:rsid w:val="00F67DED"/>
    <w:rsid w:val="00F71C9D"/>
    <w:rsid w:val="00F72885"/>
    <w:rsid w:val="00F73C12"/>
    <w:rsid w:val="00F75F54"/>
    <w:rsid w:val="00F767A9"/>
    <w:rsid w:val="00F771E4"/>
    <w:rsid w:val="00F772BA"/>
    <w:rsid w:val="00F7751F"/>
    <w:rsid w:val="00F77A2A"/>
    <w:rsid w:val="00F80B9A"/>
    <w:rsid w:val="00F823FA"/>
    <w:rsid w:val="00F82820"/>
    <w:rsid w:val="00F8311F"/>
    <w:rsid w:val="00F8439C"/>
    <w:rsid w:val="00F850F8"/>
    <w:rsid w:val="00F874D7"/>
    <w:rsid w:val="00F878ED"/>
    <w:rsid w:val="00F9013A"/>
    <w:rsid w:val="00F92FDD"/>
    <w:rsid w:val="00F9383D"/>
    <w:rsid w:val="00F93F40"/>
    <w:rsid w:val="00F94480"/>
    <w:rsid w:val="00FA18A5"/>
    <w:rsid w:val="00FA1E2F"/>
    <w:rsid w:val="00FA3974"/>
    <w:rsid w:val="00FA5131"/>
    <w:rsid w:val="00FA5DCC"/>
    <w:rsid w:val="00FB06D5"/>
    <w:rsid w:val="00FB08D4"/>
    <w:rsid w:val="00FB23D2"/>
    <w:rsid w:val="00FB24A2"/>
    <w:rsid w:val="00FB41E0"/>
    <w:rsid w:val="00FB4B22"/>
    <w:rsid w:val="00FB4B3F"/>
    <w:rsid w:val="00FB6C99"/>
    <w:rsid w:val="00FB70C3"/>
    <w:rsid w:val="00FB7376"/>
    <w:rsid w:val="00FB7F14"/>
    <w:rsid w:val="00FC02AA"/>
    <w:rsid w:val="00FC3115"/>
    <w:rsid w:val="00FC33AB"/>
    <w:rsid w:val="00FC3C0D"/>
    <w:rsid w:val="00FC3E7B"/>
    <w:rsid w:val="00FC4CDC"/>
    <w:rsid w:val="00FC5125"/>
    <w:rsid w:val="00FC6764"/>
    <w:rsid w:val="00FC690E"/>
    <w:rsid w:val="00FC7114"/>
    <w:rsid w:val="00FC719F"/>
    <w:rsid w:val="00FC7F25"/>
    <w:rsid w:val="00FD0058"/>
    <w:rsid w:val="00FD2B98"/>
    <w:rsid w:val="00FD3BE8"/>
    <w:rsid w:val="00FD577B"/>
    <w:rsid w:val="00FD73FB"/>
    <w:rsid w:val="00FE0C59"/>
    <w:rsid w:val="00FE13EF"/>
    <w:rsid w:val="00FE1620"/>
    <w:rsid w:val="00FE3D3E"/>
    <w:rsid w:val="00FE702C"/>
    <w:rsid w:val="00FE7D73"/>
    <w:rsid w:val="00FF1BAC"/>
    <w:rsid w:val="00FF20C3"/>
    <w:rsid w:val="00FF23E5"/>
    <w:rsid w:val="00FF2FAF"/>
    <w:rsid w:val="00FF3DB2"/>
    <w:rsid w:val="00FF4107"/>
    <w:rsid w:val="00FF4AD8"/>
    <w:rsid w:val="00FF5ABA"/>
    <w:rsid w:val="00FF6E66"/>
    <w:rsid w:val="00FF7225"/>
    <w:rsid w:val="00FF7ACB"/>
    <w:rsid w:val="01237C30"/>
    <w:rsid w:val="018435AB"/>
    <w:rsid w:val="01971C00"/>
    <w:rsid w:val="019F3FCA"/>
    <w:rsid w:val="01AE33FE"/>
    <w:rsid w:val="01BD616A"/>
    <w:rsid w:val="023D678A"/>
    <w:rsid w:val="02CF612F"/>
    <w:rsid w:val="0308758D"/>
    <w:rsid w:val="03387DB0"/>
    <w:rsid w:val="038C73F9"/>
    <w:rsid w:val="039C0C7A"/>
    <w:rsid w:val="03A65C8A"/>
    <w:rsid w:val="03EC2581"/>
    <w:rsid w:val="041C379D"/>
    <w:rsid w:val="042929E0"/>
    <w:rsid w:val="04405E89"/>
    <w:rsid w:val="04424A4F"/>
    <w:rsid w:val="0467418C"/>
    <w:rsid w:val="047872FE"/>
    <w:rsid w:val="04847877"/>
    <w:rsid w:val="04E20425"/>
    <w:rsid w:val="057D11C8"/>
    <w:rsid w:val="06073AFE"/>
    <w:rsid w:val="061A3190"/>
    <w:rsid w:val="067D5433"/>
    <w:rsid w:val="06A15F83"/>
    <w:rsid w:val="071049BF"/>
    <w:rsid w:val="077965D0"/>
    <w:rsid w:val="07813CE4"/>
    <w:rsid w:val="088117F9"/>
    <w:rsid w:val="08911979"/>
    <w:rsid w:val="08D43117"/>
    <w:rsid w:val="092B1819"/>
    <w:rsid w:val="094E0AD4"/>
    <w:rsid w:val="095632F1"/>
    <w:rsid w:val="09627775"/>
    <w:rsid w:val="09837CAA"/>
    <w:rsid w:val="09A00DE6"/>
    <w:rsid w:val="09CB7602"/>
    <w:rsid w:val="09D34B44"/>
    <w:rsid w:val="0A8038C7"/>
    <w:rsid w:val="0B3A1579"/>
    <w:rsid w:val="0B5857AE"/>
    <w:rsid w:val="0B59266F"/>
    <w:rsid w:val="0B8963F8"/>
    <w:rsid w:val="0BDA4BD1"/>
    <w:rsid w:val="0BF03984"/>
    <w:rsid w:val="0C041D72"/>
    <w:rsid w:val="0C7F1C11"/>
    <w:rsid w:val="0CE12871"/>
    <w:rsid w:val="0D192D09"/>
    <w:rsid w:val="0D197F92"/>
    <w:rsid w:val="0D1B6402"/>
    <w:rsid w:val="0D3D4AB7"/>
    <w:rsid w:val="0D531BFC"/>
    <w:rsid w:val="0D9C586D"/>
    <w:rsid w:val="0DA552C6"/>
    <w:rsid w:val="0DB04D88"/>
    <w:rsid w:val="0DD278AF"/>
    <w:rsid w:val="0DD77C44"/>
    <w:rsid w:val="0E231F89"/>
    <w:rsid w:val="0E2F74FC"/>
    <w:rsid w:val="0E363F9D"/>
    <w:rsid w:val="0E67084B"/>
    <w:rsid w:val="0E752FC5"/>
    <w:rsid w:val="0ED70E64"/>
    <w:rsid w:val="0F142F1E"/>
    <w:rsid w:val="0F2D36F2"/>
    <w:rsid w:val="0F951D00"/>
    <w:rsid w:val="0FA7463C"/>
    <w:rsid w:val="0FD6182E"/>
    <w:rsid w:val="0FEE5F51"/>
    <w:rsid w:val="100E1F69"/>
    <w:rsid w:val="10641261"/>
    <w:rsid w:val="10651DB7"/>
    <w:rsid w:val="10A64381"/>
    <w:rsid w:val="10BE7EC7"/>
    <w:rsid w:val="10D4182A"/>
    <w:rsid w:val="10E52168"/>
    <w:rsid w:val="10FF1730"/>
    <w:rsid w:val="113C46A1"/>
    <w:rsid w:val="11662840"/>
    <w:rsid w:val="11787931"/>
    <w:rsid w:val="11D166DD"/>
    <w:rsid w:val="11EE7A77"/>
    <w:rsid w:val="11F03ABC"/>
    <w:rsid w:val="122004D8"/>
    <w:rsid w:val="122733D6"/>
    <w:rsid w:val="123740A1"/>
    <w:rsid w:val="12B17AB7"/>
    <w:rsid w:val="12EB3A90"/>
    <w:rsid w:val="135E32DF"/>
    <w:rsid w:val="1394392D"/>
    <w:rsid w:val="13D41B41"/>
    <w:rsid w:val="142A5125"/>
    <w:rsid w:val="14491045"/>
    <w:rsid w:val="14725519"/>
    <w:rsid w:val="14855484"/>
    <w:rsid w:val="14BD7F6C"/>
    <w:rsid w:val="1575531D"/>
    <w:rsid w:val="15EC2BD0"/>
    <w:rsid w:val="165668FB"/>
    <w:rsid w:val="16D9038E"/>
    <w:rsid w:val="16DB77A5"/>
    <w:rsid w:val="170417F4"/>
    <w:rsid w:val="17C302C4"/>
    <w:rsid w:val="17CE5F08"/>
    <w:rsid w:val="187D5B53"/>
    <w:rsid w:val="18AB5749"/>
    <w:rsid w:val="18B47AF7"/>
    <w:rsid w:val="18DB7199"/>
    <w:rsid w:val="18DD5229"/>
    <w:rsid w:val="18E826B9"/>
    <w:rsid w:val="196E2AF7"/>
    <w:rsid w:val="199814E1"/>
    <w:rsid w:val="19B32FF2"/>
    <w:rsid w:val="19D55F16"/>
    <w:rsid w:val="19E076DF"/>
    <w:rsid w:val="1B390075"/>
    <w:rsid w:val="1B3B3CBE"/>
    <w:rsid w:val="1B4A7A76"/>
    <w:rsid w:val="1B926AFD"/>
    <w:rsid w:val="1C52415D"/>
    <w:rsid w:val="1C5A1A9B"/>
    <w:rsid w:val="1D357B3C"/>
    <w:rsid w:val="1D4665B7"/>
    <w:rsid w:val="1E081852"/>
    <w:rsid w:val="1E616EBE"/>
    <w:rsid w:val="1E695F44"/>
    <w:rsid w:val="1E8D5FC2"/>
    <w:rsid w:val="1EB00D42"/>
    <w:rsid w:val="1EEC0BCC"/>
    <w:rsid w:val="1F5472F6"/>
    <w:rsid w:val="1FAE14CA"/>
    <w:rsid w:val="1FF22678"/>
    <w:rsid w:val="20852953"/>
    <w:rsid w:val="208B219D"/>
    <w:rsid w:val="210665AB"/>
    <w:rsid w:val="211A4054"/>
    <w:rsid w:val="21350C0D"/>
    <w:rsid w:val="21644AD8"/>
    <w:rsid w:val="217C0421"/>
    <w:rsid w:val="226816C3"/>
    <w:rsid w:val="227D0B87"/>
    <w:rsid w:val="22C83A71"/>
    <w:rsid w:val="22CA4D3C"/>
    <w:rsid w:val="23194FD2"/>
    <w:rsid w:val="233B539D"/>
    <w:rsid w:val="23843592"/>
    <w:rsid w:val="23CB4398"/>
    <w:rsid w:val="2424465B"/>
    <w:rsid w:val="2467067D"/>
    <w:rsid w:val="246C4A50"/>
    <w:rsid w:val="24930EAC"/>
    <w:rsid w:val="249D513C"/>
    <w:rsid w:val="24B246B9"/>
    <w:rsid w:val="24E65EB9"/>
    <w:rsid w:val="25473729"/>
    <w:rsid w:val="25B63DAF"/>
    <w:rsid w:val="25B651FC"/>
    <w:rsid w:val="25E95D0A"/>
    <w:rsid w:val="25EB0744"/>
    <w:rsid w:val="26112B82"/>
    <w:rsid w:val="26F11623"/>
    <w:rsid w:val="270A03B5"/>
    <w:rsid w:val="270C3F89"/>
    <w:rsid w:val="271D6C70"/>
    <w:rsid w:val="27845C75"/>
    <w:rsid w:val="27AE0520"/>
    <w:rsid w:val="280A6540"/>
    <w:rsid w:val="28132290"/>
    <w:rsid w:val="28647A6D"/>
    <w:rsid w:val="28C6798A"/>
    <w:rsid w:val="2A3B1CD8"/>
    <w:rsid w:val="2A3F62EA"/>
    <w:rsid w:val="2B341EF0"/>
    <w:rsid w:val="2BA20C1B"/>
    <w:rsid w:val="2BB737FE"/>
    <w:rsid w:val="2C16677A"/>
    <w:rsid w:val="2C57033E"/>
    <w:rsid w:val="2C647266"/>
    <w:rsid w:val="2C840918"/>
    <w:rsid w:val="2C9F6963"/>
    <w:rsid w:val="2CE97842"/>
    <w:rsid w:val="2D0E2A7A"/>
    <w:rsid w:val="2EB63498"/>
    <w:rsid w:val="2ECE67C9"/>
    <w:rsid w:val="2EDC780F"/>
    <w:rsid w:val="2EF2447D"/>
    <w:rsid w:val="2F571F60"/>
    <w:rsid w:val="2FE76B61"/>
    <w:rsid w:val="303E2CD1"/>
    <w:rsid w:val="30415EFA"/>
    <w:rsid w:val="305F4E05"/>
    <w:rsid w:val="30A61108"/>
    <w:rsid w:val="30B90E0A"/>
    <w:rsid w:val="30CC7AAE"/>
    <w:rsid w:val="30EA7987"/>
    <w:rsid w:val="31040B46"/>
    <w:rsid w:val="31526664"/>
    <w:rsid w:val="31A00113"/>
    <w:rsid w:val="31CF05F5"/>
    <w:rsid w:val="32124C36"/>
    <w:rsid w:val="3261777F"/>
    <w:rsid w:val="32911FA6"/>
    <w:rsid w:val="329B5F01"/>
    <w:rsid w:val="32E10964"/>
    <w:rsid w:val="32E83A92"/>
    <w:rsid w:val="335223C7"/>
    <w:rsid w:val="33A66AF9"/>
    <w:rsid w:val="33C30CE3"/>
    <w:rsid w:val="33EE2246"/>
    <w:rsid w:val="33FE7E8F"/>
    <w:rsid w:val="34323935"/>
    <w:rsid w:val="34565777"/>
    <w:rsid w:val="348722BC"/>
    <w:rsid w:val="34C304EF"/>
    <w:rsid w:val="351046B4"/>
    <w:rsid w:val="3556541B"/>
    <w:rsid w:val="355A716A"/>
    <w:rsid w:val="35F60BA8"/>
    <w:rsid w:val="36297EBF"/>
    <w:rsid w:val="366D0E58"/>
    <w:rsid w:val="369A2C21"/>
    <w:rsid w:val="36B9536D"/>
    <w:rsid w:val="37392265"/>
    <w:rsid w:val="38371749"/>
    <w:rsid w:val="38764613"/>
    <w:rsid w:val="38C82826"/>
    <w:rsid w:val="38D8381C"/>
    <w:rsid w:val="38FF7E3C"/>
    <w:rsid w:val="392D3DD1"/>
    <w:rsid w:val="39800315"/>
    <w:rsid w:val="398724B3"/>
    <w:rsid w:val="399514AA"/>
    <w:rsid w:val="39A8517A"/>
    <w:rsid w:val="39CC618A"/>
    <w:rsid w:val="3A386910"/>
    <w:rsid w:val="3A3C5316"/>
    <w:rsid w:val="3A545355"/>
    <w:rsid w:val="3A7876F9"/>
    <w:rsid w:val="3ABC60A4"/>
    <w:rsid w:val="3AF5446F"/>
    <w:rsid w:val="3B146BD8"/>
    <w:rsid w:val="3B807FE0"/>
    <w:rsid w:val="3B850EBB"/>
    <w:rsid w:val="3BD36CE7"/>
    <w:rsid w:val="3D491A17"/>
    <w:rsid w:val="3D7F3E64"/>
    <w:rsid w:val="3DCF4BEE"/>
    <w:rsid w:val="3EA42564"/>
    <w:rsid w:val="3F14330B"/>
    <w:rsid w:val="3FB3410E"/>
    <w:rsid w:val="3FC67C0B"/>
    <w:rsid w:val="4013542C"/>
    <w:rsid w:val="404C14C7"/>
    <w:rsid w:val="40F82226"/>
    <w:rsid w:val="4115548F"/>
    <w:rsid w:val="41487F2F"/>
    <w:rsid w:val="419C2D34"/>
    <w:rsid w:val="41AD2EA0"/>
    <w:rsid w:val="41B13BD3"/>
    <w:rsid w:val="41BE6F05"/>
    <w:rsid w:val="41ED1A49"/>
    <w:rsid w:val="432531F0"/>
    <w:rsid w:val="43312BCD"/>
    <w:rsid w:val="43644DE9"/>
    <w:rsid w:val="4375218F"/>
    <w:rsid w:val="43996FF6"/>
    <w:rsid w:val="43AA1C97"/>
    <w:rsid w:val="4448065F"/>
    <w:rsid w:val="445D5A5F"/>
    <w:rsid w:val="44693BCA"/>
    <w:rsid w:val="449717E8"/>
    <w:rsid w:val="44ED4C2D"/>
    <w:rsid w:val="44F90F11"/>
    <w:rsid w:val="456C3980"/>
    <w:rsid w:val="459B5C15"/>
    <w:rsid w:val="45DE7AA9"/>
    <w:rsid w:val="45F42AD6"/>
    <w:rsid w:val="46281617"/>
    <w:rsid w:val="462A160E"/>
    <w:rsid w:val="46D03329"/>
    <w:rsid w:val="46F2407E"/>
    <w:rsid w:val="471A2CA6"/>
    <w:rsid w:val="47827BE2"/>
    <w:rsid w:val="47C43FB5"/>
    <w:rsid w:val="47F422AD"/>
    <w:rsid w:val="483125A5"/>
    <w:rsid w:val="483E243C"/>
    <w:rsid w:val="48410561"/>
    <w:rsid w:val="48754407"/>
    <w:rsid w:val="48E02ACA"/>
    <w:rsid w:val="49274B97"/>
    <w:rsid w:val="495F4E2B"/>
    <w:rsid w:val="49EF1F8E"/>
    <w:rsid w:val="49FA3AEE"/>
    <w:rsid w:val="4A3035E9"/>
    <w:rsid w:val="4A6B77AC"/>
    <w:rsid w:val="4A872B5D"/>
    <w:rsid w:val="4AE96C2C"/>
    <w:rsid w:val="4AF33D06"/>
    <w:rsid w:val="4B062C63"/>
    <w:rsid w:val="4B260691"/>
    <w:rsid w:val="4B3057DC"/>
    <w:rsid w:val="4BA64E7E"/>
    <w:rsid w:val="4BB40C34"/>
    <w:rsid w:val="4C27487E"/>
    <w:rsid w:val="4C2B3A02"/>
    <w:rsid w:val="4C4A6347"/>
    <w:rsid w:val="4C575B4B"/>
    <w:rsid w:val="4C705D20"/>
    <w:rsid w:val="4C7D380D"/>
    <w:rsid w:val="4C9A2EAA"/>
    <w:rsid w:val="4CDC23A0"/>
    <w:rsid w:val="4D7F5A91"/>
    <w:rsid w:val="4DA04A0B"/>
    <w:rsid w:val="4DA37D6C"/>
    <w:rsid w:val="4DB82572"/>
    <w:rsid w:val="4DDF130B"/>
    <w:rsid w:val="4E02140A"/>
    <w:rsid w:val="4E286557"/>
    <w:rsid w:val="4E3C61BF"/>
    <w:rsid w:val="4EBA2DB7"/>
    <w:rsid w:val="4F241130"/>
    <w:rsid w:val="4F316279"/>
    <w:rsid w:val="4FA74248"/>
    <w:rsid w:val="4FFB289A"/>
    <w:rsid w:val="506D685B"/>
    <w:rsid w:val="507E5474"/>
    <w:rsid w:val="50D91458"/>
    <w:rsid w:val="510E7D88"/>
    <w:rsid w:val="51756A7F"/>
    <w:rsid w:val="51A87F87"/>
    <w:rsid w:val="51BE4008"/>
    <w:rsid w:val="52060787"/>
    <w:rsid w:val="523923AB"/>
    <w:rsid w:val="528F22AE"/>
    <w:rsid w:val="52FB4355"/>
    <w:rsid w:val="52FF45FC"/>
    <w:rsid w:val="53330273"/>
    <w:rsid w:val="5382528E"/>
    <w:rsid w:val="53D3456F"/>
    <w:rsid w:val="540C06D9"/>
    <w:rsid w:val="542F7288"/>
    <w:rsid w:val="54A57F16"/>
    <w:rsid w:val="54C827AC"/>
    <w:rsid w:val="5515222B"/>
    <w:rsid w:val="555A1AD1"/>
    <w:rsid w:val="556F195C"/>
    <w:rsid w:val="55960EB1"/>
    <w:rsid w:val="55D94ADD"/>
    <w:rsid w:val="55F93719"/>
    <w:rsid w:val="56301EF5"/>
    <w:rsid w:val="56B6547E"/>
    <w:rsid w:val="571D7FF8"/>
    <w:rsid w:val="5722142C"/>
    <w:rsid w:val="572A3D16"/>
    <w:rsid w:val="57B4762A"/>
    <w:rsid w:val="57C85503"/>
    <w:rsid w:val="583120BF"/>
    <w:rsid w:val="584042FE"/>
    <w:rsid w:val="58D10943"/>
    <w:rsid w:val="592C06E0"/>
    <w:rsid w:val="596C113B"/>
    <w:rsid w:val="59BD50C9"/>
    <w:rsid w:val="59D52770"/>
    <w:rsid w:val="59D70C4B"/>
    <w:rsid w:val="59FC1EE7"/>
    <w:rsid w:val="59FE333D"/>
    <w:rsid w:val="5A39158F"/>
    <w:rsid w:val="5A795734"/>
    <w:rsid w:val="5A7F33DC"/>
    <w:rsid w:val="5AAB4C54"/>
    <w:rsid w:val="5AB34FD2"/>
    <w:rsid w:val="5AE96D28"/>
    <w:rsid w:val="5BDC3023"/>
    <w:rsid w:val="5BEA35F8"/>
    <w:rsid w:val="5C4D4F1C"/>
    <w:rsid w:val="5C864257"/>
    <w:rsid w:val="5CC55322"/>
    <w:rsid w:val="5CE323F2"/>
    <w:rsid w:val="5CF10932"/>
    <w:rsid w:val="5D2A05E8"/>
    <w:rsid w:val="5D7A3E67"/>
    <w:rsid w:val="5D7D47EF"/>
    <w:rsid w:val="5D8366F8"/>
    <w:rsid w:val="5DDE609D"/>
    <w:rsid w:val="5E760519"/>
    <w:rsid w:val="5F2C3760"/>
    <w:rsid w:val="5F8B6B82"/>
    <w:rsid w:val="60454295"/>
    <w:rsid w:val="60471907"/>
    <w:rsid w:val="60555CAF"/>
    <w:rsid w:val="605A504B"/>
    <w:rsid w:val="60727166"/>
    <w:rsid w:val="60A30A53"/>
    <w:rsid w:val="60C76855"/>
    <w:rsid w:val="61310C7F"/>
    <w:rsid w:val="616A18E2"/>
    <w:rsid w:val="6174029D"/>
    <w:rsid w:val="61F636C4"/>
    <w:rsid w:val="61FC05CE"/>
    <w:rsid w:val="62A766F9"/>
    <w:rsid w:val="62D52550"/>
    <w:rsid w:val="62FE7FBA"/>
    <w:rsid w:val="63257BF6"/>
    <w:rsid w:val="63283088"/>
    <w:rsid w:val="63DC38E5"/>
    <w:rsid w:val="63ED5D7D"/>
    <w:rsid w:val="64252F1D"/>
    <w:rsid w:val="642D1FD6"/>
    <w:rsid w:val="64DC7C04"/>
    <w:rsid w:val="650076A4"/>
    <w:rsid w:val="6512323B"/>
    <w:rsid w:val="65AE1ED7"/>
    <w:rsid w:val="65BE216B"/>
    <w:rsid w:val="65D92346"/>
    <w:rsid w:val="66146427"/>
    <w:rsid w:val="662773D0"/>
    <w:rsid w:val="66557E11"/>
    <w:rsid w:val="66572974"/>
    <w:rsid w:val="66595E77"/>
    <w:rsid w:val="665A717C"/>
    <w:rsid w:val="668B794B"/>
    <w:rsid w:val="66B4376F"/>
    <w:rsid w:val="66C478C4"/>
    <w:rsid w:val="66C77631"/>
    <w:rsid w:val="67197643"/>
    <w:rsid w:val="675C6EA6"/>
    <w:rsid w:val="67AB1FA1"/>
    <w:rsid w:val="67E43582"/>
    <w:rsid w:val="67F85DE9"/>
    <w:rsid w:val="684756A2"/>
    <w:rsid w:val="69075AE0"/>
    <w:rsid w:val="690F4EED"/>
    <w:rsid w:val="69F134E0"/>
    <w:rsid w:val="69F65C71"/>
    <w:rsid w:val="6A49099D"/>
    <w:rsid w:val="6A4A5C8E"/>
    <w:rsid w:val="6A893BC4"/>
    <w:rsid w:val="6A942DCD"/>
    <w:rsid w:val="6AEE70FF"/>
    <w:rsid w:val="6B053EF2"/>
    <w:rsid w:val="6B4E7F57"/>
    <w:rsid w:val="6B81166C"/>
    <w:rsid w:val="6B950427"/>
    <w:rsid w:val="6C6968AB"/>
    <w:rsid w:val="6C9452A2"/>
    <w:rsid w:val="6CF85B48"/>
    <w:rsid w:val="6D0C2478"/>
    <w:rsid w:val="6D7E3451"/>
    <w:rsid w:val="6D86310E"/>
    <w:rsid w:val="6DF11C7A"/>
    <w:rsid w:val="6DFB742C"/>
    <w:rsid w:val="6E053B73"/>
    <w:rsid w:val="6E1F57B8"/>
    <w:rsid w:val="6E5C330A"/>
    <w:rsid w:val="6E5C6EBD"/>
    <w:rsid w:val="6E9A44DB"/>
    <w:rsid w:val="6F0C6842"/>
    <w:rsid w:val="6F2C43E8"/>
    <w:rsid w:val="6F567011"/>
    <w:rsid w:val="70174F21"/>
    <w:rsid w:val="709E2BBB"/>
    <w:rsid w:val="70BD2598"/>
    <w:rsid w:val="70C12509"/>
    <w:rsid w:val="70D56848"/>
    <w:rsid w:val="70E50DF7"/>
    <w:rsid w:val="71A103B0"/>
    <w:rsid w:val="71FD65D7"/>
    <w:rsid w:val="72457C98"/>
    <w:rsid w:val="72AA2ED8"/>
    <w:rsid w:val="73966EA2"/>
    <w:rsid w:val="739D3884"/>
    <w:rsid w:val="73DF6ED9"/>
    <w:rsid w:val="743D60C3"/>
    <w:rsid w:val="743E08AE"/>
    <w:rsid w:val="74884E76"/>
    <w:rsid w:val="748D654C"/>
    <w:rsid w:val="74C71ABA"/>
    <w:rsid w:val="74CF67CD"/>
    <w:rsid w:val="752C20C8"/>
    <w:rsid w:val="759C4D55"/>
    <w:rsid w:val="75C037EF"/>
    <w:rsid w:val="75F57BEE"/>
    <w:rsid w:val="760046F4"/>
    <w:rsid w:val="76403C12"/>
    <w:rsid w:val="76635305"/>
    <w:rsid w:val="766765CC"/>
    <w:rsid w:val="76FA0605"/>
    <w:rsid w:val="78032478"/>
    <w:rsid w:val="78E23F1C"/>
    <w:rsid w:val="79281010"/>
    <w:rsid w:val="79CF6659"/>
    <w:rsid w:val="7A2C7102"/>
    <w:rsid w:val="7A594B3D"/>
    <w:rsid w:val="7ABA4FFB"/>
    <w:rsid w:val="7ACF0A8A"/>
    <w:rsid w:val="7AE93772"/>
    <w:rsid w:val="7AEA70B6"/>
    <w:rsid w:val="7AEB1A20"/>
    <w:rsid w:val="7B1014F4"/>
    <w:rsid w:val="7B213A97"/>
    <w:rsid w:val="7B642130"/>
    <w:rsid w:val="7B93048C"/>
    <w:rsid w:val="7BD4087A"/>
    <w:rsid w:val="7BE505D2"/>
    <w:rsid w:val="7BF94918"/>
    <w:rsid w:val="7C1D07FF"/>
    <w:rsid w:val="7C884688"/>
    <w:rsid w:val="7C913F6E"/>
    <w:rsid w:val="7CF64F10"/>
    <w:rsid w:val="7D7035DC"/>
    <w:rsid w:val="7D9E4561"/>
    <w:rsid w:val="7DFE03BE"/>
    <w:rsid w:val="7E3776C8"/>
    <w:rsid w:val="7E4D256B"/>
    <w:rsid w:val="7E5302BC"/>
    <w:rsid w:val="7EA713D2"/>
    <w:rsid w:val="7F143C8D"/>
    <w:rsid w:val="7F243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7"/>
    <w:qFormat/>
    <w:uiPriority w:val="9"/>
    <w:pPr>
      <w:keepNext/>
      <w:keepLines/>
      <w:numPr>
        <w:ilvl w:val="0"/>
        <w:numId w:val="1"/>
      </w:numPr>
      <w:spacing w:line="360" w:lineRule="auto"/>
      <w:ind w:left="0" w:firstLine="0"/>
      <w:jc w:val="center"/>
      <w:outlineLvl w:val="0"/>
    </w:pPr>
    <w:rPr>
      <w:rFonts w:eastAsia="仿宋_GB2312"/>
      <w:b/>
      <w:kern w:val="44"/>
      <w:sz w:val="32"/>
      <w:szCs w:val="20"/>
    </w:rPr>
  </w:style>
  <w:style w:type="paragraph" w:styleId="4">
    <w:name w:val="heading 2"/>
    <w:basedOn w:val="1"/>
    <w:next w:val="1"/>
    <w:qFormat/>
    <w:uiPriority w:val="9"/>
    <w:pPr>
      <w:keepNext/>
      <w:keepLines/>
      <w:numPr>
        <w:ilvl w:val="0"/>
        <w:numId w:val="2"/>
      </w:numPr>
      <w:tabs>
        <w:tab w:val="left" w:pos="3960"/>
      </w:tabs>
      <w:spacing w:before="120" w:after="120"/>
      <w:ind w:left="0" w:firstLine="0"/>
      <w:jc w:val="center"/>
      <w:outlineLvl w:val="1"/>
    </w:pPr>
    <w:rPr>
      <w:rFonts w:ascii="Arial" w:hAnsi="Arial"/>
      <w:b/>
      <w:sz w:val="32"/>
      <w:szCs w:val="20"/>
    </w:rPr>
  </w:style>
  <w:style w:type="paragraph" w:styleId="5">
    <w:name w:val="heading 3"/>
    <w:basedOn w:val="1"/>
    <w:next w:val="1"/>
    <w:link w:val="229"/>
    <w:qFormat/>
    <w:uiPriority w:val="9"/>
    <w:pPr>
      <w:keepNext/>
      <w:keepLines/>
      <w:numPr>
        <w:ilvl w:val="2"/>
        <w:numId w:val="1"/>
      </w:numPr>
      <w:spacing w:before="260" w:after="260" w:line="416" w:lineRule="auto"/>
      <w:outlineLvl w:val="2"/>
    </w:pPr>
    <w:rPr>
      <w:rFonts w:eastAsia="仿宋_GB2312"/>
      <w:b/>
      <w:sz w:val="32"/>
      <w:szCs w:val="20"/>
    </w:rPr>
  </w:style>
  <w:style w:type="paragraph" w:styleId="6">
    <w:name w:val="heading 4"/>
    <w:basedOn w:val="1"/>
    <w:next w:val="7"/>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9">
    <w:name w:val="heading 5"/>
    <w:basedOn w:val="1"/>
    <w:next w:val="7"/>
    <w:qFormat/>
    <w:uiPriority w:val="0"/>
    <w:pPr>
      <w:keepNext/>
      <w:keepLines/>
      <w:spacing w:before="280" w:after="290" w:line="376" w:lineRule="auto"/>
      <w:outlineLvl w:val="4"/>
    </w:pPr>
    <w:rPr>
      <w:b/>
      <w:sz w:val="28"/>
      <w:szCs w:val="20"/>
    </w:rPr>
  </w:style>
  <w:style w:type="paragraph" w:styleId="10">
    <w:name w:val="heading 6"/>
    <w:basedOn w:val="1"/>
    <w:next w:val="7"/>
    <w:qFormat/>
    <w:uiPriority w:val="0"/>
    <w:pPr>
      <w:keepNext/>
      <w:keepLines/>
      <w:numPr>
        <w:ilvl w:val="5"/>
        <w:numId w:val="3"/>
      </w:numPr>
      <w:spacing w:before="240" w:after="64" w:line="320" w:lineRule="auto"/>
      <w:outlineLvl w:val="5"/>
    </w:pPr>
    <w:rPr>
      <w:rFonts w:ascii="Arial" w:hAnsi="Arial" w:eastAsia="黑体"/>
      <w:b/>
      <w:sz w:val="24"/>
      <w:szCs w:val="20"/>
    </w:rPr>
  </w:style>
  <w:style w:type="paragraph" w:styleId="11">
    <w:name w:val="heading 7"/>
    <w:basedOn w:val="1"/>
    <w:next w:val="7"/>
    <w:qFormat/>
    <w:uiPriority w:val="0"/>
    <w:pPr>
      <w:keepNext/>
      <w:keepLines/>
      <w:numPr>
        <w:ilvl w:val="6"/>
        <w:numId w:val="3"/>
      </w:numPr>
      <w:spacing w:before="240" w:after="64" w:line="320" w:lineRule="auto"/>
      <w:outlineLvl w:val="6"/>
    </w:pPr>
    <w:rPr>
      <w:b/>
      <w:sz w:val="24"/>
      <w:szCs w:val="20"/>
    </w:rPr>
  </w:style>
  <w:style w:type="paragraph" w:styleId="12">
    <w:name w:val="heading 8"/>
    <w:basedOn w:val="1"/>
    <w:next w:val="7"/>
    <w:qFormat/>
    <w:uiPriority w:val="0"/>
    <w:pPr>
      <w:keepNext/>
      <w:keepLines/>
      <w:numPr>
        <w:ilvl w:val="7"/>
        <w:numId w:val="3"/>
      </w:numPr>
      <w:spacing w:before="240" w:after="64" w:line="320" w:lineRule="auto"/>
      <w:outlineLvl w:val="7"/>
    </w:pPr>
    <w:rPr>
      <w:rFonts w:ascii="Arial" w:hAnsi="Arial" w:eastAsia="黑体"/>
      <w:sz w:val="24"/>
      <w:szCs w:val="20"/>
    </w:rPr>
  </w:style>
  <w:style w:type="paragraph" w:styleId="13">
    <w:name w:val="heading 9"/>
    <w:basedOn w:val="1"/>
    <w:next w:val="7"/>
    <w:qFormat/>
    <w:uiPriority w:val="0"/>
    <w:pPr>
      <w:keepNext/>
      <w:keepLines/>
      <w:numPr>
        <w:ilvl w:val="8"/>
        <w:numId w:val="3"/>
      </w:numPr>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
    <w:qFormat/>
    <w:uiPriority w:val="99"/>
    <w:pPr>
      <w:spacing w:after="120"/>
    </w:pPr>
  </w:style>
  <w:style w:type="paragraph" w:styleId="7">
    <w:name w:val="Normal Indent"/>
    <w:basedOn w:val="1"/>
    <w:next w:val="8"/>
    <w:link w:val="69"/>
    <w:qFormat/>
    <w:uiPriority w:val="0"/>
    <w:pPr>
      <w:ind w:firstLine="420" w:firstLineChars="200"/>
    </w:pPr>
  </w:style>
  <w:style w:type="paragraph" w:styleId="8">
    <w:name w:val="Body Text Indent"/>
    <w:basedOn w:val="1"/>
    <w:next w:val="7"/>
    <w:link w:val="68"/>
    <w:qFormat/>
    <w:uiPriority w:val="0"/>
    <w:pPr>
      <w:snapToGrid w:val="0"/>
      <w:spacing w:line="500" w:lineRule="atLeast"/>
      <w:ind w:left="-525" w:firstLine="525"/>
    </w:pPr>
    <w:rPr>
      <w:rFonts w:ascii="宋体"/>
      <w:sz w:val="24"/>
      <w:szCs w:val="20"/>
    </w:rPr>
  </w:style>
  <w:style w:type="paragraph" w:styleId="14">
    <w:name w:val="List Number"/>
    <w:basedOn w:val="1"/>
    <w:qFormat/>
    <w:uiPriority w:val="0"/>
    <w:pPr>
      <w:numPr>
        <w:ilvl w:val="0"/>
        <w:numId w:val="4"/>
      </w:numPr>
    </w:p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rPr>
  </w:style>
  <w:style w:type="paragraph" w:styleId="17">
    <w:name w:val="annotation text"/>
    <w:basedOn w:val="1"/>
    <w:semiHidden/>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lock Text"/>
    <w:basedOn w:val="1"/>
    <w:qFormat/>
    <w:uiPriority w:val="0"/>
    <w:pPr>
      <w:adjustRightInd w:val="0"/>
      <w:ind w:left="420" w:right="33"/>
      <w:jc w:val="left"/>
      <w:textAlignment w:val="baseline"/>
    </w:pPr>
    <w:rPr>
      <w:kern w:val="0"/>
      <w:sz w:val="24"/>
      <w:szCs w:val="20"/>
    </w:rPr>
  </w:style>
  <w:style w:type="paragraph" w:styleId="20">
    <w:name w:val="toc 3"/>
    <w:basedOn w:val="1"/>
    <w:next w:val="1"/>
    <w:semiHidden/>
    <w:qFormat/>
    <w:uiPriority w:val="0"/>
    <w:pPr>
      <w:tabs>
        <w:tab w:val="right" w:leader="dot" w:pos="9060"/>
      </w:tabs>
      <w:ind w:left="750" w:leftChars="300" w:hanging="120" w:hangingChars="50"/>
    </w:pPr>
    <w:rPr>
      <w:rFonts w:ascii="仿宋_GB2312" w:eastAsia="仿宋_GB2312"/>
      <w:sz w:val="24"/>
      <w:szCs w:val="36"/>
    </w:rPr>
  </w:style>
  <w:style w:type="paragraph" w:styleId="21">
    <w:name w:val="Plain Text"/>
    <w:basedOn w:val="1"/>
    <w:next w:val="22"/>
    <w:link w:val="71"/>
    <w:qFormat/>
    <w:uiPriority w:val="0"/>
    <w:rPr>
      <w:rFonts w:ascii="宋体" w:hAnsi="Courier New"/>
      <w:szCs w:val="20"/>
    </w:rPr>
  </w:style>
  <w:style w:type="paragraph" w:styleId="22">
    <w:name w:val="toc 2"/>
    <w:basedOn w:val="1"/>
    <w:next w:val="1"/>
    <w:qFormat/>
    <w:uiPriority w:val="39"/>
    <w:pPr>
      <w:tabs>
        <w:tab w:val="right" w:leader="dot" w:pos="9060"/>
      </w:tabs>
      <w:ind w:left="525" w:leftChars="250"/>
      <w:jc w:val="center"/>
    </w:pPr>
    <w:rPr>
      <w:rFonts w:eastAsia="仿宋_GB2312"/>
      <w:b/>
      <w:bCs/>
      <w:sz w:val="36"/>
      <w:szCs w:val="32"/>
    </w:rPr>
  </w:style>
  <w:style w:type="paragraph" w:styleId="23">
    <w:name w:val="Date"/>
    <w:basedOn w:val="1"/>
    <w:next w:val="1"/>
    <w:qFormat/>
    <w:uiPriority w:val="0"/>
    <w:rPr>
      <w:rFonts w:ascii="楷体_GB2312" w:eastAsia="楷体_GB2312"/>
      <w:b/>
      <w:sz w:val="28"/>
      <w:szCs w:val="20"/>
    </w:rPr>
  </w:style>
  <w:style w:type="paragraph" w:styleId="24">
    <w:name w:val="Body Text Indent 2"/>
    <w:basedOn w:val="1"/>
    <w:link w:val="70"/>
    <w:qFormat/>
    <w:uiPriority w:val="0"/>
    <w:pPr>
      <w:autoSpaceDE w:val="0"/>
      <w:autoSpaceDN w:val="0"/>
      <w:spacing w:line="440" w:lineRule="exact"/>
      <w:ind w:firstLine="360" w:firstLineChars="150"/>
    </w:pPr>
    <w:rPr>
      <w:rFonts w:ascii="仿宋_GB2312" w:hAnsi="GulimChe" w:eastAsia="仿宋_GB2312"/>
      <w:color w:val="000000"/>
      <w:sz w:val="24"/>
    </w:rPr>
  </w:style>
  <w:style w:type="paragraph" w:styleId="25">
    <w:name w:val="Balloon Text"/>
    <w:basedOn w:val="1"/>
    <w:link w:val="230"/>
    <w:semiHidden/>
    <w:qFormat/>
    <w:uiPriority w:val="99"/>
    <w:rPr>
      <w:sz w:val="18"/>
      <w:szCs w:val="18"/>
    </w:rPr>
  </w:style>
  <w:style w:type="paragraph" w:styleId="26">
    <w:name w:val="footer"/>
    <w:basedOn w:val="1"/>
    <w:link w:val="218"/>
    <w:qFormat/>
    <w:uiPriority w:val="99"/>
    <w:pPr>
      <w:tabs>
        <w:tab w:val="center" w:pos="4153"/>
        <w:tab w:val="right" w:pos="8306"/>
      </w:tabs>
    </w:pPr>
  </w:style>
  <w:style w:type="paragraph" w:styleId="27">
    <w:name w:val="envelope return"/>
    <w:basedOn w:val="2"/>
    <w:qFormat/>
    <w:uiPriority w:val="0"/>
    <w:pPr>
      <w:widowControl/>
      <w:adjustRightInd w:val="0"/>
      <w:spacing w:after="0" w:line="220" w:lineRule="atLeast"/>
      <w:ind w:firstLine="181"/>
      <w:jc w:val="left"/>
      <w:textAlignment w:val="baseline"/>
    </w:pPr>
    <w:rPr>
      <w:rFonts w:ascii="Arial" w:hAnsi="Arial"/>
      <w:kern w:val="0"/>
      <w:sz w:val="18"/>
      <w:szCs w:val="20"/>
    </w:rPr>
  </w:style>
  <w:style w:type="paragraph" w:styleId="28">
    <w:name w:val="header"/>
    <w:basedOn w:val="1"/>
    <w:link w:val="226"/>
    <w:qFormat/>
    <w:uiPriority w:val="99"/>
    <w:pPr>
      <w:tabs>
        <w:tab w:val="center" w:pos="4153"/>
        <w:tab w:val="right" w:pos="8306"/>
      </w:tabs>
    </w:pPr>
  </w:style>
  <w:style w:type="paragraph" w:styleId="29">
    <w:name w:val="Signature"/>
    <w:basedOn w:val="1"/>
    <w:next w:val="1"/>
    <w:qFormat/>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30">
    <w:name w:val="toc 1"/>
    <w:basedOn w:val="1"/>
    <w:next w:val="1"/>
    <w:qFormat/>
    <w:uiPriority w:val="39"/>
    <w:pPr>
      <w:ind w:left="1260" w:leftChars="100" w:right="100" w:rightChars="100"/>
    </w:pPr>
    <w:rPr>
      <w:rFonts w:eastAsia="仿宋_GB2312"/>
      <w:b/>
      <w:sz w:val="32"/>
    </w:rPr>
  </w:style>
  <w:style w:type="paragraph" w:styleId="31">
    <w:name w:val="toc 4"/>
    <w:basedOn w:val="1"/>
    <w:next w:val="1"/>
    <w:semiHidden/>
    <w:qFormat/>
    <w:uiPriority w:val="0"/>
    <w:pPr>
      <w:widowControl/>
      <w:spacing w:line="360" w:lineRule="auto"/>
      <w:jc w:val="left"/>
    </w:pPr>
    <w:rPr>
      <w:rFonts w:ascii="黑体" w:hAnsi="宋体" w:eastAsia="黑体"/>
      <w:b/>
      <w:bCs/>
      <w:color w:val="000000"/>
      <w:kern w:val="0"/>
      <w:sz w:val="28"/>
      <w:szCs w:val="21"/>
    </w:rPr>
  </w:style>
  <w:style w:type="paragraph" w:styleId="32">
    <w:name w:val="Body Text Indent 3"/>
    <w:basedOn w:val="1"/>
    <w:qFormat/>
    <w:uiPriority w:val="0"/>
    <w:pPr>
      <w:spacing w:line="360" w:lineRule="auto"/>
      <w:ind w:left="220"/>
      <w:jc w:val="left"/>
    </w:pPr>
    <w:rPr>
      <w:rFonts w:ascii="仿宋_GB2312" w:eastAsia="仿宋_GB2312"/>
      <w:color w:val="000000"/>
      <w:sz w:val="24"/>
    </w:rPr>
  </w:style>
  <w:style w:type="paragraph" w:styleId="33">
    <w:name w:val="Body Text 2"/>
    <w:basedOn w:val="1"/>
    <w:qFormat/>
    <w:uiPriority w:val="0"/>
    <w:pPr>
      <w:spacing w:line="560" w:lineRule="exact"/>
    </w:pPr>
    <w:rPr>
      <w:rFonts w:ascii="仿宋_GB2312" w:eastAsia="仿宋_GB2312"/>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next w:val="1"/>
    <w:link w:val="224"/>
    <w:qFormat/>
    <w:uiPriority w:val="0"/>
    <w:pPr>
      <w:spacing w:before="240" w:after="60"/>
      <w:jc w:val="center"/>
      <w:outlineLvl w:val="0"/>
    </w:pPr>
    <w:rPr>
      <w:rFonts w:asciiTheme="majorHAnsi" w:hAnsiTheme="majorHAnsi" w:cstheme="majorBidi"/>
      <w:b/>
      <w:bCs/>
      <w:sz w:val="32"/>
      <w:szCs w:val="32"/>
    </w:rPr>
  </w:style>
  <w:style w:type="paragraph" w:styleId="36">
    <w:name w:val="Body Text First Indent"/>
    <w:basedOn w:val="2"/>
    <w:qFormat/>
    <w:uiPriority w:val="0"/>
    <w:pPr>
      <w:ind w:firstLine="420" w:firstLineChars="100"/>
    </w:pPr>
  </w:style>
  <w:style w:type="paragraph" w:styleId="37">
    <w:name w:val="Body Text First Indent 2"/>
    <w:basedOn w:val="8"/>
    <w:qFormat/>
    <w:uiPriority w:val="0"/>
    <w:pPr>
      <w:snapToGrid/>
      <w:spacing w:after="120" w:line="240" w:lineRule="auto"/>
      <w:ind w:left="420" w:leftChars="200" w:firstLine="420" w:firstLineChars="200"/>
    </w:pPr>
    <w:rPr>
      <w:snapToGrid w:val="0"/>
      <w:sz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Elegant"/>
    <w:basedOn w:val="3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color w:val="CC0033"/>
    </w:rPr>
  </w:style>
  <w:style w:type="character" w:styleId="46">
    <w:name w:val="Hyperlink"/>
    <w:basedOn w:val="41"/>
    <w:qFormat/>
    <w:uiPriority w:val="99"/>
    <w:rPr>
      <w:color w:val="0000FF"/>
      <w:u w:val="single"/>
    </w:rPr>
  </w:style>
  <w:style w:type="character" w:customStyle="1" w:styleId="47">
    <w:name w:val="large1"/>
    <w:basedOn w:val="41"/>
    <w:qFormat/>
    <w:uiPriority w:val="0"/>
    <w:rPr>
      <w:rFonts w:hint="eastAsia" w:ascii="宋体" w:hAnsi="宋体" w:eastAsia="宋体"/>
      <w:sz w:val="21"/>
      <w:szCs w:val="21"/>
    </w:rPr>
  </w:style>
  <w:style w:type="character" w:customStyle="1" w:styleId="48">
    <w:name w:val="style21"/>
    <w:basedOn w:val="41"/>
    <w:qFormat/>
    <w:uiPriority w:val="0"/>
    <w:rPr>
      <w:color w:val="003366"/>
    </w:rPr>
  </w:style>
  <w:style w:type="character" w:customStyle="1" w:styleId="49">
    <w:name w:val="point_normal1"/>
    <w:basedOn w:val="41"/>
    <w:qFormat/>
    <w:uiPriority w:val="0"/>
    <w:rPr>
      <w:rFonts w:hint="default" w:ascii="Arial" w:hAnsi="Arial" w:cs="Arial"/>
      <w:sz w:val="18"/>
      <w:szCs w:val="18"/>
    </w:rPr>
  </w:style>
  <w:style w:type="character" w:customStyle="1" w:styleId="50">
    <w:name w:val="Plain Text Char"/>
    <w:qFormat/>
    <w:locked/>
    <w:uiPriority w:val="0"/>
    <w:rPr>
      <w:rFonts w:ascii="宋体" w:hAnsi="Courier New"/>
    </w:rPr>
  </w:style>
  <w:style w:type="character" w:customStyle="1" w:styleId="51">
    <w:name w:val="textfont1"/>
    <w:basedOn w:val="41"/>
    <w:qFormat/>
    <w:uiPriority w:val="0"/>
  </w:style>
  <w:style w:type="character" w:customStyle="1" w:styleId="52">
    <w:name w:val="titlestylelight1"/>
    <w:basedOn w:val="41"/>
    <w:qFormat/>
    <w:uiPriority w:val="0"/>
    <w:rPr>
      <w:rFonts w:hint="default" w:ascii="Arial" w:hAnsi="Arial" w:cs="Arial"/>
      <w:b/>
      <w:bCs/>
      <w:color w:val="666666"/>
      <w:sz w:val="18"/>
      <w:szCs w:val="18"/>
    </w:rPr>
  </w:style>
  <w:style w:type="character" w:customStyle="1" w:styleId="53">
    <w:name w:val="0921 Char1"/>
    <w:qFormat/>
    <w:uiPriority w:val="0"/>
    <w:rPr>
      <w:rFonts w:ascii="宋体" w:hAnsi="Courier New" w:eastAsia="宋体"/>
      <w:kern w:val="2"/>
      <w:sz w:val="21"/>
      <w:lang w:val="en-US" w:eastAsia="zh-CN" w:bidi="ar-SA"/>
    </w:rPr>
  </w:style>
  <w:style w:type="character" w:customStyle="1" w:styleId="54">
    <w:name w:val="表正文 Char"/>
    <w:basedOn w:val="41"/>
    <w:qFormat/>
    <w:uiPriority w:val="0"/>
    <w:rPr>
      <w:rFonts w:eastAsia="宋体"/>
      <w:kern w:val="2"/>
      <w:sz w:val="21"/>
      <w:lang w:val="en-US" w:eastAsia="zh-CN" w:bidi="ar-SA"/>
    </w:rPr>
  </w:style>
  <w:style w:type="character" w:customStyle="1" w:styleId="55">
    <w:name w:val="b titlename wangputoptitle"/>
    <w:basedOn w:val="41"/>
    <w:qFormat/>
    <w:uiPriority w:val="0"/>
  </w:style>
  <w:style w:type="character" w:customStyle="1" w:styleId="56">
    <w:name w:val="left1"/>
    <w:basedOn w:val="41"/>
    <w:qFormat/>
    <w:uiPriority w:val="0"/>
    <w:rPr>
      <w:sz w:val="18"/>
      <w:szCs w:val="18"/>
    </w:rPr>
  </w:style>
  <w:style w:type="character" w:customStyle="1" w:styleId="57">
    <w:name w:val="maywed421"/>
    <w:basedOn w:val="41"/>
    <w:qFormat/>
    <w:uiPriority w:val="0"/>
    <w:rPr>
      <w:color w:val="366FB6"/>
      <w:u w:val="none"/>
    </w:rPr>
  </w:style>
  <w:style w:type="character" w:customStyle="1" w:styleId="58">
    <w:name w:val="正文文本 字符"/>
    <w:basedOn w:val="41"/>
    <w:link w:val="2"/>
    <w:qFormat/>
    <w:uiPriority w:val="99"/>
    <w:rPr>
      <w:rFonts w:eastAsia="宋体"/>
      <w:kern w:val="2"/>
      <w:sz w:val="21"/>
      <w:szCs w:val="24"/>
      <w:lang w:val="en-US" w:eastAsia="zh-CN" w:bidi="ar-SA"/>
    </w:rPr>
  </w:style>
  <w:style w:type="character" w:customStyle="1" w:styleId="59">
    <w:name w:val="chanpinname"/>
    <w:basedOn w:val="41"/>
    <w:qFormat/>
    <w:uiPriority w:val="0"/>
  </w:style>
  <w:style w:type="character" w:customStyle="1" w:styleId="60">
    <w:name w:val="p141"/>
    <w:basedOn w:val="41"/>
    <w:qFormat/>
    <w:uiPriority w:val="0"/>
    <w:rPr>
      <w:sz w:val="21"/>
      <w:szCs w:val="21"/>
      <w:u w:val="none"/>
    </w:rPr>
  </w:style>
  <w:style w:type="character" w:customStyle="1" w:styleId="61">
    <w:name w:val="font3"/>
    <w:basedOn w:val="41"/>
    <w:qFormat/>
    <w:uiPriority w:val="0"/>
  </w:style>
  <w:style w:type="character" w:customStyle="1" w:styleId="62">
    <w:name w:val="f151"/>
    <w:basedOn w:val="41"/>
    <w:qFormat/>
    <w:uiPriority w:val="0"/>
    <w:rPr>
      <w:sz w:val="20"/>
      <w:szCs w:val="20"/>
    </w:rPr>
  </w:style>
  <w:style w:type="character" w:customStyle="1" w:styleId="63">
    <w:name w:val="标题 2 Char"/>
    <w:basedOn w:val="41"/>
    <w:qFormat/>
    <w:uiPriority w:val="9"/>
    <w:rPr>
      <w:rFonts w:ascii="宋体" w:hAnsi="宋体" w:eastAsia="黑体"/>
      <w:b/>
      <w:bCs/>
      <w:kern w:val="2"/>
      <w:sz w:val="24"/>
      <w:szCs w:val="32"/>
      <w:lang w:val="en-US" w:eastAsia="zh-CN" w:bidi="ar-SA"/>
    </w:rPr>
  </w:style>
  <w:style w:type="character" w:customStyle="1" w:styleId="64">
    <w:name w:val="Para head"/>
    <w:basedOn w:val="41"/>
    <w:qFormat/>
    <w:uiPriority w:val="0"/>
    <w:rPr>
      <w:rFonts w:ascii="Arial" w:hAnsi="Arial" w:eastAsia="Times New Roman"/>
      <w:sz w:val="20"/>
    </w:rPr>
  </w:style>
  <w:style w:type="character" w:customStyle="1" w:styleId="65">
    <w:name w:val="txt"/>
    <w:basedOn w:val="41"/>
    <w:qFormat/>
    <w:uiPriority w:val="0"/>
  </w:style>
  <w:style w:type="character" w:customStyle="1" w:styleId="66">
    <w:name w:val="Char Char4"/>
    <w:qFormat/>
    <w:locked/>
    <w:uiPriority w:val="0"/>
    <w:rPr>
      <w:rFonts w:eastAsia="宋体"/>
      <w:kern w:val="2"/>
      <w:sz w:val="21"/>
      <w:szCs w:val="24"/>
      <w:lang w:val="en-US" w:eastAsia="zh-CN" w:bidi="ar-SA"/>
    </w:rPr>
  </w:style>
  <w:style w:type="character" w:customStyle="1" w:styleId="67">
    <w:name w:val="htd0"/>
    <w:basedOn w:val="41"/>
    <w:qFormat/>
    <w:uiPriority w:val="0"/>
  </w:style>
  <w:style w:type="character" w:customStyle="1" w:styleId="68">
    <w:name w:val="正文文本缩进 字符"/>
    <w:basedOn w:val="41"/>
    <w:link w:val="8"/>
    <w:qFormat/>
    <w:uiPriority w:val="0"/>
    <w:rPr>
      <w:rFonts w:ascii="宋体" w:eastAsia="宋体"/>
      <w:kern w:val="2"/>
      <w:sz w:val="24"/>
      <w:lang w:val="en-US" w:eastAsia="zh-CN" w:bidi="ar-SA"/>
    </w:rPr>
  </w:style>
  <w:style w:type="character" w:customStyle="1" w:styleId="69">
    <w:name w:val="正文缩进 字符"/>
    <w:basedOn w:val="41"/>
    <w:link w:val="7"/>
    <w:qFormat/>
    <w:locked/>
    <w:uiPriority w:val="0"/>
    <w:rPr>
      <w:rFonts w:eastAsia="宋体"/>
      <w:kern w:val="2"/>
      <w:sz w:val="21"/>
      <w:szCs w:val="24"/>
      <w:lang w:val="en-US" w:eastAsia="zh-CN" w:bidi="ar-SA"/>
    </w:rPr>
  </w:style>
  <w:style w:type="character" w:customStyle="1" w:styleId="70">
    <w:name w:val="正文文本缩进 2 字符"/>
    <w:basedOn w:val="41"/>
    <w:link w:val="24"/>
    <w:qFormat/>
    <w:uiPriority w:val="0"/>
    <w:rPr>
      <w:rFonts w:ascii="仿宋_GB2312" w:hAnsi="GulimChe" w:eastAsia="仿宋_GB2312"/>
      <w:color w:val="000000"/>
      <w:kern w:val="2"/>
      <w:sz w:val="24"/>
      <w:szCs w:val="24"/>
      <w:lang w:val="en-US" w:eastAsia="zh-CN" w:bidi="ar-SA"/>
    </w:rPr>
  </w:style>
  <w:style w:type="character" w:customStyle="1" w:styleId="71">
    <w:name w:val="纯文本 字符"/>
    <w:basedOn w:val="41"/>
    <w:link w:val="21"/>
    <w:qFormat/>
    <w:uiPriority w:val="0"/>
    <w:rPr>
      <w:rFonts w:ascii="宋体" w:hAnsi="Courier New" w:eastAsia="宋体"/>
      <w:kern w:val="2"/>
      <w:sz w:val="21"/>
      <w:lang w:val="en-US" w:eastAsia="zh-CN" w:bidi="ar-SA"/>
    </w:rPr>
  </w:style>
  <w:style w:type="character" w:customStyle="1" w:styleId="72">
    <w:name w:val="Char Char3"/>
    <w:basedOn w:val="41"/>
    <w:qFormat/>
    <w:uiPriority w:val="0"/>
    <w:rPr>
      <w:rFonts w:ascii="宋体" w:hAnsi="宋体" w:eastAsia="宋体"/>
      <w:kern w:val="2"/>
      <w:sz w:val="24"/>
      <w:lang w:val="en-US" w:eastAsia="zh-CN"/>
    </w:rPr>
  </w:style>
  <w:style w:type="character" w:customStyle="1" w:styleId="73">
    <w:name w:val="批注主题 Char1"/>
    <w:semiHidden/>
    <w:qFormat/>
    <w:uiPriority w:val="0"/>
    <w:rPr>
      <w:rFonts w:ascii="仿宋_GB2312" w:eastAsia="仿宋_GB2312"/>
      <w:b/>
      <w:bCs/>
      <w:kern w:val="2"/>
      <w:sz w:val="28"/>
      <w:szCs w:val="28"/>
      <w:lang w:val="en-US" w:eastAsia="zh-CN" w:bidi="ar-SA"/>
    </w:rPr>
  </w:style>
  <w:style w:type="character" w:customStyle="1" w:styleId="74">
    <w:name w:val="Char Char2"/>
    <w:qFormat/>
    <w:uiPriority w:val="0"/>
    <w:rPr>
      <w:rFonts w:ascii="宋体" w:eastAsia="宋体"/>
      <w:kern w:val="2"/>
      <w:sz w:val="24"/>
      <w:lang w:val="en-US" w:eastAsia="zh-CN" w:bidi="ar-SA"/>
    </w:rPr>
  </w:style>
  <w:style w:type="character" w:customStyle="1" w:styleId="75">
    <w:name w:val="10zihong_cuhei1"/>
    <w:basedOn w:val="41"/>
    <w:qFormat/>
    <w:uiPriority w:val="0"/>
    <w:rPr>
      <w:rFonts w:hint="default" w:ascii="Verdana" w:hAnsi="Verdana"/>
      <w:b/>
      <w:bCs/>
      <w:color w:val="000000"/>
      <w:sz w:val="44"/>
      <w:szCs w:val="44"/>
      <w:u w:val="none"/>
    </w:rPr>
  </w:style>
  <w:style w:type="character" w:customStyle="1" w:styleId="76">
    <w:name w:val="强调1"/>
    <w:qFormat/>
    <w:uiPriority w:val="0"/>
    <w:rPr>
      <w:rFonts w:ascii="Arial Black" w:hAnsi="Arial Black" w:eastAsia="黑体"/>
      <w:b/>
      <w:spacing w:val="0"/>
      <w:sz w:val="21"/>
    </w:rPr>
  </w:style>
  <w:style w:type="paragraph" w:customStyle="1" w:styleId="7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9">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2">
    <w:name w:val="font8"/>
    <w:basedOn w:val="1"/>
    <w:qFormat/>
    <w:uiPriority w:val="0"/>
    <w:pPr>
      <w:widowControl/>
      <w:spacing w:before="100" w:beforeAutospacing="1" w:after="100" w:afterAutospacing="1"/>
      <w:jc w:val="left"/>
    </w:pPr>
    <w:rPr>
      <w:kern w:val="0"/>
      <w:sz w:val="20"/>
      <w:szCs w:val="20"/>
    </w:rPr>
  </w:style>
  <w:style w:type="paragraph" w:customStyle="1" w:styleId="83">
    <w:name w:val="目录文字"/>
    <w:basedOn w:val="1"/>
    <w:qFormat/>
    <w:uiPriority w:val="0"/>
    <w:pPr>
      <w:widowControl/>
      <w:spacing w:line="480" w:lineRule="auto"/>
      <w:jc w:val="left"/>
    </w:pPr>
    <w:rPr>
      <w:rFonts w:ascii="宋体" w:hAnsi="宋体"/>
      <w:kern w:val="0"/>
      <w:sz w:val="24"/>
      <w:szCs w:val="20"/>
    </w:rPr>
  </w:style>
  <w:style w:type="paragraph" w:customStyle="1" w:styleId="84">
    <w:name w:val="页码1"/>
    <w:basedOn w:val="1"/>
    <w:next w:val="1"/>
    <w:qFormat/>
    <w:uiPriority w:val="0"/>
    <w:pPr>
      <w:widowControl/>
    </w:pPr>
    <w:rPr>
      <w:color w:val="000000"/>
      <w:szCs w:val="20"/>
    </w:rPr>
  </w:style>
  <w:style w:type="paragraph" w:customStyle="1" w:styleId="8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86">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8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8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90">
    <w:name w:val="样式2"/>
    <w:basedOn w:val="1"/>
    <w:link w:val="228"/>
    <w:qFormat/>
    <w:uiPriority w:val="0"/>
    <w:pPr>
      <w:outlineLvl w:val="0"/>
    </w:pPr>
    <w:rPr>
      <w:rFonts w:ascii="仿宋_GB2312" w:hAnsi="华文中宋" w:eastAsia="仿宋_GB2312"/>
      <w:b/>
      <w:szCs w:val="10"/>
    </w:rPr>
  </w:style>
  <w:style w:type="paragraph" w:customStyle="1" w:styleId="91">
    <w:name w:val="内容"/>
    <w:basedOn w:val="1"/>
    <w:qFormat/>
    <w:uiPriority w:val="0"/>
    <w:pPr>
      <w:adjustRightInd w:val="0"/>
      <w:jc w:val="left"/>
      <w:textAlignment w:val="baseline"/>
    </w:pPr>
    <w:rPr>
      <w:rFonts w:eastAsia="微软大黑体"/>
      <w:spacing w:val="40"/>
      <w:sz w:val="32"/>
      <w:szCs w:val="20"/>
    </w:rPr>
  </w:style>
  <w:style w:type="paragraph" w:customStyle="1" w:styleId="9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9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6">
    <w:name w:val="菲页2"/>
    <w:basedOn w:val="5"/>
    <w:qFormat/>
    <w:uiPriority w:val="0"/>
    <w:pPr>
      <w:widowControl/>
      <w:numPr>
        <w:numId w:val="0"/>
      </w:numPr>
      <w:tabs>
        <w:tab w:val="left" w:pos="720"/>
      </w:tabs>
      <w:spacing w:before="120" w:after="120" w:line="360" w:lineRule="auto"/>
      <w:ind w:left="720" w:hanging="720"/>
      <w:jc w:val="center"/>
    </w:pPr>
    <w:rPr>
      <w:rFonts w:ascii="黑体" w:hAnsi="宋体" w:eastAsia="黑体"/>
      <w:b w:val="0"/>
      <w:kern w:val="0"/>
      <w:sz w:val="44"/>
    </w:rPr>
  </w:style>
  <w:style w:type="paragraph" w:customStyle="1" w:styleId="97">
    <w:name w:val="Char"/>
    <w:basedOn w:val="1"/>
    <w:next w:val="1"/>
    <w:qFormat/>
    <w:uiPriority w:val="0"/>
    <w:pPr>
      <w:spacing w:before="120" w:line="360" w:lineRule="auto"/>
      <w:ind w:firstLine="425"/>
    </w:pPr>
    <w:rPr>
      <w:sz w:val="24"/>
    </w:rPr>
  </w:style>
  <w:style w:type="paragraph" w:customStyle="1" w:styleId="98">
    <w:name w:val="主题行"/>
    <w:basedOn w:val="1"/>
    <w:next w:val="2"/>
    <w:qFormat/>
    <w:uiPriority w:val="0"/>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99">
    <w:name w:val="px12l130"/>
    <w:basedOn w:val="1"/>
    <w:qFormat/>
    <w:uiPriority w:val="0"/>
    <w:pPr>
      <w:widowControl/>
      <w:spacing w:before="100" w:beforeAutospacing="1" w:after="100" w:afterAutospacing="1" w:line="312" w:lineRule="auto"/>
      <w:jc w:val="left"/>
    </w:pPr>
    <w:rPr>
      <w:rFonts w:ascii="ˎ̥" w:hAnsi="ˎ̥"/>
      <w:kern w:val="0"/>
      <w:sz w:val="18"/>
      <w:szCs w:val="18"/>
    </w:rPr>
  </w:style>
  <w:style w:type="paragraph" w:customStyle="1" w:styleId="10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1">
    <w:name w:val="表格内容"/>
    <w:basedOn w:val="1"/>
    <w:qFormat/>
    <w:uiPriority w:val="0"/>
    <w:pPr>
      <w:adjustRightInd w:val="0"/>
      <w:spacing w:before="40"/>
      <w:jc w:val="left"/>
      <w:textAlignment w:val="baseline"/>
    </w:pPr>
    <w:rPr>
      <w:sz w:val="24"/>
      <w:szCs w:val="20"/>
    </w:rPr>
  </w:style>
  <w:style w:type="paragraph" w:customStyle="1" w:styleId="1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0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6">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07">
    <w:name w:val="Char Char"/>
    <w:basedOn w:val="1"/>
    <w:qFormat/>
    <w:uiPriority w:val="0"/>
    <w:rPr>
      <w:rFonts w:ascii="Tahoma" w:hAnsi="Tahoma"/>
      <w:sz w:val="24"/>
      <w:szCs w:val="20"/>
    </w:rPr>
  </w:style>
  <w:style w:type="paragraph" w:customStyle="1" w:styleId="10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10">
    <w:name w:val="Char Char Char Char"/>
    <w:basedOn w:val="1"/>
    <w:qFormat/>
    <w:uiPriority w:val="0"/>
    <w:rPr>
      <w:rFonts w:ascii="Tahoma" w:hAnsi="Tahoma"/>
      <w:sz w:val="24"/>
      <w:szCs w:val="20"/>
    </w:rPr>
  </w:style>
  <w:style w:type="paragraph" w:customStyle="1" w:styleId="11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2">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3">
    <w:name w:val="内部地址名"/>
    <w:basedOn w:val="114"/>
    <w:next w:val="114"/>
    <w:qFormat/>
    <w:uiPriority w:val="0"/>
    <w:pPr>
      <w:spacing w:line="240" w:lineRule="exact"/>
    </w:pPr>
    <w:rPr>
      <w:rFonts w:ascii="Arial Black" w:hAnsi="Arial Black" w:eastAsia="中圆体"/>
      <w:spacing w:val="40"/>
      <w:sz w:val="24"/>
    </w:rPr>
  </w:style>
  <w:style w:type="paragraph" w:customStyle="1" w:styleId="114">
    <w:name w:val="内部地址"/>
    <w:basedOn w:val="1"/>
    <w:qFormat/>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115">
    <w:name w:val="Table Paragraph"/>
    <w:basedOn w:val="1"/>
    <w:qFormat/>
    <w:uiPriority w:val="99"/>
    <w:pPr>
      <w:ind w:left="103"/>
      <w:jc w:val="left"/>
    </w:pPr>
    <w:rPr>
      <w:rFonts w:ascii="宋体" w:cs="宋体"/>
      <w:b/>
      <w:bCs/>
      <w:color w:val="000000"/>
      <w:kern w:val="0"/>
      <w:sz w:val="22"/>
      <w:lang w:eastAsia="en-US"/>
    </w:rPr>
  </w:style>
  <w:style w:type="paragraph" w:customStyle="1" w:styleId="116">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7">
    <w:name w:val="签名 - 职位"/>
    <w:basedOn w:val="29"/>
    <w:next w:val="118"/>
    <w:qFormat/>
    <w:uiPriority w:val="0"/>
    <w:pPr>
      <w:spacing w:before="880"/>
    </w:pPr>
  </w:style>
  <w:style w:type="paragraph" w:customStyle="1" w:styleId="118">
    <w:name w:val="签名 - 公司"/>
    <w:basedOn w:val="29"/>
    <w:next w:val="1"/>
    <w:qFormat/>
    <w:uiPriority w:val="0"/>
    <w:pPr>
      <w:ind w:right="360"/>
    </w:pPr>
  </w:style>
  <w:style w:type="paragraph" w:customStyle="1" w:styleId="11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20">
    <w:name w:val="称谓"/>
    <w:basedOn w:val="1"/>
    <w:next w:val="1"/>
    <w:qFormat/>
    <w:uiPriority w:val="0"/>
    <w:pPr>
      <w:widowControl/>
      <w:adjustRightInd w:val="0"/>
      <w:spacing w:before="220" w:after="220" w:line="220" w:lineRule="atLeast"/>
      <w:jc w:val="left"/>
      <w:textAlignment w:val="baseline"/>
    </w:pPr>
    <w:rPr>
      <w:rFonts w:ascii="Arial" w:hAnsi="Arial"/>
      <w:spacing w:val="-5"/>
      <w:kern w:val="0"/>
      <w:sz w:val="24"/>
      <w:szCs w:val="20"/>
    </w:rPr>
  </w:style>
  <w:style w:type="paragraph" w:customStyle="1" w:styleId="12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2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3">
    <w:name w:val="目录"/>
    <w:basedOn w:val="1"/>
    <w:qFormat/>
    <w:uiPriority w:val="0"/>
    <w:pPr>
      <w:widowControl/>
      <w:jc w:val="center"/>
    </w:pPr>
    <w:rPr>
      <w:rFonts w:ascii="宋体"/>
      <w:b/>
      <w:kern w:val="0"/>
      <w:sz w:val="36"/>
      <w:szCs w:val="20"/>
    </w:rPr>
  </w:style>
  <w:style w:type="paragraph" w:customStyle="1" w:styleId="124">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8">
    <w:name w:val="Figure"/>
    <w:basedOn w:val="1"/>
    <w:next w:val="1"/>
    <w:qFormat/>
    <w:uiPriority w:val="0"/>
    <w:pPr>
      <w:keepNext/>
      <w:ind w:left="1701"/>
    </w:pPr>
  </w:style>
  <w:style w:type="paragraph" w:customStyle="1" w:styleId="129">
    <w:name w:val="正文 A"/>
    <w:qFormat/>
    <w:uiPriority w:val="0"/>
    <w:rPr>
      <w:rFonts w:ascii="Times New Roman" w:hAnsi="Times New Roman" w:eastAsia="ヒラギノ角ゴ Pro W3" w:cs="Times New Roman"/>
      <w:color w:val="000000"/>
      <w:sz w:val="24"/>
      <w:szCs w:val="22"/>
      <w:lang w:val="en-US" w:eastAsia="zh-CN" w:bidi="ar-SA"/>
    </w:rPr>
  </w:style>
  <w:style w:type="paragraph" w:customStyle="1" w:styleId="130">
    <w:name w:val="表格标题"/>
    <w:basedOn w:val="1"/>
    <w:qFormat/>
    <w:uiPriority w:val="0"/>
    <w:pPr>
      <w:adjustRightInd w:val="0"/>
      <w:jc w:val="center"/>
      <w:textAlignment w:val="baseline"/>
    </w:pPr>
    <w:rPr>
      <w:rFonts w:ascii="Arial" w:hAnsi="Arial" w:eastAsia="中圆体"/>
      <w:b/>
      <w:sz w:val="24"/>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2">
    <w:name w:val="Char11"/>
    <w:basedOn w:val="1"/>
    <w:qFormat/>
    <w:uiPriority w:val="0"/>
    <w:rPr>
      <w:rFonts w:ascii="Tahoma" w:hAnsi="Tahoma"/>
      <w:sz w:val="24"/>
      <w:szCs w:val="20"/>
    </w:rPr>
  </w:style>
  <w:style w:type="paragraph" w:customStyle="1" w:styleId="13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4">
    <w:name w:val="日期/注释"/>
    <w:basedOn w:val="1"/>
    <w:next w:val="113"/>
    <w:qFormat/>
    <w:uiPriority w:val="0"/>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135">
    <w:name w:val="地址2"/>
    <w:basedOn w:val="136"/>
    <w:qFormat/>
    <w:uiPriority w:val="0"/>
    <w:rPr>
      <w:rFonts w:ascii="Arial" w:hAnsi="Arial"/>
      <w:b/>
      <w:i/>
      <w:sz w:val="18"/>
    </w:rPr>
  </w:style>
  <w:style w:type="paragraph" w:customStyle="1" w:styleId="136">
    <w:name w:val="地址1"/>
    <w:basedOn w:val="1"/>
    <w:qFormat/>
    <w:uiPriority w:val="0"/>
    <w:pPr>
      <w:adjustRightInd w:val="0"/>
      <w:spacing w:line="220" w:lineRule="exact"/>
      <w:jc w:val="left"/>
      <w:textAlignment w:val="baseline"/>
    </w:pPr>
    <w:rPr>
      <w:rFonts w:ascii="中圆体" w:eastAsia="中圆体"/>
      <w:sz w:val="15"/>
      <w:szCs w:val="20"/>
    </w:rPr>
  </w:style>
  <w:style w:type="paragraph" w:customStyle="1" w:styleId="137">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3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39">
    <w:name w:val="菲页1"/>
    <w:basedOn w:val="4"/>
    <w:qFormat/>
    <w:uiPriority w:val="0"/>
    <w:pPr>
      <w:widowControl/>
      <w:numPr>
        <w:ilvl w:val="0"/>
        <w:numId w:val="0"/>
      </w:numPr>
    </w:pPr>
    <w:rPr>
      <w:rFonts w:ascii="黑体" w:hAnsi="宋体"/>
      <w:b w:val="0"/>
      <w:kern w:val="0"/>
      <w:sz w:val="52"/>
    </w:rPr>
  </w:style>
  <w:style w:type="paragraph" w:customStyle="1" w:styleId="14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42">
    <w:name w:val="复选框1"/>
    <w:basedOn w:val="1"/>
    <w:qFormat/>
    <w:uiPriority w:val="0"/>
    <w:pPr>
      <w:widowControl/>
      <w:tabs>
        <w:tab w:val="left" w:pos="630"/>
      </w:tabs>
      <w:adjustRightInd w:val="0"/>
      <w:spacing w:line="240" w:lineRule="exact"/>
      <w:ind w:firstLine="357"/>
      <w:jc w:val="left"/>
      <w:textAlignment w:val="baseline"/>
    </w:pPr>
    <w:rPr>
      <w:kern w:val="0"/>
      <w:sz w:val="15"/>
      <w:szCs w:val="20"/>
    </w:rPr>
  </w:style>
  <w:style w:type="paragraph" w:customStyle="1" w:styleId="143">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4">
    <w:name w:val="Char1"/>
    <w:basedOn w:val="1"/>
    <w:qFormat/>
    <w:uiPriority w:val="0"/>
    <w:rPr>
      <w:rFonts w:ascii="仿宋_GB2312" w:eastAsia="仿宋_GB2312"/>
      <w:b/>
      <w:sz w:val="32"/>
      <w:szCs w:val="32"/>
    </w:rPr>
  </w:style>
  <w:style w:type="paragraph" w:customStyle="1" w:styleId="145">
    <w:name w:val="Item List in Table"/>
    <w:basedOn w:val="1"/>
    <w:qFormat/>
    <w:uiPriority w:val="0"/>
    <w:pPr>
      <w:tabs>
        <w:tab w:val="left" w:pos="840"/>
      </w:tabs>
      <w:ind w:left="840" w:hanging="360"/>
    </w:pPr>
    <w:rPr>
      <w:sz w:val="18"/>
    </w:rPr>
  </w:style>
  <w:style w:type="paragraph" w:customStyle="1" w:styleId="146">
    <w:name w:val="Char12"/>
    <w:basedOn w:val="1"/>
    <w:qFormat/>
    <w:uiPriority w:val="0"/>
    <w:pPr>
      <w:widowControl/>
      <w:spacing w:after="160" w:line="240" w:lineRule="exact"/>
      <w:jc w:val="left"/>
    </w:pPr>
  </w:style>
  <w:style w:type="paragraph" w:customStyle="1" w:styleId="147">
    <w:name w:val="样式 标题 1 + 居中"/>
    <w:basedOn w:val="3"/>
    <w:qFormat/>
    <w:uiPriority w:val="0"/>
    <w:pPr>
      <w:pageBreakBefore/>
      <w:numPr>
        <w:numId w:val="0"/>
      </w:numPr>
      <w:spacing w:beforeLines="50" w:afterLines="50" w:line="480" w:lineRule="auto"/>
    </w:pPr>
    <w:rPr>
      <w:rFonts w:ascii="仿宋_GB2312" w:hAnsi="Arial" w:cs="宋体"/>
      <w:kern w:val="0"/>
      <w:szCs w:val="32"/>
    </w:rPr>
  </w:style>
  <w:style w:type="paragraph" w:customStyle="1" w:styleId="14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49">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5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1">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paragraph" w:customStyle="1" w:styleId="1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3">
    <w:name w:val="抄送列表"/>
    <w:basedOn w:val="1"/>
    <w:qFormat/>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15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5">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56">
    <w:name w:val="样式1"/>
    <w:basedOn w:val="4"/>
    <w:qFormat/>
    <w:uiPriority w:val="0"/>
    <w:pPr>
      <w:numPr>
        <w:ilvl w:val="0"/>
        <w:numId w:val="0"/>
      </w:numPr>
    </w:pPr>
    <w:rPr>
      <w:rFonts w:ascii="宋体" w:hAnsi="宋体"/>
      <w:bCs/>
      <w:sz w:val="36"/>
      <w:szCs w:val="36"/>
    </w:rPr>
  </w:style>
  <w:style w:type="paragraph" w:customStyle="1" w:styleId="157">
    <w:name w:val="回信地址"/>
    <w:basedOn w:val="1"/>
    <w:qFormat/>
    <w:uiPriority w:val="0"/>
    <w:pPr>
      <w:keepLines/>
      <w:framePr w:w="5160" w:h="960" w:wrap="notBeside" w:vAnchor="page" w:hAnchor="margin" w:x="4321" w:y="961"/>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15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5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0">
    <w:name w:val="小标题"/>
    <w:basedOn w:val="1"/>
    <w:qFormat/>
    <w:uiPriority w:val="0"/>
    <w:pPr>
      <w:adjustRightInd w:val="0"/>
      <w:spacing w:before="120" w:line="360" w:lineRule="auto"/>
      <w:jc w:val="center"/>
      <w:textAlignment w:val="baseline"/>
    </w:pPr>
    <w:rPr>
      <w:color w:val="0000FF"/>
      <w:kern w:val="0"/>
      <w:sz w:val="24"/>
      <w:szCs w:val="20"/>
      <w:u w:val="double"/>
    </w:rPr>
  </w:style>
  <w:style w:type="paragraph" w:customStyle="1" w:styleId="16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2">
    <w:name w:val="公司名"/>
    <w:basedOn w:val="1"/>
    <w:qFormat/>
    <w:uiPriority w:val="0"/>
    <w:pPr>
      <w:framePr w:w="3840" w:h="1366" w:wrap="notBeside" w:vAnchor="page" w:hAnchor="margin" w:y="889"/>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163">
    <w:name w:val="Char1 Char Char Char Char Char Char Char Char Char Char Char Char Char Char Char"/>
    <w:basedOn w:val="1"/>
    <w:qFormat/>
    <w:uiPriority w:val="0"/>
  </w:style>
  <w:style w:type="paragraph" w:customStyle="1" w:styleId="164">
    <w:name w:val="表内文字"/>
    <w:basedOn w:val="1"/>
    <w:qFormat/>
    <w:uiPriority w:val="0"/>
    <w:pPr>
      <w:jc w:val="center"/>
    </w:pPr>
    <w:rPr>
      <w:rFonts w:ascii="仿宋_GB2312" w:eastAsia="仿宋_GB2312"/>
      <w:sz w:val="24"/>
    </w:rPr>
  </w:style>
  <w:style w:type="paragraph" w:customStyle="1" w:styleId="16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表正文"/>
    <w:basedOn w:val="1"/>
    <w:next w:val="21"/>
    <w:qFormat/>
    <w:uiPriority w:val="0"/>
    <w:rPr>
      <w:rFonts w:ascii="宋体" w:hAnsi="Courier New"/>
      <w:szCs w:val="20"/>
    </w:rPr>
  </w:style>
  <w:style w:type="paragraph" w:customStyle="1" w:styleId="169">
    <w:name w:val="标准正文"/>
    <w:basedOn w:val="1"/>
    <w:qFormat/>
    <w:uiPriority w:val="0"/>
    <w:pPr>
      <w:spacing w:afterLines="50"/>
      <w:ind w:firstLine="200" w:firstLineChars="200"/>
    </w:pPr>
    <w:rPr>
      <w:sz w:val="24"/>
      <w:szCs w:val="21"/>
    </w:rPr>
  </w:style>
  <w:style w:type="paragraph" w:customStyle="1" w:styleId="17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2">
    <w:name w:val="纯文本1"/>
    <w:basedOn w:val="1"/>
    <w:qFormat/>
    <w:uiPriority w:val="99"/>
    <w:pPr>
      <w:adjustRightInd w:val="0"/>
      <w:jc w:val="left"/>
      <w:textAlignment w:val="baseline"/>
    </w:pPr>
    <w:rPr>
      <w:rFonts w:ascii="宋体" w:hAnsi="Courier New"/>
      <w:sz w:val="24"/>
      <w:szCs w:val="20"/>
    </w:rPr>
  </w:style>
  <w:style w:type="paragraph" w:customStyle="1" w:styleId="17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5">
    <w:name w:val="公司标题"/>
    <w:basedOn w:val="1"/>
    <w:qFormat/>
    <w:uiPriority w:val="0"/>
    <w:pPr>
      <w:adjustRightInd w:val="0"/>
      <w:jc w:val="left"/>
      <w:textAlignment w:val="baseline"/>
    </w:pPr>
    <w:rPr>
      <w:rFonts w:eastAsia="微软大黑体"/>
      <w:sz w:val="28"/>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7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79">
    <w:name w:val="样式 标题 3h3H3sect1.2.3 + 五号 段前: 6 磅 段后: 6 磅 行距: 单倍行距"/>
    <w:basedOn w:val="5"/>
    <w:qFormat/>
    <w:uiPriority w:val="0"/>
    <w:pPr>
      <w:numPr>
        <w:numId w:val="0"/>
      </w:numPr>
      <w:tabs>
        <w:tab w:val="left" w:pos="720"/>
      </w:tabs>
      <w:adjustRightInd w:val="0"/>
      <w:spacing w:before="120" w:after="120" w:line="240" w:lineRule="auto"/>
      <w:jc w:val="left"/>
      <w:textAlignment w:val="baseline"/>
    </w:pPr>
    <w:rPr>
      <w:rFonts w:eastAsia="宋体"/>
      <w:bCs/>
      <w:kern w:val="0"/>
      <w:sz w:val="21"/>
    </w:rPr>
  </w:style>
  <w:style w:type="paragraph" w:customStyle="1" w:styleId="180">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84">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8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7">
    <w:name w:val="font11"/>
    <w:basedOn w:val="1"/>
    <w:qFormat/>
    <w:uiPriority w:val="0"/>
    <w:pPr>
      <w:widowControl/>
      <w:spacing w:before="100" w:beforeAutospacing="1" w:after="100" w:afterAutospacing="1"/>
      <w:jc w:val="left"/>
    </w:pPr>
    <w:rPr>
      <w:b/>
      <w:bCs/>
      <w:i/>
      <w:iCs/>
      <w:kern w:val="0"/>
      <w:sz w:val="24"/>
    </w:rPr>
  </w:style>
  <w:style w:type="paragraph" w:customStyle="1" w:styleId="188">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90">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91">
    <w:name w:val="Char1 Char Char Char"/>
    <w:basedOn w:val="1"/>
    <w:qFormat/>
    <w:uiPriority w:val="0"/>
    <w:rPr>
      <w:rFonts w:ascii="Tahoma" w:hAnsi="Tahoma"/>
      <w:sz w:val="24"/>
      <w:szCs w:val="20"/>
    </w:rPr>
  </w:style>
  <w:style w:type="paragraph" w:customStyle="1" w:styleId="192">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93">
    <w:name w:val="称呼1"/>
    <w:basedOn w:val="1"/>
    <w:next w:val="1"/>
    <w:qFormat/>
    <w:uiPriority w:val="0"/>
    <w:pPr>
      <w:widowControl/>
      <w:adjustRightInd w:val="0"/>
      <w:jc w:val="left"/>
      <w:textAlignment w:val="baseline"/>
    </w:pPr>
    <w:rPr>
      <w:rFonts w:ascii="Arial" w:hAnsi="Arial"/>
      <w:spacing w:val="-5"/>
      <w:kern w:val="0"/>
      <w:sz w:val="24"/>
      <w:szCs w:val="20"/>
    </w:rPr>
  </w:style>
  <w:style w:type="paragraph" w:customStyle="1" w:styleId="19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5">
    <w:name w:val="正文文字缩进"/>
    <w:basedOn w:val="1"/>
    <w:qFormat/>
    <w:uiPriority w:val="0"/>
    <w:pPr>
      <w:widowControl/>
      <w:spacing w:line="748" w:lineRule="atLeast"/>
      <w:ind w:left="-521" w:firstLine="527"/>
      <w:textAlignment w:val="baseline"/>
    </w:pPr>
    <w:rPr>
      <w:rFonts w:ascii="宋体"/>
      <w:color w:val="000000"/>
      <w:kern w:val="0"/>
      <w:sz w:val="24"/>
      <w:szCs w:val="20"/>
      <w:u w:color="000000"/>
    </w:rPr>
  </w:style>
  <w:style w:type="paragraph" w:customStyle="1" w:styleId="196">
    <w:name w:val="Body Text 21"/>
    <w:basedOn w:val="1"/>
    <w:next w:val="1"/>
    <w:qFormat/>
    <w:uiPriority w:val="0"/>
    <w:pPr>
      <w:widowControl/>
      <w:spacing w:line="300" w:lineRule="auto"/>
      <w:jc w:val="center"/>
    </w:pPr>
    <w:rPr>
      <w:rFonts w:ascii="宋体"/>
      <w:color w:val="000000"/>
      <w:sz w:val="24"/>
      <w:szCs w:val="20"/>
    </w:rPr>
  </w:style>
  <w:style w:type="paragraph" w:customStyle="1" w:styleId="19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9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Char2"/>
    <w:basedOn w:val="15"/>
    <w:next w:val="1"/>
    <w:qFormat/>
    <w:uiPriority w:val="0"/>
    <w:rPr>
      <w:rFonts w:ascii="Tahoma" w:hAnsi="Tahoma"/>
      <w:sz w:val="24"/>
    </w:rPr>
  </w:style>
  <w:style w:type="paragraph" w:customStyle="1" w:styleId="200">
    <w:name w:val="方框"/>
    <w:basedOn w:val="1"/>
    <w:qFormat/>
    <w:uiPriority w:val="0"/>
    <w:pPr>
      <w:adjustRightInd w:val="0"/>
      <w:spacing w:line="200" w:lineRule="exact"/>
      <w:ind w:firstLine="210"/>
      <w:jc w:val="left"/>
      <w:textAlignment w:val="baseline"/>
    </w:pPr>
    <w:rPr>
      <w:rFonts w:ascii="Arial" w:hAnsi="Arial"/>
      <w:sz w:val="15"/>
      <w:szCs w:val="20"/>
    </w:rPr>
  </w:style>
  <w:style w:type="paragraph" w:customStyle="1" w:styleId="20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02">
    <w:name w:val="文章总标题"/>
    <w:basedOn w:val="1"/>
    <w:next w:val="1"/>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0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0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7">
    <w:name w:val="样式3"/>
    <w:basedOn w:val="16"/>
    <w:qFormat/>
    <w:uiPriority w:val="0"/>
    <w:pPr>
      <w:snapToGrid w:val="0"/>
      <w:spacing w:line="440" w:lineRule="exact"/>
      <w:jc w:val="center"/>
    </w:pPr>
    <w:rPr>
      <w:rFonts w:ascii="仿宋_GB2312" w:eastAsia="仿宋_GB2312"/>
      <w:b/>
      <w:bCs/>
      <w:color w:val="333333"/>
      <w:sz w:val="44"/>
      <w:szCs w:val="44"/>
      <w:lang w:val="zh-CN"/>
    </w:rPr>
  </w:style>
  <w:style w:type="paragraph" w:customStyle="1" w:styleId="208">
    <w:name w:val="def正文"/>
    <w:basedOn w:val="2"/>
    <w:qFormat/>
    <w:uiPriority w:val="0"/>
    <w:pPr>
      <w:widowControl/>
      <w:spacing w:after="0" w:line="360" w:lineRule="auto"/>
      <w:ind w:firstLine="510"/>
      <w:jc w:val="left"/>
    </w:pPr>
    <w:rPr>
      <w:kern w:val="0"/>
      <w:sz w:val="24"/>
    </w:rPr>
  </w:style>
  <w:style w:type="paragraph" w:customStyle="1" w:styleId="20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0">
    <w:name w:val="菲页(卷)"/>
    <w:basedOn w:val="3"/>
    <w:next w:val="170"/>
    <w:qFormat/>
    <w:uiPriority w:val="0"/>
    <w:pPr>
      <w:keepLines w:val="0"/>
      <w:widowControl/>
      <w:numPr>
        <w:numId w:val="0"/>
      </w:numPr>
      <w:tabs>
        <w:tab w:val="left" w:pos="432"/>
      </w:tabs>
      <w:spacing w:line="240" w:lineRule="auto"/>
      <w:ind w:left="432" w:hanging="432"/>
      <w:outlineLvl w:val="1"/>
    </w:pPr>
    <w:rPr>
      <w:rFonts w:ascii="黑体" w:eastAsia="黑体"/>
      <w:b w:val="0"/>
      <w:kern w:val="0"/>
      <w:sz w:val="52"/>
    </w:rPr>
  </w:style>
  <w:style w:type="paragraph" w:customStyle="1" w:styleId="21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2">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连续正文文字"/>
    <w:basedOn w:val="2"/>
    <w:qFormat/>
    <w:uiPriority w:val="0"/>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2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6">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17">
    <w:name w:val="正文文本1"/>
    <w:qFormat/>
    <w:uiPriority w:val="99"/>
    <w:pPr>
      <w:widowControl w:val="0"/>
      <w:spacing w:after="120" w:line="440" w:lineRule="exact"/>
      <w:ind w:firstLine="360"/>
      <w:jc w:val="both"/>
    </w:pPr>
    <w:rPr>
      <w:rFonts w:ascii="Times New Roman" w:hAnsi="Times New Roman" w:eastAsia="宋体" w:cs="Times New Roman"/>
      <w:color w:val="000000"/>
      <w:kern w:val="2"/>
      <w:sz w:val="21"/>
      <w:szCs w:val="21"/>
      <w:u w:color="000000"/>
      <w:lang w:val="en-US" w:eastAsia="zh-CN" w:bidi="ar-SA"/>
    </w:rPr>
  </w:style>
  <w:style w:type="character" w:customStyle="1" w:styleId="218">
    <w:name w:val="页脚 字符"/>
    <w:basedOn w:val="41"/>
    <w:link w:val="26"/>
    <w:qFormat/>
    <w:uiPriority w:val="99"/>
    <w:rPr>
      <w:rFonts w:ascii="Times New Roman" w:hAnsi="Times New Roman"/>
      <w:kern w:val="2"/>
      <w:sz w:val="21"/>
      <w:szCs w:val="24"/>
    </w:rPr>
  </w:style>
  <w:style w:type="paragraph" w:customStyle="1" w:styleId="219">
    <w:name w:val="正文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
    <w:name w:val="文档正文"/>
    <w:basedOn w:val="1"/>
    <w:qFormat/>
    <w:uiPriority w:val="0"/>
    <w:rPr>
      <w:rFonts w:ascii="Arial" w:hAnsi="Arial" w:eastAsia="仿宋_GB2312" w:cs="Arial"/>
      <w:bCs/>
      <w:sz w:val="24"/>
      <w:szCs w:val="28"/>
    </w:rPr>
  </w:style>
  <w:style w:type="paragraph" w:styleId="221">
    <w:name w:val="List Paragraph"/>
    <w:basedOn w:val="1"/>
    <w:unhideWhenUsed/>
    <w:qFormat/>
    <w:uiPriority w:val="99"/>
    <w:pPr>
      <w:ind w:firstLine="420" w:firstLineChars="200"/>
    </w:pPr>
  </w:style>
  <w:style w:type="character" w:customStyle="1" w:styleId="222">
    <w:name w:val="列出段落 Char"/>
    <w:link w:val="223"/>
    <w:qFormat/>
    <w:uiPriority w:val="99"/>
    <w:rPr>
      <w:kern w:val="2"/>
      <w:sz w:val="21"/>
      <w:szCs w:val="24"/>
    </w:rPr>
  </w:style>
  <w:style w:type="paragraph" w:customStyle="1" w:styleId="223">
    <w:name w:val="列出段落1"/>
    <w:basedOn w:val="1"/>
    <w:link w:val="222"/>
    <w:qFormat/>
    <w:uiPriority w:val="34"/>
    <w:pPr>
      <w:ind w:left="720"/>
      <w:contextualSpacing/>
    </w:pPr>
  </w:style>
  <w:style w:type="character" w:customStyle="1" w:styleId="224">
    <w:name w:val="标题 字符"/>
    <w:basedOn w:val="41"/>
    <w:link w:val="35"/>
    <w:qFormat/>
    <w:uiPriority w:val="0"/>
    <w:rPr>
      <w:rFonts w:asciiTheme="majorHAnsi" w:hAnsiTheme="majorHAnsi" w:cstheme="majorBidi"/>
      <w:b/>
      <w:bCs/>
      <w:kern w:val="2"/>
      <w:sz w:val="32"/>
      <w:szCs w:val="32"/>
    </w:rPr>
  </w:style>
  <w:style w:type="paragraph" w:customStyle="1" w:styleId="225">
    <w:name w:val="TOC 标题1"/>
    <w:basedOn w:val="3"/>
    <w:next w:val="1"/>
    <w:semiHidden/>
    <w:unhideWhenUsed/>
    <w:qFormat/>
    <w:uiPriority w:val="39"/>
    <w:pPr>
      <w:widowControl/>
      <w:numPr>
        <w:numId w:val="0"/>
      </w:numPr>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226">
    <w:name w:val="页眉 字符"/>
    <w:basedOn w:val="41"/>
    <w:link w:val="28"/>
    <w:qFormat/>
    <w:uiPriority w:val="99"/>
    <w:rPr>
      <w:kern w:val="2"/>
      <w:sz w:val="21"/>
      <w:szCs w:val="24"/>
    </w:rPr>
  </w:style>
  <w:style w:type="character" w:customStyle="1" w:styleId="227">
    <w:name w:val="标题 1 字符"/>
    <w:basedOn w:val="41"/>
    <w:link w:val="3"/>
    <w:qFormat/>
    <w:uiPriority w:val="9"/>
    <w:rPr>
      <w:rFonts w:eastAsia="仿宋_GB2312"/>
      <w:b/>
      <w:kern w:val="44"/>
      <w:sz w:val="32"/>
    </w:rPr>
  </w:style>
  <w:style w:type="character" w:customStyle="1" w:styleId="228">
    <w:name w:val="样式2 Char"/>
    <w:basedOn w:val="41"/>
    <w:link w:val="90"/>
    <w:qFormat/>
    <w:uiPriority w:val="0"/>
    <w:rPr>
      <w:rFonts w:ascii="仿宋_GB2312" w:hAnsi="华文中宋" w:eastAsia="仿宋_GB2312"/>
      <w:b/>
      <w:kern w:val="2"/>
      <w:sz w:val="21"/>
      <w:szCs w:val="10"/>
    </w:rPr>
  </w:style>
  <w:style w:type="character" w:customStyle="1" w:styleId="229">
    <w:name w:val="标题 3 字符"/>
    <w:basedOn w:val="41"/>
    <w:link w:val="5"/>
    <w:qFormat/>
    <w:uiPriority w:val="9"/>
    <w:rPr>
      <w:rFonts w:eastAsia="仿宋_GB2312"/>
      <w:b/>
      <w:kern w:val="2"/>
      <w:sz w:val="32"/>
    </w:rPr>
  </w:style>
  <w:style w:type="character" w:customStyle="1" w:styleId="230">
    <w:name w:val="批注框文本 字符"/>
    <w:basedOn w:val="41"/>
    <w:link w:val="2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8D8D3-FBB7-4599-B2BD-2A026A28137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5621</Words>
  <Characters>32045</Characters>
  <Lines>267</Lines>
  <Paragraphs>75</Paragraphs>
  <TotalTime>101</TotalTime>
  <ScaleCrop>false</ScaleCrop>
  <LinksUpToDate>false</LinksUpToDate>
  <CharactersWithSpaces>37591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2019-01-02T00:43:00Z</dcterms:created>
  <dc:creator>Administrator</dc:creator>
  <cp:lastModifiedBy>蓝鲸</cp:lastModifiedBy>
  <cp:lastPrinted>2020-09-23T01:12:00Z</cp:lastPrinted>
  <dcterms:modified xsi:type="dcterms:W3CDTF">2021-06-02T04:20:28Z</dcterms:modified>
  <dc:title>公开招标采购文件</dc:title>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822E9E31EB5D48DC9FE5BD5FD496982C</vt:lpwstr>
  </property>
</Properties>
</file>