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bidi w:val="0"/>
        <w:adjustRightInd w:val="0"/>
        <w:snapToGrid w:val="0"/>
        <w:jc w:val="center"/>
        <w:rPr>
          <w:rFonts w:hint="eastAsia" w:cs="宋体"/>
          <w:bCs/>
          <w:szCs w:val="56"/>
        </w:rPr>
      </w:pPr>
    </w:p>
    <w:p>
      <w:pPr>
        <w:pStyle w:val="19"/>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s="宋体"/>
          <w:bCs/>
          <w:szCs w:val="56"/>
        </w:rPr>
      </w:pPr>
    </w:p>
    <w:tbl>
      <w:tblPr>
        <w:tblStyle w:val="47"/>
        <w:tblW w:w="8250" w:type="dxa"/>
        <w:jc w:val="center"/>
        <w:tblLayout w:type="fixed"/>
        <w:tblCellMar>
          <w:top w:w="0" w:type="dxa"/>
          <w:left w:w="108" w:type="dxa"/>
          <w:bottom w:w="0" w:type="dxa"/>
          <w:right w:w="108" w:type="dxa"/>
        </w:tblCellMar>
      </w:tblPr>
      <w:tblGrid>
        <w:gridCol w:w="8250"/>
      </w:tblGrid>
      <w:tr>
        <w:tblPrEx>
          <w:tblCellMar>
            <w:top w:w="0" w:type="dxa"/>
            <w:left w:w="108" w:type="dxa"/>
            <w:bottom w:w="0" w:type="dxa"/>
            <w:right w:w="108" w:type="dxa"/>
          </w:tblCellMar>
        </w:tblPrEx>
        <w:trPr>
          <w:jc w:val="center"/>
        </w:trPr>
        <w:tc>
          <w:tcPr>
            <w:tcW w:w="8250" w:type="dxa"/>
            <w:noWrap w:val="0"/>
            <w:vAlign w:val="top"/>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cs="宋体"/>
              </w:rPr>
            </w:pPr>
            <w:r>
              <w:rPr>
                <w:rFonts w:hint="eastAsia" w:cs="宋体"/>
                <w:sz w:val="48"/>
                <w:szCs w:val="48"/>
                <w:lang w:eastAsia="zh-CN"/>
              </w:rPr>
              <w:t>龙游县2024-2026年公路日常养护—绿化养护采购项目</w:t>
            </w:r>
          </w:p>
        </w:tc>
      </w:tr>
    </w:tbl>
    <w:p>
      <w:pPr>
        <w:keepNext w:val="0"/>
        <w:keepLines w:val="0"/>
        <w:pageBreakBefore w:val="0"/>
        <w:widowControl w:val="0"/>
        <w:kinsoku/>
        <w:bidi w:val="0"/>
        <w:adjustRightInd w:val="0"/>
        <w:snapToGrid w:val="0"/>
        <w:jc w:val="center"/>
        <w:rPr>
          <w:rFonts w:hint="eastAsia" w:cs="宋体"/>
          <w:szCs w:val="22"/>
        </w:rPr>
      </w:pPr>
    </w:p>
    <w:p>
      <w:pPr>
        <w:pStyle w:val="44"/>
        <w:keepNext w:val="0"/>
        <w:keepLines w:val="0"/>
        <w:pageBreakBefore w:val="0"/>
        <w:widowControl w:val="0"/>
        <w:kinsoku/>
        <w:bidi w:val="0"/>
        <w:spacing w:after="0"/>
        <w:ind w:left="0" w:leftChars="0" w:firstLine="0"/>
        <w:jc w:val="center"/>
        <w:rPr>
          <w:rFonts w:hint="eastAsia"/>
          <w:sz w:val="22"/>
          <w:szCs w:val="22"/>
        </w:rPr>
      </w:pPr>
    </w:p>
    <w:tbl>
      <w:tblPr>
        <w:tblStyle w:val="47"/>
        <w:tblW w:w="4374" w:type="dxa"/>
        <w:jc w:val="center"/>
        <w:tblLayout w:type="fixed"/>
        <w:tblCellMar>
          <w:top w:w="0" w:type="dxa"/>
          <w:left w:w="108" w:type="dxa"/>
          <w:bottom w:w="0" w:type="dxa"/>
          <w:right w:w="108" w:type="dxa"/>
        </w:tblCellMar>
      </w:tblPr>
      <w:tblGrid>
        <w:gridCol w:w="4374"/>
      </w:tblGrid>
      <w:tr>
        <w:tblPrEx>
          <w:tblCellMar>
            <w:top w:w="0" w:type="dxa"/>
            <w:left w:w="108" w:type="dxa"/>
            <w:bottom w:w="0" w:type="dxa"/>
            <w:right w:w="108" w:type="dxa"/>
          </w:tblCellMar>
        </w:tblPrEx>
        <w:trPr>
          <w:jc w:val="center"/>
        </w:trPr>
        <w:tc>
          <w:tcPr>
            <w:tcW w:w="4374" w:type="dxa"/>
            <w:noWrap w:val="0"/>
            <w:vAlign w:val="top"/>
          </w:tcPr>
          <w:p>
            <w:pPr>
              <w:pStyle w:val="19"/>
              <w:keepNext w:val="0"/>
              <w:keepLines w:val="0"/>
              <w:pageBreakBefore w:val="0"/>
              <w:widowControl w:val="0"/>
              <w:kinsoku/>
              <w:bidi w:val="0"/>
              <w:adjustRightInd w:val="0"/>
              <w:snapToGrid w:val="0"/>
              <w:ind w:right="0"/>
              <w:jc w:val="center"/>
              <w:rPr>
                <w:rFonts w:hint="eastAsia" w:ascii="宋体" w:hAnsi="宋体" w:eastAsia="宋体" w:cs="宋体"/>
                <w:sz w:val="36"/>
                <w:szCs w:val="36"/>
                <w:lang w:val="en-US" w:eastAsia="zh-CN"/>
              </w:rPr>
            </w:pPr>
            <w:r>
              <w:rPr>
                <w:rFonts w:hint="eastAsia" w:ascii="宋体" w:hAnsi="宋体" w:cs="宋体"/>
                <w:b w:val="0"/>
                <w:bCs/>
                <w:sz w:val="36"/>
                <w:szCs w:val="36"/>
                <w:lang w:val="zh-CN"/>
              </w:rPr>
              <w:t>项目编号:</w:t>
            </w:r>
            <w:r>
              <w:rPr>
                <w:rFonts w:hint="eastAsia" w:cs="宋体"/>
                <w:b w:val="0"/>
                <w:bCs/>
                <w:sz w:val="36"/>
                <w:szCs w:val="36"/>
                <w:lang w:eastAsia="zh-CN"/>
              </w:rPr>
              <w:t>LYBQZC2024-27</w:t>
            </w:r>
          </w:p>
        </w:tc>
      </w:tr>
    </w:tbl>
    <w:p>
      <w:pPr>
        <w:keepNext w:val="0"/>
        <w:keepLines w:val="0"/>
        <w:pageBreakBefore w:val="0"/>
        <w:widowControl w:val="0"/>
        <w:kinsoku/>
        <w:bidi w:val="0"/>
        <w:snapToGrid w:val="0"/>
        <w:jc w:val="center"/>
        <w:rPr>
          <w:rFonts w:hint="eastAsia" w:cs="宋体"/>
          <w:szCs w:val="22"/>
        </w:rPr>
      </w:pPr>
    </w:p>
    <w:p>
      <w:pPr>
        <w:keepNext w:val="0"/>
        <w:keepLines w:val="0"/>
        <w:pageBreakBefore w:val="0"/>
        <w:widowControl w:val="0"/>
        <w:kinsoku/>
        <w:bidi w:val="0"/>
        <w:snapToGrid w:val="0"/>
        <w:jc w:val="center"/>
        <w:rPr>
          <w:rFonts w:hint="eastAsia" w:cs="宋体"/>
          <w:szCs w:val="22"/>
        </w:rPr>
      </w:pPr>
    </w:p>
    <w:p>
      <w:pPr>
        <w:pStyle w:val="19"/>
        <w:keepNext w:val="0"/>
        <w:keepLines w:val="0"/>
        <w:pageBreakBefore w:val="0"/>
        <w:widowControl w:val="0"/>
        <w:kinsoku/>
        <w:bidi w:val="0"/>
        <w:snapToGrid w:val="0"/>
        <w:ind w:right="0"/>
        <w:jc w:val="center"/>
        <w:rPr>
          <w:rFonts w:hint="eastAsia"/>
        </w:rPr>
      </w:pPr>
    </w:p>
    <w:p>
      <w:pPr>
        <w:pStyle w:val="19"/>
        <w:keepNext w:val="0"/>
        <w:keepLines w:val="0"/>
        <w:pageBreakBefore w:val="0"/>
        <w:widowControl w:val="0"/>
        <w:kinsoku/>
        <w:bidi w:val="0"/>
        <w:adjustRightInd w:val="0"/>
        <w:snapToGrid w:val="0"/>
        <w:ind w:right="0"/>
        <w:jc w:val="center"/>
        <w:rPr>
          <w:rFonts w:hint="eastAsia" w:ascii="宋体" w:hAnsi="宋体" w:cs="宋体"/>
          <w:szCs w:val="22"/>
        </w:rPr>
      </w:pPr>
    </w:p>
    <w:tbl>
      <w:tblPr>
        <w:tblStyle w:val="47"/>
        <w:tblW w:w="5533" w:type="dxa"/>
        <w:jc w:val="center"/>
        <w:tblLayout w:type="fixed"/>
        <w:tblCellMar>
          <w:top w:w="0" w:type="dxa"/>
          <w:left w:w="108" w:type="dxa"/>
          <w:bottom w:w="0" w:type="dxa"/>
          <w:right w:w="108" w:type="dxa"/>
        </w:tblCellMar>
      </w:tblPr>
      <w:tblGrid>
        <w:gridCol w:w="5533"/>
      </w:tblGrid>
      <w:tr>
        <w:tblPrEx>
          <w:tblCellMar>
            <w:top w:w="0" w:type="dxa"/>
            <w:left w:w="108" w:type="dxa"/>
            <w:bottom w:w="0" w:type="dxa"/>
            <w:right w:w="108" w:type="dxa"/>
          </w:tblCellMar>
        </w:tblPrEx>
        <w:trPr>
          <w:jc w:val="center"/>
        </w:trPr>
        <w:tc>
          <w:tcPr>
            <w:tcW w:w="5533" w:type="dxa"/>
            <w:noWrap w:val="0"/>
            <w:vAlign w:val="top"/>
          </w:tcPr>
          <w:p>
            <w:pPr>
              <w:keepNext w:val="0"/>
              <w:keepLines w:val="0"/>
              <w:pageBreakBefore w:val="0"/>
              <w:widowControl w:val="0"/>
              <w:kinsoku/>
              <w:bidi w:val="0"/>
              <w:adjustRightInd w:val="0"/>
              <w:snapToGrid w:val="0"/>
              <w:jc w:val="distribute"/>
              <w:rPr>
                <w:rFonts w:hint="eastAsia" w:ascii="黑体" w:hAnsi="黑体" w:eastAsia="黑体" w:cs="黑体"/>
                <w:bCs/>
                <w:sz w:val="72"/>
                <w:szCs w:val="72"/>
                <w:lang w:val="en-US" w:eastAsia="zh-CN"/>
              </w:rPr>
            </w:pPr>
          </w:p>
          <w:p>
            <w:pPr>
              <w:keepNext w:val="0"/>
              <w:keepLines w:val="0"/>
              <w:pageBreakBefore w:val="0"/>
              <w:widowControl w:val="0"/>
              <w:kinsoku/>
              <w:bidi w:val="0"/>
              <w:adjustRightInd w:val="0"/>
              <w:snapToGrid w:val="0"/>
              <w:jc w:val="distribute"/>
              <w:rPr>
                <w:rFonts w:hint="eastAsia" w:ascii="黑体" w:hAnsi="黑体" w:eastAsia="黑体" w:cs="黑体"/>
                <w:sz w:val="24"/>
              </w:rPr>
            </w:pPr>
            <w:r>
              <w:rPr>
                <w:rFonts w:hint="eastAsia" w:ascii="黑体" w:hAnsi="黑体" w:eastAsia="黑体" w:cs="黑体"/>
                <w:bCs/>
                <w:sz w:val="72"/>
                <w:szCs w:val="72"/>
                <w:lang w:val="en-US" w:eastAsia="zh-CN"/>
              </w:rPr>
              <w:t>公开</w:t>
            </w:r>
            <w:r>
              <w:rPr>
                <w:rFonts w:hint="eastAsia" w:ascii="黑体" w:hAnsi="黑体" w:eastAsia="黑体" w:cs="黑体"/>
                <w:bCs/>
                <w:sz w:val="72"/>
                <w:szCs w:val="72"/>
              </w:rPr>
              <w:t>招标文件</w:t>
            </w:r>
          </w:p>
        </w:tc>
      </w:tr>
    </w:tbl>
    <w:p>
      <w:pPr>
        <w:keepNext w:val="0"/>
        <w:keepLines w:val="0"/>
        <w:pageBreakBefore w:val="0"/>
        <w:widowControl w:val="0"/>
        <w:kinsoku/>
        <w:bidi w:val="0"/>
        <w:snapToGrid w:val="0"/>
        <w:jc w:val="center"/>
        <w:rPr>
          <w:rFonts w:hint="eastAsia" w:cs="宋体"/>
          <w:sz w:val="24"/>
        </w:rPr>
      </w:pPr>
    </w:p>
    <w:p>
      <w:pPr>
        <w:keepNext w:val="0"/>
        <w:keepLines w:val="0"/>
        <w:pageBreakBefore w:val="0"/>
        <w:widowControl w:val="0"/>
        <w:tabs>
          <w:tab w:val="center" w:pos="4480"/>
          <w:tab w:val="left" w:pos="7724"/>
        </w:tabs>
        <w:kinsoku/>
        <w:bidi w:val="0"/>
        <w:snapToGrid w:val="0"/>
        <w:jc w:val="center"/>
        <w:rPr>
          <w:rFonts w:hint="eastAsia" w:cs="宋体"/>
          <w:szCs w:val="24"/>
        </w:rPr>
      </w:pPr>
      <w:r>
        <w:rPr>
          <w:rFonts w:hint="eastAsia" w:ascii="宋体" w:hAnsi="宋体" w:cs="宋体"/>
          <w:color w:val="FFFFFF"/>
          <w:sz w:val="32"/>
          <w:szCs w:val="32"/>
          <w:lang w:val="zh-CN"/>
        </w:rPr>
        <w:drawing>
          <wp:anchor distT="0" distB="0" distL="114300" distR="114300" simplePos="0" relativeHeight="251660288" behindDoc="0" locked="0" layoutInCell="1" allowOverlap="1">
            <wp:simplePos x="0" y="0"/>
            <wp:positionH relativeFrom="column">
              <wp:posOffset>1833880</wp:posOffset>
            </wp:positionH>
            <wp:positionV relativeFrom="paragraph">
              <wp:posOffset>70485</wp:posOffset>
            </wp:positionV>
            <wp:extent cx="2129790" cy="1907540"/>
            <wp:effectExtent l="0" t="0" r="3810" b="16510"/>
            <wp:wrapSquare wrapText="bothSides"/>
            <wp:docPr id="4" name="图片 2" descr="848da80123054819a481bad101b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848da80123054819a481bad101b2f19"/>
                    <pic:cNvPicPr>
                      <a:picLocks noChangeAspect="1"/>
                    </pic:cNvPicPr>
                  </pic:nvPicPr>
                  <pic:blipFill>
                    <a:blip r:embed="rId12"/>
                    <a:stretch>
                      <a:fillRect/>
                    </a:stretch>
                  </pic:blipFill>
                  <pic:spPr>
                    <a:xfrm>
                      <a:off x="0" y="0"/>
                      <a:ext cx="2129790" cy="1907540"/>
                    </a:xfrm>
                    <a:prstGeom prst="rect">
                      <a:avLst/>
                    </a:prstGeom>
                    <a:noFill/>
                    <a:ln>
                      <a:noFill/>
                    </a:ln>
                  </pic:spPr>
                </pic:pic>
              </a:graphicData>
            </a:graphic>
          </wp:anchor>
        </w:drawing>
      </w:r>
    </w:p>
    <w:p>
      <w:pPr>
        <w:keepNext w:val="0"/>
        <w:keepLines w:val="0"/>
        <w:pageBreakBefore w:val="0"/>
        <w:widowControl w:val="0"/>
        <w:kinsoku/>
        <w:bidi w:val="0"/>
        <w:jc w:val="center"/>
        <w:rPr>
          <w:rFonts w:hint="eastAsia" w:cs="宋体"/>
          <w:szCs w:val="21"/>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keepNext w:val="0"/>
        <w:keepLines w:val="0"/>
        <w:pageBreakBefore w:val="0"/>
        <w:widowControl w:val="0"/>
        <w:tabs>
          <w:tab w:val="left" w:pos="6258"/>
        </w:tabs>
        <w:kinsoku/>
        <w:bidi w:val="0"/>
        <w:jc w:val="center"/>
        <w:rPr>
          <w:rFonts w:hint="eastAsia" w:cs="宋体"/>
        </w:rPr>
      </w:pPr>
    </w:p>
    <w:p>
      <w:pPr>
        <w:pStyle w:val="37"/>
        <w:rPr>
          <w:rFonts w:hint="eastAsia" w:cs="宋体"/>
        </w:rPr>
      </w:pPr>
    </w:p>
    <w:p>
      <w:pPr>
        <w:rPr>
          <w:rFonts w:hint="eastAsia" w:cs="宋体"/>
        </w:rPr>
      </w:pPr>
    </w:p>
    <w:p>
      <w:pPr>
        <w:pStyle w:val="37"/>
        <w:rPr>
          <w:rFonts w:hint="eastAsia"/>
        </w:rPr>
      </w:pPr>
    </w:p>
    <w:tbl>
      <w:tblPr>
        <w:tblStyle w:val="47"/>
        <w:tblW w:w="7075" w:type="dxa"/>
        <w:jc w:val="center"/>
        <w:tblLayout w:type="fixed"/>
        <w:tblCellMar>
          <w:top w:w="0" w:type="dxa"/>
          <w:left w:w="108" w:type="dxa"/>
          <w:bottom w:w="0" w:type="dxa"/>
          <w:right w:w="108" w:type="dxa"/>
        </w:tblCellMar>
      </w:tblPr>
      <w:tblGrid>
        <w:gridCol w:w="2455"/>
        <w:gridCol w:w="4620"/>
      </w:tblGrid>
      <w:tr>
        <w:tblPrEx>
          <w:tblCellMar>
            <w:top w:w="0" w:type="dxa"/>
            <w:left w:w="108" w:type="dxa"/>
            <w:bottom w:w="0" w:type="dxa"/>
            <w:right w:w="108" w:type="dxa"/>
          </w:tblCellMar>
        </w:tblPrEx>
        <w:trPr>
          <w:trHeight w:val="907" w:hRule="atLeast"/>
          <w:jc w:val="center"/>
        </w:trPr>
        <w:tc>
          <w:tcPr>
            <w:tcW w:w="2455" w:type="dxa"/>
            <w:noWrap w:val="0"/>
            <w:vAlign w:val="center"/>
          </w:tcPr>
          <w:p>
            <w:pPr>
              <w:keepNext w:val="0"/>
              <w:keepLines w:val="0"/>
              <w:pageBreakBefore w:val="0"/>
              <w:widowControl w:val="0"/>
              <w:kinsoku/>
              <w:bidi w:val="0"/>
              <w:adjustRightInd w:val="0"/>
              <w:snapToGrid w:val="0"/>
              <w:ind w:right="-110" w:rightChars="-50"/>
              <w:jc w:val="distribute"/>
              <w:rPr>
                <w:rFonts w:hint="eastAsia" w:cs="宋体"/>
                <w:sz w:val="36"/>
                <w:szCs w:val="36"/>
                <w:lang w:val="zh-CN"/>
              </w:rPr>
            </w:pPr>
            <w:r>
              <w:rPr>
                <w:rFonts w:hint="eastAsia" w:cs="宋体"/>
                <w:spacing w:val="238"/>
                <w:sz w:val="36"/>
                <w:szCs w:val="36"/>
                <w:lang w:val="zh-CN"/>
              </w:rPr>
              <w:t>采购</w:t>
            </w:r>
            <w:r>
              <w:rPr>
                <w:rFonts w:hint="eastAsia" w:cs="宋体"/>
                <w:sz w:val="36"/>
                <w:szCs w:val="36"/>
                <w:lang w:val="zh-CN"/>
              </w:rPr>
              <w:t>人:</w:t>
            </w:r>
          </w:p>
        </w:tc>
        <w:tc>
          <w:tcPr>
            <w:tcW w:w="4620" w:type="dxa"/>
            <w:noWrap w:val="0"/>
            <w:vAlign w:val="center"/>
          </w:tcPr>
          <w:p>
            <w:pPr>
              <w:keepNext w:val="0"/>
              <w:keepLines w:val="0"/>
              <w:pageBreakBefore w:val="0"/>
              <w:widowControl w:val="0"/>
              <w:kinsoku/>
              <w:bidi w:val="0"/>
              <w:adjustRightInd w:val="0"/>
              <w:snapToGrid w:val="0"/>
              <w:jc w:val="distribute"/>
              <w:rPr>
                <w:rFonts w:hint="eastAsia" w:cs="宋体"/>
                <w:sz w:val="36"/>
                <w:szCs w:val="36"/>
              </w:rPr>
            </w:pPr>
            <w:r>
              <w:rPr>
                <w:rFonts w:hint="eastAsia" w:cs="宋体"/>
                <w:sz w:val="36"/>
                <w:szCs w:val="36"/>
                <w:lang w:val="zh-CN"/>
              </w:rPr>
              <w:t>龙游县交通运输局</w:t>
            </w:r>
          </w:p>
        </w:tc>
      </w:tr>
      <w:tr>
        <w:tblPrEx>
          <w:tblCellMar>
            <w:top w:w="0" w:type="dxa"/>
            <w:left w:w="108" w:type="dxa"/>
            <w:bottom w:w="0" w:type="dxa"/>
            <w:right w:w="108" w:type="dxa"/>
          </w:tblCellMar>
        </w:tblPrEx>
        <w:trPr>
          <w:trHeight w:val="907" w:hRule="atLeast"/>
          <w:jc w:val="center"/>
        </w:trPr>
        <w:tc>
          <w:tcPr>
            <w:tcW w:w="2455" w:type="dxa"/>
            <w:noWrap w:val="0"/>
            <w:vAlign w:val="center"/>
          </w:tcPr>
          <w:p>
            <w:pPr>
              <w:keepNext w:val="0"/>
              <w:keepLines w:val="0"/>
              <w:pageBreakBefore w:val="0"/>
              <w:widowControl w:val="0"/>
              <w:kinsoku/>
              <w:bidi w:val="0"/>
              <w:adjustRightInd w:val="0"/>
              <w:snapToGrid w:val="0"/>
              <w:ind w:right="-110" w:rightChars="-50"/>
              <w:jc w:val="distribute"/>
              <w:rPr>
                <w:rFonts w:hint="eastAsia" w:cs="宋体"/>
                <w:sz w:val="36"/>
                <w:szCs w:val="36"/>
                <w:lang w:val="zh-CN"/>
              </w:rPr>
            </w:pPr>
            <w:r>
              <w:rPr>
                <w:rFonts w:hint="eastAsia" w:cs="宋体"/>
                <w:sz w:val="36"/>
                <w:szCs w:val="36"/>
                <w:lang w:val="zh-CN"/>
              </w:rPr>
              <w:t>采购代理机构:</w:t>
            </w:r>
          </w:p>
        </w:tc>
        <w:tc>
          <w:tcPr>
            <w:tcW w:w="4620" w:type="dxa"/>
            <w:noWrap w:val="0"/>
            <w:vAlign w:val="center"/>
          </w:tcPr>
          <w:p>
            <w:pPr>
              <w:keepNext w:val="0"/>
              <w:keepLines w:val="0"/>
              <w:pageBreakBefore w:val="0"/>
              <w:widowControl w:val="0"/>
              <w:kinsoku/>
              <w:bidi w:val="0"/>
              <w:adjustRightInd w:val="0"/>
              <w:snapToGrid w:val="0"/>
              <w:jc w:val="distribute"/>
              <w:rPr>
                <w:rFonts w:hint="eastAsia" w:cs="宋体"/>
                <w:sz w:val="36"/>
                <w:szCs w:val="36"/>
                <w:lang w:val="zh-CN"/>
              </w:rPr>
            </w:pPr>
            <w:r>
              <w:rPr>
                <w:rFonts w:hint="eastAsia" w:cs="宋体"/>
                <w:sz w:val="36"/>
                <w:szCs w:val="36"/>
                <w:lang w:val="zh-CN"/>
              </w:rPr>
              <w:t>龙游博洽投资咨询有限公司</w:t>
            </w:r>
          </w:p>
        </w:tc>
      </w:tr>
      <w:tr>
        <w:tblPrEx>
          <w:tblCellMar>
            <w:top w:w="0" w:type="dxa"/>
            <w:left w:w="108" w:type="dxa"/>
            <w:bottom w:w="0" w:type="dxa"/>
            <w:right w:w="108" w:type="dxa"/>
          </w:tblCellMar>
        </w:tblPrEx>
        <w:trPr>
          <w:trHeight w:val="907" w:hRule="atLeast"/>
          <w:jc w:val="center"/>
        </w:trPr>
        <w:tc>
          <w:tcPr>
            <w:tcW w:w="7075" w:type="dxa"/>
            <w:gridSpan w:val="2"/>
            <w:noWrap w:val="0"/>
            <w:vAlign w:val="center"/>
          </w:tcPr>
          <w:p>
            <w:pPr>
              <w:keepNext w:val="0"/>
              <w:keepLines w:val="0"/>
              <w:pageBreakBefore w:val="0"/>
              <w:widowControl w:val="0"/>
              <w:kinsoku/>
              <w:bidi w:val="0"/>
              <w:adjustRightInd w:val="0"/>
              <w:snapToGrid w:val="0"/>
              <w:jc w:val="center"/>
              <w:rPr>
                <w:rFonts w:hint="eastAsia" w:cs="宋体"/>
                <w:sz w:val="36"/>
                <w:szCs w:val="36"/>
              </w:rPr>
            </w:pPr>
            <w:r>
              <w:rPr>
                <w:rFonts w:hint="eastAsia" w:cs="宋体"/>
                <w:spacing w:val="238"/>
                <w:sz w:val="36"/>
                <w:szCs w:val="36"/>
                <w:lang w:val="en-US" w:eastAsia="zh-CN"/>
              </w:rPr>
              <w:t xml:space="preserve">  </w:t>
            </w:r>
            <w:r>
              <w:rPr>
                <w:rFonts w:hint="eastAsia" w:cs="宋体"/>
                <w:color w:val="auto"/>
                <w:spacing w:val="238"/>
                <w:sz w:val="36"/>
                <w:szCs w:val="36"/>
                <w:highlight w:val="none"/>
                <w:lang w:val="zh-CN"/>
              </w:rPr>
              <w:t>日</w:t>
            </w:r>
            <w:r>
              <w:rPr>
                <w:rFonts w:hint="eastAsia" w:cs="宋体"/>
                <w:color w:val="auto"/>
                <w:spacing w:val="0"/>
                <w:sz w:val="36"/>
                <w:szCs w:val="36"/>
                <w:highlight w:val="none"/>
                <w:lang w:val="zh-CN"/>
              </w:rPr>
              <w:t>期</w:t>
            </w:r>
            <w:r>
              <w:rPr>
                <w:rFonts w:hint="eastAsia" w:cs="宋体"/>
                <w:color w:val="auto"/>
                <w:spacing w:val="142"/>
                <w:sz w:val="36"/>
                <w:szCs w:val="36"/>
                <w:highlight w:val="none"/>
                <w:lang w:val="en-US" w:eastAsia="zh-CN"/>
              </w:rPr>
              <w:t>:</w:t>
            </w:r>
            <w:r>
              <w:rPr>
                <w:rFonts w:hint="eastAsia" w:cs="宋体"/>
                <w:color w:val="auto"/>
                <w:sz w:val="36"/>
                <w:szCs w:val="36"/>
                <w:highlight w:val="none"/>
                <w:lang w:val="zh-CN"/>
              </w:rPr>
              <w:t>二○二</w:t>
            </w:r>
            <w:r>
              <w:rPr>
                <w:rFonts w:hint="eastAsia" w:cs="宋体"/>
                <w:color w:val="auto"/>
                <w:sz w:val="36"/>
                <w:szCs w:val="36"/>
                <w:highlight w:val="none"/>
                <w:lang w:val="en-US" w:eastAsia="zh-CN"/>
              </w:rPr>
              <w:t>四</w:t>
            </w:r>
            <w:r>
              <w:rPr>
                <w:rFonts w:hint="eastAsia" w:cs="宋体"/>
                <w:color w:val="auto"/>
                <w:sz w:val="36"/>
                <w:szCs w:val="36"/>
                <w:highlight w:val="none"/>
                <w:lang w:val="zh-CN"/>
              </w:rPr>
              <w:t>年</w:t>
            </w:r>
            <w:r>
              <w:rPr>
                <w:rFonts w:hint="eastAsia" w:cs="宋体"/>
                <w:color w:val="auto"/>
                <w:sz w:val="36"/>
                <w:szCs w:val="36"/>
                <w:highlight w:val="none"/>
                <w:lang w:val="en-US" w:eastAsia="zh-CN"/>
              </w:rPr>
              <w:t>五</w:t>
            </w:r>
            <w:r>
              <w:rPr>
                <w:rFonts w:hint="eastAsia" w:cs="宋体"/>
                <w:color w:val="auto"/>
                <w:sz w:val="36"/>
                <w:szCs w:val="36"/>
                <w:highlight w:val="none"/>
                <w:lang w:val="zh-CN"/>
              </w:rPr>
              <w:t>月</w:t>
            </w:r>
          </w:p>
        </w:tc>
      </w:tr>
    </w:tbl>
    <w:p>
      <w:pPr>
        <w:keepNext w:val="0"/>
        <w:keepLines w:val="0"/>
        <w:pageBreakBefore w:val="0"/>
        <w:widowControl w:val="0"/>
        <w:tabs>
          <w:tab w:val="center" w:pos="4595"/>
          <w:tab w:val="left" w:pos="6206"/>
        </w:tabs>
        <w:kinsoku/>
        <w:bidi w:val="0"/>
        <w:adjustRightInd w:val="0"/>
        <w:snapToGrid w:val="0"/>
        <w:spacing w:before="624" w:beforeLines="200" w:after="312" w:afterLines="100"/>
        <w:jc w:val="left"/>
        <w:rPr>
          <w:rFonts w:hint="eastAsia" w:cs="宋体"/>
          <w:szCs w:val="21"/>
          <w:lang w:eastAsia="zh-CN"/>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bidi w:val="0"/>
        <w:snapToGrid w:val="0"/>
        <w:spacing w:line="360" w:lineRule="auto"/>
        <w:jc w:val="left"/>
        <w:rPr>
          <w:rFonts w:hint="eastAsia" w:cs="宋体"/>
          <w:szCs w:val="21"/>
          <w:lang w:eastAsia="zh-CN"/>
        </w:rPr>
      </w:pPr>
      <w:r>
        <w:rPr>
          <w:rFonts w:hint="eastAsia" w:cs="宋体"/>
          <w:szCs w:val="21"/>
          <w:lang w:eastAsia="zh-CN"/>
        </w:rPr>
        <w:tab/>
      </w:r>
    </w:p>
    <w:sdt>
      <w:sdtPr>
        <w:rPr>
          <w:rFonts w:ascii="宋体" w:hAnsi="宋体" w:eastAsia="宋体" w:cs="Times New Roman"/>
          <w:snapToGrid w:val="0"/>
          <w:sz w:val="21"/>
          <w:lang w:val="en-US" w:eastAsia="zh-CN" w:bidi="ar-SA"/>
        </w:rPr>
        <w:id w:val="147471014"/>
        <w15:color w:val="DBDBDB"/>
        <w:docPartObj>
          <w:docPartGallery w:val="Table of Contents"/>
          <w:docPartUnique/>
        </w:docPartObj>
      </w:sdtPr>
      <w:sdtEndPr>
        <w:rPr>
          <w:rFonts w:ascii="宋体" w:hAnsi="宋体" w:eastAsia="宋体" w:cs="Times New Roman"/>
          <w:snapToGrid w:val="0"/>
          <w:sz w:val="21"/>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Theme="minorEastAsia" w:hAnsiTheme="minorEastAsia" w:eastAsiaTheme="minorEastAsia" w:cstheme="minorEastAsia"/>
              <w:sz w:val="28"/>
              <w:szCs w:val="28"/>
            </w:rPr>
          </w:pPr>
          <w:bookmarkStart w:id="0" w:name="_Toc15588"/>
          <w:bookmarkStart w:id="1" w:name="_Toc452528596"/>
          <w:bookmarkStart w:id="2" w:name="_Toc14209"/>
          <w:bookmarkStart w:id="3" w:name="_Toc7039"/>
          <w:bookmarkStart w:id="4" w:name="_Toc20539"/>
          <w:bookmarkStart w:id="5" w:name="_Toc23025"/>
          <w:bookmarkStart w:id="6" w:name="_Toc25402"/>
          <w:bookmarkStart w:id="7" w:name="_Toc23496"/>
          <w:bookmarkStart w:id="8" w:name="_Toc496962940"/>
          <w:bookmarkStart w:id="9" w:name="_Toc6685"/>
          <w:bookmarkStart w:id="10" w:name="_Toc17789"/>
          <w:bookmarkStart w:id="11" w:name="_Toc11495"/>
          <w:r>
            <w:rPr>
              <w:rFonts w:hint="eastAsia" w:asciiTheme="minorEastAsia" w:hAnsiTheme="minorEastAsia" w:eastAsiaTheme="minorEastAsia" w:cstheme="minorEastAsia"/>
              <w:sz w:val="28"/>
              <w:szCs w:val="28"/>
            </w:rPr>
            <w:t>目录</w:t>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"1-1"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_Toc18524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第一章 招标公告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_Toc18524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_Toc24393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第二章 </w:t>
          </w:r>
          <w:r>
            <w:rPr>
              <w:rFonts w:hint="eastAsia" w:asciiTheme="minorEastAsia" w:hAnsiTheme="minorEastAsia" w:eastAsiaTheme="minorEastAsia" w:cstheme="minorEastAsia"/>
              <w:sz w:val="28"/>
              <w:szCs w:val="28"/>
              <w:lang w:eastAsia="zh-CN"/>
            </w:rPr>
            <w:t>采购需求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_Toc24393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第三章 投标人须知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_Toc5060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_Toc13990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第四章 评标方法和评分标准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_Toc13990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_Toc10494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i w:val="0"/>
              <w:iCs/>
              <w:sz w:val="28"/>
              <w:szCs w:val="28"/>
            </w:rPr>
            <w:t>第五章 拟签订的合同文本</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_Toc10494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_Toc29990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第六章 投标文件格式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_Toc29990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38"/>
            <w:keepNext w:val="0"/>
            <w:keepLines w:val="0"/>
            <w:pageBreakBefore w:val="0"/>
            <w:tabs>
              <w:tab w:val="right" w:leader="dot" w:pos="9747"/>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pPr>
          <w:r>
            <w:rPr>
              <w:rFonts w:hint="eastAsia" w:asciiTheme="minorEastAsia" w:hAnsiTheme="minorEastAsia" w:eastAsiaTheme="minorEastAsia" w:cstheme="minorEastAsia"/>
              <w:sz w:val="28"/>
              <w:szCs w:val="28"/>
            </w:rPr>
            <w:fldChar w:fldCharType="end"/>
          </w:r>
        </w:p>
      </w:sdtContent>
    </w:sdt>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bookmarkStart w:id="12" w:name="_Toc18524"/>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r>
        <w:rPr>
          <w:rFonts w:hint="eastAsia" w:ascii="黑体" w:hAnsi="黑体" w:eastAsia="黑体" w:cs="黑体"/>
          <w:b w:val="0"/>
          <w:bCs w:val="0"/>
          <w:sz w:val="36"/>
          <w:szCs w:val="36"/>
        </w:rPr>
        <w:t xml:space="preserve">第一章 </w:t>
      </w:r>
      <w:bookmarkEnd w:id="0"/>
      <w:bookmarkEnd w:id="1"/>
      <w:bookmarkEnd w:id="2"/>
      <w:bookmarkEnd w:id="3"/>
      <w:bookmarkEnd w:id="4"/>
      <w:bookmarkEnd w:id="5"/>
      <w:bookmarkEnd w:id="6"/>
      <w:bookmarkEnd w:id="7"/>
      <w:bookmarkEnd w:id="8"/>
      <w:bookmarkEnd w:id="9"/>
      <w:bookmarkStart w:id="13" w:name="_Toc25382"/>
      <w:bookmarkStart w:id="14" w:name="_Toc452528597"/>
      <w:bookmarkStart w:id="15" w:name="_Toc6194"/>
      <w:bookmarkStart w:id="16" w:name="_Toc17418"/>
      <w:bookmarkStart w:id="17" w:name="_Toc31927"/>
      <w:bookmarkStart w:id="18" w:name="_Toc13906"/>
      <w:bookmarkStart w:id="19" w:name="_Toc8911"/>
      <w:r>
        <w:rPr>
          <w:rFonts w:hint="eastAsia" w:ascii="黑体" w:hAnsi="黑体" w:eastAsia="黑体" w:cs="黑体"/>
          <w:b w:val="0"/>
          <w:bCs w:val="0"/>
          <w:sz w:val="36"/>
          <w:szCs w:val="36"/>
        </w:rPr>
        <w:t>招标公告</w:t>
      </w:r>
      <w:bookmarkEnd w:id="10"/>
      <w:bookmarkEnd w:id="11"/>
      <w:bookmarkEnd w:id="12"/>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u w:val="single"/>
          <w:lang w:eastAsia="zh-CN"/>
        </w:rPr>
        <w:t>龙游县2024-2026年公路日常养护—绿化养护采购项目</w:t>
      </w:r>
      <w:r>
        <w:rPr>
          <w:rFonts w:hint="eastAsia" w:ascii="宋体" w:hAnsi="宋体" w:eastAsia="宋体" w:cs="宋体"/>
          <w:color w:val="000000"/>
          <w:sz w:val="24"/>
          <w:szCs w:val="24"/>
        </w:rPr>
        <w:t>的潜在投标人应在</w:t>
      </w:r>
      <w:r>
        <w:rPr>
          <w:rFonts w:hint="eastAsia" w:ascii="宋体" w:hAnsi="宋体" w:eastAsia="宋体" w:cs="宋体"/>
          <w:color w:val="000000"/>
          <w:sz w:val="24"/>
          <w:szCs w:val="24"/>
          <w:u w:val="single"/>
        </w:rPr>
        <w:t>浙江政府采购网 (http://zfcg.czt.zj.gov.cn/)</w:t>
      </w:r>
      <w:r>
        <w:rPr>
          <w:rFonts w:hint="eastAsia" w:ascii="宋体" w:hAnsi="宋体" w:eastAsia="宋体" w:cs="宋体"/>
          <w:color w:val="000000"/>
          <w:sz w:val="24"/>
          <w:szCs w:val="24"/>
        </w:rPr>
        <w:t>获取招标文件，并于</w:t>
      </w:r>
      <w:r>
        <w:rPr>
          <w:rFonts w:hint="eastAsia" w:ascii="宋体" w:hAnsi="宋体" w:eastAsia="宋体" w:cs="宋体"/>
          <w:color w:val="auto"/>
          <w:sz w:val="24"/>
          <w:szCs w:val="24"/>
          <w:u w:val="single"/>
        </w:rPr>
        <w:t>20</w:t>
      </w:r>
      <w:r>
        <w:rPr>
          <w:rFonts w:hint="eastAsia" w:ascii="宋体" w:hAnsi="宋体" w:eastAsia="宋体" w:cs="宋体"/>
          <w:color w:val="auto"/>
          <w:sz w:val="24"/>
          <w:szCs w:val="24"/>
          <w:u w:val="single"/>
          <w:lang w:val="en-US" w:eastAsia="zh-CN"/>
        </w:rPr>
        <w:t>2</w:t>
      </w:r>
      <w:r>
        <w:rPr>
          <w:rFonts w:hint="eastAsia" w:cs="宋体"/>
          <w:color w:val="auto"/>
          <w:sz w:val="24"/>
          <w:szCs w:val="24"/>
          <w:u w:val="single"/>
          <w:lang w:val="en-US" w:eastAsia="zh-CN"/>
        </w:rPr>
        <w:t>4</w:t>
      </w:r>
      <w:r>
        <w:rPr>
          <w:rFonts w:hint="eastAsia" w:ascii="宋体" w:hAnsi="宋体" w:eastAsia="宋体" w:cs="宋体"/>
          <w:color w:val="auto"/>
          <w:sz w:val="24"/>
          <w:szCs w:val="24"/>
          <w:u w:val="single"/>
        </w:rPr>
        <w:t>年</w:t>
      </w:r>
      <w:r>
        <w:rPr>
          <w:rFonts w:hint="eastAsia" w:cs="宋体"/>
          <w:color w:val="auto"/>
          <w:sz w:val="24"/>
          <w:szCs w:val="24"/>
          <w:u w:val="single"/>
          <w:lang w:val="en-US" w:eastAsia="zh-CN"/>
        </w:rPr>
        <w:t>06</w:t>
      </w:r>
      <w:r>
        <w:rPr>
          <w:rFonts w:hint="eastAsia" w:ascii="宋体" w:hAnsi="宋体" w:eastAsia="宋体" w:cs="宋体"/>
          <w:color w:val="auto"/>
          <w:sz w:val="24"/>
          <w:szCs w:val="24"/>
          <w:u w:val="single"/>
        </w:rPr>
        <w:t>月</w:t>
      </w:r>
      <w:r>
        <w:rPr>
          <w:rFonts w:hint="eastAsia" w:cs="宋体"/>
          <w:color w:val="auto"/>
          <w:sz w:val="24"/>
          <w:szCs w:val="24"/>
          <w:u w:val="single"/>
          <w:lang w:val="en-US" w:eastAsia="zh-CN"/>
        </w:rPr>
        <w:t>11</w:t>
      </w:r>
      <w:r>
        <w:rPr>
          <w:rFonts w:hint="eastAsia" w:ascii="宋体" w:hAnsi="宋体" w:eastAsia="宋体" w:cs="宋体"/>
          <w:color w:val="auto"/>
          <w:sz w:val="24"/>
          <w:szCs w:val="24"/>
          <w:u w:val="single"/>
        </w:rPr>
        <w:t>日</w:t>
      </w:r>
      <w:r>
        <w:rPr>
          <w:rFonts w:hint="eastAsia" w:cs="宋体"/>
          <w:color w:val="auto"/>
          <w:sz w:val="24"/>
          <w:szCs w:val="24"/>
          <w:u w:val="single"/>
          <w:lang w:val="en-US" w:eastAsia="zh-CN"/>
        </w:rPr>
        <w:t>14</w:t>
      </w:r>
      <w:r>
        <w:rPr>
          <w:rFonts w:hint="eastAsia" w:ascii="宋体" w:hAnsi="宋体" w:eastAsia="宋体" w:cs="宋体"/>
          <w:color w:val="auto"/>
          <w:sz w:val="24"/>
          <w:szCs w:val="24"/>
          <w:u w:val="single"/>
        </w:rPr>
        <w:t>点</w:t>
      </w:r>
      <w:r>
        <w:rPr>
          <w:rFonts w:hint="eastAsia" w:cs="宋体"/>
          <w:color w:val="auto"/>
          <w:sz w:val="24"/>
          <w:szCs w:val="24"/>
          <w:u w:val="single"/>
          <w:lang w:val="en-US" w:eastAsia="zh-CN"/>
        </w:rPr>
        <w:t>3</w:t>
      </w:r>
      <w:r>
        <w:rPr>
          <w:rFonts w:hint="eastAsia" w:ascii="宋体" w:hAnsi="宋体" w:eastAsia="宋体" w:cs="宋体"/>
          <w:color w:val="auto"/>
          <w:sz w:val="24"/>
          <w:szCs w:val="24"/>
          <w:u w:val="single"/>
          <w:lang w:val="en-US" w:eastAsia="zh-CN"/>
        </w:rPr>
        <w:t>0分</w:t>
      </w:r>
      <w:r>
        <w:rPr>
          <w:rFonts w:hint="eastAsia" w:ascii="宋体" w:hAnsi="宋体" w:eastAsia="宋体" w:cs="宋体"/>
          <w:color w:val="auto"/>
          <w:sz w:val="24"/>
          <w:szCs w:val="24"/>
          <w:u w:val="single"/>
        </w:rPr>
        <w:t>（</w:t>
      </w:r>
      <w:r>
        <w:rPr>
          <w:rFonts w:hint="eastAsia" w:ascii="宋体" w:hAnsi="宋体" w:eastAsia="宋体" w:cs="宋体"/>
          <w:color w:val="000000"/>
          <w:sz w:val="24"/>
          <w:szCs w:val="24"/>
        </w:rPr>
        <w:t>北京时间）前递交投标文件。</w:t>
      </w:r>
    </w:p>
    <w:p>
      <w:pPr>
        <w:keepNext w:val="0"/>
        <w:keepLines w:val="0"/>
        <w:pageBreakBefore w:val="0"/>
        <w:widowControl w:val="0"/>
        <w:kinsoku/>
        <w:wordWrap/>
        <w:overflowPunct/>
        <w:topLinePunct w:val="0"/>
        <w:autoSpaceDE/>
        <w:autoSpaceDN/>
        <w:bidi w:val="0"/>
        <w:adjustRightInd w:val="0"/>
        <w:snapToGrid w:val="0"/>
        <w:spacing w:before="120" w:beforeLines="50" w:line="460" w:lineRule="exact"/>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一、项目基本情况</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项目编号：</w:t>
      </w:r>
      <w:r>
        <w:rPr>
          <w:rFonts w:hint="eastAsia" w:cs="宋体"/>
          <w:color w:val="000000"/>
          <w:sz w:val="24"/>
          <w:szCs w:val="24"/>
          <w:lang w:eastAsia="zh-CN"/>
        </w:rPr>
        <w:t>LYBQZC2024-27</w:t>
      </w:r>
    </w:p>
    <w:p>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项目</w:t>
      </w:r>
      <w:r>
        <w:rPr>
          <w:rFonts w:hint="eastAsia" w:ascii="宋体" w:hAnsi="宋体" w:eastAsia="宋体" w:cs="宋体"/>
          <w:color w:val="auto"/>
          <w:spacing w:val="-6"/>
          <w:sz w:val="24"/>
          <w:szCs w:val="24"/>
          <w:highlight w:val="none"/>
          <w:lang w:val="en-US" w:eastAsia="zh-CN"/>
        </w:rPr>
        <w:t>名称：</w:t>
      </w:r>
      <w:r>
        <w:rPr>
          <w:rFonts w:hint="eastAsia" w:cs="宋体"/>
          <w:color w:val="auto"/>
          <w:spacing w:val="-6"/>
          <w:sz w:val="24"/>
          <w:szCs w:val="24"/>
          <w:highlight w:val="none"/>
          <w:lang w:val="en-US" w:eastAsia="zh-CN"/>
        </w:rPr>
        <w:t>龙游县2024-2026年公路日常养护—绿化养护采购项目</w:t>
      </w:r>
    </w:p>
    <w:p>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default" w:cs="宋体"/>
          <w:color w:val="auto"/>
          <w:spacing w:val="-6"/>
          <w:sz w:val="24"/>
          <w:szCs w:val="24"/>
          <w:highlight w:val="none"/>
          <w:lang w:val="en-US" w:eastAsia="zh-CN"/>
        </w:rPr>
      </w:pPr>
      <w:r>
        <w:rPr>
          <w:rFonts w:hint="eastAsia" w:cs="宋体"/>
          <w:color w:val="auto"/>
          <w:spacing w:val="-6"/>
          <w:sz w:val="24"/>
          <w:szCs w:val="24"/>
          <w:highlight w:val="none"/>
          <w:lang w:val="en-US" w:eastAsia="zh-CN"/>
        </w:rPr>
        <w:t>预算金额：350万元（175万元/年）</w:t>
      </w:r>
    </w:p>
    <w:p>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最高限价：350万元（175万元/年）</w:t>
      </w:r>
    </w:p>
    <w:p>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简要规格描述： </w:t>
      </w:r>
    </w:p>
    <w:tbl>
      <w:tblPr>
        <w:tblStyle w:val="47"/>
        <w:tblW w:w="90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245"/>
        <w:gridCol w:w="1905"/>
        <w:gridCol w:w="990"/>
        <w:gridCol w:w="28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407" w:hRule="atLeast"/>
          <w:jc w:val="center"/>
        </w:trPr>
        <w:tc>
          <w:tcPr>
            <w:tcW w:w="3245" w:type="dxa"/>
            <w:tcBorders>
              <w:bottom w:val="outset" w:color="auto" w:sz="6" w:space="0"/>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标项名称</w:t>
            </w:r>
          </w:p>
        </w:tc>
        <w:tc>
          <w:tcPr>
            <w:tcW w:w="1905" w:type="dxa"/>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预算金额</w:t>
            </w:r>
          </w:p>
        </w:tc>
        <w:tc>
          <w:tcPr>
            <w:tcW w:w="990" w:type="dxa"/>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数量</w:t>
            </w:r>
          </w:p>
        </w:tc>
        <w:tc>
          <w:tcPr>
            <w:tcW w:w="2895" w:type="dxa"/>
            <w:tcBorders>
              <w:left w:val="outset" w:color="auto" w:sz="6" w:space="0"/>
              <w:bottom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简要规格描述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519" w:hRule="atLeast"/>
          <w:jc w:val="center"/>
        </w:trPr>
        <w:tc>
          <w:tcPr>
            <w:tcW w:w="3245" w:type="dxa"/>
            <w:tcBorders>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龙游县2024-2026年公路日常养护—绿化养护采购项目</w:t>
            </w:r>
          </w:p>
        </w:tc>
        <w:tc>
          <w:tcPr>
            <w:tcW w:w="1905" w:type="dxa"/>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cs="宋体"/>
                <w:color w:val="auto"/>
                <w:spacing w:val="-6"/>
                <w:sz w:val="24"/>
                <w:szCs w:val="24"/>
                <w:highlight w:val="none"/>
                <w:lang w:val="en-US" w:eastAsia="zh-CN"/>
              </w:rPr>
            </w:pPr>
            <w:r>
              <w:rPr>
                <w:rFonts w:hint="eastAsia" w:cs="宋体"/>
                <w:color w:val="auto"/>
                <w:spacing w:val="-6"/>
                <w:sz w:val="24"/>
                <w:szCs w:val="24"/>
                <w:highlight w:val="none"/>
                <w:lang w:val="en-US" w:eastAsia="zh-CN"/>
              </w:rPr>
              <w:t>350万元</w:t>
            </w:r>
          </w:p>
        </w:tc>
        <w:tc>
          <w:tcPr>
            <w:tcW w:w="990" w:type="dxa"/>
            <w:tcBorders>
              <w:left w:val="outset" w:color="auto" w:sz="6" w:space="0"/>
              <w:righ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1项</w:t>
            </w:r>
          </w:p>
        </w:tc>
        <w:tc>
          <w:tcPr>
            <w:tcW w:w="2895" w:type="dxa"/>
            <w:tcBorders>
              <w:left w:val="outset"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详见第三章采购内容及要求</w:t>
            </w:r>
          </w:p>
        </w:tc>
      </w:tr>
    </w:tbl>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服务期限</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二年，2024年7月1日-2026年6月30日。</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二、申请人的资格要求：</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1.满足《中华人民共和国政府采购法》第二十二条规定；</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A、具有独立承担民事责任的能力；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B、具有良好的商业信誉和健全的财务会计制度；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C、具有履行合同所必需的设备和专业技术能力；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D、有依法缴纳税收和社会保障资金的良好记录；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E、参加政府采购活动前三年内，在经营活动中没有重大违法记录；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F、法律、行政法规规定的其他条件。</w:t>
      </w:r>
    </w:p>
    <w:p>
      <w:pPr>
        <w:pStyle w:val="236"/>
        <w:keepNext w:val="0"/>
        <w:keepLines w:val="0"/>
        <w:pageBreakBefore w:val="0"/>
        <w:widowControl w:val="0"/>
        <w:kinsoku/>
        <w:wordWrap/>
        <w:overflowPunct/>
        <w:topLinePunct w:val="0"/>
        <w:autoSpaceDE/>
        <w:autoSpaceDN/>
        <w:bidi w:val="0"/>
        <w:spacing w:line="460" w:lineRule="exact"/>
        <w:ind w:firstLine="48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落实政府采购政策需满足的资格要求：本项目专门面向中小企业采购，服务全部由符合政策要求的中小企业承接，提供中小企业声明函（残疾人福利性单位和监狱企业视同小微企业，提供残疾人福利性单位声明函，监狱企业证明文件）。</w:t>
      </w:r>
    </w:p>
    <w:p>
      <w:pPr>
        <w:pStyle w:val="236"/>
        <w:keepNext w:val="0"/>
        <w:keepLines w:val="0"/>
        <w:pageBreakBefore w:val="0"/>
        <w:widowControl w:val="0"/>
        <w:kinsoku/>
        <w:wordWrap/>
        <w:overflowPunct/>
        <w:topLinePunct w:val="0"/>
        <w:autoSpaceDE/>
        <w:autoSpaceDN/>
        <w:bidi w:val="0"/>
        <w:spacing w:line="460" w:lineRule="exact"/>
        <w:ind w:firstLine="48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w:t>
      </w:r>
      <w:r>
        <w:rPr>
          <w:rFonts w:hint="eastAsia"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本项目的特定资格要求：</w:t>
      </w:r>
      <w:r>
        <w:rPr>
          <w:rFonts w:hint="eastAsia" w:cs="宋体"/>
          <w:color w:val="000000"/>
          <w:kern w:val="2"/>
          <w:sz w:val="24"/>
          <w:szCs w:val="24"/>
          <w:lang w:val="en-US" w:eastAsia="zh-CN" w:bidi="ar-SA"/>
        </w:rPr>
        <w:t xml:space="preserve"> 无。</w:t>
      </w:r>
    </w:p>
    <w:p>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凡拟参加本项目采购活动的供应商，如在“信用中国”网站（www.creditchina.gov.cn）被列入失信被执行人、重大税收违法案件当事人名单、政府采购严重违法失信名单的；承诺响应截止之日至前三年内，在“中国政府采购网”(www.ccgp.gov.cn)被列入政府采购严重违法失信行为记录名单中的且在处罚有效期内的磋商响应方，承诺响应截止之日至前三年内，在“浙江政府采购网”（www.zjzfcg.gov.cn）“曝光台”中被曝光且在处罚有效期内的承诺响应方，资格审查时均不予以通过。</w:t>
      </w:r>
    </w:p>
    <w:p>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5、单位负责人为同一人或者存在直接控股、管理关系的不同供应商，拒绝同时参与本采购活动。</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三、获取招标文件</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1.</w:t>
      </w:r>
      <w:r>
        <w:rPr>
          <w:rFonts w:hint="eastAsia" w:ascii="宋体" w:hAnsi="宋体" w:eastAsia="宋体" w:cs="宋体"/>
          <w:color w:val="000000"/>
          <w:sz w:val="24"/>
          <w:szCs w:val="24"/>
        </w:rPr>
        <w:t>时间：</w:t>
      </w:r>
      <w:r>
        <w:rPr>
          <w:rFonts w:hint="eastAsia" w:ascii="宋体" w:hAnsi="宋体" w:eastAsia="宋体" w:cs="宋体"/>
          <w:color w:val="000000"/>
          <w:sz w:val="24"/>
          <w:szCs w:val="24"/>
          <w:lang w:val="en-US" w:eastAsia="zh-CN"/>
        </w:rPr>
        <w:t>公告之日起</w:t>
      </w:r>
      <w:r>
        <w:rPr>
          <w:rFonts w:hint="eastAsia" w:ascii="宋体" w:hAnsi="宋体" w:eastAsia="宋体" w:cs="宋体"/>
          <w:color w:val="000000"/>
          <w:sz w:val="24"/>
          <w:szCs w:val="24"/>
        </w:rPr>
        <w:t>至</w:t>
      </w:r>
      <w:r>
        <w:rPr>
          <w:rFonts w:hint="eastAsia" w:ascii="宋体" w:hAnsi="宋体" w:eastAsia="宋体" w:cs="宋体"/>
          <w:color w:val="000000"/>
          <w:sz w:val="24"/>
          <w:szCs w:val="24"/>
          <w:lang w:val="en-US" w:eastAsia="zh-CN"/>
        </w:rPr>
        <w:t>投标截止时间前</w:t>
      </w:r>
      <w:r>
        <w:rPr>
          <w:rFonts w:hint="eastAsia" w:ascii="宋体" w:hAnsi="宋体" w:eastAsia="宋体" w:cs="宋体"/>
          <w:color w:val="000000"/>
          <w:sz w:val="24"/>
          <w:szCs w:val="24"/>
        </w:rPr>
        <w:t>，每天上午0:00至12:00，下午12:00至23:59（北京时间，投标截止时间前均可网上下载。）</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2.</w:t>
      </w:r>
      <w:r>
        <w:rPr>
          <w:rFonts w:hint="eastAsia" w:ascii="宋体" w:hAnsi="宋体" w:eastAsia="宋体" w:cs="宋体"/>
          <w:color w:val="000000"/>
          <w:sz w:val="24"/>
          <w:szCs w:val="24"/>
        </w:rPr>
        <w:t xml:space="preserve">地点：浙江政府采购网（http://zfcg.czt.zj.gov.cn/）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cs="宋体"/>
          <w:color w:val="000000"/>
          <w:sz w:val="24"/>
          <w:szCs w:val="24"/>
          <w:lang w:val="en-US" w:eastAsia="zh-CN"/>
        </w:rPr>
      </w:pPr>
      <w:r>
        <w:rPr>
          <w:rFonts w:hint="eastAsia" w:cs="宋体"/>
          <w:color w:val="000000"/>
          <w:sz w:val="24"/>
          <w:szCs w:val="24"/>
          <w:lang w:val="en-US" w:eastAsia="zh-CN"/>
        </w:rPr>
        <w:t>3.方式：网上下载，不提供纸质版。通过本公告下方“游客，浏览采购文件”下载的采购文件仅供浏览。</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4.</w:t>
      </w:r>
      <w:r>
        <w:rPr>
          <w:rFonts w:hint="eastAsia" w:ascii="宋体" w:hAnsi="宋体" w:eastAsia="宋体" w:cs="宋体"/>
          <w:color w:val="000000"/>
          <w:sz w:val="24"/>
          <w:szCs w:val="24"/>
        </w:rPr>
        <w:t>售价：0元</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四、提交投标文件截止时间、开标时间和地点</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u w:val="none"/>
          <w:lang w:val="en-US" w:eastAsia="zh-CN"/>
        </w:rPr>
        <w:t>1.提交投标文件截止时间：</w:t>
      </w: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06</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11</w:t>
      </w:r>
      <w:r>
        <w:rPr>
          <w:rFonts w:hint="eastAsia" w:ascii="宋体" w:hAnsi="宋体" w:eastAsia="宋体" w:cs="宋体"/>
          <w:color w:val="000000"/>
          <w:sz w:val="24"/>
          <w:szCs w:val="24"/>
          <w:u w:val="none"/>
        </w:rPr>
        <w:t>日</w:t>
      </w:r>
      <w:r>
        <w:rPr>
          <w:rFonts w:hint="eastAsia" w:cs="宋体"/>
          <w:color w:val="000000"/>
          <w:sz w:val="24"/>
          <w:szCs w:val="24"/>
          <w:u w:val="none"/>
          <w:lang w:val="en-US" w:eastAsia="zh-CN"/>
        </w:rPr>
        <w:t>14</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cs="宋体"/>
          <w:color w:val="000000"/>
          <w:sz w:val="24"/>
          <w:szCs w:val="24"/>
          <w:lang w:val="en-US" w:eastAsia="zh-CN"/>
        </w:rPr>
      </w:pPr>
      <w:r>
        <w:rPr>
          <w:rFonts w:hint="eastAsia" w:cs="宋体"/>
          <w:color w:val="000000"/>
          <w:sz w:val="24"/>
          <w:szCs w:val="24"/>
          <w:lang w:val="en-US" w:eastAsia="zh-CN"/>
        </w:rPr>
        <w:t>2.投标地点：电子投标文件须在投标截止时间前完成传输递交政府采购云平台，投标截止时间后递交的电子投标文件，将被政府采购云平台拒收。</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000000"/>
          <w:sz w:val="24"/>
          <w:szCs w:val="24"/>
          <w:lang w:val="en-US" w:eastAsia="zh-CN"/>
        </w:rPr>
      </w:pPr>
      <w:r>
        <w:rPr>
          <w:rFonts w:hint="eastAsia" w:cs="宋体"/>
          <w:color w:val="000000"/>
          <w:sz w:val="24"/>
          <w:szCs w:val="24"/>
          <w:lang w:val="en-US" w:eastAsia="zh-CN"/>
        </w:rPr>
        <w:t>3.开标时间：</w:t>
      </w: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06</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11</w:t>
      </w:r>
      <w:r>
        <w:rPr>
          <w:rFonts w:hint="eastAsia" w:ascii="宋体" w:hAnsi="宋体" w:eastAsia="宋体" w:cs="宋体"/>
          <w:color w:val="000000"/>
          <w:sz w:val="24"/>
          <w:szCs w:val="24"/>
          <w:u w:val="none"/>
        </w:rPr>
        <w:t>日</w:t>
      </w:r>
      <w:r>
        <w:rPr>
          <w:rFonts w:hint="eastAsia" w:cs="宋体"/>
          <w:color w:val="000000"/>
          <w:sz w:val="24"/>
          <w:szCs w:val="24"/>
          <w:u w:val="none"/>
          <w:lang w:val="en-US" w:eastAsia="zh-CN"/>
        </w:rPr>
        <w:t>14</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000000"/>
          <w:sz w:val="24"/>
          <w:szCs w:val="24"/>
          <w:lang w:val="en-US" w:eastAsia="zh-CN"/>
        </w:rPr>
      </w:pPr>
      <w:r>
        <w:rPr>
          <w:rFonts w:hint="eastAsia" w:cs="宋体"/>
          <w:color w:val="000000"/>
          <w:sz w:val="24"/>
          <w:szCs w:val="24"/>
          <w:lang w:val="en-US" w:eastAsia="zh-CN"/>
        </w:rPr>
        <w:t>4.</w:t>
      </w:r>
      <w:r>
        <w:rPr>
          <w:rFonts w:hint="eastAsia" w:ascii="宋体" w:hAnsi="宋体" w:eastAsia="宋体" w:cs="宋体"/>
          <w:color w:val="000000"/>
          <w:sz w:val="24"/>
          <w:szCs w:val="24"/>
          <w:lang w:val="en-US" w:eastAsia="zh-CN"/>
        </w:rPr>
        <w:t>开</w:t>
      </w:r>
      <w:r>
        <w:rPr>
          <w:rFonts w:hint="eastAsia" w:ascii="宋体" w:hAnsi="宋体" w:eastAsia="宋体" w:cs="宋体"/>
          <w:color w:val="000000"/>
          <w:sz w:val="24"/>
          <w:szCs w:val="24"/>
        </w:rPr>
        <w:t>标地点：</w:t>
      </w:r>
      <w:r>
        <w:rPr>
          <w:rFonts w:hint="eastAsia" w:cs="宋体"/>
          <w:color w:val="000000"/>
          <w:sz w:val="24"/>
          <w:szCs w:val="24"/>
          <w:lang w:val="en-US" w:eastAsia="zh-CN"/>
        </w:rPr>
        <w:t>投标人在浙江政府采购网-政府采购云平台在线参加开标。</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5.评标地点：</w:t>
      </w:r>
      <w:r>
        <w:rPr>
          <w:rFonts w:hint="eastAsia" w:ascii="宋体" w:hAnsi="宋体" w:eastAsia="宋体" w:cs="宋体"/>
          <w:color w:val="000000"/>
          <w:sz w:val="24"/>
          <w:szCs w:val="24"/>
        </w:rPr>
        <w:t>衢州市公共资源交易龙游县分中心1楼</w:t>
      </w:r>
      <w:r>
        <w:rPr>
          <w:rFonts w:hint="eastAsia" w:cs="宋体"/>
          <w:color w:val="000000"/>
          <w:sz w:val="24"/>
          <w:szCs w:val="24"/>
          <w:lang w:val="en-US" w:eastAsia="zh-CN"/>
        </w:rPr>
        <w:t>2</w:t>
      </w:r>
      <w:r>
        <w:rPr>
          <w:rFonts w:hint="eastAsia" w:ascii="宋体" w:hAnsi="宋体" w:eastAsia="宋体" w:cs="宋体"/>
          <w:color w:val="000000"/>
          <w:sz w:val="24"/>
          <w:szCs w:val="24"/>
        </w:rPr>
        <w:t>号评标室。</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6.</w:t>
      </w:r>
      <w:r>
        <w:rPr>
          <w:rFonts w:hint="eastAsia" w:ascii="宋体" w:hAnsi="宋体" w:eastAsia="宋体" w:cs="宋体"/>
          <w:color w:val="000000"/>
          <w:sz w:val="24"/>
          <w:szCs w:val="24"/>
        </w:rPr>
        <w:t>电子备份文件提交：</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6.1</w:t>
      </w:r>
      <w:r>
        <w:rPr>
          <w:rFonts w:hint="eastAsia" w:ascii="宋体" w:hAnsi="宋体" w:eastAsia="宋体" w:cs="宋体"/>
          <w:color w:val="000000"/>
          <w:sz w:val="24"/>
          <w:szCs w:val="24"/>
        </w:rPr>
        <w:t>备份文件（经政采云电子交易客户端和CA驱动制作的后缀名为“.bfbs”的文件）在“电子加密投标文件”在线解密失败后启用，否则不予以启用。供应商自行确定是否提交。</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val="en-US" w:eastAsia="zh-CN"/>
        </w:rPr>
        <w:t>6.2</w:t>
      </w:r>
      <w:r>
        <w:rPr>
          <w:rFonts w:hint="eastAsia" w:ascii="宋体" w:hAnsi="宋体" w:eastAsia="宋体" w:cs="宋体"/>
          <w:color w:val="000000"/>
          <w:sz w:val="24"/>
          <w:szCs w:val="24"/>
        </w:rPr>
        <w:t>若提交，可在响应截止时间前（以收件箱显示时间为准，逾期邮件将被拒收）将备份文件发送至邮箱：</w:t>
      </w:r>
      <w:r>
        <w:rPr>
          <w:rFonts w:hint="eastAsia" w:ascii="宋体" w:hAnsi="宋体" w:eastAsia="宋体" w:cs="宋体"/>
          <w:color w:val="000000"/>
          <w:sz w:val="24"/>
          <w:szCs w:val="24"/>
          <w:lang w:eastAsia="zh-CN"/>
        </w:rPr>
        <w:t>107823057@qq.com</w:t>
      </w:r>
      <w:r>
        <w:rPr>
          <w:rFonts w:hint="eastAsia" w:ascii="宋体" w:hAnsi="宋体" w:eastAsia="宋体" w:cs="宋体"/>
          <w:color w:val="000000"/>
          <w:sz w:val="24"/>
          <w:szCs w:val="24"/>
        </w:rPr>
        <w:t>，邮件内容写上供应商名称。备份文件压缩加密（未加密造成泄密的由供应商自行承当，建议密码由数字和字母组成且不低于8位数），供应商确认“电子加密投标文件”在线解密失败后，将压缩加密的备份文件的解密密码在解密规定时间（响应截止时间后30分钟内）发送至上述邮箱内，未在规定时间内发送造成的响应无效或文件无效、解压失败由供应商自行承当。</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五、公告期限</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自本公告发布之日起5个工作日。</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六、其他补充事宜</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项目实行政采云电子交易系统全流程电子交易，投标人应按本项目招标文件和政采云平台的要求编制、加密并递交投标文件。投标人在使用系统进行投标的过程中遇到涉及平台使用的任何问题，可致电政采云平台技术支持热线咨询，联系方式：</w:t>
      </w:r>
      <w:r>
        <w:rPr>
          <w:rFonts w:hint="eastAsia" w:cs="宋体"/>
          <w:color w:val="auto"/>
          <w:sz w:val="24"/>
          <w:szCs w:val="24"/>
          <w:lang w:val="en-US" w:eastAsia="zh-CN"/>
        </w:rPr>
        <w:t>95763</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2、投标人应在开标前完成CA数字证书办理。（办理流程详见http://zfcg.czt.zj.gov.cn/bidClientTemplate/2019-05-27/12945.html）。完成CA数字证书办理预计一周左右，建议各投标人抓紧时间办理。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人通过政采云平台电子交易系统制作投标文件，“政采云电子交易客户端”请供应商自行下载并安装，（下载网址：http://zfcg.czt.zj.gov.cn/bidClientTemplate/2019-09-24/12975.html），《政府采购项目电子交易管理操作指南-供应商》详见网址：https://service.zcygov.cn/#/knowledges/CW1EtGwBFdiHxlNd6I3m/6IMVAG0BFdiHxlNdQ8Na。</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本项目采用实行政采云电子交易系统全流程电子交易，投标人无需到现场。在截止时间后凭CA数字证书完成投标文件解密。投标人的联系电话在开标当天保持通信畅通，因通信问题无法联系到，造成的后果由投标人自负。</w:t>
      </w:r>
    </w:p>
    <w:p>
      <w:pPr>
        <w:pStyle w:val="19"/>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宋体" w:hAnsi="宋体" w:eastAsia="宋体" w:cs="宋体"/>
          <w:b w:val="0"/>
          <w:bCs w:val="0"/>
          <w:color w:val="000000"/>
          <w:spacing w:val="0"/>
          <w:kern w:val="2"/>
          <w:sz w:val="24"/>
          <w:szCs w:val="24"/>
          <w:lang w:val="en-US" w:eastAsia="zh-CN" w:bidi="ar-SA"/>
        </w:rPr>
      </w:pPr>
      <w:r>
        <w:rPr>
          <w:rFonts w:hint="eastAsia" w:ascii="宋体" w:hAnsi="宋体" w:cs="宋体"/>
          <w:b w:val="0"/>
          <w:bCs w:val="0"/>
          <w:color w:val="000000"/>
          <w:spacing w:val="0"/>
          <w:kern w:val="2"/>
          <w:sz w:val="24"/>
          <w:szCs w:val="24"/>
          <w:lang w:val="en-US" w:eastAsia="zh-CN" w:bidi="ar-SA"/>
        </w:rPr>
        <w:t>5</w:t>
      </w:r>
      <w:r>
        <w:rPr>
          <w:rFonts w:hint="eastAsia" w:ascii="宋体" w:hAnsi="宋体" w:eastAsia="宋体" w:cs="宋体"/>
          <w:b w:val="0"/>
          <w:bCs w:val="0"/>
          <w:color w:val="000000"/>
          <w:spacing w:val="0"/>
          <w:kern w:val="2"/>
          <w:sz w:val="24"/>
          <w:szCs w:val="24"/>
          <w:lang w:val="en-US" w:eastAsia="zh-CN" w:bidi="ar-SA"/>
        </w:rPr>
        <w:t>、补充说明</w:t>
      </w:r>
    </w:p>
    <w:p>
      <w:pPr>
        <w:pStyle w:val="19"/>
        <w:keepNext w:val="0"/>
        <w:keepLines w:val="0"/>
        <w:pageBreakBefore w:val="0"/>
        <w:widowControl w:val="0"/>
        <w:kinsoku/>
        <w:wordWrap/>
        <w:overflowPunct/>
        <w:topLinePunct w:val="0"/>
        <w:autoSpaceDE/>
        <w:autoSpaceDN/>
        <w:bidi w:val="0"/>
        <w:spacing w:line="460" w:lineRule="exact"/>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19"/>
        <w:keepNext w:val="0"/>
        <w:keepLines w:val="0"/>
        <w:pageBreakBefore w:val="0"/>
        <w:widowControl w:val="0"/>
        <w:numPr>
          <w:ilvl w:val="0"/>
          <w:numId w:val="2"/>
        </w:numPr>
        <w:kinsoku/>
        <w:wordWrap/>
        <w:overflowPunct/>
        <w:topLinePunct w:val="0"/>
        <w:autoSpaceDE/>
        <w:autoSpaceDN/>
        <w:bidi w:val="0"/>
        <w:spacing w:line="460" w:lineRule="exact"/>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9"/>
        <w:keepNext w:val="0"/>
        <w:keepLines w:val="0"/>
        <w:pageBreakBefore w:val="0"/>
        <w:widowControl w:val="0"/>
        <w:numPr>
          <w:ilvl w:val="0"/>
          <w:numId w:val="2"/>
        </w:numPr>
        <w:kinsoku/>
        <w:wordWrap/>
        <w:overflowPunct/>
        <w:topLinePunct w:val="0"/>
        <w:autoSpaceDE/>
        <w:autoSpaceDN/>
        <w:bidi w:val="0"/>
        <w:spacing w:line="460" w:lineRule="exact"/>
        <w:ind w:left="0" w:leftChars="0" w:right="-533" w:rightChars="0" w:firstLine="0" w:firstLineChars="0"/>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联系人：严先生； 联系电话：0570-7011687；地址：龙游县莲湖路69号。</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为支持和促进中小企业发展，有需要的中标供应商可根据需要申请办理政府采购合同贷款（以下简称“政采贷”），具体要求、条件和操作教程可通过政采云首页右上角——网站导航——金融服务查看，也可拨打政采云客服热线</w:t>
      </w:r>
      <w:r>
        <w:rPr>
          <w:rFonts w:hint="eastAsia" w:cs="宋体"/>
          <w:color w:val="auto"/>
          <w:sz w:val="24"/>
          <w:szCs w:val="24"/>
          <w:lang w:val="en-US" w:eastAsia="zh-CN"/>
        </w:rPr>
        <w:t>95763</w:t>
      </w:r>
      <w:r>
        <w:rPr>
          <w:rFonts w:hint="eastAsia" w:ascii="宋体" w:hAnsi="宋体" w:eastAsia="宋体" w:cs="宋体"/>
          <w:color w:val="auto"/>
          <w:sz w:val="24"/>
          <w:szCs w:val="24"/>
        </w:rPr>
        <w:t>咨询，或向各地已开通政采贷的银行咨询办理。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七、对本次招标提出询问，请按以下方式联系。</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名 称：</w:t>
      </w:r>
      <w:r>
        <w:rPr>
          <w:rFonts w:hint="eastAsia" w:cs="宋体"/>
          <w:color w:val="auto"/>
          <w:sz w:val="24"/>
          <w:szCs w:val="24"/>
          <w:lang w:eastAsia="zh-CN"/>
        </w:rPr>
        <w:t>龙游县交通运输局</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 址：</w:t>
      </w:r>
      <w:r>
        <w:rPr>
          <w:rFonts w:hint="eastAsia" w:cs="宋体"/>
          <w:color w:val="000000"/>
          <w:sz w:val="24"/>
          <w:szCs w:val="24"/>
          <w:lang w:val="en-US" w:eastAsia="zh-CN"/>
        </w:rPr>
        <w:t>龙游县龙洲街道兴龙北路389号</w:t>
      </w:r>
      <w:r>
        <w:rPr>
          <w:rFonts w:hint="eastAsia" w:ascii="宋体" w:hAnsi="宋体" w:eastAsia="宋体" w:cs="宋体"/>
          <w:color w:val="00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 xml:space="preserve">徐先生 </w:t>
      </w:r>
      <w:r>
        <w:rPr>
          <w:rFonts w:hint="eastAsia" w:ascii="宋体" w:hAnsi="宋体" w:eastAsia="宋体" w:cs="宋体"/>
          <w:color w:val="0000FF"/>
          <w:sz w:val="24"/>
          <w:szCs w:val="24"/>
          <w:lang w:val="en-US" w:eastAsia="zh-CN"/>
        </w:rPr>
        <w:t xml:space="preserve">  </w:t>
      </w:r>
      <w:r>
        <w:rPr>
          <w:rFonts w:hint="eastAsia" w:ascii="宋体" w:hAnsi="宋体" w:eastAsia="宋体" w:cs="宋体"/>
          <w:color w:val="auto"/>
          <w:sz w:val="24"/>
          <w:szCs w:val="24"/>
          <w:lang w:val="en-US" w:eastAsia="zh-CN"/>
        </w:rPr>
        <w:t>联系方式：</w:t>
      </w:r>
      <w:r>
        <w:rPr>
          <w:rFonts w:hint="eastAsia" w:cs="宋体"/>
          <w:color w:val="auto"/>
          <w:sz w:val="24"/>
          <w:szCs w:val="24"/>
          <w:lang w:val="en-US" w:eastAsia="zh-CN"/>
        </w:rPr>
        <w:t>0570-7178088</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lang w:val="en-US" w:eastAsia="zh-CN"/>
        </w:rPr>
      </w:pPr>
      <w:r>
        <w:rPr>
          <w:rFonts w:hint="eastAsia" w:ascii="宋体" w:hAnsi="宋体" w:eastAsia="宋体" w:cs="宋体"/>
          <w:color w:val="auto"/>
          <w:sz w:val="24"/>
          <w:szCs w:val="24"/>
          <w:lang w:val="en-US" w:eastAsia="zh-CN"/>
        </w:rPr>
        <w:t>质疑联系人：</w:t>
      </w:r>
      <w:r>
        <w:rPr>
          <w:rFonts w:hint="eastAsia" w:cs="宋体"/>
          <w:color w:val="auto"/>
          <w:sz w:val="24"/>
          <w:szCs w:val="24"/>
          <w:lang w:val="en-US" w:eastAsia="zh-CN"/>
        </w:rPr>
        <w:t>陈先生  联系方式：0570-7021140</w:t>
      </w:r>
    </w:p>
    <w:p>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采购代理机构信息</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rPr>
        <w:t>名 称：</w:t>
      </w:r>
      <w:r>
        <w:rPr>
          <w:rFonts w:hint="eastAsia" w:ascii="宋体" w:hAnsi="宋体" w:eastAsia="宋体" w:cs="宋体"/>
          <w:color w:val="auto"/>
          <w:sz w:val="24"/>
          <w:szCs w:val="24"/>
          <w:lang w:val="en-US" w:eastAsia="zh-CN"/>
        </w:rPr>
        <w:t xml:space="preserve">龙游博洽投资咨询有限公司 </w:t>
      </w:r>
    </w:p>
    <w:p>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lang w:val="en-US" w:eastAsia="zh-CN"/>
        </w:rPr>
        <w:t xml:space="preserve">龙游县龙洲街道太平西路554号 </w:t>
      </w:r>
      <w:r>
        <w:rPr>
          <w:rFonts w:hint="eastAsia" w:ascii="宋体" w:hAnsi="宋体" w:eastAsia="宋体" w:cs="宋体"/>
          <w:color w:val="auto"/>
          <w:sz w:val="24"/>
          <w:szCs w:val="24"/>
        </w:rPr>
        <w:t xml:space="preserve">        </w:t>
      </w:r>
      <w:r>
        <w:rPr>
          <w:rFonts w:hint="eastAsia" w:ascii="宋体" w:hAnsi="宋体" w:eastAsia="宋体" w:cs="宋体"/>
          <w:color w:val="000000"/>
          <w:sz w:val="24"/>
          <w:szCs w:val="24"/>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舒</w:t>
      </w:r>
      <w:r>
        <w:rPr>
          <w:rFonts w:hint="eastAsia" w:ascii="宋体" w:hAnsi="宋体" w:eastAsia="宋体" w:cs="宋体"/>
          <w:color w:val="auto"/>
          <w:sz w:val="24"/>
          <w:szCs w:val="24"/>
          <w:lang w:val="en-US" w:eastAsia="zh-CN"/>
        </w:rPr>
        <w:t xml:space="preserve">女士 </w:t>
      </w:r>
      <w:r>
        <w:rPr>
          <w:rFonts w:hint="eastAsia" w:cs="宋体"/>
          <w:color w:val="auto"/>
          <w:sz w:val="24"/>
          <w:szCs w:val="24"/>
          <w:lang w:val="en-US" w:eastAsia="zh-CN"/>
        </w:rPr>
        <w:t xml:space="preserve">       </w:t>
      </w:r>
      <w:r>
        <w:rPr>
          <w:rFonts w:hint="eastAsia" w:ascii="宋体" w:hAnsi="宋体" w:eastAsia="宋体" w:cs="宋体"/>
          <w:color w:val="auto"/>
          <w:sz w:val="24"/>
          <w:szCs w:val="24"/>
          <w:lang w:val="en-US" w:eastAsia="zh-CN"/>
        </w:rPr>
        <w:t>联系电话：</w:t>
      </w:r>
      <w:r>
        <w:rPr>
          <w:rFonts w:hint="eastAsia" w:cs="宋体"/>
          <w:color w:val="auto"/>
          <w:sz w:val="24"/>
          <w:szCs w:val="24"/>
          <w:lang w:val="en-US" w:eastAsia="zh-CN"/>
        </w:rPr>
        <w:t>15158785021</w:t>
      </w:r>
      <w:r>
        <w:rPr>
          <w:rFonts w:hint="eastAsia" w:ascii="宋体" w:hAnsi="宋体" w:eastAsia="宋体" w:cs="宋体"/>
          <w:color w:val="000000"/>
          <w:sz w:val="24"/>
          <w:szCs w:val="24"/>
        </w:rPr>
        <w:t xml:space="preserve">                                       </w:t>
      </w:r>
    </w:p>
    <w:p>
      <w:pPr>
        <w:pStyle w:val="19"/>
        <w:keepNext w:val="0"/>
        <w:keepLines w:val="0"/>
        <w:pageBreakBefore w:val="0"/>
        <w:widowControl w:val="0"/>
        <w:kinsoku/>
        <w:wordWrap/>
        <w:overflowPunct/>
        <w:topLinePunct w:val="0"/>
        <w:autoSpaceDE/>
        <w:autoSpaceDN/>
        <w:bidi w:val="0"/>
        <w:spacing w:line="460" w:lineRule="exact"/>
        <w:ind w:firstLine="240" w:firstLineChars="100"/>
        <w:textAlignment w:val="auto"/>
        <w:rPr>
          <w:rStyle w:val="51"/>
          <w:rFonts w:hint="eastAsia" w:ascii="宋体" w:hAnsi="宋体" w:eastAsia="宋体" w:cs="宋体"/>
          <w:b w:val="0"/>
          <w:color w:val="auto"/>
          <w:sz w:val="22"/>
          <w:szCs w:val="22"/>
          <w:shd w:val="clear" w:color="auto" w:fill="FFFFFF"/>
          <w:lang w:val="en-US" w:eastAsia="zh-CN"/>
        </w:rPr>
      </w:pPr>
      <w:r>
        <w:rPr>
          <w:rStyle w:val="51"/>
          <w:rFonts w:hint="eastAsia" w:ascii="宋体" w:hAnsi="宋体" w:eastAsia="宋体" w:cs="宋体"/>
          <w:b w:val="0"/>
          <w:color w:val="auto"/>
          <w:sz w:val="24"/>
          <w:szCs w:val="24"/>
          <w:shd w:val="clear" w:color="auto" w:fill="FFFFFF"/>
          <w:lang w:val="en-US" w:eastAsia="zh-CN"/>
        </w:rPr>
        <w:t xml:space="preserve">  质疑联系人：</w:t>
      </w:r>
      <w:r>
        <w:rPr>
          <w:rStyle w:val="51"/>
          <w:rFonts w:hint="eastAsia" w:ascii="宋体" w:hAnsi="宋体" w:cs="宋体"/>
          <w:b w:val="0"/>
          <w:color w:val="auto"/>
          <w:sz w:val="24"/>
          <w:szCs w:val="24"/>
          <w:shd w:val="clear" w:color="auto" w:fill="FFFFFF"/>
          <w:lang w:val="en-US" w:eastAsia="zh-CN"/>
        </w:rPr>
        <w:t>方</w:t>
      </w:r>
      <w:r>
        <w:rPr>
          <w:rStyle w:val="51"/>
          <w:rFonts w:hint="eastAsia" w:ascii="宋体" w:hAnsi="宋体" w:eastAsia="宋体" w:cs="宋体"/>
          <w:b w:val="0"/>
          <w:color w:val="auto"/>
          <w:sz w:val="24"/>
          <w:szCs w:val="24"/>
          <w:shd w:val="clear" w:color="auto" w:fill="FFFFFF"/>
          <w:lang w:val="en-US" w:eastAsia="zh-CN"/>
        </w:rPr>
        <w:t>女士</w:t>
      </w:r>
      <w:r>
        <w:rPr>
          <w:rStyle w:val="51"/>
          <w:rFonts w:hint="eastAsia" w:ascii="宋体" w:hAnsi="宋体" w:cs="宋体"/>
          <w:b w:val="0"/>
          <w:color w:val="auto"/>
          <w:sz w:val="24"/>
          <w:szCs w:val="24"/>
          <w:shd w:val="clear" w:color="auto" w:fill="FFFFFF"/>
          <w:lang w:val="en-US" w:eastAsia="zh-CN"/>
        </w:rPr>
        <w:t xml:space="preserve">    </w:t>
      </w:r>
      <w:r>
        <w:rPr>
          <w:rStyle w:val="51"/>
          <w:rFonts w:hint="eastAsia" w:ascii="宋体" w:hAnsi="宋体" w:eastAsia="宋体" w:cs="宋体"/>
          <w:b w:val="0"/>
          <w:color w:val="auto"/>
          <w:sz w:val="24"/>
          <w:szCs w:val="24"/>
          <w:shd w:val="clear" w:color="auto" w:fill="FFFFFF"/>
          <w:lang w:eastAsia="zh-CN"/>
        </w:rPr>
        <w:t>质疑联系方式：</w:t>
      </w:r>
      <w:r>
        <w:rPr>
          <w:rFonts w:hint="eastAsia" w:ascii="宋体" w:hAnsi="宋体" w:eastAsia="宋体" w:cs="宋体"/>
          <w:b w:val="0"/>
          <w:snapToGrid w:val="0"/>
          <w:color w:val="auto"/>
          <w:sz w:val="24"/>
          <w:szCs w:val="24"/>
          <w:lang w:val="en-US" w:eastAsia="zh-CN" w:bidi="ar-SA"/>
        </w:rPr>
        <w:t>13587034066</w:t>
      </w:r>
      <w:r>
        <w:rPr>
          <w:rStyle w:val="51"/>
          <w:rFonts w:hint="eastAsia" w:ascii="宋体" w:hAnsi="宋体" w:eastAsia="宋体" w:cs="宋体"/>
          <w:b w:val="0"/>
          <w:color w:val="auto"/>
          <w:sz w:val="22"/>
          <w:szCs w:val="22"/>
          <w:shd w:val="clear" w:color="auto" w:fill="FFFFFF"/>
          <w:lang w:val="en-US" w:eastAsia="zh-CN"/>
        </w:rPr>
        <w:t xml:space="preserve"> </w:t>
      </w:r>
    </w:p>
    <w:p>
      <w:pPr>
        <w:numPr>
          <w:ilvl w:val="0"/>
          <w:numId w:val="0"/>
        </w:numPr>
        <w:snapToGrid w:val="0"/>
        <w:spacing w:line="500" w:lineRule="exact"/>
        <w:ind w:firstLine="480" w:firstLineChars="200"/>
        <w:outlineLvl w:val="1"/>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3.采购监督管理部门</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名  称：</w:t>
      </w:r>
      <w:r>
        <w:rPr>
          <w:rFonts w:hint="eastAsia" w:ascii="宋体" w:hAnsi="宋体" w:eastAsia="宋体" w:cs="宋体"/>
          <w:color w:val="auto"/>
          <w:sz w:val="24"/>
          <w:szCs w:val="24"/>
        </w:rPr>
        <w:t>龙游县</w:t>
      </w:r>
      <w:r>
        <w:rPr>
          <w:rFonts w:hint="eastAsia" w:ascii="宋体" w:hAnsi="宋体" w:eastAsia="宋体" w:cs="宋体"/>
          <w:color w:val="auto"/>
          <w:sz w:val="24"/>
          <w:szCs w:val="24"/>
          <w:lang w:val="en-US" w:eastAsia="zh-CN"/>
        </w:rPr>
        <w:t>财政</w:t>
      </w:r>
      <w:r>
        <w:rPr>
          <w:rFonts w:hint="eastAsia" w:ascii="宋体" w:hAnsi="宋体" w:eastAsia="宋体" w:cs="宋体"/>
          <w:color w:val="auto"/>
          <w:sz w:val="24"/>
          <w:szCs w:val="24"/>
        </w:rPr>
        <w:t>局</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地  址：</w:t>
      </w:r>
      <w:r>
        <w:rPr>
          <w:rFonts w:hint="eastAsia" w:ascii="宋体" w:hAnsi="宋体" w:eastAsia="宋体" w:cs="宋体"/>
          <w:color w:val="auto"/>
          <w:sz w:val="24"/>
          <w:szCs w:val="24"/>
        </w:rPr>
        <w:t>龙游县</w:t>
      </w:r>
      <w:r>
        <w:rPr>
          <w:rFonts w:hint="eastAsia" w:ascii="宋体" w:hAnsi="宋体" w:eastAsia="宋体" w:cs="宋体"/>
          <w:color w:val="auto"/>
          <w:sz w:val="24"/>
          <w:szCs w:val="24"/>
          <w:lang w:val="en-US" w:eastAsia="zh-CN"/>
        </w:rPr>
        <w:t>莲湖</w:t>
      </w:r>
      <w:r>
        <w:rPr>
          <w:rFonts w:hint="eastAsia" w:ascii="宋体" w:hAnsi="宋体" w:eastAsia="宋体" w:cs="宋体"/>
          <w:color w:val="auto"/>
          <w:sz w:val="24"/>
          <w:szCs w:val="24"/>
        </w:rPr>
        <w:t>路</w:t>
      </w:r>
      <w:r>
        <w:rPr>
          <w:rFonts w:hint="eastAsia" w:ascii="宋体" w:hAnsi="宋体" w:eastAsia="宋体" w:cs="宋体"/>
          <w:color w:val="auto"/>
          <w:sz w:val="24"/>
          <w:szCs w:val="24"/>
          <w:lang w:val="en-US" w:eastAsia="zh-CN"/>
        </w:rPr>
        <w:t>69</w:t>
      </w:r>
      <w:r>
        <w:rPr>
          <w:rFonts w:hint="eastAsia" w:ascii="宋体" w:hAnsi="宋体" w:eastAsia="宋体" w:cs="宋体"/>
          <w:color w:val="auto"/>
          <w:sz w:val="24"/>
          <w:szCs w:val="24"/>
        </w:rPr>
        <w:t xml:space="preserve">号 </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联系人：严科          联系电话：0570-7011687  </w:t>
      </w:r>
    </w:p>
    <w:p>
      <w:pPr>
        <w:keepNext w:val="0"/>
        <w:keepLines w:val="0"/>
        <w:pageBreakBefore w:val="0"/>
        <w:widowControl w:val="0"/>
        <w:kinsoku/>
        <w:wordWrap/>
        <w:overflowPunct/>
        <w:topLinePunct w:val="0"/>
        <w:autoSpaceDE/>
        <w:autoSpaceDN/>
        <w:bidi w:val="0"/>
        <w:adjustRightInd w:val="0"/>
        <w:snapToGrid w:val="0"/>
        <w:spacing w:line="324" w:lineRule="auto"/>
        <w:ind w:firstLine="400" w:firstLineChars="200"/>
        <w:textAlignment w:val="auto"/>
        <w:rPr>
          <w:rFonts w:hint="eastAsia" w:ascii="宋体" w:hAnsi="宋体" w:eastAsia="宋体"/>
          <w:color w:val="auto"/>
          <w:sz w:val="20"/>
          <w:szCs w:val="20"/>
          <w:highlight w:val="none"/>
        </w:rPr>
      </w:pP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若对项目采购电子交易系统操作有疑问，可登录政采云（</w:t>
      </w:r>
      <w:r>
        <w:rPr>
          <w:rFonts w:ascii="宋体" w:hAnsi="宋体" w:eastAsia="宋体"/>
          <w:color w:val="auto"/>
          <w:sz w:val="21"/>
          <w:szCs w:val="21"/>
          <w:highlight w:val="none"/>
        </w:rPr>
        <w:t>https://www.zcygov.cn/</w:t>
      </w:r>
      <w:r>
        <w:rPr>
          <w:rFonts w:hint="eastAsia" w:ascii="宋体" w:hAnsi="宋体" w:eastAsia="宋体"/>
          <w:color w:val="auto"/>
          <w:sz w:val="21"/>
          <w:szCs w:val="21"/>
          <w:highlight w:val="none"/>
        </w:rPr>
        <w:t>），点击右侧咨询小采，获取采小蜜智能服务管家帮助，或拨打政采云服务热线</w:t>
      </w:r>
      <w:r>
        <w:rPr>
          <w:rFonts w:hint="eastAsia" w:ascii="宋体" w:hAnsi="宋体" w:eastAsia="宋体"/>
          <w:color w:val="auto"/>
          <w:sz w:val="21"/>
          <w:szCs w:val="21"/>
          <w:highlight w:val="none"/>
          <w:lang w:eastAsia="zh-CN"/>
        </w:rPr>
        <w:t>95763</w:t>
      </w:r>
      <w:r>
        <w:rPr>
          <w:rFonts w:hint="eastAsia" w:ascii="宋体" w:hAnsi="宋体" w:eastAsia="宋体"/>
          <w:color w:val="auto"/>
          <w:sz w:val="21"/>
          <w:szCs w:val="21"/>
          <w:highlight w:val="none"/>
        </w:rPr>
        <w:t>获取热线服务帮助。</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ascii="宋体" w:hAnsi="宋体" w:eastAsia="宋体"/>
          <w:color w:val="auto"/>
          <w:sz w:val="21"/>
          <w:szCs w:val="21"/>
          <w:highlight w:val="none"/>
        </w:rPr>
      </w:pPr>
      <w:r>
        <w:rPr>
          <w:rFonts w:ascii="宋体" w:hAnsi="宋体" w:eastAsia="宋体"/>
          <w:color w:val="auto"/>
          <w:sz w:val="21"/>
          <w:szCs w:val="21"/>
          <w:highlight w:val="none"/>
        </w:rPr>
        <w:t>CA</w:t>
      </w:r>
      <w:r>
        <w:rPr>
          <w:rFonts w:hint="eastAsia" w:ascii="宋体" w:hAnsi="宋体" w:eastAsia="宋体"/>
          <w:color w:val="auto"/>
          <w:sz w:val="21"/>
          <w:szCs w:val="21"/>
          <w:highlight w:val="none"/>
        </w:rPr>
        <w:t>问题联系电话（人工）：汇信</w:t>
      </w:r>
      <w:r>
        <w:rPr>
          <w:rFonts w:ascii="宋体" w:hAnsi="宋体" w:eastAsia="宋体"/>
          <w:color w:val="auto"/>
          <w:sz w:val="21"/>
          <w:szCs w:val="21"/>
          <w:highlight w:val="none"/>
        </w:rPr>
        <w:t>CA 400-888-4636</w:t>
      </w:r>
      <w:r>
        <w:rPr>
          <w:rFonts w:hint="eastAsia" w:ascii="宋体" w:hAnsi="宋体" w:eastAsia="宋体"/>
          <w:color w:val="auto"/>
          <w:sz w:val="21"/>
          <w:szCs w:val="21"/>
          <w:highlight w:val="none"/>
        </w:rPr>
        <w:t>；天谷</w:t>
      </w:r>
      <w:r>
        <w:rPr>
          <w:rFonts w:ascii="宋体" w:hAnsi="宋体" w:eastAsia="宋体"/>
          <w:color w:val="auto"/>
          <w:sz w:val="21"/>
          <w:szCs w:val="21"/>
          <w:highlight w:val="none"/>
        </w:rPr>
        <w:t>CA 400-087-8198</w:t>
      </w:r>
      <w:r>
        <w:rPr>
          <w:rFonts w:hint="eastAsia" w:ascii="宋体" w:hAnsi="宋体" w:eastAsia="宋体"/>
          <w:color w:val="auto"/>
          <w:sz w:val="21"/>
          <w:szCs w:val="21"/>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pPr>
        <w:adjustRightInd w:val="0"/>
        <w:snapToGrid w:val="0"/>
        <w:spacing w:line="324" w:lineRule="auto"/>
        <w:ind w:firstLine="440" w:firstLineChars="200"/>
        <w:jc w:val="center"/>
        <w:rPr>
          <w:rFonts w:hint="eastAsia"/>
          <w:color w:val="000000"/>
          <w:sz w:val="24"/>
          <w:szCs w:val="24"/>
          <w:lang w:val="en-US" w:eastAsia="zh-CN"/>
        </w:rPr>
      </w:pPr>
      <w:r>
        <w:rPr>
          <w:rFonts w:hint="eastAsia" w:ascii="宋体" w:hAnsi="宋体" w:eastAsia="宋体"/>
          <w:color w:val="000000"/>
          <w:sz w:val="22"/>
          <w:szCs w:val="22"/>
          <w:lang w:val="en-US" w:eastAsia="zh-CN"/>
        </w:rPr>
        <w:t xml:space="preserve">                                 </w:t>
      </w:r>
      <w:r>
        <w:rPr>
          <w:rFonts w:hint="eastAsia" w:ascii="宋体" w:hAnsi="宋体" w:eastAsia="宋体"/>
          <w:color w:val="000000"/>
          <w:sz w:val="24"/>
          <w:szCs w:val="24"/>
          <w:lang w:val="en-US" w:eastAsia="zh-CN"/>
        </w:rPr>
        <w:t xml:space="preserve"> </w:t>
      </w:r>
      <w:r>
        <w:rPr>
          <w:rFonts w:hint="eastAsia"/>
          <w:color w:val="000000"/>
          <w:sz w:val="24"/>
          <w:szCs w:val="24"/>
          <w:lang w:val="en-US" w:eastAsia="zh-CN"/>
        </w:rPr>
        <w:t xml:space="preserve">             </w:t>
      </w:r>
    </w:p>
    <w:p>
      <w:pPr>
        <w:adjustRightInd w:val="0"/>
        <w:snapToGrid w:val="0"/>
        <w:spacing w:line="324" w:lineRule="auto"/>
        <w:ind w:firstLine="480" w:firstLineChars="200"/>
        <w:jc w:val="center"/>
        <w:rPr>
          <w:rFonts w:hint="eastAsia" w:ascii="宋体" w:hAnsi="宋体" w:eastAsia="宋体"/>
          <w:color w:val="000000"/>
          <w:sz w:val="24"/>
          <w:szCs w:val="24"/>
          <w:lang w:val="en-US" w:eastAsia="zh-CN"/>
        </w:rPr>
      </w:pPr>
      <w:r>
        <w:rPr>
          <w:rFonts w:hint="eastAsia"/>
          <w:color w:val="000000"/>
          <w:sz w:val="24"/>
          <w:szCs w:val="24"/>
          <w:lang w:val="en-US" w:eastAsia="zh-CN"/>
        </w:rPr>
        <w:t xml:space="preserve">                                             龙游县交通运输局</w:t>
      </w:r>
    </w:p>
    <w:p>
      <w:pPr>
        <w:adjustRightInd w:val="0"/>
        <w:snapToGrid w:val="0"/>
        <w:spacing w:line="360" w:lineRule="auto"/>
        <w:jc w:val="center"/>
        <w:rPr>
          <w:rFonts w:ascii="宋体" w:hAnsi="宋体" w:eastAsia="宋体"/>
          <w:color w:val="000000"/>
          <w:sz w:val="24"/>
          <w:szCs w:val="24"/>
        </w:rPr>
      </w:pPr>
      <w:r>
        <w:rPr>
          <w:rFonts w:hint="eastAsia" w:ascii="宋体" w:hAnsi="宋体" w:eastAsia="宋体"/>
          <w:color w:val="000000"/>
          <w:sz w:val="24"/>
          <w:szCs w:val="24"/>
          <w:lang w:val="en-US" w:eastAsia="zh-CN"/>
        </w:rPr>
        <w:t xml:space="preserve">                                             龙游博洽投资咨询有限公司</w:t>
      </w:r>
      <w:r>
        <w:rPr>
          <w:rFonts w:ascii="宋体" w:hAnsi="宋体" w:eastAsia="宋体"/>
          <w:color w:val="000000"/>
          <w:sz w:val="24"/>
          <w:szCs w:val="24"/>
        </w:rPr>
        <w:t xml:space="preserve"> </w:t>
      </w:r>
    </w:p>
    <w:p>
      <w:pPr>
        <w:keepNext w:val="0"/>
        <w:keepLines w:val="0"/>
        <w:pageBreakBefore w:val="0"/>
        <w:widowControl w:val="0"/>
        <w:tabs>
          <w:tab w:val="left" w:pos="1440"/>
        </w:tabs>
        <w:kinsoku/>
        <w:wordWrap/>
        <w:overflowPunct/>
        <w:topLinePunct w:val="0"/>
        <w:autoSpaceDE/>
        <w:autoSpaceDN/>
        <w:bidi w:val="0"/>
        <w:adjustRightInd w:val="0"/>
        <w:snapToGrid w:val="0"/>
        <w:spacing w:after="220" w:afterLines="50" w:line="312" w:lineRule="auto"/>
        <w:jc w:val="center"/>
        <w:textAlignment w:val="auto"/>
        <w:outlineLvl w:val="0"/>
        <w:rPr>
          <w:rFonts w:hint="eastAsia" w:ascii="宋体" w:hAnsi="宋体" w:eastAsia="宋体" w:cs="宋体"/>
          <w:sz w:val="24"/>
          <w:szCs w:val="24"/>
          <w:lang w:val="en-US"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highlight w:val="none"/>
          <w:lang w:val="en-US" w:eastAsia="zh-CN"/>
        </w:rPr>
        <w:t xml:space="preserve"> </w:t>
      </w:r>
      <w:bookmarkStart w:id="20" w:name="_Toc29324"/>
      <w:bookmarkStart w:id="21" w:name="_Toc24393"/>
      <w:r>
        <w:rPr>
          <w:rFonts w:ascii="宋体" w:hAnsi="宋体" w:eastAsia="宋体"/>
          <w:color w:val="000000"/>
          <w:sz w:val="24"/>
          <w:szCs w:val="24"/>
          <w:highlight w:val="none"/>
        </w:rPr>
        <w:t>202</w:t>
      </w:r>
      <w:r>
        <w:rPr>
          <w:rFonts w:hint="eastAsia"/>
          <w:color w:val="000000"/>
          <w:sz w:val="24"/>
          <w:szCs w:val="24"/>
          <w:highlight w:val="none"/>
          <w:lang w:val="en-US" w:eastAsia="zh-CN"/>
        </w:rPr>
        <w:t>4</w:t>
      </w:r>
      <w:r>
        <w:rPr>
          <w:rFonts w:ascii="宋体" w:hAnsi="宋体" w:eastAsia="宋体"/>
          <w:color w:val="000000"/>
          <w:sz w:val="24"/>
          <w:szCs w:val="24"/>
          <w:highlight w:val="none"/>
        </w:rPr>
        <w:t>年</w:t>
      </w:r>
      <w:r>
        <w:rPr>
          <w:rFonts w:hint="eastAsia"/>
          <w:color w:val="000000"/>
          <w:sz w:val="24"/>
          <w:szCs w:val="24"/>
          <w:highlight w:val="none"/>
          <w:lang w:val="en-US" w:eastAsia="zh-CN"/>
        </w:rPr>
        <w:t>05</w:t>
      </w:r>
      <w:r>
        <w:rPr>
          <w:rFonts w:ascii="宋体" w:hAnsi="宋体" w:eastAsia="宋体"/>
          <w:color w:val="000000"/>
          <w:sz w:val="24"/>
          <w:szCs w:val="24"/>
          <w:highlight w:val="none"/>
        </w:rPr>
        <w:t>月</w:t>
      </w:r>
      <w:r>
        <w:rPr>
          <w:rFonts w:hint="eastAsia"/>
          <w:color w:val="000000"/>
          <w:sz w:val="24"/>
          <w:szCs w:val="24"/>
          <w:highlight w:val="none"/>
          <w:lang w:val="en-US" w:eastAsia="zh-CN"/>
        </w:rPr>
        <w:t>20日</w:t>
      </w:r>
      <w:r>
        <w:rPr>
          <w:rFonts w:hint="eastAsia" w:ascii="宋体" w:hAnsi="宋体" w:eastAsia="宋体"/>
          <w:color w:val="000000"/>
          <w:sz w:val="24"/>
          <w:szCs w:val="24"/>
          <w:highlight w:val="none"/>
          <w:lang w:val="en-US" w:eastAsia="zh-CN"/>
        </w:rPr>
        <w:t xml:space="preserve"> </w:t>
      </w:r>
      <w:r>
        <w:rPr>
          <w:rFonts w:hint="eastAsia" w:cs="宋体"/>
          <w:sz w:val="22"/>
          <w:szCs w:val="22"/>
        </w:rPr>
        <w:br w:type="page"/>
      </w:r>
      <w:bookmarkStart w:id="22" w:name="_Toc4454"/>
      <w:bookmarkStart w:id="23" w:name="_Toc12332"/>
      <w:bookmarkStart w:id="24" w:name="_Toc496962942"/>
      <w:r>
        <w:rPr>
          <w:rFonts w:hint="eastAsia" w:ascii="宋体" w:hAnsi="宋体" w:eastAsia="宋体" w:cs="宋体"/>
          <w:sz w:val="36"/>
          <w:szCs w:val="36"/>
        </w:rPr>
        <w:t xml:space="preserve">第二章 </w:t>
      </w:r>
      <w:r>
        <w:rPr>
          <w:rFonts w:hint="eastAsia" w:ascii="宋体" w:hAnsi="宋体" w:eastAsia="宋体" w:cs="宋体"/>
          <w:sz w:val="36"/>
          <w:szCs w:val="36"/>
          <w:lang w:eastAsia="zh-CN"/>
        </w:rPr>
        <w:t>采购需求</w:t>
      </w:r>
      <w:bookmarkEnd w:id="20"/>
      <w:bookmarkEnd w:id="21"/>
      <w:bookmarkEnd w:id="22"/>
    </w:p>
    <w:p>
      <w:pPr>
        <w:numPr>
          <w:ilvl w:val="0"/>
          <w:numId w:val="4"/>
        </w:numPr>
        <w:adjustRightInd w:val="0"/>
        <w:snapToGrid w:val="0"/>
        <w:spacing w:line="312" w:lineRule="auto"/>
        <w:ind w:firstLine="480" w:firstLineChars="200"/>
        <w:outlineLvl w:val="0"/>
        <w:rPr>
          <w:rFonts w:hint="eastAsia" w:cs="宋体"/>
          <w:sz w:val="24"/>
          <w:szCs w:val="24"/>
          <w:lang w:val="en-US" w:eastAsia="zh-CN"/>
        </w:rPr>
      </w:pPr>
      <w:bookmarkStart w:id="25" w:name="_Toc4607"/>
      <w:bookmarkStart w:id="26" w:name="_Toc29785"/>
      <w:bookmarkStart w:id="27" w:name="_Toc5025"/>
      <w:bookmarkStart w:id="28" w:name="_Toc463692439"/>
      <w:bookmarkStart w:id="29" w:name="_Toc10145"/>
      <w:bookmarkStart w:id="30" w:name="_Toc30051"/>
      <w:r>
        <w:rPr>
          <w:rFonts w:hint="eastAsia" w:cs="宋体"/>
          <w:sz w:val="24"/>
          <w:szCs w:val="24"/>
          <w:lang w:val="en-US" w:eastAsia="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228" w:firstLineChars="100"/>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cs="宋体"/>
          <w:color w:val="auto"/>
          <w:spacing w:val="-6"/>
          <w:sz w:val="24"/>
          <w:szCs w:val="24"/>
          <w:highlight w:val="none"/>
          <w:lang w:val="en-US" w:eastAsia="zh-CN"/>
        </w:rPr>
        <w:t xml:space="preserve">  1、</w:t>
      </w:r>
      <w:r>
        <w:rPr>
          <w:rFonts w:hint="eastAsia" w:ascii="宋体" w:hAnsi="宋体" w:eastAsia="宋体" w:cs="宋体"/>
          <w:color w:val="auto"/>
          <w:spacing w:val="-6"/>
          <w:sz w:val="24"/>
          <w:szCs w:val="24"/>
          <w:highlight w:val="none"/>
        </w:rPr>
        <w:t>项目</w:t>
      </w:r>
      <w:r>
        <w:rPr>
          <w:rFonts w:hint="eastAsia" w:ascii="宋体" w:hAnsi="宋体" w:eastAsia="宋体" w:cs="宋体"/>
          <w:color w:val="auto"/>
          <w:spacing w:val="-6"/>
          <w:sz w:val="24"/>
          <w:szCs w:val="24"/>
          <w:highlight w:val="none"/>
          <w:lang w:val="en-US" w:eastAsia="zh-CN"/>
        </w:rPr>
        <w:t>名称及编号：</w:t>
      </w:r>
      <w:r>
        <w:rPr>
          <w:rFonts w:hint="eastAsia" w:cs="宋体"/>
          <w:color w:val="auto"/>
          <w:spacing w:val="-6"/>
          <w:sz w:val="24"/>
          <w:szCs w:val="24"/>
          <w:highlight w:val="none"/>
          <w:lang w:val="en-US" w:eastAsia="zh-CN"/>
        </w:rPr>
        <w:t>龙游县2024-2026年公路日常养护—绿化养护采购项目（</w:t>
      </w:r>
      <w:r>
        <w:rPr>
          <w:rFonts w:hint="eastAsia" w:cs="宋体"/>
          <w:color w:val="000000"/>
          <w:sz w:val="24"/>
          <w:szCs w:val="24"/>
          <w:lang w:eastAsia="zh-CN"/>
        </w:rPr>
        <w:t>LYBQZC2024-27）。</w:t>
      </w:r>
      <w:r>
        <w:rPr>
          <w:rFonts w:hint="eastAsia" w:cs="宋体"/>
          <w:color w:val="00000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56" w:firstLineChars="200"/>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cs="宋体"/>
          <w:color w:val="auto"/>
          <w:spacing w:val="-6"/>
          <w:sz w:val="24"/>
          <w:szCs w:val="24"/>
          <w:highlight w:val="none"/>
          <w:lang w:val="en-US" w:eastAsia="zh-CN"/>
        </w:rPr>
        <w:t>2、预算金额（最高限价）：</w:t>
      </w:r>
      <w:r>
        <w:rPr>
          <w:rFonts w:hint="eastAsia" w:ascii="宋体" w:hAnsi="宋体" w:eastAsia="宋体" w:cs="宋体"/>
          <w:color w:val="000000" w:themeColor="text1"/>
          <w:sz w:val="24"/>
          <w:szCs w:val="24"/>
          <w:lang w:val="zh-CN" w:eastAsia="zh-CN"/>
          <w14:textFill>
            <w14:solidFill>
              <w14:schemeClr w14:val="tx1"/>
            </w14:solidFill>
          </w14:textFill>
        </w:rPr>
        <w:t>本项目总预算</w:t>
      </w:r>
      <w:r>
        <w:rPr>
          <w:rFonts w:hint="eastAsia" w:ascii="宋体" w:hAnsi="宋体" w:eastAsia="宋体" w:cs="宋体"/>
          <w:color w:val="000000" w:themeColor="text1"/>
          <w:sz w:val="24"/>
          <w:szCs w:val="24"/>
          <w:highlight w:val="none"/>
          <w:lang w:val="zh-CN" w:eastAsia="zh-CN"/>
          <w14:textFill>
            <w14:solidFill>
              <w14:schemeClr w14:val="tx1"/>
            </w14:solidFill>
          </w14:textFill>
        </w:rPr>
        <w:t>为</w:t>
      </w:r>
      <w:r>
        <w:rPr>
          <w:rFonts w:hint="eastAsia" w:cs="宋体"/>
          <w:color w:val="000000" w:themeColor="text1"/>
          <w:sz w:val="24"/>
          <w:szCs w:val="24"/>
          <w:highlight w:val="none"/>
          <w:lang w:val="en-US" w:eastAsia="zh-CN"/>
          <w14:textFill>
            <w14:solidFill>
              <w14:schemeClr w14:val="tx1"/>
            </w14:solidFill>
          </w14:textFill>
        </w:rPr>
        <w:t>350</w:t>
      </w:r>
      <w:r>
        <w:rPr>
          <w:rFonts w:hint="eastAsia" w:ascii="宋体" w:hAnsi="宋体" w:eastAsia="宋体" w:cs="宋体"/>
          <w:color w:val="000000" w:themeColor="text1"/>
          <w:sz w:val="24"/>
          <w:szCs w:val="24"/>
          <w:highlight w:val="none"/>
          <w:lang w:val="en-US" w:eastAsia="zh-CN"/>
          <w14:textFill>
            <w14:solidFill>
              <w14:schemeClr w14:val="tx1"/>
            </w14:solidFill>
          </w14:textFill>
        </w:rPr>
        <w:t>万元（</w:t>
      </w:r>
      <w:r>
        <w:rPr>
          <w:rFonts w:hint="eastAsia" w:cs="宋体"/>
          <w:color w:val="000000" w:themeColor="text1"/>
          <w:sz w:val="24"/>
          <w:szCs w:val="24"/>
          <w:highlight w:val="none"/>
          <w:lang w:val="en-US" w:eastAsia="zh-CN"/>
          <w14:textFill>
            <w14:solidFill>
              <w14:schemeClr w14:val="tx1"/>
            </w14:solidFill>
          </w14:textFill>
        </w:rPr>
        <w:t>175</w:t>
      </w:r>
      <w:r>
        <w:rPr>
          <w:rFonts w:hint="eastAsia" w:ascii="宋体" w:hAnsi="宋体" w:eastAsia="宋体" w:cs="宋体"/>
          <w:color w:val="000000" w:themeColor="text1"/>
          <w:sz w:val="24"/>
          <w:szCs w:val="24"/>
          <w:highlight w:val="none"/>
          <w:lang w:val="zh-CN" w:eastAsia="zh-CN"/>
          <w14:textFill>
            <w14:solidFill>
              <w14:schemeClr w14:val="tx1"/>
            </w14:solidFill>
          </w14:textFill>
        </w:rPr>
        <w:t>万元</w:t>
      </w:r>
      <w:r>
        <w:rPr>
          <w:rFonts w:hint="eastAsia" w:ascii="宋体" w:hAnsi="宋体" w:eastAsia="宋体" w:cs="宋体"/>
          <w:color w:val="000000" w:themeColor="text1"/>
          <w:sz w:val="24"/>
          <w:szCs w:val="24"/>
          <w:highlight w:val="none"/>
          <w:lang w:val="en-US" w:eastAsia="zh-CN"/>
          <w14:textFill>
            <w14:solidFill>
              <w14:schemeClr w14:val="tx1"/>
            </w14:solidFill>
          </w14:textFill>
        </w:rPr>
        <w:t>/年），其中</w:t>
      </w:r>
      <w:r>
        <w:rPr>
          <w:rFonts w:hint="eastAsia" w:cs="宋体"/>
          <w:color w:val="000000" w:themeColor="text1"/>
          <w:sz w:val="24"/>
          <w:szCs w:val="24"/>
          <w:highlight w:val="none"/>
          <w:lang w:val="en-US" w:eastAsia="zh-CN"/>
          <w14:textFill>
            <w14:solidFill>
              <w14:schemeClr w14:val="tx1"/>
            </w14:solidFill>
          </w14:textFill>
        </w:rPr>
        <w:t>142.5</w:t>
      </w:r>
      <w:r>
        <w:rPr>
          <w:rFonts w:hint="eastAsia" w:ascii="宋体" w:hAnsi="宋体" w:eastAsia="宋体" w:cs="宋体"/>
          <w:color w:val="000000" w:themeColor="text1"/>
          <w:sz w:val="24"/>
          <w:szCs w:val="24"/>
          <w:highlight w:val="none"/>
          <w:lang w:val="en-US" w:eastAsia="zh-CN"/>
          <w14:textFill>
            <w14:solidFill>
              <w14:schemeClr w14:val="tx1"/>
            </w14:solidFill>
          </w14:textFill>
        </w:rPr>
        <w:t>万元/年为绿化养护预算金额，供应商在该金额范围内自主报价；</w:t>
      </w:r>
      <w:r>
        <w:rPr>
          <w:rFonts w:hint="eastAsia"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lang w:val="en-US" w:eastAsia="zh-CN"/>
          <w14:textFill>
            <w14:solidFill>
              <w14:schemeClr w14:val="tx1"/>
            </w14:solidFill>
          </w14:textFill>
        </w:rPr>
        <w:t>万元/年为绿化补植费用</w:t>
      </w:r>
      <w:r>
        <w:rPr>
          <w:rFonts w:hint="default" w:ascii="宋体" w:hAnsi="宋体" w:eastAsia="宋体" w:cs="宋体"/>
          <w:color w:val="000000" w:themeColor="text1"/>
          <w:sz w:val="24"/>
          <w:szCs w:val="24"/>
          <w:highlight w:val="none"/>
          <w:lang w:val="zh-CN" w:eastAsia="zh-CN"/>
          <w14:textFill>
            <w14:solidFill>
              <w14:schemeClr w14:val="tx1"/>
            </w14:solidFill>
          </w14:textFill>
        </w:rPr>
        <w:t>及暂列金</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2.5</w:t>
      </w:r>
      <w:r>
        <w:rPr>
          <w:rFonts w:hint="default" w:ascii="宋体" w:hAnsi="宋体" w:eastAsia="宋体" w:cs="宋体"/>
          <w:color w:val="000000" w:themeColor="text1"/>
          <w:sz w:val="24"/>
          <w:szCs w:val="24"/>
          <w:highlight w:val="none"/>
          <w:lang w:val="zh-CN" w:eastAsia="zh-CN"/>
          <w14:textFill>
            <w14:solidFill>
              <w14:schemeClr w14:val="tx1"/>
            </w14:solidFill>
          </w14:textFill>
        </w:rPr>
        <w:t>万元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zh-CN" w:eastAsia="zh-CN"/>
          <w14:textFill>
            <w14:solidFill>
              <w14:schemeClr w14:val="tx1"/>
            </w14:solidFill>
          </w14:textFill>
        </w:rPr>
        <w:t>年为安全生产费用，</w:t>
      </w:r>
      <w:r>
        <w:rPr>
          <w:rFonts w:hint="eastAsia" w:ascii="宋体" w:hAnsi="宋体" w:eastAsia="宋体" w:cs="宋体"/>
          <w:color w:val="000000" w:themeColor="text1"/>
          <w:sz w:val="24"/>
          <w:szCs w:val="24"/>
          <w:highlight w:val="none"/>
          <w:lang w:val="en-US" w:eastAsia="zh-CN"/>
          <w14:textFill>
            <w14:solidFill>
              <w14:schemeClr w14:val="tx1"/>
            </w14:solidFill>
          </w14:textFill>
        </w:rPr>
        <w:t>全额列入投标总价（固定不变），供应商在报价中不得更改（此项费用采购方根</w:t>
      </w:r>
      <w:r>
        <w:rPr>
          <w:rFonts w:hint="eastAsia" w:ascii="宋体" w:hAnsi="宋体" w:eastAsia="宋体" w:cs="宋体"/>
          <w:color w:val="000000" w:themeColor="text1"/>
          <w:sz w:val="24"/>
          <w:szCs w:val="24"/>
          <w:lang w:val="en-US" w:eastAsia="zh-CN"/>
          <w14:textFill>
            <w14:solidFill>
              <w14:schemeClr w14:val="tx1"/>
            </w14:solidFill>
          </w14:textFill>
        </w:rPr>
        <w:t>据实际需要确定，工程量按实结算，套用现行</w:t>
      </w:r>
      <w:r>
        <w:rPr>
          <w:rFonts w:hint="default" w:ascii="宋体" w:hAnsi="宋体" w:eastAsia="宋体" w:cs="宋体"/>
          <w:color w:val="000000" w:themeColor="text1"/>
          <w:sz w:val="24"/>
          <w:szCs w:val="24"/>
          <w:lang w:val="zh-CN" w:eastAsia="zh-CN"/>
          <w14:textFill>
            <w14:solidFill>
              <w14:schemeClr w14:val="tx1"/>
            </w14:solidFill>
          </w14:textFill>
        </w:rPr>
        <w:t>市政</w:t>
      </w:r>
      <w:r>
        <w:rPr>
          <w:rFonts w:hint="eastAsia" w:ascii="宋体" w:hAnsi="宋体" w:eastAsia="宋体" w:cs="宋体"/>
          <w:color w:val="000000" w:themeColor="text1"/>
          <w:sz w:val="24"/>
          <w:szCs w:val="24"/>
          <w:lang w:val="en-US" w:eastAsia="zh-CN"/>
          <w14:textFill>
            <w14:solidFill>
              <w14:schemeClr w14:val="tx1"/>
            </w14:solidFill>
          </w14:textFill>
        </w:rPr>
        <w:t>相关定额和施工期信息价组价后下浮8%为结算单价结算，结算后付至款项的80%，余款经审计后支付）</w:t>
      </w:r>
      <w:r>
        <w:rPr>
          <w:rFonts w:hint="eastAsia" w:ascii="宋体" w:hAnsi="宋体" w:eastAsia="宋体" w:cs="宋体"/>
          <w:color w:val="000000" w:themeColor="text1"/>
          <w:sz w:val="24"/>
          <w:szCs w:val="24"/>
          <w:lang w:val="zh-CN"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56" w:firstLineChars="200"/>
        <w:textAlignment w:val="auto"/>
        <w:rPr>
          <w:rFonts w:hint="eastAsia" w:ascii="宋体" w:hAnsi="宋体" w:eastAsia="宋体" w:cs="宋体"/>
          <w:color w:val="auto"/>
          <w:spacing w:val="-6"/>
          <w:sz w:val="24"/>
          <w:szCs w:val="24"/>
          <w:highlight w:val="none"/>
          <w:lang w:val="zh-CN" w:eastAsia="zh-CN"/>
        </w:rPr>
      </w:pPr>
      <w:r>
        <w:rPr>
          <w:rFonts w:hint="eastAsia" w:cs="宋体"/>
          <w:color w:val="auto"/>
          <w:spacing w:val="-6"/>
          <w:sz w:val="24"/>
          <w:szCs w:val="24"/>
          <w:highlight w:val="none"/>
          <w:lang w:val="en-US" w:eastAsia="zh-CN"/>
        </w:rPr>
        <w:t>3、</w:t>
      </w:r>
      <w:r>
        <w:rPr>
          <w:rFonts w:hint="eastAsia" w:ascii="宋体" w:hAnsi="宋体" w:eastAsia="宋体" w:cs="宋体"/>
          <w:color w:val="auto"/>
          <w:spacing w:val="-6"/>
          <w:sz w:val="24"/>
          <w:szCs w:val="24"/>
          <w:highlight w:val="none"/>
          <w:lang w:val="en-US" w:eastAsia="zh-CN"/>
        </w:rPr>
        <w:t>项目基本情况</w:t>
      </w:r>
      <w:r>
        <w:rPr>
          <w:rFonts w:hint="eastAsia" w:ascii="宋体" w:hAnsi="宋体" w:eastAsia="宋体" w:cs="宋体"/>
          <w:color w:val="auto"/>
          <w:spacing w:val="-6"/>
          <w:sz w:val="24"/>
          <w:szCs w:val="24"/>
          <w:highlight w:val="none"/>
          <w:lang w:val="zh-CN" w:eastAsia="zh-CN"/>
        </w:rPr>
        <w:t>：</w:t>
      </w:r>
      <w:bookmarkEnd w:id="25"/>
      <w:bookmarkEnd w:id="26"/>
      <w:bookmarkEnd w:id="27"/>
      <w:bookmarkEnd w:id="28"/>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56" w:firstLineChars="200"/>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pacing w:val="-6"/>
          <w:sz w:val="24"/>
          <w:szCs w:val="24"/>
          <w:highlight w:val="none"/>
          <w:lang w:val="en-US" w:eastAsia="zh-CN"/>
        </w:rPr>
        <w:t>1）</w:t>
      </w:r>
      <w:r>
        <w:rPr>
          <w:rFonts w:hint="eastAsia" w:ascii="宋体" w:hAnsi="宋体" w:eastAsia="宋体" w:cs="宋体"/>
          <w:color w:val="auto"/>
          <w:spacing w:val="-6"/>
          <w:sz w:val="24"/>
          <w:szCs w:val="24"/>
          <w:highlight w:val="none"/>
          <w:lang w:val="zh-CN" w:eastAsia="zh-CN"/>
        </w:rPr>
        <w:t>本</w:t>
      </w:r>
      <w:r>
        <w:rPr>
          <w:rFonts w:hint="eastAsia" w:cs="宋体"/>
          <w:color w:val="auto"/>
          <w:sz w:val="24"/>
          <w:szCs w:val="24"/>
          <w:lang w:val="en-US" w:eastAsia="zh-CN"/>
        </w:rPr>
        <w:t>项目</w:t>
      </w:r>
      <w:r>
        <w:rPr>
          <w:rFonts w:hint="eastAsia" w:ascii="宋体" w:hAnsi="宋体" w:eastAsia="宋体" w:cs="宋体"/>
          <w:color w:val="auto"/>
          <w:sz w:val="24"/>
          <w:szCs w:val="24"/>
          <w:lang w:val="zh-CN" w:eastAsia="zh-CN"/>
        </w:rPr>
        <w:t>为</w:t>
      </w:r>
      <w:r>
        <w:rPr>
          <w:rFonts w:hint="eastAsia" w:ascii="宋体" w:hAnsi="宋体" w:eastAsia="宋体" w:cs="宋体"/>
          <w:i w:val="0"/>
          <w:iCs w:val="0"/>
          <w:caps w:val="0"/>
          <w:color w:val="auto"/>
          <w:spacing w:val="0"/>
          <w:sz w:val="24"/>
          <w:szCs w:val="24"/>
          <w:lang w:val="zh-CN"/>
        </w:rPr>
        <w:t>龙游县公路港航与运输管理中心管辖的</w:t>
      </w:r>
      <w:r>
        <w:rPr>
          <w:rFonts w:hint="eastAsia" w:ascii="宋体" w:hAnsi="宋体" w:eastAsia="宋体" w:cs="宋体"/>
          <w:i w:val="0"/>
          <w:iCs w:val="0"/>
          <w:caps w:val="0"/>
          <w:color w:val="auto"/>
          <w:spacing w:val="0"/>
          <w:sz w:val="24"/>
          <w:szCs w:val="24"/>
          <w:u w:val="single"/>
          <w:lang w:val="zh-CN"/>
        </w:rPr>
        <w:t>龙官线全段区域</w:t>
      </w:r>
      <w:r>
        <w:rPr>
          <w:rFonts w:hint="eastAsia" w:ascii="宋体" w:hAnsi="宋体" w:eastAsia="宋体" w:cs="宋体"/>
          <w:i w:val="0"/>
          <w:iCs w:val="0"/>
          <w:caps w:val="0"/>
          <w:color w:val="auto"/>
          <w:spacing w:val="0"/>
          <w:sz w:val="24"/>
          <w:szCs w:val="24"/>
          <w:lang w:val="zh-CN"/>
        </w:rPr>
        <w:t>、</w:t>
      </w:r>
      <w:r>
        <w:rPr>
          <w:rFonts w:hint="eastAsia" w:ascii="宋体" w:hAnsi="宋体" w:eastAsia="宋体" w:cs="宋体"/>
          <w:i w:val="0"/>
          <w:iCs w:val="0"/>
          <w:caps w:val="0"/>
          <w:color w:val="auto"/>
          <w:spacing w:val="0"/>
          <w:sz w:val="24"/>
          <w:szCs w:val="24"/>
          <w:u w:val="single"/>
          <w:lang w:val="zh-CN"/>
        </w:rPr>
        <w:t>320国道九里立交至前游段区域</w:t>
      </w:r>
      <w:r>
        <w:rPr>
          <w:rFonts w:hint="eastAsia" w:ascii="宋体" w:hAnsi="宋体" w:eastAsia="宋体" w:cs="宋体"/>
          <w:i w:val="0"/>
          <w:iCs w:val="0"/>
          <w:caps w:val="0"/>
          <w:color w:val="auto"/>
          <w:spacing w:val="0"/>
          <w:sz w:val="24"/>
          <w:szCs w:val="24"/>
          <w:highlight w:val="none"/>
          <w:lang w:val="zh-CN"/>
        </w:rPr>
        <w:t>、</w:t>
      </w:r>
      <w:r>
        <w:rPr>
          <w:rFonts w:hint="eastAsia" w:ascii="宋体" w:hAnsi="宋体" w:eastAsia="宋体" w:cs="宋体"/>
          <w:i w:val="0"/>
          <w:iCs w:val="0"/>
          <w:caps w:val="0"/>
          <w:color w:val="auto"/>
          <w:spacing w:val="0"/>
          <w:sz w:val="24"/>
          <w:szCs w:val="24"/>
          <w:highlight w:val="none"/>
          <w:u w:val="single"/>
          <w:lang w:val="zh-CN"/>
        </w:rPr>
        <w:t>S31</w:t>
      </w:r>
      <w:r>
        <w:rPr>
          <w:rFonts w:hint="eastAsia" w:cs="宋体"/>
          <w:i w:val="0"/>
          <w:iCs w:val="0"/>
          <w:caps w:val="0"/>
          <w:color w:val="auto"/>
          <w:spacing w:val="0"/>
          <w:sz w:val="24"/>
          <w:szCs w:val="24"/>
          <w:highlight w:val="none"/>
          <w:u w:val="single"/>
          <w:lang w:val="en-US" w:eastAsia="zh-CN"/>
        </w:rPr>
        <w:t>9</w:t>
      </w:r>
      <w:r>
        <w:rPr>
          <w:rFonts w:hint="eastAsia" w:ascii="宋体" w:hAnsi="宋体" w:eastAsia="宋体" w:cs="宋体"/>
          <w:i w:val="0"/>
          <w:iCs w:val="0"/>
          <w:caps w:val="0"/>
          <w:color w:val="auto"/>
          <w:spacing w:val="0"/>
          <w:sz w:val="24"/>
          <w:szCs w:val="24"/>
          <w:highlight w:val="none"/>
          <w:u w:val="single"/>
          <w:lang w:val="zh-CN"/>
        </w:rPr>
        <w:t>毛</w:t>
      </w:r>
      <w:r>
        <w:rPr>
          <w:rFonts w:hint="eastAsia" w:ascii="宋体" w:hAnsi="宋体" w:eastAsia="宋体" w:cs="宋体"/>
          <w:i w:val="0"/>
          <w:iCs w:val="0"/>
          <w:caps w:val="0"/>
          <w:color w:val="auto"/>
          <w:spacing w:val="0"/>
          <w:sz w:val="24"/>
          <w:szCs w:val="24"/>
          <w:u w:val="single"/>
          <w:lang w:val="zh-CN"/>
        </w:rPr>
        <w:t>岭头至马报桥区域</w:t>
      </w:r>
      <w:r>
        <w:rPr>
          <w:rFonts w:hint="eastAsia" w:ascii="宋体" w:hAnsi="宋体" w:eastAsia="宋体" w:cs="宋体"/>
          <w:i w:val="0"/>
          <w:iCs w:val="0"/>
          <w:caps w:val="0"/>
          <w:color w:val="auto"/>
          <w:spacing w:val="0"/>
          <w:sz w:val="24"/>
          <w:szCs w:val="24"/>
          <w:lang w:val="zh-CN"/>
        </w:rPr>
        <w:t>、</w:t>
      </w:r>
      <w:r>
        <w:rPr>
          <w:rFonts w:hint="eastAsia" w:ascii="宋体" w:hAnsi="宋体" w:eastAsia="宋体" w:cs="宋体"/>
          <w:i w:val="0"/>
          <w:iCs w:val="0"/>
          <w:caps w:val="0"/>
          <w:color w:val="auto"/>
          <w:spacing w:val="0"/>
          <w:sz w:val="24"/>
          <w:szCs w:val="24"/>
          <w:u w:val="single"/>
          <w:lang w:val="zh-CN"/>
        </w:rPr>
        <w:t>灵山江沿江公路区域</w:t>
      </w:r>
      <w:r>
        <w:rPr>
          <w:rFonts w:hint="eastAsia" w:cs="宋体"/>
          <w:i w:val="0"/>
          <w:iCs w:val="0"/>
          <w:caps w:val="0"/>
          <w:color w:val="auto"/>
          <w:spacing w:val="0"/>
          <w:sz w:val="24"/>
          <w:szCs w:val="24"/>
          <w:lang w:val="zh-CN" w:eastAsia="zh-CN"/>
        </w:rPr>
        <w:t>、</w:t>
      </w:r>
      <w:r>
        <w:rPr>
          <w:rFonts w:hint="eastAsia" w:cs="宋体"/>
          <w:i w:val="0"/>
          <w:iCs w:val="0"/>
          <w:caps w:val="0"/>
          <w:color w:val="auto"/>
          <w:spacing w:val="0"/>
          <w:sz w:val="24"/>
          <w:szCs w:val="24"/>
          <w:u w:val="single"/>
          <w:lang w:val="zh-CN" w:eastAsia="zh-CN"/>
        </w:rPr>
        <w:t>龙游北高速出口区域</w:t>
      </w:r>
      <w:r>
        <w:rPr>
          <w:rFonts w:hint="eastAsia" w:ascii="宋体" w:hAnsi="宋体" w:eastAsia="宋体" w:cs="宋体"/>
          <w:i w:val="0"/>
          <w:iCs w:val="0"/>
          <w:caps w:val="0"/>
          <w:color w:val="auto"/>
          <w:spacing w:val="0"/>
          <w:sz w:val="24"/>
          <w:szCs w:val="24"/>
          <w:lang w:val="zh-CN"/>
        </w:rPr>
        <w:t>约4</w:t>
      </w:r>
      <w:r>
        <w:rPr>
          <w:rFonts w:hint="eastAsia" w:cs="宋体"/>
          <w:i w:val="0"/>
          <w:iCs w:val="0"/>
          <w:caps w:val="0"/>
          <w:color w:val="auto"/>
          <w:spacing w:val="0"/>
          <w:sz w:val="24"/>
          <w:szCs w:val="24"/>
          <w:lang w:val="en-US" w:eastAsia="zh-CN"/>
        </w:rPr>
        <w:t>2</w:t>
      </w:r>
      <w:r>
        <w:rPr>
          <w:rFonts w:hint="eastAsia" w:ascii="宋体" w:hAnsi="宋体" w:eastAsia="宋体" w:cs="宋体"/>
          <w:i w:val="0"/>
          <w:iCs w:val="0"/>
          <w:caps w:val="0"/>
          <w:color w:val="auto"/>
          <w:spacing w:val="0"/>
          <w:sz w:val="24"/>
          <w:szCs w:val="24"/>
          <w:lang w:val="zh-CN"/>
        </w:rPr>
        <w:t>万平方绿化面积的日常养护、补植、抗旱等服务。</w:t>
      </w:r>
    </w:p>
    <w:p>
      <w:pPr>
        <w:bidi w:val="0"/>
        <w:adjustRightInd w:val="0"/>
        <w:snapToGrid w:val="0"/>
        <w:spacing w:line="312" w:lineRule="auto"/>
        <w:ind w:firstLine="480" w:firstLineChars="200"/>
        <w:rPr>
          <w:rFonts w:hint="eastAsia" w:ascii="宋体" w:hAnsi="宋体" w:eastAsia="宋体" w:cs="宋体"/>
          <w:sz w:val="24"/>
          <w:szCs w:val="24"/>
          <w:lang w:val="zh-CN" w:eastAsia="zh-CN"/>
        </w:rPr>
      </w:pPr>
      <w:r>
        <w:rPr>
          <w:rFonts w:hint="eastAsia" w:cs="宋体"/>
          <w:sz w:val="24"/>
          <w:szCs w:val="24"/>
          <w:lang w:val="en-US" w:eastAsia="zh-CN"/>
        </w:rPr>
        <w:t>2）</w:t>
      </w:r>
      <w:r>
        <w:rPr>
          <w:rFonts w:hint="eastAsia" w:ascii="宋体" w:hAnsi="宋体" w:eastAsia="宋体" w:cs="宋体"/>
          <w:sz w:val="24"/>
          <w:szCs w:val="24"/>
          <w:lang w:val="zh-CN" w:eastAsia="zh-CN"/>
        </w:rPr>
        <w:t>养护管理内容：绿化日常养护管理，包括除草、修剪、病虫害防治、施肥、抗旱、排涝、防冻、死株补植、配套设施维护、由于交通事故引起的绿化缺损补植、绿化更新等。不包含因恶劣天气绿化大面积死亡大范围绿化补植或更换，做好必要的三防及节庆等活动的应急值班任务等。</w:t>
      </w:r>
    </w:p>
    <w:p>
      <w:pPr>
        <w:bidi w:val="0"/>
        <w:adjustRightInd w:val="0"/>
        <w:snapToGrid w:val="0"/>
        <w:spacing w:line="312" w:lineRule="auto"/>
        <w:ind w:firstLine="480" w:firstLineChars="200"/>
        <w:rPr>
          <w:rFonts w:hint="eastAsia" w:ascii="宋体" w:hAnsi="宋体" w:eastAsia="宋体" w:cs="宋体"/>
          <w:sz w:val="24"/>
          <w:szCs w:val="24"/>
          <w:lang w:val="zh-CN" w:eastAsia="zh-CN"/>
        </w:rPr>
      </w:pPr>
      <w:r>
        <w:rPr>
          <w:rFonts w:hint="eastAsia" w:cs="宋体"/>
          <w:sz w:val="24"/>
          <w:szCs w:val="24"/>
          <w:lang w:val="en-US" w:eastAsia="zh-CN"/>
        </w:rPr>
        <w:t>3</w:t>
      </w:r>
      <w:r>
        <w:rPr>
          <w:rFonts w:hint="eastAsia" w:cs="宋体"/>
          <w:sz w:val="24"/>
          <w:szCs w:val="24"/>
          <w:lang w:val="zh-CN" w:eastAsia="zh-CN"/>
        </w:rPr>
        <w:t>）</w:t>
      </w:r>
      <w:r>
        <w:rPr>
          <w:rFonts w:hint="eastAsia" w:ascii="宋体" w:hAnsi="宋体" w:eastAsia="宋体" w:cs="宋体"/>
          <w:sz w:val="24"/>
          <w:szCs w:val="24"/>
          <w:lang w:val="zh-CN" w:eastAsia="zh-CN"/>
        </w:rPr>
        <w:t>质量要求：按《龙游县公路港航与运输管理中心日常养护市场化考核办法》要求执行。</w:t>
      </w:r>
    </w:p>
    <w:p>
      <w:pPr>
        <w:bidi w:val="0"/>
        <w:adjustRightInd w:val="0"/>
        <w:snapToGrid w:val="0"/>
        <w:spacing w:line="312" w:lineRule="auto"/>
        <w:ind w:firstLine="480" w:firstLineChars="200"/>
        <w:rPr>
          <w:rFonts w:hint="eastAsia" w:ascii="宋体" w:hAnsi="宋体" w:eastAsia="宋体" w:cs="宋体"/>
          <w:b w:val="0"/>
          <w:color w:val="000000" w:themeColor="text1"/>
          <w:sz w:val="24"/>
          <w:szCs w:val="24"/>
          <w:lang w:val="zh-CN"/>
          <w14:textFill>
            <w14:solidFill>
              <w14:schemeClr w14:val="tx1"/>
            </w14:solidFill>
          </w14:textFill>
        </w:rPr>
      </w:pPr>
      <w:r>
        <w:rPr>
          <w:rFonts w:hint="eastAsia" w:cs="宋体"/>
          <w:sz w:val="24"/>
          <w:szCs w:val="24"/>
          <w:lang w:val="en-US" w:eastAsia="zh-CN"/>
        </w:rPr>
        <w:t>4）</w:t>
      </w:r>
      <w:r>
        <w:rPr>
          <w:rFonts w:hint="eastAsia" w:ascii="宋体" w:hAnsi="宋体" w:eastAsia="宋体" w:cs="宋体"/>
          <w:sz w:val="24"/>
          <w:szCs w:val="24"/>
          <w:lang w:val="en-US" w:eastAsia="zh-CN"/>
        </w:rPr>
        <w:t>服务</w:t>
      </w:r>
      <w:r>
        <w:rPr>
          <w:rFonts w:hint="eastAsia" w:ascii="宋体" w:hAnsi="宋体" w:eastAsia="宋体" w:cs="宋体"/>
          <w:sz w:val="24"/>
          <w:szCs w:val="24"/>
          <w:lang w:val="zh-CN" w:eastAsia="zh-CN"/>
        </w:rPr>
        <w:t>期限：</w:t>
      </w:r>
      <w:r>
        <w:rPr>
          <w:rFonts w:hint="eastAsia" w:ascii="宋体" w:hAnsi="宋体" w:eastAsia="宋体" w:cs="宋体"/>
          <w:sz w:val="24"/>
          <w:szCs w:val="24"/>
          <w:lang w:val="en-US" w:eastAsia="zh-CN"/>
        </w:rPr>
        <w:t>两年</w:t>
      </w:r>
      <w:r>
        <w:rPr>
          <w:rFonts w:hint="eastAsia" w:ascii="宋体" w:hAnsi="宋体" w:eastAsia="宋体" w:cs="宋体"/>
          <w:sz w:val="24"/>
          <w:szCs w:val="24"/>
          <w:lang w:val="zh-CN" w:eastAsia="zh-CN"/>
        </w:rPr>
        <w:t>。</w:t>
      </w:r>
    </w:p>
    <w:p>
      <w:pPr>
        <w:adjustRightInd w:val="0"/>
        <w:snapToGrid w:val="0"/>
        <w:spacing w:line="312" w:lineRule="auto"/>
        <w:ind w:firstLine="480" w:firstLineChars="200"/>
        <w:jc w:val="center"/>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val="0"/>
          <w:color w:val="000000" w:themeColor="text1"/>
          <w:sz w:val="24"/>
          <w:szCs w:val="24"/>
          <w:lang w:val="zh-CN"/>
          <w14:textFill>
            <w14:solidFill>
              <w14:schemeClr w14:val="tx1"/>
            </w14:solidFill>
          </w14:textFill>
        </w:rPr>
        <w:t>绿化养护项目范围一览表</w:t>
      </w:r>
    </w:p>
    <w:tbl>
      <w:tblPr>
        <w:tblStyle w:val="47"/>
        <w:tblW w:w="10317"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2895"/>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671" w:type="dxa"/>
            <w:noWrap w:val="0"/>
            <w:vAlign w:val="center"/>
          </w:tcPr>
          <w:p>
            <w:pPr>
              <w:spacing w:line="276"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位置区域</w:t>
            </w:r>
          </w:p>
        </w:tc>
        <w:tc>
          <w:tcPr>
            <w:tcW w:w="2895" w:type="dxa"/>
            <w:noWrap w:val="0"/>
            <w:vAlign w:val="center"/>
          </w:tcPr>
          <w:p>
            <w:pPr>
              <w:spacing w:line="276"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总面积（</w:t>
            </w:r>
            <w:r>
              <w:rPr>
                <w:rFonts w:hint="eastAsia" w:ascii="宋体" w:hAnsi="宋体" w:eastAsia="宋体" w:cs="宋体"/>
                <w:color w:val="auto"/>
                <w:sz w:val="24"/>
                <w:szCs w:val="24"/>
                <w:lang w:val="zh-CN" w:eastAsia="zh-CN"/>
              </w:rPr>
              <w:t>平方米）</w:t>
            </w:r>
          </w:p>
        </w:tc>
        <w:tc>
          <w:tcPr>
            <w:tcW w:w="3751" w:type="dxa"/>
            <w:noWrap w:val="0"/>
            <w:vAlign w:val="center"/>
          </w:tcPr>
          <w:p>
            <w:pPr>
              <w:spacing w:line="276"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671" w:type="dxa"/>
            <w:noWrap w:val="0"/>
            <w:vAlign w:val="center"/>
          </w:tcPr>
          <w:p>
            <w:pPr>
              <w:adjustRightInd w:val="0"/>
              <w:snapToGrid w:val="0"/>
              <w:spacing w:line="312" w:lineRule="auto"/>
              <w:ind w:firstLine="0" w:firstLineChars="0"/>
              <w:jc w:val="center"/>
              <w:rPr>
                <w:rFonts w:hint="eastAsia" w:ascii="宋体" w:hAnsi="宋体" w:eastAsia="宋体" w:cs="宋体"/>
                <w:color w:val="auto"/>
                <w:sz w:val="24"/>
                <w:szCs w:val="24"/>
                <w:lang w:eastAsia="zh-CN"/>
              </w:rPr>
            </w:pPr>
            <w:r>
              <w:rPr>
                <w:rFonts w:hint="eastAsia" w:cs="宋体"/>
                <w:i w:val="0"/>
                <w:iCs w:val="0"/>
                <w:caps w:val="0"/>
                <w:color w:val="auto"/>
                <w:spacing w:val="0"/>
                <w:sz w:val="24"/>
                <w:szCs w:val="24"/>
                <w:lang w:val="en-US" w:eastAsia="zh-CN"/>
              </w:rPr>
              <w:t>龙官线全段区域</w:t>
            </w:r>
          </w:p>
        </w:tc>
        <w:tc>
          <w:tcPr>
            <w:tcW w:w="2895"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187114</w:t>
            </w:r>
          </w:p>
        </w:tc>
        <w:tc>
          <w:tcPr>
            <w:tcW w:w="3751" w:type="dxa"/>
            <w:vMerge w:val="restart"/>
            <w:noWrap w:val="0"/>
            <w:vAlign w:val="center"/>
          </w:tcPr>
          <w:p>
            <w:pPr>
              <w:keepNext w:val="0"/>
              <w:keepLines w:val="0"/>
              <w:widowControl/>
              <w:suppressLineNumbers w:val="0"/>
              <w:jc w:val="center"/>
              <w:textAlignment w:val="center"/>
              <w:rPr>
                <w:rFonts w:hint="default" w:cs="宋体"/>
                <w:color w:val="auto"/>
                <w:sz w:val="24"/>
                <w:szCs w:val="24"/>
                <w:lang w:val="en-US" w:eastAsia="zh-CN"/>
              </w:rPr>
            </w:pPr>
            <w:r>
              <w:rPr>
                <w:rFonts w:hint="eastAsia" w:cs="宋体"/>
                <w:color w:val="auto"/>
                <w:sz w:val="24"/>
                <w:szCs w:val="24"/>
                <w:lang w:val="en-US" w:eastAsia="zh-CN"/>
              </w:rPr>
              <w:t>所提供面积数量只作参考，具体面积以采购方提供的红线图为准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671" w:type="dxa"/>
            <w:noWrap w:val="0"/>
            <w:vAlign w:val="center"/>
          </w:tcPr>
          <w:p>
            <w:pPr>
              <w:spacing w:line="276" w:lineRule="auto"/>
              <w:jc w:val="center"/>
              <w:rPr>
                <w:rFonts w:hint="eastAsia" w:ascii="宋体" w:hAnsi="宋体" w:eastAsia="宋体" w:cs="宋体"/>
                <w:i w:val="0"/>
                <w:iCs w:val="0"/>
                <w:caps w:val="0"/>
                <w:color w:val="auto"/>
                <w:spacing w:val="0"/>
                <w:sz w:val="24"/>
                <w:szCs w:val="24"/>
                <w:lang w:val="zh-CN"/>
              </w:rPr>
            </w:pPr>
            <w:r>
              <w:rPr>
                <w:rFonts w:hint="eastAsia" w:ascii="宋体" w:hAnsi="宋体" w:eastAsia="宋体" w:cs="宋体"/>
                <w:i w:val="0"/>
                <w:iCs w:val="0"/>
                <w:caps w:val="0"/>
                <w:color w:val="auto"/>
                <w:spacing w:val="0"/>
                <w:sz w:val="24"/>
                <w:szCs w:val="24"/>
                <w:lang w:val="zh-CN"/>
              </w:rPr>
              <w:t>320国道九里立交至前游段</w:t>
            </w:r>
            <w:r>
              <w:rPr>
                <w:rFonts w:hint="eastAsia" w:cs="宋体"/>
                <w:i w:val="0"/>
                <w:iCs w:val="0"/>
                <w:caps w:val="0"/>
                <w:color w:val="auto"/>
                <w:spacing w:val="0"/>
                <w:sz w:val="24"/>
                <w:szCs w:val="24"/>
                <w:lang w:val="en-US" w:eastAsia="zh-CN"/>
              </w:rPr>
              <w:t>区域</w:t>
            </w:r>
          </w:p>
        </w:tc>
        <w:tc>
          <w:tcPr>
            <w:tcW w:w="2895" w:type="dxa"/>
            <w:noWrap w:val="0"/>
            <w:vAlign w:val="center"/>
          </w:tcPr>
          <w:p>
            <w:pPr>
              <w:jc w:val="center"/>
              <w:rPr>
                <w:rFonts w:hint="eastAsia" w:ascii="宋体" w:hAnsi="宋体" w:eastAsia="宋体" w:cs="宋体"/>
                <w:color w:val="auto"/>
                <w:sz w:val="24"/>
                <w:szCs w:val="24"/>
                <w:lang w:val="en-US" w:eastAsia="zh-CN"/>
              </w:rPr>
            </w:pPr>
            <w:r>
              <w:rPr>
                <w:rFonts w:hint="eastAsia" w:cs="宋体"/>
                <w:color w:val="auto"/>
                <w:sz w:val="24"/>
                <w:szCs w:val="24"/>
                <w:lang w:val="en-US" w:eastAsia="zh-CN"/>
              </w:rPr>
              <w:t>63000</w:t>
            </w:r>
          </w:p>
        </w:tc>
        <w:tc>
          <w:tcPr>
            <w:tcW w:w="3751" w:type="dxa"/>
            <w:vMerge w:val="continue"/>
            <w:noWrap w:val="0"/>
            <w:vAlign w:val="center"/>
          </w:tcPr>
          <w:p>
            <w:pPr>
              <w:jc w:val="center"/>
              <w:rPr>
                <w:rFonts w:hint="eastAsia" w:ascii="宋体" w:hAnsi="宋体" w:eastAsia="宋体" w:cs="宋体"/>
                <w:color w:val="auto"/>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671" w:type="dxa"/>
            <w:noWrap w:val="0"/>
            <w:vAlign w:val="center"/>
          </w:tcPr>
          <w:p>
            <w:pPr>
              <w:spacing w:line="276" w:lineRule="auto"/>
              <w:jc w:val="center"/>
              <w:rPr>
                <w:rFonts w:hint="eastAsia" w:ascii="宋体" w:hAnsi="宋体" w:eastAsia="宋体" w:cs="宋体"/>
                <w:i w:val="0"/>
                <w:iCs w:val="0"/>
                <w:caps w:val="0"/>
                <w:color w:val="auto"/>
                <w:spacing w:val="0"/>
                <w:sz w:val="24"/>
                <w:szCs w:val="24"/>
                <w:highlight w:val="none"/>
                <w:lang w:val="zh-CN" w:eastAsia="zh-CN"/>
              </w:rPr>
            </w:pPr>
            <w:r>
              <w:rPr>
                <w:rFonts w:hint="eastAsia" w:ascii="宋体" w:hAnsi="宋体" w:eastAsia="宋体" w:cs="宋体"/>
                <w:color w:val="auto"/>
                <w:sz w:val="24"/>
                <w:szCs w:val="24"/>
                <w:highlight w:val="none"/>
                <w:lang w:val="en-US" w:eastAsia="zh-CN"/>
              </w:rPr>
              <w:t>S</w:t>
            </w:r>
            <w:r>
              <w:rPr>
                <w:rFonts w:hint="eastAsia" w:ascii="宋体" w:hAnsi="宋体" w:eastAsia="宋体" w:cs="宋体"/>
                <w:color w:val="auto"/>
                <w:sz w:val="24"/>
                <w:szCs w:val="24"/>
                <w:highlight w:val="none"/>
                <w:lang w:val="zh-CN" w:eastAsia="zh-CN"/>
              </w:rPr>
              <w:t>31</w:t>
            </w:r>
            <w:r>
              <w:rPr>
                <w:rFonts w:hint="eastAsia" w:cs="宋体"/>
                <w:color w:val="auto"/>
                <w:sz w:val="24"/>
                <w:szCs w:val="24"/>
                <w:highlight w:val="none"/>
                <w:lang w:val="en-US" w:eastAsia="zh-CN"/>
              </w:rPr>
              <w:t>9省道</w:t>
            </w:r>
            <w:r>
              <w:rPr>
                <w:rFonts w:hint="eastAsia" w:ascii="宋体" w:hAnsi="宋体" w:eastAsia="宋体" w:cs="宋体"/>
                <w:color w:val="auto"/>
                <w:sz w:val="24"/>
                <w:szCs w:val="24"/>
                <w:highlight w:val="none"/>
                <w:lang w:val="zh-CN" w:eastAsia="zh-CN"/>
              </w:rPr>
              <w:t>马报桥</w:t>
            </w:r>
            <w:r>
              <w:rPr>
                <w:rFonts w:hint="eastAsia" w:cs="宋体"/>
                <w:color w:val="auto"/>
                <w:sz w:val="24"/>
                <w:szCs w:val="24"/>
                <w:highlight w:val="none"/>
                <w:lang w:val="en-US" w:eastAsia="zh-CN"/>
              </w:rPr>
              <w:t>至毛岭头区域</w:t>
            </w:r>
          </w:p>
        </w:tc>
        <w:tc>
          <w:tcPr>
            <w:tcW w:w="2895" w:type="dxa"/>
            <w:noWrap w:val="0"/>
            <w:vAlign w:val="center"/>
          </w:tcPr>
          <w:p>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zh-CN" w:eastAsia="zh-CN"/>
              </w:rPr>
              <w:t>56312</w:t>
            </w:r>
          </w:p>
        </w:tc>
        <w:tc>
          <w:tcPr>
            <w:tcW w:w="3751" w:type="dxa"/>
            <w:vMerge w:val="continue"/>
            <w:noWrap w:val="0"/>
            <w:vAlign w:val="center"/>
          </w:tcPr>
          <w:p>
            <w:pPr>
              <w:jc w:val="center"/>
              <w:rPr>
                <w:rFonts w:hint="eastAsia"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671" w:type="dxa"/>
            <w:noWrap w:val="0"/>
            <w:vAlign w:val="center"/>
          </w:tcPr>
          <w:p>
            <w:pPr>
              <w:spacing w:line="276" w:lineRule="auto"/>
              <w:jc w:val="center"/>
              <w:rPr>
                <w:rFonts w:hint="eastAsia" w:ascii="宋体" w:hAnsi="宋体" w:eastAsia="宋体" w:cs="宋体"/>
                <w:i w:val="0"/>
                <w:iCs w:val="0"/>
                <w:caps w:val="0"/>
                <w:color w:val="auto"/>
                <w:spacing w:val="0"/>
                <w:sz w:val="24"/>
                <w:szCs w:val="24"/>
                <w:lang w:val="zh-CN" w:eastAsia="zh-CN"/>
              </w:rPr>
            </w:pPr>
            <w:r>
              <w:rPr>
                <w:rFonts w:hint="eastAsia" w:cs="宋体"/>
                <w:i w:val="0"/>
                <w:iCs w:val="0"/>
                <w:caps w:val="0"/>
                <w:color w:val="auto"/>
                <w:spacing w:val="0"/>
                <w:sz w:val="24"/>
                <w:szCs w:val="24"/>
                <w:lang w:val="en-US" w:eastAsia="zh-CN"/>
              </w:rPr>
              <w:t>灵山江沿江公路区域</w:t>
            </w:r>
          </w:p>
        </w:tc>
        <w:tc>
          <w:tcPr>
            <w:tcW w:w="2895" w:type="dxa"/>
            <w:noWrap w:val="0"/>
            <w:vAlign w:val="center"/>
          </w:tcPr>
          <w:p>
            <w:pPr>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103574</w:t>
            </w:r>
          </w:p>
        </w:tc>
        <w:tc>
          <w:tcPr>
            <w:tcW w:w="3751" w:type="dxa"/>
            <w:vMerge w:val="continue"/>
            <w:noWrap w:val="0"/>
            <w:vAlign w:val="center"/>
          </w:tcPr>
          <w:p>
            <w:pPr>
              <w:jc w:val="center"/>
              <w:rPr>
                <w:rFonts w:hint="eastAsia"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671" w:type="dxa"/>
            <w:noWrap w:val="0"/>
            <w:vAlign w:val="center"/>
          </w:tcPr>
          <w:p>
            <w:pPr>
              <w:spacing w:line="276" w:lineRule="auto"/>
              <w:jc w:val="center"/>
              <w:rPr>
                <w:rFonts w:hint="eastAsia" w:cs="宋体"/>
                <w:i w:val="0"/>
                <w:iCs w:val="0"/>
                <w:caps w:val="0"/>
                <w:color w:val="auto"/>
                <w:spacing w:val="0"/>
                <w:sz w:val="24"/>
                <w:szCs w:val="24"/>
                <w:lang w:val="en-US" w:eastAsia="zh-CN"/>
              </w:rPr>
            </w:pPr>
            <w:r>
              <w:rPr>
                <w:rFonts w:hint="eastAsia" w:cs="宋体"/>
                <w:i w:val="0"/>
                <w:iCs w:val="0"/>
                <w:caps w:val="0"/>
                <w:color w:val="auto"/>
                <w:spacing w:val="0"/>
                <w:sz w:val="24"/>
                <w:szCs w:val="24"/>
                <w:lang w:val="en-US" w:eastAsia="zh-CN"/>
              </w:rPr>
              <w:t>龙游北高速出口区域</w:t>
            </w:r>
          </w:p>
        </w:tc>
        <w:tc>
          <w:tcPr>
            <w:tcW w:w="2895" w:type="dxa"/>
            <w:noWrap w:val="0"/>
            <w:vAlign w:val="center"/>
          </w:tcPr>
          <w:p>
            <w:pPr>
              <w:jc w:val="center"/>
              <w:rPr>
                <w:rFonts w:hint="default" w:cs="宋体"/>
                <w:color w:val="auto"/>
                <w:sz w:val="24"/>
                <w:szCs w:val="24"/>
                <w:lang w:val="en-US" w:eastAsia="zh-CN"/>
              </w:rPr>
            </w:pPr>
            <w:r>
              <w:rPr>
                <w:rFonts w:hint="eastAsia" w:cs="宋体"/>
                <w:color w:val="auto"/>
                <w:sz w:val="24"/>
                <w:szCs w:val="24"/>
                <w:lang w:val="en-US" w:eastAsia="zh-CN"/>
              </w:rPr>
              <w:t>12039</w:t>
            </w:r>
          </w:p>
        </w:tc>
        <w:tc>
          <w:tcPr>
            <w:tcW w:w="3751" w:type="dxa"/>
            <w:vMerge w:val="continue"/>
            <w:noWrap w:val="0"/>
            <w:vAlign w:val="center"/>
          </w:tcPr>
          <w:p>
            <w:pPr>
              <w:jc w:val="center"/>
              <w:rPr>
                <w:rFonts w:hint="eastAsia" w:cs="宋体"/>
                <w:color w:val="auto"/>
                <w:sz w:val="24"/>
                <w:szCs w:val="24"/>
                <w:lang w:val="en-US" w:eastAsia="zh-CN"/>
              </w:rPr>
            </w:pPr>
          </w:p>
        </w:tc>
      </w:tr>
    </w:tbl>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r>
        <w:rPr>
          <w:rFonts w:hint="eastAsia" w:ascii="宋体" w:hAnsi="宋体" w:eastAsia="宋体" w:cs="宋体"/>
          <w:b w:val="0"/>
          <w:bCs w:val="0"/>
          <w:color w:val="auto"/>
          <w:sz w:val="24"/>
          <w:szCs w:val="24"/>
          <w:lang w:val="en-US" w:eastAsia="zh-CN"/>
        </w:rPr>
        <w:t xml:space="preserve">   </w:t>
      </w: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r>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t>320国道九里立交至前游段</w:t>
      </w: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r>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drawing>
          <wp:inline distT="0" distB="0" distL="114300" distR="114300">
            <wp:extent cx="6183630" cy="4373880"/>
            <wp:effectExtent l="0" t="0" r="7620" b="7620"/>
            <wp:docPr id="11" name="图片 11" descr="5f84151fdddbe7012e12ca2489dd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f84151fdddbe7012e12ca2489dd319"/>
                    <pic:cNvPicPr>
                      <a:picLocks noChangeAspect="1"/>
                    </pic:cNvPicPr>
                  </pic:nvPicPr>
                  <pic:blipFill>
                    <a:blip r:embed="rId13"/>
                    <a:stretch>
                      <a:fillRect/>
                    </a:stretch>
                  </pic:blipFill>
                  <pic:spPr>
                    <a:xfrm>
                      <a:off x="0" y="0"/>
                      <a:ext cx="6183630" cy="4373880"/>
                    </a:xfrm>
                    <a:prstGeom prst="rect">
                      <a:avLst/>
                    </a:prstGeom>
                  </pic:spPr>
                </pic:pic>
              </a:graphicData>
            </a:graphic>
          </wp:inline>
        </w:drawing>
      </w: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000000" w:themeColor="text1"/>
          <w:spacing w:val="0"/>
          <w:sz w:val="24"/>
          <w:szCs w:val="24"/>
          <w:lang w:val="zh-CN"/>
          <w14:textFill>
            <w14:solidFill>
              <w14:schemeClr w14:val="tx1"/>
            </w14:solidFill>
          </w14:textFill>
        </w:rPr>
      </w:pPr>
    </w:p>
    <w:p>
      <w:pPr>
        <w:bidi w:val="0"/>
        <w:adjustRightInd w:val="0"/>
        <w:snapToGrid w:val="0"/>
        <w:spacing w:line="312" w:lineRule="auto"/>
        <w:ind w:firstLine="0" w:firstLineChars="0"/>
        <w:rPr>
          <w:rFonts w:hint="eastAsia" w:ascii="宋体" w:hAnsi="宋体" w:eastAsia="宋体" w:cs="宋体"/>
          <w:i w:val="0"/>
          <w:iCs w:val="0"/>
          <w:caps w:val="0"/>
          <w:color w:val="auto"/>
          <w:spacing w:val="0"/>
          <w:sz w:val="24"/>
          <w:szCs w:val="24"/>
          <w:lang w:val="zh-CN"/>
        </w:rPr>
      </w:pPr>
    </w:p>
    <w:p>
      <w:pPr>
        <w:bidi w:val="0"/>
        <w:adjustRightInd w:val="0"/>
        <w:snapToGrid w:val="0"/>
        <w:spacing w:line="312" w:lineRule="auto"/>
        <w:ind w:firstLine="0" w:firstLineChars="0"/>
        <w:rPr>
          <w:rFonts w:hint="eastAsia" w:ascii="宋体" w:hAnsi="宋体" w:eastAsia="宋体" w:cs="宋体"/>
          <w:b w:val="0"/>
          <w:bCs w:val="0"/>
          <w:snapToGrid w:val="0"/>
          <w:color w:val="auto"/>
          <w:kern w:val="0"/>
          <w:sz w:val="24"/>
          <w:szCs w:val="24"/>
          <w:lang w:val="en-US" w:eastAsia="zh-CN" w:bidi="ar-SA"/>
        </w:rPr>
      </w:pPr>
    </w:p>
    <w:p>
      <w:pPr>
        <w:bidi w:val="0"/>
        <w:adjustRightInd w:val="0"/>
        <w:snapToGrid w:val="0"/>
        <w:spacing w:line="312" w:lineRule="auto"/>
        <w:ind w:firstLine="0" w:firstLineChars="0"/>
        <w:rPr>
          <w:rFonts w:hint="eastAsia" w:ascii="宋体" w:hAnsi="宋体" w:eastAsia="宋体" w:cs="宋体"/>
          <w:b w:val="0"/>
          <w:bCs w:val="0"/>
          <w:snapToGrid w:val="0"/>
          <w:color w:val="auto"/>
          <w:kern w:val="0"/>
          <w:sz w:val="24"/>
          <w:szCs w:val="24"/>
          <w:lang w:val="en-US" w:eastAsia="zh-CN" w:bidi="ar-SA"/>
        </w:rPr>
      </w:pPr>
    </w:p>
    <w:p>
      <w:pPr>
        <w:bidi w:val="0"/>
        <w:adjustRightInd w:val="0"/>
        <w:snapToGrid w:val="0"/>
        <w:spacing w:line="312" w:lineRule="auto"/>
        <w:ind w:firstLine="0" w:firstLineChars="0"/>
        <w:rPr>
          <w:rFonts w:hint="eastAsia" w:ascii="宋体" w:hAnsi="宋体" w:eastAsia="宋体" w:cs="宋体"/>
          <w:b w:val="0"/>
          <w:bCs w:val="0"/>
          <w:snapToGrid w:val="0"/>
          <w:color w:val="auto"/>
          <w:kern w:val="0"/>
          <w:sz w:val="24"/>
          <w:szCs w:val="24"/>
          <w:lang w:val="en-US" w:eastAsia="zh-CN" w:bidi="ar-SA"/>
        </w:rPr>
      </w:pPr>
    </w:p>
    <w:p>
      <w:pPr>
        <w:bidi w:val="0"/>
        <w:adjustRightInd w:val="0"/>
        <w:snapToGrid w:val="0"/>
        <w:spacing w:line="312" w:lineRule="auto"/>
        <w:ind w:firstLine="0" w:firstLineChars="0"/>
        <w:rPr>
          <w:rFonts w:hint="eastAsia" w:ascii="宋体" w:hAnsi="宋体" w:eastAsia="宋体" w:cs="宋体"/>
          <w:b w:val="0"/>
          <w:bCs w:val="0"/>
          <w:snapToGrid w:val="0"/>
          <w:color w:val="auto"/>
          <w:kern w:val="0"/>
          <w:sz w:val="24"/>
          <w:szCs w:val="24"/>
          <w:lang w:val="en-US" w:eastAsia="zh-CN" w:bidi="ar-SA"/>
        </w:rPr>
      </w:pPr>
      <w:r>
        <w:rPr>
          <w:rFonts w:hint="eastAsia" w:ascii="宋体" w:hAnsi="宋体" w:eastAsia="宋体" w:cs="宋体"/>
          <w:b w:val="0"/>
          <w:bCs w:val="0"/>
          <w:snapToGrid w:val="0"/>
          <w:color w:val="auto"/>
          <w:kern w:val="0"/>
          <w:sz w:val="24"/>
          <w:szCs w:val="24"/>
          <w:lang w:val="en-US" w:eastAsia="zh-CN" w:bidi="ar-SA"/>
        </w:rPr>
        <w:t xml:space="preserve"> S31</w:t>
      </w:r>
      <w:r>
        <w:rPr>
          <w:rFonts w:hint="eastAsia" w:cs="宋体"/>
          <w:b w:val="0"/>
          <w:bCs w:val="0"/>
          <w:snapToGrid w:val="0"/>
          <w:color w:val="auto"/>
          <w:kern w:val="0"/>
          <w:sz w:val="24"/>
          <w:szCs w:val="24"/>
          <w:lang w:val="en-US" w:eastAsia="zh-CN" w:bidi="ar-SA"/>
        </w:rPr>
        <w:t>9</w:t>
      </w:r>
      <w:r>
        <w:rPr>
          <w:rFonts w:hint="eastAsia" w:ascii="宋体" w:hAnsi="宋体" w:eastAsia="宋体" w:cs="宋体"/>
          <w:b w:val="0"/>
          <w:bCs w:val="0"/>
          <w:snapToGrid w:val="0"/>
          <w:color w:val="auto"/>
          <w:kern w:val="0"/>
          <w:sz w:val="24"/>
          <w:szCs w:val="24"/>
          <w:lang w:val="en-US" w:eastAsia="zh-CN" w:bidi="ar-SA"/>
        </w:rPr>
        <w:t>毛岭头至马报桥区域</w:t>
      </w:r>
    </w:p>
    <w:p>
      <w:pPr>
        <w:rPr>
          <w:rFonts w:hint="eastAsia"/>
          <w:lang w:val="en-US" w:eastAsia="zh-CN"/>
        </w:rPr>
      </w:pPr>
      <w:r>
        <w:rPr>
          <w:rFonts w:hint="eastAsia"/>
          <w:lang w:val="en-US" w:eastAsia="zh-CN"/>
        </w:rPr>
        <w:drawing>
          <wp:inline distT="0" distB="0" distL="114300" distR="114300">
            <wp:extent cx="6183630" cy="4373880"/>
            <wp:effectExtent l="0" t="0" r="7620" b="7620"/>
            <wp:docPr id="2" name="图片 2" descr="8ccfa928f8db75938d30226a782f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ccfa928f8db75938d30226a782f35c"/>
                    <pic:cNvPicPr>
                      <a:picLocks noChangeAspect="1"/>
                    </pic:cNvPicPr>
                  </pic:nvPicPr>
                  <pic:blipFill>
                    <a:blip r:embed="rId14"/>
                    <a:stretch>
                      <a:fillRect/>
                    </a:stretch>
                  </pic:blipFill>
                  <pic:spPr>
                    <a:xfrm>
                      <a:off x="0" y="0"/>
                      <a:ext cx="6183630" cy="4373880"/>
                    </a:xfrm>
                    <a:prstGeom prst="rect">
                      <a:avLst/>
                    </a:prstGeom>
                  </pic:spPr>
                </pic:pic>
              </a:graphicData>
            </a:graphic>
          </wp:inline>
        </w:drawing>
      </w:r>
    </w:p>
    <w:p>
      <w:pPr>
        <w:rPr>
          <w:rFonts w:hint="eastAsia"/>
          <w:lang w:val="en-US" w:eastAsia="zh-CN"/>
        </w:rPr>
      </w:pPr>
    </w:p>
    <w:p>
      <w:pPr>
        <w:bidi w:val="0"/>
        <w:adjustRightInd w:val="0"/>
        <w:snapToGrid w:val="0"/>
        <w:spacing w:line="312" w:lineRule="auto"/>
        <w:ind w:firstLine="0" w:firstLineChars="0"/>
        <w:rPr>
          <w:rFonts w:hint="eastAsia" w:ascii="宋体" w:hAnsi="宋体" w:eastAsia="宋体" w:cs="宋体"/>
          <w:b w:val="0"/>
          <w:bCs w:val="0"/>
          <w:sz w:val="24"/>
          <w:szCs w:val="24"/>
          <w:lang w:val="en-US" w:eastAsia="zh-CN"/>
        </w:rPr>
      </w:pPr>
    </w:p>
    <w:p>
      <w:pPr>
        <w:pStyle w:val="3"/>
        <w:spacing w:line="240" w:lineRule="auto"/>
        <w:ind w:left="0" w:leftChars="0" w:firstLine="0" w:firstLineChars="0"/>
        <w:rPr>
          <w:rFonts w:hint="eastAsia" w:eastAsia="宋体" w:cs="宋体"/>
          <w:b w:val="0"/>
          <w:bCs w:val="0"/>
          <w:snapToGrid w:val="0"/>
          <w:kern w:val="0"/>
          <w:sz w:val="24"/>
          <w:szCs w:val="24"/>
          <w:lang w:val="en-US" w:eastAsia="zh-CN" w:bidi="ar-SA"/>
        </w:rPr>
      </w:pPr>
      <w:bookmarkStart w:id="31" w:name="_Toc18223"/>
      <w:r>
        <w:rPr>
          <w:rFonts w:hint="eastAsia" w:eastAsia="宋体" w:cs="宋体"/>
          <w:b w:val="0"/>
          <w:bCs w:val="0"/>
          <w:snapToGrid w:val="0"/>
          <w:kern w:val="0"/>
          <w:sz w:val="24"/>
          <w:szCs w:val="24"/>
          <w:lang w:val="en-US" w:eastAsia="zh-CN" w:bidi="ar-SA"/>
        </w:rPr>
        <w:t>龙官线范围</w:t>
      </w:r>
      <w:bookmarkEnd w:id="31"/>
    </w:p>
    <w:p>
      <w:pPr>
        <w:rPr>
          <w:rFonts w:hint="eastAsia"/>
          <w:lang w:val="en-US" w:eastAsia="zh-CN"/>
        </w:rPr>
      </w:pPr>
      <w:r>
        <w:drawing>
          <wp:inline distT="0" distB="0" distL="114300" distR="114300">
            <wp:extent cx="5619750" cy="68199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619750" cy="681990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bidi w:val="0"/>
        <w:adjustRightInd w:val="0"/>
        <w:snapToGrid w:val="0"/>
        <w:spacing w:line="312" w:lineRule="auto"/>
        <w:ind w:firstLine="0" w:firstLineChars="0"/>
        <w:rPr>
          <w:rFonts w:hint="eastAsia" w:ascii="宋体" w:hAnsi="宋体" w:eastAsia="宋体" w:cs="宋体"/>
          <w:b w:val="0"/>
          <w:bCs w:val="0"/>
          <w:sz w:val="24"/>
          <w:szCs w:val="24"/>
          <w:lang w:val="en-US" w:eastAsia="zh-CN"/>
        </w:rPr>
      </w:pPr>
    </w:p>
    <w:p>
      <w:pPr>
        <w:bidi w:val="0"/>
        <w:adjustRightInd w:val="0"/>
        <w:snapToGrid w:val="0"/>
        <w:spacing w:line="312" w:lineRule="auto"/>
        <w:ind w:firstLine="0" w:firstLineChars="0"/>
        <w:rPr>
          <w:rFonts w:hint="eastAsia" w:ascii="宋体" w:hAnsi="宋体" w:eastAsia="宋体" w:cs="宋体"/>
          <w:b w:val="0"/>
          <w:bCs w:val="0"/>
          <w:sz w:val="24"/>
          <w:szCs w:val="24"/>
          <w:lang w:val="en-US" w:eastAsia="zh-CN"/>
        </w:rPr>
      </w:pPr>
    </w:p>
    <w:p>
      <w:pPr>
        <w:pStyle w:val="21"/>
        <w:ind w:left="0" w:leftChars="0" w:firstLine="0" w:firstLineChars="0"/>
        <w:rPr>
          <w:rFonts w:hint="eastAsia" w:ascii="宋体" w:hAnsi="宋体" w:eastAsia="宋体" w:cs="宋体"/>
          <w:b w:val="0"/>
          <w:bCs w:val="0"/>
          <w:snapToGrid w:val="0"/>
          <w:sz w:val="24"/>
          <w:szCs w:val="24"/>
          <w:lang w:val="zh-CN" w:eastAsia="zh-CN" w:bidi="ar-SA"/>
        </w:rPr>
      </w:pPr>
      <w:r>
        <w:rPr>
          <w:rFonts w:hint="eastAsia" w:ascii="宋体" w:hAnsi="宋体" w:eastAsia="宋体" w:cs="宋体"/>
          <w:b w:val="0"/>
          <w:bCs w:val="0"/>
          <w:snapToGrid w:val="0"/>
          <w:sz w:val="24"/>
          <w:szCs w:val="24"/>
          <w:lang w:val="zh-CN" w:eastAsia="zh-CN" w:bidi="ar-SA"/>
        </w:rPr>
        <w:t>灵山江沿江公路</w:t>
      </w:r>
    </w:p>
    <w:p>
      <w:pPr>
        <w:pStyle w:val="21"/>
        <w:rPr>
          <w:rFonts w:hint="eastAsia"/>
          <w:lang w:val="zh-CN"/>
        </w:rPr>
      </w:pPr>
      <w:r>
        <w:rPr>
          <w:rFonts w:hint="eastAsia"/>
          <w:lang w:val="zh-CN"/>
        </w:rPr>
        <w:drawing>
          <wp:inline distT="0" distB="0" distL="114300" distR="114300">
            <wp:extent cx="6181090" cy="8322945"/>
            <wp:effectExtent l="0" t="0" r="10160" b="1905"/>
            <wp:docPr id="15" name="图片 15" descr="1779ee0671e78de19f46ad7d924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79ee0671e78de19f46ad7d9242092"/>
                    <pic:cNvPicPr>
                      <a:picLocks noChangeAspect="1"/>
                    </pic:cNvPicPr>
                  </pic:nvPicPr>
                  <pic:blipFill>
                    <a:blip r:embed="rId16"/>
                    <a:stretch>
                      <a:fillRect/>
                    </a:stretch>
                  </pic:blipFill>
                  <pic:spPr>
                    <a:xfrm>
                      <a:off x="0" y="0"/>
                      <a:ext cx="6181090" cy="8322945"/>
                    </a:xfrm>
                    <a:prstGeom prst="rect">
                      <a:avLst/>
                    </a:prstGeom>
                  </pic:spPr>
                </pic:pic>
              </a:graphicData>
            </a:graphic>
          </wp:inline>
        </w:drawing>
      </w:r>
    </w:p>
    <w:p>
      <w:pPr>
        <w:rPr>
          <w:rFonts w:hint="eastAsia"/>
          <w:lang w:val="zh-CN"/>
        </w:rPr>
      </w:pPr>
    </w:p>
    <w:p>
      <w:pPr>
        <w:bidi w:val="0"/>
        <w:adjustRightInd w:val="0"/>
        <w:snapToGrid w:val="0"/>
        <w:spacing w:line="312" w:lineRule="auto"/>
        <w:ind w:firstLine="0" w:firstLineChars="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龙游北高速口的范围</w:t>
      </w:r>
      <w:r>
        <w:rPr>
          <w:rFonts w:hint="eastAsia" w:cs="宋体"/>
          <w:b w:val="0"/>
          <w:bCs w:val="0"/>
          <w:sz w:val="24"/>
          <w:szCs w:val="24"/>
          <w:lang w:val="en-US" w:eastAsia="zh-CN"/>
        </w:rPr>
        <w:t>（含路面）</w:t>
      </w:r>
    </w:p>
    <w:p>
      <w:pPr>
        <w:pStyle w:val="21"/>
        <w:rPr>
          <w:rFonts w:hint="eastAsia"/>
          <w:lang w:val="zh-CN"/>
        </w:rPr>
      </w:pPr>
      <w:r>
        <w:rPr>
          <w:rFonts w:ascii="宋体" w:hAnsi="宋体" w:eastAsia="宋体" w:cs="宋体"/>
          <w:sz w:val="24"/>
          <w:szCs w:val="24"/>
        </w:rPr>
        <w:drawing>
          <wp:inline distT="0" distB="0" distL="114300" distR="114300">
            <wp:extent cx="6181725" cy="3724275"/>
            <wp:effectExtent l="0" t="0" r="5715"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7"/>
                    <a:stretch>
                      <a:fillRect/>
                    </a:stretch>
                  </pic:blipFill>
                  <pic:spPr>
                    <a:xfrm>
                      <a:off x="0" y="0"/>
                      <a:ext cx="6181725" cy="3724275"/>
                    </a:xfrm>
                    <a:prstGeom prst="rect">
                      <a:avLst/>
                    </a:prstGeom>
                    <a:noFill/>
                    <a:ln w="9525">
                      <a:noFill/>
                    </a:ln>
                  </pic:spPr>
                </pic:pic>
              </a:graphicData>
            </a:graphic>
          </wp:inline>
        </w:drawing>
      </w:r>
    </w:p>
    <w:p>
      <w:pPr>
        <w:bidi w:val="0"/>
        <w:adjustRightInd w:val="0"/>
        <w:snapToGrid w:val="0"/>
        <w:spacing w:line="312" w:lineRule="auto"/>
        <w:ind w:firstLine="0" w:firstLineChars="0"/>
        <w:rPr>
          <w:rFonts w:hint="eastAsia" w:ascii="宋体" w:hAnsi="宋体" w:eastAsia="宋体" w:cs="宋体"/>
          <w:b w:val="0"/>
          <w:bCs w:val="0"/>
          <w:sz w:val="24"/>
          <w:szCs w:val="24"/>
          <w:lang w:val="zh-CN"/>
        </w:rPr>
      </w:pPr>
    </w:p>
    <w:p>
      <w:pPr>
        <w:bidi w:val="0"/>
        <w:adjustRightInd w:val="0"/>
        <w:snapToGrid w:val="0"/>
        <w:spacing w:line="312" w:lineRule="auto"/>
        <w:ind w:firstLine="0" w:firstLineChars="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注：以上面积为估算数量，以现场划定的范围为准，不因面积数量差异调整合同价格。</w:t>
      </w:r>
    </w:p>
    <w:p>
      <w:pPr>
        <w:adjustRightInd w:val="0"/>
        <w:snapToGrid w:val="0"/>
        <w:spacing w:line="312" w:lineRule="auto"/>
        <w:ind w:firstLine="480" w:firstLineChars="200"/>
        <w:outlineLvl w:val="0"/>
        <w:rPr>
          <w:rFonts w:hint="eastAsia" w:ascii="宋体" w:hAnsi="宋体" w:eastAsia="宋体" w:cs="宋体"/>
          <w:sz w:val="24"/>
          <w:szCs w:val="24"/>
          <w:lang w:val="zh-CN" w:eastAsia="zh-CN"/>
        </w:rPr>
      </w:pPr>
      <w:bookmarkStart w:id="32" w:name="_Toc1379"/>
      <w:bookmarkStart w:id="33" w:name="_Toc18164"/>
      <w:bookmarkStart w:id="34" w:name="_Toc27658"/>
      <w:r>
        <w:rPr>
          <w:rFonts w:hint="eastAsia" w:ascii="宋体" w:hAnsi="宋体" w:eastAsia="宋体" w:cs="宋体"/>
          <w:sz w:val="24"/>
          <w:szCs w:val="24"/>
          <w:lang w:val="zh-CN" w:eastAsia="zh-CN"/>
        </w:rPr>
        <w:t>二、养护要求</w:t>
      </w:r>
      <w:bookmarkEnd w:id="32"/>
      <w:bookmarkEnd w:id="33"/>
      <w:bookmarkEnd w:id="34"/>
    </w:p>
    <w:p>
      <w:pPr>
        <w:bidi w:val="0"/>
        <w:adjustRightInd w:val="0"/>
        <w:snapToGrid w:val="0"/>
        <w:spacing w:line="312" w:lineRule="auto"/>
        <w:ind w:firstLine="480" w:firstLineChars="200"/>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eastAsia="zh-CN"/>
        </w:rPr>
        <w:t>（以</w:t>
      </w:r>
      <w:r>
        <w:rPr>
          <w:rFonts w:hint="eastAsia" w:ascii="宋体" w:hAnsi="宋体" w:eastAsia="宋体" w:cs="宋体"/>
          <w:b w:val="0"/>
          <w:bCs w:val="0"/>
          <w:sz w:val="24"/>
          <w:szCs w:val="24"/>
          <w:lang w:val="zh-CN"/>
        </w:rPr>
        <w:t>下仅为采购方最低要求，投标方必须实质响应，并欢迎投标方更优越、更详细的</w:t>
      </w:r>
      <w:r>
        <w:rPr>
          <w:rFonts w:hint="eastAsia" w:ascii="宋体" w:hAnsi="宋体" w:eastAsia="宋体" w:cs="宋体"/>
          <w:b w:val="0"/>
          <w:bCs w:val="0"/>
          <w:sz w:val="24"/>
          <w:szCs w:val="24"/>
          <w:lang w:val="zh-CN" w:eastAsia="zh-CN"/>
        </w:rPr>
        <w:t>服务</w:t>
      </w:r>
      <w:r>
        <w:rPr>
          <w:rFonts w:hint="eastAsia" w:ascii="宋体" w:hAnsi="宋体" w:eastAsia="宋体" w:cs="宋体"/>
          <w:b w:val="0"/>
          <w:bCs w:val="0"/>
          <w:sz w:val="24"/>
          <w:szCs w:val="24"/>
          <w:lang w:val="zh-CN"/>
        </w:rPr>
        <w:t>承诺）</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lang w:val="zh-CN" w:eastAsia="zh-CN"/>
        </w:rPr>
      </w:pPr>
      <w:r>
        <w:rPr>
          <w:rFonts w:hint="eastAsia" w:ascii="宋体" w:hAnsi="宋体" w:eastAsia="宋体" w:cs="宋体"/>
          <w:snapToGrid/>
          <w:kern w:val="2"/>
          <w:sz w:val="24"/>
          <w:szCs w:val="24"/>
          <w:lang w:val="zh-CN" w:eastAsia="zh-CN" w:bidi="ar"/>
        </w:rPr>
        <w:t>（一）</w:t>
      </w:r>
      <w:r>
        <w:rPr>
          <w:rFonts w:hint="eastAsia" w:cs="宋体"/>
          <w:snapToGrid/>
          <w:kern w:val="2"/>
          <w:sz w:val="24"/>
          <w:szCs w:val="24"/>
          <w:lang w:val="en-US" w:eastAsia="zh-CN" w:bidi="ar"/>
        </w:rPr>
        <w:t>1.</w:t>
      </w:r>
      <w:r>
        <w:rPr>
          <w:rFonts w:hint="eastAsia" w:ascii="宋体" w:hAnsi="宋体" w:eastAsia="宋体" w:cs="宋体"/>
          <w:snapToGrid/>
          <w:kern w:val="2"/>
          <w:sz w:val="24"/>
          <w:szCs w:val="24"/>
          <w:lang w:val="zh-CN" w:eastAsia="zh-CN" w:bidi="ar"/>
        </w:rPr>
        <w:t>园</w:t>
      </w:r>
      <w:r>
        <w:rPr>
          <w:rFonts w:hint="eastAsia" w:cs="宋体"/>
          <w:snapToGrid/>
          <w:kern w:val="2"/>
          <w:sz w:val="24"/>
          <w:szCs w:val="24"/>
          <w:lang w:val="en-US" w:eastAsia="zh-CN" w:bidi="ar"/>
        </w:rPr>
        <w:t>林</w:t>
      </w:r>
      <w:r>
        <w:rPr>
          <w:rFonts w:hint="eastAsia" w:ascii="宋体" w:hAnsi="宋体" w:eastAsia="宋体" w:cs="宋体"/>
          <w:snapToGrid/>
          <w:kern w:val="2"/>
          <w:sz w:val="24"/>
          <w:szCs w:val="24"/>
          <w:lang w:val="zh-CN" w:eastAsia="zh-CN" w:bidi="ar"/>
        </w:rPr>
        <w:t>、树林、树丛、孤植树养护（树木养护）</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cs="宋体"/>
          <w:snapToGrid/>
          <w:kern w:val="2"/>
          <w:sz w:val="24"/>
          <w:szCs w:val="24"/>
          <w:lang w:val="en-US" w:eastAsia="zh-CN" w:bidi="ar"/>
        </w:rPr>
      </w:pPr>
      <w:r>
        <w:rPr>
          <w:rFonts w:hint="eastAsia" w:cs="宋体"/>
          <w:snapToGrid/>
          <w:kern w:val="2"/>
          <w:sz w:val="24"/>
          <w:szCs w:val="24"/>
          <w:lang w:val="en-US" w:eastAsia="zh-CN" w:bidi="ar"/>
        </w:rPr>
        <w:t>1.1.浇水</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1.1.</w:t>
      </w:r>
      <w:r>
        <w:rPr>
          <w:rFonts w:hint="eastAsia" w:cs="宋体"/>
          <w:snapToGrid/>
          <w:kern w:val="2"/>
          <w:sz w:val="24"/>
          <w:szCs w:val="24"/>
          <w:lang w:val="en-US" w:eastAsia="zh-CN" w:bidi="ar"/>
        </w:rPr>
        <w:t>1</w:t>
      </w:r>
      <w:r>
        <w:rPr>
          <w:rFonts w:hint="eastAsia" w:ascii="宋体" w:hAnsi="宋体" w:eastAsia="宋体" w:cs="宋体"/>
          <w:snapToGrid/>
          <w:kern w:val="2"/>
          <w:sz w:val="24"/>
          <w:szCs w:val="24"/>
          <w:lang w:val="zh-CN" w:eastAsia="zh-CN" w:bidi="ar"/>
        </w:rPr>
        <w:t>浇水应根据树木习性、生长发育阶段、生长状况，不同立地环境条件，不同土质，适树、适地、适时、适量浇水。</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1.1.</w:t>
      </w:r>
      <w:r>
        <w:rPr>
          <w:rFonts w:hint="eastAsia" w:cs="宋体"/>
          <w:snapToGrid/>
          <w:kern w:val="2"/>
          <w:sz w:val="24"/>
          <w:szCs w:val="24"/>
          <w:lang w:val="en-US" w:eastAsia="zh-CN" w:bidi="ar"/>
        </w:rPr>
        <w:t>2</w:t>
      </w:r>
      <w:r>
        <w:rPr>
          <w:rFonts w:hint="eastAsia" w:ascii="宋体" w:hAnsi="宋体" w:eastAsia="宋体" w:cs="宋体"/>
          <w:snapToGrid/>
          <w:kern w:val="2"/>
          <w:sz w:val="24"/>
          <w:szCs w:val="24"/>
          <w:lang w:val="zh-CN" w:eastAsia="zh-CN" w:bidi="ar"/>
        </w:rPr>
        <w:t>浇水时间应符合下列要求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（1）夏季浇水应在清晨和傍晚，冬季宜在午间须一次浇透，冰冻天不应浇水。</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（2）叶面特别需要湿润的植株，宜在上午10时左右至下午4时左右采用叶面喷雾，雾点应细密均匀。</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1.1.</w:t>
      </w:r>
      <w:r>
        <w:rPr>
          <w:rFonts w:hint="eastAsia" w:cs="宋体"/>
          <w:snapToGrid/>
          <w:kern w:val="2"/>
          <w:sz w:val="24"/>
          <w:szCs w:val="24"/>
          <w:lang w:val="en-US" w:eastAsia="zh-CN" w:bidi="ar"/>
        </w:rPr>
        <w:t>3</w:t>
      </w:r>
      <w:r>
        <w:rPr>
          <w:rFonts w:hint="eastAsia" w:ascii="宋体" w:hAnsi="宋体" w:eastAsia="宋体" w:cs="宋体"/>
          <w:snapToGrid/>
          <w:kern w:val="2"/>
          <w:sz w:val="24"/>
          <w:szCs w:val="24"/>
          <w:lang w:val="zh-CN" w:eastAsia="zh-CN" w:bidi="ar"/>
        </w:rPr>
        <w:t>浇水方法应符合下列要求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（1）宜用不含有害物质的中水、雨水、河水浇水。</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（2）宜采用自动喷灌和人工喷洒相结合。</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（3）宜与施肥和土壤管理结合。</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（4）浇水前应先松土。</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1.1.</w:t>
      </w:r>
      <w:r>
        <w:rPr>
          <w:rFonts w:hint="eastAsia" w:cs="宋体"/>
          <w:snapToGrid/>
          <w:kern w:val="2"/>
          <w:sz w:val="24"/>
          <w:szCs w:val="24"/>
          <w:lang w:val="en-US" w:eastAsia="zh-CN" w:bidi="ar"/>
        </w:rPr>
        <w:t>4</w:t>
      </w:r>
      <w:r>
        <w:rPr>
          <w:rFonts w:hint="eastAsia" w:ascii="宋体" w:hAnsi="宋体" w:eastAsia="宋体" w:cs="宋体"/>
          <w:snapToGrid/>
          <w:kern w:val="2"/>
          <w:sz w:val="24"/>
          <w:szCs w:val="24"/>
          <w:lang w:val="zh-CN" w:eastAsia="zh-CN" w:bidi="ar"/>
        </w:rPr>
        <w:t>排水方法应符合下列要求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地下水位过高，应挖深沟或井抽水，降低水位，地表积水过多应开沟排水。种植过深，可先行采用深沟排水，待适时再抬高树身。</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b w:val="0"/>
          <w:bCs w:val="0"/>
          <w:snapToGrid/>
          <w:kern w:val="2"/>
          <w:sz w:val="24"/>
          <w:szCs w:val="24"/>
          <w:lang w:val="zh-CN"/>
        </w:rPr>
      </w:pPr>
      <w:r>
        <w:rPr>
          <w:rFonts w:hint="eastAsia" w:ascii="宋体" w:hAnsi="宋体" w:eastAsia="宋体" w:cs="宋体"/>
          <w:b w:val="0"/>
          <w:bCs w:val="0"/>
          <w:snapToGrid/>
          <w:kern w:val="2"/>
          <w:sz w:val="24"/>
          <w:szCs w:val="24"/>
          <w:lang w:val="zh-CN" w:eastAsia="zh-CN" w:bidi="ar"/>
        </w:rPr>
        <w:t>1.2.施肥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1.2.1施肥应符合以下规定</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（1）经土壤检测，确属缺肥应适时针对性施肥。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（2）春夏季植物生长旺盛，应施追肥；雨季少施肥；8月下旬－10月下旬不宜施肥，冬季宜施有机肥。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（3）开花乔灌木当花芽形成时应施磷钾肥；其他植物在夏季营养生长时宜补充氮肥。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（4）喜酸性植物应施酸性有机肥。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（5）衰退状的树木应按表1.8.1所示措施进行抢救。</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1.2.2施肥种类和用量应符合下列要求：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（1）基肥：有机肥7.5t/h㎡－12t/h㎡。</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（2）追肥：腐殖酸肥料220kg/h㎡－300kg/h㎡，林木胸径大于10㎝每株2kg；胸径15㎝－20㎝每株5kg－10kg有机肥。(根外追肥详见本章第11.6.9项相关要求)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1.2.3施肥方法应符合下列要求</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eastAsia="zh-CN" w:bidi="ar"/>
        </w:rPr>
      </w:pPr>
      <w:r>
        <w:rPr>
          <w:rFonts w:hint="eastAsia" w:ascii="宋体" w:hAnsi="宋体" w:eastAsia="宋体" w:cs="宋体"/>
          <w:snapToGrid/>
          <w:kern w:val="2"/>
          <w:sz w:val="24"/>
          <w:szCs w:val="24"/>
          <w:lang w:val="zh-CN" w:eastAsia="zh-CN" w:bidi="ar"/>
        </w:rPr>
        <w:t>撒施：已建成的树林树丛应撒施有机肥或腐殖酸肥料，松土后浅翻埋肥。</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沟施：</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（1）植株行间开沟，施入肥料后覆土。</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kern w:val="2"/>
          <w:sz w:val="24"/>
          <w:szCs w:val="24"/>
          <w:lang w:val="zh-CN"/>
        </w:rPr>
      </w:pPr>
      <w:r>
        <w:rPr>
          <w:rFonts w:hint="eastAsia" w:ascii="宋体" w:hAnsi="宋体" w:eastAsia="宋体" w:cs="宋体"/>
          <w:snapToGrid/>
          <w:kern w:val="2"/>
          <w:sz w:val="24"/>
          <w:szCs w:val="24"/>
          <w:lang w:val="zh-CN" w:eastAsia="zh-CN" w:bidi="ar"/>
        </w:rPr>
        <w:t>（2）单株树木应于树冠投影区距边缘2/3处开挖，深度为20㎝－30㎝，呈间断性环形沟或辐射状沟，施肥后覆土。</w:t>
      </w:r>
    </w:p>
    <w:p>
      <w:pPr>
        <w:keepNext w:val="0"/>
        <w:keepLines w:val="0"/>
        <w:pageBreakBefore w:val="0"/>
        <w:widowControl/>
        <w:suppressLineNumbers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kern w:val="2"/>
          <w:sz w:val="24"/>
          <w:szCs w:val="24"/>
          <w:lang w:val="zh-CN" w:eastAsia="zh-CN" w:bidi="ar"/>
        </w:rPr>
        <w:t>（3）特殊生长不良的树木应测定土壤pH值和理化性状</w:t>
      </w:r>
      <w:r>
        <w:rPr>
          <w:rFonts w:hint="eastAsia" w:ascii="宋体" w:hAnsi="宋体" w:eastAsia="宋体" w:cs="宋体"/>
          <w:snapToGrid w:val="0"/>
          <w:color w:val="000000"/>
          <w:kern w:val="0"/>
          <w:sz w:val="24"/>
          <w:szCs w:val="24"/>
          <w:lang w:val="en-US" w:eastAsia="zh-CN" w:bidi="ar"/>
        </w:rPr>
        <w:t>，经诊断后对症施肥。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（4）当香樟、广玉兰等喜酸性植物出现黄化现象宜叶面喷施专用防黄化液，症状严重应结合土壤改良，采用防黄化液叶面喷洒或吊瓶等技术措施。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kern w:val="0"/>
          <w:sz w:val="24"/>
          <w:szCs w:val="24"/>
        </w:rPr>
      </w:pPr>
      <w:r>
        <w:rPr>
          <w:rFonts w:hint="eastAsia" w:ascii="宋体" w:hAnsi="宋体" w:eastAsia="宋体" w:cs="宋体"/>
          <w:b/>
          <w:bCs/>
          <w:snapToGrid w:val="0"/>
          <w:color w:val="000000"/>
          <w:kern w:val="0"/>
          <w:sz w:val="24"/>
          <w:szCs w:val="24"/>
          <w:lang w:val="en-US" w:eastAsia="zh-CN" w:bidi="ar"/>
        </w:rPr>
        <w:t>1.3.修剪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1.3.1修剪应符合下列要求：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（1）按设计要求进行修剪。除特殊需要外，应保持自然树形。严禁平截强修。</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（2）因地制宜处理好与周围环境和树木之间的关系。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（3）必须根据树木品种、生长阶段、生长势强弱、花芽着生部位、开花季节等生物学特性。</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1.3.2修剪时间应符合下列要求：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（1）休眠期修剪。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1)落叶树木应在落叶后，至翌春萌芽前修剪。修剪后伤口会出现“伤流”的树木，应在芽刚萌动时进行，并涂防护生长促进剂。易受冻害树种宜在早春修剪。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2)常绿阔叶树木应在秋季新梢停止生长至休眠前，或春芽萌动前修剪。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（2）生长期修剪：有剥芽、疏枝、摘心、摘叶、疏花。</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（3）休眠期修剪和生长期修剪应互为补充。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1.3.3修剪方法应符合下列要求：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树型为圆锥形、圆柱形、塔形，必须保持主干领先的顶端优势，修除顶部竞争枝，若顶枝生长弱，宜选近顶部强枝代替。应去除过密枝、并立枝、弱枝、交叉枝、病虫枝、下垂枝、死枝及影响树冠圆正的徒长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（2）树型为卵形、广卵形，应保持顶枝优势。疏除并生枝、弱枝、病虫枝、重叠枝、枯死枝条及影响树冠圆正的徒长枝。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（3）树型为球形、扁球形，应以疏枝为主。若促使纵向生长，应控制侧枝；若促使横向生长，应控制顶枝。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（4）树型为伞形、平顶形、垂枝形，应以疏枝为主，形态保持不变。</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（5）春花型灌木冬季应适当疏枝，严禁齐干强截。具有顶花芽的花灌木严禁对花枝进行短截。待花后再作调整修剪，宜加强剥芽。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（6）夏秋花型灌木应采用冬季和早春短截和疏枝相结合的方法。</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（7）冬花型观茎植物，冬季不应修剪，早春抽除过密弱株和枯老枝。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（8）丛生型花灌木应齐地抽除过密弱枝和衰老枝(老茎生花除外)。</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（9）多次开花型花灌木宜用冬季休眠期和生长期修剪相结合的方法，冬季短截、疏枝，促春季萌生健壮枝条，顶芽形成花芽，花后摘心剪去顶枝，萌生侧枝，顶部可二次形成花芽，使植株多次开花。</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（10）嫁接的树木必须及时除去砧木的萌蘖枝。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1.3.4修剪技术和剪口处理应符合下列要求：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疏枝必须自枝条基部修除，不留短桩，间隔抽稀，短截必须于节上2㎝－3㎝。大枝短截应分段截枝。直径3㎝以上的截面应光滑平整，略倾斜，伤口应涂防腐剂和生长素。</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kern w:val="0"/>
          <w:sz w:val="24"/>
          <w:szCs w:val="24"/>
        </w:rPr>
      </w:pPr>
      <w:r>
        <w:rPr>
          <w:rFonts w:hint="eastAsia" w:ascii="宋体" w:hAnsi="宋体" w:eastAsia="宋体" w:cs="宋体"/>
          <w:b/>
          <w:bCs/>
          <w:snapToGrid w:val="0"/>
          <w:color w:val="000000"/>
          <w:kern w:val="0"/>
          <w:sz w:val="24"/>
          <w:szCs w:val="24"/>
          <w:lang w:val="en-US" w:eastAsia="zh-CN" w:bidi="ar"/>
        </w:rPr>
        <w:t>1.4.松土除草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1.4.1松土除草措施应符合下列要求：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（1）以人工清除杂草为主，适当采用生物防治、化学防治。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（2）及时除去大型恶性侵入性野草，其余杂草宜控制在不影响景观效果的范围内。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1.4.2松土深度与时间应符合以下要求：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（1）冬季前或生长季节的植物当人为活动多、土壤板结应勤松土。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（2）深度以不伤根为宜。</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kern w:val="0"/>
          <w:sz w:val="24"/>
          <w:szCs w:val="24"/>
        </w:rPr>
      </w:pPr>
      <w:r>
        <w:rPr>
          <w:rFonts w:hint="eastAsia" w:ascii="宋体" w:hAnsi="宋体" w:eastAsia="宋体" w:cs="宋体"/>
          <w:b/>
          <w:bCs/>
          <w:snapToGrid w:val="0"/>
          <w:color w:val="000000"/>
          <w:kern w:val="0"/>
          <w:sz w:val="24"/>
          <w:szCs w:val="24"/>
          <w:lang w:val="en-US" w:eastAsia="zh-CN" w:bidi="ar"/>
        </w:rPr>
        <w:t>1.5.树木补植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1.5.1补植原则应符合以下规定：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现有树种不适宜当前种植的立地条件，造成植株生长严重衰退，应移出并补植适宜树木。影响</w:t>
      </w:r>
      <w:r>
        <w:rPr>
          <w:rFonts w:hint="eastAsia" w:cs="宋体"/>
          <w:snapToGrid w:val="0"/>
          <w:color w:val="000000"/>
          <w:kern w:val="0"/>
          <w:sz w:val="24"/>
          <w:szCs w:val="24"/>
          <w:lang w:val="en-US" w:eastAsia="zh-CN" w:bidi="ar"/>
        </w:rPr>
        <w:t>公路</w:t>
      </w:r>
      <w:r>
        <w:rPr>
          <w:rFonts w:hint="eastAsia" w:ascii="宋体" w:hAnsi="宋体" w:eastAsia="宋体" w:cs="宋体"/>
          <w:snapToGrid w:val="0"/>
          <w:color w:val="000000"/>
          <w:kern w:val="0"/>
          <w:sz w:val="24"/>
          <w:szCs w:val="24"/>
          <w:lang w:val="en-US" w:eastAsia="zh-CN" w:bidi="ar"/>
        </w:rPr>
        <w:t>、供电工程设施的树木必须移出。</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（1）植株拥挤过密无生长空间，应抽稀。</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（2）绿地内树木衰老，生长不良或已死亡，影响景观的植株必须及时清除补植。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（3）因土壤污染造成树木死亡，移除植株时，必须换土。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（4）成荫树木内的缺株不必补植。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1.5.2树木补植应符合以下规定：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（1）补植时应选择与原有树种规格、质量相似的植株，精心加强养护。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（2）根据植物生态平衡，满足植物生态位的需要在适宜季节更换补植。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（3）根据“留大去小、留强去弱”的原则，林缘树必须保持树冠丰满完整。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（4）补植时应对周围其他植物采取保护措施。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（5）抽稀、挖除死树所留空穴应及时填平。</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（6）树木补植应规范手续，按有关规定办理申请。</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kern w:val="0"/>
          <w:sz w:val="24"/>
          <w:szCs w:val="24"/>
        </w:rPr>
      </w:pPr>
      <w:r>
        <w:rPr>
          <w:rFonts w:hint="eastAsia" w:ascii="宋体" w:hAnsi="宋体" w:eastAsia="宋体" w:cs="宋体"/>
          <w:b/>
          <w:bCs/>
          <w:snapToGrid w:val="0"/>
          <w:color w:val="000000"/>
          <w:kern w:val="0"/>
          <w:sz w:val="24"/>
          <w:szCs w:val="24"/>
          <w:lang w:val="en-US" w:eastAsia="zh-CN" w:bidi="ar"/>
        </w:rPr>
        <w:t>1.6.竖桩维护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1.6.1每年台风季节前应检查扎缚，出现扎缚松散或损坏现象应及时更换，防止扎缚物嵌入树干。</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1.6.2除特殊景观要求外，一般树木倾斜超过10º的树木应扶正。扶正时间落叶树木应在树木休眠期，常绿树木应在新芽萌发初期，避开高温季节。因人为或机械损伤倾斜的树木应及时扶正。</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kern w:val="0"/>
          <w:sz w:val="24"/>
          <w:szCs w:val="24"/>
        </w:rPr>
      </w:pPr>
      <w:r>
        <w:rPr>
          <w:rFonts w:hint="eastAsia" w:ascii="宋体" w:hAnsi="宋体" w:eastAsia="宋体" w:cs="宋体"/>
          <w:b/>
          <w:bCs/>
          <w:snapToGrid w:val="0"/>
          <w:color w:val="000000"/>
          <w:kern w:val="0"/>
          <w:sz w:val="24"/>
          <w:szCs w:val="24"/>
          <w:lang w:val="en-US" w:eastAsia="zh-CN" w:bidi="ar"/>
        </w:rPr>
        <w:t>1.7.防灾</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1.7.1防风害应符合下列要求：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（1）每年夏秋季台风严重，必须提前做好防台工作。</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（2）树体加固：立桩必须位于上风方向。做到以桩固定树体。树身与桩之间必须垫软物。</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1)三角桩或拉绳，上扎口高度应在树身高度的三分之二处，其中有一根桩或拉绳必须上风方向固定树，其余则应均匀分布。孤植树的拉绳或铅丝平日应卷起避免影响交通，台风季节再与地桩联接。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2)植株整体牵拉，牵拉的绳(竹、铅丝)必须处于上风方向，并且在上风向设置拉固树的桩。</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（3）加土：树穴低洼缺土必须及时加土，略呈馒头形，切忌积水。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（4）疏枝：台风前(5月－6月)对树冠顶部过密的枝条应均匀疏枝、剥芽，减少受风力。</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扶正：风害后倾斜的树木应及时扶正，严禁生拉硬推，影响树木根部生长。扶正时应对板结土壤先灌水，软化根部土壤。挖松倾斜反向面的土和竖拉扶桩，树冠部分相应疏枝。扶正树木，加土夯实。固定树身。</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（6）抢救措施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1)影响交通、</w:t>
      </w:r>
      <w:r>
        <w:rPr>
          <w:rFonts w:hint="eastAsia" w:cs="宋体"/>
          <w:snapToGrid w:val="0"/>
          <w:color w:val="000000"/>
          <w:kern w:val="0"/>
          <w:sz w:val="24"/>
          <w:szCs w:val="24"/>
          <w:lang w:val="en-US" w:eastAsia="zh-CN" w:bidi="ar"/>
        </w:rPr>
        <w:t>公路</w:t>
      </w:r>
      <w:r>
        <w:rPr>
          <w:rFonts w:hint="eastAsia" w:ascii="宋体" w:hAnsi="宋体" w:eastAsia="宋体" w:cs="宋体"/>
          <w:snapToGrid w:val="0"/>
          <w:color w:val="000000"/>
          <w:kern w:val="0"/>
          <w:sz w:val="24"/>
          <w:szCs w:val="24"/>
          <w:lang w:val="en-US" w:eastAsia="zh-CN" w:bidi="ar"/>
        </w:rPr>
        <w:t>设施和人身安全的树木应采取修剪、固定树身、排堵等措施。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2)树穴空洞应填土夯实。</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3)轻度倾斜的树木应及时疏枝扶正。严重倾斜、根系已裸露的树木，根据倾斜受害程度疏枝和短截并扶正，茎根部完好的宜重栽扶正。</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4)主根已断，无大根的树木，应迁至苗圃养护。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（7）受损树木必须做好记录，列入档案并重点养护。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1.7.2防冻害应符合下列要求：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（1）不耐寒树木种植处于寒风口，小气候恶劣且生长不良的树木，应采取防冻措施。为增强树木的抗寒能力，八月底至十月底，不宜施氮肥。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（2）初冬时，应修除木质化不充实的徒长枝，嫩秋梢。</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（3）宜采用地面覆盖、搭风障和刷白保护树体。包扎树的材料应用透气材料并且注意保护根颈部位。包干材料应牢固。</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（4）受冻后的伤口宜涂防腐剂和生长激素。根颈部位受害可用桥接或根接法抢救。</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1.7.3晚秋树木未进入休眠遭早霜，早春树木芽已萌动后遭晚霜，应及时对易受害树木周围于晚间喷水或喷防霜烟雾剂。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1.7.4防雪害应符合下列要求：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（1）降雪前应对枝条过密的树木，尤其对树冠浓密常绿乔灌木疏枝，对易断裂的枝条应支撑。及时清除积雪。特别注意在未形成冰挂前清除树冠积雪。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（2）受雪害倒伏倾斜或劈裂的树木应及时扶正。</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1.7.5植株产生冻拔现象，应及时检查，已产生冻拔的树木应及时夯实根际土壤。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1.7.6防光害应符合下列要求：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（1）为防治日灼，应刷白、包干、喷水。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（2）遭日灼的植株应清理和平整伤口，涂防腐剂和生长素。</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（3）灼伤的树木应适地适树调迁或遮荫挡光。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000000"/>
          <w:kern w:val="0"/>
          <w:sz w:val="24"/>
          <w:szCs w:val="24"/>
          <w:lang w:val="en-US" w:eastAsia="zh-CN" w:bidi="ar"/>
        </w:rPr>
        <w:t>（4）弱光影响树木生长，应</w:t>
      </w:r>
      <w:r>
        <w:rPr>
          <w:rFonts w:hint="eastAsia" w:ascii="宋体" w:hAnsi="宋体" w:eastAsia="宋体" w:cs="宋体"/>
          <w:snapToGrid w:val="0"/>
          <w:color w:val="auto"/>
          <w:kern w:val="0"/>
          <w:sz w:val="24"/>
          <w:szCs w:val="24"/>
          <w:lang w:val="en-US" w:eastAsia="zh-CN" w:bidi="ar"/>
        </w:rPr>
        <w:t>去除遮荫物或上木。</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b/>
          <w:bCs/>
          <w:snapToGrid w:val="0"/>
          <w:color w:val="auto"/>
          <w:kern w:val="0"/>
          <w:sz w:val="24"/>
          <w:szCs w:val="24"/>
        </w:rPr>
      </w:pPr>
      <w:r>
        <w:rPr>
          <w:rFonts w:hint="eastAsia" w:ascii="宋体" w:hAnsi="宋体" w:eastAsia="宋体" w:cs="宋体"/>
          <w:b/>
          <w:bCs/>
          <w:snapToGrid w:val="0"/>
          <w:color w:val="auto"/>
          <w:kern w:val="0"/>
          <w:sz w:val="24"/>
          <w:szCs w:val="24"/>
          <w:lang w:val="en-US" w:eastAsia="zh-CN" w:bidi="ar"/>
        </w:rPr>
        <w:t>1.8.复壮抢救</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1.8.1生长衰弱僵树复壮抢救措施应符合表1.8.1规定。</w:t>
      </w:r>
    </w:p>
    <w:p>
      <w:pPr>
        <w:keepNext w:val="0"/>
        <w:keepLines w:val="0"/>
        <w:pageBreakBefore w:val="0"/>
        <w:widowControl w:val="0"/>
        <w:kinsoku/>
        <w:wordWrap/>
        <w:overflowPunct/>
        <w:topLinePunct w:val="0"/>
        <w:autoSpaceDE/>
        <w:autoSpaceDN/>
        <w:bidi w:val="0"/>
        <w:adjustRightInd/>
        <w:snapToGrid w:val="0"/>
        <w:spacing w:line="312" w:lineRule="auto"/>
        <w:ind w:firstLine="482" w:firstLineChars="0"/>
        <w:jc w:val="both"/>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表1.8.1生长衰弱僵树复壮抢救措施表</w:t>
      </w:r>
    </w:p>
    <w:tbl>
      <w:tblPr>
        <w:tblStyle w:val="48"/>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606"/>
        <w:gridCol w:w="1474"/>
        <w:gridCol w:w="1697"/>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08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引起原因</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表现症状</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抢救措施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534" w:hRule="atLeast"/>
          <w:jc w:val="center"/>
        </w:trPr>
        <w:tc>
          <w:tcPr>
            <w:tcW w:w="606" w:type="dxa"/>
            <w:vMerge w:val="restart"/>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地上部分</w:t>
            </w:r>
          </w:p>
        </w:tc>
        <w:tc>
          <w:tcPr>
            <w:tcW w:w="147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1.环境因子</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光:不足过强</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叶薄色浅</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受光部变焦，树干灼伤</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1.阳性树种应去除挡光物。</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2.上木过密应抽稀。</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3.环境因子无法改变的应调整树种，种耐荫树种。</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4.阴性树种上木庇荫。树皮较薄的宜包杆或刷白，应特别注。</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意朝西向的林缘树。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04" w:hRule="atLeast"/>
          <w:jc w:val="center"/>
        </w:trPr>
        <w:tc>
          <w:tcPr>
            <w:tcW w:w="60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jc w:val="both"/>
              <w:textAlignment w:val="auto"/>
              <w:outlineLvl w:val="9"/>
              <w:rPr>
                <w:rFonts w:hint="eastAsia" w:ascii="宋体" w:hAnsi="宋体" w:eastAsia="宋体" w:cs="宋体"/>
                <w:snapToGrid/>
                <w:sz w:val="24"/>
                <w:szCs w:val="24"/>
                <w:vertAlign w:val="baseline"/>
                <w:lang w:val="en-US" w:eastAsia="zh-CN" w:bidi="ar-SA"/>
              </w:rPr>
            </w:pPr>
          </w:p>
        </w:tc>
        <w:tc>
          <w:tcPr>
            <w:tcW w:w="147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2.有害气体</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突然大面积有方向性的落叶、焦叶、枯枝</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1.应调查毒源，测定有害气体的种类性质，排除毒源</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2.应对树体进行针对性的抢救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592" w:hRule="atLeast"/>
          <w:jc w:val="center"/>
        </w:trPr>
        <w:tc>
          <w:tcPr>
            <w:tcW w:w="60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jc w:val="both"/>
              <w:textAlignment w:val="auto"/>
              <w:outlineLvl w:val="9"/>
              <w:rPr>
                <w:rFonts w:hint="eastAsia" w:ascii="宋体" w:hAnsi="宋体" w:eastAsia="宋体" w:cs="宋体"/>
                <w:snapToGrid/>
                <w:sz w:val="24"/>
                <w:szCs w:val="24"/>
                <w:vertAlign w:val="baseline"/>
                <w:lang w:val="en-US" w:eastAsia="zh-CN" w:bidi="ar-SA"/>
              </w:rPr>
            </w:pPr>
          </w:p>
        </w:tc>
        <w:tc>
          <w:tcPr>
            <w:tcW w:w="147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3.树身受损遭自然灾害或机械损伤</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大枝折伤倒树；树皮刻伤、刮伤、断枝等</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1.应修平断枝裂枝促使伤口愈合清理伤口，消毒防腐，涂生长素制剂，促使伤口愈合。</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2.树皮受伤(剥皮)后应及早清理伤口，消毒防腐涂生长素后包扎损伤伤口，出现供水不足叶萎焉时宜疏枝，叶面喷雾，遮荫。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60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jc w:val="both"/>
              <w:textAlignment w:val="auto"/>
              <w:outlineLvl w:val="9"/>
              <w:rPr>
                <w:rFonts w:hint="eastAsia" w:ascii="宋体" w:hAnsi="宋体" w:eastAsia="宋体" w:cs="宋体"/>
                <w:snapToGrid/>
                <w:sz w:val="24"/>
                <w:szCs w:val="24"/>
                <w:vertAlign w:val="baseline"/>
                <w:lang w:val="en-US" w:eastAsia="zh-CN" w:bidi="ar-SA"/>
              </w:rPr>
            </w:pPr>
          </w:p>
        </w:tc>
        <w:tc>
          <w:tcPr>
            <w:tcW w:w="147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4.病虫害</w:t>
            </w:r>
          </w:p>
        </w:tc>
        <w:tc>
          <w:tcPr>
            <w:tcW w:w="768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jc w:val="both"/>
              <w:textAlignment w:val="auto"/>
              <w:outlineLvl w:val="9"/>
              <w:rPr>
                <w:rFonts w:hint="eastAsia" w:ascii="宋体" w:hAnsi="宋体" w:eastAsia="宋体" w:cs="宋体"/>
                <w:snapToGrid/>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参照《植物病虫害防治技术规范》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033" w:hRule="atLeast"/>
          <w:jc w:val="center"/>
        </w:trPr>
        <w:tc>
          <w:tcPr>
            <w:tcW w:w="606" w:type="dxa"/>
            <w:noWrap w:val="0"/>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地上部分</w:t>
            </w:r>
          </w:p>
        </w:tc>
        <w:tc>
          <w:tcPr>
            <w:tcW w:w="147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地下土壤含水量过高，透气性差、营养不足、含有害物质</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叶萎焉，黄，落叶，根有水渍状；叶薄，色淡，枝细弱；生长不良或突然死亡。</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1.应进行土壤分析测试，确定土壤性质。</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2.土壤含水量过高，属地面积水，应开沟排水；地下水过高，地下设排水层，集水井，并设观察井，随时监测地下水位情况。</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3.土壤透气性差，应及时松土，埋设通气管，施有机肥改良土壤。</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4.贫瘠，营养不足，及时施肥，有条件的宜配制专用肥料。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080" w:type="dxa"/>
            <w:gridSpan w:val="2"/>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生理失衡，树木生殖生长和营养生长比例失调</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由开花大小年日趋明显到突然大量开花，树势日衰。</w:t>
            </w:r>
          </w:p>
        </w:tc>
        <w:tc>
          <w:tcPr>
            <w:tcW w:w="5984"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1.应改善土壤营养，多施氮肥，促进营养生长。</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2.应在保持自然树冠形态条件下，多疏生殖枝，适当短截，促使生长枝的萌生。</w:t>
            </w:r>
          </w:p>
        </w:tc>
      </w:tr>
    </w:tbl>
    <w:p>
      <w:pPr>
        <w:keepNext w:val="0"/>
        <w:keepLines w:val="0"/>
        <w:pageBreakBefore w:val="0"/>
        <w:widowControl w:val="0"/>
        <w:kinsoku/>
        <w:wordWrap/>
        <w:overflowPunct/>
        <w:topLinePunct w:val="0"/>
        <w:autoSpaceDE/>
        <w:autoSpaceDN/>
        <w:bidi w:val="0"/>
        <w:adjustRightInd/>
        <w:snapToGrid/>
        <w:spacing w:before="220" w:beforeLines="50"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表1.8.2生长衰老复壮抢救措施表</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759"/>
        <w:gridCol w:w="5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衰老原因</w:t>
            </w:r>
          </w:p>
        </w:tc>
        <w:tc>
          <w:tcPr>
            <w:tcW w:w="2759"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表现症状</w:t>
            </w:r>
          </w:p>
        </w:tc>
        <w:tc>
          <w:tcPr>
            <w:tcW w:w="502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b/>
                <w:bCs/>
                <w:snapToGrid w:val="0"/>
                <w:kern w:val="0"/>
                <w:sz w:val="24"/>
                <w:szCs w:val="24"/>
                <w:vertAlign w:val="baseline"/>
              </w:rPr>
            </w:pPr>
            <w:r>
              <w:rPr>
                <w:rFonts w:hint="eastAsia" w:ascii="宋体" w:hAnsi="宋体" w:eastAsia="宋体" w:cs="宋体"/>
                <w:b/>
                <w:bCs/>
                <w:snapToGrid w:val="0"/>
                <w:color w:val="000000"/>
                <w:kern w:val="0"/>
                <w:sz w:val="24"/>
                <w:szCs w:val="24"/>
                <w:lang w:val="en-US" w:eastAsia="zh-CN" w:bidi="ar"/>
              </w:rPr>
              <w:t>抢救措施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树龄已进入衰老阶段，树身无自我调节能力，无法维持生长平衡</w:t>
            </w:r>
          </w:p>
        </w:tc>
        <w:tc>
          <w:tcPr>
            <w:tcW w:w="2759"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1.生殖生长明显大于营养生长，叶小、薄、短，落叶早，萌芽晚，大量落花落果。</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2.枯枝自枝梢逐步向大枝、骨架枝扩展，秃冠现象逐步加深。</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3.老树皮无力自行脱落，厚积于树身。</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4.树洞长期受风雨侵袭，腐烂日益加深。</w:t>
            </w:r>
          </w:p>
        </w:tc>
        <w:tc>
          <w:tcPr>
            <w:tcW w:w="502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1.应改良土壤立地条件。</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2.应多施氮肥，促进营养生长。</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3.在保持树冠自然姿态的同时，采取疏枝为主，适当短截，促使萌生营养枝的整形修剪。</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4.应刮除堆积树身的老节能力，树皮和影响呼吸的寄生植物。</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5.应消除树洞内的腐木，用消毒剂或碳化方法消毒，根据树洞的部位，性质采取相应的开放式或封闭式的修补，朝天树洞应注意引流工作，防止树洞积水。</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6.树身枯烂的应作支撑。</w:t>
            </w:r>
          </w:p>
        </w:tc>
      </w:tr>
    </w:tbl>
    <w:p>
      <w:pPr>
        <w:keepNext w:val="0"/>
        <w:keepLines w:val="0"/>
        <w:pageBreakBefore w:val="0"/>
        <w:widowControl w:val="0"/>
        <w:kinsoku/>
        <w:wordWrap/>
        <w:overflowPunct/>
        <w:topLinePunct w:val="0"/>
        <w:autoSpaceDE/>
        <w:autoSpaceDN/>
        <w:bidi w:val="0"/>
        <w:adjustRightInd/>
        <w:snapToGrid/>
        <w:spacing w:before="220" w:beforeLines="50"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1.8.3孤植树的复壮措施除与树林树木相同外应符合下列要求：</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（1）应保持原树的树姿、树态、树势，以达到原观景要求。</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（2）修补树洞时应实用安全且保持美观。</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（3）孤植树更换时，树种、树姿的选择及造景立意应符合原设计意图。</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sz w:val="24"/>
          <w:szCs w:val="24"/>
          <w:lang w:val="en-US" w:eastAsia="zh-CN" w:bidi="ar-SA"/>
        </w:rPr>
      </w:pPr>
      <w:r>
        <w:rPr>
          <w:rFonts w:hint="eastAsia" w:ascii="宋体" w:hAnsi="宋体" w:eastAsia="宋体" w:cs="宋体"/>
          <w:snapToGrid/>
          <w:sz w:val="24"/>
          <w:szCs w:val="24"/>
          <w:lang w:val="en-US" w:eastAsia="zh-CN" w:bidi="ar-SA"/>
        </w:rPr>
        <w:t>1.8.4其他必要措施应符合下列要求：</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color w:val="auto"/>
          <w:sz w:val="24"/>
          <w:szCs w:val="24"/>
          <w:lang w:val="en-US" w:eastAsia="zh-CN" w:bidi="ar-SA"/>
        </w:rPr>
      </w:pPr>
      <w:r>
        <w:rPr>
          <w:rFonts w:hint="eastAsia" w:ascii="宋体" w:hAnsi="宋体" w:eastAsia="宋体" w:cs="宋体"/>
          <w:snapToGrid/>
          <w:sz w:val="24"/>
          <w:szCs w:val="24"/>
          <w:lang w:val="en-US" w:eastAsia="zh-CN" w:bidi="ar-SA"/>
        </w:rPr>
        <w:t>（1）</w:t>
      </w:r>
      <w:r>
        <w:rPr>
          <w:rFonts w:hint="eastAsia" w:ascii="宋体" w:hAnsi="宋体" w:eastAsia="宋体" w:cs="宋体"/>
          <w:snapToGrid/>
          <w:color w:val="auto"/>
          <w:sz w:val="24"/>
          <w:szCs w:val="24"/>
          <w:lang w:val="en-US" w:eastAsia="zh-CN" w:bidi="ar-SA"/>
        </w:rPr>
        <w:t>处于高坡、土墩、斜坡上的大树，应在其周围设挡土保护。</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color w:val="auto"/>
          <w:sz w:val="24"/>
          <w:szCs w:val="24"/>
          <w:lang w:val="en-US" w:eastAsia="zh-CN" w:bidi="ar-SA"/>
        </w:rPr>
      </w:pPr>
      <w:r>
        <w:rPr>
          <w:rFonts w:hint="eastAsia" w:ascii="宋体" w:hAnsi="宋体" w:eastAsia="宋体" w:cs="宋体"/>
          <w:snapToGrid/>
          <w:color w:val="auto"/>
          <w:sz w:val="24"/>
          <w:szCs w:val="24"/>
          <w:lang w:val="en-US" w:eastAsia="zh-CN" w:bidi="ar-SA"/>
        </w:rPr>
        <w:t>（2）位于河岸边缘的树木，岸边应设防护驳岸，防止树木倒伏。因地域过分狭窄，树冠范围下必须通行，应铺设透气地坪或架空木栈道。若须通行车辆宜设架空水泥栈道。</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color w:val="auto"/>
          <w:sz w:val="24"/>
          <w:szCs w:val="24"/>
          <w:lang w:val="en-US" w:eastAsia="zh-CN" w:bidi="ar-SA"/>
        </w:rPr>
      </w:pPr>
      <w:r>
        <w:rPr>
          <w:rFonts w:hint="eastAsia" w:ascii="宋体" w:hAnsi="宋体" w:eastAsia="宋体" w:cs="宋体"/>
          <w:snapToGrid/>
          <w:color w:val="auto"/>
          <w:sz w:val="24"/>
          <w:szCs w:val="24"/>
          <w:lang w:val="en-US" w:eastAsia="zh-CN" w:bidi="ar-SA"/>
        </w:rPr>
        <w:t>1.9巡查</w:t>
      </w:r>
    </w:p>
    <w:p>
      <w:pPr>
        <w:keepNext w:val="0"/>
        <w:keepLines w:val="0"/>
        <w:pageBreakBefore w:val="0"/>
        <w:widowControl w:val="0"/>
        <w:kinsoku/>
        <w:wordWrap/>
        <w:overflowPunct/>
        <w:topLinePunct w:val="0"/>
        <w:autoSpaceDE/>
        <w:autoSpaceDN/>
        <w:bidi w:val="0"/>
        <w:adjustRightInd/>
        <w:snapToGrid/>
        <w:spacing w:line="312" w:lineRule="auto"/>
        <w:ind w:left="0" w:leftChars="0" w:firstLine="482" w:firstLineChars="0"/>
        <w:jc w:val="both"/>
        <w:textAlignment w:val="auto"/>
        <w:outlineLvl w:val="9"/>
        <w:rPr>
          <w:rFonts w:hint="eastAsia" w:ascii="宋体" w:hAnsi="宋体" w:eastAsia="宋体" w:cs="宋体"/>
          <w:snapToGrid/>
          <w:color w:val="auto"/>
          <w:sz w:val="24"/>
          <w:szCs w:val="24"/>
          <w:lang w:val="en-US" w:eastAsia="zh-CN" w:bidi="ar-SA"/>
        </w:rPr>
      </w:pPr>
      <w:r>
        <w:rPr>
          <w:rFonts w:hint="eastAsia" w:ascii="宋体" w:hAnsi="宋体" w:eastAsia="宋体" w:cs="宋体"/>
          <w:snapToGrid/>
          <w:color w:val="auto"/>
          <w:sz w:val="24"/>
          <w:szCs w:val="24"/>
          <w:lang w:val="en-US" w:eastAsia="zh-CN" w:bidi="ar-SA"/>
        </w:rPr>
        <w:t>1.9.1应定人定时巡视，绿地中严禁杂物堆放及凉晒。</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b/>
          <w:snapToGrid w:val="0"/>
          <w:color w:val="000000"/>
          <w:kern w:val="0"/>
          <w:sz w:val="24"/>
          <w:szCs w:val="24"/>
          <w:lang w:val="en-US" w:eastAsia="zh-CN" w:bidi="ar"/>
        </w:rPr>
        <w:t>1</w:t>
      </w:r>
      <w:r>
        <w:rPr>
          <w:rFonts w:hint="eastAsia" w:ascii="宋体" w:hAnsi="宋体" w:eastAsia="宋体" w:cs="宋体"/>
          <w:b/>
          <w:snapToGrid w:val="0"/>
          <w:color w:val="000000"/>
          <w:kern w:val="0"/>
          <w:sz w:val="24"/>
          <w:szCs w:val="24"/>
          <w:lang w:val="en-US" w:eastAsia="zh-CN" w:bidi="ar"/>
        </w:rPr>
        <w:t>、花坛养护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.1.浇水与排水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.1.1浇水依据应符合下列要求：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（1）气候：气温在25℃以上，宜每天浇水一次；冬季宜7天，10天浇水一次。遇强冷空气或严重冰冻前应浇足冻水。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（2）土质与田间持水量：沙质土壤应勤浇水，粘质土壤应视土壤情况合理浇水，土壤含水量应保持在田间持水量的60%－70%范围内。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（3）花卉习性：多肉类花卉应少浇水，湿生类喜湿花卉应勤浇水。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（4）花卉生长情况：花卉生殖生长期应适量浇水，盛花期宜少浇水。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.1.2夏季浇水应在清晨和傍晚，冬季浇水宜在午间。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.1.3浇水时宜喷洒，水量不应过大，不得将泥土溅至茎、叶或花瓣。</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.1.4排涝措施应符合下列要求：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（1）梅雨、暴雨季节应防止积水，如有积水应立即排除。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（2）宜采用开沟方式排水。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2.1施肥依据、种类和用量应参照第11章内相关规定。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2.2施肥宜在晴天。花蕾露色后宜适当施追肥，盛花期后不宜施肥。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2.3追肥宜喷施，薄肥勤施。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.1应剪除枯萎花蕾、花枝、枯黄叶及清除杂草。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.2应及时修除枯萎的残蕾、残花、残枝等。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.3应根据花卉不同生长习性，采用不同修剪措施，修除基部枯黄叶，修剪过密枝，及摘心处理等，月季等植物应按其特殊要求修剪。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5</w:t>
      </w:r>
      <w:r>
        <w:rPr>
          <w:rFonts w:hint="eastAsia" w:ascii="宋体" w:hAnsi="宋体" w:eastAsia="宋体" w:cs="宋体"/>
          <w:snapToGrid w:val="0"/>
          <w:color w:val="000000"/>
          <w:kern w:val="0"/>
          <w:sz w:val="24"/>
          <w:szCs w:val="24"/>
          <w:lang w:val="en-US" w:eastAsia="zh-CN" w:bidi="ar"/>
        </w:rPr>
        <w:t>.补植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5</w:t>
      </w:r>
      <w:r>
        <w:rPr>
          <w:rFonts w:hint="eastAsia" w:ascii="宋体" w:hAnsi="宋体" w:eastAsia="宋体" w:cs="宋体"/>
          <w:snapToGrid w:val="0"/>
          <w:color w:val="000000"/>
          <w:kern w:val="0"/>
          <w:sz w:val="24"/>
          <w:szCs w:val="24"/>
          <w:lang w:val="en-US" w:eastAsia="zh-CN" w:bidi="ar"/>
        </w:rPr>
        <w:t>.1应及时补植。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5</w:t>
      </w:r>
      <w:r>
        <w:rPr>
          <w:rFonts w:hint="eastAsia" w:ascii="宋体" w:hAnsi="宋体" w:eastAsia="宋体" w:cs="宋体"/>
          <w:snapToGrid w:val="0"/>
          <w:color w:val="000000"/>
          <w:kern w:val="0"/>
          <w:sz w:val="24"/>
          <w:szCs w:val="24"/>
          <w:lang w:val="en-US" w:eastAsia="zh-CN" w:bidi="ar"/>
        </w:rPr>
        <w:t>.2补植的植物品种、规格应相同并与周围植物相协调。</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6</w:t>
      </w:r>
      <w:r>
        <w:rPr>
          <w:rFonts w:hint="eastAsia" w:ascii="宋体" w:hAnsi="宋体" w:eastAsia="宋体" w:cs="宋体"/>
          <w:snapToGrid w:val="0"/>
          <w:color w:val="000000"/>
          <w:kern w:val="0"/>
          <w:sz w:val="24"/>
          <w:szCs w:val="24"/>
          <w:lang w:val="en-US" w:eastAsia="zh-CN" w:bidi="ar"/>
        </w:rPr>
        <w:t>.换花</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6</w:t>
      </w:r>
      <w:r>
        <w:rPr>
          <w:rFonts w:hint="eastAsia" w:ascii="宋体" w:hAnsi="宋体" w:eastAsia="宋体" w:cs="宋体"/>
          <w:snapToGrid w:val="0"/>
          <w:color w:val="000000"/>
          <w:kern w:val="0"/>
          <w:sz w:val="24"/>
          <w:szCs w:val="24"/>
          <w:lang w:val="en-US" w:eastAsia="zh-CN" w:bidi="ar"/>
        </w:rPr>
        <w:t>.1花坛的模纹线条应保持清晰，弧度流畅。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6</w:t>
      </w:r>
      <w:r>
        <w:rPr>
          <w:rFonts w:hint="eastAsia" w:ascii="宋体" w:hAnsi="宋体" w:eastAsia="宋体" w:cs="宋体"/>
          <w:snapToGrid w:val="0"/>
          <w:color w:val="000000"/>
          <w:kern w:val="0"/>
          <w:sz w:val="24"/>
          <w:szCs w:val="24"/>
          <w:lang w:val="en-US" w:eastAsia="zh-CN" w:bidi="ar"/>
        </w:rPr>
        <w:t>.2换花的空置期不应超过10天，空置期内应对花坛土壤翻晒或药物消毒，并施腐熟有机肥。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6</w:t>
      </w:r>
      <w:r>
        <w:rPr>
          <w:rFonts w:hint="eastAsia" w:ascii="宋体" w:hAnsi="宋体" w:eastAsia="宋体" w:cs="宋体"/>
          <w:snapToGrid w:val="0"/>
          <w:color w:val="000000"/>
          <w:kern w:val="0"/>
          <w:sz w:val="24"/>
          <w:szCs w:val="24"/>
          <w:lang w:val="en-US" w:eastAsia="zh-CN" w:bidi="ar"/>
        </w:rPr>
        <w:t>.3花坛土壤的坡度应满足景观与花卉生长需求。土壤过多应适当去除，土壤不足应适当加土。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7</w:t>
      </w:r>
      <w:r>
        <w:rPr>
          <w:rFonts w:hint="eastAsia" w:ascii="宋体" w:hAnsi="宋体" w:eastAsia="宋体" w:cs="宋体"/>
          <w:snapToGrid w:val="0"/>
          <w:color w:val="000000"/>
          <w:kern w:val="0"/>
          <w:sz w:val="24"/>
          <w:szCs w:val="24"/>
          <w:lang w:val="en-US" w:eastAsia="zh-CN" w:bidi="ar"/>
        </w:rPr>
        <w:t>.花坛设施维护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7</w:t>
      </w:r>
      <w:r>
        <w:rPr>
          <w:rFonts w:hint="eastAsia" w:ascii="宋体" w:hAnsi="宋体" w:eastAsia="宋体" w:cs="宋体"/>
          <w:snapToGrid w:val="0"/>
          <w:color w:val="000000"/>
          <w:kern w:val="0"/>
          <w:sz w:val="24"/>
          <w:szCs w:val="24"/>
          <w:lang w:val="en-US" w:eastAsia="zh-CN" w:bidi="ar"/>
        </w:rPr>
        <w:t>.1应保持设施牢固、清洁。</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w:t>
      </w:r>
      <w:r>
        <w:rPr>
          <w:rFonts w:hint="eastAsia" w:cs="宋体"/>
          <w:snapToGrid w:val="0"/>
          <w:color w:val="000000"/>
          <w:kern w:val="0"/>
          <w:sz w:val="24"/>
          <w:szCs w:val="24"/>
          <w:lang w:val="en-US" w:eastAsia="zh-CN" w:bidi="ar"/>
        </w:rPr>
        <w:t>7</w:t>
      </w:r>
      <w:r>
        <w:rPr>
          <w:rFonts w:hint="eastAsia" w:ascii="宋体" w:hAnsi="宋体" w:eastAsia="宋体" w:cs="宋体"/>
          <w:snapToGrid w:val="0"/>
          <w:color w:val="000000"/>
          <w:kern w:val="0"/>
          <w:sz w:val="24"/>
          <w:szCs w:val="24"/>
          <w:lang w:val="en-US" w:eastAsia="zh-CN" w:bidi="ar"/>
        </w:rPr>
        <w:t>.2影响行人、游客安全或缺损的设施应及时调整修复。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3、花境养护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3.1.浇水与排水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3.1.1浇水依据应符合下列要求：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（1）气候：气温在35℃以上，宜1天－3天浇水一次；气温在25℃－35℃，宜4天－7天浇水一次；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（2）一般天气宜8天－11天浇水一次；冬季宜12天－15天浇水一次。遇强冷空气或严重冰冻，应浇足冬水。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土质与田间持水量：沙质土壤应勤浇水，粘质土壤要视土壤情况合理浇水，土壤含水量应保持在田间持水量的50%－60%范围内。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（3）根据植物习性，多肉类、肉质根喜旱花卉应少浇水，湿生类喜湿花卉应勤浇水，木本花卉应酌情浇水。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（4）根据植物生长情况，处于植物营养生长期、生殖生长期应适量浇水，盛花期应少浇水。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3.1.2夏季浇水应在清晨和傍晚，冬季浇水宜在午间。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3.1.3浇水时宜喷洒，水量不应过大，不得将泥土冲到茎、叶或花瓣上。</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3.1.4排涝措施应符合下列要求：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（1）梅雨、暴雨季节应防止积水，如有积水应立即排除。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（2）宜采用开沟方式排水。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3.2.施肥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000000"/>
          <w:kern w:val="0"/>
          <w:sz w:val="24"/>
          <w:szCs w:val="24"/>
          <w:lang w:val="en-US" w:eastAsia="zh-CN" w:bidi="ar"/>
        </w:rPr>
        <w:t>3.2.1施肥依据、种类和用</w:t>
      </w:r>
      <w:r>
        <w:rPr>
          <w:rFonts w:hint="eastAsia" w:ascii="宋体" w:hAnsi="宋体" w:eastAsia="宋体" w:cs="宋体"/>
          <w:snapToGrid w:val="0"/>
          <w:color w:val="auto"/>
          <w:kern w:val="0"/>
          <w:sz w:val="24"/>
          <w:szCs w:val="24"/>
          <w:lang w:val="en-US" w:eastAsia="zh-CN" w:bidi="ar"/>
        </w:rPr>
        <w:t>量应参照本章第11项相关要求。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3.2.2施肥时间应符合下列要求：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（1）植物进入快速营养生长前后宜施肥1次－2次。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auto"/>
          <w:kern w:val="0"/>
          <w:sz w:val="24"/>
          <w:szCs w:val="24"/>
          <w:lang w:val="en-US" w:eastAsia="zh-CN" w:bidi="ar"/>
        </w:rPr>
        <w:t>（2）一、二年生花卉和宿根花卉花蕾露色前、露色后</w:t>
      </w:r>
      <w:r>
        <w:rPr>
          <w:rFonts w:hint="eastAsia" w:ascii="宋体" w:hAnsi="宋体" w:eastAsia="宋体" w:cs="宋体"/>
          <w:snapToGrid w:val="0"/>
          <w:color w:val="000000"/>
          <w:kern w:val="0"/>
          <w:sz w:val="24"/>
          <w:szCs w:val="24"/>
          <w:lang w:val="en-US" w:eastAsia="zh-CN" w:bidi="ar"/>
        </w:rPr>
        <w:t>适当施追肥，盛花期后不宜施肥。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（3）进入越冬休眠前1个月－2个月宜至少追肥一次。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3.2.3施肥方法应符合下列要求：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（1）追肥宜采用穴施、喷施和薄肥勤施。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（2）除根外追肥及特殊花卉植物需叶面喷液肥外，肥料不得施于花、叶上，施肥后应立即用清水喷洒枝叶。</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3.3.修剪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3.3.1应根据设计要求和植物生长势进行整形疏枝，修剪枯萎的黄叶、残蕾、残花、残枝，修剪因过度生长导致入侵相邻块面的枝叶，剪除病虫株并清除杂草。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3.3.2修剪时间应符合下列要求：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（1）根据组合种植的不同植物习性，适时整形疏枝。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（2）主要的修剪时间宜盛花过后和休眠前后，但观赏草宜于早春萌芽前修剪。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3.3.3修剪方法应符合下列要求：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（1）修除基部萌发的徒长枝。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（2）修剪休眠期的枯黄衰败的枝叶。</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（3）剪除生长过密和生长势弱的枝条。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（4）剪除病害枝和虫害枝。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（5）植物生长枝叶稀少或生长势弱应摘心处理来促进分枝。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（6）落叶花灌木在休眠季节通过回缩截枝控制株型和促进开花。</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3.4.补植更新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3.4.1补植更新时间应符合下列要求：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（1）补植时间：当残花量或空秃大于5%时必须补植。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（2）更新时间：当植物生长势开始衰弱或不同植物块面呈现互相侵占影响了植物生长和景观效果时宜进行局部或全部更新。多年生植物宜3年－5年翻种一次，木本花卉视生长情况而定。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3.4.2补植更新应符合下列要求：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（1）植株要求：补植的植物应与原植物品种、规格相同。休眠期地上部分枯黄的宿根花卉处，宜用时令花卉点栽或辅设与环境相协调的卵石、树皮块、木屑、松针等覆盖物。</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（2）土壤要求：土壤应重新翻挖、平整，并消毒。肥力退化的土壤应进行改良或更换，并施足基肥。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（3）地形要求：土壤的坡度应满足景观与植物生长的需求。土壤过多应适当去除，土壤不足应适当加土。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3.5.防护与维护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3.5.1植物防护应符合下列要求：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（1）喜荫类或不耐日灼的花境植物应夏季遮荫。</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（2）不耐涝的花境植物多雨季节应防雨和排水。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（3）根系较浅、株型高大的花境植物应防强风和台风。</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（4）耐寒性较弱的花境植物应采取防寒越冬保护。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（5）病虫害高发季节应及时采取防治措施。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（6）部分球根类花卉的种球，宜在休眠期，叶子变黄、未霉烂时挖出，置于通风处阴干储藏。</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3.5.2设施维护应符合下列要求：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（1）应保持设施牢固、清洁。</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（2）影响行人、游客安全或缺损的设施应及时调整修复。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4、绿篱及造型植物养护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4.1.浇水与排水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4.1.1浇水依据应符合下列要求：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（1）气候：长期干旱应适时、适量浇水。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（2）土质与田间持水量：根据土质情况，及时松土保墒，土壤含水量应保持在田间持水量的60%－70%范围内。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（3）植物习性：花篱植物浇水量应多于一般植物。</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（4）植物生长周期：植物生长期应适量浇水。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4.1.2夏季浇水应在清晨和傍晚，冬季浇水宜在午间。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4.1.3浇水方法应自上而下均匀喷淋。</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4.1.4排涝措施应符合下列要求：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梅雨、暴雨季节应防止积水，如有积水应立即排除。宜采用开沟方式排水。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4.2.施肥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000000"/>
          <w:kern w:val="0"/>
          <w:sz w:val="24"/>
          <w:szCs w:val="24"/>
          <w:lang w:val="en-US" w:eastAsia="zh-CN" w:bidi="ar"/>
        </w:rPr>
        <w:t>4.2.1施肥依据、种</w:t>
      </w:r>
      <w:r>
        <w:rPr>
          <w:rFonts w:hint="eastAsia" w:ascii="宋体" w:hAnsi="宋体" w:eastAsia="宋体" w:cs="宋体"/>
          <w:snapToGrid w:val="0"/>
          <w:color w:val="auto"/>
          <w:kern w:val="0"/>
          <w:sz w:val="24"/>
          <w:szCs w:val="24"/>
          <w:lang w:val="en-US" w:eastAsia="zh-CN" w:bidi="ar"/>
        </w:rPr>
        <w:t>类和用量应参照本章第11项相关要求。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4.2.2施肥时间应符合下列要求：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（1）植物萌芽前应施氮肥。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（2）生长期应施磷钾为主的复合肥。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（3）开花植物应在花前、花后进行。</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4.2.3施肥方法应符合下列要求：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（1）宜穴施、喷施。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（2）除根外追肥，肥料不得施于花、叶上，施肥后应立即用清水喷洒枝叶。</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4.3.修剪整形</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4.3.1整形绿篱应遵循“保持原形态，通风透光，减少病虫害滋生”的原则，造型植物应根据设计要求，按整体与局部关系整形疏枝，剪除枯黄叶并清除杂草等。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4.3.2修剪时间应符合下列要求：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（1）休眠期修剪以整形为主。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（2）生长期修剪以调整树势为主。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（3）有伤流的树种应在夏、秋两季修剪。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（4）宜根据生长状态适当梳理，保持绿篱的整齐。</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4.3.3修剪方法应符合下列要求：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（1）根据植物生长习性修剪、整形疏枝。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（2）修除基部萌发的徒长枝。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（3）对植株内部生长过密的和生长势弱的病虫枝进行疏枝修剪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（4）花篱生长枝叶稀少或生长势弱应摘心处理。</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4.3.4修剪类型应符合下列要求：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（1）整形式：平面应平整，侧面应垂直，弧线度线条应柔和。</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（2）自然式：应体现植物特性，修除过高、过宽的枝条，保持植株自然饱满。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（3）特殊造型应按设计要求修剪。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4.4.补植更新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4.4.1补植更新时间应符合下列要求：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（1）缺株、空秃应及时补植。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（2）更新时间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1)落叶灌木应在春季土壤解冻以后，发芽以前或在秋季落叶以后土壤冰冻以前更新。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5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2)常绿灌木应在春季土壤解冻以后，发芽以前或在秋季新梢停止生长后，降霜以前更新。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4.4.2补植更新的植物应与原植物品种、规格一致。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4.5.防护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4.5.1不耐寒的木本花篱应防寒越冬，宜采用根际培土或用草片包裹等防寒措施。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4.5.2设施应保持稳固、清洁，并保证行人和游客的安全。</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5、立体绿化养护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5.1.垂直绿化养护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5.1.1浇水与排水应符合下列要求：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（1）根据气候条件进行浇水，在久旱、土壤干燥时应及时适时适量浇水。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（2）土壤pH值应保持在6.0－7.5范围，根据土质情况及时松土保墒。土壤含水量应保持在田间持水量的60%－70%范围内。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（3）应根据植物的习性进行浇水，喜湿润和阴湿环境的植物应适时适量浇水，并一次浇透。</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（4）新栽植物应及时浇水，次日复水一次，每次均应浇透。以后根据植物生长情况，适时适量浇水。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（5）夏季浇水应在清晨和傍晚，冬季浇水应在午间。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（6）暴雨后应及时排除植物周围积水，新栽植物周围积水应排除。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000000"/>
          <w:kern w:val="0"/>
          <w:sz w:val="24"/>
          <w:szCs w:val="24"/>
          <w:lang w:val="en-US" w:eastAsia="zh-CN" w:bidi="ar"/>
        </w:rPr>
        <w:t>5.1.2施肥应符合</w:t>
      </w:r>
      <w:r>
        <w:rPr>
          <w:rFonts w:hint="eastAsia" w:ascii="宋体" w:hAnsi="宋体" w:eastAsia="宋体" w:cs="宋体"/>
          <w:snapToGrid w:val="0"/>
          <w:color w:val="auto"/>
          <w:kern w:val="0"/>
          <w:sz w:val="24"/>
          <w:szCs w:val="24"/>
          <w:lang w:val="en-US" w:eastAsia="zh-CN" w:bidi="ar"/>
        </w:rPr>
        <w:t>以下规定：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（1）施肥依据、种类和用量应参照本章第13项相关要求。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（2）施肥时间应符合下列要求：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1)宜晴天施肥。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auto"/>
          <w:kern w:val="0"/>
          <w:sz w:val="24"/>
          <w:szCs w:val="24"/>
          <w:lang w:val="en-US" w:eastAsia="zh-CN" w:bidi="ar"/>
        </w:rPr>
        <w:t>2)每年冬季应施一次腐熟有机</w:t>
      </w:r>
      <w:r>
        <w:rPr>
          <w:rFonts w:hint="eastAsia" w:ascii="宋体" w:hAnsi="宋体" w:eastAsia="宋体" w:cs="宋体"/>
          <w:snapToGrid w:val="0"/>
          <w:color w:val="000000"/>
          <w:kern w:val="0"/>
          <w:sz w:val="24"/>
          <w:szCs w:val="24"/>
          <w:lang w:val="en-US" w:eastAsia="zh-CN" w:bidi="ar"/>
        </w:rPr>
        <w:t>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3)植物生长期应施追肥。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4)开花植物应在花前、花后增施磷钾肥。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（3）施肥方法应符合下列要求：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1)吸附类藤本应叶面施肥。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2)二年内的新栽苗应根据生长势追肥。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3)生长差，恢复慢的新栽苗或需促长的植物宜用生长素或根外追肥。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5.1.3修剪应符合以下规定：</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（1）修剪内容应符合下列要求：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1)栽植当年应理藤、造型以达到满铺的效果，理藤时应固定新生枝条。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2)多年生藤本应定期翻蔓，清除枯枝，疏删老弱藤蔓。</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（2）宜于5月、7月、11月或植株开花后修剪。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（3）休眠期修剪方法应符合下列要求：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1)以整形为主。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2)生长势衰弱的植株应强度重剪。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（4）生长期修剪方法应符合下列要求：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1)枝叶稀少的宜摘心，部分徒长枝长度达15㎝－30㎝时应抑制生长。</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2)二年以上的植株应疏减上部枝叶，并适当疏剪下部枝叶以减少枝条重叠。</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3)吸附类藤本应剪除下垂枝条。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4)未完全覆盖的植株应短截空隙周围枝条，促生副稍。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5)钩刺类藤本，长势衰弱的应回缩修剪。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6)棚架上长势强的藤本，落叶后应疏剪过密枝条，清除枯死枝条。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7)老年和长势弱的藤本应强度重修，经常疏枝，适度回缩修剪。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5.1.4防护应符合下列要求：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（1）应遵循“预防为主，综合防治”的原则。</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（2）应在6月下旬前做好风暴预防。</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（3）枝叶过密以及立地条件差的垂直绿化应分别绑扎，疏枝。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（4）风暴来临前，种植槽内积水必须加土。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6、容器植物养护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6.1.浇水与排水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6.1.1浇水依据应符合下列要求：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（1）气候：气温在25℃以上，宜每天浇水一次。气温在35℃以上，宜每天浇水二次，早上浇水一次，傍晚叶面喷雾一次。</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（2）土质与田间持水量：土壤含水量应保持在田间持水量的60%－70%范围内。</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（3）植物习性：多肉类花卉等喜旱植物应少浇水，湿生类喜湿植物应勤浇水。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（4）植物生长周期：生长旺盛期应适量浇水，开花期应保证需水量。</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6.1.2浇水时间应符合下列要求：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（1）室外容器植物：夏季应在清晨和傍晚，冬季应在午间。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（2）室内宜随时浇水。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6.1.3浇水方法应符合下列要求：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（1）宜用浇水壶浇洒，忌用高压水枪，不得将泥土冲到茎、叶或花瓣上。</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（2）新上盆植物应分两次浇水，第一次适量，第二次间隔四小时后再浇透。</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6.1.4排水措施应符合下列要求：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（1）一般植物托盆内不得有积水。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（2）喜湿植物托盆内应保持一定的水量。</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（3）梅雨、暴雨季节，室外喜干植物，应及时抬高、侧盆，防止积水。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6.2.施肥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000000"/>
          <w:kern w:val="0"/>
          <w:sz w:val="24"/>
          <w:szCs w:val="24"/>
          <w:lang w:val="en-US" w:eastAsia="zh-CN" w:bidi="ar"/>
        </w:rPr>
        <w:t>6.2.1施肥依据、种类</w:t>
      </w:r>
      <w:r>
        <w:rPr>
          <w:rFonts w:hint="eastAsia" w:ascii="宋体" w:hAnsi="宋体" w:eastAsia="宋体" w:cs="宋体"/>
          <w:snapToGrid w:val="0"/>
          <w:color w:val="auto"/>
          <w:kern w:val="0"/>
          <w:sz w:val="24"/>
          <w:szCs w:val="24"/>
          <w:lang w:val="en-US" w:eastAsia="zh-CN" w:bidi="ar"/>
        </w:rPr>
        <w:t>和用量应参照本章第11项相关要求。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6.2.2施肥时间应符合下列要求：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（1）一、二年生花卉和宿根花卉上盆10天后，每隔15天施肥一次，花蕾初露色应适当追肥。盛花期不宜施肥，花后宜适量补充施肥。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auto"/>
          <w:kern w:val="0"/>
          <w:sz w:val="24"/>
          <w:szCs w:val="24"/>
          <w:lang w:val="en-US" w:eastAsia="zh-CN" w:bidi="ar"/>
        </w:rPr>
        <w:t>（2）木本花卉生长期宜每月施一次有机肥，高温</w:t>
      </w:r>
      <w:r>
        <w:rPr>
          <w:rFonts w:hint="eastAsia" w:ascii="宋体" w:hAnsi="宋体" w:eastAsia="宋体" w:cs="宋体"/>
          <w:snapToGrid w:val="0"/>
          <w:color w:val="000000"/>
          <w:kern w:val="0"/>
          <w:sz w:val="24"/>
          <w:szCs w:val="24"/>
          <w:lang w:val="en-US" w:eastAsia="zh-CN" w:bidi="ar"/>
        </w:rPr>
        <w:t>季节不宜施肥。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6.2.4施肥方法应符合下列要求：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（1）追肥宜点施、喷施，薄肥勤施。</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（2）除根外追肥及特殊花卉植物需叶面喷液外，不得将肥料施与花、叶上，施肥后应立即清水喷洒枝叶。</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6.3.换盆</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6.3.1植物根系占满栽植盆必须换盆。更换的盆与土壤必须消毒，土壤中宜增添适量高分子吸水剂。视植物长势，约二年翻盆一次。新盆应大于原盆1寸以上。</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6.3.2宜于春、秋季翻盆。</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6.3.3换盆方法应符合以下要求：盆底应垫排水层，上铺有效土壤，根系应舒展盆中，覆盖低于盆口2㎝－10㎝的土层，固定植株，表面宜覆盖陶粒或细石等。</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6.4.修剪</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6.4.1应根据设计要求整形疏枝，修剪枯萎花蕾、花枝、枯黄叶，并清除杂草和病虫枝。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6.4.2应随时整形疏枝。</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6.4.3应根据植物生长习性，采用整形、疏枝、艺术造型、摘心、疏果等方法。</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6.5.防护及特殊养护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6.5.1植物防护应符合下列要求：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（1）秋花类宿根花卉和不耐寒的木本花卉应防寒越冬。</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（2）春花类宿根花卉应夏季遮荫、防雨，及时排水。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6.5.2设施防护应符合下列要求：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（1）应保持盆体清洁、稳固。</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（2）台风暴雨季节，应固定容器。</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6.5.3特殊养护时若要提前或延晚开花时间，应采用遮荫、补光、扣水、牵引支架、喷施各种生长素等方法。</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7、草坪、草地养护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7.1.浇水与排水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7.1.1浇水时间应符合下列要求：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（1）宜在清晨或傍晚，夏季烈日中午严禁浇水。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（2）新铺设草坪必须及时充分浇水。</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（3）生长阶段，冬、春季久旱无雨、夏季炎热土壤干燥，应及时浇水。</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7.1.2浇水方法应符合以下要求：宜采用自动喷灌或人工喷洒。</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7.1.3浇水量应符合下列要求：</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（1）应根据气候、土质、草坪生长、草种等情况适量浇水，保持土壤湿润。</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（2）浇水必须湿透根系层，浸湿土层应大于5㎝。</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7.1.4排涝措施应符合下列要求：</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（1）遇暴雨或久雨积水应及时开沟排水。</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（2）有管道排水的草坪应随时检修，保持管网畅通。</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7.2.修剪</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7.2.1水平修剪应符合下列要求：</w:t>
      </w:r>
    </w:p>
    <w:p>
      <w:pPr>
        <w:keepNext w:val="0"/>
        <w:keepLines w:val="0"/>
        <w:pageBreakBefore w:val="0"/>
        <w:widowControl w:val="0"/>
        <w:suppressLineNumbers w:val="0"/>
        <w:kinsoku/>
        <w:wordWrap/>
        <w:overflowPunct/>
        <w:topLinePunct w:val="0"/>
        <w:autoSpaceDE/>
        <w:autoSpaceDN/>
        <w:bidi w:val="0"/>
        <w:adjustRightInd/>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（1）修剪频率、次数应符合表7.2.1-1要求。</w:t>
      </w:r>
    </w:p>
    <w:p>
      <w:pPr>
        <w:keepNext w:val="0"/>
        <w:keepLines w:val="0"/>
        <w:pageBreakBefore w:val="0"/>
        <w:widowControl w:val="0"/>
        <w:kinsoku/>
        <w:wordWrap/>
        <w:overflowPunct/>
        <w:topLinePunct w:val="0"/>
        <w:autoSpaceDE/>
        <w:autoSpaceDN/>
        <w:bidi w:val="0"/>
        <w:adjustRightInd/>
        <w:snapToGrid w:val="0"/>
        <w:spacing w:line="312" w:lineRule="auto"/>
        <w:ind w:left="0" w:leftChars="0" w:firstLine="482" w:firstLineChars="0"/>
        <w:jc w:val="left"/>
        <w:textAlignment w:val="auto"/>
        <w:outlineLvl w:val="9"/>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表7.2.1-1不同类型草坪草修剪频率、次数</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393"/>
        <w:gridCol w:w="1395"/>
        <w:gridCol w:w="1395"/>
        <w:gridCol w:w="1395"/>
        <w:gridCol w:w="1395"/>
        <w:gridCol w:w="139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分级标准</w:t>
            </w:r>
          </w:p>
        </w:tc>
        <w:tc>
          <w:tcPr>
            <w:tcW w:w="139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草坪类型</w:t>
            </w:r>
          </w:p>
        </w:tc>
        <w:tc>
          <w:tcPr>
            <w:tcW w:w="558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highlight w:val="none"/>
                <w:vertAlign w:val="baseline"/>
              </w:rPr>
              <w:t>修剪频率(次/月)</w:t>
            </w:r>
          </w:p>
        </w:tc>
        <w:tc>
          <w:tcPr>
            <w:tcW w:w="139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全年修剪次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71" w:hRule="atLeast"/>
          <w:jc w:val="center"/>
        </w:trPr>
        <w:tc>
          <w:tcPr>
            <w:tcW w:w="13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139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139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4－6月</w:t>
            </w:r>
          </w:p>
        </w:tc>
        <w:tc>
          <w:tcPr>
            <w:tcW w:w="139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7－8月</w:t>
            </w:r>
          </w:p>
        </w:tc>
        <w:tc>
          <w:tcPr>
            <w:tcW w:w="139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9－11月</w:t>
            </w:r>
          </w:p>
        </w:tc>
        <w:tc>
          <w:tcPr>
            <w:tcW w:w="139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12－3月</w:t>
            </w:r>
          </w:p>
        </w:tc>
        <w:tc>
          <w:tcPr>
            <w:tcW w:w="139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3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一级标准草坪</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冷季型草</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2</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1－2</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1</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2</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r>
              <w:rPr>
                <w:rFonts w:hint="eastAsia" w:cs="宋体"/>
                <w:snapToGrid w:val="0"/>
                <w:kern w:val="0"/>
                <w:sz w:val="24"/>
                <w:szCs w:val="24"/>
                <w:vertAlign w:val="baseline"/>
                <w:lang w:val="en-US" w:eastAsia="zh-CN"/>
              </w:rPr>
              <w:t>2</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宋体" w:hAnsi="宋体" w:eastAsia="宋体" w:cs="宋体"/>
                <w:snapToGrid w:val="0"/>
                <w:kern w:val="0"/>
                <w:sz w:val="24"/>
                <w:szCs w:val="24"/>
                <w:vertAlign w:val="baseline"/>
                <w:lang w:val="en-US" w:eastAsia="zh-CN"/>
              </w:rPr>
            </w:pPr>
            <w:r>
              <w:rPr>
                <w:rFonts w:hint="eastAsia" w:cs="宋体"/>
                <w:snapToGrid w:val="0"/>
                <w:kern w:val="0"/>
                <w:sz w:val="24"/>
                <w:szCs w:val="24"/>
                <w:vertAlign w:val="baseline"/>
                <w:lang w:val="en-US" w:eastAsia="zh-CN"/>
              </w:rPr>
              <w:t>10</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暖季型草</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2－3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2－3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0－1</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p>
        </w:tc>
        <w:tc>
          <w:tcPr>
            <w:tcW w:w="1395"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追播型草</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2</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2</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3</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1</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2</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cs="宋体"/>
                <w:snapToGrid w:val="0"/>
                <w:kern w:val="0"/>
                <w:sz w:val="24"/>
                <w:szCs w:val="24"/>
                <w:vertAlign w:val="baseline"/>
                <w:lang w:val="en-US" w:eastAsia="zh-CN"/>
              </w:rPr>
              <w:t>1</w:t>
            </w:r>
            <w:r>
              <w:rPr>
                <w:rFonts w:hint="eastAsia" w:ascii="宋体" w:hAnsi="宋体" w:eastAsia="宋体" w:cs="宋体"/>
                <w:snapToGrid w:val="0"/>
                <w:kern w:val="0"/>
                <w:sz w:val="24"/>
                <w:szCs w:val="24"/>
                <w:vertAlign w:val="baseline"/>
                <w:lang w:val="en-US" w:eastAsia="zh-CN"/>
              </w:rPr>
              <w:t>－</w:t>
            </w:r>
            <w:r>
              <w:rPr>
                <w:rFonts w:hint="eastAsia" w:cs="宋体"/>
                <w:snapToGrid w:val="0"/>
                <w:kern w:val="0"/>
                <w:sz w:val="24"/>
                <w:szCs w:val="24"/>
                <w:vertAlign w:val="baseline"/>
                <w:lang w:val="en-US" w:eastAsia="zh-CN"/>
              </w:rPr>
              <w:t>2</w:t>
            </w:r>
          </w:p>
        </w:tc>
        <w:tc>
          <w:tcPr>
            <w:tcW w:w="13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宋体" w:hAnsi="宋体" w:eastAsia="宋体" w:cs="宋体"/>
                <w:snapToGrid w:val="0"/>
                <w:kern w:val="0"/>
                <w:sz w:val="24"/>
                <w:szCs w:val="24"/>
                <w:vertAlign w:val="baseline"/>
                <w:lang w:val="en-US" w:eastAsia="zh-CN"/>
              </w:rPr>
            </w:pPr>
            <w:r>
              <w:rPr>
                <w:rFonts w:hint="eastAsia" w:cs="宋体"/>
                <w:snapToGrid w:val="0"/>
                <w:kern w:val="0"/>
                <w:sz w:val="24"/>
                <w:szCs w:val="24"/>
                <w:vertAlign w:val="baseline"/>
                <w:lang w:val="en-US" w:eastAsia="zh-CN"/>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lang w:val="en-US" w:eastAsia="zh-CN"/>
              </w:rPr>
              <w:t>二级</w:t>
            </w:r>
            <w:r>
              <w:rPr>
                <w:rFonts w:hint="eastAsia" w:ascii="宋体" w:hAnsi="宋体" w:eastAsia="宋体" w:cs="宋体"/>
                <w:snapToGrid w:val="0"/>
                <w:kern w:val="0"/>
                <w:sz w:val="24"/>
                <w:szCs w:val="24"/>
                <w:vertAlign w:val="baseline"/>
              </w:rPr>
              <w:t>标准</w:t>
            </w:r>
          </w:p>
        </w:tc>
        <w:tc>
          <w:tcPr>
            <w:tcW w:w="8370"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一年修剪6</w:t>
            </w:r>
            <w:r>
              <w:rPr>
                <w:rFonts w:hint="eastAsia" w:ascii="宋体" w:hAnsi="宋体" w:eastAsia="宋体" w:cs="宋体"/>
                <w:snapToGrid w:val="0"/>
                <w:kern w:val="0"/>
                <w:sz w:val="24"/>
                <w:szCs w:val="24"/>
                <w:vertAlign w:val="baseline"/>
                <w:lang w:eastAsia="zh-CN"/>
              </w:rPr>
              <w:t>－</w:t>
            </w:r>
            <w:r>
              <w:rPr>
                <w:rFonts w:hint="eastAsia" w:ascii="宋体" w:hAnsi="宋体" w:eastAsia="宋体" w:cs="宋体"/>
                <w:snapToGrid w:val="0"/>
                <w:kern w:val="0"/>
                <w:sz w:val="24"/>
                <w:szCs w:val="24"/>
                <w:vertAlign w:val="baseline"/>
              </w:rPr>
              <w:t>12</w:t>
            </w:r>
          </w:p>
        </w:tc>
      </w:tr>
    </w:tbl>
    <w:p>
      <w:pPr>
        <w:keepNext w:val="0"/>
        <w:keepLines w:val="0"/>
        <w:pageBreakBefore w:val="0"/>
        <w:widowControl w:val="0"/>
        <w:kinsoku/>
        <w:wordWrap/>
        <w:overflowPunct/>
        <w:topLinePunct w:val="0"/>
        <w:autoSpaceDE/>
        <w:autoSpaceDN/>
        <w:bidi w:val="0"/>
        <w:adjustRightInd w:val="0"/>
        <w:snapToGrid w:val="0"/>
        <w:spacing w:before="220" w:beforeLines="50" w:line="312" w:lineRule="auto"/>
        <w:ind w:left="0" w:leftChars="0"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注</w:t>
      </w: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rPr>
        <w:t>追播型草指在暖季型草中秋季补播冷季型草籽以达到四季常青效果的草坪。</w:t>
      </w:r>
    </w:p>
    <w:p>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82" w:firstLineChars="0"/>
        <w:jc w:val="left"/>
        <w:textAlignment w:val="auto"/>
        <w:outlineLvl w:val="9"/>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lang w:eastAsia="zh-CN"/>
        </w:rPr>
        <w:t>）</w:t>
      </w:r>
      <w:r>
        <w:rPr>
          <w:rFonts w:hint="eastAsia" w:ascii="宋体" w:hAnsi="宋体" w:eastAsia="宋体" w:cs="宋体"/>
          <w:snapToGrid w:val="0"/>
          <w:kern w:val="0"/>
          <w:sz w:val="24"/>
          <w:szCs w:val="24"/>
        </w:rPr>
        <w:t>修剪高度应符合表7.2.1-2要求。</w:t>
      </w:r>
    </w:p>
    <w:p>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82"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rPr>
        <w:t>表7.2.1-2不同类型草坪修剪高度</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4048"/>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分级标准</w:t>
            </w:r>
          </w:p>
        </w:tc>
        <w:tc>
          <w:tcPr>
            <w:tcW w:w="4048"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草坪类型</w:t>
            </w:r>
          </w:p>
        </w:tc>
        <w:tc>
          <w:tcPr>
            <w:tcW w:w="3255"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修剪高度(</w:t>
            </w:r>
            <w:r>
              <w:rPr>
                <w:rFonts w:hint="eastAsia" w:ascii="宋体" w:hAnsi="宋体" w:eastAsia="宋体" w:cs="宋体"/>
                <w:snapToGrid w:val="0"/>
                <w:kern w:val="0"/>
                <w:sz w:val="24"/>
                <w:szCs w:val="24"/>
                <w:vertAlign w:val="baseline"/>
                <w:lang w:eastAsia="zh-CN"/>
              </w:rPr>
              <w:t>㎝</w:t>
            </w:r>
            <w:r>
              <w:rPr>
                <w:rFonts w:hint="eastAsia" w:ascii="宋体" w:hAnsi="宋体" w:eastAsia="宋体" w:cs="宋体"/>
                <w:snapToGrid w:val="0"/>
                <w:kern w:val="0"/>
                <w:sz w:val="24"/>
                <w:szCs w:val="24"/>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vMerge w:val="restart"/>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rPr>
              <w:t>一级标准草坪</w:t>
            </w:r>
          </w:p>
        </w:tc>
        <w:tc>
          <w:tcPr>
            <w:tcW w:w="4048"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rPr>
              <w:t>冷季型草</w:t>
            </w:r>
          </w:p>
        </w:tc>
        <w:tc>
          <w:tcPr>
            <w:tcW w:w="3255"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vMerge w:val="continue"/>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p>
        </w:tc>
        <w:tc>
          <w:tcPr>
            <w:tcW w:w="4048"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rPr>
              <w:t>暖季型草</w:t>
            </w:r>
          </w:p>
        </w:tc>
        <w:tc>
          <w:tcPr>
            <w:tcW w:w="3255"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vMerge w:val="continue"/>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p>
        </w:tc>
        <w:tc>
          <w:tcPr>
            <w:tcW w:w="4048"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追播型草</w:t>
            </w:r>
          </w:p>
        </w:tc>
        <w:tc>
          <w:tcPr>
            <w:tcW w:w="3255"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0"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二级</w:t>
            </w:r>
            <w:r>
              <w:rPr>
                <w:rFonts w:hint="eastAsia" w:ascii="宋体" w:hAnsi="宋体" w:eastAsia="宋体" w:cs="宋体"/>
                <w:snapToGrid w:val="0"/>
                <w:kern w:val="0"/>
                <w:sz w:val="24"/>
                <w:szCs w:val="24"/>
                <w:vertAlign w:val="baseline"/>
              </w:rPr>
              <w:t>标准</w:t>
            </w:r>
          </w:p>
        </w:tc>
        <w:tc>
          <w:tcPr>
            <w:tcW w:w="4048" w:type="dxa"/>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3255"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10－15（或自然高度）</w:t>
            </w:r>
          </w:p>
        </w:tc>
      </w:tr>
    </w:tbl>
    <w:p>
      <w:pPr>
        <w:keepNext w:val="0"/>
        <w:keepLines w:val="0"/>
        <w:pageBreakBefore w:val="0"/>
        <w:widowControl/>
        <w:suppressLineNumbers w:val="0"/>
        <w:kinsoku/>
        <w:wordWrap/>
        <w:overflowPunct/>
        <w:topLinePunct w:val="0"/>
        <w:autoSpaceDE/>
        <w:autoSpaceDN/>
        <w:bidi w:val="0"/>
        <w:adjustRightInd/>
        <w:snapToGrid/>
        <w:spacing w:before="220" w:beforeLines="50"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（3）修剪要点应符合下列要求:</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1)修剪之前必须清除草坪上粒径大于等于1㎝的石子、瓦砾和杂物。</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2)草坪修剪宜用草坪机械，轧剪草坪应无遗漏。无法剪到的边缘应用大草剪或割灌机，修剪时不得损伤相邻植物。</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当草坪实际高度超过额定修剪高度1/3时，宜进行修剪。</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修剪机具刀刃必须锋利，剪口应无撕裂现象，草屑必须及时清理。</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雨后、浇水后草坪或叶面有露水或刚浇水的草坪不宜立即修剪。</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7.2.2垂直修剪应符合下列要求:</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（1）修剪原则</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1)与周边乔木、灌木、草花界限不清的草坪应修剪。</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2)与道路、挡土墙交界处界限不清晰应修剪。</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（2）修剪方法</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1)与乔木、灌木、草花相邻处切边成“V”字型，宽度应10㎝－15㎝，深度宜15㎝。</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2)与道路、挡土墙交界处应修剪整齐。</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7.3.施肥</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7.3.1施肥应符合下列原则：</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（1）根据土壤肥力或草坪生长情况施肥。</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（2）草坪越冬期宜施有机肥料，平时宜薄肥勤施。</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7.3.2施肥时间和频度应符合表7.3.2要求。</w:t>
      </w:r>
    </w:p>
    <w:p>
      <w:pPr>
        <w:keepNext w:val="0"/>
        <w:keepLines w:val="0"/>
        <w:pageBreakBefore w:val="0"/>
        <w:widowControl/>
        <w:suppressLineNumbers w:val="0"/>
        <w:kinsoku/>
        <w:wordWrap/>
        <w:overflowPunct/>
        <w:topLinePunct w:val="0"/>
        <w:autoSpaceDE/>
        <w:autoSpaceDN/>
        <w:bidi w:val="0"/>
        <w:adjustRightIn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表7.3.2不同类型草坪施肥时间和频度</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394"/>
        <w:gridCol w:w="1395"/>
        <w:gridCol w:w="1342"/>
        <w:gridCol w:w="1342"/>
        <w:gridCol w:w="1342"/>
        <w:gridCol w:w="1343"/>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4" w:type="dxa"/>
            <w:vMerge w:val="restart"/>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分级标准</w:t>
            </w:r>
          </w:p>
        </w:tc>
        <w:tc>
          <w:tcPr>
            <w:tcW w:w="1395" w:type="dxa"/>
            <w:vMerge w:val="restart"/>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草坪类型</w:t>
            </w:r>
          </w:p>
        </w:tc>
        <w:tc>
          <w:tcPr>
            <w:tcW w:w="5369" w:type="dxa"/>
            <w:gridSpan w:val="4"/>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施肥频次(次)</w:t>
            </w:r>
          </w:p>
        </w:tc>
        <w:tc>
          <w:tcPr>
            <w:tcW w:w="1605" w:type="dxa"/>
            <w:vMerge w:val="restart"/>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全年施肥次数（次/年）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71" w:hRule="atLeast"/>
          <w:jc w:val="center"/>
        </w:trPr>
        <w:tc>
          <w:tcPr>
            <w:tcW w:w="1394" w:type="dxa"/>
            <w:vMerge w:val="continue"/>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p>
        </w:tc>
        <w:tc>
          <w:tcPr>
            <w:tcW w:w="1395" w:type="dxa"/>
            <w:vMerge w:val="continue"/>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1342" w:type="dxa"/>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3－6月</w:t>
            </w:r>
          </w:p>
        </w:tc>
        <w:tc>
          <w:tcPr>
            <w:tcW w:w="1342" w:type="dxa"/>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7－8月</w:t>
            </w:r>
          </w:p>
        </w:tc>
        <w:tc>
          <w:tcPr>
            <w:tcW w:w="1342" w:type="dxa"/>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9－11月</w:t>
            </w:r>
          </w:p>
        </w:tc>
        <w:tc>
          <w:tcPr>
            <w:tcW w:w="1343" w:type="dxa"/>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color w:val="000000"/>
                <w:kern w:val="0"/>
                <w:sz w:val="24"/>
                <w:szCs w:val="24"/>
                <w:lang w:val="en-US" w:eastAsia="zh-CN" w:bidi="ar"/>
              </w:rPr>
              <w:t>12－2月</w:t>
            </w:r>
          </w:p>
        </w:tc>
        <w:tc>
          <w:tcPr>
            <w:tcW w:w="1605" w:type="dxa"/>
            <w:vMerge w:val="continue"/>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394" w:type="dxa"/>
            <w:vMerge w:val="restart"/>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一级标准草坪</w:t>
            </w:r>
          </w:p>
        </w:tc>
        <w:tc>
          <w:tcPr>
            <w:tcW w:w="1395"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冷季型草</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1－2</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0</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1－2</w:t>
            </w:r>
          </w:p>
        </w:tc>
        <w:tc>
          <w:tcPr>
            <w:tcW w:w="1343"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0</w:t>
            </w:r>
          </w:p>
        </w:tc>
        <w:tc>
          <w:tcPr>
            <w:tcW w:w="1605"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4" w:type="dxa"/>
            <w:vMerge w:val="continue"/>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1395"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rPr>
              <w:t>暖季型草</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0</w:t>
            </w:r>
          </w:p>
        </w:tc>
        <w:tc>
          <w:tcPr>
            <w:tcW w:w="1343"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605"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4" w:type="dxa"/>
            <w:vMerge w:val="continue"/>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p>
        </w:tc>
        <w:tc>
          <w:tcPr>
            <w:tcW w:w="1395" w:type="dxa"/>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追播型草</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0</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342"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343"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bidi="ar-SA"/>
              </w:rPr>
            </w:pPr>
            <w:r>
              <w:rPr>
                <w:rFonts w:hint="eastAsia" w:ascii="宋体" w:hAnsi="宋体" w:eastAsia="宋体" w:cs="宋体"/>
                <w:snapToGrid w:val="0"/>
                <w:kern w:val="0"/>
                <w:sz w:val="24"/>
                <w:szCs w:val="24"/>
                <w:vertAlign w:val="baseline"/>
                <w:lang w:val="en-US" w:eastAsia="zh-CN"/>
              </w:rPr>
              <w:t>1</w:t>
            </w:r>
          </w:p>
        </w:tc>
        <w:tc>
          <w:tcPr>
            <w:tcW w:w="1605"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lang w:val="en-US" w:eastAsia="zh-CN"/>
              </w:rPr>
            </w:pPr>
            <w:r>
              <w:rPr>
                <w:rFonts w:hint="eastAsia" w:ascii="宋体" w:hAnsi="宋体" w:eastAsia="宋体" w:cs="宋体"/>
                <w:snapToGrid w:val="0"/>
                <w:kern w:val="0"/>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394" w:type="dxa"/>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kern w:val="0"/>
                <w:sz w:val="24"/>
                <w:szCs w:val="24"/>
                <w:vertAlign w:val="baseline"/>
                <w:lang w:val="en-US" w:eastAsia="zh-CN"/>
              </w:rPr>
              <w:t>二级</w:t>
            </w:r>
            <w:r>
              <w:rPr>
                <w:rFonts w:hint="eastAsia" w:ascii="宋体" w:hAnsi="宋体" w:eastAsia="宋体" w:cs="宋体"/>
                <w:snapToGrid w:val="0"/>
                <w:kern w:val="0"/>
                <w:sz w:val="24"/>
                <w:szCs w:val="24"/>
                <w:vertAlign w:val="baseline"/>
              </w:rPr>
              <w:t>标准</w:t>
            </w:r>
          </w:p>
        </w:tc>
        <w:tc>
          <w:tcPr>
            <w:tcW w:w="8369" w:type="dxa"/>
            <w:gridSpan w:val="6"/>
            <w:noWrap w:val="0"/>
            <w:tcMar>
              <w:top w:w="85" w:type="dxa"/>
              <w:left w:w="108" w:type="dxa"/>
              <w:bottom w:w="85" w:type="dxa"/>
              <w:right w:w="108"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outlineLvl w:val="9"/>
              <w:rPr>
                <w:rFonts w:hint="eastAsia" w:ascii="宋体" w:hAnsi="宋体" w:eastAsia="宋体" w:cs="宋体"/>
                <w:snapToGrid w:val="0"/>
                <w:kern w:val="0"/>
                <w:sz w:val="24"/>
                <w:szCs w:val="24"/>
                <w:vertAlign w:val="baseline"/>
              </w:rPr>
            </w:pPr>
            <w:r>
              <w:rPr>
                <w:rFonts w:hint="eastAsia" w:ascii="宋体" w:hAnsi="宋体" w:eastAsia="宋体" w:cs="宋体"/>
                <w:snapToGrid w:val="0"/>
                <w:color w:val="000000"/>
                <w:kern w:val="0"/>
                <w:sz w:val="24"/>
                <w:szCs w:val="24"/>
                <w:lang w:val="en-US" w:eastAsia="zh-CN" w:bidi="ar"/>
              </w:rPr>
              <w:t>一年施肥1-2</w:t>
            </w:r>
          </w:p>
        </w:tc>
      </w:tr>
    </w:tbl>
    <w:p>
      <w:pPr>
        <w:keepNext w:val="0"/>
        <w:keepLines w:val="0"/>
        <w:pageBreakBefore w:val="0"/>
        <w:widowControl/>
        <w:suppressLineNumbers w:val="0"/>
        <w:kinsoku/>
        <w:wordWrap/>
        <w:overflowPunct/>
        <w:topLinePunct w:val="0"/>
        <w:autoSpaceDE/>
        <w:autoSpaceDN/>
        <w:bidi w:val="0"/>
        <w:adjustRightInd/>
        <w:snapToGrid/>
        <w:spacing w:before="220" w:beforeLines="50"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7.3.3施肥方法应符合下列要求：</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（1）土面高低不平应在冬季或早春用消毒后的沙壤土找平，将肥料均匀撒于草坪表面，并用压草机滚压。</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（2）施肥可结合找平进行，生长季施肥一般应在修剪后结合浇水进行。</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（3）大面积草坪宜用施肥机均匀施肥。</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7.3.4施肥种类和用量：</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（1）一般以氮肥和钾肥为主。</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（2）施肥量根据肥料品种而异。</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（3）常用复合肥每次宜15g/㎡－20g/㎡。有机肥料每年宜1000g/㎡。</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7.4.控制杂草</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7.4.1控制杂草应符合下列原则：</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（1）应遵循“预防为主综合治理”的原则，因地制宜制定综合防除方案。</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（2）草坪中大型、恶性及缠绕性杂草必须及时清除，严禁此类草结籽。</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（3）应根据不同级别清除杂草。</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1)一级标准草坪应及时清除杂草。</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2)二级标准草坪应及时清除明显影响景观的杂草。</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7.4.2控制方法应符合下列要求：</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（1）及时清理路边荒地杂草。</w:t>
      </w:r>
    </w:p>
    <w:p>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（2）科学进行肥水管理，增强草坪竞争力，抑制杂草发生。</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7.4.3除草方法应符合下列要求：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（1）除草以人工挑除为主，连根挑净，清理出场。</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（2）必要时采用机械修剪、生物或化学药剂进行防治。</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7.5.追播</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7.5.1应于9月下旬至10月中下旬追播。</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7.5.2追播量应符合以下要求：黑麦草20g/㎡－25g/㎡，草地早熟禾8g/㎡－10g/㎡。</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7.5.3追播措施应符合下列要求：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（1）低修剪：播籽前低修剪，留茬高度小于3㎝。</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（2）杀虫：播籽前草坪全面喷施杀虫剂，消除叶面害虫。若地下害虫虫口密度高，应用杀虫剂消除。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（3）浇水：播种后必须均匀喷水保持土壤湿润。直至出苗，出苗后转入正常养护。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7.6.复壮更新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7.6.1当枯草层增厚，草层及土层通气差，空秃严重，杂草入侵明显，必须复壮更新。</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7.6.2复壮更新措施应符合下列要求：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（1）宜用疏草机或钢齿耙消除枯草层。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（2）宜用打孔机打孔改善土壤通气性。</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（3）结合打孔增施有机肥、复合肥，并适当覆黄沙以改良表层土壤。</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（4）草坪高低悬殊出现秃斑或成片杂草侵入，在采取相应的平整除草措施后用同类草籽或草皮修补。</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（5）养草期间，萌发期、久雨后土壤过湿、过度践踏的草皮应暂停开放。</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7.6.3草坪建植应符合下列要求：</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（1）草坪长势差、空秃严重、杂草无法清除干净，宜重新建植。</w:t>
      </w:r>
    </w:p>
    <w:p>
      <w:pPr>
        <w:keepNext w:val="0"/>
        <w:keepLines w:val="0"/>
        <w:pageBreakBefore w:val="0"/>
        <w:widowControl w:val="0"/>
        <w:suppressLineNumbers w:val="0"/>
        <w:kinsoku/>
        <w:wordWrap/>
        <w:overflowPunct/>
        <w:topLinePunct w:val="0"/>
        <w:autoSpaceDE/>
        <w:autoSpaceDN/>
        <w:bidi w:val="0"/>
        <w:adjustRightInd/>
        <w:snapToGrid/>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（2）草坪光照不足，宜建植适宜的草种或改种耐阴地被植物。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highlight w:val="none"/>
        </w:rPr>
      </w:pPr>
      <w:r>
        <w:rPr>
          <w:rFonts w:hint="eastAsia" w:ascii="宋体" w:hAnsi="宋体" w:eastAsia="宋体" w:cs="宋体"/>
          <w:b/>
          <w:snapToGrid w:val="0"/>
          <w:color w:val="000000"/>
          <w:kern w:val="0"/>
          <w:sz w:val="24"/>
          <w:szCs w:val="24"/>
          <w:highlight w:val="none"/>
          <w:lang w:val="en-US" w:eastAsia="zh-CN" w:bidi="ar"/>
        </w:rPr>
        <w:t>8、地被植物养护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8.1.浇水与排水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8.1.1浇水应符合下列要求：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（1）新种植的地被植物应即浇透水。以后根据土壤及植株生长情况及时补水。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（2）地被植物生长期或久旱无雨、土壤干旱时，应及时浇水。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（3）浇水宜在清晨或傍晚，严禁夏日正午浇水。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（4）气温高、空气湿度低时，阴性地被植物应早、晚进行喷雾。</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（5）浇水应湿透根系。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8.1.2排涝措施应符合下列要求：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（1）应保持地面平整排水通畅。</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（2）连续暴雨或久雨受涝，应及时开沟排水。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8.2.整理修剪</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8.2.1地被植物应保持高度整齐，应低于60㎝。</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8.2.2修剪过高徒长枝控制适当高度，保持上中下木的清晰层次。</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8.2.3及时清除枯残枝。</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8.2.4残花或无观赏价值的宿存果实，应及时清除。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8.2.5萌蘖过多、生长过密的枝条必须疏枝修剪。</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8.2.6植株死亡应立即挖除。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8.2.7地面空秃大于0.5㎡应及时补植。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8.3.施肥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8.3.1选用花灌木作地被时，修剪后应追肥，肥料应以有机复合肥为宜。</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8.3.2多年生草本地被在发芽前、生长期或花后应采取少肥多次的方法补充营养。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8.3.3施肥可根据长势情况并结合浇水进行。</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8.4.松土及控制杂草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8.4.1松土应符合下列要求：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（1）按不同地被植物的种类进行松土。</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（2）松土时严禁损伤地被植物的根系和地下茎。</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（3）地被植物栽植初期，应进行中耕松土和清除植株间杂草。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（4）松土应在晴天，土壤不过湿的情况下进行。</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8.4.2控制杂草应符合下列要求：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（1）清除的杂草应集中处理，切忌随意堆置在树丛内。</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（2）地被植物栽植初期，植株间非目标草均应连根除净。</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（3）地被植物已基本覆盖黄土后，应及时挖除植株间的大型、恶性、缠绕性杂草及高于地被植物的杂草。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8.5.补植更新</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8.5.1补植应符合下列原则：</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（1）因环境条件不适宜生长的地被植物应移出，更换适宜生长的植物。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（2）与上木、中木生长速度显著矛盾，影响上木、中木正常生长的地被植物应移出或去除。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8.5.2补植时间应符合下列要求：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（1）根据植物种类确定移植或种植时间。落叶地被应于休眠期进行，常绿地被应于早春或秋季进行。</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（2）不得在雨天、土地泥泞时进行地被调整种植。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8.5.3更新应采用的措施：</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（1）通过修剪促发分枝。</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（2）灌木类地被植物植株行距过密，必须抽稀移栽。淘汰僵苗、弱苗等无移栽价值的苗木。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（3）球根、宿根类地被3－4年应分株、翻种。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9、竹类养护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9.1.成林竹园养护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9.1.1散生竹的养护应符合下列要求：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（1）浇水与排水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1)为保持竹林水分，浇水必须浇透浇足，特别是2月气候干旱、出笋前、3月－5月生长期间、7月－9月笋芽分化期间的浇水尤为重要。</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2)雨季应及时排涝，遇到干黄梅天，应浇行鞭水。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（2）除草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1)应及时清除危害性杂草。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2月－4月竹园不宜除草。6月－7月应将除下的草覆盖竹园，同时修除生长势差的竹。11月下旬－1月上旬，结合除草，同时修剪和梳理过密的、老化竹；结合疏鞭松土的同时应混施有机(树叶)肥和化肥，也可表层加土或施河泥，起保墒作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（3）松土</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1)每年应全面松土一次，松土宜在6－7月进行，深度10㎝－15㎝。</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2)松土的过程中，应及时除去林内老鞭和竹篼、杂草、石块。</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1)提倡竹林内种植地被或耐荫绿肥，宜将锄下的嫩草埋入土中。</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2)冬季应以酸性有机肥为主，宜施腐熟菜籽饼。</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3)春夏季宜施尿素等速效肥，每年1－3次，即3月、6月和9月间，每次宜150kg/h㎡－230kg/h㎡。</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（5）降雪后不宜敲打，待溶雪后，砍去离开地面的竹根；修剪枯梢竹。</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（6）竹林更新：必须及时挖除残留的竹篼和老鞭，并同时松土。</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（7）竹林结构调整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1)疏笋育竹和护笋养竹：应将细弱竹笋挖除，用锄头扒开茎部泥土，从笋与鞭相连处切断，严禁损伤竹鞭。出笋后，用泥土覆盖笋穴。应保护保留的竹笋，防止人畜危害，严禁盲目挖笋。</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2)控制钩梢：应用锋利刀钩除去新竹竹杆上的枝梢，严禁过度钩梢。没有雪压和风倒危害的地方，不宜钩梢。遇风雪危害预报，应适量钩梢，每株立竹保留15盘以上枝条。</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3)定向培育：宜人工干预引导出笋方向。</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4)更新间伐：间伐时应去弱留强、去老留幼、去密留疏、去内留外。每年应间伐二次，第一次5月－6月，第二次12月－1月，间伐后的竹林应通风透光，减少病虫害危害。5月－6月应适当疏笋，12月－1月除去老竹。</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9.1.2丛生竹养护应符合下列要求：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（1）浇水与排水：同散生竹要求。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（2）除草：应及时清除竹丛四周杂草。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松土(扒土)：每年进行1次，宜在6月－7月或11月－12月进行，距离竹丛30㎝左右，深度在15㎝－20㎝。在竹丛周围用锄头自外而内扒开土，竹篼着生的笋芽应保有光照。在松土的过程中，及时清除竹丛周围的危害性杂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1)应每年施肥2次－3次，第一次为春肥即扒土后10天，宜施酸性有机复合肥，如厩肥、塘泥、饼肥。每丛施有机肥5kg－10kg。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2)小笋芽生长到6㎝，7㎝时应培土，将原扒开的土重新覆盖原处。第二、三次，在出笋的早期和盛期施尿素、硫酸铵追肥，每次每丛约0.5kg。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3)宜沟施，防止嫩笋接触肥水。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（5）更新调整：应在出笋盛期选择方位适宜的壮笋作为母竹。选留的母竹根据生长情况与方位去老留幼，去密留疏。</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9.1.3混生竹养护的主要措施应参照丛生竹养护。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9.2.新植幼林竹养护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9.2.1新植幼林竹养护的主要措施应参照成林竹园养护。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9.2.2新植幼林竹的特别养护应符合下列要求：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（1）散生竹：适时浇水，利用地面覆盖或间种绿肥植物，减少地面蒸发。</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（2）丛生竹</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1)定植后7天－10天内，如遇春旱则每隔3天－4天应浇水。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2)发芽展叶，每隔半个月追施薄肥1次，秋后不宜施肥。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3)平时应锄草松土。</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9.2.3栽植当年4月－5月份有50%母竹萌发新芽，其他应保持到第二年发笋，如第二年仍不发笋，应在第三年春挖除后补植新母竹。</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10、水生植物养护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10.1.植物与水深</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10.1.1应根据品种的习性和生长时期合理控制水生植物的入水深度，在萌芽幼苗期，水不宜深，幼嫩芽叶要微露水面，随着植株的生长，逐步增加水体水量，提高入水深度。</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10.1.2生长盛期的水生植物入水深度应符合下列要求：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（1）石菖蒲、红莲子草、杉叶藻、千屈菜等湿生地被植物入水深度宜5㎝－10㎝。</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（2）雨久花、再力花、花菖蒲、欧州芦荻、花叶香蒲等浅水型植株入水深度宜10㎝－30㎝。</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（3）花叶芦竹、黄菖蒲、葛蒲、水葱、水烛、荻等中小型挺水植物和荇菜、水鳖、萍蓬草、金银莲等浮叶植物入水深度宜30㎝－60㎝。</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深水型水生植物入水深度60㎝－200㎝，荷花，芦苇等少数挺水植物能耐80㎝－100㎝的水深；睡莲、菱、芡实、眼子菜等大量浮叶植物漂浮植物宜在60㎝－150㎝的水域中生长；狐尾藻、金鱼藻、黑藻、菹草、苦草等沉水植物宜在水深60㎝以上的水底生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10.1.3控制措施应符合下列要求：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（1）根据水深合理栽植各类水生植物。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（2）根据水生植物需要的水体深度及时给排水。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（3）当水生植物耐水深度与水体深度不一致时，宜采用种植槽、种植土墩、坑穴或容器、支架等方式调整。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10.1.4水质应符合下列要求：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水质应符合现行国家标准《地表水环境质量标准》(GB3838)的规定。</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（1）黄菖蒲、梭鱼草、水葱、水烛、芦苇、红莲子草等挺水植物宜在水质较浊，富营养化，但没有严重化学污染的II类地面水水质中生长。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（2）灯心草、泽泻、香蒲、荷花、石菖蒲、花叶芦竹等大部分挺水植物和睡莲、金银莲、菱、芡实等浮叶植物宜在IV类地面水、水质尚清净、中度营养化的水质中生长。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（3）花叶水葱、欧洲芦苇、黄花蔺、花叶香蒲等挺水植物以及苦草、狐尾藻、黑藻等沉水植物宜在水质清净、透明度大于0.5ｍ、中营养化程度、Ⅲ－Ⅳ类地面水的水质中生长。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10.2.施肥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10.2.1施肥应符合下列要求：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（1）应补充营养，保证水生植物正常生长。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（2）应用有机肥或缓释复合肥。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（3）不得因施肥污染水质。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outlineLvl w:val="9"/>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10.2.2施肥时间和方法应符合下列要求：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（1）基肥：冬春植株萌动前，将肥泥揉合成团加入水体底泥10㎝－15㎝深处，一般水体的用量应符合下列要求：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饼肥，禽粪：60g/㎡－80g/㎡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厩肥：2.0kg/㎡－2.5kg/㎡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塘泥(或堆肥)：5kg/㎡－7kg/㎡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缓释复合泥肥：100g/㎡－150g/㎡</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新辟的湖、塘、池等底泥贫瘠的水体宜增加：20%－30%的基肥用量。</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1)在生长期，应根据植株开花繁育状况提前10天－15天，参照基肥用量施用缓释复合肥，九月中旬起停止追肥。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2)容器栽培的水生植物在培养土中按比例掺入各类有机肥或缓释复合肥。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686"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3)在富营养化水体中或长势旺盛的水生植物，应控制施肥，以免过度繁衍。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10.3.疏剪整治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10.3.1水生植物过度蔓延，生态失调；休眠期的枯枝败叶，影响景观和营养循环，必须及时疏剪整治。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10.3.2疏剪整治应符合下列要求：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休眠期疏剪：挺水植物应剪除植株枯萎部分，留茬应低矮整齐，抽稀过密枝株，浮叶漂浮植物和沉水植物应结合清塘，疏剪老株根茎，重新铺植。疏剪后各类水生植物植株密度每一平方米应控制在5丛－6丛，每丛3芽－5芽。</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（2）生长期疏剪：6月－8月疏删过密和衰弱的挺水植物枝株，及时捞割过于冗密的沉水植物和浮叶漂浮植物，保持植物类层次，删剪后的植物枝叶必须清除出水体，可堆制沤肥或深埋焚毁。</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（3）繁殖能力特强的水烛、水葱、香菇草以及凤眼莲、水鳖、荇菜等水生植物在生长盛期应按习性及时切除根茎、防止种子散播或采取围护圈养等措施。</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10.4.更新复壮</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10.4.1定植多年的水生植物因不断滋生蔓延而根节纠连或茎枝缠结，影响正常生长，应及时分栽，更新复壮，特别是容器栽培的植株，应每年翻盆整新。</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10.4.2更新复壮应符合下列要求：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春季二－三月植株萌芽前挖起地下根茎或种球，用快刀切取若干块段，各带芽2个－3个和茎节间须根，按设计要求的株行距埋入土中，同时施入基肥，润水发芽后，逐步增加水量，清除已经衰老的母丛枝茎，使新株茁壮成长。</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（2）节上生根或利用芽苞繁衍的漂浮植物，沉水植物，如菹草，金银莲等品种在生长期将老株枝茎带芽切断，栽入底泥或散放水体，萌发新株完成更新。</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（3）黄花蔺、旱伞草、红莲子草、芡实、菱等在本地区不能露地越冬或为一年生的水生植物应及时收取种子或将母本移入暖地，第二年来春施播或母株复壮。</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10.5.水生植物与鱼类的关系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10.5.1鱼种选择应符合以下要求：草鱼、鳊鱼等草食性、食量大的鱼类不宜放养在水生植物水体中。宜选择鲫鱼、罗非鱼等等食量小的杂食性鱼种。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10.5.2控制密度应符合下列要求：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生长季节的水生植物蔓延快，应疏删，应控制在设计种植面积的30%以内。</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放养的鱼类应及时捕捞利用，降低种群密度，保持生物量适度平衡。</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10.5.3鱼类繁殖期间，不宜提早除去沉水水生植物。5月份后将老株切断，及时清除。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11、土壤养护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11.1.土壤有机质和废弃物利用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11.1.1土壤有机质含量应符合下列要求：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（1）各类绿地土壤有机质含量应符合相关规定，含量低于20g/kg，必须增施有机肥。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（2）绿地中提倡种植固氮豆科植物。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11.1.2废弃有机物利用应符合下列要求：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充分利用经过腐熟垃圾堆肥、沤肥、人畜粪肥、河湖淤泥、生活污泥等废弃有机物。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栽培介质宜用秸秆、种壳及果壳、有机食品废渣、植物有机废弃物等堆腐。</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经灭病虫处理的枯枝落叶宜覆盖绿地裸露土表或树坛，覆盖厚度应超过10㎝，离树干不得小于15㎝。也可粉碎、堆腐用作土壤改良材料及有机堆肥原料。</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11.2.土壤水分管理</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11.2.1土壤水分控制应符合下列要求：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（1）严禁直接用废水、工矿生活污水灌溉。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（2）园林绿化灌溉水质标准应符合现行国家标准采用Ⅲ类水。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（3）当土壤含水量小于田间持水量的60%应灌溉。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（4）严禁用高压水枪直喷植物，应雾状喷洒。</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11.2.2灌水定额应符合下列要求：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（1）灌水定额(t/h㎡或ｍ3/h㎡)=(田间持水量%-土壤实际含水量%)×土壤容重×10000(㎡)×根层深度(ｍ)。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植物灌溉，视土壤湿润程度而定，一般深根系的湿润深度不小于30㎝，浅根系不小于15㎝。</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11.2.3提倡节水应用新技术应符合下列要求：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（1）应充分利用城市雨水，收集、滞蓄设施、净化过滤等用于灌溉绿地。</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（2）高架桥绿化、阳台绿化、容器绿化中宜采用高分子保水剂。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（3）宜用清洁、保水、保肥的人工栽培介质。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（4）宜用滴管装置。</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11.3.土壤通气性</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11.3.1土壤容重大于1.3ｍg/ｍ</w:t>
      </w:r>
      <w:r>
        <w:rPr>
          <w:rFonts w:hint="eastAsia" w:ascii="宋体" w:hAnsi="宋体" w:eastAsia="宋体" w:cs="宋体"/>
          <w:snapToGrid w:val="0"/>
          <w:color w:val="000000"/>
          <w:kern w:val="0"/>
          <w:sz w:val="24"/>
          <w:szCs w:val="24"/>
          <w:vertAlign w:val="superscript"/>
          <w:lang w:val="en-US" w:eastAsia="zh-CN" w:bidi="ar"/>
        </w:rPr>
        <w:t>3</w:t>
      </w:r>
      <w:r>
        <w:rPr>
          <w:rFonts w:hint="eastAsia" w:ascii="宋体" w:hAnsi="宋体" w:eastAsia="宋体" w:cs="宋体"/>
          <w:snapToGrid w:val="0"/>
          <w:color w:val="000000"/>
          <w:kern w:val="0"/>
          <w:sz w:val="24"/>
          <w:szCs w:val="24"/>
          <w:lang w:val="en-US" w:eastAsia="zh-CN" w:bidi="ar"/>
        </w:rPr>
        <w:t>，应降低土壤容重。</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11.3.2改良土壤紧实状措施应符合下列要求：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（1）土壤耕作：松土、翻土、打孔，冬天宜深翻。</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（2）为降低容重，改良结构，宜用人工栽培介质（秸秆、种壳及果壳、有机食品废渣、植物有机废弃物、泥炭、珍珠岩等）。</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（3）宜用风吹不扬尘的粗粒物如陶粒、树皮、石子等物料覆盖土壤表面，抗紧实。</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（4）防止践踏。</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（5）应增施有机肥料。</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（6）宜采用通气透水的铺装。距离大树主杆2ｍ－3ｍ范围内，不应有不透气不透水的铺装。</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（7）严禁加厚大树土层，树干根颈部不得埋在土内。</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（8）植株填土过深，根系区域应排暗沟，并在树干50㎝范围内铺设陶粒、浮石等透气材料。</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11.4.土壤酸碱度调节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11.4.1降低土壤pH值方法应符合下列要求：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（1）宜用草炭、泥炭、木屑、松针等酸性有机介质。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（2）宜用硫铵、氯化铵、硫酸钾、氯化钾等生理酸性肥料和过磷酸钙等化学酸性肥料。</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（3）每10㎡加0.5kg的硫磺粉或1.5kg络合铁，粘重土壤，其用量宜增加三分之一。</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11.4.2灌溉水的酸化应符合下列要求：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（1）溉水中加入一定量的硫酸亚铁，明矾等酸性化学物质，使pH降至7.0以下。严禁用硫酸等强酸。</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（2）新鲜的杂草或豆秸秆放水中沤制一个月，待发酵腐烂后成草质水，应兑水稀释后使用。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（3）饼肥10kg－15kg，硫酸亚铁2.5kg－3.0kg，水200kg－250kg共同放入大缸内，置阳光下曝晒发酵20天－30天，成矾肥水，取其清液，兑水稀释施后用。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11.5.盐碱土改良方法</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11.5.1地面覆盖应符合以下要求：割青覆盖，宜用秸杆、薄膜覆盖，防止返盐。</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11.5.2增施有机肥，改良土壤结构，加速脱盐。</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i w:val="0"/>
          <w:iCs w:val="0"/>
          <w:snapToGrid w:val="0"/>
          <w:kern w:val="0"/>
          <w:sz w:val="24"/>
          <w:szCs w:val="24"/>
        </w:rPr>
      </w:pPr>
      <w:r>
        <w:rPr>
          <w:rFonts w:hint="eastAsia" w:ascii="宋体" w:hAnsi="宋体" w:eastAsia="宋体" w:cs="宋体"/>
          <w:i w:val="0"/>
          <w:iCs w:val="0"/>
          <w:snapToGrid w:val="0"/>
          <w:color w:val="000000"/>
          <w:kern w:val="0"/>
          <w:sz w:val="24"/>
          <w:szCs w:val="24"/>
          <w:lang w:val="en-US" w:eastAsia="zh-CN" w:bidi="ar"/>
        </w:rPr>
        <w:t>11.6.施肥</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i w:val="0"/>
          <w:iCs w:val="0"/>
          <w:snapToGrid w:val="0"/>
          <w:kern w:val="0"/>
          <w:sz w:val="24"/>
          <w:szCs w:val="24"/>
        </w:rPr>
      </w:pPr>
      <w:r>
        <w:rPr>
          <w:rFonts w:hint="eastAsia" w:ascii="宋体" w:hAnsi="宋体" w:eastAsia="宋体" w:cs="宋体"/>
          <w:i w:val="0"/>
          <w:iCs w:val="0"/>
          <w:snapToGrid w:val="0"/>
          <w:color w:val="000000"/>
          <w:kern w:val="0"/>
          <w:sz w:val="24"/>
          <w:szCs w:val="24"/>
          <w:lang w:val="en-US" w:eastAsia="zh-CN" w:bidi="ar"/>
        </w:rPr>
        <w:t>11.6.1施肥量应符合下列要求：</w:t>
      </w:r>
    </w:p>
    <w:p>
      <w:pPr>
        <w:pStyle w:val="93"/>
        <w:keepNext w:val="0"/>
        <w:keepLines w:val="0"/>
        <w:pageBreakBefore w:val="0"/>
        <w:widowControl w:val="0"/>
        <w:kinsoku/>
        <w:wordWrap/>
        <w:overflowPunct/>
        <w:topLinePunct w:val="0"/>
        <w:autoSpaceDE/>
        <w:autoSpaceDN/>
        <w:bidi w:val="0"/>
        <w:snapToGrid w:val="0"/>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应当根据不同植物的需肥情况确定施肥量</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符合表1</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rPr>
        <w:t>.6.1要求。</w:t>
      </w:r>
    </w:p>
    <w:p>
      <w:pPr>
        <w:pStyle w:val="93"/>
        <w:keepNext w:val="0"/>
        <w:keepLines w:val="0"/>
        <w:pageBreakBefore w:val="0"/>
        <w:widowControl w:val="0"/>
        <w:kinsoku/>
        <w:wordWrap/>
        <w:overflowPunct/>
        <w:topLinePunct w:val="0"/>
        <w:autoSpaceDE/>
        <w:autoSpaceDN/>
        <w:bidi w:val="0"/>
        <w:snapToGrid w:val="0"/>
        <w:spacing w:line="312" w:lineRule="auto"/>
        <w:ind w:left="0" w:leftChars="0" w:firstLine="0" w:firstLineChars="0"/>
        <w:jc w:val="center"/>
        <w:textAlignment w:val="auto"/>
        <w:rPr>
          <w:rFonts w:hint="eastAsia" w:ascii="宋体" w:hAnsi="宋体" w:eastAsia="宋体" w:cs="宋体"/>
          <w:b/>
          <w:bCs/>
          <w:i w:val="0"/>
          <w:iCs w:val="0"/>
          <w:color w:val="auto"/>
          <w:kern w:val="0"/>
          <w:sz w:val="24"/>
          <w:szCs w:val="24"/>
        </w:rPr>
      </w:pPr>
      <w:r>
        <w:rPr>
          <w:rFonts w:hint="eastAsia" w:ascii="宋体" w:hAnsi="宋体" w:eastAsia="宋体" w:cs="宋体"/>
          <w:b/>
          <w:bCs/>
          <w:i w:val="0"/>
          <w:iCs w:val="0"/>
          <w:color w:val="auto"/>
          <w:kern w:val="0"/>
          <w:sz w:val="24"/>
          <w:szCs w:val="24"/>
        </w:rPr>
        <w:t>表1</w:t>
      </w:r>
      <w:r>
        <w:rPr>
          <w:rFonts w:hint="eastAsia" w:ascii="宋体" w:hAnsi="宋体" w:eastAsia="宋体" w:cs="宋体"/>
          <w:b/>
          <w:bCs/>
          <w:i w:val="0"/>
          <w:iCs w:val="0"/>
          <w:color w:val="auto"/>
          <w:kern w:val="0"/>
          <w:sz w:val="24"/>
          <w:szCs w:val="24"/>
          <w:lang w:val="en-US" w:eastAsia="zh-CN"/>
        </w:rPr>
        <w:t>1</w:t>
      </w:r>
      <w:r>
        <w:rPr>
          <w:rFonts w:hint="eastAsia" w:ascii="宋体" w:hAnsi="宋体" w:eastAsia="宋体" w:cs="宋体"/>
          <w:b/>
          <w:bCs/>
          <w:i w:val="0"/>
          <w:iCs w:val="0"/>
          <w:color w:val="auto"/>
          <w:kern w:val="0"/>
          <w:sz w:val="24"/>
          <w:szCs w:val="24"/>
        </w:rPr>
        <w:t>.6.1植物耐盐碱及施肥单位:EC值</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873"/>
        <w:gridCol w:w="1947"/>
        <w:gridCol w:w="4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73" w:type="dxa"/>
            <w:gridSpan w:val="2"/>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植物的耐盐性</w:t>
            </w:r>
          </w:p>
        </w:tc>
        <w:tc>
          <w:tcPr>
            <w:tcW w:w="1947" w:type="dxa"/>
            <w:vMerge w:val="restart"/>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盐分等级</w:t>
            </w:r>
          </w:p>
        </w:tc>
        <w:tc>
          <w:tcPr>
            <w:tcW w:w="4343" w:type="dxa"/>
            <w:vMerge w:val="restart"/>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需肥情况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敏感</w:t>
            </w:r>
          </w:p>
        </w:tc>
        <w:tc>
          <w:tcPr>
            <w:tcW w:w="1873"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中等</w:t>
            </w:r>
          </w:p>
        </w:tc>
        <w:tc>
          <w:tcPr>
            <w:tcW w:w="1947" w:type="dxa"/>
            <w:vMerge w:val="continue"/>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p>
        </w:tc>
        <w:tc>
          <w:tcPr>
            <w:tcW w:w="4343" w:type="dxa"/>
            <w:vMerge w:val="continue"/>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＜0.37</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0.37－0.75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0.75－1.0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1.30－2.0</w:t>
            </w:r>
          </w:p>
        </w:tc>
        <w:tc>
          <w:tcPr>
            <w:tcW w:w="1873"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&lt;0.5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0.5－1.0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1.0－1.75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1.75－2.75</w:t>
            </w:r>
          </w:p>
        </w:tc>
        <w:tc>
          <w:tcPr>
            <w:tcW w:w="1947"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低</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eastAsia="zh-CN"/>
              </w:rPr>
              <w:t>低</w:t>
            </w:r>
            <w:r>
              <w:rPr>
                <w:rFonts w:hint="eastAsia" w:ascii="宋体" w:hAnsi="宋体" w:eastAsia="宋体" w:cs="宋体"/>
                <w:i w:val="0"/>
                <w:iCs w:val="0"/>
                <w:color w:val="auto"/>
                <w:kern w:val="0"/>
                <w:sz w:val="24"/>
                <w:szCs w:val="24"/>
                <w:vertAlign w:val="baseline"/>
                <w:lang w:val="en-US" w:eastAsia="zh-CN"/>
              </w:rPr>
              <w:t>－中</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中－高</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高－非常高</w:t>
            </w:r>
          </w:p>
        </w:tc>
        <w:tc>
          <w:tcPr>
            <w:tcW w:w="4343"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必须施肥</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eastAsia="zh-CN"/>
              </w:rPr>
              <w:t>施肥到</w:t>
            </w:r>
            <w:r>
              <w:rPr>
                <w:rFonts w:hint="eastAsia" w:ascii="宋体" w:hAnsi="宋体" w:eastAsia="宋体" w:cs="宋体"/>
                <w:i w:val="0"/>
                <w:iCs w:val="0"/>
                <w:color w:val="auto"/>
                <w:kern w:val="0"/>
                <w:sz w:val="24"/>
                <w:szCs w:val="24"/>
                <w:vertAlign w:val="baseline"/>
                <w:lang w:val="en-US" w:eastAsia="zh-CN"/>
              </w:rPr>
              <w:t>0.75或1.0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适宜范围不需要施肥</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不能施肥，并有必要对盐分淋洗</w:t>
            </w:r>
          </w:p>
        </w:tc>
      </w:tr>
    </w:tbl>
    <w:p>
      <w:pPr>
        <w:pStyle w:val="93"/>
        <w:keepNext w:val="0"/>
        <w:keepLines w:val="0"/>
        <w:pageBreakBefore w:val="0"/>
        <w:widowControl w:val="0"/>
        <w:numPr>
          <w:ilvl w:val="0"/>
          <w:numId w:val="0"/>
        </w:numPr>
        <w:kinsoku/>
        <w:wordWrap/>
        <w:overflowPunct/>
        <w:topLinePunct w:val="0"/>
        <w:autoSpaceDE/>
        <w:autoSpaceDN/>
        <w:bidi w:val="0"/>
        <w:adjustRightInd/>
        <w:snapToGrid/>
        <w:spacing w:before="220" w:beforeLines="50" w:line="312" w:lineRule="auto"/>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遵循“薄肥勤施”的原则</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严禁施浓肥和过量施肥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采取在适量基肥的基础上用稀溶液(0.1%</w:t>
      </w:r>
      <w:r>
        <w:rPr>
          <w:rFonts w:hint="eastAsia" w:ascii="宋体" w:hAnsi="宋体" w:eastAsia="宋体" w:cs="宋体"/>
          <w:i w:val="0"/>
          <w:iCs w:val="0"/>
          <w:color w:val="000000"/>
          <w:kern w:val="0"/>
          <w:sz w:val="24"/>
          <w:szCs w:val="24"/>
          <w:lang w:val="en-US" w:eastAsia="zh-CN"/>
        </w:rPr>
        <w:t>—</w:t>
      </w:r>
      <w:r>
        <w:rPr>
          <w:rFonts w:hint="eastAsia" w:ascii="宋体" w:hAnsi="宋体" w:eastAsia="宋体" w:cs="宋体"/>
          <w:i w:val="0"/>
          <w:iCs w:val="0"/>
          <w:color w:val="000000"/>
          <w:kern w:val="0"/>
          <w:sz w:val="24"/>
          <w:szCs w:val="24"/>
        </w:rPr>
        <w:t>0.4%)分数次使用</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宜和灌水结合</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事先配成浓溶液</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施用时以100倍或200倍稀释浇灌。</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测定土壤电导率EC值</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了解需肥情况。</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电导值EC和花卉施肥:土/水比1:2。</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lang w:eastAsia="zh-CN"/>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.6.2因土施肥应符合下列要求</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砂质土应少量多次。</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粘质土应重基肥轻追肥。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壤质土应基肥追肥并重。</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石灰性土壤不得施用骨粉、磷矿粉等难溶性磷肥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应施用过磷酸钙、重过磷酸钙等水溶性磷肥。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lang w:eastAsia="zh-CN"/>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5</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盐碱土宜用硫铵、硫酸钾</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不宜用氯化铵、氯化钾。</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lang w:eastAsia="zh-CN"/>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.6.3因植物种类施肥应符合下列要求</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杜鹃、茶花、栀子、五针松南方喜酸性花木宜用硫铵、硫酸钾生理酸性肥料。</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果树、茶、云杉、桂花、球根花卉忌氯植物</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不宜施用氯化铵、氯化钾。</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观赏凤梨严禁施硼肥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以观叶为主的花卉偏施氮肥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球根花卉偏施钾肥。</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不同种类园林植物基肥用量(复合肥)和追肥施用浓度应按照表1</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rPr>
        <w:t>.6.3规定。</w:t>
      </w:r>
    </w:p>
    <w:p>
      <w:pPr>
        <w:pStyle w:val="93"/>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i w:val="0"/>
          <w:iCs w:val="0"/>
          <w:color w:val="auto"/>
          <w:kern w:val="0"/>
          <w:sz w:val="24"/>
          <w:szCs w:val="24"/>
        </w:rPr>
      </w:pPr>
      <w:r>
        <w:rPr>
          <w:rFonts w:hint="eastAsia" w:ascii="宋体" w:hAnsi="宋体" w:eastAsia="宋体" w:cs="宋体"/>
          <w:b/>
          <w:bCs/>
          <w:i w:val="0"/>
          <w:iCs w:val="0"/>
          <w:color w:val="auto"/>
          <w:kern w:val="0"/>
          <w:sz w:val="24"/>
          <w:szCs w:val="24"/>
        </w:rPr>
        <w:t>表1</w:t>
      </w:r>
      <w:r>
        <w:rPr>
          <w:rFonts w:hint="eastAsia" w:ascii="宋体" w:hAnsi="宋体" w:eastAsia="宋体" w:cs="宋体"/>
          <w:b/>
          <w:bCs/>
          <w:i w:val="0"/>
          <w:iCs w:val="0"/>
          <w:color w:val="auto"/>
          <w:kern w:val="0"/>
          <w:sz w:val="24"/>
          <w:szCs w:val="24"/>
          <w:lang w:val="en-US" w:eastAsia="zh-CN"/>
        </w:rPr>
        <w:t>1</w:t>
      </w:r>
      <w:r>
        <w:rPr>
          <w:rFonts w:hint="eastAsia" w:ascii="宋体" w:hAnsi="宋体" w:eastAsia="宋体" w:cs="宋体"/>
          <w:b/>
          <w:bCs/>
          <w:i w:val="0"/>
          <w:iCs w:val="0"/>
          <w:color w:val="auto"/>
          <w:kern w:val="0"/>
          <w:sz w:val="24"/>
          <w:szCs w:val="24"/>
        </w:rPr>
        <w:t>.6.3不同花卉的施肥用量与追肥浓度</w:t>
      </w:r>
    </w:p>
    <w:tbl>
      <w:tblPr>
        <w:tblStyle w:val="48"/>
        <w:tblW w:w="10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615"/>
        <w:gridCol w:w="1500"/>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7" w:type="dxa"/>
            <w:vMerge w:val="restart"/>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类别</w:t>
            </w:r>
          </w:p>
        </w:tc>
        <w:tc>
          <w:tcPr>
            <w:tcW w:w="5615" w:type="dxa"/>
            <w:vMerge w:val="restart"/>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植物</w:t>
            </w:r>
          </w:p>
        </w:tc>
        <w:tc>
          <w:tcPr>
            <w:tcW w:w="3312" w:type="dxa"/>
            <w:gridSpan w:val="2"/>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7" w:type="dxa"/>
            <w:vMerge w:val="continue"/>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p>
        </w:tc>
        <w:tc>
          <w:tcPr>
            <w:tcW w:w="5615" w:type="dxa"/>
            <w:vMerge w:val="continue"/>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p>
        </w:tc>
        <w:tc>
          <w:tcPr>
            <w:tcW w:w="15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基肥kg/ｍ</w:t>
            </w:r>
            <w:r>
              <w:rPr>
                <w:rFonts w:hint="eastAsia" w:ascii="宋体" w:hAnsi="宋体" w:eastAsia="宋体" w:cs="宋体"/>
                <w:i w:val="0"/>
                <w:iCs w:val="0"/>
                <w:color w:val="auto"/>
                <w:kern w:val="0"/>
                <w:sz w:val="24"/>
                <w:szCs w:val="24"/>
                <w:vertAlign w:val="superscript"/>
                <w:lang w:val="en-US" w:eastAsia="zh-CN"/>
              </w:rPr>
              <w:t>3</w:t>
            </w:r>
          </w:p>
        </w:tc>
        <w:tc>
          <w:tcPr>
            <w:tcW w:w="1812"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追肥浓度</w:t>
            </w:r>
            <w:r>
              <w:rPr>
                <w:rFonts w:hint="eastAsia" w:ascii="宋体" w:hAnsi="宋体" w:eastAsia="宋体" w:cs="宋体"/>
                <w:i w:val="0"/>
                <w:iCs w:val="0"/>
                <w:color w:val="auto"/>
                <w:kern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7"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少肥</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植物</w:t>
            </w:r>
          </w:p>
        </w:tc>
        <w:tc>
          <w:tcPr>
            <w:tcW w:w="5615"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val="en-US" w:eastAsia="zh-CN"/>
              </w:rPr>
              <w:t>铁线蕨、欧石楠、报春属、栀子属、山茶属、秋海棠属、</w:t>
            </w:r>
            <w:r>
              <w:rPr>
                <w:rFonts w:hint="eastAsia" w:ascii="宋体" w:hAnsi="宋体" w:eastAsia="宋体" w:cs="宋体"/>
                <w:i w:val="0"/>
                <w:iCs w:val="0"/>
                <w:color w:val="auto"/>
                <w:kern w:val="0"/>
                <w:sz w:val="24"/>
                <w:szCs w:val="24"/>
              </w:rPr>
              <w:t>马鞭草属、翠菊属、山月桂、风铃草、龙胆、万年青</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石榴、凤梨、石斛、卡特兰、杜鹃等</w:t>
            </w:r>
          </w:p>
        </w:tc>
        <w:tc>
          <w:tcPr>
            <w:tcW w:w="15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0.5-1.0</w:t>
            </w:r>
          </w:p>
        </w:tc>
        <w:tc>
          <w:tcPr>
            <w:tcW w:w="1812"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w:t>
            </w:r>
            <w:r>
              <w:rPr>
                <w:rFonts w:hint="eastAsia" w:ascii="宋体" w:hAnsi="宋体" w:eastAsia="宋体" w:cs="宋体"/>
                <w:i w:val="0"/>
                <w:iCs w:val="0"/>
                <w:color w:val="auto"/>
                <w:kern w:val="0"/>
                <w:sz w:val="24"/>
                <w:szCs w:val="24"/>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7"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中肥植物</w:t>
            </w:r>
          </w:p>
        </w:tc>
        <w:tc>
          <w:tcPr>
            <w:tcW w:w="5615"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olor w:val="auto"/>
                <w:kern w:val="0"/>
                <w:sz w:val="24"/>
                <w:szCs w:val="24"/>
                <w:lang w:eastAsia="zh-CN"/>
              </w:rPr>
            </w:pPr>
            <w:r>
              <w:rPr>
                <w:rFonts w:hint="eastAsia" w:ascii="宋体" w:hAnsi="宋体" w:eastAsia="宋体" w:cs="宋体"/>
                <w:i w:val="0"/>
                <w:iCs w:val="0"/>
                <w:color w:val="auto"/>
                <w:kern w:val="0"/>
                <w:sz w:val="24"/>
                <w:szCs w:val="24"/>
              </w:rPr>
              <w:t>中肥花叶兰、小苍兰、非洲菊、仙客来、蓬莱蕉、虎尾兰属、八仙花、万寿菊、百日草、牵牛花、牡丹、梅、郁金香、三色堇、吊钟海棠、君子兰、印度橡皮树等</w:t>
            </w:r>
          </w:p>
        </w:tc>
        <w:tc>
          <w:tcPr>
            <w:tcW w:w="15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1.5</w:t>
            </w:r>
          </w:p>
        </w:tc>
        <w:tc>
          <w:tcPr>
            <w:tcW w:w="1812"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w:t>
            </w:r>
            <w:r>
              <w:rPr>
                <w:rFonts w:hint="eastAsia" w:ascii="宋体" w:hAnsi="宋体" w:eastAsia="宋体" w:cs="宋体"/>
                <w:i w:val="0"/>
                <w:iCs w:val="0"/>
                <w:color w:val="auto"/>
                <w:kern w:val="0"/>
                <w:sz w:val="24"/>
                <w:szCs w:val="24"/>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7"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多肥植物</w:t>
            </w:r>
          </w:p>
        </w:tc>
        <w:tc>
          <w:tcPr>
            <w:tcW w:w="5615"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olor w:val="auto"/>
                <w:kern w:val="0"/>
                <w:sz w:val="24"/>
                <w:szCs w:val="24"/>
                <w:lang w:eastAsia="zh-CN"/>
              </w:rPr>
            </w:pPr>
            <w:r>
              <w:rPr>
                <w:rFonts w:hint="eastAsia" w:ascii="宋体" w:hAnsi="宋体" w:eastAsia="宋体" w:cs="宋体"/>
                <w:i w:val="0"/>
                <w:iCs w:val="0"/>
                <w:color w:val="auto"/>
                <w:kern w:val="0"/>
                <w:sz w:val="24"/>
                <w:szCs w:val="24"/>
              </w:rPr>
              <w:t>多肥天竺葵、非洲紫苣苔、菊花、香石竹、一品红、</w:t>
            </w:r>
            <w:r>
              <w:rPr>
                <w:rFonts w:hint="eastAsia" w:ascii="宋体" w:hAnsi="宋体" w:eastAsia="宋体" w:cs="宋体"/>
                <w:i w:val="0"/>
                <w:iCs w:val="0"/>
                <w:color w:val="auto"/>
                <w:kern w:val="0"/>
                <w:sz w:val="24"/>
                <w:szCs w:val="24"/>
                <w:lang w:eastAsia="zh-CN"/>
              </w:rPr>
              <w:t>绣</w:t>
            </w:r>
            <w:r>
              <w:rPr>
                <w:rFonts w:hint="eastAsia" w:ascii="宋体" w:hAnsi="宋体" w:eastAsia="宋体" w:cs="宋体"/>
                <w:i w:val="0"/>
                <w:iCs w:val="0"/>
                <w:color w:val="auto"/>
                <w:kern w:val="0"/>
                <w:sz w:val="24"/>
                <w:szCs w:val="24"/>
              </w:rPr>
              <w:t>球花、毛茛</w:t>
            </w:r>
          </w:p>
        </w:tc>
        <w:tc>
          <w:tcPr>
            <w:tcW w:w="1500"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3</w:t>
            </w:r>
          </w:p>
        </w:tc>
        <w:tc>
          <w:tcPr>
            <w:tcW w:w="1812" w:type="dxa"/>
            <w:noWrap w:val="0"/>
            <w:tcMar>
              <w:top w:w="85" w:type="dxa"/>
              <w:left w:w="108" w:type="dxa"/>
              <w:bottom w:w="85" w:type="dxa"/>
              <w:right w:w="108" w:type="dxa"/>
            </w:tcMar>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w:t>
            </w:r>
            <w:r>
              <w:rPr>
                <w:rFonts w:hint="eastAsia" w:ascii="宋体" w:hAnsi="宋体" w:eastAsia="宋体" w:cs="宋体"/>
                <w:i w:val="0"/>
                <w:iCs w:val="0"/>
                <w:color w:val="auto"/>
                <w:kern w:val="0"/>
                <w:sz w:val="24"/>
                <w:szCs w:val="24"/>
                <w:vertAlign w:val="baseline"/>
                <w:lang w:val="en-US" w:eastAsia="zh-CN"/>
              </w:rPr>
              <w:t>0.3</w:t>
            </w:r>
          </w:p>
        </w:tc>
      </w:tr>
    </w:tbl>
    <w:p>
      <w:pPr>
        <w:pStyle w:val="93"/>
        <w:keepNext w:val="0"/>
        <w:keepLines w:val="0"/>
        <w:pageBreakBefore w:val="0"/>
        <w:widowControl w:val="0"/>
        <w:kinsoku/>
        <w:wordWrap/>
        <w:overflowPunct/>
        <w:topLinePunct w:val="0"/>
        <w:autoSpaceDE/>
        <w:autoSpaceDN/>
        <w:bidi w:val="0"/>
        <w:adjustRightInd/>
        <w:snapToGrid/>
        <w:spacing w:before="220" w:beforeLines="50" w:line="312" w:lineRule="auto"/>
        <w:ind w:firstLine="482" w:firstLineChars="0"/>
        <w:textAlignment w:val="auto"/>
        <w:rPr>
          <w:rFonts w:hint="eastAsia" w:ascii="宋体" w:hAnsi="宋体" w:eastAsia="宋体" w:cs="宋体"/>
          <w:b/>
          <w:bCs/>
          <w:i w:val="0"/>
          <w:iCs w:val="0"/>
          <w:color w:val="000000"/>
          <w:kern w:val="0"/>
          <w:sz w:val="24"/>
          <w:szCs w:val="24"/>
          <w:lang w:eastAsia="zh-CN"/>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.6.4因植物生长状态施肥应符合下列要求:</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黄瘦植株(非因根系腐烂所引起)多施肥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孕蕾期、花后应多施肥。</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健壮植株、植物发芽时、徒长植物应少施肥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植物休眠期不得施肥。</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观大型花的花卉</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如菊花、大丽菊在开花期应施适量的完全肥料。</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观果类花卉在开花期应控制肥水</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壮果期应施充足的完全肥料。</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5</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香气浓的花卉进入开花期应补充磷、钾肥。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6.5因季节施肥应符合下列要求:</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春秋季植物生长旺盛</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应多施肥。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夏季气温高</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水分蒸腾量大</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宜薄肥随水施。</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lang w:eastAsia="zh-CN"/>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冬季温度低</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植物生长停滞</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不宜施速效性化肥。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雨季应少施肥。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.6.6因肥施肥应符合下列要求:</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氮肥、钾肥应施入10</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以下土层中。</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过磷酸钙、磷酸铵应集中施用到近植物根部。</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尿素做追肥时</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应避免施用后浇大水或降大雨前施用。</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4</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铵态氮肥不得与碱性肥料混合</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微量元素肥料不得与水溶性磷肥混合。</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5</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尿素、氯化铵对种子有毒害作用不得做种肥。</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lang w:eastAsia="zh-CN"/>
        </w:rPr>
      </w:pPr>
      <w:r>
        <w:rPr>
          <w:rFonts w:hint="eastAsia" w:ascii="宋体" w:hAnsi="宋体" w:eastAsia="宋体" w:cs="宋体"/>
          <w:b/>
          <w:bCs/>
          <w:i w:val="0"/>
          <w:iCs w:val="0"/>
          <w:color w:val="000000"/>
          <w:kern w:val="0"/>
          <w:sz w:val="24"/>
          <w:szCs w:val="24"/>
        </w:rPr>
        <w:t>1</w:t>
      </w:r>
      <w:r>
        <w:rPr>
          <w:rFonts w:hint="eastAsia" w:ascii="宋体" w:hAnsi="宋体" w:eastAsia="宋体" w:cs="宋体"/>
          <w:b/>
          <w:bCs/>
          <w:i w:val="0"/>
          <w:iCs w:val="0"/>
          <w:color w:val="000000"/>
          <w:kern w:val="0"/>
          <w:sz w:val="24"/>
          <w:szCs w:val="24"/>
          <w:lang w:val="en-US" w:eastAsia="zh-CN"/>
        </w:rPr>
        <w:t>1</w:t>
      </w:r>
      <w:r>
        <w:rPr>
          <w:rFonts w:hint="eastAsia" w:ascii="宋体" w:hAnsi="宋体" w:eastAsia="宋体" w:cs="宋体"/>
          <w:b/>
          <w:bCs/>
          <w:i w:val="0"/>
          <w:iCs w:val="0"/>
          <w:color w:val="000000"/>
          <w:kern w:val="0"/>
          <w:sz w:val="24"/>
          <w:szCs w:val="24"/>
        </w:rPr>
        <w:t>.6.7施肥位置应符合下列要求:</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施基肥时必须与土壤混匀</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不得将肥料直接放在根系上。</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肥料必须施在距树冠外缘投影2/3的树木吸收根处。在距树干30</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范围内</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不得施用干化肥。</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3</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除根外施肥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肥料不得施于花、叶</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施肥后应立即用清水喷洒枝叶。</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rPr>
      </w:pPr>
      <w:r>
        <w:rPr>
          <w:rFonts w:hint="eastAsia" w:ascii="宋体" w:hAnsi="宋体" w:eastAsia="宋体" w:cs="宋体"/>
          <w:b/>
          <w:bCs/>
          <w:i w:val="0"/>
          <w:iCs w:val="0"/>
          <w:color w:val="000000"/>
          <w:kern w:val="0"/>
          <w:sz w:val="24"/>
          <w:szCs w:val="24"/>
          <w:lang w:val="en-US" w:eastAsia="zh-CN"/>
        </w:rPr>
        <w:t>11</w:t>
      </w:r>
      <w:r>
        <w:rPr>
          <w:rFonts w:hint="eastAsia" w:ascii="宋体" w:hAnsi="宋体" w:eastAsia="宋体" w:cs="宋体"/>
          <w:b/>
          <w:bCs/>
          <w:i w:val="0"/>
          <w:iCs w:val="0"/>
          <w:color w:val="000000"/>
          <w:kern w:val="0"/>
          <w:sz w:val="24"/>
          <w:szCs w:val="24"/>
        </w:rPr>
        <w:t>.6.8安全、卫生施肥应符合下列要求:</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花坛、草坪不得施用人粪尿或未经腐熟堆制的家畜家禽粪尿。</w:t>
      </w:r>
    </w:p>
    <w:p>
      <w:pPr>
        <w:pStyle w:val="93"/>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不得将重金属超标或其它有毒物质超标的废弃物当肥料施用。</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b/>
          <w:bCs/>
          <w:i w:val="0"/>
          <w:iCs w:val="0"/>
          <w:color w:val="000000"/>
          <w:kern w:val="0"/>
          <w:sz w:val="24"/>
          <w:szCs w:val="24"/>
        </w:rPr>
      </w:pPr>
      <w:r>
        <w:rPr>
          <w:rFonts w:hint="eastAsia" w:ascii="宋体" w:hAnsi="宋体" w:eastAsia="宋体" w:cs="宋体"/>
          <w:b/>
          <w:bCs/>
          <w:i w:val="0"/>
          <w:iCs w:val="0"/>
          <w:color w:val="000000"/>
          <w:kern w:val="0"/>
          <w:sz w:val="24"/>
          <w:szCs w:val="24"/>
          <w:lang w:val="en-US" w:eastAsia="zh-CN"/>
        </w:rPr>
        <w:t>11</w:t>
      </w:r>
      <w:r>
        <w:rPr>
          <w:rFonts w:hint="eastAsia" w:ascii="宋体" w:hAnsi="宋体" w:eastAsia="宋体" w:cs="宋体"/>
          <w:b/>
          <w:bCs/>
          <w:i w:val="0"/>
          <w:iCs w:val="0"/>
          <w:color w:val="000000"/>
          <w:kern w:val="0"/>
          <w:sz w:val="24"/>
          <w:szCs w:val="24"/>
        </w:rPr>
        <w:t>.6.9根外追肥应符合下列要求:</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根外追肥是一项辅助措施</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下述情况下宜根外追肥</w:t>
      </w:r>
    </w:p>
    <w:p>
      <w:pPr>
        <w:pStyle w:val="93"/>
        <w:keepNext w:val="0"/>
        <w:keepLines w:val="0"/>
        <w:pageBreakBefore w:val="0"/>
        <w:widowControl w:val="0"/>
        <w:kinsoku/>
        <w:wordWrap/>
        <w:overflowPunct/>
        <w:topLinePunct w:val="0"/>
        <w:autoSpaceDE/>
        <w:autoSpaceDN/>
        <w:bidi w:val="0"/>
        <w:adjustRightInd/>
        <w:snapToGrid/>
        <w:spacing w:line="312" w:lineRule="auto"/>
        <w:ind w:firstLine="765" w:firstLineChars="319"/>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rPr>
        <w:t>1)基肥不足</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植物出现脱肥现象。</w:t>
      </w:r>
    </w:p>
    <w:p>
      <w:pPr>
        <w:pStyle w:val="93"/>
        <w:keepNext w:val="0"/>
        <w:keepLines w:val="0"/>
        <w:pageBreakBefore w:val="0"/>
        <w:widowControl w:val="0"/>
        <w:kinsoku/>
        <w:wordWrap/>
        <w:overflowPunct/>
        <w:topLinePunct w:val="0"/>
        <w:autoSpaceDE/>
        <w:autoSpaceDN/>
        <w:bidi w:val="0"/>
        <w:adjustRightInd/>
        <w:snapToGrid/>
        <w:spacing w:line="312" w:lineRule="auto"/>
        <w:ind w:firstLine="765" w:firstLineChars="319"/>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rPr>
        <w:t>2)为促进越冬草坪提早返青分蘖</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提高草坪质量。</w:t>
      </w:r>
    </w:p>
    <w:p>
      <w:pPr>
        <w:pStyle w:val="93"/>
        <w:keepNext w:val="0"/>
        <w:keepLines w:val="0"/>
        <w:pageBreakBefore w:val="0"/>
        <w:widowControl w:val="0"/>
        <w:kinsoku/>
        <w:wordWrap/>
        <w:overflowPunct/>
        <w:topLinePunct w:val="0"/>
        <w:autoSpaceDE/>
        <w:autoSpaceDN/>
        <w:bidi w:val="0"/>
        <w:adjustRightInd/>
        <w:snapToGrid/>
        <w:spacing w:line="312" w:lineRule="auto"/>
        <w:ind w:firstLine="765" w:firstLineChars="319"/>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rPr>
        <w:t>3)植物根系损伤</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如大树移栽后</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根系生长弱</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吸收能力差。</w:t>
      </w:r>
    </w:p>
    <w:p>
      <w:pPr>
        <w:pStyle w:val="93"/>
        <w:keepNext w:val="0"/>
        <w:keepLines w:val="0"/>
        <w:pageBreakBefore w:val="0"/>
        <w:widowControl w:val="0"/>
        <w:kinsoku/>
        <w:wordWrap/>
        <w:overflowPunct/>
        <w:topLinePunct w:val="0"/>
        <w:autoSpaceDE/>
        <w:autoSpaceDN/>
        <w:bidi w:val="0"/>
        <w:adjustRightInd/>
        <w:snapToGrid/>
        <w:spacing w:line="312" w:lineRule="auto"/>
        <w:ind w:firstLine="765" w:firstLineChars="319"/>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rPr>
        <w:t>4)高度密植花木</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不便于开沟追肥。</w:t>
      </w:r>
    </w:p>
    <w:p>
      <w:pPr>
        <w:pStyle w:val="93"/>
        <w:keepNext w:val="0"/>
        <w:keepLines w:val="0"/>
        <w:pageBreakBefore w:val="0"/>
        <w:widowControl w:val="0"/>
        <w:kinsoku/>
        <w:wordWrap/>
        <w:overflowPunct/>
        <w:topLinePunct w:val="0"/>
        <w:autoSpaceDE/>
        <w:autoSpaceDN/>
        <w:bidi w:val="0"/>
        <w:adjustRightInd/>
        <w:snapToGrid/>
        <w:spacing w:line="312" w:lineRule="auto"/>
        <w:ind w:firstLine="765" w:firstLineChars="319"/>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rPr>
        <w:t>5)需要及时矫治某种营养缺乏症。</w:t>
      </w:r>
    </w:p>
    <w:p>
      <w:pPr>
        <w:pStyle w:val="93"/>
        <w:keepNext w:val="0"/>
        <w:keepLines w:val="0"/>
        <w:pageBreakBefore w:val="0"/>
        <w:widowControl w:val="0"/>
        <w:kinsoku/>
        <w:wordWrap/>
        <w:overflowPunct/>
        <w:topLinePunct w:val="0"/>
        <w:autoSpaceDE/>
        <w:autoSpaceDN/>
        <w:bidi w:val="0"/>
        <w:adjustRightInd/>
        <w:snapToGrid/>
        <w:spacing w:line="312" w:lineRule="auto"/>
        <w:ind w:firstLine="482" w:firstLineChars="0"/>
        <w:textAlignment w:val="auto"/>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lang w:val="en-US" w:eastAsia="zh-CN"/>
        </w:rPr>
        <w:t>2</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应选择适宜浓度追肥</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符合表1</w:t>
      </w:r>
      <w:r>
        <w:rPr>
          <w:rFonts w:hint="eastAsia" w:ascii="宋体" w:hAnsi="宋体" w:eastAsia="宋体" w:cs="宋体"/>
          <w:i w:val="0"/>
          <w:iCs w:val="0"/>
          <w:color w:val="000000"/>
          <w:kern w:val="0"/>
          <w:sz w:val="24"/>
          <w:szCs w:val="24"/>
          <w:lang w:val="en-US" w:eastAsia="zh-CN"/>
        </w:rPr>
        <w:t>1</w:t>
      </w:r>
      <w:r>
        <w:rPr>
          <w:rFonts w:hint="eastAsia" w:ascii="宋体" w:hAnsi="宋体" w:eastAsia="宋体" w:cs="宋体"/>
          <w:i w:val="0"/>
          <w:iCs w:val="0"/>
          <w:color w:val="000000"/>
          <w:kern w:val="0"/>
          <w:sz w:val="24"/>
          <w:szCs w:val="24"/>
        </w:rPr>
        <w:t>.6.9要求。生育期短的植物一年宜喷1次</w:t>
      </w:r>
      <w:r>
        <w:rPr>
          <w:rFonts w:hint="eastAsia" w:ascii="宋体" w:hAnsi="宋体" w:eastAsia="宋体" w:cs="宋体"/>
          <w:i w:val="0"/>
          <w:iCs w:val="0"/>
          <w:color w:val="000000"/>
          <w:kern w:val="0"/>
          <w:sz w:val="24"/>
          <w:szCs w:val="24"/>
          <w:lang w:val="en-US" w:eastAsia="zh-CN"/>
        </w:rPr>
        <w:t>－</w:t>
      </w:r>
      <w:r>
        <w:rPr>
          <w:rFonts w:hint="eastAsia" w:ascii="宋体" w:hAnsi="宋体" w:eastAsia="宋体" w:cs="宋体"/>
          <w:i w:val="0"/>
          <w:iCs w:val="0"/>
          <w:color w:val="000000"/>
          <w:kern w:val="0"/>
          <w:sz w:val="24"/>
          <w:szCs w:val="24"/>
        </w:rPr>
        <w:t>2次</w:t>
      </w:r>
      <w:r>
        <w:rPr>
          <w:rFonts w:hint="eastAsia" w:ascii="宋体" w:hAnsi="宋体" w:eastAsia="宋体" w:cs="宋体"/>
          <w:i w:val="0"/>
          <w:iCs w:val="0"/>
          <w:color w:val="000000"/>
          <w:kern w:val="0"/>
          <w:sz w:val="24"/>
          <w:szCs w:val="24"/>
          <w:lang w:eastAsia="zh-CN"/>
        </w:rPr>
        <w:t>，</w:t>
      </w:r>
      <w:r>
        <w:rPr>
          <w:rFonts w:hint="eastAsia" w:ascii="宋体" w:hAnsi="宋体" w:eastAsia="宋体" w:cs="宋体"/>
          <w:i w:val="0"/>
          <w:iCs w:val="0"/>
          <w:color w:val="000000"/>
          <w:kern w:val="0"/>
          <w:sz w:val="24"/>
          <w:szCs w:val="24"/>
        </w:rPr>
        <w:t>生育期长的植物一年宜喷2次</w:t>
      </w:r>
      <w:r>
        <w:rPr>
          <w:rFonts w:hint="eastAsia" w:ascii="宋体" w:hAnsi="宋体" w:eastAsia="宋体" w:cs="宋体"/>
          <w:i w:val="0"/>
          <w:iCs w:val="0"/>
          <w:color w:val="000000"/>
          <w:kern w:val="0"/>
          <w:sz w:val="24"/>
          <w:szCs w:val="24"/>
          <w:lang w:val="en-US" w:eastAsia="zh-CN"/>
        </w:rPr>
        <w:t>－</w:t>
      </w:r>
      <w:r>
        <w:rPr>
          <w:rFonts w:hint="eastAsia" w:ascii="宋体" w:hAnsi="宋体" w:eastAsia="宋体" w:cs="宋体"/>
          <w:i w:val="0"/>
          <w:iCs w:val="0"/>
          <w:color w:val="000000"/>
          <w:kern w:val="0"/>
          <w:sz w:val="24"/>
          <w:szCs w:val="24"/>
        </w:rPr>
        <w:t>3次。</w:t>
      </w:r>
    </w:p>
    <w:p>
      <w:pPr>
        <w:pStyle w:val="93"/>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i w:val="0"/>
          <w:iCs w:val="0"/>
          <w:color w:val="auto"/>
          <w:kern w:val="0"/>
          <w:sz w:val="24"/>
          <w:szCs w:val="24"/>
        </w:rPr>
      </w:pPr>
      <w:r>
        <w:rPr>
          <w:rFonts w:hint="eastAsia" w:ascii="宋体" w:hAnsi="宋体" w:eastAsia="宋体" w:cs="宋体"/>
          <w:b/>
          <w:bCs/>
          <w:i w:val="0"/>
          <w:iCs w:val="0"/>
          <w:color w:val="auto"/>
          <w:kern w:val="0"/>
          <w:sz w:val="24"/>
          <w:szCs w:val="24"/>
        </w:rPr>
        <w:t>表1</w:t>
      </w:r>
      <w:r>
        <w:rPr>
          <w:rFonts w:hint="eastAsia" w:ascii="宋体" w:hAnsi="宋体" w:eastAsia="宋体" w:cs="宋体"/>
          <w:b/>
          <w:bCs/>
          <w:i w:val="0"/>
          <w:iCs w:val="0"/>
          <w:color w:val="auto"/>
          <w:kern w:val="0"/>
          <w:sz w:val="24"/>
          <w:szCs w:val="24"/>
          <w:lang w:val="en-US" w:eastAsia="zh-CN"/>
        </w:rPr>
        <w:t>1</w:t>
      </w:r>
      <w:r>
        <w:rPr>
          <w:rFonts w:hint="eastAsia" w:ascii="宋体" w:hAnsi="宋体" w:eastAsia="宋体" w:cs="宋体"/>
          <w:b/>
          <w:bCs/>
          <w:i w:val="0"/>
          <w:iCs w:val="0"/>
          <w:color w:val="auto"/>
          <w:kern w:val="0"/>
          <w:sz w:val="24"/>
          <w:szCs w:val="24"/>
        </w:rPr>
        <w:t>.6.9用于根外追肥化肥及使用浓度㎥</w:t>
      </w:r>
    </w:p>
    <w:tbl>
      <w:tblPr>
        <w:tblStyle w:val="4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2442"/>
        <w:gridCol w:w="2440"/>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名称</w:t>
            </w:r>
          </w:p>
        </w:tc>
        <w:tc>
          <w:tcPr>
            <w:tcW w:w="2442"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使用浓度（</w:t>
            </w:r>
            <w:r>
              <w:rPr>
                <w:rFonts w:hint="eastAsia" w:ascii="宋体" w:hAnsi="宋体" w:eastAsia="宋体" w:cs="宋体"/>
                <w:i w:val="0"/>
                <w:iCs w:val="0"/>
                <w:color w:val="auto"/>
                <w:kern w:val="0"/>
                <w:sz w:val="24"/>
                <w:szCs w:val="24"/>
                <w:vertAlign w:val="baseline"/>
                <w:lang w:val="en-US" w:eastAsia="zh-CN"/>
              </w:rPr>
              <w:t>%</w:t>
            </w:r>
            <w:r>
              <w:rPr>
                <w:rFonts w:hint="eastAsia" w:ascii="宋体" w:hAnsi="宋体" w:eastAsia="宋体" w:cs="宋体"/>
                <w:i w:val="0"/>
                <w:iCs w:val="0"/>
                <w:color w:val="auto"/>
                <w:kern w:val="0"/>
                <w:sz w:val="24"/>
                <w:szCs w:val="24"/>
                <w:vertAlign w:val="baseline"/>
                <w:lang w:eastAsia="zh-CN"/>
              </w:rPr>
              <w:t>）</w:t>
            </w:r>
          </w:p>
        </w:tc>
        <w:tc>
          <w:tcPr>
            <w:tcW w:w="2440"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名称</w:t>
            </w:r>
          </w:p>
        </w:tc>
        <w:tc>
          <w:tcPr>
            <w:tcW w:w="2440"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使用浓度（</w:t>
            </w:r>
            <w:r>
              <w:rPr>
                <w:rFonts w:hint="eastAsia" w:ascii="宋体" w:hAnsi="宋体" w:eastAsia="宋体" w:cs="宋体"/>
                <w:i w:val="0"/>
                <w:iCs w:val="0"/>
                <w:color w:val="auto"/>
                <w:kern w:val="0"/>
                <w:sz w:val="24"/>
                <w:szCs w:val="24"/>
                <w:vertAlign w:val="baseline"/>
                <w:lang w:val="en-US" w:eastAsia="zh-CN"/>
              </w:rPr>
              <w:t>%</w:t>
            </w:r>
            <w:r>
              <w:rPr>
                <w:rFonts w:hint="eastAsia" w:ascii="宋体" w:hAnsi="宋体" w:eastAsia="宋体" w:cs="宋体"/>
                <w:i w:val="0"/>
                <w:iCs w:val="0"/>
                <w:color w:val="auto"/>
                <w:kern w:val="0"/>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jc w:val="center"/>
        </w:trPr>
        <w:tc>
          <w:tcPr>
            <w:tcW w:w="2441"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尿素</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硝酸铵</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硫酸铵</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过磷酸钙</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磷酸二氢钾</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硫酸钾</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硝酸钾</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氯化钾</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eastAsia="zh-CN"/>
              </w:rPr>
              <w:t>硫酸镁</w:t>
            </w:r>
          </w:p>
        </w:tc>
        <w:tc>
          <w:tcPr>
            <w:tcW w:w="2442"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0.3－0.5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0.2－0.3</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0.3</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1－3</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0.3－0.5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0.5－1.0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0.5－1.0</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0.3－0.5</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0.2</w:t>
            </w:r>
          </w:p>
        </w:tc>
        <w:tc>
          <w:tcPr>
            <w:tcW w:w="2440"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硫酸亚铁</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硫酸锌</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硫酸铜</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硼酸</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硼砂</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钼酸铵</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柠檬酸铁</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eastAsia="zh-CN"/>
              </w:rPr>
            </w:pPr>
            <w:r>
              <w:rPr>
                <w:rFonts w:hint="eastAsia" w:ascii="宋体" w:hAnsi="宋体" w:eastAsia="宋体" w:cs="宋体"/>
                <w:i w:val="0"/>
                <w:iCs w:val="0"/>
                <w:color w:val="auto"/>
                <w:kern w:val="0"/>
                <w:sz w:val="24"/>
                <w:szCs w:val="24"/>
                <w:vertAlign w:val="baseline"/>
                <w:lang w:val="en-US" w:eastAsia="zh-CN"/>
              </w:rPr>
              <w:t>硫酸锰</w:t>
            </w:r>
          </w:p>
        </w:tc>
        <w:tc>
          <w:tcPr>
            <w:tcW w:w="2440" w:type="dxa"/>
            <w:noWrap w:val="0"/>
            <w:tcMar>
              <w:top w:w="113" w:type="dxa"/>
              <w:left w:w="108" w:type="dxa"/>
              <w:bottom w:w="113" w:type="dxa"/>
              <w:right w:w="108" w:type="dxa"/>
            </w:tcMar>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0.2</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0.2</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0.01－0.02</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0.1－0.2</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0.1－0.2</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0.05－0.1</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0.05－0.1</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vertAlign w:val="baseline"/>
                <w:lang w:val="en-US" w:eastAsia="zh-CN"/>
              </w:rPr>
            </w:pPr>
            <w:r>
              <w:rPr>
                <w:rFonts w:hint="eastAsia" w:ascii="宋体" w:hAnsi="宋体" w:eastAsia="宋体" w:cs="宋体"/>
                <w:i w:val="0"/>
                <w:iCs w:val="0"/>
                <w:color w:val="auto"/>
                <w:kern w:val="0"/>
                <w:sz w:val="24"/>
                <w:szCs w:val="24"/>
                <w:vertAlign w:val="baseline"/>
                <w:lang w:val="en-US" w:eastAsia="zh-CN"/>
              </w:rPr>
              <w:t>0.2</w:t>
            </w:r>
          </w:p>
        </w:tc>
      </w:tr>
    </w:tbl>
    <w:p>
      <w:pPr>
        <w:pStyle w:val="93"/>
        <w:keepNext w:val="0"/>
        <w:keepLines w:val="0"/>
        <w:pageBreakBefore w:val="0"/>
        <w:widowControl w:val="0"/>
        <w:kinsoku/>
        <w:wordWrap/>
        <w:overflowPunct/>
        <w:topLinePunct w:val="0"/>
        <w:autoSpaceDE/>
        <w:autoSpaceDN/>
        <w:bidi w:val="0"/>
        <w:adjustRightInd w:val="0"/>
        <w:snapToGrid w:val="0"/>
        <w:spacing w:before="220" w:beforeLines="50" w:line="312" w:lineRule="auto"/>
        <w:ind w:firstLine="482" w:firstLineChars="0"/>
        <w:textAlignment w:val="auto"/>
        <w:rPr>
          <w:rFonts w:hint="eastAsia" w:ascii="宋体" w:hAnsi="宋体" w:eastAsia="宋体" w:cs="宋体"/>
          <w:i w:val="0"/>
          <w:iCs w:val="0"/>
          <w:color w:val="auto"/>
          <w:kern w:val="0"/>
          <w:sz w:val="24"/>
          <w:szCs w:val="24"/>
        </w:rPr>
      </w:pP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lang w:val="en-US" w:eastAsia="zh-CN"/>
        </w:rPr>
        <w:t>3</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根外追肥宜喷施在叶、花、果上</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要求均匀</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尤其是嫩叶、顶部叶片、叶正面、背面都要喷到</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一般应在下午4时后</w:t>
      </w:r>
      <w:r>
        <w:rPr>
          <w:rFonts w:hint="eastAsia" w:ascii="宋体" w:hAnsi="宋体" w:eastAsia="宋体" w:cs="宋体"/>
          <w:i w:val="0"/>
          <w:iCs w:val="0"/>
          <w:color w:val="auto"/>
          <w:kern w:val="0"/>
          <w:sz w:val="24"/>
          <w:szCs w:val="24"/>
          <w:lang w:eastAsia="zh-CN"/>
        </w:rPr>
        <w:t>，</w:t>
      </w:r>
      <w:r>
        <w:rPr>
          <w:rFonts w:hint="eastAsia" w:ascii="宋体" w:hAnsi="宋体" w:eastAsia="宋体" w:cs="宋体"/>
          <w:i w:val="0"/>
          <w:iCs w:val="0"/>
          <w:color w:val="auto"/>
          <w:kern w:val="0"/>
          <w:sz w:val="24"/>
          <w:szCs w:val="24"/>
        </w:rPr>
        <w:t>无风的情况下进行。</w:t>
      </w:r>
    </w:p>
    <w:p>
      <w:pPr>
        <w:pStyle w:val="46"/>
        <w:keepNext w:val="0"/>
        <w:keepLines w:val="0"/>
        <w:pageBreakBefore w:val="0"/>
        <w:widowControl w:val="0"/>
        <w:kinsoku/>
        <w:wordWrap/>
        <w:overflowPunct/>
        <w:topLinePunct w:val="0"/>
        <w:autoSpaceDE/>
        <w:autoSpaceDN/>
        <w:bidi w:val="0"/>
        <w:adjustRightInd w:val="0"/>
        <w:snapToGrid w:val="0"/>
        <w:spacing w:line="312" w:lineRule="auto"/>
        <w:ind w:firstLine="482"/>
        <w:textAlignment w:val="auto"/>
        <w:rPr>
          <w:rFonts w:hint="eastAsia" w:ascii="宋体" w:hAnsi="宋体" w:eastAsia="宋体" w:cs="宋体"/>
          <w:sz w:val="24"/>
          <w:szCs w:val="24"/>
        </w:rPr>
      </w:pP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lang w:val="en-US" w:eastAsia="zh-CN"/>
        </w:rPr>
        <w:t>4</w:t>
      </w: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rPr>
        <w:t>根外施肥肥液应澄清</w:t>
      </w: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rPr>
        <w:t>不得有沉淀。</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b/>
          <w:snapToGrid w:val="0"/>
          <w:color w:val="000000"/>
          <w:kern w:val="0"/>
          <w:sz w:val="24"/>
          <w:szCs w:val="24"/>
          <w:lang w:val="en-US" w:eastAsia="zh-CN" w:bidi="ar"/>
        </w:rPr>
        <w:t>12、园林水体维护</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12.1.控制水质方法</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12.1.1应控制各类污水、污染物进入水体，清除枯枝落叶、渣屑漂浮物和藻、萍等浮游生物。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12.1.2应按照种植梯度栽植挺水、浮叶、沉水的各类水生植物，放养鱼、螺、虾、贝等水生动物。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12.1.3曝气、造流时，应用喷水泵等曝气设施，向水体强行充氧，制造人工水流，加速水体有机质的矿化速率，改善水质。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12.1.4底泥的清除应每隔2年－3年，结合疏竣，清除水底淤泥，减少有机物的积累。</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12.1.5药剂治理应符合下列要求：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（1）水体富营养化，藻类蔓延，宜采用除藻剂。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（2）应隔天使用一次，连续二星期，宜于在气温不高的阴天施用。</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12.2.水质监测</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12.2.1监测方法应符合下列要求：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每年5月，10月定期监测水质，应送环保监测站获得水体质量报告并建立档案。每年平均数据应与上年度数据比照。</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12.2.2监测应注意下列事项：</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（1）体富营养化严重，每月至少应监测1次。</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（2）长期良好的水质，每年至少应监测一次，宜在夏季进行。</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12.3.维护要求及方法</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12.3.1必须严格控制一切污染源，严格控制雨水、灌溉水等直接排入水体。</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12.3.2水体富营养化严重的，应及时采用无二次污染的微生物生态治理方法，控制藻类，使景观水体标准符合相应的水质标准。</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12.3.3自然水体维护应符合下列要求：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（1）自然底水池应每1年－2年清淤和每年换水。</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val="en-US" w:eastAsia="zh-CN" w:bidi="ar"/>
        </w:rPr>
        <w:t>（2）应随时清除水面漂浮物。</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12.3.4喷泉及硬底水池维护应符合下列要求：</w:t>
      </w:r>
    </w:p>
    <w:p>
      <w:pPr>
        <w:keepNext w:val="0"/>
        <w:keepLines w:val="0"/>
        <w:pageBreakBefore w:val="0"/>
        <w:widowControl w:val="0"/>
        <w:suppressLineNumbers w:val="0"/>
        <w:kinsoku/>
        <w:wordWrap/>
        <w:overflowPunct/>
        <w:topLinePunct w:val="0"/>
        <w:autoSpaceDE/>
        <w:autoSpaceDN/>
        <w:bidi w:val="0"/>
        <w:adjustRightInd w:val="0"/>
        <w:snapToGrid w:val="0"/>
        <w:spacing w:line="312" w:lineRule="auto"/>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钢砼底和塑料薄膜底的人工阻断型水底水池，应根据景观需要定期清洗和换水。每年不得少于1次。有过滤器循环装置的喷泉，每天工作应不少于2小时，保持水体循环，提高水体含氧量。</w:t>
      </w:r>
    </w:p>
    <w:p>
      <w:pPr>
        <w:bidi w:val="0"/>
        <w:adjustRightInd w:val="0"/>
        <w:snapToGrid w:val="0"/>
        <w:spacing w:line="312" w:lineRule="auto"/>
        <w:ind w:firstLine="482"/>
        <w:jc w:val="left"/>
        <w:rPr>
          <w:rFonts w:hint="eastAsia" w:ascii="宋体" w:hAnsi="宋体" w:eastAsia="宋体" w:cs="宋体"/>
          <w:snapToGrid w:val="0"/>
          <w:color w:val="000000"/>
          <w:kern w:val="0"/>
          <w:sz w:val="24"/>
          <w:szCs w:val="24"/>
          <w:highlight w:val="none"/>
          <w:lang w:bidi="ar"/>
        </w:rPr>
      </w:pPr>
      <w:r>
        <w:rPr>
          <w:rFonts w:hint="eastAsia" w:ascii="宋体" w:hAnsi="宋体" w:eastAsia="宋体" w:cs="宋体"/>
          <w:snapToGrid w:val="0"/>
          <w:color w:val="000000"/>
          <w:kern w:val="0"/>
          <w:sz w:val="24"/>
          <w:szCs w:val="24"/>
          <w:lang w:eastAsia="zh-CN" w:bidi="ar"/>
        </w:rPr>
        <w:t>（二）</w:t>
      </w:r>
      <w:r>
        <w:rPr>
          <w:rFonts w:hint="eastAsia" w:ascii="宋体" w:hAnsi="宋体" w:eastAsia="宋体" w:cs="宋体"/>
          <w:snapToGrid w:val="0"/>
          <w:color w:val="000000"/>
          <w:kern w:val="0"/>
          <w:sz w:val="24"/>
          <w:szCs w:val="24"/>
          <w:lang w:bidi="ar"/>
        </w:rPr>
        <w:t>▲</w:t>
      </w:r>
      <w:r>
        <w:rPr>
          <w:rFonts w:hint="eastAsia" w:ascii="宋体" w:hAnsi="宋体" w:eastAsia="宋体" w:cs="宋体"/>
          <w:snapToGrid w:val="0"/>
          <w:color w:val="000000"/>
          <w:kern w:val="0"/>
          <w:sz w:val="24"/>
          <w:szCs w:val="24"/>
          <w:highlight w:val="none"/>
          <w:lang w:bidi="ar"/>
        </w:rPr>
        <w:t>养护及管理人员</w:t>
      </w:r>
      <w:r>
        <w:rPr>
          <w:rFonts w:hint="eastAsia" w:cs="宋体"/>
          <w:snapToGrid w:val="0"/>
          <w:color w:val="000000"/>
          <w:kern w:val="0"/>
          <w:sz w:val="24"/>
          <w:szCs w:val="24"/>
          <w:highlight w:val="none"/>
          <w:lang w:eastAsia="zh-CN" w:bidi="ar"/>
        </w:rPr>
        <w:t>、</w:t>
      </w:r>
      <w:r>
        <w:rPr>
          <w:rFonts w:hint="eastAsia" w:cs="宋体"/>
          <w:snapToGrid w:val="0"/>
          <w:color w:val="000000"/>
          <w:kern w:val="0"/>
          <w:sz w:val="24"/>
          <w:szCs w:val="24"/>
          <w:highlight w:val="none"/>
          <w:lang w:val="en-US" w:eastAsia="zh-CN" w:bidi="ar"/>
        </w:rPr>
        <w:t>机具设备投入</w:t>
      </w:r>
      <w:r>
        <w:rPr>
          <w:rFonts w:hint="eastAsia" w:ascii="宋体" w:hAnsi="宋体" w:eastAsia="宋体" w:cs="宋体"/>
          <w:snapToGrid w:val="0"/>
          <w:color w:val="000000"/>
          <w:kern w:val="0"/>
          <w:sz w:val="24"/>
          <w:szCs w:val="24"/>
          <w:highlight w:val="none"/>
          <w:lang w:bidi="ar"/>
        </w:rPr>
        <w:t>要求和配置</w:t>
      </w:r>
      <w:r>
        <w:rPr>
          <w:rFonts w:hint="eastAsia" w:cs="宋体"/>
          <w:snapToGrid w:val="0"/>
          <w:color w:val="000000"/>
          <w:kern w:val="0"/>
          <w:sz w:val="24"/>
          <w:szCs w:val="24"/>
          <w:highlight w:val="none"/>
          <w:lang w:eastAsia="zh-CN" w:bidi="ar"/>
        </w:rPr>
        <w:t>（</w:t>
      </w:r>
      <w:r>
        <w:rPr>
          <w:rFonts w:hint="eastAsia" w:cs="宋体"/>
          <w:snapToGrid w:val="0"/>
          <w:color w:val="000000"/>
          <w:kern w:val="0"/>
          <w:sz w:val="24"/>
          <w:szCs w:val="24"/>
          <w:highlight w:val="none"/>
          <w:lang w:val="en-US" w:eastAsia="zh-CN" w:bidi="ar"/>
        </w:rPr>
        <w:t>最低配备要求</w:t>
      </w:r>
      <w:r>
        <w:rPr>
          <w:rFonts w:hint="eastAsia" w:cs="宋体"/>
          <w:snapToGrid w:val="0"/>
          <w:color w:val="000000"/>
          <w:kern w:val="0"/>
          <w:sz w:val="24"/>
          <w:szCs w:val="24"/>
          <w:highlight w:val="none"/>
          <w:lang w:eastAsia="zh-CN" w:bidi="ar"/>
        </w:rPr>
        <w:t>）</w:t>
      </w:r>
      <w:r>
        <w:rPr>
          <w:rFonts w:hint="eastAsia" w:ascii="宋体" w:hAnsi="宋体" w:eastAsia="宋体" w:cs="宋体"/>
          <w:snapToGrid w:val="0"/>
          <w:color w:val="000000"/>
          <w:kern w:val="0"/>
          <w:sz w:val="24"/>
          <w:szCs w:val="24"/>
          <w:highlight w:val="none"/>
          <w:lang w:bidi="ar"/>
        </w:rPr>
        <w:t>：</w:t>
      </w:r>
    </w:p>
    <w:tbl>
      <w:tblPr>
        <w:tblStyle w:val="48"/>
        <w:tblW w:w="9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23"/>
        <w:gridCol w:w="1767"/>
        <w:gridCol w:w="850"/>
        <w:gridCol w:w="933"/>
        <w:gridCol w:w="5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2"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snapToGrid w:val="0"/>
                <w:color w:val="auto"/>
                <w:kern w:val="0"/>
                <w:sz w:val="24"/>
                <w:szCs w:val="24"/>
                <w:vertAlign w:val="baseline"/>
                <w:lang w:val="en-US" w:eastAsia="zh-CN" w:bidi="ar"/>
              </w:rPr>
            </w:pPr>
            <w:r>
              <w:rPr>
                <w:rFonts w:hint="eastAsia" w:ascii="宋体" w:hAnsi="宋体" w:eastAsia="宋体" w:cs="宋体"/>
                <w:b/>
                <w:bCs/>
                <w:snapToGrid w:val="0"/>
                <w:color w:val="auto"/>
                <w:kern w:val="0"/>
                <w:sz w:val="24"/>
                <w:szCs w:val="24"/>
                <w:vertAlign w:val="baseline"/>
                <w:lang w:val="en-US" w:eastAsia="zh-CN" w:bidi="ar"/>
              </w:rPr>
              <w:t>序号</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snapToGrid w:val="0"/>
                <w:color w:val="auto"/>
                <w:kern w:val="0"/>
                <w:sz w:val="24"/>
                <w:szCs w:val="24"/>
                <w:vertAlign w:val="baseline"/>
                <w:lang w:val="en-US" w:eastAsia="zh-CN" w:bidi="ar"/>
              </w:rPr>
            </w:pPr>
            <w:r>
              <w:rPr>
                <w:rFonts w:hint="eastAsia" w:cs="宋体"/>
                <w:b/>
                <w:bCs/>
                <w:snapToGrid w:val="0"/>
                <w:color w:val="auto"/>
                <w:kern w:val="0"/>
                <w:sz w:val="24"/>
                <w:szCs w:val="24"/>
                <w:vertAlign w:val="baseline"/>
                <w:lang w:val="en-US" w:eastAsia="zh-CN" w:bidi="ar"/>
              </w:rPr>
              <w:t>人员及</w:t>
            </w:r>
            <w:r>
              <w:rPr>
                <w:rFonts w:hint="eastAsia" w:ascii="宋体" w:hAnsi="宋体" w:eastAsia="宋体" w:cs="宋体"/>
                <w:b/>
                <w:bCs/>
                <w:snapToGrid w:val="0"/>
                <w:color w:val="auto"/>
                <w:kern w:val="0"/>
                <w:sz w:val="24"/>
                <w:szCs w:val="24"/>
                <w:vertAlign w:val="baseline"/>
                <w:lang w:val="en-US" w:eastAsia="zh-CN" w:bidi="ar"/>
              </w:rPr>
              <w:t>设备</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snapToGrid w:val="0"/>
                <w:color w:val="auto"/>
                <w:kern w:val="0"/>
                <w:sz w:val="24"/>
                <w:szCs w:val="24"/>
                <w:vertAlign w:val="baseline"/>
                <w:lang w:val="en-US" w:eastAsia="zh-CN" w:bidi="ar"/>
              </w:rPr>
            </w:pPr>
            <w:r>
              <w:rPr>
                <w:rFonts w:hint="eastAsia" w:ascii="宋体" w:hAnsi="宋体" w:eastAsia="宋体" w:cs="宋体"/>
                <w:b/>
                <w:bCs/>
                <w:snapToGrid w:val="0"/>
                <w:color w:val="auto"/>
                <w:kern w:val="0"/>
                <w:sz w:val="24"/>
                <w:szCs w:val="24"/>
                <w:vertAlign w:val="baseline"/>
                <w:lang w:val="en-US" w:eastAsia="zh-CN" w:bidi="ar"/>
              </w:rPr>
              <w:t>单位</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snapToGrid w:val="0"/>
                <w:color w:val="auto"/>
                <w:kern w:val="0"/>
                <w:sz w:val="24"/>
                <w:szCs w:val="24"/>
                <w:vertAlign w:val="baseline"/>
                <w:lang w:val="en-US" w:eastAsia="zh-CN" w:bidi="ar"/>
              </w:rPr>
            </w:pPr>
            <w:r>
              <w:rPr>
                <w:rFonts w:hint="eastAsia" w:ascii="宋体" w:hAnsi="宋体" w:eastAsia="宋体" w:cs="宋体"/>
                <w:b/>
                <w:bCs/>
                <w:snapToGrid w:val="0"/>
                <w:color w:val="auto"/>
                <w:kern w:val="0"/>
                <w:sz w:val="24"/>
                <w:szCs w:val="24"/>
                <w:vertAlign w:val="baseline"/>
                <w:lang w:val="en-US" w:eastAsia="zh-CN" w:bidi="ar"/>
              </w:rPr>
              <w:t>数量</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snapToGrid w:val="0"/>
                <w:color w:val="auto"/>
                <w:kern w:val="0"/>
                <w:sz w:val="24"/>
                <w:szCs w:val="24"/>
                <w:vertAlign w:val="baseline"/>
                <w:lang w:val="en-US" w:eastAsia="zh-CN" w:bidi="ar"/>
              </w:rPr>
            </w:pPr>
            <w:r>
              <w:rPr>
                <w:rFonts w:hint="eastAsia" w:ascii="宋体" w:hAnsi="宋体" w:eastAsia="宋体" w:cs="宋体"/>
                <w:b/>
                <w:bCs/>
                <w:snapToGrid w:val="0"/>
                <w:color w:val="auto"/>
                <w:kern w:val="0"/>
                <w:sz w:val="24"/>
                <w:szCs w:val="24"/>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1</w:t>
            </w:r>
          </w:p>
        </w:tc>
        <w:tc>
          <w:tcPr>
            <w:tcW w:w="1767" w:type="dxa"/>
            <w:noWrap w:val="0"/>
            <w:tcMar>
              <w:top w:w="113" w:type="dxa"/>
              <w:left w:w="108" w:type="dxa"/>
              <w:bottom w:w="113"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项目负责人</w:t>
            </w:r>
          </w:p>
        </w:tc>
        <w:tc>
          <w:tcPr>
            <w:tcW w:w="850" w:type="dxa"/>
            <w:noWrap w:val="0"/>
            <w:tcMar>
              <w:top w:w="113" w:type="dxa"/>
              <w:left w:w="108" w:type="dxa"/>
              <w:bottom w:w="113"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人</w:t>
            </w:r>
          </w:p>
        </w:tc>
        <w:tc>
          <w:tcPr>
            <w:tcW w:w="933" w:type="dxa"/>
            <w:noWrap w:val="0"/>
            <w:tcMar>
              <w:top w:w="113" w:type="dxa"/>
              <w:left w:w="108" w:type="dxa"/>
              <w:bottom w:w="113"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w:t>
            </w:r>
          </w:p>
        </w:tc>
        <w:tc>
          <w:tcPr>
            <w:tcW w:w="5600" w:type="dxa"/>
            <w:noWrap w:val="0"/>
            <w:tcMar>
              <w:top w:w="113" w:type="dxa"/>
              <w:left w:w="108" w:type="dxa"/>
              <w:bottom w:w="113" w:type="dxa"/>
              <w:right w:w="108" w:type="dxa"/>
            </w:tcMar>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val="0"/>
                <w:snapToGrid w:val="0"/>
                <w:color w:val="auto"/>
                <w:spacing w:val="0"/>
                <w:kern w:val="2"/>
                <w:sz w:val="24"/>
                <w:szCs w:val="24"/>
                <w:lang w:val="en-US" w:eastAsia="zh-CN" w:bidi="ar-SA"/>
              </w:rPr>
              <w:t>24小时保持电话畅通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2</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养护作业人员</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人</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snapToGrid w:val="0"/>
                <w:color w:val="auto"/>
                <w:kern w:val="0"/>
                <w:sz w:val="24"/>
                <w:szCs w:val="24"/>
                <w:highlight w:val="none"/>
                <w:vertAlign w:val="baseline"/>
                <w:lang w:val="en-US" w:eastAsia="zh-CN" w:bidi="ar"/>
              </w:rPr>
              <w:t>16</w:t>
            </w:r>
          </w:p>
        </w:tc>
        <w:tc>
          <w:tcPr>
            <w:tcW w:w="5600" w:type="dxa"/>
            <w:noWrap w:val="0"/>
            <w:tcMar>
              <w:top w:w="113" w:type="dxa"/>
              <w:left w:w="108" w:type="dxa"/>
              <w:bottom w:w="113" w:type="dxa"/>
              <w:right w:w="108" w:type="dxa"/>
            </w:tcMar>
            <w:vAlign w:val="center"/>
          </w:tcPr>
          <w:p>
            <w:pPr>
              <w:bidi w:val="0"/>
              <w:adjustRightInd w:val="0"/>
              <w:snapToGrid w:val="0"/>
              <w:spacing w:line="312" w:lineRule="auto"/>
              <w:jc w:val="left"/>
              <w:rPr>
                <w:rFonts w:hint="eastAsia" w:cs="宋体"/>
                <w:b w:val="0"/>
                <w:bCs/>
                <w:snapToGrid w:val="0"/>
                <w:color w:val="auto"/>
                <w:kern w:val="0"/>
                <w:sz w:val="24"/>
                <w:szCs w:val="24"/>
                <w:highlight w:val="none"/>
                <w:vertAlign w:val="baseline"/>
                <w:lang w:val="en-US" w:eastAsia="zh-CN" w:bidi="ar"/>
              </w:rPr>
            </w:pPr>
            <w:r>
              <w:rPr>
                <w:rFonts w:hint="eastAsia" w:cs="宋体"/>
                <w:b w:val="0"/>
                <w:bCs/>
                <w:snapToGrid w:val="0"/>
                <w:color w:val="auto"/>
                <w:kern w:val="0"/>
                <w:sz w:val="24"/>
                <w:szCs w:val="24"/>
                <w:highlight w:val="none"/>
                <w:vertAlign w:val="baseline"/>
                <w:lang w:val="en-US" w:eastAsia="zh-CN" w:bidi="ar"/>
              </w:rPr>
              <w:t>1、其中班组长2人，持C1及以上驾照；</w:t>
            </w:r>
          </w:p>
          <w:p>
            <w:pPr>
              <w:bidi w:val="0"/>
              <w:adjustRightInd w:val="0"/>
              <w:snapToGrid w:val="0"/>
              <w:spacing w:line="312" w:lineRule="auto"/>
              <w:jc w:val="left"/>
              <w:rPr>
                <w:rFonts w:hint="eastAsia" w:cs="宋体"/>
                <w:b w:val="0"/>
                <w:bCs/>
                <w:snapToGrid w:val="0"/>
                <w:color w:val="auto"/>
                <w:kern w:val="0"/>
                <w:sz w:val="24"/>
                <w:szCs w:val="24"/>
                <w:highlight w:val="none"/>
                <w:vertAlign w:val="baseline"/>
                <w:lang w:val="en-US" w:eastAsia="zh-CN" w:bidi="ar"/>
              </w:rPr>
            </w:pPr>
            <w:r>
              <w:rPr>
                <w:rFonts w:hint="eastAsia" w:cs="宋体"/>
                <w:b w:val="0"/>
                <w:bCs/>
                <w:snapToGrid w:val="0"/>
                <w:color w:val="auto"/>
                <w:kern w:val="0"/>
                <w:sz w:val="24"/>
                <w:szCs w:val="24"/>
                <w:highlight w:val="none"/>
                <w:vertAlign w:val="baseline"/>
                <w:lang w:val="en-US" w:eastAsia="zh-CN" w:bidi="ar"/>
              </w:rPr>
              <w:t>2、所有人员年龄要求65周岁以下；</w:t>
            </w:r>
          </w:p>
          <w:p>
            <w:pPr>
              <w:bidi w:val="0"/>
              <w:adjustRightInd w:val="0"/>
              <w:snapToGrid w:val="0"/>
              <w:spacing w:line="312" w:lineRule="auto"/>
              <w:jc w:val="left"/>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b w:val="0"/>
                <w:bCs/>
                <w:snapToGrid w:val="0"/>
                <w:color w:val="auto"/>
                <w:kern w:val="0"/>
                <w:sz w:val="24"/>
                <w:szCs w:val="24"/>
                <w:highlight w:val="none"/>
                <w:vertAlign w:val="baseline"/>
                <w:lang w:val="en-US" w:eastAsia="zh-CN" w:bidi="ar"/>
              </w:rPr>
              <w:t>3、</w:t>
            </w:r>
            <w:r>
              <w:rPr>
                <w:rFonts w:hint="eastAsia" w:ascii="宋体" w:hAnsi="宋体" w:eastAsia="宋体" w:cs="宋体"/>
                <w:strike w:val="0"/>
                <w:dstrike w:val="0"/>
                <w:snapToGrid w:val="0"/>
                <w:color w:val="auto"/>
                <w:kern w:val="0"/>
                <w:sz w:val="24"/>
                <w:szCs w:val="24"/>
                <w:highlight w:val="none"/>
                <w:lang w:bidi="ar"/>
              </w:rPr>
              <w:t>能够熟练操作各种养护机械</w:t>
            </w:r>
            <w:r>
              <w:rPr>
                <w:rFonts w:hint="eastAsia" w:cs="宋体"/>
                <w:strike w:val="0"/>
                <w:dstrike w:val="0"/>
                <w:snapToGrid w:val="0"/>
                <w:color w:val="auto"/>
                <w:kern w:val="0"/>
                <w:sz w:val="24"/>
                <w:szCs w:val="24"/>
                <w:highlight w:val="none"/>
                <w:lang w:eastAsia="zh-CN" w:bidi="ar"/>
              </w:rPr>
              <w:t>，</w:t>
            </w:r>
            <w:r>
              <w:rPr>
                <w:rFonts w:hint="eastAsia" w:cs="宋体"/>
                <w:strike w:val="0"/>
                <w:dstrike w:val="0"/>
                <w:snapToGrid w:val="0"/>
                <w:color w:val="auto"/>
                <w:kern w:val="0"/>
                <w:sz w:val="24"/>
                <w:szCs w:val="24"/>
                <w:highlight w:val="none"/>
                <w:lang w:val="en-US" w:eastAsia="zh-CN" w:bidi="ar"/>
              </w:rPr>
              <w:t>如</w:t>
            </w:r>
            <w:r>
              <w:rPr>
                <w:rFonts w:hint="eastAsia" w:ascii="宋体" w:hAnsi="宋体" w:eastAsia="宋体" w:cs="宋体"/>
                <w:strike w:val="0"/>
                <w:dstrike w:val="0"/>
                <w:snapToGrid w:val="0"/>
                <w:color w:val="auto"/>
                <w:kern w:val="0"/>
                <w:sz w:val="24"/>
                <w:szCs w:val="24"/>
                <w:highlight w:val="none"/>
                <w:lang w:bidi="ar"/>
              </w:rPr>
              <w:t>割草机、割灌机、绿篱机等的养护技术人员不少于</w:t>
            </w:r>
            <w:r>
              <w:rPr>
                <w:rFonts w:hint="eastAsia" w:cs="宋体"/>
                <w:strike w:val="0"/>
                <w:dstrike w:val="0"/>
                <w:snapToGrid w:val="0"/>
                <w:color w:val="auto"/>
                <w:kern w:val="0"/>
                <w:sz w:val="24"/>
                <w:szCs w:val="24"/>
                <w:highlight w:val="none"/>
                <w:lang w:val="en-US" w:eastAsia="zh-CN" w:bidi="ar"/>
              </w:rPr>
              <w:t>8</w:t>
            </w:r>
            <w:r>
              <w:rPr>
                <w:rFonts w:hint="eastAsia" w:ascii="宋体" w:hAnsi="宋体" w:eastAsia="宋体" w:cs="宋体"/>
                <w:strike w:val="0"/>
                <w:dstrike w:val="0"/>
                <w:snapToGrid w:val="0"/>
                <w:color w:val="auto"/>
                <w:kern w:val="0"/>
                <w:sz w:val="24"/>
                <w:szCs w:val="24"/>
                <w:highlight w:val="none"/>
                <w:lang w:val="en-US" w:eastAsia="zh-CN"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3</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洒水车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辆</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highlight w:val="none"/>
                <w:vertAlign w:val="baseline"/>
                <w:lang w:val="en-US" w:eastAsia="zh-CN" w:bidi="ar"/>
              </w:rPr>
              <w:t>≥</w:t>
            </w:r>
            <w:r>
              <w:rPr>
                <w:rFonts w:hint="eastAsia" w:cs="宋体"/>
                <w:snapToGrid w:val="0"/>
                <w:color w:val="auto"/>
                <w:kern w:val="0"/>
                <w:sz w:val="24"/>
                <w:szCs w:val="24"/>
                <w:highlight w:val="none"/>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持准驾证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4</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货车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辆</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持准驾证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5</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割草机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highlight w:val="none"/>
                <w:vertAlign w:val="baseline"/>
                <w:lang w:val="en-US" w:eastAsia="zh-CN" w:bidi="ar"/>
              </w:rPr>
              <w:t>≥3</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6</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割灌机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6</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7</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绿篱机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≥6</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8</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打药机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套</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6</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9</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吹风机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3</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10</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草坪梳草机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11</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snapToGrid w:val="0"/>
                <w:color w:val="auto"/>
                <w:kern w:val="0"/>
                <w:sz w:val="24"/>
                <w:szCs w:val="24"/>
                <w:highlight w:val="none"/>
                <w:vertAlign w:val="baseline"/>
                <w:lang w:val="en-US" w:eastAsia="zh-CN" w:bidi="ar"/>
              </w:rPr>
              <w:t>草坪修剪车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snapToGrid w:val="0"/>
                <w:color w:val="auto"/>
                <w:kern w:val="0"/>
                <w:sz w:val="24"/>
                <w:szCs w:val="24"/>
                <w:highlight w:val="none"/>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ascii="宋体" w:hAnsi="宋体" w:eastAsia="宋体" w:cs="宋体"/>
                <w:b w:val="0"/>
                <w:bCs/>
                <w:snapToGrid w:val="0"/>
                <w:color w:val="auto"/>
                <w:kern w:val="0"/>
                <w:sz w:val="24"/>
                <w:szCs w:val="24"/>
                <w:highlight w:val="none"/>
                <w:vertAlign w:val="baseline"/>
                <w:lang w:val="en-US" w:eastAsia="zh-CN" w:bidi="ar"/>
              </w:rPr>
              <w:t>≥</w:t>
            </w:r>
            <w:r>
              <w:rPr>
                <w:rFonts w:hint="eastAsia" w:cs="宋体"/>
                <w:snapToGrid w:val="0"/>
                <w:color w:val="auto"/>
                <w:kern w:val="0"/>
                <w:sz w:val="24"/>
                <w:szCs w:val="24"/>
                <w:highlight w:val="none"/>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12</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打孔机</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13</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水泵</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3</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14</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储水桶</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套</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w:t>
            </w:r>
            <w:r>
              <w:rPr>
                <w:rFonts w:hint="eastAsia" w:ascii="宋体" w:hAnsi="宋体" w:eastAsia="宋体" w:cs="宋体"/>
                <w:snapToGrid w:val="0"/>
                <w:color w:val="auto"/>
                <w:kern w:val="0"/>
                <w:sz w:val="24"/>
                <w:szCs w:val="24"/>
                <w:vertAlign w:val="baseline"/>
                <w:lang w:val="en-US" w:eastAsia="zh-CN" w:bidi="ar"/>
              </w:rPr>
              <w:t>3</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15</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手推车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辆</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≧2</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trike w:val="0"/>
                <w:dstrike w:val="0"/>
                <w:snapToGrid w:val="0"/>
                <w:color w:val="auto"/>
                <w:kern w:val="0"/>
                <w:sz w:val="24"/>
                <w:szCs w:val="24"/>
                <w:highlight w:val="none"/>
                <w:vertAlign w:val="baseline"/>
                <w:lang w:val="en-US" w:eastAsia="zh-CN" w:bidi="ar"/>
              </w:rPr>
            </w:pPr>
            <w:r>
              <w:rPr>
                <w:rFonts w:hint="eastAsia" w:cs="宋体"/>
                <w:strike w:val="0"/>
                <w:dstrike w:val="0"/>
                <w:snapToGrid w:val="0"/>
                <w:color w:val="auto"/>
                <w:kern w:val="0"/>
                <w:sz w:val="24"/>
                <w:szCs w:val="24"/>
                <w:highlight w:val="none"/>
                <w:vertAlign w:val="baseline"/>
                <w:lang w:val="en-US" w:eastAsia="zh-CN" w:bidi="ar"/>
              </w:rPr>
              <w:t>16</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trike w:val="0"/>
                <w:dstrike w:val="0"/>
                <w:snapToGrid w:val="0"/>
                <w:color w:val="auto"/>
                <w:kern w:val="0"/>
                <w:sz w:val="24"/>
                <w:szCs w:val="24"/>
                <w:highlight w:val="none"/>
                <w:vertAlign w:val="baseline"/>
                <w:lang w:val="en-US" w:eastAsia="zh-CN" w:bidi="ar"/>
              </w:rPr>
            </w:pPr>
            <w:r>
              <w:rPr>
                <w:rFonts w:hint="eastAsia" w:ascii="宋体" w:hAnsi="宋体" w:eastAsia="宋体" w:cs="宋体"/>
                <w:strike w:val="0"/>
                <w:dstrike w:val="0"/>
                <w:snapToGrid w:val="0"/>
                <w:color w:val="auto"/>
                <w:kern w:val="0"/>
                <w:sz w:val="24"/>
                <w:szCs w:val="24"/>
                <w:highlight w:val="none"/>
                <w:vertAlign w:val="baseline"/>
                <w:lang w:val="en-US" w:eastAsia="zh-CN" w:bidi="ar"/>
              </w:rPr>
              <w:t>人员接送车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trike w:val="0"/>
                <w:dstrike w:val="0"/>
                <w:snapToGrid w:val="0"/>
                <w:color w:val="auto"/>
                <w:kern w:val="0"/>
                <w:sz w:val="24"/>
                <w:szCs w:val="24"/>
                <w:highlight w:val="none"/>
                <w:vertAlign w:val="baseline"/>
                <w:lang w:val="en-US" w:eastAsia="zh-CN" w:bidi="ar"/>
              </w:rPr>
            </w:pPr>
            <w:r>
              <w:rPr>
                <w:rFonts w:hint="eastAsia" w:ascii="宋体" w:hAnsi="宋体" w:eastAsia="宋体" w:cs="宋体"/>
                <w:strike w:val="0"/>
                <w:dstrike w:val="0"/>
                <w:snapToGrid w:val="0"/>
                <w:color w:val="auto"/>
                <w:kern w:val="0"/>
                <w:sz w:val="24"/>
                <w:szCs w:val="24"/>
                <w:highlight w:val="none"/>
                <w:vertAlign w:val="baseline"/>
                <w:lang w:val="en-US" w:eastAsia="zh-CN" w:bidi="ar"/>
              </w:rPr>
              <w:t>辆</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val="0"/>
                <w:bCs/>
                <w:strike w:val="0"/>
                <w:dstrike w:val="0"/>
                <w:snapToGrid w:val="0"/>
                <w:color w:val="auto"/>
                <w:kern w:val="0"/>
                <w:sz w:val="24"/>
                <w:szCs w:val="24"/>
                <w:highlight w:val="none"/>
                <w:vertAlign w:val="baseline"/>
                <w:lang w:val="en-US" w:eastAsia="zh-CN" w:bidi="ar"/>
              </w:rPr>
            </w:pPr>
            <w:r>
              <w:rPr>
                <w:rFonts w:hint="eastAsia" w:ascii="宋体" w:hAnsi="宋体" w:eastAsia="宋体" w:cs="宋体"/>
                <w:b w:val="0"/>
                <w:bCs/>
                <w:strike w:val="0"/>
                <w:dstrike w:val="0"/>
                <w:snapToGrid w:val="0"/>
                <w:color w:val="auto"/>
                <w:kern w:val="0"/>
                <w:sz w:val="24"/>
                <w:szCs w:val="24"/>
                <w:highlight w:val="none"/>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trike w:val="0"/>
                <w:dstrike w:val="0"/>
                <w:snapToGrid w:val="0"/>
                <w:color w:val="auto"/>
                <w:kern w:val="0"/>
                <w:sz w:val="24"/>
                <w:szCs w:val="24"/>
                <w:highlight w:val="none"/>
                <w:vertAlign w:val="baseline"/>
                <w:lang w:val="en-US" w:eastAsia="zh-CN" w:bidi="ar"/>
              </w:rPr>
            </w:pPr>
            <w:r>
              <w:rPr>
                <w:rFonts w:hint="eastAsia" w:ascii="宋体" w:hAnsi="宋体" w:eastAsia="宋体" w:cs="宋体"/>
                <w:strike w:val="0"/>
                <w:dstrike w:val="0"/>
                <w:snapToGrid w:val="0"/>
                <w:color w:val="auto"/>
                <w:kern w:val="0"/>
                <w:sz w:val="24"/>
                <w:szCs w:val="24"/>
                <w:highlight w:val="none"/>
                <w:vertAlign w:val="baseline"/>
                <w:lang w:val="en-US" w:eastAsia="zh-CN" w:bidi="ar"/>
              </w:rPr>
              <w:t>持准驾证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17</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垃圾清运车</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辆</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val="0"/>
                <w:bCs/>
                <w:snapToGrid w:val="0"/>
                <w:color w:val="auto"/>
                <w:kern w:val="0"/>
                <w:sz w:val="24"/>
                <w:szCs w:val="24"/>
                <w:vertAlign w:val="baseline"/>
                <w:lang w:val="en-US" w:eastAsia="zh-CN" w:bidi="ar"/>
              </w:rPr>
            </w:pPr>
            <w:r>
              <w:rPr>
                <w:rFonts w:hint="eastAsia" w:ascii="宋体" w:hAnsi="宋体" w:eastAsia="宋体" w:cs="宋体"/>
                <w:b w:val="0"/>
                <w:bCs/>
                <w:snapToGrid w:val="0"/>
                <w:color w:val="auto"/>
                <w:kern w:val="0"/>
                <w:sz w:val="24"/>
                <w:szCs w:val="24"/>
                <w:vertAlign w:val="baseline"/>
                <w:lang w:val="en-US" w:eastAsia="zh-CN" w:bidi="ar"/>
              </w:rPr>
              <w:t xml:space="preserve">≥1 </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val="0"/>
                <w:color w:val="auto"/>
                <w:kern w:val="0"/>
                <w:sz w:val="24"/>
                <w:szCs w:val="24"/>
                <w:vertAlign w:val="baseline"/>
                <w:lang w:val="en-US" w:eastAsia="zh-CN" w:bidi="ar"/>
              </w:rPr>
            </w:pPr>
            <w:r>
              <w:rPr>
                <w:rFonts w:hint="eastAsia" w:ascii="宋体" w:hAnsi="宋体" w:eastAsia="宋体" w:cs="宋体"/>
                <w:snapToGrid w:val="0"/>
                <w:color w:val="auto"/>
                <w:kern w:val="0"/>
                <w:sz w:val="24"/>
                <w:szCs w:val="24"/>
                <w:vertAlign w:val="baseline"/>
                <w:lang w:val="en-US" w:eastAsia="zh-CN" w:bidi="ar"/>
              </w:rPr>
              <w:t>持准驾证，本项目中不可用电瓶车取代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jc w:val="center"/>
        </w:trPr>
        <w:tc>
          <w:tcPr>
            <w:tcW w:w="82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s="宋体"/>
                <w:snapToGrid w:val="0"/>
                <w:color w:val="auto"/>
                <w:kern w:val="0"/>
                <w:sz w:val="24"/>
                <w:szCs w:val="24"/>
                <w:vertAlign w:val="baseline"/>
                <w:lang w:val="en-US" w:eastAsia="zh-CN" w:bidi="ar"/>
              </w:rPr>
            </w:pPr>
            <w:r>
              <w:rPr>
                <w:rFonts w:hint="eastAsia" w:cs="宋体"/>
                <w:snapToGrid w:val="0"/>
                <w:color w:val="auto"/>
                <w:kern w:val="0"/>
                <w:sz w:val="24"/>
                <w:szCs w:val="24"/>
                <w:vertAlign w:val="baseline"/>
                <w:lang w:val="en-US" w:eastAsia="zh-CN" w:bidi="ar"/>
              </w:rPr>
              <w:t>18</w:t>
            </w:r>
          </w:p>
        </w:tc>
        <w:tc>
          <w:tcPr>
            <w:tcW w:w="1767"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snapToGrid w:val="0"/>
                <w:color w:val="auto"/>
                <w:kern w:val="0"/>
                <w:sz w:val="24"/>
                <w:szCs w:val="24"/>
                <w:highlight w:val="none"/>
                <w:vertAlign w:val="baseline"/>
                <w:lang w:val="en-US" w:eastAsia="zh-CN" w:bidi="ar"/>
              </w:rPr>
              <w:t>枝叶粉碎设备</w:t>
            </w:r>
          </w:p>
        </w:tc>
        <w:tc>
          <w:tcPr>
            <w:tcW w:w="85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snapToGrid w:val="0"/>
                <w:color w:val="auto"/>
                <w:kern w:val="0"/>
                <w:sz w:val="24"/>
                <w:szCs w:val="24"/>
                <w:highlight w:val="none"/>
                <w:vertAlign w:val="baseline"/>
                <w:lang w:val="en-US" w:eastAsia="zh-CN" w:bidi="ar"/>
              </w:rPr>
            </w:pPr>
            <w:r>
              <w:rPr>
                <w:rFonts w:hint="eastAsia" w:cs="宋体"/>
                <w:snapToGrid w:val="0"/>
                <w:color w:val="auto"/>
                <w:kern w:val="0"/>
                <w:sz w:val="24"/>
                <w:szCs w:val="24"/>
                <w:highlight w:val="none"/>
                <w:vertAlign w:val="baseline"/>
                <w:lang w:val="en-US" w:eastAsia="zh-CN" w:bidi="ar"/>
              </w:rPr>
              <w:t>台</w:t>
            </w:r>
          </w:p>
        </w:tc>
        <w:tc>
          <w:tcPr>
            <w:tcW w:w="933"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宋体" w:hAnsi="宋体" w:eastAsia="宋体" w:cs="宋体"/>
                <w:b w:val="0"/>
                <w:bCs/>
                <w:snapToGrid w:val="0"/>
                <w:color w:val="auto"/>
                <w:kern w:val="0"/>
                <w:sz w:val="24"/>
                <w:szCs w:val="24"/>
                <w:highlight w:val="none"/>
                <w:vertAlign w:val="baseline"/>
                <w:lang w:val="en-US" w:eastAsia="zh-CN" w:bidi="ar"/>
              </w:rPr>
            </w:pPr>
            <w:r>
              <w:rPr>
                <w:rFonts w:hint="eastAsia" w:ascii="宋体" w:hAnsi="宋体" w:eastAsia="宋体" w:cs="宋体"/>
                <w:b w:val="0"/>
                <w:bCs/>
                <w:snapToGrid w:val="0"/>
                <w:color w:val="auto"/>
                <w:kern w:val="0"/>
                <w:sz w:val="24"/>
                <w:szCs w:val="24"/>
                <w:highlight w:val="none"/>
                <w:vertAlign w:val="baseline"/>
                <w:lang w:val="en-US" w:eastAsia="zh-CN" w:bidi="ar"/>
              </w:rPr>
              <w:t>≥</w:t>
            </w:r>
            <w:r>
              <w:rPr>
                <w:rFonts w:hint="eastAsia" w:cs="宋体"/>
                <w:b w:val="0"/>
                <w:bCs/>
                <w:snapToGrid w:val="0"/>
                <w:color w:val="auto"/>
                <w:kern w:val="0"/>
                <w:sz w:val="24"/>
                <w:szCs w:val="24"/>
                <w:highlight w:val="none"/>
                <w:vertAlign w:val="baseline"/>
                <w:lang w:val="en-US" w:eastAsia="zh-CN" w:bidi="ar"/>
              </w:rPr>
              <w:t>1</w:t>
            </w:r>
          </w:p>
        </w:tc>
        <w:tc>
          <w:tcPr>
            <w:tcW w:w="5600" w:type="dxa"/>
            <w:noWrap w:val="0"/>
            <w:tcMar>
              <w:top w:w="113" w:type="dxa"/>
              <w:left w:w="108" w:type="dxa"/>
              <w:bottom w:w="113"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auto"/>
              <w:rPr>
                <w:rFonts w:hint="eastAsia" w:asciiTheme="minorEastAsia" w:hAnsiTheme="minorEastAsia" w:eastAsiaTheme="minorEastAsia" w:cstheme="minorEastAsia"/>
                <w:snapToGrid w:val="0"/>
                <w:color w:val="0000FF"/>
                <w:kern w:val="0"/>
                <w:sz w:val="18"/>
                <w:szCs w:val="18"/>
                <w:highlight w:val="none"/>
                <w:vertAlign w:val="baseline"/>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leftChars="200"/>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z w:val="24"/>
          <w:szCs w:val="24"/>
        </w:rPr>
        <w:t>注：</w:t>
      </w:r>
      <w:r>
        <w:rPr>
          <w:rFonts w:hint="eastAsia" w:cs="宋体"/>
          <w:sz w:val="24"/>
          <w:szCs w:val="24"/>
          <w:lang w:val="en-US" w:eastAsia="zh-CN"/>
        </w:rPr>
        <w:t>1.</w:t>
      </w:r>
      <w:r>
        <w:rPr>
          <w:rFonts w:hint="eastAsia" w:ascii="宋体" w:hAnsi="宋体" w:eastAsia="宋体" w:cs="宋体"/>
          <w:snapToGrid w:val="0"/>
          <w:color w:val="auto"/>
          <w:kern w:val="0"/>
          <w:sz w:val="24"/>
          <w:szCs w:val="24"/>
          <w:lang w:val="en-US" w:eastAsia="zh-CN" w:bidi="ar"/>
        </w:rPr>
        <w:t>▲所有人员、车辆要求为采购方最少最低的配备要求，如不能满足日常或重大检查等服务的一切后果由中标方承担。响应文件中所提供的人员、车辆在项目实施中必须到位</w:t>
      </w:r>
      <w:r>
        <w:rPr>
          <w:rFonts w:hint="eastAsia" w:ascii="宋体" w:hAnsi="宋体" w:eastAsia="宋体" w:cs="宋体"/>
          <w:snapToGrid w:val="0"/>
          <w:color w:val="auto"/>
          <w:kern w:val="0"/>
          <w:sz w:val="24"/>
          <w:szCs w:val="24"/>
          <w:highlight w:val="none"/>
          <w:lang w:val="en-US" w:eastAsia="zh-CN" w:bidi="ar"/>
        </w:rPr>
        <w:t>（项目实施前须在采购方备案</w:t>
      </w:r>
      <w:r>
        <w:rPr>
          <w:rFonts w:hint="eastAsia" w:cs="宋体"/>
          <w:snapToGrid w:val="0"/>
          <w:color w:val="auto"/>
          <w:kern w:val="0"/>
          <w:sz w:val="24"/>
          <w:szCs w:val="24"/>
          <w:highlight w:val="none"/>
          <w:lang w:val="en-US" w:eastAsia="zh-CN" w:bidi="ar"/>
        </w:rPr>
        <w:t>，</w:t>
      </w:r>
      <w:r>
        <w:rPr>
          <w:rFonts w:hint="eastAsia" w:ascii="宋体" w:hAnsi="宋体" w:eastAsia="宋体" w:cs="宋体"/>
          <w:sz w:val="24"/>
          <w:szCs w:val="24"/>
          <w:highlight w:val="none"/>
        </w:rPr>
        <w:t>洒水车</w:t>
      </w:r>
      <w:r>
        <w:rPr>
          <w:rFonts w:hint="eastAsia" w:cs="宋体"/>
          <w:sz w:val="24"/>
          <w:szCs w:val="24"/>
          <w:highlight w:val="none"/>
          <w:lang w:val="en-US" w:eastAsia="zh-CN"/>
        </w:rPr>
        <w:t>主要</w:t>
      </w:r>
      <w:r>
        <w:rPr>
          <w:rFonts w:hint="eastAsia" w:ascii="宋体" w:hAnsi="宋体" w:eastAsia="宋体" w:cs="宋体"/>
          <w:sz w:val="24"/>
          <w:szCs w:val="24"/>
          <w:highlight w:val="none"/>
        </w:rPr>
        <w:t>用于</w:t>
      </w:r>
      <w:r>
        <w:rPr>
          <w:rFonts w:hint="eastAsia" w:cs="宋体"/>
          <w:sz w:val="24"/>
          <w:szCs w:val="24"/>
          <w:highlight w:val="none"/>
          <w:lang w:val="en-US" w:eastAsia="zh-CN"/>
        </w:rPr>
        <w:t>抗旱浇灌</w:t>
      </w:r>
      <w:r>
        <w:rPr>
          <w:rFonts w:hint="eastAsia" w:ascii="宋体" w:hAnsi="宋体" w:eastAsia="宋体" w:cs="宋体"/>
          <w:sz w:val="24"/>
          <w:szCs w:val="24"/>
          <w:highlight w:val="none"/>
        </w:rPr>
        <w:t>，</w:t>
      </w:r>
      <w:r>
        <w:rPr>
          <w:rFonts w:hint="eastAsia" w:cs="宋体"/>
          <w:sz w:val="24"/>
          <w:szCs w:val="24"/>
          <w:highlight w:val="none"/>
          <w:lang w:val="en-US" w:eastAsia="zh-CN"/>
        </w:rPr>
        <w:t>到位时间由业主根据天气情况确认</w:t>
      </w:r>
      <w:r>
        <w:rPr>
          <w:rFonts w:hint="eastAsia" w:ascii="宋体" w:hAnsi="宋体" w:eastAsia="宋体" w:cs="宋体"/>
          <w:snapToGrid w:val="0"/>
          <w:color w:val="auto"/>
          <w:kern w:val="0"/>
          <w:sz w:val="24"/>
          <w:szCs w:val="24"/>
          <w:highlight w:val="none"/>
          <w:lang w:val="en-US" w:eastAsia="zh-CN" w:bidi="ar"/>
        </w:rPr>
        <w:t>），如未到位发现一次按考核要求扣分。</w:t>
      </w:r>
      <w:r>
        <w:rPr>
          <w:rFonts w:hint="eastAsia" w:ascii="宋体" w:hAnsi="宋体" w:eastAsia="宋体" w:cs="宋体"/>
          <w:snapToGrid w:val="0"/>
          <w:color w:val="auto"/>
          <w:kern w:val="0"/>
          <w:sz w:val="24"/>
          <w:szCs w:val="24"/>
          <w:highlight w:val="none"/>
        </w:rPr>
        <w:t>工作人员应穿戴统一</w:t>
      </w:r>
      <w:r>
        <w:rPr>
          <w:rFonts w:hint="eastAsia" w:ascii="宋体" w:hAnsi="宋体" w:eastAsia="宋体" w:cs="宋体"/>
          <w:snapToGrid w:val="0"/>
          <w:color w:val="auto"/>
          <w:kern w:val="0"/>
          <w:sz w:val="24"/>
          <w:szCs w:val="24"/>
          <w:highlight w:val="none"/>
          <w:lang w:val="en-US" w:eastAsia="zh-CN" w:bidi="ar"/>
        </w:rPr>
        <w:t>安全标志制服，挂牌上岗。</w:t>
      </w:r>
    </w:p>
    <w:p>
      <w:pPr>
        <w:keepNext w:val="0"/>
        <w:keepLines w:val="0"/>
        <w:pageBreakBefore w:val="0"/>
        <w:widowControl w:val="0"/>
        <w:kinsoku/>
        <w:wordWrap/>
        <w:overflowPunct/>
        <w:topLinePunct w:val="0"/>
        <w:autoSpaceDE/>
        <w:autoSpaceDN/>
        <w:bidi w:val="0"/>
        <w:adjustRightInd/>
        <w:snapToGrid w:val="0"/>
        <w:spacing w:line="460" w:lineRule="exact"/>
        <w:ind w:firstLine="482" w:firstLineChars="0"/>
        <w:textAlignment w:val="auto"/>
        <w:rPr>
          <w:rFonts w:hint="eastAsia"/>
          <w:b/>
          <w:bCs/>
          <w:lang w:val="en-US" w:eastAsia="zh-CN"/>
        </w:rPr>
      </w:pPr>
      <w:r>
        <w:rPr>
          <w:rFonts w:hint="eastAsia" w:cs="宋体"/>
          <w:snapToGrid w:val="0"/>
          <w:color w:val="auto"/>
          <w:kern w:val="0"/>
          <w:sz w:val="24"/>
          <w:szCs w:val="24"/>
          <w:highlight w:val="none"/>
          <w:lang w:val="en-US" w:eastAsia="zh-CN" w:bidi="ar"/>
        </w:rPr>
        <w:t>2</w:t>
      </w:r>
      <w:r>
        <w:rPr>
          <w:rFonts w:hint="eastAsia" w:ascii="宋体" w:hAnsi="宋体" w:eastAsia="宋体" w:cs="宋体"/>
          <w:snapToGrid w:val="0"/>
          <w:color w:val="auto"/>
          <w:kern w:val="0"/>
          <w:sz w:val="24"/>
          <w:szCs w:val="24"/>
          <w:highlight w:val="none"/>
          <w:lang w:val="en-US" w:eastAsia="zh-CN" w:bidi="ar"/>
        </w:rPr>
        <w:t>、▲</w:t>
      </w:r>
      <w:r>
        <w:rPr>
          <w:rFonts w:hint="eastAsia" w:ascii="宋体" w:hAnsi="宋体" w:eastAsia="宋体" w:cs="宋体"/>
          <w:b/>
          <w:bCs/>
          <w:snapToGrid w:val="0"/>
          <w:color w:val="auto"/>
          <w:kern w:val="0"/>
          <w:sz w:val="24"/>
          <w:szCs w:val="24"/>
          <w:highlight w:val="none"/>
          <w:lang w:val="en-US" w:eastAsia="zh-CN" w:bidi="ar"/>
        </w:rPr>
        <w:t>所有保洁垃圾、枯枝残叶等均需按垃圾分类</w:t>
      </w:r>
      <w:r>
        <w:rPr>
          <w:rFonts w:hint="eastAsia" w:ascii="宋体" w:hAnsi="宋体" w:eastAsia="宋体" w:cs="宋体"/>
          <w:b/>
          <w:bCs/>
          <w:snapToGrid w:val="0"/>
          <w:color w:val="auto"/>
          <w:kern w:val="0"/>
          <w:sz w:val="24"/>
          <w:szCs w:val="24"/>
          <w:lang w:val="en-US" w:eastAsia="zh-CN" w:bidi="ar"/>
        </w:rPr>
        <w:t>要求做好分类收集送至处理点进行处理。</w:t>
      </w:r>
    </w:p>
    <w:p>
      <w:pPr>
        <w:keepNext w:val="0"/>
        <w:keepLines w:val="0"/>
        <w:pageBreakBefore w:val="0"/>
        <w:widowControl w:val="0"/>
        <w:kinsoku/>
        <w:wordWrap/>
        <w:overflowPunct/>
        <w:topLinePunct w:val="0"/>
        <w:autoSpaceDE/>
        <w:autoSpaceDN/>
        <w:bidi w:val="0"/>
        <w:adjustRightInd/>
        <w:snapToGrid w:val="0"/>
        <w:spacing w:line="460" w:lineRule="exact"/>
        <w:ind w:firstLine="482" w:firstLineChars="0"/>
        <w:textAlignment w:val="auto"/>
        <w:rPr>
          <w:rFonts w:hint="eastAsia" w:ascii="宋体" w:hAnsi="宋体" w:eastAsia="宋体" w:cs="宋体"/>
          <w:snapToGrid w:val="0"/>
          <w:color w:val="000000"/>
          <w:kern w:val="0"/>
          <w:sz w:val="24"/>
          <w:szCs w:val="24"/>
          <w:lang w:bidi="ar"/>
        </w:rPr>
      </w:pPr>
      <w:r>
        <w:rPr>
          <w:rFonts w:hint="eastAsia" w:ascii="宋体" w:hAnsi="宋体" w:eastAsia="宋体" w:cs="宋体"/>
          <w:b w:val="0"/>
          <w:bCs w:val="0"/>
          <w:snapToGrid w:val="0"/>
          <w:color w:val="000000"/>
          <w:kern w:val="0"/>
          <w:sz w:val="24"/>
          <w:szCs w:val="24"/>
          <w:lang w:val="en-US" w:eastAsia="zh-CN" w:bidi="ar"/>
        </w:rPr>
        <w:t>（</w:t>
      </w:r>
      <w:r>
        <w:rPr>
          <w:rFonts w:hint="eastAsia" w:cs="宋体"/>
          <w:b w:val="0"/>
          <w:bCs w:val="0"/>
          <w:snapToGrid w:val="0"/>
          <w:color w:val="000000"/>
          <w:kern w:val="0"/>
          <w:sz w:val="24"/>
          <w:szCs w:val="24"/>
          <w:lang w:val="en-US" w:eastAsia="zh-CN" w:bidi="ar"/>
        </w:rPr>
        <w:t>三</w:t>
      </w:r>
      <w:r>
        <w:rPr>
          <w:rFonts w:hint="eastAsia" w:ascii="宋体" w:hAnsi="宋体" w:eastAsia="宋体" w:cs="宋体"/>
          <w:b w:val="0"/>
          <w:bCs w:val="0"/>
          <w:snapToGrid w:val="0"/>
          <w:color w:val="000000"/>
          <w:kern w:val="0"/>
          <w:sz w:val="24"/>
          <w:szCs w:val="24"/>
          <w:lang w:val="en-US" w:eastAsia="zh-CN" w:bidi="ar"/>
        </w:rPr>
        <w:t>）</w:t>
      </w:r>
      <w:r>
        <w:rPr>
          <w:rFonts w:hint="eastAsia" w:ascii="宋体" w:hAnsi="宋体" w:eastAsia="宋体" w:cs="宋体"/>
          <w:b w:val="0"/>
          <w:snapToGrid w:val="0"/>
          <w:color w:val="000000"/>
          <w:kern w:val="0"/>
          <w:sz w:val="24"/>
          <w:szCs w:val="24"/>
          <w:lang w:val="en-US" w:eastAsia="zh-CN" w:bidi="ar"/>
        </w:rPr>
        <w:t>商务及</w:t>
      </w:r>
      <w:r>
        <w:rPr>
          <w:rFonts w:hint="eastAsia" w:ascii="宋体" w:hAnsi="宋体" w:eastAsia="宋体" w:cs="宋体"/>
          <w:b w:val="0"/>
          <w:bCs w:val="0"/>
          <w:snapToGrid w:val="0"/>
          <w:color w:val="000000"/>
          <w:kern w:val="0"/>
          <w:sz w:val="24"/>
          <w:szCs w:val="24"/>
          <w:lang w:bidi="ar"/>
        </w:rPr>
        <w:t>其它约定</w:t>
      </w:r>
    </w:p>
    <w:p>
      <w:pPr>
        <w:keepNext w:val="0"/>
        <w:keepLines w:val="0"/>
        <w:pageBreakBefore w:val="0"/>
        <w:widowControl w:val="0"/>
        <w:kinsoku/>
        <w:wordWrap/>
        <w:overflowPunct/>
        <w:topLinePunct w:val="0"/>
        <w:autoSpaceDE/>
        <w:autoSpaceDN/>
        <w:bidi w:val="0"/>
        <w:adjustRightInd/>
        <w:snapToGrid w:val="0"/>
        <w:spacing w:line="460" w:lineRule="exact"/>
        <w:ind w:firstLine="482" w:firstLineChars="0"/>
        <w:textAlignment w:val="auto"/>
        <w:rPr>
          <w:rFonts w:hint="eastAsia" w:ascii="宋体" w:hAnsi="宋体" w:eastAsia="宋体" w:cs="宋体"/>
          <w:snapToGrid w:val="0"/>
          <w:color w:val="0070C0"/>
          <w:kern w:val="0"/>
          <w:sz w:val="24"/>
          <w:szCs w:val="24"/>
          <w:lang w:val="en-US" w:eastAsia="zh-CN" w:bidi="ar"/>
        </w:rPr>
      </w:pPr>
      <w:r>
        <w:rPr>
          <w:rFonts w:hint="eastAsia" w:ascii="宋体" w:hAnsi="宋体" w:eastAsia="宋体" w:cs="宋体"/>
          <w:snapToGrid w:val="0"/>
          <w:color w:val="auto"/>
          <w:kern w:val="0"/>
          <w:sz w:val="24"/>
          <w:szCs w:val="24"/>
          <w:lang w:val="en-US" w:eastAsia="zh-CN" w:bidi="ar"/>
        </w:rPr>
        <w:t>1、▲付款方式</w:t>
      </w:r>
      <w:r>
        <w:rPr>
          <w:rFonts w:hint="eastAsia" w:cs="宋体"/>
          <w:snapToGrid w:val="0"/>
          <w:color w:val="auto"/>
          <w:kern w:val="0"/>
          <w:sz w:val="24"/>
          <w:szCs w:val="24"/>
          <w:lang w:val="en-US" w:eastAsia="zh-CN" w:bidi="ar"/>
        </w:rPr>
        <w:t>及其它约定</w:t>
      </w:r>
      <w:r>
        <w:rPr>
          <w:rFonts w:hint="eastAsia" w:ascii="宋体" w:hAnsi="宋体" w:eastAsia="宋体" w:cs="宋体"/>
          <w:snapToGrid w:val="0"/>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cs="宋体"/>
          <w:snapToGrid w:val="0"/>
          <w:color w:val="auto"/>
          <w:kern w:val="0"/>
          <w:sz w:val="24"/>
          <w:szCs w:val="24"/>
          <w:lang w:val="en-US" w:eastAsia="zh-CN"/>
        </w:rPr>
        <w:t>1.1</w:t>
      </w:r>
      <w:r>
        <w:rPr>
          <w:rFonts w:hint="eastAsia" w:ascii="宋体" w:hAnsi="宋体" w:eastAsia="宋体" w:cs="宋体"/>
          <w:snapToGrid w:val="0"/>
          <w:color w:val="auto"/>
          <w:kern w:val="0"/>
          <w:sz w:val="24"/>
          <w:szCs w:val="24"/>
          <w:lang w:val="en-US" w:eastAsia="zh-CN"/>
        </w:rPr>
        <w:t>.</w:t>
      </w:r>
      <w:r>
        <w:rPr>
          <w:rFonts w:hint="eastAsia" w:ascii="宋体" w:hAnsi="宋体" w:eastAsia="宋体" w:cs="宋体"/>
          <w:snapToGrid w:val="0"/>
          <w:color w:val="auto"/>
          <w:kern w:val="0"/>
          <w:sz w:val="24"/>
          <w:szCs w:val="24"/>
          <w:lang w:eastAsia="zh-CN"/>
        </w:rPr>
        <w:t>绿化养护服务费</w:t>
      </w:r>
      <w:r>
        <w:rPr>
          <w:rFonts w:hint="eastAsia" w:ascii="宋体" w:hAnsi="宋体" w:eastAsia="宋体" w:cs="宋体"/>
          <w:snapToGrid w:val="0"/>
          <w:color w:val="auto"/>
          <w:kern w:val="0"/>
          <w:sz w:val="24"/>
          <w:szCs w:val="24"/>
        </w:rPr>
        <w:t>采用先作业后拨付的方式，当月经费经考核检查奖</w:t>
      </w:r>
      <w:r>
        <w:rPr>
          <w:rFonts w:hint="eastAsia" w:ascii="宋体" w:hAnsi="宋体" w:eastAsia="宋体" w:cs="宋体"/>
          <w:snapToGrid w:val="0"/>
          <w:color w:val="auto"/>
          <w:kern w:val="0"/>
          <w:sz w:val="24"/>
          <w:szCs w:val="24"/>
          <w:highlight w:val="none"/>
        </w:rPr>
        <w:t>罚后兑现</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提供当地税务部门开具的税票及采购单位财务要求提供的付款资料</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绿化养护服务费</w:t>
      </w:r>
      <w:r>
        <w:rPr>
          <w:rFonts w:hint="eastAsia" w:ascii="宋体" w:hAnsi="宋体" w:eastAsia="宋体" w:cs="宋体"/>
          <w:snapToGrid w:val="0"/>
          <w:color w:val="auto"/>
          <w:kern w:val="0"/>
          <w:sz w:val="24"/>
          <w:szCs w:val="24"/>
          <w:highlight w:val="none"/>
        </w:rPr>
        <w:t>的支付与养护质量挂钩。达不到合同约定的养护质量标准时，双方约定按照以下方式核减合同价款：按月考核综合得分情况，低于95分，每扣1分扣除</w:t>
      </w:r>
      <w:r>
        <w:rPr>
          <w:rFonts w:hint="eastAsia" w:ascii="宋体" w:hAnsi="宋体" w:eastAsia="宋体" w:cs="宋体"/>
          <w:snapToGrid w:val="0"/>
          <w:color w:val="auto"/>
          <w:kern w:val="0"/>
          <w:sz w:val="24"/>
          <w:szCs w:val="24"/>
          <w:highlight w:val="none"/>
          <w:lang w:eastAsia="zh-CN"/>
        </w:rPr>
        <w:t>绿化养护服务费</w:t>
      </w:r>
      <w:r>
        <w:rPr>
          <w:rFonts w:hint="eastAsia" w:ascii="宋体" w:hAnsi="宋体" w:eastAsia="宋体" w:cs="宋体"/>
          <w:snapToGrid w:val="0"/>
          <w:color w:val="auto"/>
          <w:kern w:val="0"/>
          <w:sz w:val="24"/>
          <w:szCs w:val="24"/>
          <w:highlight w:val="none"/>
          <w:u w:val="single"/>
        </w:rPr>
        <w:t xml:space="preserve">800 </w:t>
      </w:r>
      <w:r>
        <w:rPr>
          <w:rFonts w:hint="eastAsia" w:ascii="宋体" w:hAnsi="宋体" w:eastAsia="宋体" w:cs="宋体"/>
          <w:snapToGrid w:val="0"/>
          <w:color w:val="auto"/>
          <w:kern w:val="0"/>
          <w:sz w:val="24"/>
          <w:szCs w:val="24"/>
          <w:highlight w:val="none"/>
        </w:rPr>
        <w:t>元整。低于90分，每分扣</w:t>
      </w:r>
      <w:r>
        <w:rPr>
          <w:rFonts w:hint="eastAsia" w:ascii="宋体" w:hAnsi="宋体" w:eastAsia="宋体" w:cs="宋体"/>
          <w:snapToGrid w:val="0"/>
          <w:color w:val="auto"/>
          <w:kern w:val="0"/>
          <w:sz w:val="24"/>
          <w:szCs w:val="24"/>
          <w:highlight w:val="none"/>
          <w:u w:val="single"/>
        </w:rPr>
        <w:t>2400</w:t>
      </w:r>
      <w:r>
        <w:rPr>
          <w:rFonts w:hint="eastAsia" w:ascii="宋体" w:hAnsi="宋体" w:eastAsia="宋体" w:cs="宋体"/>
          <w:snapToGrid w:val="0"/>
          <w:color w:val="auto"/>
          <w:kern w:val="0"/>
          <w:sz w:val="24"/>
          <w:szCs w:val="24"/>
          <w:highlight w:val="none"/>
        </w:rPr>
        <w:t>元整，</w:t>
      </w:r>
      <w:r>
        <w:rPr>
          <w:rFonts w:hint="eastAsia" w:ascii="宋体" w:hAnsi="宋体" w:eastAsia="宋体" w:cs="宋体"/>
          <w:b/>
          <w:bCs/>
          <w:snapToGrid w:val="0"/>
          <w:color w:val="auto"/>
          <w:kern w:val="0"/>
          <w:sz w:val="24"/>
          <w:szCs w:val="24"/>
          <w:highlight w:val="none"/>
        </w:rPr>
        <w:t>低于70分，</w:t>
      </w:r>
      <w:r>
        <w:rPr>
          <w:rFonts w:hint="eastAsia" w:ascii="宋体" w:hAnsi="宋体" w:eastAsia="宋体" w:cs="宋体"/>
          <w:b/>
          <w:bCs/>
          <w:color w:val="auto"/>
          <w:spacing w:val="5"/>
          <w:kern w:val="2"/>
          <w:sz w:val="24"/>
          <w:szCs w:val="24"/>
          <w:highlight w:val="none"/>
          <w:lang w:val="en-US" w:eastAsia="zh-CN" w:bidi="ar-SA"/>
        </w:rPr>
        <w:t>甲方有权视情况中止合同，</w:t>
      </w:r>
      <w:r>
        <w:rPr>
          <w:rFonts w:hint="eastAsia" w:ascii="宋体" w:hAnsi="宋体" w:eastAsia="宋体" w:cs="宋体"/>
          <w:b/>
          <w:bCs/>
          <w:color w:val="auto"/>
          <w:sz w:val="24"/>
          <w:szCs w:val="24"/>
          <w:highlight w:val="none"/>
          <w:lang w:val="en-US" w:eastAsia="zh-CN"/>
        </w:rPr>
        <w:t>并扣除当月服务费，由采购人接管。</w:t>
      </w:r>
      <w:r>
        <w:rPr>
          <w:rFonts w:hint="eastAsia" w:ascii="宋体" w:hAnsi="宋体" w:eastAsia="宋体" w:cs="宋体"/>
          <w:snapToGrid w:val="0"/>
          <w:color w:val="auto"/>
          <w:kern w:val="0"/>
          <w:sz w:val="24"/>
          <w:szCs w:val="24"/>
          <w:highlight w:val="none"/>
        </w:rPr>
        <w:t>（综合得分=∑（各区域得分*权重））</w:t>
      </w:r>
      <w:r>
        <w:rPr>
          <w:rFonts w:hint="eastAsia" w:ascii="宋体" w:hAnsi="宋体" w:eastAsia="宋体" w:cs="宋体"/>
          <w:b w:val="0"/>
          <w:bCs w:val="0"/>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textAlignment w:val="auto"/>
        <w:rPr>
          <w:rFonts w:hint="eastAsia" w:cs="宋体"/>
          <w:b w:val="0"/>
          <w:snapToGrid w:val="0"/>
          <w:color w:val="auto"/>
          <w:kern w:val="0"/>
          <w:sz w:val="24"/>
          <w:szCs w:val="24"/>
          <w:highlight w:val="none"/>
          <w:lang w:val="en-US" w:eastAsia="zh-CN" w:bidi="ar"/>
        </w:rPr>
      </w:pPr>
      <w:r>
        <w:rPr>
          <w:rFonts w:hint="eastAsia" w:cs="宋体"/>
          <w:b w:val="0"/>
          <w:bCs w:val="0"/>
          <w:snapToGrid w:val="0"/>
          <w:color w:val="auto"/>
          <w:kern w:val="0"/>
          <w:sz w:val="24"/>
          <w:szCs w:val="24"/>
          <w:highlight w:val="none"/>
          <w:lang w:val="en-US" w:eastAsia="zh-CN"/>
        </w:rPr>
        <w:t>1.2.</w:t>
      </w:r>
      <w:r>
        <w:rPr>
          <w:rFonts w:hint="eastAsia" w:ascii="宋体" w:hAnsi="宋体" w:eastAsia="宋体" w:cs="宋体"/>
          <w:b w:val="0"/>
          <w:snapToGrid w:val="0"/>
          <w:color w:val="auto"/>
          <w:kern w:val="0"/>
          <w:sz w:val="24"/>
          <w:szCs w:val="24"/>
          <w:highlight w:val="none"/>
          <w:lang w:val="en-US" w:eastAsia="zh-CN" w:bidi="ar"/>
        </w:rPr>
        <w:t>本项目总预算为</w:t>
      </w:r>
      <w:r>
        <w:rPr>
          <w:rFonts w:hint="eastAsia" w:cs="宋体"/>
          <w:b w:val="0"/>
          <w:snapToGrid w:val="0"/>
          <w:color w:val="auto"/>
          <w:kern w:val="0"/>
          <w:sz w:val="24"/>
          <w:szCs w:val="24"/>
          <w:highlight w:val="none"/>
          <w:lang w:val="en-US" w:eastAsia="zh-CN" w:bidi="ar"/>
        </w:rPr>
        <w:t>175</w:t>
      </w:r>
      <w:r>
        <w:rPr>
          <w:rFonts w:hint="eastAsia" w:ascii="宋体" w:hAnsi="宋体" w:eastAsia="宋体" w:cs="宋体"/>
          <w:b w:val="0"/>
          <w:snapToGrid w:val="0"/>
          <w:color w:val="auto"/>
          <w:kern w:val="0"/>
          <w:sz w:val="24"/>
          <w:szCs w:val="24"/>
          <w:highlight w:val="none"/>
          <w:lang w:val="en-US" w:eastAsia="zh-CN" w:bidi="ar"/>
        </w:rPr>
        <w:t>万元</w:t>
      </w:r>
      <w:r>
        <w:rPr>
          <w:rFonts w:hint="eastAsia" w:cs="宋体"/>
          <w:b w:val="0"/>
          <w:snapToGrid w:val="0"/>
          <w:color w:val="auto"/>
          <w:kern w:val="0"/>
          <w:sz w:val="24"/>
          <w:szCs w:val="24"/>
          <w:highlight w:val="none"/>
          <w:lang w:val="en-US" w:eastAsia="zh-CN" w:bidi="ar"/>
        </w:rPr>
        <w:t>/年</w:t>
      </w:r>
      <w:r>
        <w:rPr>
          <w:rFonts w:hint="eastAsia" w:ascii="宋体" w:hAnsi="宋体" w:eastAsia="宋体" w:cs="宋体"/>
          <w:b w:val="0"/>
          <w:snapToGrid w:val="0"/>
          <w:color w:val="auto"/>
          <w:kern w:val="0"/>
          <w:sz w:val="24"/>
          <w:szCs w:val="24"/>
          <w:highlight w:val="none"/>
          <w:lang w:val="en-US" w:eastAsia="zh-CN" w:bidi="ar"/>
        </w:rPr>
        <w:t>，其中</w:t>
      </w:r>
      <w:r>
        <w:rPr>
          <w:rFonts w:hint="eastAsia" w:cs="宋体"/>
          <w:b w:val="0"/>
          <w:snapToGrid w:val="0"/>
          <w:color w:val="auto"/>
          <w:kern w:val="0"/>
          <w:sz w:val="24"/>
          <w:szCs w:val="24"/>
          <w:highlight w:val="none"/>
          <w:lang w:val="en-US" w:eastAsia="zh-CN" w:bidi="ar"/>
        </w:rPr>
        <w:t>142.5</w:t>
      </w:r>
      <w:r>
        <w:rPr>
          <w:rFonts w:hint="eastAsia" w:ascii="宋体" w:hAnsi="宋体" w:eastAsia="宋体" w:cs="宋体"/>
          <w:b w:val="0"/>
          <w:snapToGrid w:val="0"/>
          <w:color w:val="auto"/>
          <w:kern w:val="0"/>
          <w:sz w:val="24"/>
          <w:szCs w:val="24"/>
          <w:highlight w:val="none"/>
          <w:lang w:val="en-US" w:eastAsia="zh-CN" w:bidi="ar"/>
        </w:rPr>
        <w:t>万元</w:t>
      </w:r>
      <w:r>
        <w:rPr>
          <w:rFonts w:hint="eastAsia" w:cs="宋体"/>
          <w:b w:val="0"/>
          <w:snapToGrid w:val="0"/>
          <w:color w:val="auto"/>
          <w:kern w:val="0"/>
          <w:sz w:val="24"/>
          <w:szCs w:val="24"/>
          <w:highlight w:val="none"/>
          <w:lang w:val="en-US" w:eastAsia="zh-CN" w:bidi="ar"/>
        </w:rPr>
        <w:t>/年</w:t>
      </w:r>
      <w:r>
        <w:rPr>
          <w:rFonts w:hint="eastAsia" w:ascii="宋体" w:hAnsi="宋体" w:eastAsia="宋体" w:cs="宋体"/>
          <w:b w:val="0"/>
          <w:snapToGrid w:val="0"/>
          <w:color w:val="auto"/>
          <w:kern w:val="0"/>
          <w:sz w:val="24"/>
          <w:szCs w:val="24"/>
          <w:highlight w:val="none"/>
          <w:lang w:val="en-US" w:eastAsia="zh-CN" w:bidi="ar"/>
        </w:rPr>
        <w:t>为绿化养护预算金额，供应商在该金额范围内自主报价；</w:t>
      </w:r>
      <w:r>
        <w:rPr>
          <w:rFonts w:hint="eastAsia" w:cs="宋体"/>
          <w:b w:val="0"/>
          <w:snapToGrid w:val="0"/>
          <w:color w:val="auto"/>
          <w:kern w:val="0"/>
          <w:sz w:val="24"/>
          <w:szCs w:val="24"/>
          <w:highlight w:val="none"/>
          <w:lang w:val="en-US" w:eastAsia="zh-CN" w:bidi="ar"/>
        </w:rPr>
        <w:t>30</w:t>
      </w:r>
      <w:r>
        <w:rPr>
          <w:rFonts w:hint="eastAsia" w:ascii="宋体" w:hAnsi="宋体" w:eastAsia="宋体" w:cs="宋体"/>
          <w:b w:val="0"/>
          <w:snapToGrid w:val="0"/>
          <w:color w:val="auto"/>
          <w:kern w:val="0"/>
          <w:sz w:val="24"/>
          <w:szCs w:val="24"/>
          <w:highlight w:val="none"/>
          <w:lang w:val="en-US" w:eastAsia="zh-CN" w:bidi="ar"/>
        </w:rPr>
        <w:t>万</w:t>
      </w:r>
      <w:r>
        <w:rPr>
          <w:rFonts w:hint="eastAsia" w:cs="宋体"/>
          <w:b w:val="0"/>
          <w:snapToGrid w:val="0"/>
          <w:color w:val="auto"/>
          <w:kern w:val="0"/>
          <w:sz w:val="24"/>
          <w:szCs w:val="24"/>
          <w:highlight w:val="none"/>
          <w:lang w:val="en-US" w:eastAsia="zh-CN" w:bidi="ar"/>
        </w:rPr>
        <w:t>元/年</w:t>
      </w:r>
      <w:r>
        <w:rPr>
          <w:rFonts w:hint="eastAsia" w:ascii="宋体" w:hAnsi="宋体" w:eastAsia="宋体" w:cs="宋体"/>
          <w:b w:val="0"/>
          <w:snapToGrid w:val="0"/>
          <w:color w:val="auto"/>
          <w:kern w:val="0"/>
          <w:sz w:val="24"/>
          <w:szCs w:val="24"/>
          <w:highlight w:val="none"/>
          <w:lang w:val="en-US" w:eastAsia="zh-CN" w:bidi="ar"/>
        </w:rPr>
        <w:t>为绿化补植费用</w:t>
      </w:r>
      <w:r>
        <w:rPr>
          <w:rFonts w:hint="default" w:cs="宋体"/>
          <w:b w:val="0"/>
          <w:snapToGrid w:val="0"/>
          <w:color w:val="auto"/>
          <w:kern w:val="0"/>
          <w:sz w:val="24"/>
          <w:szCs w:val="24"/>
          <w:highlight w:val="none"/>
          <w:lang w:eastAsia="zh-CN" w:bidi="ar"/>
        </w:rPr>
        <w:t>及暂列金</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val="en-US" w:eastAsia="zh-CN" w:bidi="ar"/>
        </w:rPr>
        <w:t>2.5</w:t>
      </w:r>
      <w:r>
        <w:rPr>
          <w:rFonts w:hint="default" w:cs="宋体"/>
          <w:b w:val="0"/>
          <w:snapToGrid w:val="0"/>
          <w:color w:val="auto"/>
          <w:kern w:val="0"/>
          <w:sz w:val="24"/>
          <w:szCs w:val="24"/>
          <w:highlight w:val="none"/>
          <w:lang w:eastAsia="zh-CN" w:bidi="ar"/>
        </w:rPr>
        <w:t>万元</w:t>
      </w:r>
      <w:r>
        <w:rPr>
          <w:rFonts w:hint="eastAsia" w:cs="宋体"/>
          <w:b w:val="0"/>
          <w:snapToGrid w:val="0"/>
          <w:color w:val="auto"/>
          <w:kern w:val="0"/>
          <w:sz w:val="24"/>
          <w:szCs w:val="24"/>
          <w:highlight w:val="none"/>
          <w:lang w:val="en-US" w:eastAsia="zh-CN" w:bidi="ar"/>
        </w:rPr>
        <w:t>/</w:t>
      </w:r>
      <w:r>
        <w:rPr>
          <w:rFonts w:hint="default" w:cs="宋体"/>
          <w:b w:val="0"/>
          <w:snapToGrid w:val="0"/>
          <w:color w:val="auto"/>
          <w:kern w:val="0"/>
          <w:sz w:val="24"/>
          <w:szCs w:val="24"/>
          <w:highlight w:val="none"/>
          <w:lang w:eastAsia="zh-CN" w:bidi="ar"/>
        </w:rPr>
        <w:t>年为安全生产费用，</w:t>
      </w:r>
      <w:r>
        <w:rPr>
          <w:rFonts w:hint="eastAsia" w:ascii="宋体" w:hAnsi="宋体" w:eastAsia="宋体" w:cs="宋体"/>
          <w:b w:val="0"/>
          <w:snapToGrid w:val="0"/>
          <w:color w:val="auto"/>
          <w:kern w:val="0"/>
          <w:sz w:val="24"/>
          <w:szCs w:val="24"/>
          <w:highlight w:val="none"/>
          <w:lang w:val="en-US" w:eastAsia="zh-CN" w:bidi="ar"/>
        </w:rPr>
        <w:t>全额列入投标总价（固定不变），供应商在报价中不得更改（此项费用采购方根据实际需要确定，工程量按实结算，套用现行</w:t>
      </w:r>
      <w:r>
        <w:rPr>
          <w:rFonts w:hint="default" w:cs="宋体"/>
          <w:b w:val="0"/>
          <w:snapToGrid w:val="0"/>
          <w:color w:val="auto"/>
          <w:kern w:val="0"/>
          <w:sz w:val="24"/>
          <w:szCs w:val="24"/>
          <w:highlight w:val="none"/>
          <w:lang w:eastAsia="zh-CN" w:bidi="ar"/>
        </w:rPr>
        <w:t>市政</w:t>
      </w:r>
      <w:r>
        <w:rPr>
          <w:rFonts w:hint="eastAsia" w:ascii="宋体" w:hAnsi="宋体" w:eastAsia="宋体" w:cs="宋体"/>
          <w:b w:val="0"/>
          <w:snapToGrid w:val="0"/>
          <w:color w:val="auto"/>
          <w:kern w:val="0"/>
          <w:sz w:val="24"/>
          <w:szCs w:val="24"/>
          <w:highlight w:val="none"/>
          <w:lang w:val="en-US" w:eastAsia="zh-CN" w:bidi="ar"/>
        </w:rPr>
        <w:t>相关定额和施工期信息价组价后下浮8%为结算单价</w:t>
      </w:r>
      <w:r>
        <w:rPr>
          <w:rFonts w:hint="eastAsia" w:cs="宋体"/>
          <w:b w:val="0"/>
          <w:snapToGrid w:val="0"/>
          <w:color w:val="auto"/>
          <w:kern w:val="0"/>
          <w:sz w:val="24"/>
          <w:szCs w:val="24"/>
          <w:highlight w:val="none"/>
          <w:lang w:val="en-US" w:eastAsia="zh-CN" w:bidi="ar"/>
        </w:rPr>
        <w:t>结算，结算后付至款项的80%</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val="en-US" w:eastAsia="zh-CN" w:bidi="ar"/>
        </w:rPr>
        <w:t>余款</w:t>
      </w:r>
      <w:r>
        <w:rPr>
          <w:rFonts w:hint="eastAsia" w:ascii="宋体" w:hAnsi="宋体" w:eastAsia="宋体" w:cs="宋体"/>
          <w:b w:val="0"/>
          <w:snapToGrid w:val="0"/>
          <w:color w:val="auto"/>
          <w:kern w:val="0"/>
          <w:sz w:val="24"/>
          <w:szCs w:val="24"/>
          <w:highlight w:val="none"/>
          <w:lang w:val="en-US" w:eastAsia="zh-CN" w:bidi="ar"/>
        </w:rPr>
        <w:t>经审计后支付）</w:t>
      </w:r>
      <w:r>
        <w:rPr>
          <w:rFonts w:hint="eastAsia" w:cs="宋体"/>
          <w:b w:val="0"/>
          <w:snapToGrid w:val="0"/>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textAlignment w:val="auto"/>
        <w:rPr>
          <w:rFonts w:hint="default" w:ascii="宋体" w:hAnsi="宋体" w:eastAsia="宋体" w:cs="宋体"/>
          <w:b w:val="0"/>
          <w:snapToGrid w:val="0"/>
          <w:color w:val="auto"/>
          <w:kern w:val="0"/>
          <w:sz w:val="24"/>
          <w:szCs w:val="24"/>
          <w:highlight w:val="yellow"/>
          <w:lang w:val="en-US" w:eastAsia="zh-CN" w:bidi="ar"/>
        </w:rPr>
      </w:pPr>
      <w:r>
        <w:rPr>
          <w:rFonts w:hint="eastAsia" w:cs="宋体"/>
          <w:b w:val="0"/>
          <w:snapToGrid w:val="0"/>
          <w:color w:val="auto"/>
          <w:kern w:val="0"/>
          <w:sz w:val="24"/>
          <w:szCs w:val="24"/>
          <w:highlight w:val="none"/>
          <w:lang w:val="en-US" w:eastAsia="zh-CN" w:bidi="ar"/>
        </w:rPr>
        <w:t>1.3</w:t>
      </w:r>
      <w:r>
        <w:rPr>
          <w:rFonts w:hint="eastAsia" w:ascii="宋体" w:hAnsi="宋体" w:eastAsia="宋体" w:cs="宋体"/>
          <w:b w:val="0"/>
          <w:snapToGrid w:val="0"/>
          <w:color w:val="auto"/>
          <w:kern w:val="0"/>
          <w:sz w:val="24"/>
          <w:szCs w:val="24"/>
          <w:highlight w:val="none"/>
          <w:lang w:val="en-US" w:eastAsia="zh-CN" w:bidi="ar"/>
        </w:rPr>
        <w:t>.▲灵山江沿江公路（石角至溪毛线）预计2025年5月移交，</w:t>
      </w:r>
      <w:r>
        <w:rPr>
          <w:rFonts w:hint="eastAsia" w:cs="宋体"/>
          <w:b w:val="0"/>
          <w:strike w:val="0"/>
          <w:dstrike w:val="0"/>
          <w:snapToGrid w:val="0"/>
          <w:color w:val="auto"/>
          <w:kern w:val="0"/>
          <w:sz w:val="24"/>
          <w:szCs w:val="24"/>
          <w:highlight w:val="none"/>
          <w:lang w:val="en-US" w:eastAsia="zh-CN" w:bidi="ar"/>
        </w:rPr>
        <w:t>移交后根据业主指令，增加</w:t>
      </w:r>
      <w:r>
        <w:rPr>
          <w:rFonts w:hint="default" w:cs="宋体"/>
          <w:b w:val="0"/>
          <w:strike w:val="0"/>
          <w:dstrike w:val="0"/>
          <w:snapToGrid w:val="0"/>
          <w:color w:val="auto"/>
          <w:kern w:val="0"/>
          <w:sz w:val="24"/>
          <w:szCs w:val="24"/>
          <w:highlight w:val="none"/>
          <w:lang w:eastAsia="zh-CN" w:bidi="ar"/>
        </w:rPr>
        <w:t>固定</w:t>
      </w:r>
      <w:r>
        <w:rPr>
          <w:rFonts w:hint="eastAsia" w:cs="宋体"/>
          <w:b w:val="0"/>
          <w:strike w:val="0"/>
          <w:dstrike w:val="0"/>
          <w:snapToGrid w:val="0"/>
          <w:color w:val="auto"/>
          <w:kern w:val="0"/>
          <w:sz w:val="24"/>
          <w:szCs w:val="24"/>
          <w:highlight w:val="none"/>
          <w:lang w:val="en-US" w:eastAsia="zh-CN" w:bidi="ar"/>
        </w:rPr>
        <w:t>绿化工人数，工资按3500元/月*人（固定单价不参与投标下浮）计算，费用从绿化补植及暂列金中列支。</w:t>
      </w:r>
      <w:r>
        <w:rPr>
          <w:rFonts w:hint="eastAsia" w:ascii="宋体" w:hAnsi="宋体" w:eastAsia="宋体" w:cs="宋体"/>
          <w:b w:val="0"/>
          <w:snapToGrid w:val="0"/>
          <w:color w:val="auto"/>
          <w:kern w:val="0"/>
          <w:sz w:val="24"/>
          <w:szCs w:val="24"/>
          <w:highlight w:val="none"/>
          <w:lang w:val="en-US" w:eastAsia="zh-CN" w:bidi="ar"/>
        </w:rPr>
        <w:t>灵山江</w:t>
      </w:r>
      <w:r>
        <w:rPr>
          <w:rFonts w:hint="eastAsia" w:cs="宋体"/>
          <w:b w:val="0"/>
          <w:snapToGrid w:val="0"/>
          <w:color w:val="auto"/>
          <w:kern w:val="0"/>
          <w:sz w:val="24"/>
          <w:szCs w:val="24"/>
          <w:highlight w:val="none"/>
          <w:lang w:val="en-US" w:eastAsia="zh-CN" w:bidi="ar"/>
        </w:rPr>
        <w:t>沿江公路</w:t>
      </w:r>
      <w:r>
        <w:rPr>
          <w:rFonts w:hint="eastAsia" w:ascii="宋体" w:hAnsi="宋体" w:eastAsia="宋体" w:cs="宋体"/>
          <w:b w:val="0"/>
          <w:snapToGrid w:val="0"/>
          <w:color w:val="auto"/>
          <w:kern w:val="0"/>
          <w:sz w:val="24"/>
          <w:szCs w:val="24"/>
          <w:highlight w:val="none"/>
          <w:lang w:val="en-US" w:eastAsia="zh-CN" w:bidi="ar"/>
        </w:rPr>
        <w:t>（石角至溪毛线）</w:t>
      </w:r>
      <w:r>
        <w:rPr>
          <w:rFonts w:hint="eastAsia" w:cs="宋体"/>
          <w:b w:val="0"/>
          <w:snapToGrid w:val="0"/>
          <w:color w:val="auto"/>
          <w:kern w:val="0"/>
          <w:sz w:val="24"/>
          <w:szCs w:val="24"/>
          <w:highlight w:val="none"/>
          <w:lang w:val="en-US" w:eastAsia="zh-CN" w:bidi="ar"/>
        </w:rPr>
        <w:t>移交前每天到位人数不少于14人。</w:t>
      </w:r>
    </w:p>
    <w:p>
      <w:pPr>
        <w:pStyle w:val="22"/>
        <w:keepNext w:val="0"/>
        <w:keepLines w:val="0"/>
        <w:pageBreakBefore w:val="0"/>
        <w:widowControl w:val="0"/>
        <w:kinsoku/>
        <w:wordWrap/>
        <w:overflowPunct/>
        <w:topLinePunct w:val="0"/>
        <w:autoSpaceDE/>
        <w:autoSpaceDN/>
        <w:bidi w:val="0"/>
        <w:adjustRightInd/>
        <w:snapToGrid w:val="0"/>
        <w:spacing w:line="360" w:lineRule="auto"/>
        <w:ind w:left="2880" w:leftChars="218" w:right="-74" w:hanging="2400" w:hangingChars="1000"/>
        <w:textAlignment w:val="auto"/>
        <w:rPr>
          <w:rFonts w:hint="eastAsia" w:cs="宋体"/>
          <w:color w:val="auto"/>
          <w:sz w:val="24"/>
          <w:highlight w:val="none"/>
          <w:lang w:val="en-US" w:eastAsia="zh-CN"/>
        </w:rPr>
      </w:pPr>
      <w:r>
        <w:rPr>
          <w:rFonts w:hint="eastAsia" w:cs="宋体"/>
          <w:color w:val="auto"/>
          <w:sz w:val="24"/>
          <w:highlight w:val="none"/>
          <w:lang w:val="en-US" w:eastAsia="zh-CN"/>
        </w:rPr>
        <w:t>1.4</w:t>
      </w:r>
      <w:r>
        <w:rPr>
          <w:rFonts w:hint="eastAsia" w:ascii="宋体" w:hAnsi="宋体" w:eastAsia="宋体" w:cs="宋体"/>
          <w:color w:val="auto"/>
          <w:sz w:val="24"/>
          <w:highlight w:val="none"/>
          <w:lang w:val="en-US" w:eastAsia="zh-CN"/>
        </w:rPr>
        <w:t>.中标人普通</w:t>
      </w:r>
      <w:r>
        <w:rPr>
          <w:rFonts w:hint="default" w:ascii="宋体" w:hAnsi="宋体" w:eastAsia="宋体" w:cs="宋体"/>
          <w:color w:val="auto"/>
          <w:sz w:val="24"/>
          <w:highlight w:val="none"/>
          <w:lang w:eastAsia="zh-CN"/>
        </w:rPr>
        <w:t>绿化养护工</w:t>
      </w:r>
      <w:r>
        <w:rPr>
          <w:rFonts w:hint="eastAsia" w:ascii="宋体" w:hAnsi="宋体" w:eastAsia="宋体" w:cs="宋体"/>
          <w:color w:val="auto"/>
          <w:sz w:val="24"/>
          <w:highlight w:val="none"/>
          <w:lang w:val="en-US" w:eastAsia="zh-CN"/>
        </w:rPr>
        <w:t>的平均工资原则上不得低于</w:t>
      </w:r>
      <w:r>
        <w:rPr>
          <w:rFonts w:hint="eastAsia" w:ascii="宋体" w:hAnsi="宋体" w:eastAsia="宋体" w:cs="宋体"/>
          <w:b w:val="0"/>
          <w:strike w:val="0"/>
          <w:dstrike w:val="0"/>
          <w:snapToGrid w:val="0"/>
          <w:color w:val="auto"/>
          <w:kern w:val="0"/>
          <w:sz w:val="24"/>
          <w:szCs w:val="24"/>
          <w:highlight w:val="none"/>
          <w:lang w:val="en-US" w:eastAsia="zh-CN" w:bidi="ar"/>
        </w:rPr>
        <w:t>3</w:t>
      </w:r>
      <w:r>
        <w:rPr>
          <w:rFonts w:hint="eastAsia" w:cs="宋体"/>
          <w:b w:val="0"/>
          <w:strike w:val="0"/>
          <w:dstrike w:val="0"/>
          <w:snapToGrid w:val="0"/>
          <w:color w:val="auto"/>
          <w:kern w:val="0"/>
          <w:sz w:val="24"/>
          <w:szCs w:val="24"/>
          <w:highlight w:val="none"/>
          <w:lang w:val="en-US" w:eastAsia="zh-CN" w:bidi="ar"/>
        </w:rPr>
        <w:t>2</w:t>
      </w:r>
      <w:r>
        <w:rPr>
          <w:rFonts w:hint="eastAsia" w:ascii="宋体" w:hAnsi="宋体" w:eastAsia="宋体" w:cs="宋体"/>
          <w:b w:val="0"/>
          <w:strike w:val="0"/>
          <w:dstrike w:val="0"/>
          <w:snapToGrid w:val="0"/>
          <w:color w:val="auto"/>
          <w:kern w:val="0"/>
          <w:sz w:val="24"/>
          <w:szCs w:val="24"/>
          <w:highlight w:val="none"/>
          <w:lang w:val="en-US" w:eastAsia="zh-CN" w:bidi="ar"/>
        </w:rPr>
        <w:t>00元/月</w:t>
      </w:r>
      <w:r>
        <w:rPr>
          <w:rFonts w:hint="eastAsia" w:cs="宋体"/>
          <w:color w:val="auto"/>
          <w:sz w:val="24"/>
          <w:highlight w:val="none"/>
          <w:lang w:val="en-US" w:eastAsia="zh-CN"/>
        </w:rPr>
        <w:t>。</w:t>
      </w:r>
    </w:p>
    <w:p>
      <w:pPr>
        <w:pStyle w:val="20"/>
        <w:spacing w:line="360" w:lineRule="auto"/>
        <w:ind w:left="0" w:leftChars="0" w:firstLine="482" w:firstLineChars="200"/>
        <w:rPr>
          <w:rFonts w:hint="eastAsia" w:ascii="宋体" w:hAnsi="宋体" w:eastAsia="宋体" w:cs="宋体"/>
          <w:b/>
          <w:bCs/>
          <w:snapToGrid w:val="0"/>
          <w:color w:val="auto"/>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
        </w:rPr>
        <w:t>▲</w:t>
      </w:r>
      <w:r>
        <w:rPr>
          <w:rFonts w:hint="eastAsia" w:ascii="宋体" w:hAnsi="宋体" w:eastAsia="宋体" w:cs="宋体"/>
          <w:b/>
          <w:bCs/>
          <w:snapToGrid w:val="0"/>
          <w:color w:val="auto"/>
          <w:sz w:val="24"/>
          <w:szCs w:val="24"/>
          <w:highlight w:val="none"/>
          <w:lang w:val="en-US" w:eastAsia="zh-CN" w:bidi="ar-SA"/>
        </w:rPr>
        <w:t>中标方在项目实施过程中必须按劳动部门规定将人员工资福利发放到位，不得无故克扣工资、福利等人员应当享受的待遇。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textAlignment w:val="auto"/>
        <w:rPr>
          <w:rFonts w:hint="eastAsia" w:ascii="宋体" w:hAnsi="宋体" w:eastAsia="宋体" w:cs="宋体"/>
          <w:snapToGrid w:val="0"/>
          <w:color w:val="auto"/>
          <w:sz w:val="24"/>
          <w:szCs w:val="24"/>
          <w:highlight w:val="none"/>
          <w:lang w:val="en-US" w:eastAsia="zh-CN"/>
        </w:rPr>
      </w:pPr>
      <w:r>
        <w:rPr>
          <w:rFonts w:hint="eastAsia" w:cs="宋体"/>
          <w:snapToGrid w:val="0"/>
          <w:color w:val="auto"/>
          <w:kern w:val="0"/>
          <w:sz w:val="24"/>
          <w:szCs w:val="24"/>
          <w:highlight w:val="none"/>
          <w:lang w:val="en-US" w:eastAsia="zh-CN" w:bidi="ar"/>
        </w:rPr>
        <w:t>1.5.</w:t>
      </w:r>
      <w:r>
        <w:rPr>
          <w:rFonts w:hint="eastAsia" w:ascii="宋体" w:hAnsi="宋体" w:eastAsia="宋体" w:cs="宋体"/>
          <w:snapToGrid w:val="0"/>
          <w:color w:val="auto"/>
          <w:kern w:val="0"/>
          <w:sz w:val="24"/>
          <w:szCs w:val="24"/>
          <w:highlight w:val="none"/>
          <w:lang w:val="en-US" w:eastAsia="zh-CN" w:bidi="ar"/>
        </w:rPr>
        <w:t>其他费用（此项费用固定，费用列入报价，由投标人自</w:t>
      </w:r>
      <w:r>
        <w:rPr>
          <w:rFonts w:hint="eastAsia" w:ascii="宋体" w:hAnsi="宋体" w:eastAsia="宋体" w:cs="宋体"/>
          <w:b w:val="0"/>
          <w:bCs w:val="0"/>
          <w:snapToGrid w:val="0"/>
          <w:color w:val="auto"/>
          <w:sz w:val="24"/>
          <w:szCs w:val="24"/>
          <w:highlight w:val="none"/>
        </w:rPr>
        <w:t>行承担</w:t>
      </w:r>
      <w:r>
        <w:rPr>
          <w:rFonts w:hint="eastAsia" w:ascii="宋体" w:hAnsi="宋体" w:eastAsia="宋体" w:cs="宋体"/>
          <w:snapToGrid w:val="0"/>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0"/>
        <w:textAlignment w:val="auto"/>
        <w:rPr>
          <w:rFonts w:hint="eastAsia" w:ascii="宋体" w:hAnsi="宋体" w:eastAsia="宋体" w:cs="宋体"/>
          <w:snapToGrid w:val="0"/>
          <w:color w:val="auto"/>
          <w:sz w:val="24"/>
          <w:szCs w:val="24"/>
          <w:highlight w:val="none"/>
        </w:rPr>
      </w:pPr>
      <w:r>
        <w:rPr>
          <w:rFonts w:hint="eastAsia" w:cs="宋体"/>
          <w:snapToGrid w:val="0"/>
          <w:color w:val="auto"/>
          <w:sz w:val="24"/>
          <w:szCs w:val="24"/>
          <w:highlight w:val="none"/>
          <w:lang w:val="en-US" w:eastAsia="zh-CN"/>
        </w:rPr>
        <w:t>1.5.1</w:t>
      </w:r>
      <w:r>
        <w:rPr>
          <w:rFonts w:hint="eastAsia" w:ascii="宋体" w:hAnsi="宋体" w:eastAsia="宋体" w:cs="宋体"/>
          <w:snapToGrid w:val="0"/>
          <w:color w:val="auto"/>
          <w:sz w:val="24"/>
          <w:szCs w:val="24"/>
          <w:highlight w:val="none"/>
        </w:rPr>
        <w:t xml:space="preserve">高温费 </w:t>
      </w:r>
      <w:r>
        <w:rPr>
          <w:rFonts w:hint="eastAsia" w:cs="宋体"/>
          <w:snapToGrid w:val="0"/>
          <w:color w:val="auto"/>
          <w:sz w:val="24"/>
          <w:szCs w:val="24"/>
          <w:highlight w:val="none"/>
          <w:lang w:val="en-US" w:eastAsia="zh-CN"/>
        </w:rPr>
        <w:t>300</w:t>
      </w:r>
      <w:r>
        <w:rPr>
          <w:rFonts w:hint="eastAsia" w:ascii="宋体" w:hAnsi="宋体" w:eastAsia="宋体" w:cs="宋体"/>
          <w:snapToGrid w:val="0"/>
          <w:color w:val="auto"/>
          <w:sz w:val="24"/>
          <w:szCs w:val="24"/>
          <w:highlight w:val="none"/>
        </w:rPr>
        <w:t>元／月·人</w:t>
      </w:r>
      <w:r>
        <w:rPr>
          <w:rFonts w:hint="eastAsia" w:ascii="宋体" w:hAnsi="宋体" w:eastAsia="宋体" w:cs="黑体"/>
          <w:b w:val="0"/>
          <w:bCs/>
          <w:color w:val="auto"/>
          <w:sz w:val="24"/>
          <w:szCs w:val="24"/>
          <w:highlight w:val="none"/>
        </w:rPr>
        <w:t>（6 月、7 月、8 月、9 月）</w:t>
      </w:r>
      <w:r>
        <w:rPr>
          <w:rFonts w:hint="eastAsia" w:ascii="宋体" w:hAnsi="宋体" w:eastAsia="宋体" w:cs="宋体"/>
          <w:snapToGrid w:val="0"/>
          <w:color w:val="auto"/>
          <w:sz w:val="24"/>
          <w:szCs w:val="24"/>
          <w:highlight w:val="none"/>
        </w:rPr>
        <w:t>按</w:t>
      </w:r>
      <w:r>
        <w:rPr>
          <w:rFonts w:hint="eastAsia" w:cs="宋体"/>
          <w:snapToGrid w:val="0"/>
          <w:color w:val="auto"/>
          <w:sz w:val="24"/>
          <w:szCs w:val="24"/>
          <w:highlight w:val="none"/>
          <w:lang w:val="en-US" w:eastAsia="zh-CN"/>
        </w:rPr>
        <w:t>相关规定</w:t>
      </w:r>
      <w:r>
        <w:rPr>
          <w:rFonts w:hint="eastAsia" w:ascii="宋体" w:hAnsi="宋体" w:eastAsia="宋体" w:cs="宋体"/>
          <w:snapToGrid w:val="0"/>
          <w:color w:val="auto"/>
          <w:sz w:val="24"/>
          <w:szCs w:val="24"/>
          <w:highlight w:val="none"/>
        </w:rPr>
        <w:t>足额发放</w:t>
      </w:r>
      <w:r>
        <w:rPr>
          <w:rFonts w:hint="eastAsia" w:ascii="宋体" w:hAnsi="宋体" w:eastAsia="宋体" w:cs="宋体"/>
          <w:snapToGrid w:val="0"/>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0"/>
        <w:textAlignment w:val="auto"/>
        <w:rPr>
          <w:rFonts w:hint="eastAsia" w:ascii="宋体" w:hAnsi="宋体" w:eastAsia="宋体" w:cs="宋体"/>
          <w:snapToGrid w:val="0"/>
          <w:color w:val="auto"/>
          <w:sz w:val="24"/>
          <w:szCs w:val="24"/>
          <w:highlight w:val="none"/>
        </w:rPr>
      </w:pPr>
      <w:r>
        <w:rPr>
          <w:rFonts w:hint="eastAsia" w:cs="宋体"/>
          <w:snapToGrid w:val="0"/>
          <w:color w:val="auto"/>
          <w:sz w:val="24"/>
          <w:szCs w:val="24"/>
          <w:highlight w:val="none"/>
          <w:lang w:val="en-US" w:eastAsia="zh-CN"/>
        </w:rPr>
        <w:t>1.5.2</w:t>
      </w:r>
      <w:r>
        <w:rPr>
          <w:rFonts w:hint="eastAsia" w:ascii="宋体" w:hAnsi="宋体" w:eastAsia="宋体" w:cs="宋体"/>
          <w:snapToGrid w:val="0"/>
          <w:color w:val="auto"/>
          <w:sz w:val="24"/>
          <w:szCs w:val="24"/>
          <w:highlight w:val="none"/>
        </w:rPr>
        <w:t xml:space="preserve">福利费 </w:t>
      </w:r>
      <w:r>
        <w:rPr>
          <w:rFonts w:hint="eastAsia" w:cs="宋体"/>
          <w:snapToGrid w:val="0"/>
          <w:color w:val="auto"/>
          <w:sz w:val="24"/>
          <w:szCs w:val="24"/>
          <w:highlight w:val="none"/>
          <w:lang w:val="en-US" w:eastAsia="zh-CN"/>
        </w:rPr>
        <w:t>500</w:t>
      </w:r>
      <w:r>
        <w:rPr>
          <w:rFonts w:hint="eastAsia" w:ascii="宋体" w:hAnsi="宋体" w:eastAsia="宋体" w:cs="宋体"/>
          <w:snapToGrid w:val="0"/>
          <w:color w:val="auto"/>
          <w:sz w:val="24"/>
          <w:szCs w:val="24"/>
          <w:highlight w:val="none"/>
        </w:rPr>
        <w:t>元／年·人按合同约定足额发放</w:t>
      </w:r>
      <w:r>
        <w:rPr>
          <w:rFonts w:hint="eastAsia" w:ascii="宋体" w:hAnsi="宋体" w:eastAsia="宋体" w:cs="宋体"/>
          <w:snapToGrid w:val="0"/>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0"/>
        <w:textAlignment w:val="auto"/>
        <w:rPr>
          <w:rFonts w:hint="eastAsia" w:ascii="宋体" w:hAnsi="宋体" w:eastAsia="宋体" w:cs="宋体"/>
          <w:snapToGrid w:val="0"/>
          <w:color w:val="auto"/>
          <w:sz w:val="24"/>
          <w:szCs w:val="24"/>
          <w:highlight w:val="none"/>
          <w:lang w:val="en-US" w:eastAsia="zh-CN"/>
        </w:rPr>
      </w:pPr>
      <w:r>
        <w:rPr>
          <w:rFonts w:hint="eastAsia" w:cs="宋体"/>
          <w:snapToGrid w:val="0"/>
          <w:color w:val="auto"/>
          <w:sz w:val="24"/>
          <w:szCs w:val="24"/>
          <w:highlight w:val="none"/>
          <w:lang w:val="en-US" w:eastAsia="zh-CN"/>
        </w:rPr>
        <w:t>1.5.3</w:t>
      </w:r>
      <w:r>
        <w:rPr>
          <w:rFonts w:hint="eastAsia" w:ascii="宋体" w:hAnsi="宋体" w:eastAsia="宋体" w:cs="宋体"/>
          <w:snapToGrid w:val="0"/>
          <w:color w:val="auto"/>
          <w:sz w:val="24"/>
          <w:szCs w:val="24"/>
          <w:highlight w:val="none"/>
        </w:rPr>
        <w:t>保险</w:t>
      </w:r>
      <w:r>
        <w:rPr>
          <w:rFonts w:hint="eastAsia" w:cs="宋体"/>
          <w:snapToGrid w:val="0"/>
          <w:color w:val="auto"/>
          <w:sz w:val="24"/>
          <w:szCs w:val="24"/>
          <w:highlight w:val="none"/>
          <w:lang w:val="en-US" w:eastAsia="zh-CN"/>
        </w:rPr>
        <w:t>费</w:t>
      </w:r>
      <w:r>
        <w:rPr>
          <w:rFonts w:hint="eastAsia" w:ascii="宋体" w:hAnsi="宋体" w:eastAsia="宋体" w:cs="宋体"/>
          <w:snapToGrid w:val="0"/>
          <w:color w:val="auto"/>
          <w:sz w:val="24"/>
          <w:szCs w:val="24"/>
          <w:highlight w:val="none"/>
          <w:lang w:eastAsia="zh-CN"/>
        </w:rPr>
        <w:t>由中标单位统一缴纳</w:t>
      </w:r>
      <w:r>
        <w:rPr>
          <w:rFonts w:hint="eastAsia" w:ascii="宋体" w:hAnsi="宋体" w:eastAsia="宋体" w:cs="宋体"/>
          <w:snapToGrid w:val="0"/>
          <w:color w:val="auto"/>
          <w:sz w:val="24"/>
          <w:szCs w:val="24"/>
          <w:highlight w:val="none"/>
        </w:rPr>
        <w:t>，并提供</w:t>
      </w:r>
      <w:r>
        <w:rPr>
          <w:rFonts w:hint="eastAsia" w:ascii="宋体" w:hAnsi="宋体" w:eastAsia="宋体" w:cs="宋体"/>
          <w:snapToGrid w:val="0"/>
          <w:color w:val="auto"/>
          <w:sz w:val="24"/>
          <w:szCs w:val="24"/>
          <w:highlight w:val="none"/>
          <w:lang w:eastAsia="zh-CN"/>
        </w:rPr>
        <w:t>投保</w:t>
      </w:r>
      <w:r>
        <w:rPr>
          <w:rFonts w:hint="eastAsia" w:ascii="宋体" w:hAnsi="宋体" w:eastAsia="宋体" w:cs="宋体"/>
          <w:snapToGrid w:val="0"/>
          <w:color w:val="auto"/>
          <w:sz w:val="24"/>
          <w:szCs w:val="24"/>
          <w:highlight w:val="none"/>
        </w:rPr>
        <w:t>清单报招标人核查</w:t>
      </w:r>
      <w:r>
        <w:rPr>
          <w:rFonts w:hint="eastAsia" w:ascii="宋体" w:hAnsi="宋体" w:eastAsia="宋体" w:cs="宋体"/>
          <w:snapToGrid w:val="0"/>
          <w:color w:val="auto"/>
          <w:sz w:val="24"/>
          <w:szCs w:val="24"/>
          <w:highlight w:val="none"/>
          <w:lang w:eastAsia="zh-CN"/>
        </w:rPr>
        <w:t>；</w:t>
      </w:r>
    </w:p>
    <w:p>
      <w:pPr>
        <w:pStyle w:val="46"/>
        <w:keepNext w:val="0"/>
        <w:keepLines w:val="0"/>
        <w:pageBreakBefore w:val="0"/>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highlight w:val="none"/>
          <w:lang w:val="en-US" w:eastAsia="zh-CN"/>
        </w:rPr>
      </w:pPr>
      <w:r>
        <w:rPr>
          <w:rFonts w:hint="eastAsia" w:ascii="宋体" w:hAnsi="宋体" w:cs="宋体"/>
          <w:i w:val="0"/>
          <w:snapToGrid w:val="0"/>
          <w:color w:val="auto"/>
          <w:sz w:val="24"/>
          <w:szCs w:val="24"/>
          <w:highlight w:val="none"/>
          <w:lang w:val="en-US" w:eastAsia="zh-CN" w:bidi="ar-SA"/>
        </w:rPr>
        <w:t>1.5.4</w:t>
      </w:r>
      <w:r>
        <w:rPr>
          <w:rFonts w:hint="eastAsia" w:ascii="宋体" w:hAnsi="宋体" w:eastAsia="宋体" w:cs="宋体"/>
          <w:i w:val="0"/>
          <w:snapToGrid w:val="0"/>
          <w:color w:val="auto"/>
          <w:sz w:val="24"/>
          <w:szCs w:val="24"/>
          <w:highlight w:val="none"/>
          <w:lang w:val="en-US" w:eastAsia="zh-CN" w:bidi="ar-SA"/>
        </w:rPr>
        <w:t>此次招标所涉及的人员须统一着装、标志明显，保持良好的精神面貌。且工具间、人员食宿和作业工具、服装等均由</w:t>
      </w:r>
      <w:r>
        <w:rPr>
          <w:rFonts w:hint="eastAsia" w:ascii="宋体" w:hAnsi="宋体" w:cs="宋体"/>
          <w:i w:val="0"/>
          <w:snapToGrid w:val="0"/>
          <w:color w:val="auto"/>
          <w:sz w:val="24"/>
          <w:szCs w:val="24"/>
          <w:highlight w:val="none"/>
          <w:lang w:val="en-US" w:eastAsia="zh-CN" w:bidi="ar-SA"/>
        </w:rPr>
        <w:t>中标人</w:t>
      </w:r>
      <w:r>
        <w:rPr>
          <w:rFonts w:hint="eastAsia" w:ascii="宋体" w:hAnsi="宋体" w:eastAsia="宋体" w:cs="宋体"/>
          <w:i w:val="0"/>
          <w:snapToGrid w:val="0"/>
          <w:color w:val="auto"/>
          <w:sz w:val="24"/>
          <w:szCs w:val="24"/>
          <w:highlight w:val="none"/>
          <w:lang w:val="en-US" w:eastAsia="zh-CN" w:bidi="ar-SA"/>
        </w:rPr>
        <w:t>自行负责解决；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
        </w:rPr>
      </w:pPr>
      <w:r>
        <w:rPr>
          <w:rFonts w:hint="eastAsia" w:cs="宋体"/>
          <w:snapToGrid w:val="0"/>
          <w:color w:val="auto"/>
          <w:kern w:val="0"/>
          <w:sz w:val="24"/>
          <w:szCs w:val="24"/>
          <w:highlight w:val="none"/>
          <w:lang w:val="en-US" w:eastAsia="zh-CN" w:bidi="ar"/>
        </w:rPr>
        <w:t>1.6</w:t>
      </w:r>
      <w:r>
        <w:rPr>
          <w:rFonts w:hint="eastAsia" w:ascii="宋体" w:hAnsi="宋体" w:eastAsia="宋体" w:cs="宋体"/>
          <w:snapToGrid w:val="0"/>
          <w:color w:val="auto"/>
          <w:kern w:val="0"/>
          <w:sz w:val="24"/>
          <w:szCs w:val="24"/>
          <w:highlight w:val="none"/>
          <w:lang w:val="en-US" w:eastAsia="zh-CN" w:bidi="ar"/>
        </w:rPr>
        <w:t>．▲</w:t>
      </w:r>
      <w:r>
        <w:rPr>
          <w:rFonts w:hint="eastAsia" w:ascii="宋体" w:hAnsi="宋体" w:eastAsia="宋体" w:cs="宋体"/>
          <w:b/>
          <w:bCs/>
          <w:snapToGrid w:val="0"/>
          <w:color w:val="auto"/>
          <w:kern w:val="0"/>
          <w:sz w:val="24"/>
          <w:szCs w:val="24"/>
          <w:highlight w:val="none"/>
          <w:lang w:val="en-US" w:eastAsia="zh-CN" w:bidi="ar"/>
        </w:rPr>
        <w:t>白蚁防治需委托专业单位防治，费用列入报价，由投标人自行承担。</w:t>
      </w:r>
    </w:p>
    <w:p>
      <w:pPr>
        <w:spacing w:line="360" w:lineRule="auto"/>
        <w:ind w:firstLine="480" w:firstLineChars="200"/>
        <w:rPr>
          <w:rFonts w:hint="default"/>
          <w:highlight w:val="none"/>
          <w:lang w:val="en-US" w:eastAsia="zh-CN"/>
        </w:rPr>
      </w:pPr>
      <w:r>
        <w:rPr>
          <w:rFonts w:hint="eastAsia" w:cs="宋体"/>
          <w:color w:val="auto"/>
          <w:sz w:val="24"/>
          <w:highlight w:val="none"/>
          <w:lang w:val="en-US" w:eastAsia="zh-CN"/>
        </w:rPr>
        <w:t>1.7</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eastAsia="zh-CN"/>
        </w:rPr>
        <w:t>安全生产经费</w:t>
      </w:r>
      <w:r>
        <w:rPr>
          <w:rFonts w:hint="eastAsia" w:ascii="宋体" w:hAnsi="宋体" w:eastAsia="宋体" w:cs="宋体"/>
          <w:color w:val="auto"/>
          <w:sz w:val="24"/>
          <w:highlight w:val="none"/>
          <w:lang w:val="en-US" w:eastAsia="zh-CN"/>
        </w:rPr>
        <w:t>须经采购人审核</w:t>
      </w:r>
      <w:r>
        <w:rPr>
          <w:rFonts w:hint="default" w:ascii="宋体" w:hAnsi="宋体" w:eastAsia="宋体" w:cs="宋体"/>
          <w:color w:val="auto"/>
          <w:sz w:val="24"/>
          <w:highlight w:val="none"/>
          <w:lang w:eastAsia="zh-CN"/>
        </w:rPr>
        <w:t>通过后才可使用</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textAlignment w:val="auto"/>
        <w:rPr>
          <w:rFonts w:hint="eastAsia" w:ascii="宋体" w:hAnsi="宋体" w:eastAsia="宋体" w:cs="宋体"/>
          <w:snapToGrid w:val="0"/>
          <w:color w:val="auto"/>
          <w:kern w:val="0"/>
          <w:sz w:val="24"/>
          <w:szCs w:val="24"/>
          <w:highlight w:val="none"/>
          <w:lang w:val="en-US" w:eastAsia="zh-CN" w:bidi="ar"/>
        </w:rPr>
      </w:pPr>
      <w:r>
        <w:rPr>
          <w:rFonts w:hint="eastAsia" w:cs="宋体"/>
          <w:snapToGrid w:val="0"/>
          <w:color w:val="auto"/>
          <w:kern w:val="0"/>
          <w:sz w:val="24"/>
          <w:szCs w:val="24"/>
          <w:highlight w:val="none"/>
          <w:lang w:val="en-US" w:eastAsia="zh-CN" w:bidi="ar"/>
        </w:rPr>
        <w:t>2</w:t>
      </w:r>
      <w:r>
        <w:rPr>
          <w:rFonts w:hint="eastAsia" w:ascii="宋体" w:hAnsi="宋体" w:eastAsia="宋体" w:cs="宋体"/>
          <w:snapToGrid w:val="0"/>
          <w:color w:val="auto"/>
          <w:kern w:val="0"/>
          <w:sz w:val="24"/>
          <w:szCs w:val="24"/>
          <w:highlight w:val="none"/>
          <w:lang w:val="en-US" w:eastAsia="zh-CN" w:bidi="ar"/>
        </w:rPr>
        <w:t>、特别</w:t>
      </w:r>
      <w:r>
        <w:rPr>
          <w:rFonts w:hint="eastAsia" w:cs="宋体"/>
          <w:snapToGrid w:val="0"/>
          <w:color w:val="auto"/>
          <w:kern w:val="0"/>
          <w:sz w:val="24"/>
          <w:szCs w:val="24"/>
          <w:highlight w:val="none"/>
          <w:lang w:val="en-US" w:eastAsia="zh-CN" w:bidi="ar"/>
        </w:rPr>
        <w:t>约定</w:t>
      </w:r>
      <w:r>
        <w:rPr>
          <w:rFonts w:hint="eastAsia" w:ascii="宋体" w:hAnsi="宋体" w:eastAsia="宋体" w:cs="宋体"/>
          <w:snapToGrid w:val="0"/>
          <w:color w:val="auto"/>
          <w:kern w:val="0"/>
          <w:sz w:val="24"/>
          <w:szCs w:val="24"/>
          <w:highlight w:val="none"/>
          <w:lang w:val="en-US" w:eastAsia="zh-CN" w:bidi="ar"/>
        </w:rPr>
        <w:t>：</w:t>
      </w:r>
    </w:p>
    <w:p>
      <w:pPr>
        <w:numPr>
          <w:ilvl w:val="0"/>
          <w:numId w:val="0"/>
        </w:numPr>
        <w:spacing w:line="420" w:lineRule="exact"/>
        <w:ind w:firstLine="480" w:firstLineChars="200"/>
        <w:rPr>
          <w:rFonts w:hint="eastAsia"/>
          <w:highlight w:val="none"/>
        </w:rPr>
      </w:pPr>
      <w:r>
        <w:rPr>
          <w:rFonts w:hint="eastAsia" w:cs="宋体"/>
          <w:color w:val="auto"/>
          <w:sz w:val="24"/>
          <w:highlight w:val="none"/>
          <w:lang w:val="en-US" w:eastAsia="zh-CN"/>
        </w:rPr>
        <w:t>2.1.</w:t>
      </w:r>
      <w:r>
        <w:rPr>
          <w:rFonts w:hint="eastAsia" w:ascii="宋体" w:hAnsi="宋体" w:eastAsia="宋体" w:cs="宋体"/>
          <w:color w:val="auto"/>
          <w:sz w:val="24"/>
          <w:highlight w:val="none"/>
          <w:lang w:val="en-US" w:eastAsia="zh-CN"/>
        </w:rPr>
        <w:t>服务</w:t>
      </w:r>
      <w:r>
        <w:rPr>
          <w:rFonts w:hint="eastAsia" w:ascii="宋体" w:hAnsi="宋体" w:cs="宋体"/>
          <w:color w:val="auto"/>
          <w:sz w:val="24"/>
          <w:highlight w:val="none"/>
        </w:rPr>
        <w:t>期内，中标人应无条件服从招标人的安排</w:t>
      </w:r>
      <w:r>
        <w:rPr>
          <w:rFonts w:hint="eastAsia" w:ascii="宋体" w:hAnsi="宋体" w:eastAsia="宋体" w:cs="宋体"/>
          <w:snapToGrid w:val="0"/>
          <w:color w:val="auto"/>
          <w:kern w:val="0"/>
          <w:sz w:val="24"/>
          <w:szCs w:val="24"/>
          <w:highlight w:val="none"/>
          <w:lang w:val="en-US" w:eastAsia="zh-CN" w:bidi="ar"/>
        </w:rPr>
        <w:t>（包括养护范围外的工作）</w:t>
      </w:r>
      <w:r>
        <w:rPr>
          <w:rFonts w:hint="eastAsia" w:ascii="宋体" w:hAnsi="宋体" w:cs="宋体"/>
          <w:color w:val="auto"/>
          <w:sz w:val="24"/>
          <w:highlight w:val="none"/>
        </w:rPr>
        <w:t>，圆满完成各项任务，突击整治</w:t>
      </w:r>
      <w:r>
        <w:rPr>
          <w:rFonts w:hint="eastAsia" w:ascii="宋体" w:hAnsi="宋体" w:cs="宋体"/>
          <w:color w:val="auto"/>
          <w:sz w:val="24"/>
          <w:highlight w:val="none"/>
          <w:lang w:val="en-US" w:eastAsia="zh-CN"/>
        </w:rPr>
        <w:t>未</w:t>
      </w:r>
      <w:r>
        <w:rPr>
          <w:rFonts w:hint="eastAsia" w:ascii="宋体" w:hAnsi="宋体" w:cs="宋体"/>
          <w:color w:val="auto"/>
          <w:sz w:val="24"/>
          <w:highlight w:val="none"/>
        </w:rPr>
        <w:t>增加人员或机械的</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费用不另行支付。</w:t>
      </w:r>
      <w:r>
        <w:rPr>
          <w:rFonts w:hint="eastAsia" w:ascii="宋体" w:hAnsi="宋体" w:cs="宋体"/>
          <w:color w:val="auto"/>
          <w:sz w:val="24"/>
          <w:highlight w:val="none"/>
        </w:rPr>
        <w:t>因突击整治需</w:t>
      </w:r>
      <w:r>
        <w:rPr>
          <w:rFonts w:hint="eastAsia" w:cs="宋体"/>
          <w:color w:val="auto"/>
          <w:sz w:val="24"/>
          <w:highlight w:val="none"/>
          <w:lang w:val="en-US" w:eastAsia="zh-CN"/>
        </w:rPr>
        <w:t>额外</w:t>
      </w:r>
      <w:r>
        <w:rPr>
          <w:rFonts w:hint="eastAsia" w:ascii="宋体" w:hAnsi="宋体" w:cs="宋体"/>
          <w:color w:val="auto"/>
          <w:sz w:val="24"/>
          <w:highlight w:val="none"/>
        </w:rPr>
        <w:t>增加人员或机械的由</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以书面形式通知中标人，发生的费用由</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人</w:t>
      </w:r>
      <w:r>
        <w:rPr>
          <w:rFonts w:hint="eastAsia" w:cs="宋体"/>
          <w:color w:val="auto"/>
          <w:sz w:val="24"/>
          <w:highlight w:val="none"/>
          <w:lang w:val="en-US" w:eastAsia="zh-CN"/>
        </w:rPr>
        <w:t>在暂列金中</w:t>
      </w:r>
      <w:r>
        <w:rPr>
          <w:rFonts w:hint="eastAsia" w:ascii="宋体" w:hAnsi="宋体" w:cs="宋体"/>
          <w:color w:val="auto"/>
          <w:sz w:val="24"/>
          <w:highlight w:val="none"/>
        </w:rPr>
        <w:t>支付。由于中标人的原因失分或造成不良影响的，</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人有权进行处罚和清退中标人，在迎检过程中，由于</w:t>
      </w:r>
      <w:r>
        <w:rPr>
          <w:rFonts w:hint="eastAsia" w:ascii="宋体" w:hAnsi="宋体" w:eastAsia="宋体" w:cs="宋体"/>
          <w:color w:val="auto"/>
          <w:sz w:val="24"/>
          <w:highlight w:val="none"/>
        </w:rPr>
        <w:t>中标人组织不力，由</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人组织人力、物力进行整治所涉及的费用，</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人有权直接在服务费中扣除。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cs="宋体"/>
          <w:color w:val="auto"/>
          <w:sz w:val="24"/>
          <w:highlight w:val="none"/>
          <w:lang w:val="en-US" w:eastAsia="zh-CN"/>
        </w:rPr>
        <w:t>2.2</w:t>
      </w:r>
      <w:r>
        <w:rPr>
          <w:rFonts w:hint="eastAsia" w:ascii="宋体" w:hAnsi="宋体" w:eastAsia="宋体" w:cs="宋体"/>
          <w:color w:val="auto"/>
          <w:sz w:val="24"/>
          <w:highlight w:val="none"/>
        </w:rPr>
        <w:t>.</w:t>
      </w:r>
      <w:r>
        <w:rPr>
          <w:rFonts w:hint="eastAsia" w:ascii="宋体" w:hAnsi="宋体" w:eastAsia="宋体" w:cs="黑体"/>
          <w:b w:val="0"/>
          <w:bCs/>
          <w:color w:val="auto"/>
          <w:sz w:val="24"/>
          <w:szCs w:val="24"/>
          <w:highlight w:val="none"/>
        </w:rPr>
        <w:t>在服务期内，</w:t>
      </w:r>
      <w:r>
        <w:rPr>
          <w:rFonts w:hint="eastAsia" w:ascii="宋体" w:hAnsi="宋体" w:eastAsia="宋体" w:cs="黑体"/>
          <w:b w:val="0"/>
          <w:bCs/>
          <w:color w:val="auto"/>
          <w:sz w:val="24"/>
          <w:szCs w:val="24"/>
          <w:highlight w:val="none"/>
          <w:lang w:val="en-US" w:eastAsia="zh-CN"/>
        </w:rPr>
        <w:t>中标人应履行安全主体责任，所有人员所发生的任何安全事故由中标人自行全权负责，其中发生有责一般事故，需扣除服务费1000元整；发生有责重伤事故的，扣除服务费5000元整；发生有责亡一人事故的，扣除服务费10000元整；发生有责亡人两人及以上的事故，采购人有权终止合同（有责是指同等及以上责任</w:t>
      </w:r>
      <w:r>
        <w:rPr>
          <w:rFonts w:hint="eastAsia" w:cs="黑体"/>
          <w:b w:val="0"/>
          <w:bCs/>
          <w:color w:val="auto"/>
          <w:sz w:val="24"/>
          <w:szCs w:val="24"/>
          <w:highlight w:val="none"/>
          <w:lang w:val="en-US" w:eastAsia="zh-CN"/>
        </w:rPr>
        <w:t>，期限按一个自然年累计</w:t>
      </w:r>
      <w:r>
        <w:rPr>
          <w:rFonts w:hint="eastAsia" w:ascii="宋体" w:hAnsi="宋体" w:eastAsia="宋体" w:cs="黑体"/>
          <w:b w:val="0"/>
          <w:bCs/>
          <w:color w:val="auto"/>
          <w:sz w:val="24"/>
          <w:szCs w:val="24"/>
          <w:highlight w:val="none"/>
          <w:lang w:val="en-US" w:eastAsia="zh-CN"/>
        </w:rPr>
        <w:t>），在终止合同期后至另择承接主体之间，中标人必须按原合同继续执行，以上由此造成的损失由中标人承担，损失包括但不限于</w:t>
      </w:r>
      <w:r>
        <w:rPr>
          <w:rFonts w:hint="eastAsia" w:ascii="宋体" w:hAnsi="宋体" w:eastAsia="宋体" w:cs="宋体"/>
          <w:b w:val="0"/>
          <w:bCs/>
          <w:color w:val="auto"/>
          <w:sz w:val="24"/>
          <w:szCs w:val="24"/>
          <w:highlight w:val="none"/>
          <w:lang w:val="en-US" w:eastAsia="zh-CN"/>
        </w:rPr>
        <w:t>该中标人终止合同</w:t>
      </w:r>
      <w:r>
        <w:rPr>
          <w:rFonts w:hint="eastAsia" w:ascii="宋体" w:hAnsi="宋体" w:eastAsia="宋体" w:cs="黑体"/>
          <w:b w:val="0"/>
          <w:bCs/>
          <w:color w:val="auto"/>
          <w:sz w:val="24"/>
          <w:szCs w:val="24"/>
          <w:highlight w:val="none"/>
          <w:lang w:val="en-US" w:eastAsia="zh-CN"/>
        </w:rPr>
        <w:t>至另择承接主体之间</w:t>
      </w:r>
      <w:r>
        <w:rPr>
          <w:rFonts w:hint="eastAsia" w:ascii="宋体" w:hAnsi="宋体" w:eastAsia="宋体" w:cs="宋体"/>
          <w:b w:val="0"/>
          <w:bCs/>
          <w:color w:val="auto"/>
          <w:sz w:val="24"/>
          <w:szCs w:val="24"/>
          <w:highlight w:val="none"/>
          <w:lang w:val="en-US" w:eastAsia="zh-CN"/>
        </w:rPr>
        <w:t>未按原合同执行额外增加的相关费用。</w:t>
      </w:r>
      <w:r>
        <w:rPr>
          <w:rFonts w:hint="eastAsia" w:ascii="宋体" w:hAnsi="宋体" w:eastAsia="宋体" w:cs="黑体"/>
          <w:b w:val="0"/>
          <w:bCs/>
          <w:color w:val="auto"/>
          <w:sz w:val="24"/>
          <w:szCs w:val="24"/>
          <w:highlight w:val="none"/>
          <w:lang w:val="en-US" w:eastAsia="zh-CN"/>
        </w:rPr>
        <w:t>（此条款为本项目特别约定，</w:t>
      </w:r>
      <w:r>
        <w:rPr>
          <w:rFonts w:hint="eastAsia" w:cs="黑体"/>
          <w:b w:val="0"/>
          <w:bCs/>
          <w:color w:val="auto"/>
          <w:sz w:val="24"/>
          <w:szCs w:val="24"/>
          <w:highlight w:val="none"/>
          <w:lang w:val="en-US" w:eastAsia="zh-CN"/>
        </w:rPr>
        <w:t>如与</w:t>
      </w:r>
      <w:r>
        <w:rPr>
          <w:rFonts w:hint="eastAsia" w:ascii="宋体" w:hAnsi="宋体" w:eastAsia="宋体" w:cs="黑体"/>
          <w:b w:val="0"/>
          <w:bCs/>
          <w:color w:val="auto"/>
          <w:sz w:val="24"/>
          <w:szCs w:val="24"/>
          <w:highlight w:val="none"/>
          <w:lang w:val="en-US" w:eastAsia="zh-CN"/>
        </w:rPr>
        <w:t>龙游县公路港航与运输管理中心公路日常养护管理办法（试行）中的考核细则</w:t>
      </w:r>
      <w:r>
        <w:rPr>
          <w:rFonts w:hint="eastAsia" w:cs="黑体"/>
          <w:b w:val="0"/>
          <w:bCs/>
          <w:color w:val="auto"/>
          <w:sz w:val="24"/>
          <w:szCs w:val="24"/>
          <w:highlight w:val="none"/>
          <w:lang w:val="en-US" w:eastAsia="zh-CN"/>
        </w:rPr>
        <w:t>不一致则按特别约定执行</w:t>
      </w:r>
      <w:r>
        <w:rPr>
          <w:rFonts w:hint="eastAsia" w:ascii="宋体" w:hAnsi="宋体" w:eastAsia="宋体" w:cs="黑体"/>
          <w:b w:val="0"/>
          <w:bCs/>
          <w:color w:val="auto"/>
          <w:sz w:val="24"/>
          <w:szCs w:val="24"/>
          <w:highlight w:val="none"/>
          <w:lang w:val="en-US" w:eastAsia="zh-CN"/>
        </w:rPr>
        <w:t>）中标人应对其员工投保交纳足额人身意外险，以保证采购人在中标人工作人员索赔时不受任何责任的约束，并按《劳动法》相关规定执行人员休假、福利等。</w:t>
      </w:r>
    </w:p>
    <w:p>
      <w:pPr>
        <w:numPr>
          <w:ilvl w:val="0"/>
          <w:numId w:val="0"/>
        </w:numPr>
        <w:spacing w:line="420" w:lineRule="exact"/>
        <w:ind w:firstLine="480" w:firstLineChars="200"/>
        <w:rPr>
          <w:rFonts w:hint="eastAsia" w:ascii="宋体" w:hAnsi="宋体" w:eastAsia="宋体" w:cs="宋体"/>
          <w:color w:val="auto"/>
          <w:sz w:val="24"/>
          <w:highlight w:val="none"/>
          <w:lang w:val="en-US" w:eastAsia="zh-CN"/>
        </w:rPr>
      </w:pPr>
      <w:r>
        <w:rPr>
          <w:rFonts w:hint="eastAsia" w:cs="宋体"/>
          <w:color w:val="auto"/>
          <w:sz w:val="24"/>
          <w:highlight w:val="none"/>
          <w:lang w:val="en-US" w:eastAsia="zh-CN"/>
        </w:rPr>
        <w:t>2.3</w:t>
      </w:r>
      <w:r>
        <w:rPr>
          <w:rFonts w:hint="eastAsia" w:ascii="宋体" w:hAnsi="宋体" w:eastAsia="宋体" w:cs="宋体"/>
          <w:color w:val="auto"/>
          <w:sz w:val="24"/>
          <w:highlight w:val="none"/>
          <w:lang w:val="en-US" w:eastAsia="zh-CN"/>
        </w:rPr>
        <w:t>.中标人签订合同后14天内必须出具公司按标准配备人员的人身意外伤害险保单和职工花名册，签订的劳务合同及时到采购人备案，每月发放的劳务工资复印盖章后报采购人备案检查,劳务工资发放以银行流水为准。未在规定的期限内出具相关人员的保险证明及劳务合同的，采购人有权解除合同</w:t>
      </w:r>
      <w:r>
        <w:rPr>
          <w:rFonts w:hint="eastAsia" w:cs="宋体"/>
          <w:color w:val="auto"/>
          <w:sz w:val="24"/>
          <w:highlight w:val="none"/>
          <w:lang w:val="en-US" w:eastAsia="zh-CN"/>
        </w:rPr>
        <w:t>。</w:t>
      </w:r>
    </w:p>
    <w:p>
      <w:pPr>
        <w:numPr>
          <w:ilvl w:val="0"/>
          <w:numId w:val="0"/>
        </w:numPr>
        <w:spacing w:line="420" w:lineRule="exact"/>
        <w:ind w:firstLine="480" w:firstLineChars="200"/>
        <w:rPr>
          <w:rFonts w:hint="eastAsia" w:ascii="宋体" w:hAnsi="宋体" w:eastAsia="宋体" w:cs="宋体"/>
          <w:color w:val="auto"/>
          <w:sz w:val="24"/>
          <w:highlight w:val="none"/>
          <w:lang w:val="en-US" w:eastAsia="zh-CN"/>
        </w:rPr>
      </w:pPr>
      <w:r>
        <w:rPr>
          <w:rFonts w:hint="eastAsia" w:cs="宋体"/>
          <w:color w:val="auto"/>
          <w:sz w:val="24"/>
          <w:highlight w:val="none"/>
          <w:lang w:val="en-US" w:eastAsia="zh-CN"/>
        </w:rPr>
        <w:t>2.4</w:t>
      </w:r>
      <w:r>
        <w:rPr>
          <w:rFonts w:hint="eastAsia" w:ascii="宋体" w:hAnsi="宋体" w:eastAsia="宋体" w:cs="宋体"/>
          <w:color w:val="auto"/>
          <w:sz w:val="24"/>
          <w:highlight w:val="none"/>
          <w:lang w:val="en-US" w:eastAsia="zh-CN"/>
        </w:rPr>
        <w:t>.项目负责人和班组长必须在中标后6个月内取得安全生产合格证书，项目服务期内如遇特种、特殊作业时必配安全员一名。</w:t>
      </w:r>
    </w:p>
    <w:p>
      <w:pPr>
        <w:numPr>
          <w:ilvl w:val="0"/>
          <w:numId w:val="0"/>
        </w:numPr>
        <w:spacing w:line="420" w:lineRule="exact"/>
        <w:ind w:firstLine="480" w:firstLineChars="200"/>
        <w:rPr>
          <w:rFonts w:hint="eastAsia" w:ascii="宋体" w:hAnsi="宋体" w:eastAsia="宋体" w:cs="宋体"/>
          <w:color w:val="auto"/>
          <w:sz w:val="24"/>
          <w:highlight w:val="none"/>
          <w:lang w:val="en-US" w:eastAsia="zh-CN"/>
        </w:rPr>
      </w:pPr>
      <w:r>
        <w:rPr>
          <w:rFonts w:hint="eastAsia" w:ascii="宋体" w:hAnsi="宋体" w:cs="黑体"/>
          <w:b w:val="0"/>
          <w:bCs/>
          <w:i w:val="0"/>
          <w:color w:val="auto"/>
          <w:kern w:val="2"/>
          <w:sz w:val="24"/>
          <w:szCs w:val="24"/>
          <w:highlight w:val="none"/>
          <w:lang w:val="en-US" w:eastAsia="zh-CN" w:bidi="ar-SA"/>
        </w:rPr>
        <w:t>2.5中标人需在服务期内对该项目负责人、其他人员运行情况开展监督检查并考核，考核情况通报给业主，其中公司主要负责人每季度检查不少于1次，分管领导或安全部门负责人每月不少于1次。未按相应频次开展工作的，第一次警告，责令整改</w:t>
      </w:r>
      <w:r>
        <w:rPr>
          <w:rFonts w:hint="eastAsia" w:cs="黑体"/>
          <w:b w:val="0"/>
          <w:bCs/>
          <w:i w:val="0"/>
          <w:color w:val="auto"/>
          <w:kern w:val="2"/>
          <w:sz w:val="24"/>
          <w:szCs w:val="24"/>
          <w:highlight w:val="none"/>
          <w:lang w:val="en-US" w:eastAsia="zh-CN" w:bidi="ar-SA"/>
        </w:rPr>
        <w:t>，</w:t>
      </w:r>
      <w:r>
        <w:rPr>
          <w:rFonts w:hint="eastAsia" w:ascii="宋体" w:hAnsi="宋体" w:eastAsia="宋体" w:cs="黑体"/>
          <w:b w:val="0"/>
          <w:bCs/>
          <w:i w:val="0"/>
          <w:strike w:val="0"/>
          <w:dstrike w:val="0"/>
          <w:color w:val="auto"/>
          <w:kern w:val="2"/>
          <w:sz w:val="24"/>
          <w:szCs w:val="24"/>
          <w:highlight w:val="none"/>
          <w:lang w:val="en-US" w:eastAsia="zh-CN" w:bidi="ar-SA"/>
        </w:rPr>
        <w:t>并扣除月度承包款5000元；</w:t>
      </w:r>
      <w:r>
        <w:rPr>
          <w:rFonts w:hint="eastAsia" w:ascii="宋体" w:hAnsi="宋体" w:cs="黑体"/>
          <w:b w:val="0"/>
          <w:bCs/>
          <w:i w:val="0"/>
          <w:color w:val="auto"/>
          <w:kern w:val="2"/>
          <w:sz w:val="24"/>
          <w:szCs w:val="24"/>
          <w:highlight w:val="none"/>
          <w:lang w:val="en-US" w:eastAsia="zh-CN" w:bidi="ar-SA"/>
        </w:rPr>
        <w:t>第二次约谈法人代表并扣除月度承包款1万元；第三次将供应商严重违法失信行为上报同级政府采购监督管理部门处理，采购人有权终止合同。</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2.6中标人需制订相应的作业计划（年、月、周），每周五上报下一周作业计划，采购人根据作业计划合理情况，有权要求调整，并不定时对作业计划的实施进行检查，如发现无故未完成按考核细则相应扣分。</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3.中标人应严格落实企业主体责任，具体为：</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3.1物质保障责任：包括具备安全生产条件的环境和设备；为从业人员提供合格的劳动防护用品，并监督、教育其正确佩戴和使用。</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3.2资金投入责任：包括按规定提取和使用安全生产费用，确保资金投入满足安全生产条件需要;依法为从业人员缴纳工伤保险费。</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3.3机构设置和人员配备责任：包括依法设置安全生产管理机构，配备安全生产管理人员。</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3.4规章制度制定责任：包括建立健全安全生产责任制和各项规章制度、操作规程。</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3.5教育培训责任：包括依法组织从业人员参加安全生产教育培训，取得相关上岗资格证书。</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eastAsia="宋体" w:cs="宋体"/>
          <w:i w:val="0"/>
          <w:snapToGrid w:val="0"/>
          <w:color w:val="auto"/>
          <w:sz w:val="24"/>
          <w:highlight w:val="none"/>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3.6安全管</w:t>
      </w:r>
      <w:r>
        <w:rPr>
          <w:rFonts w:hint="eastAsia" w:ascii="宋体" w:hAnsi="宋体" w:eastAsia="宋体" w:cs="宋体"/>
          <w:i w:val="0"/>
          <w:snapToGrid w:val="0"/>
          <w:color w:val="auto"/>
          <w:sz w:val="24"/>
          <w:highlight w:val="none"/>
          <w:lang w:val="en-US" w:eastAsia="zh-CN" w:bidi="ar-SA"/>
        </w:rPr>
        <w:t>理责任：包括依法加强安全生产管理；定期组织开展安全检查；依法对风险进行分级管控；及时消除事故隐患；开展安全生产宣传教育等。</w:t>
      </w:r>
    </w:p>
    <w:p>
      <w:pPr>
        <w:pStyle w:val="46"/>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i w:val="0"/>
          <w:snapToGrid w:val="0"/>
          <w:color w:val="auto"/>
          <w:sz w:val="24"/>
          <w:highlight w:val="none"/>
          <w:lang w:val="en-US" w:eastAsia="zh-CN" w:bidi="ar-SA"/>
        </w:rPr>
      </w:pPr>
      <w:r>
        <w:rPr>
          <w:rFonts w:hint="eastAsia" w:ascii="宋体" w:hAnsi="宋体" w:cs="宋体"/>
          <w:i w:val="0"/>
          <w:snapToGrid w:val="0"/>
          <w:color w:val="auto"/>
          <w:sz w:val="24"/>
          <w:highlight w:val="none"/>
          <w:lang w:val="en-US" w:eastAsia="zh-CN" w:bidi="ar-SA"/>
        </w:rPr>
        <w:t>3</w:t>
      </w:r>
      <w:r>
        <w:rPr>
          <w:rFonts w:hint="eastAsia" w:ascii="宋体" w:hAnsi="宋体" w:eastAsia="宋体" w:cs="宋体"/>
          <w:i w:val="0"/>
          <w:snapToGrid w:val="0"/>
          <w:color w:val="auto"/>
          <w:sz w:val="24"/>
          <w:highlight w:val="none"/>
          <w:lang w:val="en-US" w:eastAsia="zh-CN" w:bidi="ar-SA"/>
        </w:rPr>
        <w:t>.</w:t>
      </w:r>
      <w:r>
        <w:rPr>
          <w:rFonts w:hint="eastAsia" w:ascii="宋体" w:hAnsi="宋体" w:cs="宋体"/>
          <w:i w:val="0"/>
          <w:snapToGrid w:val="0"/>
          <w:color w:val="auto"/>
          <w:sz w:val="24"/>
          <w:highlight w:val="none"/>
          <w:lang w:val="en-US" w:eastAsia="zh-CN" w:bidi="ar-SA"/>
        </w:rPr>
        <w:t>7</w:t>
      </w:r>
      <w:r>
        <w:rPr>
          <w:rFonts w:hint="eastAsia" w:ascii="宋体" w:hAnsi="宋体" w:eastAsia="宋体" w:cs="宋体"/>
          <w:i w:val="0"/>
          <w:snapToGrid w:val="0"/>
          <w:color w:val="auto"/>
          <w:sz w:val="24"/>
          <w:highlight w:val="none"/>
          <w:lang w:val="en-US" w:eastAsia="zh-CN" w:bidi="ar-SA"/>
        </w:rPr>
        <w:t>事故报告和应急救援的责任：包括按规定报告安全事故；及时开展事故抢险救援；妥善处理事故善后工作。</w:t>
      </w:r>
    </w:p>
    <w:p>
      <w:pPr>
        <w:pStyle w:val="46"/>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s="黑体"/>
          <w:b w:val="0"/>
          <w:bCs/>
          <w:i w:val="0"/>
          <w:color w:val="auto"/>
          <w:kern w:val="2"/>
          <w:sz w:val="24"/>
          <w:szCs w:val="24"/>
          <w:highlight w:val="none"/>
          <w:lang w:val="en-US" w:eastAsia="zh-CN" w:bidi="ar-SA"/>
        </w:rPr>
      </w:pPr>
      <w:r>
        <w:rPr>
          <w:rFonts w:hint="eastAsia" w:ascii="宋体" w:hAnsi="宋体" w:eastAsia="宋体" w:cs="宋体"/>
          <w:i w:val="0"/>
          <w:snapToGrid w:val="0"/>
          <w:color w:val="auto"/>
          <w:sz w:val="24"/>
          <w:highlight w:val="none"/>
          <w:lang w:val="en-US" w:eastAsia="zh-CN" w:bidi="ar-SA"/>
        </w:rPr>
        <w:t>采购人发现中标人未按标准规范和投标文件文本要求严格落实企业主体责任的，每发现一项，扣除考核分数0.5分，责令整改；对整改不到位或拒不整改的情况，约谈法人代表并扣除月度承包款3000元；情节严重情况下将供应商严重违法失信行为上报同级政府采购监督管理部门处理，采购人有权终止合同。</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default" w:ascii="宋体" w:hAnsi="宋体" w:eastAsia="宋体" w:cs="宋体"/>
          <w:snapToGrid w:val="0"/>
          <w:color w:val="auto"/>
          <w:sz w:val="24"/>
          <w:szCs w:val="24"/>
          <w:highlight w:val="none"/>
          <w:lang w:val="en-US" w:eastAsia="zh-CN"/>
        </w:rPr>
      </w:pPr>
      <w:r>
        <w:rPr>
          <w:rFonts w:hint="eastAsia" w:cs="宋体"/>
          <w:snapToGrid w:val="0"/>
          <w:color w:val="auto"/>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bidi="ar"/>
        </w:rPr>
        <w:t>▲</w:t>
      </w:r>
      <w:r>
        <w:rPr>
          <w:rFonts w:hint="eastAsia" w:ascii="宋体" w:hAnsi="宋体" w:eastAsia="宋体" w:cs="宋体"/>
          <w:snapToGrid w:val="0"/>
          <w:color w:val="auto"/>
          <w:sz w:val="24"/>
          <w:szCs w:val="24"/>
          <w:highlight w:val="none"/>
          <w:lang w:val="en-US" w:eastAsia="zh-CN"/>
        </w:rPr>
        <w:t>中标单位需在6月25日前做好进场准备，并接受业主单位对人员和设备的核查</w:t>
      </w:r>
      <w:r>
        <w:rPr>
          <w:rFonts w:hint="eastAsia" w:cs="宋体"/>
          <w:snapToGrid w:val="0"/>
          <w:color w:val="auto"/>
          <w:sz w:val="24"/>
          <w:szCs w:val="24"/>
          <w:highlight w:val="none"/>
          <w:lang w:val="en-US" w:eastAsia="zh-CN"/>
        </w:rPr>
        <w:t>。</w:t>
      </w:r>
    </w:p>
    <w:p>
      <w:pPr>
        <w:pStyle w:val="19"/>
        <w:ind w:firstLine="482" w:firstLineChars="200"/>
        <w:jc w:val="center"/>
        <w:rPr>
          <w:rFonts w:hint="eastAsia" w:ascii="宋体" w:hAnsi="宋体" w:eastAsia="宋体" w:cs="宋体"/>
          <w:b/>
          <w:bCs/>
          <w:snapToGrid w:val="0"/>
          <w:color w:val="auto"/>
          <w:sz w:val="24"/>
          <w:szCs w:val="24"/>
          <w:highlight w:val="none"/>
          <w:lang w:val="en-US" w:eastAsia="zh-CN" w:bidi="ar-SA"/>
        </w:rPr>
      </w:pPr>
      <w:r>
        <w:rPr>
          <w:rFonts w:hint="eastAsia" w:ascii="宋体" w:hAnsi="宋体" w:cs="宋体"/>
          <w:b/>
          <w:bCs/>
          <w:snapToGrid w:val="0"/>
          <w:color w:val="auto"/>
          <w:sz w:val="24"/>
          <w:szCs w:val="24"/>
          <w:highlight w:val="none"/>
          <w:lang w:val="en-US" w:eastAsia="zh-CN" w:bidi="ar-SA"/>
        </w:rPr>
        <w:t>5、暂列金部分</w:t>
      </w:r>
      <w:r>
        <w:rPr>
          <w:rFonts w:hint="eastAsia" w:ascii="宋体" w:hAnsi="宋体" w:eastAsia="宋体" w:cs="宋体"/>
          <w:b/>
          <w:bCs/>
          <w:snapToGrid w:val="0"/>
          <w:color w:val="auto"/>
          <w:sz w:val="24"/>
          <w:szCs w:val="24"/>
          <w:highlight w:val="none"/>
          <w:lang w:val="en-US" w:eastAsia="zh-CN" w:bidi="ar-SA"/>
        </w:rPr>
        <w:t>绿化养护项目单价表</w:t>
      </w:r>
    </w:p>
    <w:tbl>
      <w:tblPr>
        <w:tblStyle w:val="47"/>
        <w:tblW w:w="9948" w:type="dxa"/>
        <w:jc w:val="center"/>
        <w:shd w:val="clear" w:color="auto" w:fill="auto"/>
        <w:tblLayout w:type="fixed"/>
        <w:tblCellMar>
          <w:top w:w="0" w:type="dxa"/>
          <w:left w:w="108" w:type="dxa"/>
          <w:bottom w:w="0" w:type="dxa"/>
          <w:right w:w="108" w:type="dxa"/>
        </w:tblCellMar>
      </w:tblPr>
      <w:tblGrid>
        <w:gridCol w:w="749"/>
        <w:gridCol w:w="3767"/>
        <w:gridCol w:w="1033"/>
        <w:gridCol w:w="767"/>
        <w:gridCol w:w="1450"/>
        <w:gridCol w:w="2182"/>
      </w:tblGrid>
      <w:tr>
        <w:tblPrEx>
          <w:shd w:val="clear" w:color="auto" w:fill="auto"/>
          <w:tblCellMar>
            <w:top w:w="0" w:type="dxa"/>
            <w:left w:w="108" w:type="dxa"/>
            <w:bottom w:w="0" w:type="dxa"/>
            <w:right w:w="108" w:type="dxa"/>
          </w:tblCellMar>
        </w:tblPrEx>
        <w:trPr>
          <w:trHeight w:val="545" w:hRule="atLeast"/>
          <w:jc w:val="center"/>
        </w:trPr>
        <w:tc>
          <w:tcPr>
            <w:tcW w:w="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w:t>
            </w:r>
          </w:p>
        </w:tc>
        <w:tc>
          <w:tcPr>
            <w:tcW w:w="3767"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名称</w:t>
            </w:r>
          </w:p>
        </w:tc>
        <w:tc>
          <w:tcPr>
            <w:tcW w:w="1033"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单位</w:t>
            </w:r>
            <w:r>
              <w:rPr>
                <w:rFonts w:hint="eastAsia" w:ascii="宋体" w:hAnsi="宋体" w:eastAsia="宋体" w:cs="宋体"/>
                <w:color w:val="auto"/>
                <w:kern w:val="0"/>
                <w:sz w:val="24"/>
                <w:szCs w:val="24"/>
                <w:highlight w:val="none"/>
              </w:rPr>
              <w:t>　</w:t>
            </w:r>
          </w:p>
        </w:tc>
        <w:tc>
          <w:tcPr>
            <w:tcW w:w="767"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数量</w:t>
            </w:r>
            <w:r>
              <w:rPr>
                <w:rFonts w:hint="eastAsia" w:ascii="宋体" w:hAnsi="宋体" w:eastAsia="宋体" w:cs="宋体"/>
                <w:color w:val="auto"/>
                <w:kern w:val="0"/>
                <w:sz w:val="24"/>
                <w:szCs w:val="24"/>
                <w:highlight w:val="none"/>
              </w:rPr>
              <w:t>　</w:t>
            </w:r>
          </w:p>
        </w:tc>
        <w:tc>
          <w:tcPr>
            <w:tcW w:w="1450" w:type="dxa"/>
            <w:tcBorders>
              <w:top w:val="single" w:color="auto" w:sz="4" w:space="0"/>
              <w:left w:val="nil"/>
              <w:bottom w:val="single" w:color="auto" w:sz="4" w:space="0"/>
              <w:right w:val="nil"/>
            </w:tcBorders>
            <w:shd w:val="clear" w:color="auto" w:fill="auto"/>
            <w:noWrap w:val="0"/>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金额（元）</w:t>
            </w:r>
            <w:r>
              <w:rPr>
                <w:rFonts w:hint="eastAsia" w:ascii="宋体" w:hAnsi="宋体" w:eastAsia="宋体" w:cs="宋体"/>
                <w:color w:val="auto"/>
                <w:kern w:val="0"/>
                <w:sz w:val="24"/>
                <w:szCs w:val="24"/>
                <w:highlight w:val="none"/>
              </w:rPr>
              <w:t>　</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tblPrEx>
          <w:shd w:val="clear" w:color="auto" w:fill="auto"/>
          <w:tblCellMar>
            <w:top w:w="0" w:type="dxa"/>
            <w:left w:w="108" w:type="dxa"/>
            <w:bottom w:w="0" w:type="dxa"/>
            <w:right w:w="108" w:type="dxa"/>
          </w:tblCellMar>
        </w:tblPrEx>
        <w:trPr>
          <w:trHeight w:val="479"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1</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临时用工</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工日</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170 </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ind w:firstLine="720" w:firstLineChars="300"/>
              <w:jc w:val="both"/>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农用车</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r>
              <w:rPr>
                <w:rFonts w:hint="eastAsia" w:cs="宋体"/>
                <w:color w:val="auto"/>
                <w:kern w:val="0"/>
                <w:sz w:val="24"/>
                <w:szCs w:val="24"/>
                <w:highlight w:val="none"/>
                <w:lang w:val="en-US" w:eastAsia="zh-CN"/>
              </w:rPr>
              <w:t>50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4</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随车吊</w:t>
            </w:r>
            <w:r>
              <w:rPr>
                <w:rFonts w:hint="eastAsia" w:cs="宋体"/>
                <w:color w:val="auto"/>
                <w:kern w:val="0"/>
                <w:sz w:val="24"/>
                <w:szCs w:val="24"/>
                <w:lang w:val="en-US" w:eastAsia="zh-CN"/>
              </w:rPr>
              <w:t>6t-</w:t>
            </w:r>
            <w:r>
              <w:rPr>
                <w:rFonts w:hint="eastAsia" w:ascii="宋体" w:hAnsi="宋体" w:eastAsia="宋体" w:cs="宋体"/>
                <w:color w:val="auto"/>
                <w:kern w:val="0"/>
                <w:sz w:val="24"/>
                <w:szCs w:val="24"/>
                <w:lang w:val="en-US" w:eastAsia="zh-CN"/>
              </w:rPr>
              <w:t>8t（吊装质量）</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1200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随车吊12t</w:t>
            </w:r>
            <w:r>
              <w:rPr>
                <w:rFonts w:hint="eastAsia" w:cs="宋体"/>
                <w:color w:val="auto"/>
                <w:kern w:val="0"/>
                <w:sz w:val="24"/>
                <w:szCs w:val="24"/>
                <w:lang w:val="en-US" w:eastAsia="zh-CN"/>
              </w:rPr>
              <w:t>-18t</w:t>
            </w:r>
            <w:r>
              <w:rPr>
                <w:rFonts w:hint="eastAsia" w:ascii="宋体" w:hAnsi="宋体" w:eastAsia="宋体" w:cs="宋体"/>
                <w:color w:val="auto"/>
                <w:kern w:val="0"/>
                <w:sz w:val="24"/>
                <w:szCs w:val="24"/>
                <w:lang w:val="en-US" w:eastAsia="zh-CN"/>
              </w:rPr>
              <w:t>（吊装质量）</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1700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6</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8t</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12t</w:t>
            </w:r>
            <w:r>
              <w:rPr>
                <w:rFonts w:hint="eastAsia" w:ascii="宋体" w:hAnsi="宋体" w:eastAsia="宋体" w:cs="宋体"/>
                <w:color w:val="auto"/>
                <w:kern w:val="0"/>
                <w:sz w:val="24"/>
                <w:szCs w:val="24"/>
              </w:rPr>
              <w:t>吊车</w:t>
            </w:r>
            <w:r>
              <w:rPr>
                <w:rFonts w:hint="eastAsia" w:ascii="宋体" w:hAnsi="宋体" w:eastAsia="宋体" w:cs="宋体"/>
                <w:color w:val="auto"/>
                <w:kern w:val="0"/>
                <w:sz w:val="24"/>
                <w:szCs w:val="24"/>
                <w:lang w:val="en-US" w:eastAsia="zh-CN"/>
              </w:rPr>
              <w:t>（吊装质量）</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1000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7</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16t吊车</w:t>
            </w:r>
            <w:r>
              <w:rPr>
                <w:rFonts w:hint="eastAsia" w:ascii="宋体" w:hAnsi="宋体" w:eastAsia="宋体" w:cs="宋体"/>
                <w:color w:val="auto"/>
                <w:kern w:val="0"/>
                <w:sz w:val="24"/>
                <w:szCs w:val="24"/>
                <w:lang w:val="en-US" w:eastAsia="zh-CN"/>
              </w:rPr>
              <w:t>（吊装质量）</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1200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8</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25t吊车</w:t>
            </w:r>
            <w:r>
              <w:rPr>
                <w:rFonts w:hint="eastAsia" w:ascii="宋体" w:hAnsi="宋体" w:eastAsia="宋体" w:cs="宋体"/>
                <w:color w:val="auto"/>
                <w:kern w:val="0"/>
                <w:sz w:val="24"/>
                <w:szCs w:val="24"/>
                <w:lang w:val="en-US" w:eastAsia="zh-CN"/>
              </w:rPr>
              <w:t>（吊装质量）</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1500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9</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洒水车1</w:t>
            </w:r>
            <w:r>
              <w:rPr>
                <w:rFonts w:hint="eastAsia" w:ascii="宋体" w:hAnsi="宋体" w:eastAsia="宋体" w:cs="宋体"/>
                <w:color w:val="auto"/>
                <w:kern w:val="0"/>
                <w:sz w:val="24"/>
                <w:szCs w:val="24"/>
                <w:lang w:val="en-US" w:eastAsia="zh-CN"/>
              </w:rPr>
              <w:t>6t及以上</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行驶证标注总质量</w:t>
            </w:r>
            <w:r>
              <w:rPr>
                <w:rFonts w:hint="eastAsia" w:ascii="宋体" w:hAnsi="宋体" w:eastAsia="宋体" w:cs="宋体"/>
                <w:color w:val="auto"/>
                <w:kern w:val="0"/>
                <w:sz w:val="24"/>
                <w:szCs w:val="24"/>
                <w:lang w:eastAsia="zh-CN"/>
              </w:rPr>
              <w:t>）</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rPr>
            </w:pPr>
            <w:r>
              <w:rPr>
                <w:rFonts w:hint="eastAsia" w:cs="宋体"/>
                <w:color w:val="auto"/>
                <w:kern w:val="0"/>
                <w:sz w:val="24"/>
                <w:szCs w:val="24"/>
                <w:highlight w:val="none"/>
                <w:lang w:val="en-US" w:eastAsia="zh-CN"/>
              </w:rPr>
              <w:t>1700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cs="宋体"/>
                <w:color w:val="auto"/>
                <w:kern w:val="0"/>
                <w:sz w:val="24"/>
                <w:szCs w:val="24"/>
                <w:lang w:val="en-US" w:eastAsia="zh-CN"/>
              </w:rPr>
              <w:t>小型</w:t>
            </w:r>
            <w:r>
              <w:rPr>
                <w:rFonts w:hint="eastAsia" w:ascii="宋体" w:hAnsi="宋体" w:eastAsia="宋体" w:cs="宋体"/>
                <w:color w:val="auto"/>
                <w:kern w:val="0"/>
                <w:sz w:val="24"/>
                <w:szCs w:val="24"/>
              </w:rPr>
              <w:t>铲车（</w:t>
            </w:r>
            <w:r>
              <w:rPr>
                <w:rFonts w:hint="eastAsia" w:cs="宋体"/>
                <w:color w:val="auto"/>
                <w:kern w:val="0"/>
                <w:sz w:val="24"/>
                <w:szCs w:val="24"/>
                <w:lang w:val="en-US" w:eastAsia="zh-CN"/>
              </w:rPr>
              <w:t>铲斗宽80cm-120cm</w:t>
            </w:r>
            <w:r>
              <w:rPr>
                <w:rFonts w:hint="eastAsia" w:ascii="宋体" w:hAnsi="宋体" w:eastAsia="宋体" w:cs="宋体"/>
                <w:color w:val="auto"/>
                <w:kern w:val="0"/>
                <w:sz w:val="24"/>
                <w:szCs w:val="24"/>
              </w:rPr>
              <w:t>）</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rPr>
            </w:pPr>
            <w:r>
              <w:rPr>
                <w:rFonts w:hint="eastAsia" w:cs="宋体"/>
                <w:color w:val="auto"/>
                <w:kern w:val="0"/>
                <w:sz w:val="24"/>
                <w:szCs w:val="24"/>
                <w:highlight w:val="none"/>
                <w:lang w:val="en-US" w:eastAsia="zh-CN"/>
              </w:rPr>
              <w:t>680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2</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cs="宋体"/>
                <w:color w:val="auto"/>
                <w:kern w:val="0"/>
                <w:sz w:val="24"/>
                <w:szCs w:val="24"/>
                <w:lang w:val="en-US" w:eastAsia="zh-CN"/>
              </w:rPr>
              <w:t>大型</w:t>
            </w:r>
            <w:r>
              <w:rPr>
                <w:rFonts w:hint="eastAsia" w:ascii="宋体" w:hAnsi="宋体" w:eastAsia="宋体" w:cs="宋体"/>
                <w:color w:val="auto"/>
                <w:kern w:val="0"/>
                <w:sz w:val="24"/>
                <w:szCs w:val="24"/>
              </w:rPr>
              <w:t>铲车（50型）</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小时</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220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3</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小型挖掘机(60-90型)</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小时</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160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rPr>
            </w:pPr>
          </w:p>
        </w:tc>
      </w:tr>
      <w:tr>
        <w:tblPrEx>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14</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中型挖掘机(120型)</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小时</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200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shd w:val="clear" w:color="auto" w:fill="auto"/>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15</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大型挖掘机(210-250型)</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小时</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 </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245</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default" w:ascii="宋体" w:hAnsi="宋体" w:eastAsia="宋体" w:cs="宋体"/>
                <w:color w:val="auto"/>
                <w:kern w:val="0"/>
                <w:sz w:val="24"/>
                <w:szCs w:val="24"/>
                <w:lang w:val="en-US" w:eastAsia="zh-CN"/>
              </w:rPr>
            </w:pPr>
          </w:p>
        </w:tc>
      </w:tr>
      <w:tr>
        <w:tblPrEx>
          <w:tblCellMar>
            <w:top w:w="0" w:type="dxa"/>
            <w:left w:w="108" w:type="dxa"/>
            <w:bottom w:w="0" w:type="dxa"/>
            <w:right w:w="108" w:type="dxa"/>
          </w:tblCellMar>
        </w:tblPrEx>
        <w:trPr>
          <w:trHeight w:val="545" w:hRule="atLeast"/>
          <w:jc w:val="center"/>
        </w:trPr>
        <w:tc>
          <w:tcPr>
            <w:tcW w:w="749"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16</w:t>
            </w:r>
          </w:p>
        </w:tc>
        <w:tc>
          <w:tcPr>
            <w:tcW w:w="3767"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登高车</w:t>
            </w:r>
          </w:p>
        </w:tc>
        <w:tc>
          <w:tcPr>
            <w:tcW w:w="1033"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台班</w:t>
            </w:r>
          </w:p>
        </w:tc>
        <w:tc>
          <w:tcPr>
            <w:tcW w:w="767"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p>
        </w:tc>
        <w:tc>
          <w:tcPr>
            <w:tcW w:w="1450" w:type="dxa"/>
            <w:tcBorders>
              <w:top w:val="nil"/>
              <w:left w:val="nil"/>
              <w:bottom w:val="single" w:color="auto" w:sz="4" w:space="0"/>
              <w:right w:val="nil"/>
            </w:tcBorders>
            <w:shd w:val="clear" w:color="auto" w:fill="auto"/>
            <w:noWrap w:val="0"/>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1200</w:t>
            </w:r>
          </w:p>
        </w:tc>
        <w:tc>
          <w:tcPr>
            <w:tcW w:w="2182" w:type="dxa"/>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rPr>
      </w:pPr>
      <w:bookmarkStart w:id="35" w:name="_Toc5060"/>
      <w:r>
        <w:rPr>
          <w:rFonts w:hint="eastAsia" w:cs="宋体"/>
          <w:snapToGrid w:val="0"/>
          <w:color w:val="auto"/>
          <w:kern w:val="0"/>
          <w:sz w:val="24"/>
          <w:szCs w:val="24"/>
          <w:highlight w:val="none"/>
          <w:lang w:val="en-US" w:eastAsia="zh-CN"/>
        </w:rPr>
        <w:t>注：</w:t>
      </w:r>
      <w:r>
        <w:rPr>
          <w:rFonts w:hint="eastAsia" w:ascii="宋体" w:hAnsi="宋体" w:eastAsia="宋体" w:cs="宋体"/>
          <w:snapToGrid w:val="0"/>
          <w:color w:val="auto"/>
          <w:kern w:val="0"/>
          <w:sz w:val="24"/>
          <w:szCs w:val="24"/>
          <w:highlight w:val="none"/>
          <w:lang w:val="en-US" w:eastAsia="zh-CN"/>
        </w:rPr>
        <w:t>该表格中所有单独计量的单价为固定单价，中标后不参与投标下浮。</w:t>
      </w:r>
    </w:p>
    <w:p>
      <w:pPr>
        <w:keepNext w:val="0"/>
        <w:keepLines w:val="0"/>
        <w:pageBreakBefore w:val="0"/>
        <w:numPr>
          <w:ilvl w:val="0"/>
          <w:numId w:val="0"/>
        </w:numPr>
        <w:kinsoku/>
        <w:wordWrap/>
        <w:overflowPunct/>
        <w:topLinePunct w:val="0"/>
        <w:autoSpaceDN/>
        <w:bidi w:val="0"/>
        <w:snapToGrid w:val="0"/>
        <w:spacing w:line="288" w:lineRule="auto"/>
        <w:ind w:firstLine="482" w:firstLineChars="200"/>
        <w:rPr>
          <w:rFonts w:hint="eastAsia" w:ascii="宋体" w:hAnsi="宋体" w:eastAsia="宋体" w:cs="宋体"/>
          <w:i w:val="0"/>
          <w:iCs/>
          <w:strike w:val="0"/>
          <w:dstrike w:val="0"/>
          <w:color w:val="auto"/>
          <w:sz w:val="24"/>
          <w:szCs w:val="24"/>
          <w:highlight w:val="none"/>
          <w:lang w:eastAsia="zh-CN"/>
        </w:rPr>
      </w:pPr>
      <w:r>
        <w:rPr>
          <w:rFonts w:hint="eastAsia" w:cs="宋体"/>
          <w:b/>
          <w:bCs/>
          <w:strike w:val="0"/>
          <w:dstrike w:val="0"/>
          <w:color w:val="auto"/>
          <w:sz w:val="24"/>
          <w:szCs w:val="24"/>
          <w:highlight w:val="none"/>
          <w:lang w:val="en-US" w:eastAsia="zh-CN"/>
        </w:rPr>
        <w:t>6</w:t>
      </w:r>
      <w:r>
        <w:rPr>
          <w:rFonts w:hint="eastAsia" w:ascii="宋体" w:hAnsi="宋体" w:eastAsia="宋体" w:cs="宋体"/>
          <w:b/>
          <w:bCs/>
          <w:strike w:val="0"/>
          <w:dstrike w:val="0"/>
          <w:color w:val="auto"/>
          <w:sz w:val="24"/>
          <w:szCs w:val="24"/>
          <w:highlight w:val="none"/>
          <w:lang w:val="en-US" w:eastAsia="zh-CN"/>
        </w:rPr>
        <w:t>.</w:t>
      </w:r>
      <w:r>
        <w:rPr>
          <w:rFonts w:hint="eastAsia" w:cs="宋体"/>
          <w:b/>
          <w:bCs/>
          <w:strike w:val="0"/>
          <w:dstrike w:val="0"/>
          <w:color w:val="auto"/>
          <w:sz w:val="24"/>
          <w:szCs w:val="24"/>
          <w:highlight w:val="none"/>
          <w:lang w:val="en-US" w:eastAsia="zh-CN"/>
        </w:rPr>
        <w:t>项目</w:t>
      </w:r>
      <w:r>
        <w:rPr>
          <w:rFonts w:hint="eastAsia" w:ascii="宋体" w:hAnsi="宋体" w:eastAsia="宋体" w:cs="宋体"/>
          <w:b/>
          <w:bCs/>
          <w:strike w:val="0"/>
          <w:dstrike w:val="0"/>
          <w:color w:val="auto"/>
          <w:sz w:val="24"/>
          <w:szCs w:val="24"/>
          <w:highlight w:val="none"/>
          <w:lang w:val="en-US" w:eastAsia="zh-CN"/>
        </w:rPr>
        <w:t>绿化</w:t>
      </w:r>
      <w:r>
        <w:rPr>
          <w:rFonts w:hint="eastAsia" w:cs="宋体"/>
          <w:b/>
          <w:bCs/>
          <w:strike w:val="0"/>
          <w:dstrike w:val="0"/>
          <w:color w:val="auto"/>
          <w:sz w:val="24"/>
          <w:szCs w:val="24"/>
          <w:highlight w:val="none"/>
          <w:lang w:val="en-US" w:eastAsia="zh-CN"/>
        </w:rPr>
        <w:t>养护</w:t>
      </w:r>
      <w:r>
        <w:rPr>
          <w:rFonts w:hint="eastAsia" w:ascii="宋体" w:hAnsi="宋体" w:eastAsia="宋体" w:cs="宋体"/>
          <w:b/>
          <w:bCs/>
          <w:strike w:val="0"/>
          <w:dstrike w:val="0"/>
          <w:color w:val="auto"/>
          <w:sz w:val="24"/>
          <w:szCs w:val="24"/>
          <w:highlight w:val="none"/>
          <w:lang w:val="en-US" w:eastAsia="zh-CN"/>
        </w:rPr>
        <w:t>人员管理要求</w:t>
      </w:r>
    </w:p>
    <w:p>
      <w:pPr>
        <w:pStyle w:val="46"/>
        <w:keepNext w:val="0"/>
        <w:keepLines w:val="0"/>
        <w:pageBreakBefore w:val="0"/>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eastAsia="宋体" w:cs="宋体"/>
          <w:b w:val="0"/>
          <w:bCs w:val="0"/>
          <w:i w:val="0"/>
          <w:iCs/>
          <w:strike w:val="0"/>
          <w:dstrike w:val="0"/>
          <w:color w:val="auto"/>
          <w:sz w:val="24"/>
          <w:szCs w:val="24"/>
          <w:highlight w:val="none"/>
          <w:lang w:val="en-US" w:eastAsia="zh-CN"/>
        </w:rPr>
      </w:pPr>
      <w:r>
        <w:rPr>
          <w:rFonts w:hint="eastAsia" w:ascii="宋体" w:hAnsi="宋体" w:cs="宋体"/>
          <w:b w:val="0"/>
          <w:bCs w:val="0"/>
          <w:i w:val="0"/>
          <w:iCs/>
          <w:strike w:val="0"/>
          <w:dstrike w:val="0"/>
          <w:color w:val="auto"/>
          <w:sz w:val="24"/>
          <w:szCs w:val="24"/>
          <w:highlight w:val="none"/>
          <w:lang w:val="en-US" w:eastAsia="zh-CN"/>
        </w:rPr>
        <w:t>6.1</w:t>
      </w:r>
      <w:r>
        <w:rPr>
          <w:rFonts w:hint="eastAsia" w:ascii="宋体" w:hAnsi="宋体" w:eastAsia="宋体" w:cs="宋体"/>
          <w:b w:val="0"/>
          <w:bCs w:val="0"/>
          <w:i w:val="0"/>
          <w:iCs/>
          <w:strike w:val="0"/>
          <w:dstrike w:val="0"/>
          <w:color w:val="auto"/>
          <w:sz w:val="24"/>
          <w:szCs w:val="24"/>
          <w:highlight w:val="none"/>
          <w:lang w:val="en-US" w:eastAsia="zh-CN"/>
        </w:rPr>
        <w:t>本项目中的所有保险费用，包括但不限于第三方责任险、人身意外伤害险等相关保险由</w:t>
      </w:r>
      <w:r>
        <w:rPr>
          <w:rFonts w:hint="eastAsia" w:ascii="宋体" w:hAnsi="宋体" w:cs="宋体"/>
          <w:b w:val="0"/>
          <w:bCs w:val="0"/>
          <w:i w:val="0"/>
          <w:iCs/>
          <w:strike w:val="0"/>
          <w:dstrike w:val="0"/>
          <w:color w:val="auto"/>
          <w:sz w:val="24"/>
          <w:szCs w:val="24"/>
          <w:highlight w:val="none"/>
          <w:lang w:val="en-US" w:eastAsia="zh-CN"/>
        </w:rPr>
        <w:t>中标人</w:t>
      </w:r>
      <w:r>
        <w:rPr>
          <w:rFonts w:hint="eastAsia" w:ascii="宋体" w:hAnsi="宋体" w:eastAsia="宋体" w:cs="宋体"/>
          <w:b w:val="0"/>
          <w:bCs w:val="0"/>
          <w:i w:val="0"/>
          <w:iCs/>
          <w:strike w:val="0"/>
          <w:dstrike w:val="0"/>
          <w:color w:val="auto"/>
          <w:sz w:val="24"/>
          <w:szCs w:val="24"/>
          <w:highlight w:val="none"/>
          <w:lang w:val="en-US" w:eastAsia="zh-CN"/>
        </w:rPr>
        <w:t>负责</w:t>
      </w:r>
      <w:r>
        <w:rPr>
          <w:rFonts w:hint="eastAsia" w:ascii="宋体" w:hAnsi="宋体" w:cs="宋体"/>
          <w:b w:val="0"/>
          <w:bCs w:val="0"/>
          <w:i w:val="0"/>
          <w:iCs/>
          <w:strike w:val="0"/>
          <w:dstrike w:val="0"/>
          <w:color w:val="auto"/>
          <w:sz w:val="24"/>
          <w:szCs w:val="24"/>
          <w:highlight w:val="none"/>
          <w:lang w:val="en-US" w:eastAsia="zh-CN"/>
        </w:rPr>
        <w:t>，若存在未保、脱保等情况发生时，由中标人自行承担相关责任及后续问题处理；</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6.2中标人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拟派</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绿化养护</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项目负责人月度驻守</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现场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不得小于</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22</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天，</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其</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确需离开</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现场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的，应提前一天，将书面报告</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采购</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人，得到</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采购人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同意后方可离开，否则视</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中标人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违约，每次违约项目负责人扣除</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1</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000元</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/天</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违约金（不足一天的按一天计）</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eastAsia="zh-CN" w:bidi="ar-SA"/>
        </w:rPr>
        <w:t>。</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如项目</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负责人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因发生</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特殊情况而无法再任的，中标人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向</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采购</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人提出申请，经</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采购</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人同意更换的，且更换的项目</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负责人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要有同等</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资格</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eastAsia="zh-CN" w:bidi="ar-SA"/>
        </w:rPr>
        <w:t>或者优于以上业绩证明</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eastAsia="zh-CN" w:bidi="ar-SA"/>
        </w:rPr>
        <w:t>。</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6.3中标人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拟派其他人员月度到位率不得少于26天，其确需离开现场的，应提前一天，将书面报告采购人，采购人同意后方可离开，否则视</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中标人</w:t>
      </w:r>
      <w:r>
        <w:rPr>
          <w:rFonts w:hint="eastAsia" w:ascii="宋体" w:hAnsi="宋体" w:eastAsia="宋体" w:cs="宋体"/>
          <w:b w:val="0"/>
          <w:bCs w:val="0"/>
          <w:i w:val="0"/>
          <w:iCs/>
          <w:strike w:val="0"/>
          <w:dstrike w:val="0"/>
          <w:color w:val="auto"/>
          <w:spacing w:val="0"/>
          <w:w w:val="100"/>
          <w:kern w:val="0"/>
          <w:position w:val="0"/>
          <w:sz w:val="24"/>
          <w:szCs w:val="24"/>
          <w:highlight w:val="none"/>
          <w:u w:val="none"/>
          <w:shd w:val="clear"/>
          <w:lang w:val="en-US" w:eastAsia="zh-CN" w:bidi="ar-SA"/>
        </w:rPr>
        <w:t>违约，每次违约金为：每人每天扣除300元违约金（不足一天的按一天计）。</w:t>
      </w:r>
      <w:r>
        <w:rPr>
          <w:rFonts w:hint="eastAsia" w:ascii="宋体" w:hAnsi="宋体" w:cs="宋体"/>
          <w:b w:val="0"/>
          <w:bCs w:val="0"/>
          <w:i w:val="0"/>
          <w:iCs/>
          <w:strike w:val="0"/>
          <w:dstrike w:val="0"/>
          <w:color w:val="auto"/>
          <w:spacing w:val="0"/>
          <w:w w:val="100"/>
          <w:kern w:val="0"/>
          <w:position w:val="0"/>
          <w:sz w:val="24"/>
          <w:szCs w:val="24"/>
          <w:highlight w:val="none"/>
          <w:u w:val="none"/>
          <w:shd w:val="clear"/>
          <w:lang w:val="en-US" w:eastAsia="zh-CN" w:bidi="ar-SA"/>
        </w:rPr>
        <w:t>中标人需制定日常考核奖惩机制。</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default" w:ascii="宋体" w:hAnsi="宋体" w:cs="宋体"/>
          <w:b w:val="0"/>
          <w:bCs w:val="0"/>
          <w:i w:val="0"/>
          <w:iCs/>
          <w:strike w:val="0"/>
          <w:dstrike w:val="0"/>
          <w:color w:val="002060"/>
          <w:spacing w:val="0"/>
          <w:w w:val="100"/>
          <w:kern w:val="0"/>
          <w:position w:val="0"/>
          <w:sz w:val="24"/>
          <w:szCs w:val="24"/>
          <w:highlight w:val="yellow"/>
          <w:u w:val="none"/>
          <w:shd w:val="clear"/>
          <w:lang w:val="en-US" w:eastAsia="zh-CN" w:bidi="ar-SA"/>
        </w:rPr>
      </w:pP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2" w:firstLineChars="200"/>
        <w:rPr>
          <w:rFonts w:hint="default" w:ascii="宋体" w:hAnsi="宋体" w:cs="宋体"/>
          <w:b/>
          <w:bCs/>
          <w:i w:val="0"/>
          <w:iCs/>
          <w:strike w:val="0"/>
          <w:dstrike w:val="0"/>
          <w:color w:val="auto"/>
          <w:spacing w:val="0"/>
          <w:w w:val="100"/>
          <w:kern w:val="0"/>
          <w:position w:val="0"/>
          <w:sz w:val="24"/>
          <w:szCs w:val="24"/>
          <w:highlight w:val="none"/>
          <w:u w:val="none"/>
          <w:shd w:val="clear"/>
          <w:lang w:val="en-US" w:eastAsia="zh-CN" w:bidi="ar-SA"/>
        </w:rPr>
      </w:pPr>
      <w:r>
        <w:rPr>
          <w:rFonts w:hint="eastAsia" w:ascii="宋体" w:hAnsi="宋体" w:cs="宋体"/>
          <w:b/>
          <w:bCs/>
          <w:i w:val="0"/>
          <w:iCs/>
          <w:strike w:val="0"/>
          <w:dstrike w:val="0"/>
          <w:color w:val="auto"/>
          <w:spacing w:val="0"/>
          <w:w w:val="100"/>
          <w:kern w:val="0"/>
          <w:position w:val="0"/>
          <w:sz w:val="24"/>
          <w:szCs w:val="24"/>
          <w:highlight w:val="none"/>
          <w:u w:val="none"/>
          <w:shd w:val="clear"/>
          <w:lang w:val="en-US" w:eastAsia="zh-CN" w:bidi="ar-SA"/>
        </w:rPr>
        <w:t>考核细则详见合同附件（考核细则根据情况动态调整，具体按正式文件为准）</w:t>
      </w:r>
    </w:p>
    <w:p>
      <w:pPr>
        <w:pStyle w:val="46"/>
        <w:keepNext w:val="0"/>
        <w:keepLines w:val="0"/>
        <w:pageBreakBefore w:val="0"/>
        <w:widowControl/>
        <w:numPr>
          <w:ilvl w:val="0"/>
          <w:numId w:val="0"/>
        </w:numPr>
        <w:tabs>
          <w:tab w:val="left" w:pos="420"/>
        </w:tabs>
        <w:kinsoku/>
        <w:wordWrap/>
        <w:overflowPunct/>
        <w:topLinePunct w:val="0"/>
        <w:autoSpaceDN/>
        <w:bidi w:val="0"/>
        <w:adjustRightInd w:val="0"/>
        <w:snapToGrid w:val="0"/>
        <w:spacing w:line="360" w:lineRule="auto"/>
        <w:ind w:firstLine="480" w:firstLineChars="200"/>
        <w:rPr>
          <w:rFonts w:hint="eastAsia" w:ascii="宋体" w:hAnsi="宋体" w:eastAsia="宋体" w:cs="宋体"/>
          <w:b w:val="0"/>
          <w:bCs w:val="0"/>
          <w:i w:val="0"/>
          <w:iCs/>
          <w:strike w:val="0"/>
          <w:dstrike w:val="0"/>
          <w:color w:val="auto"/>
          <w:spacing w:val="0"/>
          <w:w w:val="100"/>
          <w:kern w:val="0"/>
          <w:position w:val="0"/>
          <w:sz w:val="24"/>
          <w:szCs w:val="24"/>
          <w:highlight w:val="green"/>
          <w:u w:val="none"/>
          <w:shd w:val="clear"/>
          <w:lang w:val="en-US" w:eastAsia="zh-CN" w:bidi="ar-SA"/>
        </w:rPr>
      </w:pPr>
    </w:p>
    <w:p>
      <w:pPr>
        <w:rPr>
          <w:rFonts w:hint="eastAsia"/>
        </w:rPr>
      </w:pPr>
    </w:p>
    <w:p>
      <w:pPr>
        <w:pStyle w:val="2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0"/>
        <w:rPr>
          <w:rFonts w:hint="eastAsia"/>
        </w:rPr>
      </w:pPr>
    </w:p>
    <w:p>
      <w:pPr>
        <w:pStyle w:val="20"/>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r>
        <w:rPr>
          <w:rFonts w:hint="eastAsia" w:ascii="黑体" w:hAnsi="黑体" w:eastAsia="黑体" w:cs="黑体"/>
          <w:sz w:val="36"/>
          <w:szCs w:val="40"/>
        </w:rPr>
        <w:t>第三章 投标人须知</w:t>
      </w:r>
      <w:bookmarkEnd w:id="13"/>
      <w:bookmarkEnd w:id="14"/>
      <w:bookmarkEnd w:id="15"/>
      <w:bookmarkEnd w:id="16"/>
      <w:bookmarkEnd w:id="17"/>
      <w:bookmarkEnd w:id="18"/>
      <w:bookmarkEnd w:id="19"/>
      <w:bookmarkEnd w:id="23"/>
      <w:bookmarkEnd w:id="24"/>
      <w:bookmarkEnd w:id="29"/>
      <w:bookmarkEnd w:id="30"/>
      <w:bookmarkEnd w:id="35"/>
    </w:p>
    <w:p>
      <w:pPr>
        <w:keepNext w:val="0"/>
        <w:keepLines w:val="0"/>
        <w:pageBreakBefore w:val="0"/>
        <w:widowControl w:val="0"/>
        <w:tabs>
          <w:tab w:val="left" w:pos="0"/>
        </w:tabs>
        <w:kinsoku/>
        <w:wordWrap/>
        <w:overflowPunct/>
        <w:topLinePunct w:val="0"/>
        <w:autoSpaceDE w:val="0"/>
        <w:autoSpaceDN w:val="0"/>
        <w:bidi w:val="0"/>
        <w:adjustRightInd w:val="0"/>
        <w:snapToGrid w:val="0"/>
        <w:spacing w:line="312" w:lineRule="auto"/>
        <w:jc w:val="center"/>
        <w:textAlignment w:val="auto"/>
        <w:outlineLvl w:val="1"/>
        <w:rPr>
          <w:rFonts w:hint="eastAsia" w:ascii="宋体" w:hAnsi="宋体" w:eastAsia="宋体" w:cs="宋体"/>
          <w:b/>
          <w:sz w:val="30"/>
          <w:szCs w:val="30"/>
        </w:rPr>
      </w:pPr>
      <w:bookmarkStart w:id="36" w:name="_Toc452528598"/>
      <w:bookmarkStart w:id="37" w:name="_Toc12268"/>
      <w:bookmarkStart w:id="38" w:name="_Toc8079"/>
      <w:bookmarkStart w:id="39" w:name="_Toc2802"/>
      <w:bookmarkStart w:id="40" w:name="_Toc16910"/>
      <w:bookmarkStart w:id="41" w:name="_Toc32308"/>
      <w:bookmarkStart w:id="42" w:name="_Toc30710"/>
      <w:bookmarkStart w:id="43" w:name="_Toc8578"/>
      <w:bookmarkStart w:id="44" w:name="_Toc30283"/>
      <w:bookmarkStart w:id="45" w:name="_Toc496962943"/>
      <w:bookmarkStart w:id="46" w:name="_Toc16595"/>
      <w:r>
        <w:rPr>
          <w:rFonts w:hint="eastAsia" w:ascii="宋体" w:hAnsi="宋体" w:eastAsia="宋体" w:cs="宋体"/>
          <w:b/>
          <w:sz w:val="30"/>
          <w:szCs w:val="30"/>
        </w:rPr>
        <w:t>一、投标人须知前附表</w:t>
      </w:r>
      <w:bookmarkEnd w:id="36"/>
      <w:bookmarkEnd w:id="37"/>
      <w:bookmarkEnd w:id="38"/>
      <w:bookmarkEnd w:id="39"/>
      <w:bookmarkEnd w:id="40"/>
      <w:bookmarkEnd w:id="41"/>
      <w:bookmarkEnd w:id="42"/>
      <w:bookmarkEnd w:id="43"/>
      <w:bookmarkEnd w:id="44"/>
      <w:bookmarkEnd w:id="45"/>
      <w:bookmarkEnd w:id="46"/>
    </w:p>
    <w:tbl>
      <w:tblPr>
        <w:tblStyle w:val="47"/>
        <w:tblW w:w="102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91"/>
        <w:gridCol w:w="7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7393" w:type="dxa"/>
            <w:shd w:val="clear" w:color="auto" w:fill="auto"/>
            <w:vAlign w:val="center"/>
          </w:tcPr>
          <w:p>
            <w:pPr>
              <w:adjustRightInd w:val="0"/>
              <w:snapToGrid w:val="0"/>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w:t>
            </w:r>
            <w:r>
              <w:rPr>
                <w:rFonts w:hint="eastAsia" w:ascii="宋体" w:hAnsi="宋体" w:eastAsia="宋体" w:cs="宋体"/>
                <w:color w:val="000000"/>
                <w:sz w:val="24"/>
                <w:szCs w:val="24"/>
              </w:rPr>
              <w:t>人</w:t>
            </w:r>
          </w:p>
        </w:tc>
        <w:tc>
          <w:tcPr>
            <w:tcW w:w="7393" w:type="dxa"/>
            <w:shd w:val="clear" w:color="auto" w:fill="auto"/>
            <w:vAlign w:val="center"/>
          </w:tcPr>
          <w:p>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w:t>
            </w:r>
            <w:r>
              <w:rPr>
                <w:rFonts w:hint="eastAsia" w:cs="宋体"/>
                <w:color w:val="auto"/>
                <w:sz w:val="24"/>
                <w:szCs w:val="24"/>
                <w:lang w:eastAsia="zh-CN"/>
              </w:rPr>
              <w:t>龙游县交通运输局</w:t>
            </w:r>
          </w:p>
          <w:p>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cs="宋体"/>
                <w:color w:val="auto"/>
                <w:sz w:val="24"/>
                <w:szCs w:val="24"/>
                <w:lang w:val="en-US" w:eastAsia="zh-CN"/>
              </w:rPr>
              <w:t>龙游县龙洲街道兴龙北路389号</w:t>
            </w:r>
            <w:r>
              <w:rPr>
                <w:rFonts w:hint="eastAsia" w:ascii="宋体" w:hAnsi="宋体" w:eastAsia="宋体" w:cs="宋体"/>
                <w:color w:val="auto"/>
                <w:sz w:val="24"/>
                <w:szCs w:val="24"/>
                <w:lang w:val="en-US" w:eastAsia="zh-CN"/>
              </w:rPr>
              <w:t xml:space="preserve">            </w:t>
            </w:r>
          </w:p>
          <w:p>
            <w:pPr>
              <w:adjustRightInd w:val="0"/>
              <w:snapToGrid w:val="0"/>
              <w:spacing w:line="240" w:lineRule="auto"/>
              <w:jc w:val="left"/>
              <w:rPr>
                <w:rFonts w:hint="eastAsia" w:cs="宋体"/>
                <w:color w:val="auto"/>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 xml:space="preserve">徐先生       </w:t>
            </w:r>
            <w:r>
              <w:rPr>
                <w:rFonts w:hint="eastAsia" w:ascii="宋体" w:hAnsi="宋体" w:eastAsia="宋体" w:cs="宋体"/>
                <w:color w:val="auto"/>
                <w:sz w:val="24"/>
                <w:szCs w:val="24"/>
                <w:lang w:val="en-US" w:eastAsia="zh-CN"/>
              </w:rPr>
              <w:t>联系方式：</w:t>
            </w:r>
            <w:r>
              <w:rPr>
                <w:rFonts w:hint="eastAsia" w:cs="宋体"/>
                <w:color w:val="auto"/>
                <w:sz w:val="24"/>
                <w:szCs w:val="24"/>
                <w:lang w:val="en-US" w:eastAsia="zh-CN"/>
              </w:rPr>
              <w:t>0570-7178088</w:t>
            </w:r>
          </w:p>
          <w:p>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质疑联系人：</w:t>
            </w:r>
            <w:r>
              <w:rPr>
                <w:rFonts w:hint="eastAsia" w:cs="宋体"/>
                <w:color w:val="auto"/>
                <w:sz w:val="24"/>
                <w:szCs w:val="24"/>
                <w:lang w:val="en-US" w:eastAsia="zh-CN"/>
              </w:rPr>
              <w:t xml:space="preserve">陈先生  </w:t>
            </w:r>
            <w:r>
              <w:rPr>
                <w:rFonts w:hint="eastAsia" w:ascii="宋体" w:hAnsi="宋体" w:eastAsia="宋体" w:cs="宋体"/>
                <w:color w:val="auto"/>
                <w:sz w:val="24"/>
                <w:szCs w:val="24"/>
                <w:lang w:val="en-US" w:eastAsia="zh-CN"/>
              </w:rPr>
              <w:t>联系方式：</w:t>
            </w:r>
            <w:r>
              <w:rPr>
                <w:rFonts w:hint="eastAsia" w:cs="宋体"/>
                <w:color w:val="auto"/>
                <w:sz w:val="24"/>
                <w:szCs w:val="24"/>
                <w:lang w:val="en-US" w:eastAsia="zh-CN"/>
              </w:rPr>
              <w:t>0570-7021140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采购代理机构</w:t>
            </w:r>
          </w:p>
        </w:tc>
        <w:tc>
          <w:tcPr>
            <w:tcW w:w="7393" w:type="dxa"/>
            <w:shd w:val="clear" w:color="auto" w:fill="auto"/>
            <w:vAlign w:val="center"/>
          </w:tcPr>
          <w:p>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采购代理机构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龙游博洽投资咨询有限公司 </w:t>
            </w:r>
          </w:p>
          <w:p>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val="en-US" w:eastAsia="zh-CN"/>
              </w:rPr>
              <w:t xml:space="preserve">龙游县龙洲街道太平西路554号 </w:t>
            </w:r>
            <w:r>
              <w:rPr>
                <w:rFonts w:hint="eastAsia" w:ascii="宋体" w:hAnsi="宋体" w:eastAsia="宋体" w:cs="宋体"/>
                <w:color w:val="auto"/>
                <w:sz w:val="24"/>
                <w:szCs w:val="24"/>
              </w:rPr>
              <w:t xml:space="preserve">                               </w:t>
            </w:r>
          </w:p>
          <w:p>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舒</w:t>
            </w:r>
            <w:r>
              <w:rPr>
                <w:rFonts w:hint="eastAsia" w:ascii="宋体" w:hAnsi="宋体" w:eastAsia="宋体" w:cs="宋体"/>
                <w:color w:val="auto"/>
                <w:sz w:val="24"/>
                <w:szCs w:val="24"/>
                <w:lang w:val="en-US" w:eastAsia="zh-CN"/>
              </w:rPr>
              <w:t xml:space="preserve">女士 </w:t>
            </w:r>
            <w:r>
              <w:rPr>
                <w:rFonts w:hint="eastAsia" w:ascii="宋体" w:hAnsi="宋体" w:eastAsia="宋体" w:cs="宋体"/>
                <w:color w:val="auto"/>
                <w:sz w:val="24"/>
                <w:szCs w:val="24"/>
              </w:rPr>
              <w:t xml:space="preserve">       联系方式：</w:t>
            </w:r>
            <w:r>
              <w:rPr>
                <w:rFonts w:hint="eastAsia" w:ascii="宋体" w:hAnsi="宋体" w:eastAsia="宋体" w:cs="宋体"/>
                <w:color w:val="auto"/>
                <w:sz w:val="24"/>
                <w:szCs w:val="24"/>
                <w:lang w:val="en-US" w:eastAsia="zh-CN"/>
              </w:rPr>
              <w:t>1</w:t>
            </w:r>
            <w:r>
              <w:rPr>
                <w:rFonts w:hint="eastAsia" w:cs="宋体"/>
                <w:color w:val="auto"/>
                <w:sz w:val="24"/>
                <w:szCs w:val="24"/>
                <w:lang w:val="en-US" w:eastAsia="zh-CN"/>
              </w:rPr>
              <w:t>5158785021</w:t>
            </w:r>
          </w:p>
          <w:p>
            <w:pPr>
              <w:adjustRightInd w:val="0"/>
              <w:snapToGrid w:val="0"/>
              <w:spacing w:line="24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质疑联系人：</w:t>
            </w:r>
            <w:r>
              <w:rPr>
                <w:rFonts w:hint="eastAsia" w:cs="宋体"/>
                <w:color w:val="auto"/>
                <w:sz w:val="24"/>
                <w:szCs w:val="24"/>
                <w:lang w:val="en-US" w:eastAsia="zh-CN"/>
              </w:rPr>
              <w:t>方</w:t>
            </w:r>
            <w:r>
              <w:rPr>
                <w:rFonts w:hint="eastAsia" w:ascii="宋体" w:hAnsi="宋体" w:eastAsia="宋体" w:cs="宋体"/>
                <w:color w:val="auto"/>
                <w:sz w:val="24"/>
                <w:szCs w:val="24"/>
                <w:lang w:val="en-US" w:eastAsia="zh-CN"/>
              </w:rPr>
              <w:t>女士</w:t>
            </w:r>
            <w:r>
              <w:rPr>
                <w:rFonts w:hint="eastAsia" w:cs="宋体"/>
                <w:color w:val="auto"/>
                <w:sz w:val="24"/>
                <w:szCs w:val="24"/>
                <w:lang w:val="en-US" w:eastAsia="zh-CN"/>
              </w:rPr>
              <w:t xml:space="preserve">    </w:t>
            </w:r>
            <w:r>
              <w:rPr>
                <w:rFonts w:hint="eastAsia" w:ascii="宋体" w:hAnsi="宋体" w:eastAsia="宋体" w:cs="宋体"/>
                <w:color w:val="auto"/>
                <w:sz w:val="24"/>
                <w:szCs w:val="24"/>
                <w:lang w:eastAsia="zh-CN"/>
              </w:rPr>
              <w:t>质疑联系方式：</w:t>
            </w:r>
            <w:r>
              <w:rPr>
                <w:rFonts w:hint="eastAsia" w:ascii="宋体" w:hAnsi="宋体" w:eastAsia="宋体" w:cs="宋体"/>
                <w:color w:val="auto"/>
                <w:sz w:val="24"/>
                <w:szCs w:val="24"/>
                <w:lang w:val="en-US" w:eastAsia="zh-CN"/>
              </w:rPr>
              <w:t xml:space="preserve">13587034066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3</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编号</w:t>
            </w:r>
          </w:p>
        </w:tc>
        <w:tc>
          <w:tcPr>
            <w:tcW w:w="7393" w:type="dxa"/>
            <w:shd w:val="clear" w:color="auto" w:fill="auto"/>
            <w:vAlign w:val="center"/>
          </w:tcPr>
          <w:p>
            <w:pPr>
              <w:adjustRightInd w:val="0"/>
              <w:snapToGrid w:val="0"/>
              <w:spacing w:line="312" w:lineRule="auto"/>
              <w:rPr>
                <w:rFonts w:hint="eastAsia" w:cs="宋体"/>
                <w:color w:val="000000"/>
                <w:sz w:val="24"/>
                <w:szCs w:val="24"/>
                <w:lang w:eastAsia="zh-CN"/>
              </w:rPr>
            </w:pPr>
            <w:r>
              <w:rPr>
                <w:rFonts w:hint="eastAsia" w:cs="宋体"/>
                <w:color w:val="000000"/>
                <w:sz w:val="24"/>
                <w:szCs w:val="24"/>
                <w:lang w:eastAsia="zh-CN"/>
              </w:rPr>
              <w:t>龙游县2024-2026年公路日常养护—绿化养护采购项目</w:t>
            </w:r>
          </w:p>
          <w:p>
            <w:pPr>
              <w:adjustRightInd w:val="0"/>
              <w:snapToGrid w:val="0"/>
              <w:spacing w:line="312" w:lineRule="auto"/>
              <w:rPr>
                <w:rFonts w:hint="eastAsia" w:ascii="宋体" w:hAnsi="宋体" w:eastAsia="宋体" w:cs="宋体"/>
                <w:color w:val="000000"/>
                <w:sz w:val="24"/>
                <w:szCs w:val="24"/>
                <w:lang w:eastAsia="zh-CN"/>
              </w:rPr>
            </w:pPr>
            <w:r>
              <w:rPr>
                <w:rFonts w:hint="eastAsia" w:cs="宋体"/>
                <w:color w:val="000000"/>
                <w:sz w:val="24"/>
                <w:szCs w:val="24"/>
                <w:lang w:val="en-US" w:eastAsia="zh-CN"/>
              </w:rPr>
              <w:t>（</w:t>
            </w:r>
            <w:r>
              <w:rPr>
                <w:rFonts w:hint="eastAsia" w:cs="宋体"/>
                <w:color w:val="000000"/>
                <w:sz w:val="24"/>
                <w:szCs w:val="24"/>
                <w:lang w:eastAsia="zh-CN"/>
              </w:rPr>
              <w:t>LYBQZC2024-27）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4</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最高限价</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lang w:eastAsia="zh-CN"/>
              </w:rPr>
            </w:pPr>
            <w:r>
              <w:rPr>
                <w:rFonts w:hint="eastAsia" w:cs="宋体"/>
                <w:color w:val="000000"/>
                <w:sz w:val="24"/>
                <w:szCs w:val="24"/>
                <w:highlight w:val="none"/>
                <w:lang w:val="en-US" w:eastAsia="zh-CN"/>
              </w:rPr>
              <w:t>350万元（175万元/年）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5</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采购活动流程</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rPr>
              <w:t>电子投标、电子开标、电子评标的全流程电子化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6</w:t>
            </w:r>
          </w:p>
        </w:tc>
        <w:tc>
          <w:tcPr>
            <w:tcW w:w="2091" w:type="dxa"/>
            <w:shd w:val="clear" w:color="auto" w:fill="auto"/>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采购项目属性</w:t>
            </w:r>
          </w:p>
        </w:tc>
        <w:tc>
          <w:tcPr>
            <w:tcW w:w="7393" w:type="dxa"/>
            <w:shd w:val="clear" w:color="auto" w:fill="auto"/>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本项目属于：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货物类</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7</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投标保证金</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rPr>
              <w:t>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8</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服务期</w:t>
            </w:r>
          </w:p>
        </w:tc>
        <w:tc>
          <w:tcPr>
            <w:tcW w:w="7393" w:type="dxa"/>
            <w:shd w:val="clear" w:color="auto" w:fill="auto"/>
            <w:vAlign w:val="center"/>
          </w:tcPr>
          <w:p>
            <w:pPr>
              <w:spacing w:line="360" w:lineRule="auto"/>
              <w:rPr>
                <w:rFonts w:hint="eastAsia" w:ascii="宋体" w:hAnsi="宋体" w:eastAsia="宋体" w:cs="宋体"/>
                <w:color w:val="auto"/>
                <w:sz w:val="24"/>
                <w:szCs w:val="24"/>
                <w:lang w:val="en-US" w:eastAsia="zh-CN"/>
              </w:rPr>
            </w:pPr>
            <w:r>
              <w:rPr>
                <w:rFonts w:hint="eastAsia" w:cs="宋体"/>
                <w:color w:val="auto"/>
                <w:sz w:val="24"/>
                <w:szCs w:val="24"/>
                <w:lang w:val="en-US" w:eastAsia="zh-CN"/>
              </w:rPr>
              <w:t>二年</w:t>
            </w: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9</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现场勘察</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不组织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供应商自行勘察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10</w:t>
            </w:r>
          </w:p>
        </w:tc>
        <w:tc>
          <w:tcPr>
            <w:tcW w:w="2091" w:type="dxa"/>
            <w:shd w:val="clear" w:color="auto" w:fill="auto"/>
            <w:vAlign w:val="center"/>
          </w:tcPr>
          <w:p>
            <w:pPr>
              <w:pStyle w:val="25"/>
              <w:keepNext w:val="0"/>
              <w:keepLines w:val="0"/>
              <w:pageBreakBefore w:val="0"/>
              <w:widowControl w:val="0"/>
              <w:tabs>
                <w:tab w:val="left" w:pos="0"/>
              </w:tabs>
              <w:kinsoku/>
              <w:topLinePunct/>
              <w:bidi w:val="0"/>
              <w:adjustRightInd w:val="0"/>
              <w:snapToGrid w:val="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评审方法</w:t>
            </w:r>
          </w:p>
        </w:tc>
        <w:tc>
          <w:tcPr>
            <w:tcW w:w="7393" w:type="dxa"/>
            <w:shd w:val="clear" w:color="auto" w:fill="auto"/>
            <w:vAlign w:val="center"/>
          </w:tcPr>
          <w:p>
            <w:pPr>
              <w:pStyle w:val="25"/>
              <w:keepNext w:val="0"/>
              <w:keepLines w:val="0"/>
              <w:pageBreakBefore w:val="0"/>
              <w:widowControl w:val="0"/>
              <w:kinsoku/>
              <w:bidi w:val="0"/>
              <w:adjustRightInd w:val="0"/>
              <w:snapToGrid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11</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联合体投标</w:t>
            </w:r>
          </w:p>
        </w:tc>
        <w:tc>
          <w:tcPr>
            <w:tcW w:w="7393" w:type="dxa"/>
            <w:shd w:val="clear" w:color="auto" w:fill="auto"/>
            <w:vAlign w:val="center"/>
          </w:tcPr>
          <w:p>
            <w:pPr>
              <w:widowControl/>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t>☑不接受</w:t>
            </w:r>
          </w:p>
          <w:p>
            <w:pPr>
              <w:widowControl/>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t>□接受。应满足下列要求：①联合体各方不得再以自己的名义单独或参加其他联合体参与本次投标；②联合体协议必须明确联合体各方的责任和义务，除联合体协议需要各方盖章外，其余盖章由牵头人盖章即可，牵头人盖章即视为联合体各方均认可；③信用要求联合体各方均不得违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12</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投标文件递交截止之日起90天</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13</w:t>
            </w:r>
          </w:p>
        </w:tc>
        <w:tc>
          <w:tcPr>
            <w:tcW w:w="2091" w:type="dxa"/>
            <w:shd w:val="clear" w:color="auto" w:fill="auto"/>
            <w:vAlign w:val="center"/>
          </w:tcPr>
          <w:p>
            <w:pPr>
              <w:snapToGrid w:val="0"/>
              <w:rPr>
                <w:rFonts w:hint="eastAsia" w:ascii="宋体" w:hAnsi="宋体" w:eastAsia="宋体" w:cs="宋体"/>
                <w:color w:val="auto"/>
                <w:sz w:val="24"/>
                <w:szCs w:val="24"/>
              </w:rPr>
            </w:pPr>
            <w:r>
              <w:rPr>
                <w:rFonts w:hint="eastAsia" w:ascii="宋体" w:hAnsi="宋体" w:eastAsia="宋体" w:cs="宋体"/>
                <w:color w:val="auto"/>
                <w:sz w:val="24"/>
                <w:szCs w:val="24"/>
                <w:lang w:val="zh-CN"/>
              </w:rPr>
              <w:t>履约保证金</w:t>
            </w:r>
          </w:p>
        </w:tc>
        <w:tc>
          <w:tcPr>
            <w:tcW w:w="7393" w:type="dxa"/>
            <w:shd w:val="clear" w:color="auto" w:fill="auto"/>
            <w:vAlign w:val="center"/>
          </w:tcPr>
          <w:p>
            <w:pPr>
              <w:widowControl/>
              <w:adjustRightInd w:val="0"/>
              <w:snapToGrid w:val="0"/>
              <w:rPr>
                <w:rFonts w:hint="eastAsia" w:ascii="宋体" w:hAnsi="宋体" w:eastAsia="宋体" w:cs="宋体"/>
                <w:color w:val="auto"/>
                <w:sz w:val="24"/>
                <w:szCs w:val="24"/>
              </w:rPr>
            </w:pPr>
            <w:r>
              <w:rPr>
                <w:rFonts w:hint="eastAsia" w:cs="宋体"/>
                <w:color w:val="auto"/>
                <w:sz w:val="24"/>
                <w:szCs w:val="24"/>
                <w:lang w:eastAsia="zh-CN"/>
              </w:rPr>
              <w:t>☑</w:t>
            </w:r>
            <w:r>
              <w:rPr>
                <w:rFonts w:hint="eastAsia" w:ascii="宋体" w:hAnsi="宋体" w:eastAsia="宋体" w:cs="宋体"/>
                <w:color w:val="auto"/>
                <w:sz w:val="24"/>
                <w:szCs w:val="24"/>
              </w:rPr>
              <w:t>无需缴纳</w:t>
            </w:r>
          </w:p>
          <w:p>
            <w:pPr>
              <w:widowControl/>
              <w:adjustRightInd w:val="0"/>
              <w:snapToGrid w:val="0"/>
              <w:rPr>
                <w:rFonts w:hint="eastAsia" w:ascii="宋体" w:hAnsi="宋体" w:eastAsia="宋体" w:cs="宋体"/>
                <w:color w:val="auto"/>
                <w:sz w:val="24"/>
                <w:szCs w:val="24"/>
              </w:rPr>
            </w:pPr>
            <w:r>
              <w:rPr>
                <w:rFonts w:hint="eastAsia" w:cs="宋体"/>
                <w:color w:val="auto"/>
                <w:sz w:val="24"/>
                <w:szCs w:val="24"/>
                <w:lang w:eastAsia="zh-CN"/>
              </w:rPr>
              <w:t>□</w:t>
            </w:r>
            <w:r>
              <w:rPr>
                <w:rFonts w:hint="eastAsia" w:ascii="宋体" w:hAnsi="宋体" w:eastAsia="宋体" w:cs="宋体"/>
                <w:color w:val="auto"/>
                <w:sz w:val="24"/>
                <w:szCs w:val="24"/>
              </w:rPr>
              <w:t>需缴纳</w:t>
            </w:r>
          </w:p>
          <w:p>
            <w:pPr>
              <w:widowControl/>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t>1.交纳金额：合同价的1%；</w:t>
            </w:r>
          </w:p>
          <w:p>
            <w:pPr>
              <w:widowControl/>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t>2.交纳方式：汇票/支票/银行转账/银行保函/保险公司保函；</w:t>
            </w:r>
          </w:p>
          <w:p>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t>3.交纳时间：本项目合同签订前缴纳；</w:t>
            </w:r>
          </w:p>
          <w:p>
            <w:pPr>
              <w:adjustRightInd w:val="0"/>
              <w:snapToGrid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bidi="ar"/>
              </w:rPr>
              <w:t>退还：</w:t>
            </w:r>
            <w:r>
              <w:rPr>
                <w:rFonts w:hint="eastAsia" w:ascii="宋体" w:hAnsi="宋体" w:eastAsia="宋体" w:cs="宋体"/>
                <w:color w:val="auto"/>
                <w:sz w:val="24"/>
                <w:szCs w:val="24"/>
              </w:rPr>
              <w:t>项目验收结束后，且无质量问题和经济纠纷的，一次性退还（不计利息）。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14</w:t>
            </w:r>
          </w:p>
        </w:tc>
        <w:tc>
          <w:tcPr>
            <w:tcW w:w="2091" w:type="dxa"/>
            <w:shd w:val="clear" w:color="auto" w:fill="auto"/>
            <w:vAlign w:val="center"/>
          </w:tcPr>
          <w:p>
            <w:pPr>
              <w:snapToGrid w:val="0"/>
              <w:rPr>
                <w:rFonts w:hint="eastAsia" w:ascii="宋体" w:hAnsi="宋体" w:eastAsia="宋体" w:cs="宋体"/>
                <w:b w:val="0"/>
                <w:bCs w:val="0"/>
                <w:snapToGrid w:val="0"/>
                <w:color w:val="auto"/>
                <w:sz w:val="24"/>
                <w:szCs w:val="24"/>
                <w:highlight w:val="none"/>
                <w:lang w:val="zh-CN" w:eastAsia="zh-CN" w:bidi="ar-SA"/>
              </w:rPr>
            </w:pPr>
            <w:r>
              <w:rPr>
                <w:rFonts w:hint="eastAsia" w:ascii="宋体" w:hAnsi="宋体" w:eastAsia="宋体" w:cs="宋体"/>
                <w:b w:val="0"/>
                <w:bCs w:val="0"/>
                <w:color w:val="auto"/>
                <w:sz w:val="24"/>
                <w:szCs w:val="24"/>
                <w:highlight w:val="none"/>
              </w:rPr>
              <w:t>本项目是否为专门面向中小企业采购项目及小微企业价格扣除评审优惠幅度</w:t>
            </w:r>
          </w:p>
        </w:tc>
        <w:tc>
          <w:tcPr>
            <w:tcW w:w="7393" w:type="dxa"/>
            <w:shd w:val="clear" w:color="auto" w:fill="auto"/>
            <w:vAlign w:val="center"/>
          </w:tcPr>
          <w:p>
            <w:pPr>
              <w:adjustRightInd w:val="0"/>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专门面向中小企业采购项目，不享受价格折扣优惠。</w:t>
            </w:r>
          </w:p>
          <w:p>
            <w:pPr>
              <w:adjustRightInd w:val="0"/>
              <w:rPr>
                <w:rFonts w:hint="eastAsia" w:ascii="宋体" w:hAnsi="宋体" w:eastAsia="宋体" w:cs="宋体"/>
                <w:b w:val="0"/>
                <w:bCs w:val="0"/>
                <w:color w:val="auto"/>
                <w:sz w:val="24"/>
                <w:szCs w:val="24"/>
                <w:highlight w:val="none"/>
                <w:lang w:val="en-US" w:eastAsia="zh-CN"/>
              </w:rPr>
            </w:pPr>
            <w:r>
              <w:rPr>
                <w:rFonts w:hint="eastAsia"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非专门面向中小企业采购项目，供应商提供的货物均由小微企业制造的，报价按优惠幅度</w:t>
            </w:r>
            <w:r>
              <w:rPr>
                <w:rFonts w:hint="eastAsia"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0%给予扣除，用扣除后的价格参加评审。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p>
        </w:tc>
        <w:tc>
          <w:tcPr>
            <w:tcW w:w="2091" w:type="dxa"/>
            <w:shd w:val="clear" w:color="auto" w:fill="auto"/>
            <w:vAlign w:val="center"/>
          </w:tcPr>
          <w:p>
            <w:pPr>
              <w:pStyle w:val="25"/>
              <w:spacing w:line="440" w:lineRule="exact"/>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行业划分标准及所属行业</w:t>
            </w:r>
          </w:p>
        </w:tc>
        <w:tc>
          <w:tcPr>
            <w:tcW w:w="7393" w:type="dxa"/>
            <w:shd w:val="clear" w:color="auto" w:fill="auto"/>
            <w:vAlign w:val="center"/>
          </w:tcPr>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项目属性</w:t>
            </w:r>
            <w:r>
              <w:rPr>
                <w:rFonts w:hint="eastAsia" w:ascii="宋体" w:hAnsi="宋体" w:eastAsia="宋体" w:cs="宋体"/>
                <w:color w:val="000000"/>
                <w:sz w:val="24"/>
                <w:szCs w:val="24"/>
              </w:rPr>
              <w:t>：服务</w:t>
            </w:r>
            <w:r>
              <w:rPr>
                <w:rFonts w:hint="eastAsia" w:ascii="宋体" w:hAnsi="宋体" w:eastAsia="宋体" w:cs="宋体"/>
                <w:color w:val="000000"/>
                <w:sz w:val="24"/>
                <w:szCs w:val="24"/>
                <w:lang w:eastAsia="zh-CN"/>
              </w:rPr>
              <w:t>类</w:t>
            </w:r>
            <w:r>
              <w:rPr>
                <w:rFonts w:hint="eastAsia" w:ascii="宋体" w:hAnsi="宋体" w:eastAsia="宋体" w:cs="宋体"/>
                <w:color w:val="000000"/>
                <w:sz w:val="24"/>
                <w:szCs w:val="24"/>
              </w:rPr>
              <w:t>，采购标的对应所属行业：其他未列明行业。</w:t>
            </w:r>
          </w:p>
          <w:p>
            <w:pPr>
              <w:adjustRightInd w:val="0"/>
              <w:snapToGrid w:val="0"/>
              <w:spacing w:line="24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color w:val="000000"/>
                <w:sz w:val="24"/>
                <w:szCs w:val="24"/>
              </w:rPr>
              <w:t>2.行业划分标准：从业人员300人以下的为中小微型企业。其中，从业人员100人及以上的为中型企业；从业人员10人及以上的为小型企业；从业人员10人以下的为微型企业。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755" w:type="dxa"/>
            <w:shd w:val="clear" w:color="auto" w:fill="auto"/>
            <w:vAlign w:val="center"/>
          </w:tcPr>
          <w:p>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w:t>
            </w:r>
          </w:p>
        </w:tc>
        <w:tc>
          <w:tcPr>
            <w:tcW w:w="2091" w:type="dxa"/>
            <w:shd w:val="clear" w:color="auto" w:fill="auto"/>
            <w:vAlign w:val="center"/>
          </w:tcPr>
          <w:p>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投标文件形式、制作及组成</w:t>
            </w:r>
          </w:p>
        </w:tc>
        <w:tc>
          <w:tcPr>
            <w:tcW w:w="7393" w:type="dxa"/>
            <w:shd w:val="clear" w:color="auto" w:fill="auto"/>
            <w:vAlign w:val="center"/>
          </w:tcPr>
          <w:p>
            <w:pPr>
              <w:adjustRightInd w:val="0"/>
              <w:snapToGrid w:val="0"/>
              <w:spacing w:line="24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投人请准备电子投标文件及备份文件</w:t>
            </w:r>
            <w:r>
              <w:rPr>
                <w:rFonts w:hint="eastAsia" w:ascii="宋体" w:hAnsi="宋体" w:eastAsia="宋体" w:cs="宋体"/>
                <w:color w:val="000000"/>
                <w:sz w:val="24"/>
                <w:szCs w:val="24"/>
                <w:lang w:eastAsia="zh-CN"/>
              </w:rPr>
              <w:t>：</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（1）电子投标文件按政采云平台《政府采购项目电子交易管理操作指南-供应商》“2.3投标文件制作、上传”及本招标文件要求制作递交。网址https://service.zcygov.cn/#/knowledges/CW1EtGwBFdiHxlNd6I3m/6IMVAG0BFdiHxlNdQ8Na</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（2）投标文件均由资格审查文件、商务技术文件、报价文件组成。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17</w:t>
            </w:r>
          </w:p>
        </w:tc>
        <w:tc>
          <w:tcPr>
            <w:tcW w:w="2091" w:type="dxa"/>
            <w:shd w:val="clear" w:color="auto" w:fill="auto"/>
            <w:vAlign w:val="center"/>
          </w:tcPr>
          <w:p>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投标文件递交截止时间</w:t>
            </w:r>
          </w:p>
        </w:tc>
        <w:tc>
          <w:tcPr>
            <w:tcW w:w="7393" w:type="dxa"/>
            <w:shd w:val="clear" w:color="auto" w:fill="auto"/>
            <w:vAlign w:val="center"/>
          </w:tcPr>
          <w:p>
            <w:pPr>
              <w:adjustRightInd w:val="0"/>
              <w:snapToGrid w:val="0"/>
              <w:spacing w:line="312" w:lineRule="auto"/>
              <w:rPr>
                <w:rFonts w:hint="eastAsia" w:ascii="宋体" w:hAnsi="宋体" w:eastAsia="宋体" w:cs="宋体"/>
                <w:color w:val="000000"/>
                <w:sz w:val="24"/>
                <w:szCs w:val="24"/>
              </w:rPr>
            </w:pP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06</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11</w:t>
            </w:r>
            <w:r>
              <w:rPr>
                <w:rFonts w:hint="eastAsia" w:ascii="宋体" w:hAnsi="宋体" w:eastAsia="宋体" w:cs="宋体"/>
                <w:color w:val="000000"/>
                <w:sz w:val="24"/>
                <w:szCs w:val="24"/>
                <w:u w:val="none"/>
              </w:rPr>
              <w:t>日</w:t>
            </w:r>
            <w:r>
              <w:rPr>
                <w:rFonts w:hint="eastAsia" w:cs="宋体"/>
                <w:color w:val="000000"/>
                <w:sz w:val="24"/>
                <w:szCs w:val="24"/>
                <w:u w:val="none"/>
                <w:lang w:val="en-US" w:eastAsia="zh-CN"/>
              </w:rPr>
              <w:t>14</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18</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开标地点</w:t>
            </w:r>
          </w:p>
        </w:tc>
        <w:tc>
          <w:tcPr>
            <w:tcW w:w="7393" w:type="dxa"/>
            <w:shd w:val="clear" w:color="auto" w:fill="auto"/>
            <w:vAlign w:val="center"/>
          </w:tcPr>
          <w:p>
            <w:pPr>
              <w:adjustRightInd w:val="0"/>
              <w:snapToGrid w:val="0"/>
              <w:spacing w:line="312" w:lineRule="auto"/>
              <w:rPr>
                <w:rFonts w:hint="eastAsia" w:ascii="宋体" w:hAnsi="宋体" w:eastAsia="宋体" w:cs="宋体"/>
                <w:color w:val="000000"/>
                <w:sz w:val="24"/>
                <w:szCs w:val="24"/>
              </w:rPr>
            </w:pPr>
            <w:r>
              <w:rPr>
                <w:rFonts w:hint="eastAsia" w:ascii="宋体" w:hAnsi="宋体" w:eastAsia="宋体" w:cs="宋体"/>
                <w:color w:val="000000"/>
                <w:sz w:val="24"/>
                <w:szCs w:val="24"/>
              </w:rPr>
              <w:t>政采云平台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开标时间</w:t>
            </w:r>
          </w:p>
        </w:tc>
        <w:tc>
          <w:tcPr>
            <w:tcW w:w="7393" w:type="dxa"/>
            <w:shd w:val="clear" w:color="auto" w:fill="auto"/>
          </w:tcPr>
          <w:p>
            <w:pPr>
              <w:adjustRightInd w:val="0"/>
              <w:snapToGrid w:val="0"/>
              <w:spacing w:line="312" w:lineRule="auto"/>
              <w:rPr>
                <w:rFonts w:hint="eastAsia" w:ascii="宋体" w:hAnsi="宋体" w:eastAsia="宋体" w:cs="宋体"/>
                <w:color w:val="000000"/>
                <w:sz w:val="24"/>
                <w:szCs w:val="24"/>
              </w:rPr>
            </w:pP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06</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11</w:t>
            </w:r>
            <w:r>
              <w:rPr>
                <w:rFonts w:hint="eastAsia" w:ascii="宋体" w:hAnsi="宋体" w:eastAsia="宋体" w:cs="宋体"/>
                <w:color w:val="000000"/>
                <w:sz w:val="24"/>
                <w:szCs w:val="24"/>
                <w:u w:val="none"/>
              </w:rPr>
              <w:t>日</w:t>
            </w:r>
            <w:r>
              <w:rPr>
                <w:rFonts w:hint="eastAsia" w:cs="宋体"/>
                <w:color w:val="000000"/>
                <w:sz w:val="24"/>
                <w:szCs w:val="24"/>
                <w:u w:val="none"/>
                <w:lang w:val="en-US" w:eastAsia="zh-CN"/>
              </w:rPr>
              <w:t>14</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3</w:t>
            </w:r>
            <w:r>
              <w:rPr>
                <w:rFonts w:hint="eastAsia" w:ascii="宋体" w:hAnsi="宋体" w:eastAsia="宋体" w:cs="宋体"/>
                <w:color w:val="000000"/>
                <w:sz w:val="24"/>
                <w:szCs w:val="24"/>
                <w:u w:val="none"/>
                <w:lang w:val="en-US" w:eastAsia="zh-CN"/>
              </w:rPr>
              <w:t>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755" w:type="dxa"/>
            <w:vMerge w:val="restart"/>
            <w:shd w:val="clear" w:color="auto" w:fill="auto"/>
            <w:vAlign w:val="center"/>
          </w:tcPr>
          <w:p>
            <w:pPr>
              <w:adjustRightInd w:val="0"/>
              <w:snapToGrid w:val="0"/>
              <w:spacing w:line="312"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电子投标文件的传输递交</w:t>
            </w:r>
          </w:p>
        </w:tc>
        <w:tc>
          <w:tcPr>
            <w:tcW w:w="7393" w:type="dxa"/>
            <w:shd w:val="clear" w:color="auto" w:fill="auto"/>
          </w:tcPr>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投标人应在投标截止时间起规定的时间内完成电子文件的解密。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755" w:type="dxa"/>
            <w:vMerge w:val="continue"/>
            <w:shd w:val="clear" w:color="auto" w:fill="auto"/>
            <w:vAlign w:val="center"/>
          </w:tcPr>
          <w:p>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电子备份文件递交</w:t>
            </w:r>
          </w:p>
        </w:tc>
        <w:tc>
          <w:tcPr>
            <w:tcW w:w="7393" w:type="dxa"/>
            <w:shd w:val="clear" w:color="auto" w:fill="auto"/>
          </w:tcPr>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备份文件，由供应商自行确定是否提交；若提交请将备份文件压缩加密后以电子邮件的形式发送至</w:t>
            </w:r>
            <w:r>
              <w:rPr>
                <w:rFonts w:hint="eastAsia" w:ascii="宋体" w:hAnsi="宋体" w:eastAsia="宋体" w:cs="宋体"/>
                <w:color w:val="000000"/>
                <w:sz w:val="24"/>
                <w:szCs w:val="24"/>
                <w:lang w:eastAsia="zh-CN"/>
              </w:rPr>
              <w:t>107823057@qq.com</w:t>
            </w:r>
            <w:r>
              <w:rPr>
                <w:rFonts w:hint="eastAsia" w:ascii="宋体" w:hAnsi="宋体" w:eastAsia="宋体" w:cs="宋体"/>
                <w:color w:val="000000"/>
                <w:sz w:val="24"/>
                <w:szCs w:val="24"/>
              </w:rPr>
              <w:t>。</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注：供应商在线解密失败后，启用备份文件，否则不启用备份文件。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lang w:val="en-US" w:eastAsia="zh-CN"/>
              </w:rPr>
              <w:t>21</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签订合同</w:t>
            </w:r>
          </w:p>
        </w:tc>
        <w:tc>
          <w:tcPr>
            <w:tcW w:w="7393" w:type="dxa"/>
            <w:shd w:val="clear" w:color="auto" w:fill="auto"/>
            <w:vAlign w:val="center"/>
          </w:tcPr>
          <w:p>
            <w:pPr>
              <w:adjustRightInd w:val="0"/>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rPr>
              <w:t>中标通知书发出之日起</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日内签订合同。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22</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公告发布网址</w:t>
            </w:r>
          </w:p>
        </w:tc>
        <w:tc>
          <w:tcPr>
            <w:tcW w:w="7393" w:type="dxa"/>
            <w:shd w:val="clear" w:color="auto" w:fill="auto"/>
            <w:vAlign w:val="center"/>
          </w:tcPr>
          <w:p>
            <w:pPr>
              <w:adjustRightInd w:val="0"/>
              <w:snapToGrid w:val="0"/>
              <w:spacing w:line="312"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zfcg.czt.zj.gov.cn（浙江政府采购网）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23</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供应商投诉</w:t>
            </w:r>
          </w:p>
        </w:tc>
        <w:tc>
          <w:tcPr>
            <w:tcW w:w="7393" w:type="dxa"/>
            <w:shd w:val="clear" w:color="auto" w:fill="auto"/>
            <w:vAlign w:val="center"/>
          </w:tcPr>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名  称：龙游县财政局政府采购监管科</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联系人：严先生</w:t>
            </w:r>
          </w:p>
          <w:p>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监督投诉电话</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传真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：0570－7011687</w:t>
            </w:r>
          </w:p>
          <w:p>
            <w:pPr>
              <w:adjustRightInd w:val="0"/>
              <w:snapToGrid w:val="0"/>
              <w:spacing w:line="24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地  址：龙游县莲湖路69号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55" w:type="dxa"/>
            <w:shd w:val="clear" w:color="auto" w:fill="auto"/>
            <w:vAlign w:val="center"/>
          </w:tcPr>
          <w:p>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24</w:t>
            </w:r>
          </w:p>
        </w:tc>
        <w:tc>
          <w:tcPr>
            <w:tcW w:w="2091" w:type="dxa"/>
            <w:shd w:val="clear" w:color="auto" w:fill="auto"/>
            <w:vAlign w:val="center"/>
          </w:tcPr>
          <w:p>
            <w:pPr>
              <w:pStyle w:val="25"/>
              <w:keepNext w:val="0"/>
              <w:keepLines w:val="0"/>
              <w:pageBreakBefore w:val="0"/>
              <w:widowControl w:val="0"/>
              <w:kinsoku/>
              <w:bidi w:val="0"/>
              <w:snapToGrid w:val="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中标供应商提交纸质投标文件</w:t>
            </w:r>
          </w:p>
        </w:tc>
        <w:tc>
          <w:tcPr>
            <w:tcW w:w="7393" w:type="dxa"/>
            <w:shd w:val="clear" w:color="auto" w:fill="auto"/>
            <w:vAlign w:val="center"/>
          </w:tcPr>
          <w:p>
            <w:pPr>
              <w:pStyle w:val="25"/>
              <w:keepNext w:val="0"/>
              <w:keepLines w:val="0"/>
              <w:pageBreakBefore w:val="0"/>
              <w:widowControl w:val="0"/>
              <w:kinsoku/>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1.提交时间：中标供应商在中标结果公告结束后5日内</w:t>
            </w:r>
          </w:p>
          <w:p>
            <w:pPr>
              <w:pStyle w:val="25"/>
              <w:keepNext w:val="0"/>
              <w:keepLines w:val="0"/>
              <w:pageBreakBefore w:val="0"/>
              <w:widowControl w:val="0"/>
              <w:kinsoku/>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2.邮寄地址：龙游博洽投资咨询有限公司</w:t>
            </w:r>
          </w:p>
          <w:p>
            <w:pPr>
              <w:pStyle w:val="25"/>
              <w:keepNext w:val="0"/>
              <w:keepLines w:val="0"/>
              <w:pageBreakBefore w:val="0"/>
              <w:widowControl w:val="0"/>
              <w:kinsoku/>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3.份数：与投标文件相一致的纸质投标文件</w:t>
            </w:r>
            <w:r>
              <w:rPr>
                <w:rFonts w:hint="eastAsia" w:cs="宋体"/>
                <w:color w:val="000000"/>
                <w:kern w:val="2"/>
                <w:sz w:val="24"/>
                <w:szCs w:val="24"/>
                <w:lang w:val="en-US" w:eastAsia="zh-CN" w:bidi="ar-SA"/>
              </w:rPr>
              <w:t>2</w:t>
            </w:r>
            <w:r>
              <w:rPr>
                <w:rFonts w:hint="eastAsia" w:ascii="宋体" w:hAnsi="宋体" w:eastAsia="宋体" w:cs="宋体"/>
                <w:color w:val="000000"/>
                <w:kern w:val="2"/>
                <w:sz w:val="24"/>
                <w:szCs w:val="24"/>
                <w:lang w:val="en-US" w:eastAsia="zh-CN" w:bidi="ar-SA"/>
              </w:rPr>
              <w:t>份，作为存档资料。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755" w:type="dxa"/>
            <w:shd w:val="clear" w:color="auto" w:fill="auto"/>
            <w:vAlign w:val="center"/>
          </w:tcPr>
          <w:p>
            <w:pPr>
              <w:keepNext w:val="0"/>
              <w:keepLines w:val="0"/>
              <w:pageBreakBefore w:val="0"/>
              <w:widowControl w:val="0"/>
              <w:numPr>
                <w:ilvl w:val="0"/>
                <w:numId w:val="0"/>
              </w:numPr>
              <w:tabs>
                <w:tab w:val="left" w:pos="0"/>
              </w:tabs>
              <w:kinsoku/>
              <w:topLinePunct/>
              <w:bidi w:val="0"/>
              <w:adjustRightInd w:val="0"/>
              <w:snapToGrid w:val="0"/>
              <w:ind w:left="0" w:leftChars="0" w:firstLine="0" w:firstLineChars="0"/>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25</w:t>
            </w:r>
          </w:p>
        </w:tc>
        <w:tc>
          <w:tcPr>
            <w:tcW w:w="2091" w:type="dxa"/>
            <w:shd w:val="clear" w:color="auto" w:fill="auto"/>
            <w:vAlign w:val="center"/>
          </w:tcPr>
          <w:p>
            <w:pPr>
              <w:pStyle w:val="25"/>
              <w:keepNext w:val="0"/>
              <w:keepLines w:val="0"/>
              <w:pageBreakBefore w:val="0"/>
              <w:widowControl w:val="0"/>
              <w:kinsoku/>
              <w:bidi w:val="0"/>
              <w:snapToGrid w:val="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其他事宜</w:t>
            </w:r>
          </w:p>
        </w:tc>
        <w:tc>
          <w:tcPr>
            <w:tcW w:w="7393" w:type="dxa"/>
            <w:shd w:val="clear" w:color="auto" w:fill="auto"/>
            <w:vAlign w:val="center"/>
          </w:tcPr>
          <w:p>
            <w:pPr>
              <w:keepNext w:val="0"/>
              <w:keepLines w:val="0"/>
              <w:pageBreakBefore w:val="0"/>
              <w:widowControl w:val="0"/>
              <w:kinsoku/>
              <w:wordWrap w:val="0"/>
              <w:bidi w:val="0"/>
              <w:adjustRightInd w:val="0"/>
              <w:snapToGrid w:val="0"/>
              <w:spacing w:line="24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投标文件解密时投标人须打开“政采云电子投标客户端”进行解密，使用解密的CA和加密的CA必须是同一把，在开始解密后30分钟内完成电子投标文件解密。若因投标人自身原因造成电子投标文件无法解密读取的，取消投标资格。</w:t>
            </w:r>
          </w:p>
          <w:p>
            <w:pPr>
              <w:keepNext w:val="0"/>
              <w:keepLines w:val="0"/>
              <w:pageBreakBefore w:val="0"/>
              <w:widowControl w:val="0"/>
              <w:kinsoku/>
              <w:wordWrap w:val="0"/>
              <w:bidi w:val="0"/>
              <w:adjustRightInd w:val="0"/>
              <w:snapToGrid w:val="0"/>
              <w:spacing w:line="24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2.CA证书办理：CA驱动和申领流程，登录浙江政府采购网-下载专区-政采云电子交易客户端版块（网址：</w:t>
            </w:r>
            <w:r>
              <w:rPr>
                <w:rFonts w:hint="eastAsia" w:ascii="宋体" w:hAnsi="宋体" w:eastAsia="宋体" w:cs="宋体"/>
                <w:color w:val="000000"/>
                <w:kern w:val="2"/>
                <w:sz w:val="24"/>
                <w:szCs w:val="24"/>
                <w:lang w:val="en-US" w:eastAsia="zh-CN" w:bidi="ar-SA"/>
              </w:rPr>
              <w:fldChar w:fldCharType="begin"/>
            </w:r>
            <w:r>
              <w:rPr>
                <w:rFonts w:hint="eastAsia" w:ascii="宋体" w:hAnsi="宋体" w:eastAsia="宋体" w:cs="宋体"/>
                <w:color w:val="000000"/>
                <w:kern w:val="2"/>
                <w:sz w:val="24"/>
                <w:szCs w:val="24"/>
                <w:lang w:val="en-US" w:eastAsia="zh-CN" w:bidi="ar-SA"/>
              </w:rPr>
              <w:instrText xml:space="preserve"> HYPERLINK "http://zfcg.czt.zj.gov.cn/bidClientTemplate/2019-05-27/12945.html。" </w:instrText>
            </w:r>
            <w:r>
              <w:rPr>
                <w:rFonts w:hint="eastAsia" w:ascii="宋体" w:hAnsi="宋体" w:eastAsia="宋体" w:cs="宋体"/>
                <w:color w:val="000000"/>
                <w:kern w:val="2"/>
                <w:sz w:val="24"/>
                <w:szCs w:val="24"/>
                <w:lang w:val="en-US" w:eastAsia="zh-CN" w:bidi="ar-SA"/>
              </w:rPr>
              <w:fldChar w:fldCharType="separate"/>
            </w:r>
            <w:r>
              <w:rPr>
                <w:rFonts w:hint="eastAsia" w:ascii="宋体" w:hAnsi="宋体" w:eastAsia="宋体" w:cs="宋体"/>
                <w:color w:val="000000"/>
                <w:kern w:val="2"/>
                <w:sz w:val="24"/>
                <w:szCs w:val="24"/>
                <w:lang w:val="en-US" w:eastAsia="zh-CN" w:bidi="ar-SA"/>
              </w:rPr>
              <w:t>http://zfcg.czt.zj.gov.cn/bidClientTemplate/2019-05-27/12945.html</w:t>
            </w:r>
            <w:r>
              <w:rPr>
                <w:rFonts w:hint="eastAsia" w:ascii="宋体" w:hAnsi="宋体" w:eastAsia="宋体" w:cs="宋体"/>
                <w:color w:val="000000"/>
                <w:kern w:val="2"/>
                <w:sz w:val="24"/>
                <w:szCs w:val="24"/>
                <w:lang w:val="en-US" w:eastAsia="zh-CN" w:bidi="ar-SA"/>
              </w:rPr>
              <w:fldChar w:fldCharType="end"/>
            </w:r>
            <w:r>
              <w:rPr>
                <w:rFonts w:hint="eastAsia" w:ascii="宋体" w:hAnsi="宋体" w:eastAsia="宋体" w:cs="宋体"/>
                <w:color w:val="000000"/>
                <w:kern w:val="2"/>
                <w:sz w:val="24"/>
                <w:szCs w:val="24"/>
                <w:lang w:val="en-US" w:eastAsia="zh-CN" w:bidi="ar-SA"/>
              </w:rPr>
              <w:t>）。潜在供应商应在投标文件提交截止前完成CA数字证书办理，完成CA证书办理预计7天左右，建议潜在供应商抓紧时间办理。因未注册入库、未办理CA数字证书等原因造成无法参加本次采购活动或投标失败等后果由潜在供应商自行承担。</w:t>
            </w:r>
          </w:p>
          <w:p>
            <w:pPr>
              <w:pStyle w:val="19"/>
              <w:keepNext w:val="0"/>
              <w:keepLines w:val="0"/>
              <w:pageBreakBefore w:val="0"/>
              <w:widowControl w:val="0"/>
              <w:kinsoku/>
              <w:bidi w:val="0"/>
              <w:adjustRightInd w:val="0"/>
              <w:spacing w:line="240" w:lineRule="auto"/>
              <w:ind w:right="0" w:right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3.本项目采购活动全流程实行电子化，在使用系统进行投标的过程中遇到涉及平台使用的任何问题，致电政采云平台技术支持咨询（电话</w:t>
            </w:r>
            <w:r>
              <w:rPr>
                <w:rFonts w:hint="eastAsia" w:ascii="宋体" w:hAnsi="宋体" w:cs="宋体"/>
                <w:color w:val="000000"/>
                <w:kern w:val="2"/>
                <w:sz w:val="24"/>
                <w:szCs w:val="24"/>
                <w:lang w:val="en-US" w:eastAsia="zh-CN" w:bidi="ar-SA"/>
              </w:rPr>
              <w:t>95763</w:t>
            </w:r>
            <w:r>
              <w:rPr>
                <w:rFonts w:hint="eastAsia" w:ascii="宋体" w:hAnsi="宋体" w:eastAsia="宋体" w:cs="宋体"/>
                <w:color w:val="00000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shd w:val="clear" w:color="auto" w:fill="auto"/>
            <w:vAlign w:val="center"/>
          </w:tcPr>
          <w:p>
            <w:pPr>
              <w:keepNext w:val="0"/>
              <w:keepLines w:val="0"/>
              <w:pageBreakBefore w:val="0"/>
              <w:widowControl w:val="0"/>
              <w:numPr>
                <w:ilvl w:val="0"/>
                <w:numId w:val="0"/>
              </w:numPr>
              <w:tabs>
                <w:tab w:val="left" w:pos="0"/>
              </w:tabs>
              <w:kinsoku/>
              <w:topLinePunct/>
              <w:bidi w:val="0"/>
              <w:adjustRightInd w:val="0"/>
              <w:snapToGrid w:val="0"/>
              <w:ind w:leftChars="0"/>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26</w:t>
            </w:r>
          </w:p>
        </w:tc>
        <w:tc>
          <w:tcPr>
            <w:tcW w:w="2091" w:type="dxa"/>
            <w:shd w:val="clear" w:color="auto" w:fill="auto"/>
            <w:vAlign w:val="center"/>
          </w:tcPr>
          <w:p>
            <w:pPr>
              <w:adjustRightInd w:val="0"/>
              <w:snapToGrid w:val="0"/>
              <w:spacing w:line="312" w:lineRule="auto"/>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解释权</w:t>
            </w:r>
          </w:p>
        </w:tc>
        <w:tc>
          <w:tcPr>
            <w:tcW w:w="7393" w:type="dxa"/>
            <w:shd w:val="clear" w:color="auto" w:fill="auto"/>
            <w:vAlign w:val="center"/>
          </w:tcPr>
          <w:p>
            <w:pPr>
              <w:adjustRightInd w:val="0"/>
              <w:snapToGrid w:val="0"/>
              <w:spacing w:line="312"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本招标文件的解释权属于采购人</w:t>
            </w:r>
          </w:p>
        </w:tc>
      </w:tr>
    </w:tbl>
    <w:p>
      <w:pPr>
        <w:keepNext w:val="0"/>
        <w:keepLines w:val="0"/>
        <w:pageBreakBefore w:val="0"/>
        <w:widowControl w:val="0"/>
        <w:tabs>
          <w:tab w:val="left" w:pos="0"/>
        </w:tabs>
        <w:kinsoku/>
        <w:autoSpaceDE w:val="0"/>
        <w:autoSpaceDN w:val="0"/>
        <w:bidi w:val="0"/>
        <w:adjustRightInd w:val="0"/>
        <w:snapToGrid w:val="0"/>
        <w:spacing w:before="240" w:beforeLines="100" w:after="240" w:afterLines="100" w:line="312" w:lineRule="auto"/>
        <w:jc w:val="center"/>
        <w:outlineLvl w:val="1"/>
        <w:rPr>
          <w:rFonts w:hint="eastAsia" w:ascii="宋体" w:hAnsi="宋体" w:eastAsia="宋体" w:cs="宋体"/>
          <w:b/>
          <w:sz w:val="30"/>
          <w:szCs w:val="30"/>
        </w:rPr>
      </w:pPr>
      <w:bookmarkStart w:id="47" w:name="_Toc361434558"/>
      <w:bookmarkStart w:id="48" w:name="_Toc361434459"/>
      <w:bookmarkStart w:id="49" w:name="_Toc101321790"/>
      <w:bookmarkStart w:id="50" w:name="_Toc361437144"/>
      <w:bookmarkStart w:id="51" w:name="_Toc361434894"/>
      <w:bookmarkStart w:id="52" w:name="_Toc361434798"/>
      <w:bookmarkStart w:id="53" w:name="_Toc11475"/>
      <w:bookmarkStart w:id="54" w:name="_Toc7346"/>
      <w:bookmarkStart w:id="55" w:name="_Toc452528599"/>
      <w:bookmarkStart w:id="56" w:name="_Toc32356"/>
      <w:bookmarkStart w:id="57" w:name="_Toc4691"/>
      <w:bookmarkStart w:id="58" w:name="_Toc11611"/>
      <w:bookmarkStart w:id="59" w:name="_Toc5990"/>
      <w:bookmarkStart w:id="60" w:name="_Toc25723"/>
      <w:bookmarkStart w:id="61" w:name="_Toc1125"/>
      <w:bookmarkStart w:id="62" w:name="_Toc1265"/>
      <w:bookmarkStart w:id="63" w:name="_Toc23442"/>
      <w:bookmarkStart w:id="64" w:name="_Toc13152"/>
      <w:bookmarkStart w:id="65" w:name="_Toc455"/>
      <w:bookmarkStart w:id="66" w:name="_Toc28990"/>
      <w:bookmarkStart w:id="67" w:name="_Toc31666"/>
      <w:r>
        <w:rPr>
          <w:rFonts w:hint="eastAsia" w:ascii="宋体" w:hAnsi="宋体" w:eastAsia="宋体" w:cs="宋体"/>
          <w:b/>
          <w:sz w:val="30"/>
          <w:szCs w:val="30"/>
        </w:rPr>
        <w:t>二、</w:t>
      </w:r>
      <w:bookmarkEnd w:id="47"/>
      <w:bookmarkEnd w:id="48"/>
      <w:bookmarkEnd w:id="49"/>
      <w:bookmarkEnd w:id="50"/>
      <w:bookmarkEnd w:id="51"/>
      <w:bookmarkEnd w:id="52"/>
      <w:r>
        <w:rPr>
          <w:rFonts w:hint="eastAsia" w:ascii="宋体" w:hAnsi="宋体" w:eastAsia="宋体" w:cs="宋体"/>
          <w:b/>
          <w:sz w:val="30"/>
          <w:szCs w:val="30"/>
        </w:rPr>
        <w:t>总 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编制依据</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根据《中华人民共和国政府采购法》《中华人民共和国政府采购法实施条例》</w:t>
      </w:r>
      <w:r>
        <w:rPr>
          <w:rFonts w:hint="eastAsia" w:ascii="宋体" w:hAnsi="宋体" w:eastAsia="宋体" w:cs="宋体"/>
          <w:snapToGrid w:val="0"/>
          <w:sz w:val="24"/>
          <w:szCs w:val="24"/>
          <w:lang w:eastAsia="zh-CN" w:bidi="ar-SA"/>
        </w:rPr>
        <w:t>《政府采购货物和服务招标投标管理办法》（财政部令第87号）</w:t>
      </w:r>
      <w:r>
        <w:rPr>
          <w:rFonts w:hint="eastAsia" w:ascii="宋体" w:hAnsi="宋体" w:eastAsia="宋体" w:cs="宋体"/>
          <w:sz w:val="24"/>
          <w:szCs w:val="24"/>
          <w:lang w:eastAsia="zh-CN"/>
        </w:rPr>
        <w:t>等有关政府采购管理的规定，编制本招标文件。</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定义</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napToGrid w:val="0"/>
          <w:sz w:val="24"/>
          <w:szCs w:val="24"/>
          <w:lang w:eastAsia="zh-CN"/>
        </w:rPr>
        <w:t>采购人，是指本次采购</w:t>
      </w:r>
      <w:r>
        <w:rPr>
          <w:rFonts w:hint="eastAsia" w:ascii="宋体" w:hAnsi="宋体" w:eastAsia="宋体" w:cs="宋体"/>
          <w:sz w:val="24"/>
          <w:szCs w:val="24"/>
          <w:lang w:eastAsia="zh-CN"/>
        </w:rPr>
        <w:t>货物/服务</w:t>
      </w:r>
      <w:r>
        <w:rPr>
          <w:rFonts w:hint="eastAsia" w:ascii="宋体" w:hAnsi="宋体" w:eastAsia="宋体" w:cs="宋体"/>
          <w:bCs/>
          <w:snapToGrid w:val="0"/>
          <w:sz w:val="24"/>
          <w:szCs w:val="24"/>
          <w:lang w:eastAsia="zh-CN"/>
        </w:rPr>
        <w:t>的购买单位。</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是指响应招标、参加投标竞争的法是指参加政府采购活动，有意愿向采购人提供货物、工程或者服务的法人</w:t>
      </w:r>
      <w:r>
        <w:rPr>
          <w:rFonts w:hint="eastAsia" w:ascii="宋体" w:hAnsi="宋体" w:eastAsia="宋体" w:cs="宋体"/>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采购代理机构（采购组织机构），是指</w:t>
      </w:r>
      <w:r>
        <w:rPr>
          <w:rFonts w:hint="eastAsia" w:ascii="宋体" w:hAnsi="宋体" w:eastAsia="宋体" w:cs="宋体"/>
          <w:sz w:val="24"/>
          <w:szCs w:val="24"/>
          <w:shd w:val="clear" w:color="auto" w:fill="FFFFFF"/>
          <w:lang w:eastAsia="zh-CN"/>
        </w:rPr>
        <w:t>在采购活动中根据</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lang w:eastAsia="zh-CN"/>
        </w:rPr>
        <w:instrText xml:space="preserve"> HYPERLINK "http://www.so.com/s?q=%E9%87%87%E8%B4%AD%E4%BA%BA&amp;ie=utf-8&amp;src=internal_wenda_recommend_textn" \t "https://wenda.so.com/q/_blank" </w:instrText>
      </w:r>
      <w:r>
        <w:rPr>
          <w:rFonts w:hint="eastAsia" w:ascii="宋体" w:hAnsi="宋体" w:eastAsia="宋体" w:cs="宋体"/>
          <w:sz w:val="24"/>
          <w:szCs w:val="24"/>
          <w:shd w:val="clear" w:color="auto" w:fill="FFFFFF"/>
        </w:rPr>
        <w:fldChar w:fldCharType="separate"/>
      </w:r>
      <w:r>
        <w:rPr>
          <w:rStyle w:val="57"/>
          <w:rFonts w:hint="eastAsia" w:ascii="宋体" w:hAnsi="宋体" w:eastAsia="宋体" w:cs="宋体"/>
          <w:color w:val="auto"/>
          <w:sz w:val="24"/>
          <w:szCs w:val="24"/>
          <w:shd w:val="clear" w:color="auto" w:fill="FFFFFF"/>
          <w:lang w:eastAsia="zh-CN"/>
        </w:rPr>
        <w:t>采购人</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的委托代理采购</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lang w:eastAsia="zh-CN"/>
        </w:rPr>
        <w:instrText xml:space="preserve"> HYPERLINK "http://www.so.com/s?q=%E4%BA%8B%E5%AE%9C&amp;ie=utf-8&amp;src=internal_wenda_recommend_textn" \t "https://wenda.so.com/q/_blank" </w:instrText>
      </w:r>
      <w:r>
        <w:rPr>
          <w:rFonts w:hint="eastAsia" w:ascii="宋体" w:hAnsi="宋体" w:eastAsia="宋体" w:cs="宋体"/>
          <w:sz w:val="24"/>
          <w:szCs w:val="24"/>
          <w:shd w:val="clear" w:color="auto" w:fill="FFFFFF"/>
        </w:rPr>
        <w:fldChar w:fldCharType="separate"/>
      </w:r>
      <w:r>
        <w:rPr>
          <w:rStyle w:val="57"/>
          <w:rFonts w:hint="eastAsia" w:ascii="宋体" w:hAnsi="宋体" w:eastAsia="宋体" w:cs="宋体"/>
          <w:color w:val="auto"/>
          <w:sz w:val="24"/>
          <w:szCs w:val="24"/>
          <w:shd w:val="clear" w:color="auto" w:fill="FFFFFF"/>
          <w:lang w:eastAsia="zh-CN"/>
        </w:rPr>
        <w:t>事宜</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的机构</w:t>
      </w:r>
      <w:r>
        <w:rPr>
          <w:rFonts w:hint="eastAsia" w:ascii="宋体" w:hAnsi="宋体" w:eastAsia="宋体" w:cs="宋体"/>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原件，是指原始件（即：资料生成时的原始形态，包括所加盖的印章、相关人员的签字笔迹等均是原始印痕、印迹和行迹）。</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书面形式，包括文字的打印或复印件、传真、信函、电传、电报、</w:t>
      </w:r>
      <w:r>
        <w:rPr>
          <w:rFonts w:hint="eastAsia" w:ascii="宋体" w:hAnsi="宋体" w:eastAsia="宋体" w:cs="宋体"/>
          <w:sz w:val="24"/>
          <w:szCs w:val="24"/>
          <w:shd w:val="clear" w:color="auto" w:fill="FFFFFF"/>
          <w:lang w:eastAsia="zh-CN"/>
        </w:rPr>
        <w:t>电子邮件、</w:t>
      </w:r>
      <w:r>
        <w:rPr>
          <w:rFonts w:hint="eastAsia" w:ascii="宋体" w:hAnsi="宋体" w:eastAsia="宋体" w:cs="宋体"/>
          <w:sz w:val="24"/>
          <w:szCs w:val="24"/>
          <w:lang w:val="zh-CN" w:eastAsia="zh-CN"/>
        </w:rPr>
        <w:t>浙江政府采购网</w:t>
      </w:r>
      <w:r>
        <w:rPr>
          <w:rFonts w:hint="eastAsia" w:ascii="宋体" w:hAnsi="宋体" w:eastAsia="宋体" w:cs="宋体"/>
          <w:sz w:val="24"/>
          <w:szCs w:val="24"/>
          <w:lang w:eastAsia="zh-CN"/>
        </w:rPr>
        <w:t>发布的公告</w:t>
      </w:r>
      <w:r>
        <w:rPr>
          <w:rFonts w:hint="eastAsia" w:ascii="宋体" w:hAnsi="宋体" w:eastAsia="宋体" w:cs="宋体"/>
          <w:sz w:val="24"/>
          <w:szCs w:val="24"/>
          <w:shd w:val="clear" w:color="auto" w:fill="FFFFFF"/>
          <w:lang w:eastAsia="zh-CN"/>
        </w:rPr>
        <w:t>等可以有形地表现所载内容的形式。</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投标人公章，</w:t>
      </w:r>
      <w:r>
        <w:rPr>
          <w:rFonts w:hint="eastAsia" w:ascii="宋体" w:hAnsi="宋体" w:eastAsia="宋体" w:cs="宋体"/>
          <w:sz w:val="24"/>
          <w:szCs w:val="24"/>
          <w:lang w:eastAsia="zh-CN"/>
        </w:rPr>
        <w:t>是指投标人用自己法定主体行为名称制作的签名印章。</w:t>
      </w:r>
      <w:r>
        <w:rPr>
          <w:rFonts w:hint="eastAsia" w:ascii="宋体" w:hAnsi="宋体" w:eastAsia="宋体" w:cs="宋体"/>
          <w:bCs/>
          <w:sz w:val="24"/>
          <w:szCs w:val="24"/>
          <w:lang w:eastAsia="zh-CN"/>
        </w:rPr>
        <w:t>不得使用专用章（如经济合同章、投标专用章、业务专用章等）或下属单位印章代替。</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“▲”是投标人按本招标文件要求必须实质性响应的条款，有任何一项缺失或非实质性响应将取消其投标资格。</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“电子交易平台”是指本项目政府采购活动所依托的政府采购云平台（https://www.zcygov.cn/）。</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采购方式</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val="zh-CN" w:eastAsia="zh-CN"/>
        </w:rPr>
      </w:pPr>
      <w:r>
        <w:rPr>
          <w:rFonts w:hint="eastAsia" w:ascii="宋体" w:hAnsi="宋体" w:eastAsia="宋体" w:cs="宋体"/>
          <w:sz w:val="24"/>
          <w:szCs w:val="24"/>
          <w:lang w:eastAsia="zh-CN"/>
        </w:rPr>
        <w:t>采购组织形式分散采购委托代理。</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val="zh-CN"/>
        </w:rPr>
        <w:t>采用公开招标方式</w:t>
      </w:r>
      <w:r>
        <w:rPr>
          <w:rFonts w:hint="eastAsia" w:ascii="宋体" w:hAnsi="宋体" w:eastAsia="宋体" w:cs="宋体"/>
          <w:sz w:val="24"/>
          <w:szCs w:val="24"/>
        </w:rPr>
        <w:t>。</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▲合格的投标人</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合格的投标人应具备以下条件：</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具备法律法规和本采购文件规定的资格条件</w:t>
      </w:r>
      <w:r>
        <w:rPr>
          <w:rFonts w:hint="eastAsia" w:ascii="宋体" w:hAnsi="宋体" w:eastAsia="宋体" w:cs="宋体"/>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pacing w:val="-4"/>
          <w:sz w:val="24"/>
          <w:szCs w:val="24"/>
          <w:lang w:eastAsia="zh-CN"/>
        </w:rPr>
        <w:t>不属于限制参加本项目采购活动的</w:t>
      </w:r>
      <w:r>
        <w:rPr>
          <w:rFonts w:hint="eastAsia" w:ascii="宋体" w:hAnsi="宋体" w:eastAsia="宋体" w:cs="宋体"/>
          <w:spacing w:val="-4"/>
          <w:sz w:val="24"/>
          <w:szCs w:val="24"/>
          <w:lang w:eastAsia="zh-CN"/>
        </w:rPr>
        <w:t>供应商</w:t>
      </w:r>
      <w:r>
        <w:rPr>
          <w:rFonts w:hint="eastAsia" w:ascii="宋体" w:hAnsi="宋体" w:eastAsia="宋体" w:cs="宋体"/>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pacing w:val="-4"/>
          <w:sz w:val="24"/>
          <w:szCs w:val="24"/>
          <w:lang w:eastAsia="zh-CN"/>
        </w:rPr>
        <w:t>按照规定</w:t>
      </w:r>
      <w:r>
        <w:rPr>
          <w:rFonts w:hint="eastAsia" w:ascii="宋体" w:hAnsi="宋体" w:eastAsia="宋体" w:cs="宋体"/>
          <w:color w:val="000000"/>
          <w:sz w:val="24"/>
          <w:szCs w:val="24"/>
          <w:lang w:eastAsia="zh-CN"/>
        </w:rPr>
        <w:t>获取了招标文件，属于实质性参加政府采购活动的供应商</w:t>
      </w:r>
      <w:r>
        <w:rPr>
          <w:rFonts w:hint="eastAsia" w:ascii="宋体" w:hAnsi="宋体" w:eastAsia="宋体" w:cs="宋体"/>
          <w:sz w:val="24"/>
          <w:szCs w:val="24"/>
          <w:lang w:eastAsia="zh-CN"/>
        </w:rPr>
        <w:t>。</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000000"/>
          <w:sz w:val="24"/>
          <w:szCs w:val="24"/>
        </w:rPr>
        <w:t>回避</w:t>
      </w:r>
      <w:r>
        <w:rPr>
          <w:rFonts w:hint="eastAsia" w:ascii="宋体" w:hAnsi="宋体" w:eastAsia="宋体" w:cs="宋体"/>
          <w:color w:val="000000"/>
          <w:sz w:val="24"/>
          <w:szCs w:val="24"/>
          <w:lang w:eastAsia="zh-CN"/>
        </w:rPr>
        <w:t>制度</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政府采购活动中，采购人员及相关人员与投标人有下列利害关系之一的，应当回避：</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参加采购活动前3年内与投标人存在劳动关系；</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参加采购活动前3年内担任投标人的董事、监事；</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参加采购活动前3年内是投标人的控股股东或者实际控制人；</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与投标人的法定代表人或者负责人有夫妻、直系血亲、三代以内旁系血亲或者近姻亲关系；</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存在共同直接或间接投资设立子公司、联营企业和合营企业情况；</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与投标人有其他可能影响政府采购活动公平、公正进行的关系。</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投标人认为采购人员及相关人员与其他投标人有利害关系的，可以向采购代理机构书面提出回避申请，并说明理由。采购代理机构将及时询问被申请回避人员，有利害关系的被申请回避人员应当回避。</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资格审查</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本次</w:t>
      </w:r>
      <w:r>
        <w:rPr>
          <w:rFonts w:hint="eastAsia" w:ascii="宋体" w:hAnsi="宋体" w:eastAsia="宋体" w:cs="宋体"/>
          <w:sz w:val="24"/>
          <w:szCs w:val="24"/>
          <w:lang w:val="zh-CN" w:eastAsia="zh-CN"/>
        </w:rPr>
        <w:t>采取</w:t>
      </w:r>
      <w:r>
        <w:rPr>
          <w:rFonts w:hint="eastAsia" w:ascii="宋体" w:hAnsi="宋体" w:eastAsia="宋体" w:cs="宋体"/>
          <w:sz w:val="24"/>
          <w:szCs w:val="24"/>
          <w:lang w:eastAsia="zh-CN"/>
        </w:rPr>
        <w:t>资格后审，代理机构不保证所有报名或依法获取招标文件并报名的投标人都符合合格投标人资格要求。</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语言文字</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投标文件以及投标人与采购人就有关投标事宜的所有来往函电，均应以中文汉语书写。除签名、盖章、专用名称等特殊情形外，以中文汉语以外的文字表述的投标文件视同未提供。</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计量单位</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Cs/>
          <w:sz w:val="24"/>
          <w:szCs w:val="24"/>
          <w:lang w:eastAsia="zh-CN"/>
        </w:rPr>
      </w:pPr>
      <w:r>
        <w:rPr>
          <w:rFonts w:hint="eastAsia" w:ascii="宋体" w:hAnsi="宋体" w:eastAsia="宋体" w:cs="宋体"/>
          <w:color w:val="000000"/>
          <w:sz w:val="24"/>
          <w:szCs w:val="24"/>
          <w:lang w:eastAsia="zh-CN"/>
        </w:rPr>
        <w:t>除招标文件中另有规定外</w:t>
      </w:r>
      <w:r>
        <w:rPr>
          <w:rFonts w:hint="eastAsia" w:ascii="宋体" w:hAnsi="宋体" w:eastAsia="宋体" w:cs="宋体"/>
          <w:sz w:val="24"/>
          <w:szCs w:val="24"/>
          <w:lang w:eastAsia="zh-CN"/>
        </w:rPr>
        <w:t>，计量均应采用中华人民共和国法定计量单位；所有报价一律使用人民币，货币单位为“元”。</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保密</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参与招标活动的当事人应对招标文件和投标文件中的商业和技术等秘密保密，违者应对由此造成的后果承担法律责任。</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费用</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投标人应自行承担所有与准备合参加投标有关的费用，无论</w:t>
      </w:r>
      <w:r>
        <w:rPr>
          <w:rFonts w:hint="eastAsia" w:ascii="宋体" w:hAnsi="宋体" w:eastAsia="宋体" w:cs="宋体"/>
          <w:sz w:val="24"/>
          <w:szCs w:val="24"/>
          <w:lang w:eastAsia="zh-CN"/>
        </w:rPr>
        <w:t>投标的结果如何，</w:t>
      </w:r>
      <w:r>
        <w:rPr>
          <w:rFonts w:hint="eastAsia" w:ascii="宋体" w:hAnsi="宋体" w:cs="宋体"/>
          <w:sz w:val="24"/>
          <w:szCs w:val="24"/>
          <w:lang w:val="en-US" w:eastAsia="zh-CN"/>
        </w:rPr>
        <w:t>采购人或采购代理机构在任何情况下均无承担这些费用的义务和责任。</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lang w:eastAsia="zh-CN"/>
        </w:rPr>
        <w:t>投标</w:t>
      </w:r>
      <w:r>
        <w:rPr>
          <w:rFonts w:hint="eastAsia" w:ascii="宋体" w:hAnsi="宋体" w:eastAsia="宋体" w:cs="宋体"/>
          <w:sz w:val="24"/>
          <w:szCs w:val="24"/>
        </w:rPr>
        <w:t>有效期</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在投标人须知前附表规定的投标有效期内，投标文件以及其补充、承诺等部分均保持有效。</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在招标文件规定的投标文件有效期满之前，如果出现特殊情况，采购人或者采购代理机构可在投标有效期内要求投标人延长有效期，要求与答复均以书面通知为准并作为招标文件和投标文件的组成部分。</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分包与转包</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
          <w:sz w:val="24"/>
          <w:szCs w:val="24"/>
          <w:lang w:eastAsia="zh-CN"/>
        </w:rPr>
      </w:pPr>
      <w:r>
        <w:rPr>
          <w:rFonts w:hint="eastAsia" w:ascii="宋体" w:hAnsi="宋体" w:eastAsia="宋体" w:cs="宋体"/>
          <w:sz w:val="24"/>
          <w:szCs w:val="24"/>
          <w:lang w:eastAsia="zh-CN"/>
        </w:rPr>
        <w:t>本项目不允许分包和转包。</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现场勘察</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自行现场勘察以获取有关编制投标文件和签署合同所涉及现场的资料，但需经采购人允许方可为勘察目的进入采购人的项目现场。不得因现场勘察而使采购人承担有关的责任和蒙受损失，投标人应承担现场勘察的责任和风险以及承担现场勘察所发生的费用。</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000000"/>
          <w:sz w:val="24"/>
          <w:szCs w:val="24"/>
        </w:rPr>
        <w:t>知识产权</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投标人应保证在本项目</w:t>
      </w:r>
      <w:r>
        <w:rPr>
          <w:rFonts w:hint="eastAsia" w:ascii="宋体" w:hAnsi="宋体" w:eastAsia="宋体" w:cs="宋体"/>
          <w:sz w:val="24"/>
          <w:szCs w:val="24"/>
          <w:lang w:eastAsia="zh-CN"/>
        </w:rPr>
        <w:t>中</w:t>
      </w:r>
      <w:r>
        <w:rPr>
          <w:rFonts w:hint="eastAsia" w:ascii="宋体" w:hAnsi="宋体" w:eastAsia="宋体" w:cs="宋体"/>
          <w:color w:val="000000"/>
          <w:sz w:val="24"/>
          <w:szCs w:val="24"/>
          <w:lang w:eastAsia="zh-CN"/>
        </w:rPr>
        <w:t>使用的任何产品和服务（包括部分使用），不会产生因第双方提出侵犯其专利权、商标权或其它知识产权而引起的法律和经济纠纷，如因专利权、商标权或其它知识产权而引起法律和经济纠纷，由投标人承担所有相关责任。</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除非招标文件特别</w:t>
      </w:r>
      <w:r>
        <w:rPr>
          <w:rFonts w:hint="eastAsia" w:ascii="宋体" w:hAnsi="宋体" w:eastAsia="宋体" w:cs="宋体"/>
          <w:sz w:val="24"/>
          <w:szCs w:val="24"/>
          <w:lang w:eastAsia="zh-CN"/>
        </w:rPr>
        <w:t>规定</w:t>
      </w:r>
      <w:r>
        <w:rPr>
          <w:rFonts w:hint="eastAsia" w:ascii="宋体" w:hAnsi="宋体" w:eastAsia="宋体" w:cs="宋体"/>
          <w:color w:val="000000"/>
          <w:sz w:val="24"/>
          <w:szCs w:val="24"/>
          <w:lang w:eastAsia="zh-CN"/>
        </w:rPr>
        <w:t>，采购人享有本项目实施过程中产生的知识成果及知识产权。</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投标人将在采购项目实施过程中采用自有或者第双方知识成果的，应当在投标文件中载明，并提供相关知识产权证明文件。</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kern w:val="2"/>
          <w:sz w:val="24"/>
          <w:szCs w:val="24"/>
        </w:rPr>
        <w:t>如采用投标人所不拥有的知识产权，则在投标报价中必须包括合法获取该知识产权的相关费用。</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特别说明</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投标人应仔细阅读招标文件的所有内容，按照招标文件的要求提交投标文件，并对所提供的全部资料的真实性承担法律责任。</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经营者提供商品或者服务有欺诈行为的，依照《中华人民共和国消费者权益保护法（2013年修正）》有关规定处理。</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新宋体" w:hAnsi="新宋体" w:eastAsia="新宋体" w:cs="Arial"/>
          <w:sz w:val="24"/>
          <w:szCs w:val="24"/>
        </w:rPr>
      </w:pPr>
      <w:r>
        <w:rPr>
          <w:rFonts w:hint="eastAsia" w:ascii="宋体" w:hAnsi="宋体" w:eastAsia="宋体" w:cs="宋体"/>
          <w:sz w:val="24"/>
          <w:szCs w:val="24"/>
          <w:lang w:eastAsia="zh-CN"/>
        </w:rPr>
        <w:t>投标人投标所使用的资格、信誉、荣誉、业绩、知识产权与企业认证必须为本法人所拥有。不同法人、其他组织的资料与投标人无关。</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新宋体" w:hAnsi="新宋体" w:eastAsia="新宋体" w:cs="Arial"/>
          <w:sz w:val="24"/>
          <w:szCs w:val="24"/>
        </w:rPr>
      </w:pPr>
      <w:r>
        <w:rPr>
          <w:rFonts w:hint="eastAsia" w:ascii="新宋体" w:hAnsi="新宋体" w:eastAsia="新宋体" w:cs="Arial"/>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pPr>
        <w:keepNext w:val="0"/>
        <w:keepLines w:val="0"/>
        <w:pageBreakBefore w:val="0"/>
        <w:widowControl w:val="0"/>
        <w:kinsoku/>
        <w:wordWrap/>
        <w:overflowPunct/>
        <w:topLinePunct w:val="0"/>
        <w:autoSpaceDE/>
        <w:autoSpaceDN/>
        <w:bidi w:val="0"/>
        <w:snapToGrid w:val="0"/>
        <w:spacing w:line="486" w:lineRule="exact"/>
        <w:ind w:firstLine="720" w:firstLineChars="300"/>
        <w:jc w:val="left"/>
        <w:textAlignment w:val="auto"/>
        <w:rPr>
          <w:rFonts w:hint="eastAsia" w:ascii="宋体" w:hAnsi="宋体" w:eastAsia="宋体" w:cs="宋体"/>
          <w:sz w:val="24"/>
          <w:szCs w:val="24"/>
          <w:lang w:eastAsia="zh-CN"/>
        </w:rPr>
      </w:pPr>
      <w:r>
        <w:rPr>
          <w:rFonts w:hint="eastAsia" w:ascii="新宋体" w:hAnsi="新宋体" w:eastAsia="新宋体" w:cs="Arial"/>
          <w:sz w:val="24"/>
          <w:szCs w:val="24"/>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采购</w:t>
      </w:r>
      <w:r>
        <w:rPr>
          <w:rFonts w:hint="eastAsia" w:ascii="宋体" w:hAnsi="宋体" w:eastAsia="宋体" w:cs="宋体"/>
          <w:bCs/>
          <w:sz w:val="24"/>
          <w:szCs w:val="24"/>
          <w:lang w:eastAsia="zh-CN"/>
        </w:rPr>
        <w:t>代理</w:t>
      </w:r>
      <w:r>
        <w:rPr>
          <w:rFonts w:hint="eastAsia" w:ascii="宋体" w:hAnsi="宋体" w:eastAsia="宋体" w:cs="宋体"/>
          <w:bCs/>
          <w:sz w:val="24"/>
          <w:szCs w:val="24"/>
        </w:rPr>
        <w:t>费用</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napToGrid w:val="0"/>
          <w:sz w:val="24"/>
          <w:szCs w:val="24"/>
          <w:lang w:eastAsia="zh-CN"/>
        </w:rPr>
        <w:t>采购代理费参照原国家计委关于印发</w:t>
      </w:r>
      <w:r>
        <w:rPr>
          <w:rFonts w:hint="eastAsia" w:ascii="宋体" w:hAnsi="宋体" w:eastAsia="宋体" w:cs="宋体"/>
          <w:sz w:val="24"/>
          <w:szCs w:val="24"/>
          <w:lang w:eastAsia="zh-CN" w:bidi="ar-SA"/>
        </w:rPr>
        <w:t>《招标代理服务收费管理暂行办法》的通知（</w:t>
      </w:r>
      <w:r>
        <w:rPr>
          <w:rFonts w:hint="eastAsia" w:ascii="宋体" w:hAnsi="宋体" w:eastAsia="宋体" w:cs="宋体"/>
          <w:bCs/>
          <w:snapToGrid w:val="0"/>
          <w:sz w:val="24"/>
          <w:szCs w:val="24"/>
          <w:lang w:eastAsia="zh-CN"/>
        </w:rPr>
        <w:t>计价格</w:t>
      </w:r>
      <w:r>
        <w:rPr>
          <w:rFonts w:hint="eastAsia" w:ascii="宋体" w:hAnsi="宋体" w:eastAsia="宋体" w:cs="宋体"/>
          <w:bCs/>
          <w:snapToGrid w:val="0"/>
          <w:sz w:val="24"/>
          <w:szCs w:val="24"/>
          <w:lang w:eastAsia="zh-CN" w:bidi="ar-SA"/>
        </w:rPr>
        <w:t>［2002］1980号）和</w:t>
      </w:r>
      <w:r>
        <w:rPr>
          <w:rFonts w:hint="eastAsia" w:ascii="宋体" w:hAnsi="宋体" w:eastAsia="宋体" w:cs="宋体"/>
          <w:bCs/>
          <w:snapToGrid w:val="0"/>
          <w:sz w:val="24"/>
          <w:szCs w:val="24"/>
          <w:lang w:eastAsia="zh-CN"/>
        </w:rPr>
        <w:t>国家发展改革委《关于降低部分建设项目收费标准规范收费行为等有关问题的通知》（发改价格[2011]534号）规定</w:t>
      </w:r>
      <w:r>
        <w:rPr>
          <w:rFonts w:hint="eastAsia" w:ascii="宋体" w:hAnsi="宋体" w:cs="宋体"/>
          <w:bCs/>
          <w:snapToGrid w:val="0"/>
          <w:sz w:val="24"/>
          <w:szCs w:val="24"/>
          <w:lang w:val="en-US" w:eastAsia="zh-CN"/>
        </w:rPr>
        <w:t>的61%</w:t>
      </w:r>
      <w:r>
        <w:rPr>
          <w:rFonts w:hint="eastAsia" w:ascii="宋体" w:hAnsi="宋体" w:eastAsia="宋体" w:cs="宋体"/>
          <w:bCs/>
          <w:snapToGrid w:val="0"/>
          <w:sz w:val="24"/>
          <w:szCs w:val="24"/>
          <w:lang w:eastAsia="zh-CN"/>
        </w:rPr>
        <w:t>计取，由中标供应商承担</w:t>
      </w:r>
      <w:r>
        <w:rPr>
          <w:rFonts w:hint="eastAsia" w:ascii="宋体" w:hAnsi="宋体" w:eastAsia="宋体" w:cs="宋体"/>
          <w:bCs/>
          <w:sz w:val="24"/>
          <w:szCs w:val="24"/>
          <w:lang w:eastAsia="zh-CN"/>
        </w:rPr>
        <w:t>，</w:t>
      </w:r>
      <w:r>
        <w:rPr>
          <w:rFonts w:hint="eastAsia" w:ascii="宋体" w:hAnsi="宋体" w:eastAsia="宋体" w:cs="宋体"/>
          <w:bCs/>
          <w:snapToGrid w:val="0"/>
          <w:sz w:val="24"/>
          <w:szCs w:val="24"/>
          <w:lang w:eastAsia="zh-CN"/>
        </w:rPr>
        <w:t>在领取中标通知书前一次性支付给采购代理机构。</w:t>
      </w:r>
    </w:p>
    <w:tbl>
      <w:tblPr>
        <w:tblStyle w:val="48"/>
        <w:tblW w:w="9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3108"/>
        <w:gridCol w:w="2283"/>
        <w:gridCol w:w="2283"/>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中标金额（万元）</w:t>
            </w: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货物招标</w:t>
            </w: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服务招标</w:t>
            </w:r>
          </w:p>
        </w:tc>
        <w:tc>
          <w:tcPr>
            <w:tcW w:w="2284"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100以下</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1.5%</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1.5%</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100-500</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1.1%</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0.8%</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500-1000</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0.8%</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0.45%</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1000-5000</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0.5%</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0.25%</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5000-10000</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0.25%</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0.1%</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10000-100000</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3108"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1000000以上</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c>
          <w:tcPr>
            <w:tcW w:w="2283"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c>
          <w:tcPr>
            <w:tcW w:w="2284" w:type="dxa"/>
            <w:noWrap w:val="0"/>
            <w:vAlign w:val="top"/>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r>
    </w:tbl>
    <w:p>
      <w:pPr>
        <w:adjustRightInd w:val="0"/>
        <w:snapToGrid w:val="0"/>
        <w:spacing w:line="312" w:lineRule="auto"/>
        <w:ind w:firstLine="480" w:firstLineChars="200"/>
        <w:rPr>
          <w:rFonts w:hint="eastAsia" w:ascii="宋体" w:hAnsi="宋体" w:eastAsia="宋体" w:cs="宋体"/>
          <w:bCs/>
          <w:sz w:val="24"/>
          <w:szCs w:val="24"/>
          <w:lang w:val="en-US" w:eastAsia="zh-CN"/>
        </w:rPr>
      </w:pPr>
      <w:bookmarkStart w:id="68" w:name="_Toc14405"/>
      <w:bookmarkStart w:id="69" w:name="_Toc32288"/>
    </w:p>
    <w:p>
      <w:pPr>
        <w:adjustRightInd w:val="0"/>
        <w:snapToGrid w:val="0"/>
        <w:spacing w:line="312" w:lineRule="auto"/>
        <w:ind w:firstLine="480" w:firstLineChars="200"/>
        <w:rPr>
          <w:rFonts w:hint="eastAsia" w:ascii="宋体" w:hAnsi="宋体" w:eastAsia="宋体" w:cs="宋体"/>
          <w:bCs/>
          <w:snapToGrid w:val="0"/>
          <w:sz w:val="24"/>
          <w:szCs w:val="24"/>
          <w:lang w:val="en-US" w:eastAsia="zh-CN" w:bidi="en-US"/>
        </w:rPr>
      </w:pPr>
      <w:r>
        <w:rPr>
          <w:rFonts w:hint="eastAsia" w:ascii="宋体" w:hAnsi="宋体" w:eastAsia="宋体" w:cs="宋体"/>
          <w:bCs/>
          <w:sz w:val="24"/>
          <w:szCs w:val="24"/>
          <w:lang w:val="en-US" w:eastAsia="zh-CN"/>
        </w:rPr>
        <w:t>16.2</w:t>
      </w:r>
      <w:r>
        <w:rPr>
          <w:rFonts w:hint="eastAsia" w:ascii="宋体" w:hAnsi="宋体" w:eastAsia="宋体" w:cs="宋体"/>
          <w:bCs/>
          <w:sz w:val="24"/>
          <w:szCs w:val="24"/>
          <w:lang w:eastAsia="zh-CN"/>
        </w:rPr>
        <w:t>若出现终止采购情形的，</w:t>
      </w:r>
      <w:r>
        <w:rPr>
          <w:rFonts w:hint="eastAsia" w:ascii="宋体" w:hAnsi="宋体" w:eastAsia="宋体" w:cs="宋体"/>
          <w:bCs/>
          <w:snapToGrid w:val="0"/>
          <w:sz w:val="24"/>
          <w:szCs w:val="24"/>
          <w:lang w:eastAsia="zh-CN"/>
        </w:rPr>
        <w:t>采购代理</w:t>
      </w:r>
      <w:r>
        <w:rPr>
          <w:rFonts w:hint="eastAsia" w:ascii="宋体" w:hAnsi="宋体" w:eastAsia="宋体" w:cs="宋体"/>
          <w:bCs/>
          <w:snapToGrid w:val="0"/>
          <w:sz w:val="24"/>
          <w:szCs w:val="24"/>
          <w:lang w:val="en-US" w:eastAsia="zh-CN"/>
        </w:rPr>
        <w:t>相关费用</w:t>
      </w:r>
      <w:r>
        <w:rPr>
          <w:rFonts w:hint="eastAsia" w:ascii="宋体" w:hAnsi="宋体" w:eastAsia="宋体" w:cs="宋体"/>
          <w:bCs/>
          <w:snapToGrid w:val="0"/>
          <w:sz w:val="24"/>
          <w:szCs w:val="24"/>
          <w:lang w:eastAsia="zh-CN"/>
        </w:rPr>
        <w:t>由采购人支付。</w:t>
      </w:r>
    </w:p>
    <w:p>
      <w:pPr>
        <w:adjustRightInd w:val="0"/>
        <w:snapToGrid w:val="0"/>
        <w:spacing w:line="312" w:lineRule="auto"/>
        <w:ind w:firstLine="480" w:firstLineChars="200"/>
        <w:rPr>
          <w:rFonts w:hint="eastAsia" w:ascii="宋体" w:hAnsi="宋体" w:eastAsia="宋体" w:cs="宋体"/>
          <w:bCs/>
          <w:snapToGrid w:val="0"/>
          <w:sz w:val="24"/>
          <w:szCs w:val="24"/>
          <w:lang w:val="zh-CN" w:eastAsia="zh-CN" w:bidi="en-US"/>
        </w:rPr>
      </w:pPr>
      <w:r>
        <w:rPr>
          <w:rFonts w:hint="eastAsia" w:ascii="宋体" w:hAnsi="宋体" w:eastAsia="宋体" w:cs="宋体"/>
          <w:bCs/>
          <w:snapToGrid w:val="0"/>
          <w:sz w:val="24"/>
          <w:szCs w:val="24"/>
          <w:lang w:val="en-US" w:eastAsia="zh-CN" w:bidi="en-US"/>
        </w:rPr>
        <w:t>16</w:t>
      </w:r>
      <w:r>
        <w:rPr>
          <w:rFonts w:hint="eastAsia" w:ascii="宋体" w:hAnsi="宋体" w:eastAsia="宋体" w:cs="宋体"/>
          <w:bCs/>
          <w:snapToGrid w:val="0"/>
          <w:sz w:val="24"/>
          <w:szCs w:val="24"/>
          <w:lang w:val="zh-CN" w:eastAsia="zh-CN" w:bidi="en-US"/>
        </w:rPr>
        <w:t>.</w:t>
      </w:r>
      <w:r>
        <w:rPr>
          <w:rFonts w:hint="eastAsia" w:ascii="宋体" w:hAnsi="宋体" w:eastAsia="宋体" w:cs="宋体"/>
          <w:bCs/>
          <w:snapToGrid w:val="0"/>
          <w:sz w:val="24"/>
          <w:szCs w:val="24"/>
          <w:lang w:val="en-US" w:eastAsia="zh-CN" w:bidi="en-US"/>
        </w:rPr>
        <w:t>3</w:t>
      </w:r>
      <w:r>
        <w:rPr>
          <w:rFonts w:hint="eastAsia" w:ascii="宋体" w:hAnsi="宋体" w:eastAsia="宋体" w:cs="宋体"/>
          <w:bCs/>
          <w:snapToGrid w:val="0"/>
          <w:sz w:val="24"/>
          <w:szCs w:val="24"/>
          <w:lang w:val="zh-CN" w:eastAsia="zh-CN" w:bidi="en-US"/>
        </w:rPr>
        <w:t>招标过程的评委费、</w:t>
      </w:r>
      <w:r>
        <w:rPr>
          <w:rFonts w:hint="eastAsia" w:ascii="宋体" w:hAnsi="宋体" w:eastAsia="宋体" w:cs="宋体"/>
          <w:bCs/>
          <w:snapToGrid w:val="0"/>
          <w:sz w:val="24"/>
          <w:szCs w:val="24"/>
          <w:lang w:val="en-US" w:eastAsia="zh-CN" w:bidi="en-US"/>
        </w:rPr>
        <w:t>公证费</w:t>
      </w:r>
      <w:r>
        <w:rPr>
          <w:rFonts w:hint="eastAsia" w:ascii="宋体" w:hAnsi="宋体" w:eastAsia="宋体" w:cs="宋体"/>
          <w:bCs/>
          <w:snapToGrid w:val="0"/>
          <w:sz w:val="24"/>
          <w:szCs w:val="24"/>
          <w:lang w:val="zh-CN" w:eastAsia="zh-CN" w:bidi="en-US"/>
        </w:rPr>
        <w:t>由采购人支付。</w:t>
      </w:r>
    </w:p>
    <w:p>
      <w:pPr>
        <w:adjustRightInd w:val="0"/>
        <w:snapToGrid w:val="0"/>
        <w:spacing w:line="312" w:lineRule="auto"/>
        <w:ind w:firstLine="480" w:firstLineChars="200"/>
        <w:rPr>
          <w:rFonts w:hint="eastAsia" w:ascii="宋体" w:hAnsi="宋体" w:eastAsia="宋体" w:cs="宋体"/>
          <w:b/>
          <w:sz w:val="24"/>
          <w:szCs w:val="24"/>
        </w:rPr>
      </w:pPr>
      <w:r>
        <w:rPr>
          <w:rFonts w:hint="eastAsia" w:ascii="宋体" w:hAnsi="宋体" w:eastAsia="宋体" w:cs="宋体"/>
          <w:bCs/>
          <w:snapToGrid w:val="0"/>
          <w:sz w:val="24"/>
          <w:szCs w:val="24"/>
          <w:lang w:val="en-US" w:eastAsia="zh-CN" w:bidi="en-US"/>
        </w:rPr>
        <w:t>16</w:t>
      </w:r>
      <w:r>
        <w:rPr>
          <w:rFonts w:hint="eastAsia" w:ascii="宋体" w:hAnsi="宋体" w:eastAsia="宋体" w:cs="宋体"/>
          <w:bCs/>
          <w:snapToGrid w:val="0"/>
          <w:sz w:val="24"/>
          <w:szCs w:val="24"/>
          <w:lang w:val="zh-CN" w:eastAsia="zh-CN" w:bidi="en-US"/>
        </w:rPr>
        <w:t>.</w:t>
      </w:r>
      <w:r>
        <w:rPr>
          <w:rFonts w:hint="eastAsia" w:ascii="宋体" w:hAnsi="宋体" w:eastAsia="宋体" w:cs="宋体"/>
          <w:bCs/>
          <w:snapToGrid w:val="0"/>
          <w:sz w:val="24"/>
          <w:szCs w:val="24"/>
          <w:lang w:val="en-US" w:eastAsia="zh-CN" w:bidi="en-US"/>
        </w:rPr>
        <w:t>4</w:t>
      </w:r>
      <w:r>
        <w:rPr>
          <w:rFonts w:hint="eastAsia" w:ascii="宋体" w:hAnsi="宋体" w:eastAsia="宋体" w:cs="宋体"/>
          <w:bCs/>
          <w:snapToGrid w:val="0"/>
          <w:sz w:val="24"/>
          <w:szCs w:val="24"/>
          <w:lang w:val="zh-CN" w:eastAsia="zh-CN" w:bidi="en-US"/>
        </w:rPr>
        <w:t>以上费用不在报价中单列，请供应商在报价中予以考虑。</w:t>
      </w:r>
    </w:p>
    <w:p>
      <w:pPr>
        <w:pStyle w:val="25"/>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r>
        <w:rPr>
          <w:rFonts w:hint="eastAsia" w:ascii="宋体" w:hAnsi="宋体" w:eastAsia="宋体" w:cs="宋体"/>
          <w:b/>
          <w:sz w:val="24"/>
          <w:szCs w:val="24"/>
        </w:rPr>
        <w:t>三、招标文件</w:t>
      </w:r>
      <w:bookmarkEnd w:id="68"/>
      <w:bookmarkEnd w:id="69"/>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招标</w:t>
      </w:r>
      <w:r>
        <w:rPr>
          <w:rFonts w:hint="eastAsia" w:ascii="宋体" w:hAnsi="宋体" w:eastAsia="宋体" w:cs="宋体"/>
          <w:bCs/>
          <w:sz w:val="24"/>
          <w:szCs w:val="24"/>
        </w:rPr>
        <w:t>文件的构成</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公告</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采购需求</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须知</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评</w:t>
      </w:r>
      <w:r>
        <w:rPr>
          <w:rFonts w:hint="eastAsia" w:ascii="宋体" w:hAnsi="宋体" w:cs="宋体"/>
          <w:sz w:val="24"/>
          <w:szCs w:val="24"/>
          <w:lang w:val="en-US" w:eastAsia="zh-CN"/>
        </w:rPr>
        <w:t>标</w:t>
      </w:r>
      <w:r>
        <w:rPr>
          <w:rFonts w:hint="eastAsia" w:ascii="宋体" w:hAnsi="宋体" w:eastAsia="宋体" w:cs="宋体"/>
          <w:sz w:val="24"/>
          <w:szCs w:val="24"/>
        </w:rPr>
        <w:t>办法</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拟签订的合同文本</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w:t>
      </w:r>
      <w:r>
        <w:rPr>
          <w:rFonts w:hint="eastAsia" w:ascii="宋体" w:hAnsi="宋体" w:eastAsia="宋体" w:cs="宋体"/>
          <w:sz w:val="24"/>
          <w:szCs w:val="24"/>
        </w:rPr>
        <w:t>文件格式</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本项目招标文件的澄清、答复、修改、补充的内容</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招标</w:t>
      </w:r>
      <w:r>
        <w:rPr>
          <w:rFonts w:hint="eastAsia" w:ascii="宋体" w:hAnsi="宋体" w:eastAsia="宋体" w:cs="宋体"/>
          <w:bCs/>
          <w:sz w:val="24"/>
          <w:szCs w:val="24"/>
        </w:rPr>
        <w:t>文件的澄清</w:t>
      </w:r>
      <w:r>
        <w:rPr>
          <w:rFonts w:hint="eastAsia" w:ascii="宋体" w:hAnsi="宋体" w:eastAsia="宋体" w:cs="宋体"/>
          <w:bCs/>
          <w:sz w:val="24"/>
          <w:szCs w:val="24"/>
          <w:lang w:eastAsia="zh-CN"/>
        </w:rPr>
        <w:t>与修改</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在提交投标文件截止时间前，采购人、采购代理机构可以对招标文件进行澄清或者修改。</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采购人、采购代理机构可以对已发出的招标文件进行澄清或者修改，将澄清或者修改的内容通知依法获取了招标文件的投标人，同时在浙江政府采购网发布更正公告。</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投标人在招标文件规定的询疑截止时间前内未对招标文件提出疑问的，采购人、采购代理机构将视其对招标文件无异议。采购人、采购代理机构有权对逾期收到疑问将不予受理、答复。</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澄清、修改补充文件发布后，原则上不改变招标文件规定的投标截止时间及开标时间。投标人如认为澄清、修改补充文件内容影响投标文件编制，须延长投标截止时间的，否则，采购人、采购代理机构视投标人完全接受并有足够的时间编制投标文件且按规定时间进行投标。</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招标文件的澄清、修改内容作为招标文件的组成部分。当招标文件与澄清、修改的就同一内容的表述不一致时，以最后发出的文件为准。</w:t>
      </w:r>
    </w:p>
    <w:p>
      <w:pPr>
        <w:pStyle w:val="120"/>
        <w:keepNext w:val="0"/>
        <w:keepLines w:val="0"/>
        <w:pageBreakBefore w:val="0"/>
        <w:widowControl w:val="0"/>
        <w:tabs>
          <w:tab w:val="left" w:pos="0"/>
        </w:tabs>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rPr>
      </w:pPr>
      <w:bookmarkStart w:id="70" w:name="_Toc18109"/>
      <w:bookmarkStart w:id="71" w:name="_Toc361434560"/>
      <w:bookmarkStart w:id="72" w:name="_Toc361437146"/>
      <w:bookmarkStart w:id="73" w:name="_Toc16765"/>
      <w:bookmarkStart w:id="74" w:name="_Toc27505"/>
      <w:bookmarkStart w:id="75" w:name="_Toc361434800"/>
      <w:bookmarkStart w:id="76" w:name="_Toc101321792"/>
      <w:bookmarkStart w:id="77" w:name="_Toc17993"/>
      <w:bookmarkStart w:id="78" w:name="_Toc992"/>
      <w:bookmarkStart w:id="79" w:name="_Toc22988"/>
      <w:bookmarkStart w:id="80" w:name="_Toc17637"/>
      <w:bookmarkStart w:id="81" w:name="_Toc6387"/>
      <w:bookmarkStart w:id="82" w:name="_Toc361434896"/>
      <w:bookmarkStart w:id="83" w:name="_Toc29206"/>
      <w:bookmarkStart w:id="84" w:name="_Toc17470"/>
      <w:bookmarkStart w:id="85" w:name="_Toc452528601"/>
      <w:bookmarkStart w:id="86" w:name="_Toc31950"/>
      <w:bookmarkStart w:id="87" w:name="_Toc21667"/>
      <w:bookmarkStart w:id="88" w:name="_Toc26291"/>
      <w:bookmarkStart w:id="89" w:name="_Toc6645"/>
      <w:bookmarkStart w:id="90" w:name="_Toc361434461"/>
      <w:r>
        <w:rPr>
          <w:rFonts w:hint="eastAsia" w:ascii="宋体" w:hAnsi="宋体" w:eastAsia="宋体" w:cs="宋体"/>
          <w:b/>
          <w:sz w:val="24"/>
          <w:szCs w:val="24"/>
        </w:rPr>
        <w:t>四、</w:t>
      </w:r>
      <w:r>
        <w:rPr>
          <w:rFonts w:hint="eastAsia" w:ascii="宋体" w:hAnsi="宋体" w:eastAsia="宋体" w:cs="宋体"/>
          <w:b/>
          <w:sz w:val="24"/>
          <w:szCs w:val="24"/>
          <w:lang w:eastAsia="zh-CN"/>
        </w:rPr>
        <w:t>投标</w:t>
      </w:r>
      <w:r>
        <w:rPr>
          <w:rFonts w:hint="eastAsia" w:ascii="宋体" w:hAnsi="宋体" w:eastAsia="宋体" w:cs="宋体"/>
          <w:b/>
          <w:sz w:val="24"/>
          <w:szCs w:val="24"/>
        </w:rPr>
        <w:t>文件</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文件的</w:t>
      </w:r>
      <w:r>
        <w:rPr>
          <w:rFonts w:hint="eastAsia" w:ascii="宋体" w:hAnsi="宋体" w:eastAsia="宋体" w:cs="宋体"/>
          <w:bCs/>
          <w:sz w:val="24"/>
          <w:szCs w:val="24"/>
          <w:lang w:eastAsia="zh-CN"/>
        </w:rPr>
        <w:t>组</w:t>
      </w:r>
      <w:r>
        <w:rPr>
          <w:rFonts w:hint="eastAsia" w:ascii="宋体" w:hAnsi="宋体" w:eastAsia="宋体" w:cs="宋体"/>
          <w:bCs/>
          <w:sz w:val="24"/>
          <w:szCs w:val="24"/>
        </w:rPr>
        <w:t>成</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val="zh-CN" w:eastAsia="zh-CN"/>
        </w:rPr>
      </w:pPr>
      <w:r>
        <w:rPr>
          <w:rFonts w:hint="eastAsia" w:ascii="宋体" w:hAnsi="宋体" w:eastAsia="宋体" w:cs="宋体"/>
          <w:sz w:val="24"/>
          <w:szCs w:val="24"/>
          <w:lang w:eastAsia="zh-CN"/>
        </w:rPr>
        <w:t>投标人应按照招标文件的要求以及格式编制</w:t>
      </w:r>
      <w:r>
        <w:rPr>
          <w:rFonts w:hint="eastAsia" w:ascii="宋体" w:hAnsi="宋体" w:cs="宋体"/>
          <w:sz w:val="24"/>
          <w:szCs w:val="24"/>
          <w:lang w:val="en-US" w:eastAsia="zh-CN"/>
        </w:rPr>
        <w:t>电子</w:t>
      </w:r>
      <w:r>
        <w:rPr>
          <w:rFonts w:hint="eastAsia" w:ascii="宋体" w:hAnsi="宋体" w:eastAsia="宋体" w:cs="宋体"/>
          <w:sz w:val="24"/>
          <w:szCs w:val="24"/>
          <w:lang w:eastAsia="zh-CN"/>
        </w:rPr>
        <w:t>投标文件并做出实质性响应，保证其合法性、真实性、准确性和完整性。</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
          <w:sz w:val="24"/>
          <w:szCs w:val="24"/>
          <w:lang w:val="zh-CN" w:eastAsia="zh-CN"/>
        </w:rPr>
      </w:pPr>
      <w:r>
        <w:rPr>
          <w:rFonts w:hint="eastAsia" w:ascii="宋体" w:hAnsi="宋体" w:cs="宋体"/>
          <w:b/>
          <w:sz w:val="24"/>
          <w:szCs w:val="24"/>
          <w:lang w:val="en-US" w:eastAsia="zh-CN"/>
        </w:rPr>
        <w:t>电子</w:t>
      </w:r>
      <w:r>
        <w:rPr>
          <w:rFonts w:hint="eastAsia" w:ascii="宋体" w:hAnsi="宋体" w:eastAsia="宋体" w:cs="宋体"/>
          <w:b/>
          <w:sz w:val="24"/>
          <w:szCs w:val="24"/>
          <w:lang w:val="zh-CN" w:eastAsia="zh-CN"/>
        </w:rPr>
        <w:t>投标文件</w:t>
      </w:r>
      <w:r>
        <w:rPr>
          <w:rFonts w:hint="eastAsia" w:ascii="宋体" w:hAnsi="宋体" w:eastAsia="宋体" w:cs="宋体"/>
          <w:b/>
          <w:iCs/>
          <w:sz w:val="24"/>
          <w:szCs w:val="24"/>
        </w:rPr>
        <w:t>由【资格</w:t>
      </w:r>
      <w:r>
        <w:rPr>
          <w:rFonts w:hint="eastAsia" w:ascii="宋体" w:hAnsi="宋体" w:eastAsia="宋体" w:cs="宋体"/>
          <w:b/>
          <w:iCs/>
          <w:sz w:val="24"/>
          <w:szCs w:val="24"/>
          <w:lang w:eastAsia="zh-CN"/>
        </w:rPr>
        <w:t>审查文件</w:t>
      </w:r>
      <w:r>
        <w:rPr>
          <w:rFonts w:hint="eastAsia" w:ascii="宋体" w:hAnsi="宋体" w:eastAsia="宋体" w:cs="宋体"/>
          <w:b/>
          <w:iCs/>
          <w:sz w:val="24"/>
          <w:szCs w:val="24"/>
        </w:rPr>
        <w:t>】【商务技术文件】【价格文件】</w:t>
      </w:r>
      <w:r>
        <w:rPr>
          <w:rFonts w:hint="eastAsia" w:ascii="宋体" w:hAnsi="宋体" w:eastAsia="宋体" w:cs="宋体"/>
          <w:b/>
          <w:iCs/>
          <w:sz w:val="24"/>
          <w:szCs w:val="24"/>
          <w:lang w:eastAsia="zh-CN"/>
        </w:rPr>
        <w:t>三</w:t>
      </w:r>
      <w:r>
        <w:rPr>
          <w:rFonts w:hint="eastAsia" w:ascii="宋体" w:hAnsi="宋体" w:eastAsia="宋体" w:cs="宋体"/>
          <w:b/>
          <w:iCs/>
          <w:sz w:val="24"/>
          <w:szCs w:val="24"/>
        </w:rPr>
        <w:t>部分内容组成（下称投标文件）</w:t>
      </w:r>
      <w:r>
        <w:rPr>
          <w:rFonts w:hint="eastAsia" w:ascii="宋体" w:hAnsi="宋体" w:cs="宋体"/>
          <w:b/>
          <w:iCs/>
          <w:sz w:val="24"/>
          <w:szCs w:val="24"/>
          <w:lang w:eastAsia="zh-CN"/>
        </w:rPr>
        <w:t>。</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b/>
          <w:sz w:val="24"/>
          <w:szCs w:val="24"/>
          <w:lang w:val="zh-CN" w:eastAsia="zh-CN"/>
        </w:rPr>
      </w:pPr>
      <w:r>
        <w:rPr>
          <w:rFonts w:hint="eastAsia" w:ascii="宋体" w:hAnsi="宋体" w:eastAsia="宋体" w:cs="宋体"/>
          <w:b/>
          <w:sz w:val="24"/>
          <w:szCs w:val="24"/>
          <w:lang w:val="zh-CN"/>
        </w:rPr>
        <w:t>资格审查</w:t>
      </w:r>
      <w:r>
        <w:rPr>
          <w:rFonts w:hint="eastAsia" w:ascii="宋体" w:hAnsi="宋体" w:eastAsia="宋体" w:cs="宋体"/>
          <w:b/>
          <w:sz w:val="24"/>
          <w:szCs w:val="24"/>
          <w:lang w:val="zh-CN" w:eastAsia="zh-CN"/>
        </w:rPr>
        <w:t>文件</w:t>
      </w:r>
      <w:r>
        <w:rPr>
          <w:rFonts w:hint="eastAsia" w:ascii="宋体" w:hAnsi="宋体" w:eastAsia="宋体" w:cs="宋体"/>
          <w:b/>
          <w:sz w:val="24"/>
          <w:szCs w:val="24"/>
          <w:lang w:eastAsia="zh-CN"/>
        </w:rPr>
        <w:t>，包括但不限于下列内容：</w:t>
      </w:r>
    </w:p>
    <w:p>
      <w:pPr>
        <w:pStyle w:val="41"/>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▲投标人基本情况表（格式见附件）</w:t>
      </w:r>
    </w:p>
    <w:p>
      <w:pPr>
        <w:pStyle w:val="41"/>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sz w:val="24"/>
          <w:szCs w:val="24"/>
          <w:highlight w:val="none"/>
        </w:rPr>
        <w:t>提供“符合参加采购活动应当具备的一般条件的承诺函”（格式见附件）</w:t>
      </w:r>
    </w:p>
    <w:p>
      <w:pPr>
        <w:pStyle w:val="41"/>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cs="宋体"/>
          <w:sz w:val="24"/>
          <w:szCs w:val="24"/>
          <w:lang w:val="en-US" w:eastAsia="zh-CN"/>
        </w:rPr>
        <w:t>有效《营业执照》或者《事业单位法人证书》扫描件</w:t>
      </w:r>
    </w:p>
    <w:p>
      <w:pPr>
        <w:pStyle w:val="41"/>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color w:val="auto"/>
          <w:sz w:val="24"/>
          <w:szCs w:val="24"/>
          <w:lang w:val="en-US" w:eastAsia="zh-CN"/>
        </w:rPr>
        <w:t>提供《中小企业声明函》</w:t>
      </w:r>
      <w:r>
        <w:rPr>
          <w:rFonts w:hint="eastAsia"/>
          <w:color w:val="auto"/>
          <w:sz w:val="24"/>
          <w:szCs w:val="24"/>
          <w:highlight w:val="none"/>
        </w:rPr>
        <w:t>（格式见</w:t>
      </w:r>
      <w:r>
        <w:rPr>
          <w:rFonts w:hint="eastAsia"/>
          <w:sz w:val="24"/>
          <w:szCs w:val="24"/>
          <w:highlight w:val="none"/>
        </w:rPr>
        <w:t>附件）</w:t>
      </w:r>
    </w:p>
    <w:p>
      <w:pPr>
        <w:pStyle w:val="120"/>
        <w:keepNext w:val="0"/>
        <w:keepLines w:val="0"/>
        <w:pageBreakBefore w:val="0"/>
        <w:widowControl w:val="0"/>
        <w:numPr>
          <w:ilvl w:val="2"/>
          <w:numId w:val="5"/>
        </w:numPr>
        <w:kinsoku/>
        <w:wordWrap/>
        <w:overflowPunct/>
        <w:topLinePunct w:val="0"/>
        <w:autoSpaceDE/>
        <w:autoSpaceDN/>
        <w:bidi w:val="0"/>
        <w:adjustRightInd w:val="0"/>
        <w:snapToGrid w:val="0"/>
        <w:spacing w:before="220" w:beforeLines="50" w:line="312" w:lineRule="auto"/>
        <w:ind w:left="0" w:firstLine="482"/>
        <w:jc w:val="both"/>
        <w:textAlignment w:val="auto"/>
        <w:rPr>
          <w:rFonts w:hint="eastAsia" w:ascii="宋体" w:hAnsi="宋体" w:eastAsia="宋体" w:cs="宋体"/>
          <w:b/>
          <w:sz w:val="24"/>
          <w:szCs w:val="24"/>
          <w:lang w:val="zh-CN" w:eastAsia="zh-CN"/>
        </w:rPr>
      </w:pPr>
      <w:r>
        <w:rPr>
          <w:rFonts w:hint="eastAsia" w:ascii="宋体" w:hAnsi="宋体" w:eastAsia="宋体" w:cs="宋体"/>
          <w:b/>
          <w:sz w:val="24"/>
          <w:szCs w:val="24"/>
          <w:lang w:val="zh-CN"/>
        </w:rPr>
        <w:t>商务技术</w:t>
      </w:r>
      <w:r>
        <w:rPr>
          <w:rFonts w:hint="eastAsia" w:ascii="宋体" w:hAnsi="宋体" w:eastAsia="宋体" w:cs="宋体"/>
          <w:b/>
          <w:sz w:val="24"/>
          <w:szCs w:val="24"/>
          <w:lang w:val="zh-CN" w:eastAsia="zh-CN"/>
        </w:rPr>
        <w:t>文件</w:t>
      </w:r>
      <w:r>
        <w:rPr>
          <w:rFonts w:hint="eastAsia" w:ascii="宋体" w:hAnsi="宋体" w:eastAsia="宋体" w:cs="宋体"/>
          <w:b/>
          <w:sz w:val="24"/>
          <w:szCs w:val="24"/>
          <w:lang w:eastAsia="zh-CN"/>
        </w:rPr>
        <w:t>，包括但不限于下列内容：</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zh-CN"/>
        </w:rPr>
        <w:t>投标声明函（格式见附件）</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zh-CN"/>
        </w:rPr>
        <w:t>授权委托书（格式见附件）</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eastAsia="zh-CN"/>
        </w:rPr>
        <w:t>投标人履约经验</w:t>
      </w:r>
      <w:r>
        <w:rPr>
          <w:rFonts w:hint="eastAsia" w:ascii="宋体" w:hAnsi="宋体" w:eastAsia="宋体" w:cs="宋体"/>
          <w:color w:val="000000"/>
          <w:sz w:val="24"/>
          <w:szCs w:val="24"/>
        </w:rPr>
        <w:t>类似业绩一览表</w:t>
      </w:r>
      <w:r>
        <w:rPr>
          <w:rFonts w:hint="eastAsia" w:ascii="宋体" w:hAnsi="宋体" w:eastAsia="宋体" w:cs="宋体"/>
          <w:color w:val="000000"/>
          <w:sz w:val="24"/>
          <w:szCs w:val="24"/>
          <w:lang w:val="zh-CN"/>
        </w:rPr>
        <w:t>（格式见附件）</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项目组人员配备一览表</w:t>
      </w:r>
      <w:r>
        <w:rPr>
          <w:rFonts w:hint="eastAsia" w:ascii="宋体" w:hAnsi="宋体" w:eastAsia="宋体" w:cs="宋体"/>
          <w:color w:val="000000"/>
          <w:sz w:val="24"/>
          <w:szCs w:val="24"/>
          <w:lang w:val="zh-CN" w:eastAsia="zh-CN"/>
        </w:rPr>
        <w:t>（</w:t>
      </w:r>
      <w:r>
        <w:rPr>
          <w:rFonts w:hint="eastAsia" w:ascii="宋体" w:hAnsi="宋体" w:eastAsia="宋体" w:cs="宋体"/>
          <w:color w:val="000000"/>
          <w:sz w:val="24"/>
          <w:szCs w:val="24"/>
          <w:lang w:eastAsia="zh-CN"/>
        </w:rPr>
        <w:t>格式见附件</w:t>
      </w:r>
      <w:r>
        <w:rPr>
          <w:rFonts w:hint="eastAsia" w:ascii="宋体" w:hAnsi="宋体" w:eastAsia="宋体" w:cs="宋体"/>
          <w:color w:val="000000"/>
          <w:sz w:val="24"/>
          <w:szCs w:val="24"/>
          <w:lang w:val="zh-CN" w:eastAsia="zh-CN"/>
        </w:rPr>
        <w:t>）</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eastAsia="zh-CN"/>
        </w:rPr>
        <w:t>主要设备配备一览表</w:t>
      </w:r>
    </w:p>
    <w:p>
      <w:pPr>
        <w:pStyle w:val="41"/>
        <w:keepNext w:val="0"/>
        <w:keepLines w:val="0"/>
        <w:pageBreakBefore w:val="0"/>
        <w:widowControl w:val="0"/>
        <w:numPr>
          <w:ilvl w:val="0"/>
          <w:numId w:val="7"/>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t>供应商认为需要的其他资信资料</w:t>
      </w:r>
    </w:p>
    <w:p>
      <w:pPr>
        <w:pStyle w:val="120"/>
        <w:keepNext w:val="0"/>
        <w:keepLines w:val="0"/>
        <w:pageBreakBefore w:val="0"/>
        <w:widowControl w:val="0"/>
        <w:numPr>
          <w:ilvl w:val="2"/>
          <w:numId w:val="5"/>
        </w:numPr>
        <w:kinsoku/>
        <w:bidi w:val="0"/>
        <w:adjustRightInd w:val="0"/>
        <w:snapToGrid w:val="0"/>
        <w:spacing w:line="312" w:lineRule="auto"/>
        <w:ind w:left="0" w:firstLine="482"/>
        <w:jc w:val="both"/>
        <w:rPr>
          <w:rFonts w:hint="eastAsia" w:ascii="宋体" w:hAnsi="宋体" w:eastAsia="宋体" w:cs="宋体"/>
          <w:b/>
          <w:sz w:val="24"/>
          <w:szCs w:val="24"/>
          <w:lang w:eastAsia="zh-CN"/>
        </w:rPr>
      </w:pPr>
      <w:r>
        <w:rPr>
          <w:rFonts w:hint="eastAsia" w:ascii="宋体" w:hAnsi="宋体" w:eastAsia="宋体" w:cs="宋体"/>
          <w:b/>
          <w:color w:val="auto"/>
          <w:sz w:val="24"/>
          <w:szCs w:val="24"/>
          <w:lang w:eastAsia="zh-CN"/>
        </w:rPr>
        <w:t>价</w:t>
      </w:r>
      <w:r>
        <w:rPr>
          <w:rFonts w:hint="eastAsia" w:ascii="宋体" w:hAnsi="宋体" w:eastAsia="宋体" w:cs="宋体"/>
          <w:b/>
          <w:sz w:val="24"/>
          <w:szCs w:val="24"/>
          <w:lang w:eastAsia="zh-CN"/>
        </w:rPr>
        <w:t>格文件，包括但不限于下列内容：</w:t>
      </w:r>
    </w:p>
    <w:p>
      <w:pPr>
        <w:pStyle w:val="120"/>
        <w:keepNext w:val="0"/>
        <w:keepLines w:val="0"/>
        <w:pageBreakBefore w:val="0"/>
        <w:widowControl w:val="0"/>
        <w:numPr>
          <w:ilvl w:val="0"/>
          <w:numId w:val="8"/>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zh-CN" w:eastAsia="zh-CN"/>
        </w:rPr>
        <w:t>开标一览表（</w:t>
      </w:r>
      <w:r>
        <w:rPr>
          <w:rFonts w:hint="eastAsia" w:ascii="宋体" w:hAnsi="宋体" w:eastAsia="宋体" w:cs="宋体"/>
          <w:sz w:val="24"/>
          <w:szCs w:val="24"/>
          <w:lang w:eastAsia="zh-CN"/>
        </w:rPr>
        <w:t>格式见附件</w:t>
      </w:r>
      <w:r>
        <w:rPr>
          <w:rFonts w:hint="eastAsia" w:ascii="宋体" w:hAnsi="宋体" w:eastAsia="宋体" w:cs="宋体"/>
          <w:sz w:val="24"/>
          <w:szCs w:val="24"/>
          <w:lang w:val="zh-CN" w:eastAsia="zh-CN"/>
        </w:rPr>
        <w:t>）</w:t>
      </w:r>
    </w:p>
    <w:p>
      <w:pPr>
        <w:pStyle w:val="120"/>
        <w:keepNext w:val="0"/>
        <w:keepLines w:val="0"/>
        <w:pageBreakBefore w:val="0"/>
        <w:widowControl w:val="0"/>
        <w:numPr>
          <w:ilvl w:val="0"/>
          <w:numId w:val="8"/>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分项报价明细表</w:t>
      </w:r>
      <w:r>
        <w:rPr>
          <w:rFonts w:hint="eastAsia" w:ascii="宋体" w:hAnsi="宋体" w:eastAsia="宋体" w:cs="宋体"/>
          <w:sz w:val="24"/>
          <w:szCs w:val="24"/>
          <w:lang w:val="zh-CN" w:eastAsia="zh-CN"/>
        </w:rPr>
        <w:t>（</w:t>
      </w:r>
      <w:r>
        <w:rPr>
          <w:rFonts w:hint="eastAsia" w:ascii="宋体" w:hAnsi="宋体" w:eastAsia="宋体" w:cs="宋体"/>
          <w:sz w:val="24"/>
          <w:szCs w:val="24"/>
          <w:lang w:eastAsia="zh-CN"/>
        </w:rPr>
        <w:t>格式</w:t>
      </w:r>
      <w:r>
        <w:rPr>
          <w:rFonts w:hint="eastAsia" w:ascii="宋体" w:hAnsi="宋体" w:eastAsia="宋体" w:cs="宋体"/>
          <w:sz w:val="24"/>
          <w:szCs w:val="24"/>
          <w:lang w:val="en-US" w:eastAsia="zh-CN"/>
        </w:rPr>
        <w:t>自拟</w:t>
      </w:r>
      <w:r>
        <w:rPr>
          <w:rFonts w:hint="eastAsia" w:ascii="宋体" w:hAnsi="宋体" w:eastAsia="宋体" w:cs="宋体"/>
          <w:sz w:val="24"/>
          <w:szCs w:val="24"/>
          <w:lang w:val="zh-CN" w:eastAsia="zh-CN"/>
        </w:rPr>
        <w:t>）</w:t>
      </w:r>
    </w:p>
    <w:p>
      <w:pPr>
        <w:pStyle w:val="120"/>
        <w:keepNext w:val="0"/>
        <w:keepLines w:val="0"/>
        <w:pageBreakBefore w:val="0"/>
        <w:widowControl w:val="0"/>
        <w:numPr>
          <w:ilvl w:val="0"/>
          <w:numId w:val="8"/>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承诺给予采购人的各种优惠条件（如有，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p>
    <w:p>
      <w:pPr>
        <w:pStyle w:val="120"/>
        <w:keepNext w:val="0"/>
        <w:keepLines w:val="0"/>
        <w:pageBreakBefore w:val="0"/>
        <w:widowControl w:val="0"/>
        <w:numPr>
          <w:ilvl w:val="0"/>
          <w:numId w:val="8"/>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投标人根据采购文件要求认为需提供的其他资料。</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报价</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最高限价</w:t>
      </w:r>
      <w:r>
        <w:rPr>
          <w:rFonts w:hint="eastAsia" w:ascii="宋体" w:hAnsi="宋体" w:eastAsia="宋体" w:cs="宋体"/>
          <w:b/>
          <w:bCs/>
          <w:color w:val="auto"/>
          <w:sz w:val="24"/>
          <w:szCs w:val="24"/>
          <w:lang w:eastAsia="zh-CN"/>
        </w:rPr>
        <w:t>：详</w:t>
      </w:r>
      <w:r>
        <w:rPr>
          <w:rFonts w:hint="eastAsia" w:ascii="宋体" w:hAnsi="宋体" w:eastAsia="宋体" w:cs="宋体"/>
          <w:b/>
          <w:bCs/>
          <w:color w:val="auto"/>
          <w:sz w:val="24"/>
          <w:szCs w:val="24"/>
        </w:rPr>
        <w:t>见投标人须知前附表，投标报价高于最高限价的为无效报价。</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投标报价范围：见投标人须知前附表。</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投标报价次数：见投标人须知前附表。</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color w:val="000000"/>
          <w:sz w:val="24"/>
          <w:szCs w:val="24"/>
          <w:lang w:eastAsia="zh-CN"/>
        </w:rPr>
        <w:t>投标报价只允许有一个报价，有选择的或有条件的报价均不予接受。</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投标文件格式</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招标文件提供固定格式的，投标人须按照固定格式制作投标文件，详见本招标文件第六章。</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招标文件没有格式要求的由投标人自行编写。</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投标文件制作、加密和提交</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bidi="ar-SA"/>
        </w:rPr>
        <w:t>▲</w:t>
      </w:r>
      <w:r>
        <w:rPr>
          <w:rFonts w:hint="eastAsia" w:ascii="宋体" w:hAnsi="宋体" w:eastAsia="宋体" w:cs="宋体"/>
          <w:b/>
          <w:sz w:val="24"/>
          <w:szCs w:val="24"/>
          <w:lang w:eastAsia="zh-CN" w:bidi="ar-SA"/>
        </w:rPr>
        <w:t>制作、</w:t>
      </w:r>
      <w:r>
        <w:rPr>
          <w:rFonts w:hint="eastAsia" w:ascii="宋体" w:hAnsi="宋体" w:eastAsia="宋体" w:cs="宋体"/>
          <w:b/>
          <w:sz w:val="24"/>
          <w:szCs w:val="24"/>
          <w:lang w:eastAsia="zh-CN"/>
        </w:rPr>
        <w:t>加密和提交</w:t>
      </w:r>
      <w:r>
        <w:rPr>
          <w:rFonts w:hint="eastAsia" w:ascii="宋体" w:hAnsi="宋体" w:eastAsia="宋体" w:cs="宋体"/>
          <w:bCs/>
          <w:sz w:val="24"/>
          <w:szCs w:val="24"/>
          <w:lang w:eastAsia="zh-CN"/>
        </w:rPr>
        <w:t>：按</w:t>
      </w:r>
      <w:r>
        <w:rPr>
          <w:rFonts w:hint="eastAsia" w:ascii="宋体" w:hAnsi="宋体" w:eastAsia="宋体" w:cs="宋体"/>
          <w:bCs/>
          <w:sz w:val="24"/>
          <w:szCs w:val="24"/>
          <w:lang w:eastAsia="zh-CN" w:bidi="ar-SA"/>
        </w:rPr>
        <w:t>投标人须知前附表要求。</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Style w:val="57"/>
          <w:rFonts w:hint="eastAsia" w:ascii="宋体" w:hAnsi="宋体" w:eastAsia="宋体" w:cs="宋体"/>
          <w:b/>
          <w:color w:val="auto"/>
          <w:sz w:val="24"/>
          <w:szCs w:val="24"/>
          <w:lang w:eastAsia="zh-CN"/>
        </w:rPr>
        <w:t>▲</w:t>
      </w:r>
      <w:r>
        <w:rPr>
          <w:rFonts w:hint="eastAsia" w:ascii="宋体" w:hAnsi="宋体" w:eastAsia="宋体" w:cs="宋体"/>
          <w:b/>
          <w:sz w:val="24"/>
          <w:szCs w:val="24"/>
          <w:lang w:eastAsia="zh-CN"/>
        </w:rPr>
        <w:t>签章：</w:t>
      </w:r>
      <w:r>
        <w:rPr>
          <w:rFonts w:hint="eastAsia" w:ascii="宋体" w:hAnsi="宋体" w:eastAsia="宋体" w:cs="宋体"/>
          <w:bCs/>
          <w:sz w:val="24"/>
          <w:szCs w:val="24"/>
          <w:lang w:eastAsia="zh-CN"/>
        </w:rPr>
        <w:t>招标文件注明需签字盖章部位、资格商务证明材料扫描件，以及任何行间插字、涂改或增删位置和澄清说明函等均须采用CA电子签章。</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备份投标文件制作、密封和提交</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制作、密封和提交</w:t>
      </w:r>
      <w:r>
        <w:rPr>
          <w:rFonts w:hint="eastAsia" w:ascii="宋体" w:hAnsi="宋体" w:eastAsia="宋体" w:cs="宋体"/>
          <w:sz w:val="24"/>
          <w:szCs w:val="24"/>
          <w:lang w:eastAsia="zh-CN"/>
        </w:rPr>
        <w:t>详见投标人须知前附表。</w:t>
      </w:r>
      <w:r>
        <w:rPr>
          <w:rFonts w:hint="eastAsia" w:ascii="宋体" w:hAnsi="宋体" w:eastAsia="宋体" w:cs="宋体"/>
          <w:b/>
          <w:bCs/>
          <w:sz w:val="24"/>
          <w:szCs w:val="24"/>
          <w:lang w:eastAsia="zh-CN"/>
        </w:rPr>
        <w:t>是否提交备份投标文件由投标人决定，并自行承担不提交备份投标文件的风险。</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修改</w:t>
      </w:r>
      <w:r>
        <w:rPr>
          <w:rFonts w:hint="eastAsia" w:ascii="宋体" w:hAnsi="宋体" w:eastAsia="宋体" w:cs="宋体"/>
          <w:bCs/>
          <w:sz w:val="24"/>
          <w:szCs w:val="24"/>
          <w:lang w:eastAsia="zh-CN"/>
        </w:rPr>
        <w:t>与</w:t>
      </w:r>
      <w:r>
        <w:rPr>
          <w:rFonts w:hint="eastAsia" w:ascii="宋体" w:hAnsi="宋体" w:eastAsia="宋体" w:cs="宋体"/>
          <w:bCs/>
          <w:sz w:val="24"/>
          <w:szCs w:val="24"/>
        </w:rPr>
        <w:t>撤回</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在投标截止前投标人可以对已提交投标文件进行修改、补充或撤回</w:t>
      </w:r>
      <w:r>
        <w:rPr>
          <w:rFonts w:hint="eastAsia" w:ascii="宋体" w:hAnsi="宋体" w:eastAsia="宋体" w:cs="宋体"/>
          <w:b/>
          <w:sz w:val="24"/>
          <w:szCs w:val="24"/>
          <w:lang w:eastAsia="zh-CN"/>
        </w:rPr>
        <w:t>，应当先行撤回原文件，补充、修改后重新传输提交。</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投标截止时间后，投标人不得撤回、修改投标文件。</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修改后重新提交的投标文件应当符合上述第22条、第23条规定。</w:t>
      </w:r>
    </w:p>
    <w:p>
      <w:pPr>
        <w:pStyle w:val="41"/>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rPr>
      </w:pPr>
      <w:bookmarkStart w:id="91" w:name="_Toc6855"/>
      <w:r>
        <w:rPr>
          <w:rFonts w:hint="eastAsia" w:ascii="宋体" w:hAnsi="宋体" w:eastAsia="宋体" w:cs="宋体"/>
          <w:b/>
          <w:sz w:val="24"/>
          <w:szCs w:val="24"/>
        </w:rPr>
        <w:t>五、开 标</w:t>
      </w:r>
      <w:bookmarkEnd w:id="91"/>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开标</w:t>
      </w:r>
      <w:r>
        <w:rPr>
          <w:rFonts w:hint="eastAsia" w:ascii="宋体" w:hAnsi="宋体" w:eastAsia="宋体" w:cs="宋体"/>
          <w:bCs/>
          <w:sz w:val="24"/>
          <w:szCs w:val="24"/>
          <w:lang w:eastAsia="zh-CN"/>
        </w:rPr>
        <w:t>时间及地点</w:t>
      </w:r>
    </w:p>
    <w:p>
      <w:pPr>
        <w:pStyle w:val="41"/>
        <w:keepNext w:val="0"/>
        <w:keepLines w:val="0"/>
        <w:pageBreakBefore w:val="0"/>
        <w:widowControl w:val="0"/>
        <w:kinsoku/>
        <w:bidi w:val="0"/>
        <w:adjustRightInd w:val="0"/>
        <w:snapToGrid w:val="0"/>
        <w:spacing w:line="312" w:lineRule="auto"/>
        <w:ind w:firstLine="482"/>
        <w:jc w:val="both"/>
        <w:rPr>
          <w:rFonts w:hint="eastAsia" w:ascii="仿宋" w:hAnsi="仿宋" w:eastAsia="仿宋" w:cs="仿宋"/>
          <w:sz w:val="24"/>
          <w:szCs w:val="24"/>
          <w:highlight w:val="none"/>
        </w:rPr>
      </w:pPr>
      <w:r>
        <w:rPr>
          <w:rFonts w:hint="eastAsia" w:cs="宋体"/>
          <w:sz w:val="24"/>
          <w:szCs w:val="24"/>
          <w:lang w:val="en-US" w:eastAsia="zh-CN"/>
        </w:rPr>
        <w:t>25.1</w:t>
      </w:r>
      <w:r>
        <w:rPr>
          <w:rFonts w:hint="eastAsia" w:ascii="宋体" w:hAnsi="宋体" w:eastAsia="宋体" w:cs="宋体"/>
          <w:bCs/>
          <w:snapToGrid/>
          <w:sz w:val="24"/>
          <w:szCs w:val="24"/>
          <w:lang w:val="en-US" w:eastAsia="zh-CN" w:bidi="en-US"/>
        </w:rPr>
        <w:t>采购机构按照招标文件规定的时间通过电子交易平台组织开标，所有投标人均应当准时在线参加。投标人不足3家的，不得开标。</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25.2开标时，电子交易平台按开标时间自动提取所有投标文件。采购机构依托电子交易平台发起开始解密指令，投标人按照平台提示和招标文件的规定在半小时内完成在线解密。</w:t>
      </w:r>
    </w:p>
    <w:p>
      <w:pPr>
        <w:pStyle w:val="120"/>
        <w:widowControl w:val="0"/>
        <w:numPr>
          <w:ilvl w:val="0"/>
          <w:numId w:val="0"/>
        </w:numPr>
        <w:tabs>
          <w:tab w:val="left" w:pos="0"/>
        </w:tabs>
        <w:adjustRightInd w:val="0"/>
        <w:snapToGrid w:val="0"/>
        <w:spacing w:line="380" w:lineRule="exact"/>
        <w:ind w:left="482" w:leftChars="0"/>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25.3投标文件未按时解密，投标人提供了备份投标文件的，以备份投标文件作为依据，否则视为投标文件撤回。投标文件已按时解密的，</w:t>
      </w:r>
      <w:r>
        <w:rPr>
          <w:rFonts w:hint="eastAsia" w:ascii="宋体" w:hAnsi="宋体" w:eastAsia="宋体" w:cs="宋体"/>
          <w:bCs/>
          <w:snapToGrid/>
          <w:sz w:val="24"/>
          <w:szCs w:val="24"/>
          <w:lang w:val="zh-CN" w:eastAsia="zh-CN" w:bidi="en-US"/>
        </w:rPr>
        <w:t>备份</w:t>
      </w:r>
      <w:r>
        <w:rPr>
          <w:rFonts w:hint="eastAsia" w:ascii="宋体" w:hAnsi="宋体" w:eastAsia="宋体" w:cs="宋体"/>
          <w:bCs/>
          <w:snapToGrid/>
          <w:sz w:val="24"/>
          <w:szCs w:val="24"/>
          <w:lang w:val="en-US" w:eastAsia="zh-CN" w:bidi="en-US"/>
        </w:rPr>
        <w:t>投标文</w:t>
      </w:r>
      <w:r>
        <w:rPr>
          <w:rFonts w:hint="eastAsia" w:ascii="宋体" w:hAnsi="宋体" w:eastAsia="宋体" w:cs="宋体"/>
          <w:bCs/>
          <w:snapToGrid/>
          <w:sz w:val="24"/>
          <w:szCs w:val="24"/>
          <w:lang w:val="zh-CN" w:eastAsia="zh-CN" w:bidi="en-US"/>
        </w:rPr>
        <w:t>件，以完成开标。</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cs="宋体"/>
          <w:bCs/>
          <w:sz w:val="24"/>
          <w:szCs w:val="24"/>
          <w:lang w:val="en-US" w:eastAsia="zh-CN"/>
        </w:rPr>
        <w:t>资格审查</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.1 开标后，采购人或采购机构将依法对投标人的资格进行审查。</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.2 采购人或采购机构依据法律法规和招标文件的规定，对投标人的基本资格条件、特定资格条件进行审查。</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.3 投标人未按照招标文件要求提供与基本资格条件、特定资格条件相应的有效资格证明材料的，视为投标人不具备招标文件中规定的资格要求，其投标无效。</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.4 对未通过资格审查的投标人，采购人或采购机构告知其未通过的原因。</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.5 合格投标人不足3家的，不再评标。</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bCs/>
          <w:sz w:val="24"/>
          <w:szCs w:val="24"/>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6</w:t>
      </w:r>
      <w:r>
        <w:rPr>
          <w:rFonts w:hint="eastAsia" w:ascii="宋体" w:hAnsi="宋体" w:eastAsia="宋体" w:cs="宋体"/>
          <w:bCs/>
          <w:snapToGrid/>
          <w:sz w:val="24"/>
          <w:szCs w:val="24"/>
          <w:lang w:val="en-US" w:eastAsia="zh-CN" w:bidi="en-US"/>
        </w:rPr>
        <w:t>.6 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napToGrid/>
          <w:sz w:val="24"/>
          <w:szCs w:val="24"/>
          <w:lang w:val="en-US" w:eastAsia="zh-CN" w:bidi="en-US"/>
        </w:rPr>
      </w:pPr>
      <w:r>
        <w:rPr>
          <w:rFonts w:hint="eastAsia" w:ascii="宋体" w:hAnsi="宋体" w:cs="宋体"/>
          <w:bCs/>
          <w:sz w:val="24"/>
          <w:szCs w:val="24"/>
          <w:lang w:val="en-US" w:eastAsia="zh-CN"/>
        </w:rPr>
        <w:t>信用信息查询</w:t>
      </w:r>
    </w:p>
    <w:p>
      <w:pPr>
        <w:pStyle w:val="243"/>
        <w:spacing w:before="0"/>
        <w:ind w:firstLine="495" w:firstLineChars="0"/>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7</w:t>
      </w:r>
      <w:r>
        <w:rPr>
          <w:rFonts w:hint="eastAsia" w:ascii="宋体" w:hAnsi="宋体" w:eastAsia="宋体" w:cs="宋体"/>
          <w:bCs/>
          <w:snapToGrid/>
          <w:sz w:val="24"/>
          <w:szCs w:val="24"/>
          <w:lang w:val="en-US" w:eastAsia="zh-CN" w:bidi="en-US"/>
        </w:rPr>
        <w:t>.1 信用信息查询渠道及截止时间：采购机构将通过“信用中国”网站(www.creditchina.gov.cn)、中国政府采购网(www.ccgp.gov.cn)渠道查询投标人投标截止时间当天的信用记录。</w:t>
      </w:r>
    </w:p>
    <w:p>
      <w:pPr>
        <w:pStyle w:val="243"/>
        <w:spacing w:before="0"/>
        <w:ind w:firstLine="495" w:firstLineChars="0"/>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7</w:t>
      </w:r>
      <w:r>
        <w:rPr>
          <w:rFonts w:hint="eastAsia" w:ascii="宋体" w:hAnsi="宋体" w:eastAsia="宋体" w:cs="宋体"/>
          <w:bCs/>
          <w:snapToGrid/>
          <w:sz w:val="24"/>
          <w:szCs w:val="24"/>
          <w:lang w:val="en-US" w:eastAsia="zh-CN" w:bidi="en-US"/>
        </w:rPr>
        <w:t>.2 信用信息查询记录和证据留存的具体方式：现场查询的投标人的信用记录、查询结果经确认后将与采购文件一起存档。</w:t>
      </w:r>
    </w:p>
    <w:p>
      <w:pPr>
        <w:pStyle w:val="243"/>
        <w:spacing w:before="0"/>
        <w:ind w:firstLine="495" w:firstLineChars="0"/>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7</w:t>
      </w:r>
      <w:r>
        <w:rPr>
          <w:rFonts w:hint="eastAsia" w:ascii="宋体" w:hAnsi="宋体" w:eastAsia="宋体" w:cs="宋体"/>
          <w:bCs/>
          <w:snapToGrid/>
          <w:sz w:val="24"/>
          <w:szCs w:val="24"/>
          <w:lang w:val="en-US" w:eastAsia="zh-CN" w:bidi="en-US"/>
        </w:rPr>
        <w:t>.3 信用信息的使用规则：经查询列入失信被执行人名单、重大税收违法案件当事人名单、政府采购严重违法失信行为记录名单的投标人将被拒绝参与政府采购活动。</w:t>
      </w:r>
    </w:p>
    <w:p>
      <w:pPr>
        <w:pStyle w:val="243"/>
        <w:spacing w:before="0"/>
        <w:ind w:firstLine="480"/>
        <w:rPr>
          <w:rFonts w:hint="eastAsia" w:ascii="宋体" w:hAnsi="宋体" w:eastAsia="宋体" w:cs="宋体"/>
          <w:bCs/>
          <w:snapToGrid/>
          <w:sz w:val="24"/>
          <w:szCs w:val="24"/>
          <w:lang w:val="en-US" w:eastAsia="zh-CN" w:bidi="en-US"/>
        </w:rPr>
      </w:pPr>
      <w:r>
        <w:rPr>
          <w:rFonts w:hint="eastAsia" w:ascii="宋体" w:hAnsi="宋体" w:eastAsia="宋体" w:cs="宋体"/>
          <w:bCs/>
          <w:snapToGrid/>
          <w:sz w:val="24"/>
          <w:szCs w:val="24"/>
          <w:lang w:val="en-US" w:eastAsia="zh-CN" w:bidi="en-US"/>
        </w:rPr>
        <w:t>2</w:t>
      </w:r>
      <w:r>
        <w:rPr>
          <w:rFonts w:hint="eastAsia" w:cs="宋体"/>
          <w:bCs/>
          <w:snapToGrid/>
          <w:sz w:val="24"/>
          <w:szCs w:val="24"/>
          <w:lang w:val="en-US" w:eastAsia="zh-CN" w:bidi="en-US"/>
        </w:rPr>
        <w:t>7</w:t>
      </w:r>
      <w:r>
        <w:rPr>
          <w:rFonts w:hint="eastAsia" w:ascii="宋体" w:hAnsi="宋体" w:eastAsia="宋体" w:cs="宋体"/>
          <w:bCs/>
          <w:snapToGrid/>
          <w:sz w:val="24"/>
          <w:szCs w:val="24"/>
          <w:lang w:val="en-US" w:eastAsia="zh-CN" w:bidi="en-US"/>
        </w:rPr>
        <w:t>.4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120"/>
        <w:keepNext w:val="0"/>
        <w:keepLines w:val="0"/>
        <w:pageBreakBefore w:val="0"/>
        <w:widowControl w:val="0"/>
        <w:numPr>
          <w:ilvl w:val="0"/>
          <w:numId w:val="0"/>
        </w:numPr>
        <w:tabs>
          <w:tab w:val="left" w:pos="0"/>
        </w:tabs>
        <w:kinsoku/>
        <w:bidi w:val="0"/>
        <w:adjustRightInd w:val="0"/>
        <w:snapToGrid w:val="0"/>
        <w:spacing w:line="312" w:lineRule="auto"/>
        <w:ind w:left="482" w:leftChars="0"/>
        <w:jc w:val="both"/>
        <w:rPr>
          <w:rFonts w:hint="eastAsia" w:ascii="宋体" w:hAnsi="宋体" w:eastAsia="宋体" w:cs="宋体"/>
          <w:bCs/>
          <w:sz w:val="24"/>
          <w:szCs w:val="24"/>
        </w:rPr>
      </w:pPr>
    </w:p>
    <w:p>
      <w:pPr>
        <w:pStyle w:val="41"/>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bookmarkStart w:id="92" w:name="_Toc27408"/>
      <w:bookmarkStart w:id="93" w:name="_Toc101321796"/>
      <w:bookmarkStart w:id="94" w:name="_Toc81372954"/>
      <w:bookmarkStart w:id="95" w:name="_Toc81372777"/>
      <w:bookmarkStart w:id="96" w:name="_Toc84325930"/>
      <w:r>
        <w:rPr>
          <w:rFonts w:hint="eastAsia" w:ascii="宋体" w:hAnsi="宋体" w:eastAsia="宋体" w:cs="宋体"/>
          <w:b/>
          <w:sz w:val="24"/>
          <w:szCs w:val="24"/>
        </w:rPr>
        <w:t>六、评 标</w:t>
      </w:r>
      <w:bookmarkEnd w:id="92"/>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napToGrid/>
          <w:color w:val="000000"/>
          <w:sz w:val="24"/>
          <w:szCs w:val="24"/>
          <w:lang w:val="en-US" w:eastAsia="zh-CN" w:bidi="en-US"/>
        </w:rPr>
      </w:pPr>
      <w:r>
        <w:rPr>
          <w:rFonts w:hint="eastAsia" w:ascii="宋体" w:hAnsi="宋体" w:eastAsia="宋体" w:cs="宋体"/>
          <w:sz w:val="24"/>
          <w:szCs w:val="24"/>
        </w:rPr>
        <w:t>评标</w:t>
      </w:r>
      <w:bookmarkStart w:id="97" w:name="_Toc21224"/>
    </w:p>
    <w:p>
      <w:pPr>
        <w:pStyle w:val="120"/>
        <w:keepNext w:val="0"/>
        <w:keepLines w:val="0"/>
        <w:pageBreakBefore w:val="0"/>
        <w:widowControl w:val="0"/>
        <w:numPr>
          <w:ilvl w:val="0"/>
          <w:numId w:val="0"/>
        </w:numPr>
        <w:tabs>
          <w:tab w:val="left" w:pos="0"/>
        </w:tabs>
        <w:kinsoku/>
        <w:bidi w:val="0"/>
        <w:adjustRightInd w:val="0"/>
        <w:snapToGrid w:val="0"/>
        <w:spacing w:line="312" w:lineRule="auto"/>
        <w:ind w:left="482"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标建议。详见招标文件《第四章 评标方法》。</w:t>
      </w:r>
    </w:p>
    <w:p>
      <w:pPr>
        <w:pStyle w:val="41"/>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r>
        <w:rPr>
          <w:rFonts w:hint="eastAsia" w:ascii="宋体" w:hAnsi="宋体" w:eastAsia="宋体" w:cs="宋体"/>
          <w:b/>
          <w:sz w:val="24"/>
          <w:szCs w:val="24"/>
        </w:rPr>
        <w:t>七、定 标</w:t>
      </w:r>
      <w:bookmarkEnd w:id="97"/>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确定</w:t>
      </w:r>
      <w:r>
        <w:rPr>
          <w:rFonts w:hint="eastAsia" w:ascii="宋体" w:hAnsi="宋体" w:eastAsia="宋体" w:cs="宋体"/>
          <w:sz w:val="24"/>
          <w:szCs w:val="24"/>
          <w:lang w:eastAsia="zh-CN"/>
        </w:rPr>
        <w:t>中标供应商</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color w:val="000000"/>
          <w:sz w:val="24"/>
          <w:szCs w:val="24"/>
          <w:lang w:eastAsia="zh-CN"/>
        </w:rPr>
        <w:t>采购代理机构自评审结束后2个工作日内将评标报告及有关资料送交采购人</w:t>
      </w:r>
      <w:r>
        <w:rPr>
          <w:rFonts w:hint="eastAsia" w:ascii="宋体" w:hAnsi="宋体" w:eastAsia="宋体" w:cs="宋体"/>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采购人应当在收到评审报告</w:t>
      </w:r>
      <w:r>
        <w:rPr>
          <w:rFonts w:hint="eastAsia" w:ascii="宋体" w:hAnsi="宋体" w:eastAsia="宋体" w:cs="宋体"/>
          <w:bCs/>
          <w:sz w:val="24"/>
          <w:szCs w:val="24"/>
          <w:lang w:eastAsia="zh-CN"/>
        </w:rPr>
        <w:t>及有关资料后</w:t>
      </w:r>
      <w:r>
        <w:rPr>
          <w:rFonts w:hint="eastAsia" w:ascii="宋体" w:hAnsi="宋体" w:eastAsia="宋体" w:cs="宋体"/>
          <w:snapToGrid w:val="0"/>
          <w:sz w:val="24"/>
          <w:szCs w:val="24"/>
          <w:lang w:eastAsia="zh-CN"/>
        </w:rPr>
        <w:t>5个工作日内，确定中标供应商</w:t>
      </w:r>
      <w:r>
        <w:rPr>
          <w:rFonts w:hint="eastAsia" w:ascii="宋体" w:hAnsi="宋体" w:eastAsia="宋体" w:cs="宋体"/>
          <w:sz w:val="24"/>
          <w:szCs w:val="24"/>
          <w:lang w:eastAsia="zh-CN"/>
        </w:rPr>
        <w:t>。</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pacing w:val="-6"/>
          <w:sz w:val="24"/>
          <w:szCs w:val="24"/>
        </w:rPr>
      </w:pP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通知书</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pacing w:val="-6"/>
          <w:sz w:val="24"/>
          <w:szCs w:val="24"/>
          <w:lang w:eastAsia="zh-CN"/>
        </w:rPr>
      </w:pPr>
      <w:r>
        <w:rPr>
          <w:rFonts w:hint="eastAsia" w:ascii="宋体" w:hAnsi="宋体" w:eastAsia="宋体" w:cs="宋体"/>
          <w:sz w:val="24"/>
          <w:szCs w:val="24"/>
          <w:lang w:eastAsia="zh-CN"/>
        </w:rPr>
        <w:t>采购代理机构应当自</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确定之日起2个工作日内，发出</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通知书。</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中标通知书发出后，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须于2个工作日内到采购代理机构领取中标通知书，拒绝领取中标通知书的，将视为放弃中标，取消其中标资格。采购人不得违法改变中标结果，</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无正当理由不得放弃中标，否则将承担相应的法律责任。</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的投标文件本应作为投标无效处理或者有政府采购法律法规、规章规定的中标无效情形的，经查实，取消其中标资格，收回发出的中标通知书（</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应当缴回）。</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中标通知书为签订采购合同的依据之一，是合同的有效组成部分。</w:t>
      </w:r>
    </w:p>
    <w:p>
      <w:pPr>
        <w:pStyle w:val="41"/>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lang w:eastAsia="zh-CN"/>
        </w:rPr>
      </w:pPr>
      <w:bookmarkStart w:id="98" w:name="_Toc15818"/>
      <w:bookmarkStart w:id="99" w:name="_Toc361437150"/>
      <w:bookmarkStart w:id="100" w:name="_Toc12599"/>
      <w:bookmarkStart w:id="101" w:name="_Toc22748"/>
      <w:bookmarkStart w:id="102" w:name="_Toc14957"/>
      <w:bookmarkStart w:id="103" w:name="_Toc361434804"/>
      <w:bookmarkStart w:id="104" w:name="_Toc361434900"/>
      <w:bookmarkStart w:id="105" w:name="_Toc14839"/>
      <w:bookmarkStart w:id="106" w:name="_Toc2882"/>
      <w:bookmarkStart w:id="107" w:name="_Toc15164"/>
      <w:bookmarkStart w:id="108" w:name="_Toc452528604"/>
      <w:bookmarkStart w:id="109" w:name="_Toc16162"/>
      <w:bookmarkStart w:id="110" w:name="_Toc361434465"/>
      <w:bookmarkStart w:id="111" w:name="_Toc361434564"/>
      <w:bookmarkStart w:id="112" w:name="_Toc24187"/>
      <w:r>
        <w:rPr>
          <w:rFonts w:hint="eastAsia" w:ascii="宋体" w:hAnsi="宋体" w:eastAsia="宋体" w:cs="宋体"/>
          <w:b/>
          <w:sz w:val="24"/>
          <w:szCs w:val="24"/>
        </w:rPr>
        <w:t>八、合同</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ascii="宋体" w:hAnsi="宋体" w:eastAsia="宋体" w:cs="宋体"/>
          <w:b/>
          <w:sz w:val="24"/>
          <w:szCs w:val="24"/>
          <w:lang w:eastAsia="zh-CN"/>
        </w:rPr>
        <w:t>事项</w:t>
      </w:r>
      <w:bookmarkEnd w:id="112"/>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color w:val="auto"/>
          <w:sz w:val="24"/>
          <w:szCs w:val="24"/>
          <w:lang w:eastAsia="zh-CN"/>
        </w:rPr>
        <w:t>履约保证金</w:t>
      </w:r>
    </w:p>
    <w:p>
      <w:pPr>
        <w:pStyle w:val="120"/>
        <w:keepNext w:val="0"/>
        <w:keepLines w:val="0"/>
        <w:pageBreakBefore w:val="0"/>
        <w:widowControl w:val="0"/>
        <w:numPr>
          <w:ilvl w:val="1"/>
          <w:numId w:val="5"/>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Cs/>
          <w:sz w:val="24"/>
          <w:szCs w:val="24"/>
        </w:rPr>
      </w:pPr>
      <w:r>
        <w:rPr>
          <w:rFonts w:hint="eastAsia" w:ascii="宋体" w:hAnsi="宋体" w:eastAsia="宋体" w:cs="宋体"/>
          <w:color w:val="auto"/>
          <w:sz w:val="24"/>
          <w:szCs w:val="24"/>
          <w:lang w:eastAsia="zh-CN"/>
        </w:rPr>
        <w:t>中标供应商应在本项目合同签订后按投标人须知前附表规定交纳足额履约保证金（不交纳除外）。</w:t>
      </w:r>
    </w:p>
    <w:p>
      <w:pPr>
        <w:pStyle w:val="120"/>
        <w:keepNext w:val="0"/>
        <w:keepLines w:val="0"/>
        <w:pageBreakBefore w:val="0"/>
        <w:widowControl w:val="0"/>
        <w:numPr>
          <w:ilvl w:val="1"/>
          <w:numId w:val="5"/>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Cs/>
          <w:sz w:val="24"/>
          <w:szCs w:val="24"/>
        </w:rPr>
      </w:pPr>
      <w:r>
        <w:rPr>
          <w:rFonts w:hint="eastAsia" w:ascii="宋体" w:hAnsi="宋体" w:eastAsia="宋体" w:cs="宋体"/>
          <w:color w:val="auto"/>
          <w:sz w:val="24"/>
          <w:szCs w:val="24"/>
          <w:lang w:eastAsia="zh-CN"/>
        </w:rPr>
        <w:t>如中标供应商未按规定交纳履约保证金，且又无正当理由的，将视为放弃中标。</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合同签订</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须按投标人须知前附表规定的时间、地点与采购人签订采购合同。由于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的原因逾期未与采购人签订采购合同的，将视为放弃</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，取消其</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资格并将按相关规定进行处理。</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通知书、招标文件、澄清文件及</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的投标文件等均为签订合同的依据。</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采购人不得向</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提出任何不合理的要求，作为签订合同的条件，不得与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私下订立背离合同实质性内容的任何协议，所签订的合同不得对招标文件和</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投标文件确定的事项进行修改。</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补充合同</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采购合同履行中，采购人需要追加与合同标的相同的货物或者服务的，在不改变合同其他条款的前提下，可以与</w:t>
      </w:r>
      <w:r>
        <w:rPr>
          <w:rFonts w:hint="eastAsia" w:ascii="宋体" w:hAnsi="宋体" w:eastAsia="宋体" w:cs="宋体"/>
          <w:snapToGrid w:val="0"/>
          <w:sz w:val="24"/>
          <w:szCs w:val="24"/>
        </w:rPr>
        <w:t>中标供应商</w:t>
      </w:r>
      <w:r>
        <w:rPr>
          <w:rFonts w:hint="eastAsia" w:ascii="宋体" w:hAnsi="宋体" w:eastAsia="宋体" w:cs="宋体"/>
          <w:sz w:val="24"/>
          <w:szCs w:val="24"/>
        </w:rPr>
        <w:t>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合同公告</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采购人应当自采购合同签订（双方当事人均已签字盖章）之日起2个工作日内，将采购合同在浙江政府采购网公告，但采购合同中涉及国家秘密、商业秘密的内容除外。</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合同备案</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与采购人签订合同后，合同双方应严格执行合同条款，履行合同规定的义务，保证合同的顺利完成。</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在合同履行过程中，如发生合同纠纷，合同双方应按照《民法典》的有关规定进行处理。</w:t>
      </w:r>
    </w:p>
    <w:p>
      <w:pPr>
        <w:pStyle w:val="25"/>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sz w:val="24"/>
          <w:szCs w:val="24"/>
        </w:rPr>
      </w:pPr>
      <w:bookmarkStart w:id="113" w:name="_Toc361437149"/>
      <w:bookmarkStart w:id="114" w:name="_Toc19167"/>
      <w:bookmarkStart w:id="115" w:name="_Toc19458"/>
      <w:bookmarkStart w:id="116" w:name="_Toc32384"/>
      <w:bookmarkStart w:id="117" w:name="_Toc31886"/>
      <w:bookmarkStart w:id="118" w:name="_Toc452528603"/>
      <w:bookmarkStart w:id="119" w:name="_Toc25346"/>
      <w:bookmarkStart w:id="120" w:name="_Toc6960"/>
      <w:bookmarkStart w:id="121" w:name="_Toc28496"/>
      <w:bookmarkStart w:id="122" w:name="_Toc10294"/>
      <w:bookmarkStart w:id="123" w:name="_Toc27740"/>
      <w:bookmarkStart w:id="124" w:name="_Toc361434899"/>
      <w:bookmarkStart w:id="125" w:name="_Toc361434803"/>
      <w:bookmarkStart w:id="126" w:name="_Toc361434464"/>
      <w:bookmarkStart w:id="127" w:name="_Toc361434563"/>
      <w:r>
        <w:rPr>
          <w:rFonts w:hint="eastAsia" w:ascii="宋体" w:hAnsi="宋体" w:eastAsia="宋体" w:cs="宋体"/>
          <w:b/>
          <w:sz w:val="24"/>
          <w:szCs w:val="24"/>
        </w:rPr>
        <w:t>九、质疑与投诉</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质疑提出</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符合《中华人民共和国政府采购法》《中华人民共和国政府采购法实施条例》《</w:t>
      </w:r>
      <w:r>
        <w:rPr>
          <w:rStyle w:val="51"/>
          <w:rFonts w:hint="eastAsia" w:ascii="宋体" w:hAnsi="宋体" w:eastAsia="宋体" w:cs="宋体"/>
          <w:b w:val="0"/>
          <w:bCs w:val="0"/>
          <w:sz w:val="24"/>
          <w:szCs w:val="24"/>
          <w:shd w:val="clear" w:color="auto" w:fill="FFFFFF"/>
          <w:lang w:eastAsia="zh-CN"/>
        </w:rPr>
        <w:t>政府采购质疑和投诉办法</w:t>
      </w:r>
      <w:r>
        <w:rPr>
          <w:rFonts w:hint="eastAsia" w:ascii="宋体" w:hAnsi="宋体" w:eastAsia="宋体" w:cs="宋体"/>
          <w:sz w:val="24"/>
          <w:szCs w:val="24"/>
          <w:lang w:eastAsia="zh-CN"/>
        </w:rPr>
        <w:t>》</w:t>
      </w:r>
      <w:r>
        <w:rPr>
          <w:rStyle w:val="51"/>
          <w:rFonts w:hint="eastAsia" w:ascii="宋体" w:hAnsi="宋体" w:eastAsia="宋体" w:cs="宋体"/>
          <w:b w:val="0"/>
          <w:bCs w:val="0"/>
          <w:sz w:val="24"/>
          <w:szCs w:val="24"/>
          <w:shd w:val="clear" w:color="auto" w:fill="FFFFFF"/>
          <w:lang w:eastAsia="zh-CN"/>
        </w:rPr>
        <w:t>（财政部令第94号）</w:t>
      </w:r>
      <w:r>
        <w:rPr>
          <w:rFonts w:hint="eastAsia" w:ascii="宋体" w:hAnsi="宋体" w:eastAsia="宋体" w:cs="宋体"/>
          <w:sz w:val="24"/>
          <w:szCs w:val="24"/>
          <w:lang w:eastAsia="zh-CN"/>
        </w:rPr>
        <w:t>等有关法律法规规定。</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提交的质疑函应符合</w:t>
      </w:r>
      <w:r>
        <w:rPr>
          <w:rFonts w:hint="eastAsia" w:ascii="宋体" w:hAnsi="宋体" w:eastAsia="宋体" w:cs="宋体"/>
          <w:sz w:val="24"/>
          <w:szCs w:val="24"/>
          <w:shd w:val="clear" w:color="auto" w:fill="FFFFFF"/>
          <w:lang w:eastAsia="zh-CN"/>
        </w:rPr>
        <w:t>财政部《</w:t>
      </w:r>
      <w:r>
        <w:rPr>
          <w:rFonts w:hint="eastAsia" w:ascii="宋体" w:hAnsi="宋体" w:eastAsia="宋体" w:cs="宋体"/>
          <w:sz w:val="24"/>
          <w:szCs w:val="24"/>
          <w:shd w:val="clear" w:color="auto" w:fill="FFFFFF"/>
        </w:rPr>
        <w:fldChar w:fldCharType="begin"/>
      </w:r>
      <w:r>
        <w:rPr>
          <w:rStyle w:val="57"/>
          <w:rFonts w:hint="eastAsia" w:ascii="宋体" w:hAnsi="宋体" w:eastAsia="宋体" w:cs="宋体"/>
          <w:color w:val="auto"/>
          <w:sz w:val="24"/>
          <w:szCs w:val="24"/>
          <w:shd w:val="clear" w:color="auto" w:fill="FFFFFF"/>
          <w:lang w:eastAsia="zh-CN"/>
        </w:rPr>
        <w:instrText xml:space="preserve">HYPERLINK "http://www.caigou2003.com/"</w:instrText>
      </w:r>
      <w:r>
        <w:rPr>
          <w:rFonts w:hint="eastAsia" w:ascii="宋体" w:hAnsi="宋体" w:eastAsia="宋体" w:cs="宋体"/>
          <w:sz w:val="24"/>
          <w:szCs w:val="24"/>
          <w:shd w:val="clear" w:color="auto" w:fill="FFFFFF"/>
        </w:rPr>
        <w:fldChar w:fldCharType="separate"/>
      </w:r>
      <w:r>
        <w:rPr>
          <w:rStyle w:val="57"/>
          <w:rFonts w:hint="eastAsia" w:ascii="宋体" w:hAnsi="宋体" w:eastAsia="宋体" w:cs="宋体"/>
          <w:color w:val="auto"/>
          <w:sz w:val="24"/>
          <w:szCs w:val="24"/>
          <w:shd w:val="clear" w:color="auto" w:fill="FFFFFF"/>
          <w:lang w:eastAsia="zh-CN"/>
        </w:rPr>
        <w:t>政府采购</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供应商质疑函范本》要求。</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认为采购文件、采购过程和中标结果使自己的权益受到损害的，可以在知道或者应知其权益受到损害之日起7个工作日内，以书面形式向采购人、采购代理机构提出质疑。投标人在法定质疑期内一次性提出针对同一采购程序环节的质疑</w:t>
      </w:r>
      <w:r>
        <w:rPr>
          <w:rFonts w:hint="eastAsia" w:ascii="宋体" w:hAnsi="宋体" w:eastAsia="宋体" w:cs="宋体"/>
          <w:bCs/>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潜在投标人已依法获取采购文件，可以对该文件提出质疑。采购人拒绝受理未提交投标文件的投标人对采购过程和中标结果提出质疑。</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质疑提出起算日期：</w:t>
      </w:r>
    </w:p>
    <w:p>
      <w:pPr>
        <w:pStyle w:val="41"/>
        <w:keepNext w:val="0"/>
        <w:keepLines w:val="0"/>
        <w:pageBreakBefore w:val="0"/>
        <w:widowControl w:val="0"/>
        <w:numPr>
          <w:ilvl w:val="0"/>
          <w:numId w:val="9"/>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auto"/>
          <w:sz w:val="24"/>
          <w:szCs w:val="24"/>
        </w:rPr>
        <w:t>对采购文件提出质疑的，自</w:t>
      </w:r>
      <w:r>
        <w:rPr>
          <w:rFonts w:hint="eastAsia" w:ascii="宋体" w:hAnsi="宋体" w:eastAsia="宋体" w:cs="宋体"/>
          <w:snapToGrid w:val="0"/>
          <w:color w:val="auto"/>
          <w:sz w:val="24"/>
          <w:szCs w:val="24"/>
          <w:lang w:eastAsia="zh-CN"/>
        </w:rPr>
        <w:t>供应商获取招标文件之日起或者公告届满之日起</w:t>
      </w:r>
      <w:r>
        <w:rPr>
          <w:rFonts w:hint="eastAsia" w:ascii="宋体" w:hAnsi="宋体" w:eastAsia="宋体" w:cs="宋体"/>
          <w:snapToGrid w:val="0"/>
          <w:color w:val="auto"/>
          <w:sz w:val="24"/>
          <w:szCs w:val="24"/>
        </w:rPr>
        <w:t>开始</w:t>
      </w:r>
      <w:r>
        <w:rPr>
          <w:rFonts w:hint="eastAsia" w:ascii="宋体" w:hAnsi="宋体" w:eastAsia="宋体" w:cs="宋体"/>
          <w:color w:val="auto"/>
          <w:sz w:val="24"/>
          <w:szCs w:val="24"/>
        </w:rPr>
        <w:t>计算，且应当</w:t>
      </w:r>
      <w:r>
        <w:rPr>
          <w:rFonts w:hint="eastAsia" w:ascii="宋体" w:hAnsi="宋体" w:eastAsia="宋体" w:cs="宋体"/>
          <w:color w:val="auto"/>
          <w:sz w:val="24"/>
          <w:szCs w:val="24"/>
          <w:lang w:eastAsia="zh-CN"/>
        </w:rPr>
        <w:t>在开标时间前24小时前</w:t>
      </w:r>
      <w:r>
        <w:rPr>
          <w:rFonts w:hint="eastAsia" w:ascii="宋体" w:hAnsi="宋体" w:eastAsia="宋体" w:cs="宋体"/>
          <w:color w:val="auto"/>
          <w:sz w:val="24"/>
          <w:szCs w:val="24"/>
        </w:rPr>
        <w:t>提出，否则，被质疑人可不予受理</w:t>
      </w:r>
      <w:r>
        <w:rPr>
          <w:rFonts w:hint="eastAsia" w:ascii="宋体" w:hAnsi="宋体" w:eastAsia="宋体" w:cs="宋体"/>
          <w:sz w:val="24"/>
          <w:szCs w:val="24"/>
        </w:rPr>
        <w:t>。</w:t>
      </w:r>
    </w:p>
    <w:p>
      <w:pPr>
        <w:pStyle w:val="41"/>
        <w:keepNext w:val="0"/>
        <w:keepLines w:val="0"/>
        <w:pageBreakBefore w:val="0"/>
        <w:widowControl w:val="0"/>
        <w:numPr>
          <w:ilvl w:val="0"/>
          <w:numId w:val="9"/>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对采购过程提出质疑的，质疑期限自各采购程序环节结束之日起计算。</w:t>
      </w:r>
    </w:p>
    <w:p>
      <w:pPr>
        <w:pStyle w:val="41"/>
        <w:keepNext w:val="0"/>
        <w:keepLines w:val="0"/>
        <w:pageBreakBefore w:val="0"/>
        <w:widowControl w:val="0"/>
        <w:numPr>
          <w:ilvl w:val="0"/>
          <w:numId w:val="9"/>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对采购结果提出质疑的，质疑期限自采购结果公告（包括公示、预公告、结果变更公告等）之日起计算。</w:t>
      </w:r>
    </w:p>
    <w:p>
      <w:pPr>
        <w:pStyle w:val="41"/>
        <w:keepNext w:val="0"/>
        <w:keepLines w:val="0"/>
        <w:pageBreakBefore w:val="0"/>
        <w:widowControl w:val="0"/>
        <w:numPr>
          <w:ilvl w:val="0"/>
          <w:numId w:val="9"/>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投标人逾期提出质疑的，采购人或采购代理机构均不予受理和答复。</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质疑答复</w:t>
      </w:r>
    </w:p>
    <w:p>
      <w:pPr>
        <w:pStyle w:val="41"/>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采购人应当在收到投标人的书面质疑后7个工作日内作出答复，并以书面形式通知质疑供应商和其他与质疑处理结果有利害关系的采购当事人，但答复的内容不得涉及商业秘密。</w:t>
      </w:r>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投</w:t>
      </w:r>
      <w:r>
        <w:rPr>
          <w:rFonts w:hint="eastAsia" w:ascii="宋体" w:hAnsi="宋体" w:eastAsia="宋体" w:cs="宋体"/>
          <w:bCs/>
          <w:sz w:val="24"/>
          <w:szCs w:val="24"/>
          <w:lang w:eastAsia="zh-CN"/>
        </w:rPr>
        <w:t>诉</w:t>
      </w:r>
    </w:p>
    <w:p>
      <w:pPr>
        <w:pStyle w:val="120"/>
        <w:keepNext w:val="0"/>
        <w:keepLines w:val="0"/>
        <w:pageBreakBefore w:val="0"/>
        <w:widowControl w:val="0"/>
        <w:numPr>
          <w:ilvl w:val="1"/>
          <w:numId w:val="5"/>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bCs/>
          <w:sz w:val="24"/>
          <w:szCs w:val="24"/>
        </w:rPr>
        <w:t>质疑供应商</w:t>
      </w:r>
      <w:r>
        <w:rPr>
          <w:rFonts w:hint="eastAsia" w:ascii="宋体" w:hAnsi="宋体" w:eastAsia="宋体" w:cs="宋体"/>
          <w:sz w:val="24"/>
          <w:szCs w:val="24"/>
        </w:rPr>
        <w:t>对采购人未在规定时间内作出答复的，可以在答复期满后15个工作日内向</w:t>
      </w:r>
      <w:r>
        <w:rPr>
          <w:rFonts w:hint="eastAsia" w:ascii="宋体" w:hAnsi="宋体" w:eastAsia="宋体" w:cs="宋体"/>
          <w:bCs/>
          <w:sz w:val="24"/>
          <w:szCs w:val="24"/>
        </w:rPr>
        <w:t>龙游县财政局投诉</w:t>
      </w:r>
      <w:r>
        <w:rPr>
          <w:rFonts w:hint="eastAsia" w:ascii="宋体" w:hAnsi="宋体" w:eastAsia="宋体" w:cs="宋体"/>
          <w:sz w:val="24"/>
          <w:szCs w:val="24"/>
        </w:rPr>
        <w:t>。若对质疑答复不满意的，应当自答复的次日起15个工作日内向</w:t>
      </w:r>
      <w:r>
        <w:rPr>
          <w:rFonts w:hint="eastAsia" w:ascii="宋体" w:hAnsi="宋体" w:eastAsia="宋体" w:cs="宋体"/>
          <w:bCs/>
          <w:sz w:val="24"/>
          <w:szCs w:val="24"/>
        </w:rPr>
        <w:t>龙游县财政局投诉。</w:t>
      </w:r>
    </w:p>
    <w:p>
      <w:pPr>
        <w:pStyle w:val="120"/>
        <w:keepNext w:val="0"/>
        <w:keepLines w:val="0"/>
        <w:pageBreakBefore w:val="0"/>
        <w:widowControl w:val="0"/>
        <w:numPr>
          <w:ilvl w:val="1"/>
          <w:numId w:val="5"/>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napToGrid w:val="0"/>
          <w:color w:val="auto"/>
          <w:kern w:val="2"/>
          <w:sz w:val="24"/>
          <w:szCs w:val="24"/>
          <w:lang w:val="en-US" w:eastAsia="zh-CN" w:bidi="ar-SA"/>
        </w:rPr>
      </w:pPr>
      <w:r>
        <w:rPr>
          <w:rFonts w:hint="eastAsia" w:ascii="宋体" w:hAnsi="宋体" w:eastAsia="宋体" w:cs="宋体"/>
          <w:color w:val="auto"/>
          <w:sz w:val="24"/>
          <w:szCs w:val="24"/>
          <w:lang w:eastAsia="zh-CN"/>
        </w:rPr>
        <w:t>供应商提交的投诉书应符合</w:t>
      </w:r>
      <w:r>
        <w:rPr>
          <w:rFonts w:hint="eastAsia" w:ascii="宋体" w:hAnsi="宋体" w:eastAsia="宋体" w:cs="宋体"/>
          <w:color w:val="auto"/>
          <w:sz w:val="24"/>
          <w:szCs w:val="24"/>
          <w:shd w:val="clear" w:color="auto" w:fill="FFFFFF"/>
          <w:lang w:eastAsia="zh-CN"/>
        </w:rPr>
        <w:t>财政部《</w:t>
      </w:r>
      <w:r>
        <w:rPr>
          <w:rFonts w:hint="eastAsia" w:ascii="宋体" w:hAnsi="宋体" w:eastAsia="宋体" w:cs="宋体"/>
          <w:color w:val="auto"/>
          <w:sz w:val="24"/>
          <w:szCs w:val="24"/>
          <w:shd w:val="clear" w:color="auto" w:fill="FFFFFF"/>
        </w:rPr>
        <w:fldChar w:fldCharType="begin"/>
      </w:r>
      <w:r>
        <w:rPr>
          <w:rFonts w:hint="eastAsia" w:ascii="宋体" w:hAnsi="宋体" w:eastAsia="宋体" w:cs="宋体"/>
          <w:color w:val="auto"/>
          <w:sz w:val="24"/>
          <w:szCs w:val="24"/>
          <w:shd w:val="clear" w:color="auto" w:fill="FFFFFF"/>
          <w:lang w:eastAsia="zh-CN"/>
        </w:rPr>
        <w:instrText xml:space="preserve"> HYPERLINK "http://www.caigou2003.com/" \t "http://www.zjzfcg.gov.cn/news/2018-02-09/_blank" </w:instrText>
      </w:r>
      <w:r>
        <w:rPr>
          <w:rFonts w:hint="eastAsia" w:ascii="宋体" w:hAnsi="宋体" w:eastAsia="宋体" w:cs="宋体"/>
          <w:color w:val="auto"/>
          <w:sz w:val="24"/>
          <w:szCs w:val="24"/>
          <w:shd w:val="clear" w:color="auto" w:fill="FFFFFF"/>
        </w:rPr>
        <w:fldChar w:fldCharType="separate"/>
      </w:r>
      <w:r>
        <w:rPr>
          <w:rStyle w:val="57"/>
          <w:rFonts w:hint="eastAsia" w:ascii="宋体" w:hAnsi="宋体" w:eastAsia="宋体" w:cs="宋体"/>
          <w:color w:val="auto"/>
          <w:sz w:val="24"/>
          <w:szCs w:val="24"/>
          <w:shd w:val="clear" w:color="auto" w:fill="FFFFFF"/>
          <w:lang w:eastAsia="zh-CN"/>
        </w:rPr>
        <w:t>政府采购</w:t>
      </w:r>
      <w:r>
        <w:rPr>
          <w:rFonts w:hint="eastAsia" w:ascii="宋体" w:hAnsi="宋体" w:eastAsia="宋体" w:cs="宋体"/>
          <w:color w:val="auto"/>
          <w:sz w:val="24"/>
          <w:szCs w:val="24"/>
          <w:shd w:val="clear" w:color="auto" w:fill="FFFFFF"/>
        </w:rPr>
        <w:fldChar w:fldCharType="end"/>
      </w:r>
      <w:r>
        <w:rPr>
          <w:rFonts w:hint="eastAsia" w:ascii="宋体" w:hAnsi="宋体" w:eastAsia="宋体" w:cs="宋体"/>
          <w:color w:val="auto"/>
          <w:sz w:val="24"/>
          <w:szCs w:val="24"/>
          <w:shd w:val="clear" w:color="auto" w:fill="FFFFFF"/>
          <w:lang w:eastAsia="zh-CN"/>
        </w:rPr>
        <w:t>供应商投诉书范本》要求。</w:t>
      </w:r>
      <w:r>
        <w:rPr>
          <w:rFonts w:hint="eastAsia" w:ascii="宋体" w:hAnsi="宋体" w:eastAsia="宋体" w:cs="宋体"/>
          <w:snapToGrid w:val="0"/>
          <w:color w:val="auto"/>
          <w:kern w:val="2"/>
          <w:sz w:val="24"/>
          <w:szCs w:val="24"/>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482" w:leftChars="0"/>
        <w:jc w:val="both"/>
        <w:textAlignment w:val="auto"/>
        <w:rPr>
          <w:rFonts w:hint="eastAsia" w:ascii="宋体" w:hAnsi="宋体" w:eastAsia="宋体" w:cs="宋体"/>
          <w:sz w:val="24"/>
          <w:szCs w:val="24"/>
        </w:rPr>
      </w:pPr>
    </w:p>
    <w:p>
      <w:pPr>
        <w:pStyle w:val="41"/>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bCs/>
          <w:sz w:val="24"/>
          <w:szCs w:val="24"/>
        </w:rPr>
      </w:pPr>
      <w:bookmarkStart w:id="128" w:name="_Toc3850"/>
      <w:bookmarkStart w:id="129" w:name="_Toc3207"/>
      <w:bookmarkStart w:id="130" w:name="_Toc452528606"/>
      <w:bookmarkStart w:id="131" w:name="_Toc361437152"/>
      <w:bookmarkStart w:id="132" w:name="_Toc361434467"/>
      <w:bookmarkStart w:id="133" w:name="_Toc361434566"/>
      <w:bookmarkStart w:id="134" w:name="_Toc361434902"/>
      <w:bookmarkStart w:id="135" w:name="_Toc361434806"/>
      <w:r>
        <w:rPr>
          <w:rFonts w:hint="eastAsia" w:ascii="宋体" w:hAnsi="宋体" w:eastAsia="宋体" w:cs="宋体"/>
          <w:b/>
          <w:bCs/>
          <w:sz w:val="24"/>
          <w:szCs w:val="24"/>
        </w:rPr>
        <w:t>十、投标纪律要求</w:t>
      </w:r>
      <w:bookmarkEnd w:id="128"/>
    </w:p>
    <w:p>
      <w:pPr>
        <w:pStyle w:val="120"/>
        <w:keepNext w:val="0"/>
        <w:keepLines w:val="0"/>
        <w:pageBreakBefore w:val="0"/>
        <w:widowControl w:val="0"/>
        <w:numPr>
          <w:ilvl w:val="0"/>
          <w:numId w:val="5"/>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投标人参加本项目投标不得有下列情形</w:t>
      </w:r>
    </w:p>
    <w:p>
      <w:pPr>
        <w:pStyle w:val="120"/>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napToGrid w:val="0"/>
          <w:sz w:val="24"/>
          <w:szCs w:val="24"/>
        </w:rPr>
      </w:pPr>
      <w:r>
        <w:rPr>
          <w:rFonts w:hint="eastAsia" w:ascii="宋体" w:hAnsi="宋体" w:eastAsia="宋体" w:cs="宋体"/>
          <w:sz w:val="24"/>
          <w:szCs w:val="24"/>
          <w:lang w:eastAsia="zh-CN"/>
        </w:rPr>
        <w:t>投标人有下列情形之一的，处以政府采购项目中标金额千分之五以上千分之十以下的罚款，列入不良行为记录名单，在一至三年内禁止参加采购活动，并予以公告，有违法所得的，并处没收违法所得，情节严重的，由工商行政管理机关吊销营业执照，构成犯罪的，依法追究刑事责任。</w:t>
      </w:r>
      <w:r>
        <w:rPr>
          <w:rFonts w:hint="eastAsia" w:ascii="宋体" w:hAnsi="宋体" w:eastAsia="宋体" w:cs="宋体"/>
          <w:snapToGrid w:val="0"/>
          <w:sz w:val="24"/>
          <w:szCs w:val="24"/>
        </w:rPr>
        <w:t>同时将取消</w:t>
      </w:r>
      <w:r>
        <w:rPr>
          <w:rFonts w:hint="eastAsia" w:ascii="宋体" w:hAnsi="宋体" w:eastAsia="宋体" w:cs="宋体"/>
          <w:snapToGrid w:val="0"/>
          <w:sz w:val="24"/>
          <w:szCs w:val="24"/>
          <w:lang w:eastAsia="zh-CN"/>
        </w:rPr>
        <w:t>中标</w:t>
      </w:r>
      <w:r>
        <w:rPr>
          <w:rFonts w:hint="eastAsia" w:ascii="宋体" w:hAnsi="宋体" w:eastAsia="宋体" w:cs="宋体"/>
          <w:snapToGrid w:val="0"/>
          <w:sz w:val="24"/>
          <w:szCs w:val="24"/>
        </w:rPr>
        <w:t>资格或者认定</w:t>
      </w:r>
      <w:r>
        <w:rPr>
          <w:rFonts w:hint="eastAsia" w:ascii="宋体" w:hAnsi="宋体" w:eastAsia="宋体" w:cs="宋体"/>
          <w:snapToGrid w:val="0"/>
          <w:sz w:val="24"/>
          <w:szCs w:val="24"/>
          <w:lang w:eastAsia="zh-CN"/>
        </w:rPr>
        <w:t>中标</w:t>
      </w:r>
      <w:r>
        <w:rPr>
          <w:rFonts w:hint="eastAsia" w:ascii="宋体" w:hAnsi="宋体" w:eastAsia="宋体" w:cs="宋体"/>
          <w:snapToGrid w:val="0"/>
          <w:sz w:val="24"/>
          <w:szCs w:val="24"/>
        </w:rPr>
        <w:t>无效：</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提供虚假材料谋取中标；</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采取不正当手段诋毁、排挤其他投标人；</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与采购人、其他投标人恶意串通；</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向采购人、评标委员会成员行贿或者提供其他不正当利益；</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在招标过程中与采购人进行协商谈判；</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中标供应商无正当理由拖延或者不与采购人采购合同</w:t>
      </w:r>
      <w:r>
        <w:rPr>
          <w:rFonts w:hint="eastAsia" w:ascii="宋体" w:hAnsi="宋体" w:eastAsia="宋体" w:cs="宋体"/>
          <w:snapToGrid w:val="0"/>
          <w:sz w:val="24"/>
          <w:szCs w:val="24"/>
          <w:lang w:eastAsia="zh-CN"/>
        </w:rPr>
        <w:t>；</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未按照采购文件确定的事项签订采购合同；</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将采购合同转包或者违规分包；</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rPr>
      </w:pPr>
      <w:r>
        <w:rPr>
          <w:rFonts w:hint="eastAsia" w:ascii="宋体" w:hAnsi="宋体" w:eastAsia="宋体" w:cs="宋体"/>
          <w:snapToGrid w:val="0"/>
          <w:sz w:val="24"/>
          <w:szCs w:val="24"/>
        </w:rPr>
        <w:t>提供假冒伪劣产品；</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擅自变更、中止或者终止采购合同；</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拒绝有关部门的监督检查或者向监督检查部门提供虚假情况；</w:t>
      </w:r>
    </w:p>
    <w:p>
      <w:pPr>
        <w:pStyle w:val="120"/>
        <w:keepNext w:val="0"/>
        <w:keepLines w:val="0"/>
        <w:pageBreakBefore w:val="0"/>
        <w:widowControl w:val="0"/>
        <w:numPr>
          <w:ilvl w:val="1"/>
          <w:numId w:val="5"/>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法律法规规定的其他情形。</w:t>
      </w:r>
    </w:p>
    <w:p>
      <w:pPr>
        <w:pStyle w:val="20"/>
        <w:keepNext w:val="0"/>
        <w:keepLines w:val="0"/>
        <w:pageBreakBefore w:val="0"/>
        <w:widowControl w:val="0"/>
        <w:tabs>
          <w:tab w:val="left" w:pos="420"/>
        </w:tabs>
        <w:kinsoku/>
        <w:wordWrap/>
        <w:overflowPunct/>
        <w:topLinePunct w:val="0"/>
        <w:autoSpaceDE/>
        <w:autoSpaceDN/>
        <w:bidi w:val="0"/>
        <w:adjustRightInd w:val="0"/>
        <w:snapToGrid w:val="0"/>
        <w:spacing w:before="438" w:beforeLines="100" w:after="438" w:afterLines="100" w:line="312" w:lineRule="auto"/>
        <w:ind w:left="0" w:leftChars="0" w:firstLine="0" w:firstLineChars="0"/>
        <w:jc w:val="center"/>
        <w:textAlignment w:val="auto"/>
        <w:outlineLvl w:val="1"/>
        <w:rPr>
          <w:rFonts w:hint="eastAsia" w:ascii="宋体" w:hAnsi="宋体" w:eastAsia="宋体" w:cs="宋体"/>
          <w:sz w:val="24"/>
          <w:szCs w:val="24"/>
        </w:rPr>
      </w:pPr>
      <w:bookmarkStart w:id="136" w:name="_Toc17013"/>
      <w:r>
        <w:rPr>
          <w:rFonts w:hint="eastAsia" w:ascii="宋体" w:hAnsi="宋体" w:eastAsia="宋体" w:cs="宋体"/>
          <w:bCs/>
          <w:snapToGrid/>
          <w:sz w:val="24"/>
          <w:szCs w:val="24"/>
          <w:lang w:eastAsia="zh-CN"/>
        </w:rPr>
        <w:t>十一、</w:t>
      </w:r>
      <w:r>
        <w:rPr>
          <w:rFonts w:hint="eastAsia" w:ascii="宋体" w:hAnsi="宋体" w:eastAsia="宋体" w:cs="宋体"/>
          <w:bCs/>
          <w:snapToGrid/>
          <w:sz w:val="24"/>
          <w:szCs w:val="24"/>
        </w:rPr>
        <w:t>落实政府采购政策需满足的要求</w:t>
      </w:r>
      <w:bookmarkEnd w:id="136"/>
    </w:p>
    <w:bookmarkEnd w:id="129"/>
    <w:bookmarkEnd w:id="130"/>
    <w:p>
      <w:pPr>
        <w:pStyle w:val="120"/>
        <w:keepNext w:val="0"/>
        <w:keepLines w:val="0"/>
        <w:pageBreakBefore w:val="0"/>
        <w:widowControl w:val="0"/>
        <w:numPr>
          <w:ilvl w:val="0"/>
          <w:numId w:val="10"/>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val="0"/>
          <w:bCs/>
          <w:snapToGrid w:val="0"/>
          <w:sz w:val="24"/>
          <w:szCs w:val="24"/>
          <w:lang w:eastAsia="zh-CN"/>
        </w:rPr>
      </w:pPr>
      <w:bookmarkStart w:id="137" w:name="_Toc47946456"/>
      <w:bookmarkStart w:id="138" w:name="_Toc47867187"/>
      <w:bookmarkStart w:id="139" w:name="_Toc153441910"/>
      <w:bookmarkStart w:id="140" w:name="_Toc536418606"/>
      <w:bookmarkStart w:id="141" w:name="_Toc46808613"/>
      <w:bookmarkStart w:id="142" w:name="_Toc47759351"/>
      <w:bookmarkStart w:id="143" w:name="_Toc177202001"/>
      <w:bookmarkStart w:id="144" w:name="_Toc47867042"/>
      <w:bookmarkStart w:id="145" w:name="_Toc46111068"/>
      <w:bookmarkStart w:id="146" w:name="_Toc153725"/>
      <w:bookmarkStart w:id="147" w:name="_Toc46733600"/>
      <w:bookmarkStart w:id="148" w:name="_Toc47170189"/>
      <w:bookmarkStart w:id="149" w:name="_Toc536419157"/>
      <w:bookmarkStart w:id="150" w:name="_Toc536419058"/>
      <w:bookmarkStart w:id="151" w:name="_Toc47866897"/>
      <w:bookmarkStart w:id="152" w:name="_Toc47951932"/>
      <w:bookmarkStart w:id="153" w:name="_Toc48124444"/>
      <w:bookmarkStart w:id="154" w:name="_Toc536419198"/>
      <w:bookmarkStart w:id="155" w:name="_Toc468451908"/>
      <w:bookmarkStart w:id="156" w:name="_Toc46735213"/>
      <w:bookmarkStart w:id="157" w:name="_Toc47949623"/>
      <w:bookmarkStart w:id="158" w:name="_Toc47953423"/>
      <w:bookmarkStart w:id="159" w:name="_Toc47953669"/>
      <w:bookmarkStart w:id="160" w:name="_Toc46746367"/>
      <w:bookmarkStart w:id="161" w:name="_Toc80157768"/>
      <w:bookmarkStart w:id="162" w:name="_Toc89661111"/>
      <w:bookmarkStart w:id="163" w:name="_Toc64088050"/>
      <w:bookmarkStart w:id="164" w:name="_Toc46734666"/>
      <w:bookmarkStart w:id="165" w:name="_Toc68936511"/>
      <w:bookmarkStart w:id="166" w:name="_Toc47171678"/>
      <w:bookmarkStart w:id="167" w:name="_Toc64259789"/>
      <w:bookmarkStart w:id="168" w:name="_Toc81372779"/>
      <w:bookmarkStart w:id="169" w:name="_Toc68661582"/>
      <w:bookmarkStart w:id="170" w:name="_Toc47835378"/>
      <w:bookmarkStart w:id="171" w:name="_Toc81372956"/>
      <w:bookmarkStart w:id="172" w:name="_Toc46733326"/>
      <w:bookmarkStart w:id="173" w:name="_Toc48124325"/>
      <w:bookmarkStart w:id="174" w:name="_Toc7322054"/>
      <w:bookmarkStart w:id="175" w:name="_Toc47946303"/>
      <w:bookmarkStart w:id="176" w:name="_Toc47170338"/>
      <w:bookmarkStart w:id="177" w:name="_Toc46732795"/>
      <w:bookmarkStart w:id="178" w:name="_Toc46737189"/>
      <w:bookmarkStart w:id="179" w:name="_Toc84325932"/>
      <w:bookmarkStart w:id="180" w:name="_Toc46746637"/>
      <w:bookmarkStart w:id="181" w:name="_Toc536418876"/>
      <w:bookmarkStart w:id="182" w:name="_Toc46749578"/>
      <w:bookmarkStart w:id="183" w:name="_Toc47866240"/>
      <w:bookmarkStart w:id="184" w:name="_Toc47953546"/>
      <w:bookmarkStart w:id="185" w:name="_Toc47950172"/>
      <w:bookmarkStart w:id="186" w:name="_Toc7323822"/>
      <w:bookmarkStart w:id="187" w:name="_Toc47946150"/>
      <w:bookmarkStart w:id="188" w:name="_Toc48128598"/>
      <w:r>
        <w:rPr>
          <w:rFonts w:hint="eastAsia" w:ascii="宋体" w:hAnsi="宋体" w:eastAsia="宋体" w:cs="宋体"/>
          <w:b w:val="0"/>
          <w:bCs/>
          <w:sz w:val="24"/>
          <w:szCs w:val="24"/>
          <w:lang w:bidi="ar-SA"/>
        </w:rPr>
        <w:t>小微企业</w:t>
      </w:r>
    </w:p>
    <w:p>
      <w:pPr>
        <w:pStyle w:val="12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firstLine="482"/>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lang w:eastAsia="zh-CN"/>
        </w:rPr>
        <w:t>根据财政部工信部《关于印发〈政府采购促进中小企业发展管理办法〉的通知》（财库﹝20</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46</w:t>
      </w:r>
      <w:r>
        <w:rPr>
          <w:rFonts w:hint="eastAsia" w:ascii="宋体" w:hAnsi="宋体" w:eastAsia="宋体" w:cs="宋体"/>
          <w:color w:val="auto"/>
          <w:sz w:val="24"/>
          <w:szCs w:val="24"/>
          <w:lang w:eastAsia="zh-CN"/>
        </w:rPr>
        <w:t>号）（以下简称本办法）、《</w:t>
      </w:r>
      <w:r>
        <w:rPr>
          <w:rFonts w:hint="eastAsia" w:ascii="宋体" w:hAnsi="宋体" w:eastAsia="宋体" w:cs="宋体"/>
          <w:color w:val="auto"/>
          <w:sz w:val="24"/>
          <w:szCs w:val="24"/>
          <w:lang w:val="en-US" w:eastAsia="zh-CN"/>
        </w:rPr>
        <w:t>浙江省财政厅关于进一步发挥政府采购政策功能全力推动经济稳进提质的通知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浙财采监〖2022〗3号文件</w:t>
      </w:r>
      <w:r>
        <w:rPr>
          <w:rFonts w:hint="eastAsia" w:ascii="宋体" w:hAnsi="宋体" w:eastAsia="宋体" w:cs="宋体"/>
          <w:color w:val="auto"/>
          <w:sz w:val="24"/>
          <w:szCs w:val="24"/>
          <w:lang w:eastAsia="zh-CN"/>
        </w:rPr>
        <w:t>）规定</w:t>
      </w:r>
      <w:r>
        <w:rPr>
          <w:rFonts w:hint="eastAsia" w:ascii="宋体" w:hAnsi="宋体" w:eastAsia="宋体" w:cs="宋体"/>
          <w:b/>
          <w:bCs/>
          <w:color w:val="auto"/>
          <w:sz w:val="24"/>
          <w:szCs w:val="24"/>
          <w:lang w:eastAsia="zh-CN"/>
        </w:rPr>
        <w:t>，</w:t>
      </w:r>
      <w:r>
        <w:rPr>
          <w:rFonts w:hint="eastAsia" w:ascii="宋体" w:hAnsi="宋体" w:eastAsia="宋体" w:cs="宋体"/>
          <w:b w:val="0"/>
          <w:bCs w:val="0"/>
          <w:color w:val="auto"/>
          <w:sz w:val="24"/>
          <w:szCs w:val="24"/>
          <w:highlight w:val="none"/>
          <w:lang w:val="en-US" w:eastAsia="zh-CN"/>
        </w:rPr>
        <w:t>本项目属于</w:t>
      </w:r>
      <w:r>
        <w:rPr>
          <w:rFonts w:hint="eastAsia" w:ascii="宋体" w:hAnsi="宋体" w:eastAsia="宋体" w:cs="宋体"/>
          <w:b w:val="0"/>
          <w:bCs w:val="0"/>
          <w:color w:val="auto"/>
          <w:sz w:val="24"/>
          <w:szCs w:val="24"/>
          <w:highlight w:val="none"/>
        </w:rPr>
        <w:t>专门面向中小企业采购项目，不享受价格折扣优惠。</w:t>
      </w:r>
    </w:p>
    <w:p>
      <w:pPr>
        <w:pStyle w:val="120"/>
        <w:keepNext w:val="0"/>
        <w:keepLines w:val="0"/>
        <w:pageBreakBefore w:val="0"/>
        <w:widowControl w:val="0"/>
        <w:numPr>
          <w:ilvl w:val="1"/>
          <w:numId w:val="10"/>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小型微型企业</w:t>
      </w:r>
      <w:r>
        <w:rPr>
          <w:rStyle w:val="51"/>
          <w:rFonts w:hint="eastAsia" w:ascii="宋体" w:hAnsi="宋体" w:eastAsia="宋体" w:cs="宋体"/>
          <w:b/>
          <w:bCs/>
          <w:i w:val="0"/>
          <w:caps w:val="0"/>
          <w:color w:val="auto"/>
          <w:spacing w:val="0"/>
          <w:sz w:val="24"/>
          <w:szCs w:val="24"/>
          <w:shd w:val="clear" w:color="auto" w:fill="FFFFFF"/>
        </w:rPr>
        <w:t>划型</w:t>
      </w:r>
      <w:r>
        <w:rPr>
          <w:rStyle w:val="51"/>
          <w:rFonts w:hint="eastAsia" w:ascii="宋体" w:hAnsi="宋体" w:eastAsia="宋体" w:cs="宋体"/>
          <w:b/>
          <w:bCs/>
          <w:i w:val="0"/>
          <w:caps w:val="0"/>
          <w:color w:val="auto"/>
          <w:spacing w:val="0"/>
          <w:sz w:val="24"/>
          <w:szCs w:val="24"/>
          <w:shd w:val="clear" w:color="auto" w:fill="FFFFFF"/>
          <w:lang w:eastAsia="zh-CN"/>
        </w:rPr>
        <w:t>标准</w:t>
      </w:r>
    </w:p>
    <w:p>
      <w:pPr>
        <w:pStyle w:val="12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firstLine="482"/>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在中华人民共和国境内依法设立，依据</w:t>
      </w:r>
      <w:r>
        <w:rPr>
          <w:rFonts w:hint="eastAsia" w:ascii="宋体" w:hAnsi="宋体" w:eastAsia="宋体" w:cs="宋体"/>
          <w:color w:val="auto"/>
          <w:sz w:val="24"/>
          <w:szCs w:val="24"/>
          <w:shd w:val="clear" w:color="auto" w:fill="FFFFFF"/>
        </w:rPr>
        <w:t>《关于印发中小企业划型标准规定的通知》（工信部联企业〔2011〕300号）</w:t>
      </w:r>
      <w:r>
        <w:rPr>
          <w:rFonts w:hint="eastAsia" w:ascii="宋体" w:hAnsi="宋体" w:eastAsia="宋体" w:cs="宋体"/>
          <w:color w:val="auto"/>
          <w:sz w:val="24"/>
          <w:szCs w:val="24"/>
        </w:rPr>
        <w:t>确定的小型企业和微型企业，但与</w:t>
      </w:r>
      <w:r>
        <w:rPr>
          <w:rFonts w:hint="eastAsia" w:ascii="宋体" w:hAnsi="宋体" w:eastAsia="宋体" w:cs="宋体"/>
          <w:color w:val="auto"/>
          <w:sz w:val="24"/>
          <w:szCs w:val="24"/>
          <w:lang w:eastAsia="zh-CN"/>
        </w:rPr>
        <w:t>中型或</w:t>
      </w:r>
      <w:r>
        <w:rPr>
          <w:rFonts w:hint="eastAsia" w:ascii="宋体" w:hAnsi="宋体" w:eastAsia="宋体" w:cs="宋体"/>
          <w:color w:val="auto"/>
          <w:sz w:val="24"/>
          <w:szCs w:val="24"/>
        </w:rPr>
        <w:t>大企业的负责人为同一人，或者与</w:t>
      </w:r>
      <w:r>
        <w:rPr>
          <w:rFonts w:hint="eastAsia" w:ascii="宋体" w:hAnsi="宋体" w:eastAsia="宋体" w:cs="宋体"/>
          <w:color w:val="auto"/>
          <w:sz w:val="24"/>
          <w:szCs w:val="24"/>
          <w:lang w:eastAsia="zh-CN"/>
        </w:rPr>
        <w:t>中型、</w:t>
      </w:r>
      <w:r>
        <w:rPr>
          <w:rFonts w:hint="eastAsia" w:ascii="宋体" w:hAnsi="宋体" w:eastAsia="宋体" w:cs="宋体"/>
          <w:color w:val="auto"/>
          <w:sz w:val="24"/>
          <w:szCs w:val="24"/>
        </w:rPr>
        <w:t>大企业存在直接控股、管理关系的除外</w:t>
      </w:r>
      <w:r>
        <w:rPr>
          <w:rFonts w:hint="eastAsia" w:ascii="宋体" w:hAnsi="宋体" w:eastAsia="宋体" w:cs="宋体"/>
          <w:color w:val="auto"/>
          <w:sz w:val="24"/>
          <w:szCs w:val="24"/>
          <w:lang w:eastAsia="zh-CN"/>
        </w:rPr>
        <w:t>。</w:t>
      </w:r>
    </w:p>
    <w:p>
      <w:pPr>
        <w:pStyle w:val="12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leftChars="0" w:firstLine="482"/>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符合中小企业划分标准的个体工商户，在政府采购活动中视同小型企业和微型企业。</w:t>
      </w:r>
    </w:p>
    <w:p>
      <w:pPr>
        <w:pStyle w:val="12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leftChars="0" w:firstLine="482"/>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所属行业</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其他未列明行业</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cs="宋体"/>
          <w:color w:val="auto"/>
          <w:sz w:val="24"/>
          <w:szCs w:val="24"/>
          <w:lang w:eastAsia="zh-CN"/>
        </w:rPr>
        <w:t>从业人员300人以下的为中小微型企业。其中，从业人员100人及以上的为中型企业；从业人员10人及以上的为小型企业；从业人员10人以下的为微型企业。</w:t>
      </w:r>
    </w:p>
    <w:p>
      <w:pPr>
        <w:pStyle w:val="120"/>
        <w:keepNext w:val="0"/>
        <w:keepLines w:val="0"/>
        <w:pageBreakBefore w:val="0"/>
        <w:widowControl w:val="0"/>
        <w:numPr>
          <w:ilvl w:val="1"/>
          <w:numId w:val="10"/>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bCs/>
          <w:snapToGrid w:val="0"/>
          <w:color w:val="auto"/>
          <w:sz w:val="24"/>
          <w:szCs w:val="24"/>
        </w:rPr>
      </w:pPr>
      <w:r>
        <w:rPr>
          <w:rFonts w:hint="eastAsia" w:ascii="宋体" w:hAnsi="宋体" w:eastAsia="宋体" w:cs="宋体"/>
          <w:b/>
          <w:bCs/>
          <w:color w:val="auto"/>
          <w:sz w:val="24"/>
          <w:szCs w:val="24"/>
          <w:lang w:eastAsia="zh-CN"/>
        </w:rPr>
        <w:t>享受小微企业价格折扣的供应商，应当</w:t>
      </w:r>
      <w:r>
        <w:rPr>
          <w:rFonts w:hint="eastAsia" w:ascii="宋体" w:hAnsi="宋体" w:eastAsia="宋体" w:cs="宋体"/>
          <w:b/>
          <w:bCs/>
          <w:color w:val="auto"/>
          <w:sz w:val="24"/>
          <w:szCs w:val="24"/>
        </w:rPr>
        <w:t>提供《中小企业声明函》</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未提供或提供的材料不符合规定的不予价格扣除。</w:t>
      </w:r>
    </w:p>
    <w:p>
      <w:pPr>
        <w:pStyle w:val="41"/>
        <w:keepNext w:val="0"/>
        <w:keepLines w:val="0"/>
        <w:pageBreakBefore w:val="0"/>
        <w:widowControl w:val="0"/>
        <w:numPr>
          <w:ilvl w:val="0"/>
          <w:numId w:val="0"/>
        </w:numPr>
        <w:tabs>
          <w:tab w:val="left" w:pos="397"/>
          <w:tab w:val="left" w:pos="420"/>
        </w:tabs>
        <w:kinsoku/>
        <w:wordWrap/>
        <w:overflowPunct/>
        <w:topLinePunct w:val="0"/>
        <w:autoSpaceDE/>
        <w:autoSpaceDN/>
        <w:bidi w:val="0"/>
        <w:adjustRightInd w:val="0"/>
        <w:snapToGrid w:val="0"/>
        <w:spacing w:line="312" w:lineRule="auto"/>
        <w:ind w:left="0" w:leftChars="0" w:firstLine="482"/>
        <w:jc w:val="both"/>
        <w:textAlignment w:val="auto"/>
        <w:rPr>
          <w:rFonts w:hint="eastAsia" w:ascii="宋体" w:hAnsi="宋体" w:eastAsia="宋体" w:cs="宋体"/>
          <w:snapToGrid w:val="0"/>
          <w:color w:val="auto"/>
          <w:sz w:val="24"/>
          <w:szCs w:val="24"/>
        </w:rPr>
      </w:pPr>
      <w:r>
        <w:rPr>
          <w:rFonts w:hint="eastAsia" w:ascii="宋体" w:hAnsi="宋体" w:eastAsia="宋体" w:cs="宋体"/>
          <w:color w:val="auto"/>
          <w:sz w:val="24"/>
          <w:szCs w:val="24"/>
        </w:rPr>
        <w:t>监狱企业、残疾人福利性单位属于小型微型企业的，不重复享受小微企业优惠政策。</w:t>
      </w:r>
    </w:p>
    <w:bookmarkEnd w:id="93"/>
    <w:bookmarkEnd w:id="94"/>
    <w:bookmarkEnd w:id="95"/>
    <w:bookmarkEnd w:id="96"/>
    <w:bookmarkEnd w:id="131"/>
    <w:bookmarkEnd w:id="132"/>
    <w:bookmarkEnd w:id="133"/>
    <w:bookmarkEnd w:id="134"/>
    <w:bookmarkEnd w:id="13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bookmarkStart w:id="189" w:name="_Toc496962967"/>
      <w:bookmarkStart w:id="190" w:name="_Toc22652"/>
      <w:bookmarkStart w:id="191" w:name="_Toc13990"/>
      <w:bookmarkStart w:id="192" w:name="_Toc5278"/>
      <w:bookmarkStart w:id="193" w:name="_Toc29881"/>
      <w:bookmarkStart w:id="194" w:name="_Toc361437154"/>
      <w:bookmarkStart w:id="195" w:name="_Toc29072"/>
      <w:bookmarkStart w:id="196" w:name="_Toc921"/>
      <w:bookmarkStart w:id="197" w:name="_Toc28227"/>
      <w:bookmarkStart w:id="198" w:name="_Toc28302"/>
      <w:bookmarkStart w:id="199" w:name="_Toc361434904"/>
      <w:bookmarkStart w:id="200" w:name="_Toc361434808"/>
      <w:bookmarkStart w:id="201" w:name="_Toc452528635"/>
      <w:bookmarkStart w:id="202" w:name="_Toc30101"/>
      <w:bookmarkStart w:id="203" w:name="_Toc19247"/>
      <w:bookmarkStart w:id="204" w:name="_Toc27635"/>
      <w:bookmarkStart w:id="205" w:name="_Toc84325981"/>
      <w:bookmarkStart w:id="206" w:name="_Toc101321800"/>
      <w:bookmarkStart w:id="207" w:name="_Toc80157775"/>
      <w:bookmarkStart w:id="208" w:name="_Toc81372964"/>
      <w:bookmarkStart w:id="209" w:name="_Toc81372787"/>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Cs/>
          <w:sz w:val="36"/>
          <w:szCs w:val="36"/>
        </w:rPr>
      </w:pPr>
      <w:r>
        <w:rPr>
          <w:rFonts w:hint="eastAsia" w:ascii="黑体" w:hAnsi="黑体" w:eastAsia="黑体" w:cs="黑体"/>
          <w:sz w:val="36"/>
          <w:szCs w:val="36"/>
        </w:rPr>
        <w:t xml:space="preserve">第四章 </w:t>
      </w:r>
      <w:bookmarkEnd w:id="189"/>
      <w:bookmarkEnd w:id="190"/>
      <w:r>
        <w:rPr>
          <w:rFonts w:hint="eastAsia" w:ascii="黑体" w:hAnsi="黑体" w:eastAsia="黑体" w:cs="黑体"/>
          <w:sz w:val="36"/>
          <w:szCs w:val="36"/>
        </w:rPr>
        <w:t>评标方法和评分标准</w:t>
      </w:r>
      <w:bookmarkEnd w:id="191"/>
      <w:bookmarkEnd w:id="192"/>
      <w:bookmarkEnd w:id="193"/>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8"/>
          <w:szCs w:val="28"/>
        </w:rPr>
      </w:pPr>
      <w:bookmarkStart w:id="210" w:name="_Toc21595"/>
      <w:bookmarkStart w:id="211" w:name="_Toc12461"/>
      <w:r>
        <w:rPr>
          <w:rFonts w:hint="eastAsia" w:ascii="宋体" w:hAnsi="宋体" w:eastAsia="宋体" w:cs="宋体"/>
          <w:b/>
          <w:bCs/>
          <w:sz w:val="28"/>
          <w:szCs w:val="28"/>
        </w:rPr>
        <w:t>一、总 则</w:t>
      </w:r>
      <w:bookmarkEnd w:id="210"/>
    </w:p>
    <w:p>
      <w:pPr>
        <w:pStyle w:val="45"/>
        <w:keepNext w:val="0"/>
        <w:keepLines w:val="0"/>
        <w:pageBreakBefore w:val="0"/>
        <w:widowControl w:val="0"/>
        <w:numPr>
          <w:ilvl w:val="0"/>
          <w:numId w:val="11"/>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为公正、公平、科学地选择中标供应商，根据</w:t>
      </w:r>
      <w:r>
        <w:rPr>
          <w:rFonts w:hint="eastAsia" w:ascii="宋体" w:hAnsi="宋体" w:eastAsia="宋体" w:cs="宋体"/>
          <w:sz w:val="24"/>
          <w:szCs w:val="24"/>
        </w:rPr>
        <w:t>《</w:t>
      </w:r>
      <w:r>
        <w:rPr>
          <w:rFonts w:hint="eastAsia" w:ascii="宋体" w:hAnsi="宋体" w:eastAsia="宋体" w:cs="宋体"/>
          <w:snapToGrid w:val="0"/>
          <w:sz w:val="24"/>
          <w:szCs w:val="24"/>
        </w:rPr>
        <w:t>中华人民共和国政府采购法</w:t>
      </w:r>
      <w:r>
        <w:rPr>
          <w:rFonts w:hint="eastAsia" w:ascii="宋体" w:hAnsi="宋体" w:eastAsia="宋体" w:cs="宋体"/>
          <w:sz w:val="24"/>
          <w:szCs w:val="24"/>
        </w:rPr>
        <w:t>》</w:t>
      </w:r>
      <w:r>
        <w:rPr>
          <w:rFonts w:hint="eastAsia" w:ascii="宋体" w:hAnsi="宋体" w:eastAsia="宋体" w:cs="宋体"/>
          <w:snapToGrid w:val="0"/>
          <w:sz w:val="24"/>
          <w:szCs w:val="24"/>
        </w:rPr>
        <w:t>《政府采购货物和服务招标投标管理办法》（财政部令第87号）等有关规定，并结合本项目的实际，制定本办法。</w:t>
      </w:r>
    </w:p>
    <w:p>
      <w:pPr>
        <w:pStyle w:val="45"/>
        <w:keepNext w:val="0"/>
        <w:keepLines w:val="0"/>
        <w:pageBreakBefore w:val="0"/>
        <w:widowControl w:val="0"/>
        <w:numPr>
          <w:ilvl w:val="0"/>
          <w:numId w:val="11"/>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评标工作由采购组织机构负责组织，具体评标事务由评标委员会负责。</w:t>
      </w:r>
    </w:p>
    <w:p>
      <w:pPr>
        <w:pStyle w:val="45"/>
        <w:keepNext w:val="0"/>
        <w:keepLines w:val="0"/>
        <w:pageBreakBefore w:val="0"/>
        <w:widowControl w:val="0"/>
        <w:numPr>
          <w:ilvl w:val="0"/>
          <w:numId w:val="11"/>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sz w:val="24"/>
          <w:szCs w:val="24"/>
        </w:rPr>
        <w:t>评标委员会评价投标文件的响应性，对于投标人而言，除评标委员会要求其澄清、说明或者更正而提供的资料外，仅依据投标文件本身的内容，不寻求其他外部证据。如投标人提交的资质证明或其他内容不齐全，由此造成的后果由投标人自己负责。</w:t>
      </w:r>
    </w:p>
    <w:p>
      <w:pPr>
        <w:pStyle w:val="45"/>
        <w:keepNext w:val="0"/>
        <w:keepLines w:val="0"/>
        <w:pageBreakBefore w:val="0"/>
        <w:widowControl w:val="0"/>
        <w:numPr>
          <w:ilvl w:val="0"/>
          <w:numId w:val="11"/>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本项目评标采用不公开方式进行，</w:t>
      </w:r>
      <w:r>
        <w:rPr>
          <w:rFonts w:hint="eastAsia" w:ascii="宋体" w:hAnsi="宋体" w:eastAsia="宋体" w:cs="宋体"/>
          <w:sz w:val="24"/>
          <w:szCs w:val="24"/>
        </w:rPr>
        <w:t>评标过程独立、保密。投标人非法干预评标评标过程的行为将导致其投标文件作为无效处理。</w:t>
      </w:r>
    </w:p>
    <w:p>
      <w:pPr>
        <w:pStyle w:val="45"/>
        <w:keepNext w:val="0"/>
        <w:keepLines w:val="0"/>
        <w:pageBreakBefore w:val="0"/>
        <w:widowControl w:val="0"/>
        <w:numPr>
          <w:ilvl w:val="0"/>
          <w:numId w:val="11"/>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本项目评标采用不公开方式进行。</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12" w:name="_Toc16429"/>
      <w:bookmarkStart w:id="213" w:name="_Toc1726"/>
      <w:bookmarkStart w:id="214" w:name="_Toc16406"/>
      <w:bookmarkStart w:id="215" w:name="_Toc10074"/>
      <w:bookmarkStart w:id="216" w:name="_Toc21578"/>
      <w:bookmarkStart w:id="217" w:name="_Toc23667"/>
      <w:bookmarkStart w:id="218" w:name="_Toc491930997"/>
      <w:bookmarkStart w:id="219" w:name="_Toc12934"/>
      <w:bookmarkStart w:id="220" w:name="_Toc2984"/>
      <w:r>
        <w:rPr>
          <w:rFonts w:hint="eastAsia" w:ascii="宋体" w:hAnsi="宋体" w:eastAsia="宋体" w:cs="宋体"/>
          <w:b/>
          <w:sz w:val="24"/>
          <w:szCs w:val="24"/>
        </w:rPr>
        <w:t>二、组建评标委员会</w:t>
      </w:r>
      <w:bookmarkEnd w:id="212"/>
    </w:p>
    <w:p>
      <w:pPr>
        <w:pStyle w:val="45"/>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采购人将根据相关规定和采购项目的特点由采购人和技术、经济等方面专家组成评标委员会，</w:t>
      </w:r>
      <w:r>
        <w:rPr>
          <w:rFonts w:hint="eastAsia" w:ascii="宋体" w:hAnsi="宋体" w:cs="宋体"/>
          <w:color w:val="000000"/>
          <w:sz w:val="24"/>
          <w:highlight w:val="none"/>
        </w:rPr>
        <w:t>成员人数</w:t>
      </w:r>
      <w:r>
        <w:rPr>
          <w:rFonts w:hint="eastAsia" w:ascii="宋体" w:hAnsi="宋体" w:cs="宋体"/>
          <w:color w:val="000000"/>
          <w:sz w:val="24"/>
          <w:highlight w:val="none"/>
          <w:lang w:val="en-US" w:eastAsia="zh-CN"/>
        </w:rPr>
        <w:t>5人</w:t>
      </w:r>
      <w:r>
        <w:rPr>
          <w:rFonts w:hint="eastAsia" w:ascii="宋体" w:hAnsi="宋体" w:eastAsia="宋体" w:cs="宋体"/>
          <w:bCs/>
          <w:sz w:val="24"/>
          <w:szCs w:val="24"/>
          <w:highlight w:val="none"/>
        </w:rPr>
        <w:t>。</w:t>
      </w:r>
    </w:p>
    <w:p>
      <w:pPr>
        <w:pStyle w:val="45"/>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除依法组建的评标委员会成员以外，其他任何人不得参加或者替代评审。</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21" w:name="_Toc21131"/>
      <w:r>
        <w:rPr>
          <w:rFonts w:hint="eastAsia" w:ascii="宋体" w:hAnsi="宋体" w:eastAsia="宋体" w:cs="宋体"/>
          <w:b/>
          <w:sz w:val="24"/>
          <w:szCs w:val="24"/>
        </w:rPr>
        <w:t>三、评标原则</w:t>
      </w:r>
      <w:bookmarkEnd w:id="221"/>
    </w:p>
    <w:p>
      <w:pPr>
        <w:pStyle w:val="45"/>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公正、客观、审慎的原则</w:t>
      </w:r>
      <w:r>
        <w:rPr>
          <w:rFonts w:hint="eastAsia" w:ascii="宋体" w:hAnsi="宋体" w:eastAsia="宋体" w:cs="宋体"/>
          <w:bCs/>
          <w:sz w:val="24"/>
          <w:szCs w:val="24"/>
        </w:rPr>
        <w:t>。</w:t>
      </w:r>
    </w:p>
    <w:p>
      <w:pPr>
        <w:pStyle w:val="45"/>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严格保密原则。</w:t>
      </w:r>
      <w:r>
        <w:rPr>
          <w:rFonts w:hint="eastAsia" w:ascii="宋体" w:hAnsi="宋体" w:eastAsia="宋体" w:cs="宋体"/>
          <w:bCs/>
          <w:sz w:val="24"/>
          <w:szCs w:val="24"/>
        </w:rPr>
        <w:t>评标委员会</w:t>
      </w:r>
      <w:r>
        <w:rPr>
          <w:rFonts w:hint="eastAsia" w:ascii="宋体" w:hAnsi="宋体" w:eastAsia="宋体" w:cs="宋体"/>
          <w:sz w:val="24"/>
          <w:szCs w:val="24"/>
        </w:rPr>
        <w:t>及有关工作人员不得私下与投标人接触</w:t>
      </w:r>
      <w:r>
        <w:rPr>
          <w:rFonts w:hint="eastAsia" w:ascii="宋体" w:hAnsi="宋体" w:eastAsia="宋体" w:cs="宋体"/>
          <w:bCs/>
          <w:sz w:val="24"/>
          <w:szCs w:val="24"/>
        </w:rPr>
        <w:t>。</w:t>
      </w:r>
      <w:r>
        <w:rPr>
          <w:rFonts w:hint="eastAsia" w:ascii="宋体" w:hAnsi="宋体" w:eastAsia="宋体" w:cs="宋体"/>
          <w:sz w:val="24"/>
          <w:szCs w:val="24"/>
        </w:rPr>
        <w:t>采购人或采购组织机构对评审结果不作任何说明和解释，也不回答任何提问。</w:t>
      </w:r>
    </w:p>
    <w:p>
      <w:pPr>
        <w:pStyle w:val="45"/>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color w:val="000000"/>
          <w:sz w:val="24"/>
          <w:szCs w:val="24"/>
          <w:shd w:val="clear" w:color="auto" w:fill="FFFFFF"/>
        </w:rPr>
        <w:t>独立评审原则。</w:t>
      </w:r>
      <w:r>
        <w:rPr>
          <w:rFonts w:hint="eastAsia" w:ascii="宋体" w:hAnsi="宋体" w:eastAsia="宋体" w:cs="宋体"/>
          <w:sz w:val="24"/>
          <w:szCs w:val="24"/>
        </w:rPr>
        <w:t>任何单位和个人不得干扰、影响评审的正常进行。</w:t>
      </w:r>
    </w:p>
    <w:p>
      <w:pPr>
        <w:pStyle w:val="45"/>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color w:val="000000"/>
          <w:sz w:val="24"/>
          <w:szCs w:val="24"/>
          <w:shd w:val="clear" w:color="auto" w:fill="FFFFFF"/>
        </w:rPr>
        <w:t>严格遵守评标方法。</w:t>
      </w:r>
      <w:r>
        <w:rPr>
          <w:rFonts w:hint="eastAsia" w:ascii="宋体" w:hAnsi="宋体" w:eastAsia="宋体" w:cs="宋体"/>
          <w:sz w:val="24"/>
          <w:szCs w:val="24"/>
        </w:rPr>
        <w:t>根据采购文件规定的评审程序、评审方法进行评审，不带任何倾向性和启发性。</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22" w:name="_Toc21795"/>
      <w:r>
        <w:rPr>
          <w:rFonts w:hint="eastAsia" w:ascii="宋体" w:hAnsi="宋体" w:eastAsia="宋体" w:cs="宋体"/>
          <w:b/>
          <w:bCs/>
          <w:sz w:val="24"/>
          <w:szCs w:val="24"/>
        </w:rPr>
        <w:t>四、评标委员会履行下列职责</w:t>
      </w:r>
      <w:bookmarkEnd w:id="222"/>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熟悉和理解招标文件；</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审查投标人投标文件等是否满足招标文件要求，并作出评价；</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根据需要要求采购人对招标文件作出解释；根据需要要求投标人对投标文件有关事项作出澄清、说明或者更正；</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推荐中标供应商；</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起草评标报告并进行签署；</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向采购人、监督部门报告非法干预评标工作的行为；</w:t>
      </w:r>
    </w:p>
    <w:p>
      <w:pPr>
        <w:pStyle w:val="45"/>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法律、法规和规章规定的其他职责。</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23" w:name="_Toc11960"/>
      <w:r>
        <w:rPr>
          <w:rFonts w:hint="eastAsia" w:ascii="宋体" w:hAnsi="宋体" w:eastAsia="宋体" w:cs="宋体"/>
          <w:b/>
          <w:sz w:val="24"/>
          <w:szCs w:val="24"/>
        </w:rPr>
        <w:t>五、评标工作纪律</w:t>
      </w:r>
      <w:bookmarkEnd w:id="223"/>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评标委员会成员要严格遵守评标纪律、保密、回避等相关规定，依法独立履行评标职责，客观、公正、审慎参与评标工作；</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严格遵守评标时间，因突发情况确实不能按时参加评标的，应事先告知招标组织机构；</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服从招标组织机构的现场管理，主动出示身份证明，进入评标区域后应主动寄存移动通讯工具；</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与投标人或评标委员会其他成员存在利害关系的，要主动回避，自觉签订《政府采购评审人员廉洁自律承诺书》；</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保持评标现场安静，不在评标现场随意走动，因发生不可预见情况确需与外界联系或暂时离开评标现场的，应向现场监督员说明情况，征得同意后在监控区域内进行相关活动，并应接受相关工作人员的监督；</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自觉遵守职业道德，尊重采购人代表和投标人代表，配合招标组织机构回答投标人代表提出的有关异议；</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不得将评标过程、结果和投标人的商业秘密透露给任何单位和个人。未公告评标结果前不准泄露评标结果，不准将评标资料带出会场；</w:t>
      </w:r>
    </w:p>
    <w:p>
      <w:pPr>
        <w:pStyle w:val="45"/>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评标过程中，涉及到相关法律法规不清楚之处的，由采购监管部门或请示权威部门作出法定解释，涉及到招标文件的由采购人和采购代理机构负责解释。</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24" w:name="_Toc4752"/>
      <w:r>
        <w:rPr>
          <w:rFonts w:hint="eastAsia" w:ascii="宋体" w:hAnsi="宋体" w:eastAsia="宋体" w:cs="宋体"/>
          <w:b/>
          <w:sz w:val="24"/>
          <w:szCs w:val="24"/>
        </w:rPr>
        <w:t>六、评标程序</w:t>
      </w:r>
      <w:bookmarkEnd w:id="224"/>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推选评标委员会组长，优先资深专家担任组长，采购人代表不得担任组长。</w:t>
      </w:r>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评标委员会正式评审前，应当对采购文件进行熟悉和理解，内容主要包括采购文件中投标人资格资质性要求、采购项目技术、服务和商务要求、评审方法以及可能涉及签订采购合同的内容等。</w:t>
      </w:r>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评标程序：资格性审查→符合性审查→商务评审→报价评审→得分汇总→编写评审报告。</w:t>
      </w:r>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sz w:val="24"/>
          <w:szCs w:val="24"/>
        </w:rPr>
        <w:t>资格性审查</w:t>
      </w:r>
    </w:p>
    <w:p>
      <w:pPr>
        <w:pStyle w:val="45"/>
        <w:keepNext w:val="0"/>
        <w:keepLines w:val="0"/>
        <w:pageBreakBefore w:val="0"/>
        <w:widowControl w:val="0"/>
        <w:numPr>
          <w:ilvl w:val="1"/>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评标委员会应依据法律法规和本招标文件的规定对投标人资格进行审查。审查内容包括：</w:t>
      </w:r>
    </w:p>
    <w:p>
      <w:pPr>
        <w:pStyle w:val="41"/>
        <w:keepNext w:val="0"/>
        <w:keepLines w:val="0"/>
        <w:pageBreakBefore w:val="0"/>
        <w:widowControl w:val="0"/>
        <w:numPr>
          <w:ilvl w:val="0"/>
          <w:numId w:val="17"/>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是否属于禁止参加投标的投标人；</w:t>
      </w:r>
    </w:p>
    <w:p>
      <w:pPr>
        <w:pStyle w:val="41"/>
        <w:keepNext w:val="0"/>
        <w:keepLines w:val="0"/>
        <w:pageBreakBefore w:val="0"/>
        <w:widowControl w:val="0"/>
        <w:numPr>
          <w:ilvl w:val="0"/>
          <w:numId w:val="17"/>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是否按照规定要求提供资格性证明材料；</w:t>
      </w:r>
    </w:p>
    <w:p>
      <w:pPr>
        <w:pStyle w:val="41"/>
        <w:keepNext w:val="0"/>
        <w:keepLines w:val="0"/>
        <w:pageBreakBefore w:val="0"/>
        <w:widowControl w:val="0"/>
        <w:numPr>
          <w:ilvl w:val="0"/>
          <w:numId w:val="17"/>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法律法规规定的其他资格条件。</w:t>
      </w:r>
    </w:p>
    <w:p>
      <w:pPr>
        <w:pStyle w:val="45"/>
        <w:keepNext w:val="0"/>
        <w:keepLines w:val="0"/>
        <w:pageBreakBefore w:val="0"/>
        <w:widowControl w:val="0"/>
        <w:numPr>
          <w:ilvl w:val="1"/>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经资格审查不符合招标文件要求的投标文件，即终止其参与投标资格。不符合的理由由投标人确认，投标人拒绝确认的不影响评标委员会作出的不合格裁定。</w:t>
      </w:r>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sz w:val="24"/>
          <w:szCs w:val="24"/>
        </w:rPr>
        <w:t>符合性审查</w:t>
      </w:r>
    </w:p>
    <w:p>
      <w:pPr>
        <w:pStyle w:val="45"/>
        <w:keepNext w:val="0"/>
        <w:keepLines w:val="0"/>
        <w:pageBreakBefore w:val="0"/>
        <w:widowControl w:val="0"/>
        <w:numPr>
          <w:ilvl w:val="1"/>
          <w:numId w:val="16"/>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根据本招标文件的规定，对资格符合投标人的投标文件进行审查，以认定其是否满足本招标文件的实质性要求。符合性审查事项仅限于本招标文件的明确规定，评标委员会不得臆测符合性审查事项。经符合性审查未实质性响应招标文件要求，以投标无效处理。未实质性响应的理由由投标人确认。投标人拒绝确认的不影响评标委员会作出的不合格裁定。评标委员会不再进行后续评审。</w:t>
      </w:r>
    </w:p>
    <w:p>
      <w:pPr>
        <w:pStyle w:val="45"/>
        <w:keepNext w:val="0"/>
        <w:keepLines w:val="0"/>
        <w:pageBreakBefore w:val="0"/>
        <w:widowControl w:val="0"/>
        <w:numPr>
          <w:ilvl w:val="1"/>
          <w:numId w:val="16"/>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bCs/>
          <w:sz w:val="24"/>
          <w:szCs w:val="24"/>
        </w:rPr>
        <w:t>如果确定投标人无资格履行合同，其投标将被拒绝。</w:t>
      </w:r>
    </w:p>
    <w:p>
      <w:pPr>
        <w:pStyle w:val="45"/>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bCs/>
          <w:sz w:val="24"/>
          <w:szCs w:val="24"/>
        </w:rPr>
        <w:t>投标文件评审</w:t>
      </w:r>
    </w:p>
    <w:p>
      <w:pPr>
        <w:pStyle w:val="45"/>
        <w:keepNext w:val="0"/>
        <w:keepLines w:val="0"/>
        <w:pageBreakBefore w:val="0"/>
        <w:widowControl w:val="0"/>
        <w:numPr>
          <w:ilvl w:val="1"/>
          <w:numId w:val="16"/>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评标委员会应当按照本招标文件中规定的评标方法和评分标准，对有效的投标文件进行技术、服务、商务等方面评估，综合比较与评价。</w:t>
      </w:r>
      <w:r>
        <w:rPr>
          <w:rFonts w:hint="eastAsia" w:ascii="宋体" w:hAnsi="宋体" w:eastAsia="宋体" w:cs="宋体"/>
          <w:bCs/>
          <w:sz w:val="24"/>
          <w:szCs w:val="24"/>
        </w:rPr>
        <w:t>详见本章第十条。</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25" w:name="_Toc5938"/>
      <w:r>
        <w:rPr>
          <w:rFonts w:hint="eastAsia" w:ascii="宋体" w:hAnsi="宋体" w:eastAsia="宋体" w:cs="宋体"/>
          <w:b/>
          <w:bCs/>
          <w:sz w:val="24"/>
          <w:szCs w:val="24"/>
        </w:rPr>
        <w:t>七、澄清、说明或修正</w:t>
      </w:r>
      <w:bookmarkEnd w:id="225"/>
    </w:p>
    <w:p>
      <w:pPr>
        <w:pStyle w:val="45"/>
        <w:keepNext w:val="0"/>
        <w:keepLines w:val="0"/>
        <w:pageBreakBefore w:val="0"/>
        <w:widowControl w:val="0"/>
        <w:numPr>
          <w:ilvl w:val="0"/>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在评审过程中，投标文件实质性符合招标文件要求的前提下，评标委员会对投标文件中含义不明确、同类问题表述不一致或者有明显文字和计算错误的内容，评标委员会可以要求相关投标人作出必要的澄清、说明或修正。但不得超出招标文件的范围，不得以此让投标人实质改变投标文件的内容，不得影响公平竞争和投标文件的效力。澄清、说明或修正内容是投标文件的组成部分。</w:t>
      </w:r>
    </w:p>
    <w:p>
      <w:pPr>
        <w:pStyle w:val="45"/>
        <w:keepNext w:val="0"/>
        <w:keepLines w:val="0"/>
        <w:pageBreakBefore w:val="0"/>
        <w:widowControl w:val="0"/>
        <w:numPr>
          <w:ilvl w:val="0"/>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投标文件报价出现前后不一致的，按照下列规定修正：</w:t>
      </w:r>
    </w:p>
    <w:p>
      <w:pPr>
        <w:pStyle w:val="45"/>
        <w:keepNext w:val="0"/>
        <w:keepLines w:val="0"/>
        <w:pageBreakBefore w:val="0"/>
        <w:widowControl w:val="0"/>
        <w:numPr>
          <w:ilvl w:val="1"/>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投标文件中开标一览表（报价表）内容与投标文件中明细表内容不一致的，以开标一览表（报价表）为准；</w:t>
      </w:r>
    </w:p>
    <w:p>
      <w:pPr>
        <w:pStyle w:val="45"/>
        <w:keepNext w:val="0"/>
        <w:keepLines w:val="0"/>
        <w:pageBreakBefore w:val="0"/>
        <w:widowControl w:val="0"/>
        <w:numPr>
          <w:ilvl w:val="1"/>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大写金额与小写金额不一致的，以大写金额为准。但大写金额出现文字错误，导致金额无法判断的除外；</w:t>
      </w:r>
    </w:p>
    <w:p>
      <w:pPr>
        <w:pStyle w:val="45"/>
        <w:keepNext w:val="0"/>
        <w:keepLines w:val="0"/>
        <w:pageBreakBefore w:val="0"/>
        <w:widowControl w:val="0"/>
        <w:numPr>
          <w:ilvl w:val="1"/>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总价金额与按单价汇总金额不一致的，以单价汇总金额计算结果为准。但单价金额出现计算错误、明显人为工作失误的除外；</w:t>
      </w:r>
    </w:p>
    <w:p>
      <w:pPr>
        <w:pStyle w:val="45"/>
        <w:keepNext w:val="0"/>
        <w:keepLines w:val="0"/>
        <w:pageBreakBefore w:val="0"/>
        <w:widowControl w:val="0"/>
        <w:numPr>
          <w:ilvl w:val="1"/>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单价金额小数点有明显错位的，应以总价为准，并修改单价；</w:t>
      </w:r>
    </w:p>
    <w:p>
      <w:pPr>
        <w:pStyle w:val="45"/>
        <w:keepNext w:val="0"/>
        <w:keepLines w:val="0"/>
        <w:pageBreakBefore w:val="0"/>
        <w:widowControl w:val="0"/>
        <w:numPr>
          <w:ilvl w:val="1"/>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rPr>
      </w:pPr>
      <w:r>
        <w:rPr>
          <w:rFonts w:hint="eastAsia" w:ascii="宋体" w:hAnsi="宋体" w:eastAsia="宋体" w:cs="宋体"/>
          <w:sz w:val="24"/>
          <w:szCs w:val="24"/>
        </w:rPr>
        <w:t>对不同语言文本投标文件的解释发生异议的，以中文文本为准。</w:t>
      </w:r>
    </w:p>
    <w:p>
      <w:pPr>
        <w:pStyle w:val="45"/>
        <w:keepNext w:val="0"/>
        <w:keepLines w:val="0"/>
        <w:pageBreakBefore w:val="0"/>
        <w:widowControl w:val="0"/>
        <w:tabs>
          <w:tab w:val="left" w:pos="42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出现本条第2.3项规定情形，单价汇总金额比总价金额高，且超过最高限价的，其投标文件应作为无效投标处理；单价汇总金额比总价金额高，但未超过采购预算或者本项目最高限价的，应以单价汇总金额作为价格评分依据。</w:t>
      </w:r>
    </w:p>
    <w:p>
      <w:pPr>
        <w:pStyle w:val="45"/>
        <w:keepNext w:val="0"/>
        <w:keepLines w:val="0"/>
        <w:pageBreakBefore w:val="0"/>
        <w:widowControl w:val="0"/>
        <w:numPr>
          <w:ilvl w:val="0"/>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澄清说明答复函须由投标人法定代表人或授权代理人签字和盖章。如果投标人不接受对其错误的更正，其投标将被拒绝。</w:t>
      </w:r>
    </w:p>
    <w:p>
      <w:pPr>
        <w:pStyle w:val="45"/>
        <w:keepNext w:val="0"/>
        <w:keepLines w:val="0"/>
        <w:pageBreakBefore w:val="0"/>
        <w:widowControl w:val="0"/>
        <w:numPr>
          <w:ilvl w:val="0"/>
          <w:numId w:val="18"/>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bCs/>
          <w:sz w:val="24"/>
          <w:szCs w:val="24"/>
        </w:rPr>
        <w:t>请投标人在评审期间保持电话畅通，如未及时接听电话，视为放弃澄清、说明或补正的权利，视同默认采购结果，事后不得对采购相关人员、采购过程及结果提出异议。责任由投标人自负。</w:t>
      </w:r>
    </w:p>
    <w:p>
      <w:pPr>
        <w:pStyle w:val="45"/>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460" w:lineRule="exact"/>
        <w:ind w:left="482" w:leftChars="0"/>
        <w:textAlignment w:val="auto"/>
        <w:rPr>
          <w:rFonts w:hint="eastAsia" w:ascii="宋体" w:hAnsi="宋体" w:eastAsia="宋体" w:cs="宋体"/>
          <w:b/>
          <w:bCs/>
          <w:sz w:val="24"/>
          <w:szCs w:val="24"/>
        </w:rPr>
      </w:pPr>
      <w:r>
        <w:rPr>
          <w:rFonts w:hint="eastAsia" w:ascii="宋体" w:hAnsi="宋体" w:eastAsia="宋体" w:cs="宋体"/>
          <w:bCs/>
          <w:sz w:val="24"/>
          <w:szCs w:val="24"/>
          <w:lang w:val="en-US" w:eastAsia="zh-CN"/>
        </w:rPr>
        <w:t>2.6.投标人不接受其上述错误修正的，其投标无效。</w:t>
      </w:r>
      <w:bookmarkStart w:id="226" w:name="_Toc13056"/>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r>
        <w:rPr>
          <w:rFonts w:hint="eastAsia" w:ascii="宋体" w:hAnsi="宋体" w:eastAsia="宋体" w:cs="宋体"/>
          <w:b/>
          <w:bCs/>
          <w:sz w:val="24"/>
          <w:szCs w:val="24"/>
        </w:rPr>
        <w:t>八、推荐中标供应商</w:t>
      </w:r>
      <w:bookmarkEnd w:id="226"/>
    </w:p>
    <w:p>
      <w:pPr>
        <w:pStyle w:val="45"/>
        <w:keepNext w:val="0"/>
        <w:keepLines w:val="0"/>
        <w:pageBreakBefore w:val="0"/>
        <w:widowControl w:val="0"/>
        <w:tabs>
          <w:tab w:val="left" w:pos="420"/>
        </w:tabs>
        <w:kinsoku/>
        <w:bidi w:val="0"/>
        <w:adjustRightInd w:val="0"/>
        <w:snapToGrid w:val="0"/>
        <w:spacing w:line="312" w:lineRule="auto"/>
        <w:ind w:firstLine="482" w:firstLineChars="0"/>
        <w:rPr>
          <w:rFonts w:hint="eastAsia" w:cs="宋体"/>
          <w:sz w:val="24"/>
          <w:szCs w:val="24"/>
          <w:lang w:val="en-US" w:eastAsia="zh-CN"/>
        </w:rPr>
      </w:pPr>
      <w:bookmarkStart w:id="227" w:name="_Toc29668"/>
      <w:r>
        <w:rPr>
          <w:rFonts w:hint="eastAsia" w:ascii="宋体" w:hAnsi="宋体" w:eastAsia="宋体" w:cs="宋体"/>
          <w:sz w:val="24"/>
          <w:szCs w:val="24"/>
        </w:rPr>
        <w:t>按照供应商得分由高到低顺序排列推荐</w:t>
      </w:r>
      <w:r>
        <w:rPr>
          <w:rFonts w:hint="eastAsia" w:cs="宋体"/>
          <w:sz w:val="24"/>
          <w:szCs w:val="24"/>
          <w:lang w:val="en-US" w:eastAsia="zh-CN"/>
        </w:rPr>
        <w:t>2</w:t>
      </w:r>
      <w:r>
        <w:rPr>
          <w:rFonts w:hint="eastAsia" w:ascii="宋体" w:hAnsi="宋体" w:cs="宋体"/>
          <w:color w:val="auto"/>
          <w:highlight w:val="none"/>
          <w:u w:val="none"/>
        </w:rPr>
        <w:t>名</w:t>
      </w:r>
      <w:r>
        <w:rPr>
          <w:rFonts w:hint="eastAsia" w:ascii="宋体" w:hAnsi="宋体" w:cs="宋体"/>
          <w:color w:val="auto"/>
          <w:highlight w:val="none"/>
          <w:u w:val="none"/>
          <w:lang w:val="en-US" w:eastAsia="zh-CN"/>
        </w:rPr>
        <w:t>及以上</w:t>
      </w:r>
      <w:r>
        <w:rPr>
          <w:rFonts w:hint="eastAsia" w:ascii="宋体" w:hAnsi="宋体" w:cs="宋体"/>
          <w:color w:val="auto"/>
          <w:highlight w:val="none"/>
          <w:u w:val="none"/>
        </w:rPr>
        <w:t>中标候选人</w:t>
      </w:r>
      <w:r>
        <w:rPr>
          <w:rFonts w:hint="eastAsia" w:ascii="宋体" w:hAnsi="宋体" w:eastAsia="宋体" w:cs="宋体"/>
          <w:sz w:val="24"/>
          <w:szCs w:val="24"/>
        </w:rPr>
        <w:t>。得分相同的，按投标报价由低到高顺序排列。得分且投标报价相同的并列，经</w:t>
      </w:r>
      <w:r>
        <w:rPr>
          <w:rFonts w:hint="eastAsia" w:cs="宋体"/>
          <w:sz w:val="24"/>
          <w:szCs w:val="24"/>
          <w:lang w:val="en-US" w:eastAsia="zh-CN"/>
        </w:rPr>
        <w:t>评委</w:t>
      </w:r>
      <w:r>
        <w:rPr>
          <w:rFonts w:hint="eastAsia" w:ascii="宋体" w:hAnsi="宋体" w:eastAsia="宋体" w:cs="宋体"/>
          <w:sz w:val="24"/>
          <w:szCs w:val="24"/>
        </w:rPr>
        <w:t>摇号确定排序。</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r>
        <w:rPr>
          <w:rFonts w:hint="eastAsia" w:ascii="宋体" w:hAnsi="宋体" w:eastAsia="宋体" w:cs="宋体"/>
          <w:b/>
          <w:bCs/>
          <w:sz w:val="24"/>
          <w:szCs w:val="24"/>
        </w:rPr>
        <w:t>九、评审报告</w:t>
      </w:r>
      <w:bookmarkEnd w:id="227"/>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cs="宋体"/>
          <w:sz w:val="24"/>
          <w:szCs w:val="24"/>
          <w:lang w:val="en-US" w:eastAsia="zh-CN"/>
        </w:rPr>
        <w:t>1.</w:t>
      </w:r>
      <w:r>
        <w:rPr>
          <w:rFonts w:hint="eastAsia" w:ascii="宋体" w:hAnsi="宋体" w:eastAsia="宋体" w:cs="宋体"/>
          <w:sz w:val="24"/>
          <w:szCs w:val="24"/>
        </w:rPr>
        <w:t>评标委员会</w:t>
      </w:r>
      <w:r>
        <w:rPr>
          <w:rFonts w:hint="eastAsia" w:ascii="宋体" w:hAnsi="宋体" w:eastAsia="宋体" w:cs="宋体"/>
          <w:sz w:val="24"/>
          <w:szCs w:val="24"/>
          <w:lang w:val="en-US" w:eastAsia="zh-CN"/>
        </w:rPr>
        <w:t>根据全体评标成员签字的原始评标记录和评标结果</w:t>
      </w:r>
      <w:r>
        <w:rPr>
          <w:rFonts w:hint="eastAsia" w:ascii="宋体" w:hAnsi="宋体" w:eastAsia="宋体" w:cs="宋体"/>
          <w:sz w:val="24"/>
          <w:szCs w:val="24"/>
        </w:rPr>
        <w:t>编写评审报告，评审报告由评标委员会成员签字</w:t>
      </w:r>
      <w:r>
        <w:rPr>
          <w:rFonts w:hint="eastAsia" w:ascii="宋体" w:hAnsi="宋体" w:eastAsia="宋体" w:cs="宋体"/>
          <w:sz w:val="24"/>
          <w:szCs w:val="24"/>
          <w:lang w:val="en-US" w:eastAsia="zh-CN"/>
        </w:rPr>
        <w:t>确认</w:t>
      </w:r>
      <w:r>
        <w:rPr>
          <w:rFonts w:hint="eastAsia" w:ascii="宋体" w:hAnsi="宋体" w:eastAsia="宋体" w:cs="宋体"/>
          <w:sz w:val="24"/>
          <w:szCs w:val="24"/>
        </w:rPr>
        <w:t>。</w:t>
      </w:r>
    </w:p>
    <w:p>
      <w:pPr>
        <w:pStyle w:val="45"/>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28" w:name="_Toc32764"/>
      <w:r>
        <w:rPr>
          <w:rFonts w:hint="eastAsia" w:ascii="宋体" w:hAnsi="宋体" w:eastAsia="宋体" w:cs="宋体"/>
          <w:b/>
          <w:bCs/>
          <w:sz w:val="24"/>
          <w:szCs w:val="24"/>
        </w:rPr>
        <w:t>十、评标细则及标准</w:t>
      </w:r>
      <w:bookmarkEnd w:id="228"/>
    </w:p>
    <w:p>
      <w:pPr>
        <w:pStyle w:val="45"/>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42" w:leftChars="0" w:firstLine="482" w:firstLineChars="0"/>
        <w:textAlignment w:val="auto"/>
        <w:rPr>
          <w:rFonts w:hint="eastAsia" w:ascii="宋体" w:hAnsi="宋体" w:eastAsia="宋体" w:cs="宋体"/>
          <w:sz w:val="24"/>
          <w:szCs w:val="24"/>
        </w:rPr>
      </w:pPr>
      <w:r>
        <w:rPr>
          <w:rFonts w:hint="eastAsia" w:ascii="宋体" w:hAnsi="宋体" w:eastAsia="宋体" w:cs="宋体"/>
          <w:snapToGrid w:val="0"/>
          <w:sz w:val="24"/>
          <w:szCs w:val="24"/>
          <w:lang w:eastAsia="zh-CN"/>
        </w:rPr>
        <w:t>评标委员会</w:t>
      </w:r>
      <w:r>
        <w:rPr>
          <w:rFonts w:hint="eastAsia" w:ascii="宋体" w:hAnsi="宋体" w:eastAsia="宋体" w:cs="宋体"/>
          <w:sz w:val="24"/>
          <w:szCs w:val="24"/>
        </w:rPr>
        <w:t>根据本办法，对有效的</w:t>
      </w:r>
      <w:r>
        <w:rPr>
          <w:rFonts w:hint="eastAsia" w:ascii="宋体" w:hAnsi="宋体" w:eastAsia="宋体" w:cs="宋体"/>
          <w:sz w:val="24"/>
          <w:szCs w:val="24"/>
          <w:lang w:eastAsia="zh-CN"/>
        </w:rPr>
        <w:t>投标文件</w:t>
      </w:r>
      <w:r>
        <w:rPr>
          <w:rFonts w:hint="eastAsia" w:ascii="宋体" w:hAnsi="宋体" w:eastAsia="宋体" w:cs="宋体"/>
          <w:sz w:val="24"/>
          <w:szCs w:val="24"/>
        </w:rPr>
        <w:t>进行</w:t>
      </w:r>
      <w:r>
        <w:rPr>
          <w:rFonts w:hint="eastAsia" w:ascii="宋体" w:hAnsi="宋体" w:eastAsia="宋体" w:cs="宋体"/>
          <w:sz w:val="24"/>
          <w:szCs w:val="24"/>
          <w:lang w:eastAsia="zh-CN"/>
        </w:rPr>
        <w:t>商务</w:t>
      </w:r>
      <w:r>
        <w:rPr>
          <w:rFonts w:hint="eastAsia" w:ascii="宋体" w:hAnsi="宋体" w:eastAsia="宋体" w:cs="宋体"/>
          <w:sz w:val="24"/>
          <w:szCs w:val="24"/>
        </w:rPr>
        <w:t>、技术等方面评估，综合比较与评价，由各成员独立</w:t>
      </w:r>
      <w:r>
        <w:rPr>
          <w:rFonts w:hint="eastAsia" w:ascii="宋体" w:hAnsi="宋体" w:eastAsia="宋体" w:cs="宋体"/>
          <w:sz w:val="24"/>
          <w:szCs w:val="24"/>
          <w:lang w:eastAsia="zh-CN"/>
        </w:rPr>
        <w:t>评</w:t>
      </w:r>
      <w:r>
        <w:rPr>
          <w:rFonts w:hint="eastAsia" w:ascii="宋体" w:hAnsi="宋体" w:eastAsia="宋体" w:cs="宋体"/>
          <w:sz w:val="24"/>
          <w:szCs w:val="24"/>
        </w:rPr>
        <w:t>分，每人一份评分表，并签名。在</w:t>
      </w:r>
      <w:r>
        <w:rPr>
          <w:rFonts w:hint="eastAsia" w:ascii="宋体" w:hAnsi="宋体" w:eastAsia="宋体" w:cs="宋体"/>
          <w:sz w:val="24"/>
          <w:szCs w:val="24"/>
          <w:lang w:eastAsia="zh-CN"/>
        </w:rPr>
        <w:t>汇总</w:t>
      </w:r>
      <w:r>
        <w:rPr>
          <w:rFonts w:hint="eastAsia" w:ascii="宋体" w:hAnsi="宋体" w:eastAsia="宋体" w:cs="宋体"/>
          <w:sz w:val="24"/>
          <w:szCs w:val="24"/>
        </w:rPr>
        <w:t>得分时，如果发现某一单项评分超过评分细则规定的分值范围，则该份评分表无效。</w:t>
      </w:r>
    </w:p>
    <w:p>
      <w:pPr>
        <w:pStyle w:val="45"/>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42" w:leftChars="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加权汇总每项评分因素的得分，得出每个有效</w:t>
      </w:r>
      <w:r>
        <w:rPr>
          <w:rFonts w:hint="eastAsia" w:ascii="宋体" w:hAnsi="宋体" w:eastAsia="宋体" w:cs="宋体"/>
          <w:sz w:val="24"/>
          <w:szCs w:val="24"/>
          <w:lang w:eastAsia="zh-CN"/>
        </w:rPr>
        <w:t>供应商</w:t>
      </w:r>
      <w:r>
        <w:rPr>
          <w:rFonts w:hint="eastAsia" w:ascii="宋体" w:hAnsi="宋体" w:eastAsia="宋体" w:cs="宋体"/>
          <w:sz w:val="24"/>
          <w:szCs w:val="24"/>
        </w:rPr>
        <w:t>的总分。</w:t>
      </w:r>
      <w:r>
        <w:rPr>
          <w:rFonts w:hint="eastAsia" w:ascii="宋体" w:hAnsi="宋体" w:eastAsia="宋体" w:cs="宋体"/>
          <w:sz w:val="24"/>
          <w:szCs w:val="24"/>
          <w:lang w:eastAsia="zh-CN"/>
        </w:rPr>
        <w:t>商务技术部分</w:t>
      </w:r>
      <w:r>
        <w:rPr>
          <w:rFonts w:hint="eastAsia" w:ascii="宋体" w:hAnsi="宋体" w:eastAsia="宋体" w:cs="宋体"/>
          <w:sz w:val="24"/>
          <w:szCs w:val="24"/>
        </w:rPr>
        <w:t>得分为各成员的有效评分的算术平均值。计算时保留小数二位（第三位四舍五入）</w:t>
      </w:r>
      <w:r>
        <w:rPr>
          <w:rFonts w:hint="eastAsia" w:ascii="宋体" w:hAnsi="宋体" w:eastAsia="宋体" w:cs="宋体"/>
          <w:sz w:val="24"/>
          <w:szCs w:val="24"/>
          <w:lang w:eastAsia="zh-CN"/>
        </w:rPr>
        <w:t>。</w:t>
      </w:r>
    </w:p>
    <w:p>
      <w:pPr>
        <w:pStyle w:val="45"/>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42" w:leftChars="0" w:firstLine="482" w:firstLineChars="0"/>
        <w:textAlignment w:val="auto"/>
        <w:rPr>
          <w:rFonts w:hint="eastAsia" w:ascii="宋体" w:hAnsi="宋体" w:eastAsia="宋体" w:cs="宋体"/>
          <w:sz w:val="24"/>
          <w:szCs w:val="24"/>
        </w:rPr>
      </w:pPr>
      <w:r>
        <w:rPr>
          <w:rFonts w:hint="eastAsia" w:ascii="宋体" w:hAnsi="宋体" w:eastAsia="宋体" w:cs="宋体"/>
          <w:b/>
          <w:bCs/>
          <w:sz w:val="24"/>
          <w:szCs w:val="24"/>
        </w:rPr>
        <w:t>综合评分明细表</w:t>
      </w:r>
    </w:p>
    <w:tbl>
      <w:tblPr>
        <w:tblStyle w:val="47"/>
        <w:tblW w:w="10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85" w:type="dxa"/>
          <w:bottom w:w="17" w:type="dxa"/>
          <w:right w:w="85" w:type="dxa"/>
        </w:tblCellMar>
      </w:tblPr>
      <w:tblGrid>
        <w:gridCol w:w="766"/>
        <w:gridCol w:w="1233"/>
        <w:gridCol w:w="7754"/>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90" w:hRule="atLeast"/>
          <w:tblHeader/>
        </w:trPr>
        <w:tc>
          <w:tcPr>
            <w:tcW w:w="1999" w:type="dxa"/>
            <w:gridSpan w:val="2"/>
            <w:noWrap w:val="0"/>
            <w:tcMar>
              <w:top w:w="142" w:type="dxa"/>
              <w:left w:w="113" w:type="dxa"/>
              <w:bottom w:w="142" w:type="dxa"/>
              <w:right w:w="113" w:type="dxa"/>
            </w:tcMar>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napToGrid w:val="0"/>
                <w:color w:val="auto"/>
                <w:kern w:val="0"/>
                <w:sz w:val="24"/>
                <w:szCs w:val="24"/>
                <w:shd w:val="clear" w:color="auto" w:fill="auto"/>
                <w:lang w:eastAsia="zh-CN"/>
              </w:rPr>
            </w:pPr>
            <w:bookmarkStart w:id="229" w:name="_Toc3164"/>
            <w:r>
              <w:rPr>
                <w:rFonts w:hint="eastAsia" w:ascii="宋体" w:hAnsi="宋体" w:eastAsia="宋体" w:cs="宋体"/>
                <w:b/>
                <w:bCs/>
                <w:snapToGrid w:val="0"/>
                <w:color w:val="auto"/>
                <w:kern w:val="0"/>
                <w:sz w:val="24"/>
                <w:szCs w:val="24"/>
                <w:shd w:val="clear" w:color="auto" w:fill="auto"/>
                <w:lang w:eastAsia="zh-CN"/>
              </w:rPr>
              <w:t>评分项目</w:t>
            </w:r>
          </w:p>
        </w:tc>
        <w:tc>
          <w:tcPr>
            <w:tcW w:w="7754" w:type="dxa"/>
            <w:noWrap w:val="0"/>
            <w:tcMar>
              <w:top w:w="142" w:type="dxa"/>
              <w:left w:w="113" w:type="dxa"/>
              <w:bottom w:w="142" w:type="dxa"/>
              <w:right w:w="113" w:type="dxa"/>
            </w:tcMar>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napToGrid w:val="0"/>
                <w:color w:val="auto"/>
                <w:kern w:val="0"/>
                <w:sz w:val="24"/>
                <w:szCs w:val="24"/>
                <w:shd w:val="clear" w:color="auto" w:fill="auto"/>
                <w:lang w:eastAsia="zh-CN"/>
              </w:rPr>
            </w:pPr>
            <w:r>
              <w:rPr>
                <w:rFonts w:hint="eastAsia" w:ascii="宋体" w:hAnsi="宋体" w:eastAsia="宋体" w:cs="宋体"/>
                <w:b/>
                <w:bCs/>
                <w:snapToGrid w:val="0"/>
                <w:color w:val="auto"/>
                <w:kern w:val="0"/>
                <w:sz w:val="24"/>
                <w:szCs w:val="24"/>
                <w:shd w:val="clear" w:color="auto" w:fill="auto"/>
                <w:lang w:eastAsia="zh-CN"/>
              </w:rPr>
              <w:t>评分细则</w:t>
            </w:r>
          </w:p>
        </w:tc>
        <w:tc>
          <w:tcPr>
            <w:tcW w:w="864" w:type="dxa"/>
            <w:noWrap w:val="0"/>
            <w:tcMar>
              <w:top w:w="142" w:type="dxa"/>
              <w:left w:w="113" w:type="dxa"/>
              <w:bottom w:w="142" w:type="dxa"/>
              <w:right w:w="113" w:type="dxa"/>
            </w:tcMar>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napToGrid w:val="0"/>
                <w:color w:val="auto"/>
                <w:kern w:val="0"/>
                <w:sz w:val="24"/>
                <w:szCs w:val="24"/>
                <w:shd w:val="clear" w:color="auto" w:fill="auto"/>
                <w:lang w:eastAsia="zh-CN"/>
              </w:rPr>
            </w:pPr>
            <w:r>
              <w:rPr>
                <w:rFonts w:hint="eastAsia" w:ascii="宋体" w:hAnsi="宋体" w:eastAsia="宋体" w:cs="宋体"/>
                <w:b/>
                <w:bCs/>
                <w:snapToGrid w:val="0"/>
                <w:color w:val="auto"/>
                <w:kern w:val="0"/>
                <w:sz w:val="24"/>
                <w:szCs w:val="24"/>
                <w:shd w:val="clear" w:color="auto" w:fill="auto"/>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956" w:hRule="atLeast"/>
        </w:trPr>
        <w:tc>
          <w:tcPr>
            <w:tcW w:w="766" w:type="dxa"/>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eastAsia="zh-CN"/>
              </w:rPr>
              <w:t>价格</w:t>
            </w:r>
            <w:r>
              <w:rPr>
                <w:rFonts w:hint="eastAsia" w:ascii="宋体" w:hAnsi="宋体" w:eastAsia="宋体" w:cs="宋体"/>
                <w:bCs/>
                <w:snapToGrid w:val="0"/>
                <w:color w:val="auto"/>
                <w:kern w:val="0"/>
                <w:sz w:val="24"/>
                <w:szCs w:val="24"/>
                <w:highlight w:val="none"/>
              </w:rPr>
              <w:t>部分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 w:val="0"/>
                <w:bCs w:val="0"/>
                <w:snapToGrid w:val="0"/>
                <w:color w:val="auto"/>
                <w:kern w:val="0"/>
                <w:sz w:val="24"/>
                <w:szCs w:val="24"/>
                <w:highlight w:val="none"/>
                <w:shd w:val="clear" w:color="auto" w:fill="auto"/>
                <w:lang w:val="en-US" w:eastAsia="zh-CN"/>
              </w:rPr>
            </w:pPr>
            <w:r>
              <w:rPr>
                <w:rFonts w:hint="eastAsia" w:ascii="宋体" w:hAnsi="宋体" w:eastAsia="宋体" w:cs="宋体"/>
                <w:bCs/>
                <w:snapToGrid w:val="0"/>
                <w:color w:val="auto"/>
                <w:kern w:val="0"/>
                <w:sz w:val="24"/>
                <w:szCs w:val="24"/>
                <w:highlight w:val="none"/>
              </w:rPr>
              <w:t>（</w:t>
            </w:r>
            <w:r>
              <w:rPr>
                <w:rFonts w:hint="eastAsia" w:cs="宋体"/>
                <w:bCs/>
                <w:snapToGrid w:val="0"/>
                <w:color w:val="auto"/>
                <w:kern w:val="0"/>
                <w:sz w:val="24"/>
                <w:szCs w:val="24"/>
                <w:highlight w:val="none"/>
                <w:lang w:val="en-US" w:eastAsia="zh-CN"/>
              </w:rPr>
              <w:t>20</w:t>
            </w:r>
            <w:r>
              <w:rPr>
                <w:rFonts w:hint="eastAsia" w:ascii="宋体" w:hAnsi="宋体" w:eastAsia="宋体" w:cs="宋体"/>
                <w:bCs/>
                <w:snapToGrid w:val="0"/>
                <w:color w:val="auto"/>
                <w:kern w:val="0"/>
                <w:sz w:val="24"/>
                <w:szCs w:val="24"/>
                <w:highlight w:val="none"/>
              </w:rPr>
              <w:t>分）</w:t>
            </w:r>
          </w:p>
        </w:tc>
        <w:tc>
          <w:tcPr>
            <w:tcW w:w="1233"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4"/>
                <w:szCs w:val="24"/>
                <w:highlight w:val="none"/>
                <w:shd w:val="clear" w:color="auto" w:fill="auto"/>
                <w:lang w:eastAsia="zh-CN"/>
              </w:rPr>
            </w:pPr>
            <w:r>
              <w:rPr>
                <w:rFonts w:hint="eastAsia" w:ascii="宋体" w:hAnsi="宋体" w:eastAsia="宋体" w:cs="宋体"/>
                <w:b w:val="0"/>
                <w:bCs w:val="0"/>
                <w:snapToGrid w:val="0"/>
                <w:color w:val="auto"/>
                <w:kern w:val="0"/>
                <w:sz w:val="24"/>
                <w:szCs w:val="24"/>
                <w:highlight w:val="none"/>
                <w:shd w:val="clear" w:color="auto" w:fill="auto"/>
                <w:lang w:eastAsia="zh-CN"/>
              </w:rPr>
              <w:t>投标报价</w:t>
            </w:r>
          </w:p>
        </w:tc>
        <w:tc>
          <w:tcPr>
            <w:tcW w:w="775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价格</w:t>
            </w:r>
            <w:r>
              <w:rPr>
                <w:rFonts w:hint="eastAsia" w:ascii="宋体" w:hAnsi="宋体" w:eastAsia="宋体" w:cs="宋体"/>
                <w:snapToGrid w:val="0"/>
                <w:color w:val="auto"/>
                <w:kern w:val="0"/>
                <w:sz w:val="24"/>
                <w:szCs w:val="24"/>
                <w:highlight w:val="none"/>
              </w:rPr>
              <w:t>分采用低价优先法计算，即满足</w:t>
            </w:r>
            <w:r>
              <w:rPr>
                <w:rFonts w:hint="eastAsia" w:ascii="宋体" w:hAnsi="宋体" w:eastAsia="宋体" w:cs="宋体"/>
                <w:snapToGrid w:val="0"/>
                <w:color w:val="auto"/>
                <w:kern w:val="0"/>
                <w:sz w:val="24"/>
                <w:szCs w:val="24"/>
                <w:highlight w:val="none"/>
                <w:lang w:eastAsia="zh-CN"/>
              </w:rPr>
              <w:t>招标</w:t>
            </w:r>
            <w:r>
              <w:rPr>
                <w:rFonts w:hint="eastAsia" w:ascii="宋体" w:hAnsi="宋体" w:eastAsia="宋体" w:cs="宋体"/>
                <w:snapToGrid w:val="0"/>
                <w:color w:val="auto"/>
                <w:kern w:val="0"/>
                <w:sz w:val="24"/>
                <w:szCs w:val="24"/>
                <w:highlight w:val="none"/>
              </w:rPr>
              <w:t>文件要求且报价最低的为</w:t>
            </w:r>
            <w:r>
              <w:rPr>
                <w:rFonts w:hint="eastAsia" w:ascii="宋体" w:hAnsi="宋体" w:eastAsia="宋体" w:cs="宋体"/>
                <w:snapToGrid w:val="0"/>
                <w:color w:val="auto"/>
                <w:kern w:val="0"/>
                <w:sz w:val="24"/>
                <w:szCs w:val="24"/>
                <w:highlight w:val="none"/>
                <w:lang w:eastAsia="zh-CN"/>
              </w:rPr>
              <w:t>评标</w:t>
            </w:r>
            <w:r>
              <w:rPr>
                <w:rFonts w:hint="eastAsia" w:ascii="宋体" w:hAnsi="宋体" w:eastAsia="宋体" w:cs="宋体"/>
                <w:snapToGrid w:val="0"/>
                <w:color w:val="auto"/>
                <w:kern w:val="0"/>
                <w:sz w:val="24"/>
                <w:szCs w:val="24"/>
                <w:highlight w:val="none"/>
              </w:rPr>
              <w:t>基准价</w:t>
            </w:r>
            <w:r>
              <w:rPr>
                <w:rFonts w:hint="eastAsia" w:ascii="宋体" w:hAnsi="宋体" w:eastAsia="宋体" w:cs="宋体"/>
                <w:snapToGrid w:val="0"/>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2.投标</w:t>
            </w:r>
            <w:r>
              <w:rPr>
                <w:rFonts w:hint="eastAsia" w:ascii="宋体" w:hAnsi="宋体" w:eastAsia="宋体" w:cs="宋体"/>
                <w:snapToGrid w:val="0"/>
                <w:color w:val="auto"/>
                <w:kern w:val="0"/>
                <w:sz w:val="24"/>
                <w:szCs w:val="24"/>
                <w:highlight w:val="none"/>
              </w:rPr>
              <w:t>报价得分＝</w:t>
            </w:r>
            <w:r>
              <w:rPr>
                <w:rFonts w:hint="eastAsia" w:ascii="宋体" w:hAnsi="宋体" w:eastAsia="宋体" w:cs="宋体"/>
                <w:snapToGrid w:val="0"/>
                <w:color w:val="auto"/>
                <w:kern w:val="0"/>
                <w:sz w:val="24"/>
                <w:szCs w:val="24"/>
                <w:highlight w:val="none"/>
                <w:lang w:eastAsia="zh-CN"/>
              </w:rPr>
              <w:t>评标</w:t>
            </w:r>
            <w:r>
              <w:rPr>
                <w:rFonts w:hint="eastAsia" w:ascii="宋体" w:hAnsi="宋体" w:eastAsia="宋体" w:cs="宋体"/>
                <w:snapToGrid w:val="0"/>
                <w:color w:val="auto"/>
                <w:kern w:val="0"/>
                <w:sz w:val="24"/>
                <w:szCs w:val="24"/>
                <w:highlight w:val="none"/>
              </w:rPr>
              <w:t>基准价/</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报</w:t>
            </w:r>
            <w:r>
              <w:rPr>
                <w:rFonts w:hint="eastAsia" w:ascii="宋体" w:hAnsi="宋体" w:eastAsia="宋体" w:cs="宋体"/>
                <w:snapToGrid w:val="0"/>
                <w:color w:val="auto"/>
                <w:kern w:val="0"/>
                <w:sz w:val="24"/>
                <w:szCs w:val="24"/>
                <w:highlight w:val="none"/>
                <w:lang w:eastAsia="zh-CN"/>
              </w:rPr>
              <w:t>价×</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lang w:eastAsia="zh-CN"/>
              </w:rPr>
              <w:t>（保留小数二位，第三位四舍五入）</w:t>
            </w:r>
          </w:p>
          <w:p>
            <w:pPr>
              <w:pStyle w:val="20"/>
              <w:spacing w:line="240" w:lineRule="auto"/>
              <w:ind w:left="0" w:leftChars="0" w:firstLine="0" w:firstLineChars="0"/>
              <w:rPr>
                <w:rFonts w:hint="default" w:eastAsia="宋体"/>
                <w:lang w:val="en-US" w:eastAsia="zh-CN"/>
              </w:rPr>
            </w:pPr>
            <w:r>
              <w:rPr>
                <w:rFonts w:hint="eastAsia" w:ascii="宋体" w:hAnsi="宋体" w:eastAsia="宋体" w:cs="宋体"/>
                <w:snapToGrid w:val="0"/>
                <w:color w:val="auto"/>
                <w:kern w:val="0"/>
                <w:sz w:val="24"/>
                <w:szCs w:val="24"/>
                <w:highlight w:val="none"/>
                <w:lang w:val="en-US" w:eastAsia="zh-CN" w:bidi="ar-SA"/>
              </w:rPr>
              <w:t>注：本项目面向中小企业，不再享受价格优惠</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宋体" w:hAnsi="宋体" w:eastAsia="宋体" w:cs="宋体"/>
                <w:b w:val="0"/>
                <w:bCs w:val="0"/>
                <w:snapToGrid w:val="0"/>
                <w:color w:val="auto"/>
                <w:kern w:val="0"/>
                <w:sz w:val="24"/>
                <w:szCs w:val="24"/>
                <w:highlight w:val="none"/>
                <w:lang w:val="en-US" w:eastAsia="zh-CN"/>
              </w:rPr>
            </w:pPr>
            <w:r>
              <w:rPr>
                <w:rFonts w:hint="eastAsia" w:cs="宋体"/>
                <w:snapToGrid w:val="0"/>
                <w:color w:val="auto"/>
                <w:kern w:val="0"/>
                <w:sz w:val="24"/>
                <w:szCs w:val="24"/>
                <w:highlight w:val="none"/>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2011" w:hRule="atLeast"/>
        </w:trPr>
        <w:tc>
          <w:tcPr>
            <w:tcW w:w="766" w:type="dxa"/>
            <w:vMerge w:val="restart"/>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spacing w:val="0"/>
                <w:kern w:val="0"/>
                <w:sz w:val="24"/>
                <w:szCs w:val="24"/>
                <w:highlight w:val="none"/>
                <w:lang w:eastAsia="zh-CN"/>
              </w:rPr>
              <w:t>商务技术部分</w:t>
            </w:r>
            <w:r>
              <w:rPr>
                <w:rFonts w:hint="eastAsia" w:ascii="宋体" w:hAnsi="宋体" w:eastAsia="宋体" w:cs="宋体"/>
                <w:bCs/>
                <w:snapToGrid w:val="0"/>
                <w:color w:val="auto"/>
                <w:spacing w:val="57"/>
                <w:kern w:val="0"/>
                <w:sz w:val="24"/>
                <w:szCs w:val="24"/>
                <w:highlight w:val="none"/>
                <w:lang w:eastAsia="zh-CN"/>
              </w:rPr>
              <w:t>（</w:t>
            </w:r>
            <w:r>
              <w:rPr>
                <w:rFonts w:hint="eastAsia" w:ascii="宋体" w:hAnsi="宋体" w:eastAsia="宋体" w:cs="宋体"/>
                <w:bCs/>
                <w:snapToGrid w:val="0"/>
                <w:color w:val="auto"/>
                <w:spacing w:val="57"/>
                <w:kern w:val="0"/>
                <w:sz w:val="24"/>
                <w:szCs w:val="24"/>
                <w:highlight w:val="none"/>
                <w:lang w:val="en-US" w:eastAsia="zh-CN"/>
              </w:rPr>
              <w:t>8</w:t>
            </w:r>
            <w:r>
              <w:rPr>
                <w:rFonts w:hint="eastAsia" w:cs="宋体"/>
                <w:bCs/>
                <w:snapToGrid w:val="0"/>
                <w:color w:val="auto"/>
                <w:spacing w:val="57"/>
                <w:kern w:val="0"/>
                <w:sz w:val="24"/>
                <w:szCs w:val="24"/>
                <w:highlight w:val="none"/>
                <w:lang w:val="en-US" w:eastAsia="zh-CN"/>
              </w:rPr>
              <w:t>0</w:t>
            </w:r>
            <w:r>
              <w:rPr>
                <w:rFonts w:hint="eastAsia" w:ascii="宋体" w:hAnsi="宋体" w:eastAsia="宋体" w:cs="宋体"/>
                <w:bCs/>
                <w:snapToGrid w:val="0"/>
                <w:color w:val="auto"/>
                <w:spacing w:val="57"/>
                <w:kern w:val="0"/>
                <w:sz w:val="24"/>
                <w:szCs w:val="24"/>
                <w:highlight w:val="none"/>
                <w:lang w:val="en-US" w:eastAsia="zh-CN"/>
              </w:rPr>
              <w:t>分</w:t>
            </w:r>
            <w:r>
              <w:rPr>
                <w:rFonts w:hint="eastAsia" w:ascii="宋体" w:hAnsi="宋体" w:eastAsia="宋体" w:cs="宋体"/>
                <w:bCs/>
                <w:snapToGrid w:val="0"/>
                <w:color w:val="auto"/>
                <w:spacing w:val="57"/>
                <w:kern w:val="0"/>
                <w:sz w:val="24"/>
                <w:szCs w:val="24"/>
                <w:highlight w:val="none"/>
                <w:lang w:eastAsia="zh-CN"/>
              </w:rPr>
              <w:t>）</w:t>
            </w:r>
          </w:p>
        </w:tc>
        <w:tc>
          <w:tcPr>
            <w:tcW w:w="1233" w:type="dxa"/>
            <w:noWrap w:val="0"/>
            <w:tcMar>
              <w:top w:w="142" w:type="dxa"/>
              <w:left w:w="113" w:type="dxa"/>
              <w:bottom w:w="142" w:type="dxa"/>
              <w:right w:w="113"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lang w:val="en-US" w:eastAsia="zh-CN"/>
              </w:rPr>
            </w:pPr>
            <w:r>
              <w:rPr>
                <w:rFonts w:hint="eastAsia" w:ascii="宋体" w:hAnsi="宋体" w:eastAsia="宋体" w:cs="宋体"/>
                <w:bCs/>
                <w:snapToGrid w:val="0"/>
                <w:color w:val="auto"/>
                <w:kern w:val="0"/>
                <w:sz w:val="24"/>
                <w:szCs w:val="24"/>
                <w:highlight w:val="none"/>
                <w:lang w:eastAsia="zh-CN"/>
              </w:rPr>
              <w:t>履约经验</w:t>
            </w:r>
          </w:p>
        </w:tc>
        <w:tc>
          <w:tcPr>
            <w:tcW w:w="775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投标人</w:t>
            </w:r>
            <w:r>
              <w:rPr>
                <w:rFonts w:hint="eastAsia" w:ascii="宋体" w:hAnsi="宋体" w:eastAsia="宋体" w:cs="宋体"/>
                <w:b w:val="0"/>
                <w:bCs/>
                <w:snapToGrid w:val="0"/>
                <w:color w:val="auto"/>
                <w:kern w:val="0"/>
                <w:sz w:val="24"/>
                <w:szCs w:val="24"/>
                <w:highlight w:val="none"/>
                <w:lang w:eastAsia="zh-CN"/>
              </w:rPr>
              <w:t>自</w:t>
            </w:r>
            <w:r>
              <w:rPr>
                <w:rFonts w:hint="eastAsia" w:ascii="宋体" w:hAnsi="宋体" w:eastAsia="宋体" w:cs="宋体"/>
                <w:b w:val="0"/>
                <w:bCs/>
                <w:snapToGrid w:val="0"/>
                <w:color w:val="auto"/>
                <w:kern w:val="0"/>
                <w:sz w:val="24"/>
                <w:szCs w:val="24"/>
                <w:highlight w:val="none"/>
              </w:rPr>
              <w:t>20</w:t>
            </w:r>
            <w:r>
              <w:rPr>
                <w:rFonts w:hint="eastAsia" w:cs="宋体"/>
                <w:b w:val="0"/>
                <w:bCs/>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年1月1日</w:t>
            </w:r>
            <w:r>
              <w:rPr>
                <w:rFonts w:hint="eastAsia" w:ascii="宋体" w:hAnsi="宋体" w:eastAsia="宋体" w:cs="宋体"/>
                <w:b w:val="0"/>
                <w:bCs/>
                <w:snapToGrid w:val="0"/>
                <w:color w:val="auto"/>
                <w:kern w:val="0"/>
                <w:sz w:val="24"/>
                <w:szCs w:val="24"/>
                <w:highlight w:val="none"/>
                <w:lang w:eastAsia="zh-CN"/>
              </w:rPr>
              <w:t>（</w:t>
            </w:r>
            <w:r>
              <w:rPr>
                <w:rFonts w:hint="eastAsia" w:ascii="宋体" w:hAnsi="宋体" w:eastAsia="宋体" w:cs="宋体"/>
                <w:b w:val="0"/>
                <w:bCs/>
                <w:snapToGrid w:val="0"/>
                <w:color w:val="auto"/>
                <w:kern w:val="0"/>
                <w:sz w:val="24"/>
                <w:szCs w:val="24"/>
                <w:highlight w:val="none"/>
              </w:rPr>
              <w:t>以签订合同的日期为准</w:t>
            </w:r>
            <w:r>
              <w:rPr>
                <w:rFonts w:hint="eastAsia" w:ascii="宋体" w:hAnsi="宋体" w:eastAsia="宋体" w:cs="宋体"/>
                <w:b w:val="0"/>
                <w:bCs/>
                <w:snapToGrid w:val="0"/>
                <w:color w:val="auto"/>
                <w:kern w:val="0"/>
                <w:sz w:val="24"/>
                <w:szCs w:val="24"/>
                <w:highlight w:val="none"/>
                <w:lang w:eastAsia="zh-CN"/>
              </w:rPr>
              <w:t>）起至投标截止承担过</w:t>
            </w:r>
            <w:r>
              <w:rPr>
                <w:rFonts w:hint="eastAsia" w:ascii="宋体" w:hAnsi="宋体" w:eastAsia="宋体" w:cs="宋体"/>
                <w:b w:val="0"/>
                <w:bCs/>
                <w:snapToGrid w:val="0"/>
                <w:color w:val="auto"/>
                <w:kern w:val="0"/>
                <w:sz w:val="24"/>
                <w:szCs w:val="24"/>
                <w:highlight w:val="none"/>
              </w:rPr>
              <w:t>财政资金投入的</w:t>
            </w:r>
            <w:r>
              <w:rPr>
                <w:rFonts w:hint="eastAsia" w:ascii="宋体" w:hAnsi="宋体" w:eastAsia="宋体" w:cs="宋体"/>
                <w:bCs/>
                <w:snapToGrid w:val="0"/>
                <w:color w:val="auto"/>
                <w:kern w:val="0"/>
                <w:sz w:val="24"/>
                <w:szCs w:val="24"/>
                <w:highlight w:val="none"/>
                <w:lang w:val="en-US" w:eastAsia="zh-CN"/>
              </w:rPr>
              <w:t>含</w:t>
            </w:r>
            <w:r>
              <w:rPr>
                <w:rFonts w:hint="eastAsia" w:ascii="宋体" w:hAnsi="宋体" w:eastAsia="宋体" w:cs="宋体"/>
                <w:bCs/>
                <w:snapToGrid w:val="0"/>
                <w:color w:val="auto"/>
                <w:kern w:val="0"/>
                <w:sz w:val="24"/>
                <w:szCs w:val="24"/>
                <w:highlight w:val="none"/>
              </w:rPr>
              <w:t>绿化养护项目</w:t>
            </w:r>
            <w:r>
              <w:rPr>
                <w:rFonts w:hint="eastAsia" w:ascii="宋体" w:hAnsi="宋体" w:eastAsia="宋体" w:cs="宋体"/>
                <w:bCs/>
                <w:snapToGrid w:val="0"/>
                <w:color w:val="auto"/>
                <w:kern w:val="0"/>
                <w:sz w:val="24"/>
                <w:szCs w:val="24"/>
                <w:highlight w:val="none"/>
                <w:lang w:eastAsia="zh-CN"/>
              </w:rPr>
              <w:t>或</w:t>
            </w:r>
            <w:r>
              <w:rPr>
                <w:rFonts w:hint="eastAsia" w:ascii="宋体" w:hAnsi="宋体" w:eastAsia="宋体" w:cs="宋体"/>
                <w:bCs/>
                <w:snapToGrid w:val="0"/>
                <w:color w:val="auto"/>
                <w:kern w:val="0"/>
                <w:sz w:val="24"/>
                <w:szCs w:val="24"/>
                <w:highlight w:val="none"/>
                <w:lang w:val="en-US" w:eastAsia="zh-CN"/>
              </w:rPr>
              <w:t>AAA及以上景区</w:t>
            </w:r>
            <w:r>
              <w:rPr>
                <w:rFonts w:hint="eastAsia" w:ascii="宋体" w:hAnsi="宋体" w:eastAsia="宋体" w:cs="宋体"/>
                <w:bCs/>
                <w:snapToGrid w:val="0"/>
                <w:color w:val="auto"/>
                <w:kern w:val="0"/>
                <w:sz w:val="24"/>
                <w:szCs w:val="24"/>
                <w:highlight w:val="none"/>
              </w:rPr>
              <w:t>绿化养护项目</w:t>
            </w:r>
            <w:r>
              <w:rPr>
                <w:rFonts w:hint="eastAsia" w:ascii="宋体" w:hAnsi="宋体" w:eastAsia="宋体" w:cs="宋体"/>
                <w:bCs/>
                <w:snapToGrid w:val="0"/>
                <w:color w:val="auto"/>
                <w:kern w:val="0"/>
                <w:sz w:val="24"/>
                <w:szCs w:val="24"/>
                <w:highlight w:val="none"/>
                <w:lang w:val="en-US" w:eastAsia="zh-CN"/>
              </w:rPr>
              <w:t>，每个得</w:t>
            </w:r>
            <w:r>
              <w:rPr>
                <w:rFonts w:hint="eastAsia" w:cs="宋体"/>
                <w:bCs/>
                <w:snapToGrid w:val="0"/>
                <w:color w:val="auto"/>
                <w:kern w:val="0"/>
                <w:sz w:val="24"/>
                <w:szCs w:val="24"/>
                <w:highlight w:val="none"/>
                <w:lang w:val="en-US" w:eastAsia="zh-CN"/>
              </w:rPr>
              <w:t>0.5</w:t>
            </w:r>
            <w:r>
              <w:rPr>
                <w:rFonts w:hint="eastAsia" w:ascii="宋体" w:hAnsi="宋体" w:eastAsia="宋体" w:cs="宋体"/>
                <w:bCs/>
                <w:snapToGrid w:val="0"/>
                <w:color w:val="auto"/>
                <w:kern w:val="0"/>
                <w:sz w:val="24"/>
                <w:szCs w:val="24"/>
                <w:highlight w:val="none"/>
                <w:lang w:val="en-US" w:eastAsia="zh-CN"/>
              </w:rPr>
              <w:t>分</w:t>
            </w:r>
            <w:r>
              <w:rPr>
                <w:rFonts w:hint="eastAsia" w:cs="宋体"/>
                <w:bCs/>
                <w:snapToGrid w:val="0"/>
                <w:color w:val="auto"/>
                <w:kern w:val="0"/>
                <w:sz w:val="24"/>
                <w:szCs w:val="24"/>
                <w:highlight w:val="none"/>
                <w:lang w:val="en-US" w:eastAsia="zh-CN"/>
              </w:rPr>
              <w:t>，最高得2分</w:t>
            </w:r>
            <w:r>
              <w:rPr>
                <w:rFonts w:hint="eastAsia" w:ascii="宋体" w:hAnsi="宋体" w:eastAsia="宋体" w:cs="宋体"/>
                <w:bCs/>
                <w:snapToGrid w:val="0"/>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eastAsia" w:ascii="宋体" w:hAnsi="宋体" w:eastAsia="宋体" w:cs="宋体"/>
                <w:b w:val="0"/>
                <w:bCs/>
                <w:snapToGrid w:val="0"/>
                <w:color w:val="auto"/>
                <w:kern w:val="1"/>
                <w:sz w:val="24"/>
                <w:szCs w:val="24"/>
                <w:highlight w:val="none"/>
                <w:lang w:val="en-US" w:eastAsia="zh-CN" w:bidi="ar-SA"/>
              </w:rPr>
            </w:pPr>
            <w:r>
              <w:rPr>
                <w:rFonts w:hint="eastAsia" w:ascii="宋体" w:hAnsi="宋体" w:eastAsia="宋体" w:cs="宋体"/>
                <w:b w:val="0"/>
                <w:bCs/>
                <w:i w:val="0"/>
                <w:iCs w:val="0"/>
                <w:snapToGrid w:val="0"/>
                <w:color w:val="auto"/>
                <w:kern w:val="0"/>
                <w:sz w:val="24"/>
                <w:szCs w:val="24"/>
                <w:highlight w:val="none"/>
              </w:rPr>
              <w:t>【如同一个项目续签合同的按一个业绩计算，业绩需提供能体现绿化养护项目的投资性质及年养护费的合同</w:t>
            </w:r>
            <w:r>
              <w:rPr>
                <w:rFonts w:hint="eastAsia" w:ascii="宋体" w:hAnsi="宋体" w:eastAsia="宋体" w:cs="宋体"/>
                <w:b w:val="0"/>
                <w:bCs/>
                <w:i w:val="0"/>
                <w:iCs w:val="0"/>
                <w:snapToGrid w:val="0"/>
                <w:color w:val="auto"/>
                <w:kern w:val="0"/>
                <w:sz w:val="24"/>
                <w:szCs w:val="24"/>
                <w:highlight w:val="none"/>
                <w:lang w:eastAsia="zh-CN"/>
              </w:rPr>
              <w:t>，</w:t>
            </w:r>
            <w:r>
              <w:rPr>
                <w:rFonts w:hint="eastAsia" w:ascii="宋体" w:hAnsi="宋体" w:eastAsia="宋体" w:cs="宋体"/>
                <w:b w:val="0"/>
                <w:bCs/>
                <w:i w:val="0"/>
                <w:iCs w:val="0"/>
                <w:snapToGrid w:val="0"/>
                <w:color w:val="auto"/>
                <w:kern w:val="0"/>
                <w:sz w:val="24"/>
                <w:szCs w:val="24"/>
                <w:highlight w:val="none"/>
              </w:rPr>
              <w:t>提供中标通知书及合同</w:t>
            </w:r>
            <w:r>
              <w:rPr>
                <w:rFonts w:hint="eastAsia" w:ascii="宋体" w:hAnsi="宋体" w:eastAsia="宋体" w:cs="宋体"/>
                <w:b w:val="0"/>
                <w:bCs/>
                <w:i w:val="0"/>
                <w:iCs w:val="0"/>
                <w:snapToGrid w:val="0"/>
                <w:color w:val="auto"/>
                <w:kern w:val="0"/>
                <w:sz w:val="24"/>
                <w:szCs w:val="24"/>
                <w:highlight w:val="none"/>
                <w:lang w:val="en-US" w:eastAsia="zh-CN"/>
              </w:rPr>
              <w:t>原件</w:t>
            </w:r>
            <w:r>
              <w:rPr>
                <w:rFonts w:hint="eastAsia" w:ascii="宋体" w:hAnsi="宋体" w:eastAsia="宋体" w:cs="宋体"/>
                <w:b w:val="0"/>
                <w:bCs/>
                <w:i w:val="0"/>
                <w:iCs w:val="0"/>
                <w:snapToGrid w:val="0"/>
                <w:color w:val="auto"/>
                <w:kern w:val="0"/>
                <w:sz w:val="24"/>
                <w:szCs w:val="24"/>
                <w:highlight w:val="none"/>
                <w:lang w:eastAsia="zh-CN"/>
              </w:rPr>
              <w:t>扫描件，未提供不得分</w:t>
            </w:r>
            <w:r>
              <w:rPr>
                <w:rFonts w:hint="eastAsia" w:ascii="宋体" w:hAnsi="宋体" w:eastAsia="宋体" w:cs="宋体"/>
                <w:b w:val="0"/>
                <w:bCs/>
                <w:i w:val="0"/>
                <w:iCs w:val="0"/>
                <w:snapToGrid w:val="0"/>
                <w:color w:val="auto"/>
                <w:kern w:val="0"/>
                <w:sz w:val="24"/>
                <w:szCs w:val="24"/>
                <w:highlight w:val="none"/>
              </w:rPr>
              <w:t>】</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eastAsia" w:ascii="宋体" w:hAnsi="宋体" w:eastAsia="宋体" w:cs="宋体"/>
                <w:snapToGrid w:val="0"/>
                <w:color w:val="auto"/>
                <w:kern w:val="1"/>
                <w:sz w:val="24"/>
                <w:szCs w:val="24"/>
                <w:highlight w:val="none"/>
                <w:lang w:val="en-US" w:eastAsia="zh-CN" w:bidi="ar-SA"/>
              </w:rPr>
            </w:pPr>
            <w:r>
              <w:rPr>
                <w:rFonts w:hint="eastAsia" w:cs="宋体"/>
                <w:snapToGrid w:val="0"/>
                <w:color w:val="auto"/>
                <w:kern w:val="1"/>
                <w:sz w:val="24"/>
                <w:szCs w:val="24"/>
                <w:highlight w:val="no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1167" w:hRule="atLeast"/>
        </w:trPr>
        <w:tc>
          <w:tcPr>
            <w:tcW w:w="766" w:type="dxa"/>
            <w:vMerge w:val="continue"/>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lang w:val="en-US" w:eastAsia="zh-CN"/>
              </w:rPr>
            </w:pPr>
          </w:p>
        </w:tc>
        <w:tc>
          <w:tcPr>
            <w:tcW w:w="1233" w:type="dxa"/>
            <w:noWrap w:val="0"/>
            <w:tcMar>
              <w:top w:w="142" w:type="dxa"/>
              <w:left w:w="113" w:type="dxa"/>
              <w:bottom w:w="142" w:type="dxa"/>
              <w:right w:w="113"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snapToGrid w:val="0"/>
                <w:color w:val="auto"/>
                <w:kern w:val="0"/>
                <w:sz w:val="24"/>
                <w:szCs w:val="24"/>
                <w:highlight w:val="none"/>
                <w:lang w:eastAsia="zh-CN"/>
              </w:rPr>
            </w:pPr>
          </w:p>
          <w:p>
            <w:pPr>
              <w:numPr>
                <w:ilvl w:val="0"/>
                <w:numId w:val="0"/>
              </w:numPr>
              <w:spacing w:line="240" w:lineRule="auto"/>
              <w:jc w:val="left"/>
              <w:rPr>
                <w:rFonts w:hint="default"/>
                <w:lang w:val="en-US" w:eastAsia="zh-CN"/>
              </w:rPr>
            </w:pPr>
            <w:r>
              <w:rPr>
                <w:rFonts w:hint="eastAsia" w:cs="宋体"/>
                <w:bCs/>
                <w:snapToGrid w:val="0"/>
                <w:color w:val="auto"/>
                <w:kern w:val="0"/>
                <w:sz w:val="24"/>
                <w:szCs w:val="24"/>
                <w:highlight w:val="none"/>
                <w:lang w:val="en-US" w:eastAsia="zh-CN"/>
              </w:rPr>
              <w:t>体系认证</w:t>
            </w:r>
          </w:p>
        </w:tc>
        <w:tc>
          <w:tcPr>
            <w:tcW w:w="7754" w:type="dxa"/>
            <w:noWrap w:val="0"/>
            <w:tcMar>
              <w:top w:w="142" w:type="dxa"/>
              <w:left w:w="113" w:type="dxa"/>
              <w:bottom w:w="142" w:type="dxa"/>
              <w:right w:w="113"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投标人具有ISO9001质量管理体系、ISO14001环境管理体系、ISO45001职业健康安全管理体系认证的，每项得1分，没有不得分，最多得3分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rPr>
                <w:rFonts w:hint="eastAsia" w:ascii="宋体" w:hAnsi="宋体" w:eastAsia="宋体" w:cs="宋体"/>
                <w:b w:val="0"/>
                <w:bCs/>
                <w:i w:val="0"/>
                <w:iCs w:val="0"/>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Cs/>
                <w:snapToGrid w:val="0"/>
                <w:color w:val="auto"/>
                <w:kern w:val="0"/>
                <w:sz w:val="24"/>
                <w:szCs w:val="24"/>
                <w:highlight w:val="none"/>
              </w:rPr>
              <w:t>投标文件提供有效期内的认证证书</w:t>
            </w:r>
            <w:r>
              <w:rPr>
                <w:rFonts w:hint="eastAsia" w:ascii="宋体" w:hAnsi="宋体" w:eastAsia="宋体" w:cs="宋体"/>
                <w:bCs/>
                <w:snapToGrid w:val="0"/>
                <w:color w:val="auto"/>
                <w:kern w:val="0"/>
                <w:sz w:val="24"/>
                <w:szCs w:val="24"/>
                <w:highlight w:val="none"/>
                <w:lang w:val="en-US" w:eastAsia="zh-CN"/>
              </w:rPr>
              <w:t>扫描件或</w:t>
            </w:r>
            <w:r>
              <w:rPr>
                <w:rFonts w:hint="eastAsia" w:ascii="宋体" w:hAnsi="宋体" w:eastAsia="宋体" w:cs="宋体"/>
                <w:bCs/>
                <w:snapToGrid w:val="0"/>
                <w:color w:val="auto"/>
                <w:kern w:val="0"/>
                <w:sz w:val="24"/>
                <w:szCs w:val="24"/>
                <w:highlight w:val="none"/>
              </w:rPr>
              <w:t>全国认证认可信息公共服务平台的网页查询截图并加盖投标人公章，未提供不得分</w:t>
            </w:r>
            <w:r>
              <w:rPr>
                <w:rFonts w:hint="eastAsia" w:ascii="宋体" w:hAnsi="宋体" w:eastAsia="宋体" w:cs="宋体"/>
                <w:bCs/>
                <w:snapToGrid w:val="0"/>
                <w:color w:val="auto"/>
                <w:kern w:val="0"/>
                <w:sz w:val="24"/>
                <w:szCs w:val="24"/>
                <w:highlight w:val="none"/>
                <w:lang w:eastAsia="zh-CN"/>
              </w:rPr>
              <w:t>】</w:t>
            </w:r>
            <w:r>
              <w:rPr>
                <w:rFonts w:hint="eastAsia" w:ascii="宋体" w:hAnsi="宋体" w:eastAsia="宋体" w:cs="宋体"/>
                <w:bCs/>
                <w:snapToGrid w:val="0"/>
                <w:color w:val="auto"/>
                <w:kern w:val="0"/>
                <w:sz w:val="24"/>
                <w:szCs w:val="24"/>
                <w:highlight w:val="none"/>
              </w:rPr>
              <w:t>。</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宋体" w:hAnsi="宋体" w:eastAsia="宋体" w:cs="宋体"/>
                <w:snapToGrid w:val="0"/>
                <w:color w:val="auto"/>
                <w:kern w:val="1"/>
                <w:sz w:val="24"/>
                <w:szCs w:val="24"/>
                <w:highlight w:val="none"/>
                <w:lang w:val="en-US" w:eastAsia="zh-CN" w:bidi="ar-SA"/>
              </w:rPr>
            </w:pPr>
            <w:r>
              <w:rPr>
                <w:rFonts w:hint="eastAsia" w:cs="宋体"/>
                <w:bCs/>
                <w:snapToGrid w:val="0"/>
                <w:color w:val="auto"/>
                <w:kern w:val="0"/>
                <w:sz w:val="24"/>
                <w:szCs w:val="24"/>
                <w:highlight w:val="none"/>
                <w:lang w:val="en-US" w:eastAsia="zh-CN"/>
              </w:rPr>
              <w:t>0-</w:t>
            </w:r>
            <w:r>
              <w:rPr>
                <w:rFonts w:hint="eastAsia" w:ascii="宋体" w:hAnsi="宋体" w:eastAsia="宋体" w:cs="宋体"/>
                <w:bCs/>
                <w:snapToGrid w:val="0"/>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830" w:hRule="atLeast"/>
        </w:trPr>
        <w:tc>
          <w:tcPr>
            <w:tcW w:w="766" w:type="dxa"/>
            <w:vMerge w:val="continue"/>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lang w:val="en-US" w:eastAsia="zh-CN"/>
              </w:rPr>
            </w:pPr>
          </w:p>
        </w:tc>
        <w:tc>
          <w:tcPr>
            <w:tcW w:w="1233" w:type="dxa"/>
            <w:vMerge w:val="restart"/>
            <w:noWrap w:val="0"/>
            <w:tcMar>
              <w:top w:w="142" w:type="dxa"/>
              <w:left w:w="113" w:type="dxa"/>
              <w:bottom w:w="142" w:type="dxa"/>
              <w:right w:w="113" w:type="dxa"/>
            </w:tcMar>
            <w:vAlign w:val="center"/>
          </w:tcPr>
          <w:p>
            <w:pPr>
              <w:numPr>
                <w:ilvl w:val="0"/>
                <w:numId w:val="0"/>
              </w:numPr>
              <w:spacing w:line="240" w:lineRule="auto"/>
              <w:jc w:val="left"/>
              <w:rPr>
                <w:rFonts w:hint="default" w:ascii="宋体" w:hAnsi="宋体" w:eastAsia="宋体" w:cs="宋体"/>
                <w:bCs/>
                <w:strike w:val="0"/>
                <w:snapToGrid w:val="0"/>
                <w:color w:val="auto"/>
                <w:kern w:val="0"/>
                <w:sz w:val="24"/>
                <w:szCs w:val="24"/>
                <w:highlight w:val="none"/>
                <w:lang w:val="en-US" w:eastAsia="zh-CN" w:bidi="ar-SA"/>
              </w:rPr>
            </w:pPr>
            <w:r>
              <w:rPr>
                <w:rFonts w:hint="eastAsia" w:cs="宋体"/>
                <w:bCs/>
                <w:strike w:val="0"/>
                <w:snapToGrid w:val="0"/>
                <w:color w:val="auto"/>
                <w:kern w:val="0"/>
                <w:sz w:val="24"/>
                <w:szCs w:val="24"/>
                <w:highlight w:val="none"/>
                <w:lang w:val="en-US" w:eastAsia="zh-CN" w:bidi="ar-SA"/>
              </w:rPr>
              <w:t>团队人员</w:t>
            </w:r>
          </w:p>
        </w:tc>
        <w:tc>
          <w:tcPr>
            <w:tcW w:w="7754" w:type="dxa"/>
            <w:noWrap w:val="0"/>
            <w:tcMar>
              <w:top w:w="142" w:type="dxa"/>
              <w:left w:w="113" w:type="dxa"/>
              <w:bottom w:w="142" w:type="dxa"/>
              <w:right w:w="113" w:type="dxa"/>
            </w:tcMar>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项目组</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负责</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人具有园林或林业初级职称的得1分；具有园林或林业中级职称的得</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分；具有园林或林业高级职称的得</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分；</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（0-3分）</w:t>
            </w:r>
          </w:p>
          <w:p>
            <w:pPr>
              <w:keepNext w:val="0"/>
              <w:keepLines w:val="0"/>
              <w:pageBreakBefore w:val="0"/>
              <w:numPr>
                <w:ilvl w:val="0"/>
                <w:numId w:val="0"/>
              </w:numPr>
              <w:kinsoku/>
              <w:wordWrap/>
              <w:overflowPunct/>
              <w:topLinePunct w:val="0"/>
              <w:autoSpaceDE/>
              <w:autoSpaceDN/>
              <w:bidi w:val="0"/>
              <w:adjustRightInd/>
              <w:snapToGrid w:val="0"/>
              <w:spacing w:line="240" w:lineRule="auto"/>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2、项目组成员</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具有</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绿化工证、园艺师证等</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园林或林业工种上岗证的每人得</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分</w:t>
            </w:r>
            <w:r>
              <w:rPr>
                <w:rFonts w:hint="eastAsia" w:cs="宋体"/>
                <w:b w:val="0"/>
                <w:bCs/>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w:t>
            </w:r>
            <w:r>
              <w:rPr>
                <w:rFonts w:hint="eastAsia" w:cs="宋体"/>
                <w:bCs/>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eastAsia" w:ascii="宋体" w:hAnsi="宋体" w:eastAsia="宋体" w:cs="宋体"/>
                <w:b w:val="0"/>
                <w:bCs/>
                <w:i w:val="0"/>
                <w:iCs w:val="0"/>
                <w:snapToGrid w:val="0"/>
                <w:color w:val="auto"/>
                <w:kern w:val="0"/>
                <w:sz w:val="24"/>
                <w:szCs w:val="24"/>
                <w:highlight w:val="none"/>
              </w:rPr>
            </w:pP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【提供</w:t>
            </w:r>
            <w:r>
              <w:rPr>
                <w:rFonts w:hint="eastAsia" w:ascii="宋体" w:hAnsi="宋体" w:eastAsia="宋体" w:cs="宋体"/>
                <w:b w:val="0"/>
                <w:bCs/>
                <w:snapToGrid w:val="0"/>
                <w:color w:val="000000" w:themeColor="text1"/>
                <w:kern w:val="0"/>
                <w:sz w:val="24"/>
                <w:szCs w:val="24"/>
                <w:highlight w:val="none"/>
                <w:lang w:eastAsia="zh-CN"/>
                <w14:textFill>
                  <w14:solidFill>
                    <w14:schemeClr w14:val="tx1"/>
                  </w14:solidFill>
                </w14:textFill>
              </w:rPr>
              <w:t>上述人员</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证书</w:t>
            </w:r>
            <w:r>
              <w:rPr>
                <w:rFonts w:hint="eastAsia" w:ascii="宋体" w:hAnsi="宋体" w:eastAsia="宋体" w:cs="宋体"/>
                <w:b w:val="0"/>
                <w:bCs/>
                <w:snapToGrid w:val="0"/>
                <w:color w:val="000000" w:themeColor="text1"/>
                <w:kern w:val="0"/>
                <w:sz w:val="24"/>
                <w:szCs w:val="24"/>
                <w:highlight w:val="none"/>
                <w:lang w:eastAsia="zh-CN"/>
                <w14:textFill>
                  <w14:solidFill>
                    <w14:schemeClr w14:val="tx1"/>
                  </w14:solidFill>
                </w14:textFill>
              </w:rPr>
              <w:t>原件扫描件和投标人为其交纳的近三月</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内任一个月</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社保证明</w:t>
            </w:r>
            <w:r>
              <w:rPr>
                <w:rFonts w:hint="eastAsia" w:ascii="宋体" w:hAnsi="宋体" w:eastAsia="宋体" w:cs="宋体"/>
                <w:b w:val="0"/>
                <w:bCs/>
                <w:snapToGrid w:val="0"/>
                <w:color w:val="000000" w:themeColor="text1"/>
                <w:kern w:val="0"/>
                <w:sz w:val="24"/>
                <w:szCs w:val="24"/>
                <w:highlight w:val="none"/>
                <w:lang w:eastAsia="zh-CN"/>
                <w14:textFill>
                  <w14:solidFill>
                    <w14:schemeClr w14:val="tx1"/>
                  </w14:solidFill>
                </w14:textFill>
              </w:rPr>
              <w:t>扫描件</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同一人不重复计分，</w:t>
            </w:r>
            <w:r>
              <w:rPr>
                <w:rFonts w:hint="eastAsia" w:ascii="宋体" w:hAnsi="宋体" w:eastAsia="宋体" w:cs="宋体"/>
                <w:b w:val="0"/>
                <w:bCs/>
                <w:snapToGrid w:val="0"/>
                <w:color w:val="000000" w:themeColor="text1"/>
                <w:kern w:val="0"/>
                <w:sz w:val="24"/>
                <w:szCs w:val="24"/>
                <w:highlight w:val="none"/>
                <w:lang w:eastAsia="zh-CN"/>
                <w14:textFill>
                  <w14:solidFill>
                    <w14:schemeClr w14:val="tx1"/>
                  </w14:solidFill>
                </w14:textFill>
              </w:rPr>
              <w:t>未提供</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不得分】</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eastAsia" w:cs="宋体"/>
                <w:snapToGrid w:val="0"/>
                <w:color w:val="auto"/>
                <w:kern w:val="1"/>
                <w:sz w:val="24"/>
                <w:szCs w:val="24"/>
                <w:highlight w:val="none"/>
                <w:lang w:val="en-US" w:eastAsia="zh-CN" w:bidi="ar-SA"/>
              </w:rPr>
            </w:pPr>
            <w:r>
              <w:rPr>
                <w:rFonts w:hint="eastAsia" w:cs="宋体"/>
                <w:b w:val="0"/>
                <w:bCs/>
                <w:snapToGrid w:val="0"/>
                <w:color w:val="auto"/>
                <w:kern w:val="0"/>
                <w:sz w:val="24"/>
                <w:szCs w:val="24"/>
                <w:highlight w:val="no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673" w:hRule="atLeast"/>
        </w:trPr>
        <w:tc>
          <w:tcPr>
            <w:tcW w:w="766" w:type="dxa"/>
            <w:vMerge w:val="continue"/>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lang w:val="en-US" w:eastAsia="zh-CN"/>
              </w:rPr>
            </w:pPr>
          </w:p>
        </w:tc>
        <w:tc>
          <w:tcPr>
            <w:tcW w:w="1233" w:type="dxa"/>
            <w:vMerge w:val="continue"/>
            <w:noWrap w:val="0"/>
            <w:tcMar>
              <w:top w:w="142" w:type="dxa"/>
              <w:left w:w="113" w:type="dxa"/>
              <w:bottom w:w="142" w:type="dxa"/>
              <w:right w:w="113" w:type="dxa"/>
            </w:tcMar>
            <w:vAlign w:val="center"/>
          </w:tcPr>
          <w:p>
            <w:pPr>
              <w:numPr>
                <w:ilvl w:val="0"/>
                <w:numId w:val="0"/>
              </w:numPr>
              <w:spacing w:line="240" w:lineRule="auto"/>
              <w:jc w:val="left"/>
              <w:rPr>
                <w:rFonts w:hint="eastAsia" w:ascii="宋体" w:hAnsi="宋体" w:eastAsia="宋体" w:cs="宋体"/>
                <w:bCs/>
                <w:strike w:val="0"/>
                <w:snapToGrid w:val="0"/>
                <w:color w:val="auto"/>
                <w:kern w:val="0"/>
                <w:sz w:val="24"/>
                <w:szCs w:val="24"/>
                <w:highlight w:val="none"/>
                <w:lang w:val="en-US" w:eastAsia="zh-CN" w:bidi="ar-SA"/>
              </w:rPr>
            </w:pPr>
          </w:p>
        </w:tc>
        <w:tc>
          <w:tcPr>
            <w:tcW w:w="775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cs="宋体"/>
                <w:b w:val="0"/>
                <w:bCs w:val="0"/>
                <w:color w:val="auto"/>
                <w:kern w:val="2"/>
                <w:sz w:val="24"/>
                <w:szCs w:val="24"/>
                <w:highlight w:val="none"/>
                <w:lang w:val="en-US" w:eastAsia="zh-CN" w:bidi="ar-SA"/>
              </w:rPr>
              <w:t>1、</w:t>
            </w:r>
            <w:r>
              <w:rPr>
                <w:rFonts w:hint="eastAsia" w:ascii="宋体" w:hAnsi="宋体" w:eastAsia="宋体" w:cs="宋体"/>
                <w:b w:val="0"/>
                <w:bCs w:val="0"/>
                <w:color w:val="auto"/>
                <w:kern w:val="2"/>
                <w:sz w:val="24"/>
                <w:szCs w:val="24"/>
                <w:highlight w:val="none"/>
                <w:lang w:val="en-US" w:eastAsia="zh-CN" w:bidi="ar-SA"/>
              </w:rPr>
              <w:t>公司法定代表人具有浙江省公路养护安全生产考核合格证书A证或具有安全生产有关培训合格证，得</w:t>
            </w:r>
            <w:r>
              <w:rPr>
                <w:rFonts w:hint="eastAsia"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分；</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项目拟派团队项目经理具有浙江省公路养护安全生产考核合格证书B证或具有安全生产有关培训合格证，得</w:t>
            </w:r>
            <w:r>
              <w:rPr>
                <w:rFonts w:hint="eastAsia"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分；</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val="0"/>
                <w:bCs w:val="0"/>
                <w:color w:val="auto"/>
                <w:kern w:val="2"/>
                <w:sz w:val="24"/>
                <w:szCs w:val="24"/>
                <w:highlight w:val="none"/>
                <w:lang w:val="zh-CN" w:eastAsia="zh-CN" w:bidi="ar-SA"/>
              </w:rPr>
            </w:pPr>
            <w:r>
              <w:rPr>
                <w:rFonts w:hint="eastAsia" w:cs="宋体"/>
                <w:b w:val="0"/>
                <w:bCs w:val="0"/>
                <w:color w:val="auto"/>
                <w:kern w:val="2"/>
                <w:sz w:val="24"/>
                <w:szCs w:val="24"/>
                <w:highlight w:val="none"/>
                <w:lang w:val="en-US" w:eastAsia="zh-CN" w:bidi="ar-SA"/>
              </w:rPr>
              <w:t>3、</w:t>
            </w:r>
            <w:r>
              <w:rPr>
                <w:rFonts w:hint="eastAsia" w:ascii="宋体" w:hAnsi="宋体" w:eastAsia="宋体" w:cs="宋体"/>
                <w:b w:val="0"/>
                <w:bCs w:val="0"/>
                <w:color w:val="auto"/>
                <w:kern w:val="2"/>
                <w:sz w:val="24"/>
                <w:szCs w:val="24"/>
                <w:highlight w:val="none"/>
                <w:lang w:val="en-US" w:eastAsia="zh-CN" w:bidi="ar-SA"/>
              </w:rPr>
              <w:t>项目拟派团队成员具有浙江省公路养护安全生产考核合格证书C证或具有安全生产有关培训合格证，每人得1分，最高得</w:t>
            </w:r>
            <w:r>
              <w:rPr>
                <w:rFonts w:hint="eastAsia"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rPr>
                <w:rFonts w:hint="eastAsia" w:ascii="宋体" w:hAnsi="宋体" w:eastAsia="宋体" w:cs="宋体"/>
                <w:b w:val="0"/>
                <w:bCs/>
                <w:snapToGrid w:val="0"/>
                <w:color w:val="auto"/>
                <w:kern w:val="0"/>
                <w:sz w:val="24"/>
                <w:szCs w:val="24"/>
                <w:highlight w:val="none"/>
                <w:lang w:val="zh-CN" w:eastAsia="zh-CN"/>
              </w:rPr>
            </w:pPr>
            <w:r>
              <w:rPr>
                <w:rFonts w:hint="eastAsia" w:ascii="宋体" w:hAnsi="宋体" w:eastAsia="宋体" w:cs="宋体"/>
                <w:b w:val="0"/>
                <w:bCs/>
                <w:snapToGrid w:val="0"/>
                <w:color w:val="auto"/>
                <w:kern w:val="0"/>
                <w:sz w:val="24"/>
                <w:szCs w:val="24"/>
                <w:highlight w:val="none"/>
              </w:rPr>
              <w:t>（以上人员需要求为本单位职工，需提供</w:t>
            </w:r>
            <w:r>
              <w:rPr>
                <w:rFonts w:hint="eastAsia" w:ascii="宋体" w:hAnsi="宋体" w:eastAsia="宋体" w:cs="宋体"/>
                <w:b w:val="0"/>
                <w:bCs/>
                <w:snapToGrid w:val="0"/>
                <w:color w:val="000000" w:themeColor="text1"/>
                <w:kern w:val="0"/>
                <w:sz w:val="24"/>
                <w:szCs w:val="24"/>
                <w:highlight w:val="none"/>
                <w:lang w:eastAsia="zh-CN"/>
                <w14:textFill>
                  <w14:solidFill>
                    <w14:schemeClr w14:val="tx1"/>
                  </w14:solidFill>
                </w14:textFill>
              </w:rPr>
              <w:t>投标人为其交纳的近三月</w:t>
            </w:r>
            <w:r>
              <w:rPr>
                <w:rFonts w:hint="eastAsia" w:ascii="宋体" w:hAnsi="宋体" w:eastAsia="宋体" w:cs="宋体"/>
                <w:b w:val="0"/>
                <w:bCs/>
                <w:snapToGrid w:val="0"/>
                <w:color w:val="000000" w:themeColor="text1"/>
                <w:kern w:val="0"/>
                <w:sz w:val="24"/>
                <w:szCs w:val="24"/>
                <w:highlight w:val="none"/>
                <w:lang w:val="en-US" w:eastAsia="zh-CN"/>
                <w14:textFill>
                  <w14:solidFill>
                    <w14:schemeClr w14:val="tx1"/>
                  </w14:solidFill>
                </w14:textFill>
              </w:rPr>
              <w:t>内任一个月</w:t>
            </w:r>
            <w:r>
              <w:rPr>
                <w:rFonts w:hint="eastAsia" w:ascii="宋体" w:hAnsi="宋体" w:eastAsia="宋体" w:cs="宋体"/>
                <w:b w:val="0"/>
                <w:bCs/>
                <w:snapToGrid w:val="0"/>
                <w:color w:val="000000" w:themeColor="text1"/>
                <w:kern w:val="0"/>
                <w:sz w:val="24"/>
                <w:szCs w:val="24"/>
                <w:highlight w:val="none"/>
                <w14:textFill>
                  <w14:solidFill>
                    <w14:schemeClr w14:val="tx1"/>
                  </w14:solidFill>
                </w14:textFill>
              </w:rPr>
              <w:t>社保证明</w:t>
            </w:r>
            <w:r>
              <w:rPr>
                <w:rFonts w:hint="eastAsia" w:ascii="宋体" w:hAnsi="宋体" w:eastAsia="宋体" w:cs="宋体"/>
                <w:b w:val="0"/>
                <w:bCs/>
                <w:snapToGrid w:val="0"/>
                <w:color w:val="auto"/>
                <w:kern w:val="0"/>
                <w:sz w:val="24"/>
                <w:szCs w:val="24"/>
                <w:highlight w:val="none"/>
              </w:rPr>
              <w:t>及安全</w:t>
            </w:r>
            <w:r>
              <w:rPr>
                <w:rFonts w:hint="eastAsia" w:cs="宋体"/>
                <w:b w:val="0"/>
                <w:bCs/>
                <w:snapToGrid w:val="0"/>
                <w:color w:val="auto"/>
                <w:kern w:val="0"/>
                <w:sz w:val="24"/>
                <w:szCs w:val="24"/>
                <w:highlight w:val="none"/>
                <w:lang w:val="en-US" w:eastAsia="zh-CN"/>
              </w:rPr>
              <w:t>生产</w:t>
            </w:r>
            <w:r>
              <w:rPr>
                <w:rFonts w:hint="eastAsia" w:ascii="宋体" w:hAnsi="宋体" w:eastAsia="宋体" w:cs="宋体"/>
                <w:b w:val="0"/>
                <w:bCs/>
                <w:snapToGrid w:val="0"/>
                <w:color w:val="auto"/>
                <w:kern w:val="0"/>
                <w:sz w:val="24"/>
                <w:szCs w:val="24"/>
                <w:highlight w:val="none"/>
              </w:rPr>
              <w:t>证书原件扫描件</w:t>
            </w:r>
            <w:r>
              <w:rPr>
                <w:rFonts w:hint="eastAsia" w:cs="宋体"/>
                <w:b w:val="0"/>
                <w:bCs/>
                <w:snapToGrid w:val="0"/>
                <w:color w:val="auto"/>
                <w:kern w:val="0"/>
                <w:sz w:val="24"/>
                <w:szCs w:val="24"/>
                <w:highlight w:val="none"/>
                <w:lang w:eastAsia="zh-CN"/>
              </w:rPr>
              <w:t>，</w:t>
            </w:r>
            <w:r>
              <w:rPr>
                <w:rFonts w:hint="eastAsia" w:cs="宋体"/>
                <w:b w:val="0"/>
                <w:bCs/>
                <w:snapToGrid w:val="0"/>
                <w:color w:val="auto"/>
                <w:kern w:val="0"/>
                <w:sz w:val="24"/>
                <w:szCs w:val="24"/>
                <w:highlight w:val="none"/>
                <w:lang w:val="en-US" w:eastAsia="zh-CN"/>
              </w:rPr>
              <w:t>未提供不得分</w:t>
            </w:r>
            <w:r>
              <w:rPr>
                <w:rFonts w:hint="eastAsia" w:ascii="宋体" w:hAnsi="宋体" w:eastAsia="宋体" w:cs="宋体"/>
                <w:b w:val="0"/>
                <w:bCs/>
                <w:snapToGrid w:val="0"/>
                <w:color w:val="auto"/>
                <w:kern w:val="0"/>
                <w:sz w:val="24"/>
                <w:szCs w:val="24"/>
                <w:highlight w:val="none"/>
              </w:rPr>
              <w:t>）。</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rPr>
                <w:rFonts w:hint="default" w:ascii="宋体" w:hAnsi="宋体" w:eastAsia="宋体" w:cs="宋体"/>
                <w:b w:val="0"/>
                <w:bCs/>
                <w:snapToGrid w:val="0"/>
                <w:color w:val="auto"/>
                <w:kern w:val="0"/>
                <w:sz w:val="24"/>
                <w:szCs w:val="24"/>
                <w:highlight w:val="none"/>
                <w:lang w:val="en-US" w:eastAsia="zh-CN"/>
              </w:rPr>
            </w:pPr>
            <w:r>
              <w:rPr>
                <w:rFonts w:hint="eastAsia" w:cs="宋体"/>
                <w:b w:val="0"/>
                <w:bCs/>
                <w:snapToGrid w:val="0"/>
                <w:color w:val="auto"/>
                <w:kern w:val="0"/>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673" w:hRule="atLeast"/>
        </w:trPr>
        <w:tc>
          <w:tcPr>
            <w:tcW w:w="766" w:type="dxa"/>
            <w:vMerge w:val="continue"/>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highlight w:val="none"/>
                <w:lang w:val="en-US" w:eastAsia="zh-CN"/>
              </w:rPr>
            </w:pPr>
          </w:p>
        </w:tc>
        <w:tc>
          <w:tcPr>
            <w:tcW w:w="1233" w:type="dxa"/>
            <w:noWrap w:val="0"/>
            <w:tcMar>
              <w:top w:w="142" w:type="dxa"/>
              <w:left w:w="113" w:type="dxa"/>
              <w:bottom w:w="142" w:type="dxa"/>
              <w:right w:w="113" w:type="dxa"/>
            </w:tcMar>
            <w:vAlign w:val="center"/>
          </w:tcPr>
          <w:p>
            <w:pPr>
              <w:numPr>
                <w:ilvl w:val="0"/>
                <w:numId w:val="0"/>
              </w:numPr>
              <w:spacing w:line="240" w:lineRule="auto"/>
              <w:jc w:val="left"/>
              <w:rPr>
                <w:rFonts w:hint="default" w:ascii="宋体" w:hAnsi="宋体" w:eastAsia="宋体" w:cs="宋体"/>
                <w:bCs/>
                <w:strike w:val="0"/>
                <w:snapToGrid w:val="0"/>
                <w:color w:val="auto"/>
                <w:kern w:val="0"/>
                <w:sz w:val="24"/>
                <w:szCs w:val="24"/>
                <w:highlight w:val="none"/>
                <w:lang w:val="en-US" w:eastAsia="zh-CN" w:bidi="ar-SA"/>
              </w:rPr>
            </w:pPr>
            <w:r>
              <w:rPr>
                <w:rFonts w:hint="eastAsia" w:cs="宋体"/>
                <w:bCs/>
                <w:strike w:val="0"/>
                <w:snapToGrid w:val="0"/>
                <w:color w:val="auto"/>
                <w:kern w:val="0"/>
                <w:sz w:val="24"/>
                <w:szCs w:val="24"/>
                <w:highlight w:val="none"/>
                <w:lang w:val="en-US" w:eastAsia="zh-CN" w:bidi="ar-SA"/>
              </w:rPr>
              <w:t>管理体系方案</w:t>
            </w:r>
          </w:p>
        </w:tc>
        <w:tc>
          <w:tcPr>
            <w:tcW w:w="7754" w:type="dxa"/>
            <w:noWrap w:val="0"/>
            <w:tcMar>
              <w:top w:w="142" w:type="dxa"/>
              <w:left w:w="113" w:type="dxa"/>
              <w:bottom w:w="142" w:type="dxa"/>
              <w:right w:w="113"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管理体系包括但不限于：</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1.按照“一岗双责”要求，企业建立健全安全、质量生产责任体系；本项目明确全员安全生产、养护质量责任制；(0-3分）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2.建立完善本项目安全生产管理制度（包括人员管理制度、机械车辆管理制度、安全教育培训、安全风险管控、安全隐患排查、人员考核等制度）和本项目日常保洁养护管理制度。(0-3分）</w:t>
            </w:r>
          </w:p>
          <w:p>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建立健全本项目各项操作规程；（0-1分）</w:t>
            </w:r>
          </w:p>
          <w:p>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240" w:lineRule="auto"/>
              <w:ind w:leftChars="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建立完善本项目应急管理体系；(0-1分）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5.本项目涉及到的机械、人员等拟建立的档案及相关安全台账；提供使用过的模板一个及以上（没有经历的，提供空白模版）(0-3分）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6.定期开展安全教育培训、安全教育；提供使用过的模版一个及以上（没有经历的，提供空白模版）(0-1分）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7.定期开展安全隐患排查治理；提供使用过的模版一个及以上（没有经历的，提供空白模版）(0-1分）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8.落实安全责任险保险；(0-2分）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9.企业对项目的考核制度。(0-</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eastAsia="宋体" w:cs="宋体"/>
                <w:b w:val="0"/>
                <w:bCs/>
                <w:snapToGrid w:val="0"/>
                <w:color w:val="auto"/>
                <w:kern w:val="0"/>
                <w:sz w:val="24"/>
                <w:szCs w:val="24"/>
                <w:highlight w:val="none"/>
                <w:lang w:val="zh-CN" w:eastAsia="zh-CN"/>
              </w:rPr>
            </w:pPr>
            <w:r>
              <w:rPr>
                <w:rFonts w:hint="eastAsia" w:ascii="宋体" w:hAnsi="宋体" w:eastAsia="宋体" w:cs="宋体"/>
                <w:color w:val="auto"/>
                <w:sz w:val="24"/>
                <w:szCs w:val="24"/>
                <w:highlight w:val="none"/>
                <w:lang w:val="en-US" w:eastAsia="zh-CN"/>
              </w:rPr>
              <w:t>注：投标人编制的安全管理体系每项内容是否完整、合理、具有针对性，每缺少一项内容扣相应分值，每有一项内容不完整或不合理或具有针对性不强按其分值范围扣分，扣完为止。</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default" w:ascii="宋体" w:hAnsi="宋体" w:eastAsia="宋体" w:cs="宋体"/>
                <w:b w:val="0"/>
                <w:bCs/>
                <w:snapToGrid w:val="0"/>
                <w:color w:val="auto"/>
                <w:kern w:val="0"/>
                <w:sz w:val="24"/>
                <w:szCs w:val="24"/>
                <w:highlight w:val="none"/>
                <w:lang w:val="en-US" w:eastAsia="zh-CN"/>
              </w:rPr>
            </w:pPr>
            <w:r>
              <w:rPr>
                <w:rFonts w:hint="eastAsia" w:cs="宋体"/>
                <w:b w:val="0"/>
                <w:bCs/>
                <w:strike w:val="0"/>
                <w:dstrike w:val="0"/>
                <w:snapToGrid w:val="0"/>
                <w:color w:val="auto"/>
                <w:kern w:val="0"/>
                <w:sz w:val="24"/>
                <w:szCs w:val="24"/>
                <w:highlight w:val="none"/>
                <w:lang w:val="en-US" w:eastAsia="zh-CN"/>
              </w:rPr>
              <w:t xml:space="preserve"> 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622" w:hRule="atLeast"/>
        </w:trPr>
        <w:tc>
          <w:tcPr>
            <w:tcW w:w="766" w:type="dxa"/>
            <w:vMerge w:val="continue"/>
            <w:tcBorders>
              <w:lef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rPr>
            </w:pPr>
          </w:p>
        </w:tc>
        <w:tc>
          <w:tcPr>
            <w:tcW w:w="1233" w:type="dxa"/>
            <w:tcBorders>
              <w:left w:val="single" w:color="auto" w:sz="4" w:space="0"/>
              <w:bottom w:val="single" w:color="auto" w:sz="4" w:space="0"/>
              <w:right w:val="single" w:color="auto" w:sz="4" w:space="0"/>
            </w:tcBorders>
            <w:noWrap w:val="0"/>
            <w:tcMar>
              <w:top w:w="142" w:type="dxa"/>
              <w:left w:w="113" w:type="dxa"/>
              <w:bottom w:w="142" w:type="dxa"/>
              <w:right w:w="113"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主要机具</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color w:val="auto"/>
                <w:highlight w:val="none"/>
                <w:lang w:val="en-US" w:eastAsia="zh-CN"/>
              </w:rPr>
            </w:pPr>
            <w:r>
              <w:rPr>
                <w:rFonts w:hint="eastAsia" w:ascii="宋体" w:hAnsi="宋体" w:eastAsia="宋体" w:cs="宋体"/>
                <w:bCs/>
                <w:snapToGrid w:val="0"/>
                <w:color w:val="auto"/>
                <w:kern w:val="0"/>
                <w:sz w:val="24"/>
                <w:szCs w:val="24"/>
                <w:highlight w:val="none"/>
                <w:lang w:eastAsia="zh-CN"/>
              </w:rPr>
              <w:t>配备</w:t>
            </w:r>
          </w:p>
        </w:tc>
        <w:tc>
          <w:tcPr>
            <w:tcW w:w="7754" w:type="dxa"/>
            <w:tcBorders>
              <w:left w:val="single" w:color="auto" w:sz="4" w:space="0"/>
              <w:bottom w:val="single" w:color="auto" w:sz="4" w:space="0"/>
            </w:tcBorders>
            <w:noWrap w:val="0"/>
            <w:tcMar>
              <w:top w:w="142" w:type="dxa"/>
              <w:left w:w="113" w:type="dxa"/>
              <w:bottom w:w="142" w:type="dxa"/>
              <w:right w:w="113"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拟投入使用的主要机</w:t>
            </w:r>
            <w:r>
              <w:rPr>
                <w:rFonts w:hint="eastAsia" w:ascii="宋体" w:hAnsi="宋体" w:eastAsia="宋体" w:cs="宋体"/>
                <w:b w:val="0"/>
                <w:bCs/>
                <w:snapToGrid w:val="0"/>
                <w:color w:val="auto"/>
                <w:kern w:val="0"/>
                <w:sz w:val="24"/>
                <w:szCs w:val="24"/>
                <w:highlight w:val="none"/>
                <w:lang w:eastAsia="zh-CN"/>
              </w:rPr>
              <w:t>具</w:t>
            </w:r>
            <w:r>
              <w:rPr>
                <w:rFonts w:hint="eastAsia" w:ascii="宋体" w:hAnsi="宋体" w:eastAsia="宋体" w:cs="宋体"/>
                <w:b w:val="0"/>
                <w:bCs/>
                <w:snapToGrid w:val="0"/>
                <w:color w:val="auto"/>
                <w:kern w:val="0"/>
                <w:sz w:val="24"/>
                <w:szCs w:val="24"/>
                <w:highlight w:val="none"/>
              </w:rPr>
              <w:t>设备</w:t>
            </w:r>
            <w:r>
              <w:rPr>
                <w:rFonts w:hint="eastAsia" w:ascii="宋体" w:hAnsi="宋体" w:eastAsia="宋体" w:cs="宋体"/>
                <w:b w:val="0"/>
                <w:bCs/>
                <w:snapToGrid w:val="0"/>
                <w:color w:val="auto"/>
                <w:kern w:val="0"/>
                <w:sz w:val="24"/>
                <w:szCs w:val="24"/>
                <w:highlight w:val="none"/>
                <w:lang w:eastAsia="zh-CN"/>
              </w:rPr>
              <w:t>（</w:t>
            </w:r>
            <w:r>
              <w:rPr>
                <w:rFonts w:hint="eastAsia" w:ascii="宋体" w:hAnsi="宋体" w:eastAsia="宋体" w:cs="宋体"/>
                <w:b/>
                <w:bCs w:val="0"/>
                <w:snapToGrid w:val="0"/>
                <w:color w:val="auto"/>
                <w:kern w:val="0"/>
                <w:sz w:val="24"/>
                <w:szCs w:val="24"/>
                <w:highlight w:val="none"/>
                <w:lang w:val="en-US" w:eastAsia="zh-CN"/>
              </w:rPr>
              <w:t>此项提供车辆写入合同，不得更改，如合同签订时不能及时到位则取消中标资格</w:t>
            </w:r>
            <w:r>
              <w:rPr>
                <w:rFonts w:hint="eastAsia" w:ascii="宋体" w:hAnsi="宋体" w:eastAsia="宋体" w:cs="宋体"/>
                <w:b/>
                <w:bCs w:val="0"/>
                <w:snapToGrid w:val="0"/>
                <w:color w:val="auto"/>
                <w:kern w:val="0"/>
                <w:sz w:val="24"/>
                <w:szCs w:val="24"/>
                <w:highlight w:val="none"/>
                <w:lang w:eastAsia="zh-CN"/>
              </w:rPr>
              <w:t>）</w:t>
            </w:r>
            <w:r>
              <w:rPr>
                <w:rFonts w:hint="eastAsia" w:ascii="宋体" w:hAnsi="宋体" w:eastAsia="宋体" w:cs="宋体"/>
                <w:b w:val="0"/>
                <w:bCs/>
                <w:snapToGrid w:val="0"/>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snapToGrid w:val="0"/>
                <w:color w:val="auto"/>
                <w:kern w:val="0"/>
                <w:sz w:val="24"/>
                <w:szCs w:val="24"/>
                <w:highlight w:val="none"/>
                <w:u w:val="none"/>
                <w:lang w:val="en-US" w:eastAsia="zh-CN"/>
              </w:rPr>
            </w:pPr>
            <w:r>
              <w:rPr>
                <w:rFonts w:hint="eastAsia" w:ascii="宋体" w:hAnsi="宋体" w:eastAsia="宋体" w:cs="宋体"/>
                <w:b w:val="0"/>
                <w:bCs/>
                <w:snapToGrid w:val="0"/>
                <w:color w:val="auto"/>
                <w:kern w:val="0"/>
                <w:sz w:val="24"/>
                <w:szCs w:val="24"/>
                <w:highlight w:val="none"/>
                <w:u w:val="none"/>
                <w:lang w:val="en-US" w:eastAsia="zh-CN"/>
              </w:rPr>
              <w:t>1.</w:t>
            </w:r>
            <w:r>
              <w:rPr>
                <w:rFonts w:hint="eastAsia" w:ascii="宋体" w:hAnsi="宋体" w:eastAsia="宋体" w:cs="宋体"/>
                <w:b w:val="0"/>
                <w:bCs/>
                <w:snapToGrid w:val="0"/>
                <w:color w:val="auto"/>
                <w:kern w:val="0"/>
                <w:sz w:val="24"/>
                <w:szCs w:val="24"/>
                <w:highlight w:val="none"/>
                <w:u w:val="none"/>
              </w:rPr>
              <w:t>投标人自有洒水车≥1辆</w:t>
            </w:r>
            <w:r>
              <w:rPr>
                <w:rFonts w:hint="eastAsia" w:ascii="宋体" w:hAnsi="宋体" w:eastAsia="宋体" w:cs="宋体"/>
                <w:b w:val="0"/>
                <w:bCs/>
                <w:snapToGrid w:val="0"/>
                <w:color w:val="auto"/>
                <w:kern w:val="0"/>
                <w:sz w:val="24"/>
                <w:szCs w:val="24"/>
                <w:highlight w:val="none"/>
                <w:u w:val="none"/>
                <w:lang w:eastAsia="zh-CN"/>
              </w:rPr>
              <w:t>，</w:t>
            </w:r>
            <w:r>
              <w:rPr>
                <w:rFonts w:hint="eastAsia" w:ascii="宋体" w:hAnsi="宋体" w:eastAsia="宋体" w:cs="宋体"/>
                <w:b w:val="0"/>
                <w:bCs/>
                <w:snapToGrid w:val="0"/>
                <w:color w:val="auto"/>
                <w:kern w:val="0"/>
                <w:sz w:val="24"/>
                <w:szCs w:val="24"/>
                <w:highlight w:val="none"/>
                <w:u w:val="none"/>
              </w:rPr>
              <w:t>且累计载重7吨及以上得</w:t>
            </w:r>
            <w:r>
              <w:rPr>
                <w:rFonts w:hint="eastAsia" w:ascii="宋体" w:hAnsi="宋体" w:eastAsia="宋体" w:cs="宋体"/>
                <w:b w:val="0"/>
                <w:bCs/>
                <w:snapToGrid w:val="0"/>
                <w:color w:val="auto"/>
                <w:kern w:val="0"/>
                <w:sz w:val="24"/>
                <w:szCs w:val="24"/>
                <w:highlight w:val="none"/>
                <w:u w:val="none"/>
                <w:lang w:val="en-US" w:eastAsia="zh-CN"/>
              </w:rPr>
              <w:t>5</w:t>
            </w:r>
            <w:r>
              <w:rPr>
                <w:rFonts w:hint="eastAsia" w:ascii="宋体" w:hAnsi="宋体" w:eastAsia="宋体" w:cs="宋体"/>
                <w:b w:val="0"/>
                <w:bCs/>
                <w:snapToGrid w:val="0"/>
                <w:color w:val="auto"/>
                <w:kern w:val="0"/>
                <w:sz w:val="24"/>
                <w:szCs w:val="24"/>
                <w:highlight w:val="none"/>
                <w:u w:val="none"/>
              </w:rPr>
              <w:t>分，</w:t>
            </w:r>
            <w:r>
              <w:rPr>
                <w:rFonts w:hint="eastAsia" w:ascii="宋体" w:hAnsi="宋体" w:eastAsia="宋体" w:cs="宋体"/>
                <w:b w:val="0"/>
                <w:bCs/>
                <w:snapToGrid w:val="0"/>
                <w:color w:val="auto"/>
                <w:kern w:val="0"/>
                <w:sz w:val="24"/>
                <w:szCs w:val="24"/>
                <w:highlight w:val="none"/>
              </w:rPr>
              <w:t>5吨≤累计载重＜7吨得</w:t>
            </w:r>
            <w:r>
              <w:rPr>
                <w:rFonts w:hint="eastAsia" w:ascii="宋体" w:hAnsi="宋体" w:eastAsia="宋体" w:cs="宋体"/>
                <w:b w:val="0"/>
                <w:bCs/>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分</w:t>
            </w:r>
            <w:r>
              <w:rPr>
                <w:rFonts w:hint="eastAsia" w:ascii="宋体" w:hAnsi="宋体" w:eastAsia="宋体" w:cs="宋体"/>
                <w:b w:val="0"/>
                <w:bCs/>
                <w:snapToGrid w:val="0"/>
                <w:color w:val="auto"/>
                <w:kern w:val="0"/>
                <w:sz w:val="24"/>
                <w:szCs w:val="24"/>
                <w:highlight w:val="none"/>
                <w:lang w:eastAsia="zh-CN"/>
              </w:rPr>
              <w:t>，</w:t>
            </w:r>
            <w:r>
              <w:rPr>
                <w:rFonts w:hint="eastAsia" w:ascii="宋体" w:hAnsi="宋体" w:eastAsia="宋体" w:cs="宋体"/>
                <w:b w:val="0"/>
                <w:bCs/>
                <w:snapToGrid w:val="0"/>
                <w:color w:val="auto"/>
                <w:kern w:val="0"/>
                <w:sz w:val="24"/>
                <w:szCs w:val="24"/>
                <w:highlight w:val="none"/>
                <w:u w:val="none"/>
              </w:rPr>
              <w:t>累计载重</w:t>
            </w:r>
            <w:r>
              <w:rPr>
                <w:rFonts w:hint="eastAsia" w:ascii="宋体" w:hAnsi="宋体" w:eastAsia="宋体" w:cs="宋体"/>
                <w:b w:val="0"/>
                <w:bCs/>
                <w:snapToGrid w:val="0"/>
                <w:color w:val="auto"/>
                <w:kern w:val="0"/>
                <w:sz w:val="24"/>
                <w:szCs w:val="24"/>
                <w:highlight w:val="none"/>
                <w:lang w:val="en-US" w:eastAsia="zh-CN"/>
              </w:rPr>
              <w:t>低于</w:t>
            </w:r>
            <w:r>
              <w:rPr>
                <w:rFonts w:hint="eastAsia" w:ascii="宋体" w:hAnsi="宋体" w:eastAsia="宋体" w:cs="宋体"/>
                <w:b w:val="0"/>
                <w:bCs/>
                <w:snapToGrid w:val="0"/>
                <w:color w:val="auto"/>
                <w:kern w:val="0"/>
                <w:sz w:val="24"/>
                <w:szCs w:val="24"/>
                <w:highlight w:val="none"/>
              </w:rPr>
              <w:t>5吨得</w:t>
            </w:r>
            <w:r>
              <w:rPr>
                <w:rFonts w:hint="eastAsia" w:ascii="宋体" w:hAnsi="宋体" w:eastAsia="宋体" w:cs="宋体"/>
                <w:b w:val="0"/>
                <w:bCs/>
                <w:snapToGrid w:val="0"/>
                <w:color w:val="auto"/>
                <w:kern w:val="0"/>
                <w:sz w:val="24"/>
                <w:szCs w:val="24"/>
                <w:highlight w:val="none"/>
                <w:lang w:val="en-US" w:eastAsia="zh-CN"/>
              </w:rPr>
              <w:t>0</w:t>
            </w:r>
            <w:r>
              <w:rPr>
                <w:rFonts w:hint="eastAsia" w:ascii="宋体" w:hAnsi="宋体" w:eastAsia="宋体" w:cs="宋体"/>
                <w:b w:val="0"/>
                <w:bCs/>
                <w:snapToGrid w:val="0"/>
                <w:color w:val="auto"/>
                <w:kern w:val="0"/>
                <w:sz w:val="24"/>
                <w:szCs w:val="24"/>
                <w:highlight w:val="none"/>
              </w:rPr>
              <w:t>分。</w:t>
            </w:r>
            <w:r>
              <w:rPr>
                <w:rFonts w:hint="eastAsia" w:ascii="宋体" w:hAnsi="宋体" w:eastAsia="宋体" w:cs="宋体"/>
                <w:color w:val="auto"/>
                <w:sz w:val="24"/>
                <w:szCs w:val="24"/>
                <w:highlight w:val="none"/>
                <w:lang w:val="en-US" w:eastAsia="zh-CN"/>
              </w:rPr>
              <w:t>（0-5分）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b w:val="0"/>
                <w:bCs/>
                <w:snapToGrid w:val="0"/>
                <w:color w:val="auto"/>
                <w:kern w:val="0"/>
                <w:sz w:val="24"/>
                <w:szCs w:val="24"/>
                <w:highlight w:val="none"/>
                <w:u w:val="none"/>
                <w:lang w:val="en-US" w:eastAsia="zh-CN"/>
              </w:rPr>
              <w:t>2.</w:t>
            </w:r>
            <w:r>
              <w:rPr>
                <w:rFonts w:hint="eastAsia" w:ascii="宋体" w:hAnsi="宋体" w:eastAsia="宋体" w:cs="宋体"/>
                <w:b w:val="0"/>
                <w:bCs/>
                <w:snapToGrid w:val="0"/>
                <w:color w:val="auto"/>
                <w:kern w:val="0"/>
                <w:sz w:val="24"/>
                <w:szCs w:val="24"/>
                <w:highlight w:val="none"/>
                <w:u w:val="none"/>
              </w:rPr>
              <w:t>投标人自有载货工具车核定载货质量0.</w:t>
            </w:r>
            <w:r>
              <w:rPr>
                <w:rFonts w:hint="eastAsia" w:cs="宋体"/>
                <w:b w:val="0"/>
                <w:bCs/>
                <w:snapToGrid w:val="0"/>
                <w:color w:val="auto"/>
                <w:kern w:val="0"/>
                <w:sz w:val="24"/>
                <w:szCs w:val="24"/>
                <w:highlight w:val="none"/>
                <w:u w:val="none"/>
                <w:lang w:val="en-US" w:eastAsia="zh-CN"/>
              </w:rPr>
              <w:t>485</w:t>
            </w:r>
            <w:r>
              <w:rPr>
                <w:rFonts w:hint="eastAsia" w:ascii="宋体" w:hAnsi="宋体" w:eastAsia="宋体" w:cs="宋体"/>
                <w:b w:val="0"/>
                <w:bCs/>
                <w:snapToGrid w:val="0"/>
                <w:color w:val="auto"/>
                <w:kern w:val="0"/>
                <w:sz w:val="24"/>
                <w:szCs w:val="24"/>
                <w:highlight w:val="none"/>
                <w:u w:val="none"/>
              </w:rPr>
              <w:t>吨</w:t>
            </w:r>
            <w:r>
              <w:rPr>
                <w:rFonts w:hint="eastAsia" w:ascii="宋体" w:hAnsi="宋体" w:eastAsia="宋体" w:cs="宋体"/>
                <w:b w:val="0"/>
                <w:bCs/>
                <w:snapToGrid w:val="0"/>
                <w:color w:val="auto"/>
                <w:kern w:val="0"/>
                <w:sz w:val="24"/>
                <w:szCs w:val="24"/>
                <w:highlight w:val="none"/>
                <w:u w:val="none"/>
                <w:lang w:val="en-US" w:eastAsia="zh-CN"/>
              </w:rPr>
              <w:t>及</w:t>
            </w:r>
            <w:r>
              <w:rPr>
                <w:rFonts w:hint="eastAsia" w:ascii="宋体" w:hAnsi="宋体" w:eastAsia="宋体" w:cs="宋体"/>
                <w:b w:val="0"/>
                <w:bCs/>
                <w:snapToGrid w:val="0"/>
                <w:color w:val="auto"/>
                <w:kern w:val="0"/>
                <w:sz w:val="24"/>
                <w:szCs w:val="24"/>
                <w:highlight w:val="none"/>
                <w:u w:val="none"/>
              </w:rPr>
              <w:t>以上</w:t>
            </w:r>
            <w:r>
              <w:rPr>
                <w:rFonts w:hint="eastAsia" w:ascii="宋体" w:hAnsi="宋体" w:eastAsia="宋体" w:cs="宋体"/>
                <w:b w:val="0"/>
                <w:bCs/>
                <w:snapToGrid w:val="0"/>
                <w:color w:val="auto"/>
                <w:kern w:val="0"/>
                <w:sz w:val="24"/>
                <w:szCs w:val="24"/>
                <w:highlight w:val="none"/>
                <w:u w:val="none"/>
                <w:lang w:val="en-US" w:eastAsia="zh-CN"/>
              </w:rPr>
              <w:t>2</w:t>
            </w:r>
            <w:r>
              <w:rPr>
                <w:rFonts w:hint="eastAsia" w:ascii="宋体" w:hAnsi="宋体" w:eastAsia="宋体" w:cs="宋体"/>
                <w:b w:val="0"/>
                <w:bCs/>
                <w:snapToGrid w:val="0"/>
                <w:color w:val="auto"/>
                <w:kern w:val="0"/>
                <w:sz w:val="24"/>
                <w:szCs w:val="24"/>
                <w:highlight w:val="none"/>
                <w:u w:val="none"/>
              </w:rPr>
              <w:t>辆</w:t>
            </w:r>
            <w:r>
              <w:rPr>
                <w:rFonts w:hint="eastAsia" w:ascii="宋体" w:hAnsi="宋体" w:eastAsia="宋体" w:cs="宋体"/>
                <w:b w:val="0"/>
                <w:bCs/>
                <w:snapToGrid w:val="0"/>
                <w:color w:val="auto"/>
                <w:kern w:val="0"/>
                <w:sz w:val="24"/>
                <w:szCs w:val="24"/>
                <w:highlight w:val="none"/>
                <w:u w:val="none"/>
              </w:rPr>
              <w:t>得</w:t>
            </w:r>
            <w:r>
              <w:rPr>
                <w:rFonts w:hint="eastAsia" w:ascii="宋体" w:hAnsi="宋体" w:eastAsia="宋体" w:cs="宋体"/>
                <w:b w:val="0"/>
                <w:bCs/>
                <w:snapToGrid w:val="0"/>
                <w:color w:val="auto"/>
                <w:kern w:val="0"/>
                <w:sz w:val="24"/>
                <w:szCs w:val="24"/>
                <w:highlight w:val="none"/>
                <w:u w:val="none"/>
                <w:lang w:val="en-US" w:eastAsia="zh-CN"/>
              </w:rPr>
              <w:t>2</w:t>
            </w:r>
            <w:r>
              <w:rPr>
                <w:rFonts w:hint="eastAsia" w:ascii="宋体" w:hAnsi="宋体" w:eastAsia="宋体" w:cs="宋体"/>
                <w:b w:val="0"/>
                <w:bCs/>
                <w:snapToGrid w:val="0"/>
                <w:color w:val="auto"/>
                <w:kern w:val="0"/>
                <w:sz w:val="24"/>
                <w:szCs w:val="24"/>
                <w:highlight w:val="none"/>
                <w:u w:val="none"/>
              </w:rPr>
              <w:t>分</w:t>
            </w:r>
            <w:r>
              <w:rPr>
                <w:rFonts w:hint="eastAsia" w:ascii="宋体" w:hAnsi="宋体" w:eastAsia="宋体" w:cs="宋体"/>
                <w:b w:val="0"/>
                <w:bCs/>
                <w:snapToGrid w:val="0"/>
                <w:color w:val="auto"/>
                <w:kern w:val="0"/>
                <w:sz w:val="24"/>
                <w:szCs w:val="24"/>
                <w:highlight w:val="none"/>
                <w:u w:val="none"/>
                <w:lang w:eastAsia="zh-CN"/>
              </w:rPr>
              <w:t>，</w:t>
            </w:r>
            <w:r>
              <w:rPr>
                <w:rFonts w:hint="eastAsia" w:ascii="宋体" w:hAnsi="宋体" w:eastAsia="宋体" w:cs="宋体"/>
                <w:b w:val="0"/>
                <w:bCs/>
                <w:snapToGrid w:val="0"/>
                <w:color w:val="auto"/>
                <w:kern w:val="0"/>
                <w:sz w:val="24"/>
                <w:szCs w:val="24"/>
                <w:highlight w:val="none"/>
                <w:u w:val="none"/>
                <w:lang w:val="en-US" w:eastAsia="zh-CN"/>
              </w:rPr>
              <w:t>最高得2分</w:t>
            </w:r>
            <w:r>
              <w:rPr>
                <w:rFonts w:hint="eastAsia" w:ascii="宋体" w:hAnsi="宋体" w:eastAsia="宋体" w:cs="宋体"/>
                <w:b w:val="0"/>
                <w:bCs/>
                <w:snapToGrid w:val="0"/>
                <w:color w:val="auto"/>
                <w:kern w:val="0"/>
                <w:sz w:val="24"/>
                <w:szCs w:val="24"/>
                <w:highlight w:val="none"/>
                <w:u w:val="none"/>
              </w:rPr>
              <w:t>。</w:t>
            </w:r>
            <w:r>
              <w:rPr>
                <w:rFonts w:hint="eastAsia" w:ascii="宋体" w:hAnsi="宋体" w:eastAsia="宋体" w:cs="宋体"/>
                <w:b w:val="0"/>
                <w:bCs/>
                <w:snapToGrid w:val="0"/>
                <w:color w:val="auto"/>
                <w:kern w:val="0"/>
                <w:sz w:val="24"/>
                <w:szCs w:val="24"/>
                <w:highlight w:val="none"/>
                <w:u w:val="none"/>
                <w:lang w:val="en-US" w:eastAsia="zh-CN"/>
              </w:rPr>
              <w:t>1辆0.485吨及以上吨位</w:t>
            </w:r>
            <w:r>
              <w:rPr>
                <w:rFonts w:hint="eastAsia" w:ascii="宋体" w:hAnsi="宋体" w:eastAsia="宋体" w:cs="宋体"/>
                <w:b w:val="0"/>
                <w:bCs/>
                <w:snapToGrid w:val="0"/>
                <w:color w:val="auto"/>
                <w:kern w:val="0"/>
                <w:sz w:val="24"/>
                <w:szCs w:val="24"/>
                <w:highlight w:val="none"/>
                <w:u w:val="none"/>
              </w:rPr>
              <w:t>工具车不得分。</w:t>
            </w:r>
            <w:r>
              <w:rPr>
                <w:rFonts w:hint="eastAsia" w:ascii="宋体" w:hAnsi="宋体" w:eastAsia="宋体" w:cs="宋体"/>
                <w:b w:val="0"/>
                <w:bCs/>
                <w:snapToGrid w:val="0"/>
                <w:color w:val="auto"/>
                <w:kern w:val="0"/>
                <w:sz w:val="24"/>
                <w:szCs w:val="24"/>
                <w:highlight w:val="none"/>
                <w:u w:val="none"/>
                <w:lang w:val="en-US" w:eastAsia="zh-CN"/>
              </w:rPr>
              <w:t>（2分）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snapToGrid w:val="0"/>
                <w:color w:val="auto"/>
                <w:kern w:val="0"/>
                <w:sz w:val="24"/>
                <w:szCs w:val="24"/>
                <w:highlight w:val="none"/>
                <w:u w:val="none"/>
                <w:lang w:val="en-US" w:eastAsia="zh-CN"/>
              </w:rPr>
            </w:pPr>
            <w:r>
              <w:rPr>
                <w:rFonts w:hint="eastAsia" w:ascii="宋体" w:hAnsi="宋体" w:eastAsia="宋体" w:cs="宋体"/>
                <w:b w:val="0"/>
                <w:bCs/>
                <w:snapToGrid w:val="0"/>
                <w:color w:val="auto"/>
                <w:kern w:val="0"/>
                <w:sz w:val="24"/>
                <w:szCs w:val="24"/>
                <w:highlight w:val="none"/>
                <w:u w:val="none"/>
                <w:lang w:val="en-US" w:eastAsia="zh-CN"/>
              </w:rPr>
              <w:t>3.</w:t>
            </w:r>
            <w:r>
              <w:rPr>
                <w:rFonts w:hint="eastAsia" w:cs="宋体"/>
                <w:bCs/>
                <w:snapToGrid w:val="0"/>
                <w:color w:val="auto"/>
                <w:kern w:val="0"/>
                <w:sz w:val="24"/>
                <w:szCs w:val="24"/>
                <w:highlight w:val="none"/>
                <w:lang w:val="en-US" w:eastAsia="zh-CN"/>
              </w:rPr>
              <w:t>投标人自有</w:t>
            </w:r>
            <w:r>
              <w:rPr>
                <w:rFonts w:hint="eastAsia" w:ascii="宋体" w:hAnsi="宋体" w:eastAsia="宋体" w:cs="宋体"/>
                <w:b w:val="0"/>
                <w:bCs/>
                <w:snapToGrid w:val="0"/>
                <w:color w:val="auto"/>
                <w:kern w:val="0"/>
                <w:sz w:val="24"/>
                <w:szCs w:val="24"/>
                <w:highlight w:val="none"/>
                <w:u w:val="none"/>
                <w:lang w:val="en-US" w:eastAsia="zh-CN"/>
              </w:rPr>
              <w:t>登高（或高空）作业车1辆得2分，最高得2分。（0-2分）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default" w:cs="宋体"/>
                <w:bCs/>
                <w:snapToGrid w:val="0"/>
                <w:color w:val="auto"/>
                <w:kern w:val="0"/>
                <w:sz w:val="24"/>
                <w:szCs w:val="24"/>
                <w:highlight w:val="none"/>
                <w:lang w:val="en-US" w:eastAsia="zh-CN"/>
              </w:rPr>
            </w:pPr>
            <w:r>
              <w:rPr>
                <w:rFonts w:hint="eastAsia" w:cs="宋体"/>
                <w:bCs/>
                <w:snapToGrid w:val="0"/>
                <w:color w:val="auto"/>
                <w:kern w:val="0"/>
                <w:sz w:val="24"/>
                <w:szCs w:val="24"/>
                <w:highlight w:val="none"/>
                <w:lang w:val="en-US" w:eastAsia="zh-CN"/>
              </w:rPr>
              <w:t>4.投标人提供自有1辆核载7人及以上具有载货功能的接送车，得2分；或提供核载5人及以上的接送车2辆，得2分。（0-2分）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snapToGrid w:val="0"/>
                <w:color w:val="auto"/>
                <w:kern w:val="0"/>
                <w:sz w:val="24"/>
                <w:szCs w:val="24"/>
                <w:highlight w:val="none"/>
                <w:u w:val="none"/>
                <w:lang w:val="en-US" w:eastAsia="zh-CN" w:bidi="ar-SA"/>
              </w:rPr>
            </w:pPr>
            <w:r>
              <w:rPr>
                <w:rFonts w:hint="eastAsia" w:ascii="宋体" w:hAnsi="宋体" w:eastAsia="宋体" w:cs="宋体"/>
                <w:b w:val="0"/>
                <w:bCs/>
                <w:snapToGrid w:val="0"/>
                <w:color w:val="auto"/>
                <w:kern w:val="0"/>
                <w:sz w:val="24"/>
                <w:szCs w:val="24"/>
                <w:highlight w:val="none"/>
                <w:u w:val="none"/>
                <w:lang w:val="en-US" w:eastAsia="zh-CN"/>
              </w:rPr>
              <w:t>【注：所有人名称与投标人名称一致，核定载质量以行驶证登记为准，得分分段之间不累计，以</w:t>
            </w:r>
            <w:r>
              <w:rPr>
                <w:rFonts w:hint="eastAsia" w:ascii="宋体" w:hAnsi="宋体" w:eastAsia="宋体" w:cs="宋体"/>
                <w:b w:val="0"/>
                <w:bCs/>
                <w:snapToGrid w:val="0"/>
                <w:color w:val="auto"/>
                <w:kern w:val="0"/>
                <w:sz w:val="24"/>
                <w:szCs w:val="24"/>
                <w:highlight w:val="none"/>
                <w:u w:val="none"/>
              </w:rPr>
              <w:t>各分段得分最高分计算</w:t>
            </w:r>
            <w:r>
              <w:rPr>
                <w:rFonts w:hint="eastAsia" w:ascii="宋体" w:hAnsi="宋体" w:eastAsia="宋体" w:cs="宋体"/>
                <w:b w:val="0"/>
                <w:bCs/>
                <w:snapToGrid w:val="0"/>
                <w:color w:val="auto"/>
                <w:kern w:val="0"/>
                <w:sz w:val="24"/>
                <w:szCs w:val="24"/>
                <w:highlight w:val="none"/>
                <w:u w:val="none"/>
                <w:lang w:eastAsia="zh-CN"/>
              </w:rPr>
              <w:t>，</w:t>
            </w:r>
            <w:r>
              <w:rPr>
                <w:rFonts w:hint="eastAsia" w:ascii="宋体" w:hAnsi="宋体" w:eastAsia="宋体" w:cs="宋体"/>
                <w:b w:val="0"/>
                <w:bCs/>
                <w:snapToGrid w:val="0"/>
                <w:color w:val="auto"/>
                <w:kern w:val="0"/>
                <w:sz w:val="24"/>
                <w:szCs w:val="24"/>
                <w:highlight w:val="none"/>
                <w:u w:val="none"/>
              </w:rPr>
              <w:t>需提供在有效年检期内的车辆行驶证原件</w:t>
            </w:r>
            <w:r>
              <w:rPr>
                <w:rFonts w:hint="eastAsia" w:ascii="宋体" w:hAnsi="宋体" w:eastAsia="宋体" w:cs="宋体"/>
                <w:b w:val="0"/>
                <w:bCs/>
                <w:snapToGrid w:val="0"/>
                <w:color w:val="auto"/>
                <w:kern w:val="0"/>
                <w:sz w:val="24"/>
                <w:szCs w:val="24"/>
                <w:highlight w:val="none"/>
                <w:u w:val="none"/>
                <w:lang w:eastAsia="zh-CN"/>
              </w:rPr>
              <w:t>扫描件，未提供不得分</w:t>
            </w:r>
            <w:r>
              <w:rPr>
                <w:rFonts w:hint="eastAsia" w:ascii="宋体" w:hAnsi="宋体" w:eastAsia="宋体" w:cs="宋体"/>
                <w:b w:val="0"/>
                <w:bCs/>
                <w:snapToGrid w:val="0"/>
                <w:color w:val="auto"/>
                <w:kern w:val="0"/>
                <w:sz w:val="24"/>
                <w:szCs w:val="24"/>
                <w:highlight w:val="none"/>
                <w:u w:val="none"/>
              </w:rPr>
              <w:t>】</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宋体" w:hAnsi="宋体" w:eastAsia="宋体" w:cs="宋体"/>
                <w:b w:val="0"/>
                <w:bCs/>
                <w:snapToGrid w:val="0"/>
                <w:color w:val="auto"/>
                <w:kern w:val="0"/>
                <w:sz w:val="24"/>
                <w:szCs w:val="24"/>
                <w:highlight w:val="none"/>
                <w:lang w:val="en-US" w:eastAsia="zh-CN" w:bidi="ar-SA"/>
              </w:rPr>
            </w:pPr>
            <w:r>
              <w:rPr>
                <w:rFonts w:hint="eastAsia" w:cs="宋体"/>
                <w:b w:val="0"/>
                <w:bCs/>
                <w:snapToGrid w:val="0"/>
                <w:color w:val="auto"/>
                <w:kern w:val="0"/>
                <w:sz w:val="24"/>
                <w:szCs w:val="24"/>
                <w:highlight w:val="no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710" w:hRule="atLeast"/>
        </w:trPr>
        <w:tc>
          <w:tcPr>
            <w:tcW w:w="766" w:type="dxa"/>
            <w:vMerge w:val="continue"/>
            <w:tcBorders>
              <w:left w:val="single" w:color="auto" w:sz="4" w:space="0"/>
              <w:bottom w:val="nil"/>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bCs/>
                <w:snapToGrid w:val="0"/>
                <w:color w:val="auto"/>
                <w:kern w:val="0"/>
                <w:sz w:val="24"/>
                <w:szCs w:val="24"/>
              </w:rPr>
            </w:pPr>
          </w:p>
        </w:tc>
        <w:tc>
          <w:tcPr>
            <w:tcW w:w="1233" w:type="dxa"/>
            <w:tcBorders>
              <w:top w:val="single" w:color="auto" w:sz="4" w:space="0"/>
              <w:left w:val="single" w:color="auto" w:sz="4" w:space="0"/>
              <w:bottom w:val="single" w:color="auto" w:sz="4" w:space="0"/>
              <w:right w:val="single" w:color="auto" w:sz="4" w:space="0"/>
            </w:tcBorders>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zh-CN"/>
              </w:rPr>
              <w:t>绿化养护</w:t>
            </w:r>
          </w:p>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eastAsia="宋体"/>
                <w:lang w:val="en-US" w:eastAsia="zh-CN"/>
              </w:rPr>
            </w:pPr>
            <w:r>
              <w:rPr>
                <w:rFonts w:hint="eastAsia" w:ascii="宋体" w:hAnsi="宋体" w:eastAsia="宋体" w:cs="宋体"/>
                <w:snapToGrid w:val="0"/>
                <w:color w:val="auto"/>
                <w:kern w:val="0"/>
                <w:sz w:val="24"/>
                <w:szCs w:val="24"/>
                <w:lang w:val="zh-CN"/>
              </w:rPr>
              <w:t>实施方案</w:t>
            </w:r>
          </w:p>
        </w:tc>
        <w:tc>
          <w:tcPr>
            <w:tcW w:w="7754" w:type="dxa"/>
            <w:tcBorders>
              <w:top w:val="single" w:color="auto" w:sz="4" w:space="0"/>
              <w:left w:val="single" w:color="auto" w:sz="4" w:space="0"/>
              <w:bottom w:val="single" w:color="auto" w:sz="4" w:space="0"/>
            </w:tcBorders>
            <w:noWrap w:val="0"/>
            <w:tcMar>
              <w:top w:w="142" w:type="dxa"/>
              <w:left w:w="113" w:type="dxa"/>
              <w:bottom w:w="142" w:type="dxa"/>
              <w:right w:w="113"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zh-CN"/>
              </w:rPr>
              <w:t>绿化养护实施方案主要包括下列内容：</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rPr>
              <w:t>绿化</w:t>
            </w:r>
            <w:r>
              <w:rPr>
                <w:rFonts w:hint="eastAsia" w:ascii="宋体" w:hAnsi="宋体" w:eastAsia="宋体" w:cs="宋体"/>
                <w:sz w:val="24"/>
                <w:szCs w:val="24"/>
                <w:highlight w:val="none"/>
                <w:lang w:val="en-US" w:eastAsia="zh-CN"/>
              </w:rPr>
              <w:t>养护</w:t>
            </w:r>
            <w:r>
              <w:rPr>
                <w:rFonts w:hint="eastAsia" w:ascii="宋体" w:hAnsi="宋体" w:eastAsia="宋体" w:cs="宋体"/>
                <w:sz w:val="24"/>
                <w:szCs w:val="24"/>
                <w:highlight w:val="none"/>
                <w:lang w:val="zh-CN"/>
              </w:rPr>
              <w:t>结合</w:t>
            </w:r>
            <w:r>
              <w:rPr>
                <w:rFonts w:hint="eastAsia" w:ascii="宋体" w:hAnsi="宋体" w:eastAsia="宋体" w:cs="宋体"/>
                <w:sz w:val="24"/>
                <w:szCs w:val="24"/>
                <w:highlight w:val="none"/>
                <w:lang w:val="en-US" w:eastAsia="zh-CN"/>
              </w:rPr>
              <w:t>四季</w:t>
            </w:r>
            <w:r>
              <w:rPr>
                <w:rFonts w:hint="eastAsia" w:ascii="宋体" w:hAnsi="宋体" w:eastAsia="宋体" w:cs="宋体"/>
                <w:sz w:val="24"/>
                <w:szCs w:val="24"/>
                <w:highlight w:val="none"/>
                <w:lang w:val="zh-CN"/>
              </w:rPr>
              <w:t>变化养护技术方案；</w:t>
            </w:r>
            <w:r>
              <w:rPr>
                <w:rFonts w:hint="eastAsia" w:ascii="宋体" w:hAnsi="宋体" w:eastAsia="宋体" w:cs="宋体"/>
                <w:sz w:val="24"/>
                <w:szCs w:val="24"/>
                <w:highlight w:val="none"/>
                <w:lang w:val="en-US" w:eastAsia="zh-CN"/>
              </w:rPr>
              <w:t>结合</w:t>
            </w:r>
            <w:r>
              <w:rPr>
                <w:rFonts w:hint="eastAsia" w:ascii="宋体" w:hAnsi="宋体" w:eastAsia="宋体" w:cs="宋体"/>
                <w:sz w:val="24"/>
                <w:szCs w:val="24"/>
                <w:highlight w:val="none"/>
                <w:lang w:val="zh-CN"/>
              </w:rPr>
              <w:t>各类园林植物特性，</w:t>
            </w:r>
            <w:r>
              <w:rPr>
                <w:rFonts w:hint="eastAsia" w:ascii="宋体" w:hAnsi="宋体" w:eastAsia="宋体" w:cs="宋体"/>
                <w:sz w:val="24"/>
                <w:szCs w:val="24"/>
                <w:highlight w:val="none"/>
                <w:lang w:val="en-US" w:eastAsia="zh-CN"/>
              </w:rPr>
              <w:t>乔灌木、地被植物、花卉等</w:t>
            </w:r>
            <w:r>
              <w:rPr>
                <w:rFonts w:hint="eastAsia" w:ascii="宋体" w:hAnsi="宋体" w:eastAsia="宋体" w:cs="宋体"/>
                <w:sz w:val="24"/>
                <w:szCs w:val="24"/>
                <w:highlight w:val="none"/>
                <w:lang w:val="zh-CN"/>
              </w:rPr>
              <w:t>养护计划周密，措施</w:t>
            </w:r>
            <w:r>
              <w:rPr>
                <w:rFonts w:hint="eastAsia" w:ascii="宋体" w:hAnsi="宋体" w:eastAsia="宋体" w:cs="宋体"/>
                <w:sz w:val="24"/>
                <w:szCs w:val="24"/>
                <w:highlight w:val="none"/>
                <w:lang w:val="en-US" w:eastAsia="zh-CN"/>
              </w:rPr>
              <w:t>得当</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en-US" w:eastAsia="zh-CN"/>
              </w:rPr>
              <w:t>根据不同的病虫害制定</w:t>
            </w:r>
            <w:r>
              <w:rPr>
                <w:rFonts w:hint="eastAsia" w:ascii="宋体" w:hAnsi="宋体" w:eastAsia="宋体" w:cs="宋体"/>
                <w:sz w:val="24"/>
                <w:szCs w:val="24"/>
                <w:highlight w:val="none"/>
                <w:lang w:val="zh-CN"/>
              </w:rPr>
              <w:t>病虫害防治方案。</w:t>
            </w:r>
            <w:r>
              <w:rPr>
                <w:rFonts w:hint="eastAsia" w:ascii="宋体" w:hAnsi="宋体" w:eastAsia="宋体" w:cs="宋体"/>
                <w:sz w:val="24"/>
                <w:szCs w:val="24"/>
                <w:highlight w:val="none"/>
                <w:lang w:val="en-US" w:eastAsia="zh-CN"/>
              </w:rPr>
              <w:t>共</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项，每项2分</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en-US" w:eastAsia="zh-CN"/>
              </w:rPr>
              <w:t>0-6</w:t>
            </w:r>
            <w:r>
              <w:rPr>
                <w:rFonts w:hint="eastAsia" w:ascii="宋体" w:hAnsi="宋体" w:eastAsia="宋体" w:cs="宋体"/>
                <w:sz w:val="24"/>
                <w:szCs w:val="24"/>
                <w:highlight w:val="none"/>
                <w:lang w:val="zh-CN"/>
              </w:rPr>
              <w:t>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2、提出养护区域内绿化景观提升方案。</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lang w:val="en-US" w:eastAsia="zh-CN"/>
              </w:rPr>
              <w:t>-5分</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zh-CN" w:eastAsia="zh-CN"/>
              </w:rPr>
              <w:t>。</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eastAsia="zh-CN"/>
              </w:rPr>
              <w:t>绿化养护各专业工种人员配备</w:t>
            </w:r>
            <w:r>
              <w:rPr>
                <w:rFonts w:hint="eastAsia" w:ascii="宋体" w:hAnsi="宋体" w:eastAsia="宋体" w:cs="宋体"/>
                <w:sz w:val="24"/>
                <w:szCs w:val="24"/>
                <w:highlight w:val="none"/>
                <w:lang w:val="en-US" w:eastAsia="zh-CN"/>
              </w:rPr>
              <w:t>齐全</w:t>
            </w:r>
            <w:r>
              <w:rPr>
                <w:rFonts w:hint="eastAsia" w:ascii="宋体" w:hAnsi="宋体" w:eastAsia="宋体" w:cs="宋体"/>
                <w:sz w:val="24"/>
                <w:szCs w:val="24"/>
                <w:highlight w:val="none"/>
                <w:lang w:val="zh-CN" w:eastAsia="zh-CN"/>
              </w:rPr>
              <w:t>、劳动力安排</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val="zh-CN" w:eastAsia="zh-CN"/>
              </w:rPr>
              <w:t>、组织管理体系科学，能够有效实施养护管理工作；承接主体机构管理</w:t>
            </w:r>
            <w:r>
              <w:rPr>
                <w:rFonts w:hint="eastAsia" w:ascii="宋体" w:hAnsi="宋体" w:eastAsia="宋体" w:cs="宋体"/>
                <w:sz w:val="24"/>
                <w:szCs w:val="24"/>
                <w:highlight w:val="none"/>
                <w:lang w:val="en-US" w:eastAsia="zh-CN"/>
              </w:rPr>
              <w:t>流程</w:t>
            </w:r>
            <w:r>
              <w:rPr>
                <w:rFonts w:hint="eastAsia" w:ascii="宋体" w:hAnsi="宋体" w:eastAsia="宋体" w:cs="宋体"/>
                <w:sz w:val="24"/>
                <w:szCs w:val="24"/>
                <w:highlight w:val="none"/>
                <w:lang w:val="zh-CN" w:eastAsia="zh-CN"/>
              </w:rPr>
              <w:t>、计划</w:t>
            </w:r>
            <w:r>
              <w:rPr>
                <w:rFonts w:hint="eastAsia" w:ascii="宋体" w:hAnsi="宋体" w:eastAsia="宋体" w:cs="宋体"/>
                <w:sz w:val="24"/>
                <w:szCs w:val="24"/>
                <w:highlight w:val="none"/>
                <w:lang w:val="en-US" w:eastAsia="zh-CN"/>
              </w:rPr>
              <w:t>和</w:t>
            </w:r>
            <w:r>
              <w:rPr>
                <w:rFonts w:hint="eastAsia" w:ascii="宋体" w:hAnsi="宋体" w:eastAsia="宋体" w:cs="宋体"/>
                <w:sz w:val="24"/>
                <w:szCs w:val="24"/>
                <w:highlight w:val="none"/>
                <w:lang w:val="zh-CN" w:eastAsia="zh-CN"/>
              </w:rPr>
              <w:t>管理培训方案。</w:t>
            </w:r>
            <w:r>
              <w:rPr>
                <w:rFonts w:hint="eastAsia" w:ascii="宋体" w:hAnsi="宋体" w:eastAsia="宋体" w:cs="宋体"/>
                <w:sz w:val="24"/>
                <w:szCs w:val="24"/>
                <w:highlight w:val="none"/>
                <w:lang w:val="en-US" w:eastAsia="zh-CN"/>
              </w:rPr>
              <w:t>共两项，每项</w:t>
            </w:r>
            <w:r>
              <w:rPr>
                <w:rFonts w:hint="eastAsia" w:cs="宋体"/>
                <w:sz w:val="24"/>
                <w:szCs w:val="24"/>
                <w:highlight w:val="none"/>
                <w:lang w:val="en-US" w:eastAsia="zh-CN"/>
              </w:rPr>
              <w:t>3</w:t>
            </w:r>
            <w:r>
              <w:rPr>
                <w:rFonts w:hint="eastAsia" w:ascii="宋体" w:hAnsi="宋体" w:eastAsia="宋体" w:cs="宋体"/>
                <w:sz w:val="24"/>
                <w:szCs w:val="24"/>
                <w:highlight w:val="none"/>
                <w:lang w:val="zh-CN" w:eastAsia="zh-CN"/>
              </w:rPr>
              <w:t>分（</w:t>
            </w:r>
            <w:r>
              <w:rPr>
                <w:rFonts w:hint="eastAsia" w:ascii="宋体" w:hAnsi="宋体" w:eastAsia="宋体" w:cs="宋体"/>
                <w:sz w:val="24"/>
                <w:szCs w:val="24"/>
                <w:highlight w:val="none"/>
                <w:lang w:val="en-US" w:eastAsia="zh-CN"/>
              </w:rPr>
              <w:t>0-</w:t>
            </w:r>
            <w:r>
              <w:rPr>
                <w:rFonts w:hint="eastAsia" w:cs="宋体"/>
                <w:sz w:val="24"/>
                <w:szCs w:val="24"/>
                <w:highlight w:val="none"/>
                <w:lang w:val="en-US" w:eastAsia="zh-CN"/>
              </w:rPr>
              <w:t>6</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lang w:val="zh-CN" w:eastAsia="zh-CN"/>
              </w:rPr>
              <w:t>）。</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zh-CN"/>
              </w:rPr>
            </w:pPr>
            <w:r>
              <w:rPr>
                <w:rFonts w:hint="eastAsia" w:cs="宋体"/>
                <w:sz w:val="24"/>
                <w:szCs w:val="24"/>
                <w:highlight w:val="none"/>
                <w:lang w:val="en-US" w:eastAsia="zh-CN"/>
              </w:rPr>
              <w:t>4</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en-US" w:eastAsia="zh-CN"/>
              </w:rPr>
              <w:t>应</w:t>
            </w:r>
            <w:r>
              <w:rPr>
                <w:rFonts w:hint="eastAsia" w:ascii="宋体" w:hAnsi="宋体" w:eastAsia="宋体" w:cs="宋体"/>
                <w:sz w:val="24"/>
                <w:szCs w:val="24"/>
                <w:highlight w:val="none"/>
                <w:lang w:val="zh-CN"/>
              </w:rPr>
              <w:t>急预案，针对各种突发情况的应急处理方案。（</w:t>
            </w:r>
            <w:r>
              <w:rPr>
                <w:rFonts w:hint="eastAsia" w:ascii="宋体" w:hAnsi="宋体" w:eastAsia="宋体" w:cs="宋体"/>
                <w:sz w:val="24"/>
                <w:szCs w:val="24"/>
                <w:highlight w:val="none"/>
                <w:lang w:val="en-US" w:eastAsia="zh-CN"/>
              </w:rPr>
              <w:t>0-</w:t>
            </w:r>
            <w:r>
              <w:rPr>
                <w:rFonts w:hint="eastAsia" w:cs="宋体"/>
                <w:sz w:val="24"/>
                <w:szCs w:val="24"/>
                <w:highlight w:val="none"/>
                <w:lang w:val="en-US" w:eastAsia="zh-CN"/>
              </w:rPr>
              <w:t>4</w:t>
            </w:r>
            <w:r>
              <w:rPr>
                <w:rFonts w:hint="eastAsia" w:ascii="宋体" w:hAnsi="宋体" w:eastAsia="宋体" w:cs="宋体"/>
                <w:sz w:val="24"/>
                <w:szCs w:val="24"/>
                <w:highlight w:val="none"/>
                <w:lang w:val="zh-CN"/>
              </w:rPr>
              <w:t>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zh-CN"/>
              </w:rPr>
            </w:pPr>
            <w:r>
              <w:rPr>
                <w:rFonts w:hint="eastAsia" w:cs="宋体"/>
                <w:sz w:val="24"/>
                <w:szCs w:val="24"/>
                <w:highlight w:val="none"/>
                <w:lang w:val="en-US" w:eastAsia="zh-CN"/>
              </w:rPr>
              <w:t>5</w:t>
            </w:r>
            <w:r>
              <w:rPr>
                <w:rFonts w:hint="eastAsia" w:ascii="宋体" w:hAnsi="宋体" w:eastAsia="宋体" w:cs="宋体"/>
                <w:sz w:val="24"/>
                <w:szCs w:val="24"/>
                <w:highlight w:val="none"/>
                <w:lang w:val="zh-CN"/>
              </w:rPr>
              <w:t>、设施巡查及维护方案。（</w:t>
            </w:r>
            <w:r>
              <w:rPr>
                <w:rFonts w:hint="eastAsia" w:ascii="宋体" w:hAnsi="宋体" w:eastAsia="宋体" w:cs="宋体"/>
                <w:sz w:val="24"/>
                <w:szCs w:val="24"/>
                <w:highlight w:val="none"/>
                <w:lang w:val="en-US" w:eastAsia="zh-CN"/>
              </w:rPr>
              <w:t>0-</w:t>
            </w:r>
            <w:r>
              <w:rPr>
                <w:rFonts w:hint="eastAsia" w:cs="宋体"/>
                <w:sz w:val="24"/>
                <w:szCs w:val="24"/>
                <w:highlight w:val="none"/>
                <w:lang w:val="en-US" w:eastAsia="zh-CN"/>
              </w:rPr>
              <w:t>4</w:t>
            </w:r>
            <w:r>
              <w:rPr>
                <w:rFonts w:hint="eastAsia" w:ascii="宋体" w:hAnsi="宋体" w:eastAsia="宋体" w:cs="宋体"/>
                <w:sz w:val="24"/>
                <w:szCs w:val="24"/>
                <w:highlight w:val="none"/>
                <w:lang w:val="zh-CN"/>
              </w:rPr>
              <w:t>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val="zh-CN" w:eastAsia="zh-CN"/>
              </w:rPr>
              <w:t>突击性任务应急方案及人员安排及其保障措施（</w:t>
            </w:r>
            <w:r>
              <w:rPr>
                <w:rFonts w:hint="eastAsia" w:ascii="宋体" w:hAnsi="宋体" w:eastAsia="宋体" w:cs="宋体"/>
                <w:sz w:val="24"/>
                <w:szCs w:val="24"/>
                <w:highlight w:val="none"/>
                <w:lang w:val="en-US" w:eastAsia="zh-CN"/>
              </w:rPr>
              <w:t>0-</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分）</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宋体" w:hAnsi="宋体" w:eastAsia="宋体" w:cs="宋体"/>
                <w:snapToGrid w:val="0"/>
                <w:color w:val="auto"/>
                <w:kern w:val="1"/>
                <w:sz w:val="24"/>
                <w:szCs w:val="24"/>
                <w:highlight w:val="none"/>
                <w:lang w:val="en-US" w:eastAsia="zh-CN" w:bidi="ar-SA"/>
              </w:rPr>
            </w:pPr>
            <w:r>
              <w:rPr>
                <w:rFonts w:hint="eastAsia" w:cs="宋体"/>
                <w:snapToGrid w:val="0"/>
                <w:color w:val="auto"/>
                <w:kern w:val="1"/>
                <w:sz w:val="24"/>
                <w:szCs w:val="24"/>
                <w:highlight w:val="none"/>
                <w:lang w:val="en-US" w:eastAsia="zh-CN" w:bidi="ar-SA"/>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1191" w:hRule="exact"/>
        </w:trPr>
        <w:tc>
          <w:tcPr>
            <w:tcW w:w="766" w:type="dxa"/>
            <w:tcBorders>
              <w:top w:val="nil"/>
              <w:left w:val="single" w:color="auto" w:sz="4" w:space="0"/>
              <w:bottom w:val="nil"/>
              <w:right w:val="single" w:color="auto" w:sz="4" w:space="0"/>
            </w:tcBorders>
            <w:noWrap w:val="0"/>
            <w:tcMar>
              <w:top w:w="142" w:type="dxa"/>
              <w:left w:w="113" w:type="dxa"/>
              <w:bottom w:w="142" w:type="dxa"/>
              <w:right w:w="113" w:type="dxa"/>
            </w:tcMar>
            <w:textDirection w:val="tbLrV"/>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eastAsia" w:ascii="宋体" w:hAnsi="宋体" w:eastAsia="宋体" w:cs="宋体"/>
                <w:snapToGrid w:val="0"/>
                <w:color w:val="auto"/>
                <w:kern w:val="0"/>
                <w:sz w:val="24"/>
                <w:szCs w:val="24"/>
                <w:lang w:val="zh-CN"/>
              </w:rPr>
            </w:pPr>
          </w:p>
        </w:tc>
        <w:tc>
          <w:tcPr>
            <w:tcW w:w="1233" w:type="dxa"/>
            <w:tcBorders>
              <w:top w:val="single" w:color="auto" w:sz="4" w:space="0"/>
              <w:left w:val="single" w:color="auto" w:sz="4" w:space="0"/>
              <w:bottom w:val="single" w:color="auto" w:sz="4" w:space="0"/>
              <w:right w:val="single" w:color="auto" w:sz="4" w:space="0"/>
            </w:tcBorders>
            <w:noWrap w:val="0"/>
            <w:tcMar>
              <w:top w:w="142" w:type="dxa"/>
              <w:left w:w="113" w:type="dxa"/>
              <w:bottom w:w="142" w:type="dxa"/>
              <w:right w:w="113" w:type="dxa"/>
            </w:tcMar>
            <w:vAlign w:val="center"/>
          </w:tcPr>
          <w:p>
            <w:pPr>
              <w:keepNext w:val="0"/>
              <w:keepLines w:val="0"/>
              <w:pageBreakBefore w:val="0"/>
              <w:widowControl/>
              <w:kinsoku/>
              <w:wordWrap/>
              <w:topLinePunct w:val="0"/>
              <w:autoSpaceDE/>
              <w:autoSpaceDN/>
              <w:bidi w:val="0"/>
              <w:snapToGrid w:val="0"/>
              <w:spacing w:line="240" w:lineRule="auto"/>
              <w:ind w:firstLine="0" w:firstLineChars="0"/>
              <w:jc w:val="left"/>
              <w:textAlignment w:val="center"/>
              <w:rPr>
                <w:rFonts w:hint="eastAsia" w:ascii="宋体" w:hAnsi="宋体" w:eastAsia="宋体" w:cs="宋体"/>
                <w:snapToGrid/>
                <w:kern w:val="2"/>
                <w:sz w:val="24"/>
                <w:szCs w:val="24"/>
                <w:lang w:val="zh-CN" w:eastAsia="zh-CN"/>
              </w:rPr>
            </w:pPr>
            <w:r>
              <w:rPr>
                <w:rFonts w:hint="eastAsia" w:ascii="宋体" w:hAnsi="宋体" w:eastAsia="宋体" w:cs="宋体"/>
                <w:sz w:val="24"/>
                <w:szCs w:val="24"/>
                <w:lang w:val="zh-CN"/>
              </w:rPr>
              <w:t>项目重难点分析及解决方案</w:t>
            </w:r>
          </w:p>
        </w:tc>
        <w:tc>
          <w:tcPr>
            <w:tcW w:w="7754" w:type="dxa"/>
            <w:tcBorders>
              <w:top w:val="single" w:color="auto" w:sz="4" w:space="0"/>
              <w:left w:val="single" w:color="auto" w:sz="4" w:space="0"/>
              <w:bottom w:val="single" w:color="auto" w:sz="4" w:space="0"/>
            </w:tcBorders>
            <w:noWrap w:val="0"/>
            <w:tcMar>
              <w:top w:w="142" w:type="dxa"/>
              <w:left w:w="113" w:type="dxa"/>
              <w:bottom w:w="142" w:type="dxa"/>
              <w:right w:w="113" w:type="dxa"/>
            </w:tcMar>
            <w:vAlign w:val="center"/>
          </w:tcPr>
          <w:p>
            <w:pPr>
              <w:keepNext w:val="0"/>
              <w:keepLines w:val="0"/>
              <w:pageBreakBefore w:val="0"/>
              <w:widowControl/>
              <w:kinsoku/>
              <w:wordWrap/>
              <w:topLinePunct w:val="0"/>
              <w:autoSpaceDE/>
              <w:autoSpaceDN/>
              <w:bidi w:val="0"/>
              <w:snapToGrid w:val="0"/>
              <w:spacing w:line="240" w:lineRule="auto"/>
              <w:ind w:firstLine="0" w:firstLineChars="0"/>
              <w:jc w:val="left"/>
              <w:textAlignment w:val="center"/>
              <w:rPr>
                <w:rFonts w:hint="eastAsia" w:ascii="宋体" w:hAnsi="宋体" w:eastAsia="宋体" w:cs="宋体"/>
                <w:snapToGrid/>
                <w:kern w:val="2"/>
                <w:sz w:val="24"/>
                <w:szCs w:val="24"/>
                <w:lang w:val="zh-CN" w:eastAsia="zh-CN"/>
              </w:rPr>
            </w:pPr>
            <w:r>
              <w:rPr>
                <w:rFonts w:hint="eastAsia" w:cs="宋体"/>
                <w:sz w:val="24"/>
                <w:szCs w:val="24"/>
                <w:lang w:val="en-US" w:eastAsia="zh-CN"/>
              </w:rPr>
              <w:t>结合本</w:t>
            </w:r>
            <w:r>
              <w:rPr>
                <w:rFonts w:hint="eastAsia" w:ascii="宋体" w:hAnsi="宋体" w:eastAsia="宋体" w:cs="宋体"/>
                <w:sz w:val="24"/>
                <w:szCs w:val="24"/>
                <w:lang w:val="zh-CN"/>
              </w:rPr>
              <w:t>项</w:t>
            </w:r>
            <w:r>
              <w:rPr>
                <w:rFonts w:hint="eastAsia" w:ascii="宋体" w:hAnsi="宋体" w:eastAsia="宋体" w:cs="宋体"/>
                <w:color w:val="auto"/>
                <w:sz w:val="24"/>
                <w:szCs w:val="24"/>
                <w:highlight w:val="none"/>
                <w:lang w:val="zh-CN"/>
              </w:rPr>
              <w:t>目</w:t>
            </w:r>
            <w:r>
              <w:rPr>
                <w:rFonts w:hint="eastAsia" w:cs="宋体"/>
                <w:color w:val="auto"/>
                <w:sz w:val="24"/>
                <w:szCs w:val="24"/>
                <w:highlight w:val="none"/>
                <w:lang w:val="en-US" w:eastAsia="zh-CN"/>
              </w:rPr>
              <w:t>公路</w:t>
            </w:r>
            <w:r>
              <w:rPr>
                <w:rFonts w:hint="eastAsia" w:ascii="宋体" w:hAnsi="宋体" w:eastAsia="宋体" w:cs="宋体"/>
                <w:color w:val="auto"/>
                <w:sz w:val="24"/>
                <w:szCs w:val="24"/>
                <w:highlight w:val="none"/>
                <w:lang w:val="zh-CN"/>
              </w:rPr>
              <w:t>的</w:t>
            </w:r>
            <w:r>
              <w:rPr>
                <w:rFonts w:hint="eastAsia" w:ascii="宋体" w:hAnsi="宋体" w:eastAsia="宋体" w:cs="宋体"/>
                <w:sz w:val="24"/>
                <w:szCs w:val="24"/>
                <w:lang w:val="zh-CN"/>
              </w:rPr>
              <w:t>绿化养护现状</w:t>
            </w:r>
            <w:r>
              <w:rPr>
                <w:rFonts w:hint="eastAsia" w:cs="宋体"/>
                <w:sz w:val="24"/>
                <w:szCs w:val="24"/>
                <w:lang w:val="en-US" w:eastAsia="zh-CN"/>
              </w:rPr>
              <w:t>和</w:t>
            </w:r>
            <w:r>
              <w:rPr>
                <w:rFonts w:hint="eastAsia" w:ascii="宋体" w:hAnsi="宋体" w:eastAsia="宋体" w:cs="宋体"/>
                <w:sz w:val="24"/>
                <w:szCs w:val="24"/>
                <w:lang w:val="zh-CN"/>
              </w:rPr>
              <w:t>存在问题</w:t>
            </w:r>
            <w:r>
              <w:rPr>
                <w:rFonts w:hint="eastAsia" w:cs="宋体"/>
                <w:sz w:val="24"/>
                <w:szCs w:val="24"/>
                <w:lang w:val="zh-CN"/>
              </w:rPr>
              <w:t>，</w:t>
            </w:r>
            <w:r>
              <w:rPr>
                <w:rFonts w:hint="eastAsia" w:cs="宋体"/>
                <w:sz w:val="24"/>
                <w:szCs w:val="24"/>
                <w:lang w:val="en-US" w:eastAsia="zh-CN"/>
              </w:rPr>
              <w:t>逐月提出养护计划、重点工作，</w:t>
            </w:r>
            <w:r>
              <w:rPr>
                <w:rFonts w:hint="eastAsia" w:ascii="宋体" w:hAnsi="宋体" w:eastAsia="宋体" w:cs="宋体"/>
                <w:sz w:val="24"/>
                <w:szCs w:val="24"/>
                <w:lang w:val="zh-CN"/>
              </w:rPr>
              <w:t>并针对性地提出合理化的建议和解决方案。</w:t>
            </w:r>
            <w:r>
              <w:rPr>
                <w:rFonts w:hint="eastAsia" w:cs="宋体"/>
                <w:sz w:val="24"/>
                <w:szCs w:val="24"/>
                <w:lang w:val="zh-CN"/>
              </w:rPr>
              <w:t>（</w:t>
            </w:r>
            <w:r>
              <w:rPr>
                <w:rFonts w:hint="eastAsia" w:cs="宋体"/>
                <w:sz w:val="24"/>
                <w:szCs w:val="24"/>
                <w:lang w:val="en-US" w:eastAsia="zh-CN"/>
              </w:rPr>
              <w:t>0-6分</w:t>
            </w:r>
            <w:r>
              <w:rPr>
                <w:rFonts w:hint="eastAsia" w:cs="宋体"/>
                <w:sz w:val="24"/>
                <w:szCs w:val="24"/>
                <w:lang w:val="zh-CN"/>
              </w:rPr>
              <w:t>）</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宋体" w:hAnsi="宋体" w:eastAsia="宋体" w:cs="宋体"/>
                <w:snapToGrid w:val="0"/>
                <w:color w:val="auto"/>
                <w:kern w:val="0"/>
                <w:sz w:val="24"/>
                <w:szCs w:val="24"/>
                <w:lang w:val="en-US" w:eastAsia="zh-CN"/>
              </w:rPr>
            </w:pPr>
            <w:r>
              <w:rPr>
                <w:rFonts w:hint="eastAsia" w:cs="宋体"/>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10" w:hRule="atLeast"/>
        </w:trPr>
        <w:tc>
          <w:tcPr>
            <w:tcW w:w="9753" w:type="dxa"/>
            <w:gridSpan w:val="3"/>
            <w:noWrap w:val="0"/>
            <w:tcMar>
              <w:top w:w="142" w:type="dxa"/>
              <w:left w:w="113" w:type="dxa"/>
              <w:bottom w:w="142" w:type="dxa"/>
              <w:right w:w="113" w:type="dxa"/>
            </w:tcMar>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firstLine="0" w:firstLineChars="0"/>
              <w:jc w:val="center"/>
              <w:textAlignment w:val="center"/>
              <w:rPr>
                <w:rFonts w:hint="eastAsia" w:ascii="宋体" w:hAnsi="宋体" w:eastAsia="宋体" w:cs="宋体"/>
                <w:b w:val="0"/>
                <w:bCs w:val="0"/>
                <w:snapToGrid w:val="0"/>
                <w:color w:val="auto"/>
                <w:kern w:val="0"/>
                <w:sz w:val="24"/>
                <w:szCs w:val="24"/>
                <w:lang w:val="en-US" w:eastAsia="zh-CN"/>
              </w:rPr>
            </w:pPr>
            <w:r>
              <w:rPr>
                <w:rFonts w:hint="eastAsia" w:ascii="宋体" w:hAnsi="宋体" w:eastAsia="宋体" w:cs="宋体"/>
                <w:b w:val="0"/>
                <w:bCs w:val="0"/>
                <w:snapToGrid w:val="0"/>
                <w:color w:val="auto"/>
                <w:kern w:val="0"/>
                <w:sz w:val="24"/>
                <w:szCs w:val="24"/>
                <w:lang w:val="zh-CN"/>
              </w:rPr>
              <w:t>合</w:t>
            </w:r>
            <w:r>
              <w:rPr>
                <w:rFonts w:hint="eastAsia" w:ascii="宋体" w:hAnsi="宋体" w:eastAsia="宋体" w:cs="宋体"/>
                <w:b w:val="0"/>
                <w:bCs w:val="0"/>
                <w:snapToGrid w:val="0"/>
                <w:color w:val="auto"/>
                <w:kern w:val="0"/>
                <w:sz w:val="24"/>
                <w:szCs w:val="24"/>
                <w:lang w:val="en-US" w:eastAsia="zh-CN"/>
              </w:rPr>
              <w:t xml:space="preserve">  </w:t>
            </w:r>
            <w:r>
              <w:rPr>
                <w:rFonts w:hint="eastAsia" w:ascii="宋体" w:hAnsi="宋体" w:eastAsia="宋体" w:cs="宋体"/>
                <w:b w:val="0"/>
                <w:bCs w:val="0"/>
                <w:snapToGrid w:val="0"/>
                <w:color w:val="auto"/>
                <w:kern w:val="0"/>
                <w:sz w:val="24"/>
                <w:szCs w:val="24"/>
                <w:lang w:val="zh-CN"/>
              </w:rPr>
              <w:t>计</w:t>
            </w:r>
          </w:p>
        </w:tc>
        <w:tc>
          <w:tcPr>
            <w:tcW w:w="864" w:type="dxa"/>
            <w:noWrap w:val="0"/>
            <w:tcMar>
              <w:top w:w="142" w:type="dxa"/>
              <w:left w:w="113" w:type="dxa"/>
              <w:bottom w:w="142" w:type="dxa"/>
              <w:right w:w="113" w:type="dxa"/>
            </w:tcMar>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firstLine="0" w:firstLineChars="0"/>
              <w:jc w:val="center"/>
              <w:textAlignment w:val="center"/>
              <w:rPr>
                <w:rFonts w:hint="eastAsia" w:ascii="宋体" w:hAnsi="宋体" w:eastAsia="宋体" w:cs="宋体"/>
                <w:b w:val="0"/>
                <w:bCs w:val="0"/>
                <w:snapToGrid w:val="0"/>
                <w:color w:val="auto"/>
                <w:kern w:val="0"/>
                <w:sz w:val="24"/>
                <w:szCs w:val="24"/>
                <w:lang w:val="en-US" w:eastAsia="zh-CN"/>
              </w:rPr>
            </w:pPr>
            <w:r>
              <w:rPr>
                <w:rFonts w:hint="eastAsia" w:ascii="宋体" w:hAnsi="宋体" w:eastAsia="宋体" w:cs="宋体"/>
                <w:b w:val="0"/>
                <w:bCs w:val="0"/>
                <w:snapToGrid w:val="0"/>
                <w:color w:val="auto"/>
                <w:kern w:val="0"/>
                <w:sz w:val="24"/>
                <w:szCs w:val="24"/>
                <w:lang w:val="en-US" w:eastAsia="zh-CN"/>
              </w:rPr>
              <w:t>100</w:t>
            </w:r>
          </w:p>
        </w:tc>
      </w:tr>
    </w:tbl>
    <w:p>
      <w:pPr>
        <w:pStyle w:val="45"/>
        <w:keepNext w:val="0"/>
        <w:keepLines w:val="0"/>
        <w:pageBreakBefore w:val="0"/>
        <w:widowControl w:val="0"/>
        <w:tabs>
          <w:tab w:val="left" w:pos="0"/>
        </w:tabs>
        <w:kinsoku/>
        <w:wordWrap/>
        <w:overflowPunct/>
        <w:topLinePunct w:val="0"/>
        <w:autoSpaceDE/>
        <w:autoSpaceDN/>
        <w:bidi w:val="0"/>
        <w:adjustRightInd w:val="0"/>
        <w:snapToGrid w:val="0"/>
        <w:spacing w:before="220" w:beforeLines="50" w:line="312" w:lineRule="auto"/>
        <w:ind w:left="0" w:leftChars="0" w:firstLine="0" w:firstLineChars="0"/>
        <w:textAlignment w:val="auto"/>
        <w:outlineLvl w:val="1"/>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一</w:t>
      </w:r>
      <w:r>
        <w:rPr>
          <w:rFonts w:hint="eastAsia" w:ascii="宋体" w:hAnsi="宋体" w:eastAsia="宋体" w:cs="宋体"/>
          <w:b/>
          <w:bCs/>
          <w:sz w:val="24"/>
          <w:szCs w:val="24"/>
        </w:rPr>
        <w:t>、投标或中标无效情形</w:t>
      </w:r>
      <w:bookmarkEnd w:id="229"/>
    </w:p>
    <w:p>
      <w:pPr>
        <w:pStyle w:val="45"/>
        <w:keepNext w:val="0"/>
        <w:keepLines w:val="0"/>
        <w:pageBreakBefore w:val="0"/>
        <w:widowControl w:val="0"/>
        <w:tabs>
          <w:tab w:val="left" w:pos="420"/>
        </w:tabs>
        <w:kinsoku/>
        <w:wordWrap/>
        <w:overflowPunct/>
        <w:topLinePunct w:val="0"/>
        <w:autoSpaceDE/>
        <w:autoSpaceDN/>
        <w:bidi w:val="0"/>
        <w:adjustRightInd w:val="0"/>
        <w:snapToGrid w:val="0"/>
        <w:spacing w:line="312" w:lineRule="auto"/>
        <w:ind w:firstLine="482" w:firstLineChars="0"/>
        <w:textAlignment w:val="auto"/>
        <w:rPr>
          <w:color w:val="auto"/>
          <w:sz w:val="24"/>
          <w:szCs w:val="24"/>
        </w:rPr>
      </w:pPr>
      <w:bookmarkStart w:id="230" w:name="_Toc15986"/>
      <w:r>
        <w:rPr>
          <w:rFonts w:hint="eastAsia"/>
          <w:color w:val="auto"/>
          <w:sz w:val="24"/>
          <w:szCs w:val="24"/>
        </w:rPr>
        <w:t>招标采购中，有下列情形之一的，投标或中标无效：</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不符合本次采购投标人资格要求的；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提供虚假材料及证明文件的；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未按招标文件要求签章的；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本招标文件载明属无效处理情形的；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投标文件含有采购人不能接受的附加条件的；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中标供应商无正当理由拖延或者不与采购人签订采购合同的；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本招标文件提出要求响应而未响应实质性条款（带▲号）的，或评标委员会认定有重大偏离或保留的；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bCs/>
          <w:color w:val="auto"/>
          <w:sz w:val="24"/>
          <w:szCs w:val="24"/>
          <w:lang w:eastAsia="zh-CN"/>
        </w:rPr>
      </w:pPr>
      <w:r>
        <w:rPr>
          <w:rFonts w:hint="eastAsia"/>
          <w:bCs/>
          <w:color w:val="auto"/>
          <w:sz w:val="24"/>
          <w:szCs w:val="24"/>
          <w:lang w:eastAsia="zh-CN"/>
        </w:rPr>
        <w:t>要求资格性文件、实质性响应文件提供原件扫描件，而未提供的；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bCs/>
          <w:color w:val="auto"/>
          <w:sz w:val="24"/>
          <w:szCs w:val="24"/>
          <w:lang w:eastAsia="zh-CN"/>
        </w:rPr>
      </w:pPr>
      <w:r>
        <w:rPr>
          <w:rFonts w:hint="eastAsia"/>
          <w:bCs/>
          <w:color w:val="auto"/>
          <w:sz w:val="24"/>
          <w:szCs w:val="24"/>
          <w:lang w:eastAsia="zh-CN"/>
        </w:rPr>
        <w:t>投标文件应盖章而未盖章的、应有法定代表人或授权代理人签字而未签或漏签字的；</w:t>
      </w:r>
    </w:p>
    <w:p>
      <w:pPr>
        <w:pStyle w:val="120"/>
        <w:keepNext w:val="0"/>
        <w:keepLines w:val="0"/>
        <w:pageBreakBefore w:val="0"/>
        <w:widowControl w:val="0"/>
        <w:numPr>
          <w:ilvl w:val="0"/>
          <w:numId w:val="21"/>
        </w:numPr>
        <w:kinsoku/>
        <w:wordWrap/>
        <w:overflowPunct/>
        <w:topLinePunct w:val="0"/>
        <w:autoSpaceDE/>
        <w:autoSpaceDN/>
        <w:bidi w:val="0"/>
        <w:adjustRightInd w:val="0"/>
        <w:snapToGrid w:val="0"/>
        <w:spacing w:line="312" w:lineRule="auto"/>
        <w:ind w:left="0" w:firstLine="482"/>
        <w:jc w:val="both"/>
        <w:textAlignment w:val="auto"/>
        <w:rPr>
          <w:color w:val="auto"/>
          <w:sz w:val="24"/>
          <w:szCs w:val="24"/>
          <w:lang w:eastAsia="zh-CN"/>
        </w:rPr>
      </w:pPr>
      <w:r>
        <w:rPr>
          <w:rFonts w:hint="eastAsia"/>
          <w:color w:val="auto"/>
          <w:sz w:val="24"/>
          <w:szCs w:val="24"/>
          <w:lang w:eastAsia="zh-CN"/>
        </w:rPr>
        <w:t>不符合法律、法规和招标文件规定的其他实质性要求和无效情形的。</w:t>
      </w:r>
    </w:p>
    <w:p>
      <w:pPr>
        <w:pStyle w:val="45"/>
        <w:keepNext w:val="0"/>
        <w:keepLines w:val="0"/>
        <w:pageBreakBefore w:val="0"/>
        <w:widowControl w:val="0"/>
        <w:tabs>
          <w:tab w:val="left" w:pos="0"/>
        </w:tabs>
        <w:kinsoku/>
        <w:bidi w:val="0"/>
        <w:adjustRightInd w:val="0"/>
        <w:snapToGrid w:val="0"/>
        <w:spacing w:line="312" w:lineRule="auto"/>
        <w:ind w:firstLine="482" w:firstLineChars="0"/>
        <w:outlineLvl w:val="1"/>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二</w:t>
      </w:r>
      <w:r>
        <w:rPr>
          <w:rFonts w:hint="eastAsia" w:ascii="宋体" w:hAnsi="宋体" w:eastAsia="宋体" w:cs="宋体"/>
          <w:b/>
          <w:bCs/>
          <w:sz w:val="24"/>
          <w:szCs w:val="24"/>
        </w:rPr>
        <w:t>、串通投标情形</w:t>
      </w:r>
      <w:bookmarkEnd w:id="230"/>
    </w:p>
    <w:p>
      <w:pPr>
        <w:pStyle w:val="45"/>
        <w:keepNext w:val="0"/>
        <w:keepLines w:val="0"/>
        <w:pageBreakBefore w:val="0"/>
        <w:widowControl w:val="0"/>
        <w:tabs>
          <w:tab w:val="left" w:pos="420"/>
        </w:tabs>
        <w:kinsoku/>
        <w:bidi w:val="0"/>
        <w:adjustRightInd w:val="0"/>
        <w:snapToGrid w:val="0"/>
        <w:spacing w:line="312" w:lineRule="auto"/>
        <w:ind w:firstLine="482" w:firstLineChars="0"/>
        <w:rPr>
          <w:rFonts w:hint="eastAsia" w:ascii="宋体" w:hAnsi="宋体" w:eastAsia="宋体" w:cs="宋体"/>
          <w:sz w:val="24"/>
          <w:szCs w:val="24"/>
        </w:rPr>
      </w:pPr>
      <w:r>
        <w:rPr>
          <w:rFonts w:hint="eastAsia" w:ascii="宋体" w:hAnsi="宋体" w:eastAsia="宋体" w:cs="宋体"/>
          <w:sz w:val="24"/>
          <w:szCs w:val="24"/>
        </w:rPr>
        <w:t>招标采购中，有下列情形之一的，视为投标人串通投标，其投标无效：</w:t>
      </w:r>
    </w:p>
    <w:p>
      <w:pPr>
        <w:pStyle w:val="45"/>
        <w:keepNext w:val="0"/>
        <w:keepLines w:val="0"/>
        <w:pageBreakBefore w:val="0"/>
        <w:widowControl w:val="0"/>
        <w:numPr>
          <w:ilvl w:val="0"/>
          <w:numId w:val="22"/>
        </w:numPr>
        <w:tabs>
          <w:tab w:val="left" w:pos="420"/>
          <w:tab w:val="clear" w:pos="0"/>
        </w:tabs>
        <w:kinsoku/>
        <w:bidi w:val="0"/>
        <w:adjustRightInd w:val="0"/>
        <w:snapToGrid w:val="0"/>
        <w:spacing w:line="312" w:lineRule="auto"/>
        <w:ind w:left="0" w:firstLine="482" w:firstLineChars="0"/>
        <w:rPr>
          <w:rFonts w:hint="eastAsia" w:ascii="宋体" w:hAnsi="宋体" w:eastAsia="宋体" w:cs="宋体"/>
          <w:sz w:val="24"/>
          <w:szCs w:val="24"/>
        </w:rPr>
      </w:pPr>
      <w:r>
        <w:rPr>
          <w:rFonts w:hint="eastAsia" w:ascii="宋体" w:hAnsi="宋体" w:eastAsia="宋体" w:cs="宋体"/>
          <w:sz w:val="24"/>
          <w:szCs w:val="24"/>
        </w:rPr>
        <w:t>不同投标人的投标文件由同一单位或者个人编制；</w:t>
      </w:r>
    </w:p>
    <w:p>
      <w:pPr>
        <w:pStyle w:val="45"/>
        <w:keepNext w:val="0"/>
        <w:keepLines w:val="0"/>
        <w:pageBreakBefore w:val="0"/>
        <w:widowControl w:val="0"/>
        <w:numPr>
          <w:ilvl w:val="0"/>
          <w:numId w:val="22"/>
        </w:numPr>
        <w:tabs>
          <w:tab w:val="left" w:pos="420"/>
          <w:tab w:val="clear" w:pos="0"/>
        </w:tabs>
        <w:kinsoku/>
        <w:bidi w:val="0"/>
        <w:adjustRightInd w:val="0"/>
        <w:snapToGrid w:val="0"/>
        <w:spacing w:line="312" w:lineRule="auto"/>
        <w:ind w:left="0" w:firstLine="482" w:firstLineChars="0"/>
        <w:rPr>
          <w:rFonts w:hint="eastAsia" w:ascii="宋体" w:hAnsi="宋体" w:eastAsia="宋体" w:cs="宋体"/>
          <w:sz w:val="24"/>
          <w:szCs w:val="24"/>
        </w:rPr>
      </w:pPr>
      <w:r>
        <w:rPr>
          <w:rFonts w:hint="eastAsia" w:ascii="宋体" w:hAnsi="宋体" w:eastAsia="宋体" w:cs="宋体"/>
          <w:sz w:val="24"/>
          <w:szCs w:val="24"/>
        </w:rPr>
        <w:t>不同投标人委托同一单位或者个人办理投标事宜；</w:t>
      </w:r>
    </w:p>
    <w:p>
      <w:pPr>
        <w:pStyle w:val="45"/>
        <w:keepNext w:val="0"/>
        <w:keepLines w:val="0"/>
        <w:pageBreakBefore w:val="0"/>
        <w:widowControl w:val="0"/>
        <w:numPr>
          <w:ilvl w:val="0"/>
          <w:numId w:val="22"/>
        </w:numPr>
        <w:tabs>
          <w:tab w:val="left" w:pos="420"/>
          <w:tab w:val="clear" w:pos="0"/>
        </w:tabs>
        <w:kinsoku/>
        <w:bidi w:val="0"/>
        <w:adjustRightInd w:val="0"/>
        <w:snapToGrid w:val="0"/>
        <w:spacing w:line="312" w:lineRule="auto"/>
        <w:ind w:left="0" w:firstLine="482" w:firstLineChars="0"/>
        <w:rPr>
          <w:rFonts w:hint="eastAsia" w:ascii="宋体" w:hAnsi="宋体" w:eastAsia="宋体" w:cs="宋体"/>
          <w:sz w:val="24"/>
          <w:szCs w:val="24"/>
        </w:rPr>
      </w:pPr>
      <w:r>
        <w:rPr>
          <w:rFonts w:hint="eastAsia" w:ascii="宋体" w:hAnsi="宋体" w:eastAsia="宋体" w:cs="宋体"/>
          <w:sz w:val="24"/>
          <w:szCs w:val="24"/>
        </w:rPr>
        <w:t>不同投标人的投标文件载明的项目管理成员或者联系人员为同一人；</w:t>
      </w:r>
    </w:p>
    <w:p>
      <w:pPr>
        <w:pStyle w:val="45"/>
        <w:keepNext w:val="0"/>
        <w:keepLines w:val="0"/>
        <w:pageBreakBefore w:val="0"/>
        <w:widowControl w:val="0"/>
        <w:numPr>
          <w:ilvl w:val="0"/>
          <w:numId w:val="22"/>
        </w:numPr>
        <w:tabs>
          <w:tab w:val="left" w:pos="420"/>
          <w:tab w:val="clear" w:pos="0"/>
        </w:tabs>
        <w:kinsoku/>
        <w:bidi w:val="0"/>
        <w:adjustRightInd w:val="0"/>
        <w:snapToGrid w:val="0"/>
        <w:spacing w:line="312" w:lineRule="auto"/>
        <w:ind w:left="0" w:firstLine="482" w:firstLineChars="0"/>
        <w:rPr>
          <w:rFonts w:hint="eastAsia" w:ascii="宋体" w:hAnsi="宋体" w:eastAsia="宋体" w:cs="宋体"/>
          <w:sz w:val="24"/>
          <w:szCs w:val="24"/>
        </w:rPr>
      </w:pPr>
      <w:r>
        <w:rPr>
          <w:rFonts w:hint="eastAsia" w:ascii="宋体" w:hAnsi="宋体" w:eastAsia="宋体" w:cs="宋体"/>
          <w:sz w:val="24"/>
          <w:szCs w:val="24"/>
        </w:rPr>
        <w:t>不同投标人的投标文件异常一致或者投标报价呈规律性差异；</w:t>
      </w:r>
    </w:p>
    <w:p>
      <w:pPr>
        <w:pStyle w:val="45"/>
        <w:keepNext w:val="0"/>
        <w:keepLines w:val="0"/>
        <w:pageBreakBefore w:val="0"/>
        <w:widowControl w:val="0"/>
        <w:numPr>
          <w:ilvl w:val="0"/>
          <w:numId w:val="22"/>
        </w:numPr>
        <w:tabs>
          <w:tab w:val="left" w:pos="420"/>
          <w:tab w:val="clear" w:pos="0"/>
        </w:tabs>
        <w:kinsoku/>
        <w:bidi w:val="0"/>
        <w:adjustRightInd w:val="0"/>
        <w:snapToGrid w:val="0"/>
        <w:spacing w:line="312" w:lineRule="auto"/>
        <w:ind w:left="0" w:firstLine="482" w:firstLineChars="0"/>
        <w:rPr>
          <w:rFonts w:hint="eastAsia" w:ascii="宋体" w:hAnsi="宋体" w:eastAsia="宋体" w:cs="宋体"/>
          <w:sz w:val="24"/>
          <w:szCs w:val="24"/>
        </w:rPr>
      </w:pPr>
      <w:r>
        <w:rPr>
          <w:rFonts w:hint="eastAsia" w:ascii="宋体" w:hAnsi="宋体" w:eastAsia="宋体" w:cs="宋体"/>
          <w:sz w:val="24"/>
          <w:szCs w:val="24"/>
        </w:rPr>
        <w:t>不同投标人的投标文件相互混装。</w:t>
      </w:r>
    </w:p>
    <w:p>
      <w:pPr>
        <w:pStyle w:val="45"/>
        <w:keepNext w:val="0"/>
        <w:keepLines w:val="0"/>
        <w:pageBreakBefore w:val="0"/>
        <w:widowControl w:val="0"/>
        <w:tabs>
          <w:tab w:val="left" w:pos="0"/>
        </w:tabs>
        <w:kinsoku/>
        <w:bidi w:val="0"/>
        <w:adjustRightInd w:val="0"/>
        <w:snapToGrid w:val="0"/>
        <w:spacing w:line="312" w:lineRule="auto"/>
        <w:ind w:firstLine="482" w:firstLineChars="0"/>
        <w:outlineLvl w:val="1"/>
        <w:rPr>
          <w:rFonts w:hint="eastAsia" w:ascii="宋体" w:hAnsi="宋体" w:eastAsia="宋体" w:cs="宋体"/>
          <w:b/>
          <w:bCs/>
          <w:sz w:val="24"/>
          <w:szCs w:val="24"/>
        </w:rPr>
      </w:pPr>
      <w:bookmarkStart w:id="231" w:name="_Toc9982"/>
      <w:r>
        <w:rPr>
          <w:rFonts w:hint="eastAsia" w:ascii="宋体" w:hAnsi="宋体" w:eastAsia="宋体" w:cs="宋体"/>
          <w:b/>
          <w:bCs/>
          <w:sz w:val="24"/>
          <w:szCs w:val="24"/>
        </w:rPr>
        <w:t>十</w:t>
      </w:r>
      <w:r>
        <w:rPr>
          <w:rFonts w:hint="eastAsia" w:ascii="宋体" w:hAnsi="宋体" w:eastAsia="宋体" w:cs="宋体"/>
          <w:b/>
          <w:bCs/>
          <w:sz w:val="24"/>
          <w:szCs w:val="24"/>
          <w:lang w:eastAsia="zh-CN"/>
        </w:rPr>
        <w:t>三</w:t>
      </w:r>
      <w:r>
        <w:rPr>
          <w:rFonts w:hint="eastAsia" w:ascii="宋体" w:hAnsi="宋体" w:eastAsia="宋体" w:cs="宋体"/>
          <w:b/>
          <w:bCs/>
          <w:sz w:val="24"/>
          <w:szCs w:val="24"/>
        </w:rPr>
        <w:t>、废标情形</w:t>
      </w:r>
      <w:bookmarkEnd w:id="231"/>
    </w:p>
    <w:p>
      <w:pPr>
        <w:keepNext w:val="0"/>
        <w:keepLines w:val="0"/>
        <w:pageBreakBefore w:val="0"/>
        <w:widowControl w:val="0"/>
        <w:tabs>
          <w:tab w:val="left" w:pos="420"/>
        </w:tabs>
        <w:kinsoku/>
        <w:bidi w:val="0"/>
        <w:snapToGrid w:val="0"/>
        <w:spacing w:line="312" w:lineRule="auto"/>
        <w:ind w:firstLine="482"/>
        <w:rPr>
          <w:rFonts w:hint="eastAsia" w:ascii="宋体" w:hAnsi="宋体" w:eastAsia="宋体" w:cs="宋体"/>
          <w:sz w:val="24"/>
          <w:szCs w:val="24"/>
        </w:rPr>
      </w:pPr>
      <w:r>
        <w:rPr>
          <w:rFonts w:hint="eastAsia" w:ascii="宋体" w:hAnsi="宋体" w:eastAsia="宋体" w:cs="宋体"/>
          <w:sz w:val="24"/>
          <w:szCs w:val="24"/>
        </w:rPr>
        <w:t>招标采购中，出现下列情形之一的，应予废标：</w:t>
      </w:r>
    </w:p>
    <w:p>
      <w:pPr>
        <w:keepNext w:val="0"/>
        <w:keepLines w:val="0"/>
        <w:pageBreakBefore w:val="0"/>
        <w:widowControl w:val="0"/>
        <w:numPr>
          <w:ilvl w:val="0"/>
          <w:numId w:val="0"/>
        </w:numPr>
        <w:tabs>
          <w:tab w:val="left" w:pos="0"/>
        </w:tabs>
        <w:kinsoku/>
        <w:bidi w:val="0"/>
        <w:snapToGrid w:val="0"/>
        <w:spacing w:line="312" w:lineRule="auto"/>
        <w:ind w:left="482"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eastAsia="zh-CN"/>
        </w:rPr>
        <w:t>１</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sz w:val="24"/>
          <w:szCs w:val="24"/>
        </w:rPr>
        <w:t>投标截止时间止提交投标文件的</w:t>
      </w:r>
      <w:r>
        <w:rPr>
          <w:rFonts w:hint="eastAsia" w:asciiTheme="majorEastAsia" w:hAnsiTheme="majorEastAsia" w:eastAsiaTheme="majorEastAsia" w:cstheme="majorEastAsia"/>
          <w:b w:val="0"/>
          <w:bCs w:val="0"/>
          <w:color w:val="000000"/>
          <w:sz w:val="24"/>
          <w:szCs w:val="24"/>
          <w:highlight w:val="none"/>
          <w:lang w:val="en-US" w:eastAsia="zh-CN"/>
        </w:rPr>
        <w:t>符合专业条件的供应商或者对招标文件作实质响应的供应商不足三家的；</w:t>
      </w:r>
    </w:p>
    <w:p>
      <w:pPr>
        <w:pStyle w:val="45"/>
        <w:keepNext w:val="0"/>
        <w:keepLines w:val="0"/>
        <w:pageBreakBefore w:val="0"/>
        <w:widowControl w:val="0"/>
        <w:numPr>
          <w:ilvl w:val="0"/>
          <w:numId w:val="0"/>
        </w:numPr>
        <w:tabs>
          <w:tab w:val="left" w:pos="420"/>
        </w:tabs>
        <w:kinsoku/>
        <w:bidi w:val="0"/>
        <w:adjustRightInd w:val="0"/>
        <w:snapToGrid w:val="0"/>
        <w:spacing w:line="312" w:lineRule="auto"/>
        <w:ind w:left="482" w:leftChars="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
          <w:bCs w:val="0"/>
          <w:sz w:val="24"/>
          <w:szCs w:val="24"/>
          <w:lang w:eastAsia="zh-CN"/>
        </w:rPr>
        <w:t>２</w:t>
      </w:r>
      <w:r>
        <w:rPr>
          <w:rFonts w:hint="eastAsia" w:asciiTheme="majorEastAsia" w:hAnsiTheme="majorEastAsia" w:eastAsiaTheme="majorEastAsia" w:cstheme="majorEastAsia"/>
          <w:b/>
          <w:bCs w:val="0"/>
          <w:sz w:val="24"/>
          <w:szCs w:val="24"/>
          <w:lang w:val="en-US" w:eastAsia="zh-CN"/>
        </w:rPr>
        <w:t>.</w:t>
      </w:r>
      <w:r>
        <w:rPr>
          <w:rFonts w:hint="eastAsia" w:asciiTheme="majorEastAsia" w:hAnsiTheme="majorEastAsia" w:eastAsiaTheme="majorEastAsia" w:cstheme="majorEastAsia"/>
          <w:bCs/>
          <w:sz w:val="24"/>
          <w:szCs w:val="24"/>
        </w:rPr>
        <w:t>出现影响采购公正的违法、违规行为的；</w:t>
      </w:r>
    </w:p>
    <w:p>
      <w:pPr>
        <w:pStyle w:val="45"/>
        <w:keepNext w:val="0"/>
        <w:keepLines w:val="0"/>
        <w:pageBreakBefore w:val="0"/>
        <w:widowControl w:val="0"/>
        <w:numPr>
          <w:ilvl w:val="0"/>
          <w:numId w:val="0"/>
        </w:numPr>
        <w:tabs>
          <w:tab w:val="left" w:pos="420"/>
        </w:tabs>
        <w:kinsoku/>
        <w:bidi w:val="0"/>
        <w:adjustRightInd w:val="0"/>
        <w:snapToGrid w:val="0"/>
        <w:spacing w:line="312" w:lineRule="auto"/>
        <w:ind w:left="482" w:left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val="0"/>
          <w:sz w:val="24"/>
          <w:szCs w:val="24"/>
          <w:lang w:eastAsia="zh-CN"/>
        </w:rPr>
        <w:t>３</w:t>
      </w:r>
      <w:r>
        <w:rPr>
          <w:rFonts w:hint="eastAsia" w:asciiTheme="majorEastAsia" w:hAnsiTheme="majorEastAsia" w:eastAsiaTheme="majorEastAsia" w:cstheme="majorEastAsia"/>
          <w:b/>
          <w:bCs w:val="0"/>
          <w:sz w:val="24"/>
          <w:szCs w:val="24"/>
          <w:lang w:val="en-US" w:eastAsia="zh-CN"/>
        </w:rPr>
        <w:t>.</w:t>
      </w:r>
      <w:r>
        <w:rPr>
          <w:rFonts w:hint="eastAsia" w:asciiTheme="majorEastAsia" w:hAnsiTheme="majorEastAsia" w:eastAsiaTheme="majorEastAsia" w:cstheme="majorEastAsia"/>
          <w:bCs/>
          <w:sz w:val="24"/>
          <w:szCs w:val="24"/>
        </w:rPr>
        <w:t>因重大变故，采购任务取消的</w:t>
      </w:r>
      <w:r>
        <w:rPr>
          <w:rFonts w:hint="eastAsia" w:asciiTheme="majorEastAsia" w:hAnsiTheme="majorEastAsia" w:eastAsiaTheme="majorEastAsia" w:cstheme="majorEastAsia"/>
          <w:bCs/>
          <w:sz w:val="24"/>
          <w:szCs w:val="24"/>
          <w:lang w:eastAsia="zh-CN"/>
        </w:rPr>
        <w:t>；</w:t>
      </w:r>
    </w:p>
    <w:bookmarkEnd w:id="211"/>
    <w:bookmarkEnd w:id="213"/>
    <w:bookmarkEnd w:id="214"/>
    <w:bookmarkEnd w:id="215"/>
    <w:bookmarkEnd w:id="216"/>
    <w:bookmarkEnd w:id="217"/>
    <w:bookmarkEnd w:id="218"/>
    <w:bookmarkEnd w:id="219"/>
    <w:bookmarkEnd w:id="220"/>
    <w:p>
      <w:pPr>
        <w:pStyle w:val="46"/>
        <w:numPr>
          <w:ilvl w:val="0"/>
          <w:numId w:val="0"/>
        </w:numPr>
        <w:ind w:left="480" w:leftChars="0"/>
        <w:rPr>
          <w:rFonts w:hint="eastAsia" w:ascii="黑体" w:hAnsi="黑体" w:eastAsia="黑体" w:cs="黑体"/>
          <w:i w:val="0"/>
          <w:iCs/>
          <w:sz w:val="36"/>
          <w:szCs w:val="32"/>
        </w:rPr>
      </w:pPr>
      <w:bookmarkStart w:id="232" w:name="_Toc496962953"/>
      <w:bookmarkStart w:id="233" w:name="_Toc361434903"/>
      <w:bookmarkStart w:id="234" w:name="_Toc3898"/>
      <w:bookmarkStart w:id="235" w:name="_Toc19132"/>
      <w:bookmarkStart w:id="236" w:name="_Toc3257"/>
      <w:bookmarkStart w:id="237" w:name="_Toc24315"/>
      <w:bookmarkStart w:id="238" w:name="_Toc361434807"/>
      <w:bookmarkStart w:id="239" w:name="_Toc11264"/>
      <w:bookmarkStart w:id="240" w:name="_Toc2631"/>
      <w:bookmarkStart w:id="241" w:name="_Toc11514"/>
      <w:bookmarkStart w:id="242" w:name="_Toc452528617"/>
      <w:bookmarkStart w:id="243" w:name="_Toc361437153"/>
      <w:bookmarkStart w:id="244" w:name="_Toc30126"/>
      <w:bookmarkStart w:id="245" w:name="_Toc5528"/>
      <w:bookmarkStart w:id="246" w:name="_Toc9123"/>
      <w:bookmarkStart w:id="247" w:name="_Toc177202003"/>
      <w:bookmarkStart w:id="248" w:name="_Toc153441912"/>
      <w:bookmarkStart w:id="249" w:name="_Toc27645"/>
      <w:bookmarkStart w:id="250" w:name="_Toc496962968"/>
      <w:r>
        <w:rPr>
          <w:rFonts w:hint="eastAsia" w:asciiTheme="majorEastAsia" w:hAnsiTheme="majorEastAsia" w:eastAsiaTheme="majorEastAsia" w:cstheme="majorEastAsia"/>
          <w:b/>
          <w:bCs/>
          <w:i w:val="0"/>
          <w:iCs/>
          <w:color w:val="000000"/>
          <w:sz w:val="24"/>
          <w:szCs w:val="24"/>
          <w:highlight w:val="none"/>
          <w:lang w:val="en-US" w:eastAsia="zh-CN"/>
        </w:rPr>
        <w:t>４.</w:t>
      </w:r>
      <w:r>
        <w:rPr>
          <w:rFonts w:hint="eastAsia" w:asciiTheme="majorEastAsia" w:hAnsiTheme="majorEastAsia" w:eastAsiaTheme="majorEastAsia" w:cstheme="majorEastAsia"/>
          <w:b w:val="0"/>
          <w:bCs w:val="0"/>
          <w:i w:val="0"/>
          <w:iCs/>
          <w:color w:val="000000"/>
          <w:sz w:val="24"/>
          <w:szCs w:val="24"/>
          <w:highlight w:val="none"/>
          <w:lang w:val="en-US" w:eastAsia="zh-CN"/>
        </w:rPr>
        <w:t>或者投标人不足3家的。</w:t>
      </w:r>
      <w:r>
        <w:rPr>
          <w:rFonts w:hint="eastAsia" w:ascii="黑体" w:hAnsi="黑体" w:eastAsia="黑体" w:cs="黑体"/>
          <w:sz w:val="36"/>
          <w:szCs w:val="32"/>
          <w:lang w:eastAsia="zh-CN"/>
        </w:rPr>
        <w:t>　　</w:t>
      </w:r>
    </w:p>
    <w:p>
      <w:pPr>
        <w:pStyle w:val="46"/>
        <w:numPr>
          <w:ilvl w:val="0"/>
          <w:numId w:val="0"/>
        </w:numPr>
        <w:ind w:left="480" w:leftChars="0"/>
        <w:jc w:val="center"/>
        <w:outlineLvl w:val="0"/>
        <w:rPr>
          <w:rFonts w:hint="eastAsia" w:ascii="黑体" w:hAnsi="黑体" w:eastAsia="黑体" w:cs="黑体"/>
          <w:i w:val="0"/>
          <w:iCs/>
          <w:sz w:val="36"/>
          <w:szCs w:val="32"/>
        </w:rPr>
      </w:pPr>
      <w:bookmarkStart w:id="251" w:name="_Toc10494"/>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ind w:left="480" w:leftChars="0"/>
        <w:jc w:val="center"/>
        <w:outlineLvl w:val="0"/>
        <w:rPr>
          <w:rFonts w:hint="eastAsia" w:ascii="黑体" w:hAnsi="黑体" w:eastAsia="黑体" w:cs="黑体"/>
          <w:i w:val="0"/>
          <w:iCs/>
          <w:sz w:val="36"/>
          <w:szCs w:val="32"/>
        </w:rPr>
      </w:pPr>
    </w:p>
    <w:p>
      <w:pPr>
        <w:pStyle w:val="46"/>
        <w:numPr>
          <w:ilvl w:val="0"/>
          <w:numId w:val="0"/>
        </w:numPr>
        <w:jc w:val="center"/>
        <w:outlineLvl w:val="0"/>
        <w:rPr>
          <w:rFonts w:hint="eastAsia" w:ascii="黑体" w:hAnsi="黑体" w:eastAsia="黑体" w:cs="黑体"/>
          <w:i w:val="0"/>
          <w:iCs/>
          <w:sz w:val="36"/>
          <w:szCs w:val="32"/>
        </w:rPr>
      </w:pPr>
      <w:r>
        <w:rPr>
          <w:rFonts w:hint="eastAsia" w:ascii="黑体" w:hAnsi="黑体" w:eastAsia="黑体" w:cs="黑体"/>
          <w:i w:val="0"/>
          <w:iCs/>
          <w:sz w:val="36"/>
          <w:szCs w:val="32"/>
        </w:rPr>
        <w:t>第五章 拟签订的合同</w:t>
      </w:r>
      <w:bookmarkEnd w:id="232"/>
      <w:bookmarkEnd w:id="233"/>
      <w:bookmarkEnd w:id="234"/>
      <w:bookmarkEnd w:id="235"/>
      <w:bookmarkEnd w:id="236"/>
      <w:bookmarkEnd w:id="237"/>
      <w:bookmarkEnd w:id="238"/>
      <w:bookmarkEnd w:id="239"/>
      <w:bookmarkEnd w:id="240"/>
      <w:bookmarkEnd w:id="241"/>
      <w:bookmarkEnd w:id="242"/>
      <w:bookmarkEnd w:id="243"/>
      <w:r>
        <w:rPr>
          <w:rFonts w:hint="eastAsia" w:ascii="黑体" w:hAnsi="黑体" w:eastAsia="黑体" w:cs="黑体"/>
          <w:i w:val="0"/>
          <w:iCs/>
          <w:sz w:val="36"/>
          <w:szCs w:val="32"/>
        </w:rPr>
        <w:t>文本</w:t>
      </w:r>
      <w:bookmarkEnd w:id="244"/>
      <w:bookmarkEnd w:id="245"/>
      <w:bookmarkEnd w:id="246"/>
      <w:bookmarkEnd w:id="251"/>
    </w:p>
    <w:bookmarkEnd w:id="247"/>
    <w:bookmarkEnd w:id="248"/>
    <w:p>
      <w:pPr>
        <w:pStyle w:val="43"/>
        <w:rPr>
          <w:rFonts w:ascii="仿宋" w:hAnsi="仿宋" w:eastAsia="仿宋"/>
          <w:color w:val="000000"/>
          <w:kern w:val="44"/>
        </w:rPr>
      </w:pPr>
      <w:bookmarkStart w:id="252" w:name="_Toc7854"/>
      <w:bookmarkStart w:id="253" w:name="_Toc8774"/>
      <w:r>
        <w:rPr>
          <w:rFonts w:hint="eastAsia" w:ascii="宋体" w:hAnsi="宋体" w:eastAsia="宋体" w:cs="仿宋_GB2312"/>
          <w:b w:val="0"/>
          <w:color w:val="000000"/>
          <w:kern w:val="2"/>
          <w:sz w:val="24"/>
          <w:szCs w:val="24"/>
          <w:highlight w:val="none"/>
          <w:lang w:val="en-US" w:eastAsia="zh-CN" w:bidi="ar-SA"/>
        </w:rPr>
        <w:t xml:space="preserve"> </w:t>
      </w:r>
      <w:r>
        <w:rPr>
          <w:rFonts w:hint="eastAsia" w:hAnsi="宋体" w:eastAsia="宋体" w:cs="仿宋_GB2312"/>
          <w:b w:val="0"/>
          <w:color w:val="000000"/>
          <w:kern w:val="2"/>
          <w:sz w:val="24"/>
          <w:szCs w:val="24"/>
          <w:highlight w:val="none"/>
          <w:lang w:val="en-US" w:eastAsia="zh-CN" w:bidi="ar-SA"/>
        </w:rPr>
        <w:t xml:space="preserve">  </w:t>
      </w:r>
      <w:bookmarkStart w:id="254" w:name="_Toc29452"/>
      <w:bookmarkStart w:id="255" w:name="_Toc6924"/>
      <w:bookmarkStart w:id="256" w:name="_Toc7214"/>
      <w:r>
        <w:rPr>
          <w:rFonts w:hint="eastAsia" w:ascii="仿宋" w:hAnsi="仿宋" w:eastAsia="仿宋"/>
          <w:color w:val="000000"/>
          <w:kern w:val="44"/>
        </w:rPr>
        <w:t>合同主要</w:t>
      </w:r>
      <w:r>
        <w:rPr>
          <w:rFonts w:hint="eastAsia" w:ascii="仿宋" w:hAnsi="仿宋" w:eastAsia="仿宋" w:cs="宋体"/>
          <w:color w:val="000000"/>
          <w:kern w:val="44"/>
        </w:rPr>
        <w:t>条款</w:t>
      </w:r>
      <w:bookmarkEnd w:id="254"/>
      <w:bookmarkEnd w:id="255"/>
      <w:bookmarkEnd w:id="256"/>
    </w:p>
    <w:bookmarkEnd w:id="252"/>
    <w:bookmarkEnd w:id="253"/>
    <w:p>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Ansi="宋体" w:eastAsia="宋体" w:cs="宋体"/>
          <w:bCs/>
          <w:sz w:val="24"/>
          <w:szCs w:val="24"/>
        </w:rPr>
      </w:pPr>
      <w:r>
        <w:rPr>
          <w:rFonts w:hint="eastAsia" w:hAnsi="宋体" w:eastAsia="宋体" w:cs="宋体"/>
          <w:bCs/>
          <w:spacing w:val="-6"/>
          <w:sz w:val="24"/>
          <w:szCs w:val="24"/>
        </w:rPr>
        <w:t>项目名称：</w:t>
      </w:r>
      <w:r>
        <w:rPr>
          <w:rFonts w:hint="eastAsia" w:cs="宋体"/>
          <w:color w:val="auto"/>
          <w:spacing w:val="-6"/>
          <w:sz w:val="24"/>
          <w:szCs w:val="24"/>
          <w:highlight w:val="none"/>
          <w:lang w:val="en-US" w:eastAsia="zh-CN"/>
        </w:rPr>
        <w:t>龙游县2024-2026年公路日常养护—绿化养护采购项目</w:t>
      </w:r>
      <w:r>
        <w:rPr>
          <w:rFonts w:hint="eastAsia" w:hAnsi="宋体" w:eastAsia="宋体" w:cs="宋体"/>
          <w:bCs/>
          <w:spacing w:val="-6"/>
          <w:sz w:val="24"/>
          <w:szCs w:val="24"/>
        </w:rPr>
        <w:t xml:space="preserve">  </w:t>
      </w:r>
      <w:r>
        <w:rPr>
          <w:rFonts w:hint="eastAsia" w:hAnsi="宋体" w:eastAsia="宋体" w:cs="宋体"/>
          <w:bCs/>
          <w:sz w:val="24"/>
          <w:szCs w:val="24"/>
        </w:rPr>
        <w:t xml:space="preserve">                                                            </w:t>
      </w:r>
    </w:p>
    <w:p>
      <w:pPr>
        <w:pStyle w:val="137"/>
        <w:spacing w:line="360" w:lineRule="auto"/>
        <w:ind w:firstLine="480" w:firstLineChars="200"/>
        <w:rPr>
          <w:rFonts w:hint="eastAsia" w:hAnsi="宋体" w:eastAsia="宋体" w:cs="宋体"/>
          <w:bCs/>
          <w:sz w:val="24"/>
          <w:szCs w:val="24"/>
          <w:lang w:val="en-US" w:eastAsia="zh-CN"/>
        </w:rPr>
      </w:pPr>
      <w:r>
        <w:rPr>
          <w:rFonts w:hint="eastAsia" w:cs="宋体"/>
          <w:bCs/>
          <w:sz w:val="24"/>
          <w:szCs w:val="24"/>
          <w:lang w:val="en-US" w:eastAsia="zh-CN"/>
        </w:rPr>
        <w:t>项目</w:t>
      </w:r>
      <w:r>
        <w:rPr>
          <w:rFonts w:hint="eastAsia" w:hAnsi="宋体" w:eastAsia="宋体" w:cs="宋体"/>
          <w:bCs/>
          <w:sz w:val="24"/>
          <w:szCs w:val="24"/>
        </w:rPr>
        <w:t>编号：</w:t>
      </w:r>
      <w:r>
        <w:rPr>
          <w:rFonts w:hint="eastAsia" w:hAnsi="宋体" w:eastAsia="宋体" w:cs="宋体"/>
          <w:bCs/>
          <w:sz w:val="24"/>
          <w:szCs w:val="24"/>
          <w:lang w:val="en-US" w:eastAsia="zh-CN"/>
        </w:rPr>
        <w:t xml:space="preserve"> </w:t>
      </w:r>
    </w:p>
    <w:p>
      <w:pPr>
        <w:pStyle w:val="137"/>
        <w:spacing w:line="360" w:lineRule="auto"/>
        <w:ind w:firstLine="480" w:firstLineChars="200"/>
        <w:rPr>
          <w:rFonts w:hAnsi="宋体" w:eastAsia="宋体" w:cs="宋体"/>
          <w:bCs/>
          <w:sz w:val="24"/>
          <w:szCs w:val="24"/>
        </w:rPr>
      </w:pPr>
      <w:r>
        <w:rPr>
          <w:rFonts w:hint="eastAsia" w:cs="宋体"/>
          <w:bCs/>
          <w:sz w:val="24"/>
          <w:szCs w:val="24"/>
          <w:lang w:val="en-US" w:eastAsia="zh-CN"/>
        </w:rPr>
        <w:t>采购</w:t>
      </w:r>
      <w:r>
        <w:rPr>
          <w:rFonts w:hint="eastAsia" w:hAnsi="宋体" w:eastAsia="宋体" w:cs="宋体"/>
          <w:bCs/>
          <w:sz w:val="24"/>
          <w:szCs w:val="24"/>
        </w:rPr>
        <w:t>方：______________________________（以下简称甲方）</w:t>
      </w:r>
    </w:p>
    <w:p>
      <w:pPr>
        <w:pStyle w:val="137"/>
        <w:spacing w:line="360" w:lineRule="auto"/>
        <w:ind w:firstLine="480" w:firstLineChars="200"/>
        <w:rPr>
          <w:rFonts w:hAnsi="宋体" w:eastAsia="宋体" w:cs="宋体"/>
          <w:bCs/>
          <w:sz w:val="24"/>
          <w:szCs w:val="24"/>
        </w:rPr>
      </w:pPr>
      <w:r>
        <w:rPr>
          <w:rFonts w:hint="eastAsia" w:cs="宋体"/>
          <w:bCs/>
          <w:sz w:val="24"/>
          <w:szCs w:val="24"/>
          <w:lang w:val="en-US" w:eastAsia="zh-CN"/>
        </w:rPr>
        <w:t>中标</w:t>
      </w:r>
      <w:r>
        <w:rPr>
          <w:rFonts w:hint="eastAsia" w:hAnsi="宋体" w:eastAsia="宋体" w:cs="宋体"/>
          <w:bCs/>
          <w:sz w:val="24"/>
          <w:szCs w:val="24"/>
        </w:rPr>
        <w:t>方：______________________________（以下简称乙方）</w:t>
      </w:r>
    </w:p>
    <w:p>
      <w:pPr>
        <w:pStyle w:val="137"/>
        <w:spacing w:line="360" w:lineRule="auto"/>
        <w:ind w:firstLine="482" w:firstLineChars="200"/>
        <w:rPr>
          <w:rFonts w:hAnsi="宋体" w:eastAsia="宋体" w:cs="宋体"/>
          <w:b/>
          <w:sz w:val="24"/>
          <w:szCs w:val="24"/>
        </w:rPr>
      </w:pPr>
      <w:bookmarkStart w:id="257" w:name="_Toc24352"/>
      <w:bookmarkStart w:id="258" w:name="_Toc31933"/>
      <w:bookmarkStart w:id="259" w:name="_Toc15098"/>
      <w:bookmarkStart w:id="260" w:name="_Toc29966"/>
      <w:bookmarkStart w:id="261" w:name="_Toc31476"/>
      <w:bookmarkStart w:id="262" w:name="_Toc29712"/>
      <w:bookmarkStart w:id="263" w:name="_Toc20527"/>
      <w:r>
        <w:rPr>
          <w:rFonts w:hint="eastAsia" w:hAnsi="宋体" w:eastAsia="宋体" w:cs="宋体"/>
          <w:b/>
          <w:sz w:val="24"/>
          <w:szCs w:val="24"/>
        </w:rPr>
        <w:t>第一条  总则</w:t>
      </w:r>
      <w:bookmarkEnd w:id="257"/>
      <w:bookmarkEnd w:id="258"/>
      <w:bookmarkEnd w:id="259"/>
      <w:bookmarkEnd w:id="260"/>
      <w:bookmarkEnd w:id="261"/>
      <w:bookmarkEnd w:id="262"/>
      <w:bookmarkEnd w:id="263"/>
    </w:p>
    <w:p>
      <w:pPr>
        <w:pStyle w:val="137"/>
        <w:spacing w:line="360" w:lineRule="auto"/>
        <w:ind w:firstLine="480" w:firstLineChars="200"/>
        <w:rPr>
          <w:rFonts w:hAnsi="宋体" w:eastAsia="宋体" w:cs="宋体"/>
          <w:bCs/>
          <w:sz w:val="24"/>
          <w:szCs w:val="24"/>
        </w:rPr>
      </w:pPr>
      <w:r>
        <w:rPr>
          <w:rFonts w:hint="eastAsia" w:hAnsi="宋体" w:eastAsia="宋体" w:cs="宋体"/>
          <w:bCs/>
          <w:sz w:val="24"/>
          <w:szCs w:val="24"/>
        </w:rPr>
        <w:t>1．合同基本条款是指甲方和乙方应共同遵守的基本原则，并作为双方签约的依据。对于合同的其他条款，双方应本着互谅互让的精神协商解决。</w:t>
      </w:r>
    </w:p>
    <w:p>
      <w:pPr>
        <w:pStyle w:val="13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2．制定“合同主要条款”的依据是《民法典》。</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bCs/>
          <w:snapToGrid w:val="0"/>
          <w:sz w:val="24"/>
          <w:szCs w:val="24"/>
          <w:lang w:val="en-US" w:eastAsia="zh-CN" w:bidi="ar-SA"/>
        </w:rPr>
      </w:pPr>
      <w:r>
        <w:rPr>
          <w:rFonts w:hint="eastAsia" w:ascii="宋体" w:hAnsi="宋体" w:eastAsia="宋体" w:cs="宋体"/>
          <w:bCs/>
          <w:snapToGrid w:val="0"/>
          <w:sz w:val="24"/>
          <w:szCs w:val="24"/>
          <w:lang w:val="en-US" w:eastAsia="zh-CN" w:bidi="ar-SA"/>
        </w:rPr>
        <w:t>甲方对龙游县2024-2026年公路日常养护—绿化养护采购项目进行政府采购招标，按相关程序，委托龙游博洽投资咨询有限公司进行招标。经甲方定标，确定乙方为项目中标人。甲乙双方同意按照下面的条款和条件，签署本合同。</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3.本合同与下列文件一起构成合同文件：</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（1）中标（成交）通知书；</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（2）乙方投标文件；  </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（3）本合同及其附件；</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（4）本项目招标文件及补充澄清文件；</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（5）其他合同文件。</w:t>
      </w:r>
    </w:p>
    <w:p>
      <w:pPr>
        <w:pStyle w:val="137"/>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在合同订立及履行过程中形成的与合同有关的文件均构成合同文件组成部分。</w:t>
      </w:r>
    </w:p>
    <w:p>
      <w:pPr>
        <w:pStyle w:val="13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上述各项合同文件包括合同当事人就该项合同文件所作出的补充和修改，属于同一类内容的文件，应以最新签署的为准。</w:t>
      </w:r>
    </w:p>
    <w:p>
      <w:pPr>
        <w:pStyle w:val="137"/>
        <w:spacing w:line="360" w:lineRule="auto"/>
        <w:ind w:firstLine="482" w:firstLineChars="200"/>
        <w:rPr>
          <w:rFonts w:hint="default" w:hAnsi="宋体" w:eastAsia="宋体" w:cs="宋体"/>
          <w:b/>
          <w:sz w:val="24"/>
          <w:szCs w:val="24"/>
          <w:lang w:val="en-US" w:eastAsia="zh-CN"/>
        </w:rPr>
      </w:pPr>
      <w:r>
        <w:rPr>
          <w:rFonts w:hint="eastAsia" w:hAnsi="宋体" w:eastAsia="宋体" w:cs="宋体"/>
          <w:b/>
          <w:sz w:val="24"/>
          <w:szCs w:val="24"/>
        </w:rPr>
        <w:t>第二条  项目内容</w:t>
      </w:r>
      <w:r>
        <w:rPr>
          <w:rFonts w:hint="eastAsia" w:hAnsi="宋体" w:eastAsia="宋体" w:cs="宋体"/>
          <w:b/>
          <w:sz w:val="24"/>
          <w:szCs w:val="24"/>
          <w:lang w:val="en-US" w:eastAsia="zh-CN"/>
        </w:rPr>
        <w:t>及要求</w:t>
      </w:r>
    </w:p>
    <w:p>
      <w:pPr>
        <w:spacing w:line="360" w:lineRule="auto"/>
        <w:ind w:right="-13" w:rightChars="-6" w:firstLine="480" w:firstLineChars="200"/>
        <w:rPr>
          <w:rFonts w:hint="eastAsia" w:ascii="宋体" w:hAnsi="宋体" w:eastAsia="宋体" w:cs="宋体"/>
          <w:bCs/>
          <w:i w:val="0"/>
          <w:iCs w:val="0"/>
          <w:caps w:val="0"/>
          <w:color w:val="auto"/>
          <w:spacing w:val="0"/>
          <w:sz w:val="24"/>
          <w:szCs w:val="24"/>
        </w:rPr>
      </w:pPr>
      <w:r>
        <w:rPr>
          <w:rFonts w:hint="eastAsia" w:ascii="宋体" w:hAnsi="宋体" w:eastAsia="宋体" w:cs="宋体"/>
          <w:bCs/>
          <w:sz w:val="24"/>
          <w:szCs w:val="24"/>
          <w:lang w:val="en-US" w:eastAsia="zh-CN"/>
        </w:rPr>
        <w:t>1、服务</w:t>
      </w:r>
      <w:r>
        <w:rPr>
          <w:rFonts w:hint="eastAsia" w:cs="宋体"/>
          <w:bCs/>
          <w:sz w:val="24"/>
          <w:szCs w:val="24"/>
          <w:lang w:val="en-US" w:eastAsia="zh-CN"/>
        </w:rPr>
        <w:t>范围及</w:t>
      </w:r>
      <w:r>
        <w:rPr>
          <w:rFonts w:hint="eastAsia" w:ascii="宋体" w:hAnsi="宋体" w:eastAsia="宋体" w:cs="宋体"/>
          <w:bCs/>
          <w:sz w:val="24"/>
          <w:szCs w:val="24"/>
          <w:lang w:val="en-US" w:eastAsia="zh-CN"/>
        </w:rPr>
        <w:t>内容：</w:t>
      </w:r>
      <w:r>
        <w:rPr>
          <w:rFonts w:hint="eastAsia" w:ascii="宋体" w:hAnsi="宋体" w:eastAsia="宋体" w:cs="宋体"/>
          <w:bCs/>
          <w:i w:val="0"/>
          <w:iCs w:val="0"/>
          <w:caps w:val="0"/>
          <w:color w:val="auto"/>
          <w:spacing w:val="0"/>
          <w:sz w:val="24"/>
          <w:szCs w:val="24"/>
        </w:rPr>
        <w:t>龙游县公路港航与运输管理中心管辖的龙官线全段区域、320国道九里立交至前游段区域、S31</w:t>
      </w:r>
      <w:r>
        <w:rPr>
          <w:rFonts w:hint="eastAsia" w:cs="宋体"/>
          <w:bCs/>
          <w:i w:val="0"/>
          <w:iCs w:val="0"/>
          <w:caps w:val="0"/>
          <w:color w:val="auto"/>
          <w:spacing w:val="0"/>
          <w:sz w:val="24"/>
          <w:szCs w:val="24"/>
          <w:lang w:val="en-US" w:eastAsia="zh-CN"/>
        </w:rPr>
        <w:t>9</w:t>
      </w:r>
      <w:r>
        <w:rPr>
          <w:rFonts w:hint="eastAsia" w:ascii="宋体" w:hAnsi="宋体" w:eastAsia="宋体" w:cs="宋体"/>
          <w:bCs/>
          <w:i w:val="0"/>
          <w:iCs w:val="0"/>
          <w:caps w:val="0"/>
          <w:color w:val="auto"/>
          <w:spacing w:val="0"/>
          <w:sz w:val="24"/>
          <w:szCs w:val="24"/>
        </w:rPr>
        <w:t>毛岭头至马报桥区域、灵山江沿江公路区域</w:t>
      </w:r>
      <w:r>
        <w:rPr>
          <w:rFonts w:hint="eastAsia" w:cs="宋体"/>
          <w:bCs/>
          <w:i w:val="0"/>
          <w:iCs w:val="0"/>
          <w:caps w:val="0"/>
          <w:color w:val="auto"/>
          <w:spacing w:val="0"/>
          <w:sz w:val="24"/>
          <w:szCs w:val="24"/>
          <w:lang w:eastAsia="zh-CN"/>
        </w:rPr>
        <w:t>、龙游北高速出口区域区域</w:t>
      </w:r>
      <w:r>
        <w:rPr>
          <w:rFonts w:hint="eastAsia" w:ascii="宋体" w:hAnsi="宋体" w:eastAsia="宋体" w:cs="宋体"/>
          <w:bCs/>
          <w:i w:val="0"/>
          <w:iCs w:val="0"/>
          <w:caps w:val="0"/>
          <w:color w:val="auto"/>
          <w:spacing w:val="0"/>
          <w:sz w:val="24"/>
          <w:szCs w:val="24"/>
        </w:rPr>
        <w:t>约</w:t>
      </w:r>
      <w:r>
        <w:rPr>
          <w:rFonts w:hint="eastAsia" w:cs="宋体"/>
          <w:bCs/>
          <w:i w:val="0"/>
          <w:iCs w:val="0"/>
          <w:caps w:val="0"/>
          <w:color w:val="auto"/>
          <w:spacing w:val="0"/>
          <w:sz w:val="24"/>
          <w:szCs w:val="24"/>
          <w:lang w:eastAsia="zh-CN"/>
        </w:rPr>
        <w:t>42</w:t>
      </w:r>
      <w:r>
        <w:rPr>
          <w:rFonts w:hint="eastAsia" w:ascii="宋体" w:hAnsi="宋体" w:eastAsia="宋体" w:cs="宋体"/>
          <w:bCs/>
          <w:i w:val="0"/>
          <w:iCs w:val="0"/>
          <w:caps w:val="0"/>
          <w:color w:val="auto"/>
          <w:spacing w:val="0"/>
          <w:sz w:val="24"/>
          <w:szCs w:val="24"/>
        </w:rPr>
        <w:t>万平方绿化面积的日常养护、补植、抗旱等服务。</w:t>
      </w:r>
    </w:p>
    <w:p>
      <w:pPr>
        <w:spacing w:line="360" w:lineRule="auto"/>
        <w:ind w:right="-13" w:rightChars="-6" w:firstLine="480" w:firstLineChars="200"/>
        <w:rPr>
          <w:rFonts w:ascii="宋体" w:hAnsi="宋体" w:eastAsia="宋体" w:cs="宋体"/>
          <w:bCs/>
          <w:sz w:val="24"/>
          <w:szCs w:val="24"/>
        </w:rPr>
      </w:pPr>
      <w:r>
        <w:rPr>
          <w:rFonts w:hint="eastAsia" w:ascii="宋体" w:hAnsi="宋体" w:eastAsia="宋体" w:cs="宋体"/>
          <w:bCs/>
          <w:sz w:val="24"/>
          <w:szCs w:val="24"/>
        </w:rPr>
        <w:t>2、 服务要求：见文件第三章-采购需求中服务要求。若乙方在响应文件中有更优响应的，则以乙方响应文件为准。</w:t>
      </w:r>
    </w:p>
    <w:p>
      <w:pPr>
        <w:spacing w:line="360" w:lineRule="auto"/>
        <w:ind w:right="-13" w:rightChars="-6" w:firstLine="480" w:firstLineChars="200"/>
        <w:rPr>
          <w:rFonts w:ascii="宋体" w:hAnsi="宋体" w:eastAsia="宋体" w:cs="宋体"/>
          <w:bCs/>
          <w:sz w:val="24"/>
          <w:szCs w:val="24"/>
        </w:rPr>
      </w:pPr>
      <w:r>
        <w:rPr>
          <w:rFonts w:hint="eastAsia" w:ascii="宋体" w:hAnsi="宋体" w:eastAsia="宋体" w:cs="宋体"/>
          <w:bCs/>
          <w:sz w:val="24"/>
          <w:szCs w:val="24"/>
        </w:rPr>
        <w:t>3、人员配备</w:t>
      </w:r>
    </w:p>
    <w:p>
      <w:pPr>
        <w:spacing w:line="360" w:lineRule="auto"/>
        <w:ind w:right="-13" w:rightChars="-6" w:firstLine="480" w:firstLineChars="200"/>
        <w:rPr>
          <w:rFonts w:ascii="宋体" w:hAnsi="宋体" w:eastAsia="宋体" w:cs="宋体"/>
          <w:bCs/>
          <w:color w:val="auto"/>
          <w:sz w:val="24"/>
          <w:szCs w:val="24"/>
        </w:rPr>
      </w:pPr>
      <w:r>
        <w:rPr>
          <w:rFonts w:hint="eastAsia" w:ascii="宋体" w:hAnsi="宋体" w:eastAsia="宋体" w:cs="宋体"/>
          <w:bCs/>
          <w:sz w:val="24"/>
          <w:szCs w:val="24"/>
        </w:rPr>
        <w:t>3.1</w:t>
      </w:r>
      <w:r>
        <w:rPr>
          <w:rFonts w:hint="eastAsia" w:ascii="宋体" w:hAnsi="宋体" w:eastAsia="宋体" w:cs="宋体"/>
          <w:bCs/>
          <w:color w:val="C00000"/>
          <w:sz w:val="24"/>
          <w:szCs w:val="24"/>
        </w:rPr>
        <w:t xml:space="preserve"> </w:t>
      </w:r>
      <w:r>
        <w:rPr>
          <w:rFonts w:hint="eastAsia" w:ascii="宋体" w:hAnsi="宋体" w:eastAsia="宋体" w:cs="宋体"/>
          <w:bCs/>
          <w:color w:val="auto"/>
          <w:sz w:val="24"/>
          <w:szCs w:val="24"/>
        </w:rPr>
        <w:t>乙方在签订合同时应向甲方提供所有服务人员的身份证复印件、学历证书或毕业证书、职称证书复印件等有关材料。</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lang w:val="zh-CN"/>
        </w:rPr>
      </w:pPr>
      <w:bookmarkStart w:id="264" w:name="_Toc19498"/>
      <w:bookmarkStart w:id="265" w:name="_Toc15299"/>
      <w:bookmarkStart w:id="266" w:name="_Toc28884"/>
      <w:bookmarkStart w:id="267" w:name="_Toc24619"/>
      <w:bookmarkStart w:id="268" w:name="_Toc6180"/>
      <w:bookmarkStart w:id="269" w:name="_Toc11757"/>
      <w:bookmarkStart w:id="270" w:name="_Toc11662"/>
      <w:r>
        <w:rPr>
          <w:rFonts w:hint="eastAsia" w:ascii="宋体" w:hAnsi="宋体" w:eastAsia="宋体" w:cs="宋体"/>
          <w:b/>
          <w:bCs/>
          <w:snapToGrid w:val="0"/>
          <w:color w:val="auto"/>
          <w:kern w:val="0"/>
          <w:sz w:val="24"/>
          <w:szCs w:val="24"/>
          <w:lang w:val="zh-CN"/>
        </w:rPr>
        <w:t>第三条 服务</w:t>
      </w:r>
      <w:bookmarkEnd w:id="264"/>
      <w:r>
        <w:rPr>
          <w:rFonts w:hint="eastAsia" w:ascii="宋体" w:hAnsi="宋体" w:eastAsia="宋体" w:cs="宋体"/>
          <w:b/>
          <w:snapToGrid w:val="0"/>
          <w:color w:val="auto"/>
          <w:kern w:val="0"/>
          <w:sz w:val="24"/>
          <w:szCs w:val="24"/>
        </w:rPr>
        <w:t>地点和方式</w:t>
      </w:r>
      <w:bookmarkEnd w:id="265"/>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bottom"/>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1、地点：</w:t>
      </w:r>
      <w:r>
        <w:rPr>
          <w:rFonts w:hint="eastAsia" w:ascii="宋体" w:hAnsi="宋体" w:eastAsia="宋体" w:cs="宋体"/>
          <w:snapToGrid w:val="0"/>
          <w:color w:val="auto"/>
          <w:kern w:val="0"/>
          <w:sz w:val="24"/>
          <w:szCs w:val="24"/>
          <w:lang w:eastAsia="zh-CN"/>
        </w:rPr>
        <w:t>龙游县</w:t>
      </w:r>
      <w:r>
        <w:rPr>
          <w:rFonts w:hint="eastAsia" w:ascii="宋体" w:hAnsi="宋体" w:eastAsia="宋体" w:cs="宋体"/>
          <w:snapToGrid w:val="0"/>
          <w:color w:val="auto"/>
          <w:kern w:val="0"/>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b w:val="0"/>
          <w:bCs/>
          <w:snapToGrid w:val="0"/>
          <w:color w:val="auto"/>
          <w:kern w:val="0"/>
          <w:sz w:val="24"/>
          <w:szCs w:val="24"/>
          <w:lang w:val="en-US" w:eastAsia="zh-CN"/>
        </w:rPr>
        <w:t>2、方式：</w:t>
      </w:r>
      <w:r>
        <w:rPr>
          <w:rFonts w:hint="eastAsia" w:ascii="宋体" w:hAnsi="宋体" w:eastAsia="宋体" w:cs="宋体"/>
          <w:b w:val="0"/>
          <w:bCs/>
          <w:snapToGrid w:val="0"/>
          <w:color w:val="auto"/>
          <w:kern w:val="0"/>
          <w:sz w:val="24"/>
          <w:szCs w:val="24"/>
          <w:lang w:eastAsia="zh-CN"/>
        </w:rPr>
        <w:t>合同当事人应按照合同规定不折不扣地履行合同义务。</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lang w:val="zh-CN"/>
        </w:rPr>
      </w:pPr>
      <w:bookmarkStart w:id="271" w:name="_Toc8256"/>
      <w:bookmarkStart w:id="272" w:name="_Toc5399"/>
      <w:bookmarkStart w:id="273" w:name="_Toc28558"/>
      <w:r>
        <w:rPr>
          <w:rFonts w:hint="eastAsia" w:ascii="宋体" w:hAnsi="宋体" w:eastAsia="宋体" w:cs="宋体"/>
          <w:b/>
          <w:bCs/>
          <w:snapToGrid w:val="0"/>
          <w:color w:val="auto"/>
          <w:kern w:val="0"/>
          <w:sz w:val="24"/>
          <w:szCs w:val="24"/>
          <w:lang w:val="zh-CN"/>
        </w:rPr>
        <w:t>第四条 服务期限</w:t>
      </w:r>
      <w:bookmarkEnd w:id="271"/>
      <w:bookmarkEnd w:id="272"/>
    </w:p>
    <w:p>
      <w:pPr>
        <w:keepNext w:val="0"/>
        <w:keepLines w:val="0"/>
        <w:pageBreakBefore w:val="0"/>
        <w:widowControl w:val="0"/>
        <w:suppressLineNumbers w:val="0"/>
        <w:kinsoku/>
        <w:wordWrap/>
        <w:overflowPunct/>
        <w:topLinePunct w:val="0"/>
        <w:autoSpaceDE/>
        <w:autoSpaceDN/>
        <w:bidi w:val="0"/>
        <w:adjustRightInd/>
        <w:snapToGrid w:val="0"/>
        <w:spacing w:line="460" w:lineRule="exact"/>
        <w:ind w:firstLine="482" w:firstLineChars="0"/>
        <w:jc w:val="left"/>
        <w:textAlignment w:val="auto"/>
        <w:rPr>
          <w:rFonts w:hint="eastAsia" w:ascii="宋体" w:hAnsi="宋体" w:eastAsia="宋体" w:cs="宋体"/>
          <w:b w:val="0"/>
          <w:bCs/>
          <w:snapToGrid w:val="0"/>
          <w:color w:val="auto"/>
          <w:kern w:val="0"/>
          <w:sz w:val="24"/>
          <w:szCs w:val="24"/>
          <w:lang w:val="en-US" w:eastAsia="zh-CN" w:bidi="ar"/>
        </w:rPr>
      </w:pPr>
      <w:r>
        <w:rPr>
          <w:rFonts w:hint="eastAsia" w:ascii="宋体" w:hAnsi="宋体" w:eastAsia="宋体" w:cs="宋体"/>
          <w:snapToGrid w:val="0"/>
          <w:color w:val="auto"/>
          <w:kern w:val="0"/>
          <w:sz w:val="24"/>
          <w:szCs w:val="24"/>
          <w:lang w:val="zh-CN"/>
        </w:rPr>
        <w:t>本项目服务期限自</w:t>
      </w:r>
      <w:r>
        <w:rPr>
          <w:rFonts w:hint="eastAsia" w:ascii="宋体" w:hAnsi="宋体" w:eastAsia="宋体"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u w:val="single"/>
          <w:lang w:val="zh-CN"/>
        </w:rPr>
        <w:t xml:space="preserve"> </w:t>
      </w:r>
      <w:r>
        <w:rPr>
          <w:rFonts w:hint="eastAsia" w:ascii="宋体" w:hAnsi="宋体" w:eastAsia="宋体" w:cs="宋体"/>
          <w:snapToGrid w:val="0"/>
          <w:color w:val="auto"/>
          <w:kern w:val="0"/>
          <w:sz w:val="24"/>
          <w:szCs w:val="24"/>
          <w:lang w:val="zh-CN"/>
        </w:rPr>
        <w:t>年</w:t>
      </w:r>
      <w:r>
        <w:rPr>
          <w:rFonts w:hint="eastAsia"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lang w:val="zh-CN"/>
        </w:rPr>
        <w:t>月</w:t>
      </w:r>
      <w:r>
        <w:rPr>
          <w:rFonts w:hint="eastAsia"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lang w:val="zh-CN"/>
        </w:rPr>
        <w:t>日起至</w:t>
      </w:r>
      <w:r>
        <w:rPr>
          <w:rFonts w:hint="eastAsia" w:ascii="宋体" w:hAnsi="宋体" w:eastAsia="宋体"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lang w:val="zh-CN"/>
        </w:rPr>
        <w:t>年</w:t>
      </w:r>
      <w:r>
        <w:rPr>
          <w:rFonts w:hint="eastAsia"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lang w:val="zh-CN"/>
        </w:rPr>
        <w:t>月</w:t>
      </w:r>
      <w:r>
        <w:rPr>
          <w:rFonts w:hint="eastAsia" w:cs="宋体"/>
          <w:snapToGrid w:val="0"/>
          <w:color w:val="auto"/>
          <w:kern w:val="0"/>
          <w:sz w:val="24"/>
          <w:szCs w:val="24"/>
          <w:u w:val="single"/>
          <w:lang w:val="en-US" w:eastAsia="zh-CN"/>
        </w:rPr>
        <w:t xml:space="preserve">  </w:t>
      </w:r>
      <w:r>
        <w:rPr>
          <w:rFonts w:hint="eastAsia" w:ascii="宋体" w:hAnsi="宋体" w:eastAsia="宋体" w:cs="宋体"/>
          <w:snapToGrid w:val="0"/>
          <w:color w:val="auto"/>
          <w:kern w:val="0"/>
          <w:sz w:val="24"/>
          <w:szCs w:val="24"/>
          <w:lang w:val="zh-CN"/>
        </w:rPr>
        <w:t>日止。</w:t>
      </w:r>
    </w:p>
    <w:p>
      <w:pPr>
        <w:keepNext w:val="0"/>
        <w:keepLines w:val="0"/>
        <w:pageBreakBefore w:val="0"/>
        <w:widowControl w:val="0"/>
        <w:suppressLineNumbers w:val="0"/>
        <w:kinsoku/>
        <w:wordWrap/>
        <w:overflowPunct/>
        <w:topLinePunct w:val="0"/>
        <w:autoSpaceDE/>
        <w:autoSpaceDN/>
        <w:bidi w:val="0"/>
        <w:adjustRightInd/>
        <w:snapToGrid w:val="0"/>
        <w:spacing w:line="460" w:lineRule="exact"/>
        <w:ind w:firstLine="482" w:firstLineChars="0"/>
        <w:jc w:val="left"/>
        <w:textAlignment w:val="auto"/>
        <w:outlineLvl w:val="1"/>
        <w:rPr>
          <w:rFonts w:hint="eastAsia" w:ascii="宋体" w:hAnsi="宋体" w:eastAsia="宋体" w:cs="宋体"/>
          <w:snapToGrid w:val="0"/>
          <w:color w:val="auto"/>
          <w:kern w:val="0"/>
          <w:sz w:val="24"/>
          <w:szCs w:val="24"/>
        </w:rPr>
      </w:pPr>
      <w:bookmarkStart w:id="274" w:name="_Toc23666"/>
      <w:r>
        <w:rPr>
          <w:rFonts w:hint="eastAsia" w:ascii="宋体" w:hAnsi="宋体" w:eastAsia="宋体" w:cs="宋体"/>
          <w:b/>
          <w:snapToGrid w:val="0"/>
          <w:color w:val="auto"/>
          <w:kern w:val="0"/>
          <w:sz w:val="24"/>
          <w:szCs w:val="24"/>
          <w:lang w:val="en-US" w:eastAsia="zh-CN" w:bidi="ar"/>
        </w:rPr>
        <w:t>第五条 质量与安全目标</w:t>
      </w:r>
      <w:bookmarkEnd w:id="274"/>
    </w:p>
    <w:p>
      <w:pPr>
        <w:keepNext w:val="0"/>
        <w:keepLines w:val="0"/>
        <w:pageBreakBefore w:val="0"/>
        <w:widowControl w:val="0"/>
        <w:suppressLineNumbers w:val="0"/>
        <w:kinsoku/>
        <w:wordWrap/>
        <w:overflowPunct/>
        <w:topLinePunct w:val="0"/>
        <w:autoSpaceDE/>
        <w:autoSpaceDN/>
        <w:bidi w:val="0"/>
        <w:adjustRightInd/>
        <w:snapToGrid w:val="0"/>
        <w:spacing w:line="460" w:lineRule="exact"/>
        <w:ind w:firstLine="482" w:firstLineChars="0"/>
        <w:jc w:val="left"/>
        <w:textAlignment w:val="auto"/>
        <w:outlineLvl w:val="9"/>
        <w:rPr>
          <w:rFonts w:hint="eastAsia" w:ascii="宋体" w:hAnsi="宋体" w:eastAsia="宋体" w:cs="宋体"/>
          <w:strike w:val="0"/>
          <w:dstrike w:val="0"/>
          <w:snapToGrid w:val="0"/>
          <w:color w:val="auto"/>
          <w:kern w:val="0"/>
          <w:sz w:val="24"/>
          <w:szCs w:val="24"/>
        </w:rPr>
      </w:pPr>
      <w:r>
        <w:rPr>
          <w:rFonts w:hint="eastAsia" w:ascii="宋体" w:hAnsi="宋体" w:eastAsia="宋体" w:cs="宋体"/>
          <w:strike w:val="0"/>
          <w:dstrike w:val="0"/>
          <w:snapToGrid w:val="0"/>
          <w:color w:val="auto"/>
          <w:kern w:val="0"/>
          <w:sz w:val="24"/>
          <w:szCs w:val="24"/>
          <w:lang w:val="en-US" w:eastAsia="zh-CN" w:bidi="ar"/>
        </w:rPr>
        <w:t>1、质量目标：养护要求达到或优于《园林绿化养护技术规程》</w:t>
      </w:r>
    </w:p>
    <w:p>
      <w:pPr>
        <w:keepNext w:val="0"/>
        <w:keepLines w:val="0"/>
        <w:pageBreakBefore w:val="0"/>
        <w:widowControl w:val="0"/>
        <w:suppressLineNumbers w:val="0"/>
        <w:kinsoku/>
        <w:wordWrap/>
        <w:overflowPunct/>
        <w:topLinePunct w:val="0"/>
        <w:autoSpaceDE/>
        <w:autoSpaceDN/>
        <w:bidi w:val="0"/>
        <w:adjustRightInd/>
        <w:snapToGrid w:val="0"/>
        <w:spacing w:line="460" w:lineRule="exact"/>
        <w:ind w:firstLine="482" w:firstLineChars="0"/>
        <w:jc w:val="left"/>
        <w:textAlignment w:val="auto"/>
        <w:outlineLvl w:val="9"/>
        <w:rPr>
          <w:rFonts w:hint="eastAsia" w:ascii="宋体" w:hAnsi="宋体" w:eastAsia="宋体" w:cs="宋体"/>
          <w:b/>
          <w:bCs/>
          <w:snapToGrid w:val="0"/>
          <w:color w:val="auto"/>
          <w:kern w:val="0"/>
          <w:sz w:val="24"/>
          <w:szCs w:val="24"/>
          <w:lang w:val="zh-CN"/>
        </w:rPr>
      </w:pPr>
      <w:r>
        <w:rPr>
          <w:rFonts w:hint="eastAsia" w:ascii="宋体" w:hAnsi="宋体" w:eastAsia="宋体" w:cs="宋体"/>
          <w:snapToGrid w:val="0"/>
          <w:color w:val="auto"/>
          <w:kern w:val="0"/>
          <w:sz w:val="24"/>
          <w:szCs w:val="24"/>
          <w:lang w:val="en-US" w:eastAsia="zh-CN" w:bidi="ar"/>
        </w:rPr>
        <w:t>2、安全目标：确保安全无事故发生。</w:t>
      </w:r>
    </w:p>
    <w:bookmarkEnd w:id="273"/>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highlight w:val="none"/>
          <w:lang w:val="zh-CN"/>
        </w:rPr>
      </w:pPr>
      <w:bookmarkStart w:id="275" w:name="_Toc6089"/>
      <w:bookmarkStart w:id="276" w:name="_Toc24395"/>
      <w:r>
        <w:rPr>
          <w:rFonts w:hint="eastAsia" w:ascii="宋体" w:hAnsi="宋体" w:eastAsia="宋体" w:cs="宋体"/>
          <w:b/>
          <w:bCs/>
          <w:snapToGrid w:val="0"/>
          <w:color w:val="auto"/>
          <w:kern w:val="0"/>
          <w:sz w:val="24"/>
          <w:szCs w:val="24"/>
          <w:highlight w:val="none"/>
          <w:lang w:val="zh-CN"/>
        </w:rPr>
        <w:t>第六条 付</w:t>
      </w:r>
      <w:bookmarkEnd w:id="275"/>
      <w:r>
        <w:rPr>
          <w:rFonts w:hint="eastAsia" w:ascii="宋体" w:hAnsi="宋体" w:eastAsia="宋体" w:cs="宋体"/>
          <w:b/>
          <w:bCs/>
          <w:snapToGrid w:val="0"/>
          <w:color w:val="auto"/>
          <w:kern w:val="0"/>
          <w:sz w:val="24"/>
          <w:szCs w:val="24"/>
          <w:highlight w:val="none"/>
          <w:lang w:val="zh-CN"/>
        </w:rPr>
        <w:t>款条件</w:t>
      </w:r>
      <w:bookmarkEnd w:id="276"/>
    </w:p>
    <w:p>
      <w:pPr>
        <w:keepNext w:val="0"/>
        <w:keepLines w:val="0"/>
        <w:pageBreakBefore w:val="0"/>
        <w:widowControl w:val="0"/>
        <w:kinsoku/>
        <w:wordWrap/>
        <w:overflowPunct/>
        <w:topLinePunct w:val="0"/>
        <w:autoSpaceDE/>
        <w:autoSpaceDN/>
        <w:bidi w:val="0"/>
        <w:adjustRightInd/>
        <w:snapToGrid w:val="0"/>
        <w:spacing w:line="460" w:lineRule="exact"/>
        <w:ind w:firstLine="482" w:firstLineChars="0"/>
        <w:textAlignment w:val="auto"/>
        <w:rPr>
          <w:rFonts w:hint="default" w:ascii="宋体" w:hAnsi="宋体" w:eastAsia="宋体" w:cs="宋体"/>
          <w:snapToGrid w:val="0"/>
          <w:color w:val="auto"/>
          <w:kern w:val="0"/>
          <w:sz w:val="24"/>
          <w:szCs w:val="24"/>
          <w:highlight w:val="none"/>
          <w:lang w:val="en-US" w:eastAsia="zh-CN"/>
        </w:rPr>
      </w:pPr>
      <w:bookmarkStart w:id="277" w:name="_Toc20309"/>
      <w:r>
        <w:rPr>
          <w:rFonts w:hint="eastAsia" w:ascii="宋体" w:hAnsi="宋体" w:eastAsia="宋体" w:cs="宋体"/>
          <w:snapToGrid w:val="0"/>
          <w:color w:val="auto"/>
          <w:kern w:val="0"/>
          <w:sz w:val="24"/>
          <w:szCs w:val="24"/>
          <w:highlight w:val="none"/>
        </w:rPr>
        <w:t>绿化养护服务费为</w:t>
      </w:r>
      <w:r>
        <w:rPr>
          <w:rFonts w:hint="eastAsia" w:ascii="宋体" w:hAnsi="宋体" w:eastAsia="宋体" w:cs="宋体"/>
          <w:snapToGrid w:val="0"/>
          <w:color w:val="auto"/>
          <w:kern w:val="0"/>
          <w:sz w:val="24"/>
          <w:szCs w:val="24"/>
          <w:highlight w:val="none"/>
          <w:lang w:eastAsia="zh-CN"/>
        </w:rPr>
        <w:t>（大写）</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元整（</w:t>
      </w:r>
      <w:r>
        <w:rPr>
          <w:rFonts w:hint="eastAsia" w:ascii="宋体" w:hAnsi="宋体" w:eastAsia="宋体" w:cs="宋体"/>
          <w:snapToGrid w:val="0"/>
          <w:color w:val="auto"/>
          <w:kern w:val="0"/>
          <w:sz w:val="24"/>
          <w:szCs w:val="24"/>
          <w:highlight w:val="none"/>
          <w:u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其中暂列金     万元。</w:t>
      </w:r>
    </w:p>
    <w:p>
      <w:pPr>
        <w:keepNext w:val="0"/>
        <w:keepLines w:val="0"/>
        <w:pageBreakBefore w:val="0"/>
        <w:widowControl w:val="0"/>
        <w:numPr>
          <w:ilvl w:val="0"/>
          <w:numId w:val="23"/>
        </w:numPr>
        <w:kinsoku/>
        <w:wordWrap/>
        <w:overflowPunct/>
        <w:topLinePunct w:val="0"/>
        <w:autoSpaceDE/>
        <w:autoSpaceDN/>
        <w:bidi w:val="0"/>
        <w:adjustRightInd/>
        <w:snapToGrid w:val="0"/>
        <w:spacing w:line="460" w:lineRule="exact"/>
        <w:ind w:firstLine="482" w:firstLineChars="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绿化养护服务费</w:t>
      </w:r>
      <w:r>
        <w:rPr>
          <w:rFonts w:hint="eastAsia" w:ascii="宋体" w:hAnsi="宋体" w:eastAsia="宋体" w:cs="宋体"/>
          <w:snapToGrid w:val="0"/>
          <w:color w:val="auto"/>
          <w:kern w:val="0"/>
          <w:sz w:val="24"/>
          <w:szCs w:val="24"/>
          <w:highlight w:val="none"/>
        </w:rPr>
        <w:t>采用先作业后拨付的方式，当月经费经考核检查奖罚后兑现。</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480" w:firstLineChars="200"/>
        <w:textAlignment w:val="auto"/>
        <w:rPr>
          <w:rFonts w:hint="eastAsia" w:cs="宋体"/>
          <w:b w:val="0"/>
          <w:strike/>
          <w:dstrike w:val="0"/>
          <w:snapToGrid w:val="0"/>
          <w:color w:val="0070C0"/>
          <w:kern w:val="0"/>
          <w:sz w:val="24"/>
          <w:szCs w:val="24"/>
          <w:highlight w:val="none"/>
          <w:lang w:val="en-US" w:eastAsia="zh-CN" w:bidi="ar"/>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eastAsia="zh-CN"/>
        </w:rPr>
        <w:t>绿化养护服务费</w:t>
      </w:r>
      <w:r>
        <w:rPr>
          <w:rFonts w:hint="eastAsia" w:ascii="宋体" w:hAnsi="宋体" w:eastAsia="宋体" w:cs="宋体"/>
          <w:snapToGrid w:val="0"/>
          <w:color w:val="auto"/>
          <w:kern w:val="0"/>
          <w:sz w:val="24"/>
          <w:szCs w:val="24"/>
          <w:highlight w:val="none"/>
        </w:rPr>
        <w:t>的支付与养护质量挂钩。达不到合同约定的养护质量标准时，双方约定按照以下方式核减合同价款：按月考核综合得分情况，低于95分，每扣1分扣除</w:t>
      </w:r>
      <w:r>
        <w:rPr>
          <w:rFonts w:hint="eastAsia" w:ascii="宋体" w:hAnsi="宋体" w:eastAsia="宋体" w:cs="宋体"/>
          <w:snapToGrid w:val="0"/>
          <w:color w:val="auto"/>
          <w:kern w:val="0"/>
          <w:sz w:val="24"/>
          <w:szCs w:val="24"/>
          <w:highlight w:val="none"/>
          <w:lang w:eastAsia="zh-CN"/>
        </w:rPr>
        <w:t>绿化养护服务费</w:t>
      </w:r>
      <w:r>
        <w:rPr>
          <w:rFonts w:hint="eastAsia" w:ascii="宋体" w:hAnsi="宋体" w:eastAsia="宋体" w:cs="宋体"/>
          <w:snapToGrid w:val="0"/>
          <w:color w:val="auto"/>
          <w:kern w:val="0"/>
          <w:sz w:val="24"/>
          <w:szCs w:val="24"/>
          <w:highlight w:val="none"/>
          <w:u w:val="single"/>
        </w:rPr>
        <w:t xml:space="preserve">800 </w:t>
      </w:r>
      <w:r>
        <w:rPr>
          <w:rFonts w:hint="eastAsia" w:ascii="宋体" w:hAnsi="宋体" w:eastAsia="宋体" w:cs="宋体"/>
          <w:snapToGrid w:val="0"/>
          <w:color w:val="auto"/>
          <w:kern w:val="0"/>
          <w:sz w:val="24"/>
          <w:szCs w:val="24"/>
          <w:highlight w:val="none"/>
        </w:rPr>
        <w:t>元整</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低于90分，每分扣</w:t>
      </w:r>
      <w:r>
        <w:rPr>
          <w:rFonts w:hint="eastAsia" w:ascii="宋体" w:hAnsi="宋体" w:eastAsia="宋体" w:cs="宋体"/>
          <w:snapToGrid w:val="0"/>
          <w:color w:val="auto"/>
          <w:kern w:val="0"/>
          <w:sz w:val="24"/>
          <w:szCs w:val="24"/>
          <w:highlight w:val="none"/>
          <w:u w:val="single"/>
        </w:rPr>
        <w:t xml:space="preserve">2400 </w:t>
      </w:r>
      <w:r>
        <w:rPr>
          <w:rFonts w:hint="eastAsia" w:ascii="宋体" w:hAnsi="宋体" w:eastAsia="宋体" w:cs="宋体"/>
          <w:snapToGrid w:val="0"/>
          <w:color w:val="auto"/>
          <w:kern w:val="0"/>
          <w:sz w:val="24"/>
          <w:szCs w:val="24"/>
          <w:highlight w:val="none"/>
        </w:rPr>
        <w:t>元整</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b/>
          <w:bCs/>
          <w:snapToGrid w:val="0"/>
          <w:color w:val="auto"/>
          <w:kern w:val="0"/>
          <w:sz w:val="24"/>
          <w:szCs w:val="24"/>
          <w:highlight w:val="none"/>
        </w:rPr>
        <w:t>低于70分，</w:t>
      </w:r>
      <w:r>
        <w:rPr>
          <w:rFonts w:hint="eastAsia" w:ascii="宋体" w:hAnsi="宋体" w:eastAsia="宋体" w:cs="宋体"/>
          <w:b/>
          <w:bCs/>
          <w:color w:val="auto"/>
          <w:spacing w:val="5"/>
          <w:kern w:val="2"/>
          <w:sz w:val="24"/>
          <w:szCs w:val="24"/>
          <w:highlight w:val="none"/>
          <w:lang w:val="en-US" w:eastAsia="zh-CN" w:bidi="ar-SA"/>
        </w:rPr>
        <w:t>甲方有权视情况中止合同，</w:t>
      </w:r>
      <w:r>
        <w:rPr>
          <w:rFonts w:hint="eastAsia" w:ascii="宋体" w:hAnsi="宋体" w:eastAsia="宋体" w:cs="宋体"/>
          <w:b/>
          <w:bCs/>
          <w:color w:val="auto"/>
          <w:sz w:val="24"/>
          <w:szCs w:val="24"/>
          <w:highlight w:val="none"/>
          <w:lang w:val="en-US" w:eastAsia="zh-CN"/>
        </w:rPr>
        <w:t>扣除当月服务费，由</w:t>
      </w:r>
      <w:r>
        <w:rPr>
          <w:rFonts w:hint="eastAsia" w:cs="宋体"/>
          <w:b/>
          <w:bCs/>
          <w:color w:val="auto"/>
          <w:sz w:val="24"/>
          <w:szCs w:val="24"/>
          <w:highlight w:val="none"/>
          <w:lang w:val="en-US" w:eastAsia="zh-CN"/>
        </w:rPr>
        <w:t>甲方</w:t>
      </w:r>
      <w:r>
        <w:rPr>
          <w:rFonts w:hint="eastAsia" w:ascii="宋体" w:hAnsi="宋体" w:eastAsia="宋体" w:cs="宋体"/>
          <w:b/>
          <w:bCs/>
          <w:color w:val="auto"/>
          <w:sz w:val="24"/>
          <w:szCs w:val="24"/>
          <w:highlight w:val="none"/>
          <w:lang w:val="en-US" w:eastAsia="zh-CN"/>
        </w:rPr>
        <w:t>接管。</w:t>
      </w:r>
      <w:r>
        <w:rPr>
          <w:rFonts w:hint="eastAsia" w:ascii="宋体" w:hAnsi="宋体" w:eastAsia="宋体" w:cs="宋体"/>
          <w:snapToGrid w:val="0"/>
          <w:color w:val="auto"/>
          <w:kern w:val="0"/>
          <w:sz w:val="24"/>
          <w:szCs w:val="24"/>
          <w:highlight w:val="none"/>
        </w:rPr>
        <w:t>（综合得分=∑（各区域得分*权重））</w:t>
      </w:r>
      <w:r>
        <w:rPr>
          <w:rFonts w:hint="eastAsia" w:ascii="宋体" w:hAnsi="宋体" w:eastAsia="宋体" w:cs="宋体"/>
          <w:b w:val="0"/>
          <w:bCs w:val="0"/>
          <w:snapToGrid w:val="0"/>
          <w:color w:val="auto"/>
          <w:kern w:val="0"/>
          <w:sz w:val="24"/>
          <w:szCs w:val="24"/>
          <w:highlight w:val="none"/>
          <w:lang w:val="en-US" w:eastAsia="zh-CN"/>
        </w:rPr>
        <w:t>。</w:t>
      </w:r>
      <w:r>
        <w:rPr>
          <w:rFonts w:hint="eastAsia" w:ascii="宋体" w:hAnsi="宋体" w:eastAsia="宋体" w:cs="宋体"/>
          <w:color w:val="auto"/>
          <w:sz w:val="24"/>
          <w:szCs w:val="24"/>
          <w:highlight w:val="none"/>
          <w:lang w:val="zh-CN" w:eastAsia="zh-CN"/>
        </w:rPr>
        <w:t>本项目</w:t>
      </w:r>
      <w:r>
        <w:rPr>
          <w:rFonts w:hint="eastAsia" w:cs="宋体"/>
          <w:b w:val="0"/>
          <w:snapToGrid w:val="0"/>
          <w:color w:val="auto"/>
          <w:kern w:val="0"/>
          <w:sz w:val="24"/>
          <w:szCs w:val="24"/>
          <w:highlight w:val="none"/>
          <w:lang w:val="en-US" w:eastAsia="zh-CN" w:bidi="ar"/>
        </w:rPr>
        <w:t>30万元/年</w:t>
      </w:r>
      <w:r>
        <w:rPr>
          <w:rFonts w:hint="eastAsia" w:ascii="宋体" w:hAnsi="宋体" w:eastAsia="宋体" w:cs="宋体"/>
          <w:b w:val="0"/>
          <w:snapToGrid w:val="0"/>
          <w:color w:val="auto"/>
          <w:kern w:val="0"/>
          <w:sz w:val="24"/>
          <w:szCs w:val="24"/>
          <w:highlight w:val="none"/>
          <w:lang w:val="en-US" w:eastAsia="zh-CN" w:bidi="ar"/>
        </w:rPr>
        <w:t>为绿化补植费用</w:t>
      </w:r>
      <w:r>
        <w:rPr>
          <w:rFonts w:hint="default" w:cs="宋体"/>
          <w:b w:val="0"/>
          <w:snapToGrid w:val="0"/>
          <w:color w:val="auto"/>
          <w:kern w:val="0"/>
          <w:sz w:val="24"/>
          <w:szCs w:val="24"/>
          <w:highlight w:val="none"/>
          <w:lang w:eastAsia="zh-CN" w:bidi="ar"/>
        </w:rPr>
        <w:t>及暂列金</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eastAsia="zh-CN" w:bidi="ar"/>
        </w:rPr>
        <w:t>2.5万元</w:t>
      </w:r>
      <w:r>
        <w:rPr>
          <w:rFonts w:hint="eastAsia" w:cs="宋体"/>
          <w:b w:val="0"/>
          <w:snapToGrid w:val="0"/>
          <w:color w:val="auto"/>
          <w:kern w:val="0"/>
          <w:sz w:val="24"/>
          <w:szCs w:val="24"/>
          <w:highlight w:val="none"/>
          <w:lang w:val="en-US" w:eastAsia="zh-CN" w:bidi="ar"/>
        </w:rPr>
        <w:t>/</w:t>
      </w:r>
      <w:r>
        <w:rPr>
          <w:rFonts w:hint="default" w:cs="宋体"/>
          <w:b w:val="0"/>
          <w:snapToGrid w:val="0"/>
          <w:color w:val="auto"/>
          <w:kern w:val="0"/>
          <w:sz w:val="24"/>
          <w:szCs w:val="24"/>
          <w:highlight w:val="none"/>
          <w:lang w:eastAsia="zh-CN" w:bidi="ar"/>
        </w:rPr>
        <w:t>年为安全生产费用，</w:t>
      </w:r>
      <w:r>
        <w:rPr>
          <w:rFonts w:hint="eastAsia" w:ascii="宋体" w:hAnsi="宋体" w:eastAsia="宋体" w:cs="宋体"/>
          <w:b w:val="0"/>
          <w:snapToGrid w:val="0"/>
          <w:color w:val="auto"/>
          <w:kern w:val="0"/>
          <w:sz w:val="24"/>
          <w:szCs w:val="24"/>
          <w:highlight w:val="none"/>
          <w:lang w:val="en-US" w:eastAsia="zh-CN" w:bidi="ar"/>
        </w:rPr>
        <w:t>全额列入投标总价（固定不变），供应商在报价中不得更改（此项费用采购方根据实际需要确定，工程量按实结算，套用现行</w:t>
      </w:r>
      <w:r>
        <w:rPr>
          <w:rFonts w:hint="default" w:cs="宋体"/>
          <w:b w:val="0"/>
          <w:snapToGrid w:val="0"/>
          <w:color w:val="auto"/>
          <w:kern w:val="0"/>
          <w:sz w:val="24"/>
          <w:szCs w:val="24"/>
          <w:highlight w:val="none"/>
          <w:lang w:eastAsia="zh-CN" w:bidi="ar"/>
        </w:rPr>
        <w:t>市政</w:t>
      </w:r>
      <w:r>
        <w:rPr>
          <w:rFonts w:hint="eastAsia" w:ascii="宋体" w:hAnsi="宋体" w:eastAsia="宋体" w:cs="宋体"/>
          <w:b w:val="0"/>
          <w:snapToGrid w:val="0"/>
          <w:color w:val="auto"/>
          <w:kern w:val="0"/>
          <w:sz w:val="24"/>
          <w:szCs w:val="24"/>
          <w:highlight w:val="none"/>
          <w:lang w:val="en-US" w:eastAsia="zh-CN" w:bidi="ar"/>
        </w:rPr>
        <w:t>相关定额和施工期信息价组价后下浮8%为结算单价</w:t>
      </w:r>
      <w:r>
        <w:rPr>
          <w:rFonts w:hint="eastAsia" w:cs="宋体"/>
          <w:b w:val="0"/>
          <w:snapToGrid w:val="0"/>
          <w:color w:val="auto"/>
          <w:kern w:val="0"/>
          <w:sz w:val="24"/>
          <w:szCs w:val="24"/>
          <w:highlight w:val="none"/>
          <w:lang w:val="en-US" w:eastAsia="zh-CN" w:bidi="ar"/>
        </w:rPr>
        <w:t>结算，结算后付至款项的80%</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val="en-US" w:eastAsia="zh-CN" w:bidi="ar"/>
        </w:rPr>
        <w:t>余款</w:t>
      </w:r>
      <w:r>
        <w:rPr>
          <w:rFonts w:hint="eastAsia" w:ascii="宋体" w:hAnsi="宋体" w:eastAsia="宋体" w:cs="宋体"/>
          <w:b w:val="0"/>
          <w:snapToGrid w:val="0"/>
          <w:color w:val="auto"/>
          <w:kern w:val="0"/>
          <w:sz w:val="24"/>
          <w:szCs w:val="24"/>
          <w:highlight w:val="none"/>
          <w:lang w:val="en-US" w:eastAsia="zh-CN" w:bidi="ar"/>
        </w:rPr>
        <w:t>经审计后支付）</w:t>
      </w: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snapToGrid w:val="0"/>
          <w:color w:val="auto"/>
          <w:sz w:val="24"/>
          <w:szCs w:val="24"/>
          <w:highlight w:val="none"/>
        </w:rPr>
        <w:t>▲</w:t>
      </w:r>
      <w:r>
        <w:rPr>
          <w:rFonts w:hint="eastAsia" w:ascii="宋体" w:hAnsi="宋体" w:eastAsia="宋体" w:cs="宋体"/>
          <w:b w:val="0"/>
          <w:snapToGrid w:val="0"/>
          <w:color w:val="auto"/>
          <w:kern w:val="0"/>
          <w:sz w:val="24"/>
          <w:szCs w:val="24"/>
          <w:highlight w:val="none"/>
          <w:lang w:val="en-US" w:eastAsia="zh-CN" w:bidi="ar"/>
        </w:rPr>
        <w:t>灵山江沿江公路（石角至溪毛线）预计2025年5月移交，</w:t>
      </w:r>
      <w:r>
        <w:rPr>
          <w:rFonts w:hint="eastAsia" w:cs="宋体"/>
          <w:b w:val="0"/>
          <w:strike w:val="0"/>
          <w:dstrike w:val="0"/>
          <w:snapToGrid w:val="0"/>
          <w:color w:val="auto"/>
          <w:kern w:val="0"/>
          <w:sz w:val="24"/>
          <w:szCs w:val="24"/>
          <w:highlight w:val="none"/>
          <w:lang w:val="en-US" w:eastAsia="zh-CN" w:bidi="ar"/>
        </w:rPr>
        <w:t>移交后根据业主指令，增加</w:t>
      </w:r>
      <w:r>
        <w:rPr>
          <w:rFonts w:hint="default" w:cs="宋体"/>
          <w:b w:val="0"/>
          <w:strike w:val="0"/>
          <w:dstrike w:val="0"/>
          <w:snapToGrid w:val="0"/>
          <w:color w:val="auto"/>
          <w:kern w:val="0"/>
          <w:sz w:val="24"/>
          <w:szCs w:val="24"/>
          <w:highlight w:val="none"/>
          <w:lang w:eastAsia="zh-CN" w:bidi="ar"/>
        </w:rPr>
        <w:t>固定</w:t>
      </w:r>
      <w:r>
        <w:rPr>
          <w:rFonts w:hint="eastAsia" w:cs="宋体"/>
          <w:b w:val="0"/>
          <w:strike w:val="0"/>
          <w:dstrike w:val="0"/>
          <w:snapToGrid w:val="0"/>
          <w:color w:val="auto"/>
          <w:kern w:val="0"/>
          <w:sz w:val="24"/>
          <w:szCs w:val="24"/>
          <w:highlight w:val="none"/>
          <w:lang w:val="en-US" w:eastAsia="zh-CN" w:bidi="ar"/>
        </w:rPr>
        <w:t>绿化工人数，工资按3500元/月*人（固定单价不参与投标下浮）计算，费用从绿化补植及暂列金中列支。</w:t>
      </w:r>
      <w:r>
        <w:rPr>
          <w:rFonts w:hint="eastAsia" w:ascii="宋体" w:hAnsi="宋体" w:eastAsia="宋体" w:cs="宋体"/>
          <w:b w:val="0"/>
          <w:snapToGrid w:val="0"/>
          <w:color w:val="auto"/>
          <w:kern w:val="0"/>
          <w:sz w:val="24"/>
          <w:szCs w:val="24"/>
          <w:highlight w:val="none"/>
          <w:lang w:val="en-US" w:eastAsia="zh-CN" w:bidi="ar"/>
        </w:rPr>
        <w:t>灵山江</w:t>
      </w:r>
      <w:r>
        <w:rPr>
          <w:rFonts w:hint="eastAsia" w:cs="宋体"/>
          <w:b w:val="0"/>
          <w:snapToGrid w:val="0"/>
          <w:color w:val="auto"/>
          <w:kern w:val="0"/>
          <w:sz w:val="24"/>
          <w:szCs w:val="24"/>
          <w:highlight w:val="none"/>
          <w:lang w:val="en-US" w:eastAsia="zh-CN" w:bidi="ar"/>
        </w:rPr>
        <w:t>沿江公路</w:t>
      </w:r>
      <w:r>
        <w:rPr>
          <w:rFonts w:hint="eastAsia" w:ascii="宋体" w:hAnsi="宋体" w:eastAsia="宋体" w:cs="宋体"/>
          <w:b w:val="0"/>
          <w:snapToGrid w:val="0"/>
          <w:color w:val="auto"/>
          <w:kern w:val="0"/>
          <w:sz w:val="24"/>
          <w:szCs w:val="24"/>
          <w:highlight w:val="none"/>
          <w:lang w:val="en-US" w:eastAsia="zh-CN" w:bidi="ar"/>
        </w:rPr>
        <w:t>（石角至溪毛线）</w:t>
      </w:r>
      <w:r>
        <w:rPr>
          <w:rFonts w:hint="eastAsia" w:cs="宋体"/>
          <w:b w:val="0"/>
          <w:snapToGrid w:val="0"/>
          <w:color w:val="auto"/>
          <w:kern w:val="0"/>
          <w:sz w:val="24"/>
          <w:szCs w:val="24"/>
          <w:highlight w:val="none"/>
          <w:lang w:val="en-US" w:eastAsia="zh-CN" w:bidi="ar"/>
        </w:rPr>
        <w:t xml:space="preserve"> 移交前每天到位人数不少于14人。</w:t>
      </w:r>
    </w:p>
    <w:p>
      <w:pPr>
        <w:pStyle w:val="22"/>
        <w:keepNext w:val="0"/>
        <w:keepLines w:val="0"/>
        <w:pageBreakBefore w:val="0"/>
        <w:widowControl w:val="0"/>
        <w:kinsoku/>
        <w:wordWrap/>
        <w:overflowPunct/>
        <w:topLinePunct w:val="0"/>
        <w:autoSpaceDE/>
        <w:autoSpaceDN/>
        <w:bidi w:val="0"/>
        <w:adjustRightInd/>
        <w:snapToGrid w:val="0"/>
        <w:spacing w:line="360" w:lineRule="auto"/>
        <w:ind w:left="2880" w:leftChars="218" w:right="-74" w:hanging="2400" w:hangingChars="1000"/>
        <w:textAlignment w:val="auto"/>
        <w:rPr>
          <w:rFonts w:hint="eastAsia"/>
          <w:highlight w:val="none"/>
        </w:rPr>
      </w:pPr>
      <w:r>
        <w:rPr>
          <w:rFonts w:hint="eastAsia" w:ascii="宋体" w:hAnsi="宋体" w:eastAsia="宋体" w:cs="宋体"/>
          <w:color w:val="auto"/>
          <w:sz w:val="24"/>
          <w:highlight w:val="none"/>
          <w:lang w:val="en-US" w:eastAsia="zh-CN"/>
        </w:rPr>
        <w:t>普通</w:t>
      </w:r>
      <w:r>
        <w:rPr>
          <w:rFonts w:hint="default" w:ascii="宋体" w:hAnsi="宋体" w:eastAsia="宋体" w:cs="宋体"/>
          <w:color w:val="auto"/>
          <w:sz w:val="24"/>
          <w:highlight w:val="none"/>
          <w:lang w:eastAsia="zh-CN"/>
        </w:rPr>
        <w:t>绿化养护工</w:t>
      </w:r>
      <w:r>
        <w:rPr>
          <w:rFonts w:hint="eastAsia" w:ascii="宋体" w:hAnsi="宋体" w:eastAsia="宋体" w:cs="宋体"/>
          <w:color w:val="auto"/>
          <w:sz w:val="24"/>
          <w:highlight w:val="none"/>
          <w:lang w:val="en-US" w:eastAsia="zh-CN"/>
        </w:rPr>
        <w:t>的平均工资原则上不得低</w:t>
      </w:r>
      <w:r>
        <w:rPr>
          <w:rFonts w:hint="eastAsia" w:ascii="宋体" w:hAnsi="宋体" w:eastAsia="宋体" w:cs="宋体"/>
          <w:b w:val="0"/>
          <w:strike w:val="0"/>
          <w:dstrike w:val="0"/>
          <w:snapToGrid w:val="0"/>
          <w:color w:val="auto"/>
          <w:kern w:val="0"/>
          <w:sz w:val="24"/>
          <w:szCs w:val="24"/>
          <w:highlight w:val="none"/>
          <w:lang w:val="en-US" w:eastAsia="zh-CN" w:bidi="ar"/>
        </w:rPr>
        <w:t>于3</w:t>
      </w:r>
      <w:r>
        <w:rPr>
          <w:rFonts w:hint="eastAsia" w:cs="宋体"/>
          <w:b w:val="0"/>
          <w:strike w:val="0"/>
          <w:dstrike w:val="0"/>
          <w:snapToGrid w:val="0"/>
          <w:color w:val="auto"/>
          <w:kern w:val="0"/>
          <w:sz w:val="24"/>
          <w:szCs w:val="24"/>
          <w:highlight w:val="none"/>
          <w:lang w:val="en-US" w:eastAsia="zh-CN" w:bidi="ar"/>
        </w:rPr>
        <w:t>2</w:t>
      </w:r>
      <w:r>
        <w:rPr>
          <w:rFonts w:hint="eastAsia" w:ascii="宋体" w:hAnsi="宋体" w:eastAsia="宋体" w:cs="宋体"/>
          <w:b w:val="0"/>
          <w:strike w:val="0"/>
          <w:dstrike w:val="0"/>
          <w:snapToGrid w:val="0"/>
          <w:color w:val="auto"/>
          <w:kern w:val="0"/>
          <w:sz w:val="24"/>
          <w:szCs w:val="24"/>
          <w:highlight w:val="none"/>
          <w:lang w:val="en-US" w:eastAsia="zh-CN" w:bidi="ar"/>
        </w:rPr>
        <w:t>00元/月。</w:t>
      </w:r>
    </w:p>
    <w:p>
      <w:pPr>
        <w:keepNext w:val="0"/>
        <w:keepLines w:val="0"/>
        <w:pageBreakBefore w:val="0"/>
        <w:widowControl w:val="0"/>
        <w:kinsoku/>
        <w:wordWrap/>
        <w:overflowPunct/>
        <w:topLinePunct w:val="0"/>
        <w:autoSpaceDE w:val="0"/>
        <w:autoSpaceDN w:val="0"/>
        <w:bidi w:val="0"/>
        <w:adjustRightInd w:val="0"/>
        <w:snapToGrid w:val="0"/>
        <w:spacing w:line="4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zh-CN"/>
        </w:rPr>
        <w:t>此</w:t>
      </w:r>
      <w:r>
        <w:rPr>
          <w:rFonts w:hint="eastAsia" w:cs="宋体"/>
          <w:snapToGrid w:val="0"/>
          <w:color w:val="auto"/>
          <w:kern w:val="0"/>
          <w:sz w:val="24"/>
          <w:szCs w:val="24"/>
          <w:highlight w:val="none"/>
          <w:lang w:val="en-US" w:eastAsia="zh-CN"/>
        </w:rPr>
        <w:t>服务费</w:t>
      </w:r>
      <w:r>
        <w:rPr>
          <w:rFonts w:hint="eastAsia" w:ascii="宋体" w:hAnsi="宋体" w:eastAsia="宋体" w:cs="宋体"/>
          <w:snapToGrid w:val="0"/>
          <w:color w:val="auto"/>
          <w:kern w:val="0"/>
          <w:sz w:val="24"/>
          <w:szCs w:val="24"/>
          <w:highlight w:val="none"/>
          <w:lang w:val="zh-CN"/>
        </w:rPr>
        <w:t>是乙方</w:t>
      </w:r>
      <w:r>
        <w:rPr>
          <w:rFonts w:hint="eastAsia" w:ascii="宋体" w:hAnsi="宋体" w:eastAsia="宋体" w:cs="宋体"/>
          <w:bCs/>
          <w:snapToGrid w:val="0"/>
          <w:color w:val="auto"/>
          <w:kern w:val="0"/>
          <w:sz w:val="24"/>
          <w:szCs w:val="24"/>
          <w:highlight w:val="none"/>
        </w:rPr>
        <w:t>在正确地完全履行合同义务后</w:t>
      </w:r>
      <w:r>
        <w:rPr>
          <w:rFonts w:hint="eastAsia" w:cs="宋体"/>
          <w:bCs/>
          <w:snapToGrid w:val="0"/>
          <w:color w:val="auto"/>
          <w:kern w:val="0"/>
          <w:sz w:val="24"/>
          <w:szCs w:val="24"/>
          <w:highlight w:val="none"/>
          <w:lang w:val="en-US" w:eastAsia="zh-CN"/>
        </w:rPr>
        <w:t>甲方</w:t>
      </w:r>
      <w:r>
        <w:rPr>
          <w:rFonts w:hint="eastAsia" w:ascii="宋体" w:hAnsi="宋体" w:eastAsia="宋体" w:cs="宋体"/>
          <w:bCs/>
          <w:snapToGrid w:val="0"/>
          <w:color w:val="auto"/>
          <w:kern w:val="0"/>
          <w:sz w:val="24"/>
          <w:szCs w:val="24"/>
          <w:highlight w:val="none"/>
        </w:rPr>
        <w:t>应支付的服务价</w:t>
      </w:r>
      <w:r>
        <w:rPr>
          <w:rFonts w:hint="eastAsia" w:ascii="宋体" w:hAnsi="宋体" w:eastAsia="宋体" w:cs="宋体"/>
          <w:bCs/>
          <w:snapToGrid w:val="0"/>
          <w:color w:val="auto"/>
          <w:kern w:val="0"/>
          <w:sz w:val="24"/>
          <w:szCs w:val="24"/>
          <w:highlight w:val="none"/>
          <w:lang w:eastAsia="zh-CN"/>
        </w:rPr>
        <w:t>格</w:t>
      </w:r>
      <w:r>
        <w:rPr>
          <w:rFonts w:hint="eastAsia" w:ascii="宋体" w:hAnsi="宋体" w:eastAsia="宋体" w:cs="宋体"/>
          <w:snapToGrid w:val="0"/>
          <w:color w:val="auto"/>
          <w:kern w:val="0"/>
          <w:sz w:val="24"/>
          <w:szCs w:val="24"/>
          <w:highlight w:val="none"/>
          <w:lang w:val="en-US" w:eastAsia="zh-CN" w:bidi="ar"/>
        </w:rPr>
        <w:t>，包括按招标文件规定</w:t>
      </w:r>
      <w:r>
        <w:rPr>
          <w:rFonts w:hint="eastAsia" w:ascii="宋体" w:hAnsi="宋体" w:eastAsia="宋体" w:cs="宋体"/>
          <w:snapToGrid w:val="0"/>
          <w:color w:val="auto"/>
          <w:kern w:val="0"/>
          <w:sz w:val="24"/>
          <w:szCs w:val="24"/>
          <w:lang w:val="en-US" w:eastAsia="zh-CN" w:bidi="ar"/>
        </w:rPr>
        <w:t>由乙方承担的费用、人工、设备、材料、管理、</w:t>
      </w:r>
      <w:r>
        <w:rPr>
          <w:rFonts w:hint="eastAsia" w:ascii="宋体" w:hAnsi="宋体" w:eastAsia="宋体" w:cs="宋体"/>
          <w:bCs/>
          <w:snapToGrid w:val="0"/>
          <w:color w:val="auto"/>
          <w:kern w:val="0"/>
          <w:sz w:val="24"/>
          <w:szCs w:val="24"/>
          <w:lang w:val="zh-CN"/>
        </w:rPr>
        <w:t>工具耗材费、工具维修费及清理费、机械折旧费、</w:t>
      </w:r>
      <w:r>
        <w:rPr>
          <w:rFonts w:hint="eastAsia" w:ascii="宋体" w:hAnsi="宋体" w:eastAsia="宋体" w:cs="宋体"/>
          <w:bCs/>
          <w:snapToGrid w:val="0"/>
          <w:color w:val="auto"/>
          <w:kern w:val="0"/>
          <w:sz w:val="24"/>
          <w:szCs w:val="24"/>
          <w:lang w:val="en-US" w:eastAsia="zh-CN"/>
        </w:rPr>
        <w:t>餐费、白蚁防治费、保险、利润和税金、招标代理费，以及政策性文件规定费用及合同</w:t>
      </w:r>
      <w:r>
        <w:rPr>
          <w:rFonts w:hint="eastAsia" w:ascii="宋体" w:hAnsi="宋体" w:eastAsia="宋体" w:cs="宋体"/>
          <w:snapToGrid w:val="0"/>
          <w:color w:val="auto"/>
          <w:kern w:val="0"/>
          <w:sz w:val="24"/>
          <w:szCs w:val="24"/>
          <w:lang w:val="en-US" w:eastAsia="zh-CN" w:bidi="ar"/>
        </w:rPr>
        <w:t>包含的所有风险、责任等所有费用。</w:t>
      </w:r>
      <w:r>
        <w:rPr>
          <w:rFonts w:hint="eastAsia" w:ascii="宋体" w:hAnsi="宋体" w:eastAsia="宋体" w:cs="宋体"/>
          <w:bCs/>
          <w:snapToGrid w:val="0"/>
          <w:color w:val="auto"/>
          <w:kern w:val="0"/>
          <w:sz w:val="24"/>
          <w:szCs w:val="24"/>
        </w:rPr>
        <w:t>如有漏项，视同已包含在其它</w:t>
      </w:r>
      <w:r>
        <w:rPr>
          <w:rFonts w:hint="eastAsia" w:ascii="宋体" w:hAnsi="宋体" w:eastAsia="宋体" w:cs="宋体"/>
          <w:bCs/>
          <w:snapToGrid w:val="0"/>
          <w:color w:val="auto"/>
          <w:kern w:val="0"/>
          <w:sz w:val="24"/>
          <w:szCs w:val="24"/>
          <w:lang w:eastAsia="zh-CN"/>
        </w:rPr>
        <w:t>项目</w:t>
      </w:r>
      <w:r>
        <w:rPr>
          <w:rFonts w:hint="eastAsia" w:ascii="宋体" w:hAnsi="宋体" w:eastAsia="宋体" w:cs="宋体"/>
          <w:bCs/>
          <w:snapToGrid w:val="0"/>
          <w:color w:val="auto"/>
          <w:kern w:val="0"/>
          <w:sz w:val="24"/>
          <w:szCs w:val="24"/>
        </w:rPr>
        <w:t>中，价格不作调整</w:t>
      </w:r>
      <w:r>
        <w:rPr>
          <w:rFonts w:hint="eastAsia" w:cs="宋体"/>
          <w:bCs/>
          <w:snapToGrid w:val="0"/>
          <w:color w:val="auto"/>
          <w:kern w:val="0"/>
          <w:sz w:val="24"/>
          <w:szCs w:val="24"/>
          <w:lang w:eastAsia="zh-CN"/>
        </w:rPr>
        <w:t>。</w:t>
      </w:r>
      <w:r>
        <w:rPr>
          <w:rFonts w:hint="eastAsia" w:ascii="宋体" w:hAnsi="宋体" w:eastAsia="宋体" w:cs="宋体"/>
          <w:bCs/>
          <w:snapToGrid w:val="0"/>
          <w:color w:val="auto"/>
          <w:kern w:val="0"/>
          <w:sz w:val="24"/>
          <w:szCs w:val="24"/>
          <w:lang w:eastAsia="zh-CN"/>
        </w:rPr>
        <w:t>合同</w:t>
      </w:r>
      <w:r>
        <w:rPr>
          <w:rFonts w:hint="eastAsia" w:ascii="宋体" w:hAnsi="宋体" w:eastAsia="宋体" w:cs="宋体"/>
          <w:bCs/>
          <w:snapToGrid w:val="0"/>
          <w:color w:val="auto"/>
          <w:kern w:val="0"/>
          <w:sz w:val="24"/>
          <w:szCs w:val="24"/>
          <w:highlight w:val="none"/>
          <w:lang w:eastAsia="zh-CN"/>
        </w:rPr>
        <w:t>签订</w:t>
      </w:r>
      <w:r>
        <w:rPr>
          <w:rFonts w:hint="eastAsia" w:ascii="宋体" w:hAnsi="宋体" w:eastAsia="宋体" w:cs="宋体"/>
          <w:bCs/>
          <w:snapToGrid w:val="0"/>
          <w:color w:val="auto"/>
          <w:kern w:val="0"/>
          <w:sz w:val="24"/>
          <w:szCs w:val="24"/>
          <w:highlight w:val="none"/>
        </w:rPr>
        <w:t>后</w:t>
      </w:r>
      <w:r>
        <w:rPr>
          <w:rFonts w:hint="eastAsia" w:ascii="宋体" w:hAnsi="宋体" w:eastAsia="宋体" w:cs="宋体"/>
          <w:bCs/>
          <w:snapToGrid w:val="0"/>
          <w:color w:val="auto"/>
          <w:kern w:val="0"/>
          <w:sz w:val="24"/>
          <w:szCs w:val="24"/>
          <w:highlight w:val="none"/>
          <w:lang w:eastAsia="zh-CN"/>
        </w:rPr>
        <w:t>甲方</w:t>
      </w:r>
      <w:r>
        <w:rPr>
          <w:rFonts w:hint="eastAsia" w:ascii="宋体" w:hAnsi="宋体" w:eastAsia="宋体" w:cs="宋体"/>
          <w:bCs/>
          <w:snapToGrid w:val="0"/>
          <w:color w:val="auto"/>
          <w:kern w:val="0"/>
          <w:sz w:val="24"/>
          <w:szCs w:val="24"/>
          <w:highlight w:val="none"/>
        </w:rPr>
        <w:t>不允许</w:t>
      </w:r>
      <w:r>
        <w:rPr>
          <w:rFonts w:hint="eastAsia" w:ascii="宋体" w:hAnsi="宋体" w:eastAsia="宋体" w:cs="宋体"/>
          <w:bCs/>
          <w:snapToGrid w:val="0"/>
          <w:color w:val="auto"/>
          <w:kern w:val="0"/>
          <w:sz w:val="24"/>
          <w:szCs w:val="24"/>
          <w:highlight w:val="none"/>
          <w:lang w:eastAsia="zh-CN"/>
        </w:rPr>
        <w:t>乙方</w:t>
      </w:r>
      <w:r>
        <w:rPr>
          <w:rFonts w:hint="eastAsia" w:ascii="宋体" w:hAnsi="宋体" w:eastAsia="宋体" w:cs="宋体"/>
          <w:bCs/>
          <w:snapToGrid w:val="0"/>
          <w:color w:val="auto"/>
          <w:kern w:val="0"/>
          <w:sz w:val="24"/>
          <w:szCs w:val="24"/>
          <w:highlight w:val="none"/>
        </w:rPr>
        <w:t>擅自改变服务内容、质量标准、期限和追加项目费用</w:t>
      </w:r>
      <w:r>
        <w:rPr>
          <w:rFonts w:hint="eastAsia" w:ascii="宋体" w:hAnsi="宋体" w:eastAsia="宋体" w:cs="宋体"/>
          <w:snapToGrid w:val="0"/>
          <w:color w:val="auto"/>
          <w:kern w:val="0"/>
          <w:sz w:val="24"/>
          <w:szCs w:val="24"/>
          <w:highlight w:val="none"/>
        </w:rPr>
        <w:t>。</w:t>
      </w:r>
    </w:p>
    <w:p>
      <w:pPr>
        <w:autoSpaceDE w:val="0"/>
        <w:autoSpaceDN w:val="0"/>
        <w:adjustRightInd w:val="0"/>
        <w:snapToGrid w:val="0"/>
        <w:spacing w:line="460" w:lineRule="exact"/>
        <w:ind w:firstLine="482" w:firstLineChars="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rPr>
        <w:t>、▲其他费用</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b/>
          <w:bCs/>
          <w:snapToGrid w:val="0"/>
          <w:color w:val="auto"/>
          <w:sz w:val="24"/>
          <w:szCs w:val="24"/>
          <w:highlight w:val="none"/>
          <w:lang w:val="en-US" w:eastAsia="zh-CN"/>
        </w:rPr>
        <w:t>此项费用固定，费用列入报价，</w:t>
      </w:r>
      <w:r>
        <w:rPr>
          <w:rFonts w:hint="eastAsia" w:ascii="宋体" w:hAnsi="宋体" w:eastAsia="宋体" w:cs="宋体"/>
          <w:b/>
          <w:bCs/>
          <w:snapToGrid w:val="0"/>
          <w:color w:val="auto"/>
          <w:sz w:val="24"/>
          <w:szCs w:val="24"/>
          <w:highlight w:val="none"/>
        </w:rPr>
        <w:t>由</w:t>
      </w:r>
      <w:r>
        <w:rPr>
          <w:rFonts w:hint="eastAsia" w:cs="宋体"/>
          <w:b/>
          <w:bCs/>
          <w:snapToGrid w:val="0"/>
          <w:color w:val="auto"/>
          <w:sz w:val="24"/>
          <w:szCs w:val="24"/>
          <w:highlight w:val="none"/>
          <w:lang w:val="en-US" w:eastAsia="zh-CN"/>
        </w:rPr>
        <w:t>乙方</w:t>
      </w:r>
      <w:r>
        <w:rPr>
          <w:rFonts w:hint="eastAsia" w:ascii="宋体" w:hAnsi="宋体" w:eastAsia="宋体" w:cs="宋体"/>
          <w:b/>
          <w:bCs/>
          <w:snapToGrid w:val="0"/>
          <w:color w:val="auto"/>
          <w:sz w:val="24"/>
          <w:szCs w:val="24"/>
          <w:highlight w:val="none"/>
        </w:rPr>
        <w:t>自行承担</w:t>
      </w:r>
      <w:r>
        <w:rPr>
          <w:rFonts w:hint="eastAsia" w:ascii="宋体" w:hAnsi="宋体" w:eastAsia="宋体" w:cs="宋体"/>
          <w:snapToGrid w:val="0"/>
          <w:color w:val="auto"/>
          <w:sz w:val="24"/>
          <w:szCs w:val="24"/>
          <w:highlight w:val="none"/>
          <w:lang w:val="en-US" w:eastAsia="zh-CN"/>
        </w:rPr>
        <w:t>）。</w:t>
      </w:r>
    </w:p>
    <w:p>
      <w:pPr>
        <w:autoSpaceDE w:val="0"/>
        <w:autoSpaceDN w:val="0"/>
        <w:adjustRightInd w:val="0"/>
        <w:snapToGrid w:val="0"/>
        <w:spacing w:line="460" w:lineRule="exact"/>
        <w:ind w:firstLine="482" w:firstLineChars="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1）高温费</w:t>
      </w:r>
      <w:r>
        <w:rPr>
          <w:rFonts w:hint="eastAsia" w:cs="宋体"/>
          <w:snapToGrid w:val="0"/>
          <w:color w:val="auto"/>
          <w:sz w:val="24"/>
          <w:szCs w:val="24"/>
          <w:highlight w:val="none"/>
          <w:lang w:val="en-US" w:eastAsia="zh-CN"/>
        </w:rPr>
        <w:t>300</w:t>
      </w:r>
      <w:r>
        <w:rPr>
          <w:rFonts w:hint="eastAsia" w:ascii="宋体" w:hAnsi="宋体" w:eastAsia="宋体" w:cs="宋体"/>
          <w:snapToGrid w:val="0"/>
          <w:color w:val="auto"/>
          <w:sz w:val="24"/>
          <w:szCs w:val="24"/>
          <w:highlight w:val="none"/>
        </w:rPr>
        <w:t>元／月·人按</w:t>
      </w:r>
      <w:r>
        <w:rPr>
          <w:rFonts w:hint="eastAsia" w:cs="宋体"/>
          <w:snapToGrid w:val="0"/>
          <w:color w:val="auto"/>
          <w:sz w:val="24"/>
          <w:szCs w:val="24"/>
          <w:highlight w:val="none"/>
          <w:lang w:val="en-US" w:eastAsia="zh-CN"/>
        </w:rPr>
        <w:t>相关规定</w:t>
      </w:r>
      <w:r>
        <w:rPr>
          <w:rFonts w:hint="eastAsia" w:ascii="宋体" w:hAnsi="宋体" w:eastAsia="宋体" w:cs="宋体"/>
          <w:snapToGrid w:val="0"/>
          <w:color w:val="auto"/>
          <w:sz w:val="24"/>
          <w:szCs w:val="24"/>
          <w:highlight w:val="none"/>
        </w:rPr>
        <w:t>足额发放</w:t>
      </w:r>
      <w:r>
        <w:rPr>
          <w:rFonts w:hint="eastAsia" w:ascii="宋体" w:hAnsi="宋体" w:eastAsia="宋体" w:cs="宋体"/>
          <w:snapToGrid w:val="0"/>
          <w:color w:val="auto"/>
          <w:sz w:val="24"/>
          <w:szCs w:val="24"/>
          <w:highlight w:val="none"/>
          <w:lang w:eastAsia="zh-CN"/>
        </w:rPr>
        <w:t>；</w:t>
      </w:r>
    </w:p>
    <w:p>
      <w:pPr>
        <w:autoSpaceDE w:val="0"/>
        <w:autoSpaceDN w:val="0"/>
        <w:adjustRightInd w:val="0"/>
        <w:snapToGrid w:val="0"/>
        <w:spacing w:line="460" w:lineRule="exact"/>
        <w:ind w:firstLine="482" w:firstLineChars="0"/>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2）福利费</w:t>
      </w:r>
      <w:r>
        <w:rPr>
          <w:rFonts w:hint="eastAsia" w:cs="宋体"/>
          <w:snapToGrid w:val="0"/>
          <w:color w:val="auto"/>
          <w:sz w:val="24"/>
          <w:szCs w:val="24"/>
          <w:highlight w:val="none"/>
          <w:lang w:val="en-US" w:eastAsia="zh-CN"/>
        </w:rPr>
        <w:t>500</w:t>
      </w:r>
      <w:r>
        <w:rPr>
          <w:rFonts w:hint="eastAsia" w:ascii="宋体" w:hAnsi="宋体" w:eastAsia="宋体" w:cs="宋体"/>
          <w:snapToGrid w:val="0"/>
          <w:color w:val="auto"/>
          <w:sz w:val="24"/>
          <w:szCs w:val="24"/>
          <w:highlight w:val="none"/>
        </w:rPr>
        <w:t>元／年·人人按合同约定足额发放</w:t>
      </w:r>
      <w:r>
        <w:rPr>
          <w:rFonts w:hint="eastAsia" w:ascii="宋体" w:hAnsi="宋体" w:eastAsia="宋体" w:cs="宋体"/>
          <w:snapToGrid w:val="0"/>
          <w:color w:val="auto"/>
          <w:sz w:val="24"/>
          <w:szCs w:val="24"/>
          <w:highlight w:val="none"/>
          <w:lang w:eastAsia="zh-CN"/>
        </w:rPr>
        <w:t>；</w:t>
      </w:r>
    </w:p>
    <w:p>
      <w:pPr>
        <w:autoSpaceDE w:val="0"/>
        <w:autoSpaceDN w:val="0"/>
        <w:adjustRightInd w:val="0"/>
        <w:snapToGrid w:val="0"/>
        <w:spacing w:line="460" w:lineRule="exact"/>
        <w:ind w:firstLine="482" w:firstLineChars="0"/>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3）保险</w:t>
      </w:r>
      <w:r>
        <w:rPr>
          <w:rFonts w:hint="eastAsia" w:cs="宋体"/>
          <w:snapToGrid w:val="0"/>
          <w:color w:val="auto"/>
          <w:sz w:val="24"/>
          <w:szCs w:val="24"/>
          <w:highlight w:val="none"/>
          <w:lang w:val="en-US" w:eastAsia="zh-CN"/>
        </w:rPr>
        <w:t>费</w:t>
      </w:r>
      <w:r>
        <w:rPr>
          <w:rFonts w:hint="eastAsia" w:ascii="宋体" w:hAnsi="宋体" w:eastAsia="宋体" w:cs="宋体"/>
          <w:snapToGrid w:val="0"/>
          <w:color w:val="auto"/>
          <w:sz w:val="24"/>
          <w:szCs w:val="24"/>
          <w:highlight w:val="none"/>
          <w:lang w:eastAsia="zh-CN"/>
        </w:rPr>
        <w:t>由中标单位统一缴纳</w:t>
      </w:r>
      <w:r>
        <w:rPr>
          <w:rFonts w:hint="eastAsia" w:ascii="宋体" w:hAnsi="宋体" w:eastAsia="宋体" w:cs="宋体"/>
          <w:snapToGrid w:val="0"/>
          <w:color w:val="auto"/>
          <w:sz w:val="24"/>
          <w:szCs w:val="24"/>
          <w:highlight w:val="none"/>
        </w:rPr>
        <w:t>，并提供</w:t>
      </w:r>
      <w:r>
        <w:rPr>
          <w:rFonts w:hint="eastAsia" w:ascii="宋体" w:hAnsi="宋体" w:eastAsia="宋体" w:cs="宋体"/>
          <w:snapToGrid w:val="0"/>
          <w:color w:val="auto"/>
          <w:sz w:val="24"/>
          <w:szCs w:val="24"/>
          <w:highlight w:val="none"/>
          <w:lang w:eastAsia="zh-CN"/>
        </w:rPr>
        <w:t>投保</w:t>
      </w:r>
      <w:r>
        <w:rPr>
          <w:rFonts w:hint="eastAsia" w:ascii="宋体" w:hAnsi="宋体" w:eastAsia="宋体" w:cs="宋体"/>
          <w:snapToGrid w:val="0"/>
          <w:color w:val="auto"/>
          <w:sz w:val="24"/>
          <w:szCs w:val="24"/>
          <w:highlight w:val="none"/>
        </w:rPr>
        <w:t>清单报招标人核查</w:t>
      </w:r>
      <w:r>
        <w:rPr>
          <w:rFonts w:hint="eastAsia" w:ascii="宋体" w:hAnsi="宋体" w:eastAsia="宋体" w:cs="宋体"/>
          <w:snapToGrid w:val="0"/>
          <w:color w:val="auto"/>
          <w:sz w:val="24"/>
          <w:szCs w:val="24"/>
          <w:highlight w:val="none"/>
          <w:lang w:eastAsia="zh-CN"/>
        </w:rPr>
        <w:t>；</w:t>
      </w:r>
    </w:p>
    <w:p>
      <w:pPr>
        <w:autoSpaceDE w:val="0"/>
        <w:autoSpaceDN w:val="0"/>
        <w:adjustRightInd w:val="0"/>
        <w:snapToGrid w:val="0"/>
        <w:spacing w:line="460" w:lineRule="exact"/>
        <w:ind w:firstLine="482" w:firstLineChars="200"/>
        <w:rPr>
          <w:rFonts w:hint="eastAsia" w:cs="宋体"/>
          <w:i w:val="0"/>
          <w:snapToGrid w:val="0"/>
          <w:color w:val="auto"/>
          <w:sz w:val="24"/>
          <w:szCs w:val="24"/>
          <w:highlight w:val="none"/>
          <w:lang w:val="en-US" w:eastAsia="zh-CN" w:bidi="ar-SA"/>
        </w:rPr>
      </w:pPr>
      <w:r>
        <w:rPr>
          <w:rFonts w:hint="eastAsia" w:ascii="宋体" w:hAnsi="宋体" w:cs="宋体"/>
          <w:b/>
          <w:bCs/>
          <w:snapToGrid w:val="0"/>
          <w:color w:val="000000" w:themeColor="text1"/>
          <w:sz w:val="24"/>
          <w:szCs w:val="24"/>
          <w:highlight w:val="none"/>
          <w:lang w:val="en-US" w:eastAsia="zh-CN" w:bidi="ar-SA"/>
          <w14:textFill>
            <w14:solidFill>
              <w14:schemeClr w14:val="tx1"/>
            </w14:solidFill>
          </w14:textFill>
        </w:rPr>
        <w:t>乙</w:t>
      </w:r>
      <w:r>
        <w:rPr>
          <w:rFonts w:hint="eastAsia" w:ascii="宋体" w:hAnsi="宋体" w:eastAsia="宋体" w:cs="宋体"/>
          <w:b/>
          <w:bCs/>
          <w:snapToGrid w:val="0"/>
          <w:color w:val="000000" w:themeColor="text1"/>
          <w:sz w:val="24"/>
          <w:szCs w:val="24"/>
          <w:highlight w:val="none"/>
          <w:lang w:val="en-US" w:eastAsia="zh-CN" w:bidi="ar-SA"/>
          <w14:textFill>
            <w14:solidFill>
              <w14:schemeClr w14:val="tx1"/>
            </w14:solidFill>
          </w14:textFill>
        </w:rPr>
        <w:t>方在项目实施过程中必须</w:t>
      </w:r>
      <w:r>
        <w:rPr>
          <w:rFonts w:hint="eastAsia" w:cs="宋体"/>
          <w:b/>
          <w:bCs/>
          <w:i w:val="0"/>
          <w:snapToGrid w:val="0"/>
          <w:color w:val="auto"/>
          <w:sz w:val="24"/>
          <w:szCs w:val="24"/>
          <w:highlight w:val="none"/>
          <w:lang w:val="en-US" w:eastAsia="zh-CN" w:bidi="ar-SA"/>
        </w:rPr>
        <w:t>按劳动部门规定将人员工资福利发放到位，不得无故克扣工资、福利等人员应当享受的待遇。</w:t>
      </w:r>
    </w:p>
    <w:p>
      <w:pPr>
        <w:autoSpaceDE w:val="0"/>
        <w:autoSpaceDN w:val="0"/>
        <w:adjustRightInd w:val="0"/>
        <w:snapToGrid w:val="0"/>
        <w:spacing w:line="460" w:lineRule="exact"/>
        <w:ind w:firstLine="480" w:firstLineChars="200"/>
        <w:rPr>
          <w:rFonts w:hint="eastAsia" w:cs="宋体"/>
          <w:snapToGrid w:val="0"/>
          <w:color w:val="auto"/>
          <w:sz w:val="24"/>
          <w:szCs w:val="24"/>
          <w:highlight w:val="none"/>
          <w:lang w:eastAsia="zh-CN"/>
        </w:rPr>
      </w:pPr>
      <w:r>
        <w:rPr>
          <w:rFonts w:hint="eastAsia" w:cs="宋体"/>
          <w:i w:val="0"/>
          <w:snapToGrid w:val="0"/>
          <w:color w:val="auto"/>
          <w:sz w:val="24"/>
          <w:szCs w:val="24"/>
          <w:highlight w:val="none"/>
          <w:lang w:val="en-US" w:eastAsia="zh-CN" w:bidi="ar-SA"/>
        </w:rPr>
        <w:t>4）此次招标所涉及的人员须</w:t>
      </w:r>
      <w:r>
        <w:rPr>
          <w:rFonts w:hint="eastAsia" w:ascii="宋体" w:hAnsi="宋体" w:eastAsia="宋体" w:cs="宋体"/>
          <w:i w:val="0"/>
          <w:snapToGrid w:val="0"/>
          <w:color w:val="auto"/>
          <w:sz w:val="24"/>
          <w:szCs w:val="24"/>
          <w:highlight w:val="none"/>
          <w:lang w:val="en-US" w:eastAsia="zh-CN" w:bidi="ar-SA"/>
        </w:rPr>
        <w:t>统一着装、标志明显，保持良好的精神面貌。且工具间、人员食宿和作业工具、服装等</w:t>
      </w:r>
      <w:r>
        <w:rPr>
          <w:rFonts w:hint="eastAsia" w:cs="宋体"/>
          <w:i w:val="0"/>
          <w:snapToGrid w:val="0"/>
          <w:color w:val="auto"/>
          <w:sz w:val="24"/>
          <w:szCs w:val="24"/>
          <w:highlight w:val="none"/>
          <w:lang w:val="en-US" w:eastAsia="zh-CN" w:bidi="ar-SA"/>
        </w:rPr>
        <w:t>费用</w:t>
      </w:r>
      <w:r>
        <w:rPr>
          <w:rFonts w:hint="eastAsia" w:ascii="宋体" w:hAnsi="宋体" w:eastAsia="宋体" w:cs="宋体"/>
          <w:i w:val="0"/>
          <w:snapToGrid w:val="0"/>
          <w:color w:val="auto"/>
          <w:sz w:val="24"/>
          <w:szCs w:val="24"/>
          <w:highlight w:val="none"/>
          <w:lang w:val="en-US" w:eastAsia="zh-CN" w:bidi="ar-SA"/>
        </w:rPr>
        <w:t>均由</w:t>
      </w:r>
      <w:r>
        <w:rPr>
          <w:rFonts w:hint="eastAsia" w:cs="宋体"/>
          <w:i w:val="0"/>
          <w:snapToGrid w:val="0"/>
          <w:color w:val="auto"/>
          <w:sz w:val="24"/>
          <w:szCs w:val="24"/>
          <w:highlight w:val="none"/>
          <w:lang w:val="en-US" w:eastAsia="zh-CN" w:bidi="ar-SA"/>
        </w:rPr>
        <w:t>乙方</w:t>
      </w:r>
      <w:r>
        <w:rPr>
          <w:rFonts w:hint="eastAsia" w:ascii="宋体" w:hAnsi="宋体" w:eastAsia="宋体" w:cs="宋体"/>
          <w:i w:val="0"/>
          <w:snapToGrid w:val="0"/>
          <w:color w:val="auto"/>
          <w:sz w:val="24"/>
          <w:szCs w:val="24"/>
          <w:highlight w:val="none"/>
          <w:lang w:val="en-US" w:eastAsia="zh-CN" w:bidi="ar-SA"/>
        </w:rPr>
        <w:t>自行负责解决；</w:t>
      </w:r>
    </w:p>
    <w:p>
      <w:pPr>
        <w:numPr>
          <w:ilvl w:val="-1"/>
          <w:numId w:val="0"/>
        </w:numPr>
        <w:autoSpaceDE w:val="0"/>
        <w:autoSpaceDN w:val="0"/>
        <w:bidi w:val="0"/>
        <w:adjustRightInd w:val="0"/>
        <w:snapToGrid w:val="0"/>
        <w:spacing w:line="460" w:lineRule="exact"/>
        <w:ind w:firstLine="482" w:firstLineChars="0"/>
        <w:rPr>
          <w:rFonts w:hint="default"/>
          <w:b w:val="0"/>
          <w:bCs w:val="0"/>
          <w:color w:val="auto"/>
          <w:lang w:val="en-US" w:eastAsia="zh-CN"/>
        </w:rPr>
      </w:pPr>
      <w:r>
        <w:rPr>
          <w:rFonts w:hint="eastAsia"/>
          <w:color w:val="auto"/>
          <w:lang w:val="en-US" w:eastAsia="zh-CN"/>
        </w:rPr>
        <w:t>5）</w:t>
      </w:r>
      <w:r>
        <w:rPr>
          <w:rFonts w:hint="eastAsia" w:ascii="宋体" w:hAnsi="宋体" w:eastAsia="宋体" w:cs="宋体"/>
          <w:snapToGrid w:val="0"/>
          <w:color w:val="auto"/>
          <w:sz w:val="24"/>
          <w:szCs w:val="24"/>
        </w:rPr>
        <w:t>▲</w:t>
      </w:r>
      <w:r>
        <w:rPr>
          <w:rFonts w:hint="eastAsia" w:ascii="宋体" w:hAnsi="宋体" w:eastAsia="宋体" w:cs="宋体"/>
          <w:b w:val="0"/>
          <w:bCs w:val="0"/>
          <w:snapToGrid w:val="0"/>
          <w:color w:val="auto"/>
          <w:kern w:val="0"/>
          <w:sz w:val="24"/>
          <w:szCs w:val="24"/>
          <w:lang w:val="en-US" w:eastAsia="zh-CN" w:bidi="ar"/>
        </w:rPr>
        <w:t>白蚁防治需委托专业单位防治，费用列入报价，由</w:t>
      </w:r>
      <w:r>
        <w:rPr>
          <w:rFonts w:hint="eastAsia" w:cs="宋体"/>
          <w:b w:val="0"/>
          <w:bCs w:val="0"/>
          <w:snapToGrid w:val="0"/>
          <w:color w:val="auto"/>
          <w:kern w:val="0"/>
          <w:sz w:val="24"/>
          <w:szCs w:val="24"/>
          <w:lang w:val="en-US" w:eastAsia="zh-CN" w:bidi="ar"/>
        </w:rPr>
        <w:t>乙方</w:t>
      </w:r>
      <w:r>
        <w:rPr>
          <w:rFonts w:hint="eastAsia" w:ascii="宋体" w:hAnsi="宋体" w:eastAsia="宋体" w:cs="宋体"/>
          <w:b w:val="0"/>
          <w:bCs w:val="0"/>
          <w:snapToGrid w:val="0"/>
          <w:color w:val="auto"/>
          <w:kern w:val="0"/>
          <w:sz w:val="24"/>
          <w:szCs w:val="24"/>
          <w:lang w:val="en-US" w:eastAsia="zh-CN" w:bidi="ar"/>
        </w:rPr>
        <w:t>自行承担。</w:t>
      </w:r>
    </w:p>
    <w:p>
      <w:pPr>
        <w:keepNext w:val="0"/>
        <w:keepLines w:val="0"/>
        <w:widowControl/>
        <w:numPr>
          <w:ilvl w:val="0"/>
          <w:numId w:val="0"/>
        </w:numPr>
        <w:suppressLineNumbers w:val="0"/>
        <w:ind w:firstLine="482" w:firstLineChars="200"/>
        <w:jc w:val="left"/>
        <w:rPr>
          <w:rFonts w:hint="eastAsia" w:ascii="宋体" w:hAnsi="宋体" w:eastAsia="宋体" w:cs="宋体"/>
          <w:b/>
          <w:snapToGrid w:val="0"/>
          <w:color w:val="auto"/>
          <w:kern w:val="0"/>
          <w:sz w:val="24"/>
          <w:szCs w:val="24"/>
          <w:lang w:val="en-US" w:eastAsia="zh-CN" w:bidi="ar"/>
        </w:rPr>
      </w:pPr>
      <w:bookmarkStart w:id="278" w:name="_Toc4918"/>
      <w:r>
        <w:rPr>
          <w:rFonts w:hint="eastAsia" w:ascii="宋体" w:hAnsi="宋体" w:eastAsia="宋体" w:cs="宋体"/>
          <w:b/>
          <w:bCs/>
          <w:snapToGrid w:val="0"/>
          <w:color w:val="auto"/>
          <w:kern w:val="0"/>
          <w:sz w:val="24"/>
          <w:szCs w:val="24"/>
          <w:lang w:val="zh-CN"/>
        </w:rPr>
        <w:t>第七条 履约保证金</w:t>
      </w:r>
      <w:bookmarkEnd w:id="277"/>
      <w:bookmarkEnd w:id="278"/>
      <w:r>
        <w:rPr>
          <w:rFonts w:hint="eastAsia" w:cs="宋体"/>
          <w:b/>
          <w:bCs/>
          <w:snapToGrid w:val="0"/>
          <w:color w:val="auto"/>
          <w:kern w:val="0"/>
          <w:sz w:val="24"/>
          <w:szCs w:val="24"/>
          <w:lang w:val="zh-CN"/>
        </w:rPr>
        <w:t>：</w:t>
      </w:r>
      <w:r>
        <w:rPr>
          <w:rFonts w:hint="eastAsia" w:ascii="宋体" w:hAnsi="宋体" w:eastAsia="宋体" w:cs="宋体"/>
          <w:color w:val="auto"/>
          <w:sz w:val="24"/>
          <w:szCs w:val="24"/>
          <w:lang w:val="en-US" w:eastAsia="zh-CN"/>
        </w:rPr>
        <w:t>不交纳</w:t>
      </w:r>
      <w:r>
        <w:rPr>
          <w:rFonts w:hint="eastAsia" w:cs="宋体"/>
          <w:color w:val="auto"/>
          <w:sz w:val="24"/>
          <w:szCs w:val="24"/>
          <w:lang w:val="en-US" w:eastAsia="zh-CN"/>
        </w:rPr>
        <w:t>。</w:t>
      </w:r>
      <w:bookmarkStart w:id="279" w:name="_Toc11390"/>
      <w:bookmarkStart w:id="280" w:name="_Toc8575"/>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1"/>
        <w:rPr>
          <w:rFonts w:hint="eastAsia" w:ascii="宋体" w:hAnsi="宋体" w:eastAsia="宋体" w:cs="宋体"/>
          <w:snapToGrid w:val="0"/>
          <w:color w:val="auto"/>
          <w:kern w:val="0"/>
          <w:sz w:val="24"/>
          <w:szCs w:val="24"/>
        </w:rPr>
      </w:pPr>
      <w:r>
        <w:rPr>
          <w:rFonts w:hint="eastAsia" w:ascii="宋体" w:hAnsi="宋体" w:eastAsia="宋体" w:cs="宋体"/>
          <w:b/>
          <w:snapToGrid w:val="0"/>
          <w:color w:val="auto"/>
          <w:kern w:val="0"/>
          <w:sz w:val="24"/>
          <w:szCs w:val="24"/>
          <w:lang w:val="en-US" w:eastAsia="zh-CN" w:bidi="ar"/>
        </w:rPr>
        <w:t>第八条 甲方权利和义务</w:t>
      </w:r>
      <w:bookmarkEnd w:id="279"/>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1、甲方有权在养护期内对乙方的养护管理进行全程监督、检查；若发现问题，甲方有权向乙方提出整改意见并发出整改通知书，直至整改到位。</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2、甲方有权审核乙方的养护管理方案、人员配置、工资发放及投入的设施设备，并检查落实情况。</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3、甲方有权对乙方管理范围内的绿化养护和管理质量进行不定期考核、日考核、月度考核、季度考核、半年度验收、年度验收及养护期满总验收，并以考核结果作为支付实际养护服务费用的依据。</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4、甲方有权对乙方管理人员进行集中教育和培训。</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5、甲方应向乙方提供有关资料和数据（如绿地范围、电源位置、水源位置等）。</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6、甲方应对乙方的绿地养护工作随时进行检查，以便提高绿地养护质量。</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7、合同期内，若乙方考核不合格，甲方有权对乙方解除本养护合同。</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8、在特殊天气情况或重大活动时，甲方有权对乙方提出增加设备、加大投入人员的要求。</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1"/>
        <w:rPr>
          <w:rFonts w:hint="eastAsia" w:ascii="宋体" w:hAnsi="宋体" w:eastAsia="宋体" w:cs="宋体"/>
          <w:snapToGrid w:val="0"/>
          <w:color w:val="auto"/>
          <w:kern w:val="0"/>
          <w:sz w:val="24"/>
          <w:szCs w:val="24"/>
        </w:rPr>
      </w:pPr>
      <w:bookmarkStart w:id="281" w:name="_Toc16958"/>
      <w:r>
        <w:rPr>
          <w:rFonts w:hint="eastAsia" w:ascii="宋体" w:hAnsi="宋体" w:eastAsia="宋体" w:cs="宋体"/>
          <w:b/>
          <w:snapToGrid w:val="0"/>
          <w:color w:val="auto"/>
          <w:kern w:val="0"/>
          <w:sz w:val="24"/>
          <w:szCs w:val="24"/>
          <w:lang w:val="en-US" w:eastAsia="zh-CN" w:bidi="ar"/>
        </w:rPr>
        <w:t>第九条 乙方权利和义务</w:t>
      </w:r>
      <w:bookmarkEnd w:id="281"/>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1、乙方在达到考核要求的前提下，有权要求甲方按时支付养护服务费。</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2、乙方对甲方的考核过程、结果存有异议时，可要求甲方复核；复核只进行一次。</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3、乙方承担服务期间养护范围内的绿化养护、设施保洁、设施巡查维护管理、水系洁、抗旱防冻救灾等工作的材料、人工及工具费用；按照要求做好紧急抢修、冬季扫雪等突发性事件处置，完成各项检查、评比、创建任务以及服务范围内举行的各类活动的保障工作。</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4、乙方应充分了解、掌握管理范围内详细情况以及工作内容，进一步完善、细化投标书中承诺的日常养护方案（每周、月、季度提供一次）。每日微信上报当日工作开展情况。</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5、乙方应根据甲方要求提供绿地养护人员配置计划书、管理及专业技术人员配置计划书</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0"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包括姓名、电话、身份证复印件等），完善进场组织和人员管理机制，有紧急情况随叫随到；中途如有人员变动，需制定同等条件人员补充计划并报甲方批准。乙方应配备管理人员，做好日常管理（养护、设施巡查维护、亮化管理等）、人员、纪律等台账，建立绿化养护技术资料档案。并及时向甲方反馈信息，所有资料、台账应及时进行分析整理，每月底将整理分析后的养护管理档案备份送甲方归档保存。</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6、乙方必须按《</w:t>
      </w:r>
      <w:r>
        <w:rPr>
          <w:rFonts w:hint="eastAsia" w:cs="宋体"/>
          <w:snapToGrid w:val="0"/>
          <w:color w:val="auto"/>
          <w:kern w:val="0"/>
          <w:sz w:val="24"/>
          <w:szCs w:val="24"/>
          <w:lang w:val="en-US" w:eastAsia="zh-CN" w:bidi="ar"/>
        </w:rPr>
        <w:t>民法典</w:t>
      </w:r>
      <w:r>
        <w:rPr>
          <w:rFonts w:hint="eastAsia" w:ascii="宋体" w:hAnsi="宋体" w:eastAsia="宋体" w:cs="宋体"/>
          <w:snapToGrid w:val="0"/>
          <w:color w:val="auto"/>
          <w:kern w:val="0"/>
          <w:sz w:val="24"/>
          <w:szCs w:val="24"/>
          <w:lang w:val="en-US" w:eastAsia="zh-CN" w:bidi="ar"/>
        </w:rPr>
        <w:t>》和政府有关规定为本采购项目服务人员缴纳所有相关的社会保险、雇主责任险及其相关费用，并向甲方报备投保清单，无故不参保引起的损失和责任由乙方自行承担。</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7、乙方每天必须对所有的养护人员进行安全生产教育和劳动纪律教育，积极组织养护人员参加培训教育。</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8、乙方有责任防止人为毁绿事件发生；如发生绿地被毁，应及时向甲方汇报，并按甲方要求做好修复补种工作。</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lang w:val="en-US" w:eastAsia="zh-CN" w:bidi="ar"/>
        </w:rPr>
        <w:t>9、乙方有义务积极配合甲方完成绿地重新规划及调查工作，不得擅自改变养护绿地的原</w:t>
      </w:r>
      <w:r>
        <w:rPr>
          <w:rFonts w:hint="eastAsia" w:ascii="宋体" w:hAnsi="宋体" w:eastAsia="宋体" w:cs="宋体"/>
          <w:snapToGrid w:val="0"/>
          <w:color w:val="auto"/>
          <w:kern w:val="0"/>
          <w:sz w:val="24"/>
          <w:szCs w:val="24"/>
          <w:highlight w:val="none"/>
          <w:lang w:val="en-US" w:eastAsia="zh-CN" w:bidi="ar"/>
        </w:rPr>
        <w:t>有面貌和使用性质。</w:t>
      </w:r>
    </w:p>
    <w:p>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snapToGrid w:val="0"/>
          <w:color w:val="0000FF"/>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10、乙方对所属人员的人身安全承担责任。</w:t>
      </w:r>
      <w:r>
        <w:rPr>
          <w:rFonts w:hint="eastAsia" w:cs="宋体"/>
          <w:snapToGrid w:val="0"/>
          <w:color w:val="auto"/>
          <w:kern w:val="0"/>
          <w:sz w:val="24"/>
          <w:szCs w:val="24"/>
          <w:highlight w:val="none"/>
          <w:lang w:val="en-US" w:eastAsia="zh-CN" w:bidi="ar"/>
        </w:rPr>
        <w:t>在服务期内</w:t>
      </w:r>
      <w:r>
        <w:rPr>
          <w:rFonts w:hint="eastAsia" w:ascii="宋体" w:hAnsi="宋体" w:eastAsia="宋体" w:cs="宋体"/>
          <w:snapToGrid w:val="0"/>
          <w:color w:val="auto"/>
          <w:kern w:val="0"/>
          <w:sz w:val="24"/>
          <w:szCs w:val="24"/>
          <w:highlight w:val="none"/>
          <w:lang w:val="en-US" w:eastAsia="zh-CN" w:bidi="ar"/>
        </w:rPr>
        <w:t>发生任何事故，均由乙方承担全部责任及赔偿一切经济损失。</w:t>
      </w:r>
      <w:r>
        <w:rPr>
          <w:rFonts w:hint="eastAsia" w:cs="宋体"/>
          <w:snapToGrid w:val="0"/>
          <w:color w:val="000000" w:themeColor="text1"/>
          <w:kern w:val="0"/>
          <w:sz w:val="24"/>
          <w:szCs w:val="24"/>
          <w:highlight w:val="none"/>
          <w:lang w:val="en-US" w:eastAsia="zh-CN" w:bidi="ar"/>
          <w14:textFill>
            <w14:solidFill>
              <w14:schemeClr w14:val="tx1"/>
            </w14:solidFill>
          </w14:textFill>
        </w:rPr>
        <w:t>（</w:t>
      </w:r>
      <w:r>
        <w:rPr>
          <w:rFonts w:hint="eastAsia" w:cs="宋体"/>
          <w:color w:val="000000" w:themeColor="text1"/>
          <w:sz w:val="24"/>
          <w:highlight w:val="none"/>
          <w:lang w:val="en-US" w:eastAsia="zh-CN"/>
          <w14:textFill>
            <w14:solidFill>
              <w14:schemeClr w14:val="tx1"/>
            </w14:solidFill>
          </w14:textFill>
        </w:rPr>
        <w:t>其中发生有责一般事故，需扣除服务费1000元整；发生有责重伤事故的，扣除服务费5000元整；发生有责亡一人事故的，扣除服务费10000元整；发生有责亡人两人及以上的事故，采购人有权终止合同</w:t>
      </w:r>
      <w:r>
        <w:rPr>
          <w:rFonts w:hint="eastAsia" w:ascii="宋体" w:hAnsi="宋体" w:eastAsia="宋体" w:cs="黑体"/>
          <w:b w:val="0"/>
          <w:bCs/>
          <w:color w:val="auto"/>
          <w:sz w:val="24"/>
          <w:szCs w:val="24"/>
          <w:highlight w:val="none"/>
          <w:lang w:val="en-US" w:eastAsia="zh-CN"/>
        </w:rPr>
        <w:t>（有责是指同等及以上责任</w:t>
      </w:r>
      <w:r>
        <w:rPr>
          <w:rFonts w:hint="eastAsia" w:cs="黑体"/>
          <w:b w:val="0"/>
          <w:bCs/>
          <w:color w:val="auto"/>
          <w:sz w:val="24"/>
          <w:szCs w:val="24"/>
          <w:highlight w:val="none"/>
          <w:lang w:val="en-US" w:eastAsia="zh-CN"/>
        </w:rPr>
        <w:t>，期限按一个自然年累计</w:t>
      </w:r>
      <w:r>
        <w:rPr>
          <w:rFonts w:hint="eastAsia" w:ascii="宋体" w:hAnsi="宋体" w:eastAsia="宋体" w:cs="黑体"/>
          <w:b w:val="0"/>
          <w:bCs/>
          <w:color w:val="auto"/>
          <w:sz w:val="24"/>
          <w:szCs w:val="24"/>
          <w:highlight w:val="none"/>
          <w:lang w:val="en-US" w:eastAsia="zh-CN"/>
        </w:rPr>
        <w:t>）</w:t>
      </w:r>
      <w:r>
        <w:rPr>
          <w:rFonts w:hint="eastAsia" w:cs="宋体"/>
          <w:color w:val="000000" w:themeColor="text1"/>
          <w:sz w:val="24"/>
          <w:highlight w:val="none"/>
          <w:lang w:val="en-US" w:eastAsia="zh-CN"/>
          <w14:textFill>
            <w14:solidFill>
              <w14:schemeClr w14:val="tx1"/>
            </w14:solidFill>
          </w14:textFill>
        </w:rPr>
        <w:t>。</w:t>
      </w:r>
      <w:r>
        <w:rPr>
          <w:rFonts w:hint="eastAsia" w:ascii="宋体" w:hAnsi="宋体" w:eastAsia="宋体" w:cs="黑体"/>
          <w:b w:val="0"/>
          <w:bCs/>
          <w:color w:val="auto"/>
          <w:sz w:val="24"/>
          <w:szCs w:val="24"/>
          <w:highlight w:val="none"/>
          <w:lang w:val="en-US" w:eastAsia="zh-CN"/>
        </w:rPr>
        <w:t>（此条款为本项目特别约定，</w:t>
      </w:r>
      <w:r>
        <w:rPr>
          <w:rFonts w:hint="eastAsia" w:cs="黑体"/>
          <w:b w:val="0"/>
          <w:bCs/>
          <w:color w:val="auto"/>
          <w:sz w:val="24"/>
          <w:szCs w:val="24"/>
          <w:highlight w:val="none"/>
          <w:lang w:val="en-US" w:eastAsia="zh-CN"/>
        </w:rPr>
        <w:t>如与</w:t>
      </w:r>
      <w:r>
        <w:rPr>
          <w:rFonts w:hint="eastAsia" w:ascii="宋体" w:hAnsi="宋体" w:eastAsia="宋体" w:cs="黑体"/>
          <w:b w:val="0"/>
          <w:bCs/>
          <w:color w:val="auto"/>
          <w:sz w:val="24"/>
          <w:szCs w:val="24"/>
          <w:highlight w:val="none"/>
          <w:lang w:val="en-US" w:eastAsia="zh-CN"/>
        </w:rPr>
        <w:t>龙游县公路港航与运输管理中心公路日常养护管理办法（试行）中的考核细则</w:t>
      </w:r>
      <w:r>
        <w:rPr>
          <w:rFonts w:hint="eastAsia" w:cs="黑体"/>
          <w:b w:val="0"/>
          <w:bCs/>
          <w:color w:val="auto"/>
          <w:sz w:val="24"/>
          <w:szCs w:val="24"/>
          <w:highlight w:val="none"/>
          <w:lang w:val="en-US" w:eastAsia="zh-CN"/>
        </w:rPr>
        <w:t>不一致则按特别约定执行</w:t>
      </w:r>
      <w:r>
        <w:rPr>
          <w:rFonts w:hint="eastAsia" w:ascii="宋体" w:hAnsi="宋体" w:eastAsia="宋体" w:cs="黑体"/>
          <w:b w:val="0"/>
          <w:bCs/>
          <w:color w:val="auto"/>
          <w:sz w:val="24"/>
          <w:szCs w:val="24"/>
          <w:highlight w:val="none"/>
          <w:lang w:val="en-US" w:eastAsia="zh-CN"/>
        </w:rPr>
        <w:t>）</w:t>
      </w:r>
      <w:r>
        <w:rPr>
          <w:rFonts w:hint="eastAsia" w:ascii="宋体" w:hAnsi="宋体" w:eastAsia="宋体" w:cs="宋体"/>
          <w:color w:val="000000" w:themeColor="text1"/>
          <w:sz w:val="24"/>
          <w:highlight w:val="none"/>
          <w:lang w:val="en-US" w:eastAsia="zh-CN"/>
          <w14:textFill>
            <w14:solidFill>
              <w14:schemeClr w14:val="tx1"/>
            </w14:solidFill>
          </w14:textFill>
        </w:rPr>
        <w:t>中标人应对其员工投保交纳足额人身意外险，以保证采购人在工作人员索赔时不受任何责任的约束，并按《劳动法》相关规定执行人员休假、福利等。</w:t>
      </w:r>
      <w:r>
        <w:rPr>
          <w:rFonts w:hint="eastAsia" w:cs="宋体"/>
          <w:snapToGrid w:val="0"/>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highlight w:val="none"/>
          <w:lang w:val="en-US" w:eastAsia="zh-CN" w:bidi="ar"/>
        </w:rPr>
        <w:t>11、乙方要加强法制宣传教育，重视社会综治，做到遵纪守法，教育员工不参与赌博、</w:t>
      </w:r>
      <w:r>
        <w:rPr>
          <w:rFonts w:hint="eastAsia" w:ascii="宋体" w:hAnsi="宋体" w:eastAsia="宋体" w:cs="宋体"/>
          <w:snapToGrid w:val="0"/>
          <w:color w:val="auto"/>
          <w:kern w:val="0"/>
          <w:sz w:val="24"/>
          <w:szCs w:val="24"/>
          <w:lang w:val="en-US" w:eastAsia="zh-CN" w:bidi="ar"/>
        </w:rPr>
        <w:t xml:space="preserve">流氓斗殴等社会“六害”行为，杜绝治安、民事、刑事案件的发生，否则一切责任和损失由乙方承担。 </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w:t>
      </w:r>
      <w:r>
        <w:rPr>
          <w:rFonts w:hint="eastAsia" w:cs="宋体"/>
          <w:snapToGrid w:val="0"/>
          <w:color w:val="auto"/>
          <w:kern w:val="0"/>
          <w:sz w:val="24"/>
          <w:szCs w:val="24"/>
          <w:lang w:val="en-US" w:eastAsia="zh-CN" w:bidi="ar"/>
        </w:rPr>
        <w:t>2</w:t>
      </w:r>
      <w:r>
        <w:rPr>
          <w:rFonts w:hint="eastAsia" w:ascii="宋体" w:hAnsi="宋体" w:eastAsia="宋体" w:cs="宋体"/>
          <w:snapToGrid w:val="0"/>
          <w:color w:val="auto"/>
          <w:kern w:val="0"/>
          <w:sz w:val="24"/>
          <w:szCs w:val="24"/>
          <w:lang w:val="en-US" w:eastAsia="zh-CN" w:bidi="ar"/>
        </w:rPr>
        <w:t>、乙方应服从和接受双方约定的考核方式及由此产生的考核结果。</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w:t>
      </w:r>
      <w:r>
        <w:rPr>
          <w:rFonts w:hint="eastAsia" w:cs="宋体"/>
          <w:snapToGrid w:val="0"/>
          <w:color w:val="auto"/>
          <w:kern w:val="0"/>
          <w:sz w:val="24"/>
          <w:szCs w:val="24"/>
          <w:lang w:val="en-US" w:eastAsia="zh-CN" w:bidi="ar"/>
        </w:rPr>
        <w:t>3</w:t>
      </w:r>
      <w:r>
        <w:rPr>
          <w:rFonts w:hint="eastAsia" w:ascii="宋体" w:hAnsi="宋体" w:eastAsia="宋体" w:cs="宋体"/>
          <w:snapToGrid w:val="0"/>
          <w:color w:val="auto"/>
          <w:kern w:val="0"/>
          <w:sz w:val="24"/>
          <w:szCs w:val="24"/>
          <w:lang w:val="en-US" w:eastAsia="zh-CN" w:bidi="ar"/>
        </w:rPr>
        <w:t>、乙方不得将本服务项目转包、分包给他人。</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w:t>
      </w:r>
      <w:r>
        <w:rPr>
          <w:rFonts w:hint="eastAsia" w:cs="宋体"/>
          <w:snapToGrid w:val="0"/>
          <w:color w:val="auto"/>
          <w:kern w:val="0"/>
          <w:sz w:val="24"/>
          <w:szCs w:val="24"/>
          <w:lang w:val="en-US" w:eastAsia="zh-CN" w:bidi="ar"/>
        </w:rPr>
        <w:t>4</w:t>
      </w:r>
      <w:r>
        <w:rPr>
          <w:rFonts w:hint="eastAsia" w:ascii="宋体" w:hAnsi="宋体" w:eastAsia="宋体" w:cs="宋体"/>
          <w:snapToGrid w:val="0"/>
          <w:color w:val="auto"/>
          <w:kern w:val="0"/>
          <w:sz w:val="24"/>
          <w:szCs w:val="24"/>
          <w:lang w:val="en-US" w:eastAsia="zh-CN" w:bidi="ar"/>
        </w:rPr>
        <w:t>、乙方人员不得在从事绿地养护工作时与人争吵。如果发生争吵，造成重大不良社会影响的，乙方当月考核即为不合格。</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w:t>
      </w:r>
      <w:r>
        <w:rPr>
          <w:rFonts w:hint="eastAsia" w:cs="宋体"/>
          <w:snapToGrid w:val="0"/>
          <w:color w:val="auto"/>
          <w:kern w:val="0"/>
          <w:sz w:val="24"/>
          <w:szCs w:val="24"/>
          <w:lang w:val="en-US" w:eastAsia="zh-CN" w:bidi="ar"/>
        </w:rPr>
        <w:t>5</w:t>
      </w:r>
      <w:r>
        <w:rPr>
          <w:rFonts w:hint="eastAsia" w:ascii="宋体" w:hAnsi="宋体" w:eastAsia="宋体" w:cs="宋体"/>
          <w:snapToGrid w:val="0"/>
          <w:color w:val="auto"/>
          <w:kern w:val="0"/>
          <w:sz w:val="24"/>
          <w:szCs w:val="24"/>
          <w:lang w:val="en-US" w:eastAsia="zh-CN" w:bidi="ar"/>
        </w:rPr>
        <w:t>、因乙方绿地养护工作不到位而接到各类投诉或被曝光，情况属实的，甲方将根据考核细则扣除乙方考核分，且乙方必须在规定时间内整改到位。</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w:t>
      </w:r>
      <w:r>
        <w:rPr>
          <w:rFonts w:hint="eastAsia" w:cs="宋体"/>
          <w:snapToGrid w:val="0"/>
          <w:color w:val="auto"/>
          <w:kern w:val="0"/>
          <w:sz w:val="24"/>
          <w:szCs w:val="24"/>
          <w:lang w:val="en-US" w:eastAsia="zh-CN" w:bidi="ar"/>
        </w:rPr>
        <w:t>6</w:t>
      </w:r>
      <w:r>
        <w:rPr>
          <w:rFonts w:hint="eastAsia" w:ascii="宋体" w:hAnsi="宋体" w:eastAsia="宋体" w:cs="宋体"/>
          <w:snapToGrid w:val="0"/>
          <w:color w:val="auto"/>
          <w:kern w:val="0"/>
          <w:sz w:val="24"/>
          <w:szCs w:val="24"/>
          <w:lang w:val="en-US" w:eastAsia="zh-CN" w:bidi="ar"/>
        </w:rPr>
        <w:t>、在各种检查、创建等活动期间，甲方需要增加乙方工作量时，乙方不得拒绝。</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w:t>
      </w:r>
      <w:r>
        <w:rPr>
          <w:rFonts w:hint="eastAsia" w:cs="宋体"/>
          <w:snapToGrid w:val="0"/>
          <w:color w:val="auto"/>
          <w:kern w:val="0"/>
          <w:sz w:val="24"/>
          <w:szCs w:val="24"/>
          <w:highlight w:val="none"/>
          <w:lang w:val="en-US" w:eastAsia="zh-CN" w:bidi="ar"/>
        </w:rPr>
        <w:t>7</w:t>
      </w:r>
      <w:r>
        <w:rPr>
          <w:rFonts w:hint="eastAsia" w:ascii="宋体" w:hAnsi="宋体" w:eastAsia="宋体" w:cs="宋体"/>
          <w:snapToGrid w:val="0"/>
          <w:color w:val="auto"/>
          <w:kern w:val="0"/>
          <w:sz w:val="24"/>
          <w:szCs w:val="24"/>
          <w:highlight w:val="none"/>
          <w:lang w:val="en-US" w:eastAsia="zh-CN" w:bidi="ar"/>
        </w:rPr>
        <w:t>、如服务期限内养护绿地范围增加，乙方不得拒绝，增加1000平方米以内不作调整，1000平方米以上的绿地养护费用按中标价格换算，由甲方承担。</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1</w:t>
      </w:r>
      <w:r>
        <w:rPr>
          <w:rFonts w:hint="eastAsia" w:cs="宋体"/>
          <w:snapToGrid w:val="0"/>
          <w:color w:val="auto"/>
          <w:kern w:val="0"/>
          <w:sz w:val="24"/>
          <w:szCs w:val="24"/>
          <w:highlight w:val="none"/>
          <w:lang w:val="en-US" w:eastAsia="zh-CN" w:bidi="ar"/>
        </w:rPr>
        <w:t>8</w:t>
      </w:r>
      <w:r>
        <w:rPr>
          <w:rFonts w:hint="eastAsia" w:ascii="宋体" w:hAnsi="宋体" w:eastAsia="宋体" w:cs="宋体"/>
          <w:snapToGrid w:val="0"/>
          <w:color w:val="auto"/>
          <w:kern w:val="0"/>
          <w:sz w:val="24"/>
          <w:szCs w:val="24"/>
          <w:highlight w:val="none"/>
          <w:lang w:val="en-US" w:eastAsia="zh-CN" w:bidi="ar"/>
        </w:rPr>
        <w:t>、乙方对实地面积有异议的，按实际界定范围测量为准，不影响中标价。</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cs="宋体"/>
          <w:snapToGrid w:val="0"/>
          <w:color w:val="auto"/>
          <w:kern w:val="0"/>
          <w:sz w:val="24"/>
          <w:szCs w:val="24"/>
          <w:highlight w:val="none"/>
          <w:lang w:val="en-US" w:eastAsia="zh-CN" w:bidi="ar"/>
        </w:rPr>
        <w:t>19</w:t>
      </w:r>
      <w:r>
        <w:rPr>
          <w:rFonts w:hint="eastAsia" w:ascii="宋体" w:hAnsi="宋体" w:eastAsia="宋体" w:cs="宋体"/>
          <w:snapToGrid w:val="0"/>
          <w:color w:val="auto"/>
          <w:kern w:val="0"/>
          <w:sz w:val="24"/>
          <w:szCs w:val="24"/>
          <w:highlight w:val="none"/>
          <w:lang w:val="en-US" w:eastAsia="zh-CN" w:bidi="ar"/>
        </w:rPr>
        <w:t>、</w:t>
      </w:r>
      <w:r>
        <w:rPr>
          <w:rFonts w:hint="eastAsia" w:ascii="宋体" w:hAnsi="宋体" w:eastAsia="宋体" w:cs="宋体"/>
          <w:snapToGrid w:val="0"/>
          <w:color w:val="auto"/>
          <w:kern w:val="0"/>
          <w:sz w:val="24"/>
          <w:szCs w:val="24"/>
          <w:highlight w:val="none"/>
          <w:lang w:val="en-US" w:eastAsia="zh-CN"/>
        </w:rPr>
        <w:t>在不增加人员、机械情况下，需要无条件无偿服从</w:t>
      </w:r>
      <w:r>
        <w:rPr>
          <w:rFonts w:hint="eastAsia" w:cs="宋体"/>
          <w:snapToGrid w:val="0"/>
          <w:color w:val="auto"/>
          <w:kern w:val="0"/>
          <w:sz w:val="24"/>
          <w:szCs w:val="24"/>
          <w:highlight w:val="none"/>
          <w:lang w:val="en-US" w:eastAsia="zh-CN"/>
        </w:rPr>
        <w:t>甲方</w:t>
      </w:r>
      <w:r>
        <w:rPr>
          <w:rFonts w:hint="eastAsia" w:ascii="宋体" w:hAnsi="宋体" w:eastAsia="宋体" w:cs="宋体"/>
          <w:snapToGrid w:val="0"/>
          <w:color w:val="auto"/>
          <w:kern w:val="0"/>
          <w:sz w:val="24"/>
          <w:szCs w:val="24"/>
          <w:highlight w:val="none"/>
          <w:lang w:val="en-US" w:eastAsia="zh-CN"/>
        </w:rPr>
        <w:t>的调配（包括养护范围外的工作）。总之在甲方的合理要求情况下，乙方无条件配合甲方工作。</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20、所有人员、车辆要求为采购方最少最低的配备要求，如不能满足日常或重大检查等服务的一切后果由中标方承担。响应文件中所提供的人员、车辆在项目实施中必须到位（项目实施前须在采购方备案，洒水车主要用于抗旱浇灌，到位时间由业主根据天气情况确认），如未到位发现一次按考核要求扣分。工作人员应穿戴统一安全标志制服，挂牌上岗。</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9"/>
        <w:rPr>
          <w:rFonts w:hint="default" w:ascii="宋体" w:hAnsi="宋体" w:eastAsia="宋体" w:cs="宋体"/>
          <w:snapToGrid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val="0"/>
          <w:bCs/>
          <w:snapToGrid w:val="0"/>
          <w:color w:val="000000" w:themeColor="text1"/>
          <w:kern w:val="0"/>
          <w:sz w:val="24"/>
          <w:szCs w:val="24"/>
          <w:highlight w:val="none"/>
          <w:lang w:val="en-US" w:eastAsia="zh-CN" w:bidi="ar"/>
          <w14:textFill>
            <w14:solidFill>
              <w14:schemeClr w14:val="tx1"/>
            </w14:solidFill>
          </w14:textFill>
        </w:rPr>
        <w:t>21、所有保洁垃圾、枯枝残叶等均需按垃圾分类要求做好分类收集送至处理点进行处理。</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1"/>
        <w:rPr>
          <w:rFonts w:hint="eastAsia" w:ascii="宋体" w:hAnsi="宋体" w:eastAsia="宋体" w:cs="宋体"/>
          <w:snapToGrid w:val="0"/>
          <w:color w:val="auto"/>
          <w:kern w:val="0"/>
          <w:sz w:val="24"/>
          <w:szCs w:val="24"/>
          <w:highlight w:val="none"/>
        </w:rPr>
      </w:pPr>
      <w:bookmarkStart w:id="282" w:name="_Toc6698"/>
      <w:r>
        <w:rPr>
          <w:rFonts w:hint="eastAsia" w:ascii="宋体" w:hAnsi="宋体" w:eastAsia="宋体" w:cs="宋体"/>
          <w:b/>
          <w:snapToGrid w:val="0"/>
          <w:color w:val="auto"/>
          <w:kern w:val="0"/>
          <w:sz w:val="24"/>
          <w:szCs w:val="24"/>
          <w:highlight w:val="none"/>
          <w:lang w:val="en-US" w:eastAsia="zh-CN" w:bidi="ar"/>
        </w:rPr>
        <w:t>第十条 特别约定</w:t>
      </w:r>
      <w:bookmarkEnd w:id="282"/>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各区域均有独立评分方式，当月若有某一区域考核分低于70分或者一年内某一区域考核分低于80分二次，甲方立即清退乙方在该区域的养护管理，并按区域面积乘中标单价换算，扣除乙方相应养护服务费。标项内每年累计清退三处区域，直接解除本养护合同。</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属于以下内容按实另行结算（不含本次报价中）：</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（1）政府重大性活动或创建需要额外增加养护服务费。</w:t>
      </w:r>
    </w:p>
    <w:p>
      <w:pPr>
        <w:keepNext w:val="0"/>
        <w:keepLines w:val="0"/>
        <w:pageBreakBefore w:val="0"/>
        <w:widowControl w:val="0"/>
        <w:suppressLineNumbers w:val="0"/>
        <w:kinsoku/>
        <w:wordWrap/>
        <w:overflowPunct/>
        <w:topLinePunct w:val="0"/>
        <w:autoSpaceDE/>
        <w:autoSpaceDN/>
        <w:bidi w:val="0"/>
        <w:adjustRightInd w:val="0"/>
        <w:snapToGrid w:val="0"/>
        <w:spacing w:line="460" w:lineRule="exact"/>
        <w:ind w:firstLine="482" w:firstLineChars="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
        </w:rPr>
        <w:t>（2）政府采购合同履行中，甲方需追加与合同标的相同的货物、工程或者服务的，在不改变合同其他条款的前提下，可以与乙方签订补充合同，但所补充合同的采购金额不得超过原采购金额的10%。</w:t>
      </w:r>
    </w:p>
    <w:bookmarkEnd w:id="280"/>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lang w:val="zh-CN"/>
        </w:rPr>
      </w:pPr>
      <w:bookmarkStart w:id="283" w:name="_Toc19730"/>
      <w:r>
        <w:rPr>
          <w:rFonts w:hint="eastAsia" w:ascii="宋体" w:hAnsi="宋体" w:eastAsia="宋体" w:cs="宋体"/>
          <w:b/>
          <w:bCs/>
          <w:snapToGrid w:val="0"/>
          <w:color w:val="auto"/>
          <w:kern w:val="0"/>
          <w:sz w:val="24"/>
          <w:szCs w:val="24"/>
          <w:lang w:val="zh-CN"/>
        </w:rPr>
        <w:t>第十一条 不可抗力</w:t>
      </w:r>
      <w:bookmarkEnd w:id="283"/>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zh-CN"/>
        </w:rPr>
        <w:t>甲乙双方的任何一方由于不可抗力不能履行合同时，应当及时通知对方不能履行或不能完全履行的情况和理由；在取得有关主管机关证明以后，允许延期履行、部分履行或者终止履行合同的，根据情况可部分或全部免予承担违约责任。</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lang w:val="zh-CN"/>
        </w:rPr>
      </w:pPr>
      <w:bookmarkStart w:id="284" w:name="_Toc12740"/>
      <w:bookmarkStart w:id="285" w:name="_Toc29878"/>
      <w:bookmarkStart w:id="286" w:name="_Toc23121"/>
      <w:r>
        <w:rPr>
          <w:rFonts w:hint="eastAsia" w:ascii="宋体" w:hAnsi="宋体" w:eastAsia="宋体" w:cs="宋体"/>
          <w:b/>
          <w:bCs/>
          <w:snapToGrid w:val="0"/>
          <w:color w:val="auto"/>
          <w:kern w:val="0"/>
          <w:sz w:val="24"/>
          <w:szCs w:val="24"/>
          <w:lang w:val="zh-CN"/>
        </w:rPr>
        <w:t>第十二条 争议解决</w:t>
      </w:r>
      <w:bookmarkEnd w:id="284"/>
      <w:bookmarkEnd w:id="285"/>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zh-CN"/>
        </w:rPr>
        <w:t>甲乙双方在合同履行中发生争议，应通过协商解决。如协商不成，可以向合同签订地法院提起诉讼。</w:t>
      </w:r>
    </w:p>
    <w:bookmarkEnd w:id="266"/>
    <w:bookmarkEnd w:id="267"/>
    <w:bookmarkEnd w:id="268"/>
    <w:bookmarkEnd w:id="269"/>
    <w:bookmarkEnd w:id="270"/>
    <w:bookmarkEnd w:id="286"/>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outlineLvl w:val="1"/>
        <w:rPr>
          <w:rFonts w:hint="eastAsia" w:ascii="宋体" w:hAnsi="宋体" w:eastAsia="宋体" w:cs="宋体"/>
          <w:b/>
          <w:bCs/>
          <w:snapToGrid w:val="0"/>
          <w:color w:val="auto"/>
          <w:kern w:val="0"/>
          <w:sz w:val="24"/>
          <w:szCs w:val="24"/>
          <w:lang w:val="zh-CN"/>
        </w:rPr>
      </w:pPr>
      <w:bookmarkStart w:id="287" w:name="_Toc27047"/>
      <w:r>
        <w:rPr>
          <w:rFonts w:hint="eastAsia" w:ascii="宋体" w:hAnsi="宋体" w:eastAsia="宋体" w:cs="宋体"/>
          <w:b/>
          <w:bCs/>
          <w:snapToGrid w:val="0"/>
          <w:color w:val="auto"/>
          <w:kern w:val="0"/>
          <w:sz w:val="24"/>
          <w:szCs w:val="24"/>
          <w:lang w:val="zh-CN"/>
        </w:rPr>
        <w:t>第十</w:t>
      </w:r>
      <w:r>
        <w:rPr>
          <w:rFonts w:hint="eastAsia" w:cs="宋体"/>
          <w:b/>
          <w:bCs/>
          <w:snapToGrid w:val="0"/>
          <w:color w:val="auto"/>
          <w:kern w:val="0"/>
          <w:sz w:val="24"/>
          <w:szCs w:val="24"/>
          <w:lang w:val="en-US" w:eastAsia="zh-CN"/>
        </w:rPr>
        <w:t>三</w:t>
      </w:r>
      <w:r>
        <w:rPr>
          <w:rFonts w:hint="eastAsia" w:ascii="宋体" w:hAnsi="宋体" w:eastAsia="宋体" w:cs="宋体"/>
          <w:b/>
          <w:bCs/>
          <w:snapToGrid w:val="0"/>
          <w:color w:val="auto"/>
          <w:kern w:val="0"/>
          <w:sz w:val="24"/>
          <w:szCs w:val="24"/>
          <w:lang w:val="zh-CN"/>
        </w:rPr>
        <w:t>条 合同生效及其他</w:t>
      </w:r>
      <w:bookmarkEnd w:id="287"/>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zh-CN"/>
        </w:rPr>
        <w:t>1、除招标文件规定且甲方事先书面同意外，乙方不得部分或者全部转让、分包履行其应履行的合同项下的义务。</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zh-CN"/>
        </w:rPr>
        <w:t>2、合同由甲、乙双方法定代表人（或者被授权代表）签字并加盖单位公章。</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3、本合同未尽事宜，双方协商决定。</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0"/>
        <w:textAlignment w:val="auto"/>
        <w:rPr>
          <w:rFonts w:hint="eastAsia" w:ascii="宋体" w:hAnsi="宋体" w:eastAsia="宋体" w:cs="宋体"/>
          <w:snapToGrid w:val="0"/>
          <w:color w:val="auto"/>
          <w:kern w:val="0"/>
          <w:sz w:val="24"/>
          <w:szCs w:val="24"/>
          <w:lang w:val="zh-CN"/>
        </w:rPr>
      </w:pPr>
      <w:r>
        <w:rPr>
          <w:rFonts w:hint="eastAsia" w:ascii="宋体" w:hAnsi="宋体" w:eastAsia="宋体" w:cs="宋体"/>
          <w:snapToGrid w:val="0"/>
          <w:color w:val="auto"/>
          <w:kern w:val="0"/>
          <w:sz w:val="24"/>
          <w:szCs w:val="24"/>
          <w:lang w:val="en-US" w:eastAsia="zh-CN"/>
        </w:rPr>
        <w:t>4</w:t>
      </w:r>
      <w:r>
        <w:rPr>
          <w:rFonts w:hint="eastAsia" w:ascii="宋体" w:hAnsi="宋体" w:eastAsia="宋体" w:cs="宋体"/>
          <w:snapToGrid w:val="0"/>
          <w:color w:val="auto"/>
          <w:kern w:val="0"/>
          <w:sz w:val="24"/>
          <w:szCs w:val="24"/>
          <w:lang w:val="zh-CN"/>
        </w:rPr>
        <w:t>、</w:t>
      </w:r>
      <w:r>
        <w:rPr>
          <w:rFonts w:hint="eastAsia" w:ascii="宋体" w:hAnsi="宋体" w:eastAsia="宋体" w:cs="宋体"/>
          <w:snapToGrid w:val="0"/>
          <w:color w:val="auto"/>
          <w:kern w:val="0"/>
          <w:sz w:val="24"/>
          <w:szCs w:val="24"/>
        </w:rPr>
        <w:t>本合同正本一式</w:t>
      </w:r>
      <w:r>
        <w:rPr>
          <w:rFonts w:hint="eastAsia" w:cs="宋体"/>
          <w:snapToGrid w:val="0"/>
          <w:color w:val="auto"/>
          <w:kern w:val="0"/>
          <w:sz w:val="24"/>
          <w:szCs w:val="24"/>
          <w:lang w:val="en-US" w:eastAsia="zh-CN"/>
        </w:rPr>
        <w:t>五</w:t>
      </w:r>
      <w:r>
        <w:rPr>
          <w:rFonts w:hint="eastAsia" w:ascii="宋体" w:hAnsi="宋体" w:eastAsia="宋体" w:cs="宋体"/>
          <w:snapToGrid w:val="0"/>
          <w:color w:val="auto"/>
          <w:kern w:val="0"/>
          <w:sz w:val="24"/>
          <w:szCs w:val="24"/>
        </w:rPr>
        <w:t>份，具有同等法律效力，甲、乙双方各执二份，</w:t>
      </w:r>
      <w:r>
        <w:rPr>
          <w:rFonts w:hint="eastAsia" w:ascii="宋体" w:hAnsi="宋体" w:eastAsia="宋体" w:cs="宋体"/>
          <w:snapToGrid w:val="0"/>
          <w:color w:val="auto"/>
          <w:kern w:val="0"/>
          <w:sz w:val="24"/>
          <w:szCs w:val="24"/>
          <w:lang w:eastAsia="zh-CN"/>
        </w:rPr>
        <w:t>龙游博洽投资咨询有限公司</w:t>
      </w:r>
      <w:r>
        <w:rPr>
          <w:rFonts w:hint="eastAsia" w:ascii="宋体" w:hAnsi="宋体" w:eastAsia="宋体" w:cs="宋体"/>
          <w:snapToGrid w:val="0"/>
          <w:color w:val="auto"/>
          <w:kern w:val="0"/>
          <w:sz w:val="24"/>
          <w:szCs w:val="24"/>
        </w:rPr>
        <w:t>及相关单位各执一份</w:t>
      </w:r>
      <w:r>
        <w:rPr>
          <w:rFonts w:hint="eastAsia" w:ascii="宋体" w:hAnsi="宋体" w:eastAsia="宋体" w:cs="宋体"/>
          <w:snapToGrid w:val="0"/>
          <w:color w:val="auto"/>
          <w:kern w:val="0"/>
          <w:sz w:val="24"/>
          <w:szCs w:val="24"/>
          <w:lang w:val="zh-CN"/>
        </w:rPr>
        <w:t>。</w:t>
      </w:r>
    </w:p>
    <w:p>
      <w:pPr>
        <w:keepNext w:val="0"/>
        <w:keepLines w:val="0"/>
        <w:pageBreakBefore w:val="0"/>
        <w:widowControl w:val="0"/>
        <w:kinsoku/>
        <w:wordWrap/>
        <w:overflowPunct/>
        <w:topLinePunct w:val="0"/>
        <w:autoSpaceDE w:val="0"/>
        <w:autoSpaceDN w:val="0"/>
        <w:bidi w:val="0"/>
        <w:adjustRightInd w:val="0"/>
        <w:snapToGrid w:val="0"/>
        <w:spacing w:line="312" w:lineRule="auto"/>
        <w:ind w:firstLine="482" w:firstLineChars="0"/>
        <w:textAlignment w:val="auto"/>
        <w:rPr>
          <w:rFonts w:hint="eastAsia" w:ascii="宋体" w:hAnsi="宋体" w:eastAsia="宋体" w:cs="宋体"/>
          <w:snapToGrid w:val="0"/>
          <w:color w:val="000000"/>
          <w:kern w:val="0"/>
          <w:sz w:val="24"/>
          <w:szCs w:val="24"/>
          <w:lang w:val="zh-CN"/>
        </w:rPr>
      </w:pPr>
      <w:r>
        <w:rPr>
          <w:rFonts w:hint="eastAsia" w:ascii="宋体" w:hAnsi="宋体" w:eastAsia="宋体" w:cs="宋体"/>
          <w:snapToGrid w:val="0"/>
          <w:color w:val="000000"/>
          <w:kern w:val="0"/>
          <w:sz w:val="24"/>
          <w:szCs w:val="24"/>
          <w:lang w:val="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0"/>
        <w:jc w:val="both"/>
        <w:textAlignment w:val="auto"/>
        <w:outlineLvl w:val="0"/>
        <w:rPr>
          <w:rFonts w:hint="eastAsia" w:ascii="宋体" w:hAnsi="宋体" w:eastAsia="宋体" w:cs="宋体"/>
          <w:snapToGrid w:val="0"/>
          <w:kern w:val="0"/>
          <w:sz w:val="24"/>
          <w:szCs w:val="24"/>
          <w:lang w:eastAsia="zh-CN"/>
        </w:rPr>
      </w:pPr>
      <w:bookmarkStart w:id="288" w:name="_Toc4706"/>
      <w:r>
        <w:rPr>
          <w:rFonts w:hint="eastAsia" w:ascii="宋体" w:hAnsi="宋体" w:eastAsia="宋体" w:cs="宋体"/>
          <w:snapToGrid w:val="0"/>
          <w:color w:val="000000"/>
          <w:kern w:val="0"/>
          <w:sz w:val="24"/>
          <w:szCs w:val="24"/>
        </w:rPr>
        <w:t>以下无正文</w:t>
      </w:r>
      <w:bookmarkEnd w:id="288"/>
    </w:p>
    <w:p>
      <w:pPr>
        <w:pStyle w:val="25"/>
        <w:keepNext w:val="0"/>
        <w:keepLines w:val="0"/>
        <w:pageBreakBefore w:val="0"/>
        <w:kinsoku/>
        <w:wordWrap/>
        <w:overflowPunct/>
        <w:topLinePunct w:val="0"/>
        <w:bidi w:val="0"/>
        <w:snapToGrid w:val="0"/>
        <w:spacing w:before="120" w:after="120" w:line="460" w:lineRule="exact"/>
        <w:ind w:left="440" w:leftChars="200"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甲方：</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盖章</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 xml:space="preserve">                                 乙方：</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盖章</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 xml:space="preserve">   </w:t>
      </w:r>
    </w:p>
    <w:p>
      <w:pPr>
        <w:pStyle w:val="25"/>
        <w:keepNext w:val="0"/>
        <w:keepLines w:val="0"/>
        <w:pageBreakBefore w:val="0"/>
        <w:kinsoku/>
        <w:wordWrap/>
        <w:overflowPunct/>
        <w:topLinePunct w:val="0"/>
        <w:bidi w:val="0"/>
        <w:snapToGrid w:val="0"/>
        <w:spacing w:before="120" w:after="120" w:line="460" w:lineRule="exact"/>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地址：                                         地址：</w:t>
      </w:r>
    </w:p>
    <w:p>
      <w:pPr>
        <w:pStyle w:val="25"/>
        <w:keepNext w:val="0"/>
        <w:keepLines w:val="0"/>
        <w:pageBreakBefore w:val="0"/>
        <w:kinsoku/>
        <w:wordWrap/>
        <w:overflowPunct/>
        <w:topLinePunct w:val="0"/>
        <w:bidi w:val="0"/>
        <w:snapToGrid w:val="0"/>
        <w:spacing w:before="120" w:after="120" w:line="460" w:lineRule="exact"/>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 xml:space="preserve">法定（授权）代表人：                           </w:t>
      </w:r>
      <w:r>
        <w:rPr>
          <w:rFonts w:hint="eastAsia" w:ascii="宋体" w:hAnsi="宋体" w:eastAsia="宋体" w:cs="宋体"/>
          <w:b w:val="0"/>
          <w:bCs/>
          <w:sz w:val="24"/>
          <w:szCs w:val="24"/>
          <w:lang w:val="en-US" w:eastAsia="zh-CN"/>
        </w:rPr>
        <w:t>电话：</w:t>
      </w:r>
    </w:p>
    <w:p>
      <w:pPr>
        <w:pStyle w:val="25"/>
        <w:keepNext w:val="0"/>
        <w:keepLines w:val="0"/>
        <w:pageBreakBefore w:val="0"/>
        <w:kinsoku/>
        <w:wordWrap/>
        <w:overflowPunct/>
        <w:topLinePunct w:val="0"/>
        <w:bidi w:val="0"/>
        <w:snapToGrid w:val="0"/>
        <w:spacing w:before="120" w:after="120" w:line="460" w:lineRule="exact"/>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签订地点：</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法定（授权）代表人：</w:t>
      </w:r>
    </w:p>
    <w:p>
      <w:pPr>
        <w:pStyle w:val="25"/>
        <w:keepNext w:val="0"/>
        <w:keepLines w:val="0"/>
        <w:pageBreakBefore w:val="0"/>
        <w:kinsoku/>
        <w:wordWrap/>
        <w:overflowPunct/>
        <w:topLinePunct w:val="0"/>
        <w:bidi w:val="0"/>
        <w:snapToGrid w:val="0"/>
        <w:spacing w:before="120" w:after="120" w:line="460" w:lineRule="exact"/>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val="en-US" w:eastAsia="zh-CN"/>
        </w:rPr>
        <w:t>签订日期：   年  月   日</w:t>
      </w:r>
    </w:p>
    <w:p>
      <w:pPr>
        <w:pStyle w:val="25"/>
        <w:keepNext w:val="0"/>
        <w:keepLines w:val="0"/>
        <w:pageBreakBefore w:val="0"/>
        <w:kinsoku/>
        <w:wordWrap/>
        <w:overflowPunct/>
        <w:topLinePunct w:val="0"/>
        <w:bidi w:val="0"/>
        <w:snapToGrid w:val="0"/>
        <w:spacing w:before="120" w:after="120" w:line="460" w:lineRule="exact"/>
        <w:ind w:left="0" w:leftChars="0" w:firstLine="480" w:firstLineChars="200"/>
        <w:rPr>
          <w:rFonts w:hint="eastAsia" w:ascii="宋体" w:hAnsi="宋体" w:eastAsia="宋体" w:cs="宋体"/>
          <w:b w:val="0"/>
          <w:bCs/>
          <w:sz w:val="24"/>
          <w:szCs w:val="24"/>
          <w:lang w:val="en-US" w:eastAsia="zh-CN"/>
        </w:rPr>
      </w:pPr>
    </w:p>
    <w:p>
      <w:pPr>
        <w:keepNext w:val="0"/>
        <w:keepLines w:val="0"/>
        <w:pageBreakBefore w:val="0"/>
        <w:kinsoku/>
        <w:wordWrap/>
        <w:overflowPunct/>
        <w:topLinePunct w:val="0"/>
        <w:bidi w:val="0"/>
        <w:spacing w:line="460" w:lineRule="exact"/>
        <w:ind w:left="7" w:leftChars="3" w:firstLine="537" w:firstLineChars="224"/>
        <w:jc w:val="both"/>
        <w:rPr>
          <w:rFonts w:hint="eastAsia" w:ascii="宋体" w:hAnsi="宋体" w:eastAsia="宋体" w:cs="宋体"/>
          <w:b/>
          <w:bCs/>
          <w:sz w:val="24"/>
          <w:szCs w:val="24"/>
        </w:rPr>
      </w:pPr>
      <w:bookmarkStart w:id="289" w:name="_Toc9389"/>
      <w:r>
        <w:rPr>
          <w:rFonts w:hint="eastAsia" w:ascii="宋体" w:hAnsi="宋体" w:eastAsia="宋体" w:cs="宋体"/>
          <w:b w:val="0"/>
          <w:bCs/>
          <w:sz w:val="24"/>
          <w:szCs w:val="24"/>
          <w:lang w:val="en-US" w:eastAsia="zh-CN"/>
        </w:rPr>
        <w:t>采购代理机构</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eastAsia="zh-CN"/>
        </w:rPr>
        <w:t>龙游博洽投资咨询有限公司（</w:t>
      </w:r>
      <w:r>
        <w:rPr>
          <w:rFonts w:hint="eastAsia" w:ascii="宋体" w:hAnsi="宋体" w:eastAsia="宋体" w:cs="宋体"/>
          <w:b w:val="0"/>
          <w:bCs/>
          <w:sz w:val="24"/>
          <w:szCs w:val="24"/>
          <w:lang w:val="en-US" w:eastAsia="zh-CN"/>
        </w:rPr>
        <w:t>盖章</w:t>
      </w:r>
      <w:r>
        <w:rPr>
          <w:rFonts w:hint="eastAsia" w:ascii="宋体" w:hAnsi="宋体" w:eastAsia="宋体" w:cs="宋体"/>
          <w:b w:val="0"/>
          <w:bCs/>
          <w:sz w:val="24"/>
          <w:szCs w:val="24"/>
          <w:lang w:eastAsia="zh-CN"/>
        </w:rPr>
        <w:t>）</w:t>
      </w:r>
      <w:bookmarkEnd w:id="289"/>
    </w:p>
    <w:p>
      <w:pPr>
        <w:pStyle w:val="45"/>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val="0"/>
        <w:spacing w:after="120" w:afterLines="50" w:line="312" w:lineRule="auto"/>
        <w:jc w:val="both"/>
        <w:textAlignment w:val="auto"/>
        <w:outlineLvl w:val="0"/>
        <w:rPr>
          <w:rFonts w:hint="eastAsia" w:ascii="黑体" w:hAnsi="黑体" w:eastAsia="黑体" w:cs="黑体"/>
          <w:sz w:val="36"/>
          <w:szCs w:val="36"/>
        </w:rPr>
      </w:pPr>
      <w:bookmarkStart w:id="290" w:name="_Toc1129"/>
      <w:bookmarkStart w:id="291" w:name="_Toc17172"/>
      <w:bookmarkStart w:id="292" w:name="_Toc29990"/>
    </w:p>
    <w:p>
      <w:pPr>
        <w:pStyle w:val="20"/>
        <w:rPr>
          <w:rFonts w:hint="eastAsia"/>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val="0"/>
          <w:color w:val="000000"/>
          <w:sz w:val="28"/>
          <w:szCs w:val="28"/>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val="0"/>
          <w:color w:val="000000"/>
          <w:sz w:val="28"/>
          <w:szCs w:val="28"/>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sz w:val="21"/>
          <w:szCs w:val="21"/>
        </w:rPr>
      </w:pPr>
      <w:r>
        <w:rPr>
          <w:rFonts w:hint="eastAsia" w:ascii="宋体" w:hAnsi="宋体" w:eastAsia="宋体" w:cs="宋体"/>
          <w:b/>
          <w:bCs w:val="0"/>
          <w:color w:val="000000"/>
          <w:sz w:val="28"/>
          <w:szCs w:val="28"/>
        </w:rPr>
        <w:t>附件</w:t>
      </w:r>
      <w:r>
        <w:rPr>
          <w:rFonts w:hint="eastAsia" w:cs="宋体"/>
          <w:b/>
          <w:bCs w:val="0"/>
          <w:color w:val="000000"/>
          <w:sz w:val="28"/>
          <w:szCs w:val="28"/>
          <w:lang w:val="en-US" w:eastAsia="zh-CN"/>
        </w:rPr>
        <w:t xml:space="preserve"> </w:t>
      </w:r>
    </w:p>
    <w:p>
      <w:pPr>
        <w:keepNext/>
        <w:keepLines/>
        <w:spacing w:before="312" w:beforeLines="100" w:after="312" w:afterLines="100"/>
        <w:jc w:val="center"/>
        <w:outlineLvl w:val="0"/>
        <w:rPr>
          <w:rFonts w:hint="eastAsia" w:ascii="宋体" w:hAnsi="宋体" w:eastAsia="宋体" w:cs="宋体"/>
          <w:b/>
          <w:bCs/>
          <w:color w:val="000000"/>
          <w:sz w:val="30"/>
          <w:szCs w:val="30"/>
        </w:rPr>
      </w:pPr>
      <w:bookmarkStart w:id="293" w:name="_Toc3472"/>
      <w:bookmarkStart w:id="294" w:name="_Toc10929"/>
      <w:bookmarkStart w:id="295" w:name="_Toc18694"/>
      <w:bookmarkStart w:id="296" w:name="_Toc4672"/>
      <w:bookmarkStart w:id="297" w:name="_Toc12754"/>
      <w:bookmarkStart w:id="298" w:name="_Toc2070"/>
      <w:bookmarkStart w:id="299" w:name="_Toc13309"/>
      <w:r>
        <w:rPr>
          <w:rFonts w:hint="eastAsia" w:ascii="宋体" w:hAnsi="宋体" w:eastAsia="宋体" w:cs="宋体"/>
          <w:b/>
          <w:bCs/>
          <w:color w:val="000000"/>
          <w:sz w:val="30"/>
          <w:szCs w:val="30"/>
        </w:rPr>
        <w:t>不拖欠工资承诺书</w:t>
      </w:r>
      <w:bookmarkEnd w:id="293"/>
      <w:bookmarkEnd w:id="294"/>
      <w:bookmarkEnd w:id="295"/>
      <w:bookmarkEnd w:id="296"/>
      <w:bookmarkEnd w:id="297"/>
      <w:bookmarkEnd w:id="298"/>
      <w:bookmarkEnd w:id="299"/>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甲方： </w:t>
      </w:r>
      <w:r>
        <w:rPr>
          <w:rFonts w:hint="eastAsia" w:ascii="宋体" w:hAnsi="宋体" w:eastAsia="宋体" w:cs="宋体"/>
          <w:sz w:val="24"/>
          <w:szCs w:val="24"/>
          <w:lang w:eastAsia="zh-CN"/>
        </w:rPr>
        <w:t>龙游县交通运输局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乙方：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我公司郑重承诺：承接的</w:t>
      </w:r>
      <w:r>
        <w:rPr>
          <w:rFonts w:hint="eastAsia" w:ascii="宋体" w:hAnsi="宋体" w:eastAsia="宋体" w:cs="宋体"/>
          <w:sz w:val="24"/>
          <w:szCs w:val="24"/>
          <w:lang w:eastAsia="zh-CN"/>
        </w:rPr>
        <w:t>龙游县202</w:t>
      </w:r>
      <w:r>
        <w:rPr>
          <w:rFonts w:hint="eastAsia" w:cs="宋体"/>
          <w:sz w:val="24"/>
          <w:szCs w:val="24"/>
          <w:lang w:val="en-US" w:eastAsia="zh-CN"/>
        </w:rPr>
        <w:t>4</w:t>
      </w:r>
      <w:r>
        <w:rPr>
          <w:rFonts w:hint="eastAsia" w:ascii="宋体" w:hAnsi="宋体" w:eastAsia="宋体" w:cs="宋体"/>
          <w:sz w:val="24"/>
          <w:szCs w:val="24"/>
          <w:lang w:eastAsia="zh-CN"/>
        </w:rPr>
        <w:t>-202</w:t>
      </w:r>
      <w:r>
        <w:rPr>
          <w:rFonts w:hint="eastAsia" w:cs="宋体"/>
          <w:sz w:val="24"/>
          <w:szCs w:val="24"/>
          <w:lang w:val="en-US" w:eastAsia="zh-CN"/>
        </w:rPr>
        <w:t>6</w:t>
      </w:r>
      <w:r>
        <w:rPr>
          <w:rFonts w:hint="eastAsia" w:ascii="宋体" w:hAnsi="宋体" w:eastAsia="宋体" w:cs="宋体"/>
          <w:sz w:val="24"/>
          <w:szCs w:val="24"/>
          <w:lang w:eastAsia="zh-CN"/>
        </w:rPr>
        <w:t>年公路日常养护—绿化养护采购项目</w:t>
      </w:r>
      <w:r>
        <w:rPr>
          <w:rFonts w:hint="eastAsia" w:ascii="宋体" w:hAnsi="宋体" w:eastAsia="宋体" w:cs="宋体"/>
          <w:sz w:val="24"/>
          <w:szCs w:val="24"/>
        </w:rPr>
        <w:t>严格按照龙游县人力资源和社会保障局、龙游县住房和城乡建设局、龙游县财政局、龙游县交通运输局等7部门联合下发的关于印发《龙游县建设领域民工工资支付管理实施细则（试行）》的通知（龙人社【2018】18号）文件规定要求和合同相关要求支付农民工工资，决不拖欠农民工工资，如果发生违反规定拖欠或克扣农民工工资行为，造成农民工上访，本单位愿意接受人力资源社会保障、建设、公安等部门依照有关规定作出的处理和处罚</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"http://www.xuexila.com/fanwen/jueding/" \t "http://www.xuexila.com/fanwen/chengnuoshu/_blank" </w:instrText>
      </w:r>
      <w:r>
        <w:rPr>
          <w:rFonts w:hint="eastAsia" w:ascii="宋体" w:hAnsi="宋体" w:eastAsia="宋体" w:cs="宋体"/>
          <w:sz w:val="24"/>
          <w:szCs w:val="24"/>
        </w:rPr>
        <w:fldChar w:fldCharType="separate"/>
      </w:r>
      <w:r>
        <w:rPr>
          <w:rFonts w:hint="eastAsia" w:ascii="宋体" w:hAnsi="宋体" w:eastAsia="宋体" w:cs="宋体"/>
          <w:sz w:val="24"/>
          <w:szCs w:val="24"/>
        </w:rPr>
        <w:t>决定</w:t>
      </w:r>
      <w:r>
        <w:rPr>
          <w:rFonts w:hint="eastAsia" w:ascii="宋体" w:hAnsi="宋体" w:eastAsia="宋体" w:cs="宋体"/>
          <w:sz w:val="24"/>
          <w:szCs w:val="24"/>
        </w:rPr>
        <w:fldChar w:fldCharType="end"/>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p>
    <w:p>
      <w:pPr>
        <w:bidi w:val="0"/>
        <w:rPr>
          <w:rFonts w:hint="eastAsia" w:ascii="宋体" w:hAnsi="宋体" w:eastAsia="宋体" w:cs="宋体"/>
          <w:sz w:val="24"/>
          <w:szCs w:val="24"/>
        </w:rPr>
      </w:pPr>
    </w:p>
    <w:p>
      <w:pPr>
        <w:bidi w:val="0"/>
        <w:rPr>
          <w:rFonts w:hint="eastAsia" w:ascii="宋体" w:hAnsi="宋体" w:eastAsia="宋体" w:cs="宋体"/>
          <w:sz w:val="24"/>
          <w:szCs w:val="24"/>
        </w:rPr>
      </w:pPr>
      <w:r>
        <w:rPr>
          <w:rFonts w:hint="eastAsia" w:ascii="宋体" w:hAnsi="宋体" w:eastAsia="宋体" w:cs="宋体"/>
          <w:sz w:val="24"/>
          <w:szCs w:val="24"/>
        </w:rPr>
        <w:t>甲方（盖章）：                     乙方（盖章）：</w:t>
      </w:r>
    </w:p>
    <w:p>
      <w:pPr>
        <w:bidi w:val="0"/>
        <w:rPr>
          <w:rFonts w:hint="eastAsia" w:ascii="宋体" w:hAnsi="宋体" w:eastAsia="宋体" w:cs="宋体"/>
          <w:sz w:val="24"/>
          <w:szCs w:val="24"/>
        </w:rPr>
      </w:pPr>
    </w:p>
    <w:p>
      <w:pPr>
        <w:bidi w:val="0"/>
        <w:rPr>
          <w:rFonts w:hint="eastAsia" w:ascii="宋体" w:hAnsi="宋体" w:eastAsia="宋体" w:cs="宋体"/>
          <w:sz w:val="24"/>
          <w:szCs w:val="24"/>
        </w:rPr>
      </w:pPr>
      <w:r>
        <w:rPr>
          <w:rFonts w:hint="eastAsia" w:ascii="宋体" w:hAnsi="宋体" w:eastAsia="宋体" w:cs="宋体"/>
          <w:sz w:val="24"/>
          <w:szCs w:val="24"/>
        </w:rPr>
        <w:t>法人代表（签字）：                 法人代表（签字）：</w:t>
      </w:r>
    </w:p>
    <w:p>
      <w:pPr>
        <w:bidi w:val="0"/>
        <w:rPr>
          <w:rFonts w:hint="eastAsia" w:ascii="宋体" w:hAnsi="宋体" w:eastAsia="宋体" w:cs="宋体"/>
          <w:sz w:val="24"/>
          <w:szCs w:val="24"/>
        </w:rPr>
      </w:pPr>
    </w:p>
    <w:p>
      <w:pPr>
        <w:bidi w:val="0"/>
        <w:rPr>
          <w:rFonts w:hint="eastAsia" w:ascii="宋体" w:hAnsi="宋体" w:eastAsia="宋体" w:cs="宋体"/>
          <w:sz w:val="24"/>
          <w:szCs w:val="24"/>
        </w:rPr>
      </w:pPr>
      <w:r>
        <w:rPr>
          <w:rFonts w:hint="eastAsia" w:ascii="宋体" w:hAnsi="宋体" w:eastAsia="宋体" w:cs="宋体"/>
          <w:sz w:val="24"/>
          <w:szCs w:val="24"/>
        </w:rPr>
        <w:t>委托授权人（签字）：               委托授权人（签字）：</w:t>
      </w:r>
    </w:p>
    <w:p>
      <w:pPr>
        <w:bidi w:val="0"/>
        <w:rPr>
          <w:rFonts w:hint="eastAsia" w:ascii="宋体" w:hAnsi="宋体" w:eastAsia="宋体" w:cs="宋体"/>
          <w:sz w:val="24"/>
          <w:szCs w:val="24"/>
        </w:rPr>
      </w:pPr>
    </w:p>
    <w:p>
      <w:pPr>
        <w:bidi w:val="0"/>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签订日期： </w:t>
      </w:r>
      <w:r>
        <w:rPr>
          <w:rFonts w:hint="eastAsia" w:cs="宋体"/>
          <w:sz w:val="24"/>
          <w:szCs w:val="24"/>
          <w:lang w:val="en-US" w:eastAsia="zh-CN"/>
        </w:rPr>
        <w:t xml:space="preserve"> </w:t>
      </w:r>
      <w:r>
        <w:rPr>
          <w:rFonts w:hint="eastAsia" w:ascii="宋体" w:hAnsi="宋体" w:eastAsia="宋体" w:cs="宋体"/>
          <w:sz w:val="24"/>
          <w:szCs w:val="24"/>
        </w:rPr>
        <w:t xml:space="preserve">  年 </w:t>
      </w:r>
      <w:r>
        <w:rPr>
          <w:rFonts w:hint="eastAsia" w:cs="宋体"/>
          <w:sz w:val="24"/>
          <w:szCs w:val="24"/>
          <w:lang w:val="en-US" w:eastAsia="zh-CN"/>
        </w:rPr>
        <w:t xml:space="preserve"> </w:t>
      </w:r>
      <w:r>
        <w:rPr>
          <w:rFonts w:hint="eastAsia" w:ascii="宋体" w:hAnsi="宋体" w:eastAsia="宋体" w:cs="宋体"/>
          <w:sz w:val="24"/>
          <w:szCs w:val="24"/>
        </w:rPr>
        <w:t xml:space="preserve">  月</w:t>
      </w:r>
      <w:r>
        <w:rPr>
          <w:rFonts w:hint="eastAsia" w:cs="宋体"/>
          <w:sz w:val="24"/>
          <w:szCs w:val="24"/>
          <w:lang w:val="en-US" w:eastAsia="zh-CN"/>
        </w:rPr>
        <w:t xml:space="preserve"> </w:t>
      </w:r>
      <w:r>
        <w:rPr>
          <w:rFonts w:hint="eastAsia" w:ascii="宋体" w:hAnsi="宋体" w:eastAsia="宋体" w:cs="宋体"/>
          <w:sz w:val="24"/>
          <w:szCs w:val="24"/>
        </w:rPr>
        <w:t xml:space="preserve">  日</w:t>
      </w:r>
      <w:r>
        <w:rPr>
          <w:rFonts w:hint="eastAsia" w:cs="宋体"/>
          <w:sz w:val="24"/>
          <w:szCs w:val="24"/>
          <w:lang w:val="en-US" w:eastAsia="zh-CN"/>
        </w:rPr>
        <w:t xml:space="preserve">        </w:t>
      </w:r>
      <w:r>
        <w:rPr>
          <w:rFonts w:hint="eastAsia" w:ascii="宋体" w:hAnsi="宋体" w:eastAsia="宋体" w:cs="宋体"/>
          <w:sz w:val="24"/>
          <w:szCs w:val="24"/>
        </w:rPr>
        <w:t>签订日期：       年   月  日</w:t>
      </w:r>
    </w:p>
    <w:p>
      <w:pPr>
        <w:pStyle w:val="4"/>
        <w:rPr>
          <w:rFonts w:hint="eastAsia"/>
        </w:rPr>
      </w:pPr>
    </w:p>
    <w:p>
      <w:pPr>
        <w:jc w:val="center"/>
        <w:rPr>
          <w:rFonts w:hint="eastAsia"/>
          <w:sz w:val="44"/>
          <w:szCs w:val="44"/>
          <w:highlight w:val="none"/>
          <w:lang w:val="en-US" w:eastAsia="zh-CN"/>
        </w:rPr>
      </w:pPr>
    </w:p>
    <w:p>
      <w:pPr>
        <w:jc w:val="center"/>
        <w:rPr>
          <w:rFonts w:hint="eastAsia"/>
          <w:sz w:val="44"/>
          <w:szCs w:val="44"/>
          <w:highlight w:val="none"/>
          <w:lang w:val="en-US" w:eastAsia="zh-CN"/>
        </w:rPr>
      </w:pPr>
    </w:p>
    <w:p>
      <w:pPr>
        <w:jc w:val="center"/>
        <w:rPr>
          <w:rFonts w:hint="eastAsia"/>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ajorEastAsia" w:hAnsiTheme="majorEastAsia" w:eastAsiaTheme="majorEastAsia" w:cstheme="majorEastAsia"/>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ajorEastAsia" w:hAnsiTheme="majorEastAsia" w:eastAsiaTheme="majorEastAsia" w:cstheme="majorEastAsia"/>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ajorEastAsia" w:hAnsiTheme="majorEastAsia" w:eastAsiaTheme="majorEastAsia" w:cstheme="majorEastAsia"/>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ajorEastAsia" w:hAnsiTheme="majorEastAsia" w:eastAsiaTheme="majorEastAsia" w:cstheme="majorEastAsia"/>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ajorEastAsia" w:hAnsiTheme="majorEastAsia" w:eastAsiaTheme="majorEastAsia" w:cstheme="majorEastAsia"/>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Theme="majorEastAsia" w:hAnsiTheme="majorEastAsia" w:eastAsiaTheme="majorEastAsia" w:cstheme="majorEastAsia"/>
          <w:sz w:val="32"/>
          <w:szCs w:val="32"/>
          <w:highlight w:val="none"/>
          <w:lang w:val="en-US" w:eastAsia="zh-CN"/>
        </w:rPr>
        <w:t>龙游县公路港航与运输管理中心公路日常养护管理办法（试行）</w:t>
      </w:r>
    </w:p>
    <w:p>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第一章 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第一条</w:t>
      </w:r>
      <w:r>
        <w:rPr>
          <w:rFonts w:hint="eastAsia" w:ascii="宋体" w:hAnsi="宋体" w:eastAsia="宋体" w:cs="宋体"/>
          <w:color w:val="auto"/>
          <w:sz w:val="24"/>
          <w:szCs w:val="24"/>
          <w:highlight w:val="none"/>
          <w:lang w:val="en-US" w:eastAsia="zh-CN"/>
        </w:rPr>
        <w:t xml:space="preserve"> 为进一步保障公路日常养护作业的规范性和安全性，加强我县国省道、县道公路的养护质量，确保公路路况稳定和安全畅通，</w:t>
      </w: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highlight w:val="none"/>
          <w:lang w:val="en-US" w:eastAsia="zh-CN"/>
        </w:rPr>
        <w:t>中华人民共和国公路法》《</w:t>
      </w:r>
      <w:r>
        <w:rPr>
          <w:rFonts w:hint="eastAsia" w:ascii="宋体" w:hAnsi="宋体" w:eastAsia="宋体" w:cs="宋体"/>
          <w:color w:val="auto"/>
          <w:sz w:val="24"/>
          <w:szCs w:val="24"/>
          <w:highlight w:val="none"/>
          <w:lang w:eastAsia="zh-CN"/>
        </w:rPr>
        <w:t>公路养护技术标准》（JTG5110-2023）、《浙江省国省道公路养护管理办法（试行）》（浙交〔2022〕67号）</w:t>
      </w:r>
      <w:r>
        <w:rPr>
          <w:rFonts w:hint="eastAsia" w:ascii="宋体" w:hAnsi="宋体" w:eastAsia="宋体" w:cs="宋体"/>
          <w:color w:val="auto"/>
          <w:sz w:val="24"/>
          <w:szCs w:val="24"/>
          <w:highlight w:val="none"/>
          <w:lang w:val="en-US" w:eastAsia="zh-CN"/>
        </w:rPr>
        <w:t>及其他</w:t>
      </w:r>
      <w:r>
        <w:rPr>
          <w:rFonts w:hint="eastAsia" w:ascii="宋体" w:hAnsi="宋体" w:eastAsia="宋体" w:cs="宋体"/>
          <w:strike w:val="0"/>
          <w:dstrike w:val="0"/>
          <w:color w:val="auto"/>
          <w:sz w:val="24"/>
          <w:szCs w:val="24"/>
          <w:highlight w:val="none"/>
          <w:lang w:val="en-US" w:eastAsia="zh-CN"/>
        </w:rPr>
        <w:t>相关法律法规、制度和技术标准，</w:t>
      </w:r>
      <w:r>
        <w:rPr>
          <w:rFonts w:hint="eastAsia" w:ascii="宋体" w:hAnsi="宋体" w:eastAsia="宋体" w:cs="宋体"/>
          <w:color w:val="auto"/>
          <w:sz w:val="24"/>
          <w:szCs w:val="24"/>
          <w:highlight w:val="none"/>
          <w:lang w:val="en-US" w:eastAsia="zh-CN"/>
        </w:rPr>
        <w:t>结合我县实际，特制定本管理办法。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公路日常养护工作应贯彻“预防为主、防治结合、科学决策、集约高效”的方针。要根据日常养护方案，结合日常巡查所获取的基础设施使用状况、病害程度、缺损及其他异常情况，及时采取保养、维修和处置等措施，充分发挥公路基础设施的社会效益和经济效益。</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trike/>
          <w:dstrike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公路日常养护包括日常保养和日常维修。其中，日常保养应保证公路基础设施及设备完好、整洁，以维护公路的正常运行；日常维修应</w:t>
      </w:r>
      <w:r>
        <w:rPr>
          <w:rFonts w:hint="eastAsia" w:ascii="宋体" w:hAnsi="宋体" w:eastAsia="宋体" w:cs="宋体"/>
          <w:strike w:val="0"/>
          <w:dstrike w:val="0"/>
          <w:color w:val="auto"/>
          <w:sz w:val="24"/>
          <w:szCs w:val="24"/>
          <w:highlight w:val="none"/>
          <w:lang w:val="en-US" w:eastAsia="zh-CN"/>
        </w:rPr>
        <w:t>及时修复或更换</w:t>
      </w:r>
      <w:r>
        <w:rPr>
          <w:rFonts w:hint="eastAsia" w:ascii="宋体" w:hAnsi="宋体" w:eastAsia="宋体" w:cs="宋体"/>
          <w:color w:val="auto"/>
          <w:sz w:val="24"/>
          <w:szCs w:val="24"/>
          <w:highlight w:val="none"/>
          <w:lang w:val="en-US" w:eastAsia="zh-CN"/>
        </w:rPr>
        <w:t>公路基础设施及设备</w:t>
      </w:r>
      <w:r>
        <w:rPr>
          <w:rFonts w:hint="eastAsia" w:ascii="宋体" w:hAnsi="宋体" w:eastAsia="宋体" w:cs="宋体"/>
          <w:strike w:val="0"/>
          <w:dstrike w:val="0"/>
          <w:color w:val="auto"/>
          <w:sz w:val="24"/>
          <w:szCs w:val="24"/>
          <w:highlight w:val="none"/>
          <w:lang w:val="en-US" w:eastAsia="zh-CN"/>
        </w:rPr>
        <w:t>的局部病害和缺损，</w:t>
      </w:r>
      <w:r>
        <w:rPr>
          <w:rFonts w:hint="eastAsia" w:ascii="宋体" w:hAnsi="宋体" w:eastAsia="宋体" w:cs="宋体"/>
          <w:color w:val="auto"/>
          <w:sz w:val="24"/>
          <w:szCs w:val="24"/>
          <w:highlight w:val="none"/>
          <w:lang w:val="en-US" w:eastAsia="zh-CN"/>
        </w:rPr>
        <w:t>消除</w:t>
      </w:r>
      <w:r>
        <w:rPr>
          <w:rFonts w:hint="eastAsia" w:ascii="宋体" w:hAnsi="宋体" w:eastAsia="宋体" w:cs="宋体"/>
          <w:strike w:val="0"/>
          <w:dstrike w:val="0"/>
          <w:color w:val="auto"/>
          <w:sz w:val="24"/>
          <w:szCs w:val="24"/>
          <w:highlight w:val="none"/>
          <w:lang w:val="en-US" w:eastAsia="zh-CN"/>
        </w:rPr>
        <w:t>交通安全隐患，保障公路正常运行。</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第四条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公路日常养护应严格落实安全生产和质量管理技术措施。</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第五条</w:t>
      </w:r>
      <w:r>
        <w:rPr>
          <w:rFonts w:hint="eastAsia" w:ascii="宋体" w:hAnsi="宋体" w:eastAsia="宋体" w:cs="宋体"/>
          <w:color w:val="auto"/>
          <w:sz w:val="24"/>
          <w:szCs w:val="24"/>
          <w:highlight w:val="none"/>
          <w:lang w:val="en-US" w:eastAsia="zh-CN"/>
        </w:rPr>
        <w:t xml:space="preserve"> 本办法适用龙游县公路港航与运输管理中心管养的国道、省道、县道的公路日常养护管理。</w:t>
      </w:r>
    </w:p>
    <w:p>
      <w:pPr>
        <w:keepNext w:val="0"/>
        <w:keepLines w:val="0"/>
        <w:pageBreakBefore w:val="0"/>
        <w:numPr>
          <w:ilvl w:val="0"/>
          <w:numId w:val="24"/>
        </w:numPr>
        <w:kinsoku/>
        <w:wordWrap/>
        <w:overflowPunct/>
        <w:topLinePunct w:val="0"/>
        <w:autoSpaceDE/>
        <w:autoSpaceDN/>
        <w:bidi w:val="0"/>
        <w:adjustRightInd/>
        <w:snapToGrid/>
        <w:spacing w:line="400" w:lineRule="exact"/>
        <w:ind w:firstLine="480" w:firstLineChars="20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公路养护资金和任务</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第六条</w:t>
      </w:r>
      <w:r>
        <w:rPr>
          <w:rFonts w:hint="eastAsia" w:ascii="宋体" w:hAnsi="宋体" w:eastAsia="宋体" w:cs="宋体"/>
          <w:color w:val="auto"/>
          <w:sz w:val="24"/>
          <w:szCs w:val="24"/>
          <w:highlight w:val="none"/>
          <w:lang w:val="en-US" w:eastAsia="zh-CN"/>
        </w:rPr>
        <w:t xml:space="preserve"> 公路日常养护资金实行专款专用，不得挪用和挤占，养护科需在每年三月底前报告上一年度的日常养护资金使用情况。</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公路日常养护资金使用范围：</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（一）路基小段开挖边沟、填补缺口，整理路肩、边坡，疏通排水设施，挡土墙、护坡局部修理等。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（二）路面坑槽、沉陷、波浪、裂缝等局部病害处理，路面清扫，保持路面整洁等。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（三）桥梁、涵洞、隧道经常性检查、局部修理和日常保养，以及隧道的照明用电等。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（四）交通工程及沿线设施等修理、部分添置更新和日常保养等。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（五）绿化补植、修剪、治虫、施肥等。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（六）养护站房和机械设备维护、小型养护设备配置、养护管理生产人员的劳动保护用品等。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（七）上级相关部门规定或部署的其他日常养护支出。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第七条</w:t>
      </w:r>
      <w:r>
        <w:rPr>
          <w:rFonts w:hint="eastAsia" w:ascii="宋体" w:hAnsi="宋体" w:eastAsia="宋体" w:cs="宋体"/>
          <w:color w:val="auto"/>
          <w:sz w:val="24"/>
          <w:szCs w:val="24"/>
          <w:highlight w:val="none"/>
          <w:lang w:val="en-US" w:eastAsia="zh-CN"/>
        </w:rPr>
        <w:t xml:space="preserve"> 公路检查分日常巡查、经常检查、定期检查、专项检查、应急检查。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（一）日常巡查：包括日间巡查和夜间巡查。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1.日间巡查</w:t>
      </w:r>
      <w:bookmarkStart w:id="326" w:name="_GoBack"/>
      <w:bookmarkEnd w:id="326"/>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（1）巡查方式：以车行观察为主，发现突发病害及异常情况应步行抵近检查；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（2）巡查人员：巡查每班不少于2人；</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（3）巡查次数：国省道全线和</w:t>
      </w:r>
      <w:r>
        <w:rPr>
          <w:rFonts w:hint="eastAsia" w:ascii="宋体" w:hAnsi="宋体" w:eastAsia="宋体" w:cs="宋体"/>
          <w:strike w:val="0"/>
          <w:dstrike w:val="0"/>
          <w:color w:val="auto"/>
          <w:sz w:val="24"/>
          <w:szCs w:val="24"/>
          <w:highlight w:val="none"/>
          <w:lang w:val="en-US" w:eastAsia="zh-CN"/>
        </w:rPr>
        <w:t>养护检查等级为二级的桥梁，</w:t>
      </w:r>
      <w:r>
        <w:rPr>
          <w:rFonts w:hint="eastAsia" w:ascii="宋体" w:hAnsi="宋体" w:eastAsia="宋体" w:cs="宋体"/>
          <w:color w:val="auto"/>
          <w:sz w:val="24"/>
          <w:szCs w:val="24"/>
          <w:highlight w:val="none"/>
          <w:lang w:val="en-US" w:eastAsia="zh-CN"/>
        </w:rPr>
        <w:t>每日巡查不少于1次；县道全线巡查每周不少于2次（含养护承包单位巡查）；特殊天气（汛期、春融期、暴雨、暴雪、台风）和重大活动、重大突发性事件应增加巡查频率。</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（4）巡查记录：巡查情况应每日及时、客观、全面记录。主要内容：</w:t>
      </w:r>
      <w:r>
        <w:rPr>
          <w:rFonts w:hint="eastAsia" w:ascii="宋体" w:hAnsi="宋体" w:eastAsia="宋体" w:cs="宋体"/>
          <w:color w:val="auto"/>
          <w:sz w:val="24"/>
          <w:szCs w:val="24"/>
          <w:highlight w:val="none"/>
          <w:lang w:val="en-US" w:eastAsia="zh-CN"/>
        </w:rPr>
        <w:t>公路基础设施是否完好整洁、使用正常；是否存在影响安全的病害、缺损及其他异常情况；路侧是否存在遮挡标志和安全视距的植物和设施等。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2.夜间巡查：除日间巡查内容要求外，主要检查标志、标线和轮廓标等的夜间视认性是否满足使用要求，照明设施是否齐全完好、工作正常。</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（二）经常检查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1.对桥梁、隧道、边坡、桥头跳车、平交口、急弯陡坡、路侧险要、排水不良及病害较多的路段开展经常性检查；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2.检查次数：每季度不少于1次；桥梁、隧道、边坡为三 类以下的，检查次数为每月不少于1次；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3.做好检查记录，对病害性质及严重程度进行判定，提出处置方案建议。</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（三）定期检查</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1.检查方式：路面定期检查采取以自动化设备检测为主的方式；桥梁、隧道等定期检查采取人工检查与自动化快速检测相结合的方式进行；</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2.检查次数</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（1）路面、隧道机电设施每年不少于1次；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（2）单孔跨径大于150米的特大桥、特别重要桥梁、特长隧道、特殊结构桥梁以及三类桥梁隧道土建结构每年不少于1次；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（3）一、二类桥梁隧道土建结构每三年不少于1次；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（4）路基、交通安全、绿化及其他公路设施根据公路技术状况调查与评定等实际需要安排定期检查，检查频率不低于有关技术标准的规定；</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定期检查完成后应进行技术状况评定</w:t>
      </w:r>
      <w:r>
        <w:rPr>
          <w:rFonts w:hint="eastAsia" w:ascii="宋体" w:hAnsi="宋体" w:eastAsia="宋体" w:cs="宋体"/>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（四）专项检查：当出现下列情况之一时，应及时进行专项检查，并出具报告：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1.受地质灾害、突发事故等因素影响，公路设施使用性能或公路设施技术状况发生变化，经一般养护检查无法确定影响程度，且存在一定风险；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2.因养护决策或养护工程设计需详细掌握病害发展和技术状况；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3.公路超过设计使用年限、重要构造物新建、改建或加固后等需获取最新技术状况；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4.因专项整治工作等需要对公路设施进行的技术状况评定。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trike/>
          <w:dstrike w:val="0"/>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（五）应急检查：应对公路受损基础设施损毁类型和程度、路段及路网通行条件等进行调查，必要时应开展结构物承载能力和抗灾能力等专项检查、地质和水文等勘察。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第八条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公路巡查的主要内容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1.路基：路基是否保持良好稳定的技术状况；路肩有无病害；排水设施是否完好、畅通；防护工程是否完好；有无杂草；有无堆积物。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2.路面：路面（含桥隧路面）有无病害、污染、杂物、积水或积（冰）雪，路面排水设施是否完好、畅通。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3.桥梁、涵洞：桥梁行车道铺装及人行道板、伸缩缝、栏杆及扶手是否完好，泄水孔是否堵塞，桥下空间是否干净整洁；涵洞及边沟是否堵塞、损毁。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4.隧道：视线诱导标志是否清晰完好，人行道板是否完好，是否有涌水、突泥，通风、照明是否正常，消防设施是否齐全，排水设施是否完好、通畅，隧道内壁是否定期清洗。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5.绿化与环境保护设施：公路用地范围内的绿化有无病害、死亡、缺失和受破坏，是否定期进行除草、修剪、病虫害防治、刷白工作。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5.交通安全设施：防护设施、视线诱导设施、减速设施、防眩板、里程碑、百米桩等是否完好，标志标牌、路面标线是否清晰完整。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6.其他沿线设施：公路服务站等其他沿线设施是否完好、干净整洁。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第九条</w:t>
      </w:r>
      <w:r>
        <w:rPr>
          <w:rFonts w:hint="eastAsia" w:ascii="宋体" w:hAnsi="宋体" w:eastAsia="宋体" w:cs="宋体"/>
          <w:color w:val="auto"/>
          <w:sz w:val="24"/>
          <w:szCs w:val="24"/>
          <w:highlight w:val="none"/>
          <w:lang w:val="en-US" w:eastAsia="zh-CN"/>
        </w:rPr>
        <w:t xml:space="preserve"> 桥梁检查分日常检查、经常性检查、常规定期检查、特殊检查。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1.日常检查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（1）检查内容：主要对桥面设施、上部结构进行检查；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（2）检查范围：一、二级公路所有桥梁及三、四级公路特大桥、大桥；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（3）检查次数：日常检查应每日完成一次；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（4）检查信息报送：</w:t>
      </w:r>
      <w:r>
        <w:rPr>
          <w:rFonts w:hint="eastAsia" w:ascii="宋体" w:hAnsi="宋体" w:eastAsia="宋体" w:cs="宋体"/>
          <w:strike w:val="0"/>
          <w:dstrike w:val="0"/>
          <w:color w:val="auto"/>
          <w:sz w:val="24"/>
          <w:szCs w:val="24"/>
          <w:highlight w:val="none"/>
          <w:lang w:val="en-US" w:eastAsia="zh-CN"/>
        </w:rPr>
        <w:t>国省道桥梁检查情况应通过“桥梁管理系统”采集信息并填报。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2.经常性检查：主要指对桥面设施、上部结构、下部结构及附属构造物的技术状况进行的检查。经常性检查应每月完成一次。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3.常规定期检查：常规定期检查是为桥梁养护管理系统搜集结构技术状态的动态数据，评定桥梁使用功能，制定管理养护计划，对桥梁主体结构及其附属构造物的技术状况进行的全面检查。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国省道要求一类桥梁每三年定检一次，二类桥梁每两年定检一次，三类及以下桥梁每年定检一次，农村公路桥梁参照执行。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4.特殊检查：特殊检查是查清桥梁的病害原因、破损程度、承载能力、抗灾能力，确定桥梁技术状况等的工作。根据需要进行检测。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养护考核分日常考核、月度考核。各养护管理主体要积极推进智慧养护管理平台的应用和开发，加强平台对考核数据的自动捕捉能力。</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日常考核：采用人工检查与“智慧养护系统”自动检查两种方式相结合的模式；人员考勤、车辆运行数据以养护系统自动数据捕捉为主；人工检查主要是对养护系统实施数据核实、养护作业安全保障、养护作业每日质量和效率等进行日常检查考核，并对存在的问题进行纠正，结果作为月度考核的依据。</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2.月度考核：根据合同和日常考核管理办法，对养护承包单位当月养护质量、安全生产、应急处置、内页资料、机械使用管理等方面进行全面考核评价，结果作为养护经费支付的依据。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第三章 养护管理要求</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第十一条</w:t>
      </w:r>
      <w:r>
        <w:rPr>
          <w:rFonts w:hint="eastAsia" w:ascii="宋体" w:hAnsi="宋体" w:eastAsia="宋体" w:cs="宋体"/>
          <w:color w:val="auto"/>
          <w:sz w:val="24"/>
          <w:szCs w:val="24"/>
          <w:highlight w:val="none"/>
          <w:lang w:val="en-US" w:eastAsia="zh-CN"/>
        </w:rPr>
        <w:t xml:space="preserve"> 公路日常养护要根据“国省道公路养护管理办法”“公路养护技术标准”及其操作规程的有关规定组织实施。要加强对公路基础设施日常养护工作，做到全面养护。</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第十二条</w:t>
      </w:r>
      <w:r>
        <w:rPr>
          <w:rFonts w:hint="eastAsia" w:ascii="宋体" w:hAnsi="宋体" w:eastAsia="宋体" w:cs="宋体"/>
          <w:color w:val="auto"/>
          <w:sz w:val="24"/>
          <w:szCs w:val="24"/>
          <w:highlight w:val="none"/>
          <w:lang w:val="en-US" w:eastAsia="zh-CN"/>
        </w:rPr>
        <w:t xml:space="preserve"> 在制定公路日常养护项目计划时，要贯彻落实科学全面养护和预防性养护理念，做到统筹安排、科学高效。</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第十三条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在公路日常养护中要积极采用数字化管理手段和先进养护技术，大力推广和应用“四新技术”，不断提高公路日常养护管理技术水平。</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第十四条</w:t>
      </w:r>
      <w:r>
        <w:rPr>
          <w:rFonts w:hint="eastAsia" w:ascii="宋体" w:hAnsi="宋体" w:eastAsia="宋体" w:cs="宋体"/>
          <w:color w:val="auto"/>
          <w:sz w:val="24"/>
          <w:szCs w:val="24"/>
          <w:highlight w:val="none"/>
          <w:lang w:val="en-US" w:eastAsia="zh-CN"/>
        </w:rPr>
        <w:t xml:space="preserve"> 除小额零星及抢险应急工程外，公路日常保养承包单位应当通过招投标方式确定。</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第十五条</w:t>
      </w:r>
      <w:r>
        <w:rPr>
          <w:rFonts w:hint="eastAsia" w:ascii="宋体" w:hAnsi="宋体" w:eastAsia="宋体" w:cs="宋体"/>
          <w:color w:val="auto"/>
          <w:sz w:val="24"/>
          <w:szCs w:val="24"/>
          <w:highlight w:val="none"/>
          <w:lang w:val="en-US" w:eastAsia="zh-CN"/>
        </w:rPr>
        <w:t xml:space="preserve"> 公路日常养护管理应实行检查、考核、评定、报告制度。各公路日常保养承包单位要高度重视公路养护档案管理工作，建立健全养护档案管理制度，形成规范、翔实的公路日常养护工作档案。</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第十六条</w:t>
      </w:r>
      <w:r>
        <w:rPr>
          <w:rFonts w:hint="eastAsia" w:ascii="宋体" w:hAnsi="宋体" w:eastAsia="宋体" w:cs="宋体"/>
          <w:color w:val="auto"/>
          <w:sz w:val="24"/>
          <w:szCs w:val="24"/>
          <w:highlight w:val="none"/>
          <w:lang w:val="en-US" w:eastAsia="zh-CN"/>
        </w:rPr>
        <w:t xml:space="preserve"> 公路日常养护质量应符合相关规定。要把养护质量放在首位，建立、健全质量控制体系，严格检查验收制度，严格按照《公路养护技术标准》进行检查验收。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第十七条</w:t>
      </w:r>
      <w:r>
        <w:rPr>
          <w:rFonts w:hint="eastAsia" w:ascii="宋体" w:hAnsi="宋体" w:eastAsia="宋体" w:cs="宋体"/>
          <w:color w:val="auto"/>
          <w:sz w:val="24"/>
          <w:szCs w:val="24"/>
          <w:highlight w:val="none"/>
          <w:lang w:val="en-US" w:eastAsia="zh-CN"/>
        </w:rPr>
        <w:t xml:space="preserve"> 公路日常养护作业中应建立安全生产责任制，制定安全保障措施，确保安全生产，文明施工。要加强上路作业人员安全教育，着安全标志服进行养护作业，按国标设置安全标志进行施工。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第十八条</w:t>
      </w:r>
      <w:r>
        <w:rPr>
          <w:rFonts w:hint="eastAsia" w:ascii="宋体" w:hAnsi="宋体" w:eastAsia="宋体" w:cs="宋体"/>
          <w:color w:val="auto"/>
          <w:sz w:val="24"/>
          <w:szCs w:val="24"/>
          <w:highlight w:val="none"/>
          <w:lang w:val="en-US" w:eastAsia="zh-CN"/>
        </w:rPr>
        <w:t xml:space="preserve"> 对由于不可抗拒的自然灾害（如风、沙、雨、雪、洪水、地震等）破坏的公路、桥涵等设施，要第一时间组织人员和设备及时进行抢修。</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第四章 养护职责分工及考核</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第十九条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公路巡查职责分工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日常巡查由各公路站负责。</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（1）各公路站站长应根据实际情况编制每月工作计划，确保按规定频率完成巡查任务。</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巡查人员完成巡查任务后，应认真填写巡查记录，内容主要包括公路日常保养承包单位作业情况、巡查中发现的问题和处理结果并留存照片（上传工单系统），如有影响道路安全和运行情况应第一时间采取布设安全警告标志或标牌等处置措施并通知养护科，养护科每月至少进行一次巡查记录检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（3）如遇暴雨暴雪等恶劣天气，养护科、安全科、应急抢险科、路网运行科等科室应共同加强巡查。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2.经常性检查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（1）公路站</w:t>
      </w:r>
      <w:r>
        <w:rPr>
          <w:rFonts w:hint="eastAsia" w:ascii="宋体" w:hAnsi="宋体" w:eastAsia="宋体" w:cs="宋体"/>
          <w:color w:val="auto"/>
          <w:kern w:val="0"/>
          <w:sz w:val="24"/>
          <w:szCs w:val="24"/>
          <w:highlight w:val="none"/>
          <w:lang w:val="en-US" w:eastAsia="zh-CN" w:bidi="ar"/>
        </w:rPr>
        <w:t>负责对桥梁、隧道、边坡、桥头跳车、平交口、急弯陡坡、路侧险要、排水不良及病害较多的路段开展检查。做好检查记录，对病害性质及严重程度进行判定，提出处置方案建议；</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（2）养护科根据处置方案建议进行审核讨论，制定最终处置方案。</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3.定期检查由养护科牵头，各公路站和公路日常保养承包单位配合实施，数据整理和录入由养护科统一负责，并提出养护建议；</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4.专项检查由养护科负责，所属辖区公路站配合。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桥梁检查职责分工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桥梁日常巡查、经常性检查由各公路站负责，养护科指导和辅助；常规定期检查、特殊检查由养护科负责。</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第二十一条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公路日常养护工作考核</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1.日常考核由各公路站负责，结合日常路况巡查工作一并进行，养护科每月结合巡查进行不定期检查；</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月度考核由养护科牵头，中心相关科室、各公路站和公路日常保养承包单位共同参加，邀请交通局相关科室派员参加。月度考核要求对国省道进行全面检查；对县道进行抽样检查，抽取县道一条以上，检查的路线不低于总里程数的20%，且步检里程不少于1公里。</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公路日常养护工作考核</w:t>
      </w:r>
      <w:r>
        <w:rPr>
          <w:rFonts w:hint="eastAsia" w:ascii="宋体" w:hAnsi="宋体" w:eastAsia="宋体" w:cs="宋体"/>
          <w:color w:val="auto"/>
          <w:sz w:val="24"/>
          <w:szCs w:val="24"/>
          <w:highlight w:val="none"/>
          <w:lang w:val="en-US" w:eastAsia="zh-CN"/>
        </w:rPr>
        <w:t>结果作为养护经费支付依据之一。</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第二十二条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承包单位管理工作</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1.公路日常保养承包单位管理工作由各公路站负责，养护科做好指导、协调工作；</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2.公路日常维修承包单位管理工作由养护科负责，各公路站实施监督；</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3.养护科应根据各公路站反馈和实际情况制定养护计划，统一派单至各承包单位，并抄送至各公路站；</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4.养护计量现场签证由公路站负责，养护科负责抽查复核，核对无误后据以办理费用支付手续。</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第二十三条</w:t>
      </w:r>
      <w:r>
        <w:rPr>
          <w:rFonts w:hint="eastAsia" w:ascii="宋体" w:hAnsi="宋体" w:eastAsia="宋体" w:cs="宋体"/>
          <w:color w:val="auto"/>
          <w:sz w:val="24"/>
          <w:szCs w:val="24"/>
          <w:highlight w:val="none"/>
          <w:lang w:val="en-US" w:eastAsia="zh-CN"/>
        </w:rPr>
        <w:t xml:space="preserve"> 公路日常养护项目的招投标</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公路日常养护项目的招投标工作由养护科具体负责，各公路站共同参与，每个招标周期结束前三个月，养护科应牵头对周期内公路日常养护情况进行总结，制定下一步招投标工作计划。</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第五章 奖惩机制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第二十四条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日常考核、月度考核评分细则及违约处罚按《公路日常养护市场化考核细则（保洁）》（附件1）和《公路日常养护市场化考核细则（路面维修、交安）》（附件2）执行。</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第二十五条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若月度考核分（保洁、绿化合同）低于90分以下，按照相关违约处罚同时按以下规定调整月计量支付款项：</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1.得分在85—90分（不含90分）的，以90分为基数，每减少1分扣除月度2%的承包款，不足1分的采取四舍五入方法计算。</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2.得分在80—85分（不含85分）的，在扣除当月10%月承包款的基础上，再以85分为基数，每减少1分扣除月度3%的承包款，不足1分的采取四舍五入方法计算。</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3.得分在80分以下的，视为考核不合格，不支付月度承包款。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第二十六条</w:t>
      </w:r>
      <w:r>
        <w:rPr>
          <w:rFonts w:hint="eastAsia" w:ascii="宋体" w:hAnsi="宋体" w:eastAsia="宋体" w:cs="宋体"/>
          <w:color w:val="auto"/>
          <w:sz w:val="24"/>
          <w:szCs w:val="24"/>
          <w:highlight w:val="none"/>
          <w:lang w:val="en-US" w:eastAsia="zh-CN"/>
        </w:rPr>
        <w:t xml:space="preserve"> 连续两个月考评得分低于80分的或连续6个月中累计两个月考评得分低于80分的，或者承包人无正当理由终止履约承包合同的，发包人有权扣除壹个月服务款（服务期不足壹个月的，扣除全额服务款）并有权终止承包合同。</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第六章 附则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第二十七条 本办法由龙游县公路港航与运输管理中心负责解释。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第二十八条 本办法自2024年2月1日起施行。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附件1：公路日常养护市场化考核细则（保洁、绿化）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附件2：公路日常养护市场化考核细则（路面维修、交安）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附件3：日常养护作业指导频率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100" w:lineRule="exact"/>
        <w:jc w:val="both"/>
        <w:textAlignment w:val="auto"/>
        <w:rPr>
          <w:rFonts w:hint="eastAsia" w:ascii="仿宋" w:hAnsi="仿宋" w:eastAsia="仿宋" w:cs="仿宋"/>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color w:val="auto"/>
          <w:sz w:val="32"/>
          <w:szCs w:val="32"/>
          <w:highlight w:val="none"/>
          <w:lang w:val="en-US" w:eastAsia="zh-CN"/>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tbl>
      <w:tblPr>
        <w:tblStyle w:val="47"/>
        <w:tblW w:w="14906" w:type="dxa"/>
        <w:jc w:val="center"/>
        <w:tblLayout w:type="fixed"/>
        <w:tblCellMar>
          <w:top w:w="0" w:type="dxa"/>
          <w:left w:w="108" w:type="dxa"/>
          <w:bottom w:w="0" w:type="dxa"/>
          <w:right w:w="108" w:type="dxa"/>
        </w:tblCellMar>
      </w:tblPr>
      <w:tblGrid>
        <w:gridCol w:w="184"/>
        <w:gridCol w:w="491"/>
        <w:gridCol w:w="207"/>
        <w:gridCol w:w="935"/>
        <w:gridCol w:w="220"/>
        <w:gridCol w:w="8401"/>
        <w:gridCol w:w="242"/>
        <w:gridCol w:w="1215"/>
        <w:gridCol w:w="139"/>
        <w:gridCol w:w="1168"/>
        <w:gridCol w:w="308"/>
        <w:gridCol w:w="1018"/>
        <w:gridCol w:w="378"/>
      </w:tblGrid>
      <w:tr>
        <w:tblPrEx>
          <w:tblCellMar>
            <w:top w:w="0" w:type="dxa"/>
            <w:left w:w="108" w:type="dxa"/>
            <w:bottom w:w="0" w:type="dxa"/>
            <w:right w:w="108" w:type="dxa"/>
          </w:tblCellMar>
        </w:tblPrEx>
        <w:trPr>
          <w:trHeight w:val="600" w:hRule="atLeast"/>
          <w:jc w:val="center"/>
        </w:trPr>
        <w:tc>
          <w:tcPr>
            <w:tcW w:w="14906" w:type="dxa"/>
            <w:gridSpan w:val="13"/>
            <w:tcBorders>
              <w:top w:val="nil"/>
              <w:left w:val="nil"/>
              <w:bottom w:val="nil"/>
              <w:right w:val="nil"/>
            </w:tcBorders>
            <w:shd w:val="clear" w:color="auto" w:fill="auto"/>
            <w:noWrap/>
            <w:vAlign w:val="center"/>
          </w:tcPr>
          <w:p>
            <w:pPr>
              <w:widowControl/>
              <w:jc w:val="both"/>
              <w:textAlignment w:val="center"/>
              <w:rPr>
                <w:rFonts w:hint="eastAsia" w:ascii="宋体" w:hAnsi="宋体" w:eastAsia="宋体" w:cs="宋体"/>
                <w:b/>
                <w:bCs/>
                <w:color w:val="000000"/>
                <w:sz w:val="21"/>
                <w:szCs w:val="21"/>
              </w:rPr>
            </w:pPr>
            <w:r>
              <w:rPr>
                <w:rFonts w:hint="eastAsia" w:ascii="宋体" w:hAnsi="宋体" w:eastAsia="宋体" w:cs="宋体"/>
                <w:color w:val="000000"/>
                <w:kern w:val="0"/>
                <w:sz w:val="21"/>
                <w:szCs w:val="21"/>
                <w:lang w:bidi="ar"/>
              </w:rPr>
              <w:t>附件1</w:t>
            </w:r>
            <w:r>
              <w:rPr>
                <w:rFonts w:hint="eastAsia" w:ascii="宋体" w:hAnsi="宋体" w:eastAsia="宋体" w:cs="宋体"/>
                <w:color w:val="000000"/>
                <w:kern w:val="0"/>
                <w:sz w:val="21"/>
                <w:szCs w:val="21"/>
                <w:lang w:val="en-US" w:eastAsia="zh-CN" w:bidi="ar"/>
              </w:rPr>
              <w:t xml:space="preserve">                                  </w:t>
            </w:r>
            <w:r>
              <w:rPr>
                <w:rFonts w:hint="eastAsia" w:ascii="宋体" w:hAnsi="宋体" w:eastAsia="宋体" w:cs="宋体"/>
                <w:color w:val="000000"/>
                <w:kern w:val="0"/>
                <w:sz w:val="28"/>
                <w:szCs w:val="28"/>
                <w:lang w:val="en-US" w:eastAsia="zh-CN" w:bidi="ar"/>
              </w:rPr>
              <w:t xml:space="preserve"> </w:t>
            </w:r>
            <w:r>
              <w:rPr>
                <w:rFonts w:hint="eastAsia" w:ascii="宋体" w:hAnsi="宋体" w:eastAsia="宋体" w:cs="宋体"/>
                <w:b/>
                <w:bCs/>
                <w:color w:val="000000"/>
                <w:kern w:val="0"/>
                <w:sz w:val="28"/>
                <w:szCs w:val="28"/>
                <w:lang w:bidi="ar"/>
              </w:rPr>
              <w:t>公路日常养护市场化考核细则（保洁</w:t>
            </w:r>
            <w:r>
              <w:rPr>
                <w:rFonts w:hint="eastAsia" w:ascii="宋体" w:hAnsi="宋体" w:eastAsia="宋体" w:cs="宋体"/>
                <w:b/>
                <w:bCs/>
                <w:color w:val="000000"/>
                <w:kern w:val="0"/>
                <w:sz w:val="28"/>
                <w:szCs w:val="28"/>
                <w:lang w:eastAsia="zh-CN" w:bidi="ar"/>
              </w:rPr>
              <w:t>、</w:t>
            </w:r>
            <w:r>
              <w:rPr>
                <w:rFonts w:hint="eastAsia" w:ascii="宋体" w:hAnsi="宋体" w:eastAsia="宋体" w:cs="宋体"/>
                <w:b/>
                <w:bCs/>
                <w:color w:val="000000"/>
                <w:kern w:val="0"/>
                <w:sz w:val="28"/>
                <w:szCs w:val="28"/>
                <w:lang w:val="en-US" w:eastAsia="zh-CN" w:bidi="ar"/>
              </w:rPr>
              <w:t>绿化</w:t>
            </w:r>
            <w:r>
              <w:rPr>
                <w:rFonts w:hint="eastAsia" w:ascii="宋体" w:hAnsi="宋体" w:eastAsia="宋体" w:cs="宋体"/>
                <w:b/>
                <w:bCs/>
                <w:color w:val="000000"/>
                <w:kern w:val="0"/>
                <w:sz w:val="28"/>
                <w:szCs w:val="28"/>
                <w:lang w:bidi="ar"/>
              </w:rPr>
              <w:t>）</w:t>
            </w:r>
          </w:p>
        </w:tc>
      </w:tr>
      <w:tr>
        <w:tblPrEx>
          <w:tblCellMar>
            <w:top w:w="0" w:type="dxa"/>
            <w:left w:w="108" w:type="dxa"/>
            <w:bottom w:w="0" w:type="dxa"/>
            <w:right w:w="108" w:type="dxa"/>
          </w:tblCellMar>
        </w:tblPrEx>
        <w:trPr>
          <w:trHeight w:val="454" w:hRule="exact"/>
          <w:jc w:val="center"/>
        </w:trPr>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142"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考核内容</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sz w:val="21"/>
                <w:szCs w:val="21"/>
              </w:rPr>
              <w:t>评分标准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扣分标准</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扣款标准</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tblPrEx>
          <w:tblCellMar>
            <w:top w:w="0" w:type="dxa"/>
            <w:left w:w="108" w:type="dxa"/>
            <w:bottom w:w="0" w:type="dxa"/>
            <w:right w:w="108" w:type="dxa"/>
          </w:tblCellMar>
        </w:tblPrEx>
        <w:trPr>
          <w:trHeight w:val="454" w:hRule="exact"/>
          <w:jc w:val="center"/>
        </w:trPr>
        <w:tc>
          <w:tcPr>
            <w:tcW w:w="675"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142" w:type="dxa"/>
            <w:gridSpan w:val="2"/>
            <w:vMerge w:val="restart"/>
            <w:tcBorders>
              <w:top w:val="single" w:color="auto"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质量管理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桥梁伸缩缝未及时清洁，桥梁泄水孔未及时疏通；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0.2分/处</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100元/处</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454"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公路附属设施未及时清洁；</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0.2分/处</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100元/处</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454"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公交站台出现牛皮癣、非法广告等或污渍、烟头、废弃物等；</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0.2分/处</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100元/处</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30" w:hRule="atLeas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保持附属设施完好，如出现倾倒、缺失等现象（手扶等简易手段即可处置），未及时修复或上报；</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0.2分/处</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100元/处</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00" w:hRule="atLeas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因绿化管养不善造成植被出现缺株、死株、枯枝败叶、杂草、病虫害、长势较差等现象；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1分/处</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500-1000元/处</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各保洁公司作业人员每日对桥下空间进行巡查，发现问题未及时上报或清理；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142"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文明管理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垃圾（含修剪的树枝等）倾倒在公路用地范围内或未及时清理；</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焚烧公路垃圾的现象；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上路作业人员、机械操作手应未按照统一规定的标志服及标志帽，规范着装；</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0.1分/人</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50元/人</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1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时效管理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每天未及时上报作业计划；</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未及时在养护系统中反馈工单信息；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工作已完成未反馈</w:t>
            </w: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未按规定频率对伸缩缝、交安、绿化等进行养护作业；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指令性任务未按规定时间完成的，完成质量未达到要求的；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800"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应急处置</w:t>
            </w:r>
            <w:r>
              <w:rPr>
                <w:rFonts w:hint="eastAsia" w:ascii="宋体" w:hAnsi="宋体" w:eastAsia="宋体" w:cs="宋体"/>
                <w:color w:val="000000"/>
                <w:kern w:val="0"/>
                <w:sz w:val="21"/>
                <w:szCs w:val="21"/>
                <w:lang w:eastAsia="zh-CN" w:bidi="ar"/>
              </w:rPr>
              <w:t>未及时到场</w:t>
            </w:r>
            <w:r>
              <w:rPr>
                <w:rFonts w:hint="eastAsia" w:ascii="宋体" w:hAnsi="宋体" w:eastAsia="宋体" w:cs="宋体"/>
                <w:color w:val="000000"/>
                <w:kern w:val="0"/>
                <w:sz w:val="21"/>
                <w:szCs w:val="21"/>
                <w:lang w:bidi="ar"/>
              </w:rPr>
              <w:t>，环线内（含）需30分钟到场，</w:t>
            </w:r>
            <w:r>
              <w:rPr>
                <w:rFonts w:hint="eastAsia" w:ascii="宋体" w:hAnsi="宋体" w:eastAsia="宋体" w:cs="宋体"/>
                <w:color w:val="000000"/>
                <w:kern w:val="0"/>
                <w:sz w:val="21"/>
                <w:szCs w:val="21"/>
                <w:lang w:eastAsia="zh-CN" w:bidi="ar"/>
              </w:rPr>
              <w:t>环线外需</w:t>
            </w:r>
            <w:r>
              <w:rPr>
                <w:rFonts w:hint="eastAsia" w:ascii="宋体" w:hAnsi="宋体" w:eastAsia="宋体" w:cs="宋体"/>
                <w:color w:val="000000"/>
                <w:kern w:val="0"/>
                <w:sz w:val="21"/>
                <w:szCs w:val="21"/>
                <w:lang w:val="en-US" w:eastAsia="zh-CN" w:bidi="ar"/>
              </w:rPr>
              <w:t>60分钟到场</w:t>
            </w:r>
            <w:r>
              <w:rPr>
                <w:rFonts w:hint="eastAsia" w:ascii="宋体" w:hAnsi="宋体" w:eastAsia="宋体" w:cs="宋体"/>
                <w:color w:val="000000"/>
                <w:kern w:val="0"/>
                <w:sz w:val="21"/>
                <w:szCs w:val="21"/>
                <w:lang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vMerge w:val="restart"/>
            <w:tcBorders>
              <w:top w:val="single" w:color="000000" w:sz="4" w:space="0"/>
              <w:left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r>
              <w:rPr>
                <w:rFonts w:hint="eastAsia" w:ascii="宋体" w:hAnsi="宋体" w:eastAsia="宋体" w:cs="宋体"/>
                <w:color w:val="000000"/>
                <w:sz w:val="18"/>
                <w:szCs w:val="18"/>
              </w:rPr>
              <w:t>因处置位置信息不明确、堵车等客观原因（必须提供照片等佐证材料），可适当延缓</w:t>
            </w:r>
          </w:p>
        </w:tc>
      </w:tr>
      <w:tr>
        <w:tblPrEx>
          <w:tblCellMar>
            <w:top w:w="0" w:type="dxa"/>
            <w:left w:w="108" w:type="dxa"/>
            <w:bottom w:w="0" w:type="dxa"/>
            <w:right w:w="108" w:type="dxa"/>
          </w:tblCellMar>
        </w:tblPrEx>
        <w:trPr>
          <w:trHeight w:val="1536"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未按要求派出机械、人员到达指定的地点进行应急处置；</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未按规定时限上报安全生产事故的（未发生亡人、严重受伤情况）；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1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安全管理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每月开展一次集中安全教育，未对养护作业人员进行安全教育培训；</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86"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在中间绿化带边上清扫、绿化修剪等作业时应面向来车方向作业，应按规定设置明显的作业标志（提示牌、两面红旗、一个警报器）；靠近车道处设置临时作业控制区（交通锥帽），未按此项规定操作；</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未按照规范建立完善安全管理制度并执行；</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500元/人/次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未按规范设置安全设施（标志标牌）、合理安排交通组织的；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高空、临边等危险地带未按要求做好安全防护的；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743"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作业人员非必要情况下进入行车道、在中央绿化带休息以及其它违反作业安全规则的情况；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0.2分/人/次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100元/人/次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安全台账不齐全、不规范；</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t>无</w:t>
            </w:r>
            <w:r>
              <w:rPr>
                <w:rFonts w:hint="eastAsia" w:ascii="宋体" w:hAnsi="宋体" w:eastAsia="宋体" w:cs="宋体"/>
                <w:color w:val="000000"/>
                <w:kern w:val="0"/>
                <w:sz w:val="21"/>
                <w:szCs w:val="21"/>
                <w:lang w:bidi="ar"/>
              </w:rPr>
              <w:t>安全台账；</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人员档案一人一档（基本信息、岗前培训记录等）；</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0.2分/人</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100元/人</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发生无亡人有责事故；</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发生亡人有责事故；</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10分/次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5000元/次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未按疫情防控要求实施防疫措施、未配备防疫物资的；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0.6</w:t>
            </w:r>
            <w:r>
              <w:rPr>
                <w:rFonts w:hint="eastAsia" w:ascii="宋体" w:hAnsi="宋体" w:eastAsia="宋体" w:cs="宋体"/>
                <w:color w:val="000000"/>
                <w:kern w:val="0"/>
                <w:sz w:val="21"/>
                <w:szCs w:val="21"/>
                <w:lang w:bidi="ar"/>
              </w:rPr>
              <w:t>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300</w:t>
            </w:r>
            <w:r>
              <w:rPr>
                <w:rFonts w:hint="eastAsia" w:ascii="宋体" w:hAnsi="宋体" w:eastAsia="宋体" w:cs="宋体"/>
                <w:color w:val="000000"/>
                <w:kern w:val="0"/>
                <w:sz w:val="21"/>
                <w:szCs w:val="21"/>
                <w:lang w:bidi="ar"/>
              </w:rPr>
              <w:t>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800" w:hRule="atLeast"/>
          <w:jc w:val="center"/>
        </w:trPr>
        <w:tc>
          <w:tcPr>
            <w:tcW w:w="675"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142"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人员管理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作业人员考勤天数未达标；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0.2分/人/天</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100元/人/天</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生病、意外等特殊原因经集体商讨可一事一议</w:t>
            </w:r>
          </w:p>
        </w:tc>
      </w:tr>
      <w:tr>
        <w:tblPrEx>
          <w:tblCellMar>
            <w:top w:w="0" w:type="dxa"/>
            <w:left w:w="108" w:type="dxa"/>
            <w:bottom w:w="0" w:type="dxa"/>
            <w:right w:w="108" w:type="dxa"/>
          </w:tblCellMar>
        </w:tblPrEx>
        <w:trPr>
          <w:trHeight w:val="450" w:hRule="atLeas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有迟到早退、聚众闲聊现象；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0.1分/人/次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50元/人/次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405" w:hRule="atLeas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消极怠工等现象；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0.4分/人/次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200元/人/次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85" w:hRule="atLeas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每月累计迟到早退合计50人次以上（含）；</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除单次处罚外额外扣款</w:t>
            </w:r>
          </w:p>
        </w:tc>
      </w:tr>
      <w:tr>
        <w:tblPrEx>
          <w:tblCellMar>
            <w:top w:w="0" w:type="dxa"/>
            <w:left w:w="108" w:type="dxa"/>
            <w:bottom w:w="0" w:type="dxa"/>
            <w:right w:w="108" w:type="dxa"/>
          </w:tblCellMar>
        </w:tblPrEx>
        <w:trPr>
          <w:trHeight w:val="402" w:hRule="atLeast"/>
          <w:jc w:val="center"/>
        </w:trPr>
        <w:tc>
          <w:tcPr>
            <w:tcW w:w="67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携带他人工牌替代考勤等弄虚作假行为；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495" w:hRule="atLeast"/>
          <w:jc w:val="center"/>
        </w:trPr>
        <w:tc>
          <w:tcPr>
            <w:tcW w:w="6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11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机械管理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清扫车、洒水车因维修保养及其它原因无法上路；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1分/天/辆</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500元/天/辆</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555" w:hRule="atLeas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清</w:t>
            </w:r>
            <w:r>
              <w:rPr>
                <w:rFonts w:hint="eastAsia" w:ascii="宋体" w:hAnsi="宋体" w:eastAsia="宋体" w:cs="宋体"/>
                <w:color w:val="000000"/>
                <w:kern w:val="0"/>
                <w:sz w:val="21"/>
                <w:szCs w:val="21"/>
                <w:lang w:eastAsia="zh-CN" w:bidi="ar"/>
              </w:rPr>
              <w:t>（洗）</w:t>
            </w:r>
            <w:r>
              <w:rPr>
                <w:rFonts w:hint="eastAsia" w:ascii="宋体" w:hAnsi="宋体" w:eastAsia="宋体" w:cs="宋体"/>
                <w:color w:val="000000"/>
                <w:kern w:val="0"/>
                <w:sz w:val="21"/>
                <w:szCs w:val="21"/>
                <w:lang w:bidi="ar"/>
              </w:rPr>
              <w:t>扫车、洒水车作业时间未达到要求，按车辆监测系统数据计算；</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0.2分/天/辆</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1.5元/分钟/辆</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清（洗）扫车</w:t>
            </w:r>
            <w:r>
              <w:rPr>
                <w:rFonts w:hint="eastAsia" w:ascii="宋体" w:hAnsi="宋体" w:eastAsia="宋体" w:cs="宋体"/>
                <w:color w:val="000000"/>
                <w:kern w:val="0"/>
                <w:sz w:val="21"/>
                <w:szCs w:val="21"/>
                <w:lang w:eastAsia="zh-CN" w:bidi="ar"/>
              </w:rPr>
              <w:t>、洒水车</w:t>
            </w:r>
            <w:r>
              <w:rPr>
                <w:rFonts w:hint="eastAsia" w:ascii="宋体" w:hAnsi="宋体" w:eastAsia="宋体" w:cs="宋体"/>
                <w:color w:val="000000"/>
                <w:kern w:val="0"/>
                <w:sz w:val="21"/>
                <w:szCs w:val="21"/>
                <w:lang w:bidi="ar"/>
              </w:rPr>
              <w:t>作业时最高时速超过15km/h；</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0.6分/次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清</w:t>
            </w:r>
            <w:r>
              <w:rPr>
                <w:rFonts w:hint="eastAsia" w:ascii="宋体" w:hAnsi="宋体" w:eastAsia="宋体" w:cs="宋体"/>
                <w:color w:val="000000"/>
                <w:kern w:val="0"/>
                <w:sz w:val="21"/>
                <w:szCs w:val="21"/>
                <w:lang w:eastAsia="zh-CN" w:bidi="ar"/>
              </w:rPr>
              <w:t>（洗）</w:t>
            </w:r>
            <w:r>
              <w:rPr>
                <w:rFonts w:hint="eastAsia" w:ascii="宋体" w:hAnsi="宋体" w:eastAsia="宋体" w:cs="宋体"/>
                <w:color w:val="000000"/>
                <w:kern w:val="0"/>
                <w:sz w:val="21"/>
                <w:szCs w:val="21"/>
                <w:lang w:bidi="ar"/>
              </w:rPr>
              <w:t>扫车、洒水车空转作业；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未遵守交通规则驾驶车辆作业；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1142" w:type="dxa"/>
            <w:gridSpan w:val="2"/>
            <w:vMerge w:val="restart"/>
            <w:tcBorders>
              <w:top w:val="single" w:color="auto"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巡查管理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国省道每天</w:t>
            </w:r>
            <w:r>
              <w:rPr>
                <w:rFonts w:hint="eastAsia" w:ascii="宋体" w:hAnsi="宋体" w:eastAsia="宋体" w:cs="宋体"/>
                <w:color w:val="000000"/>
                <w:kern w:val="0"/>
                <w:sz w:val="21"/>
                <w:szCs w:val="21"/>
                <w:lang w:eastAsia="zh-CN" w:bidi="ar"/>
              </w:rPr>
              <w:t>至少</w:t>
            </w:r>
            <w:r>
              <w:rPr>
                <w:rFonts w:hint="eastAsia" w:ascii="宋体" w:hAnsi="宋体" w:eastAsia="宋体" w:cs="宋体"/>
                <w:color w:val="000000"/>
                <w:kern w:val="0"/>
                <w:sz w:val="21"/>
                <w:szCs w:val="21"/>
                <w:lang w:bidi="ar"/>
              </w:rPr>
              <w:t>巡查一次，未全覆盖，按GPS轨迹认定；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县道每周</w:t>
            </w:r>
            <w:r>
              <w:rPr>
                <w:rFonts w:hint="eastAsia" w:ascii="宋体" w:hAnsi="宋体" w:eastAsia="宋体" w:cs="宋体"/>
                <w:color w:val="000000"/>
                <w:kern w:val="0"/>
                <w:sz w:val="21"/>
                <w:szCs w:val="21"/>
                <w:lang w:eastAsia="zh-CN" w:bidi="ar"/>
              </w:rPr>
              <w:t>至少</w:t>
            </w:r>
            <w:r>
              <w:rPr>
                <w:rFonts w:hint="eastAsia" w:ascii="宋体" w:hAnsi="宋体" w:eastAsia="宋体" w:cs="宋体"/>
                <w:color w:val="000000"/>
                <w:kern w:val="0"/>
                <w:sz w:val="21"/>
                <w:szCs w:val="21"/>
                <w:lang w:bidi="ar"/>
              </w:rPr>
              <w:t>巡查一次，未全覆盖，按GPS轨迹认定；</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巡查中，明显异常情况未进行处置或上报；</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每日巡查记录填写不完整、无记录；</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0.1分/次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11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社会管理</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未按招标文件及合同相关要求发放奖金及相关福利；</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拖欠员工工资；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责任范围内问题被媒体曝光；</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被上级部门相关检查中通报批评、扣分或领导点名批评的；</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97" w:hRule="exact"/>
          <w:jc w:val="center"/>
        </w:trPr>
        <w:tc>
          <w:tcPr>
            <w:tcW w:w="67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42" w:type="dxa"/>
            <w:gridSpan w:val="2"/>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因作业不规范等原因对周边居民产生不良影响，被12345等投诉查实。</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2分/次</w:t>
            </w: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1000元/次</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800" w:hRule="atLeast"/>
          <w:jc w:val="center"/>
        </w:trPr>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9</w:t>
            </w:r>
          </w:p>
        </w:tc>
        <w:tc>
          <w:tcPr>
            <w:tcW w:w="1142"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每月养护考核</w:t>
            </w:r>
          </w:p>
        </w:tc>
        <w:tc>
          <w:tcPr>
            <w:tcW w:w="88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由考核小组对当月养护效果进行打分，总分10分，扣完为止。</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1"/>
                <w:szCs w:val="21"/>
                <w:lang w:bidi="ar"/>
              </w:rPr>
            </w:pPr>
          </w:p>
        </w:tc>
        <w:tc>
          <w:tcPr>
            <w:tcW w:w="13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500元/分</w:t>
            </w:r>
          </w:p>
        </w:tc>
        <w:tc>
          <w:tcPr>
            <w:tcW w:w="17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按考核小组最终扣除的平均分进行当月考核扣款</w:t>
            </w:r>
          </w:p>
        </w:tc>
      </w:tr>
      <w:tr>
        <w:tblPrEx>
          <w:tblCellMar>
            <w:top w:w="0" w:type="dxa"/>
            <w:left w:w="108" w:type="dxa"/>
            <w:bottom w:w="0" w:type="dxa"/>
            <w:right w:w="108" w:type="dxa"/>
          </w:tblCellMar>
        </w:tblPrEx>
        <w:trPr>
          <w:gridBefore w:val="1"/>
          <w:wBefore w:w="184" w:type="dxa"/>
          <w:trHeight w:val="287" w:hRule="atLeast"/>
          <w:jc w:val="center"/>
        </w:trPr>
        <w:tc>
          <w:tcPr>
            <w:tcW w:w="14722" w:type="dxa"/>
            <w:gridSpan w:val="12"/>
            <w:tcBorders>
              <w:top w:val="nil"/>
              <w:left w:val="nil"/>
              <w:bottom w:val="nil"/>
              <w:right w:val="nil"/>
            </w:tcBorders>
            <w:shd w:val="clear" w:color="auto" w:fill="auto"/>
            <w:noWrap/>
            <w:vAlign w:val="center"/>
          </w:tcPr>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pStyle w:val="4"/>
              <w:ind w:left="0" w:leftChars="0" w:firstLine="0" w:firstLineChars="0"/>
              <w:rPr>
                <w:rFonts w:hint="eastAsia"/>
              </w:rPr>
            </w:pPr>
          </w:p>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widowControl/>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color w:val="000000"/>
                <w:kern w:val="0"/>
                <w:sz w:val="21"/>
                <w:szCs w:val="21"/>
                <w:lang w:bidi="ar"/>
              </w:rPr>
            </w:pPr>
          </w:p>
          <w:p>
            <w:pPr>
              <w:widowControl/>
              <w:jc w:val="both"/>
              <w:textAlignment w:val="center"/>
              <w:rPr>
                <w:rFonts w:hint="eastAsia" w:ascii="宋体" w:hAnsi="宋体" w:eastAsia="宋体" w:cs="宋体"/>
                <w:b/>
                <w:bCs/>
                <w:color w:val="000000"/>
                <w:sz w:val="21"/>
                <w:szCs w:val="21"/>
              </w:rPr>
            </w:pPr>
            <w:r>
              <w:rPr>
                <w:rFonts w:hint="eastAsia" w:ascii="宋体" w:hAnsi="宋体" w:eastAsia="宋体" w:cs="宋体"/>
                <w:color w:val="000000"/>
                <w:kern w:val="0"/>
                <w:sz w:val="21"/>
                <w:szCs w:val="21"/>
                <w:lang w:bidi="ar"/>
              </w:rPr>
              <w:t xml:space="preserve">附件2  </w:t>
            </w:r>
            <w:r>
              <w:rPr>
                <w:rFonts w:hint="eastAsia" w:ascii="宋体" w:hAnsi="宋体" w:eastAsia="宋体" w:cs="宋体"/>
                <w:b/>
                <w:bCs/>
                <w:color w:val="000000"/>
                <w:kern w:val="0"/>
                <w:sz w:val="21"/>
                <w:szCs w:val="21"/>
                <w:lang w:bidi="ar"/>
              </w:rPr>
              <w:t xml:space="preserve">          </w:t>
            </w:r>
            <w:r>
              <w:rPr>
                <w:rFonts w:hint="eastAsia" w:cs="宋体"/>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bidi="ar"/>
              </w:rPr>
              <w:t xml:space="preserve"> 公路日常养护市场化考核细则（路面维修、交安）</w:t>
            </w: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考核内容</w:t>
            </w: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考核细则</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扣分标准</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扣款标准</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备注</w:t>
            </w: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restart"/>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155" w:type="dxa"/>
            <w:gridSpan w:val="2"/>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质量管理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违反工序逐级检验制度和工序交接制度；</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0.5分/次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restart"/>
            <w:tcBorders>
              <w:top w:val="nil"/>
              <w:left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未按设计图纸或相关规范施工的；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2分/处</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1000元/处</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出现严重质量问题或同一类型质量隐患出现2次以上的；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在上级主管部门或行业监管部门组织的质量检查、督查中受到通报批评的；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缺陷责任期未及时养护的。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0.6分/处</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300元/处</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155" w:type="dxa"/>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文明管理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施工单位现场管理脏乱无序，材料乱堆乱放；</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未按规定清理施工废弃物的；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2分/处</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1000元/处</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上路作业人员、机械操作手应未按照统一规定的标志服及标志帽，规范着装；</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0.1分/人</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50元/人</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155" w:type="dxa"/>
            <w:gridSpan w:val="2"/>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时效管理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指令性任务未按规定时间完成的，完成质量未达到要求的；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应急抢险任务未按要求及时配合；</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对建设单位及监理办下发的各类指令通知提出的问题拒不整改或未按时限进行整改；</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未及时上报作业计划；</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未按规定时限上报安全生产事故的（含未发生伤亡情况）；</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155" w:type="dxa"/>
            <w:gridSpan w:val="2"/>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安全管理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未明确岗位安全责任，按照规范建立完善安全管理制度并执行；</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0.6分/次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300元/人/次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未按规范设置安全设施（标志标牌）、合理安排交通组织的；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0.5分/次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高空、临边等危险地带未按要求做好安全防护的；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0.5分/人/次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100元/人/次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gridAfter w:val="1"/>
          <w:wBefore w:w="184" w:type="dxa"/>
          <w:wAfter w:w="378" w:type="dxa"/>
          <w:trHeight w:val="397" w:hRule="exact"/>
          <w:jc w:val="center"/>
        </w:trPr>
        <w:tc>
          <w:tcPr>
            <w:tcW w:w="698" w:type="dxa"/>
            <w:gridSpan w:val="2"/>
            <w:vMerge w:val="continue"/>
            <w:tcBorders>
              <w:top w:val="nil"/>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同一类型安全隐患出现2次及以上；</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2500元/次</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未按要求召开安全工作会议（安全教育）或无会议记录及照片的；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特种设备未经有关部门注册登记检验而投入使用或未定期进行检验的；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在项目上级主管部门或行业监督部门组织的安全检查、督查中受到通报批评的；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人员档案一人一档（基本信息、岗前培训记录等）；</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0.2分/人</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100元/人</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未按疫情防控要求实施防疫措施、未配备防疫物资的；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0.6</w:t>
            </w:r>
            <w:r>
              <w:rPr>
                <w:rFonts w:hint="eastAsia" w:ascii="宋体" w:hAnsi="宋体" w:eastAsia="宋体" w:cs="宋体"/>
                <w:color w:val="000000"/>
                <w:kern w:val="0"/>
                <w:sz w:val="21"/>
                <w:szCs w:val="21"/>
                <w:lang w:bidi="ar"/>
              </w:rPr>
              <w:t>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155" w:type="dxa"/>
            <w:gridSpan w:val="2"/>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人员管理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施工现场未配备专职安全员或配备人数不足的；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特种作业人员无操作证上岗的；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300元/人</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155" w:type="dxa"/>
            <w:gridSpan w:val="2"/>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社会管理</w:t>
            </w: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未按招标文件及合同相关要求发放工资、奖金及相关福利的；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拖欠员工工资；</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因施工作业不规范的问题被媒体曝光；</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5000元/次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gridBefore w:val="1"/>
          <w:wBefore w:w="184" w:type="dxa"/>
          <w:trHeight w:val="397" w:hRule="exact"/>
          <w:jc w:val="center"/>
        </w:trPr>
        <w:tc>
          <w:tcPr>
            <w:tcW w:w="6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c>
          <w:tcPr>
            <w:tcW w:w="1155" w:type="dxa"/>
            <w:gridSpan w:val="2"/>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8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因作业不规范等原因对周边居民产生不良影响，被12345等投诉查实。</w:t>
            </w:r>
          </w:p>
        </w:tc>
        <w:tc>
          <w:tcPr>
            <w:tcW w:w="15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2分/次</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1000元/次</w:t>
            </w:r>
          </w:p>
        </w:tc>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color w:val="auto"/>
          <w:sz w:val="32"/>
          <w:szCs w:val="32"/>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47"/>
        <w:tblW w:w="10160" w:type="dxa"/>
        <w:tblInd w:w="91" w:type="dxa"/>
        <w:tblLayout w:type="fixed"/>
        <w:tblCellMar>
          <w:top w:w="0" w:type="dxa"/>
          <w:left w:w="108" w:type="dxa"/>
          <w:bottom w:w="0" w:type="dxa"/>
          <w:right w:w="108" w:type="dxa"/>
        </w:tblCellMar>
      </w:tblPr>
      <w:tblGrid>
        <w:gridCol w:w="653"/>
        <w:gridCol w:w="1104"/>
        <w:gridCol w:w="2900"/>
        <w:gridCol w:w="3151"/>
        <w:gridCol w:w="2352"/>
      </w:tblGrid>
      <w:tr>
        <w:tblPrEx>
          <w:tblCellMar>
            <w:top w:w="0" w:type="dxa"/>
            <w:left w:w="108" w:type="dxa"/>
            <w:bottom w:w="0" w:type="dxa"/>
            <w:right w:w="108" w:type="dxa"/>
          </w:tblCellMar>
        </w:tblPrEx>
        <w:trPr>
          <w:trHeight w:val="646" w:hRule="atLeast"/>
        </w:trPr>
        <w:tc>
          <w:tcPr>
            <w:tcW w:w="10160" w:type="dxa"/>
            <w:gridSpan w:val="5"/>
            <w:tcBorders>
              <w:top w:val="nil"/>
              <w:left w:val="nil"/>
              <w:bottom w:val="nil"/>
              <w:right w:val="nil"/>
            </w:tcBorders>
            <w:shd w:val="clear" w:color="auto" w:fill="auto"/>
            <w:noWrap/>
            <w:vAlign w:val="center"/>
          </w:tcPr>
          <w:p>
            <w:pPr>
              <w:widowControl/>
              <w:jc w:val="both"/>
              <w:textAlignment w:val="center"/>
              <w:rPr>
                <w:rFonts w:hint="eastAsia" w:ascii="宋体" w:hAnsi="宋体" w:eastAsia="宋体" w:cs="宋体"/>
                <w:b/>
                <w:bCs/>
                <w:color w:val="000000"/>
                <w:sz w:val="36"/>
                <w:szCs w:val="36"/>
              </w:rPr>
            </w:pPr>
            <w:r>
              <w:rPr>
                <w:rFonts w:hint="eastAsia" w:ascii="宋体" w:hAnsi="宋体" w:eastAsia="宋体" w:cs="宋体"/>
                <w:color w:val="000000"/>
                <w:kern w:val="0"/>
                <w:sz w:val="32"/>
                <w:szCs w:val="32"/>
                <w:lang w:eastAsia="zh-CN" w:bidi="ar"/>
              </w:rPr>
              <w:t>附件</w:t>
            </w:r>
            <w:r>
              <w:rPr>
                <w:rFonts w:hint="eastAsia" w:ascii="宋体" w:hAnsi="宋体" w:eastAsia="宋体" w:cs="宋体"/>
                <w:color w:val="000000"/>
                <w:kern w:val="0"/>
                <w:sz w:val="32"/>
                <w:szCs w:val="32"/>
                <w:lang w:val="en-US" w:eastAsia="zh-CN" w:bidi="ar"/>
              </w:rPr>
              <w:t>3</w:t>
            </w:r>
            <w:r>
              <w:rPr>
                <w:rFonts w:hint="eastAsia" w:ascii="宋体" w:hAnsi="宋体" w:eastAsia="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bidi="ar"/>
              </w:rPr>
              <w:t>日常养护作业指导频率</w:t>
            </w: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序号</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作业部位</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作业科目</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作业频率</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备注</w:t>
            </w: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路面</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清扫车作业</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每周六次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val="en-US" w:eastAsia="zh-CN"/>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2</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洗扫车作业</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每周六次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3</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路肩冲洗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每周六次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4</w:t>
            </w:r>
          </w:p>
        </w:tc>
        <w:tc>
          <w:tcPr>
            <w:tcW w:w="1104"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路基</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边坡清理</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w:t>
            </w:r>
            <w:r>
              <w:rPr>
                <w:rFonts w:hint="eastAsia" w:ascii="宋体" w:hAnsi="宋体" w:eastAsia="宋体" w:cs="宋体"/>
                <w:color w:val="000000"/>
                <w:kern w:val="0"/>
                <w:sz w:val="24"/>
                <w:lang w:val="en-US" w:eastAsia="zh-CN" w:bidi="ar"/>
              </w:rPr>
              <w:t>至少</w:t>
            </w:r>
            <w:r>
              <w:rPr>
                <w:rFonts w:hint="eastAsia" w:ascii="宋体" w:hAnsi="宋体" w:eastAsia="宋体" w:cs="宋体"/>
                <w:color w:val="000000"/>
                <w:kern w:val="0"/>
                <w:sz w:val="24"/>
                <w:lang w:bidi="ar"/>
              </w:rPr>
              <w:t>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5</w:t>
            </w:r>
          </w:p>
        </w:tc>
        <w:tc>
          <w:tcPr>
            <w:tcW w:w="1104"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里程碑刷白</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每年一次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6</w:t>
            </w:r>
          </w:p>
        </w:tc>
        <w:tc>
          <w:tcPr>
            <w:tcW w:w="1104"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边沟清理</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w:t>
            </w:r>
            <w:r>
              <w:rPr>
                <w:rFonts w:hint="eastAsia" w:ascii="宋体" w:hAnsi="宋体" w:eastAsia="宋体" w:cs="宋体"/>
                <w:color w:val="000000"/>
                <w:kern w:val="0"/>
                <w:sz w:val="24"/>
                <w:lang w:val="en-US" w:eastAsia="zh-CN" w:bidi="ar"/>
              </w:rPr>
              <w:t>至少</w:t>
            </w:r>
            <w:r>
              <w:rPr>
                <w:rFonts w:hint="eastAsia" w:ascii="宋体" w:hAnsi="宋体" w:eastAsia="宋体" w:cs="宋体"/>
                <w:color w:val="000000"/>
                <w:kern w:val="0"/>
                <w:sz w:val="24"/>
                <w:lang w:bidi="ar"/>
              </w:rPr>
              <w:t>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7</w:t>
            </w:r>
          </w:p>
        </w:tc>
        <w:tc>
          <w:tcPr>
            <w:tcW w:w="1104"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桥隧</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隧道内壁清洗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8</w:t>
            </w:r>
          </w:p>
        </w:tc>
        <w:tc>
          <w:tcPr>
            <w:tcW w:w="1104"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桥梁泄水孔疏通</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9</w:t>
            </w:r>
          </w:p>
        </w:tc>
        <w:tc>
          <w:tcPr>
            <w:tcW w:w="1104"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桥梁伸缩缝清洗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10</w:t>
            </w:r>
          </w:p>
        </w:tc>
        <w:tc>
          <w:tcPr>
            <w:tcW w:w="1104"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护栏清洗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11</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交安</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中小型标志牌清洗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w:t>
            </w:r>
            <w:r>
              <w:rPr>
                <w:rFonts w:hint="eastAsia" w:ascii="宋体" w:hAnsi="宋体" w:eastAsia="宋体" w:cs="宋体"/>
                <w:color w:val="000000"/>
                <w:kern w:val="0"/>
                <w:sz w:val="24"/>
                <w:lang w:val="en-US" w:eastAsia="zh-CN" w:bidi="ar"/>
              </w:rPr>
              <w:t>至少</w:t>
            </w:r>
            <w:r>
              <w:rPr>
                <w:rFonts w:hint="eastAsia" w:ascii="宋体" w:hAnsi="宋体" w:eastAsia="宋体" w:cs="宋体"/>
                <w:color w:val="000000"/>
                <w:kern w:val="0"/>
                <w:sz w:val="24"/>
                <w:lang w:bidi="ar"/>
              </w:rPr>
              <w:t>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12</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大型标志牌</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每年一次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13</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护栏清洗</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14</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lang w:val="en-US" w:eastAsia="zh-CN"/>
              </w:rPr>
            </w:pPr>
            <w:r>
              <w:rPr>
                <w:rFonts w:hint="eastAsia" w:ascii="宋体" w:hAnsi="宋体" w:eastAsia="宋体" w:cs="宋体"/>
                <w:color w:val="000000"/>
                <w:kern w:val="0"/>
                <w:sz w:val="24"/>
                <w:lang w:bidi="ar"/>
              </w:rPr>
              <w:t>路口警示柱</w:t>
            </w:r>
            <w:r>
              <w:rPr>
                <w:rFonts w:hint="eastAsia" w:ascii="宋体" w:hAnsi="宋体" w:eastAsia="宋体" w:cs="宋体"/>
                <w:color w:val="000000"/>
                <w:kern w:val="0"/>
                <w:sz w:val="24"/>
                <w:lang w:eastAsia="zh-CN" w:bidi="ar"/>
              </w:rPr>
              <w:t>、</w:t>
            </w:r>
            <w:r>
              <w:rPr>
                <w:rFonts w:hint="eastAsia" w:ascii="宋体" w:hAnsi="宋体" w:eastAsia="宋体" w:cs="宋体"/>
                <w:color w:val="000000"/>
                <w:kern w:val="0"/>
                <w:sz w:val="24"/>
                <w:lang w:val="en-US" w:eastAsia="zh-CN" w:bidi="ar"/>
              </w:rPr>
              <w:t>防撞桶</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15</w:t>
            </w:r>
          </w:p>
        </w:tc>
        <w:tc>
          <w:tcPr>
            <w:tcW w:w="1104"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绿化</w:t>
            </w: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草皮修剪</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每年八次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rPr>
            </w:pP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16</w:t>
            </w:r>
          </w:p>
        </w:tc>
        <w:tc>
          <w:tcPr>
            <w:tcW w:w="1104"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灌木修剪</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w:t>
            </w:r>
            <w:r>
              <w:rPr>
                <w:rFonts w:hint="eastAsia" w:ascii="宋体" w:hAnsi="宋体" w:eastAsia="宋体" w:cs="宋体"/>
                <w:color w:val="000000"/>
                <w:kern w:val="0"/>
                <w:sz w:val="24"/>
                <w:lang w:val="en-US" w:eastAsia="zh-CN" w:bidi="ar"/>
              </w:rPr>
              <w:t>至少</w:t>
            </w:r>
            <w:r>
              <w:rPr>
                <w:rFonts w:hint="eastAsia" w:ascii="宋体" w:hAnsi="宋体" w:eastAsia="宋体" w:cs="宋体"/>
                <w:color w:val="000000"/>
                <w:kern w:val="0"/>
                <w:sz w:val="24"/>
                <w:lang w:bidi="ar"/>
              </w:rPr>
              <w:t>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2、3、4季度</w:t>
            </w: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17</w:t>
            </w:r>
          </w:p>
        </w:tc>
        <w:tc>
          <w:tcPr>
            <w:tcW w:w="1104"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行道树刷白</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每年一次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11月</w:t>
            </w:r>
          </w:p>
        </w:tc>
      </w:tr>
      <w:tr>
        <w:tblPrEx>
          <w:tblCellMar>
            <w:top w:w="0" w:type="dxa"/>
            <w:left w:w="108" w:type="dxa"/>
            <w:bottom w:w="0" w:type="dxa"/>
            <w:right w:w="108" w:type="dxa"/>
          </w:tblCellMar>
        </w:tblPrEx>
        <w:trPr>
          <w:trHeight w:val="397" w:hRule="exac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18</w:t>
            </w:r>
          </w:p>
        </w:tc>
        <w:tc>
          <w:tcPr>
            <w:tcW w:w="1104"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重要点位行道树修剪</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每季度一次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路口、标志牌前50米</w:t>
            </w:r>
          </w:p>
        </w:tc>
      </w:tr>
      <w:tr>
        <w:tblPrEx>
          <w:tblCellMar>
            <w:top w:w="0" w:type="dxa"/>
            <w:left w:w="108" w:type="dxa"/>
            <w:bottom w:w="0" w:type="dxa"/>
            <w:right w:w="108" w:type="dxa"/>
          </w:tblCellMar>
        </w:tblPrEx>
        <w:trPr>
          <w:trHeight w:val="6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19</w:t>
            </w:r>
          </w:p>
        </w:tc>
        <w:tc>
          <w:tcPr>
            <w:tcW w:w="1104"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中分带绿化修剪</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每月一次</w:t>
            </w:r>
          </w:p>
        </w:tc>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i w:val="0"/>
                <w:iCs w:val="0"/>
                <w:color w:val="auto"/>
                <w:kern w:val="0"/>
                <w:sz w:val="21"/>
                <w:szCs w:val="21"/>
                <w:highlight w:val="none"/>
                <w:u w:val="none"/>
                <w:lang w:val="en-US" w:eastAsia="zh-CN" w:bidi="ar"/>
              </w:rPr>
              <w:t>遇重大活动、节假日不进行作业</w:t>
            </w:r>
          </w:p>
        </w:tc>
      </w:tr>
      <w:tr>
        <w:tblPrEx>
          <w:tblCellMar>
            <w:top w:w="0" w:type="dxa"/>
            <w:left w:w="108" w:type="dxa"/>
            <w:bottom w:w="0" w:type="dxa"/>
            <w:right w:w="108" w:type="dxa"/>
          </w:tblCellMar>
        </w:tblPrEx>
        <w:trPr>
          <w:trHeight w:val="320" w:hRule="atLeast"/>
        </w:trPr>
        <w:tc>
          <w:tcPr>
            <w:tcW w:w="10160" w:type="dxa"/>
            <w:gridSpan w:val="5"/>
            <w:vMerge w:val="restar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注：以上养护项目清单作为正常养护作业指导频率（最低），作为养护考核内容（路面清洗经业主允许可适当调整），各片区需根据实际情况和业主指令增加作业频次。</w:t>
            </w:r>
          </w:p>
        </w:tc>
      </w:tr>
      <w:tr>
        <w:tblPrEx>
          <w:tblCellMar>
            <w:top w:w="0" w:type="dxa"/>
            <w:left w:w="108" w:type="dxa"/>
            <w:bottom w:w="0" w:type="dxa"/>
            <w:right w:w="108" w:type="dxa"/>
          </w:tblCellMar>
        </w:tblPrEx>
        <w:trPr>
          <w:trHeight w:val="620" w:hRule="atLeast"/>
        </w:trPr>
        <w:tc>
          <w:tcPr>
            <w:tcW w:w="10160" w:type="dxa"/>
            <w:gridSpan w:val="5"/>
            <w:vMerge w:val="continue"/>
            <w:tcBorders>
              <w:top w:val="nil"/>
              <w:left w:val="nil"/>
              <w:bottom w:val="nil"/>
              <w:right w:val="nil"/>
            </w:tcBorders>
            <w:shd w:val="clear" w:color="auto" w:fill="auto"/>
            <w:noWrap/>
            <w:vAlign w:val="center"/>
          </w:tcPr>
          <w:p>
            <w:pPr>
              <w:jc w:val="left"/>
              <w:rPr>
                <w:rFonts w:hint="eastAsia" w:ascii="宋体" w:hAnsi="宋体" w:eastAsia="宋体" w:cs="宋体"/>
                <w:color w:val="000000"/>
                <w:sz w:val="24"/>
              </w:rPr>
            </w:pP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32"/>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21"/>
        <w:ind w:left="0" w:leftChars="0" w:firstLine="0" w:firstLineChars="0"/>
        <w:outlineLvl w:val="0"/>
        <w:rPr>
          <w:rFonts w:hint="eastAsia"/>
          <w:highlight w:val="none"/>
          <w:lang w:val="en-US" w:eastAsia="zh-CN"/>
        </w:rPr>
      </w:pPr>
      <w:bookmarkStart w:id="300" w:name="_Toc10134"/>
      <w:r>
        <w:rPr>
          <w:rFonts w:hint="eastAsia"/>
          <w:highlight w:val="none"/>
          <w:lang w:eastAsia="zh-CN"/>
        </w:rPr>
        <w:t>附件</w:t>
      </w:r>
      <w:r>
        <w:rPr>
          <w:rFonts w:hint="eastAsia"/>
          <w:highlight w:val="none"/>
          <w:lang w:val="en-US" w:eastAsia="zh-CN"/>
        </w:rPr>
        <w:t xml:space="preserve"> </w:t>
      </w:r>
      <w:bookmarkEnd w:id="300"/>
      <w:r>
        <w:rPr>
          <w:rFonts w:hint="eastAsia"/>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楷体" w:hAnsi="楷体" w:eastAsia="楷体" w:cs="楷体"/>
          <w:b/>
          <w:bCs/>
          <w:color w:val="auto"/>
          <w:sz w:val="28"/>
          <w:szCs w:val="28"/>
        </w:rPr>
      </w:pPr>
      <w:bookmarkStart w:id="301" w:name="_Toc3559"/>
      <w:bookmarkStart w:id="302" w:name="_Toc26233"/>
      <w:r>
        <w:rPr>
          <w:rFonts w:hint="eastAsia" w:ascii="楷体" w:hAnsi="楷体" w:eastAsia="楷体" w:cs="楷体"/>
          <w:b/>
          <w:bCs/>
          <w:color w:val="auto"/>
          <w:sz w:val="28"/>
          <w:szCs w:val="28"/>
        </w:rPr>
        <w:t>（一）绿化养护技术等级标准及考核细则</w:t>
      </w:r>
      <w:bookmarkEnd w:id="301"/>
      <w:bookmarkEnd w:id="302"/>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1、树</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木</w:t>
      </w:r>
    </w:p>
    <w:tbl>
      <w:tblPr>
        <w:tblStyle w:val="48"/>
        <w:tblW w:w="14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79"/>
        <w:gridCol w:w="694"/>
        <w:gridCol w:w="2773"/>
        <w:gridCol w:w="3435"/>
        <w:gridCol w:w="3178"/>
        <w:gridCol w:w="3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0" w:hRule="atLeast"/>
          <w:tblHeader/>
          <w:jc w:val="center"/>
        </w:trPr>
        <w:tc>
          <w:tcPr>
            <w:tcW w:w="67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69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277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343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w:t>
            </w:r>
          </w:p>
        </w:tc>
        <w:tc>
          <w:tcPr>
            <w:tcW w:w="317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标准考核细则</w:t>
            </w:r>
          </w:p>
        </w:tc>
        <w:tc>
          <w:tcPr>
            <w:tcW w:w="381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(1)群落结构合理，植株间无明显抑制现象；（2）林冠线和林缘线尚整齐</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（1）群落结构合理，植株疏密得当，空间协调，层次分明；（2）林冠线和林缘线饱满</w:t>
            </w:r>
          </w:p>
        </w:tc>
        <w:tc>
          <w:tcPr>
            <w:tcW w:w="31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（1）群落结构不合理，植株间有明显抑制现象每处扣0.1-0.2分；（2）林冠线、林缘线不整齐每处扣0.2-0.5分</w:t>
            </w:r>
          </w:p>
        </w:tc>
        <w:tc>
          <w:tcPr>
            <w:tcW w:w="3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（1）群落结构不合理，每处扣0.1-0.2分，空间不协调、无层次感，每处扣0.2-0.5分（2）林冠线、林缘线不饱满每处扣0.2-0.5分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生长及修剪</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（1）枝叶生长正常，修剪抹芽及时，无明显徒长枝、病虫枝、过密枝、枯枝、伤损枝、碰线枝，主干及一级枝不定芽不超过20</w:t>
            </w:r>
            <w:r>
              <w:rPr>
                <w:rFonts w:hint="eastAsia" w:eastAsia="宋体" w:cs="宋体"/>
                <w:color w:val="auto"/>
                <w:sz w:val="22"/>
                <w:szCs w:val="22"/>
                <w:lang w:eastAsia="zh-CN"/>
              </w:rPr>
              <w:t>㎝</w:t>
            </w:r>
            <w:r>
              <w:rPr>
                <w:rFonts w:hint="eastAsia" w:ascii="宋体" w:hAnsi="宋体" w:eastAsia="宋体" w:cs="宋体"/>
                <w:color w:val="auto"/>
                <w:sz w:val="22"/>
                <w:szCs w:val="22"/>
              </w:rPr>
              <w:t>；（2）观花、观果树种正常开花结果；（3）无大型枯枝死杈</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（1）植物生长健壮、</w:t>
            </w:r>
            <w:r>
              <w:rPr>
                <w:rFonts w:hint="eastAsia" w:ascii="宋体" w:hAnsi="宋体" w:eastAsia="宋体" w:cs="宋体"/>
                <w:color w:val="auto"/>
                <w:sz w:val="22"/>
                <w:szCs w:val="22"/>
                <w:highlight w:val="none"/>
              </w:rPr>
              <w:t>树型</w:t>
            </w:r>
            <w:r>
              <w:rPr>
                <w:rFonts w:hint="eastAsia" w:ascii="宋体" w:hAnsi="宋体" w:eastAsia="宋体" w:cs="宋体"/>
                <w:color w:val="auto"/>
                <w:sz w:val="22"/>
                <w:szCs w:val="22"/>
              </w:rPr>
              <w:t>完美，枝叶茂盛，修剪抹芽及时，无徒长枝、病虫枝、过密枝、枯枝、伤损枝、碰线枝，主干及一级枝不定芽不超过15</w:t>
            </w:r>
            <w:r>
              <w:rPr>
                <w:rFonts w:hint="eastAsia" w:eastAsia="宋体" w:cs="宋体"/>
                <w:color w:val="auto"/>
                <w:sz w:val="22"/>
                <w:szCs w:val="22"/>
                <w:lang w:eastAsia="zh-CN"/>
              </w:rPr>
              <w:t>㎝</w:t>
            </w:r>
            <w:r>
              <w:rPr>
                <w:rFonts w:hint="eastAsia" w:ascii="宋体" w:hAnsi="宋体" w:eastAsia="宋体" w:cs="宋体"/>
                <w:color w:val="auto"/>
                <w:sz w:val="22"/>
                <w:szCs w:val="22"/>
              </w:rPr>
              <w:t>；（2）观花树木按时茂盛开花；（3）观果树木正常结果；（4）色叶树种季相变化明显；（5）无枯枝死杈</w:t>
            </w:r>
          </w:p>
        </w:tc>
        <w:tc>
          <w:tcPr>
            <w:tcW w:w="31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（1）修剪不及时或不合理、檗芽长度超过20</w:t>
            </w:r>
            <w:r>
              <w:rPr>
                <w:rFonts w:hint="eastAsia" w:eastAsia="宋体" w:cs="宋体"/>
                <w:color w:val="auto"/>
                <w:sz w:val="22"/>
                <w:szCs w:val="22"/>
                <w:lang w:eastAsia="zh-CN"/>
              </w:rPr>
              <w:t>㎝</w:t>
            </w:r>
            <w:r>
              <w:rPr>
                <w:rFonts w:hint="eastAsia" w:ascii="宋体" w:hAnsi="宋体" w:eastAsia="宋体" w:cs="宋体"/>
                <w:color w:val="auto"/>
                <w:sz w:val="22"/>
                <w:szCs w:val="22"/>
              </w:rPr>
              <w:t>，每株扣0.1分；（2）观果观叶观花树种未正常开花结果每株扣0.1分；（3）枯枝、断枝、倾斜树木未在24小时内清除及扶正每株扣0.1分；（4）有大型枯枝死叉未处理每处扣0.1-0.2分</w:t>
            </w:r>
          </w:p>
        </w:tc>
        <w:tc>
          <w:tcPr>
            <w:tcW w:w="38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（1）修剪不及时或不合理、檗芽长度超过15</w:t>
            </w:r>
            <w:r>
              <w:rPr>
                <w:rFonts w:hint="eastAsia" w:eastAsia="宋体" w:cs="宋体"/>
                <w:color w:val="auto"/>
                <w:sz w:val="22"/>
                <w:szCs w:val="22"/>
                <w:lang w:eastAsia="zh-CN"/>
              </w:rPr>
              <w:t>㎝</w:t>
            </w:r>
            <w:r>
              <w:rPr>
                <w:rFonts w:hint="eastAsia" w:ascii="宋体" w:hAnsi="宋体" w:eastAsia="宋体" w:cs="宋体"/>
                <w:color w:val="auto"/>
                <w:sz w:val="22"/>
                <w:szCs w:val="22"/>
              </w:rPr>
              <w:t>，每株扣0.1分；（2）观花树木未按时茂盛开花每株扣0.1分，观果树木未正常、色叶树种季相不明显每株扣0.1分；（3）枯枝、断枝、倾斜树木未在24小时内清除及扶正每株扣0.1分；（4）有枯枝死叉未处理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031" w:hRule="atLeast"/>
          <w:jc w:val="center"/>
        </w:trPr>
        <w:tc>
          <w:tcPr>
            <w:tcW w:w="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整形</w:t>
            </w:r>
          </w:p>
        </w:tc>
        <w:tc>
          <w:tcPr>
            <w:tcW w:w="62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每年至少应根据不同树种的生长特性和周围环境，进行一次修剪整形，修剪锯口应平齐不劈不裂，尽可能减少大锯口，较大的</w:t>
            </w:r>
            <w:r>
              <w:rPr>
                <w:rFonts w:hint="eastAsia" w:ascii="宋体" w:hAnsi="宋体" w:eastAsia="宋体" w:cs="宋体"/>
                <w:color w:val="auto"/>
                <w:sz w:val="22"/>
                <w:szCs w:val="22"/>
                <w:highlight w:val="none"/>
              </w:rPr>
              <w:t>截口应涂</w:t>
            </w:r>
            <w:r>
              <w:rPr>
                <w:rFonts w:hint="eastAsia" w:ascii="宋体" w:hAnsi="宋体" w:eastAsia="宋体" w:cs="宋体"/>
                <w:color w:val="auto"/>
                <w:sz w:val="22"/>
                <w:szCs w:val="22"/>
              </w:rPr>
              <w:t>防腐剂，修剪后达到整齐一致。树穴平整、无杂草、杂物。</w:t>
            </w:r>
          </w:p>
        </w:tc>
        <w:tc>
          <w:tcPr>
            <w:tcW w:w="31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c>
          <w:tcPr>
            <w:tcW w:w="38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(1)有良好的自然或管道排水系统，暴雨后10小时内必须排完；（2）植株失水萎蔫现象1-2天内消除</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(1)有完整的自然或管道排水系统，林地内无积水现象，暴雨后2小时内必须排完；（2）植株不得出现失水萎蔫现象</w:t>
            </w:r>
          </w:p>
        </w:tc>
        <w:tc>
          <w:tcPr>
            <w:tcW w:w="31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（1）暴雨后10小时未排完扣0.2-0.5分；（2）植物失水萎蔫现象严重，2日后未消除扣每处扣0.2-0.5分；</w:t>
            </w:r>
          </w:p>
        </w:tc>
        <w:tc>
          <w:tcPr>
            <w:tcW w:w="3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（1）暴雨后2小时未排完扣0.2-0.5分；（2）植物失水萎蔫现象严重，每处扣0.5-1分；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972" w:hRule="atLeast"/>
          <w:jc w:val="center"/>
        </w:trPr>
        <w:tc>
          <w:tcPr>
            <w:tcW w:w="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6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（1）无明显的有害生物危害状；（2）枝叶受害率控制在15</w:t>
            </w:r>
            <w:r>
              <w:rPr>
                <w:rFonts w:hint="eastAsia" w:cs="宋体"/>
                <w:color w:val="auto"/>
                <w:sz w:val="22"/>
                <w:szCs w:val="22"/>
                <w:lang w:eastAsia="zh-CN"/>
              </w:rPr>
              <w:t>%</w:t>
            </w:r>
            <w:r>
              <w:rPr>
                <w:rFonts w:hint="eastAsia" w:ascii="宋体" w:hAnsi="宋体" w:eastAsia="宋体" w:cs="宋体"/>
                <w:color w:val="auto"/>
                <w:sz w:val="22"/>
                <w:szCs w:val="22"/>
              </w:rPr>
              <w:t>以下，树干受害率控制在8</w:t>
            </w:r>
            <w:r>
              <w:rPr>
                <w:rFonts w:hint="eastAsia" w:cs="宋体"/>
                <w:color w:val="auto"/>
                <w:sz w:val="22"/>
                <w:szCs w:val="22"/>
                <w:lang w:eastAsia="zh-CN"/>
              </w:rPr>
              <w:t>%</w:t>
            </w:r>
            <w:r>
              <w:rPr>
                <w:rFonts w:hint="eastAsia" w:ascii="宋体" w:hAnsi="宋体" w:eastAsia="宋体" w:cs="宋体"/>
                <w:color w:val="auto"/>
                <w:sz w:val="22"/>
                <w:szCs w:val="22"/>
              </w:rPr>
              <w:t>以下；（3）无大型、恶性、缠绕性杂草；基本无影响景观面貌的杂草</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（1）基本无有害生物危害状；（2）枝叶受害率控制在10</w:t>
            </w:r>
            <w:r>
              <w:rPr>
                <w:rFonts w:hint="eastAsia" w:cs="宋体"/>
                <w:color w:val="auto"/>
                <w:sz w:val="22"/>
                <w:szCs w:val="22"/>
                <w:lang w:eastAsia="zh-CN"/>
              </w:rPr>
              <w:t>%</w:t>
            </w:r>
            <w:r>
              <w:rPr>
                <w:rFonts w:hint="eastAsia" w:ascii="宋体" w:hAnsi="宋体" w:eastAsia="宋体" w:cs="宋体"/>
                <w:color w:val="auto"/>
                <w:sz w:val="22"/>
                <w:szCs w:val="22"/>
              </w:rPr>
              <w:t>以下，树干受害率控制在5%以下；（3）无大型、恶性、缠绕性杂草；无影响景观面貌的杂草</w:t>
            </w:r>
          </w:p>
        </w:tc>
        <w:tc>
          <w:tcPr>
            <w:tcW w:w="31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不及时治理，症状明显，发现病虫害，酌情扣分；（2）树叶受害率大于15%，树干受害率大于8%，每处扣0.2-0.5分（3）有窜出长度超过20</w:t>
            </w:r>
            <w:r>
              <w:rPr>
                <w:rFonts w:hint="eastAsia" w:eastAsia="宋体" w:cs="宋体"/>
                <w:color w:val="auto"/>
                <w:sz w:val="22"/>
                <w:szCs w:val="22"/>
                <w:lang w:eastAsia="zh-CN"/>
              </w:rPr>
              <w:t>㎝</w:t>
            </w:r>
            <w:r>
              <w:rPr>
                <w:rFonts w:hint="eastAsia" w:ascii="宋体" w:hAnsi="宋体" w:eastAsia="宋体" w:cs="宋体"/>
                <w:color w:val="auto"/>
                <w:sz w:val="22"/>
                <w:szCs w:val="22"/>
              </w:rPr>
              <w:t>的杂草、缠绕性杂草、影响景观面貌的杂草每处扣0.1-0.2分</w:t>
            </w:r>
          </w:p>
        </w:tc>
        <w:tc>
          <w:tcPr>
            <w:tcW w:w="38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不及时治理，症状明显，发现病虫害，酌情扣分；（2）树叶受害率大于10%，树干受害率大于5%，每处扣0.2-0.5分（3）有窜出长度超过15</w:t>
            </w:r>
            <w:r>
              <w:rPr>
                <w:rFonts w:hint="eastAsia" w:eastAsia="宋体" w:cs="宋体"/>
                <w:color w:val="auto"/>
                <w:sz w:val="22"/>
                <w:szCs w:val="22"/>
                <w:lang w:eastAsia="zh-CN"/>
              </w:rPr>
              <w:t>㎝</w:t>
            </w:r>
            <w:r>
              <w:rPr>
                <w:rFonts w:hint="eastAsia" w:ascii="宋体" w:hAnsi="宋体" w:eastAsia="宋体" w:cs="宋体"/>
                <w:color w:val="auto"/>
                <w:sz w:val="22"/>
                <w:szCs w:val="22"/>
              </w:rPr>
              <w:t>的杂草、缠绕性杂草，影响景观面貌的杂草每处扣0.1-0.2分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687" w:hRule="atLeast"/>
          <w:jc w:val="center"/>
        </w:trPr>
        <w:tc>
          <w:tcPr>
            <w:tcW w:w="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c>
          <w:tcPr>
            <w:tcW w:w="6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p>
        </w:tc>
        <w:tc>
          <w:tcPr>
            <w:tcW w:w="62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病虫害防治：</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（1）病害：根据不同树种易感染的病虫，在发病前，至少防治三次以上，发病后，应于发病初期，立即防治，防止蔓延。</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（2）虫害：根据不同害虫习性进行适期防治。</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（3）做好检疫性病虫害的观测和防治。</w:t>
            </w:r>
          </w:p>
        </w:tc>
        <w:tc>
          <w:tcPr>
            <w:tcW w:w="31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c>
          <w:tcPr>
            <w:tcW w:w="38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6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如不发生人为破坏或自然灾害，树木保存率达到97%以上</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如不发生人为破坏或自然灾害，树木保存率达到99%以上</w:t>
            </w:r>
          </w:p>
        </w:tc>
        <w:tc>
          <w:tcPr>
            <w:tcW w:w="6993"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树木保存率不达标，补植树木不符合规范每株扣0.1分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p>
        </w:tc>
        <w:tc>
          <w:tcPr>
            <w:tcW w:w="6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p>
        </w:tc>
        <w:tc>
          <w:tcPr>
            <w:tcW w:w="62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树木达不到保存率应于春、秋季节补植</w:t>
            </w:r>
          </w:p>
        </w:tc>
        <w:tc>
          <w:tcPr>
            <w:tcW w:w="6993"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7</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2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树干无明显缠绕物，基本无垃圾</w:t>
            </w:r>
          </w:p>
        </w:tc>
        <w:tc>
          <w:tcPr>
            <w:tcW w:w="3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树干无钉子、铁丝等破坏树木生长的东西，无垃圾</w:t>
            </w:r>
          </w:p>
        </w:tc>
        <w:tc>
          <w:tcPr>
            <w:tcW w:w="31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树干有明显缠绕物、垃圾，每处扣0.1-0.2分；</w:t>
            </w:r>
          </w:p>
        </w:tc>
        <w:tc>
          <w:tcPr>
            <w:tcW w:w="381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树干有明显缠绕物，影响树木生长，有垃圾，每处扣0.1-0.2分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784" w:hRule="atLeast"/>
          <w:jc w:val="center"/>
        </w:trPr>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8</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浇水</w:t>
            </w:r>
          </w:p>
        </w:tc>
        <w:tc>
          <w:tcPr>
            <w:tcW w:w="62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干旱季节及连续高温季节浇水</w:t>
            </w:r>
          </w:p>
        </w:tc>
        <w:tc>
          <w:tcPr>
            <w:tcW w:w="699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因浇水不及时为主要因素，导致树木死亡的，酌情扣分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808" w:hRule="atLeast"/>
          <w:jc w:val="center"/>
        </w:trPr>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施肥</w:t>
            </w:r>
          </w:p>
        </w:tc>
        <w:tc>
          <w:tcPr>
            <w:tcW w:w="6208"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每年至少应于春、秋季各施肥一次，每次不低于标准N肥0.5</w:t>
            </w:r>
            <w:r>
              <w:rPr>
                <w:rFonts w:hint="eastAsia" w:cs="宋体"/>
                <w:color w:val="auto"/>
                <w:sz w:val="22"/>
                <w:szCs w:val="22"/>
                <w:lang w:eastAsia="zh-CN"/>
              </w:rPr>
              <w:t>kg</w:t>
            </w:r>
            <w:r>
              <w:rPr>
                <w:rFonts w:hint="eastAsia" w:ascii="宋体" w:hAnsi="宋体" w:eastAsia="宋体" w:cs="宋体"/>
                <w:color w:val="auto"/>
                <w:sz w:val="22"/>
                <w:szCs w:val="22"/>
              </w:rPr>
              <w:t>/株</w:t>
            </w:r>
          </w:p>
        </w:tc>
        <w:tc>
          <w:tcPr>
            <w:tcW w:w="699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施肥少于标准的每次扣5分</w:t>
            </w:r>
          </w:p>
        </w:tc>
      </w:tr>
    </w:tbl>
    <w:p>
      <w:pPr>
        <w:keepNext w:val="0"/>
        <w:keepLines w:val="0"/>
        <w:pageBreakBefore w:val="0"/>
        <w:widowControl w:val="0"/>
        <w:kinsoku/>
        <w:wordWrap/>
        <w:overflowPunct/>
        <w:topLinePunct w:val="0"/>
        <w:autoSpaceDE/>
        <w:autoSpaceDN/>
        <w:bidi w:val="0"/>
        <w:adjustRightInd/>
        <w:snapToGrid/>
        <w:spacing w:before="438" w:beforeLines="100" w:line="312" w:lineRule="auto"/>
        <w:jc w:val="center"/>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2、树</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丛</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26"/>
        <w:gridCol w:w="815"/>
        <w:gridCol w:w="2491"/>
        <w:gridCol w:w="3147"/>
        <w:gridCol w:w="3134"/>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2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1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249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314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w:t>
            </w:r>
          </w:p>
        </w:tc>
        <w:tc>
          <w:tcPr>
            <w:tcW w:w="313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标准考核细则</w:t>
            </w:r>
          </w:p>
        </w:tc>
        <w:tc>
          <w:tcPr>
            <w:tcW w:w="357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2491" w:type="dxa"/>
            <w:tcBorders>
              <w:tl2br w:val="nil"/>
              <w:tr2bl w:val="nil"/>
            </w:tcBorders>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各类乔木及灌木基本达到层次合理，配置科学，密度基本适宜；</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w:t>
            </w:r>
            <w:r>
              <w:rPr>
                <w:rFonts w:hint="eastAsia" w:cs="宋体"/>
                <w:color w:val="auto"/>
                <w:sz w:val="22"/>
                <w:szCs w:val="22"/>
                <w:lang w:val="en-US" w:eastAsia="zh-CN"/>
              </w:rPr>
              <w:t>2</w:t>
            </w:r>
            <w:r>
              <w:rPr>
                <w:rFonts w:hint="eastAsia" w:ascii="宋体" w:hAnsi="宋体" w:eastAsia="宋体" w:cs="宋体"/>
                <w:color w:val="auto"/>
                <w:sz w:val="22"/>
                <w:szCs w:val="22"/>
              </w:rPr>
              <w:t>)特殊造型树基本符合设计意图</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(1)各类乔木及灌木之间层次合理，空间协调，配置科学，密度基本适宜，具有群体美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w:t>
            </w:r>
            <w:r>
              <w:rPr>
                <w:rFonts w:hint="eastAsia" w:cs="宋体"/>
                <w:color w:val="auto"/>
                <w:sz w:val="22"/>
                <w:szCs w:val="22"/>
                <w:lang w:val="en-US" w:eastAsia="zh-CN"/>
              </w:rPr>
              <w:t>2</w:t>
            </w:r>
            <w:r>
              <w:rPr>
                <w:rFonts w:hint="eastAsia" w:ascii="宋体" w:hAnsi="宋体" w:eastAsia="宋体" w:cs="宋体"/>
                <w:color w:val="auto"/>
                <w:sz w:val="22"/>
                <w:szCs w:val="22"/>
              </w:rPr>
              <w:t>)特殊造型树符合设计意图</w:t>
            </w:r>
          </w:p>
        </w:tc>
        <w:tc>
          <w:tcPr>
            <w:tcW w:w="3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（1）配置不合理，密度不符合要求，每处扣0.1-0.2分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（2）造型树养护不符合要求每株扣0.1-0.2分</w:t>
            </w:r>
          </w:p>
        </w:tc>
        <w:tc>
          <w:tcPr>
            <w:tcW w:w="3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（1）配置不合理，密度不符合要求，每处扣0.1-0.2分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（2）造型树养护不符合要求每株扣0.2-0.5分；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2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各类乔木、灌木（1）枝叶生长正常，修剪抹芽及时，无明显徒长枝、病虫枝、过密枝、枯枝、伤损枝、碰线枝，主干及一级枝不定芽不超过20</w:t>
            </w:r>
            <w:r>
              <w:rPr>
                <w:rFonts w:hint="eastAsia" w:eastAsia="宋体" w:cs="宋体"/>
                <w:color w:val="auto"/>
                <w:sz w:val="22"/>
                <w:szCs w:val="22"/>
                <w:lang w:eastAsia="zh-CN"/>
              </w:rPr>
              <w:t>㎝</w:t>
            </w:r>
            <w:r>
              <w:rPr>
                <w:rFonts w:hint="eastAsia" w:ascii="宋体" w:hAnsi="宋体" w:eastAsia="宋体" w:cs="宋体"/>
                <w:color w:val="auto"/>
                <w:sz w:val="22"/>
                <w:szCs w:val="22"/>
              </w:rPr>
              <w:t>；（2）观花、观果树种正常开花结果；（3）无大型枯枝死杈</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各类乔木、灌木（1）植物生长健壮、</w:t>
            </w:r>
            <w:r>
              <w:rPr>
                <w:rFonts w:hint="eastAsia" w:ascii="宋体" w:hAnsi="宋体" w:eastAsia="宋体" w:cs="宋体"/>
                <w:color w:val="auto"/>
                <w:sz w:val="22"/>
                <w:szCs w:val="22"/>
                <w:highlight w:val="none"/>
              </w:rPr>
              <w:t>树型</w:t>
            </w:r>
            <w:r>
              <w:rPr>
                <w:rFonts w:hint="eastAsia" w:ascii="宋体" w:hAnsi="宋体" w:eastAsia="宋体" w:cs="宋体"/>
                <w:color w:val="auto"/>
                <w:sz w:val="22"/>
                <w:szCs w:val="22"/>
              </w:rPr>
              <w:t>完美，枝叶茂盛，修剪抹芽及时，无徒长枝、病虫枝、过密枝、枯枝、伤损枝、碰线枝，主干及一级枝不定芽不超过15</w:t>
            </w:r>
            <w:r>
              <w:rPr>
                <w:rFonts w:hint="eastAsia" w:eastAsia="宋体" w:cs="宋体"/>
                <w:color w:val="auto"/>
                <w:sz w:val="22"/>
                <w:szCs w:val="22"/>
                <w:lang w:eastAsia="zh-CN"/>
              </w:rPr>
              <w:t>㎝</w:t>
            </w:r>
            <w:r>
              <w:rPr>
                <w:rFonts w:hint="eastAsia" w:ascii="宋体" w:hAnsi="宋体" w:eastAsia="宋体" w:cs="宋体"/>
                <w:color w:val="auto"/>
                <w:sz w:val="22"/>
                <w:szCs w:val="22"/>
              </w:rPr>
              <w:t>；（2）观花树木按时茂盛开花；（3）观果树木正常结果；（4）色叶树种季相变化明显；（5）无枯枝死杈</w:t>
            </w:r>
          </w:p>
        </w:tc>
        <w:tc>
          <w:tcPr>
            <w:tcW w:w="3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（1）修剪不及时或不合理，檗芽长度超过20</w:t>
            </w:r>
            <w:r>
              <w:rPr>
                <w:rFonts w:hint="eastAsia" w:eastAsia="宋体" w:cs="宋体"/>
                <w:color w:val="auto"/>
                <w:sz w:val="22"/>
                <w:szCs w:val="22"/>
                <w:lang w:eastAsia="zh-CN"/>
              </w:rPr>
              <w:t>㎝</w:t>
            </w:r>
            <w:r>
              <w:rPr>
                <w:rFonts w:hint="eastAsia" w:ascii="宋体" w:hAnsi="宋体" w:eastAsia="宋体" w:cs="宋体"/>
                <w:color w:val="auto"/>
                <w:sz w:val="22"/>
                <w:szCs w:val="22"/>
              </w:rPr>
              <w:t>，每丛扣0.1-0.2分；（2）观果观叶观花树种未正常开花结果每丛扣0.1分；（3）枯枝、断枝、倾斜树木未在24小时内清除及扶正每株扣0.1-0.2分；（4）有大型枯枝死叉未处理每处扣0.1-0.2分</w:t>
            </w:r>
          </w:p>
        </w:tc>
        <w:tc>
          <w:tcPr>
            <w:tcW w:w="3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（1）修剪不及时或不合理，檗芽长度超过15</w:t>
            </w:r>
            <w:r>
              <w:rPr>
                <w:rFonts w:hint="eastAsia" w:eastAsia="宋体" w:cs="宋体"/>
                <w:color w:val="auto"/>
                <w:sz w:val="22"/>
                <w:szCs w:val="22"/>
                <w:lang w:eastAsia="zh-CN"/>
              </w:rPr>
              <w:t>㎝</w:t>
            </w:r>
            <w:r>
              <w:rPr>
                <w:rFonts w:hint="eastAsia" w:ascii="宋体" w:hAnsi="宋体" w:eastAsia="宋体" w:cs="宋体"/>
                <w:color w:val="auto"/>
                <w:sz w:val="22"/>
                <w:szCs w:val="22"/>
              </w:rPr>
              <w:t>，每丛扣0.1-0.2分；（2）观花树木未按时茂盛开花每株扣0.1分，观果树木未正常、色叶树种季相不明显每株扣0.1分；（3）枯枝、断枝、倾斜树木未在24小时内清除及扶正每株扣0.1-0.2分；（4）有枯枝死叉未处理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2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（1）树丛范围内无积水，暴雨后10小时内必须排完积水；（2）植株出现失水萎蔫现象，1-2天内恢复</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（1）树丛范围内无长期积水，暴雨后2小时内必须排完积水；（2）植株不得出现失水萎蔫现象</w:t>
            </w:r>
          </w:p>
        </w:tc>
        <w:tc>
          <w:tcPr>
            <w:tcW w:w="3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（1）暴雨后10小时未排完扣0.2-0.5分；（2）植物失水萎蔫现象严重，2日后未消除扣每处扣0.5-1分</w:t>
            </w:r>
          </w:p>
        </w:tc>
        <w:tc>
          <w:tcPr>
            <w:tcW w:w="3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（1）暴雨后2小时未排完扣0.2-0.5分；（2）植物失水萎蔫现象严重，多日未消除扣0.5-1分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2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（1）无明显的有害生物危害状；（2）枝叶受害率控制在10%以下，树干受害率控制在5%以下；（3）无大型、恶性、缠绕性杂草；基本无影响景观面貌的杂草</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（1）基本无有害生物危害状；（2）枝叶受害率控制在8%以下，树干受害率控制在3%以下；（3）无大型、恶性、缠绕性杂草；无影响景观面貌的任何杂草</w:t>
            </w:r>
          </w:p>
        </w:tc>
        <w:tc>
          <w:tcPr>
            <w:tcW w:w="3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不及时治理，症状明显，发现病虫害，酌情扣分；（2）树叶受害率大于10%，树干受害率大于5%，每处扣0.1-0.2分（3）有窜出长度超过20</w:t>
            </w:r>
            <w:r>
              <w:rPr>
                <w:rFonts w:hint="eastAsia" w:eastAsia="宋体" w:cs="宋体"/>
                <w:color w:val="auto"/>
                <w:sz w:val="22"/>
                <w:szCs w:val="22"/>
                <w:lang w:eastAsia="zh-CN"/>
              </w:rPr>
              <w:t>㎝</w:t>
            </w:r>
            <w:r>
              <w:rPr>
                <w:rFonts w:hint="eastAsia" w:ascii="宋体" w:hAnsi="宋体" w:eastAsia="宋体" w:cs="宋体"/>
                <w:color w:val="auto"/>
                <w:sz w:val="22"/>
                <w:szCs w:val="22"/>
              </w:rPr>
              <w:t>的杂草、有影响景观面貌的杂草每处扣0.1-0.2分</w:t>
            </w:r>
          </w:p>
        </w:tc>
        <w:tc>
          <w:tcPr>
            <w:tcW w:w="3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kern w:val="0"/>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不及时治理，症状明显，发现病虫害，酌情扣分；（2）树叶受害率大于8%，树干受害率大于3%，每处扣0.1-0.2分（3）有窜出长度超过15</w:t>
            </w:r>
            <w:r>
              <w:rPr>
                <w:rFonts w:hint="eastAsia" w:eastAsia="宋体" w:cs="宋体"/>
                <w:color w:val="auto"/>
                <w:sz w:val="22"/>
                <w:szCs w:val="22"/>
                <w:lang w:eastAsia="zh-CN"/>
              </w:rPr>
              <w:t>㎝</w:t>
            </w:r>
            <w:r>
              <w:rPr>
                <w:rFonts w:hint="eastAsia" w:ascii="宋体" w:hAnsi="宋体" w:eastAsia="宋体" w:cs="宋体"/>
                <w:color w:val="auto"/>
                <w:sz w:val="22"/>
                <w:szCs w:val="22"/>
              </w:rPr>
              <w:t>的杂草、有影响景观面貌的杂草每处扣0.1-0.2分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w:t>
            </w:r>
          </w:p>
        </w:tc>
        <w:tc>
          <w:tcPr>
            <w:tcW w:w="24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如不发生人为破坏或自然灾害，树丛保存率达到97%以上</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如不发生人为破坏或自然灾害，树丛保存率达到97%以上</w:t>
            </w:r>
          </w:p>
        </w:tc>
        <w:tc>
          <w:tcPr>
            <w:tcW w:w="3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树丛保存率不达标，补植树木不符合规范每丛扣0.5-1分</w:t>
            </w:r>
          </w:p>
        </w:tc>
        <w:tc>
          <w:tcPr>
            <w:tcW w:w="3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树丛保存率不达标，补植树木不符合规范每丛扣0.5-1分</w:t>
            </w:r>
          </w:p>
        </w:tc>
      </w:tr>
    </w:tbl>
    <w:p>
      <w:pPr>
        <w:keepNext w:val="0"/>
        <w:keepLines w:val="0"/>
        <w:pageBreakBefore w:val="0"/>
        <w:widowControl w:val="0"/>
        <w:kinsoku/>
        <w:wordWrap/>
        <w:overflowPunct/>
        <w:topLinePunct w:val="0"/>
        <w:autoSpaceDE/>
        <w:autoSpaceDN/>
        <w:bidi w:val="0"/>
        <w:adjustRightInd/>
        <w:snapToGrid w:val="0"/>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3、孤植树</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00"/>
        <w:gridCol w:w="848"/>
        <w:gridCol w:w="5628"/>
        <w:gridCol w:w="6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00"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4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562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671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5628" w:type="dxa"/>
            <w:tcBorders>
              <w:tl2br w:val="nil"/>
              <w:tr2bl w:val="nil"/>
            </w:tcBorders>
            <w:noWrap w:val="0"/>
            <w:vAlign w:val="center"/>
          </w:tcPr>
          <w:p>
            <w:pPr>
              <w:keepNext w:val="0"/>
              <w:keepLines w:val="0"/>
              <w:pageBreakBefore w:val="0"/>
              <w:widowControl w:val="0"/>
              <w:numPr>
                <w:ilvl w:val="0"/>
                <w:numId w:val="26"/>
              </w:numPr>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highlight w:val="none"/>
              </w:rPr>
              <w:t>树型</w:t>
            </w:r>
            <w:r>
              <w:rPr>
                <w:rFonts w:hint="eastAsia" w:ascii="宋体" w:hAnsi="宋体" w:eastAsia="宋体" w:cs="宋体"/>
                <w:color w:val="auto"/>
                <w:sz w:val="22"/>
                <w:szCs w:val="22"/>
              </w:rPr>
              <w:t>完美，树冠饱满，符合观赏要求；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（2）树穴覆盖完整</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（1）不符合观赏要求，每株扣0.2-0.5分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（2）树穴未覆盖完整，每株扣0.1-0.2分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5628" w:type="dxa"/>
            <w:tcBorders>
              <w:tl2br w:val="nil"/>
              <w:tr2bl w:val="nil"/>
            </w:tcBorders>
            <w:noWrap w:val="0"/>
            <w:vAlign w:val="center"/>
          </w:tcPr>
          <w:p>
            <w:pPr>
              <w:keepNext w:val="0"/>
              <w:keepLines w:val="0"/>
              <w:pageBreakBefore w:val="0"/>
              <w:widowControl w:val="0"/>
              <w:numPr>
                <w:ilvl w:val="0"/>
                <w:numId w:val="27"/>
              </w:numPr>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枝叶生长正常，无焦叶、卷叶，无不正常落叶，修剪抹芽及时，无徒长枝、病虫枝、过密枝、枯枝、伤损枝、碰线枝，主干及一级枝不定芽不超过20</w:t>
            </w:r>
            <w:r>
              <w:rPr>
                <w:rFonts w:hint="eastAsia" w:eastAsia="宋体" w:cs="宋体"/>
                <w:color w:val="auto"/>
                <w:sz w:val="22"/>
                <w:szCs w:val="22"/>
                <w:lang w:eastAsia="zh-CN"/>
              </w:rPr>
              <w:t>㎝</w:t>
            </w:r>
            <w:r>
              <w:rPr>
                <w:rFonts w:hint="eastAsia" w:ascii="宋体" w:hAnsi="宋体" w:eastAsia="宋体" w:cs="宋体"/>
                <w:color w:val="auto"/>
                <w:sz w:val="22"/>
                <w:szCs w:val="22"/>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（2）观花、观果树种正常开花结果</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（1）修剪不及时或不合理，檗芽长度超过20</w:t>
            </w:r>
            <w:r>
              <w:rPr>
                <w:rFonts w:hint="eastAsia" w:eastAsia="宋体" w:cs="宋体"/>
                <w:color w:val="auto"/>
                <w:kern w:val="0"/>
                <w:sz w:val="22"/>
                <w:szCs w:val="22"/>
                <w:lang w:eastAsia="zh-CN"/>
              </w:rPr>
              <w:t>㎝</w:t>
            </w:r>
            <w:r>
              <w:rPr>
                <w:rFonts w:hint="eastAsia" w:ascii="宋体" w:hAnsi="宋体" w:eastAsia="宋体" w:cs="宋体"/>
                <w:color w:val="auto"/>
                <w:kern w:val="0"/>
                <w:sz w:val="22"/>
                <w:szCs w:val="22"/>
              </w:rPr>
              <w:t>，每丛扣0.1-0.2分；（2）观果、观花树种未正常开花结果每株扣0.1分；（3）枯枝、断枝、倾斜树木未在24小时内清除及扶正每株扣0.1-0.2分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5628" w:type="dxa"/>
            <w:tcBorders>
              <w:tl2br w:val="nil"/>
              <w:tr2bl w:val="nil"/>
            </w:tcBorders>
            <w:noWrap w:val="0"/>
            <w:vAlign w:val="center"/>
          </w:tcPr>
          <w:p>
            <w:pPr>
              <w:keepNext w:val="0"/>
              <w:keepLines w:val="0"/>
              <w:pageBreakBefore w:val="0"/>
              <w:widowControl w:val="0"/>
              <w:numPr>
                <w:ilvl w:val="0"/>
                <w:numId w:val="28"/>
              </w:numPr>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排水畅通，无积水；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（2）植株不得出现失水萎蔫现象</w:t>
            </w:r>
            <w:r>
              <w:rPr>
                <w:rFonts w:hint="eastAsia" w:eastAsia="宋体" w:cs="宋体"/>
                <w:color w:val="auto"/>
                <w:sz w:val="22"/>
                <w:szCs w:val="22"/>
                <w:lang w:eastAsia="zh-CN"/>
              </w:rPr>
              <w:t>。</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（1）积水问题明显，对植物生长有影响，扣0.1-0.2分；（2）植物失水萎蔫现象严重扣0.5-1分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838" w:hRule="atLeast"/>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56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无明显有害生物危害状，无杂草</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highlight w:val="none"/>
              </w:rPr>
              <w:t>病虫害病虫害</w:t>
            </w:r>
            <w:r>
              <w:rPr>
                <w:rFonts w:hint="eastAsia" w:ascii="宋体" w:hAnsi="宋体" w:eastAsia="宋体" w:cs="宋体"/>
                <w:color w:val="auto"/>
                <w:kern w:val="0"/>
                <w:sz w:val="22"/>
                <w:szCs w:val="22"/>
              </w:rPr>
              <w:t>不及时治理，症状明显，发现病虫害，酌情扣分；（2）有杂草每处扣0.1-0.2分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56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sz w:val="22"/>
                <w:szCs w:val="22"/>
              </w:rPr>
              <w:t>树穴无杂草、垃圾和其它杂物，树干无钉子、铁丝等破坏树木生长的东西</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树干有明显缠绕物，影响树木生长，有垃圾，每处扣0.1-0.2分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浇水</w:t>
            </w:r>
          </w:p>
        </w:tc>
        <w:tc>
          <w:tcPr>
            <w:tcW w:w="56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干旱季节及连续高温季节浇水</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因浇水不及时为主要因素，导致树木死亡的，酌情扣分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7</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施肥</w:t>
            </w:r>
          </w:p>
        </w:tc>
        <w:tc>
          <w:tcPr>
            <w:tcW w:w="562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每年至少应于春、秋季各施肥一次，每次不低于标准N肥0.5</w:t>
            </w:r>
            <w:r>
              <w:rPr>
                <w:rFonts w:hint="eastAsia" w:cs="宋体"/>
                <w:color w:val="auto"/>
                <w:kern w:val="0"/>
                <w:sz w:val="22"/>
                <w:szCs w:val="22"/>
                <w:lang w:eastAsia="zh-CN"/>
              </w:rPr>
              <w:t>kg</w:t>
            </w:r>
            <w:r>
              <w:rPr>
                <w:rFonts w:hint="eastAsia" w:ascii="宋体" w:hAnsi="宋体" w:eastAsia="宋体" w:cs="宋体"/>
                <w:color w:val="auto"/>
                <w:kern w:val="0"/>
                <w:sz w:val="22"/>
                <w:szCs w:val="22"/>
              </w:rPr>
              <w:t>/株</w:t>
            </w:r>
          </w:p>
        </w:tc>
        <w:tc>
          <w:tcPr>
            <w:tcW w:w="6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auto"/>
                <w:sz w:val="22"/>
                <w:szCs w:val="22"/>
              </w:rPr>
            </w:pPr>
            <w:r>
              <w:rPr>
                <w:rFonts w:hint="eastAsia" w:ascii="宋体" w:hAnsi="宋体" w:eastAsia="宋体" w:cs="宋体"/>
                <w:color w:val="auto"/>
                <w:kern w:val="0"/>
                <w:sz w:val="22"/>
                <w:szCs w:val="22"/>
              </w:rPr>
              <w:t>施肥少于标准的每次扣5分</w:t>
            </w:r>
          </w:p>
        </w:tc>
      </w:tr>
    </w:tbl>
    <w:p>
      <w:pPr>
        <w:keepNext w:val="0"/>
        <w:keepLines w:val="0"/>
        <w:pageBreakBefore w:val="0"/>
        <w:widowControl w:val="0"/>
        <w:kinsoku/>
        <w:wordWrap/>
        <w:overflowPunct/>
        <w:topLinePunct w:val="0"/>
        <w:autoSpaceDE/>
        <w:autoSpaceDN/>
        <w:bidi w:val="0"/>
        <w:adjustRightInd/>
        <w:snapToGrid/>
        <w:spacing w:before="220" w:beforeLines="50" w:line="312" w:lineRule="auto"/>
        <w:jc w:val="center"/>
        <w:textAlignment w:val="auto"/>
        <w:rPr>
          <w:rFonts w:hint="eastAsia" w:ascii="宋体" w:hAnsi="宋体" w:eastAsia="宋体" w:cs="宋体"/>
          <w:b/>
          <w:bCs/>
          <w:color w:val="auto"/>
          <w:sz w:val="22"/>
          <w:szCs w:val="22"/>
        </w:rPr>
      </w:pPr>
    </w:p>
    <w:p>
      <w:pPr>
        <w:keepNext w:val="0"/>
        <w:keepLines w:val="0"/>
        <w:pageBreakBefore w:val="0"/>
        <w:widowControl w:val="0"/>
        <w:kinsoku/>
        <w:wordWrap/>
        <w:overflowPunct/>
        <w:topLinePunct w:val="0"/>
        <w:autoSpaceDE/>
        <w:autoSpaceDN/>
        <w:bidi w:val="0"/>
        <w:adjustRightInd/>
        <w:snapToGrid/>
        <w:spacing w:before="220" w:beforeLines="5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4、花</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镜</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19"/>
        <w:gridCol w:w="806"/>
        <w:gridCol w:w="5890"/>
        <w:gridCol w:w="6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1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5890"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647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5890" w:type="dxa"/>
            <w:tcBorders>
              <w:tl2br w:val="nil"/>
              <w:tr2bl w:val="nil"/>
            </w:tcBorders>
            <w:noWrap w:val="0"/>
            <w:vAlign w:val="center"/>
          </w:tcPr>
          <w:p>
            <w:pPr>
              <w:keepNext w:val="0"/>
              <w:keepLines w:val="0"/>
              <w:pageBreakBefore w:val="0"/>
              <w:widowControl w:val="0"/>
              <w:numPr>
                <w:ilvl w:val="0"/>
                <w:numId w:val="29"/>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植株生长正常，株行距适宜，不露底土。</w:t>
            </w:r>
            <w:r>
              <w:rPr>
                <w:rFonts w:hint="eastAsia" w:ascii="宋体" w:hAnsi="宋体" w:eastAsia="宋体" w:cs="宋体"/>
                <w:color w:val="auto"/>
                <w:sz w:val="22"/>
                <w:szCs w:val="22"/>
                <w:highlight w:val="none"/>
              </w:rPr>
              <w:t>花期</w:t>
            </w:r>
            <w:r>
              <w:rPr>
                <w:rFonts w:hint="eastAsia" w:ascii="宋体" w:hAnsi="宋体" w:eastAsia="宋体" w:cs="宋体"/>
                <w:color w:val="auto"/>
                <w:sz w:val="22"/>
                <w:szCs w:val="22"/>
              </w:rPr>
              <w:t>整齐一致，高低错落有序，枯枝残花量不得大于8%；</w:t>
            </w:r>
          </w:p>
          <w:p>
            <w:pPr>
              <w:keepNext w:val="0"/>
              <w:keepLines w:val="0"/>
              <w:pageBreakBefore w:val="0"/>
              <w:widowControl w:val="0"/>
              <w:numPr>
                <w:ilvl w:val="0"/>
                <w:numId w:val="29"/>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花卉色彩鲜艳，观赏期长；</w:t>
            </w:r>
          </w:p>
          <w:p>
            <w:pPr>
              <w:keepNext w:val="0"/>
              <w:keepLines w:val="0"/>
              <w:pageBreakBefore w:val="0"/>
              <w:widowControl w:val="0"/>
              <w:numPr>
                <w:ilvl w:val="0"/>
                <w:numId w:val="29"/>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观花花</w:t>
            </w:r>
            <w:r>
              <w:rPr>
                <w:rFonts w:hint="eastAsia" w:ascii="宋体" w:hAnsi="宋体" w:eastAsia="宋体" w:cs="宋体"/>
                <w:color w:val="auto"/>
                <w:sz w:val="22"/>
                <w:szCs w:val="22"/>
                <w:highlight w:val="none"/>
              </w:rPr>
              <w:t>卉适时</w:t>
            </w:r>
            <w:r>
              <w:rPr>
                <w:rFonts w:hint="eastAsia" w:ascii="宋体" w:hAnsi="宋体" w:eastAsia="宋体" w:cs="宋体"/>
                <w:color w:val="auto"/>
                <w:sz w:val="22"/>
                <w:szCs w:val="22"/>
              </w:rPr>
              <w:t>开花，观叶植物叶色正常</w:t>
            </w:r>
          </w:p>
        </w:tc>
        <w:tc>
          <w:tcPr>
            <w:tcW w:w="6476" w:type="dxa"/>
            <w:vMerge w:val="restart"/>
            <w:tcBorders>
              <w:tl2br w:val="nil"/>
              <w:tr2bl w:val="nil"/>
            </w:tcBorders>
            <w:noWrap w:val="0"/>
            <w:vAlign w:val="center"/>
          </w:tcPr>
          <w:p>
            <w:pPr>
              <w:keepNext w:val="0"/>
              <w:keepLines w:val="0"/>
              <w:pageBreakBefore w:val="0"/>
              <w:widowControl w:val="0"/>
              <w:numPr>
                <w:ilvl w:val="0"/>
                <w:numId w:val="3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植株生长存在问题，残花量大于8%，每处扣0.1-0.2分；</w:t>
            </w:r>
          </w:p>
          <w:p>
            <w:pPr>
              <w:keepNext w:val="0"/>
              <w:keepLines w:val="0"/>
              <w:pageBreakBefore w:val="0"/>
              <w:widowControl w:val="0"/>
              <w:numPr>
                <w:ilvl w:val="0"/>
                <w:numId w:val="3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花叶植物景观效果差，每处扣0.2-0.5分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植株生长健壮，枝叶茂盛</w:t>
            </w:r>
          </w:p>
        </w:tc>
        <w:tc>
          <w:tcPr>
            <w:tcW w:w="64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w:t>
            </w: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维护设施完好</w:t>
            </w:r>
          </w:p>
        </w:tc>
        <w:tc>
          <w:tcPr>
            <w:tcW w:w="6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设施有损坏酌情扣分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切边</w:t>
            </w: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草坪交界处如有切边，宽度不得大于15</w:t>
            </w:r>
            <w:r>
              <w:rPr>
                <w:rFonts w:hint="eastAsia" w:eastAsia="宋体" w:cs="宋体"/>
                <w:color w:val="auto"/>
                <w:sz w:val="22"/>
                <w:szCs w:val="22"/>
                <w:lang w:eastAsia="zh-CN"/>
              </w:rPr>
              <w:t>㎝，</w:t>
            </w:r>
            <w:r>
              <w:rPr>
                <w:rFonts w:hint="eastAsia" w:ascii="宋体" w:hAnsi="宋体" w:eastAsia="宋体" w:cs="宋体"/>
                <w:color w:val="auto"/>
                <w:sz w:val="22"/>
                <w:szCs w:val="22"/>
              </w:rPr>
              <w:t>深度为15</w:t>
            </w:r>
            <w:r>
              <w:rPr>
                <w:rFonts w:hint="eastAsia" w:eastAsia="宋体" w:cs="宋体"/>
                <w:color w:val="auto"/>
                <w:sz w:val="22"/>
                <w:szCs w:val="22"/>
                <w:lang w:eastAsia="zh-CN"/>
              </w:rPr>
              <w:t>㎝</w:t>
            </w:r>
          </w:p>
        </w:tc>
        <w:tc>
          <w:tcPr>
            <w:tcW w:w="6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草坪切边不符合要求每处扣0.1-0.2分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5890" w:type="dxa"/>
            <w:tcBorders>
              <w:tl2br w:val="nil"/>
              <w:tr2bl w:val="nil"/>
            </w:tcBorders>
            <w:noWrap w:val="0"/>
            <w:vAlign w:val="center"/>
          </w:tcPr>
          <w:p>
            <w:pPr>
              <w:keepNext w:val="0"/>
              <w:keepLines w:val="0"/>
              <w:pageBreakBefore w:val="0"/>
              <w:widowControl w:val="0"/>
              <w:numPr>
                <w:ilvl w:val="0"/>
                <w:numId w:val="3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排水良好，无积水；</w:t>
            </w:r>
          </w:p>
          <w:p>
            <w:pPr>
              <w:keepNext w:val="0"/>
              <w:keepLines w:val="0"/>
              <w:pageBreakBefore w:val="0"/>
              <w:widowControl w:val="0"/>
              <w:numPr>
                <w:ilvl w:val="0"/>
                <w:numId w:val="3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植株不得出现失水萎蔫现象</w:t>
            </w:r>
          </w:p>
        </w:tc>
        <w:tc>
          <w:tcPr>
            <w:tcW w:w="6476" w:type="dxa"/>
            <w:tcBorders>
              <w:tl2br w:val="nil"/>
              <w:tr2bl w:val="nil"/>
            </w:tcBorders>
            <w:noWrap w:val="0"/>
            <w:vAlign w:val="center"/>
          </w:tcPr>
          <w:p>
            <w:pPr>
              <w:keepNext w:val="0"/>
              <w:keepLines w:val="0"/>
              <w:pageBreakBefore w:val="0"/>
              <w:widowControl w:val="0"/>
              <w:numPr>
                <w:ilvl w:val="0"/>
                <w:numId w:val="32"/>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积水问题明显，对植物生长有影响，扣0.1-0.2分；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（2）植物失水萎蔫现象严重，每处扣0.5-1分；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8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5890" w:type="dxa"/>
            <w:tcBorders>
              <w:tl2br w:val="nil"/>
              <w:tr2bl w:val="nil"/>
            </w:tcBorders>
            <w:noWrap w:val="0"/>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无明显的有害生物危害状；</w:t>
            </w:r>
          </w:p>
          <w:p>
            <w:pPr>
              <w:keepNext w:val="0"/>
              <w:keepLines w:val="0"/>
              <w:pageBreakBefore w:val="0"/>
              <w:widowControl w:val="0"/>
              <w:numPr>
                <w:ilvl w:val="0"/>
                <w:numId w:val="33"/>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植物受害率应控制在10%以下；</w:t>
            </w:r>
          </w:p>
          <w:p>
            <w:pPr>
              <w:keepNext w:val="0"/>
              <w:keepLines w:val="0"/>
              <w:pageBreakBefore w:val="0"/>
              <w:widowControl w:val="0"/>
              <w:numPr>
                <w:ilvl w:val="0"/>
                <w:numId w:val="33"/>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无大型、恶性、缠绕性杂草；无影响景观面貌的杂草</w:t>
            </w:r>
          </w:p>
        </w:tc>
        <w:tc>
          <w:tcPr>
            <w:tcW w:w="6476" w:type="dxa"/>
            <w:vMerge w:val="restart"/>
            <w:tcBorders>
              <w:tl2br w:val="nil"/>
              <w:tr2bl w:val="nil"/>
            </w:tcBorders>
            <w:noWrap w:val="0"/>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highlight w:val="none"/>
              </w:rPr>
              <w:t>病虫害病虫害</w:t>
            </w:r>
            <w:r>
              <w:rPr>
                <w:rFonts w:hint="eastAsia" w:ascii="宋体" w:hAnsi="宋体" w:eastAsia="宋体" w:cs="宋体"/>
                <w:color w:val="auto"/>
                <w:kern w:val="0"/>
                <w:sz w:val="22"/>
                <w:szCs w:val="22"/>
              </w:rPr>
              <w:t>不及时治理，症状明显，发现病虫害，酌情扣分；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sz w:val="22"/>
                <w:szCs w:val="22"/>
              </w:rPr>
              <w:t>有窜出长度超过5</w:t>
            </w:r>
            <w:r>
              <w:rPr>
                <w:rFonts w:hint="eastAsia" w:eastAsia="宋体" w:cs="宋体"/>
                <w:color w:val="auto"/>
                <w:sz w:val="22"/>
                <w:szCs w:val="22"/>
                <w:lang w:eastAsia="zh-CN"/>
              </w:rPr>
              <w:t>㎝</w:t>
            </w:r>
            <w:r>
              <w:rPr>
                <w:rFonts w:hint="eastAsia" w:ascii="宋体" w:hAnsi="宋体" w:eastAsia="宋体" w:cs="宋体"/>
                <w:color w:val="auto"/>
                <w:sz w:val="22"/>
                <w:szCs w:val="22"/>
              </w:rPr>
              <w:t>的杂草、</w:t>
            </w:r>
            <w:r>
              <w:rPr>
                <w:rFonts w:hint="eastAsia" w:ascii="宋体" w:hAnsi="宋体" w:eastAsia="宋体" w:cs="宋体"/>
                <w:color w:val="auto"/>
                <w:kern w:val="0"/>
                <w:sz w:val="22"/>
                <w:szCs w:val="22"/>
              </w:rPr>
              <w:t>有影响景观面貌的杂草每处扣0.1-0.5分</w:t>
            </w:r>
            <w:r>
              <w:rPr>
                <w:rFonts w:hint="eastAsia" w:cs="宋体"/>
                <w:color w:val="auto"/>
                <w:kern w:val="0"/>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7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p>
        </w:tc>
        <w:tc>
          <w:tcPr>
            <w:tcW w:w="8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（1）病害应进行不少于三次的预防性防治，发病后，应于发病初期立即防治，并要求诊断准确用药合理。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（2）发生虫害，应适时用药，但应尽可能避免使用高毒药和刺激性气味大的农药。</w:t>
            </w:r>
          </w:p>
        </w:tc>
        <w:tc>
          <w:tcPr>
            <w:tcW w:w="64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7</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6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有垃圾每处扣0.1-0.2分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8</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浇水施肥</w:t>
            </w:r>
          </w:p>
        </w:tc>
        <w:tc>
          <w:tcPr>
            <w:tcW w:w="5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根据不同品种进行养护管理，不得因缺水、肥造成枝叶萎蔫枯黄</w:t>
            </w:r>
          </w:p>
        </w:tc>
        <w:tc>
          <w:tcPr>
            <w:tcW w:w="64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因缺水、肥导致的枝叶萎蔫枯黄每处扣0.2-0.5分</w:t>
            </w:r>
          </w:p>
        </w:tc>
      </w:tr>
    </w:tbl>
    <w:p>
      <w:pPr>
        <w:keepNext w:val="0"/>
        <w:keepLines w:val="0"/>
        <w:pageBreakBefore w:val="0"/>
        <w:widowControl w:val="0"/>
        <w:kinsoku/>
        <w:wordWrap/>
        <w:overflowPunct/>
        <w:topLinePunct w:val="0"/>
        <w:autoSpaceDE/>
        <w:autoSpaceDN/>
        <w:bidi w:val="0"/>
        <w:adjustRightInd/>
        <w:snapToGrid w:val="0"/>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5、花</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坛</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28"/>
        <w:gridCol w:w="803"/>
        <w:gridCol w:w="3088"/>
        <w:gridCol w:w="3288"/>
        <w:gridCol w:w="3063"/>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2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0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308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328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w:t>
            </w:r>
          </w:p>
        </w:tc>
        <w:tc>
          <w:tcPr>
            <w:tcW w:w="30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标准考核细则</w:t>
            </w:r>
          </w:p>
        </w:tc>
        <w:tc>
          <w:tcPr>
            <w:tcW w:w="292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（1）株行距适宜；（2）不露土（3）缺株倒伏的花苗不超过5%；（4）枯枝残花量不得大于5%</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（1）保持原设计形状，无边界</w:t>
            </w:r>
            <w:r>
              <w:rPr>
                <w:rFonts w:hint="eastAsia" w:ascii="宋体" w:hAnsi="宋体" w:eastAsia="宋体" w:cs="宋体"/>
                <w:color w:val="auto"/>
                <w:sz w:val="22"/>
                <w:szCs w:val="22"/>
                <w:highlight w:val="none"/>
              </w:rPr>
              <w:t>窜枝</w:t>
            </w:r>
            <w:r>
              <w:rPr>
                <w:rFonts w:hint="eastAsia" w:ascii="宋体" w:hAnsi="宋体" w:eastAsia="宋体" w:cs="宋体"/>
                <w:color w:val="auto"/>
                <w:sz w:val="22"/>
                <w:szCs w:val="22"/>
              </w:rPr>
              <w:t>（2）株行距适宜；（3）不露土，植株无缺株倒伏；（4）基本无枯枝残花</w:t>
            </w:r>
          </w:p>
        </w:tc>
        <w:tc>
          <w:tcPr>
            <w:tcW w:w="30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（1）植株生长存在问题，缺株倒伏花苗大于5%，残花量大于5%，每处扣0.1-0.2分；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（2）花叶植物景观效果差，每处扣0.1-0.2分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（3）未达到相关要求，酌情扣分</w:t>
            </w:r>
          </w:p>
        </w:tc>
        <w:tc>
          <w:tcPr>
            <w:tcW w:w="292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（1）植株生长存在问题，缺株倒伏花苗大于5%，残花量大于5%，每处扣0.2-0.5分；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（2）花叶植物景观效果差，每处扣0.2-0.5分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（3）未达到相关要求，酌情扣分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highlight w:val="none"/>
              </w:rPr>
              <w:t>花期</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（1）开花期一致；（2）赏花期达到每季花卉要求；（3）确保重大节日有花</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（1）开花期一致；（2）赏花期达到每季花卉要求；（3）确保重大节日有花</w:t>
            </w:r>
          </w:p>
        </w:tc>
        <w:tc>
          <w:tcPr>
            <w:tcW w:w="30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p>
        </w:tc>
        <w:tc>
          <w:tcPr>
            <w:tcW w:w="292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（1）植株生长基本健壮；（2）茎干粗壮，基部分枝强健，蓬径基本饱满；（3）株高基本相等</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（1）植株生长健壮；（2）茎干粗壮，基部分枝强健，蓬径饱满；（3）株高基相等，花型正，花色纯</w:t>
            </w:r>
          </w:p>
        </w:tc>
        <w:tc>
          <w:tcPr>
            <w:tcW w:w="30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p>
        </w:tc>
        <w:tc>
          <w:tcPr>
            <w:tcW w:w="292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（1）排水良好，无积水；（2）植株基本无失水萎蔫现象</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(1)排水畅通，严禁积水；（2）植株不得出现失水萎蔫现象</w:t>
            </w:r>
          </w:p>
        </w:tc>
        <w:tc>
          <w:tcPr>
            <w:tcW w:w="3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（1）积水问题明显，对植物生长有影响，扣0.1-0.2分；（2）植物失水萎蔫现象严重，每处扣0.5-1分</w:t>
            </w:r>
          </w:p>
        </w:tc>
        <w:tc>
          <w:tcPr>
            <w:tcW w:w="2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（1）有积水问题，扣0.1-0.2分；（2）植物失水萎蔫现象严重，每处扣0.5-1分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维护设施完好</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维护设施完好无损，和谐美观</w:t>
            </w:r>
          </w:p>
        </w:tc>
        <w:tc>
          <w:tcPr>
            <w:tcW w:w="598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设施有损坏酌情扣分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106"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切边</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（1）与草坪交界处应边缘清晰；（2）切边宽度不得大于15</w:t>
            </w:r>
            <w:r>
              <w:rPr>
                <w:rFonts w:hint="eastAsia" w:eastAsia="宋体" w:cs="宋体"/>
                <w:color w:val="auto"/>
                <w:sz w:val="22"/>
                <w:szCs w:val="22"/>
                <w:lang w:eastAsia="zh-CN"/>
              </w:rPr>
              <w:t>㎝</w:t>
            </w:r>
            <w:r>
              <w:rPr>
                <w:rFonts w:hint="eastAsia" w:ascii="宋体" w:hAnsi="宋体" w:eastAsia="宋体" w:cs="宋体"/>
                <w:color w:val="auto"/>
                <w:sz w:val="22"/>
                <w:szCs w:val="22"/>
              </w:rPr>
              <w:t>，深度为15</w:t>
            </w:r>
            <w:r>
              <w:rPr>
                <w:rFonts w:hint="eastAsia" w:eastAsia="宋体" w:cs="宋体"/>
                <w:color w:val="auto"/>
                <w:sz w:val="22"/>
                <w:szCs w:val="22"/>
                <w:lang w:eastAsia="zh-CN"/>
              </w:rPr>
              <w:t>㎝</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（1）与草坪交界处应边缘清晰，线条流畅和顺；（2）切边宽度不得大于15</w:t>
            </w:r>
            <w:r>
              <w:rPr>
                <w:rFonts w:hint="eastAsia" w:eastAsia="宋体" w:cs="宋体"/>
                <w:color w:val="auto"/>
                <w:sz w:val="22"/>
                <w:szCs w:val="22"/>
                <w:lang w:eastAsia="zh-CN"/>
              </w:rPr>
              <w:t>㎝</w:t>
            </w:r>
            <w:r>
              <w:rPr>
                <w:rFonts w:hint="eastAsia" w:ascii="宋体" w:hAnsi="宋体" w:eastAsia="宋体" w:cs="宋体"/>
                <w:color w:val="auto"/>
                <w:sz w:val="22"/>
                <w:szCs w:val="22"/>
              </w:rPr>
              <w:t>，深度为15</w:t>
            </w:r>
            <w:r>
              <w:rPr>
                <w:rFonts w:hint="eastAsia" w:eastAsia="宋体" w:cs="宋体"/>
                <w:color w:val="auto"/>
                <w:sz w:val="22"/>
                <w:szCs w:val="22"/>
                <w:lang w:eastAsia="zh-CN"/>
              </w:rPr>
              <w:t>㎝</w:t>
            </w:r>
          </w:p>
        </w:tc>
        <w:tc>
          <w:tcPr>
            <w:tcW w:w="3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草坪切边不符合要求每处扣0.1-0.2分</w:t>
            </w:r>
          </w:p>
        </w:tc>
        <w:tc>
          <w:tcPr>
            <w:tcW w:w="2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草坪切边不符合要求每处扣0.1-0.2分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7</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（1）无明显有害生物危害状；（2）植株受害率控制在5%以下；（3）基本无杂草</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（1）基本无有害生物危害状；（2）植株受害率控制在3%以下；（3）无杂草</w:t>
            </w:r>
          </w:p>
        </w:tc>
        <w:tc>
          <w:tcPr>
            <w:tcW w:w="3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不及时治理，症状明显，发现病虫害，酌情扣分；（2）植株受害率大于5%，每处扣0.1-0.2分（3）有窜出长度超过15</w:t>
            </w:r>
            <w:r>
              <w:rPr>
                <w:rFonts w:hint="eastAsia" w:eastAsia="宋体" w:cs="宋体"/>
                <w:color w:val="auto"/>
                <w:sz w:val="22"/>
                <w:szCs w:val="22"/>
                <w:lang w:eastAsia="zh-CN"/>
              </w:rPr>
              <w:t>㎝</w:t>
            </w:r>
            <w:r>
              <w:rPr>
                <w:rFonts w:hint="eastAsia" w:ascii="宋体" w:hAnsi="宋体" w:eastAsia="宋体" w:cs="宋体"/>
                <w:color w:val="auto"/>
                <w:sz w:val="22"/>
                <w:szCs w:val="22"/>
              </w:rPr>
              <w:t>的杂草每处扣0.1-0.2分</w:t>
            </w:r>
          </w:p>
        </w:tc>
        <w:tc>
          <w:tcPr>
            <w:tcW w:w="2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不及时治理，症状明显，发现病虫害，酌情扣分；（2）受害率大于3%，每处扣0.1-0.2分（3）有窜出长度超过10</w:t>
            </w:r>
            <w:r>
              <w:rPr>
                <w:rFonts w:hint="eastAsia" w:eastAsia="宋体" w:cs="宋体"/>
                <w:color w:val="auto"/>
                <w:sz w:val="22"/>
                <w:szCs w:val="22"/>
                <w:lang w:eastAsia="zh-CN"/>
              </w:rPr>
              <w:t>㎝</w:t>
            </w:r>
            <w:r>
              <w:rPr>
                <w:rFonts w:hint="eastAsia" w:ascii="宋体" w:hAnsi="宋体" w:eastAsia="宋体" w:cs="宋体"/>
                <w:color w:val="auto"/>
                <w:sz w:val="22"/>
                <w:szCs w:val="22"/>
              </w:rPr>
              <w:t>的杂草每处扣0.1-0.2分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8</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如不发生人为破坏或自然灾害，花境保存率达到</w:t>
            </w:r>
            <w:r>
              <w:rPr>
                <w:rFonts w:hint="eastAsia" w:ascii="宋体" w:hAnsi="宋体" w:eastAsia="宋体" w:cs="宋体"/>
                <w:color w:val="auto"/>
                <w:sz w:val="22"/>
                <w:szCs w:val="22"/>
              </w:rPr>
              <w:t>97%以上</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如不发生人为破坏或自然灾害，花境保存率达到</w:t>
            </w:r>
            <w:r>
              <w:rPr>
                <w:rFonts w:hint="eastAsia" w:ascii="宋体" w:hAnsi="宋体" w:eastAsia="宋体" w:cs="宋体"/>
                <w:color w:val="auto"/>
                <w:sz w:val="22"/>
                <w:szCs w:val="22"/>
              </w:rPr>
              <w:t>99%以上</w:t>
            </w:r>
          </w:p>
        </w:tc>
        <w:tc>
          <w:tcPr>
            <w:tcW w:w="3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花境保存率不达标，每处扣0.2-0.5分</w:t>
            </w:r>
          </w:p>
        </w:tc>
        <w:tc>
          <w:tcPr>
            <w:tcW w:w="2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花境保存率不达标，每处扣0.5-1分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76"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w:t>
            </w:r>
          </w:p>
        </w:tc>
        <w:tc>
          <w:tcPr>
            <w:tcW w:w="8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3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无沉积垃圾，保留落叶层</w:t>
            </w:r>
          </w:p>
        </w:tc>
        <w:tc>
          <w:tcPr>
            <w:tcW w:w="3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无垃圾、保留落叶层</w:t>
            </w:r>
          </w:p>
        </w:tc>
        <w:tc>
          <w:tcPr>
            <w:tcW w:w="306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c>
          <w:tcPr>
            <w:tcW w:w="292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未达到要求扣0.2-0.5分</w:t>
            </w:r>
          </w:p>
        </w:tc>
      </w:tr>
    </w:tbl>
    <w:p>
      <w:pPr>
        <w:keepNext w:val="0"/>
        <w:keepLines w:val="0"/>
        <w:pageBreakBefore w:val="0"/>
        <w:widowControl w:val="0"/>
        <w:kinsoku/>
        <w:wordWrap/>
        <w:overflowPunct/>
        <w:topLinePunct w:val="0"/>
        <w:autoSpaceDE/>
        <w:autoSpaceDN/>
        <w:bidi w:val="0"/>
        <w:adjustRightInd/>
        <w:snapToGrid/>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6、绿</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篱</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98"/>
        <w:gridCol w:w="817"/>
        <w:gridCol w:w="4005"/>
        <w:gridCol w:w="3649"/>
        <w:gridCol w:w="4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98"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17"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7654"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4722"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98" w:type="dxa"/>
            <w:vMerge w:val="continue"/>
            <w:tcBorders>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c>
          <w:tcPr>
            <w:tcW w:w="817" w:type="dxa"/>
            <w:vMerge w:val="continue"/>
            <w:tcBorders>
              <w:tl2br w:val="nil"/>
              <w:tr2bl w:val="nil"/>
            </w:tcBorders>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c>
          <w:tcPr>
            <w:tcW w:w="400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整形式</w:t>
            </w:r>
          </w:p>
        </w:tc>
        <w:tc>
          <w:tcPr>
            <w:tcW w:w="364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自然式</w:t>
            </w:r>
          </w:p>
        </w:tc>
        <w:tc>
          <w:tcPr>
            <w:tcW w:w="4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19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4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（1）无缺株，无枯枝；（2）</w:t>
            </w:r>
            <w:r>
              <w:rPr>
                <w:rFonts w:hint="eastAsia" w:ascii="宋体" w:hAnsi="宋体" w:eastAsia="宋体" w:cs="宋体"/>
                <w:color w:val="auto"/>
                <w:sz w:val="22"/>
                <w:szCs w:val="22"/>
                <w:highlight w:val="none"/>
              </w:rPr>
              <w:t>修剪</w:t>
            </w:r>
            <w:r>
              <w:rPr>
                <w:rFonts w:hint="eastAsia" w:ascii="宋体" w:hAnsi="宋体" w:eastAsia="宋体" w:cs="宋体"/>
                <w:color w:val="auto"/>
                <w:sz w:val="22"/>
                <w:szCs w:val="22"/>
              </w:rPr>
              <w:t>必须保持3面以上平整饱满，直线处正直，曲线处弧度圆润</w:t>
            </w:r>
          </w:p>
        </w:tc>
        <w:tc>
          <w:tcPr>
            <w:tcW w:w="36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（1）无缺株，无枯枝残花；（2）开花植物开花期一致；（3）修剪保持自然丰满</w:t>
            </w:r>
          </w:p>
        </w:tc>
        <w:tc>
          <w:tcPr>
            <w:tcW w:w="4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（1）有缺株枯枝现象，修剪不到位，每处扣0.2-0.5分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690"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4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植株生长健壮，规格大小基本一致</w:t>
            </w:r>
          </w:p>
        </w:tc>
        <w:tc>
          <w:tcPr>
            <w:tcW w:w="36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植株生长健壮，规格大小基本一致</w:t>
            </w:r>
          </w:p>
        </w:tc>
        <w:tc>
          <w:tcPr>
            <w:tcW w:w="4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未达到要求每处扣0.2-0.5分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4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（1）无明显的有害生物危害状；（2）植物受害率应控制在10%以下；（3）无杂草</w:t>
            </w:r>
          </w:p>
        </w:tc>
        <w:tc>
          <w:tcPr>
            <w:tcW w:w="36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（1）无明显的有害生物危害状；（2）植物受害率应控制在10%以下；（3）无杂草</w:t>
            </w:r>
          </w:p>
        </w:tc>
        <w:tc>
          <w:tcPr>
            <w:tcW w:w="4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highlight w:val="none"/>
              </w:rPr>
              <w:t>病虫害病虫害</w:t>
            </w:r>
            <w:r>
              <w:rPr>
                <w:rFonts w:hint="eastAsia" w:ascii="宋体" w:hAnsi="宋体" w:eastAsia="宋体" w:cs="宋体"/>
                <w:color w:val="auto"/>
                <w:kern w:val="0"/>
                <w:sz w:val="22"/>
                <w:szCs w:val="22"/>
              </w:rPr>
              <w:t>不及时治理，症状明显，发现病虫害，酌情扣分；（2）植株受害率高于10%每处扣0.2-0.5分（3）有窜出</w:t>
            </w:r>
            <w:r>
              <w:rPr>
                <w:rFonts w:hint="eastAsia" w:ascii="宋体" w:hAnsi="宋体" w:eastAsia="宋体" w:cs="宋体"/>
                <w:color w:val="auto"/>
                <w:sz w:val="22"/>
                <w:szCs w:val="22"/>
              </w:rPr>
              <w:t>长度超过20</w:t>
            </w:r>
            <w:r>
              <w:rPr>
                <w:rFonts w:hint="eastAsia" w:eastAsia="宋体" w:cs="宋体"/>
                <w:color w:val="auto"/>
                <w:sz w:val="22"/>
                <w:szCs w:val="22"/>
                <w:lang w:eastAsia="zh-CN"/>
              </w:rPr>
              <w:t>㎝</w:t>
            </w:r>
            <w:r>
              <w:rPr>
                <w:rFonts w:hint="eastAsia" w:ascii="宋体" w:hAnsi="宋体" w:eastAsia="宋体" w:cs="宋体"/>
                <w:color w:val="auto"/>
                <w:kern w:val="0"/>
                <w:sz w:val="22"/>
                <w:szCs w:val="22"/>
              </w:rPr>
              <w:t>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69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4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36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4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r>
    </w:tbl>
    <w:p>
      <w:pPr>
        <w:keepNext w:val="0"/>
        <w:keepLines w:val="0"/>
        <w:pageBreakBefore w:val="0"/>
        <w:widowControl w:val="0"/>
        <w:kinsoku/>
        <w:wordWrap/>
        <w:overflowPunct/>
        <w:topLinePunct w:val="0"/>
        <w:autoSpaceDE/>
        <w:autoSpaceDN/>
        <w:bidi w:val="0"/>
        <w:adjustRightInd/>
        <w:snapToGrid/>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7、垂直绿化</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03"/>
        <w:gridCol w:w="878"/>
        <w:gridCol w:w="5753"/>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0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7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575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655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（1）植物枝叶分布均匀，疏密合理，无枯枝残花；（2）符合设计要求</w:t>
            </w:r>
          </w:p>
        </w:tc>
        <w:tc>
          <w:tcPr>
            <w:tcW w:w="65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有枯枝残花、不符合设计要求，每处扣0.2-0.5分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藤蔓枝叶茂盛，植株生长健壮</w:t>
            </w:r>
          </w:p>
        </w:tc>
        <w:tc>
          <w:tcPr>
            <w:tcW w:w="65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植株长势不佳，每处扣0.1-0.2分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设施安全、完好无损</w:t>
            </w:r>
          </w:p>
        </w:tc>
        <w:tc>
          <w:tcPr>
            <w:tcW w:w="65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设施有损坏酌情扣分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（1）无明显的有害生物危害状；（2）植物受害率应控制在10%以下；（3）无大型、恶性、缠绕性杂草</w:t>
            </w:r>
          </w:p>
        </w:tc>
        <w:tc>
          <w:tcPr>
            <w:tcW w:w="65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highlight w:val="none"/>
              </w:rPr>
              <w:t>病虫害病虫害</w:t>
            </w:r>
            <w:r>
              <w:rPr>
                <w:rFonts w:hint="eastAsia" w:ascii="宋体" w:hAnsi="宋体" w:eastAsia="宋体" w:cs="宋体"/>
                <w:color w:val="auto"/>
                <w:kern w:val="0"/>
                <w:sz w:val="22"/>
                <w:szCs w:val="22"/>
              </w:rPr>
              <w:t>不及时治理，症状明显，发现病虫害，酌情扣分；（2）植株受害率高于10%每处扣0.2-0.5分（3）有</w:t>
            </w:r>
            <w:r>
              <w:rPr>
                <w:rFonts w:hint="eastAsia" w:ascii="宋体" w:hAnsi="宋体" w:eastAsia="宋体" w:cs="宋体"/>
                <w:color w:val="auto"/>
                <w:sz w:val="22"/>
                <w:szCs w:val="22"/>
              </w:rPr>
              <w:t>长度超过20</w:t>
            </w:r>
            <w:r>
              <w:rPr>
                <w:rFonts w:hint="eastAsia" w:eastAsia="宋体" w:cs="宋体"/>
                <w:color w:val="auto"/>
                <w:sz w:val="22"/>
                <w:szCs w:val="22"/>
                <w:lang w:eastAsia="zh-CN"/>
              </w:rPr>
              <w:t>㎝</w:t>
            </w:r>
            <w:r>
              <w:rPr>
                <w:rFonts w:hint="eastAsia" w:ascii="宋体" w:hAnsi="宋体" w:eastAsia="宋体" w:cs="宋体"/>
                <w:color w:val="auto"/>
                <w:sz w:val="22"/>
                <w:szCs w:val="22"/>
              </w:rPr>
              <w:t>的</w:t>
            </w:r>
            <w:r>
              <w:rPr>
                <w:rFonts w:hint="eastAsia" w:ascii="宋体" w:hAnsi="宋体" w:eastAsia="宋体" w:cs="宋体"/>
                <w:color w:val="auto"/>
                <w:kern w:val="0"/>
                <w:sz w:val="22"/>
                <w:szCs w:val="22"/>
              </w:rPr>
              <w:t>杂草，有影响景观面貌的杂草每处扣0.1-0.5分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65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未达到要求扣0.1-0.5分</w:t>
            </w:r>
          </w:p>
        </w:tc>
      </w:tr>
    </w:tbl>
    <w:p>
      <w:pPr>
        <w:keepNext w:val="0"/>
        <w:keepLines w:val="0"/>
        <w:pageBreakBefore w:val="0"/>
        <w:widowControl w:val="0"/>
        <w:kinsoku/>
        <w:wordWrap/>
        <w:overflowPunct/>
        <w:topLinePunct w:val="0"/>
        <w:autoSpaceDE/>
        <w:autoSpaceDN/>
        <w:bidi w:val="0"/>
        <w:adjustRightInd/>
        <w:snapToGrid/>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8、竹类养护技术标准</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34"/>
        <w:gridCol w:w="850"/>
        <w:gridCol w:w="5753"/>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73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50"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575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655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（1）竹竿挺直、枝叶青翠；（2）无死株及枯竹；（3）有完整的林相</w:t>
            </w:r>
          </w:p>
        </w:tc>
        <w:tc>
          <w:tcPr>
            <w:tcW w:w="6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景观效果不达标，每处扣0.1-0.2分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（1）竹丛应通风透光，植株生长健壮；（2）新老竹生长比例恰当；（3）竹鞭无裸露</w:t>
            </w:r>
          </w:p>
        </w:tc>
        <w:tc>
          <w:tcPr>
            <w:tcW w:w="6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竹类生长不符合要求，每处扣0.1-0.2分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（1）排水良好、无积水；（2）各种竹类生长期内无失水萎蔫现象</w:t>
            </w:r>
          </w:p>
        </w:tc>
        <w:tc>
          <w:tcPr>
            <w:tcW w:w="6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rPr>
              <w:t>（1）积水问题明显，对植物生长有影响，扣0.1-0.2分；（2）竹类失水萎蔫现象严重，多日未消除扣0.5-1分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（1）无严重有害生物危害状；（2）竹叶受害率应控制在15%以下；（3）竹竿受害率应控制在10%以下</w:t>
            </w:r>
          </w:p>
        </w:tc>
        <w:tc>
          <w:tcPr>
            <w:tcW w:w="6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highlight w:val="none"/>
              </w:rPr>
              <w:t>病虫害病虫害</w:t>
            </w:r>
            <w:r>
              <w:rPr>
                <w:rFonts w:hint="eastAsia" w:ascii="宋体" w:hAnsi="宋体" w:eastAsia="宋体" w:cs="宋体"/>
                <w:color w:val="auto"/>
                <w:kern w:val="0"/>
                <w:sz w:val="22"/>
                <w:szCs w:val="22"/>
              </w:rPr>
              <w:t>不及时治理，症状明显，发现病虫害，酌情扣分；（2）竹叶竹竿受害率不达标，每处扣0.1-0.2分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5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6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r>
    </w:tbl>
    <w:p>
      <w:pPr>
        <w:keepNext w:val="0"/>
        <w:keepLines w:val="0"/>
        <w:pageBreakBefore w:val="0"/>
        <w:widowControl w:val="0"/>
        <w:kinsoku/>
        <w:wordWrap/>
        <w:overflowPunct/>
        <w:topLinePunct w:val="0"/>
        <w:autoSpaceDE/>
        <w:autoSpaceDN/>
        <w:bidi w:val="0"/>
        <w:adjustRightInd/>
        <w:snapToGrid w:val="0"/>
        <w:spacing w:before="438" w:beforeLines="100" w:line="312"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9、草坪、草地</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50"/>
        <w:gridCol w:w="806"/>
        <w:gridCol w:w="1973"/>
        <w:gridCol w:w="2154"/>
        <w:gridCol w:w="1784"/>
        <w:gridCol w:w="1957"/>
        <w:gridCol w:w="227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50"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806"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4127" w:type="dxa"/>
            <w:gridSpan w:val="2"/>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草坪</w:t>
            </w:r>
          </w:p>
        </w:tc>
        <w:tc>
          <w:tcPr>
            <w:tcW w:w="17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草地</w:t>
            </w:r>
          </w:p>
        </w:tc>
        <w:tc>
          <w:tcPr>
            <w:tcW w:w="1957"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草坪</w:t>
            </w: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标准考核细则</w:t>
            </w:r>
          </w:p>
        </w:tc>
        <w:tc>
          <w:tcPr>
            <w:tcW w:w="2279"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草坪一级标准考核细则</w:t>
            </w:r>
          </w:p>
        </w:tc>
        <w:tc>
          <w:tcPr>
            <w:tcW w:w="2288"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草地考核细则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50"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p>
        </w:tc>
        <w:tc>
          <w:tcPr>
            <w:tcW w:w="806"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p>
        </w:tc>
        <w:tc>
          <w:tcPr>
            <w:tcW w:w="197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215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w:t>
            </w:r>
          </w:p>
        </w:tc>
        <w:tc>
          <w:tcPr>
            <w:tcW w:w="17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1957"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p>
        </w:tc>
        <w:tc>
          <w:tcPr>
            <w:tcW w:w="2279"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p>
        </w:tc>
        <w:tc>
          <w:tcPr>
            <w:tcW w:w="2288"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（1）草种基本纯；（2）成品高度：冷季型为7-8</w:t>
            </w:r>
            <w:r>
              <w:rPr>
                <w:rFonts w:hint="eastAsia" w:eastAsia="宋体" w:cs="宋体"/>
                <w:color w:val="auto"/>
                <w:sz w:val="22"/>
                <w:szCs w:val="22"/>
                <w:lang w:eastAsia="zh-CN"/>
              </w:rPr>
              <w:t>㎝</w:t>
            </w:r>
            <w:r>
              <w:rPr>
                <w:rFonts w:hint="eastAsia" w:ascii="宋体" w:hAnsi="宋体" w:eastAsia="宋体" w:cs="宋体"/>
                <w:color w:val="auto"/>
                <w:sz w:val="22"/>
                <w:szCs w:val="22"/>
              </w:rPr>
              <w:t>，暖季型为5-6</w:t>
            </w:r>
            <w:r>
              <w:rPr>
                <w:rFonts w:hint="eastAsia" w:eastAsia="宋体" w:cs="宋体"/>
                <w:color w:val="auto"/>
                <w:sz w:val="22"/>
                <w:szCs w:val="22"/>
                <w:lang w:eastAsia="zh-CN"/>
              </w:rPr>
              <w:t>㎝</w:t>
            </w:r>
            <w:r>
              <w:rPr>
                <w:rFonts w:hint="eastAsia" w:ascii="宋体" w:hAnsi="宋体" w:eastAsia="宋体" w:cs="宋体"/>
                <w:color w:val="auto"/>
                <w:sz w:val="22"/>
                <w:szCs w:val="22"/>
              </w:rPr>
              <w:t>，草坪面貌达到基本平整；（3）修剪后无残留草屑堆，剪口无明显撕裂现象</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（1）草种纯，色泽均匀；（2）成品高度：冷季型为6-7</w:t>
            </w:r>
            <w:r>
              <w:rPr>
                <w:rFonts w:hint="eastAsia" w:eastAsia="宋体" w:cs="宋体"/>
                <w:color w:val="auto"/>
                <w:sz w:val="22"/>
                <w:szCs w:val="22"/>
                <w:lang w:eastAsia="zh-CN"/>
              </w:rPr>
              <w:t>㎝</w:t>
            </w:r>
            <w:r>
              <w:rPr>
                <w:rFonts w:hint="eastAsia" w:ascii="宋体" w:hAnsi="宋体" w:eastAsia="宋体" w:cs="宋体"/>
                <w:color w:val="auto"/>
                <w:sz w:val="22"/>
                <w:szCs w:val="22"/>
              </w:rPr>
              <w:t>，暖季型为4-5</w:t>
            </w:r>
            <w:r>
              <w:rPr>
                <w:rFonts w:hint="eastAsia" w:eastAsia="宋体" w:cs="宋体"/>
                <w:color w:val="auto"/>
                <w:sz w:val="22"/>
                <w:szCs w:val="22"/>
                <w:lang w:eastAsia="zh-CN"/>
              </w:rPr>
              <w:t>㎝</w:t>
            </w:r>
            <w:r>
              <w:rPr>
                <w:rFonts w:hint="eastAsia" w:ascii="宋体" w:hAnsi="宋体" w:eastAsia="宋体" w:cs="宋体"/>
                <w:color w:val="auto"/>
                <w:sz w:val="22"/>
                <w:szCs w:val="22"/>
              </w:rPr>
              <w:t>，草坪面貌达到平坦整洁；（3）修剪后无残留草屑，剪口无焦口、撕裂现象</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成品高度约为10-15</w:t>
            </w:r>
            <w:r>
              <w:rPr>
                <w:rFonts w:hint="eastAsia" w:eastAsia="宋体" w:cs="宋体"/>
                <w:color w:val="auto"/>
                <w:sz w:val="22"/>
                <w:szCs w:val="22"/>
                <w:lang w:eastAsia="zh-CN"/>
              </w:rPr>
              <w:t>㎝</w:t>
            </w:r>
            <w:r>
              <w:rPr>
                <w:rFonts w:hint="eastAsia" w:ascii="宋体" w:hAnsi="宋体" w:eastAsia="宋体" w:cs="宋体"/>
                <w:color w:val="auto"/>
                <w:sz w:val="22"/>
                <w:szCs w:val="22"/>
              </w:rPr>
              <w:t>或自然高速</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（1）草坪杂色明显，每处扣0.1-0.2分；（2）草坪景观高度</w:t>
            </w:r>
            <w:r>
              <w:rPr>
                <w:rFonts w:hint="eastAsia" w:ascii="宋体" w:hAnsi="宋体" w:eastAsia="宋体" w:cs="宋体"/>
                <w:color w:val="auto"/>
                <w:sz w:val="22"/>
                <w:szCs w:val="22"/>
                <w:highlight w:val="none"/>
              </w:rPr>
              <w:t>未</w:t>
            </w:r>
            <w:r>
              <w:rPr>
                <w:rFonts w:hint="eastAsia" w:ascii="宋体" w:hAnsi="宋体" w:eastAsia="宋体" w:cs="宋体"/>
                <w:color w:val="auto"/>
                <w:sz w:val="22"/>
                <w:szCs w:val="22"/>
              </w:rPr>
              <w:t>控制在8</w:t>
            </w:r>
            <w:r>
              <w:rPr>
                <w:rFonts w:hint="eastAsia" w:eastAsia="宋体" w:cs="宋体"/>
                <w:color w:val="auto"/>
                <w:sz w:val="22"/>
                <w:szCs w:val="22"/>
                <w:lang w:eastAsia="zh-CN"/>
              </w:rPr>
              <w:t>㎝</w:t>
            </w:r>
            <w:r>
              <w:rPr>
                <w:rFonts w:hint="eastAsia" w:ascii="宋体" w:hAnsi="宋体" w:eastAsia="宋体" w:cs="宋体"/>
                <w:color w:val="auto"/>
                <w:sz w:val="22"/>
                <w:szCs w:val="22"/>
              </w:rPr>
              <w:t>，每处扣0.1-0.2分；（3）草坪修剪不到位，每处扣0.1-0.2分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（1）草坪杂色明显，每处扣0.1-0.2分；（2）草坪景观高度</w:t>
            </w:r>
            <w:r>
              <w:rPr>
                <w:rFonts w:hint="eastAsia" w:ascii="宋体" w:hAnsi="宋体" w:eastAsia="宋体" w:cs="宋体"/>
                <w:color w:val="auto"/>
                <w:sz w:val="22"/>
                <w:szCs w:val="22"/>
                <w:highlight w:val="none"/>
              </w:rPr>
              <w:t>未</w:t>
            </w:r>
            <w:r>
              <w:rPr>
                <w:rFonts w:hint="eastAsia" w:ascii="宋体" w:hAnsi="宋体" w:eastAsia="宋体" w:cs="宋体"/>
                <w:color w:val="auto"/>
                <w:sz w:val="22"/>
                <w:szCs w:val="22"/>
              </w:rPr>
              <w:t>控制在8</w:t>
            </w:r>
            <w:r>
              <w:rPr>
                <w:rFonts w:hint="eastAsia" w:eastAsia="宋体" w:cs="宋体"/>
                <w:color w:val="auto"/>
                <w:sz w:val="22"/>
                <w:szCs w:val="22"/>
                <w:lang w:eastAsia="zh-CN"/>
              </w:rPr>
              <w:t>㎝</w:t>
            </w:r>
            <w:r>
              <w:rPr>
                <w:rFonts w:hint="eastAsia" w:ascii="宋体" w:hAnsi="宋体" w:eastAsia="宋体" w:cs="宋体"/>
                <w:color w:val="auto"/>
                <w:sz w:val="22"/>
                <w:szCs w:val="22"/>
              </w:rPr>
              <w:t>，每处扣0.2-0.5分；（3）草坪修剪不到位，每处扣0.2-0.5分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成品高度高于15</w:t>
            </w:r>
            <w:r>
              <w:rPr>
                <w:rFonts w:hint="eastAsia" w:eastAsia="宋体" w:cs="宋体"/>
                <w:color w:val="auto"/>
                <w:sz w:val="22"/>
                <w:szCs w:val="22"/>
                <w:lang w:eastAsia="zh-CN"/>
              </w:rPr>
              <w:t>㎝</w:t>
            </w:r>
            <w:r>
              <w:rPr>
                <w:rFonts w:hint="eastAsia" w:ascii="宋体" w:hAnsi="宋体" w:eastAsia="宋体" w:cs="宋体"/>
                <w:color w:val="auto"/>
                <w:sz w:val="22"/>
                <w:szCs w:val="22"/>
              </w:rPr>
              <w:t>，每处扣0.1-0.2分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（1）生长良好；（2）覆盖率不小于90%；（3）无大于0.5㎡的集中空突</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（1）生长茂盛；（2）覆盖率大于95%；（3）无大于0.5㎡的集中空突</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（1）生长良好；（2）覆盖率不小于80%；（3）无大于0.5㎡的集中空突</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草坪草地长势不好，覆盖率低于90%，黄泥裸露，有大于0.5㎡空缺，每处扣0.1-0.2分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草坪草地长势不好，覆盖率低于95%，黄泥裸露，有大于0.5㎡空缺，每处扣0.2-0.5分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草地长势差，覆盖率低于80%，黄泥裸露明显，每处扣0.1-0.2分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切边</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切边边缘线明显</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切边边缘清晰，切边宽度不大于15</w:t>
            </w:r>
            <w:r>
              <w:rPr>
                <w:rFonts w:hint="eastAsia" w:eastAsia="宋体" w:cs="宋体"/>
                <w:color w:val="auto"/>
                <w:sz w:val="22"/>
                <w:szCs w:val="22"/>
                <w:lang w:eastAsia="zh-CN"/>
              </w:rPr>
              <w:t>㎝</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草坪切边不符合要求每处扣0.1-0.2分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草坪切边不符合要求每处扣0.1-0.2分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设施</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护栏完好无损</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护栏完好无损</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护栏完好无损</w:t>
            </w:r>
          </w:p>
        </w:tc>
        <w:tc>
          <w:tcPr>
            <w:tcW w:w="652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护栏有损坏酌情扣分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（1）有良好的排灌设施，暴雨后4小时内必须排完；（2）植株基本不出现失水萎蔫现象</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(1)排水系统完好无损，暴雨后1小时内必须排完；（2）植株不得出现失水萎蔫现象</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(1)排灌系统通畅；暴雨后8小时积水必须排完；（2）植株不得出现失水萎蔫现象</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（1）暴雨后4小时未排完，每处扣0.2-0.5分；（2）萎蔫现象严重，每处扣0.2-0.5分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（1）暴雨后1小时未排完，每处扣0.2-0.5分；（2）萎蔫现象严重，每处扣0.2-0.5分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（1）暴雨后8小时未排完，每处扣0.1-0.2分；（2）萎蔫现象严重，每处扣0.1-0.2分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（1）无明显有害生物危害状；（2）草坪受害率控制在10%以下，杂草量不得超过10%；（3）基本无大型、恶性、缠绕性杂草；无明显影响景观面貌的其他杂草</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（1）基本无有害生物危害状；（2）草坪受害率控制在5%以下；（3）基本无杂草</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（1）无严重有害生物危害状；（2）植株受害率控制在20%以下；（3）无大型、恶性、缠绕性杂草；无影响景观面貌的杂草</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不及时治理，症状明显，发现病虫害，酌情扣分；（2）草坪受害率高于10%，杂草量高于10%，每处扣0.1-0.2分；（3）有窜出长度超过15</w:t>
            </w:r>
            <w:r>
              <w:rPr>
                <w:rFonts w:hint="eastAsia" w:eastAsia="宋体" w:cs="宋体"/>
                <w:color w:val="auto"/>
                <w:sz w:val="22"/>
                <w:szCs w:val="22"/>
                <w:lang w:eastAsia="zh-CN"/>
              </w:rPr>
              <w:t>㎝</w:t>
            </w:r>
            <w:r>
              <w:rPr>
                <w:rFonts w:hint="eastAsia" w:ascii="宋体" w:hAnsi="宋体" w:eastAsia="宋体" w:cs="宋体"/>
                <w:color w:val="auto"/>
                <w:sz w:val="22"/>
                <w:szCs w:val="22"/>
              </w:rPr>
              <w:t>的杂草，有影响景观面貌的杂草每处扣0.1-0.2分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不及时治理，症状明显，发现病虫害，酌情扣分；（2）草坪受害率高于5%每处扣0.1-0.2分；（3）有窜出长度超过10</w:t>
            </w:r>
            <w:r>
              <w:rPr>
                <w:rFonts w:hint="eastAsia" w:eastAsia="宋体" w:cs="宋体"/>
                <w:color w:val="auto"/>
                <w:sz w:val="22"/>
                <w:szCs w:val="22"/>
                <w:lang w:eastAsia="zh-CN"/>
              </w:rPr>
              <w:t>㎝</w:t>
            </w:r>
            <w:r>
              <w:rPr>
                <w:rFonts w:hint="eastAsia" w:ascii="宋体" w:hAnsi="宋体" w:eastAsia="宋体" w:cs="宋体"/>
                <w:color w:val="auto"/>
                <w:sz w:val="22"/>
                <w:szCs w:val="22"/>
              </w:rPr>
              <w:t>杂草，有影响景观面貌的杂草每处扣0.1-0.2分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不及时治理，症状明显，发现病虫害，酌情扣分；（2）草坪受害率高于20%，每处扣0.1-0.2分；（3）有大型、恶性、缠绕性杂草，有影响景观面貌的杂草每处扣0.1-0.2分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7</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97%以上</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98%以上</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99%以上</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保存率不达标，每处扣0.1-0.2分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保存率不达标，每处扣0.2-0.5分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保存率不达标，每处扣0.1-0.2分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8</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19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无沉积垃圾</w:t>
            </w:r>
          </w:p>
        </w:tc>
        <w:tc>
          <w:tcPr>
            <w:tcW w:w="2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无垃圾</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基本无垃圾</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未达到要求扣0.2-0.5分</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9</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浇水</w:t>
            </w:r>
          </w:p>
        </w:tc>
        <w:tc>
          <w:tcPr>
            <w:tcW w:w="591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保持地表10</w:t>
            </w:r>
            <w:r>
              <w:rPr>
                <w:rFonts w:hint="eastAsia" w:eastAsia="宋体" w:cs="宋体"/>
                <w:color w:val="auto"/>
                <w:sz w:val="22"/>
                <w:szCs w:val="22"/>
                <w:lang w:eastAsia="zh-CN"/>
              </w:rPr>
              <w:t>㎝</w:t>
            </w:r>
            <w:r>
              <w:rPr>
                <w:rFonts w:hint="eastAsia" w:ascii="宋体" w:hAnsi="宋体" w:eastAsia="宋体" w:cs="宋体"/>
                <w:color w:val="auto"/>
                <w:sz w:val="22"/>
                <w:szCs w:val="22"/>
              </w:rPr>
              <w:t>深度土壤含水在13%以上，</w:t>
            </w:r>
            <w:r>
              <w:rPr>
                <w:rFonts w:hint="eastAsia" w:ascii="宋体" w:hAnsi="宋体" w:eastAsia="宋体" w:cs="宋体"/>
                <w:color w:val="auto"/>
                <w:sz w:val="22"/>
                <w:szCs w:val="22"/>
                <w:highlight w:val="none"/>
              </w:rPr>
              <w:t>忌</w:t>
            </w:r>
            <w:r>
              <w:rPr>
                <w:rFonts w:hint="eastAsia" w:ascii="宋体" w:hAnsi="宋体" w:eastAsia="宋体" w:cs="宋体"/>
                <w:color w:val="auto"/>
                <w:sz w:val="22"/>
                <w:szCs w:val="22"/>
              </w:rPr>
              <w:t>中午酷热时浇水</w:t>
            </w:r>
          </w:p>
        </w:tc>
        <w:tc>
          <w:tcPr>
            <w:tcW w:w="652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未按要求做到酌情扣分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施肥</w:t>
            </w:r>
          </w:p>
        </w:tc>
        <w:tc>
          <w:tcPr>
            <w:tcW w:w="591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每年施肥2次以上，肥料应选用NPK复合肥。每次每公顷施用拆合标准N肥300</w:t>
            </w:r>
            <w:r>
              <w:rPr>
                <w:rFonts w:hint="eastAsia" w:cs="宋体"/>
                <w:color w:val="auto"/>
                <w:sz w:val="22"/>
                <w:szCs w:val="22"/>
                <w:lang w:val="en-US" w:eastAsia="zh-CN"/>
              </w:rPr>
              <w:t>kg</w:t>
            </w:r>
            <w:r>
              <w:rPr>
                <w:rFonts w:hint="eastAsia" w:ascii="宋体" w:hAnsi="宋体" w:eastAsia="宋体" w:cs="宋体"/>
                <w:color w:val="auto"/>
                <w:sz w:val="22"/>
                <w:szCs w:val="22"/>
              </w:rPr>
              <w:t>的化肥，施后浇透水。新建草坪应加大P、K肥用量，施N、P、K比例大致为1</w:t>
            </w:r>
            <w:r>
              <w:rPr>
                <w:rFonts w:hint="eastAsia" w:cs="宋体"/>
                <w:color w:val="auto"/>
                <w:sz w:val="22"/>
                <w:szCs w:val="22"/>
                <w:lang w:val="en-US" w:eastAsia="zh-CN"/>
              </w:rPr>
              <w:t>:</w:t>
            </w:r>
            <w:r>
              <w:rPr>
                <w:rFonts w:hint="eastAsia" w:ascii="宋体" w:hAnsi="宋体" w:eastAsia="宋体" w:cs="宋体"/>
                <w:color w:val="auto"/>
                <w:sz w:val="22"/>
                <w:szCs w:val="22"/>
              </w:rPr>
              <w:t>1</w:t>
            </w:r>
            <w:r>
              <w:rPr>
                <w:rFonts w:hint="eastAsia" w:cs="宋体"/>
                <w:color w:val="auto"/>
                <w:sz w:val="22"/>
                <w:szCs w:val="22"/>
                <w:lang w:val="en-US" w:eastAsia="zh-CN"/>
              </w:rPr>
              <w:t>:</w:t>
            </w:r>
            <w:r>
              <w:rPr>
                <w:rFonts w:hint="eastAsia" w:ascii="宋体" w:hAnsi="宋体" w:eastAsia="宋体" w:cs="宋体"/>
                <w:color w:val="auto"/>
                <w:sz w:val="22"/>
                <w:szCs w:val="22"/>
              </w:rPr>
              <w:t>1</w:t>
            </w:r>
          </w:p>
        </w:tc>
        <w:tc>
          <w:tcPr>
            <w:tcW w:w="652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施肥未到达标准酌情扣分</w:t>
            </w:r>
          </w:p>
        </w:tc>
      </w:tr>
    </w:tbl>
    <w:p>
      <w:pPr>
        <w:keepNext w:val="0"/>
        <w:keepLines w:val="0"/>
        <w:pageBreakBefore w:val="0"/>
        <w:widowControl w:val="0"/>
        <w:kinsoku/>
        <w:wordWrap/>
        <w:overflowPunct/>
        <w:topLinePunct w:val="0"/>
        <w:autoSpaceDE/>
        <w:autoSpaceDN/>
        <w:bidi w:val="0"/>
        <w:adjustRightInd/>
        <w:snapToGrid w:val="0"/>
        <w:spacing w:before="438" w:beforeLines="100" w:line="312"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val="en-US" w:eastAsia="zh-CN"/>
        </w:rPr>
        <w:t>10</w:t>
      </w:r>
      <w:r>
        <w:rPr>
          <w:rFonts w:hint="eastAsia" w:ascii="宋体" w:hAnsi="宋体" w:eastAsia="宋体" w:cs="宋体"/>
          <w:b/>
          <w:bCs/>
          <w:color w:val="auto"/>
          <w:sz w:val="22"/>
          <w:szCs w:val="22"/>
        </w:rPr>
        <w:t>、绿</w:t>
      </w:r>
      <w:r>
        <w:rPr>
          <w:rFonts w:hint="eastAsia" w:eastAsia="宋体" w:cs="宋体"/>
          <w:b/>
          <w:bCs/>
          <w:color w:val="auto"/>
          <w:sz w:val="22"/>
          <w:szCs w:val="22"/>
          <w:lang w:val="en-US" w:eastAsia="zh-CN"/>
        </w:rPr>
        <w:t xml:space="preserve">  </w:t>
      </w:r>
      <w:r>
        <w:rPr>
          <w:rFonts w:hint="eastAsia" w:ascii="宋体" w:hAnsi="宋体" w:eastAsia="宋体" w:cs="宋体"/>
          <w:b/>
          <w:bCs/>
          <w:color w:val="auto"/>
          <w:sz w:val="22"/>
          <w:szCs w:val="22"/>
        </w:rPr>
        <w:t>化</w:t>
      </w:r>
    </w:p>
    <w:tbl>
      <w:tblPr>
        <w:tblStyle w:val="48"/>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67"/>
        <w:gridCol w:w="784"/>
        <w:gridCol w:w="2813"/>
        <w:gridCol w:w="3091"/>
        <w:gridCol w:w="305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6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7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281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309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w:t>
            </w:r>
          </w:p>
        </w:tc>
        <w:tc>
          <w:tcPr>
            <w:tcW w:w="305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标准考核细则</w:t>
            </w:r>
          </w:p>
        </w:tc>
        <w:tc>
          <w:tcPr>
            <w:tcW w:w="348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一级标准考核细则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景观</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（1）群体植株面貌基本统一，规格基本整齐，生长良好，有很好的遮阴效果；（2）主干上无明显萌生枝条（3）无死树，缺株不得超过1%</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（1）群落植株树冠完整，生长茂盛，规格整齐，有较好的遮阴和生态效益；（2）主干上无萌生的芽条；（3）无缺株、死树</w:t>
            </w:r>
          </w:p>
        </w:tc>
        <w:tc>
          <w:tcPr>
            <w:tcW w:w="305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不及时清除、扶正、上报的，每发现一处或一株的扣0.1分；（2）自然死亡植株不及时清除上报的，每发现一株扣0.1分，因养护不当死亡植株不及时清除、上报、更换或规格品种不符的，每发现一株扣0.1-0.2分；（3）修剪不及时或不合理，檗芽长度超过20</w:t>
            </w:r>
            <w:r>
              <w:rPr>
                <w:rFonts w:hint="eastAsia" w:eastAsia="宋体" w:cs="宋体"/>
                <w:color w:val="auto"/>
                <w:sz w:val="22"/>
                <w:szCs w:val="22"/>
                <w:lang w:eastAsia="zh-CN"/>
              </w:rPr>
              <w:t>㎝</w:t>
            </w:r>
            <w:r>
              <w:rPr>
                <w:rFonts w:hint="eastAsia" w:ascii="宋体" w:hAnsi="宋体" w:eastAsia="宋体" w:cs="宋体"/>
                <w:color w:val="auto"/>
                <w:sz w:val="22"/>
                <w:szCs w:val="22"/>
              </w:rPr>
              <w:t>，每10-20株扣0.2-0.5分，以此类推</w:t>
            </w:r>
          </w:p>
        </w:tc>
        <w:tc>
          <w:tcPr>
            <w:tcW w:w="34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不及时清除、扶正、上报的，每发现一处或一株的扣0.1—0.2分；（2）自然死亡植株不及时清除上报的，每发现一株扣0.1-0.2分，因养护不当死亡植株不及时清除、上报、更换或规格品种不符的，每发现一株扣0.2-0.5分；（3）修剪不及时或不合理，檗芽长度超过15</w:t>
            </w:r>
            <w:r>
              <w:rPr>
                <w:rFonts w:hint="eastAsia" w:eastAsia="宋体" w:cs="宋体"/>
                <w:color w:val="auto"/>
                <w:sz w:val="22"/>
                <w:szCs w:val="22"/>
                <w:lang w:eastAsia="zh-CN"/>
              </w:rPr>
              <w:t>㎝</w:t>
            </w:r>
            <w:r>
              <w:rPr>
                <w:rFonts w:hint="eastAsia" w:ascii="宋体" w:hAnsi="宋体" w:eastAsia="宋体" w:cs="宋体"/>
                <w:color w:val="auto"/>
                <w:sz w:val="22"/>
                <w:szCs w:val="22"/>
              </w:rPr>
              <w:t>，每10-20株扣0.2-0.5分，以此类推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生长</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植株全年生长正常，修剪抹芽及时，无明显徒长枝、病虫枝、过密枝、枯枝、伤损枝、碰线枝，主干及一级枝不定芽不超过20</w:t>
            </w:r>
            <w:r>
              <w:rPr>
                <w:rFonts w:hint="eastAsia" w:eastAsia="宋体" w:cs="宋体"/>
                <w:color w:val="auto"/>
                <w:sz w:val="22"/>
                <w:szCs w:val="22"/>
                <w:lang w:eastAsia="zh-CN"/>
              </w:rPr>
              <w:t>㎝</w:t>
            </w:r>
            <w:r>
              <w:rPr>
                <w:rFonts w:hint="eastAsia" w:ascii="宋体" w:hAnsi="宋体" w:eastAsia="宋体" w:cs="宋体"/>
                <w:color w:val="auto"/>
                <w:sz w:val="22"/>
                <w:szCs w:val="22"/>
              </w:rPr>
              <w:t>，无明显的树叶黄化现象</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植株全年生长正常，修剪抹芽及时，无徒长枝、病虫枝、过密枝、枯枝、伤损枝、碰线枝，主干及一级枝不定芽不超过15</w:t>
            </w:r>
            <w:r>
              <w:rPr>
                <w:rFonts w:hint="eastAsia" w:eastAsia="宋体" w:cs="宋体"/>
                <w:color w:val="auto"/>
                <w:sz w:val="22"/>
                <w:szCs w:val="22"/>
                <w:lang w:eastAsia="zh-CN"/>
              </w:rPr>
              <w:t>㎝</w:t>
            </w:r>
            <w:r>
              <w:rPr>
                <w:rFonts w:hint="eastAsia" w:ascii="宋体" w:hAnsi="宋体" w:eastAsia="宋体" w:cs="宋体"/>
                <w:color w:val="auto"/>
                <w:sz w:val="22"/>
                <w:szCs w:val="22"/>
              </w:rPr>
              <w:t>，无树叶黄化现象</w:t>
            </w:r>
          </w:p>
        </w:tc>
        <w:tc>
          <w:tcPr>
            <w:tcW w:w="30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c>
          <w:tcPr>
            <w:tcW w:w="34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排灌</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(1)有良好的自然或管道排水系统，暴雨后10小时内必须排完；（2）植株失水萎蔫现象1-2天内消除</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(1)有完整的自然或管道排水系统，林地内无积水现象，暴雨后2小时内必须排完；（2）植株不得出现失水萎蔫现象</w:t>
            </w:r>
          </w:p>
        </w:tc>
        <w:tc>
          <w:tcPr>
            <w:tcW w:w="30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（1）暴雨后10小时未排完扣0.2-0.5分；（2）植物失水萎蔫现象严重，2日后未消除扣每处扣0.2-0.5分</w:t>
            </w:r>
          </w:p>
        </w:tc>
        <w:tc>
          <w:tcPr>
            <w:tcW w:w="3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（1）暴雨后2小时未排完扣0.2-0.5分；（2）植物失水萎蔫现象严重，每处扣0.5-1分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有害生物控制</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（1）无明显的有害生物危害状；（2）枝叶受害率控制在15%以下，树干受害率控制在8%以下；（3）无大型、恶性、缠绕性杂草；基本无影响景观面貌的杂草</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（1）基本无有害生物危害状；（2）枝叶受害率控制在10%以下，树干受害率控制在5%以下；（3）无大型、恶性、缠绕性杂草；无影响景观面貌的杂草</w:t>
            </w:r>
          </w:p>
        </w:tc>
        <w:tc>
          <w:tcPr>
            <w:tcW w:w="30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不及时治理，症状明显，发现病虫害，酌情扣分；（2）树叶受害率大于15%，树干受害率大于8%，每处扣0.1-0.2分（3）有窜出长度超过20</w:t>
            </w:r>
            <w:r>
              <w:rPr>
                <w:rFonts w:hint="eastAsia" w:eastAsia="宋体" w:cs="宋体"/>
                <w:color w:val="auto"/>
                <w:sz w:val="22"/>
                <w:szCs w:val="22"/>
                <w:lang w:eastAsia="zh-CN"/>
              </w:rPr>
              <w:t>㎝</w:t>
            </w:r>
            <w:r>
              <w:rPr>
                <w:rFonts w:hint="eastAsia" w:ascii="宋体" w:hAnsi="宋体" w:eastAsia="宋体" w:cs="宋体"/>
                <w:color w:val="auto"/>
                <w:sz w:val="22"/>
                <w:szCs w:val="22"/>
              </w:rPr>
              <w:t>的杂草，有影响景观面貌的杂草每处扣0.1-0.2分</w:t>
            </w:r>
          </w:p>
        </w:tc>
        <w:tc>
          <w:tcPr>
            <w:tcW w:w="3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r>
              <w:rPr>
                <w:rFonts w:hint="eastAsia" w:ascii="宋体" w:hAnsi="宋体" w:eastAsia="宋体" w:cs="宋体"/>
                <w:color w:val="auto"/>
                <w:sz w:val="22"/>
                <w:szCs w:val="22"/>
                <w:highlight w:val="none"/>
              </w:rPr>
              <w:t>病虫害病虫害</w:t>
            </w:r>
            <w:r>
              <w:rPr>
                <w:rFonts w:hint="eastAsia" w:ascii="宋体" w:hAnsi="宋体" w:eastAsia="宋体" w:cs="宋体"/>
                <w:color w:val="auto"/>
                <w:sz w:val="22"/>
                <w:szCs w:val="22"/>
              </w:rPr>
              <w:t>不及时治理，症状明显，发现病虫害，酌情扣分；（2）树叶受害率大于10%，树干受害率大于5%，每处扣0.1-0.2分（3）有窜出长度超过10</w:t>
            </w:r>
            <w:r>
              <w:rPr>
                <w:rFonts w:hint="eastAsia" w:eastAsia="宋体" w:cs="宋体"/>
                <w:color w:val="auto"/>
                <w:sz w:val="22"/>
                <w:szCs w:val="22"/>
                <w:lang w:eastAsia="zh-CN"/>
              </w:rPr>
              <w:t>㎝</w:t>
            </w:r>
            <w:r>
              <w:rPr>
                <w:rFonts w:hint="eastAsia" w:ascii="宋体" w:hAnsi="宋体" w:eastAsia="宋体" w:cs="宋体"/>
                <w:color w:val="auto"/>
                <w:sz w:val="22"/>
                <w:szCs w:val="22"/>
              </w:rPr>
              <w:t>的杂草，有影响景观面貌的杂草每处扣0.1-0.2分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如不发生人为破坏或自然灾害，保存率达到97%以上</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如不发生人为破坏或自然灾害，保存率达到99%以上</w:t>
            </w:r>
          </w:p>
        </w:tc>
        <w:tc>
          <w:tcPr>
            <w:tcW w:w="653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保存率不达标，每株扣0.1分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6</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清洁</w:t>
            </w:r>
          </w:p>
        </w:tc>
        <w:tc>
          <w:tcPr>
            <w:tcW w:w="28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树穴基本无杂草、垃圾和其它杂物，树干无明显缠绕物，基本无垃圾</w:t>
            </w:r>
          </w:p>
        </w:tc>
        <w:tc>
          <w:tcPr>
            <w:tcW w:w="3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树穴无杂草、垃圾和其它杂物，树干无钉子、铁丝等破坏树木生长的东西，无垃圾</w:t>
            </w:r>
          </w:p>
        </w:tc>
        <w:tc>
          <w:tcPr>
            <w:tcW w:w="30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未达到要求扣0.1-0.2分</w:t>
            </w:r>
          </w:p>
        </w:tc>
        <w:tc>
          <w:tcPr>
            <w:tcW w:w="3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未达到要求扣0.2-0.5分</w:t>
            </w:r>
          </w:p>
        </w:tc>
      </w:tr>
    </w:tbl>
    <w:p>
      <w:pPr>
        <w:keepNext w:val="0"/>
        <w:keepLines w:val="0"/>
        <w:pageBreakBefore w:val="0"/>
        <w:widowControl w:val="0"/>
        <w:kinsoku/>
        <w:wordWrap/>
        <w:overflowPunct/>
        <w:topLinePunct w:val="0"/>
        <w:autoSpaceDE/>
        <w:autoSpaceDN/>
        <w:bidi w:val="0"/>
        <w:adjustRightInd/>
        <w:snapToGrid w:val="0"/>
        <w:spacing w:before="438" w:beforeLines="100" w:line="312" w:lineRule="auto"/>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11、水体水系</w:t>
      </w:r>
    </w:p>
    <w:tbl>
      <w:tblPr>
        <w:tblStyle w:val="47"/>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376"/>
        <w:gridCol w:w="5562"/>
        <w:gridCol w:w="5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tcBorders>
              <w:tl2br w:val="nil"/>
              <w:tr2bl w:val="nil"/>
            </w:tcBorders>
            <w:shd w:val="clear" w:color="auto" w:fill="FFFFFF"/>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序号</w:t>
            </w:r>
          </w:p>
        </w:tc>
        <w:tc>
          <w:tcPr>
            <w:tcW w:w="1376" w:type="dxa"/>
            <w:tcBorders>
              <w:tl2br w:val="nil"/>
              <w:tr2bl w:val="nil"/>
            </w:tcBorders>
            <w:shd w:val="clear" w:color="auto" w:fill="FFFFFF"/>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项目</w:t>
            </w:r>
          </w:p>
        </w:tc>
        <w:tc>
          <w:tcPr>
            <w:tcW w:w="5562" w:type="dxa"/>
            <w:tcBorders>
              <w:tl2br w:val="nil"/>
              <w:tr2bl w:val="nil"/>
            </w:tcBorders>
            <w:shd w:val="clear" w:color="auto" w:fill="FFFFFF"/>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lang w:eastAsia="zh-CN"/>
              </w:rPr>
              <w:t>二级</w:t>
            </w:r>
            <w:r>
              <w:rPr>
                <w:rFonts w:hint="eastAsia" w:ascii="宋体" w:hAnsi="宋体" w:eastAsia="宋体" w:cs="宋体"/>
                <w:b/>
                <w:bCs/>
                <w:color w:val="auto"/>
                <w:sz w:val="22"/>
                <w:szCs w:val="22"/>
              </w:rPr>
              <w:t>标准</w:t>
            </w:r>
          </w:p>
        </w:tc>
        <w:tc>
          <w:tcPr>
            <w:tcW w:w="5983" w:type="dxa"/>
            <w:tcBorders>
              <w:tl2br w:val="nil"/>
              <w:tr2bl w:val="nil"/>
            </w:tcBorders>
            <w:shd w:val="clear" w:color="auto" w:fill="FFFFFF"/>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sz w:val="22"/>
                <w:szCs w:val="22"/>
              </w:rPr>
              <w:t>考核细则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tcBorders>
              <w:tl2br w:val="nil"/>
              <w:tr2bl w:val="nil"/>
            </w:tcBorders>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1376" w:type="dxa"/>
            <w:tcBorders>
              <w:tl2br w:val="nil"/>
              <w:tr2bl w:val="nil"/>
            </w:tcBorders>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人工水系</w:t>
            </w:r>
          </w:p>
        </w:tc>
        <w:tc>
          <w:tcPr>
            <w:tcW w:w="5562" w:type="dxa"/>
            <w:tcBorders>
              <w:tl2br w:val="nil"/>
              <w:tr2bl w:val="nil"/>
            </w:tcBorders>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湖面、池塘等人工水系基本没有漂浮物，无曝露垃圾，环境整洁；须定期换水、清洗、及时打捞漂浮物</w:t>
            </w:r>
          </w:p>
        </w:tc>
        <w:tc>
          <w:tcPr>
            <w:tcW w:w="5983" w:type="dxa"/>
            <w:tcBorders>
              <w:tl2br w:val="nil"/>
              <w:tr2bl w:val="nil"/>
            </w:tcBorders>
            <w:noWrap w:val="0"/>
            <w:tcMar>
              <w:top w:w="85" w:type="dxa"/>
              <w:left w:w="108" w:type="dxa"/>
              <w:bottom w:w="85"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未按要求做到，每次扣0.2-0.5分</w:t>
            </w:r>
          </w:p>
        </w:tc>
      </w:tr>
    </w:tbl>
    <w:p>
      <w:pPr>
        <w:adjustRightInd w:val="0"/>
        <w:snapToGrid w:val="0"/>
        <w:spacing w:line="312" w:lineRule="auto"/>
        <w:jc w:val="center"/>
        <w:rPr>
          <w:rFonts w:hint="eastAsia"/>
        </w:rPr>
      </w:pPr>
      <w:bookmarkStart w:id="303" w:name="_Toc12575"/>
      <w:r>
        <w:rPr>
          <w:rFonts w:hint="eastAsia" w:ascii="楷体" w:hAnsi="楷体" w:eastAsia="楷体" w:cs="楷体"/>
          <w:b/>
          <w:bCs/>
          <w:color w:val="auto"/>
          <w:sz w:val="28"/>
          <w:szCs w:val="28"/>
          <w:lang w:eastAsia="zh-CN"/>
        </w:rPr>
        <w:t>（二）</w:t>
      </w:r>
      <w:r>
        <w:rPr>
          <w:rFonts w:hint="eastAsia" w:ascii="楷体" w:hAnsi="楷体" w:eastAsia="楷体" w:cs="楷体"/>
          <w:b/>
          <w:bCs/>
          <w:color w:val="auto"/>
          <w:sz w:val="28"/>
          <w:szCs w:val="28"/>
        </w:rPr>
        <w:t>组织管理考核细则（直接计入考核总分）</w:t>
      </w:r>
      <w:bookmarkEnd w:id="303"/>
    </w:p>
    <w:tbl>
      <w:tblPr>
        <w:tblStyle w:val="47"/>
        <w:tblW w:w="13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568"/>
        <w:gridCol w:w="5311"/>
        <w:gridCol w:w="545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29" w:type="dxa"/>
            <w:tcBorders>
              <w:tl2br w:val="nil"/>
              <w:tr2bl w:val="nil"/>
            </w:tcBorders>
            <w:shd w:val="clear" w:color="auto" w:fill="FFFFFF"/>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jc w:val="center"/>
              <w:textAlignment w:val="auto"/>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项目</w:t>
            </w:r>
          </w:p>
        </w:tc>
        <w:tc>
          <w:tcPr>
            <w:tcW w:w="1568" w:type="dxa"/>
            <w:tcBorders>
              <w:tl2br w:val="nil"/>
              <w:tr2bl w:val="nil"/>
            </w:tcBorders>
            <w:shd w:val="clear" w:color="auto" w:fill="FFFFFF"/>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jc w:val="center"/>
              <w:textAlignment w:val="auto"/>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内容</w:t>
            </w:r>
          </w:p>
        </w:tc>
        <w:tc>
          <w:tcPr>
            <w:tcW w:w="5311" w:type="dxa"/>
            <w:tcBorders>
              <w:tl2br w:val="nil"/>
              <w:tr2bl w:val="nil"/>
            </w:tcBorders>
            <w:shd w:val="clear" w:color="auto" w:fill="FFFFFF"/>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jc w:val="center"/>
              <w:textAlignment w:val="auto"/>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检查标准</w:t>
            </w:r>
          </w:p>
        </w:tc>
        <w:tc>
          <w:tcPr>
            <w:tcW w:w="5450" w:type="dxa"/>
            <w:tcBorders>
              <w:tl2br w:val="nil"/>
              <w:tr2bl w:val="nil"/>
            </w:tcBorders>
            <w:shd w:val="clear" w:color="auto" w:fill="FFFFFF"/>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jc w:val="center"/>
              <w:textAlignment w:val="auto"/>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扣分标准</w:t>
            </w:r>
          </w:p>
        </w:tc>
        <w:tc>
          <w:tcPr>
            <w:tcW w:w="733" w:type="dxa"/>
            <w:tcBorders>
              <w:tl2br w:val="nil"/>
              <w:tr2bl w:val="nil"/>
            </w:tcBorders>
            <w:shd w:val="clear" w:color="auto" w:fill="FFFFFF"/>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jc w:val="center"/>
              <w:textAlignment w:val="auto"/>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restart"/>
            <w:tcBorders>
              <w:tl2br w:val="nil"/>
              <w:tr2bl w:val="nil"/>
            </w:tcBorders>
            <w:noWrap w:val="0"/>
            <w:tcMar>
              <w:top w:w="113" w:type="dxa"/>
              <w:left w:w="108" w:type="dxa"/>
              <w:bottom w:w="113" w:type="dxa"/>
              <w:right w:w="108" w:type="dxa"/>
            </w:tcMar>
            <w:textDirection w:val="tbRlV"/>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left="113" w:right="113" w:firstLine="0" w:firstLineChars="0"/>
              <w:jc w:val="center"/>
              <w:textAlignment w:val="auto"/>
              <w:rPr>
                <w:rFonts w:hint="eastAsia" w:ascii="宋体" w:hAnsi="宋体" w:eastAsia="宋体" w:cs="宋体"/>
                <w:color w:val="auto"/>
                <w:kern w:val="0"/>
                <w:sz w:val="22"/>
                <w:szCs w:val="22"/>
              </w:rPr>
            </w:pPr>
            <w:r>
              <w:rPr>
                <w:rFonts w:hint="eastAsia" w:ascii="宋体" w:hAnsi="宋体" w:eastAsia="宋体" w:cs="宋体"/>
                <w:color w:val="auto"/>
                <w:spacing w:val="85"/>
                <w:kern w:val="0"/>
                <w:sz w:val="22"/>
                <w:szCs w:val="22"/>
              </w:rPr>
              <w:t>社会责</w:t>
            </w:r>
            <w:r>
              <w:rPr>
                <w:rFonts w:hint="eastAsia" w:ascii="宋体" w:hAnsi="宋体" w:eastAsia="宋体" w:cs="宋体"/>
                <w:color w:val="auto"/>
                <w:kern w:val="0"/>
                <w:sz w:val="22"/>
                <w:szCs w:val="22"/>
              </w:rPr>
              <w:t>任</w:t>
            </w: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应急事件处理</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建立各类应急预案，加强重点区域安全保障措施，及时处理各类突发事件</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未建立预案，扣5分；无安全保障措施，每处扣0.5分；应急事件未处理，出现一次扣3分；应急事件未向</w:t>
            </w:r>
            <w:r>
              <w:rPr>
                <w:rFonts w:hint="eastAsia" w:cs="宋体"/>
                <w:color w:val="auto"/>
                <w:kern w:val="0"/>
                <w:sz w:val="22"/>
                <w:szCs w:val="22"/>
                <w:lang w:val="en-US" w:eastAsia="zh-CN"/>
              </w:rPr>
              <w:t>公路</w:t>
            </w:r>
            <w:r>
              <w:rPr>
                <w:rFonts w:hint="eastAsia" w:eastAsia="宋体" w:cs="宋体"/>
                <w:color w:val="auto"/>
                <w:kern w:val="0"/>
                <w:sz w:val="22"/>
                <w:szCs w:val="22"/>
                <w:lang w:eastAsia="zh-CN"/>
              </w:rPr>
              <w:t>中心</w:t>
            </w:r>
            <w:r>
              <w:rPr>
                <w:rFonts w:hint="eastAsia" w:ascii="宋体" w:hAnsi="宋体" w:eastAsia="宋体" w:cs="宋体"/>
                <w:color w:val="auto"/>
                <w:kern w:val="0"/>
                <w:sz w:val="22"/>
                <w:szCs w:val="22"/>
              </w:rPr>
              <w:t>报告，</w:t>
            </w:r>
            <w:r>
              <w:rPr>
                <w:rFonts w:hint="eastAsia" w:eastAsia="宋体" w:cs="宋体"/>
                <w:color w:val="auto"/>
                <w:kern w:val="0"/>
                <w:sz w:val="22"/>
                <w:szCs w:val="22"/>
                <w:lang w:val="en-US" w:eastAsia="zh-CN"/>
              </w:rPr>
              <w:t>视情节轻重酌情扣</w:t>
            </w:r>
            <w:r>
              <w:rPr>
                <w:rFonts w:hint="eastAsia" w:ascii="宋体" w:hAnsi="宋体" w:eastAsia="宋体" w:cs="宋体"/>
                <w:color w:val="auto"/>
                <w:kern w:val="0"/>
                <w:sz w:val="22"/>
                <w:szCs w:val="22"/>
              </w:rPr>
              <w:t>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各类投诉处理</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积极、妥善处理各类投诉，对存在问题不推诿扯皮，尽快落实解决。记录详细规范。</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存在问题尽快落实解决，问题未处理或处理不当，每次扣1分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重大活动配合</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重大事件配合好，交办任务能及时完成</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发生有责事件，每次每项扣3分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媒体舆论情况</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不发生有责媒体报道事件，不发生重大有责新闻曝光</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发生有责媒体报道事件，每次扣3分；发生重大有责新闻曝光事件每次扣5分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数字化系统派遣问题处理</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对数字化系统派遣问题按规定时间进行现场核实并回复。有责问题及时进行处置，处置率98%以上</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对数字化系统派遣问题100%进行现场核实并按时回复，有责问题处置率达98%以上，问题未处置、处置不当或超时处置，每件扣1-3分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相关督察发现问题及处理</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对相关督察发现的问题认真进行整改并在规定时间内进行回复</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上级领导督察（其他相关督察）发现有责问题每次扣1分，未按要求整改每次扣2分，整改后未及时回复每次扣1分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领导批示完成情况</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认真贯彻落实各级领导批示精神</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eastAsia="宋体"/>
                <w:lang w:val="en-US" w:eastAsia="zh-CN"/>
              </w:rPr>
            </w:pPr>
            <w:r>
              <w:rPr>
                <w:rFonts w:hint="eastAsia"/>
              </w:rPr>
              <w:t>对领导批示，有条件落实而未落实的一次扣1分。落实情况差，每次扣1分。未及时回复每次扣1</w:t>
            </w:r>
            <w:r>
              <w:rPr>
                <w:rFonts w:hint="eastAsia"/>
                <w:lang w:eastAsia="zh-CN"/>
              </w:rPr>
              <w:t>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安全文明施工情况</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认真做好各类施工文明安全防护措施；绿化垃圾日产日清，按规定</w:t>
            </w:r>
            <w:r>
              <w:rPr>
                <w:rFonts w:hint="eastAsia" w:ascii="宋体" w:hAnsi="宋体" w:eastAsia="宋体" w:cs="宋体"/>
                <w:color w:val="auto"/>
                <w:kern w:val="0"/>
                <w:sz w:val="22"/>
                <w:szCs w:val="22"/>
                <w:highlight w:val="none"/>
              </w:rPr>
              <w:t>清倒</w:t>
            </w:r>
            <w:r>
              <w:rPr>
                <w:rFonts w:hint="eastAsia" w:ascii="宋体" w:hAnsi="宋体" w:eastAsia="宋体" w:cs="宋体"/>
                <w:color w:val="auto"/>
                <w:kern w:val="0"/>
                <w:sz w:val="22"/>
                <w:szCs w:val="22"/>
              </w:rPr>
              <w:t>；使用国家法规许可的农药；工作人员做到遵纪守法</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lang w:eastAsia="zh-CN"/>
              </w:rPr>
            </w:pPr>
            <w:r>
              <w:rPr>
                <w:rFonts w:hint="eastAsia"/>
              </w:rPr>
              <w:t>未采取任何安全文明措施，每次扣3分。安全文明措施不到位，每项扣1分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restart"/>
            <w:tcBorders>
              <w:tl2br w:val="nil"/>
              <w:tr2bl w:val="nil"/>
            </w:tcBorders>
            <w:noWrap w:val="0"/>
            <w:tcMar>
              <w:top w:w="113" w:type="dxa"/>
              <w:left w:w="108" w:type="dxa"/>
              <w:bottom w:w="113" w:type="dxa"/>
              <w:right w:w="108" w:type="dxa"/>
            </w:tcMar>
            <w:textDirection w:val="tbLrV"/>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left="113" w:right="113" w:firstLine="0" w:firstLineChars="0"/>
              <w:jc w:val="center"/>
              <w:textAlignment w:val="auto"/>
              <w:rPr>
                <w:rFonts w:hint="default" w:ascii="宋体" w:hAnsi="宋体" w:eastAsia="宋体" w:cs="宋体"/>
                <w:color w:val="auto"/>
                <w:kern w:val="0"/>
                <w:sz w:val="22"/>
                <w:szCs w:val="22"/>
                <w:lang w:val="en-US" w:eastAsia="zh-CN"/>
              </w:rPr>
            </w:pPr>
            <w:r>
              <w:rPr>
                <w:rFonts w:hint="eastAsia" w:cs="宋体"/>
                <w:color w:val="auto"/>
                <w:spacing w:val="85"/>
                <w:kern w:val="0"/>
                <w:sz w:val="22"/>
                <w:szCs w:val="22"/>
                <w:lang w:val="en-US" w:eastAsia="zh-CN"/>
              </w:rPr>
              <w:t>日常管</w:t>
            </w:r>
            <w:r>
              <w:rPr>
                <w:rFonts w:hint="eastAsia" w:cs="宋体"/>
                <w:color w:val="auto"/>
                <w:kern w:val="0"/>
                <w:sz w:val="22"/>
                <w:szCs w:val="22"/>
                <w:lang w:val="en-US" w:eastAsia="zh-CN"/>
              </w:rPr>
              <w:t>养</w:t>
            </w:r>
          </w:p>
        </w:tc>
        <w:tc>
          <w:tcPr>
            <w:tcW w:w="1568" w:type="dxa"/>
            <w:vMerge w:val="restart"/>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管理区域内所有设施</w:t>
            </w: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highlight w:val="none"/>
              </w:rPr>
              <w:t>配制</w:t>
            </w:r>
            <w:r>
              <w:rPr>
                <w:rFonts w:hint="eastAsia" w:ascii="宋体" w:hAnsi="宋体" w:eastAsia="宋体" w:cs="宋体"/>
                <w:color w:val="auto"/>
                <w:kern w:val="0"/>
                <w:sz w:val="22"/>
                <w:szCs w:val="22"/>
              </w:rPr>
              <w:t>专职巡查人员，责任范围明确，接受甲方监督和考核</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巡查人员无故旷工或工作不配合，每天/次扣1分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建立巡查和责任制度，巡查责任必须落实到个人，重点管理区域必须每天两次进行步行巡查，其他区域每天一次，要求做到定人、定路段、定时间进行巡查</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未达到本条要</w:t>
            </w:r>
            <w:r>
              <w:rPr>
                <w:rFonts w:hint="eastAsia" w:eastAsia="宋体" w:cs="宋体"/>
                <w:color w:val="auto"/>
                <w:kern w:val="0"/>
                <w:sz w:val="22"/>
                <w:szCs w:val="22"/>
                <w:lang w:val="en-US" w:eastAsia="zh-CN"/>
              </w:rPr>
              <w:t>求</w:t>
            </w:r>
            <w:r>
              <w:rPr>
                <w:rFonts w:hint="eastAsia" w:ascii="宋体" w:hAnsi="宋体" w:eastAsia="宋体" w:cs="宋体"/>
                <w:color w:val="auto"/>
                <w:kern w:val="0"/>
                <w:sz w:val="22"/>
                <w:szCs w:val="22"/>
              </w:rPr>
              <w:t>者，每处扣1分；常规问题未发现，每处扣0.5分；高危隐患问题，每处扣3分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巡查工作每日有记载，内容准确，应做到项目、位置、数量准确无误，发现问题要及时上报，并有记录。处理完毕后记录处理结果由相关负责人审核签字</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未达到本条要求者，每次扣1分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养护区域内，在巡查过程中发现设施明显损坏，影响车辆和行人安全等安全隐患、危急</w:t>
            </w:r>
            <w:r>
              <w:rPr>
                <w:rFonts w:hint="eastAsia" w:eastAsia="宋体" w:cs="宋体"/>
                <w:color w:val="auto"/>
                <w:kern w:val="0"/>
                <w:sz w:val="22"/>
                <w:szCs w:val="22"/>
                <w:lang w:eastAsia="zh-CN"/>
              </w:rPr>
              <w:t>，</w:t>
            </w:r>
            <w:r>
              <w:rPr>
                <w:rFonts w:hint="eastAsia" w:eastAsia="宋体" w:cs="宋体"/>
                <w:color w:val="auto"/>
                <w:kern w:val="0"/>
                <w:sz w:val="22"/>
                <w:szCs w:val="22"/>
                <w:lang w:val="en-US" w:eastAsia="zh-CN"/>
              </w:rPr>
              <w:t>影响市容市貌，有碍观瞻的</w:t>
            </w:r>
            <w:r>
              <w:rPr>
                <w:rFonts w:hint="eastAsia" w:ascii="宋体" w:hAnsi="宋体" w:eastAsia="宋体" w:cs="宋体"/>
                <w:color w:val="auto"/>
                <w:kern w:val="0"/>
                <w:sz w:val="22"/>
                <w:szCs w:val="22"/>
              </w:rPr>
              <w:t>情况，及时采取相应的维护措施，并做好记录及时上报</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未达到本条要求者，每次扣1分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干旱，暴雨，暴雪等恶劣天气巡查人员应将各自负责巡查片区的基本状况及时上报</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未达到本条要求者，每次扣1分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1568" w:type="dxa"/>
            <w:vMerge w:val="continue"/>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440"/>
              <w:textAlignment w:val="auto"/>
              <w:rPr>
                <w:rFonts w:hint="eastAsia" w:ascii="宋体" w:hAnsi="宋体" w:eastAsia="宋体" w:cs="宋体"/>
                <w:color w:val="auto"/>
                <w:kern w:val="0"/>
                <w:sz w:val="22"/>
                <w:szCs w:val="22"/>
              </w:rPr>
            </w:pPr>
          </w:p>
        </w:tc>
        <w:tc>
          <w:tcPr>
            <w:tcW w:w="5311"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default" w:ascii="宋体" w:hAnsi="宋体" w:eastAsia="宋体" w:cs="宋体"/>
                <w:color w:val="auto"/>
                <w:kern w:val="0"/>
                <w:sz w:val="22"/>
                <w:szCs w:val="22"/>
                <w:lang w:val="en-US" w:eastAsia="zh-CN"/>
              </w:rPr>
            </w:pPr>
            <w:r>
              <w:rPr>
                <w:rFonts w:hint="eastAsia" w:cs="宋体"/>
                <w:color w:val="auto"/>
                <w:kern w:val="0"/>
                <w:sz w:val="22"/>
                <w:szCs w:val="22"/>
                <w:lang w:val="en-US" w:eastAsia="zh-CN"/>
              </w:rPr>
              <w:t>根据甲方要求提供相关台账资料</w:t>
            </w:r>
          </w:p>
        </w:tc>
        <w:tc>
          <w:tcPr>
            <w:tcW w:w="5450"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snapToGrid w:val="0"/>
                <w:color w:val="auto"/>
                <w:kern w:val="0"/>
                <w:sz w:val="22"/>
                <w:szCs w:val="22"/>
                <w:lang w:val="en-US" w:eastAsia="zh-CN" w:bidi="ar-SA"/>
              </w:rPr>
            </w:pPr>
            <w:r>
              <w:rPr>
                <w:rFonts w:hint="eastAsia" w:ascii="宋体" w:hAnsi="宋体" w:eastAsia="宋体" w:cs="宋体"/>
                <w:color w:val="auto"/>
                <w:kern w:val="0"/>
                <w:sz w:val="22"/>
                <w:szCs w:val="22"/>
              </w:rPr>
              <w:t>未达到本条要求者，每次扣1分</w:t>
            </w:r>
          </w:p>
        </w:tc>
        <w:tc>
          <w:tcPr>
            <w:tcW w:w="733" w:type="dxa"/>
            <w:tcBorders>
              <w:tl2br w:val="nil"/>
              <w:tr2bl w:val="nil"/>
            </w:tcBorders>
            <w:noWrap w:val="0"/>
            <w:tcMar>
              <w:top w:w="113" w:type="dxa"/>
              <w:left w:w="108" w:type="dxa"/>
              <w:bottom w:w="113"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0" w:firstLineChars="0"/>
              <w:textAlignment w:val="auto"/>
              <w:rPr>
                <w:rFonts w:hint="eastAsia" w:ascii="宋体" w:hAnsi="宋体" w:eastAsia="宋体" w:cs="宋体"/>
                <w:color w:val="auto"/>
                <w:kern w:val="0"/>
                <w:sz w:val="22"/>
                <w:szCs w:val="22"/>
              </w:rPr>
            </w:pPr>
          </w:p>
        </w:tc>
      </w:tr>
    </w:tbl>
    <w:p>
      <w:pPr>
        <w:pStyle w:val="3"/>
        <w:rPr>
          <w:rFonts w:hint="eastAsia" w:ascii="仿宋" w:hAnsi="仿宋" w:eastAsia="仿宋" w:cs="仿宋"/>
          <w:b w:val="0"/>
          <w:bCs w:val="0"/>
          <w:sz w:val="32"/>
          <w:szCs w:val="32"/>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304" w:name="_Toc28849"/>
      <w:r>
        <w:rPr>
          <w:rFonts w:hint="eastAsia" w:ascii="宋体" w:hAnsi="宋体" w:eastAsia="宋体" w:cs="宋体"/>
          <w:color w:val="auto"/>
          <w:sz w:val="22"/>
          <w:szCs w:val="22"/>
          <w:lang w:val="en-US" w:eastAsia="zh-CN"/>
        </w:rPr>
        <w:t>说明：养护考核得分按权重进行计算，组织管理得分直接计入总分，考核频次每月至少两次定期考核或不定期抽查</w:t>
      </w:r>
      <w:bookmarkEnd w:id="304"/>
    </w:p>
    <w:p>
      <w:pPr>
        <w:keepNext w:val="0"/>
        <w:keepLines w:val="0"/>
        <w:pageBreakBefore w:val="0"/>
        <w:widowControl w:val="0"/>
        <w:kinsoku/>
        <w:wordWrap/>
        <w:overflowPunct/>
        <w:topLinePunct w:val="0"/>
        <w:autoSpaceDE/>
        <w:autoSpaceDN/>
        <w:bidi w:val="0"/>
        <w:adjustRightInd/>
        <w:snapToGrid w:val="0"/>
        <w:spacing w:after="120" w:afterLines="50" w:line="312" w:lineRule="auto"/>
        <w:jc w:val="center"/>
        <w:textAlignment w:val="auto"/>
        <w:outlineLvl w:val="0"/>
        <w:rPr>
          <w:rFonts w:hint="eastAsia" w:ascii="黑体" w:hAnsi="黑体" w:eastAsia="黑体" w:cs="黑体"/>
          <w:bCs/>
          <w:sz w:val="36"/>
          <w:szCs w:val="36"/>
        </w:rPr>
      </w:pPr>
      <w:r>
        <w:rPr>
          <w:rFonts w:hint="eastAsia" w:ascii="黑体" w:hAnsi="黑体" w:eastAsia="黑体" w:cs="黑体"/>
          <w:sz w:val="36"/>
          <w:szCs w:val="36"/>
        </w:rPr>
        <w:t xml:space="preserve">第六章 </w:t>
      </w:r>
      <w:bookmarkEnd w:id="194"/>
      <w:bookmarkEnd w:id="195"/>
      <w:bookmarkEnd w:id="196"/>
      <w:bookmarkEnd w:id="197"/>
      <w:bookmarkEnd w:id="198"/>
      <w:bookmarkEnd w:id="199"/>
      <w:bookmarkEnd w:id="200"/>
      <w:bookmarkEnd w:id="201"/>
      <w:bookmarkEnd w:id="202"/>
      <w:bookmarkEnd w:id="203"/>
      <w:bookmarkEnd w:id="204"/>
      <w:r>
        <w:rPr>
          <w:rFonts w:hint="eastAsia" w:ascii="黑体" w:hAnsi="黑体" w:eastAsia="黑体" w:cs="黑体"/>
          <w:sz w:val="36"/>
          <w:szCs w:val="36"/>
        </w:rPr>
        <w:t>投标文件格式</w:t>
      </w:r>
      <w:bookmarkEnd w:id="249"/>
      <w:bookmarkEnd w:id="250"/>
      <w:bookmarkEnd w:id="290"/>
      <w:bookmarkEnd w:id="291"/>
      <w:bookmarkEnd w:id="292"/>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cs="宋体"/>
          <w:spacing w:val="-20"/>
          <w:sz w:val="30"/>
          <w:szCs w:val="30"/>
        </w:rPr>
      </w:pPr>
    </w:p>
    <w:tbl>
      <w:tblPr>
        <w:tblStyle w:val="47"/>
        <w:tblW w:w="7338" w:type="dxa"/>
        <w:jc w:val="center"/>
        <w:tblLayout w:type="fixed"/>
        <w:tblCellMar>
          <w:top w:w="0" w:type="dxa"/>
          <w:left w:w="108" w:type="dxa"/>
          <w:bottom w:w="0" w:type="dxa"/>
          <w:right w:w="108" w:type="dxa"/>
        </w:tblCellMar>
      </w:tblPr>
      <w:tblGrid>
        <w:gridCol w:w="7338"/>
      </w:tblGrid>
      <w:tr>
        <w:tblPrEx>
          <w:tblCellMar>
            <w:top w:w="0" w:type="dxa"/>
            <w:left w:w="108" w:type="dxa"/>
            <w:bottom w:w="0" w:type="dxa"/>
            <w:right w:w="108" w:type="dxa"/>
          </w:tblCellMar>
        </w:tblPrEx>
        <w:trPr>
          <w:jc w:val="center"/>
        </w:trPr>
        <w:tc>
          <w:tcPr>
            <w:tcW w:w="7338" w:type="dxa"/>
            <w:noWrap w:val="0"/>
            <w:vAlign w:val="top"/>
          </w:tcPr>
          <w:p>
            <w:pPr>
              <w:keepNext w:val="0"/>
              <w:keepLines w:val="0"/>
              <w:pageBreakBefore w:val="0"/>
              <w:widowControl w:val="0"/>
              <w:kinsoku/>
              <w:bidi w:val="0"/>
              <w:adjustRightInd w:val="0"/>
              <w:snapToGrid w:val="0"/>
              <w:spacing w:line="288" w:lineRule="auto"/>
              <w:jc w:val="center"/>
              <w:rPr>
                <w:rFonts w:hint="eastAsia" w:ascii="宋体" w:hAnsi="宋体" w:eastAsia="宋体" w:cs="宋体"/>
                <w:sz w:val="44"/>
                <w:szCs w:val="44"/>
              </w:rPr>
            </w:pPr>
            <w:r>
              <w:rPr>
                <w:rFonts w:hint="eastAsia" w:cs="宋体"/>
                <w:sz w:val="44"/>
                <w:szCs w:val="44"/>
                <w:lang w:eastAsia="zh-CN"/>
              </w:rPr>
              <w:t>龙游县2024-2026年公路日常养护—绿化养护采购项目</w:t>
            </w:r>
          </w:p>
        </w:tc>
      </w:tr>
    </w:tbl>
    <w:p>
      <w:pPr>
        <w:keepNext w:val="0"/>
        <w:keepLines w:val="0"/>
        <w:pageBreakBefore w:val="0"/>
        <w:widowControl w:val="0"/>
        <w:kinsoku/>
        <w:bidi w:val="0"/>
        <w:adjustRightInd w:val="0"/>
        <w:snapToGrid w:val="0"/>
        <w:ind w:left="550" w:leftChars="250" w:right="550" w:rightChars="250"/>
        <w:jc w:val="center"/>
        <w:rPr>
          <w:rFonts w:hint="eastAsia" w:cs="宋体"/>
          <w:sz w:val="21"/>
          <w:szCs w:val="21"/>
        </w:rPr>
      </w:pPr>
    </w:p>
    <w:p>
      <w:pPr>
        <w:keepNext w:val="0"/>
        <w:keepLines w:val="0"/>
        <w:pageBreakBefore w:val="0"/>
        <w:widowControl w:val="0"/>
        <w:kinsoku/>
        <w:bidi w:val="0"/>
        <w:adjustRightInd w:val="0"/>
        <w:snapToGrid w:val="0"/>
        <w:ind w:left="550" w:leftChars="250" w:right="550" w:rightChars="250"/>
        <w:jc w:val="center"/>
        <w:rPr>
          <w:rFonts w:hint="eastAsia" w:cs="宋体"/>
          <w:sz w:val="21"/>
          <w:szCs w:val="21"/>
        </w:rPr>
      </w:pPr>
    </w:p>
    <w:tbl>
      <w:tblPr>
        <w:tblStyle w:val="47"/>
        <w:tblW w:w="4370" w:type="dxa"/>
        <w:jc w:val="center"/>
        <w:tblLayout w:type="fixed"/>
        <w:tblCellMar>
          <w:top w:w="0" w:type="dxa"/>
          <w:left w:w="108" w:type="dxa"/>
          <w:bottom w:w="0" w:type="dxa"/>
          <w:right w:w="108" w:type="dxa"/>
        </w:tblCellMar>
      </w:tblPr>
      <w:tblGrid>
        <w:gridCol w:w="4370"/>
      </w:tblGrid>
      <w:tr>
        <w:tblPrEx>
          <w:tblCellMar>
            <w:top w:w="0" w:type="dxa"/>
            <w:left w:w="108" w:type="dxa"/>
            <w:bottom w:w="0" w:type="dxa"/>
            <w:right w:w="108" w:type="dxa"/>
          </w:tblCellMar>
        </w:tblPrEx>
        <w:trPr>
          <w:jc w:val="center"/>
        </w:trPr>
        <w:tc>
          <w:tcPr>
            <w:tcW w:w="4370" w:type="dxa"/>
            <w:noWrap w:val="0"/>
            <w:vAlign w:val="top"/>
          </w:tcPr>
          <w:p>
            <w:pPr>
              <w:keepNext w:val="0"/>
              <w:keepLines w:val="0"/>
              <w:pageBreakBefore w:val="0"/>
              <w:widowControl w:val="0"/>
              <w:kinsoku/>
              <w:bidi w:val="0"/>
              <w:rPr>
                <w:rFonts w:hint="eastAsia" w:eastAsia="宋体" w:cs="宋体"/>
                <w:lang w:val="en-US" w:eastAsia="zh-CN"/>
              </w:rPr>
            </w:pPr>
            <w:r>
              <w:rPr>
                <w:rFonts w:hint="eastAsia" w:cs="宋体"/>
                <w:sz w:val="36"/>
                <w:szCs w:val="36"/>
                <w:lang w:val="zh-CN"/>
              </w:rPr>
              <w:t>项目编号</w:t>
            </w:r>
            <w:r>
              <w:rPr>
                <w:rFonts w:hint="eastAsia" w:cs="宋体"/>
                <w:sz w:val="36"/>
                <w:szCs w:val="36"/>
              </w:rPr>
              <w:t>:</w:t>
            </w:r>
            <w:r>
              <w:rPr>
                <w:rFonts w:hint="eastAsia" w:cs="宋体"/>
                <w:bCs/>
                <w:sz w:val="36"/>
                <w:szCs w:val="36"/>
                <w:u w:val="single"/>
                <w:lang w:eastAsia="zh-CN"/>
              </w:rPr>
              <w:t>LYBQZC2024-27</w:t>
            </w:r>
          </w:p>
        </w:tc>
      </w:tr>
    </w:tbl>
    <w:p>
      <w:pPr>
        <w:keepNext w:val="0"/>
        <w:keepLines w:val="0"/>
        <w:pageBreakBefore w:val="0"/>
        <w:widowControl w:val="0"/>
        <w:kinsoku/>
        <w:bidi w:val="0"/>
        <w:jc w:val="center"/>
        <w:rPr>
          <w:rFonts w:hint="eastAsia" w:cs="宋体"/>
        </w:rPr>
      </w:pPr>
    </w:p>
    <w:p>
      <w:pPr>
        <w:keepNext w:val="0"/>
        <w:keepLines w:val="0"/>
        <w:pageBreakBefore w:val="0"/>
        <w:widowControl w:val="0"/>
        <w:kinsoku/>
        <w:bidi w:val="0"/>
        <w:adjustRightInd w:val="0"/>
        <w:snapToGrid w:val="0"/>
        <w:jc w:val="center"/>
        <w:rPr>
          <w:rFonts w:hint="eastAsia" w:cs="宋体"/>
          <w:sz w:val="21"/>
          <w:szCs w:val="21"/>
        </w:rPr>
      </w:pPr>
    </w:p>
    <w:p>
      <w:pPr>
        <w:pStyle w:val="19"/>
        <w:keepNext w:val="0"/>
        <w:keepLines w:val="0"/>
        <w:pageBreakBefore w:val="0"/>
        <w:widowControl w:val="0"/>
        <w:kinsoku/>
        <w:bidi w:val="0"/>
        <w:ind w:right="0"/>
        <w:jc w:val="center"/>
        <w:rPr>
          <w:rFonts w:hint="eastAsia" w:ascii="宋体" w:hAnsi="宋体" w:cs="宋体"/>
        </w:rPr>
      </w:pPr>
    </w:p>
    <w:p>
      <w:pPr>
        <w:pStyle w:val="19"/>
        <w:keepNext w:val="0"/>
        <w:keepLines w:val="0"/>
        <w:pageBreakBefore w:val="0"/>
        <w:widowControl w:val="0"/>
        <w:kinsoku/>
        <w:bidi w:val="0"/>
        <w:ind w:right="0"/>
        <w:jc w:val="center"/>
        <w:rPr>
          <w:rFonts w:hint="eastAsia" w:ascii="宋体" w:hAnsi="宋体" w:cs="宋体"/>
        </w:rPr>
      </w:pPr>
    </w:p>
    <w:tbl>
      <w:tblPr>
        <w:tblStyle w:val="47"/>
        <w:tblW w:w="6953" w:type="dxa"/>
        <w:jc w:val="center"/>
        <w:tblLayout w:type="fixed"/>
        <w:tblCellMar>
          <w:top w:w="0" w:type="dxa"/>
          <w:left w:w="108" w:type="dxa"/>
          <w:bottom w:w="0" w:type="dxa"/>
          <w:right w:w="108" w:type="dxa"/>
        </w:tblCellMar>
      </w:tblPr>
      <w:tblGrid>
        <w:gridCol w:w="6953"/>
      </w:tblGrid>
      <w:tr>
        <w:tblPrEx>
          <w:tblCellMar>
            <w:top w:w="0" w:type="dxa"/>
            <w:left w:w="108" w:type="dxa"/>
            <w:bottom w:w="0" w:type="dxa"/>
            <w:right w:w="108" w:type="dxa"/>
          </w:tblCellMar>
        </w:tblPrEx>
        <w:trPr>
          <w:jc w:val="center"/>
        </w:trPr>
        <w:tc>
          <w:tcPr>
            <w:tcW w:w="6953" w:type="dxa"/>
            <w:noWrap w:val="0"/>
            <w:vAlign w:val="top"/>
          </w:tcPr>
          <w:p>
            <w:pPr>
              <w:keepNext w:val="0"/>
              <w:keepLines w:val="0"/>
              <w:pageBreakBefore w:val="0"/>
              <w:widowControl w:val="0"/>
              <w:kinsoku/>
              <w:bidi w:val="0"/>
              <w:adjustRightInd w:val="0"/>
              <w:snapToGrid w:val="0"/>
              <w:jc w:val="center"/>
              <w:rPr>
                <w:rFonts w:hint="eastAsia" w:cs="宋体"/>
                <w:sz w:val="72"/>
                <w:szCs w:val="48"/>
              </w:rPr>
            </w:pPr>
            <w:r>
              <w:rPr>
                <w:rFonts w:hint="eastAsia" w:cs="宋体"/>
                <w:sz w:val="72"/>
                <w:szCs w:val="200"/>
              </w:rPr>
              <w:t>资格</w:t>
            </w:r>
            <w:r>
              <w:rPr>
                <w:rFonts w:hint="eastAsia" w:cs="宋体"/>
                <w:sz w:val="72"/>
                <w:szCs w:val="200"/>
                <w:lang w:eastAsia="zh-CN"/>
              </w:rPr>
              <w:t>审查文件</w:t>
            </w:r>
            <w:r>
              <w:rPr>
                <w:rFonts w:hint="eastAsia" w:cs="宋体"/>
                <w:sz w:val="72"/>
                <w:szCs w:val="200"/>
                <w:lang w:val="en-US" w:eastAsia="zh-CN"/>
              </w:rPr>
              <w:t>/</w:t>
            </w:r>
            <w:r>
              <w:rPr>
                <w:rFonts w:hint="eastAsia" w:cs="宋体"/>
                <w:sz w:val="72"/>
                <w:szCs w:val="200"/>
              </w:rPr>
              <w:t>商务</w:t>
            </w:r>
            <w:r>
              <w:rPr>
                <w:rFonts w:hint="eastAsia" w:cs="宋体"/>
                <w:sz w:val="72"/>
                <w:szCs w:val="200"/>
                <w:lang w:eastAsia="zh-CN"/>
              </w:rPr>
              <w:t>技术</w:t>
            </w:r>
            <w:r>
              <w:rPr>
                <w:rFonts w:hint="eastAsia" w:cs="宋体"/>
                <w:sz w:val="72"/>
                <w:szCs w:val="200"/>
              </w:rPr>
              <w:t>文件/</w:t>
            </w:r>
            <w:r>
              <w:rPr>
                <w:rFonts w:hint="eastAsia" w:cs="宋体"/>
                <w:sz w:val="72"/>
                <w:szCs w:val="200"/>
                <w:lang w:eastAsia="zh-CN"/>
              </w:rPr>
              <w:t>价格</w:t>
            </w:r>
            <w:r>
              <w:rPr>
                <w:rFonts w:hint="eastAsia" w:cs="宋体"/>
                <w:sz w:val="72"/>
                <w:szCs w:val="200"/>
              </w:rPr>
              <w:t>文件</w:t>
            </w:r>
          </w:p>
        </w:tc>
      </w:tr>
    </w:tbl>
    <w:p>
      <w:pPr>
        <w:keepNext w:val="0"/>
        <w:keepLines w:val="0"/>
        <w:pageBreakBefore w:val="0"/>
        <w:widowControl w:val="0"/>
        <w:kinsoku/>
        <w:bidi w:val="0"/>
        <w:adjustRightInd w:val="0"/>
        <w:snapToGrid w:val="0"/>
        <w:jc w:val="center"/>
        <w:rPr>
          <w:rFonts w:hint="eastAsia" w:cs="宋体"/>
          <w:sz w:val="21"/>
          <w:szCs w:val="21"/>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 w:val="21"/>
          <w:szCs w:val="21"/>
          <w:u w:val="single"/>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 w:val="21"/>
          <w:szCs w:val="21"/>
          <w:u w:val="single"/>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48"/>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pPr>
        <w:pStyle w:val="44"/>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p>
      <w:pPr>
        <w:pStyle w:val="44"/>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p>
      <w:pPr>
        <w:pStyle w:val="44"/>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tbl>
      <w:tblPr>
        <w:tblStyle w:val="47"/>
        <w:tblW w:w="7606" w:type="dxa"/>
        <w:jc w:val="center"/>
        <w:tblLayout w:type="fixed"/>
        <w:tblCellMar>
          <w:top w:w="0" w:type="dxa"/>
          <w:left w:w="108" w:type="dxa"/>
          <w:bottom w:w="0" w:type="dxa"/>
          <w:right w:w="108" w:type="dxa"/>
        </w:tblCellMar>
      </w:tblPr>
      <w:tblGrid>
        <w:gridCol w:w="7606"/>
      </w:tblGrid>
      <w:tr>
        <w:tblPrEx>
          <w:tblCellMar>
            <w:top w:w="0" w:type="dxa"/>
            <w:left w:w="108" w:type="dxa"/>
            <w:bottom w:w="0" w:type="dxa"/>
            <w:right w:w="108" w:type="dxa"/>
          </w:tblCellMar>
        </w:tblPrEx>
        <w:trPr>
          <w:trHeight w:val="873" w:hRule="atLeast"/>
          <w:jc w:val="center"/>
        </w:trPr>
        <w:tc>
          <w:tcPr>
            <w:tcW w:w="7606" w:type="dxa"/>
            <w:noWrap w:val="0"/>
            <w:vAlign w:val="center"/>
          </w:tcPr>
          <w:p>
            <w:pPr>
              <w:keepNext w:val="0"/>
              <w:keepLines w:val="0"/>
              <w:pageBreakBefore w:val="0"/>
              <w:widowControl w:val="0"/>
              <w:kinsoku/>
              <w:bidi w:val="0"/>
              <w:adjustRightInd w:val="0"/>
              <w:snapToGrid w:val="0"/>
              <w:jc w:val="left"/>
              <w:rPr>
                <w:rFonts w:hint="eastAsia" w:cs="宋体"/>
                <w:szCs w:val="48"/>
                <w:u w:val="single"/>
              </w:rPr>
            </w:pPr>
            <w:r>
              <w:rPr>
                <w:rFonts w:hint="eastAsia" w:cs="宋体"/>
                <w:sz w:val="30"/>
                <w:szCs w:val="30"/>
                <w:lang w:val="zh-CN"/>
              </w:rPr>
              <w:t>投标人全称</w:t>
            </w:r>
            <w:r>
              <w:rPr>
                <w:rFonts w:hint="eastAsia" w:cs="宋体"/>
                <w:sz w:val="30"/>
                <w:szCs w:val="30"/>
              </w:rPr>
              <w:t>(盖章):</w:t>
            </w:r>
            <w:r>
              <w:rPr>
                <w:rFonts w:hint="eastAsia" w:cs="宋体"/>
                <w:sz w:val="30"/>
                <w:szCs w:val="30"/>
                <w:u w:val="single"/>
              </w:rPr>
              <w:t xml:space="preserve">                                 </w:t>
            </w:r>
          </w:p>
        </w:tc>
      </w:tr>
      <w:tr>
        <w:tblPrEx>
          <w:tblCellMar>
            <w:top w:w="0" w:type="dxa"/>
            <w:left w:w="108" w:type="dxa"/>
            <w:bottom w:w="0" w:type="dxa"/>
            <w:right w:w="108" w:type="dxa"/>
          </w:tblCellMar>
        </w:tblPrEx>
        <w:trPr>
          <w:trHeight w:val="873" w:hRule="atLeast"/>
          <w:jc w:val="center"/>
        </w:trPr>
        <w:tc>
          <w:tcPr>
            <w:tcW w:w="7606" w:type="dxa"/>
            <w:noWrap w:val="0"/>
            <w:vAlign w:val="center"/>
          </w:tcPr>
          <w:p>
            <w:pPr>
              <w:keepNext w:val="0"/>
              <w:keepLines w:val="0"/>
              <w:pageBreakBefore w:val="0"/>
              <w:widowControl w:val="0"/>
              <w:kinsoku/>
              <w:bidi w:val="0"/>
              <w:adjustRightInd w:val="0"/>
              <w:snapToGrid w:val="0"/>
              <w:jc w:val="left"/>
              <w:rPr>
                <w:rFonts w:hint="eastAsia" w:cs="宋体"/>
                <w:szCs w:val="48"/>
                <w:u w:val="single"/>
              </w:rPr>
            </w:pPr>
            <w:r>
              <w:rPr>
                <w:rFonts w:hint="eastAsia" w:cs="宋体"/>
                <w:sz w:val="30"/>
                <w:szCs w:val="30"/>
              </w:rPr>
              <w:t>法定代表人或授权代理人(签字或盖章):</w:t>
            </w:r>
            <w:r>
              <w:rPr>
                <w:rFonts w:hint="eastAsia" w:cs="宋体"/>
                <w:sz w:val="30"/>
                <w:szCs w:val="30"/>
                <w:u w:val="single"/>
              </w:rPr>
              <w:t xml:space="preserve">               </w:t>
            </w:r>
          </w:p>
        </w:tc>
      </w:tr>
      <w:tr>
        <w:tblPrEx>
          <w:tblCellMar>
            <w:top w:w="0" w:type="dxa"/>
            <w:left w:w="108" w:type="dxa"/>
            <w:bottom w:w="0" w:type="dxa"/>
            <w:right w:w="108" w:type="dxa"/>
          </w:tblCellMar>
        </w:tblPrEx>
        <w:trPr>
          <w:trHeight w:val="873" w:hRule="atLeast"/>
          <w:jc w:val="center"/>
        </w:trPr>
        <w:tc>
          <w:tcPr>
            <w:tcW w:w="7606" w:type="dxa"/>
            <w:noWrap w:val="0"/>
            <w:vAlign w:val="center"/>
          </w:tcPr>
          <w:p>
            <w:pPr>
              <w:keepNext w:val="0"/>
              <w:keepLines w:val="0"/>
              <w:pageBreakBefore w:val="0"/>
              <w:widowControl w:val="0"/>
              <w:kinsoku/>
              <w:bidi w:val="0"/>
              <w:adjustRightInd w:val="0"/>
              <w:snapToGrid w:val="0"/>
              <w:jc w:val="left"/>
              <w:rPr>
                <w:rFonts w:hint="eastAsia" w:cs="宋体"/>
                <w:sz w:val="30"/>
                <w:szCs w:val="30"/>
                <w:u w:val="single"/>
              </w:rPr>
            </w:pPr>
            <w:r>
              <w:rPr>
                <w:rFonts w:hint="eastAsia" w:cs="宋体"/>
                <w:sz w:val="30"/>
                <w:szCs w:val="30"/>
              </w:rPr>
              <w:t>投标人地址:</w:t>
            </w:r>
            <w:r>
              <w:rPr>
                <w:rFonts w:hint="eastAsia" w:cs="宋体"/>
                <w:sz w:val="30"/>
                <w:szCs w:val="30"/>
                <w:u w:val="single"/>
              </w:rPr>
              <w:t xml:space="preserve">                                       </w:t>
            </w:r>
          </w:p>
        </w:tc>
      </w:tr>
      <w:tr>
        <w:tblPrEx>
          <w:tblCellMar>
            <w:top w:w="0" w:type="dxa"/>
            <w:left w:w="108" w:type="dxa"/>
            <w:bottom w:w="0" w:type="dxa"/>
            <w:right w:w="108" w:type="dxa"/>
          </w:tblCellMar>
        </w:tblPrEx>
        <w:trPr>
          <w:trHeight w:val="873" w:hRule="atLeast"/>
          <w:jc w:val="center"/>
        </w:trPr>
        <w:tc>
          <w:tcPr>
            <w:tcW w:w="7606" w:type="dxa"/>
            <w:noWrap w:val="0"/>
            <w:vAlign w:val="center"/>
          </w:tcPr>
          <w:p>
            <w:pPr>
              <w:keepNext w:val="0"/>
              <w:keepLines w:val="0"/>
              <w:pageBreakBefore w:val="0"/>
              <w:widowControl w:val="0"/>
              <w:kinsoku/>
              <w:bidi w:val="0"/>
              <w:adjustRightInd w:val="0"/>
              <w:snapToGrid w:val="0"/>
              <w:jc w:val="center"/>
              <w:rPr>
                <w:rFonts w:hint="eastAsia" w:cs="宋体"/>
                <w:sz w:val="30"/>
                <w:szCs w:val="30"/>
              </w:rPr>
            </w:pPr>
            <w:r>
              <w:rPr>
                <w:rFonts w:hint="eastAsia" w:cs="宋体"/>
                <w:sz w:val="30"/>
                <w:szCs w:val="30"/>
              </w:rPr>
              <w:t>日  期:</w:t>
            </w:r>
            <w:r>
              <w:rPr>
                <w:rFonts w:hint="eastAsia" w:cs="宋体"/>
                <w:sz w:val="30"/>
                <w:szCs w:val="30"/>
                <w:lang w:val="en-US" w:eastAsia="zh-CN"/>
              </w:rPr>
              <w:t xml:space="preserve">       </w:t>
            </w:r>
            <w:r>
              <w:rPr>
                <w:rFonts w:hint="eastAsia" w:cs="宋体"/>
                <w:sz w:val="30"/>
                <w:szCs w:val="30"/>
              </w:rPr>
              <w:t>年  月  日</w:t>
            </w:r>
          </w:p>
        </w:tc>
      </w:tr>
    </w:tbl>
    <w:p>
      <w:pPr>
        <w:keepNext w:val="0"/>
        <w:keepLines w:val="0"/>
        <w:pageBreakBefore w:val="0"/>
        <w:widowControl w:val="0"/>
        <w:kinsoku/>
        <w:bidi w:val="0"/>
        <w:adjustRightInd w:val="0"/>
        <w:snapToGrid w:val="0"/>
        <w:jc w:val="center"/>
        <w:rPr>
          <w:rFonts w:hint="eastAsia" w:cs="宋体"/>
          <w:szCs w:val="48"/>
        </w:rPr>
      </w:pPr>
    </w:p>
    <w:p>
      <w:pPr>
        <w:pStyle w:val="19"/>
        <w:keepNext w:val="0"/>
        <w:keepLines w:val="0"/>
        <w:pageBreakBefore w:val="0"/>
        <w:widowControl w:val="0"/>
        <w:tabs>
          <w:tab w:val="left" w:pos="0"/>
          <w:tab w:val="left" w:pos="993"/>
          <w:tab w:val="left" w:pos="1134"/>
        </w:tabs>
        <w:kinsoku/>
        <w:bidi w:val="0"/>
        <w:spacing w:after="120" w:afterLines="50" w:line="540" w:lineRule="exact"/>
        <w:jc w:val="center"/>
        <w:rPr>
          <w:rFonts w:hint="eastAsia" w:ascii="宋体" w:hAnsi="宋体"/>
          <w:b w:val="0"/>
          <w:sz w:val="36"/>
          <w:szCs w:val="22"/>
        </w:rPr>
      </w:pPr>
    </w:p>
    <w:p>
      <w:pPr>
        <w:pStyle w:val="19"/>
        <w:keepNext w:val="0"/>
        <w:keepLines w:val="0"/>
        <w:pageBreakBefore w:val="0"/>
        <w:widowControl w:val="0"/>
        <w:tabs>
          <w:tab w:val="left" w:pos="0"/>
          <w:tab w:val="left" w:pos="993"/>
          <w:tab w:val="left" w:pos="1134"/>
        </w:tabs>
        <w:kinsoku/>
        <w:bidi w:val="0"/>
        <w:spacing w:after="120" w:afterLines="50" w:line="540" w:lineRule="exact"/>
        <w:jc w:val="center"/>
        <w:rPr>
          <w:rFonts w:hint="eastAsia" w:ascii="黑体" w:hAnsi="黑体" w:cs="黑体"/>
          <w:b w:val="0"/>
          <w:spacing w:val="23"/>
          <w:sz w:val="36"/>
          <w:szCs w:val="36"/>
        </w:rPr>
      </w:pPr>
      <w:r>
        <w:rPr>
          <w:rFonts w:hint="eastAsia" w:ascii="宋体" w:hAnsi="宋体"/>
          <w:b w:val="0"/>
          <w:sz w:val="36"/>
          <w:szCs w:val="22"/>
        </w:rPr>
        <w:t>商务部分自评分表</w:t>
      </w:r>
    </w:p>
    <w:tbl>
      <w:tblPr>
        <w:tblStyle w:val="47"/>
        <w:tblW w:w="99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7"/>
        <w:gridCol w:w="2624"/>
        <w:gridCol w:w="2100"/>
        <w:gridCol w:w="1448"/>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序号</w:t>
            </w: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评分标准</w:t>
            </w: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投标文件页码</w:t>
            </w: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得分</w:t>
            </w: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1</w:t>
            </w: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2</w:t>
            </w: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3</w:t>
            </w: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sz w:val="28"/>
                <w:szCs w:val="28"/>
              </w:rPr>
              <w:t>....</w:t>
            </w: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837"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624"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合计得分</w:t>
            </w:r>
          </w:p>
        </w:tc>
        <w:tc>
          <w:tcPr>
            <w:tcW w:w="2100"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48"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2946" w:type="dxa"/>
            <w:noWrap w:val="0"/>
            <w:vAlign w:val="center"/>
          </w:tcPr>
          <w:p>
            <w:pPr>
              <w:pStyle w:val="19"/>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bl>
    <w:p>
      <w:pPr>
        <w:keepNext w:val="0"/>
        <w:keepLines w:val="0"/>
        <w:pageBreakBefore w:val="0"/>
        <w:widowControl w:val="0"/>
        <w:kinsoku/>
        <w:bidi w:val="0"/>
        <w:adjustRightInd w:val="0"/>
        <w:snapToGrid w:val="0"/>
        <w:spacing w:line="312" w:lineRule="auto"/>
        <w:jc w:val="center"/>
        <w:rPr>
          <w:rFonts w:hint="eastAsia" w:cs="宋体"/>
          <w:sz w:val="36"/>
        </w:rPr>
      </w:pPr>
      <w:r>
        <w:rPr>
          <w:rFonts w:hint="eastAsia" w:cs="宋体"/>
          <w:spacing w:val="113"/>
          <w:sz w:val="36"/>
        </w:rPr>
        <w:br w:type="page"/>
      </w:r>
      <w:r>
        <w:rPr>
          <w:rFonts w:hint="eastAsia" w:cs="宋体"/>
          <w:spacing w:val="113"/>
          <w:sz w:val="36"/>
        </w:rPr>
        <w:t>目</w:t>
      </w:r>
      <w:r>
        <w:rPr>
          <w:rFonts w:hint="eastAsia" w:cs="宋体"/>
          <w:sz w:val="36"/>
        </w:rPr>
        <w:t>录</w:t>
      </w:r>
    </w:p>
    <w:p>
      <w:pPr>
        <w:pStyle w:val="41"/>
        <w:keepNext w:val="0"/>
        <w:keepLines w:val="0"/>
        <w:pageBreakBefore w:val="0"/>
        <w:widowControl w:val="0"/>
        <w:kinsoku/>
        <w:bidi w:val="0"/>
        <w:adjustRightInd w:val="0"/>
        <w:snapToGrid w:val="0"/>
        <w:spacing w:line="288" w:lineRule="auto"/>
        <w:ind w:left="880" w:leftChars="400" w:right="880" w:rightChars="400"/>
        <w:jc w:val="center"/>
        <w:rPr>
          <w:rFonts w:hint="eastAsia" w:cs="宋体"/>
          <w:color w:val="0000FF"/>
          <w:sz w:val="28"/>
          <w:szCs w:val="28"/>
        </w:rPr>
      </w:pPr>
      <w:r>
        <w:rPr>
          <w:rFonts w:hint="eastAsia" w:cs="宋体"/>
          <w:sz w:val="28"/>
          <w:szCs w:val="28"/>
        </w:rPr>
        <w:t>【根据投标文件组成内容和提供的格式编制投标文件，并编制目录】</w:t>
      </w:r>
    </w:p>
    <w:p>
      <w:pPr>
        <w:keepNext w:val="0"/>
        <w:keepLines w:val="0"/>
        <w:pageBreakBefore w:val="0"/>
        <w:widowControl w:val="0"/>
        <w:numPr>
          <w:ilvl w:val="0"/>
          <w:numId w:val="35"/>
        </w:numPr>
        <w:kinsoku/>
        <w:wordWrap/>
        <w:overflowPunct/>
        <w:topLinePunct w:val="0"/>
        <w:autoSpaceDE/>
        <w:autoSpaceDN/>
        <w:bidi w:val="0"/>
        <w:adjustRightInd/>
        <w:snapToGrid w:val="0"/>
        <w:jc w:val="left"/>
        <w:textAlignment w:val="auto"/>
        <w:rPr>
          <w:rFonts w:hint="eastAsia" w:cs="宋体"/>
          <w:sz w:val="24"/>
        </w:rPr>
      </w:pPr>
      <w:r>
        <w:rPr>
          <w:rFonts w:hint="eastAsia" w:cs="宋体"/>
          <w:sz w:val="24"/>
        </w:rPr>
        <w:br w:type="page"/>
      </w:r>
      <w:bookmarkStart w:id="305" w:name="_Toc331779424"/>
    </w:p>
    <w:p>
      <w:pPr>
        <w:pStyle w:val="44"/>
        <w:keepNext w:val="0"/>
        <w:keepLines w:val="0"/>
        <w:pageBreakBefore w:val="0"/>
        <w:widowControl w:val="0"/>
        <w:kinsoku/>
        <w:wordWrap/>
        <w:overflowPunct/>
        <w:topLinePunct w:val="0"/>
        <w:autoSpaceDE/>
        <w:autoSpaceDN/>
        <w:bidi w:val="0"/>
        <w:adjustRightInd/>
        <w:snapToGrid w:val="0"/>
        <w:spacing w:after="0"/>
        <w:ind w:left="0" w:leftChars="0" w:firstLine="0" w:firstLineChars="0"/>
        <w:textAlignment w:val="auto"/>
        <w:rPr>
          <w:rFonts w:hint="eastAsia" w:eastAsia="宋体"/>
          <w:sz w:val="24"/>
          <w:szCs w:val="24"/>
          <w:lang w:val="en-US" w:eastAsia="zh-CN"/>
        </w:rPr>
      </w:pPr>
      <w:r>
        <w:rPr>
          <w:rFonts w:hint="eastAsia"/>
          <w:sz w:val="24"/>
          <w:szCs w:val="24"/>
          <w:lang w:val="en-US" w:eastAsia="zh-CN"/>
        </w:rPr>
        <w:t>附件</w:t>
      </w:r>
    </w:p>
    <w:p>
      <w:pPr>
        <w:pStyle w:val="108"/>
        <w:keepNext w:val="0"/>
        <w:keepLines w:val="0"/>
        <w:pageBreakBefore w:val="0"/>
        <w:widowControl w:val="0"/>
        <w:kinsoku/>
        <w:bidi w:val="0"/>
        <w:snapToGrid w:val="0"/>
        <w:spacing w:after="240" w:afterLines="100" w:line="240" w:lineRule="auto"/>
        <w:ind w:right="0" w:firstLine="0"/>
        <w:jc w:val="center"/>
        <w:rPr>
          <w:rFonts w:hint="eastAsia" w:ascii="宋体" w:hAnsi="宋体" w:cs="宋体"/>
          <w:sz w:val="36"/>
          <w:szCs w:val="28"/>
        </w:rPr>
      </w:pPr>
      <w:r>
        <w:rPr>
          <w:rFonts w:hint="eastAsia" w:ascii="宋体" w:hAnsi="宋体" w:cs="宋体"/>
          <w:sz w:val="36"/>
          <w:szCs w:val="28"/>
        </w:rPr>
        <w:t>投标人基本情况表</w:t>
      </w:r>
    </w:p>
    <w:tbl>
      <w:tblPr>
        <w:tblStyle w:val="47"/>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2"/>
        <w:gridCol w:w="1194"/>
        <w:gridCol w:w="1218"/>
        <w:gridCol w:w="705"/>
        <w:gridCol w:w="508"/>
        <w:gridCol w:w="1214"/>
        <w:gridCol w:w="1044"/>
        <w:gridCol w:w="17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投标人名称</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注册地址</w:t>
            </w:r>
          </w:p>
        </w:tc>
        <w:tc>
          <w:tcPr>
            <w:tcW w:w="3625" w:type="dxa"/>
            <w:gridSpan w:val="4"/>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邮政编码</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联系方式</w:t>
            </w:r>
          </w:p>
        </w:tc>
        <w:tc>
          <w:tcPr>
            <w:tcW w:w="119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联系人</w:t>
            </w:r>
          </w:p>
        </w:tc>
        <w:tc>
          <w:tcPr>
            <w:tcW w:w="2431"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p>
        </w:tc>
        <w:tc>
          <w:tcPr>
            <w:tcW w:w="119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传真</w:t>
            </w:r>
          </w:p>
        </w:tc>
        <w:tc>
          <w:tcPr>
            <w:tcW w:w="2431"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移动电话</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p>
        </w:tc>
        <w:tc>
          <w:tcPr>
            <w:tcW w:w="119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电子邮箱</w:t>
            </w:r>
          </w:p>
        </w:tc>
        <w:tc>
          <w:tcPr>
            <w:tcW w:w="2431"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网址</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组织结构</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法定代表人</w:t>
            </w:r>
          </w:p>
        </w:tc>
        <w:tc>
          <w:tcPr>
            <w:tcW w:w="119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姓名</w:t>
            </w:r>
          </w:p>
        </w:tc>
        <w:tc>
          <w:tcPr>
            <w:tcW w:w="1218"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3"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技术职称</w:t>
            </w: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04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1707"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技术负责人</w:t>
            </w:r>
          </w:p>
        </w:tc>
        <w:tc>
          <w:tcPr>
            <w:tcW w:w="119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姓名</w:t>
            </w:r>
          </w:p>
        </w:tc>
        <w:tc>
          <w:tcPr>
            <w:tcW w:w="1218"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213"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技术职称</w:t>
            </w: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04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1707"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成立时间</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5178" w:type="dxa"/>
            <w:gridSpan w:val="5"/>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统一社会</w:t>
            </w:r>
          </w:p>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信用代码</w:t>
            </w:r>
          </w:p>
        </w:tc>
        <w:tc>
          <w:tcPr>
            <w:tcW w:w="2412" w:type="dxa"/>
            <w:gridSpan w:val="2"/>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textDirection w:val="tbRlV"/>
            <w:vAlign w:val="center"/>
          </w:tcPr>
          <w:p>
            <w:pPr>
              <w:keepNext w:val="0"/>
              <w:keepLines w:val="0"/>
              <w:pageBreakBefore w:val="0"/>
              <w:widowControl w:val="0"/>
              <w:kinsoku/>
              <w:bidi w:val="0"/>
              <w:snapToGrid w:val="0"/>
              <w:ind w:left="113" w:right="113"/>
              <w:jc w:val="center"/>
              <w:rPr>
                <w:rFonts w:hint="eastAsia" w:ascii="宋体" w:hAnsi="宋体" w:eastAsia="宋体" w:cs="宋体"/>
                <w:sz w:val="24"/>
                <w:szCs w:val="24"/>
              </w:rPr>
            </w:pPr>
            <w:r>
              <w:rPr>
                <w:rFonts w:hint="eastAsia" w:ascii="宋体" w:hAnsi="宋体" w:eastAsia="宋体" w:cs="宋体"/>
                <w:spacing w:val="125"/>
                <w:sz w:val="24"/>
                <w:szCs w:val="24"/>
              </w:rPr>
              <w:t>其</w:t>
            </w:r>
            <w:r>
              <w:rPr>
                <w:rFonts w:hint="eastAsia" w:ascii="宋体" w:hAnsi="宋体" w:eastAsia="宋体" w:cs="宋体"/>
                <w:sz w:val="24"/>
                <w:szCs w:val="24"/>
              </w:rPr>
              <w:t>中</w:t>
            </w: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注册职业资格</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p>
        </w:tc>
        <w:tc>
          <w:tcPr>
            <w:tcW w:w="2412" w:type="dxa"/>
            <w:gridSpan w:val="2"/>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高级职称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注册资本</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中级职称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开户银行</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初级职称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账号</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其他</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经营范围</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rPr>
                <w:rFonts w:hint="eastAsia" w:ascii="宋体" w:hAnsi="宋体" w:eastAsia="宋体" w:cs="宋体"/>
                <w:sz w:val="24"/>
                <w:szCs w:val="24"/>
              </w:rPr>
            </w:pPr>
          </w:p>
          <w:p>
            <w:pPr>
              <w:pStyle w:val="45"/>
              <w:keepNext w:val="0"/>
              <w:keepLines w:val="0"/>
              <w:pageBreakBefore w:val="0"/>
              <w:widowControl w:val="0"/>
              <w:kinsoku/>
              <w:bidi w:val="0"/>
              <w:spacing w:line="240" w:lineRule="auto"/>
              <w:ind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备注</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pPr>
              <w:pStyle w:val="44"/>
              <w:keepNext w:val="0"/>
              <w:keepLines w:val="0"/>
              <w:pageBreakBefore w:val="0"/>
              <w:widowControl w:val="0"/>
              <w:kinsoku/>
              <w:bidi w:val="0"/>
              <w:spacing w:after="0"/>
              <w:ind w:left="0" w:leftChars="0" w:firstLine="0"/>
              <w:rPr>
                <w:rFonts w:hint="eastAsia" w:ascii="宋体" w:hAnsi="宋体" w:eastAsia="宋体" w:cs="宋体"/>
                <w:sz w:val="24"/>
                <w:szCs w:val="24"/>
              </w:rPr>
            </w:pPr>
          </w:p>
        </w:tc>
      </w:tr>
    </w:tbl>
    <w:p>
      <w:pPr>
        <w:pStyle w:val="108"/>
        <w:keepNext w:val="0"/>
        <w:keepLines w:val="0"/>
        <w:pageBreakBefore w:val="0"/>
        <w:widowControl w:val="0"/>
        <w:kinsoku/>
        <w:bidi w:val="0"/>
        <w:adjustRightInd w:val="0"/>
        <w:snapToGrid w:val="0"/>
        <w:spacing w:before="120" w:beforeLines="50" w:line="240" w:lineRule="auto"/>
        <w:ind w:right="0" w:firstLine="0"/>
        <w:jc w:val="center"/>
        <w:rPr>
          <w:rFonts w:hint="eastAsia" w:ascii="宋体" w:hAnsi="宋体" w:cs="宋体"/>
          <w:sz w:val="21"/>
          <w:szCs w:val="21"/>
        </w:rPr>
      </w:pPr>
    </w:p>
    <w:p>
      <w:pPr>
        <w:pStyle w:val="108"/>
        <w:keepNext w:val="0"/>
        <w:keepLines w:val="0"/>
        <w:pageBreakBefore w:val="0"/>
        <w:widowControl w:val="0"/>
        <w:kinsoku/>
        <w:bidi w:val="0"/>
        <w:adjustRightInd w:val="0"/>
        <w:snapToGrid w:val="0"/>
        <w:spacing w:line="240" w:lineRule="auto"/>
        <w:ind w:right="0" w:firstLine="0"/>
        <w:jc w:val="center"/>
        <w:rPr>
          <w:rFonts w:hint="eastAsia" w:ascii="宋体" w:hAnsi="宋体" w:cs="宋体"/>
          <w:sz w:val="21"/>
          <w:szCs w:val="21"/>
        </w:rPr>
      </w:pPr>
    </w:p>
    <w:p>
      <w:pPr>
        <w:pStyle w:val="108"/>
        <w:keepNext w:val="0"/>
        <w:keepLines w:val="0"/>
        <w:pageBreakBefore w:val="0"/>
        <w:widowControl w:val="0"/>
        <w:kinsoku/>
        <w:bidi w:val="0"/>
        <w:adjustRightInd w:val="0"/>
        <w:snapToGrid w:val="0"/>
        <w:spacing w:line="240" w:lineRule="auto"/>
        <w:ind w:right="0" w:firstLine="0"/>
        <w:jc w:val="center"/>
        <w:rPr>
          <w:rFonts w:hint="eastAsia" w:ascii="宋体" w:hAnsi="宋体" w:cs="宋体"/>
          <w:sz w:val="21"/>
          <w:szCs w:val="21"/>
        </w:rPr>
      </w:pPr>
    </w:p>
    <w:tbl>
      <w:tblPr>
        <w:tblStyle w:val="47"/>
        <w:tblW w:w="4741" w:type="dxa"/>
        <w:jc w:val="right"/>
        <w:tblLayout w:type="fixed"/>
        <w:tblCellMar>
          <w:top w:w="0" w:type="dxa"/>
          <w:left w:w="108" w:type="dxa"/>
          <w:bottom w:w="0" w:type="dxa"/>
          <w:right w:w="108" w:type="dxa"/>
        </w:tblCellMar>
      </w:tblPr>
      <w:tblGrid>
        <w:gridCol w:w="2219"/>
        <w:gridCol w:w="2522"/>
      </w:tblGrid>
      <w:tr>
        <w:tblPrEx>
          <w:tblCellMar>
            <w:top w:w="0" w:type="dxa"/>
            <w:left w:w="108" w:type="dxa"/>
            <w:bottom w:w="0" w:type="dxa"/>
            <w:right w:w="108" w:type="dxa"/>
          </w:tblCellMar>
        </w:tblPrEx>
        <w:trPr>
          <w:jc w:val="right"/>
        </w:trPr>
        <w:tc>
          <w:tcPr>
            <w:tcW w:w="2219" w:type="dxa"/>
            <w:noWrap w:val="0"/>
            <w:tcMar>
              <w:top w:w="113" w:type="dxa"/>
              <w:left w:w="108" w:type="dxa"/>
              <w:bottom w:w="113" w:type="dxa"/>
              <w:right w:w="108" w:type="dxa"/>
            </w:tcMar>
            <w:vAlign w:val="bottom"/>
          </w:tcPr>
          <w:p>
            <w:pPr>
              <w:keepNext w:val="0"/>
              <w:keepLines w:val="0"/>
              <w:pageBreakBefore w:val="0"/>
              <w:widowControl w:val="0"/>
              <w:kinsoku/>
              <w:bidi w:val="0"/>
              <w:adjustRightInd w:val="0"/>
              <w:snapToGrid w:val="0"/>
              <w:ind w:right="-110" w:rightChars="-50"/>
              <w:jc w:val="left"/>
              <w:rPr>
                <w:rFonts w:hint="eastAsia" w:cs="宋体"/>
                <w:sz w:val="24"/>
                <w:szCs w:val="24"/>
              </w:rPr>
            </w:pPr>
            <w:r>
              <w:rPr>
                <w:rFonts w:hint="eastAsia" w:cs="宋体"/>
                <w:sz w:val="24"/>
                <w:szCs w:val="24"/>
              </w:rPr>
              <w:t>投标人全称:（盖章）</w:t>
            </w:r>
          </w:p>
        </w:tc>
        <w:tc>
          <w:tcPr>
            <w:tcW w:w="2522" w:type="dxa"/>
            <w:noWrap w:val="0"/>
            <w:tcMar>
              <w:top w:w="113" w:type="dxa"/>
              <w:left w:w="108" w:type="dxa"/>
              <w:bottom w:w="113" w:type="dxa"/>
              <w:right w:w="108" w:type="dxa"/>
            </w:tcMar>
            <w:vAlign w:val="bottom"/>
          </w:tcPr>
          <w:p>
            <w:pPr>
              <w:keepNext w:val="0"/>
              <w:keepLines w:val="0"/>
              <w:pageBreakBefore w:val="0"/>
              <w:widowControl w:val="0"/>
              <w:kinsoku/>
              <w:bidi w:val="0"/>
              <w:adjustRightInd w:val="0"/>
              <w:snapToGrid w:val="0"/>
              <w:ind w:left="-110" w:leftChars="-50"/>
              <w:rPr>
                <w:rFonts w:hint="eastAsia" w:cs="宋体"/>
                <w:sz w:val="24"/>
                <w:szCs w:val="24"/>
              </w:rPr>
            </w:pPr>
            <w:r>
              <w:rPr>
                <w:rFonts w:hint="eastAsia" w:cs="宋体"/>
                <w:sz w:val="24"/>
                <w:szCs w:val="24"/>
                <w:u w:val="single"/>
              </w:rPr>
              <w:t xml:space="preserve">                       </w:t>
            </w:r>
          </w:p>
        </w:tc>
      </w:tr>
      <w:tr>
        <w:tblPrEx>
          <w:tblCellMar>
            <w:top w:w="0" w:type="dxa"/>
            <w:left w:w="108" w:type="dxa"/>
            <w:bottom w:w="0" w:type="dxa"/>
            <w:right w:w="108" w:type="dxa"/>
          </w:tblCellMar>
        </w:tblPrEx>
        <w:trPr>
          <w:jc w:val="right"/>
        </w:trPr>
        <w:tc>
          <w:tcPr>
            <w:tcW w:w="2219" w:type="dxa"/>
            <w:noWrap w:val="0"/>
            <w:tcMar>
              <w:top w:w="113" w:type="dxa"/>
              <w:left w:w="108" w:type="dxa"/>
              <w:bottom w:w="113" w:type="dxa"/>
              <w:right w:w="108" w:type="dxa"/>
            </w:tcMar>
            <w:vAlign w:val="bottom"/>
          </w:tcPr>
          <w:p>
            <w:pPr>
              <w:keepNext w:val="0"/>
              <w:keepLines w:val="0"/>
              <w:pageBreakBefore w:val="0"/>
              <w:widowControl w:val="0"/>
              <w:kinsoku/>
              <w:bidi w:val="0"/>
              <w:adjustRightInd w:val="0"/>
              <w:snapToGrid w:val="0"/>
              <w:ind w:right="-110" w:rightChars="-50"/>
              <w:jc w:val="left"/>
              <w:rPr>
                <w:rFonts w:hint="eastAsia" w:cs="宋体"/>
                <w:sz w:val="24"/>
                <w:szCs w:val="24"/>
              </w:rPr>
            </w:pPr>
            <w:r>
              <w:rPr>
                <w:rFonts w:hint="eastAsia" w:cs="宋体"/>
                <w:sz w:val="24"/>
                <w:szCs w:val="24"/>
              </w:rPr>
              <w:t>法定代表人或授权代理人:（签字或盖章）</w:t>
            </w:r>
          </w:p>
        </w:tc>
        <w:tc>
          <w:tcPr>
            <w:tcW w:w="2522" w:type="dxa"/>
            <w:noWrap w:val="0"/>
            <w:tcMar>
              <w:top w:w="113" w:type="dxa"/>
              <w:left w:w="108" w:type="dxa"/>
              <w:bottom w:w="113" w:type="dxa"/>
              <w:right w:w="108" w:type="dxa"/>
            </w:tcMar>
            <w:vAlign w:val="bottom"/>
          </w:tcPr>
          <w:p>
            <w:pPr>
              <w:keepNext w:val="0"/>
              <w:keepLines w:val="0"/>
              <w:pageBreakBefore w:val="0"/>
              <w:widowControl w:val="0"/>
              <w:kinsoku/>
              <w:bidi w:val="0"/>
              <w:adjustRightInd w:val="0"/>
              <w:snapToGrid w:val="0"/>
              <w:ind w:left="-110" w:leftChars="-50"/>
              <w:rPr>
                <w:rFonts w:hint="eastAsia" w:cs="宋体"/>
                <w:sz w:val="24"/>
                <w:szCs w:val="24"/>
              </w:rPr>
            </w:pPr>
            <w:r>
              <w:rPr>
                <w:rFonts w:hint="eastAsia" w:cs="宋体"/>
                <w:sz w:val="24"/>
                <w:szCs w:val="24"/>
                <w:u w:val="single"/>
              </w:rPr>
              <w:t xml:space="preserve">                       </w:t>
            </w:r>
          </w:p>
        </w:tc>
      </w:tr>
      <w:tr>
        <w:tblPrEx>
          <w:tblCellMar>
            <w:top w:w="0" w:type="dxa"/>
            <w:left w:w="108" w:type="dxa"/>
            <w:bottom w:w="0" w:type="dxa"/>
            <w:right w:w="108" w:type="dxa"/>
          </w:tblCellMar>
        </w:tblPrEx>
        <w:trPr>
          <w:jc w:val="right"/>
        </w:trPr>
        <w:tc>
          <w:tcPr>
            <w:tcW w:w="4741" w:type="dxa"/>
            <w:gridSpan w:val="2"/>
            <w:noWrap w:val="0"/>
            <w:tcMar>
              <w:top w:w="113" w:type="dxa"/>
              <w:left w:w="108" w:type="dxa"/>
              <w:bottom w:w="113" w:type="dxa"/>
              <w:right w:w="108" w:type="dxa"/>
            </w:tcMar>
            <w:vAlign w:val="bottom"/>
          </w:tcPr>
          <w:p>
            <w:pPr>
              <w:keepNext w:val="0"/>
              <w:keepLines w:val="0"/>
              <w:pageBreakBefore w:val="0"/>
              <w:widowControl w:val="0"/>
              <w:kinsoku/>
              <w:bidi w:val="0"/>
              <w:adjustRightInd w:val="0"/>
              <w:snapToGrid w:val="0"/>
              <w:jc w:val="center"/>
              <w:rPr>
                <w:rFonts w:hint="eastAsia" w:cs="宋体"/>
                <w:sz w:val="24"/>
                <w:szCs w:val="24"/>
              </w:rPr>
            </w:pPr>
            <w:r>
              <w:rPr>
                <w:rFonts w:hint="eastAsia" w:cs="宋体"/>
                <w:sz w:val="24"/>
                <w:szCs w:val="24"/>
              </w:rPr>
              <w:t>日 期:</w:t>
            </w:r>
            <w:r>
              <w:rPr>
                <w:rFonts w:hint="eastAsia" w:cs="宋体"/>
                <w:sz w:val="24"/>
                <w:szCs w:val="24"/>
                <w:lang w:val="en-US" w:eastAsia="zh-CN"/>
              </w:rPr>
              <w:t xml:space="preserve">    </w:t>
            </w:r>
            <w:r>
              <w:rPr>
                <w:rFonts w:hint="eastAsia" w:cs="宋体"/>
                <w:sz w:val="24"/>
                <w:szCs w:val="24"/>
              </w:rPr>
              <w:t>年   月   日</w:t>
            </w:r>
          </w:p>
        </w:tc>
      </w:tr>
    </w:tbl>
    <w:p>
      <w:pPr>
        <w:keepNext w:val="0"/>
        <w:keepLines w:val="0"/>
        <w:pageBreakBefore w:val="0"/>
        <w:widowControl w:val="0"/>
        <w:numPr>
          <w:ilvl w:val="0"/>
          <w:numId w:val="35"/>
        </w:numPr>
        <w:kinsoku/>
        <w:bidi w:val="0"/>
        <w:snapToGrid w:val="0"/>
        <w:jc w:val="left"/>
        <w:rPr>
          <w:rFonts w:hint="eastAsia" w:cs="宋体"/>
          <w:sz w:val="24"/>
        </w:rPr>
      </w:pPr>
      <w:r>
        <w:rPr>
          <w:rFonts w:hint="eastAsia" w:cs="宋体"/>
          <w:sz w:val="24"/>
        </w:rPr>
        <w:br w:type="page"/>
      </w:r>
    </w:p>
    <w:p>
      <w:pPr>
        <w:pStyle w:val="44"/>
        <w:keepNext w:val="0"/>
        <w:keepLines w:val="0"/>
        <w:pageBreakBefore w:val="0"/>
        <w:widowControl w:val="0"/>
        <w:kinsoku/>
        <w:bidi w:val="0"/>
        <w:ind w:left="0" w:leftChars="0" w:firstLine="0" w:firstLineChars="0"/>
        <w:rPr>
          <w:rFonts w:hint="eastAsia"/>
        </w:rPr>
      </w:pPr>
    </w:p>
    <w:p>
      <w:pPr>
        <w:numPr>
          <w:ilvl w:val="0"/>
          <w:numId w:val="0"/>
        </w:numPr>
        <w:tabs>
          <w:tab w:val="left" w:pos="0"/>
        </w:tabs>
        <w:snapToGrid w:val="0"/>
        <w:ind w:leftChars="0"/>
        <w:jc w:val="left"/>
        <w:rPr>
          <w:rFonts w:hint="eastAsia" w:cs="宋体"/>
          <w:sz w:val="24"/>
        </w:rPr>
      </w:pPr>
      <w:r>
        <w:rPr>
          <w:rFonts w:hint="eastAsia" w:cs="宋体"/>
          <w:sz w:val="24"/>
          <w:lang w:val="en-US" w:eastAsia="zh-CN"/>
        </w:rPr>
        <w:t>附件</w:t>
      </w:r>
    </w:p>
    <w:p>
      <w:pPr>
        <w:pStyle w:val="44"/>
        <w:tabs>
          <w:tab w:val="left" w:pos="0"/>
        </w:tabs>
        <w:ind w:left="0" w:leftChars="0" w:firstLine="0"/>
        <w:rPr>
          <w:rFonts w:hint="eastAsia"/>
        </w:rPr>
      </w:pPr>
    </w:p>
    <w:p>
      <w:pPr>
        <w:snapToGrid w:val="0"/>
        <w:spacing w:after="240" w:afterLines="100"/>
        <w:jc w:val="center"/>
        <w:rPr>
          <w:rFonts w:cs="宋体"/>
          <w:bCs/>
          <w:sz w:val="34"/>
          <w:szCs w:val="34"/>
        </w:rPr>
      </w:pPr>
      <w:r>
        <w:rPr>
          <w:rFonts w:hint="eastAsia" w:cs="宋体"/>
          <w:bCs/>
          <w:sz w:val="34"/>
          <w:szCs w:val="34"/>
        </w:rPr>
        <w:t>符合参加采购活动应当具备的一般条件的承诺函</w:t>
      </w:r>
    </w:p>
    <w:p>
      <w:pPr>
        <w:snapToGrid w:val="0"/>
        <w:spacing w:line="360" w:lineRule="auto"/>
        <w:rPr>
          <w:rFonts w:hint="eastAsia" w:cs="宋体"/>
          <w:sz w:val="24"/>
          <w:szCs w:val="24"/>
          <w:u w:val="single"/>
        </w:rPr>
      </w:pPr>
      <w:r>
        <w:rPr>
          <w:rFonts w:hint="eastAsia" w:cs="宋体"/>
          <w:kern w:val="2"/>
          <w:sz w:val="24"/>
          <w:szCs w:val="28"/>
          <w:u w:val="single"/>
          <w:lang w:val="en-US" w:eastAsia="zh-CN"/>
        </w:rPr>
        <w:t xml:space="preserve">   </w:t>
      </w:r>
      <w:r>
        <w:rPr>
          <w:rFonts w:hint="eastAsia" w:cs="宋体"/>
          <w:sz w:val="24"/>
          <w:szCs w:val="24"/>
        </w:rPr>
        <w:t>：</w:t>
      </w:r>
    </w:p>
    <w:p>
      <w:pPr>
        <w:snapToGrid w:val="0"/>
        <w:spacing w:line="360" w:lineRule="auto"/>
        <w:ind w:firstLine="540"/>
        <w:rPr>
          <w:rFonts w:hint="eastAsia" w:cs="宋体"/>
          <w:sz w:val="24"/>
          <w:szCs w:val="24"/>
        </w:rPr>
      </w:pPr>
      <w:r>
        <w:rPr>
          <w:rFonts w:hint="eastAsia" w:cs="宋体"/>
          <w:sz w:val="24"/>
          <w:szCs w:val="24"/>
        </w:rPr>
        <w:t>我方参与</w:t>
      </w:r>
      <w:r>
        <w:rPr>
          <w:rFonts w:hint="eastAsia" w:cs="宋体"/>
          <w:sz w:val="24"/>
          <w:szCs w:val="24"/>
          <w:u w:val="single"/>
        </w:rPr>
        <w:t xml:space="preserve">        （项目名称）        </w:t>
      </w:r>
      <w:r>
        <w:rPr>
          <w:rFonts w:hint="eastAsia" w:cs="宋体"/>
          <w:sz w:val="24"/>
          <w:szCs w:val="24"/>
        </w:rPr>
        <w:t>【项目编号：</w:t>
      </w:r>
      <w:r>
        <w:rPr>
          <w:rFonts w:hint="eastAsia" w:cs="宋体"/>
          <w:sz w:val="24"/>
          <w:szCs w:val="24"/>
          <w:u w:val="single"/>
        </w:rPr>
        <w:t xml:space="preserve">        </w:t>
      </w:r>
      <w:r>
        <w:rPr>
          <w:rFonts w:hint="eastAsia" w:cs="宋体"/>
          <w:sz w:val="24"/>
          <w:szCs w:val="24"/>
        </w:rPr>
        <w:t>】采购活动，郑重承诺：</w:t>
      </w:r>
    </w:p>
    <w:p>
      <w:pPr>
        <w:snapToGrid w:val="0"/>
        <w:spacing w:line="360" w:lineRule="auto"/>
        <w:ind w:firstLine="480" w:firstLineChars="200"/>
        <w:rPr>
          <w:rFonts w:hint="eastAsia" w:cs="宋体"/>
          <w:sz w:val="24"/>
          <w:szCs w:val="24"/>
        </w:rPr>
      </w:pPr>
      <w:r>
        <w:rPr>
          <w:rFonts w:hint="eastAsia" w:cs="宋体"/>
          <w:sz w:val="24"/>
          <w:szCs w:val="24"/>
        </w:rPr>
        <w:t>（一）具备《中华人民共和国政府采购法》第二十二条规定的条件：</w:t>
      </w:r>
    </w:p>
    <w:p>
      <w:pPr>
        <w:snapToGrid w:val="0"/>
        <w:spacing w:line="360" w:lineRule="auto"/>
        <w:ind w:firstLine="540"/>
        <w:rPr>
          <w:rFonts w:hint="eastAsia" w:cs="宋体"/>
          <w:sz w:val="24"/>
          <w:szCs w:val="24"/>
        </w:rPr>
      </w:pPr>
      <w:r>
        <w:rPr>
          <w:rFonts w:hint="eastAsia" w:cs="宋体"/>
          <w:sz w:val="24"/>
          <w:szCs w:val="24"/>
        </w:rPr>
        <w:t>1、具有独立承担民事责任的能力；</w:t>
      </w:r>
    </w:p>
    <w:p>
      <w:pPr>
        <w:snapToGrid w:val="0"/>
        <w:spacing w:line="360" w:lineRule="auto"/>
        <w:ind w:firstLine="540"/>
        <w:rPr>
          <w:rFonts w:hint="eastAsia" w:cs="宋体"/>
          <w:sz w:val="24"/>
          <w:szCs w:val="24"/>
        </w:rPr>
      </w:pPr>
      <w:r>
        <w:rPr>
          <w:rFonts w:hint="eastAsia" w:cs="宋体"/>
          <w:sz w:val="24"/>
          <w:szCs w:val="24"/>
        </w:rPr>
        <w:t xml:space="preserve">2、具有良好的商业信誉和健全的财务会计制度； </w:t>
      </w:r>
    </w:p>
    <w:p>
      <w:pPr>
        <w:snapToGrid w:val="0"/>
        <w:spacing w:line="360" w:lineRule="auto"/>
        <w:ind w:firstLine="540"/>
        <w:rPr>
          <w:rFonts w:hint="eastAsia" w:cs="宋体"/>
          <w:sz w:val="24"/>
          <w:szCs w:val="24"/>
        </w:rPr>
      </w:pPr>
      <w:r>
        <w:rPr>
          <w:rFonts w:hint="eastAsia" w:cs="宋体"/>
          <w:sz w:val="24"/>
          <w:szCs w:val="24"/>
        </w:rPr>
        <w:t>3、具有履行合同所必需的设备和专业技术能力；</w:t>
      </w:r>
    </w:p>
    <w:p>
      <w:pPr>
        <w:snapToGrid w:val="0"/>
        <w:spacing w:line="360" w:lineRule="auto"/>
        <w:ind w:firstLine="540"/>
        <w:rPr>
          <w:rFonts w:hint="eastAsia" w:cs="宋体"/>
          <w:sz w:val="24"/>
          <w:szCs w:val="24"/>
        </w:rPr>
      </w:pPr>
      <w:r>
        <w:rPr>
          <w:rFonts w:hint="eastAsia" w:cs="宋体"/>
          <w:sz w:val="24"/>
          <w:szCs w:val="24"/>
        </w:rPr>
        <w:t>4、有依法缴纳税收和社会保障资金的良好记录；</w:t>
      </w:r>
    </w:p>
    <w:p>
      <w:pPr>
        <w:snapToGrid w:val="0"/>
        <w:spacing w:line="360" w:lineRule="auto"/>
        <w:ind w:firstLine="540"/>
        <w:rPr>
          <w:rFonts w:hint="eastAsia" w:cs="宋体"/>
          <w:sz w:val="24"/>
          <w:szCs w:val="24"/>
        </w:rPr>
      </w:pPr>
      <w:r>
        <w:rPr>
          <w:rFonts w:hint="eastAsia" w:cs="宋体"/>
          <w:sz w:val="24"/>
          <w:szCs w:val="24"/>
        </w:rPr>
        <w:t>5、参加政府采购活动前三年内，在经营活动中没有重大违法记录；</w:t>
      </w:r>
    </w:p>
    <w:p>
      <w:pPr>
        <w:snapToGrid w:val="0"/>
        <w:spacing w:line="360" w:lineRule="auto"/>
        <w:ind w:firstLine="540"/>
        <w:rPr>
          <w:rFonts w:hint="eastAsia" w:cs="宋体"/>
          <w:sz w:val="24"/>
          <w:szCs w:val="24"/>
        </w:rPr>
      </w:pPr>
      <w:r>
        <w:rPr>
          <w:rFonts w:hint="eastAsia" w:cs="宋体"/>
          <w:sz w:val="24"/>
          <w:szCs w:val="24"/>
        </w:rPr>
        <w:t>6、具有法律、行政法规规定的其他条件。</w:t>
      </w:r>
    </w:p>
    <w:p>
      <w:pPr>
        <w:snapToGrid w:val="0"/>
        <w:spacing w:line="360" w:lineRule="auto"/>
        <w:ind w:firstLine="540"/>
        <w:rPr>
          <w:rFonts w:hint="eastAsia" w:cs="宋体"/>
          <w:sz w:val="24"/>
          <w:szCs w:val="24"/>
        </w:rPr>
      </w:pPr>
      <w:r>
        <w:rPr>
          <w:rFonts w:hint="eastAsia" w:cs="宋体"/>
          <w:sz w:val="24"/>
          <w:szCs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540"/>
        <w:rPr>
          <w:rFonts w:hint="eastAsia" w:cs="宋体"/>
          <w:sz w:val="24"/>
          <w:szCs w:val="24"/>
        </w:rPr>
      </w:pPr>
      <w:r>
        <w:rPr>
          <w:rFonts w:hint="eastAsia" w:cs="宋体"/>
          <w:sz w:val="24"/>
          <w:szCs w:val="24"/>
        </w:rPr>
        <w:t>（三）不存在以下情况：</w:t>
      </w:r>
    </w:p>
    <w:p>
      <w:pPr>
        <w:snapToGrid w:val="0"/>
        <w:spacing w:line="360" w:lineRule="auto"/>
        <w:ind w:firstLine="540"/>
        <w:rPr>
          <w:rFonts w:hint="eastAsia" w:cs="宋体"/>
          <w:sz w:val="24"/>
          <w:szCs w:val="24"/>
        </w:rPr>
      </w:pPr>
      <w:r>
        <w:rPr>
          <w:rFonts w:hint="eastAsia" w:cs="宋体"/>
          <w:sz w:val="24"/>
          <w:szCs w:val="24"/>
        </w:rPr>
        <w:t>1、单位负责人为同一人或者存在直接控股、管理关系的不同供应商参加同一合同项下的政府采购活动的；</w:t>
      </w:r>
    </w:p>
    <w:p>
      <w:pPr>
        <w:snapToGrid w:val="0"/>
        <w:spacing w:line="360" w:lineRule="auto"/>
        <w:ind w:firstLine="540"/>
        <w:rPr>
          <w:rFonts w:hint="eastAsia" w:cs="宋体"/>
          <w:sz w:val="24"/>
          <w:szCs w:val="24"/>
        </w:rPr>
      </w:pPr>
      <w:r>
        <w:rPr>
          <w:rFonts w:hint="eastAsia" w:cs="宋体"/>
          <w:sz w:val="24"/>
          <w:szCs w:val="24"/>
        </w:rPr>
        <w:t>2、为采购项目提供整体设计、规范编制或者项目管理、监理、检测等服务后再参加该采购项目的其他采购活动的。</w:t>
      </w:r>
    </w:p>
    <w:p>
      <w:pPr>
        <w:pStyle w:val="44"/>
        <w:tabs>
          <w:tab w:val="left" w:pos="0"/>
        </w:tabs>
        <w:adjustRightInd w:val="0"/>
        <w:spacing w:after="0"/>
        <w:ind w:left="0" w:leftChars="0" w:firstLine="0"/>
        <w:jc w:val="center"/>
        <w:rPr>
          <w:rFonts w:hint="eastAsia"/>
          <w:sz w:val="22"/>
          <w:szCs w:val="22"/>
        </w:rPr>
      </w:pPr>
      <w:r>
        <w:rPr>
          <w:rFonts w:hint="eastAsia"/>
          <w:sz w:val="24"/>
          <w:szCs w:val="24"/>
        </w:rPr>
        <w:t>我方对上述承诺的内容事项真实性负责，如有虚假，由我方承担相关法律责任。</w:t>
      </w:r>
    </w:p>
    <w:p>
      <w:pPr>
        <w:pStyle w:val="44"/>
        <w:tabs>
          <w:tab w:val="left" w:pos="0"/>
        </w:tabs>
        <w:adjustRightInd w:val="0"/>
        <w:spacing w:after="0"/>
        <w:ind w:left="0" w:leftChars="0" w:firstLine="0"/>
        <w:jc w:val="center"/>
        <w:rPr>
          <w:rFonts w:hint="eastAsia"/>
          <w:sz w:val="22"/>
          <w:szCs w:val="22"/>
        </w:rPr>
      </w:pPr>
    </w:p>
    <w:p>
      <w:pPr>
        <w:pStyle w:val="44"/>
        <w:tabs>
          <w:tab w:val="left" w:pos="0"/>
        </w:tabs>
        <w:adjustRightInd w:val="0"/>
        <w:spacing w:after="0"/>
        <w:ind w:left="0" w:leftChars="0" w:firstLine="0"/>
        <w:jc w:val="center"/>
        <w:rPr>
          <w:rFonts w:hint="eastAsia"/>
          <w:sz w:val="22"/>
          <w:szCs w:val="22"/>
        </w:rPr>
      </w:pPr>
    </w:p>
    <w:p>
      <w:pPr>
        <w:pStyle w:val="44"/>
        <w:tabs>
          <w:tab w:val="left" w:pos="0"/>
        </w:tabs>
        <w:adjustRightInd w:val="0"/>
        <w:spacing w:after="0"/>
        <w:ind w:left="0" w:leftChars="0" w:firstLine="0"/>
        <w:jc w:val="center"/>
        <w:rPr>
          <w:rFonts w:hint="eastAsia"/>
          <w:sz w:val="22"/>
          <w:szCs w:val="22"/>
        </w:rPr>
      </w:pPr>
    </w:p>
    <w:p>
      <w:pPr>
        <w:adjustRightInd w:val="0"/>
        <w:snapToGrid w:val="0"/>
        <w:jc w:val="center"/>
        <w:rPr>
          <w:rFonts w:hint="eastAsia" w:cs="宋体"/>
          <w:szCs w:val="22"/>
        </w:rPr>
      </w:pPr>
    </w:p>
    <w:tbl>
      <w:tblPr>
        <w:tblStyle w:val="47"/>
        <w:tblW w:w="5983" w:type="dxa"/>
        <w:jc w:val="right"/>
        <w:tblLayout w:type="fixed"/>
        <w:tblCellMar>
          <w:top w:w="0" w:type="dxa"/>
          <w:left w:w="108" w:type="dxa"/>
          <w:bottom w:w="0" w:type="dxa"/>
          <w:right w:w="108" w:type="dxa"/>
        </w:tblCellMar>
      </w:tblPr>
      <w:tblGrid>
        <w:gridCol w:w="2848"/>
        <w:gridCol w:w="3135"/>
      </w:tblGrid>
      <w:tr>
        <w:tblPrEx>
          <w:tblCellMar>
            <w:top w:w="0" w:type="dxa"/>
            <w:left w:w="108" w:type="dxa"/>
            <w:bottom w:w="0" w:type="dxa"/>
            <w:right w:w="108" w:type="dxa"/>
          </w:tblCellMar>
        </w:tblPrEx>
        <w:trPr>
          <w:jc w:val="right"/>
        </w:trPr>
        <w:tc>
          <w:tcPr>
            <w:tcW w:w="2848" w:type="dxa"/>
            <w:noWrap w:val="0"/>
            <w:tcMar>
              <w:top w:w="170" w:type="dxa"/>
              <w:left w:w="108" w:type="dxa"/>
              <w:bottom w:w="170" w:type="dxa"/>
              <w:right w:w="108" w:type="dxa"/>
            </w:tcMar>
            <w:vAlign w:val="bottom"/>
          </w:tcPr>
          <w:p>
            <w:pPr>
              <w:adjustRightInd w:val="0"/>
              <w:snapToGrid w:val="0"/>
              <w:ind w:right="-110" w:rightChars="-50"/>
              <w:jc w:val="left"/>
              <w:rPr>
                <w:rFonts w:hint="eastAsia" w:cs="宋体"/>
                <w:sz w:val="24"/>
                <w:szCs w:val="24"/>
              </w:rPr>
            </w:pPr>
            <w:r>
              <w:rPr>
                <w:rFonts w:hint="eastAsia" w:cs="宋体"/>
                <w:sz w:val="24"/>
                <w:szCs w:val="24"/>
              </w:rPr>
              <w:t>投标人全称:（盖章）</w:t>
            </w:r>
          </w:p>
        </w:tc>
        <w:tc>
          <w:tcPr>
            <w:tcW w:w="3135" w:type="dxa"/>
            <w:noWrap w:val="0"/>
            <w:tcMar>
              <w:top w:w="170" w:type="dxa"/>
              <w:left w:w="108" w:type="dxa"/>
              <w:bottom w:w="170" w:type="dxa"/>
              <w:right w:w="108" w:type="dxa"/>
            </w:tcMar>
            <w:vAlign w:val="bottom"/>
          </w:tcPr>
          <w:p>
            <w:pPr>
              <w:adjustRightInd w:val="0"/>
              <w:snapToGrid w:val="0"/>
              <w:rPr>
                <w:rFonts w:hint="eastAsia" w:cs="宋体"/>
                <w:sz w:val="24"/>
                <w:szCs w:val="24"/>
              </w:rPr>
            </w:pPr>
            <w:r>
              <w:rPr>
                <w:rFonts w:hint="eastAsia" w:cs="宋体"/>
                <w:sz w:val="24"/>
                <w:szCs w:val="24"/>
                <w:u w:val="single"/>
              </w:rPr>
              <w:t xml:space="preserve">                      </w:t>
            </w:r>
          </w:p>
        </w:tc>
      </w:tr>
      <w:tr>
        <w:tblPrEx>
          <w:tblCellMar>
            <w:top w:w="0" w:type="dxa"/>
            <w:left w:w="108" w:type="dxa"/>
            <w:bottom w:w="0" w:type="dxa"/>
            <w:right w:w="108" w:type="dxa"/>
          </w:tblCellMar>
        </w:tblPrEx>
        <w:trPr>
          <w:jc w:val="right"/>
        </w:trPr>
        <w:tc>
          <w:tcPr>
            <w:tcW w:w="2848" w:type="dxa"/>
            <w:noWrap w:val="0"/>
            <w:tcMar>
              <w:top w:w="170" w:type="dxa"/>
              <w:left w:w="108" w:type="dxa"/>
              <w:bottom w:w="170" w:type="dxa"/>
              <w:right w:w="108" w:type="dxa"/>
            </w:tcMar>
            <w:vAlign w:val="bottom"/>
          </w:tcPr>
          <w:p>
            <w:pPr>
              <w:adjustRightInd w:val="0"/>
              <w:snapToGrid w:val="0"/>
              <w:ind w:right="-110" w:rightChars="-50"/>
              <w:jc w:val="left"/>
              <w:rPr>
                <w:rFonts w:hint="eastAsia" w:cs="宋体"/>
                <w:sz w:val="24"/>
                <w:szCs w:val="24"/>
              </w:rPr>
            </w:pPr>
            <w:r>
              <w:rPr>
                <w:rFonts w:hint="eastAsia" w:cs="宋体"/>
                <w:sz w:val="24"/>
                <w:szCs w:val="24"/>
              </w:rPr>
              <w:t>法定代表人或授权代理人:（签字或盖章）</w:t>
            </w:r>
          </w:p>
        </w:tc>
        <w:tc>
          <w:tcPr>
            <w:tcW w:w="3135" w:type="dxa"/>
            <w:noWrap w:val="0"/>
            <w:tcMar>
              <w:top w:w="170" w:type="dxa"/>
              <w:left w:w="108" w:type="dxa"/>
              <w:bottom w:w="170" w:type="dxa"/>
              <w:right w:w="108" w:type="dxa"/>
            </w:tcMar>
            <w:vAlign w:val="bottom"/>
          </w:tcPr>
          <w:p>
            <w:pPr>
              <w:adjustRightInd w:val="0"/>
              <w:snapToGrid w:val="0"/>
              <w:rPr>
                <w:rFonts w:hint="eastAsia" w:cs="宋体"/>
                <w:sz w:val="24"/>
                <w:szCs w:val="24"/>
              </w:rPr>
            </w:pPr>
            <w:r>
              <w:rPr>
                <w:rFonts w:hint="eastAsia" w:cs="宋体"/>
                <w:sz w:val="24"/>
                <w:szCs w:val="24"/>
                <w:u w:val="single"/>
              </w:rPr>
              <w:t xml:space="preserve">                      </w:t>
            </w:r>
          </w:p>
        </w:tc>
      </w:tr>
      <w:tr>
        <w:tblPrEx>
          <w:tblCellMar>
            <w:top w:w="0" w:type="dxa"/>
            <w:left w:w="108" w:type="dxa"/>
            <w:bottom w:w="0" w:type="dxa"/>
            <w:right w:w="108" w:type="dxa"/>
          </w:tblCellMar>
        </w:tblPrEx>
        <w:trPr>
          <w:jc w:val="right"/>
        </w:trPr>
        <w:tc>
          <w:tcPr>
            <w:tcW w:w="5983" w:type="dxa"/>
            <w:gridSpan w:val="2"/>
            <w:noWrap w:val="0"/>
            <w:tcMar>
              <w:top w:w="170" w:type="dxa"/>
              <w:left w:w="108" w:type="dxa"/>
              <w:bottom w:w="170" w:type="dxa"/>
              <w:right w:w="108" w:type="dxa"/>
            </w:tcMar>
            <w:vAlign w:val="bottom"/>
          </w:tcPr>
          <w:p>
            <w:pPr>
              <w:adjustRightInd w:val="0"/>
              <w:snapToGrid w:val="0"/>
              <w:jc w:val="center"/>
              <w:rPr>
                <w:rFonts w:hint="eastAsia" w:cs="宋体"/>
                <w:sz w:val="24"/>
                <w:szCs w:val="24"/>
              </w:rPr>
            </w:pPr>
            <w:r>
              <w:rPr>
                <w:rFonts w:hint="eastAsia" w:cs="宋体"/>
                <w:sz w:val="24"/>
                <w:szCs w:val="24"/>
              </w:rPr>
              <w:t>日 期:</w:t>
            </w:r>
            <w:r>
              <w:rPr>
                <w:rFonts w:hint="eastAsia" w:cs="宋体"/>
                <w:sz w:val="24"/>
                <w:szCs w:val="24"/>
                <w:lang w:val="en-US" w:eastAsia="zh-CN"/>
              </w:rPr>
              <w:t xml:space="preserve">   </w:t>
            </w:r>
            <w:r>
              <w:rPr>
                <w:rFonts w:hint="eastAsia" w:cs="宋体"/>
                <w:sz w:val="24"/>
                <w:szCs w:val="24"/>
              </w:rPr>
              <w:t>年   月   日</w:t>
            </w:r>
          </w:p>
        </w:tc>
      </w:tr>
    </w:tbl>
    <w:p>
      <w:pPr>
        <w:keepNext w:val="0"/>
        <w:keepLines w:val="0"/>
        <w:pageBreakBefore w:val="0"/>
        <w:widowControl w:val="0"/>
        <w:kinsoku/>
        <w:bidi w:val="0"/>
        <w:adjustRightInd w:val="0"/>
        <w:snapToGrid w:val="0"/>
        <w:spacing w:after="240" w:afterLines="100"/>
        <w:jc w:val="center"/>
        <w:textAlignment w:val="baseline"/>
        <w:rPr>
          <w:rFonts w:hint="eastAsia" w:cs="宋体"/>
          <w:bCs/>
          <w:spacing w:val="28"/>
          <w:kern w:val="2"/>
          <w:sz w:val="36"/>
          <w:szCs w:val="40"/>
        </w:rPr>
      </w:pPr>
    </w:p>
    <w:p>
      <w:pPr>
        <w:keepNext w:val="0"/>
        <w:keepLines w:val="0"/>
        <w:pageBreakBefore w:val="0"/>
        <w:widowControl w:val="0"/>
        <w:kinsoku/>
        <w:bidi w:val="0"/>
        <w:adjustRightInd w:val="0"/>
        <w:snapToGrid w:val="0"/>
        <w:spacing w:after="240" w:afterLines="100"/>
        <w:jc w:val="both"/>
        <w:textAlignment w:val="baseline"/>
        <w:rPr>
          <w:rFonts w:hint="eastAsia" w:eastAsia="宋体" w:cs="宋体"/>
          <w:bCs/>
          <w:spacing w:val="28"/>
          <w:kern w:val="2"/>
          <w:sz w:val="24"/>
          <w:szCs w:val="24"/>
          <w:lang w:val="en-US" w:eastAsia="zh-CN"/>
        </w:rPr>
      </w:pPr>
      <w:r>
        <w:rPr>
          <w:rFonts w:hint="eastAsia" w:cs="宋体"/>
          <w:bCs/>
          <w:spacing w:val="28"/>
          <w:kern w:val="2"/>
          <w:sz w:val="24"/>
          <w:szCs w:val="24"/>
          <w:lang w:val="en-US" w:eastAsia="zh-CN"/>
        </w:rPr>
        <w:t>附件</w:t>
      </w:r>
    </w:p>
    <w:p>
      <w:pPr>
        <w:keepNext w:val="0"/>
        <w:keepLines w:val="0"/>
        <w:pageBreakBefore w:val="0"/>
        <w:widowControl w:val="0"/>
        <w:kinsoku/>
        <w:bidi w:val="0"/>
        <w:adjustRightInd w:val="0"/>
        <w:snapToGrid w:val="0"/>
        <w:spacing w:after="240" w:afterLines="100"/>
        <w:jc w:val="center"/>
        <w:textAlignment w:val="baseline"/>
        <w:rPr>
          <w:rFonts w:hint="eastAsia" w:cs="宋体"/>
          <w:bCs/>
          <w:kern w:val="2"/>
          <w:sz w:val="36"/>
          <w:szCs w:val="40"/>
        </w:rPr>
      </w:pPr>
      <w:r>
        <w:rPr>
          <w:rFonts w:hint="eastAsia" w:cs="宋体"/>
          <w:bCs/>
          <w:spacing w:val="28"/>
          <w:kern w:val="2"/>
          <w:sz w:val="36"/>
          <w:szCs w:val="40"/>
        </w:rPr>
        <w:t>投标声明</w:t>
      </w:r>
      <w:r>
        <w:rPr>
          <w:rFonts w:hint="eastAsia" w:cs="宋体"/>
          <w:bCs/>
          <w:kern w:val="2"/>
          <w:sz w:val="36"/>
          <w:szCs w:val="40"/>
        </w:rPr>
        <w:t>函</w:t>
      </w:r>
    </w:p>
    <w:p>
      <w:pPr>
        <w:keepNext w:val="0"/>
        <w:keepLines w:val="0"/>
        <w:pageBreakBefore w:val="0"/>
        <w:widowControl w:val="0"/>
        <w:kinsoku/>
        <w:bidi w:val="0"/>
        <w:snapToGrid w:val="0"/>
        <w:spacing w:before="240" w:beforeLines="100" w:line="312" w:lineRule="auto"/>
        <w:rPr>
          <w:rFonts w:hint="eastAsia" w:eastAsia="宋体" w:cs="宋体"/>
          <w:kern w:val="2"/>
          <w:sz w:val="24"/>
          <w:szCs w:val="28"/>
          <w:lang w:eastAsia="zh-CN"/>
        </w:rPr>
      </w:pPr>
      <w:r>
        <w:rPr>
          <w:rFonts w:hint="eastAsia" w:cs="宋体"/>
          <w:kern w:val="2"/>
          <w:sz w:val="24"/>
          <w:szCs w:val="28"/>
        </w:rPr>
        <w:t>致:</w:t>
      </w:r>
      <w:r>
        <w:rPr>
          <w:rFonts w:hint="eastAsia" w:cs="宋体"/>
          <w:kern w:val="2"/>
          <w:sz w:val="24"/>
          <w:szCs w:val="28"/>
          <w:lang w:eastAsia="zh-CN"/>
        </w:rPr>
        <w:t>龙游县交通运输局</w:t>
      </w:r>
    </w:p>
    <w:p>
      <w:pPr>
        <w:keepNext w:val="0"/>
        <w:keepLines w:val="0"/>
        <w:pageBreakBefore w:val="0"/>
        <w:widowControl w:val="0"/>
        <w:kinsoku/>
        <w:bidi w:val="0"/>
        <w:snapToGrid w:val="0"/>
        <w:spacing w:line="312" w:lineRule="auto"/>
        <w:ind w:firstLine="480" w:firstLineChars="200"/>
        <w:jc w:val="left"/>
        <w:rPr>
          <w:rFonts w:hint="eastAsia" w:cs="宋体"/>
          <w:kern w:val="2"/>
          <w:sz w:val="24"/>
          <w:szCs w:val="28"/>
        </w:rPr>
      </w:pPr>
      <w:r>
        <w:rPr>
          <w:rFonts w:hint="eastAsia" w:cs="宋体"/>
          <w:kern w:val="2"/>
          <w:sz w:val="24"/>
          <w:szCs w:val="28"/>
        </w:rPr>
        <w:t>根据贵方</w:t>
      </w:r>
      <w:r>
        <w:rPr>
          <w:rFonts w:hint="eastAsia" w:cs="宋体"/>
          <w:b/>
          <w:kern w:val="2"/>
          <w:sz w:val="24"/>
          <w:szCs w:val="28"/>
          <w:u w:val="single"/>
        </w:rPr>
        <w:t xml:space="preserve">       </w:t>
      </w:r>
      <w:r>
        <w:rPr>
          <w:rFonts w:hint="eastAsia" w:cs="宋体"/>
          <w:kern w:val="2"/>
          <w:sz w:val="24"/>
          <w:szCs w:val="28"/>
          <w:u w:val="single"/>
        </w:rPr>
        <w:t>（项目名称）</w:t>
      </w:r>
      <w:r>
        <w:rPr>
          <w:rFonts w:hint="eastAsia" w:cs="宋体"/>
          <w:b/>
          <w:kern w:val="2"/>
          <w:sz w:val="24"/>
          <w:szCs w:val="28"/>
          <w:u w:val="single"/>
        </w:rPr>
        <w:t xml:space="preserve">        </w:t>
      </w:r>
      <w:r>
        <w:rPr>
          <w:rFonts w:hint="eastAsia" w:cs="宋体"/>
          <w:kern w:val="2"/>
          <w:sz w:val="24"/>
          <w:szCs w:val="28"/>
        </w:rPr>
        <w:t>（项目编号：</w:t>
      </w:r>
      <w:r>
        <w:rPr>
          <w:rFonts w:hint="eastAsia" w:cs="宋体"/>
          <w:kern w:val="2"/>
          <w:sz w:val="24"/>
          <w:szCs w:val="28"/>
          <w:u w:val="single"/>
        </w:rPr>
        <w:t xml:space="preserve">          </w:t>
      </w:r>
      <w:r>
        <w:rPr>
          <w:rFonts w:hint="eastAsia" w:cs="宋体"/>
          <w:kern w:val="2"/>
          <w:sz w:val="24"/>
          <w:szCs w:val="28"/>
        </w:rPr>
        <w:t>）的采购公告，签字代表</w:t>
      </w:r>
      <w:r>
        <w:rPr>
          <w:rFonts w:hint="eastAsia" w:cs="宋体"/>
          <w:kern w:val="2"/>
          <w:sz w:val="24"/>
          <w:szCs w:val="28"/>
          <w:u w:val="single"/>
        </w:rPr>
        <w:t xml:space="preserve">   （全名）   </w:t>
      </w:r>
      <w:r>
        <w:rPr>
          <w:rFonts w:hint="eastAsia" w:cs="宋体"/>
          <w:kern w:val="2"/>
          <w:sz w:val="24"/>
          <w:szCs w:val="28"/>
        </w:rPr>
        <w:t>经正式授权并代表投标人</w:t>
      </w:r>
      <w:r>
        <w:rPr>
          <w:rFonts w:hint="eastAsia" w:cs="宋体"/>
          <w:kern w:val="2"/>
          <w:sz w:val="24"/>
          <w:szCs w:val="28"/>
          <w:u w:val="single"/>
        </w:rPr>
        <w:t xml:space="preserve">      （投标人名称）     </w:t>
      </w:r>
      <w:r>
        <w:rPr>
          <w:rFonts w:hint="eastAsia" w:cs="宋体"/>
          <w:kern w:val="2"/>
          <w:sz w:val="24"/>
          <w:szCs w:val="28"/>
        </w:rPr>
        <w:t>提交投标文件。</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据此函，签字代表宣布同意如下：</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1.我方向贵方提交的所有投标文件、资料都是准确的和真实的。</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2.我方已详细审查全部“招标文件”，包括修改文件（如有）以及全部参考资料和有关附件，已经了解我方对于招标文件、采购过程、采购结果有依法进行询问、质疑、投诉的权利及相关渠道和要求。</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3.我方在投标之前已经与贵方进行了充分的沟通，完全理解并接受招标文件的各项规定和要求，对招标文件的合理性、合法性不再有争议。</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4.本投标有效期自投标截止日起90日历天。</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5.如中标，本投标文件至本项目合同履行完毕止均保持有效，本投标人将按“招标文件”及政府采购法律、法规的规定履行合同责任和义务。</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6.我方同意按照贵方要求提供与投标有关的一切数据或资料。</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7.与本投标有关的一切正式往来信函请寄：</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联 系 人：</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联系方式：</w:t>
      </w:r>
    </w:p>
    <w:p>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地    址：</w:t>
      </w: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p>
      <w:pPr>
        <w:pStyle w:val="44"/>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eastAsia"/>
          <w:sz w:val="22"/>
          <w:szCs w:val="18"/>
        </w:rPr>
      </w:pPr>
    </w:p>
    <w:p>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tbl>
      <w:tblPr>
        <w:tblStyle w:val="47"/>
        <w:tblW w:w="5362" w:type="dxa"/>
        <w:jc w:val="right"/>
        <w:tblLayout w:type="fixed"/>
        <w:tblCellMar>
          <w:top w:w="0" w:type="dxa"/>
          <w:left w:w="108" w:type="dxa"/>
          <w:bottom w:w="0" w:type="dxa"/>
          <w:right w:w="108" w:type="dxa"/>
        </w:tblCellMar>
      </w:tblPr>
      <w:tblGrid>
        <w:gridCol w:w="2389"/>
        <w:gridCol w:w="2973"/>
      </w:tblGrid>
      <w:tr>
        <w:tblPrEx>
          <w:tblCellMar>
            <w:top w:w="0" w:type="dxa"/>
            <w:left w:w="108" w:type="dxa"/>
            <w:bottom w:w="0" w:type="dxa"/>
            <w:right w:w="108" w:type="dxa"/>
          </w:tblCellMar>
        </w:tblPrEx>
        <w:trPr>
          <w:jc w:val="right"/>
        </w:trPr>
        <w:tc>
          <w:tcPr>
            <w:tcW w:w="2389" w:type="dxa"/>
            <w:tcBorders>
              <w:top w:val="nil"/>
              <w:left w:val="nil"/>
              <w:bottom w:val="nil"/>
              <w:right w:val="nil"/>
            </w:tcBorders>
            <w:noWrap w:val="0"/>
            <w:tcMar>
              <w:top w:w="170" w:type="dxa"/>
              <w:left w:w="108" w:type="dxa"/>
              <w:bottom w:w="170" w:type="dxa"/>
              <w:right w:w="108" w:type="dxa"/>
            </w:tcMar>
            <w:vAlign w:val="bottom"/>
          </w:tcPr>
          <w:p>
            <w:pPr>
              <w:keepNext w:val="0"/>
              <w:keepLines w:val="0"/>
              <w:pageBreakBefore w:val="0"/>
              <w:widowControl w:val="0"/>
              <w:kinsoku/>
              <w:bidi w:val="0"/>
              <w:adjustRightInd w:val="0"/>
              <w:snapToGrid w:val="0"/>
              <w:ind w:right="-110" w:rightChars="-50"/>
              <w:jc w:val="left"/>
              <w:rPr>
                <w:rFonts w:hint="eastAsia" w:cs="宋体"/>
                <w:sz w:val="24"/>
                <w:szCs w:val="28"/>
              </w:rPr>
            </w:pPr>
            <w:r>
              <w:rPr>
                <w:rFonts w:hint="eastAsia" w:cs="宋体"/>
                <w:sz w:val="24"/>
                <w:szCs w:val="24"/>
              </w:rPr>
              <w:t>投标人全称</w:t>
            </w:r>
            <w:r>
              <w:rPr>
                <w:rFonts w:hint="eastAsia" w:cs="宋体"/>
                <w:sz w:val="24"/>
              </w:rPr>
              <w:t>:（盖章）</w:t>
            </w:r>
          </w:p>
        </w:tc>
        <w:tc>
          <w:tcPr>
            <w:tcW w:w="2973" w:type="dxa"/>
            <w:tcBorders>
              <w:top w:val="nil"/>
              <w:left w:val="nil"/>
              <w:bottom w:val="nil"/>
              <w:right w:val="nil"/>
            </w:tcBorders>
            <w:noWrap w:val="0"/>
            <w:tcMar>
              <w:top w:w="170" w:type="dxa"/>
              <w:left w:w="108" w:type="dxa"/>
              <w:bottom w:w="170" w:type="dxa"/>
              <w:right w:w="108" w:type="dxa"/>
            </w:tcMar>
            <w:vAlign w:val="bottom"/>
          </w:tcPr>
          <w:p>
            <w:pPr>
              <w:keepNext w:val="0"/>
              <w:keepLines w:val="0"/>
              <w:pageBreakBefore w:val="0"/>
              <w:widowControl w:val="0"/>
              <w:kinsoku/>
              <w:bidi w:val="0"/>
              <w:adjustRightInd w:val="0"/>
              <w:snapToGrid w:val="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389" w:type="dxa"/>
            <w:tcBorders>
              <w:top w:val="nil"/>
              <w:left w:val="nil"/>
              <w:bottom w:val="nil"/>
              <w:right w:val="nil"/>
            </w:tcBorders>
            <w:noWrap w:val="0"/>
            <w:tcMar>
              <w:top w:w="170" w:type="dxa"/>
              <w:left w:w="108" w:type="dxa"/>
              <w:bottom w:w="170" w:type="dxa"/>
              <w:right w:w="108" w:type="dxa"/>
            </w:tcMar>
            <w:vAlign w:val="bottom"/>
          </w:tcPr>
          <w:p>
            <w:pPr>
              <w:keepNext w:val="0"/>
              <w:keepLines w:val="0"/>
              <w:pageBreakBefore w:val="0"/>
              <w:widowControl w:val="0"/>
              <w:kinsoku/>
              <w:bidi w:val="0"/>
              <w:adjustRightInd w:val="0"/>
              <w:snapToGrid w:val="0"/>
              <w:ind w:right="-110" w:rightChar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973" w:type="dxa"/>
            <w:tcBorders>
              <w:top w:val="nil"/>
              <w:left w:val="nil"/>
              <w:bottom w:val="nil"/>
              <w:right w:val="nil"/>
            </w:tcBorders>
            <w:noWrap w:val="0"/>
            <w:tcMar>
              <w:top w:w="170" w:type="dxa"/>
              <w:left w:w="108" w:type="dxa"/>
              <w:bottom w:w="170" w:type="dxa"/>
              <w:right w:w="108" w:type="dxa"/>
            </w:tcMar>
            <w:vAlign w:val="bottom"/>
          </w:tcPr>
          <w:p>
            <w:pPr>
              <w:keepNext w:val="0"/>
              <w:keepLines w:val="0"/>
              <w:pageBreakBefore w:val="0"/>
              <w:widowControl w:val="0"/>
              <w:kinsoku/>
              <w:bidi w:val="0"/>
              <w:adjustRightInd w:val="0"/>
              <w:snapToGrid w:val="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5362" w:type="dxa"/>
            <w:gridSpan w:val="2"/>
            <w:tcBorders>
              <w:top w:val="nil"/>
              <w:left w:val="nil"/>
              <w:bottom w:val="nil"/>
              <w:right w:val="nil"/>
            </w:tcBorders>
            <w:noWrap w:val="0"/>
            <w:tcMar>
              <w:top w:w="170" w:type="dxa"/>
              <w:left w:w="108" w:type="dxa"/>
              <w:bottom w:w="170" w:type="dxa"/>
              <w:right w:w="108" w:type="dxa"/>
            </w:tcMar>
            <w:vAlign w:val="bottom"/>
          </w:tcPr>
          <w:p>
            <w:pPr>
              <w:keepNext w:val="0"/>
              <w:keepLines w:val="0"/>
              <w:pageBreakBefore w:val="0"/>
              <w:widowControl w:val="0"/>
              <w:kinsoku/>
              <w:bidi w:val="0"/>
              <w:adjustRightInd w:val="0"/>
              <w:snapToGrid w:val="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pPr>
        <w:keepNext w:val="0"/>
        <w:keepLines w:val="0"/>
        <w:pageBreakBefore w:val="0"/>
        <w:widowControl w:val="0"/>
        <w:numPr>
          <w:ilvl w:val="0"/>
          <w:numId w:val="35"/>
        </w:numPr>
        <w:kinsoku/>
        <w:wordWrap/>
        <w:overflowPunct/>
        <w:topLinePunct w:val="0"/>
        <w:autoSpaceDE/>
        <w:autoSpaceDN/>
        <w:bidi w:val="0"/>
        <w:snapToGrid w:val="0"/>
        <w:jc w:val="left"/>
        <w:textAlignment w:val="auto"/>
        <w:rPr>
          <w:rFonts w:hint="eastAsia" w:cs="宋体"/>
          <w:sz w:val="24"/>
        </w:rPr>
      </w:pPr>
      <w:r>
        <w:rPr>
          <w:rFonts w:hint="eastAsia" w:cs="宋体"/>
        </w:rPr>
        <w:br w:type="page"/>
      </w:r>
    </w:p>
    <w:p>
      <w:pPr>
        <w:keepNext w:val="0"/>
        <w:keepLines w:val="0"/>
        <w:pageBreakBefore w:val="0"/>
        <w:widowControl w:val="0"/>
        <w:kinsoku/>
        <w:wordWrap/>
        <w:overflowPunct/>
        <w:topLinePunct w:val="0"/>
        <w:autoSpaceDE/>
        <w:autoSpaceDN/>
        <w:bidi w:val="0"/>
        <w:adjustRightInd w:val="0"/>
        <w:snapToGrid w:val="0"/>
        <w:jc w:val="left"/>
        <w:textAlignment w:val="auto"/>
        <w:outlineLvl w:val="0"/>
        <w:rPr>
          <w:rFonts w:hint="eastAsia" w:eastAsia="宋体" w:cs="宋体"/>
          <w:sz w:val="24"/>
          <w:lang w:val="en-US" w:eastAsia="zh-CN"/>
        </w:rPr>
      </w:pPr>
      <w:bookmarkStart w:id="306" w:name="_Toc7852"/>
      <w:r>
        <w:rPr>
          <w:rFonts w:hint="eastAsia" w:cs="宋体"/>
          <w:sz w:val="24"/>
          <w:lang w:val="en-US" w:eastAsia="zh-CN"/>
        </w:rPr>
        <w:t>附件</w:t>
      </w:r>
      <w:bookmarkEnd w:id="306"/>
    </w:p>
    <w:p>
      <w:pPr>
        <w:keepNext w:val="0"/>
        <w:keepLines w:val="0"/>
        <w:pageBreakBefore w:val="0"/>
        <w:widowControl w:val="0"/>
        <w:kinsoku/>
        <w:bidi w:val="0"/>
        <w:adjustRightInd w:val="0"/>
        <w:snapToGrid w:val="0"/>
        <w:spacing w:after="240" w:afterLines="100"/>
        <w:jc w:val="center"/>
        <w:outlineLvl w:val="0"/>
        <w:rPr>
          <w:rFonts w:hint="eastAsia" w:cs="宋体"/>
          <w:sz w:val="36"/>
          <w:szCs w:val="36"/>
        </w:rPr>
      </w:pPr>
      <w:bookmarkStart w:id="307" w:name="_Toc21843"/>
      <w:bookmarkStart w:id="308" w:name="_Toc1753"/>
      <w:r>
        <w:rPr>
          <w:rFonts w:hint="eastAsia" w:cs="宋体"/>
          <w:spacing w:val="28"/>
          <w:sz w:val="36"/>
          <w:szCs w:val="36"/>
        </w:rPr>
        <w:t>授权委托</w:t>
      </w:r>
      <w:r>
        <w:rPr>
          <w:rFonts w:hint="eastAsia" w:cs="宋体"/>
          <w:sz w:val="36"/>
          <w:szCs w:val="36"/>
        </w:rPr>
        <w:t>书</w:t>
      </w:r>
      <w:bookmarkEnd w:id="307"/>
      <w:bookmarkEnd w:id="308"/>
    </w:p>
    <w:p>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本人</w:t>
      </w:r>
      <w:r>
        <w:rPr>
          <w:rFonts w:hint="eastAsia" w:cs="宋体"/>
          <w:sz w:val="24"/>
          <w:u w:val="single"/>
          <w:lang w:val="zh-CN"/>
        </w:rPr>
        <w:t xml:space="preserve">     （姓名）</w:t>
      </w:r>
      <w:r>
        <w:rPr>
          <w:rFonts w:hint="eastAsia" w:cs="宋体"/>
          <w:sz w:val="24"/>
          <w:u w:val="single"/>
        </w:rPr>
        <w:t xml:space="preserve">   </w:t>
      </w:r>
      <w:r>
        <w:rPr>
          <w:rFonts w:hint="eastAsia" w:cs="宋体"/>
          <w:sz w:val="24"/>
          <w:u w:val="single"/>
          <w:lang w:val="zh-CN"/>
        </w:rPr>
        <w:t xml:space="preserve">  </w:t>
      </w:r>
      <w:r>
        <w:rPr>
          <w:rFonts w:hint="eastAsia" w:cs="宋体"/>
          <w:sz w:val="24"/>
          <w:lang w:val="zh-CN"/>
        </w:rPr>
        <w:t>系</w:t>
      </w:r>
      <w:r>
        <w:rPr>
          <w:rFonts w:hint="eastAsia" w:cs="宋体"/>
          <w:sz w:val="24"/>
          <w:u w:val="single"/>
          <w:lang w:val="zh-CN"/>
        </w:rPr>
        <w:t xml:space="preserve">        （投标人名称）      </w:t>
      </w:r>
      <w:r>
        <w:rPr>
          <w:rFonts w:hint="eastAsia" w:cs="宋体"/>
          <w:sz w:val="24"/>
          <w:lang w:val="zh-CN"/>
        </w:rPr>
        <w:t>的法定代表人，现授权</w:t>
      </w:r>
      <w:r>
        <w:rPr>
          <w:rFonts w:hint="eastAsia" w:cs="宋体"/>
          <w:sz w:val="24"/>
          <w:u w:val="single"/>
          <w:lang w:val="zh-CN"/>
        </w:rPr>
        <w:t xml:space="preserve">      （姓名）   </w:t>
      </w:r>
      <w:r>
        <w:rPr>
          <w:rFonts w:hint="eastAsia" w:cs="宋体"/>
          <w:sz w:val="24"/>
          <w:lang w:val="zh-CN"/>
        </w:rPr>
        <w:t>（</w:t>
      </w:r>
      <w:r>
        <w:rPr>
          <w:rFonts w:hint="eastAsia" w:cs="宋体"/>
          <w:sz w:val="24"/>
          <w:u w:val="single"/>
          <w:lang w:val="zh-CN"/>
        </w:rPr>
        <w:t xml:space="preserve">  </w:t>
      </w:r>
      <w:r>
        <w:rPr>
          <w:rFonts w:hint="eastAsia" w:cs="宋体"/>
          <w:sz w:val="24"/>
          <w:u w:val="single"/>
        </w:rPr>
        <w:t xml:space="preserve">   </w:t>
      </w:r>
      <w:r>
        <w:rPr>
          <w:rFonts w:hint="eastAsia" w:cs="宋体"/>
          <w:sz w:val="24"/>
          <w:u w:val="single"/>
          <w:lang w:val="zh-CN"/>
        </w:rPr>
        <w:t xml:space="preserve"> 身份证号码 </w:t>
      </w:r>
      <w:r>
        <w:rPr>
          <w:rFonts w:hint="eastAsia" w:cs="宋体"/>
          <w:sz w:val="24"/>
          <w:u w:val="single"/>
        </w:rPr>
        <w:t xml:space="preserve">  </w:t>
      </w:r>
      <w:r>
        <w:rPr>
          <w:rFonts w:hint="eastAsia" w:cs="宋体"/>
          <w:sz w:val="24"/>
          <w:u w:val="single"/>
          <w:lang w:val="zh-CN"/>
        </w:rPr>
        <w:t xml:space="preserve">  </w:t>
      </w:r>
      <w:r>
        <w:rPr>
          <w:rFonts w:hint="eastAsia" w:cs="宋体"/>
          <w:sz w:val="24"/>
          <w:lang w:val="zh-CN"/>
        </w:rPr>
        <w:t>）为我方代理人。授权代理人根据授权对</w:t>
      </w:r>
      <w:r>
        <w:rPr>
          <w:rFonts w:hint="eastAsia" w:cs="宋体"/>
          <w:sz w:val="24"/>
          <w:u w:val="single"/>
          <w:lang w:val="zh-CN"/>
        </w:rPr>
        <w:t xml:space="preserve">      （项目名称）  </w:t>
      </w:r>
      <w:r>
        <w:rPr>
          <w:rFonts w:hint="eastAsia" w:cs="宋体"/>
          <w:sz w:val="24"/>
          <w:lang w:val="zh-CN"/>
        </w:rPr>
        <w:t>投标，以我方名义签署、澄清、说明、补正、提交、撤回、修改投标文件，签订合同和处理有关事宜，其法律后果由我方承担。</w:t>
      </w:r>
    </w:p>
    <w:p>
      <w:pPr>
        <w:keepNext w:val="0"/>
        <w:keepLines w:val="0"/>
        <w:pageBreakBefore w:val="0"/>
        <w:widowControl w:val="0"/>
        <w:kinsoku/>
        <w:bidi w:val="0"/>
        <w:snapToGrid w:val="0"/>
        <w:spacing w:line="360" w:lineRule="auto"/>
        <w:ind w:firstLine="480" w:firstLineChars="200"/>
        <w:rPr>
          <w:rFonts w:hint="eastAsia" w:cs="宋体"/>
          <w:sz w:val="24"/>
          <w:lang w:val="zh-CN"/>
        </w:rPr>
      </w:pPr>
    </w:p>
    <w:p>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委托期限：</w:t>
      </w:r>
      <w:r>
        <w:rPr>
          <w:rFonts w:hint="eastAsia" w:cs="宋体"/>
          <w:sz w:val="24"/>
          <w:lang w:val="en-US" w:eastAsia="zh-CN"/>
        </w:rPr>
        <w:t xml:space="preserve">   </w:t>
      </w:r>
      <w:r>
        <w:rPr>
          <w:rFonts w:hint="eastAsia" w:cs="宋体"/>
          <w:sz w:val="24"/>
          <w:lang w:val="zh-CN"/>
        </w:rPr>
        <w:t>年  月  日—</w:t>
      </w:r>
      <w:r>
        <w:rPr>
          <w:rFonts w:hint="eastAsia" w:cs="宋体"/>
          <w:sz w:val="24"/>
          <w:lang w:val="en-US" w:eastAsia="zh-CN"/>
        </w:rPr>
        <w:t xml:space="preserve">   </w:t>
      </w:r>
      <w:r>
        <w:rPr>
          <w:rFonts w:hint="eastAsia" w:cs="宋体"/>
          <w:sz w:val="24"/>
        </w:rPr>
        <w:t xml:space="preserve"> </w:t>
      </w:r>
      <w:r>
        <w:rPr>
          <w:rFonts w:hint="eastAsia" w:cs="宋体"/>
          <w:sz w:val="24"/>
          <w:lang w:val="zh-CN"/>
        </w:rPr>
        <w:t>年  月  日止</w:t>
      </w:r>
    </w:p>
    <w:p>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授权代理人无转委托权。</w:t>
      </w:r>
    </w:p>
    <w:p>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p>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p>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tbl>
      <w:tblPr>
        <w:tblStyle w:val="47"/>
        <w:tblW w:w="4980" w:type="dxa"/>
        <w:jc w:val="right"/>
        <w:tblLayout w:type="fixed"/>
        <w:tblCellMar>
          <w:top w:w="0" w:type="dxa"/>
          <w:left w:w="108" w:type="dxa"/>
          <w:bottom w:w="0" w:type="dxa"/>
          <w:right w:w="108" w:type="dxa"/>
        </w:tblCellMar>
      </w:tblPr>
      <w:tblGrid>
        <w:gridCol w:w="2462"/>
        <w:gridCol w:w="2518"/>
      </w:tblGrid>
      <w:tr>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szCs w:val="24"/>
              </w:rPr>
              <w:t>投标人全称</w:t>
            </w:r>
            <w:r>
              <w:rPr>
                <w:rFonts w:hint="eastAsia" w:cs="宋体"/>
                <w:sz w:val="24"/>
              </w:rPr>
              <w:t>:（盖章）</w:t>
            </w:r>
          </w:p>
        </w:tc>
        <w:tc>
          <w:tcPr>
            <w:tcW w:w="2518" w:type="dxa"/>
            <w:noWrap w:val="0"/>
            <w:tcMar>
              <w:top w:w="170" w:type="dxa"/>
              <w:left w:w="108" w:type="dxa"/>
              <w:bottom w:w="170" w:type="dxa"/>
              <w:right w:w="108" w:type="dxa"/>
            </w:tcMar>
            <w:vAlign w:val="top"/>
          </w:tcPr>
          <w:p>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法定代表人:</w:t>
            </w:r>
            <w:r>
              <w:rPr>
                <w:rFonts w:hint="eastAsia" w:cs="宋体"/>
                <w:sz w:val="24"/>
                <w:szCs w:val="24"/>
              </w:rPr>
              <w:t>（签字）</w:t>
            </w:r>
          </w:p>
        </w:tc>
        <w:tc>
          <w:tcPr>
            <w:tcW w:w="2518" w:type="dxa"/>
            <w:noWrap w:val="0"/>
            <w:tcMar>
              <w:top w:w="170" w:type="dxa"/>
              <w:left w:w="108" w:type="dxa"/>
              <w:bottom w:w="170" w:type="dxa"/>
              <w:right w:w="108" w:type="dxa"/>
            </w:tcMar>
            <w:vAlign w:val="top"/>
          </w:tcPr>
          <w:p>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法定代表人移动电话:</w:t>
            </w:r>
          </w:p>
        </w:tc>
        <w:tc>
          <w:tcPr>
            <w:tcW w:w="2518" w:type="dxa"/>
            <w:noWrap w:val="0"/>
            <w:tcMar>
              <w:top w:w="170" w:type="dxa"/>
              <w:left w:w="108" w:type="dxa"/>
              <w:bottom w:w="170" w:type="dxa"/>
              <w:right w:w="108" w:type="dxa"/>
            </w:tcMar>
            <w:vAlign w:val="top"/>
          </w:tcPr>
          <w:p>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授权代理人移动电话:</w:t>
            </w:r>
          </w:p>
        </w:tc>
        <w:tc>
          <w:tcPr>
            <w:tcW w:w="2518" w:type="dxa"/>
            <w:noWrap w:val="0"/>
            <w:tcMar>
              <w:top w:w="170" w:type="dxa"/>
              <w:left w:w="108" w:type="dxa"/>
              <w:bottom w:w="170" w:type="dxa"/>
              <w:right w:w="108" w:type="dxa"/>
            </w:tcMar>
            <w:vAlign w:val="top"/>
          </w:tcPr>
          <w:p>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4980" w:type="dxa"/>
            <w:gridSpan w:val="2"/>
            <w:noWrap w:val="0"/>
            <w:tcMar>
              <w:top w:w="170" w:type="dxa"/>
              <w:left w:w="108" w:type="dxa"/>
              <w:bottom w:w="170" w:type="dxa"/>
              <w:right w:w="108" w:type="dxa"/>
            </w:tcMar>
            <w:vAlign w:val="top"/>
          </w:tcPr>
          <w:p>
            <w:pPr>
              <w:keepNext w:val="0"/>
              <w:keepLines w:val="0"/>
              <w:pageBreakBefore w:val="0"/>
              <w:widowControl w:val="0"/>
              <w:kinsoku/>
              <w:bidi w:val="0"/>
              <w:snapToGrid w:val="0"/>
              <w:jc w:val="center"/>
              <w:rPr>
                <w:rFonts w:hint="eastAsia" w:cs="宋体"/>
                <w:sz w:val="24"/>
                <w:lang w:val="zh-CN"/>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cs="宋体"/>
          <w:sz w:val="24"/>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pPr>
        <w:keepNext w:val="0"/>
        <w:keepLines w:val="0"/>
        <w:pageBreakBefore w:val="0"/>
        <w:widowControl w:val="0"/>
        <w:kinsoku/>
        <w:bidi w:val="0"/>
        <w:spacing w:line="300" w:lineRule="auto"/>
        <w:rPr>
          <w:rFonts w:hint="eastAsia" w:ascii="楷体" w:hAnsi="楷体" w:eastAsia="楷体" w:cs="楷体"/>
          <w:sz w:val="24"/>
          <w:szCs w:val="24"/>
        </w:rPr>
      </w:pPr>
      <w:r>
        <w:rPr>
          <w:rFonts w:hint="eastAsia" w:ascii="楷体" w:hAnsi="楷体" w:eastAsia="楷体" w:cs="楷体"/>
          <w:sz w:val="24"/>
          <w:szCs w:val="24"/>
        </w:rPr>
        <w:t>注:法定代表人和授权代理人的双面身份证扫描件附后，若是法定代表人参加投标的及签署投标文件的则不需提供该授权书。</w:t>
      </w:r>
    </w:p>
    <w:p>
      <w:pPr>
        <w:keepNext w:val="0"/>
        <w:keepLines w:val="0"/>
        <w:pageBreakBefore w:val="0"/>
        <w:widowControl w:val="0"/>
        <w:numPr>
          <w:ilvl w:val="0"/>
          <w:numId w:val="35"/>
        </w:numPr>
        <w:kinsoku/>
        <w:bidi w:val="0"/>
        <w:snapToGrid w:val="0"/>
        <w:rPr>
          <w:rFonts w:hint="eastAsia" w:cs="宋体"/>
          <w:sz w:val="24"/>
          <w:szCs w:val="24"/>
        </w:rPr>
      </w:pPr>
      <w:r>
        <w:rPr>
          <w:rFonts w:hint="eastAsia" w:cs="宋体"/>
          <w:sz w:val="24"/>
          <w:lang w:val="zh-CN"/>
        </w:rPr>
        <w:br w:type="page"/>
      </w:r>
      <w:bookmarkEnd w:id="205"/>
      <w:bookmarkEnd w:id="206"/>
      <w:bookmarkEnd w:id="207"/>
      <w:bookmarkEnd w:id="208"/>
      <w:bookmarkEnd w:id="209"/>
      <w:bookmarkEnd w:id="305"/>
    </w:p>
    <w:p>
      <w:pPr>
        <w:pStyle w:val="19"/>
        <w:keepNext w:val="0"/>
        <w:keepLines w:val="0"/>
        <w:pageBreakBefore w:val="0"/>
        <w:widowControl w:val="0"/>
        <w:kinsoku/>
        <w:bidi w:val="0"/>
        <w:outlineLvl w:val="0"/>
        <w:rPr>
          <w:rFonts w:hint="eastAsia" w:ascii="宋体" w:hAnsi="宋体" w:eastAsia="宋体" w:cs="宋体"/>
          <w:b w:val="0"/>
          <w:bCs/>
          <w:sz w:val="24"/>
          <w:szCs w:val="24"/>
          <w:lang w:val="en-US" w:eastAsia="zh-CN"/>
        </w:rPr>
      </w:pPr>
      <w:bookmarkStart w:id="309" w:name="_Toc20873"/>
      <w:r>
        <w:rPr>
          <w:rFonts w:hint="eastAsia" w:ascii="宋体" w:hAnsi="宋体" w:cs="宋体"/>
          <w:b w:val="0"/>
          <w:bCs/>
          <w:sz w:val="24"/>
          <w:szCs w:val="24"/>
          <w:lang w:val="en-US" w:eastAsia="zh-CN"/>
        </w:rPr>
        <w:t>附件</w:t>
      </w:r>
      <w:bookmarkEnd w:id="309"/>
    </w:p>
    <w:p>
      <w:pPr>
        <w:keepNext w:val="0"/>
        <w:keepLines w:val="0"/>
        <w:pageBreakBefore w:val="0"/>
        <w:widowControl w:val="0"/>
        <w:kinsoku/>
        <w:wordWrap/>
        <w:overflowPunct/>
        <w:topLinePunct w:val="0"/>
        <w:autoSpaceDE w:val="0"/>
        <w:autoSpaceDN w:val="0"/>
        <w:bidi w:val="0"/>
        <w:adjustRightInd w:val="0"/>
        <w:snapToGrid w:val="0"/>
        <w:spacing w:after="438" w:afterLines="100"/>
        <w:jc w:val="center"/>
        <w:textAlignment w:val="auto"/>
        <w:outlineLvl w:val="0"/>
        <w:rPr>
          <w:rFonts w:hint="eastAsia" w:ascii="宋体" w:hAnsi="宋体" w:eastAsia="宋体" w:cs="宋体"/>
          <w:color w:val="auto"/>
          <w:sz w:val="36"/>
          <w:szCs w:val="40"/>
        </w:rPr>
      </w:pPr>
      <w:bookmarkStart w:id="310" w:name="_Toc4996"/>
      <w:bookmarkStart w:id="311" w:name="_Toc3335"/>
      <w:r>
        <w:rPr>
          <w:rFonts w:hint="eastAsia" w:eastAsia="宋体" w:cs="宋体"/>
          <w:color w:val="auto"/>
          <w:sz w:val="36"/>
          <w:szCs w:val="36"/>
          <w:lang w:eastAsia="zh-CN"/>
        </w:rPr>
        <w:t>投标人履约经验</w:t>
      </w:r>
      <w:r>
        <w:rPr>
          <w:rFonts w:hint="eastAsia" w:ascii="宋体" w:hAnsi="宋体" w:eastAsia="宋体" w:cs="宋体"/>
          <w:color w:val="auto"/>
          <w:sz w:val="36"/>
          <w:szCs w:val="36"/>
        </w:rPr>
        <w:t>类似</w:t>
      </w:r>
      <w:r>
        <w:rPr>
          <w:rFonts w:hint="eastAsia" w:ascii="宋体" w:hAnsi="宋体" w:eastAsia="宋体" w:cs="宋体"/>
          <w:color w:val="auto"/>
          <w:sz w:val="36"/>
          <w:szCs w:val="40"/>
        </w:rPr>
        <w:t>业绩一览表</w:t>
      </w:r>
      <w:bookmarkEnd w:id="310"/>
      <w:bookmarkEnd w:id="311"/>
    </w:p>
    <w:p>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pPr>
        <w:snapToGrid w:val="0"/>
        <w:spacing w:line="5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p>
      <w:pPr>
        <w:pStyle w:val="19"/>
        <w:rPr>
          <w:rFonts w:hint="eastAsia"/>
        </w:rPr>
      </w:pPr>
    </w:p>
    <w:tbl>
      <w:tblPr>
        <w:tblStyle w:val="47"/>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212"/>
        <w:gridCol w:w="272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leftChars="0" w:right="0" w:firstLine="0" w:firstLineChars="0"/>
              <w:jc w:val="both"/>
              <w:rPr>
                <w:rFonts w:hint="default" w:hAnsi="宋体"/>
                <w:sz w:val="24"/>
                <w:szCs w:val="24"/>
              </w:rPr>
            </w:pPr>
            <w:r>
              <w:rPr>
                <w:rFonts w:hAnsi="宋体"/>
                <w:sz w:val="24"/>
                <w:szCs w:val="24"/>
              </w:rPr>
              <w:t>序号</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jc w:val="center"/>
              <w:rPr>
                <w:rFonts w:hint="default" w:hAnsi="宋体"/>
                <w:sz w:val="24"/>
                <w:szCs w:val="24"/>
              </w:rPr>
            </w:pPr>
            <w:r>
              <w:rPr>
                <w:rFonts w:hAnsi="宋体"/>
                <w:sz w:val="24"/>
                <w:szCs w:val="24"/>
              </w:rPr>
              <w:t>项目名称</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jc w:val="center"/>
              <w:rPr>
                <w:rFonts w:hint="default" w:hAnsi="宋体"/>
                <w:sz w:val="24"/>
                <w:szCs w:val="24"/>
              </w:rPr>
            </w:pPr>
            <w:r>
              <w:rPr>
                <w:rFonts w:hAnsi="宋体"/>
                <w:sz w:val="24"/>
                <w:szCs w:val="24"/>
              </w:rPr>
              <w:t>项目地址</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jc w:val="center"/>
              <w:rPr>
                <w:rFonts w:hint="default" w:hAnsi="宋体"/>
                <w:sz w:val="24"/>
                <w:szCs w:val="24"/>
              </w:rPr>
            </w:pPr>
            <w:r>
              <w:rPr>
                <w:rFonts w:hAnsi="宋体"/>
                <w:sz w:val="24"/>
                <w:szCs w:val="24"/>
              </w:rPr>
              <w:t>金 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jc w:val="center"/>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24"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3212"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729"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c>
          <w:tcPr>
            <w:tcW w:w="2977" w:type="dxa"/>
            <w:tcBorders>
              <w:top w:val="single" w:color="auto" w:sz="4" w:space="0"/>
              <w:left w:val="single" w:color="auto" w:sz="4" w:space="0"/>
              <w:bottom w:val="single" w:color="auto" w:sz="4" w:space="0"/>
              <w:right w:val="single" w:color="auto" w:sz="4" w:space="0"/>
            </w:tcBorders>
            <w:vAlign w:val="top"/>
          </w:tcPr>
          <w:p>
            <w:pPr>
              <w:pStyle w:val="25"/>
              <w:keepNext w:val="0"/>
              <w:keepLines w:val="0"/>
              <w:widowControl/>
              <w:suppressLineNumbers w:val="0"/>
              <w:spacing w:before="0" w:beforeAutospacing="0" w:after="0" w:afterAutospacing="0" w:line="360" w:lineRule="auto"/>
              <w:ind w:left="0" w:right="0"/>
              <w:rPr>
                <w:rFonts w:hint="default" w:hAnsi="宋体"/>
              </w:rPr>
            </w:pPr>
            <w:r>
              <w:rPr>
                <w:rFonts w:hAnsi="宋体"/>
              </w:rPr>
              <w:t> </w:t>
            </w:r>
          </w:p>
        </w:tc>
      </w:tr>
    </w:tbl>
    <w:p>
      <w:pPr>
        <w:keepNext w:val="0"/>
        <w:keepLines w:val="0"/>
        <w:pageBreakBefore w:val="0"/>
        <w:widowControl w:val="0"/>
        <w:kinsoku/>
        <w:bidi w:val="0"/>
        <w:adjustRightInd w:val="0"/>
        <w:snapToGrid w:val="0"/>
        <w:spacing w:before="120" w:beforeLines="50"/>
        <w:rPr>
          <w:rFonts w:hint="eastAsia" w:ascii="宋体" w:hAnsi="宋体" w:eastAsia="宋体" w:cs="宋体"/>
          <w:color w:val="auto"/>
          <w:sz w:val="24"/>
          <w:szCs w:val="24"/>
        </w:rPr>
      </w:pPr>
      <w:r>
        <w:rPr>
          <w:rFonts w:hint="eastAsia" w:ascii="宋体" w:hAnsi="宋体" w:eastAsia="宋体" w:cs="宋体"/>
          <w:color w:val="auto"/>
          <w:sz w:val="24"/>
          <w:szCs w:val="24"/>
          <w:lang w:val="zh-CN"/>
        </w:rPr>
        <w:t>注</w:t>
      </w:r>
      <w:r>
        <w:rPr>
          <w:rFonts w:hint="eastAsia" w:eastAsia="宋体" w:cs="宋体"/>
          <w:color w:val="auto"/>
          <w:sz w:val="24"/>
          <w:szCs w:val="24"/>
          <w:lang w:val="en-US" w:eastAsia="zh-CN"/>
        </w:rPr>
        <w:t>:</w:t>
      </w:r>
      <w:r>
        <w:rPr>
          <w:rFonts w:hint="eastAsia" w:ascii="宋体" w:hAnsi="宋体" w:eastAsia="宋体" w:cs="宋体"/>
          <w:b w:val="0"/>
          <w:bCs/>
          <w:color w:val="auto"/>
          <w:sz w:val="24"/>
          <w:szCs w:val="24"/>
          <w:lang w:eastAsia="zh-CN"/>
        </w:rPr>
        <w:t>承接</w:t>
      </w:r>
      <w:r>
        <w:rPr>
          <w:rFonts w:hint="eastAsia" w:ascii="宋体" w:hAnsi="宋体" w:eastAsia="宋体" w:cs="宋体"/>
          <w:b w:val="0"/>
          <w:bCs/>
          <w:color w:val="auto"/>
          <w:sz w:val="24"/>
          <w:szCs w:val="24"/>
        </w:rPr>
        <w:t>合同</w:t>
      </w:r>
      <w:r>
        <w:rPr>
          <w:rFonts w:hint="eastAsia" w:ascii="宋体" w:hAnsi="宋体" w:eastAsia="宋体" w:cs="宋体"/>
          <w:b w:val="0"/>
          <w:bCs/>
          <w:color w:val="auto"/>
          <w:sz w:val="24"/>
          <w:szCs w:val="24"/>
          <w:lang w:eastAsia="zh-CN"/>
        </w:rPr>
        <w:t>和</w:t>
      </w:r>
      <w:r>
        <w:rPr>
          <w:rFonts w:hint="eastAsia" w:ascii="宋体" w:hAnsi="宋体" w:eastAsia="宋体" w:cs="宋体"/>
          <w:b w:val="0"/>
          <w:bCs/>
          <w:color w:val="auto"/>
          <w:sz w:val="24"/>
          <w:szCs w:val="24"/>
        </w:rPr>
        <w:t>中标通知书原件</w:t>
      </w:r>
      <w:r>
        <w:rPr>
          <w:rFonts w:hint="eastAsia" w:ascii="宋体" w:hAnsi="宋体" w:eastAsia="宋体" w:cs="宋体"/>
          <w:b w:val="0"/>
          <w:bCs/>
          <w:color w:val="auto"/>
          <w:sz w:val="24"/>
          <w:szCs w:val="24"/>
          <w:lang w:eastAsia="zh-CN"/>
        </w:rPr>
        <w:t>扫描件附后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rPr>
        <w:t>本表可自行</w:t>
      </w:r>
      <w:r>
        <w:rPr>
          <w:rFonts w:hint="eastAsia" w:cs="宋体"/>
          <w:color w:val="auto"/>
          <w:sz w:val="24"/>
          <w:szCs w:val="24"/>
          <w:lang w:val="en-US" w:eastAsia="zh-CN"/>
        </w:rPr>
        <w:t>增减</w:t>
      </w:r>
      <w:r>
        <w:rPr>
          <w:rFonts w:hint="eastAsia" w:ascii="宋体" w:hAnsi="宋体" w:eastAsia="宋体" w:cs="宋体"/>
          <w:color w:val="auto"/>
          <w:sz w:val="24"/>
          <w:szCs w:val="24"/>
          <w:lang w:val="zh-CN"/>
        </w:rPr>
        <w:t>。</w:t>
      </w:r>
    </w:p>
    <w:p>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eastAsia="宋体" w:cs="宋体"/>
          <w:color w:val="auto"/>
          <w:sz w:val="24"/>
          <w:lang w:val="zh-CN"/>
        </w:rPr>
      </w:pPr>
    </w:p>
    <w:p>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eastAsia="宋体" w:cs="宋体"/>
          <w:color w:val="auto"/>
          <w:sz w:val="24"/>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hAnsi="宋体" w:eastAsia="宋体"/>
          <w:color w:val="auto"/>
          <w:sz w:val="24"/>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hAnsi="宋体" w:eastAsia="宋体"/>
          <w:color w:val="auto"/>
          <w:sz w:val="24"/>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hAnsi="宋体" w:eastAsia="宋体"/>
          <w:color w:val="auto"/>
          <w:sz w:val="24"/>
          <w:lang w:val="zh-CN"/>
        </w:rPr>
      </w:pPr>
    </w:p>
    <w:p>
      <w:pPr>
        <w:pStyle w:val="44"/>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hAnsi="宋体" w:eastAsia="宋体"/>
          <w:color w:val="auto"/>
          <w:sz w:val="24"/>
          <w:lang w:val="zh-CN"/>
        </w:rPr>
      </w:pPr>
    </w:p>
    <w:tbl>
      <w:tblPr>
        <w:tblStyle w:val="47"/>
        <w:tblW w:w="5101" w:type="dxa"/>
        <w:jc w:val="right"/>
        <w:tblLayout w:type="fixed"/>
        <w:tblCellMar>
          <w:top w:w="0" w:type="dxa"/>
          <w:left w:w="108" w:type="dxa"/>
          <w:bottom w:w="0" w:type="dxa"/>
          <w:right w:w="108" w:type="dxa"/>
        </w:tblCellMar>
      </w:tblPr>
      <w:tblGrid>
        <w:gridCol w:w="2506"/>
        <w:gridCol w:w="2595"/>
      </w:tblGrid>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szCs w:val="24"/>
                <w:lang w:eastAsia="zh-CN"/>
              </w:rPr>
              <w:t>投标人</w:t>
            </w:r>
            <w:r>
              <w:rPr>
                <w:rFonts w:hint="eastAsia" w:eastAsia="宋体" w:cs="宋体"/>
                <w:color w:val="auto"/>
                <w:sz w:val="24"/>
                <w:szCs w:val="24"/>
              </w:rPr>
              <w:t>全称</w:t>
            </w:r>
            <w:r>
              <w:rPr>
                <w:rFonts w:hint="eastAsia" w:eastAsia="宋体" w:cs="宋体"/>
                <w:color w:val="auto"/>
                <w:sz w:val="24"/>
              </w:rPr>
              <w:t>:（盖章）</w:t>
            </w:r>
          </w:p>
        </w:tc>
        <w:tc>
          <w:tcPr>
            <w:tcW w:w="2595" w:type="dxa"/>
            <w:noWrap w:val="0"/>
            <w:vAlign w:val="center"/>
          </w:tcPr>
          <w:p>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rPr>
              <w:t>法定代表人或授权代理人:</w:t>
            </w:r>
            <w:r>
              <w:rPr>
                <w:rFonts w:hint="eastAsia" w:eastAsia="宋体" w:cs="宋体"/>
                <w:color w:val="auto"/>
                <w:sz w:val="24"/>
                <w:szCs w:val="24"/>
              </w:rPr>
              <w:t>（签字或盖章）</w:t>
            </w:r>
          </w:p>
        </w:tc>
        <w:tc>
          <w:tcPr>
            <w:tcW w:w="2595" w:type="dxa"/>
            <w:noWrap w:val="0"/>
            <w:vAlign w:val="center"/>
          </w:tcPr>
          <w:p>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tblPrEx>
          <w:tblCellMar>
            <w:top w:w="0" w:type="dxa"/>
            <w:left w:w="108" w:type="dxa"/>
            <w:bottom w:w="0" w:type="dxa"/>
            <w:right w:w="108" w:type="dxa"/>
          </w:tblCellMar>
        </w:tblPrEx>
        <w:trPr>
          <w:jc w:val="right"/>
        </w:trPr>
        <w:tc>
          <w:tcPr>
            <w:tcW w:w="5101"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eastAsia="宋体" w:cs="宋体"/>
                <w:color w:val="auto"/>
                <w:sz w:val="24"/>
                <w:szCs w:val="28"/>
              </w:rPr>
            </w:pPr>
            <w:r>
              <w:rPr>
                <w:rFonts w:hint="eastAsia" w:eastAsia="宋体" w:cs="宋体"/>
                <w:color w:val="auto"/>
                <w:sz w:val="24"/>
              </w:rPr>
              <w:t>日 期:</w:t>
            </w:r>
            <w:r>
              <w:rPr>
                <w:rFonts w:hint="eastAsia" w:cs="宋体"/>
                <w:color w:val="auto"/>
                <w:sz w:val="24"/>
                <w:lang w:val="en-US" w:eastAsia="zh-CN"/>
              </w:rPr>
              <w:t xml:space="preserve">  </w:t>
            </w:r>
            <w:r>
              <w:rPr>
                <w:rFonts w:hint="eastAsia" w:eastAsia="宋体" w:cs="宋体"/>
                <w:color w:val="auto"/>
                <w:sz w:val="24"/>
              </w:rPr>
              <w:t>年   月   日</w:t>
            </w:r>
          </w:p>
        </w:tc>
      </w:tr>
    </w:tbl>
    <w:p>
      <w:pPr>
        <w:keepNext w:val="0"/>
        <w:keepLines w:val="0"/>
        <w:pageBreakBefore w:val="0"/>
        <w:widowControl w:val="0"/>
        <w:numPr>
          <w:ilvl w:val="0"/>
          <w:numId w:val="35"/>
        </w:numPr>
        <w:kinsoku/>
        <w:bidi w:val="0"/>
        <w:snapToGrid w:val="0"/>
        <w:rPr>
          <w:rFonts w:hint="eastAsia" w:cs="宋体"/>
          <w:sz w:val="24"/>
          <w:szCs w:val="24"/>
        </w:rPr>
      </w:pPr>
      <w:r>
        <w:rPr>
          <w:rFonts w:hint="eastAsia" w:ascii="宋体" w:hAnsi="宋体" w:eastAsia="宋体" w:cs="宋体"/>
          <w:color w:val="000000"/>
          <w:spacing w:val="28"/>
          <w:sz w:val="36"/>
          <w:szCs w:val="36"/>
          <w:lang w:eastAsia="zh-CN"/>
        </w:rPr>
        <w:br w:type="page"/>
      </w:r>
    </w:p>
    <w:p>
      <w:pPr>
        <w:pStyle w:val="19"/>
        <w:keepNext w:val="0"/>
        <w:keepLines w:val="0"/>
        <w:pageBreakBefore w:val="0"/>
        <w:widowControl w:val="0"/>
        <w:kinsoku/>
        <w:bidi w:val="0"/>
        <w:outlineLvl w:val="0"/>
        <w:rPr>
          <w:rFonts w:hint="eastAsia" w:ascii="宋体" w:hAnsi="宋体" w:eastAsia="宋体" w:cs="宋体"/>
          <w:b w:val="0"/>
          <w:bCs/>
          <w:sz w:val="24"/>
          <w:szCs w:val="24"/>
          <w:lang w:val="en-US" w:eastAsia="zh-CN"/>
        </w:rPr>
      </w:pPr>
      <w:bookmarkStart w:id="312" w:name="_Toc9314"/>
      <w:r>
        <w:rPr>
          <w:rFonts w:hint="eastAsia" w:ascii="宋体" w:hAnsi="宋体" w:cs="宋体"/>
          <w:b w:val="0"/>
          <w:bCs/>
          <w:sz w:val="24"/>
          <w:szCs w:val="24"/>
          <w:lang w:val="en-US" w:eastAsia="zh-CN"/>
        </w:rPr>
        <w:t>附件</w:t>
      </w:r>
      <w:bookmarkEnd w:id="312"/>
    </w:p>
    <w:p>
      <w:pPr>
        <w:keepNext w:val="0"/>
        <w:keepLines w:val="0"/>
        <w:pageBreakBefore w:val="0"/>
        <w:widowControl w:val="0"/>
        <w:kinsoku/>
        <w:wordWrap/>
        <w:overflowPunct/>
        <w:topLinePunct w:val="0"/>
        <w:autoSpaceDE w:val="0"/>
        <w:autoSpaceDN w:val="0"/>
        <w:bidi w:val="0"/>
        <w:adjustRightInd w:val="0"/>
        <w:snapToGrid w:val="0"/>
        <w:spacing w:after="438" w:afterLines="100"/>
        <w:jc w:val="center"/>
        <w:textAlignment w:val="auto"/>
        <w:outlineLvl w:val="0"/>
        <w:rPr>
          <w:rFonts w:hint="eastAsia" w:ascii="宋体" w:hAnsi="宋体" w:eastAsia="宋体" w:cs="宋体"/>
          <w:b w:val="0"/>
          <w:bCs/>
          <w:color w:val="auto"/>
          <w:sz w:val="36"/>
          <w:szCs w:val="36"/>
          <w:lang w:eastAsia="zh-CN"/>
        </w:rPr>
      </w:pPr>
      <w:bookmarkStart w:id="313" w:name="_Toc30342"/>
      <w:bookmarkStart w:id="314" w:name="_Toc31303"/>
      <w:r>
        <w:rPr>
          <w:rFonts w:hint="eastAsia" w:ascii="宋体" w:hAnsi="宋体" w:eastAsia="宋体" w:cs="宋体"/>
          <w:b w:val="0"/>
          <w:bCs/>
          <w:color w:val="auto"/>
          <w:sz w:val="36"/>
          <w:szCs w:val="36"/>
          <w:lang w:eastAsia="zh-CN"/>
        </w:rPr>
        <w:t>项目组人员配备一览表</w:t>
      </w:r>
      <w:bookmarkEnd w:id="313"/>
      <w:bookmarkEnd w:id="314"/>
    </w:p>
    <w:p>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pPr>
        <w:snapToGrid w:val="0"/>
        <w:spacing w:line="5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p>
      <w:pPr>
        <w:snapToGrid w:val="0"/>
        <w:spacing w:line="500" w:lineRule="exact"/>
        <w:rPr>
          <w:rFonts w:hint="default" w:ascii="宋体" w:hAnsi="宋体" w:eastAsia="宋体" w:cs="宋体"/>
          <w:color w:val="000000"/>
          <w:sz w:val="24"/>
          <w:szCs w:val="24"/>
          <w:lang w:val="en-US"/>
        </w:rPr>
      </w:pPr>
    </w:p>
    <w:tbl>
      <w:tblPr>
        <w:tblStyle w:val="47"/>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55"/>
        <w:gridCol w:w="3213"/>
        <w:gridCol w:w="1334"/>
        <w:gridCol w:w="836"/>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序号</w:t>
            </w: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default" w:ascii="宋体" w:cs="宋体"/>
                <w:color w:val="000000"/>
                <w:sz w:val="24"/>
                <w:szCs w:val="24"/>
              </w:rPr>
            </w:pPr>
            <w:r>
              <w:rPr>
                <w:rFonts w:hint="eastAsia" w:ascii="宋体" w:cs="宋体"/>
                <w:color w:val="000000"/>
                <w:sz w:val="24"/>
                <w:szCs w:val="24"/>
              </w:rPr>
              <w:t>姓名</w:t>
            </w: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r>
              <w:rPr>
                <w:rFonts w:hint="eastAsia" w:ascii="宋体" w:cs="宋体"/>
                <w:color w:val="000000"/>
                <w:sz w:val="24"/>
                <w:szCs w:val="24"/>
              </w:rPr>
              <w:t>身份证号码</w:t>
            </w: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职务/职称</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性别</w:t>
            </w: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6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2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bl>
    <w:p>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p>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p>
      <w:pPr>
        <w:pStyle w:val="44"/>
        <w:ind w:left="0" w:leftChars="0" w:firstLine="0" w:firstLineChars="0"/>
        <w:rPr>
          <w:rFonts w:hint="eastAsia" w:cs="宋体"/>
          <w:sz w:val="24"/>
          <w:szCs w:val="24"/>
        </w:rPr>
      </w:pPr>
    </w:p>
    <w:p>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tbl>
      <w:tblPr>
        <w:tblStyle w:val="47"/>
        <w:tblW w:w="5101" w:type="dxa"/>
        <w:jc w:val="right"/>
        <w:tblLayout w:type="fixed"/>
        <w:tblCellMar>
          <w:top w:w="0" w:type="dxa"/>
          <w:left w:w="108" w:type="dxa"/>
          <w:bottom w:w="0" w:type="dxa"/>
          <w:right w:w="108" w:type="dxa"/>
        </w:tblCellMar>
      </w:tblPr>
      <w:tblGrid>
        <w:gridCol w:w="2506"/>
        <w:gridCol w:w="2595"/>
      </w:tblGrid>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szCs w:val="24"/>
                <w:lang w:eastAsia="zh-CN"/>
              </w:rPr>
              <w:t>投标人</w:t>
            </w:r>
            <w:r>
              <w:rPr>
                <w:rFonts w:hint="eastAsia" w:eastAsia="宋体" w:cs="宋体"/>
                <w:color w:val="auto"/>
                <w:sz w:val="24"/>
                <w:szCs w:val="24"/>
              </w:rPr>
              <w:t>全称</w:t>
            </w:r>
            <w:r>
              <w:rPr>
                <w:rFonts w:hint="eastAsia" w:eastAsia="宋体" w:cs="宋体"/>
                <w:color w:val="auto"/>
                <w:sz w:val="24"/>
              </w:rPr>
              <w:t>:（盖章）</w:t>
            </w:r>
          </w:p>
        </w:tc>
        <w:tc>
          <w:tcPr>
            <w:tcW w:w="2595" w:type="dxa"/>
            <w:noWrap w:val="0"/>
            <w:vAlign w:val="center"/>
          </w:tcPr>
          <w:p>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rPr>
              <w:t>法定代表人或授权代理人:</w:t>
            </w:r>
            <w:r>
              <w:rPr>
                <w:rFonts w:hint="eastAsia" w:eastAsia="宋体" w:cs="宋体"/>
                <w:color w:val="auto"/>
                <w:sz w:val="24"/>
                <w:szCs w:val="24"/>
              </w:rPr>
              <w:t>（签字或盖章）</w:t>
            </w:r>
          </w:p>
        </w:tc>
        <w:tc>
          <w:tcPr>
            <w:tcW w:w="2595" w:type="dxa"/>
            <w:noWrap w:val="0"/>
            <w:vAlign w:val="center"/>
          </w:tcPr>
          <w:p>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tblPrEx>
          <w:tblCellMar>
            <w:top w:w="0" w:type="dxa"/>
            <w:left w:w="108" w:type="dxa"/>
            <w:bottom w:w="0" w:type="dxa"/>
            <w:right w:w="108" w:type="dxa"/>
          </w:tblCellMar>
        </w:tblPrEx>
        <w:trPr>
          <w:jc w:val="right"/>
        </w:trPr>
        <w:tc>
          <w:tcPr>
            <w:tcW w:w="5101"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eastAsia="宋体" w:cs="宋体"/>
                <w:color w:val="auto"/>
                <w:sz w:val="24"/>
                <w:szCs w:val="28"/>
              </w:rPr>
            </w:pPr>
            <w:r>
              <w:rPr>
                <w:rFonts w:hint="eastAsia" w:eastAsia="宋体" w:cs="宋体"/>
                <w:color w:val="auto"/>
                <w:sz w:val="24"/>
              </w:rPr>
              <w:t>日 期:</w:t>
            </w:r>
            <w:r>
              <w:rPr>
                <w:rFonts w:hint="eastAsia" w:cs="宋体"/>
                <w:color w:val="auto"/>
                <w:sz w:val="24"/>
                <w:lang w:val="en-US" w:eastAsia="zh-CN"/>
              </w:rPr>
              <w:t xml:space="preserve">   </w:t>
            </w:r>
            <w:r>
              <w:rPr>
                <w:rFonts w:hint="eastAsia" w:eastAsia="宋体" w:cs="宋体"/>
                <w:color w:val="auto"/>
                <w:sz w:val="24"/>
              </w:rPr>
              <w:t>年   月   日</w:t>
            </w:r>
          </w:p>
        </w:tc>
      </w:tr>
    </w:tbl>
    <w:p>
      <w:pPr>
        <w:keepNext w:val="0"/>
        <w:keepLines w:val="0"/>
        <w:pageBreakBefore w:val="0"/>
        <w:widowControl w:val="0"/>
        <w:numPr>
          <w:ilvl w:val="0"/>
          <w:numId w:val="35"/>
        </w:numPr>
        <w:kinsoku/>
        <w:bidi w:val="0"/>
        <w:snapToGrid w:val="0"/>
        <w:rPr>
          <w:rFonts w:hint="eastAsia" w:cs="宋体"/>
          <w:sz w:val="24"/>
          <w:szCs w:val="24"/>
        </w:rPr>
      </w:pPr>
      <w:r>
        <w:rPr>
          <w:rFonts w:hint="eastAsia" w:ascii="宋体" w:hAnsi="宋体" w:eastAsia="宋体" w:cs="宋体"/>
          <w:color w:val="000000"/>
          <w:spacing w:val="28"/>
          <w:sz w:val="36"/>
          <w:szCs w:val="36"/>
          <w:lang w:eastAsia="zh-CN"/>
        </w:rPr>
        <w:br w:type="page"/>
      </w:r>
    </w:p>
    <w:p>
      <w:pPr>
        <w:keepNext w:val="0"/>
        <w:keepLines w:val="0"/>
        <w:pageBreakBefore w:val="0"/>
        <w:widowControl w:val="0"/>
        <w:numPr>
          <w:ilvl w:val="0"/>
          <w:numId w:val="0"/>
        </w:numPr>
        <w:tabs>
          <w:tab w:val="left" w:pos="0"/>
        </w:tabs>
        <w:kinsoku/>
        <w:bidi w:val="0"/>
        <w:snapToGrid w:val="0"/>
        <w:ind w:leftChars="0"/>
        <w:outlineLvl w:val="0"/>
        <w:rPr>
          <w:rFonts w:hint="eastAsia" w:eastAsia="宋体" w:cs="宋体"/>
          <w:sz w:val="24"/>
          <w:szCs w:val="24"/>
          <w:lang w:val="en-US" w:eastAsia="zh-CN"/>
        </w:rPr>
      </w:pPr>
      <w:bookmarkStart w:id="315" w:name="_Toc5710"/>
      <w:r>
        <w:rPr>
          <w:rFonts w:hint="eastAsia" w:cs="宋体"/>
          <w:sz w:val="24"/>
          <w:szCs w:val="24"/>
          <w:lang w:val="en-US" w:eastAsia="zh-CN"/>
        </w:rPr>
        <w:t>附件</w:t>
      </w:r>
      <w:bookmarkEnd w:id="315"/>
    </w:p>
    <w:p>
      <w:pPr>
        <w:keepNext w:val="0"/>
        <w:keepLines w:val="0"/>
        <w:pageBreakBefore w:val="0"/>
        <w:widowControl w:val="0"/>
        <w:kinsoku/>
        <w:wordWrap/>
        <w:overflowPunct/>
        <w:topLinePunct w:val="0"/>
        <w:autoSpaceDE w:val="0"/>
        <w:autoSpaceDN w:val="0"/>
        <w:bidi w:val="0"/>
        <w:adjustRightInd w:val="0"/>
        <w:snapToGrid w:val="0"/>
        <w:spacing w:after="438" w:afterLines="100"/>
        <w:jc w:val="center"/>
        <w:textAlignment w:val="auto"/>
        <w:rPr>
          <w:rFonts w:hint="eastAsia" w:ascii="宋体" w:hAnsi="宋体" w:eastAsia="宋体" w:cs="宋体"/>
          <w:b w:val="0"/>
          <w:bCs/>
          <w:color w:val="auto"/>
          <w:sz w:val="36"/>
          <w:szCs w:val="36"/>
          <w:lang w:val="zh-CN" w:eastAsia="zh-CN"/>
        </w:rPr>
      </w:pPr>
      <w:r>
        <w:rPr>
          <w:rFonts w:hint="eastAsia" w:cs="宋体"/>
          <w:b w:val="0"/>
          <w:bCs/>
          <w:color w:val="auto"/>
          <w:sz w:val="36"/>
          <w:szCs w:val="36"/>
          <w:lang w:val="en-US" w:eastAsia="zh-CN"/>
        </w:rPr>
        <w:t>商务（技术）</w:t>
      </w:r>
      <w:r>
        <w:rPr>
          <w:rFonts w:hint="eastAsia" w:ascii="宋体" w:hAnsi="宋体" w:eastAsia="宋体" w:cs="宋体"/>
          <w:b w:val="0"/>
          <w:bCs/>
          <w:color w:val="auto"/>
          <w:sz w:val="36"/>
          <w:szCs w:val="36"/>
          <w:lang w:val="zh-CN" w:eastAsia="zh-CN"/>
        </w:rPr>
        <w:t>偏离表</w:t>
      </w:r>
    </w:p>
    <w:p>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pPr>
        <w:snapToGrid w:val="0"/>
        <w:spacing w:line="5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tbl>
      <w:tblPr>
        <w:tblStyle w:val="47"/>
        <w:tblW w:w="10213"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77"/>
        <w:gridCol w:w="3109"/>
        <w:gridCol w:w="293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45" w:type="dxa"/>
            <w:tcBorders>
              <w:top w:val="thinThickSmallGap" w:color="auto" w:sz="12" w:space="0"/>
              <w:left w:val="thinThickSmallGap" w:color="auto" w:sz="12" w:space="0"/>
            </w:tcBorders>
            <w:vAlign w:val="center"/>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977" w:type="dxa"/>
            <w:tcBorders>
              <w:top w:val="thinThickSmallGap" w:color="auto" w:sz="12" w:space="0"/>
            </w:tcBorders>
            <w:vAlign w:val="center"/>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  目</w:t>
            </w:r>
          </w:p>
        </w:tc>
        <w:tc>
          <w:tcPr>
            <w:tcW w:w="3109" w:type="dxa"/>
            <w:tcBorders>
              <w:top w:val="thinThickSmallGap" w:color="auto" w:sz="12" w:space="0"/>
            </w:tcBorders>
            <w:vAlign w:val="center"/>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招标文件技术规范要求</w:t>
            </w:r>
          </w:p>
        </w:tc>
        <w:tc>
          <w:tcPr>
            <w:tcW w:w="2932" w:type="dxa"/>
            <w:tcBorders>
              <w:top w:val="thinThickSmallGap" w:color="auto" w:sz="12" w:space="0"/>
            </w:tcBorders>
            <w:vAlign w:val="center"/>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投标文件对应规范</w:t>
            </w:r>
          </w:p>
        </w:tc>
        <w:tc>
          <w:tcPr>
            <w:tcW w:w="1350" w:type="dxa"/>
            <w:tcBorders>
              <w:top w:val="thinThickSmallGap" w:color="auto" w:sz="12" w:space="0"/>
              <w:right w:val="thickThinSmallGap" w:color="auto" w:sz="12" w:space="0"/>
            </w:tcBorders>
            <w:vAlign w:val="center"/>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5" w:type="dxa"/>
            <w:tcBorders>
              <w:left w:val="thinThickSmallGap" w:color="auto" w:sz="12" w:space="0"/>
              <w:bottom w:val="thickThinSmallGap" w:color="auto" w:sz="12" w:space="0"/>
            </w:tcBorders>
          </w:tcPr>
          <w:p>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977" w:type="dxa"/>
            <w:tcBorders>
              <w:bottom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109" w:type="dxa"/>
            <w:tcBorders>
              <w:bottom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932" w:type="dxa"/>
            <w:tcBorders>
              <w:bottom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1350" w:type="dxa"/>
            <w:tcBorders>
              <w:bottom w:val="thickThinSmallGap" w:color="auto" w:sz="12" w:space="0"/>
              <w:right w:val="thickThinSmallGap" w:color="auto" w:sz="12" w:space="0"/>
            </w:tcBorders>
          </w:tcPr>
          <w:p>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bl>
    <w:p>
      <w:pPr>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注：投标人递交的技术规格书中与招标文件的技术规格书中的要求有不同时，应逐条列在技术偏离表中，否则将认为投标人接受招标文件的要求。</w:t>
      </w:r>
    </w:p>
    <w:p>
      <w:pPr>
        <w:adjustRightInd w:val="0"/>
        <w:snapToGrid w:val="0"/>
        <w:spacing w:line="500" w:lineRule="exact"/>
        <w:jc w:val="left"/>
        <w:rPr>
          <w:rFonts w:hint="eastAsia" w:ascii="宋体" w:hAnsi="宋体" w:eastAsia="宋体" w:cs="宋体"/>
          <w:color w:val="000000"/>
          <w:sz w:val="24"/>
          <w:szCs w:val="24"/>
        </w:rPr>
      </w:pPr>
    </w:p>
    <w:p>
      <w:pPr>
        <w:pStyle w:val="63"/>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bl>
      <w:tblPr>
        <w:tblStyle w:val="47"/>
        <w:tblW w:w="5251" w:type="dxa"/>
        <w:jc w:val="right"/>
        <w:tblLayout w:type="fixed"/>
        <w:tblCellMar>
          <w:top w:w="0" w:type="dxa"/>
          <w:left w:w="108" w:type="dxa"/>
          <w:bottom w:w="0" w:type="dxa"/>
          <w:right w:w="108" w:type="dxa"/>
        </w:tblCellMar>
      </w:tblPr>
      <w:tblGrid>
        <w:gridCol w:w="2968"/>
        <w:gridCol w:w="2283"/>
      </w:tblGrid>
      <w:tr>
        <w:tblPrEx>
          <w:tblCellMar>
            <w:top w:w="0" w:type="dxa"/>
            <w:left w:w="108" w:type="dxa"/>
            <w:bottom w:w="0" w:type="dxa"/>
            <w:right w:w="108" w:type="dxa"/>
          </w:tblCellMar>
        </w:tblPrEx>
        <w:trPr>
          <w:jc w:val="right"/>
        </w:trPr>
        <w:tc>
          <w:tcPr>
            <w:tcW w:w="2968"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2283"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tblPrEx>
          <w:tblCellMar>
            <w:top w:w="0" w:type="dxa"/>
            <w:left w:w="108" w:type="dxa"/>
            <w:bottom w:w="0" w:type="dxa"/>
            <w:right w:w="108" w:type="dxa"/>
          </w:tblCellMar>
        </w:tblPrEx>
        <w:trPr>
          <w:jc w:val="right"/>
        </w:trPr>
        <w:tc>
          <w:tcPr>
            <w:tcW w:w="2968"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2283"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tblPrEx>
          <w:tblCellMar>
            <w:top w:w="0" w:type="dxa"/>
            <w:left w:w="108" w:type="dxa"/>
            <w:bottom w:w="0" w:type="dxa"/>
            <w:right w:w="108" w:type="dxa"/>
          </w:tblCellMar>
        </w:tblPrEx>
        <w:trPr>
          <w:jc w:val="right"/>
        </w:trPr>
        <w:tc>
          <w:tcPr>
            <w:tcW w:w="5251"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ascii="宋体" w:hAnsi="宋体" w:eastAsia="宋体" w:cs="宋体"/>
                <w:sz w:val="24"/>
                <w:szCs w:val="24"/>
              </w:rPr>
            </w:pPr>
            <w:r>
              <w:rPr>
                <w:rFonts w:hint="eastAsia" w:ascii="宋体" w:hAnsi="宋体" w:eastAsia="宋体" w:cs="宋体"/>
                <w:sz w:val="24"/>
                <w:szCs w:val="24"/>
              </w:rPr>
              <w:t>日 期:</w:t>
            </w:r>
            <w:r>
              <w:rPr>
                <w:rFonts w:hint="eastAsia" w:cs="宋体"/>
                <w:sz w:val="24"/>
                <w:szCs w:val="24"/>
                <w:lang w:val="en-US" w:eastAsia="zh-CN"/>
              </w:rPr>
              <w:t xml:space="preserve">   </w:t>
            </w:r>
            <w:r>
              <w:rPr>
                <w:rFonts w:hint="eastAsia" w:ascii="宋体" w:hAnsi="宋体" w:eastAsia="宋体" w:cs="宋体"/>
                <w:sz w:val="24"/>
                <w:szCs w:val="24"/>
              </w:rPr>
              <w:t>年   月   日</w:t>
            </w:r>
          </w:p>
        </w:tc>
      </w:tr>
    </w:tbl>
    <w:p>
      <w:pPr>
        <w:pStyle w:val="63"/>
        <w:ind w:left="0" w:leftChars="0" w:firstLine="0" w:firstLineChars="0"/>
        <w:rPr>
          <w:rFonts w:hint="default" w:eastAsia="宋体"/>
          <w:lang w:val="en-US" w:eastAsia="zh-CN"/>
        </w:rPr>
      </w:pPr>
    </w:p>
    <w:p>
      <w:pPr>
        <w:keepNext w:val="0"/>
        <w:keepLines w:val="0"/>
        <w:pageBreakBefore w:val="0"/>
        <w:widowControl w:val="0"/>
        <w:numPr>
          <w:ilvl w:val="0"/>
          <w:numId w:val="35"/>
        </w:numPr>
        <w:kinsoku/>
        <w:bidi w:val="0"/>
        <w:snapToGrid w:val="0"/>
        <w:rPr>
          <w:rFonts w:hint="eastAsia" w:cs="宋体"/>
          <w:sz w:val="24"/>
          <w:szCs w:val="24"/>
        </w:rPr>
      </w:pPr>
      <w:r>
        <w:rPr>
          <w:rFonts w:hint="eastAsia" w:ascii="宋体" w:hAnsi="宋体" w:eastAsia="宋体" w:cs="宋体"/>
          <w:color w:val="000000"/>
          <w:spacing w:val="28"/>
          <w:sz w:val="36"/>
          <w:szCs w:val="36"/>
          <w:lang w:eastAsia="zh-CN"/>
        </w:rPr>
        <w:br w:type="page"/>
      </w:r>
    </w:p>
    <w:p>
      <w:pPr>
        <w:pStyle w:val="19"/>
        <w:keepNext w:val="0"/>
        <w:keepLines w:val="0"/>
        <w:pageBreakBefore w:val="0"/>
        <w:widowControl w:val="0"/>
        <w:kinsoku/>
        <w:bidi w:val="0"/>
        <w:outlineLvl w:val="0"/>
        <w:rPr>
          <w:rFonts w:hint="eastAsia" w:ascii="宋体" w:hAnsi="宋体" w:eastAsia="宋体" w:cs="宋体"/>
          <w:b w:val="0"/>
          <w:bCs/>
          <w:sz w:val="24"/>
          <w:szCs w:val="24"/>
          <w:lang w:val="en-US" w:eastAsia="zh-CN"/>
        </w:rPr>
      </w:pPr>
      <w:bookmarkStart w:id="316" w:name="_Toc31329"/>
      <w:bookmarkStart w:id="317" w:name="_Toc18184"/>
      <w:r>
        <w:rPr>
          <w:rFonts w:hint="eastAsia" w:ascii="宋体" w:hAnsi="宋体" w:cs="宋体"/>
          <w:b w:val="0"/>
          <w:bCs/>
          <w:sz w:val="24"/>
          <w:szCs w:val="24"/>
          <w:lang w:val="en-US" w:eastAsia="zh-CN"/>
        </w:rPr>
        <w:t>附件</w:t>
      </w:r>
      <w:bookmarkEnd w:id="316"/>
      <w:bookmarkEnd w:id="317"/>
    </w:p>
    <w:p>
      <w:pPr>
        <w:keepNext w:val="0"/>
        <w:keepLines w:val="0"/>
        <w:pageBreakBefore w:val="0"/>
        <w:widowControl w:val="0"/>
        <w:kinsoku/>
        <w:bidi w:val="0"/>
        <w:adjustRightInd w:val="0"/>
        <w:snapToGrid w:val="0"/>
        <w:spacing w:after="240" w:afterLines="100"/>
        <w:jc w:val="center"/>
        <w:rPr>
          <w:rFonts w:hint="eastAsia" w:cs="宋体"/>
          <w:sz w:val="36"/>
          <w:szCs w:val="36"/>
        </w:rPr>
      </w:pPr>
      <w:r>
        <w:rPr>
          <w:rFonts w:hint="eastAsia" w:cs="宋体"/>
          <w:spacing w:val="28"/>
          <w:sz w:val="36"/>
          <w:szCs w:val="36"/>
        </w:rPr>
        <w:t>开标一览</w:t>
      </w:r>
      <w:r>
        <w:rPr>
          <w:rFonts w:hint="eastAsia" w:cs="宋体"/>
          <w:sz w:val="36"/>
          <w:szCs w:val="36"/>
        </w:rPr>
        <w:t>表</w:t>
      </w:r>
    </w:p>
    <w:p>
      <w:pPr>
        <w:tabs>
          <w:tab w:val="left" w:pos="900"/>
        </w:tabs>
        <w:spacing w:line="360" w:lineRule="auto"/>
        <w:ind w:firstLine="464"/>
        <w:rPr>
          <w:rFonts w:hint="eastAsia" w:ascii="宋体" w:hAnsi="宋体" w:eastAsia="宋体" w:cs="宋体"/>
          <w:sz w:val="24"/>
          <w:szCs w:val="24"/>
        </w:rPr>
      </w:pPr>
      <w:r>
        <w:rPr>
          <w:rFonts w:hint="eastAsia" w:ascii="宋体" w:hAnsi="宋体" w:cs="宋体"/>
          <w:color w:val="000000"/>
          <w:spacing w:val="-4"/>
          <w:highlight w:val="none"/>
        </w:rPr>
        <w:t xml:space="preserve">               </w:t>
      </w:r>
      <w:r>
        <w:rPr>
          <w:rFonts w:hint="eastAsia" w:ascii="宋体" w:hAnsi="宋体" w:cs="宋体"/>
          <w:color w:val="000000"/>
          <w:spacing w:val="-4"/>
          <w:highlight w:val="none"/>
          <w:lang w:val="en-US" w:eastAsia="zh-CN"/>
        </w:rPr>
        <w:t xml:space="preserve">                                      </w:t>
      </w:r>
      <w:r>
        <w:rPr>
          <w:rFonts w:hint="eastAsia" w:ascii="宋体" w:hAnsi="宋体" w:cs="宋体"/>
          <w:color w:val="000000"/>
          <w:spacing w:val="-4"/>
          <w:highlight w:val="none"/>
        </w:rPr>
        <w:t>货币形式：</w:t>
      </w:r>
      <w:r>
        <w:rPr>
          <w:rFonts w:hint="eastAsia" w:ascii="宋体" w:hAnsi="宋体" w:cs="宋体"/>
          <w:color w:val="000000"/>
          <w:spacing w:val="-4"/>
          <w:highlight w:val="none"/>
          <w:u w:val="single"/>
        </w:rPr>
        <w:t>人民币</w:t>
      </w:r>
      <w:r>
        <w:rPr>
          <w:rFonts w:hint="eastAsia" w:ascii="宋体" w:hAnsi="宋体" w:eastAsia="宋体" w:cs="宋体"/>
          <w:color w:val="000000"/>
          <w:sz w:val="24"/>
          <w:szCs w:val="24"/>
        </w:rPr>
        <w:t>元</w:t>
      </w:r>
    </w:p>
    <w:tbl>
      <w:tblPr>
        <w:tblStyle w:val="47"/>
        <w:tblW w:w="10625"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216"/>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3458" w:type="dxa"/>
            <w:gridSpan w:val="2"/>
            <w:vAlign w:val="center"/>
          </w:tcPr>
          <w:p>
            <w:pPr>
              <w:pStyle w:val="144"/>
              <w:keepNext w:val="0"/>
              <w:keepLines w:val="0"/>
              <w:suppressLineNumbers w:val="0"/>
              <w:spacing w:before="0" w:beforeAutospacing="0" w:after="0" w:afterAutospacing="0" w:line="360" w:lineRule="auto"/>
              <w:ind w:left="0" w:right="0" w:firstLine="0" w:firstLineChars="0"/>
              <w:jc w:val="center"/>
              <w:rPr>
                <w:rFonts w:hint="default" w:ascii="宋体" w:hAnsi="宋体" w:eastAsia="宋体" w:cs="宋体"/>
                <w:sz w:val="24"/>
                <w:szCs w:val="24"/>
                <w:highlight w:val="none"/>
                <w:lang w:val="en-US" w:eastAsia="zh-CN"/>
              </w:rPr>
            </w:pPr>
            <w:r>
              <w:rPr>
                <w:rFonts w:hint="eastAsia" w:ascii="宋体" w:eastAsia="宋体" w:cs="宋体"/>
                <w:sz w:val="24"/>
                <w:szCs w:val="24"/>
                <w:highlight w:val="none"/>
                <w:lang w:val="en-US" w:eastAsia="zh-CN"/>
              </w:rPr>
              <w:t>项目名称、编号</w:t>
            </w:r>
          </w:p>
        </w:tc>
        <w:tc>
          <w:tcPr>
            <w:tcW w:w="7167" w:type="dxa"/>
          </w:tcPr>
          <w:p>
            <w:pPr>
              <w:pStyle w:val="144"/>
              <w:keepNext w:val="0"/>
              <w:keepLines w:val="0"/>
              <w:suppressLineNumbers w:val="0"/>
              <w:spacing w:before="0" w:beforeAutospacing="0" w:after="0" w:afterAutospacing="0" w:line="360" w:lineRule="auto"/>
              <w:ind w:left="0" w:right="0" w:firstLine="0" w:firstLineChars="0"/>
              <w:jc w:val="center"/>
              <w:rPr>
                <w:rFonts w:hint="eastAsia" w:ascii="宋体" w:eastAsia="宋体" w:cs="宋体"/>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458" w:type="dxa"/>
            <w:gridSpan w:val="2"/>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snapToGrid w:val="0"/>
                <w:sz w:val="24"/>
                <w:szCs w:val="24"/>
                <w:highlight w:val="none"/>
                <w:lang w:val="zh-CN" w:eastAsia="zh-CN" w:bidi="ar-SA"/>
              </w:rPr>
            </w:pP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绿化养护</w:t>
            </w:r>
            <w:r>
              <w:rPr>
                <w:rFonts w:hint="eastAsia" w:ascii="宋体" w:eastAsia="宋体" w:cs="宋体"/>
                <w:b w:val="0"/>
                <w:bCs w:val="0"/>
                <w:color w:val="000000" w:themeColor="text1"/>
                <w:sz w:val="24"/>
                <w:szCs w:val="24"/>
                <w:highlight w:val="none"/>
                <w:lang w:val="en-US" w:eastAsia="zh-CN"/>
                <w14:textFill>
                  <w14:solidFill>
                    <w14:schemeClr w14:val="tx1"/>
                  </w14:solidFill>
                </w14:textFill>
              </w:rPr>
              <w:t>费用</w:t>
            </w:r>
          </w:p>
        </w:tc>
        <w:tc>
          <w:tcPr>
            <w:tcW w:w="7167" w:type="dxa"/>
            <w:vAlign w:val="center"/>
          </w:tcPr>
          <w:p>
            <w:pPr>
              <w:pStyle w:val="144"/>
              <w:keepNext w:val="0"/>
              <w:keepLines w:val="0"/>
              <w:suppressLineNumbers w:val="0"/>
              <w:spacing w:before="0" w:beforeAutospacing="0" w:after="0" w:afterAutospacing="0" w:line="360" w:lineRule="auto"/>
              <w:ind w:left="0" w:leftChars="0" w:right="0" w:rightChars="0" w:firstLine="1200" w:firstLineChars="500"/>
              <w:jc w:val="left"/>
              <w:rPr>
                <w:rFonts w:hint="eastAsia" w:ascii="宋体" w:hAnsi="宋体" w:eastAsia="宋体" w:cs="宋体"/>
                <w:snapToGrid w:val="0"/>
                <w:sz w:val="24"/>
                <w:szCs w:val="24"/>
                <w:highlight w:val="none"/>
                <w:lang w:val="zh-CN" w:eastAsia="zh-CN" w:bidi="ar-SA"/>
              </w:rPr>
            </w:pP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万元（</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auto"/>
                <w:sz w:val="24"/>
                <w:szCs w:val="24"/>
                <w:highlight w:val="none"/>
                <w:lang w:val="zh-CN" w:eastAsia="zh-CN"/>
              </w:rPr>
              <w:t>万</w:t>
            </w:r>
            <w:r>
              <w:rPr>
                <w:rFonts w:hint="eastAsia" w:ascii="宋体" w:hAnsi="宋体" w:eastAsia="宋体" w:cs="宋体"/>
                <w:b w:val="0"/>
                <w:bCs w:val="0"/>
                <w:color w:val="auto"/>
                <w:sz w:val="24"/>
                <w:szCs w:val="24"/>
                <w:highlight w:val="none"/>
                <w:lang w:val="en-US" w:eastAsia="zh-CN"/>
              </w:rPr>
              <w:t>元/年</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eastAsia="宋体" w:cs="宋体"/>
                <w:b w:val="0"/>
                <w:bCs w:val="0"/>
                <w:color w:val="000000" w:themeColor="text1"/>
                <w:sz w:val="24"/>
                <w:szCs w:val="24"/>
                <w:highlight w:val="none"/>
                <w:lang w:val="en-US" w:eastAsia="zh-CN"/>
                <w14:textFill>
                  <w14:solidFill>
                    <w14:schemeClr w14:val="tx1"/>
                  </w14:solidFill>
                </w14:textFill>
              </w:rPr>
              <w:t>固定</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费用</w:t>
            </w:r>
          </w:p>
        </w:tc>
        <w:tc>
          <w:tcPr>
            <w:tcW w:w="2216" w:type="dxa"/>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绿化补植及暂列金</w:t>
            </w:r>
          </w:p>
        </w:tc>
        <w:tc>
          <w:tcPr>
            <w:tcW w:w="7167" w:type="dxa"/>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eastAsia="宋体" w:cs="宋体"/>
                <w:b w:val="0"/>
                <w:snapToGrid w:val="0"/>
                <w:color w:val="000000" w:themeColor="text1"/>
                <w:kern w:val="0"/>
                <w:sz w:val="24"/>
                <w:szCs w:val="24"/>
                <w:highlight w:val="none"/>
                <w:lang w:val="en-US" w:eastAsia="zh-CN" w:bidi="ar"/>
                <w14:textFill>
                  <w14:solidFill>
                    <w14:schemeClr w14:val="tx1"/>
                  </w14:solidFill>
                </w14:textFill>
              </w:rPr>
              <w:t>60</w:t>
            </w:r>
            <w:r>
              <w:rPr>
                <w:rFonts w:hint="eastAsia" w:ascii="宋体" w:hAnsi="宋体" w:eastAsia="宋体" w:cs="宋体"/>
                <w:b w:val="0"/>
                <w:snapToGrid w:val="0"/>
                <w:color w:val="000000" w:themeColor="text1"/>
                <w:kern w:val="0"/>
                <w:sz w:val="24"/>
                <w:szCs w:val="24"/>
                <w:highlight w:val="none"/>
                <w:lang w:val="en-US" w:eastAsia="zh-CN" w:bidi="ar"/>
                <w14:textFill>
                  <w14:solidFill>
                    <w14:schemeClr w14:val="tx1"/>
                  </w14:solidFill>
                </w14:textFill>
              </w:rPr>
              <w:t>万元（</w:t>
            </w:r>
            <w:r>
              <w:rPr>
                <w:rFonts w:hint="eastAsia" w:ascii="宋体" w:eastAsia="宋体" w:cs="宋体"/>
                <w:b w:val="0"/>
                <w:snapToGrid w:val="0"/>
                <w:color w:val="000000" w:themeColor="text1"/>
                <w:kern w:val="0"/>
                <w:sz w:val="24"/>
                <w:szCs w:val="24"/>
                <w:highlight w:val="none"/>
                <w:lang w:val="en-US" w:eastAsia="zh-CN" w:bidi="ar"/>
                <w14:textFill>
                  <w14:solidFill>
                    <w14:schemeClr w14:val="tx1"/>
                  </w14:solidFill>
                </w14:textFill>
              </w:rPr>
              <w:t>30万元</w:t>
            </w:r>
            <w:r>
              <w:rPr>
                <w:rFonts w:hint="eastAsia" w:ascii="宋体" w:hAnsi="宋体" w:eastAsia="宋体" w:cs="宋体"/>
                <w:b w:val="0"/>
                <w:snapToGrid w:val="0"/>
                <w:color w:val="000000" w:themeColor="text1"/>
                <w:kern w:val="0"/>
                <w:sz w:val="24"/>
                <w:szCs w:val="24"/>
                <w:highlight w:val="none"/>
                <w:lang w:val="en-US" w:eastAsia="zh-CN" w:bidi="ar"/>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242" w:type="dxa"/>
            <w:vMerge w:val="continue"/>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eastAsia="宋体" w:cs="宋体"/>
                <w:b w:val="0"/>
                <w:bCs w:val="0"/>
                <w:color w:val="000000" w:themeColor="text1"/>
                <w:sz w:val="24"/>
                <w:szCs w:val="24"/>
                <w:highlight w:val="none"/>
                <w:lang w:val="en-US" w:eastAsia="zh-CN"/>
                <w14:textFill>
                  <w14:solidFill>
                    <w14:schemeClr w14:val="tx1"/>
                  </w14:solidFill>
                </w14:textFill>
              </w:rPr>
            </w:pPr>
          </w:p>
        </w:tc>
        <w:tc>
          <w:tcPr>
            <w:tcW w:w="2216" w:type="dxa"/>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安全生产费</w:t>
            </w:r>
          </w:p>
        </w:tc>
        <w:tc>
          <w:tcPr>
            <w:tcW w:w="7167" w:type="dxa"/>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left"/>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eastAsia="宋体" w:cs="宋体"/>
                <w:b w:val="0"/>
                <w:snapToGrid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b w:val="0"/>
                <w:snapToGrid w:val="0"/>
                <w:color w:val="000000" w:themeColor="text1"/>
                <w:kern w:val="0"/>
                <w:sz w:val="24"/>
                <w:szCs w:val="24"/>
                <w:highlight w:val="none"/>
                <w:lang w:val="en-US" w:eastAsia="zh-CN" w:bidi="ar"/>
                <w14:textFill>
                  <w14:solidFill>
                    <w14:schemeClr w14:val="tx1"/>
                  </w14:solidFill>
                </w14:textFill>
              </w:rPr>
              <w:t>万元</w:t>
            </w:r>
            <w:r>
              <w:rPr>
                <w:rFonts w:hint="eastAsia" w:ascii="宋体" w:hAnsi="宋体" w:eastAsia="宋体" w:cs="宋体"/>
                <w:b w:val="0"/>
                <w:snapToGrid w:val="0"/>
                <w:color w:val="000000" w:themeColor="text1"/>
                <w:kern w:val="0"/>
                <w:sz w:val="24"/>
                <w:szCs w:val="24"/>
                <w:highlight w:val="none"/>
                <w:lang w:eastAsia="zh-CN" w:bidi="ar"/>
                <w14:textFill>
                  <w14:solidFill>
                    <w14:schemeClr w14:val="tx1"/>
                  </w14:solidFill>
                </w14:textFill>
              </w:rPr>
              <w:t>（</w:t>
            </w:r>
            <w:r>
              <w:rPr>
                <w:rFonts w:hint="eastAsia" w:ascii="宋体" w:eastAsia="宋体" w:cs="宋体"/>
                <w:b w:val="0"/>
                <w:snapToGrid w:val="0"/>
                <w:color w:val="000000" w:themeColor="text1"/>
                <w:kern w:val="0"/>
                <w:sz w:val="24"/>
                <w:szCs w:val="24"/>
                <w:highlight w:val="none"/>
                <w:lang w:eastAsia="zh-CN" w:bidi="ar"/>
                <w14:textFill>
                  <w14:solidFill>
                    <w14:schemeClr w14:val="tx1"/>
                  </w14:solidFill>
                </w14:textFill>
              </w:rPr>
              <w:t>2.5万元</w:t>
            </w:r>
            <w:r>
              <w:rPr>
                <w:rFonts w:hint="eastAsia" w:ascii="宋体" w:hAnsi="宋体" w:eastAsia="宋体" w:cs="宋体"/>
                <w:b w:val="0"/>
                <w:snapToGrid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snapToGrid w:val="0"/>
                <w:color w:val="000000" w:themeColor="text1"/>
                <w:kern w:val="0"/>
                <w:sz w:val="24"/>
                <w:szCs w:val="24"/>
                <w:highlight w:val="none"/>
                <w:lang w:eastAsia="zh-CN" w:bidi="ar"/>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458" w:type="dxa"/>
            <w:gridSpan w:val="2"/>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both"/>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两年</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投标总价（</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元）</w:t>
            </w:r>
          </w:p>
        </w:tc>
        <w:tc>
          <w:tcPr>
            <w:tcW w:w="7167" w:type="dxa"/>
            <w:vAlign w:val="center"/>
          </w:tcPr>
          <w:p>
            <w:pPr>
              <w:pStyle w:val="144"/>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大写：                          小写： </w:t>
            </w:r>
          </w:p>
        </w:tc>
      </w:tr>
    </w:tbl>
    <w:p>
      <w:pPr>
        <w:widowControl/>
        <w:snapToGrid w:val="0"/>
        <w:spacing w:before="156" w:line="360" w:lineRule="auto"/>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注：1.未采用印刷体打印的、字迹模糊不清等原因而导致评标委员会无法辩认的、本表投标总价与报价明细表投标总价不一致的，均作无效报价处理。</w:t>
      </w:r>
    </w:p>
    <w:p>
      <w:pPr>
        <w:widowControl/>
        <w:snapToGrid w:val="0"/>
        <w:spacing w:before="156" w:line="360" w:lineRule="auto"/>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cs="宋体"/>
          <w:color w:val="000000"/>
          <w:sz w:val="24"/>
          <w:szCs w:val="24"/>
          <w:highlight w:val="none"/>
          <w:lang w:val="en-US" w:eastAsia="zh-CN"/>
        </w:rPr>
        <w:t>2.</w:t>
      </w:r>
      <w:r>
        <w:rPr>
          <w:rFonts w:hint="eastAsia" w:ascii="宋体" w:hAnsi="宋体" w:cs="宋体"/>
          <w:color w:val="292929"/>
          <w:sz w:val="24"/>
          <w:highlight w:val="none"/>
          <w:lang w:val="en-US" w:eastAsia="zh-CN"/>
        </w:rPr>
        <w:t>本次</w:t>
      </w:r>
      <w:r>
        <w:rPr>
          <w:rFonts w:hint="eastAsia" w:ascii="宋体" w:hAnsi="宋体" w:cs="宋体"/>
          <w:color w:val="292929"/>
          <w:sz w:val="24"/>
          <w:highlight w:val="none"/>
        </w:rPr>
        <w:t>报价应以人民币为结算货币。</w:t>
      </w:r>
      <w:r>
        <w:rPr>
          <w:rFonts w:hint="eastAsia" w:ascii="宋体" w:hAnsi="宋体" w:eastAsia="宋体" w:cs="宋体"/>
          <w:color w:val="auto"/>
          <w:sz w:val="24"/>
          <w:szCs w:val="24"/>
          <w:highlight w:val="none"/>
          <w:lang w:val="zh-CN" w:eastAsia="zh-CN"/>
        </w:rPr>
        <w:t>本项目总预算为</w:t>
      </w:r>
      <w:r>
        <w:rPr>
          <w:rFonts w:hint="eastAsia" w:cs="宋体"/>
          <w:color w:val="auto"/>
          <w:sz w:val="24"/>
          <w:szCs w:val="24"/>
          <w:highlight w:val="none"/>
          <w:lang w:val="en-US" w:eastAsia="zh-CN"/>
        </w:rPr>
        <w:t>350万元</w:t>
      </w:r>
      <w:r>
        <w:rPr>
          <w:rFonts w:hint="eastAsia" w:ascii="宋体" w:eastAsia="宋体" w:cs="宋体"/>
          <w:color w:val="auto"/>
          <w:sz w:val="24"/>
          <w:szCs w:val="24"/>
          <w:highlight w:val="none"/>
          <w:lang w:val="en-US" w:eastAsia="zh-CN"/>
        </w:rPr>
        <w:t>（</w:t>
      </w:r>
      <w:r>
        <w:rPr>
          <w:rFonts w:hint="eastAsia" w:cs="宋体"/>
          <w:b w:val="0"/>
          <w:bCs w:val="0"/>
          <w:color w:val="auto"/>
          <w:sz w:val="24"/>
          <w:szCs w:val="24"/>
          <w:highlight w:val="none"/>
          <w:lang w:val="en-US" w:eastAsia="zh-CN"/>
        </w:rPr>
        <w:t>175万元</w:t>
      </w:r>
      <w:r>
        <w:rPr>
          <w:rFonts w:hint="eastAsia" w:ascii="宋体" w:hAnsi="宋体" w:eastAsia="宋体" w:cs="宋体"/>
          <w:b w:val="0"/>
          <w:bCs w:val="0"/>
          <w:color w:val="auto"/>
          <w:sz w:val="24"/>
          <w:szCs w:val="24"/>
          <w:highlight w:val="none"/>
          <w:lang w:val="en-US" w:eastAsia="zh-CN"/>
        </w:rPr>
        <w:t>/年</w:t>
      </w:r>
      <w:r>
        <w:rPr>
          <w:rFonts w:hint="eastAsia" w:ascii="宋体" w:eastAsia="宋体" w:cs="宋体"/>
          <w:b w:val="0"/>
          <w:bCs w:val="0"/>
          <w:color w:val="auto"/>
          <w:sz w:val="24"/>
          <w:szCs w:val="24"/>
          <w:highlight w:val="none"/>
          <w:lang w:val="en-US" w:eastAsia="zh-CN"/>
        </w:rPr>
        <w:t>）</w:t>
      </w:r>
      <w:r>
        <w:rPr>
          <w:rFonts w:hint="eastAsia" w:cs="宋体"/>
          <w:b w:val="0"/>
          <w:bCs w:val="0"/>
          <w:color w:val="auto"/>
          <w:sz w:val="24"/>
          <w:szCs w:val="24"/>
          <w:highlight w:val="none"/>
          <w:lang w:val="en-US" w:eastAsia="zh-CN"/>
        </w:rPr>
        <w:t>，</w:t>
      </w:r>
      <w:r>
        <w:rPr>
          <w:rFonts w:hint="eastAsia" w:ascii="宋体" w:hAnsi="宋体" w:eastAsia="宋体" w:cs="宋体"/>
          <w:b w:val="0"/>
          <w:snapToGrid w:val="0"/>
          <w:color w:val="auto"/>
          <w:kern w:val="0"/>
          <w:sz w:val="24"/>
          <w:szCs w:val="24"/>
          <w:highlight w:val="none"/>
          <w:lang w:val="en-US" w:eastAsia="zh-CN" w:bidi="ar"/>
        </w:rPr>
        <w:t>其中</w:t>
      </w:r>
      <w:r>
        <w:rPr>
          <w:rFonts w:hint="eastAsia" w:cs="宋体"/>
          <w:b w:val="0"/>
          <w:snapToGrid w:val="0"/>
          <w:color w:val="auto"/>
          <w:kern w:val="0"/>
          <w:sz w:val="24"/>
          <w:szCs w:val="24"/>
          <w:highlight w:val="none"/>
          <w:lang w:val="en-US" w:eastAsia="zh-CN" w:bidi="ar"/>
        </w:rPr>
        <w:t>142.5万元/年</w:t>
      </w:r>
      <w:r>
        <w:rPr>
          <w:rFonts w:hint="eastAsia" w:ascii="宋体" w:hAnsi="宋体" w:eastAsia="宋体" w:cs="宋体"/>
          <w:b w:val="0"/>
          <w:snapToGrid w:val="0"/>
          <w:color w:val="auto"/>
          <w:kern w:val="0"/>
          <w:sz w:val="24"/>
          <w:szCs w:val="24"/>
          <w:highlight w:val="none"/>
          <w:lang w:val="en-US" w:eastAsia="zh-CN" w:bidi="ar"/>
        </w:rPr>
        <w:t>为绿化养护预算金额，供应商在该金额范围内自主报价；</w:t>
      </w:r>
      <w:r>
        <w:rPr>
          <w:rFonts w:hint="eastAsia" w:cs="宋体"/>
          <w:b w:val="0"/>
          <w:snapToGrid w:val="0"/>
          <w:color w:val="auto"/>
          <w:kern w:val="0"/>
          <w:sz w:val="24"/>
          <w:szCs w:val="24"/>
          <w:highlight w:val="none"/>
          <w:lang w:val="en-US" w:eastAsia="zh-CN" w:bidi="ar"/>
        </w:rPr>
        <w:t>30万元/年</w:t>
      </w:r>
      <w:r>
        <w:rPr>
          <w:rFonts w:hint="eastAsia" w:ascii="宋体" w:hAnsi="宋体" w:eastAsia="宋体" w:cs="宋体"/>
          <w:b w:val="0"/>
          <w:snapToGrid w:val="0"/>
          <w:color w:val="auto"/>
          <w:kern w:val="0"/>
          <w:sz w:val="24"/>
          <w:szCs w:val="24"/>
          <w:highlight w:val="none"/>
          <w:lang w:val="en-US" w:eastAsia="zh-CN" w:bidi="ar"/>
        </w:rPr>
        <w:t>为绿化补植费用</w:t>
      </w:r>
      <w:r>
        <w:rPr>
          <w:rFonts w:hint="default" w:cs="宋体"/>
          <w:b w:val="0"/>
          <w:snapToGrid w:val="0"/>
          <w:color w:val="auto"/>
          <w:kern w:val="0"/>
          <w:sz w:val="24"/>
          <w:szCs w:val="24"/>
          <w:highlight w:val="none"/>
          <w:lang w:eastAsia="zh-CN" w:bidi="ar"/>
        </w:rPr>
        <w:t>及暂列金</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eastAsia="zh-CN" w:bidi="ar"/>
        </w:rPr>
        <w:t>2.5万元</w:t>
      </w:r>
      <w:r>
        <w:rPr>
          <w:rFonts w:hint="eastAsia" w:cs="宋体"/>
          <w:b w:val="0"/>
          <w:snapToGrid w:val="0"/>
          <w:color w:val="auto"/>
          <w:kern w:val="0"/>
          <w:sz w:val="24"/>
          <w:szCs w:val="24"/>
          <w:highlight w:val="none"/>
          <w:lang w:val="en-US" w:eastAsia="zh-CN" w:bidi="ar"/>
        </w:rPr>
        <w:t>/</w:t>
      </w:r>
      <w:r>
        <w:rPr>
          <w:rFonts w:hint="default" w:cs="宋体"/>
          <w:b w:val="0"/>
          <w:snapToGrid w:val="0"/>
          <w:color w:val="auto"/>
          <w:kern w:val="0"/>
          <w:sz w:val="24"/>
          <w:szCs w:val="24"/>
          <w:highlight w:val="none"/>
          <w:lang w:eastAsia="zh-CN" w:bidi="ar"/>
        </w:rPr>
        <w:t>年为安全生产费用，</w:t>
      </w:r>
      <w:r>
        <w:rPr>
          <w:rFonts w:hint="eastAsia" w:ascii="宋体" w:hAnsi="宋体" w:eastAsia="宋体" w:cs="宋体"/>
          <w:b w:val="0"/>
          <w:snapToGrid w:val="0"/>
          <w:color w:val="auto"/>
          <w:kern w:val="0"/>
          <w:sz w:val="24"/>
          <w:szCs w:val="24"/>
          <w:highlight w:val="none"/>
          <w:lang w:val="en-US" w:eastAsia="zh-CN" w:bidi="ar"/>
        </w:rPr>
        <w:t>全额列入投标总价（固定不变），供应商在报价中不得更改（此项费用采购方根据实际需要确定，工程量按实结算，套用现行</w:t>
      </w:r>
      <w:r>
        <w:rPr>
          <w:rFonts w:hint="default" w:cs="宋体"/>
          <w:b w:val="0"/>
          <w:snapToGrid w:val="0"/>
          <w:color w:val="auto"/>
          <w:kern w:val="0"/>
          <w:sz w:val="24"/>
          <w:szCs w:val="24"/>
          <w:highlight w:val="none"/>
          <w:lang w:eastAsia="zh-CN" w:bidi="ar"/>
        </w:rPr>
        <w:t>市政</w:t>
      </w:r>
      <w:r>
        <w:rPr>
          <w:rFonts w:hint="eastAsia" w:ascii="宋体" w:hAnsi="宋体" w:eastAsia="宋体" w:cs="宋体"/>
          <w:b w:val="0"/>
          <w:snapToGrid w:val="0"/>
          <w:color w:val="auto"/>
          <w:kern w:val="0"/>
          <w:sz w:val="24"/>
          <w:szCs w:val="24"/>
          <w:highlight w:val="none"/>
          <w:lang w:val="en-US" w:eastAsia="zh-CN" w:bidi="ar"/>
        </w:rPr>
        <w:t>相关定额和施工期信息价组价后下浮8%为结算单价</w:t>
      </w:r>
      <w:r>
        <w:rPr>
          <w:rFonts w:hint="eastAsia" w:cs="宋体"/>
          <w:b w:val="0"/>
          <w:snapToGrid w:val="0"/>
          <w:color w:val="auto"/>
          <w:kern w:val="0"/>
          <w:sz w:val="24"/>
          <w:szCs w:val="24"/>
          <w:highlight w:val="none"/>
          <w:lang w:val="en-US" w:eastAsia="zh-CN" w:bidi="ar"/>
        </w:rPr>
        <w:t>结算，结算后付至款项的80%</w:t>
      </w:r>
      <w:r>
        <w:rPr>
          <w:rFonts w:hint="eastAsia" w:ascii="宋体" w:hAnsi="宋体" w:eastAsia="宋体" w:cs="宋体"/>
          <w:b w:val="0"/>
          <w:snapToGrid w:val="0"/>
          <w:color w:val="auto"/>
          <w:kern w:val="0"/>
          <w:sz w:val="24"/>
          <w:szCs w:val="24"/>
          <w:highlight w:val="none"/>
          <w:lang w:val="en-US" w:eastAsia="zh-CN" w:bidi="ar"/>
        </w:rPr>
        <w:t>，</w:t>
      </w:r>
      <w:r>
        <w:rPr>
          <w:rFonts w:hint="eastAsia" w:cs="宋体"/>
          <w:b w:val="0"/>
          <w:snapToGrid w:val="0"/>
          <w:color w:val="auto"/>
          <w:kern w:val="0"/>
          <w:sz w:val="24"/>
          <w:szCs w:val="24"/>
          <w:highlight w:val="none"/>
          <w:lang w:val="en-US" w:eastAsia="zh-CN" w:bidi="ar"/>
        </w:rPr>
        <w:t>余款</w:t>
      </w:r>
      <w:r>
        <w:rPr>
          <w:rFonts w:hint="eastAsia" w:ascii="宋体" w:hAnsi="宋体" w:eastAsia="宋体" w:cs="宋体"/>
          <w:b w:val="0"/>
          <w:snapToGrid w:val="0"/>
          <w:color w:val="auto"/>
          <w:kern w:val="0"/>
          <w:sz w:val="24"/>
          <w:szCs w:val="24"/>
          <w:highlight w:val="none"/>
          <w:lang w:val="en-US" w:eastAsia="zh-CN" w:bidi="ar"/>
        </w:rPr>
        <w:t>经审计后支付）</w:t>
      </w: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60" w:lineRule="exact"/>
        <w:ind w:firstLine="480" w:firstLineChars="200"/>
        <w:textAlignment w:val="auto"/>
        <w:rPr>
          <w:rFonts w:hint="eastAsia" w:ascii="宋体" w:hAnsi="宋体" w:eastAsia="宋体" w:cs="宋体"/>
          <w:color w:val="auto"/>
          <w:kern w:val="2"/>
          <w:sz w:val="24"/>
          <w:szCs w:val="24"/>
        </w:rPr>
      </w:pPr>
      <w:r>
        <w:rPr>
          <w:rFonts w:hint="eastAsia" w:ascii="宋体" w:hAnsi="宋体" w:cs="宋体"/>
          <w:color w:val="auto"/>
          <w:sz w:val="24"/>
          <w:highlight w:val="none"/>
        </w:rPr>
        <w:t>报价须</w:t>
      </w:r>
      <w:r>
        <w:rPr>
          <w:rFonts w:hint="eastAsia" w:ascii="宋体" w:hAnsi="宋体" w:cs="宋体"/>
          <w:color w:val="auto"/>
          <w:sz w:val="24"/>
          <w:highlight w:val="none"/>
          <w:lang w:val="en-US" w:eastAsia="zh-CN"/>
        </w:rPr>
        <w:t>包括</w:t>
      </w:r>
      <w:r>
        <w:rPr>
          <w:rFonts w:hint="eastAsia" w:ascii="宋体" w:hAnsi="宋体" w:eastAsia="宋体" w:cs="宋体"/>
          <w:bCs/>
          <w:snapToGrid w:val="0"/>
          <w:color w:val="auto"/>
          <w:kern w:val="0"/>
          <w:sz w:val="24"/>
          <w:szCs w:val="24"/>
          <w:highlight w:val="none"/>
        </w:rPr>
        <w:t>在正确地完全履行合同义务后</w:t>
      </w:r>
      <w:r>
        <w:rPr>
          <w:rFonts w:hint="eastAsia" w:ascii="宋体" w:hAnsi="宋体" w:eastAsia="宋体" w:cs="宋体"/>
          <w:bCs/>
          <w:snapToGrid w:val="0"/>
          <w:color w:val="auto"/>
          <w:kern w:val="0"/>
          <w:sz w:val="24"/>
          <w:szCs w:val="24"/>
          <w:highlight w:val="none"/>
          <w:lang w:val="en-US" w:eastAsia="zh-CN"/>
        </w:rPr>
        <w:t>采购</w:t>
      </w:r>
      <w:r>
        <w:rPr>
          <w:rFonts w:hint="eastAsia" w:cs="宋体"/>
          <w:bCs/>
          <w:snapToGrid w:val="0"/>
          <w:color w:val="auto"/>
          <w:kern w:val="0"/>
          <w:sz w:val="24"/>
          <w:szCs w:val="24"/>
          <w:highlight w:val="none"/>
          <w:lang w:val="en-US" w:eastAsia="zh-CN"/>
        </w:rPr>
        <w:t>方</w:t>
      </w:r>
      <w:r>
        <w:rPr>
          <w:rFonts w:hint="eastAsia" w:ascii="宋体" w:hAnsi="宋体" w:eastAsia="宋体" w:cs="宋体"/>
          <w:bCs/>
          <w:snapToGrid w:val="0"/>
          <w:color w:val="auto"/>
          <w:kern w:val="0"/>
          <w:sz w:val="24"/>
          <w:szCs w:val="24"/>
          <w:highlight w:val="none"/>
        </w:rPr>
        <w:t>应支付的服务价</w:t>
      </w:r>
      <w:r>
        <w:rPr>
          <w:rFonts w:hint="eastAsia" w:ascii="宋体" w:hAnsi="宋体" w:eastAsia="宋体" w:cs="宋体"/>
          <w:bCs/>
          <w:snapToGrid w:val="0"/>
          <w:color w:val="auto"/>
          <w:kern w:val="0"/>
          <w:sz w:val="24"/>
          <w:szCs w:val="24"/>
          <w:highlight w:val="none"/>
          <w:lang w:eastAsia="zh-CN"/>
        </w:rPr>
        <w:t>格</w:t>
      </w:r>
      <w:r>
        <w:rPr>
          <w:rFonts w:hint="eastAsia" w:ascii="宋体" w:hAnsi="宋体" w:eastAsia="宋体" w:cs="宋体"/>
          <w:snapToGrid w:val="0"/>
          <w:color w:val="auto"/>
          <w:kern w:val="0"/>
          <w:sz w:val="24"/>
          <w:szCs w:val="24"/>
          <w:highlight w:val="none"/>
          <w:lang w:val="en-US" w:eastAsia="zh-CN" w:bidi="ar"/>
        </w:rPr>
        <w:t>，包括按招标文件规定由中标方承担的费用、人工、设备、材料、管理</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lang w:val="zh-CN"/>
        </w:rPr>
        <w:t>工具耗材费、工具维修费及清理费、机</w:t>
      </w:r>
      <w:r>
        <w:rPr>
          <w:rFonts w:hint="eastAsia" w:ascii="宋体" w:hAnsi="宋体" w:eastAsia="宋体" w:cs="宋体"/>
          <w:bCs/>
          <w:snapToGrid w:val="0"/>
          <w:color w:val="auto"/>
          <w:kern w:val="0"/>
          <w:sz w:val="24"/>
          <w:szCs w:val="24"/>
          <w:lang w:val="zh-CN"/>
        </w:rPr>
        <w:t>械折旧费、</w:t>
      </w:r>
      <w:r>
        <w:rPr>
          <w:rFonts w:hint="eastAsia" w:ascii="宋体" w:hAnsi="宋体" w:eastAsia="宋体" w:cs="宋体"/>
          <w:bCs/>
          <w:snapToGrid w:val="0"/>
          <w:color w:val="auto"/>
          <w:kern w:val="0"/>
          <w:sz w:val="24"/>
          <w:szCs w:val="24"/>
          <w:lang w:val="en-US" w:eastAsia="zh-CN"/>
        </w:rPr>
        <w:t>餐费、白蚁防治费、保险、利润和税金、招标代理费，以及政策性文件规定费用及合同</w:t>
      </w:r>
      <w:r>
        <w:rPr>
          <w:rFonts w:hint="eastAsia" w:ascii="宋体" w:hAnsi="宋体" w:eastAsia="宋体" w:cs="宋体"/>
          <w:snapToGrid w:val="0"/>
          <w:color w:val="auto"/>
          <w:kern w:val="0"/>
          <w:sz w:val="24"/>
          <w:szCs w:val="24"/>
          <w:lang w:val="en-US" w:eastAsia="zh-CN" w:bidi="ar"/>
        </w:rPr>
        <w:t>包含的所有风险、责任等所有费用。</w:t>
      </w:r>
      <w:r>
        <w:rPr>
          <w:rFonts w:hint="eastAsia" w:ascii="宋体" w:hAnsi="宋体" w:eastAsia="宋体" w:cs="宋体"/>
          <w:bCs/>
          <w:snapToGrid w:val="0"/>
          <w:color w:val="auto"/>
          <w:kern w:val="0"/>
          <w:sz w:val="24"/>
          <w:szCs w:val="24"/>
        </w:rPr>
        <w:t>如有漏项，视同已包含在其它</w:t>
      </w:r>
      <w:r>
        <w:rPr>
          <w:rFonts w:hint="eastAsia" w:ascii="宋体" w:hAnsi="宋体" w:eastAsia="宋体" w:cs="宋体"/>
          <w:bCs/>
          <w:snapToGrid w:val="0"/>
          <w:color w:val="auto"/>
          <w:kern w:val="0"/>
          <w:sz w:val="24"/>
          <w:szCs w:val="24"/>
          <w:lang w:eastAsia="zh-CN"/>
        </w:rPr>
        <w:t>项目</w:t>
      </w:r>
      <w:r>
        <w:rPr>
          <w:rFonts w:hint="eastAsia" w:ascii="宋体" w:hAnsi="宋体" w:eastAsia="宋体" w:cs="宋体"/>
          <w:bCs/>
          <w:snapToGrid w:val="0"/>
          <w:color w:val="auto"/>
          <w:kern w:val="0"/>
          <w:sz w:val="24"/>
          <w:szCs w:val="24"/>
        </w:rPr>
        <w:t>中，价格不作调整，</w:t>
      </w:r>
      <w:r>
        <w:rPr>
          <w:rFonts w:hint="eastAsia" w:ascii="宋体" w:hAnsi="宋体" w:eastAsia="宋体" w:cs="宋体"/>
          <w:bCs/>
          <w:snapToGrid w:val="0"/>
          <w:color w:val="auto"/>
          <w:kern w:val="0"/>
          <w:sz w:val="24"/>
          <w:szCs w:val="24"/>
          <w:lang w:eastAsia="zh-CN"/>
        </w:rPr>
        <w:t>合同签订</w:t>
      </w:r>
      <w:r>
        <w:rPr>
          <w:rFonts w:hint="eastAsia" w:ascii="宋体" w:hAnsi="宋体" w:eastAsia="宋体" w:cs="宋体"/>
          <w:bCs/>
          <w:snapToGrid w:val="0"/>
          <w:color w:val="auto"/>
          <w:kern w:val="0"/>
          <w:sz w:val="24"/>
          <w:szCs w:val="24"/>
        </w:rPr>
        <w:t>后</w:t>
      </w:r>
      <w:r>
        <w:rPr>
          <w:rFonts w:hint="eastAsia" w:ascii="宋体" w:hAnsi="宋体" w:eastAsia="宋体" w:cs="宋体"/>
          <w:bCs/>
          <w:snapToGrid w:val="0"/>
          <w:color w:val="auto"/>
          <w:kern w:val="0"/>
          <w:sz w:val="24"/>
          <w:szCs w:val="24"/>
          <w:lang w:eastAsia="zh-CN"/>
        </w:rPr>
        <w:t>甲方</w:t>
      </w:r>
      <w:r>
        <w:rPr>
          <w:rFonts w:hint="eastAsia" w:ascii="宋体" w:hAnsi="宋体" w:eastAsia="宋体" w:cs="宋体"/>
          <w:bCs/>
          <w:snapToGrid w:val="0"/>
          <w:color w:val="auto"/>
          <w:kern w:val="0"/>
          <w:sz w:val="24"/>
          <w:szCs w:val="24"/>
        </w:rPr>
        <w:t>不允许</w:t>
      </w:r>
      <w:r>
        <w:rPr>
          <w:rFonts w:hint="eastAsia" w:ascii="宋体" w:hAnsi="宋体" w:eastAsia="宋体" w:cs="宋体"/>
          <w:bCs/>
          <w:snapToGrid w:val="0"/>
          <w:color w:val="auto"/>
          <w:kern w:val="0"/>
          <w:sz w:val="24"/>
          <w:szCs w:val="24"/>
          <w:lang w:eastAsia="zh-CN"/>
        </w:rPr>
        <w:t>乙方</w:t>
      </w:r>
      <w:r>
        <w:rPr>
          <w:rFonts w:hint="eastAsia" w:ascii="宋体" w:hAnsi="宋体" w:eastAsia="宋体" w:cs="宋体"/>
          <w:bCs/>
          <w:snapToGrid w:val="0"/>
          <w:color w:val="auto"/>
          <w:kern w:val="0"/>
          <w:sz w:val="24"/>
          <w:szCs w:val="24"/>
        </w:rPr>
        <w:t>擅自改变服务内容、质量标准、期限和追加项目费用</w:t>
      </w:r>
      <w:r>
        <w:rPr>
          <w:rFonts w:hint="eastAsia" w:ascii="宋体" w:hAnsi="宋体" w:eastAsia="宋体" w:cs="宋体"/>
          <w:snapToGrid w:val="0"/>
          <w:color w:val="auto"/>
          <w:kern w:val="0"/>
          <w:sz w:val="24"/>
          <w:szCs w:val="24"/>
        </w:rPr>
        <w:t>。</w:t>
      </w:r>
    </w:p>
    <w:tbl>
      <w:tblPr>
        <w:tblStyle w:val="47"/>
        <w:tblW w:w="5251" w:type="dxa"/>
        <w:jc w:val="right"/>
        <w:tblLayout w:type="fixed"/>
        <w:tblCellMar>
          <w:top w:w="0" w:type="dxa"/>
          <w:left w:w="108" w:type="dxa"/>
          <w:bottom w:w="0" w:type="dxa"/>
          <w:right w:w="108" w:type="dxa"/>
        </w:tblCellMar>
      </w:tblPr>
      <w:tblGrid>
        <w:gridCol w:w="2968"/>
        <w:gridCol w:w="2283"/>
      </w:tblGrid>
      <w:tr>
        <w:tblPrEx>
          <w:tblCellMar>
            <w:top w:w="0" w:type="dxa"/>
            <w:left w:w="108" w:type="dxa"/>
            <w:bottom w:w="0" w:type="dxa"/>
            <w:right w:w="108" w:type="dxa"/>
          </w:tblCellMar>
        </w:tblPrEx>
        <w:trPr>
          <w:jc w:val="right"/>
        </w:trPr>
        <w:tc>
          <w:tcPr>
            <w:tcW w:w="2968"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2283"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tblPrEx>
          <w:tblCellMar>
            <w:top w:w="0" w:type="dxa"/>
            <w:left w:w="108" w:type="dxa"/>
            <w:bottom w:w="0" w:type="dxa"/>
            <w:right w:w="108" w:type="dxa"/>
          </w:tblCellMar>
        </w:tblPrEx>
        <w:trPr>
          <w:jc w:val="right"/>
        </w:trPr>
        <w:tc>
          <w:tcPr>
            <w:tcW w:w="2968"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2283"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tblPrEx>
          <w:tblCellMar>
            <w:top w:w="0" w:type="dxa"/>
            <w:left w:w="108" w:type="dxa"/>
            <w:bottom w:w="0" w:type="dxa"/>
            <w:right w:w="108" w:type="dxa"/>
          </w:tblCellMar>
        </w:tblPrEx>
        <w:trPr>
          <w:jc w:val="right"/>
        </w:trPr>
        <w:tc>
          <w:tcPr>
            <w:tcW w:w="5251"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ascii="宋体" w:hAnsi="宋体" w:eastAsia="宋体" w:cs="宋体"/>
                <w:sz w:val="24"/>
                <w:szCs w:val="24"/>
              </w:rPr>
            </w:pPr>
            <w:r>
              <w:rPr>
                <w:rFonts w:hint="eastAsia" w:ascii="宋体" w:hAnsi="宋体" w:eastAsia="宋体" w:cs="宋体"/>
                <w:sz w:val="24"/>
                <w:szCs w:val="24"/>
              </w:rPr>
              <w:t>日 期:</w:t>
            </w:r>
            <w:r>
              <w:rPr>
                <w:rFonts w:hint="eastAsia" w:cs="宋体"/>
                <w:sz w:val="24"/>
                <w:szCs w:val="24"/>
                <w:lang w:val="en-US" w:eastAsia="zh-CN"/>
              </w:rPr>
              <w:t xml:space="preserve">  </w:t>
            </w:r>
            <w:r>
              <w:rPr>
                <w:rFonts w:hint="eastAsia" w:ascii="宋体" w:hAnsi="宋体" w:eastAsia="宋体" w:cs="宋体"/>
                <w:sz w:val="24"/>
                <w:szCs w:val="24"/>
              </w:rPr>
              <w:t>年   月   日</w:t>
            </w:r>
          </w:p>
        </w:tc>
      </w:tr>
    </w:tbl>
    <w:p>
      <w:pPr>
        <w:keepNext w:val="0"/>
        <w:keepLines w:val="0"/>
        <w:pageBreakBefore w:val="0"/>
        <w:widowControl w:val="0"/>
        <w:numPr>
          <w:ilvl w:val="0"/>
          <w:numId w:val="0"/>
        </w:numPr>
        <w:tabs>
          <w:tab w:val="left" w:pos="0"/>
        </w:tabs>
        <w:kinsoku/>
        <w:bidi w:val="0"/>
        <w:snapToGrid w:val="0"/>
        <w:jc w:val="both"/>
        <w:rPr>
          <w:rFonts w:hint="eastAsia" w:cs="宋体"/>
          <w:sz w:val="24"/>
          <w:szCs w:val="24"/>
        </w:rPr>
      </w:pPr>
    </w:p>
    <w:p>
      <w:pPr>
        <w:pStyle w:val="61"/>
        <w:rPr>
          <w:rFonts w:hint="default" w:eastAsia="宋体"/>
          <w:lang w:val="en-US" w:eastAsia="zh-CN"/>
        </w:rPr>
        <w:sectPr>
          <w:headerReference r:id="rId8" w:type="first"/>
          <w:footerReference r:id="rId10" w:type="first"/>
          <w:headerReference r:id="rId7" w:type="default"/>
          <w:footerReference r:id="rId9" w:type="default"/>
          <w:pgSz w:w="11907" w:h="16840"/>
          <w:pgMar w:top="1440" w:right="1080" w:bottom="1440" w:left="1080" w:header="851" w:footer="1077" w:gutter="0"/>
          <w:pgBorders>
            <w:top w:val="none" w:sz="0" w:space="0"/>
            <w:left w:val="none" w:sz="0" w:space="0"/>
            <w:bottom w:val="none" w:sz="0" w:space="0"/>
            <w:right w:val="none" w:sz="0" w:space="0"/>
          </w:pgBorders>
          <w:pgNumType w:fmt="decimal"/>
          <w:cols w:space="720" w:num="1"/>
          <w:titlePg/>
          <w:docGrid w:linePitch="436" w:charSpace="0"/>
        </w:sectPr>
      </w:pPr>
      <w:r>
        <w:rPr>
          <w:rFonts w:hint="eastAsia" w:cs="宋体"/>
          <w:sz w:val="24"/>
          <w:szCs w:val="24"/>
          <w:lang w:val="en-US" w:eastAsia="zh-CN"/>
        </w:rPr>
        <w:t>报价明细表附后（格式自拟）</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jc w:val="both"/>
        <w:textAlignment w:val="auto"/>
        <w:outlineLvl w:val="0"/>
        <w:rPr>
          <w:rFonts w:hint="eastAsia" w:ascii="宋体" w:hAnsi="宋体" w:eastAsia="宋体" w:cs="宋体"/>
          <w:sz w:val="24"/>
          <w:szCs w:val="24"/>
          <w:lang w:val="en-US" w:eastAsia="zh-CN"/>
        </w:rPr>
      </w:pPr>
      <w:bookmarkStart w:id="318" w:name="_Toc26442"/>
      <w:bookmarkStart w:id="319" w:name="_Toc19608"/>
      <w:r>
        <w:rPr>
          <w:rFonts w:hint="eastAsia" w:cs="宋体"/>
          <w:sz w:val="24"/>
          <w:szCs w:val="24"/>
          <w:lang w:val="en-US" w:eastAsia="zh-CN"/>
        </w:rPr>
        <w:t>附件</w:t>
      </w:r>
      <w:bookmarkEnd w:id="318"/>
      <w:bookmarkEnd w:id="319"/>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jc w:val="center"/>
        <w:textAlignment w:val="auto"/>
        <w:outlineLvl w:val="0"/>
        <w:rPr>
          <w:rFonts w:ascii="宋体" w:hAnsi="宋体" w:eastAsia="宋体" w:cs="宋体"/>
          <w:sz w:val="36"/>
          <w:szCs w:val="36"/>
        </w:rPr>
      </w:pPr>
      <w:bookmarkStart w:id="320" w:name="_Toc23778"/>
      <w:bookmarkStart w:id="321" w:name="_Toc2186"/>
      <w:r>
        <w:rPr>
          <w:rFonts w:ascii="宋体" w:hAnsi="宋体" w:eastAsia="宋体" w:cs="宋体"/>
          <w:sz w:val="36"/>
          <w:szCs w:val="36"/>
        </w:rPr>
        <w:t>中小企业声明函（服务）</w:t>
      </w:r>
      <w:bookmarkEnd w:id="320"/>
      <w:bookmarkEnd w:id="321"/>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firstLine="480" w:firstLineChars="200"/>
        <w:textAlignment w:val="auto"/>
        <w:rPr>
          <w:rFonts w:ascii="宋体" w:hAnsi="宋体" w:eastAsia="宋体" w:cs="宋体"/>
          <w:sz w:val="24"/>
          <w:szCs w:val="24"/>
        </w:rPr>
      </w:pPr>
      <w:r>
        <w:rPr>
          <w:rFonts w:ascii="宋体" w:hAnsi="宋体" w:eastAsia="宋体" w:cs="宋体"/>
          <w:sz w:val="24"/>
          <w:szCs w:val="24"/>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u w:val="single"/>
        </w:rPr>
        <w:t>（标的名称）</w:t>
      </w:r>
      <w:r>
        <w:rPr>
          <w:rFonts w:ascii="宋体" w:hAnsi="宋体" w:eastAsia="宋体" w:cs="宋体"/>
          <w:sz w:val="24"/>
          <w:szCs w:val="24"/>
        </w:rPr>
        <w:t>，属于</w:t>
      </w:r>
      <w:r>
        <w:rPr>
          <w:rFonts w:ascii="宋体" w:hAnsi="宋体" w:eastAsia="宋体" w:cs="宋体"/>
          <w:sz w:val="24"/>
          <w:szCs w:val="24"/>
          <w:u w:val="single"/>
        </w:rPr>
        <w:t>（采购文件中明确的所属行业）</w:t>
      </w:r>
      <w:r>
        <w:rPr>
          <w:rFonts w:ascii="宋体" w:hAnsi="宋体" w:eastAsia="宋体" w:cs="宋体"/>
          <w:sz w:val="24"/>
          <w:szCs w:val="24"/>
        </w:rPr>
        <w:t>；承建（承接）企业为</w:t>
      </w:r>
      <w:r>
        <w:rPr>
          <w:rFonts w:ascii="宋体" w:hAnsi="宋体" w:eastAsia="宋体" w:cs="宋体"/>
          <w:sz w:val="24"/>
          <w:szCs w:val="24"/>
          <w:u w:val="single"/>
        </w:rPr>
        <w:t>（企业名称）</w:t>
      </w:r>
      <w:r>
        <w:rPr>
          <w:rFonts w:ascii="宋体" w:hAnsi="宋体" w:eastAsia="宋体" w:cs="宋体"/>
          <w:sz w:val="24"/>
          <w:szCs w:val="24"/>
        </w:rPr>
        <w:t>，从业人员</w:t>
      </w:r>
      <w:r>
        <w:rPr>
          <w:rFonts w:hint="eastAsia" w:ascii="宋体" w:hAnsi="宋体" w:eastAsia="宋体" w:cs="宋体"/>
          <w:sz w:val="24"/>
          <w:szCs w:val="24"/>
          <w:u w:val="single"/>
          <w:lang w:val="en-US" w:eastAsia="zh-CN"/>
        </w:rPr>
        <w:t>xxx</w:t>
      </w:r>
      <w:r>
        <w:rPr>
          <w:rFonts w:ascii="宋体" w:hAnsi="宋体" w:eastAsia="宋体" w:cs="宋体"/>
          <w:sz w:val="24"/>
          <w:szCs w:val="24"/>
        </w:rPr>
        <w:t>人，营业收入为</w:t>
      </w:r>
      <w:r>
        <w:rPr>
          <w:rFonts w:hint="eastAsia" w:ascii="宋体" w:hAnsi="宋体" w:eastAsia="宋体" w:cs="宋体"/>
          <w:sz w:val="24"/>
          <w:szCs w:val="24"/>
          <w:u w:val="single"/>
          <w:lang w:val="en-US" w:eastAsia="zh-CN"/>
        </w:rPr>
        <w:t>xxx</w:t>
      </w:r>
      <w:r>
        <w:rPr>
          <w:rFonts w:ascii="宋体" w:hAnsi="宋体" w:eastAsia="宋体" w:cs="宋体"/>
          <w:sz w:val="24"/>
          <w:szCs w:val="24"/>
        </w:rPr>
        <w:t>万元，资产总额为</w:t>
      </w:r>
      <w:r>
        <w:rPr>
          <w:rFonts w:hint="eastAsia" w:ascii="宋体" w:hAnsi="宋体" w:eastAsia="宋体" w:cs="宋体"/>
          <w:sz w:val="24"/>
          <w:szCs w:val="24"/>
          <w:u w:val="single"/>
          <w:lang w:val="en-US" w:eastAsia="zh-CN"/>
        </w:rPr>
        <w:t>xxx</w:t>
      </w:r>
      <w:r>
        <w:rPr>
          <w:rFonts w:ascii="宋体" w:hAnsi="宋体" w:eastAsia="宋体" w:cs="宋体"/>
          <w:sz w:val="24"/>
          <w:szCs w:val="24"/>
        </w:rPr>
        <w:t>万元，属于</w:t>
      </w:r>
      <w:r>
        <w:rPr>
          <w:rFonts w:ascii="宋体" w:hAnsi="宋体" w:eastAsia="宋体" w:cs="宋体"/>
          <w:sz w:val="24"/>
          <w:szCs w:val="24"/>
          <w:u w:val="single"/>
        </w:rPr>
        <w:t>（中型企业、小型企业、微型企业）</w:t>
      </w:r>
      <w:r>
        <w:rPr>
          <w:rFonts w:ascii="宋体" w:hAnsi="宋体" w:eastAsia="宋体" w:cs="宋体"/>
          <w:sz w:val="24"/>
          <w:szCs w:val="24"/>
        </w:rPr>
        <w:t>；</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2.</w:t>
      </w:r>
      <w:r>
        <w:rPr>
          <w:rFonts w:ascii="宋体" w:hAnsi="宋体" w:eastAsia="宋体" w:cs="宋体"/>
          <w:sz w:val="24"/>
          <w:szCs w:val="24"/>
          <w:u w:val="single"/>
        </w:rPr>
        <w:t>（标的名称）</w:t>
      </w:r>
      <w:r>
        <w:rPr>
          <w:rFonts w:ascii="宋体" w:hAnsi="宋体" w:eastAsia="宋体" w:cs="宋体"/>
          <w:sz w:val="24"/>
          <w:szCs w:val="24"/>
        </w:rPr>
        <w:t>，属于</w:t>
      </w:r>
      <w:r>
        <w:rPr>
          <w:rFonts w:ascii="宋体" w:hAnsi="宋体" w:eastAsia="宋体" w:cs="宋体"/>
          <w:sz w:val="24"/>
          <w:szCs w:val="24"/>
          <w:u w:val="single"/>
        </w:rPr>
        <w:t>（采购文件中明确的所属行业）</w:t>
      </w:r>
      <w:r>
        <w:rPr>
          <w:rFonts w:ascii="宋体" w:hAnsi="宋体" w:eastAsia="宋体" w:cs="宋体"/>
          <w:sz w:val="24"/>
          <w:szCs w:val="24"/>
        </w:rPr>
        <w:t>；承建（承接）企业为</w:t>
      </w:r>
      <w:r>
        <w:rPr>
          <w:rFonts w:ascii="宋体" w:hAnsi="宋体" w:eastAsia="宋体" w:cs="宋体"/>
          <w:sz w:val="24"/>
          <w:szCs w:val="24"/>
          <w:u w:val="single"/>
        </w:rPr>
        <w:t>（企业名称）</w:t>
      </w:r>
      <w:r>
        <w:rPr>
          <w:rFonts w:ascii="宋体" w:hAnsi="宋体" w:eastAsia="宋体" w:cs="宋体"/>
          <w:sz w:val="24"/>
          <w:szCs w:val="24"/>
        </w:rPr>
        <w:t>，从业人员</w:t>
      </w:r>
      <w:r>
        <w:rPr>
          <w:rFonts w:hint="eastAsia" w:ascii="宋体" w:hAnsi="宋体" w:eastAsia="宋体" w:cs="宋体"/>
          <w:sz w:val="24"/>
          <w:szCs w:val="24"/>
          <w:u w:val="single"/>
          <w:lang w:val="en-US" w:eastAsia="zh-CN"/>
        </w:rPr>
        <w:t>xxx</w:t>
      </w:r>
      <w:r>
        <w:rPr>
          <w:rFonts w:ascii="宋体" w:hAnsi="宋体" w:eastAsia="宋体" w:cs="宋体"/>
          <w:sz w:val="24"/>
          <w:szCs w:val="24"/>
        </w:rPr>
        <w:t>人，营业收入为</w:t>
      </w:r>
      <w:r>
        <w:rPr>
          <w:rFonts w:hint="eastAsia" w:ascii="宋体" w:hAnsi="宋体" w:eastAsia="宋体" w:cs="宋体"/>
          <w:sz w:val="24"/>
          <w:szCs w:val="24"/>
          <w:u w:val="single"/>
          <w:lang w:val="en-US" w:eastAsia="zh-CN"/>
        </w:rPr>
        <w:t>xxx</w:t>
      </w:r>
      <w:r>
        <w:rPr>
          <w:rFonts w:ascii="宋体" w:hAnsi="宋体" w:eastAsia="宋体" w:cs="宋体"/>
          <w:sz w:val="24"/>
          <w:szCs w:val="24"/>
        </w:rPr>
        <w:t>万元，资产总额为</w:t>
      </w:r>
      <w:r>
        <w:rPr>
          <w:rFonts w:hint="eastAsia" w:ascii="宋体" w:hAnsi="宋体" w:eastAsia="宋体" w:cs="宋体"/>
          <w:sz w:val="24"/>
          <w:szCs w:val="24"/>
          <w:u w:val="single"/>
          <w:lang w:val="en-US" w:eastAsia="zh-CN"/>
        </w:rPr>
        <w:t>xxx</w:t>
      </w:r>
      <w:r>
        <w:rPr>
          <w:rFonts w:ascii="宋体" w:hAnsi="宋体" w:eastAsia="宋体" w:cs="宋体"/>
          <w:sz w:val="24"/>
          <w:szCs w:val="24"/>
        </w:rPr>
        <w:t>万元，属于</w:t>
      </w:r>
      <w:r>
        <w:rPr>
          <w:rFonts w:ascii="宋体" w:hAnsi="宋体" w:eastAsia="宋体" w:cs="宋体"/>
          <w:sz w:val="24"/>
          <w:szCs w:val="24"/>
          <w:u w:val="single"/>
        </w:rPr>
        <w:t>（中型企业、小型企业、微型企业）</w:t>
      </w:r>
      <w:r>
        <w:rPr>
          <w:rFonts w:ascii="宋体" w:hAnsi="宋体" w:eastAsia="宋体" w:cs="宋体"/>
          <w:sz w:val="24"/>
          <w:szCs w:val="24"/>
        </w:rPr>
        <w:t>；</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以上企业，不属于大企业的分支机构，不存在控股股东为大企业的情形，也不存在与大企业的负责人为同一人的情形。</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firstLine="480" w:firstLineChars="200"/>
        <w:textAlignment w:val="auto"/>
        <w:rPr>
          <w:rFonts w:ascii="宋体" w:hAnsi="宋体" w:eastAsia="宋体" w:cs="宋体"/>
          <w:sz w:val="24"/>
          <w:szCs w:val="24"/>
        </w:rPr>
      </w:pPr>
      <w:r>
        <w:rPr>
          <w:rFonts w:ascii="宋体" w:hAnsi="宋体" w:eastAsia="宋体" w:cs="宋体"/>
          <w:sz w:val="24"/>
          <w:szCs w:val="24"/>
        </w:rPr>
        <w:t>本企业对上述声明内容的真实性负责。如有虚假，将依法承担相应责任。</w:t>
      </w: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0" w:firstLineChars="0"/>
        <w:jc w:val="center"/>
        <w:textAlignment w:val="auto"/>
        <w:rPr>
          <w:rFonts w:ascii="宋体" w:hAnsi="宋体" w:eastAsia="宋体" w:cs="宋体"/>
          <w:sz w:val="24"/>
          <w:szCs w:val="24"/>
        </w:rPr>
      </w:pPr>
    </w:p>
    <w:p>
      <w:pPr>
        <w:pStyle w:val="45"/>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宋体" w:hAnsi="宋体" w:eastAsia="宋体" w:cs="宋体"/>
          <w:sz w:val="24"/>
          <w:szCs w:val="24"/>
        </w:rPr>
      </w:pPr>
    </w:p>
    <w:p>
      <w:pPr>
        <w:pStyle w:val="44"/>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3840" w:firstLineChars="1600"/>
        <w:textAlignment w:val="auto"/>
        <w:rPr>
          <w:rFonts w:hint="default" w:ascii="宋体" w:hAnsi="宋体" w:eastAsia="宋体" w:cs="宋体"/>
          <w:sz w:val="24"/>
          <w:szCs w:val="24"/>
          <w:u w:val="single"/>
          <w:lang w:val="en-US" w:eastAsia="zh-CN"/>
        </w:rPr>
      </w:pPr>
      <w:r>
        <w:rPr>
          <w:rFonts w:ascii="宋体" w:hAnsi="宋体" w:eastAsia="宋体" w:cs="宋体"/>
          <w:sz w:val="24"/>
          <w:szCs w:val="24"/>
        </w:rPr>
        <w:t>企业名称（盖章）</w:t>
      </w:r>
      <w:r>
        <w:rPr>
          <w:rFonts w:hint="eastAsia" w:hAnsi="宋体" w:cs="宋体"/>
          <w:sz w:val="24"/>
          <w:szCs w:val="24"/>
          <w:lang w:val="en-US" w:eastAsia="zh-CN"/>
        </w:rPr>
        <w:t>:</w:t>
      </w:r>
      <w:r>
        <w:rPr>
          <w:rFonts w:hint="eastAsia" w:hAnsi="宋体" w:cs="宋体"/>
          <w:sz w:val="24"/>
          <w:szCs w:val="24"/>
          <w:u w:val="single"/>
          <w:lang w:val="en-US" w:eastAsia="zh-CN"/>
        </w:rPr>
        <w:t xml:space="preserve">               </w:t>
      </w:r>
    </w:p>
    <w:p>
      <w:pPr>
        <w:keepNext w:val="0"/>
        <w:keepLines w:val="0"/>
        <w:pageBreakBefore w:val="0"/>
        <w:widowControl w:val="0"/>
        <w:kinsoku/>
        <w:bidi w:val="0"/>
        <w:adjustRightInd w:val="0"/>
        <w:snapToGrid w:val="0"/>
        <w:spacing w:line="312" w:lineRule="auto"/>
        <w:ind w:firstLine="3840" w:firstLineChars="1600"/>
        <w:jc w:val="left"/>
        <w:rPr>
          <w:rFonts w:hint="default" w:eastAsia="宋体"/>
          <w:sz w:val="24"/>
          <w:szCs w:val="24"/>
          <w:u w:val="single"/>
          <w:lang w:val="en-US" w:eastAsia="zh-CN"/>
        </w:rPr>
      </w:pPr>
      <w:r>
        <w:rPr>
          <w:rFonts w:hint="eastAsia" w:ascii="宋体" w:hAnsi="宋体" w:eastAsia="宋体" w:cs="宋体"/>
          <w:sz w:val="24"/>
        </w:rPr>
        <w:t>日 期:</w:t>
      </w:r>
      <w:r>
        <w:rPr>
          <w:rFonts w:hint="eastAsia" w:cs="宋体"/>
          <w:sz w:val="24"/>
          <w:lang w:val="en-US" w:eastAsia="zh-CN"/>
        </w:rPr>
        <w:t xml:space="preserve">    </w:t>
      </w:r>
      <w:r>
        <w:rPr>
          <w:rFonts w:hint="eastAsia" w:ascii="宋体" w:hAnsi="宋体" w:eastAsia="宋体" w:cs="宋体"/>
          <w:sz w:val="24"/>
        </w:rPr>
        <w:t>年   月   日</w:t>
      </w:r>
    </w:p>
    <w:p>
      <w:pPr>
        <w:pStyle w:val="44"/>
        <w:keepNext w:val="0"/>
        <w:keepLines w:val="0"/>
        <w:pageBreakBefore w:val="0"/>
        <w:widowControl w:val="0"/>
        <w:kinsoku/>
        <w:bidi w:val="0"/>
        <w:ind w:left="0" w:leftChars="0" w:firstLine="0"/>
        <w:jc w:val="left"/>
        <w:rPr>
          <w:rFonts w:hint="eastAsia" w:hAnsi="宋体"/>
          <w:sz w:val="24"/>
          <w:szCs w:val="24"/>
        </w:rPr>
      </w:pPr>
    </w:p>
    <w:p>
      <w:pPr>
        <w:pStyle w:val="44"/>
        <w:keepNext w:val="0"/>
        <w:keepLines w:val="0"/>
        <w:pageBreakBefore w:val="0"/>
        <w:widowControl w:val="0"/>
        <w:kinsoku/>
        <w:bidi w:val="0"/>
        <w:ind w:left="0" w:leftChars="0" w:firstLine="0"/>
        <w:jc w:val="left"/>
        <w:rPr>
          <w:rFonts w:hint="eastAsia" w:hAnsi="宋体"/>
          <w:sz w:val="24"/>
          <w:szCs w:val="24"/>
        </w:rPr>
      </w:pPr>
    </w:p>
    <w:p>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注:从业人员、营业收入、资产总额填报上一年度数据，无上一年度数据的新成立企业可不填报。</w:t>
      </w:r>
    </w:p>
    <w:p>
      <w:pPr>
        <w:keepNext w:val="0"/>
        <w:keepLines w:val="0"/>
        <w:pageBreakBefore w:val="0"/>
        <w:widowControl w:val="0"/>
        <w:kinsoku/>
        <w:bidi w:val="0"/>
        <w:adjustRightInd w:val="0"/>
        <w:snapToGrid w:val="0"/>
        <w:spacing w:line="312" w:lineRule="auto"/>
        <w:rPr>
          <w:rFonts w:hint="eastAsia" w:ascii="楷体" w:hAnsi="楷体" w:eastAsia="楷体" w:cs="楷体"/>
          <w:color w:val="auto"/>
          <w:kern w:val="2"/>
          <w:sz w:val="24"/>
          <w:szCs w:val="24"/>
        </w:rPr>
      </w:pPr>
      <w:r>
        <w:rPr>
          <w:rFonts w:hint="eastAsia" w:ascii="楷体" w:hAnsi="楷体" w:eastAsia="楷体" w:cs="楷体"/>
          <w:b w:val="0"/>
          <w:bCs w:val="0"/>
          <w:color w:val="auto"/>
          <w:sz w:val="24"/>
          <w:szCs w:val="24"/>
          <w:highlight w:val="none"/>
          <w:lang w:val="en-US" w:eastAsia="zh-CN"/>
        </w:rPr>
        <w:t>供应商不属于中型、小型、微型企业</w:t>
      </w:r>
      <w:r>
        <w:rPr>
          <w:rFonts w:hint="eastAsia" w:ascii="楷体" w:hAnsi="楷体" w:eastAsia="楷体" w:cs="楷体"/>
          <w:i w:val="0"/>
          <w:iCs/>
          <w:snapToGrid w:val="0"/>
          <w:color w:val="auto"/>
          <w:kern w:val="0"/>
          <w:sz w:val="24"/>
          <w:szCs w:val="24"/>
          <w:lang w:val="en-US" w:eastAsia="zh-CN" w:bidi="ar"/>
        </w:rPr>
        <w:t>，不用提供此函</w:t>
      </w:r>
    </w:p>
    <w:p>
      <w:pPr>
        <w:keepNext w:val="0"/>
        <w:keepLines w:val="0"/>
        <w:pageBreakBefore w:val="0"/>
        <w:widowControl w:val="0"/>
        <w:numPr>
          <w:ilvl w:val="0"/>
          <w:numId w:val="35"/>
        </w:numPr>
        <w:kinsoku/>
        <w:bidi w:val="0"/>
        <w:snapToGrid w:val="0"/>
        <w:rPr>
          <w:rFonts w:hint="eastAsia" w:cs="宋体"/>
          <w:sz w:val="24"/>
          <w:szCs w:val="24"/>
        </w:rPr>
      </w:pPr>
      <w:r>
        <w:rPr>
          <w:rFonts w:hint="eastAsia"/>
          <w:kern w:val="2"/>
          <w:sz w:val="24"/>
          <w:szCs w:val="24"/>
        </w:rPr>
        <w:br w:type="page"/>
      </w:r>
    </w:p>
    <w:p>
      <w:pPr>
        <w:pStyle w:val="19"/>
        <w:keepNext w:val="0"/>
        <w:keepLines w:val="0"/>
        <w:pageBreakBefore w:val="0"/>
        <w:widowControl w:val="0"/>
        <w:kinsoku/>
        <w:bidi w:val="0"/>
        <w:rPr>
          <w:rFonts w:hint="eastAsia"/>
        </w:rPr>
      </w:pPr>
    </w:p>
    <w:p>
      <w:pPr>
        <w:keepNext w:val="0"/>
        <w:keepLines w:val="0"/>
        <w:pageBreakBefore w:val="0"/>
        <w:widowControl w:val="0"/>
        <w:kinsoku/>
        <w:autoSpaceDE w:val="0"/>
        <w:autoSpaceDN w:val="0"/>
        <w:bidi w:val="0"/>
        <w:adjustRightInd w:val="0"/>
        <w:snapToGrid w:val="0"/>
        <w:spacing w:after="240" w:afterLines="100"/>
        <w:jc w:val="center"/>
        <w:rPr>
          <w:rFonts w:hint="eastAsia" w:cs="宋体"/>
          <w:bCs/>
          <w:sz w:val="36"/>
          <w:szCs w:val="36"/>
          <w:lang w:val="zh-CN"/>
        </w:rPr>
      </w:pPr>
      <w:r>
        <w:rPr>
          <w:rFonts w:hint="eastAsia" w:cs="宋体"/>
          <w:bCs/>
          <w:spacing w:val="28"/>
          <w:sz w:val="36"/>
          <w:szCs w:val="36"/>
          <w:lang w:val="zh-CN"/>
        </w:rPr>
        <w:t>监狱企业声明</w:t>
      </w:r>
      <w:r>
        <w:rPr>
          <w:rFonts w:hint="eastAsia" w:cs="宋体"/>
          <w:bCs/>
          <w:sz w:val="36"/>
          <w:szCs w:val="36"/>
          <w:lang w:val="zh-CN"/>
        </w:rPr>
        <w:t>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sz w:val="24"/>
          <w:szCs w:val="24"/>
        </w:rPr>
      </w:pPr>
      <w:r>
        <w:rPr>
          <w:rFonts w:hint="eastAsia" w:cs="宋体"/>
          <w:sz w:val="24"/>
          <w:szCs w:val="24"/>
        </w:rPr>
        <w:t>本企业郑重声明，根据《关于政府采购支持监狱企业发展有关问题的通知》（财库[2014]68号）的规定，本企业为</w:t>
      </w:r>
      <w:r>
        <w:rPr>
          <w:rFonts w:hint="eastAsia" w:cs="宋体"/>
          <w:sz w:val="24"/>
          <w:szCs w:val="24"/>
          <w:u w:val="single"/>
        </w:rPr>
        <w:t>监狱企业</w:t>
      </w:r>
      <w:r>
        <w:rPr>
          <w:rFonts w:hint="eastAsia" w:cs="宋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sz w:val="24"/>
          <w:szCs w:val="24"/>
        </w:rPr>
      </w:pPr>
      <w:r>
        <w:rPr>
          <w:rFonts w:hint="eastAsia" w:cs="宋体"/>
          <w:sz w:val="24"/>
          <w:szCs w:val="24"/>
        </w:rPr>
        <w:t>根据上述标准，我企业属于</w:t>
      </w:r>
      <w:r>
        <w:rPr>
          <w:rFonts w:hint="eastAsia" w:cs="宋体"/>
          <w:sz w:val="24"/>
          <w:szCs w:val="24"/>
          <w:u w:val="single"/>
        </w:rPr>
        <w:t>监狱企业</w:t>
      </w:r>
      <w:r>
        <w:rPr>
          <w:rFonts w:hint="eastAsia" w:cs="宋体"/>
          <w:sz w:val="24"/>
          <w:szCs w:val="24"/>
        </w:rPr>
        <w:t>的理由为：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z w:val="24"/>
          <w:szCs w:val="24"/>
        </w:rPr>
      </w:pPr>
      <w:r>
        <w:rPr>
          <w:rFonts w:hint="eastAsia" w:cs="宋体"/>
          <w:sz w:val="24"/>
          <w:szCs w:val="24"/>
        </w:rPr>
        <w:t>本企业为参加（项目名称：</w:t>
      </w:r>
      <w:r>
        <w:rPr>
          <w:rFonts w:hint="eastAsia" w:cs="宋体"/>
          <w:sz w:val="24"/>
          <w:szCs w:val="24"/>
          <w:u w:val="single"/>
        </w:rPr>
        <w:t xml:space="preserve">              </w:t>
      </w:r>
      <w:r>
        <w:rPr>
          <w:rFonts w:hint="eastAsia" w:cs="宋体"/>
          <w:sz w:val="24"/>
          <w:szCs w:val="24"/>
        </w:rPr>
        <w:t>）（项目编号：</w:t>
      </w:r>
      <w:r>
        <w:rPr>
          <w:rFonts w:hint="eastAsia" w:cs="宋体"/>
          <w:sz w:val="24"/>
          <w:szCs w:val="24"/>
          <w:u w:val="single"/>
        </w:rPr>
        <w:t xml:space="preserve">             </w:t>
      </w:r>
      <w:r>
        <w:rPr>
          <w:rFonts w:hint="eastAsia" w:cs="宋体"/>
          <w:sz w:val="24"/>
          <w:szCs w:val="24"/>
        </w:rPr>
        <w:t>）采购活动提供本企业的产品。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z w:val="24"/>
          <w:szCs w:val="24"/>
        </w:rPr>
      </w:pPr>
      <w:r>
        <w:rPr>
          <w:rFonts w:hint="eastAsia" w:cs="宋体"/>
          <w:sz w:val="24"/>
          <w:szCs w:val="24"/>
        </w:rPr>
        <w:t>本企业对上述声明的真实性负责。如有虚假，将依法承担相应责任。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pPr>
        <w:pStyle w:val="44"/>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cs="宋体"/>
          <w:sz w:val="24"/>
          <w:szCs w:val="24"/>
        </w:rPr>
      </w:pPr>
    </w:p>
    <w:p>
      <w:pPr>
        <w:pStyle w:val="44"/>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rPr>
      </w:pPr>
    </w:p>
    <w:tbl>
      <w:tblPr>
        <w:tblStyle w:val="47"/>
        <w:tblW w:w="4885" w:type="dxa"/>
        <w:jc w:val="right"/>
        <w:tblLayout w:type="fixed"/>
        <w:tblCellMar>
          <w:top w:w="0" w:type="dxa"/>
          <w:left w:w="108" w:type="dxa"/>
          <w:bottom w:w="0" w:type="dxa"/>
          <w:right w:w="108" w:type="dxa"/>
        </w:tblCellMar>
      </w:tblPr>
      <w:tblGrid>
        <w:gridCol w:w="2506"/>
        <w:gridCol w:w="2379"/>
      </w:tblGrid>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szCs w:val="24"/>
              </w:rPr>
              <w:t>投标人全称</w:t>
            </w:r>
            <w:r>
              <w:rPr>
                <w:rFonts w:hint="eastAsia" w:cs="宋体"/>
                <w:sz w:val="24"/>
              </w:rPr>
              <w:t>:（盖章）</w:t>
            </w:r>
          </w:p>
        </w:tc>
        <w:tc>
          <w:tcPr>
            <w:tcW w:w="2379"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379"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4885"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pPr>
        <w:keepNext w:val="0"/>
        <w:keepLines w:val="0"/>
        <w:pageBreakBefore w:val="0"/>
        <w:widowControl w:val="0"/>
        <w:kinsoku/>
        <w:bidi w:val="0"/>
        <w:adjustRightInd w:val="0"/>
        <w:snapToGrid w:val="0"/>
        <w:spacing w:line="312" w:lineRule="auto"/>
        <w:jc w:val="center"/>
        <w:rPr>
          <w:rFonts w:hint="eastAsia" w:cs="宋体"/>
          <w:sz w:val="24"/>
          <w:szCs w:val="24"/>
        </w:rPr>
      </w:pPr>
    </w:p>
    <w:p>
      <w:pPr>
        <w:keepNext w:val="0"/>
        <w:keepLines w:val="0"/>
        <w:pageBreakBefore w:val="0"/>
        <w:widowControl w:val="0"/>
        <w:kinsoku/>
        <w:bidi w:val="0"/>
        <w:adjustRightInd w:val="0"/>
        <w:snapToGrid w:val="0"/>
        <w:spacing w:line="312" w:lineRule="auto"/>
        <w:jc w:val="center"/>
        <w:rPr>
          <w:rFonts w:hint="eastAsia" w:cs="宋体"/>
          <w:sz w:val="24"/>
          <w:szCs w:val="24"/>
        </w:rPr>
      </w:pPr>
    </w:p>
    <w:p>
      <w:pPr>
        <w:keepNext w:val="0"/>
        <w:keepLines w:val="0"/>
        <w:pageBreakBefore w:val="0"/>
        <w:widowControl w:val="0"/>
        <w:kinsoku/>
        <w:bidi w:val="0"/>
        <w:adjustRightInd w:val="0"/>
        <w:snapToGrid w:val="0"/>
        <w:spacing w:line="312" w:lineRule="auto"/>
        <w:jc w:val="center"/>
        <w:rPr>
          <w:rFonts w:hint="eastAsia" w:cs="宋体"/>
          <w:sz w:val="24"/>
          <w:szCs w:val="24"/>
        </w:rPr>
      </w:pPr>
    </w:p>
    <w:p>
      <w:pPr>
        <w:keepNext w:val="0"/>
        <w:keepLines w:val="0"/>
        <w:pageBreakBefore w:val="0"/>
        <w:widowControl w:val="0"/>
        <w:kinsoku/>
        <w:bidi w:val="0"/>
        <w:snapToGrid w:val="0"/>
        <w:spacing w:line="312" w:lineRule="auto"/>
        <w:rPr>
          <w:rFonts w:hint="eastAsia" w:ascii="楷体" w:hAnsi="楷体" w:eastAsia="楷体" w:cs="楷体"/>
          <w:sz w:val="24"/>
          <w:szCs w:val="24"/>
        </w:rPr>
      </w:pPr>
      <w:r>
        <w:rPr>
          <w:rFonts w:hint="eastAsia" w:ascii="楷体" w:hAnsi="楷体" w:eastAsia="楷体" w:cs="楷体"/>
          <w:sz w:val="24"/>
          <w:szCs w:val="24"/>
        </w:rPr>
        <w:t>注:投标人为监狱企业的提供此函（</w:t>
      </w:r>
      <w:r>
        <w:rPr>
          <w:rFonts w:hint="eastAsia" w:ascii="楷体" w:hAnsi="楷体" w:eastAsia="楷体" w:cs="楷体"/>
          <w:bCs/>
          <w:sz w:val="24"/>
          <w:szCs w:val="24"/>
          <w:lang w:val="zh-CN"/>
        </w:rPr>
        <w:t>非监狱企业不需提供</w:t>
      </w:r>
      <w:r>
        <w:rPr>
          <w:rFonts w:hint="eastAsia" w:ascii="楷体" w:hAnsi="楷体" w:eastAsia="楷体" w:cs="楷体"/>
          <w:sz w:val="24"/>
          <w:szCs w:val="24"/>
        </w:rPr>
        <w:t>）。</w:t>
      </w:r>
    </w:p>
    <w:p>
      <w:pPr>
        <w:keepNext w:val="0"/>
        <w:keepLines w:val="0"/>
        <w:pageBreakBefore w:val="0"/>
        <w:widowControl w:val="0"/>
        <w:kinsoku/>
        <w:bidi w:val="0"/>
        <w:snapToGrid w:val="0"/>
        <w:spacing w:line="312" w:lineRule="auto"/>
        <w:rPr>
          <w:rFonts w:hint="eastAsia" w:ascii="楷体" w:hAnsi="楷体" w:eastAsia="楷体" w:cs="楷体"/>
          <w:sz w:val="24"/>
          <w:szCs w:val="24"/>
        </w:rPr>
      </w:pPr>
      <w:r>
        <w:rPr>
          <w:rFonts w:hint="eastAsia" w:ascii="楷体" w:hAnsi="楷体" w:eastAsia="楷体" w:cs="楷体"/>
          <w:sz w:val="24"/>
          <w:szCs w:val="24"/>
        </w:rPr>
        <w:t>监狱企业参加政府采购活动时，应当提供由省级以上监狱管理局、戒毒管理局（含新疆生产建设兵团）出具的属于监狱企业的证明文件。</w:t>
      </w:r>
    </w:p>
    <w:p>
      <w:pPr>
        <w:keepNext w:val="0"/>
        <w:keepLines w:val="0"/>
        <w:pageBreakBefore w:val="0"/>
        <w:widowControl w:val="0"/>
        <w:numPr>
          <w:ilvl w:val="0"/>
          <w:numId w:val="35"/>
        </w:numPr>
        <w:kinsoku/>
        <w:bidi w:val="0"/>
        <w:snapToGrid w:val="0"/>
        <w:rPr>
          <w:rFonts w:hint="eastAsia" w:cs="宋体"/>
          <w:sz w:val="24"/>
          <w:szCs w:val="24"/>
        </w:rPr>
      </w:pPr>
      <w:r>
        <w:rPr>
          <w:rFonts w:hint="eastAsia"/>
          <w:bCs/>
          <w:sz w:val="24"/>
        </w:rPr>
        <w:br w:type="page"/>
      </w:r>
      <w:bookmarkStart w:id="322" w:name="OLE_LINK14"/>
      <w:bookmarkStart w:id="323" w:name="OLE_LINK13"/>
    </w:p>
    <w:p>
      <w:pPr>
        <w:pStyle w:val="19"/>
        <w:keepNext w:val="0"/>
        <w:keepLines w:val="0"/>
        <w:pageBreakBefore w:val="0"/>
        <w:widowControl w:val="0"/>
        <w:kinsoku/>
        <w:bidi w:val="0"/>
        <w:rPr>
          <w:rFonts w:hint="eastAsia"/>
        </w:rPr>
      </w:pPr>
    </w:p>
    <w:p>
      <w:pPr>
        <w:keepNext w:val="0"/>
        <w:keepLines w:val="0"/>
        <w:pageBreakBefore w:val="0"/>
        <w:widowControl w:val="0"/>
        <w:kinsoku/>
        <w:autoSpaceDE w:val="0"/>
        <w:autoSpaceDN w:val="0"/>
        <w:bidi w:val="0"/>
        <w:adjustRightInd w:val="0"/>
        <w:snapToGrid w:val="0"/>
        <w:spacing w:after="240" w:afterLines="100"/>
        <w:jc w:val="center"/>
        <w:outlineLvl w:val="0"/>
        <w:rPr>
          <w:rFonts w:hint="eastAsia" w:cs="宋体"/>
          <w:bCs/>
          <w:sz w:val="36"/>
          <w:szCs w:val="36"/>
          <w:lang w:val="zh-CN"/>
        </w:rPr>
      </w:pPr>
      <w:bookmarkStart w:id="324" w:name="_Toc8368"/>
      <w:bookmarkStart w:id="325" w:name="_Toc20611"/>
      <w:r>
        <w:rPr>
          <w:rFonts w:hint="eastAsia" w:cs="宋体"/>
          <w:bCs/>
          <w:sz w:val="36"/>
          <w:szCs w:val="36"/>
          <w:lang w:val="zh-CN"/>
        </w:rPr>
        <w:t>残疾人福利性单位声明函</w:t>
      </w:r>
      <w:bookmarkEnd w:id="324"/>
      <w:bookmarkEnd w:id="325"/>
    </w:p>
    <w:bookmarkEnd w:id="322"/>
    <w:bookmarkEnd w:id="323"/>
    <w:p>
      <w:pPr>
        <w:keepNext w:val="0"/>
        <w:keepLines w:val="0"/>
        <w:pageBreakBefore w:val="0"/>
        <w:widowControl w:val="0"/>
        <w:kinsoku/>
        <w:wordWrap/>
        <w:overflowPunct/>
        <w:topLinePunct w:val="0"/>
        <w:autoSpaceDE/>
        <w:autoSpaceDN/>
        <w:bidi w:val="0"/>
        <w:snapToGrid w:val="0"/>
        <w:spacing w:line="360" w:lineRule="auto"/>
        <w:ind w:firstLine="504" w:firstLineChars="200"/>
        <w:textAlignment w:val="auto"/>
        <w:rPr>
          <w:rFonts w:hint="eastAsia" w:cs="宋体"/>
          <w:spacing w:val="6"/>
          <w:sz w:val="24"/>
          <w:szCs w:val="24"/>
        </w:rPr>
      </w:pPr>
      <w:r>
        <w:rPr>
          <w:rFonts w:hint="eastAsia" w:cs="宋体"/>
          <w:spacing w:val="6"/>
          <w:sz w:val="24"/>
          <w:szCs w:val="24"/>
        </w:rPr>
        <w:t>本单位郑重声明，根据《财政部民政部中国残疾人联合会关于促进残疾人就业政府采购政策的通知》（财库</w:t>
      </w:r>
      <w:r>
        <w:rPr>
          <w:rFonts w:hint="eastAsia" w:cs="宋体"/>
          <w:sz w:val="24"/>
          <w:szCs w:val="24"/>
        </w:rPr>
        <w:t>〔2017〕1</w:t>
      </w:r>
      <w:r>
        <w:rPr>
          <w:rFonts w:hint="eastAsia" w:cs="宋体"/>
          <w:sz w:val="24"/>
          <w:szCs w:val="24"/>
          <w:lang w:eastAsia="zh-CN"/>
        </w:rPr>
        <w:t>42</w:t>
      </w:r>
      <w:r>
        <w:rPr>
          <w:rFonts w:hint="eastAsia" w:cs="宋体"/>
          <w:spacing w:val="6"/>
          <w:sz w:val="24"/>
          <w:szCs w:val="24"/>
        </w:rPr>
        <w:t>号）的规定，本单位为符合条件的残疾人福利性单位，且本单位参加</w:t>
      </w:r>
      <w:r>
        <w:rPr>
          <w:rFonts w:hint="eastAsia" w:cs="宋体"/>
          <w:spacing w:val="6"/>
          <w:sz w:val="24"/>
          <w:szCs w:val="24"/>
          <w:u w:val="single"/>
        </w:rPr>
        <w:t>（采购人名称）</w:t>
      </w:r>
      <w:r>
        <w:rPr>
          <w:rFonts w:hint="eastAsia" w:cs="宋体"/>
          <w:spacing w:val="6"/>
          <w:sz w:val="24"/>
          <w:szCs w:val="24"/>
        </w:rPr>
        <w:t>单位的</w:t>
      </w:r>
      <w:r>
        <w:rPr>
          <w:rFonts w:hint="eastAsia" w:cs="宋体"/>
          <w:spacing w:val="6"/>
          <w:sz w:val="24"/>
          <w:szCs w:val="24"/>
          <w:u w:val="single"/>
        </w:rPr>
        <w:t>（项目名称）</w:t>
      </w:r>
      <w:r>
        <w:rPr>
          <w:rFonts w:hint="eastAsia" w:cs="宋体"/>
          <w:spacing w:val="6"/>
          <w:sz w:val="24"/>
          <w:szCs w:val="24"/>
        </w:rPr>
        <w:t>项目采购活动提供本单位制造的产品（由本单位承担工程/提供服务），或者提供其他残疾人福利性单位制造的产品（不包括使用非残疾人福利性单位注册商标的产品）。</w:t>
      </w:r>
    </w:p>
    <w:p>
      <w:pPr>
        <w:keepNext w:val="0"/>
        <w:keepLines w:val="0"/>
        <w:pageBreakBefore w:val="0"/>
        <w:widowControl w:val="0"/>
        <w:kinsoku/>
        <w:wordWrap/>
        <w:overflowPunct/>
        <w:topLinePunct w:val="0"/>
        <w:autoSpaceDE/>
        <w:autoSpaceDN/>
        <w:bidi w:val="0"/>
        <w:snapToGrid w:val="0"/>
        <w:spacing w:line="360" w:lineRule="auto"/>
        <w:ind w:firstLine="504" w:firstLineChars="200"/>
        <w:textAlignment w:val="auto"/>
        <w:rPr>
          <w:rFonts w:hint="eastAsia" w:cs="宋体"/>
          <w:spacing w:val="6"/>
          <w:sz w:val="24"/>
          <w:szCs w:val="24"/>
        </w:rPr>
      </w:pPr>
      <w:r>
        <w:rPr>
          <w:rFonts w:hint="eastAsia" w:cs="宋体"/>
          <w:spacing w:val="6"/>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pacing w:val="6"/>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pacing w:val="6"/>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pPr>
        <w:pStyle w:val="44"/>
        <w:keepNext w:val="0"/>
        <w:keepLines w:val="0"/>
        <w:pageBreakBefore w:val="0"/>
        <w:widowControl w:val="0"/>
        <w:kinsoku/>
        <w:wordWrap/>
        <w:overflowPunct/>
        <w:topLinePunct w:val="0"/>
        <w:autoSpaceDE/>
        <w:autoSpaceDN/>
        <w:bidi w:val="0"/>
        <w:adjustRightInd w:val="0"/>
        <w:spacing w:after="0" w:line="360" w:lineRule="auto"/>
        <w:ind w:left="0" w:leftChars="0" w:firstLine="0" w:firstLineChars="0"/>
        <w:jc w:val="center"/>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tbl>
      <w:tblPr>
        <w:tblStyle w:val="47"/>
        <w:tblW w:w="4908" w:type="dxa"/>
        <w:jc w:val="right"/>
        <w:tblLayout w:type="fixed"/>
        <w:tblCellMar>
          <w:top w:w="0" w:type="dxa"/>
          <w:left w:w="108" w:type="dxa"/>
          <w:bottom w:w="0" w:type="dxa"/>
          <w:right w:w="108" w:type="dxa"/>
        </w:tblCellMar>
      </w:tblPr>
      <w:tblGrid>
        <w:gridCol w:w="2506"/>
        <w:gridCol w:w="2402"/>
      </w:tblGrid>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szCs w:val="24"/>
              </w:rPr>
              <w:t>投标人全称</w:t>
            </w:r>
            <w:r>
              <w:rPr>
                <w:rFonts w:hint="eastAsia" w:cs="宋体"/>
                <w:sz w:val="24"/>
              </w:rPr>
              <w:t>:（盖章）</w:t>
            </w:r>
          </w:p>
        </w:tc>
        <w:tc>
          <w:tcPr>
            <w:tcW w:w="2402"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2506" w:type="dxa"/>
            <w:noWrap w:val="0"/>
            <w:vAlign w:val="center"/>
          </w:tcPr>
          <w:p>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402" w:type="dxa"/>
            <w:noWrap w:val="0"/>
            <w:vAlign w:val="center"/>
          </w:tcPr>
          <w:p>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tblPrEx>
          <w:tblCellMar>
            <w:top w:w="0" w:type="dxa"/>
            <w:left w:w="108" w:type="dxa"/>
            <w:bottom w:w="0" w:type="dxa"/>
            <w:right w:w="108" w:type="dxa"/>
          </w:tblCellMar>
        </w:tblPrEx>
        <w:trPr>
          <w:jc w:val="right"/>
        </w:trPr>
        <w:tc>
          <w:tcPr>
            <w:tcW w:w="4908" w:type="dxa"/>
            <w:gridSpan w:val="2"/>
            <w:noWrap w:val="0"/>
            <w:vAlign w:val="center"/>
          </w:tcPr>
          <w:p>
            <w:pPr>
              <w:keepNext w:val="0"/>
              <w:keepLines w:val="0"/>
              <w:pageBreakBefore w:val="0"/>
              <w:widowControl w:val="0"/>
              <w:kinsoku/>
              <w:bidi w:val="0"/>
              <w:adjustRightInd w:val="0"/>
              <w:snapToGrid w:val="0"/>
              <w:spacing w:before="120" w:beforeLines="50" w:after="120" w:afterLines="5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rPr>
          <w:rFonts w:hint="eastAsia"/>
          <w:sz w:val="24"/>
          <w:szCs w:val="24"/>
        </w:rPr>
      </w:pPr>
    </w:p>
    <w:p>
      <w:pPr>
        <w:pStyle w:val="44"/>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sz w:val="24"/>
          <w:szCs w:val="24"/>
        </w:rPr>
      </w:pPr>
    </w:p>
    <w:p>
      <w:pPr>
        <w:pStyle w:val="25"/>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pPr>
        <w:pStyle w:val="25"/>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pPr>
        <w:pStyle w:val="25"/>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pPr>
        <w:keepNext w:val="0"/>
        <w:keepLines w:val="0"/>
        <w:pageBreakBefore w:val="0"/>
        <w:widowControl w:val="0"/>
        <w:kinsoku/>
        <w:bidi w:val="0"/>
        <w:snapToGrid w:val="0"/>
        <w:spacing w:line="312" w:lineRule="auto"/>
        <w:rPr>
          <w:rFonts w:hint="eastAsia" w:ascii="黑体" w:hAnsi="黑体" w:eastAsia="黑体" w:cs="黑体"/>
          <w:sz w:val="24"/>
          <w:szCs w:val="24"/>
        </w:rPr>
      </w:pPr>
      <w:r>
        <w:rPr>
          <w:rFonts w:hint="eastAsia" w:ascii="楷体" w:hAnsi="楷体" w:eastAsia="楷体" w:cs="楷体"/>
          <w:sz w:val="24"/>
          <w:szCs w:val="24"/>
        </w:rPr>
        <w:t>注:投标人为残疾人福利性单位的提供此函（</w:t>
      </w:r>
      <w:r>
        <w:rPr>
          <w:rFonts w:hint="eastAsia" w:ascii="楷体" w:hAnsi="楷体" w:eastAsia="楷体" w:cs="楷体"/>
          <w:bCs/>
          <w:sz w:val="24"/>
          <w:szCs w:val="24"/>
          <w:lang w:val="zh-CN"/>
        </w:rPr>
        <w:t>非残疾人福利性单位不需提供</w:t>
      </w:r>
      <w:r>
        <w:rPr>
          <w:rFonts w:hint="eastAsia" w:ascii="楷体" w:hAnsi="楷体" w:eastAsia="楷体" w:cs="楷体"/>
          <w:sz w:val="24"/>
          <w:szCs w:val="24"/>
        </w:rPr>
        <w:t>）</w:t>
      </w:r>
      <w:r>
        <w:rPr>
          <w:rFonts w:hint="eastAsia" w:ascii="楷体" w:hAnsi="楷体" w:eastAsia="楷体" w:cs="楷体"/>
          <w:spacing w:val="6"/>
          <w:sz w:val="24"/>
          <w:szCs w:val="24"/>
        </w:rPr>
        <w:t>。</w:t>
      </w:r>
    </w:p>
    <w:sectPr>
      <w:pgSz w:w="11907" w:h="16840"/>
      <w:pgMar w:top="1440" w:right="1080" w:bottom="1440" w:left="1080" w:header="851" w:footer="1077" w:gutter="0"/>
      <w:pgBorders>
        <w:top w:val="none" w:sz="0" w:space="0"/>
        <w:left w:val="none" w:sz="0" w:space="0"/>
        <w:bottom w:val="none" w:sz="0" w:space="0"/>
        <w:right w:val="none" w:sz="0" w:space="0"/>
      </w:pgBorders>
      <w:pgNumType w:fmt="decimal"/>
      <w:cols w:space="720" w:num="1"/>
      <w:titlePg/>
      <w:docGrid w:linePitch="436" w:charSpace="0"/>
    </w:sectPr>
  </w:body>
</w:document>
</file>

<file path=word/customizations.xml><?xml version="1.0" encoding="utf-8"?>
<wne:tcg xmlns:r="http://schemas.openxmlformats.org/officeDocument/2006/relationships" xmlns:wne="http://schemas.microsoft.com/office/word/2006/wordml">
  <wne:keymaps>
    <wne:keymap wne:kcmPrimary="0232">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Helvetica">
    <w:altName w:val="Arial"/>
    <w:panose1 w:val="020B0504020202030204"/>
    <w:charset w:val="00"/>
    <w:family w:val="auto"/>
    <w:pitch w:val="default"/>
    <w:sig w:usb0="00000000" w:usb1="00000000" w:usb2="00000000" w:usb3="00000000" w:csb0="00000093"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sz w:val="21"/>
      </w:rPr>
    </w:pPr>
    <w:r>
      <w:rPr>
        <w:sz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sz w:val="32"/>
        <w:szCs w:val="32"/>
        <w:lang w:eastAsia="zh-CN"/>
      </w:rPr>
      <w:drawing>
        <wp:anchor distT="0" distB="0" distL="114300" distR="114300" simplePos="0" relativeHeight="251663360" behindDoc="1" locked="0" layoutInCell="1" allowOverlap="1">
          <wp:simplePos x="0" y="0"/>
          <wp:positionH relativeFrom="column">
            <wp:posOffset>3669030</wp:posOffset>
          </wp:positionH>
          <wp:positionV relativeFrom="paragraph">
            <wp:posOffset>-64135</wp:posOffset>
          </wp:positionV>
          <wp:extent cx="2089150" cy="217805"/>
          <wp:effectExtent l="0" t="0" r="6350" b="10795"/>
          <wp:wrapNone/>
          <wp:docPr id="7" name="图片 1027"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7"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22860</wp:posOffset>
              </wp:positionV>
              <wp:extent cx="7620" cy="197485"/>
              <wp:effectExtent l="0" t="0" r="0" b="0"/>
              <wp:wrapNone/>
              <wp:docPr id="1" name="文本框 3"/>
              <wp:cNvGraphicFramePr/>
              <a:graphic xmlns:a="http://schemas.openxmlformats.org/drawingml/2006/main">
                <a:graphicData uri="http://schemas.microsoft.com/office/word/2010/wordprocessingShape">
                  <wps:wsp>
                    <wps:cNvSpPr txBox="1"/>
                    <wps:spPr>
                      <a:xfrm>
                        <a:off x="0" y="0"/>
                        <a:ext cx="7620" cy="197485"/>
                      </a:xfrm>
                      <a:prstGeom prst="rect">
                        <a:avLst/>
                      </a:prstGeom>
                      <a:noFill/>
                      <a:ln>
                        <a:noFill/>
                      </a:ln>
                    </wps:spPr>
                    <wps:txbx>
                      <w:txbxContent>
                        <w:p>
                          <w:pPr>
                            <w:pStyle w:val="30"/>
                            <w:jc w:val="center"/>
                            <w:rPr>
                              <w:rStyle w:val="52"/>
                              <w:sz w:val="24"/>
                            </w:rPr>
                          </w:pPr>
                        </w:p>
                      </w:txbxContent>
                    </wps:txbx>
                    <wps:bodyPr wrap="none" lIns="0" tIns="0" rIns="0" bIns="0" upright="1">
                      <a:spAutoFit/>
                    </wps:bodyPr>
                  </wps:wsp>
                </a:graphicData>
              </a:graphic>
            </wp:anchor>
          </w:drawing>
        </mc:Choice>
        <mc:Fallback>
          <w:pict>
            <v:shape id="文本框 3" o:spid="_x0000_s1026" o:spt="202" type="#_x0000_t202" style="position:absolute;left:0pt;margin-top:1.8pt;height:15.55pt;width:0.6pt;mso-position-horizontal:center;mso-position-horizontal-relative:margin;mso-wrap-style:none;z-index:251659264;mso-width-relative:page;mso-height-relative:page;" filled="f" stroked="f" coordsize="21600,21600" o:gfxdata="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pl+o0AAAAAMBAAAPAAAAAAAAAAEAIAAAACIAAABkcnMvZG93bnJl&#10;di54bWxQSwECFAAUAAAACACHTuJAdPrzscwBAACVAwAADgAAAAAAAAABACAAAAAfAQAAZHJzL2Uy&#10;b0RvYy54bWxQSwUGAAAAAAYABgBZAQAAXQUAAAAA&#10;">
              <v:fill on="f" focussize="0,0"/>
              <v:stroke on="f"/>
              <v:imagedata o:title=""/>
              <o:lock v:ext="edit" aspectratio="f"/>
              <v:textbox inset="0mm,0mm,0mm,0mm" style="mso-fit-shape-to-text:t;">
                <w:txbxContent>
                  <w:p>
                    <w:pPr>
                      <w:pStyle w:val="30"/>
                      <w:jc w:val="center"/>
                      <w:rPr>
                        <w:rStyle w:val="52"/>
                        <w:sz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rFonts w:hint="eastAsia" w:eastAsia="宋体"/>
        <w:sz w:val="32"/>
        <w:szCs w:val="32"/>
        <w:lang w:eastAsia="zh-CN"/>
      </w:rPr>
      <w:drawing>
        <wp:anchor distT="0" distB="0" distL="114300" distR="114300" simplePos="0" relativeHeight="251665408" behindDoc="1" locked="0" layoutInCell="1" allowOverlap="1">
          <wp:simplePos x="0" y="0"/>
          <wp:positionH relativeFrom="column">
            <wp:posOffset>3883660</wp:posOffset>
          </wp:positionH>
          <wp:positionV relativeFrom="paragraph">
            <wp:posOffset>-36195</wp:posOffset>
          </wp:positionV>
          <wp:extent cx="2089150" cy="217805"/>
          <wp:effectExtent l="0" t="0" r="6350" b="10795"/>
          <wp:wrapNone/>
          <wp:docPr id="10" name="图片 1027"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27"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rFonts w:hint="eastAsia" w:eastAsia="宋体"/>
        <w:sz w:val="32"/>
        <w:szCs w:val="32"/>
        <w:lang w:eastAsia="zh-CN"/>
      </w:rPr>
      <w:drawing>
        <wp:anchor distT="0" distB="0" distL="114300" distR="114300" simplePos="0" relativeHeight="251664384" behindDoc="1" locked="0" layoutInCell="1" allowOverlap="1">
          <wp:simplePos x="0" y="0"/>
          <wp:positionH relativeFrom="column">
            <wp:posOffset>3883660</wp:posOffset>
          </wp:positionH>
          <wp:positionV relativeFrom="paragraph">
            <wp:posOffset>-36195</wp:posOffset>
          </wp:positionV>
          <wp:extent cx="2089150" cy="217805"/>
          <wp:effectExtent l="0" t="0" r="6350" b="10795"/>
          <wp:wrapNone/>
          <wp:docPr id="9" name="图片 1027"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27"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2E3DF"/>
    <w:multiLevelType w:val="singleLevel"/>
    <w:tmpl w:val="8322E3DF"/>
    <w:lvl w:ilvl="0" w:tentative="0">
      <w:start w:val="3"/>
      <w:numFmt w:val="decimal"/>
      <w:suff w:val="nothing"/>
      <w:lvlText w:val="%1、"/>
      <w:lvlJc w:val="left"/>
    </w:lvl>
  </w:abstractNum>
  <w:abstractNum w:abstractNumId="1">
    <w:nsid w:val="8975324D"/>
    <w:multiLevelType w:val="multilevel"/>
    <w:tmpl w:val="8975324D"/>
    <w:lvl w:ilvl="0" w:tentative="0">
      <w:start w:val="1"/>
      <w:numFmt w:val="decimal"/>
      <w:suff w:val="nothing"/>
      <w:lvlText w:val="%1."/>
      <w:lvlJc w:val="left"/>
      <w:pPr>
        <w:tabs>
          <w:tab w:val="left" w:pos="0"/>
        </w:tabs>
        <w:ind w:left="425" w:hanging="425"/>
      </w:pPr>
      <w:rPr>
        <w:rFonts w:hint="default" w:ascii="宋体" w:hAnsi="宋体" w:eastAsia="宋体" w:cs="宋体"/>
        <w:spacing w:val="0"/>
        <w:w w:val="120"/>
        <w:sz w:val="22"/>
        <w:szCs w:val="22"/>
      </w:rPr>
    </w:lvl>
    <w:lvl w:ilvl="1" w:tentative="0">
      <w:start w:val="1"/>
      <w:numFmt w:val="decimal"/>
      <w:suff w:val="nothing"/>
      <w:lvlText w:val="%1.%2."/>
      <w:lvlJc w:val="left"/>
      <w:pPr>
        <w:tabs>
          <w:tab w:val="left" w:pos="0"/>
        </w:tabs>
        <w:ind w:left="567" w:hanging="567"/>
      </w:pPr>
      <w:rPr>
        <w:rFonts w:hint="default" w:ascii="宋体" w:hAnsi="宋体" w:eastAsia="宋体" w:cs="宋体"/>
        <w:spacing w:val="0"/>
        <w:w w:val="110"/>
        <w:sz w:val="22"/>
      </w:rPr>
    </w:lvl>
    <w:lvl w:ilvl="2" w:tentative="0">
      <w:start w:val="1"/>
      <w:numFmt w:val="decimal"/>
      <w:suff w:val="nothing"/>
      <w:lvlText w:val="%1.%2.%3."/>
      <w:lvlJc w:val="left"/>
      <w:pPr>
        <w:tabs>
          <w:tab w:val="left" w:pos="0"/>
        </w:tabs>
        <w:ind w:left="709" w:hanging="709"/>
      </w:pPr>
      <w:rPr>
        <w:rFonts w:hint="default" w:ascii="宋体" w:hAnsi="宋体" w:eastAsia="宋体" w:cs="宋体"/>
        <w:spacing w:val="0"/>
        <w:w w:val="110"/>
        <w:sz w:val="22"/>
        <w:szCs w:val="2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5FC7EF4"/>
    <w:multiLevelType w:val="multilevel"/>
    <w:tmpl w:val="A5FC7EF4"/>
    <w:lvl w:ilvl="0" w:tentative="0">
      <w:start w:val="1"/>
      <w:numFmt w:val="decimal"/>
      <w:suff w:val="nothing"/>
      <w:lvlText w:val="%1."/>
      <w:lvlJc w:val="left"/>
      <w:pPr>
        <w:tabs>
          <w:tab w:val="left" w:pos="0"/>
        </w:tabs>
        <w:ind w:left="425" w:hanging="425"/>
      </w:pPr>
      <w:rPr>
        <w:rFonts w:hint="default" w:ascii="Arial" w:hAnsi="Arial" w:eastAsia="黑体" w:cs="黑体"/>
        <w:sz w:val="28"/>
      </w:rPr>
    </w:lvl>
    <w:lvl w:ilvl="1" w:tentative="0">
      <w:start w:val="1"/>
      <w:numFmt w:val="decimal"/>
      <w:suff w:val="nothing"/>
      <w:lvlText w:val="%1.%2."/>
      <w:lvlJc w:val="left"/>
      <w:pPr>
        <w:tabs>
          <w:tab w:val="left" w:pos="0"/>
        </w:tabs>
        <w:ind w:left="567" w:hanging="567"/>
      </w:pPr>
      <w:rPr>
        <w:rFonts w:hint="default" w:ascii="Arial" w:hAnsi="Arial" w:eastAsia="黑体" w:cs="黑体"/>
        <w:sz w:val="22"/>
      </w:rPr>
    </w:lvl>
    <w:lvl w:ilvl="2" w:tentative="0">
      <w:start w:val="1"/>
      <w:numFmt w:val="decimal"/>
      <w:suff w:val="nothing"/>
      <w:lvlText w:val="%1.%2.%3."/>
      <w:lvlJc w:val="left"/>
      <w:pPr>
        <w:tabs>
          <w:tab w:val="left" w:pos="0"/>
        </w:tabs>
        <w:ind w:left="709" w:hanging="709"/>
      </w:pPr>
      <w:rPr>
        <w:rFonts w:hint="default" w:ascii="Arial" w:hAnsi="Arial" w:eastAsia="黑体"/>
      </w:rPr>
    </w:lvl>
    <w:lvl w:ilvl="3" w:tentative="0">
      <w:start w:val="1"/>
      <w:numFmt w:val="decimal"/>
      <w:suff w:val="nothing"/>
      <w:lvlText w:val="%1.%2.%3.%4."/>
      <w:lvlJc w:val="left"/>
      <w:pPr>
        <w:tabs>
          <w:tab w:val="left" w:pos="420"/>
        </w:tabs>
        <w:ind w:left="850" w:hanging="850"/>
      </w:pPr>
      <w:rPr>
        <w:rFonts w:hint="default" w:ascii="Arial" w:hAnsi="Arial"/>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B28956D"/>
    <w:multiLevelType w:val="singleLevel"/>
    <w:tmpl w:val="AB28956D"/>
    <w:lvl w:ilvl="0" w:tentative="0">
      <w:start w:val="2"/>
      <w:numFmt w:val="decimal"/>
      <w:suff w:val="nothing"/>
      <w:lvlText w:val="%1）"/>
      <w:lvlJc w:val="left"/>
    </w:lvl>
  </w:abstractNum>
  <w:abstractNum w:abstractNumId="4">
    <w:nsid w:val="AC626C8C"/>
    <w:multiLevelType w:val="multilevel"/>
    <w:tmpl w:val="AC626C8C"/>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tabs>
          <w:tab w:val="left" w:pos="0"/>
        </w:tabs>
        <w:ind w:left="-42" w:firstLine="400"/>
      </w:pPr>
      <w:rPr>
        <w:rFonts w:hint="eastAsia" w:ascii="Arial" w:hAnsi="Arial" w:eastAsia="宋体" w:cs="宋体"/>
        <w:b w:val="0"/>
        <w:spacing w:val="28"/>
        <w:sz w:val="22"/>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
    <w:nsid w:val="AEB8C055"/>
    <w:multiLevelType w:val="singleLevel"/>
    <w:tmpl w:val="AEB8C055"/>
    <w:lvl w:ilvl="0" w:tentative="0">
      <w:start w:val="1"/>
      <w:numFmt w:val="chineseCounting"/>
      <w:suff w:val="nothing"/>
      <w:lvlText w:val="%1、"/>
      <w:lvlJc w:val="left"/>
      <w:rPr>
        <w:rFonts w:hint="eastAsia"/>
      </w:rPr>
    </w:lvl>
  </w:abstractNum>
  <w:abstractNum w:abstractNumId="6">
    <w:nsid w:val="B55FE6E3"/>
    <w:multiLevelType w:val="multilevel"/>
    <w:tmpl w:val="B55FE6E3"/>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7">
    <w:nsid w:val="BB2A1858"/>
    <w:multiLevelType w:val="singleLevel"/>
    <w:tmpl w:val="BB2A1858"/>
    <w:lvl w:ilvl="0" w:tentative="0">
      <w:start w:val="2"/>
      <w:numFmt w:val="chineseCounting"/>
      <w:suff w:val="space"/>
      <w:lvlText w:val="第%1章"/>
      <w:lvlJc w:val="left"/>
      <w:rPr>
        <w:rFonts w:hint="eastAsia"/>
      </w:rPr>
    </w:lvl>
  </w:abstractNum>
  <w:abstractNum w:abstractNumId="8">
    <w:nsid w:val="C2DF1133"/>
    <w:multiLevelType w:val="singleLevel"/>
    <w:tmpl w:val="C2DF1133"/>
    <w:lvl w:ilvl="0" w:tentative="0">
      <w:start w:val="1"/>
      <w:numFmt w:val="decimal"/>
      <w:suff w:val="nothing"/>
      <w:lvlText w:val="(%1)"/>
      <w:lvlJc w:val="left"/>
      <w:pPr>
        <w:tabs>
          <w:tab w:val="left" w:pos="397"/>
        </w:tabs>
        <w:ind w:left="412" w:hanging="454"/>
      </w:pPr>
      <w:rPr>
        <w:rFonts w:hint="default" w:ascii="楷体" w:hAnsi="楷体" w:eastAsia="黑体" w:cs="黑体"/>
      </w:rPr>
    </w:lvl>
  </w:abstractNum>
  <w:abstractNum w:abstractNumId="9">
    <w:nsid w:val="CFC3FAE0"/>
    <w:multiLevelType w:val="multilevel"/>
    <w:tmpl w:val="CFC3FAE0"/>
    <w:lvl w:ilvl="0" w:tentative="0">
      <w:start w:val="1"/>
      <w:numFmt w:val="japaneseCounting"/>
      <w:suff w:val="space"/>
      <w:lvlText w:val="%1、"/>
      <w:lvlJc w:val="left"/>
      <w:pPr>
        <w:tabs>
          <w:tab w:val="left" w:pos="0"/>
        </w:tabs>
        <w:ind w:left="0" w:firstLine="0"/>
      </w:pPr>
      <w:rPr>
        <w:rFonts w:ascii="宋体" w:hAnsi="宋体" w:eastAsia="宋体" w:cs="Times New Roman"/>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pStyle w:val="9"/>
      <w:lvlText w:val="%6."/>
      <w:lvlJc w:val="right"/>
      <w:pPr>
        <w:tabs>
          <w:tab w:val="left" w:pos="0"/>
        </w:tabs>
        <w:ind w:left="2520" w:hanging="420"/>
      </w:pPr>
    </w:lvl>
    <w:lvl w:ilvl="6" w:tentative="0">
      <w:start w:val="1"/>
      <w:numFmt w:val="decimal"/>
      <w:pStyle w:val="10"/>
      <w:lvlText w:val="%7."/>
      <w:lvlJc w:val="left"/>
      <w:pPr>
        <w:tabs>
          <w:tab w:val="left" w:pos="0"/>
        </w:tabs>
        <w:ind w:left="2940" w:hanging="420"/>
      </w:pPr>
    </w:lvl>
    <w:lvl w:ilvl="7" w:tentative="0">
      <w:start w:val="1"/>
      <w:numFmt w:val="lowerLetter"/>
      <w:pStyle w:val="11"/>
      <w:lvlText w:val="%8)"/>
      <w:lvlJc w:val="left"/>
      <w:pPr>
        <w:tabs>
          <w:tab w:val="left" w:pos="0"/>
        </w:tabs>
        <w:ind w:left="3360" w:hanging="420"/>
      </w:pPr>
    </w:lvl>
    <w:lvl w:ilvl="8" w:tentative="0">
      <w:start w:val="1"/>
      <w:numFmt w:val="lowerRoman"/>
      <w:pStyle w:val="12"/>
      <w:lvlText w:val="%9."/>
      <w:lvlJc w:val="right"/>
      <w:pPr>
        <w:tabs>
          <w:tab w:val="left" w:pos="0"/>
        </w:tabs>
        <w:ind w:left="3780" w:hanging="420"/>
      </w:pPr>
    </w:lvl>
  </w:abstractNum>
  <w:abstractNum w:abstractNumId="10">
    <w:nsid w:val="D9A38FBB"/>
    <w:multiLevelType w:val="multilevel"/>
    <w:tmpl w:val="D9A38FBB"/>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0"/>
        </w:tabs>
        <w:ind w:left="567" w:hanging="567"/>
      </w:pPr>
      <w:rPr>
        <w:rFonts w:hint="default" w:ascii="Arial" w:hAnsi="Arial"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1">
    <w:nsid w:val="DAF6871C"/>
    <w:multiLevelType w:val="singleLevel"/>
    <w:tmpl w:val="DAF6871C"/>
    <w:lvl w:ilvl="0" w:tentative="0">
      <w:start w:val="2"/>
      <w:numFmt w:val="decimal"/>
      <w:lvlText w:val="%1."/>
      <w:lvlJc w:val="left"/>
      <w:pPr>
        <w:tabs>
          <w:tab w:val="left" w:pos="312"/>
        </w:tabs>
      </w:pPr>
    </w:lvl>
  </w:abstractNum>
  <w:abstractNum w:abstractNumId="12">
    <w:nsid w:val="E0A044A8"/>
    <w:multiLevelType w:val="multilevel"/>
    <w:tmpl w:val="E0A044A8"/>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3">
    <w:nsid w:val="E3F9FA80"/>
    <w:multiLevelType w:val="multilevel"/>
    <w:tmpl w:val="E3F9FA80"/>
    <w:lvl w:ilvl="0" w:tentative="0">
      <w:start w:val="39"/>
      <w:numFmt w:val="decimal"/>
      <w:suff w:val="nothing"/>
      <w:lvlText w:val="%1."/>
      <w:lvlJc w:val="left"/>
      <w:pPr>
        <w:tabs>
          <w:tab w:val="left" w:pos="0"/>
        </w:tabs>
        <w:ind w:left="425" w:hanging="425"/>
      </w:pPr>
      <w:rPr>
        <w:rFonts w:hint="default" w:ascii="Arial" w:hAnsi="Arial" w:eastAsia="黑体" w:cs="黑体"/>
        <w:spacing w:val="28"/>
        <w:sz w:val="28"/>
      </w:rPr>
    </w:lvl>
    <w:lvl w:ilvl="1" w:tentative="0">
      <w:start w:val="1"/>
      <w:numFmt w:val="decimal"/>
      <w:suff w:val="nothing"/>
      <w:lvlText w:val="%1.%2"/>
      <w:lvlJc w:val="left"/>
      <w:pPr>
        <w:tabs>
          <w:tab w:val="left" w:pos="0"/>
        </w:tabs>
        <w:ind w:left="567" w:hanging="567"/>
      </w:pPr>
      <w:rPr>
        <w:rFonts w:hint="default" w:ascii="Arial" w:hAnsi="Arial" w:eastAsia="宋体" w:cs="宋体"/>
        <w:spacing w:val="28"/>
        <w:sz w:val="22"/>
      </w:rPr>
    </w:lvl>
    <w:lvl w:ilvl="2" w:tentative="0">
      <w:start w:val="1"/>
      <w:numFmt w:val="decimal"/>
      <w:suff w:val="nothing"/>
      <w:lvlText w:val="%1.%2.%3"/>
      <w:lvlJc w:val="left"/>
      <w:pPr>
        <w:tabs>
          <w:tab w:val="left" w:pos="0"/>
        </w:tabs>
        <w:ind w:left="709" w:hanging="709"/>
      </w:pPr>
      <w:rPr>
        <w:rFonts w:hint="default" w:ascii="Arial" w:hAnsi="Arial" w:eastAsia="宋体" w:cs="宋体"/>
        <w:spacing w:val="28"/>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E770E463"/>
    <w:multiLevelType w:val="singleLevel"/>
    <w:tmpl w:val="E770E463"/>
    <w:lvl w:ilvl="0" w:tentative="0">
      <w:start w:val="1"/>
      <w:numFmt w:val="decimal"/>
      <w:suff w:val="nothing"/>
      <w:lvlText w:val="（%1）"/>
      <w:lvlJc w:val="left"/>
    </w:lvl>
  </w:abstractNum>
  <w:abstractNum w:abstractNumId="15">
    <w:nsid w:val="F081D83E"/>
    <w:multiLevelType w:val="multilevel"/>
    <w:tmpl w:val="F081D83E"/>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0"/>
        </w:tabs>
        <w:ind w:left="567" w:hanging="567"/>
      </w:pPr>
      <w:rPr>
        <w:rFonts w:hint="default" w:ascii="Arial" w:hAnsi="Arial"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6">
    <w:nsid w:val="F76DA382"/>
    <w:multiLevelType w:val="multilevel"/>
    <w:tmpl w:val="F76DA382"/>
    <w:lvl w:ilvl="0" w:tentative="0">
      <w:start w:val="1"/>
      <w:numFmt w:val="decimal"/>
      <w:suff w:val="nothing"/>
      <w:lvlText w:val="附件%1"/>
      <w:lvlJc w:val="left"/>
      <w:pPr>
        <w:tabs>
          <w:tab w:val="left" w:pos="0"/>
        </w:tabs>
        <w:ind w:left="0" w:firstLine="0"/>
      </w:pPr>
      <w:rPr>
        <w:rFonts w:hint="default" w:ascii="黑体" w:hAnsi="黑体" w:eastAsia="黑体" w:cs="黑体"/>
        <w:b w:val="0"/>
      </w:rPr>
    </w:lvl>
    <w:lvl w:ilvl="1" w:tentative="0">
      <w:start w:val="1"/>
      <w:numFmt w:val="decimal"/>
      <w:suff w:val="nothing"/>
      <w:lvlText w:val="%2."/>
      <w:lvlJc w:val="left"/>
      <w:pPr>
        <w:tabs>
          <w:tab w:val="left" w:pos="0"/>
        </w:tabs>
        <w:ind w:left="0" w:firstLine="400"/>
      </w:pPr>
      <w:rPr>
        <w:rFonts w:hint="eastAsia" w:ascii="宋体" w:hAnsi="宋体" w:eastAsia="宋体" w:cs="宋体"/>
      </w:rPr>
    </w:lvl>
    <w:lvl w:ilvl="2" w:tentative="0">
      <w:start w:val="1"/>
      <w:numFmt w:val="decimal"/>
      <w:suff w:val="nothing"/>
      <w:lvlText w:val="（%3）"/>
      <w:lvlJc w:val="left"/>
      <w:pPr>
        <w:tabs>
          <w:tab w:val="left" w:pos="0"/>
        </w:tabs>
        <w:ind w:left="0" w:firstLine="402"/>
      </w:pPr>
      <w:rPr>
        <w:rFonts w:hint="eastAsia"/>
      </w:rPr>
    </w:lvl>
    <w:lvl w:ilvl="3" w:tentative="0">
      <w:start w:val="1"/>
      <w:numFmt w:val="decimalEnclosedCircleChinese"/>
      <w:suff w:val="nothing"/>
      <w:lvlText w:val="%4 "/>
      <w:lvlJc w:val="left"/>
      <w:pPr>
        <w:tabs>
          <w:tab w:val="left" w:pos="0"/>
        </w:tabs>
        <w:ind w:left="0" w:firstLine="402"/>
      </w:pPr>
      <w:rPr>
        <w:rFonts w:hint="eastAsia"/>
      </w:rPr>
    </w:lvl>
    <w:lvl w:ilvl="4" w:tentative="0">
      <w:start w:val="1"/>
      <w:numFmt w:val="decimal"/>
      <w:suff w:val="nothing"/>
      <w:lvlText w:val="%5）"/>
      <w:lvlJc w:val="left"/>
      <w:pPr>
        <w:tabs>
          <w:tab w:val="left" w:pos="0"/>
        </w:tabs>
        <w:ind w:left="0" w:firstLine="402"/>
      </w:pPr>
      <w:rPr>
        <w:rFonts w:hint="eastAsia"/>
      </w:rPr>
    </w:lvl>
    <w:lvl w:ilvl="5" w:tentative="0">
      <w:start w:val="1"/>
      <w:numFmt w:val="lowerLetter"/>
      <w:suff w:val="nothing"/>
      <w:lvlText w:val="%6．"/>
      <w:lvlJc w:val="left"/>
      <w:pPr>
        <w:tabs>
          <w:tab w:val="left" w:pos="0"/>
        </w:tabs>
        <w:ind w:left="0" w:firstLine="402"/>
      </w:pPr>
      <w:rPr>
        <w:rFonts w:hint="eastAsia"/>
      </w:rPr>
    </w:lvl>
    <w:lvl w:ilvl="6" w:tentative="0">
      <w:start w:val="1"/>
      <w:numFmt w:val="lowerLetter"/>
      <w:suff w:val="nothing"/>
      <w:lvlText w:val="%7）"/>
      <w:lvlJc w:val="left"/>
      <w:pPr>
        <w:tabs>
          <w:tab w:val="left" w:pos="0"/>
        </w:tabs>
        <w:ind w:left="0" w:firstLine="402"/>
      </w:pPr>
      <w:rPr>
        <w:rFonts w:hint="eastAsia"/>
      </w:rPr>
    </w:lvl>
    <w:lvl w:ilvl="7" w:tentative="0">
      <w:start w:val="1"/>
      <w:numFmt w:val="lowerRoman"/>
      <w:suff w:val="nothing"/>
      <w:lvlText w:val="%8. "/>
      <w:lvlJc w:val="left"/>
      <w:pPr>
        <w:tabs>
          <w:tab w:val="left" w:pos="0"/>
        </w:tabs>
        <w:ind w:left="0" w:firstLine="402"/>
      </w:pPr>
      <w:rPr>
        <w:rFonts w:hint="eastAsia"/>
      </w:rPr>
    </w:lvl>
    <w:lvl w:ilvl="8" w:tentative="0">
      <w:start w:val="1"/>
      <w:numFmt w:val="lowerRoman"/>
      <w:suff w:val="nothing"/>
      <w:lvlText w:val="%9）"/>
      <w:lvlJc w:val="left"/>
      <w:pPr>
        <w:tabs>
          <w:tab w:val="left" w:pos="0"/>
        </w:tabs>
        <w:ind w:left="0" w:firstLine="402"/>
      </w:pPr>
      <w:rPr>
        <w:rFonts w:hint="eastAsia"/>
      </w:rPr>
    </w:lvl>
  </w:abstractNum>
  <w:abstractNum w:abstractNumId="17">
    <w:nsid w:val="F96EF802"/>
    <w:multiLevelType w:val="multilevel"/>
    <w:tmpl w:val="F96EF802"/>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8">
    <w:nsid w:val="FBA25C0C"/>
    <w:multiLevelType w:val="singleLevel"/>
    <w:tmpl w:val="FBA25C0C"/>
    <w:lvl w:ilvl="0" w:tentative="0">
      <w:start w:val="1"/>
      <w:numFmt w:val="decimal"/>
      <w:suff w:val="nothing"/>
      <w:lvlText w:val="%1、"/>
      <w:lvlJc w:val="left"/>
    </w:lvl>
  </w:abstractNum>
  <w:abstractNum w:abstractNumId="19">
    <w:nsid w:val="FE06927E"/>
    <w:multiLevelType w:val="multilevel"/>
    <w:tmpl w:val="FE06927E"/>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20">
    <w:nsid w:val="113B6607"/>
    <w:multiLevelType w:val="multilevel"/>
    <w:tmpl w:val="113B6607"/>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21">
    <w:nsid w:val="1E86DD09"/>
    <w:multiLevelType w:val="singleLevel"/>
    <w:tmpl w:val="1E86DD09"/>
    <w:lvl w:ilvl="0" w:tentative="0">
      <w:start w:val="1"/>
      <w:numFmt w:val="decimal"/>
      <w:suff w:val="nothing"/>
      <w:lvlText w:val="(%1)"/>
      <w:lvlJc w:val="left"/>
      <w:pPr>
        <w:tabs>
          <w:tab w:val="left" w:pos="397"/>
        </w:tabs>
        <w:ind w:left="454" w:hanging="454"/>
      </w:pPr>
      <w:rPr>
        <w:rFonts w:hint="default" w:ascii="黑体" w:hAnsi="黑体" w:eastAsia="黑体" w:cs="黑体"/>
      </w:rPr>
    </w:lvl>
  </w:abstractNum>
  <w:abstractNum w:abstractNumId="22">
    <w:nsid w:val="2B57368D"/>
    <w:multiLevelType w:val="singleLevel"/>
    <w:tmpl w:val="2B57368D"/>
    <w:lvl w:ilvl="0" w:tentative="0">
      <w:start w:val="1"/>
      <w:numFmt w:val="decimal"/>
      <w:suff w:val="nothing"/>
      <w:lvlText w:val="(%1)"/>
      <w:lvlJc w:val="left"/>
      <w:pPr>
        <w:tabs>
          <w:tab w:val="left" w:pos="420"/>
        </w:tabs>
        <w:ind w:left="425" w:hanging="425"/>
      </w:pPr>
      <w:rPr>
        <w:rFonts w:hint="default" w:ascii="黑体" w:hAnsi="黑体" w:eastAsia="黑体" w:cs="黑体"/>
      </w:rPr>
    </w:lvl>
  </w:abstractNum>
  <w:abstractNum w:abstractNumId="23">
    <w:nsid w:val="2ED543D0"/>
    <w:multiLevelType w:val="singleLevel"/>
    <w:tmpl w:val="2ED543D0"/>
    <w:lvl w:ilvl="0" w:tentative="0">
      <w:start w:val="1"/>
      <w:numFmt w:val="decimal"/>
      <w:suff w:val="nothing"/>
      <w:lvlText w:val="(%1)"/>
      <w:lvlJc w:val="left"/>
      <w:pPr>
        <w:tabs>
          <w:tab w:val="left" w:pos="420"/>
        </w:tabs>
        <w:ind w:left="425" w:hanging="425"/>
      </w:pPr>
      <w:rPr>
        <w:rFonts w:hint="default" w:ascii="黑体" w:hAnsi="黑体" w:eastAsia="黑体"/>
      </w:rPr>
    </w:lvl>
  </w:abstractNum>
  <w:abstractNum w:abstractNumId="24">
    <w:nsid w:val="49C7B155"/>
    <w:multiLevelType w:val="multilevel"/>
    <w:tmpl w:val="49C7B155"/>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25">
    <w:nsid w:val="551E3E49"/>
    <w:multiLevelType w:val="singleLevel"/>
    <w:tmpl w:val="551E3E49"/>
    <w:lvl w:ilvl="0" w:tentative="0">
      <w:start w:val="1"/>
      <w:numFmt w:val="decimal"/>
      <w:suff w:val="nothing"/>
      <w:lvlText w:val="（%1）"/>
      <w:lvlJc w:val="left"/>
    </w:lvl>
  </w:abstractNum>
  <w:abstractNum w:abstractNumId="26">
    <w:nsid w:val="551E3E70"/>
    <w:multiLevelType w:val="singleLevel"/>
    <w:tmpl w:val="551E3E70"/>
    <w:lvl w:ilvl="0" w:tentative="0">
      <w:start w:val="1"/>
      <w:numFmt w:val="decimal"/>
      <w:suff w:val="nothing"/>
      <w:lvlText w:val="（%1）"/>
      <w:lvlJc w:val="left"/>
    </w:lvl>
  </w:abstractNum>
  <w:abstractNum w:abstractNumId="27">
    <w:nsid w:val="551E3EA2"/>
    <w:multiLevelType w:val="singleLevel"/>
    <w:tmpl w:val="551E3EA2"/>
    <w:lvl w:ilvl="0" w:tentative="0">
      <w:start w:val="1"/>
      <w:numFmt w:val="decimal"/>
      <w:suff w:val="nothing"/>
      <w:lvlText w:val="（%1）"/>
      <w:lvlJc w:val="left"/>
    </w:lvl>
  </w:abstractNum>
  <w:abstractNum w:abstractNumId="28">
    <w:nsid w:val="551E3FBE"/>
    <w:multiLevelType w:val="singleLevel"/>
    <w:tmpl w:val="551E3FBE"/>
    <w:lvl w:ilvl="0" w:tentative="0">
      <w:start w:val="1"/>
      <w:numFmt w:val="decimal"/>
      <w:suff w:val="nothing"/>
      <w:lvlText w:val="（%1）"/>
      <w:lvlJc w:val="left"/>
    </w:lvl>
  </w:abstractNum>
  <w:abstractNum w:abstractNumId="29">
    <w:nsid w:val="551E4049"/>
    <w:multiLevelType w:val="singleLevel"/>
    <w:tmpl w:val="551E4049"/>
    <w:lvl w:ilvl="0" w:tentative="0">
      <w:start w:val="1"/>
      <w:numFmt w:val="decimal"/>
      <w:suff w:val="nothing"/>
      <w:lvlText w:val="（%1）"/>
      <w:lvlJc w:val="left"/>
    </w:lvl>
  </w:abstractNum>
  <w:abstractNum w:abstractNumId="30">
    <w:nsid w:val="551E4089"/>
    <w:multiLevelType w:val="singleLevel"/>
    <w:tmpl w:val="551E4089"/>
    <w:lvl w:ilvl="0" w:tentative="0">
      <w:start w:val="1"/>
      <w:numFmt w:val="decimal"/>
      <w:suff w:val="nothing"/>
      <w:lvlText w:val="（%1）"/>
      <w:lvlJc w:val="left"/>
    </w:lvl>
  </w:abstractNum>
  <w:abstractNum w:abstractNumId="31">
    <w:nsid w:val="590AD8D7"/>
    <w:multiLevelType w:val="singleLevel"/>
    <w:tmpl w:val="590AD8D7"/>
    <w:lvl w:ilvl="0" w:tentative="0">
      <w:start w:val="1"/>
      <w:numFmt w:val="decimal"/>
      <w:suff w:val="nothing"/>
      <w:lvlText w:val="（%1）"/>
      <w:lvlJc w:val="left"/>
    </w:lvl>
  </w:abstractNum>
  <w:abstractNum w:abstractNumId="32">
    <w:nsid w:val="594B9240"/>
    <w:multiLevelType w:val="singleLevel"/>
    <w:tmpl w:val="594B9240"/>
    <w:lvl w:ilvl="0" w:tentative="0">
      <w:start w:val="1"/>
      <w:numFmt w:val="decimal"/>
      <w:suff w:val="nothing"/>
      <w:lvlText w:val="(%1)"/>
      <w:lvlJc w:val="left"/>
      <w:pPr>
        <w:tabs>
          <w:tab w:val="left" w:pos="397"/>
        </w:tabs>
        <w:ind w:left="454" w:hanging="454"/>
      </w:pPr>
      <w:rPr>
        <w:rFonts w:hint="default" w:ascii="黑体" w:hAnsi="黑体" w:eastAsia="黑体" w:cs="黑体"/>
      </w:rPr>
    </w:lvl>
  </w:abstractNum>
  <w:abstractNum w:abstractNumId="33">
    <w:nsid w:val="68799D0B"/>
    <w:multiLevelType w:val="singleLevel"/>
    <w:tmpl w:val="68799D0B"/>
    <w:lvl w:ilvl="0" w:tentative="0">
      <w:start w:val="1"/>
      <w:numFmt w:val="decimal"/>
      <w:suff w:val="nothing"/>
      <w:lvlText w:val="（%1）"/>
      <w:lvlJc w:val="left"/>
    </w:lvl>
  </w:abstractNum>
  <w:abstractNum w:abstractNumId="34">
    <w:nsid w:val="6F1BEEB7"/>
    <w:multiLevelType w:val="singleLevel"/>
    <w:tmpl w:val="6F1BEEB7"/>
    <w:lvl w:ilvl="0" w:tentative="0">
      <w:start w:val="1"/>
      <w:numFmt w:val="decimal"/>
      <w:lvlText w:val="(%1)"/>
      <w:lvlJc w:val="left"/>
      <w:pPr>
        <w:tabs>
          <w:tab w:val="left" w:pos="312"/>
        </w:tabs>
      </w:pPr>
    </w:lvl>
  </w:abstractNum>
  <w:num w:numId="1">
    <w:abstractNumId w:val="9"/>
  </w:num>
  <w:num w:numId="2">
    <w:abstractNumId w:val="3"/>
  </w:num>
  <w:num w:numId="3">
    <w:abstractNumId w:val="11"/>
  </w:num>
  <w:num w:numId="4">
    <w:abstractNumId w:val="5"/>
  </w:num>
  <w:num w:numId="5">
    <w:abstractNumId w:val="2"/>
  </w:num>
  <w:num w:numId="6">
    <w:abstractNumId w:val="23"/>
  </w:num>
  <w:num w:numId="7">
    <w:abstractNumId w:val="8"/>
  </w:num>
  <w:num w:numId="8">
    <w:abstractNumId w:val="22"/>
  </w:num>
  <w:num w:numId="9">
    <w:abstractNumId w:val="32"/>
  </w:num>
  <w:num w:numId="10">
    <w:abstractNumId w:val="13"/>
  </w:num>
  <w:num w:numId="11">
    <w:abstractNumId w:val="19"/>
  </w:num>
  <w:num w:numId="12">
    <w:abstractNumId w:val="12"/>
  </w:num>
  <w:num w:numId="13">
    <w:abstractNumId w:val="24"/>
  </w:num>
  <w:num w:numId="14">
    <w:abstractNumId w:val="20"/>
  </w:num>
  <w:num w:numId="15">
    <w:abstractNumId w:val="17"/>
  </w:num>
  <w:num w:numId="16">
    <w:abstractNumId w:val="15"/>
  </w:num>
  <w:num w:numId="17">
    <w:abstractNumId w:val="21"/>
  </w:num>
  <w:num w:numId="18">
    <w:abstractNumId w:val="10"/>
  </w:num>
  <w:num w:numId="19">
    <w:abstractNumId w:val="4"/>
  </w:num>
  <w:num w:numId="20">
    <w:abstractNumId w:val="0"/>
  </w:num>
  <w:num w:numId="21">
    <w:abstractNumId w:val="1"/>
  </w:num>
  <w:num w:numId="22">
    <w:abstractNumId w:val="6"/>
  </w:num>
  <w:num w:numId="23">
    <w:abstractNumId w:val="18"/>
  </w:num>
  <w:num w:numId="24">
    <w:abstractNumId w:val="7"/>
  </w:num>
  <w:num w:numId="25">
    <w:abstractNumId w:val="34"/>
  </w:num>
  <w:num w:numId="26">
    <w:abstractNumId w:val="25"/>
  </w:num>
  <w:num w:numId="27">
    <w:abstractNumId w:val="26"/>
  </w:num>
  <w:num w:numId="28">
    <w:abstractNumId w:val="27"/>
  </w:num>
  <w:num w:numId="29">
    <w:abstractNumId w:val="28"/>
  </w:num>
  <w:num w:numId="30">
    <w:abstractNumId w:val="31"/>
  </w:num>
  <w:num w:numId="31">
    <w:abstractNumId w:val="29"/>
  </w:num>
  <w:num w:numId="32">
    <w:abstractNumId w:val="33"/>
  </w:num>
  <w:num w:numId="33">
    <w:abstractNumId w:val="30"/>
  </w:num>
  <w:num w:numId="34">
    <w:abstractNumId w:val="1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hyphenationZone w:val="360"/>
  <w:drawingGridHorizontalSpacing w:val="105"/>
  <w:drawingGridVerticalSpacing w:val="218"/>
  <w:displayHorizontalDrawingGridEvery w:val="1"/>
  <w:displayVerticalDrawingGridEvery w:val="1"/>
  <w:noPunctuationKerning w:val="1"/>
  <w:characterSpacingControl w:val="doNotCompress"/>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1NGQ4OWMyMDJmMjY1MzBiNWIwNTNhNWU2ZjVlMWQifQ=="/>
    <w:docVar w:name="KSO_WPS_MARK_KEY" w:val="80e5d287-ef00-43d6-872e-b361fc7e4063"/>
  </w:docVars>
  <w:rsids>
    <w:rsidRoot w:val="00172A27"/>
    <w:rsid w:val="00004D7E"/>
    <w:rsid w:val="0003349B"/>
    <w:rsid w:val="0006456D"/>
    <w:rsid w:val="00081BE5"/>
    <w:rsid w:val="00090938"/>
    <w:rsid w:val="00093D8A"/>
    <w:rsid w:val="000C0D23"/>
    <w:rsid w:val="000C57E6"/>
    <w:rsid w:val="000D1314"/>
    <w:rsid w:val="000D22CF"/>
    <w:rsid w:val="000D7862"/>
    <w:rsid w:val="00114503"/>
    <w:rsid w:val="0011588E"/>
    <w:rsid w:val="00166F28"/>
    <w:rsid w:val="001A4716"/>
    <w:rsid w:val="001D73BB"/>
    <w:rsid w:val="001F1F37"/>
    <w:rsid w:val="002036F2"/>
    <w:rsid w:val="00255D3C"/>
    <w:rsid w:val="00265F83"/>
    <w:rsid w:val="00267DE5"/>
    <w:rsid w:val="0027703F"/>
    <w:rsid w:val="002D08A9"/>
    <w:rsid w:val="00340A2A"/>
    <w:rsid w:val="003541E9"/>
    <w:rsid w:val="00354440"/>
    <w:rsid w:val="00377C6B"/>
    <w:rsid w:val="003A56E0"/>
    <w:rsid w:val="003C1931"/>
    <w:rsid w:val="003D2945"/>
    <w:rsid w:val="003F6983"/>
    <w:rsid w:val="0042425C"/>
    <w:rsid w:val="004447AE"/>
    <w:rsid w:val="00482907"/>
    <w:rsid w:val="004932F2"/>
    <w:rsid w:val="004B7CB2"/>
    <w:rsid w:val="004C5468"/>
    <w:rsid w:val="004E3B3E"/>
    <w:rsid w:val="005271D3"/>
    <w:rsid w:val="00527F4C"/>
    <w:rsid w:val="00565D93"/>
    <w:rsid w:val="005672CE"/>
    <w:rsid w:val="00586C1E"/>
    <w:rsid w:val="00587C0E"/>
    <w:rsid w:val="005B5585"/>
    <w:rsid w:val="005F003B"/>
    <w:rsid w:val="0061263C"/>
    <w:rsid w:val="00657F47"/>
    <w:rsid w:val="00666943"/>
    <w:rsid w:val="00681588"/>
    <w:rsid w:val="00686A26"/>
    <w:rsid w:val="006D4FE3"/>
    <w:rsid w:val="00721C0F"/>
    <w:rsid w:val="00757EA8"/>
    <w:rsid w:val="007877EE"/>
    <w:rsid w:val="007973BD"/>
    <w:rsid w:val="007A51B4"/>
    <w:rsid w:val="007D1226"/>
    <w:rsid w:val="00810333"/>
    <w:rsid w:val="008476B4"/>
    <w:rsid w:val="008707D7"/>
    <w:rsid w:val="0089482B"/>
    <w:rsid w:val="008C4F96"/>
    <w:rsid w:val="008D5038"/>
    <w:rsid w:val="00952A6D"/>
    <w:rsid w:val="00987279"/>
    <w:rsid w:val="009B2344"/>
    <w:rsid w:val="009C1525"/>
    <w:rsid w:val="009E151A"/>
    <w:rsid w:val="009F0B27"/>
    <w:rsid w:val="009F6BB6"/>
    <w:rsid w:val="00A12741"/>
    <w:rsid w:val="00A47BB3"/>
    <w:rsid w:val="00A84BB0"/>
    <w:rsid w:val="00AA6D33"/>
    <w:rsid w:val="00B17D84"/>
    <w:rsid w:val="00B765F4"/>
    <w:rsid w:val="00B81467"/>
    <w:rsid w:val="00C032FB"/>
    <w:rsid w:val="00C64FE5"/>
    <w:rsid w:val="00CA1B1F"/>
    <w:rsid w:val="00CB090E"/>
    <w:rsid w:val="00CB23FD"/>
    <w:rsid w:val="00CB28EB"/>
    <w:rsid w:val="00CC3FC1"/>
    <w:rsid w:val="00D26241"/>
    <w:rsid w:val="00D50637"/>
    <w:rsid w:val="00D935B5"/>
    <w:rsid w:val="00DF104E"/>
    <w:rsid w:val="00E611F9"/>
    <w:rsid w:val="00E753B9"/>
    <w:rsid w:val="00E857B7"/>
    <w:rsid w:val="00EE7DE9"/>
    <w:rsid w:val="00EF44AD"/>
    <w:rsid w:val="00F021C1"/>
    <w:rsid w:val="00F6345C"/>
    <w:rsid w:val="00F67E49"/>
    <w:rsid w:val="00F7409E"/>
    <w:rsid w:val="00FB14F8"/>
    <w:rsid w:val="010313DA"/>
    <w:rsid w:val="010A65EE"/>
    <w:rsid w:val="01120694"/>
    <w:rsid w:val="01121891"/>
    <w:rsid w:val="0119677B"/>
    <w:rsid w:val="011E2FDB"/>
    <w:rsid w:val="01307B4C"/>
    <w:rsid w:val="013F3F3B"/>
    <w:rsid w:val="014C6B51"/>
    <w:rsid w:val="016320EC"/>
    <w:rsid w:val="01675AB1"/>
    <w:rsid w:val="01687703"/>
    <w:rsid w:val="016C0FA1"/>
    <w:rsid w:val="017A75E6"/>
    <w:rsid w:val="017B11E4"/>
    <w:rsid w:val="017D654C"/>
    <w:rsid w:val="018E7169"/>
    <w:rsid w:val="01925E03"/>
    <w:rsid w:val="019B3634"/>
    <w:rsid w:val="01A15C78"/>
    <w:rsid w:val="01A4083B"/>
    <w:rsid w:val="01AE15BA"/>
    <w:rsid w:val="01C06D4F"/>
    <w:rsid w:val="01DE1773"/>
    <w:rsid w:val="01E311BF"/>
    <w:rsid w:val="01EF0759"/>
    <w:rsid w:val="01FD26C6"/>
    <w:rsid w:val="020D41D2"/>
    <w:rsid w:val="02154862"/>
    <w:rsid w:val="022847EB"/>
    <w:rsid w:val="02323C8D"/>
    <w:rsid w:val="02565708"/>
    <w:rsid w:val="02605F41"/>
    <w:rsid w:val="026C7B3C"/>
    <w:rsid w:val="02764F08"/>
    <w:rsid w:val="0278371F"/>
    <w:rsid w:val="027D2D3A"/>
    <w:rsid w:val="028076E1"/>
    <w:rsid w:val="02963DFC"/>
    <w:rsid w:val="02A03842"/>
    <w:rsid w:val="02A14F6E"/>
    <w:rsid w:val="02B34BE4"/>
    <w:rsid w:val="02B41DD9"/>
    <w:rsid w:val="02D71A3D"/>
    <w:rsid w:val="02DF39F5"/>
    <w:rsid w:val="02EA5D84"/>
    <w:rsid w:val="02F56D74"/>
    <w:rsid w:val="02F63270"/>
    <w:rsid w:val="03045209"/>
    <w:rsid w:val="0305345B"/>
    <w:rsid w:val="03073503"/>
    <w:rsid w:val="030C1B81"/>
    <w:rsid w:val="031F10B8"/>
    <w:rsid w:val="031F2D37"/>
    <w:rsid w:val="03450D8F"/>
    <w:rsid w:val="034D07C7"/>
    <w:rsid w:val="03522419"/>
    <w:rsid w:val="035F6E94"/>
    <w:rsid w:val="036F7EF2"/>
    <w:rsid w:val="039915E0"/>
    <w:rsid w:val="039F2D44"/>
    <w:rsid w:val="03C03826"/>
    <w:rsid w:val="03C350C4"/>
    <w:rsid w:val="03C430C5"/>
    <w:rsid w:val="03C470A3"/>
    <w:rsid w:val="03CA6453"/>
    <w:rsid w:val="03D1333D"/>
    <w:rsid w:val="041252A7"/>
    <w:rsid w:val="041B0A5C"/>
    <w:rsid w:val="04323463"/>
    <w:rsid w:val="043E20F0"/>
    <w:rsid w:val="0446675F"/>
    <w:rsid w:val="0458081B"/>
    <w:rsid w:val="048A41DA"/>
    <w:rsid w:val="048C104A"/>
    <w:rsid w:val="048C3708"/>
    <w:rsid w:val="048F6CC6"/>
    <w:rsid w:val="049B394B"/>
    <w:rsid w:val="04AE367F"/>
    <w:rsid w:val="04AE774F"/>
    <w:rsid w:val="04B42330"/>
    <w:rsid w:val="04C30B70"/>
    <w:rsid w:val="04CD267F"/>
    <w:rsid w:val="04DA02CF"/>
    <w:rsid w:val="04EB2D2A"/>
    <w:rsid w:val="04EF6A69"/>
    <w:rsid w:val="050F1A5B"/>
    <w:rsid w:val="05123C0E"/>
    <w:rsid w:val="05172E2E"/>
    <w:rsid w:val="05195C9B"/>
    <w:rsid w:val="052B0E1C"/>
    <w:rsid w:val="05522B32"/>
    <w:rsid w:val="056F2783"/>
    <w:rsid w:val="05721B97"/>
    <w:rsid w:val="057404BD"/>
    <w:rsid w:val="0585028E"/>
    <w:rsid w:val="05932F15"/>
    <w:rsid w:val="05976809"/>
    <w:rsid w:val="05994A14"/>
    <w:rsid w:val="05A131E3"/>
    <w:rsid w:val="05A82909"/>
    <w:rsid w:val="05BA7D9A"/>
    <w:rsid w:val="05C07CDC"/>
    <w:rsid w:val="05CE00FB"/>
    <w:rsid w:val="05D674DF"/>
    <w:rsid w:val="06084C62"/>
    <w:rsid w:val="06291A56"/>
    <w:rsid w:val="062F66B9"/>
    <w:rsid w:val="063430E9"/>
    <w:rsid w:val="063A0486"/>
    <w:rsid w:val="063D28D7"/>
    <w:rsid w:val="06454F40"/>
    <w:rsid w:val="06474D25"/>
    <w:rsid w:val="065E2E82"/>
    <w:rsid w:val="067D6F65"/>
    <w:rsid w:val="06813F27"/>
    <w:rsid w:val="0692095D"/>
    <w:rsid w:val="06924F0D"/>
    <w:rsid w:val="069F3BC7"/>
    <w:rsid w:val="06BA6BF0"/>
    <w:rsid w:val="06C81917"/>
    <w:rsid w:val="06E96BF0"/>
    <w:rsid w:val="06F0064F"/>
    <w:rsid w:val="06FB6A13"/>
    <w:rsid w:val="07181EDB"/>
    <w:rsid w:val="07214277"/>
    <w:rsid w:val="07357364"/>
    <w:rsid w:val="07432009"/>
    <w:rsid w:val="074D717F"/>
    <w:rsid w:val="07505E5E"/>
    <w:rsid w:val="07512BAB"/>
    <w:rsid w:val="07590B02"/>
    <w:rsid w:val="076205AF"/>
    <w:rsid w:val="0773024D"/>
    <w:rsid w:val="078257BB"/>
    <w:rsid w:val="07854B6B"/>
    <w:rsid w:val="07923B5F"/>
    <w:rsid w:val="07926EDC"/>
    <w:rsid w:val="079B3D1B"/>
    <w:rsid w:val="07A634A3"/>
    <w:rsid w:val="07B804CD"/>
    <w:rsid w:val="07B93B71"/>
    <w:rsid w:val="07BF4899"/>
    <w:rsid w:val="07C00A58"/>
    <w:rsid w:val="07CD1FE3"/>
    <w:rsid w:val="07D6041C"/>
    <w:rsid w:val="07E01DA1"/>
    <w:rsid w:val="07E145DB"/>
    <w:rsid w:val="07E75CCE"/>
    <w:rsid w:val="07E97C3D"/>
    <w:rsid w:val="07F53966"/>
    <w:rsid w:val="08014F88"/>
    <w:rsid w:val="0805629B"/>
    <w:rsid w:val="080B044A"/>
    <w:rsid w:val="0814024E"/>
    <w:rsid w:val="08257385"/>
    <w:rsid w:val="082776EA"/>
    <w:rsid w:val="082F3FA6"/>
    <w:rsid w:val="08302EF4"/>
    <w:rsid w:val="083C4CCF"/>
    <w:rsid w:val="083E0EF2"/>
    <w:rsid w:val="084367D4"/>
    <w:rsid w:val="084542FA"/>
    <w:rsid w:val="084E6B43"/>
    <w:rsid w:val="084F3CB7"/>
    <w:rsid w:val="086504F8"/>
    <w:rsid w:val="0867648B"/>
    <w:rsid w:val="086B70A6"/>
    <w:rsid w:val="0878022B"/>
    <w:rsid w:val="08826D9F"/>
    <w:rsid w:val="08836C56"/>
    <w:rsid w:val="08933D55"/>
    <w:rsid w:val="089849E7"/>
    <w:rsid w:val="089F001A"/>
    <w:rsid w:val="08A454C4"/>
    <w:rsid w:val="08AC4BE5"/>
    <w:rsid w:val="08B47462"/>
    <w:rsid w:val="08E064F5"/>
    <w:rsid w:val="08E12275"/>
    <w:rsid w:val="08EE4992"/>
    <w:rsid w:val="08F31FA8"/>
    <w:rsid w:val="090871BE"/>
    <w:rsid w:val="09106A69"/>
    <w:rsid w:val="091A77A6"/>
    <w:rsid w:val="09300B06"/>
    <w:rsid w:val="09387C57"/>
    <w:rsid w:val="094B0373"/>
    <w:rsid w:val="095277C9"/>
    <w:rsid w:val="09540959"/>
    <w:rsid w:val="09606B8F"/>
    <w:rsid w:val="09615163"/>
    <w:rsid w:val="096227B5"/>
    <w:rsid w:val="09AD65FB"/>
    <w:rsid w:val="09B361AA"/>
    <w:rsid w:val="09C91CD1"/>
    <w:rsid w:val="09D26E0C"/>
    <w:rsid w:val="09E76B21"/>
    <w:rsid w:val="09E9446B"/>
    <w:rsid w:val="09F064B2"/>
    <w:rsid w:val="09F3336A"/>
    <w:rsid w:val="09FE6150"/>
    <w:rsid w:val="0A2B589C"/>
    <w:rsid w:val="0A4D351D"/>
    <w:rsid w:val="0A530F50"/>
    <w:rsid w:val="0A60541B"/>
    <w:rsid w:val="0A614AAD"/>
    <w:rsid w:val="0A63147A"/>
    <w:rsid w:val="0A786C09"/>
    <w:rsid w:val="0A8F3F52"/>
    <w:rsid w:val="0A955C88"/>
    <w:rsid w:val="0AAA0187"/>
    <w:rsid w:val="0AAE3BF6"/>
    <w:rsid w:val="0AB12661"/>
    <w:rsid w:val="0ABC5E6F"/>
    <w:rsid w:val="0AC43BFC"/>
    <w:rsid w:val="0AD3315C"/>
    <w:rsid w:val="0AD55E09"/>
    <w:rsid w:val="0AF45A08"/>
    <w:rsid w:val="0B0B48EA"/>
    <w:rsid w:val="0B1A34E5"/>
    <w:rsid w:val="0B1F52D6"/>
    <w:rsid w:val="0B2A3563"/>
    <w:rsid w:val="0B335577"/>
    <w:rsid w:val="0B472137"/>
    <w:rsid w:val="0B4A27D0"/>
    <w:rsid w:val="0B5B4CA6"/>
    <w:rsid w:val="0B735392"/>
    <w:rsid w:val="0BAD4CB6"/>
    <w:rsid w:val="0BAF5D50"/>
    <w:rsid w:val="0BCB68A3"/>
    <w:rsid w:val="0BD7164A"/>
    <w:rsid w:val="0BDA2695"/>
    <w:rsid w:val="0BDF0282"/>
    <w:rsid w:val="0BE54EA7"/>
    <w:rsid w:val="0BEF36BE"/>
    <w:rsid w:val="0C085D6A"/>
    <w:rsid w:val="0C0A6E35"/>
    <w:rsid w:val="0C217658"/>
    <w:rsid w:val="0C323BBD"/>
    <w:rsid w:val="0C393B45"/>
    <w:rsid w:val="0C434FF4"/>
    <w:rsid w:val="0C525237"/>
    <w:rsid w:val="0C53026E"/>
    <w:rsid w:val="0C5760A5"/>
    <w:rsid w:val="0C5E598A"/>
    <w:rsid w:val="0C631A09"/>
    <w:rsid w:val="0C6A4964"/>
    <w:rsid w:val="0C6F1945"/>
    <w:rsid w:val="0C796BB1"/>
    <w:rsid w:val="0C871385"/>
    <w:rsid w:val="0C9027DC"/>
    <w:rsid w:val="0C9910B8"/>
    <w:rsid w:val="0CA710DF"/>
    <w:rsid w:val="0CA72A35"/>
    <w:rsid w:val="0CAA4B9B"/>
    <w:rsid w:val="0CAE21B1"/>
    <w:rsid w:val="0CCC0B59"/>
    <w:rsid w:val="0CE8722A"/>
    <w:rsid w:val="0CED4CB6"/>
    <w:rsid w:val="0D02125F"/>
    <w:rsid w:val="0D0522AA"/>
    <w:rsid w:val="0D085480"/>
    <w:rsid w:val="0D091A33"/>
    <w:rsid w:val="0D1765CB"/>
    <w:rsid w:val="0D243D11"/>
    <w:rsid w:val="0D33382B"/>
    <w:rsid w:val="0D397ADA"/>
    <w:rsid w:val="0D3B2541"/>
    <w:rsid w:val="0D4342BA"/>
    <w:rsid w:val="0D4951C2"/>
    <w:rsid w:val="0D4F243B"/>
    <w:rsid w:val="0D5F085B"/>
    <w:rsid w:val="0D5F14C4"/>
    <w:rsid w:val="0D7A2C98"/>
    <w:rsid w:val="0D811DB9"/>
    <w:rsid w:val="0D83434A"/>
    <w:rsid w:val="0D94594F"/>
    <w:rsid w:val="0D9B5FDA"/>
    <w:rsid w:val="0DA47D15"/>
    <w:rsid w:val="0DBD3B65"/>
    <w:rsid w:val="0DBE4A4C"/>
    <w:rsid w:val="0DC03929"/>
    <w:rsid w:val="0DC82395"/>
    <w:rsid w:val="0DCA5B22"/>
    <w:rsid w:val="0DCE0B42"/>
    <w:rsid w:val="0DD358E2"/>
    <w:rsid w:val="0DE764DA"/>
    <w:rsid w:val="0DEE6167"/>
    <w:rsid w:val="0DFB2503"/>
    <w:rsid w:val="0DFF4F4B"/>
    <w:rsid w:val="0E0A19D9"/>
    <w:rsid w:val="0E104A7A"/>
    <w:rsid w:val="0E1C5C14"/>
    <w:rsid w:val="0E1F2202"/>
    <w:rsid w:val="0E253E16"/>
    <w:rsid w:val="0E262770"/>
    <w:rsid w:val="0E395E8D"/>
    <w:rsid w:val="0E430A75"/>
    <w:rsid w:val="0E657E07"/>
    <w:rsid w:val="0E914EA6"/>
    <w:rsid w:val="0EAA2A14"/>
    <w:rsid w:val="0EAF3BDB"/>
    <w:rsid w:val="0EB43F87"/>
    <w:rsid w:val="0ED7165B"/>
    <w:rsid w:val="0EE20AF5"/>
    <w:rsid w:val="0EE634A6"/>
    <w:rsid w:val="0F0C7341"/>
    <w:rsid w:val="0F101AE8"/>
    <w:rsid w:val="0F135152"/>
    <w:rsid w:val="0F20786F"/>
    <w:rsid w:val="0F7D26BD"/>
    <w:rsid w:val="0F8B118C"/>
    <w:rsid w:val="0FA01999"/>
    <w:rsid w:val="0FA45C75"/>
    <w:rsid w:val="0FA65263"/>
    <w:rsid w:val="0FB0183D"/>
    <w:rsid w:val="0FBB42D6"/>
    <w:rsid w:val="0FD544CC"/>
    <w:rsid w:val="0FD936E6"/>
    <w:rsid w:val="0FDD3DDA"/>
    <w:rsid w:val="0FFE370C"/>
    <w:rsid w:val="100B5E29"/>
    <w:rsid w:val="102866CF"/>
    <w:rsid w:val="1034712E"/>
    <w:rsid w:val="10576E1D"/>
    <w:rsid w:val="10587E5B"/>
    <w:rsid w:val="10682725"/>
    <w:rsid w:val="107041D2"/>
    <w:rsid w:val="107C003F"/>
    <w:rsid w:val="10805DFD"/>
    <w:rsid w:val="108654B0"/>
    <w:rsid w:val="109D5C3F"/>
    <w:rsid w:val="109F0A20"/>
    <w:rsid w:val="10A30E7A"/>
    <w:rsid w:val="10A47ADA"/>
    <w:rsid w:val="10AE35A2"/>
    <w:rsid w:val="10C04E65"/>
    <w:rsid w:val="10D75D0B"/>
    <w:rsid w:val="10DF1F5D"/>
    <w:rsid w:val="11146F5F"/>
    <w:rsid w:val="111F5AC5"/>
    <w:rsid w:val="11404A37"/>
    <w:rsid w:val="11415BB9"/>
    <w:rsid w:val="116E6670"/>
    <w:rsid w:val="11715020"/>
    <w:rsid w:val="117B74A1"/>
    <w:rsid w:val="118B5F3C"/>
    <w:rsid w:val="118B66AE"/>
    <w:rsid w:val="118E69A8"/>
    <w:rsid w:val="119A32E7"/>
    <w:rsid w:val="11A16A45"/>
    <w:rsid w:val="11AB51DC"/>
    <w:rsid w:val="11AE4CBE"/>
    <w:rsid w:val="11B7030E"/>
    <w:rsid w:val="11C51C71"/>
    <w:rsid w:val="11C52008"/>
    <w:rsid w:val="11CE35B2"/>
    <w:rsid w:val="11EA3CDB"/>
    <w:rsid w:val="11EA7049"/>
    <w:rsid w:val="120C27DE"/>
    <w:rsid w:val="122028AB"/>
    <w:rsid w:val="122D5247"/>
    <w:rsid w:val="12366742"/>
    <w:rsid w:val="12492C39"/>
    <w:rsid w:val="124B2FB9"/>
    <w:rsid w:val="12667891"/>
    <w:rsid w:val="12796FFB"/>
    <w:rsid w:val="128116D9"/>
    <w:rsid w:val="12A314F1"/>
    <w:rsid w:val="12A75B06"/>
    <w:rsid w:val="12D213CB"/>
    <w:rsid w:val="12D3743D"/>
    <w:rsid w:val="12E17FEA"/>
    <w:rsid w:val="12EA39DA"/>
    <w:rsid w:val="12F036DC"/>
    <w:rsid w:val="12F942F7"/>
    <w:rsid w:val="130E5529"/>
    <w:rsid w:val="13114ECD"/>
    <w:rsid w:val="133A1F57"/>
    <w:rsid w:val="134578A4"/>
    <w:rsid w:val="134F427F"/>
    <w:rsid w:val="13516249"/>
    <w:rsid w:val="13546714"/>
    <w:rsid w:val="137F578F"/>
    <w:rsid w:val="13897791"/>
    <w:rsid w:val="13B61D5F"/>
    <w:rsid w:val="13C94031"/>
    <w:rsid w:val="13FB634C"/>
    <w:rsid w:val="14045069"/>
    <w:rsid w:val="140536DC"/>
    <w:rsid w:val="140B1F71"/>
    <w:rsid w:val="141649B0"/>
    <w:rsid w:val="141A7410"/>
    <w:rsid w:val="14206016"/>
    <w:rsid w:val="14321BD6"/>
    <w:rsid w:val="14477CF4"/>
    <w:rsid w:val="14524026"/>
    <w:rsid w:val="145D0B4E"/>
    <w:rsid w:val="145E2E70"/>
    <w:rsid w:val="14691987"/>
    <w:rsid w:val="147A48B1"/>
    <w:rsid w:val="148368D6"/>
    <w:rsid w:val="149139EF"/>
    <w:rsid w:val="14A405FA"/>
    <w:rsid w:val="14EB6229"/>
    <w:rsid w:val="14F128EC"/>
    <w:rsid w:val="151176A2"/>
    <w:rsid w:val="1525173B"/>
    <w:rsid w:val="15252D7F"/>
    <w:rsid w:val="152C558C"/>
    <w:rsid w:val="153D6FBB"/>
    <w:rsid w:val="155C41EF"/>
    <w:rsid w:val="155E0959"/>
    <w:rsid w:val="15645D90"/>
    <w:rsid w:val="1565275D"/>
    <w:rsid w:val="156D6570"/>
    <w:rsid w:val="156E26BC"/>
    <w:rsid w:val="15824E67"/>
    <w:rsid w:val="15901255"/>
    <w:rsid w:val="159A45D2"/>
    <w:rsid w:val="15A40669"/>
    <w:rsid w:val="15BE0BFE"/>
    <w:rsid w:val="15F07F9B"/>
    <w:rsid w:val="15F5735F"/>
    <w:rsid w:val="15FF5FFC"/>
    <w:rsid w:val="16077093"/>
    <w:rsid w:val="161C5532"/>
    <w:rsid w:val="161D2D93"/>
    <w:rsid w:val="162261B2"/>
    <w:rsid w:val="162F5715"/>
    <w:rsid w:val="1633373D"/>
    <w:rsid w:val="163C2E16"/>
    <w:rsid w:val="165276B5"/>
    <w:rsid w:val="165B7AA1"/>
    <w:rsid w:val="166E0EC0"/>
    <w:rsid w:val="166F0939"/>
    <w:rsid w:val="16726C02"/>
    <w:rsid w:val="167D43B8"/>
    <w:rsid w:val="16B93786"/>
    <w:rsid w:val="16BC2F0A"/>
    <w:rsid w:val="16BF1FDC"/>
    <w:rsid w:val="16C11B4F"/>
    <w:rsid w:val="16D868DA"/>
    <w:rsid w:val="16DC436A"/>
    <w:rsid w:val="16DF591A"/>
    <w:rsid w:val="16E6314C"/>
    <w:rsid w:val="16F40375"/>
    <w:rsid w:val="17150DEE"/>
    <w:rsid w:val="17231347"/>
    <w:rsid w:val="172F2302"/>
    <w:rsid w:val="173371AD"/>
    <w:rsid w:val="17546BD9"/>
    <w:rsid w:val="175C51BC"/>
    <w:rsid w:val="17652162"/>
    <w:rsid w:val="176E003B"/>
    <w:rsid w:val="176F6C9D"/>
    <w:rsid w:val="177A4EE8"/>
    <w:rsid w:val="17845FA0"/>
    <w:rsid w:val="178C0ED3"/>
    <w:rsid w:val="17B943BD"/>
    <w:rsid w:val="17BB79EB"/>
    <w:rsid w:val="17C44C48"/>
    <w:rsid w:val="17C90AA4"/>
    <w:rsid w:val="17D551BC"/>
    <w:rsid w:val="17EB597C"/>
    <w:rsid w:val="18001FEB"/>
    <w:rsid w:val="18225A6D"/>
    <w:rsid w:val="18361B26"/>
    <w:rsid w:val="1853347F"/>
    <w:rsid w:val="185760AF"/>
    <w:rsid w:val="185A2697"/>
    <w:rsid w:val="187546F0"/>
    <w:rsid w:val="187B3C55"/>
    <w:rsid w:val="1881312C"/>
    <w:rsid w:val="18846779"/>
    <w:rsid w:val="18860743"/>
    <w:rsid w:val="188744BB"/>
    <w:rsid w:val="189F4FBB"/>
    <w:rsid w:val="189F5461"/>
    <w:rsid w:val="18A230A3"/>
    <w:rsid w:val="18AC2047"/>
    <w:rsid w:val="18AC396D"/>
    <w:rsid w:val="18B80C9F"/>
    <w:rsid w:val="18C1177B"/>
    <w:rsid w:val="18C24909"/>
    <w:rsid w:val="18C94E78"/>
    <w:rsid w:val="18D019BE"/>
    <w:rsid w:val="18E15979"/>
    <w:rsid w:val="19121FD6"/>
    <w:rsid w:val="192B63DD"/>
    <w:rsid w:val="19510D51"/>
    <w:rsid w:val="19583388"/>
    <w:rsid w:val="195B397D"/>
    <w:rsid w:val="1961304B"/>
    <w:rsid w:val="198F59AE"/>
    <w:rsid w:val="199B021E"/>
    <w:rsid w:val="19C07C84"/>
    <w:rsid w:val="19E745BC"/>
    <w:rsid w:val="1A1D6E85"/>
    <w:rsid w:val="1A2762C2"/>
    <w:rsid w:val="1A356D93"/>
    <w:rsid w:val="1A373E9A"/>
    <w:rsid w:val="1A4656FA"/>
    <w:rsid w:val="1A5D38C5"/>
    <w:rsid w:val="1A630B8C"/>
    <w:rsid w:val="1A8B2040"/>
    <w:rsid w:val="1A925746"/>
    <w:rsid w:val="1AC60E18"/>
    <w:rsid w:val="1ACF24EF"/>
    <w:rsid w:val="1AD7243E"/>
    <w:rsid w:val="1ADA1655"/>
    <w:rsid w:val="1ADE2136"/>
    <w:rsid w:val="1AEF7178"/>
    <w:rsid w:val="1AF1038D"/>
    <w:rsid w:val="1AF319BA"/>
    <w:rsid w:val="1AF44089"/>
    <w:rsid w:val="1AF80B73"/>
    <w:rsid w:val="1AFC571D"/>
    <w:rsid w:val="1B143CF5"/>
    <w:rsid w:val="1B181690"/>
    <w:rsid w:val="1B19788A"/>
    <w:rsid w:val="1B1E0C51"/>
    <w:rsid w:val="1B233804"/>
    <w:rsid w:val="1B2913E1"/>
    <w:rsid w:val="1B373B51"/>
    <w:rsid w:val="1B3F1EEA"/>
    <w:rsid w:val="1B4260DB"/>
    <w:rsid w:val="1B5233AE"/>
    <w:rsid w:val="1B5B22AF"/>
    <w:rsid w:val="1B905407"/>
    <w:rsid w:val="1BA84CB5"/>
    <w:rsid w:val="1BAB226E"/>
    <w:rsid w:val="1BC0770A"/>
    <w:rsid w:val="1BCC16EF"/>
    <w:rsid w:val="1BD03E42"/>
    <w:rsid w:val="1BD32554"/>
    <w:rsid w:val="1BD85661"/>
    <w:rsid w:val="1BDD1A5E"/>
    <w:rsid w:val="1BDE3846"/>
    <w:rsid w:val="1BF1753C"/>
    <w:rsid w:val="1BF72877"/>
    <w:rsid w:val="1C035868"/>
    <w:rsid w:val="1C200CD2"/>
    <w:rsid w:val="1C244877"/>
    <w:rsid w:val="1C265A6C"/>
    <w:rsid w:val="1C275D99"/>
    <w:rsid w:val="1C395ACC"/>
    <w:rsid w:val="1C3C4DED"/>
    <w:rsid w:val="1C403731"/>
    <w:rsid w:val="1C451422"/>
    <w:rsid w:val="1C5C35F2"/>
    <w:rsid w:val="1C5F7AD6"/>
    <w:rsid w:val="1C6177C9"/>
    <w:rsid w:val="1C6A5726"/>
    <w:rsid w:val="1C7B7E93"/>
    <w:rsid w:val="1CB304B4"/>
    <w:rsid w:val="1CCA60B9"/>
    <w:rsid w:val="1CE1063D"/>
    <w:rsid w:val="1CFC2BFF"/>
    <w:rsid w:val="1CFC6AF6"/>
    <w:rsid w:val="1CFF771A"/>
    <w:rsid w:val="1D0D73A7"/>
    <w:rsid w:val="1D4209B0"/>
    <w:rsid w:val="1D4D7A81"/>
    <w:rsid w:val="1D4E0431"/>
    <w:rsid w:val="1D7D7C32"/>
    <w:rsid w:val="1D7F1C04"/>
    <w:rsid w:val="1D807E56"/>
    <w:rsid w:val="1D877B61"/>
    <w:rsid w:val="1D930F9C"/>
    <w:rsid w:val="1DC67833"/>
    <w:rsid w:val="1DC95CD2"/>
    <w:rsid w:val="1DE06267"/>
    <w:rsid w:val="1DE737DD"/>
    <w:rsid w:val="1DEF2EFF"/>
    <w:rsid w:val="1DFC06AC"/>
    <w:rsid w:val="1E025155"/>
    <w:rsid w:val="1E2020E2"/>
    <w:rsid w:val="1E405469"/>
    <w:rsid w:val="1E4314C7"/>
    <w:rsid w:val="1E466D74"/>
    <w:rsid w:val="1E4B343F"/>
    <w:rsid w:val="1E4F303B"/>
    <w:rsid w:val="1E513FF3"/>
    <w:rsid w:val="1E5F672D"/>
    <w:rsid w:val="1E6257AE"/>
    <w:rsid w:val="1E640CB4"/>
    <w:rsid w:val="1E702991"/>
    <w:rsid w:val="1E9A1B99"/>
    <w:rsid w:val="1EB83620"/>
    <w:rsid w:val="1EBF0943"/>
    <w:rsid w:val="1EC149C5"/>
    <w:rsid w:val="1ECB3353"/>
    <w:rsid w:val="1ECE4BF1"/>
    <w:rsid w:val="1EDD5153"/>
    <w:rsid w:val="1EE354F4"/>
    <w:rsid w:val="1EFB0099"/>
    <w:rsid w:val="1EFD5DFE"/>
    <w:rsid w:val="1F047610"/>
    <w:rsid w:val="1F095F7F"/>
    <w:rsid w:val="1F1A1286"/>
    <w:rsid w:val="1F275698"/>
    <w:rsid w:val="1F374545"/>
    <w:rsid w:val="1F731D7C"/>
    <w:rsid w:val="1F826311"/>
    <w:rsid w:val="1F8C3066"/>
    <w:rsid w:val="1F912C82"/>
    <w:rsid w:val="1F9204C0"/>
    <w:rsid w:val="1F9B5276"/>
    <w:rsid w:val="1FB3379B"/>
    <w:rsid w:val="1FB95515"/>
    <w:rsid w:val="1FCB70A4"/>
    <w:rsid w:val="1FCE3343"/>
    <w:rsid w:val="1FD90C8C"/>
    <w:rsid w:val="1FDE786A"/>
    <w:rsid w:val="1FE3088A"/>
    <w:rsid w:val="1FE43FA1"/>
    <w:rsid w:val="1FED73FE"/>
    <w:rsid w:val="1FEE3BFB"/>
    <w:rsid w:val="1FF07421"/>
    <w:rsid w:val="1FF50CC5"/>
    <w:rsid w:val="20015B2A"/>
    <w:rsid w:val="200B0422"/>
    <w:rsid w:val="200C30D8"/>
    <w:rsid w:val="20416FE1"/>
    <w:rsid w:val="20417A0B"/>
    <w:rsid w:val="204A4A16"/>
    <w:rsid w:val="20541126"/>
    <w:rsid w:val="20644BCB"/>
    <w:rsid w:val="2072787E"/>
    <w:rsid w:val="2073757D"/>
    <w:rsid w:val="20745BCD"/>
    <w:rsid w:val="20771573"/>
    <w:rsid w:val="207B6FD6"/>
    <w:rsid w:val="20974A47"/>
    <w:rsid w:val="20A35C0A"/>
    <w:rsid w:val="20A86A3D"/>
    <w:rsid w:val="20AF1D59"/>
    <w:rsid w:val="20B65F78"/>
    <w:rsid w:val="20B80137"/>
    <w:rsid w:val="20FD1E47"/>
    <w:rsid w:val="21014DE9"/>
    <w:rsid w:val="21047702"/>
    <w:rsid w:val="21224FEE"/>
    <w:rsid w:val="212379EB"/>
    <w:rsid w:val="212B049E"/>
    <w:rsid w:val="213E4104"/>
    <w:rsid w:val="214747E7"/>
    <w:rsid w:val="217655AA"/>
    <w:rsid w:val="2177331E"/>
    <w:rsid w:val="217C591A"/>
    <w:rsid w:val="21905785"/>
    <w:rsid w:val="21A1699A"/>
    <w:rsid w:val="21C92ED2"/>
    <w:rsid w:val="21E51FCD"/>
    <w:rsid w:val="21EF259E"/>
    <w:rsid w:val="2209684B"/>
    <w:rsid w:val="221E276B"/>
    <w:rsid w:val="223236E9"/>
    <w:rsid w:val="223905D4"/>
    <w:rsid w:val="22456F79"/>
    <w:rsid w:val="224D7FDE"/>
    <w:rsid w:val="22535CA8"/>
    <w:rsid w:val="22573150"/>
    <w:rsid w:val="225C2514"/>
    <w:rsid w:val="22715EC7"/>
    <w:rsid w:val="22754020"/>
    <w:rsid w:val="228D26CE"/>
    <w:rsid w:val="22AC049B"/>
    <w:rsid w:val="22BE1BDE"/>
    <w:rsid w:val="22CF7EDB"/>
    <w:rsid w:val="22E569AE"/>
    <w:rsid w:val="22ED1538"/>
    <w:rsid w:val="22F97D63"/>
    <w:rsid w:val="23024E6A"/>
    <w:rsid w:val="23060657"/>
    <w:rsid w:val="231B6DF1"/>
    <w:rsid w:val="23346E85"/>
    <w:rsid w:val="236B22B4"/>
    <w:rsid w:val="23715D73"/>
    <w:rsid w:val="23902475"/>
    <w:rsid w:val="239A68EE"/>
    <w:rsid w:val="23AE6963"/>
    <w:rsid w:val="23B930F7"/>
    <w:rsid w:val="23C10881"/>
    <w:rsid w:val="23CF3667"/>
    <w:rsid w:val="23D15046"/>
    <w:rsid w:val="23DC3834"/>
    <w:rsid w:val="24066D41"/>
    <w:rsid w:val="24135328"/>
    <w:rsid w:val="244A40B5"/>
    <w:rsid w:val="247D45F8"/>
    <w:rsid w:val="24977834"/>
    <w:rsid w:val="2499092A"/>
    <w:rsid w:val="24997A50"/>
    <w:rsid w:val="24BC729A"/>
    <w:rsid w:val="24C63ACB"/>
    <w:rsid w:val="24CD76F9"/>
    <w:rsid w:val="24D977AA"/>
    <w:rsid w:val="24E44142"/>
    <w:rsid w:val="24EC2091"/>
    <w:rsid w:val="24EF26C1"/>
    <w:rsid w:val="253A3134"/>
    <w:rsid w:val="253B049D"/>
    <w:rsid w:val="253B28B5"/>
    <w:rsid w:val="254954BA"/>
    <w:rsid w:val="255D2B10"/>
    <w:rsid w:val="256413B7"/>
    <w:rsid w:val="257124A1"/>
    <w:rsid w:val="2579236B"/>
    <w:rsid w:val="259E358C"/>
    <w:rsid w:val="25AA1892"/>
    <w:rsid w:val="25AC5561"/>
    <w:rsid w:val="25AF4B05"/>
    <w:rsid w:val="25B30921"/>
    <w:rsid w:val="25C50256"/>
    <w:rsid w:val="25D56AD1"/>
    <w:rsid w:val="25DC7BEC"/>
    <w:rsid w:val="25DF6410"/>
    <w:rsid w:val="25E820CB"/>
    <w:rsid w:val="25F42B2D"/>
    <w:rsid w:val="25FB4A16"/>
    <w:rsid w:val="260360E7"/>
    <w:rsid w:val="26056D25"/>
    <w:rsid w:val="26152C53"/>
    <w:rsid w:val="2617492B"/>
    <w:rsid w:val="26220C12"/>
    <w:rsid w:val="26404C6A"/>
    <w:rsid w:val="26425FBC"/>
    <w:rsid w:val="26865B43"/>
    <w:rsid w:val="268E382E"/>
    <w:rsid w:val="26947617"/>
    <w:rsid w:val="269B64D5"/>
    <w:rsid w:val="26A12BEB"/>
    <w:rsid w:val="26A61FB0"/>
    <w:rsid w:val="26A768AF"/>
    <w:rsid w:val="26A83F7A"/>
    <w:rsid w:val="26B7791D"/>
    <w:rsid w:val="26BC7756"/>
    <w:rsid w:val="26BF0015"/>
    <w:rsid w:val="26D766BF"/>
    <w:rsid w:val="26D81CBB"/>
    <w:rsid w:val="26F07CA0"/>
    <w:rsid w:val="26FC689E"/>
    <w:rsid w:val="271550B9"/>
    <w:rsid w:val="2718697F"/>
    <w:rsid w:val="273439C6"/>
    <w:rsid w:val="275F10B0"/>
    <w:rsid w:val="2768394D"/>
    <w:rsid w:val="2768690E"/>
    <w:rsid w:val="27723DF2"/>
    <w:rsid w:val="27775F1B"/>
    <w:rsid w:val="277809EC"/>
    <w:rsid w:val="278A7161"/>
    <w:rsid w:val="27912C60"/>
    <w:rsid w:val="279B3ADF"/>
    <w:rsid w:val="27B85689"/>
    <w:rsid w:val="27C95FFE"/>
    <w:rsid w:val="27D50D9F"/>
    <w:rsid w:val="27E10440"/>
    <w:rsid w:val="27E442FA"/>
    <w:rsid w:val="27E4653F"/>
    <w:rsid w:val="27E636F0"/>
    <w:rsid w:val="27EA7360"/>
    <w:rsid w:val="28017DE6"/>
    <w:rsid w:val="28043432"/>
    <w:rsid w:val="281A7E7E"/>
    <w:rsid w:val="283126F2"/>
    <w:rsid w:val="28470E41"/>
    <w:rsid w:val="28486351"/>
    <w:rsid w:val="284952E9"/>
    <w:rsid w:val="285D6BD1"/>
    <w:rsid w:val="28610884"/>
    <w:rsid w:val="288C3421"/>
    <w:rsid w:val="289A1FB2"/>
    <w:rsid w:val="28A026EF"/>
    <w:rsid w:val="28B1637E"/>
    <w:rsid w:val="28C30B0F"/>
    <w:rsid w:val="28D53FEB"/>
    <w:rsid w:val="28D57E8D"/>
    <w:rsid w:val="29094D4C"/>
    <w:rsid w:val="291B4ED7"/>
    <w:rsid w:val="29250076"/>
    <w:rsid w:val="29293941"/>
    <w:rsid w:val="29385A89"/>
    <w:rsid w:val="29565F0F"/>
    <w:rsid w:val="29785E86"/>
    <w:rsid w:val="298E58D2"/>
    <w:rsid w:val="29913873"/>
    <w:rsid w:val="2991535F"/>
    <w:rsid w:val="29BB649E"/>
    <w:rsid w:val="29BF1D06"/>
    <w:rsid w:val="29C63095"/>
    <w:rsid w:val="29D426D9"/>
    <w:rsid w:val="29DD54D9"/>
    <w:rsid w:val="29EE7548"/>
    <w:rsid w:val="29FB7443"/>
    <w:rsid w:val="2A0D0CC4"/>
    <w:rsid w:val="2A103C48"/>
    <w:rsid w:val="2A2C6CD5"/>
    <w:rsid w:val="2A2E4796"/>
    <w:rsid w:val="2A384A86"/>
    <w:rsid w:val="2A3A6D3B"/>
    <w:rsid w:val="2A71018E"/>
    <w:rsid w:val="2A731B79"/>
    <w:rsid w:val="2A7F5287"/>
    <w:rsid w:val="2A8273AE"/>
    <w:rsid w:val="2A8A3F2A"/>
    <w:rsid w:val="2A9704F0"/>
    <w:rsid w:val="2A9B758B"/>
    <w:rsid w:val="2AA07AF3"/>
    <w:rsid w:val="2AA50639"/>
    <w:rsid w:val="2AA56A35"/>
    <w:rsid w:val="2AAA7D7D"/>
    <w:rsid w:val="2AB078A1"/>
    <w:rsid w:val="2AB90355"/>
    <w:rsid w:val="2ABB3102"/>
    <w:rsid w:val="2AD03A9F"/>
    <w:rsid w:val="2AD4533E"/>
    <w:rsid w:val="2AE61515"/>
    <w:rsid w:val="2AE80675"/>
    <w:rsid w:val="2B033E75"/>
    <w:rsid w:val="2B0426A0"/>
    <w:rsid w:val="2B10580D"/>
    <w:rsid w:val="2B141BDE"/>
    <w:rsid w:val="2B274B82"/>
    <w:rsid w:val="2B277B63"/>
    <w:rsid w:val="2B2A6DB2"/>
    <w:rsid w:val="2B2B7B74"/>
    <w:rsid w:val="2B37112B"/>
    <w:rsid w:val="2B397BDF"/>
    <w:rsid w:val="2B551E14"/>
    <w:rsid w:val="2B877724"/>
    <w:rsid w:val="2BA25B5A"/>
    <w:rsid w:val="2BA81D09"/>
    <w:rsid w:val="2BCC5554"/>
    <w:rsid w:val="2BD4136D"/>
    <w:rsid w:val="2BD63489"/>
    <w:rsid w:val="2BDD4864"/>
    <w:rsid w:val="2BE735BA"/>
    <w:rsid w:val="2BFD5200"/>
    <w:rsid w:val="2C016606"/>
    <w:rsid w:val="2C054454"/>
    <w:rsid w:val="2C056B5B"/>
    <w:rsid w:val="2C1520B2"/>
    <w:rsid w:val="2C182930"/>
    <w:rsid w:val="2C19366C"/>
    <w:rsid w:val="2C480245"/>
    <w:rsid w:val="2C491D5B"/>
    <w:rsid w:val="2C501C27"/>
    <w:rsid w:val="2C563322"/>
    <w:rsid w:val="2C57367A"/>
    <w:rsid w:val="2C7A6C95"/>
    <w:rsid w:val="2C7D1A05"/>
    <w:rsid w:val="2C7F65D8"/>
    <w:rsid w:val="2C91686C"/>
    <w:rsid w:val="2C9A4365"/>
    <w:rsid w:val="2CC11743"/>
    <w:rsid w:val="2CC25DC8"/>
    <w:rsid w:val="2CDF64ED"/>
    <w:rsid w:val="2CEF4A20"/>
    <w:rsid w:val="2D042DF7"/>
    <w:rsid w:val="2D137721"/>
    <w:rsid w:val="2D145EC5"/>
    <w:rsid w:val="2D1B131C"/>
    <w:rsid w:val="2D4D3D15"/>
    <w:rsid w:val="2D660B55"/>
    <w:rsid w:val="2D782F8C"/>
    <w:rsid w:val="2D8067B7"/>
    <w:rsid w:val="2D851BF3"/>
    <w:rsid w:val="2DB03082"/>
    <w:rsid w:val="2DB651CE"/>
    <w:rsid w:val="2DB94CBF"/>
    <w:rsid w:val="2DBE7E60"/>
    <w:rsid w:val="2E036298"/>
    <w:rsid w:val="2E10247F"/>
    <w:rsid w:val="2E110137"/>
    <w:rsid w:val="2E18740C"/>
    <w:rsid w:val="2E27354F"/>
    <w:rsid w:val="2E3E1D55"/>
    <w:rsid w:val="2E4A5917"/>
    <w:rsid w:val="2E6463F0"/>
    <w:rsid w:val="2E82026F"/>
    <w:rsid w:val="2E890D36"/>
    <w:rsid w:val="2E8A44E7"/>
    <w:rsid w:val="2E980D78"/>
    <w:rsid w:val="2EA3753B"/>
    <w:rsid w:val="2EA80256"/>
    <w:rsid w:val="2EC5717E"/>
    <w:rsid w:val="2ECC588F"/>
    <w:rsid w:val="2EEC73BD"/>
    <w:rsid w:val="2EED4A65"/>
    <w:rsid w:val="2F57770C"/>
    <w:rsid w:val="2F5910E2"/>
    <w:rsid w:val="2F5B602D"/>
    <w:rsid w:val="2F9D0684"/>
    <w:rsid w:val="2FA86D99"/>
    <w:rsid w:val="2FB27C17"/>
    <w:rsid w:val="2FB8225B"/>
    <w:rsid w:val="2FC35981"/>
    <w:rsid w:val="2FD70D3C"/>
    <w:rsid w:val="2FE254C2"/>
    <w:rsid w:val="2FF7387C"/>
    <w:rsid w:val="301041FF"/>
    <w:rsid w:val="302A5EC0"/>
    <w:rsid w:val="303A5F81"/>
    <w:rsid w:val="304113D8"/>
    <w:rsid w:val="30806EBE"/>
    <w:rsid w:val="30976DA2"/>
    <w:rsid w:val="30BA7D1E"/>
    <w:rsid w:val="30C47E0A"/>
    <w:rsid w:val="30CC6AB7"/>
    <w:rsid w:val="30CF581F"/>
    <w:rsid w:val="30CF7DFB"/>
    <w:rsid w:val="30D37432"/>
    <w:rsid w:val="30DE0F04"/>
    <w:rsid w:val="30DE2F80"/>
    <w:rsid w:val="30EA2A32"/>
    <w:rsid w:val="30EF1E22"/>
    <w:rsid w:val="31153F7B"/>
    <w:rsid w:val="311B30B9"/>
    <w:rsid w:val="312F3BD1"/>
    <w:rsid w:val="31446A12"/>
    <w:rsid w:val="31592A40"/>
    <w:rsid w:val="3167138C"/>
    <w:rsid w:val="31783C3A"/>
    <w:rsid w:val="317A135D"/>
    <w:rsid w:val="318D5550"/>
    <w:rsid w:val="31A7606C"/>
    <w:rsid w:val="31B57EC6"/>
    <w:rsid w:val="31C00F38"/>
    <w:rsid w:val="31CE34E0"/>
    <w:rsid w:val="31E02669"/>
    <w:rsid w:val="31E053E9"/>
    <w:rsid w:val="31ED3189"/>
    <w:rsid w:val="31F0329A"/>
    <w:rsid w:val="31F6028F"/>
    <w:rsid w:val="31FB3AF8"/>
    <w:rsid w:val="3211544E"/>
    <w:rsid w:val="3212499D"/>
    <w:rsid w:val="32131E90"/>
    <w:rsid w:val="3215190C"/>
    <w:rsid w:val="323B0398"/>
    <w:rsid w:val="32431D53"/>
    <w:rsid w:val="32472899"/>
    <w:rsid w:val="325A6A70"/>
    <w:rsid w:val="32676A97"/>
    <w:rsid w:val="327D39FB"/>
    <w:rsid w:val="32885AE5"/>
    <w:rsid w:val="32894C60"/>
    <w:rsid w:val="328972DC"/>
    <w:rsid w:val="32A466E9"/>
    <w:rsid w:val="32AF043E"/>
    <w:rsid w:val="32C130ED"/>
    <w:rsid w:val="32DA18A3"/>
    <w:rsid w:val="32E70BA0"/>
    <w:rsid w:val="32E724E5"/>
    <w:rsid w:val="32E838C6"/>
    <w:rsid w:val="32E90235"/>
    <w:rsid w:val="32EB2C4E"/>
    <w:rsid w:val="32FA5B5D"/>
    <w:rsid w:val="33247B3F"/>
    <w:rsid w:val="332854C6"/>
    <w:rsid w:val="332E2F02"/>
    <w:rsid w:val="334177BF"/>
    <w:rsid w:val="33474C90"/>
    <w:rsid w:val="33512781"/>
    <w:rsid w:val="335434DE"/>
    <w:rsid w:val="3355484C"/>
    <w:rsid w:val="336679C1"/>
    <w:rsid w:val="336B2C41"/>
    <w:rsid w:val="336C30A3"/>
    <w:rsid w:val="33922361"/>
    <w:rsid w:val="339C4A8D"/>
    <w:rsid w:val="33AB32FB"/>
    <w:rsid w:val="33AC56DE"/>
    <w:rsid w:val="33AE045A"/>
    <w:rsid w:val="33BD48EE"/>
    <w:rsid w:val="33DC5DDC"/>
    <w:rsid w:val="33EC7B9C"/>
    <w:rsid w:val="33EF7ED5"/>
    <w:rsid w:val="33F729A3"/>
    <w:rsid w:val="3419701E"/>
    <w:rsid w:val="342C7F98"/>
    <w:rsid w:val="342E1392"/>
    <w:rsid w:val="34390907"/>
    <w:rsid w:val="34702B85"/>
    <w:rsid w:val="34761214"/>
    <w:rsid w:val="347B633B"/>
    <w:rsid w:val="34961BCD"/>
    <w:rsid w:val="349B511E"/>
    <w:rsid w:val="34AC6CA2"/>
    <w:rsid w:val="34B232D3"/>
    <w:rsid w:val="34B32468"/>
    <w:rsid w:val="34B3734C"/>
    <w:rsid w:val="34B40046"/>
    <w:rsid w:val="34B46498"/>
    <w:rsid w:val="34B8182C"/>
    <w:rsid w:val="34C04A1A"/>
    <w:rsid w:val="34C438B7"/>
    <w:rsid w:val="34C6228E"/>
    <w:rsid w:val="34C7361A"/>
    <w:rsid w:val="34D04DD1"/>
    <w:rsid w:val="34D34F8E"/>
    <w:rsid w:val="34D50E5E"/>
    <w:rsid w:val="34F95AAB"/>
    <w:rsid w:val="35041616"/>
    <w:rsid w:val="35066A3B"/>
    <w:rsid w:val="350A5A6F"/>
    <w:rsid w:val="351707B3"/>
    <w:rsid w:val="355F41C7"/>
    <w:rsid w:val="355F439E"/>
    <w:rsid w:val="35680C54"/>
    <w:rsid w:val="357D7251"/>
    <w:rsid w:val="358B752B"/>
    <w:rsid w:val="35995434"/>
    <w:rsid w:val="359E4EC6"/>
    <w:rsid w:val="35A106AC"/>
    <w:rsid w:val="35AB6BA9"/>
    <w:rsid w:val="35AD1B7A"/>
    <w:rsid w:val="35C870D5"/>
    <w:rsid w:val="35C91817"/>
    <w:rsid w:val="35D73F34"/>
    <w:rsid w:val="35E32E47"/>
    <w:rsid w:val="35E93297"/>
    <w:rsid w:val="35F11881"/>
    <w:rsid w:val="36162029"/>
    <w:rsid w:val="361C0713"/>
    <w:rsid w:val="36252EF1"/>
    <w:rsid w:val="362626F9"/>
    <w:rsid w:val="362D6AF4"/>
    <w:rsid w:val="362E4C8E"/>
    <w:rsid w:val="36301896"/>
    <w:rsid w:val="36371DF8"/>
    <w:rsid w:val="36484D87"/>
    <w:rsid w:val="364F3BB1"/>
    <w:rsid w:val="36592B9B"/>
    <w:rsid w:val="367F4EBB"/>
    <w:rsid w:val="368D6CE8"/>
    <w:rsid w:val="369260AD"/>
    <w:rsid w:val="36945391"/>
    <w:rsid w:val="36996257"/>
    <w:rsid w:val="369F3A19"/>
    <w:rsid w:val="36A5088C"/>
    <w:rsid w:val="36A55DE0"/>
    <w:rsid w:val="36B269E0"/>
    <w:rsid w:val="36B52DA8"/>
    <w:rsid w:val="36BD084A"/>
    <w:rsid w:val="36BD5820"/>
    <w:rsid w:val="36CA3A99"/>
    <w:rsid w:val="36CA5847"/>
    <w:rsid w:val="36CB28A9"/>
    <w:rsid w:val="36D76F71"/>
    <w:rsid w:val="36E167A7"/>
    <w:rsid w:val="370402B2"/>
    <w:rsid w:val="37070F1F"/>
    <w:rsid w:val="370C2D55"/>
    <w:rsid w:val="372945D6"/>
    <w:rsid w:val="372C4753"/>
    <w:rsid w:val="37422246"/>
    <w:rsid w:val="374B38E2"/>
    <w:rsid w:val="374B6384"/>
    <w:rsid w:val="3756610B"/>
    <w:rsid w:val="376363A2"/>
    <w:rsid w:val="376D0FF4"/>
    <w:rsid w:val="377164AE"/>
    <w:rsid w:val="37852BBB"/>
    <w:rsid w:val="37891C87"/>
    <w:rsid w:val="379C0DD0"/>
    <w:rsid w:val="37B16457"/>
    <w:rsid w:val="37BC09E1"/>
    <w:rsid w:val="37BE7A98"/>
    <w:rsid w:val="37C33FCE"/>
    <w:rsid w:val="37C37C31"/>
    <w:rsid w:val="37C56D30"/>
    <w:rsid w:val="37D56B99"/>
    <w:rsid w:val="37D746BF"/>
    <w:rsid w:val="37D86DCA"/>
    <w:rsid w:val="37E23E30"/>
    <w:rsid w:val="37EF2B8F"/>
    <w:rsid w:val="37F826D7"/>
    <w:rsid w:val="38083D6E"/>
    <w:rsid w:val="380B25BB"/>
    <w:rsid w:val="38397128"/>
    <w:rsid w:val="383A360F"/>
    <w:rsid w:val="38403E0E"/>
    <w:rsid w:val="38447480"/>
    <w:rsid w:val="384D672F"/>
    <w:rsid w:val="38576DD6"/>
    <w:rsid w:val="385F744B"/>
    <w:rsid w:val="386D2ED1"/>
    <w:rsid w:val="386E2BC2"/>
    <w:rsid w:val="389F377E"/>
    <w:rsid w:val="38DD5D05"/>
    <w:rsid w:val="38E6454E"/>
    <w:rsid w:val="38EE7DBA"/>
    <w:rsid w:val="390777EF"/>
    <w:rsid w:val="391E0B52"/>
    <w:rsid w:val="39203A57"/>
    <w:rsid w:val="393022D9"/>
    <w:rsid w:val="39443BBF"/>
    <w:rsid w:val="397A17A6"/>
    <w:rsid w:val="397A3554"/>
    <w:rsid w:val="39812B34"/>
    <w:rsid w:val="39911DAF"/>
    <w:rsid w:val="399465A6"/>
    <w:rsid w:val="39967F3D"/>
    <w:rsid w:val="399A33F3"/>
    <w:rsid w:val="39AA2CFD"/>
    <w:rsid w:val="39B62DD3"/>
    <w:rsid w:val="39BA4D87"/>
    <w:rsid w:val="39C33A21"/>
    <w:rsid w:val="39C37267"/>
    <w:rsid w:val="39CB2002"/>
    <w:rsid w:val="39D4535A"/>
    <w:rsid w:val="39E11BE9"/>
    <w:rsid w:val="3A0644D6"/>
    <w:rsid w:val="3A106211"/>
    <w:rsid w:val="3A3034E7"/>
    <w:rsid w:val="3A3A0FCB"/>
    <w:rsid w:val="3A4E65FC"/>
    <w:rsid w:val="3A52627F"/>
    <w:rsid w:val="3A7039BE"/>
    <w:rsid w:val="3A7E0DFF"/>
    <w:rsid w:val="3A9651C3"/>
    <w:rsid w:val="3A987FF4"/>
    <w:rsid w:val="3AA30888"/>
    <w:rsid w:val="3AA44B16"/>
    <w:rsid w:val="3AAB5B6C"/>
    <w:rsid w:val="3AB1411E"/>
    <w:rsid w:val="3AC125EE"/>
    <w:rsid w:val="3AD273C0"/>
    <w:rsid w:val="3AD96499"/>
    <w:rsid w:val="3AE83AF8"/>
    <w:rsid w:val="3B010BA7"/>
    <w:rsid w:val="3B0D02B7"/>
    <w:rsid w:val="3B2174CA"/>
    <w:rsid w:val="3B2E0CDD"/>
    <w:rsid w:val="3B351E28"/>
    <w:rsid w:val="3B392F9B"/>
    <w:rsid w:val="3B552525"/>
    <w:rsid w:val="3B5A50B5"/>
    <w:rsid w:val="3B5F2A53"/>
    <w:rsid w:val="3B62504C"/>
    <w:rsid w:val="3B646D07"/>
    <w:rsid w:val="3B883B96"/>
    <w:rsid w:val="3B976592"/>
    <w:rsid w:val="3B9D7B75"/>
    <w:rsid w:val="3BAF01E0"/>
    <w:rsid w:val="3BCC5491"/>
    <w:rsid w:val="3BEE11E8"/>
    <w:rsid w:val="3BF907D8"/>
    <w:rsid w:val="3C0E75C3"/>
    <w:rsid w:val="3C1D3602"/>
    <w:rsid w:val="3C214385"/>
    <w:rsid w:val="3C266D23"/>
    <w:rsid w:val="3C46341B"/>
    <w:rsid w:val="3C8A645F"/>
    <w:rsid w:val="3C8E4D52"/>
    <w:rsid w:val="3C932C2F"/>
    <w:rsid w:val="3C9D2091"/>
    <w:rsid w:val="3C9E57AB"/>
    <w:rsid w:val="3CB67E25"/>
    <w:rsid w:val="3CD36F28"/>
    <w:rsid w:val="3CE07B72"/>
    <w:rsid w:val="3CE63873"/>
    <w:rsid w:val="3D0B2224"/>
    <w:rsid w:val="3D146654"/>
    <w:rsid w:val="3D1B3838"/>
    <w:rsid w:val="3D3B3C1C"/>
    <w:rsid w:val="3D5440BC"/>
    <w:rsid w:val="3D6239E9"/>
    <w:rsid w:val="3D667B60"/>
    <w:rsid w:val="3D840E45"/>
    <w:rsid w:val="3D8A5D30"/>
    <w:rsid w:val="3D98044D"/>
    <w:rsid w:val="3D9B7F3D"/>
    <w:rsid w:val="3D9F7A2D"/>
    <w:rsid w:val="3DAF51DD"/>
    <w:rsid w:val="3DB12122"/>
    <w:rsid w:val="3DB17CDB"/>
    <w:rsid w:val="3DB64D5C"/>
    <w:rsid w:val="3DB64D77"/>
    <w:rsid w:val="3DBE3E5B"/>
    <w:rsid w:val="3DC22AF5"/>
    <w:rsid w:val="3DCB1E85"/>
    <w:rsid w:val="3DD31485"/>
    <w:rsid w:val="3DE27C98"/>
    <w:rsid w:val="3DF0663A"/>
    <w:rsid w:val="3DF758E6"/>
    <w:rsid w:val="3E1C762D"/>
    <w:rsid w:val="3E364090"/>
    <w:rsid w:val="3E3A6BED"/>
    <w:rsid w:val="3E3C527C"/>
    <w:rsid w:val="3E446330"/>
    <w:rsid w:val="3E5E3806"/>
    <w:rsid w:val="3E670594"/>
    <w:rsid w:val="3E7A1AB3"/>
    <w:rsid w:val="3E8A7C57"/>
    <w:rsid w:val="3E8F37CE"/>
    <w:rsid w:val="3E967BA9"/>
    <w:rsid w:val="3EB23076"/>
    <w:rsid w:val="3EB41B8D"/>
    <w:rsid w:val="3EF2245C"/>
    <w:rsid w:val="3EF77C11"/>
    <w:rsid w:val="3EFD0EAF"/>
    <w:rsid w:val="3F0A7A6B"/>
    <w:rsid w:val="3F0C4DD4"/>
    <w:rsid w:val="3F13539B"/>
    <w:rsid w:val="3F247759"/>
    <w:rsid w:val="3F265325"/>
    <w:rsid w:val="3F283A52"/>
    <w:rsid w:val="3F4940F4"/>
    <w:rsid w:val="3F505774"/>
    <w:rsid w:val="3F56236D"/>
    <w:rsid w:val="3F5636E1"/>
    <w:rsid w:val="3F5C0614"/>
    <w:rsid w:val="3F5F64EF"/>
    <w:rsid w:val="3F652CD1"/>
    <w:rsid w:val="3F714411"/>
    <w:rsid w:val="3F7153F9"/>
    <w:rsid w:val="3F761D85"/>
    <w:rsid w:val="3F814251"/>
    <w:rsid w:val="3F873B66"/>
    <w:rsid w:val="3F89502B"/>
    <w:rsid w:val="3F992643"/>
    <w:rsid w:val="3FBF76D2"/>
    <w:rsid w:val="3FCB3D07"/>
    <w:rsid w:val="3FD15B73"/>
    <w:rsid w:val="3FDE5AA9"/>
    <w:rsid w:val="3FE10FC7"/>
    <w:rsid w:val="3FE200A5"/>
    <w:rsid w:val="40030ABD"/>
    <w:rsid w:val="400A2D7C"/>
    <w:rsid w:val="4020756F"/>
    <w:rsid w:val="4057639D"/>
    <w:rsid w:val="405B3E08"/>
    <w:rsid w:val="40730612"/>
    <w:rsid w:val="407763CF"/>
    <w:rsid w:val="40824989"/>
    <w:rsid w:val="40842F0A"/>
    <w:rsid w:val="40867042"/>
    <w:rsid w:val="408A343A"/>
    <w:rsid w:val="408A49C4"/>
    <w:rsid w:val="40952AB4"/>
    <w:rsid w:val="40B263C4"/>
    <w:rsid w:val="40B6012C"/>
    <w:rsid w:val="40C76EE1"/>
    <w:rsid w:val="40C95A00"/>
    <w:rsid w:val="40CA17CA"/>
    <w:rsid w:val="40CE2B42"/>
    <w:rsid w:val="40D43E92"/>
    <w:rsid w:val="40DF797E"/>
    <w:rsid w:val="40E735FE"/>
    <w:rsid w:val="40EF5894"/>
    <w:rsid w:val="40F10EA7"/>
    <w:rsid w:val="410D1152"/>
    <w:rsid w:val="410D22B6"/>
    <w:rsid w:val="41150A15"/>
    <w:rsid w:val="411F77DF"/>
    <w:rsid w:val="412D21EF"/>
    <w:rsid w:val="41312F30"/>
    <w:rsid w:val="41346CCC"/>
    <w:rsid w:val="413E207F"/>
    <w:rsid w:val="41542BFD"/>
    <w:rsid w:val="415B56A6"/>
    <w:rsid w:val="415E3A99"/>
    <w:rsid w:val="415F1711"/>
    <w:rsid w:val="416C3D7C"/>
    <w:rsid w:val="41882C9E"/>
    <w:rsid w:val="41A3673E"/>
    <w:rsid w:val="41D22C5F"/>
    <w:rsid w:val="41DD1CCC"/>
    <w:rsid w:val="41DD4F15"/>
    <w:rsid w:val="41E66764"/>
    <w:rsid w:val="41FA1141"/>
    <w:rsid w:val="41FD1E53"/>
    <w:rsid w:val="4214206C"/>
    <w:rsid w:val="422449A5"/>
    <w:rsid w:val="42277FF1"/>
    <w:rsid w:val="42293D69"/>
    <w:rsid w:val="423B6441"/>
    <w:rsid w:val="42446DF5"/>
    <w:rsid w:val="42466220"/>
    <w:rsid w:val="42562A65"/>
    <w:rsid w:val="425E33D0"/>
    <w:rsid w:val="42651B13"/>
    <w:rsid w:val="427E2307"/>
    <w:rsid w:val="42895238"/>
    <w:rsid w:val="429A263C"/>
    <w:rsid w:val="42B155D5"/>
    <w:rsid w:val="42C711EF"/>
    <w:rsid w:val="42CE365C"/>
    <w:rsid w:val="42E9745E"/>
    <w:rsid w:val="42F44377"/>
    <w:rsid w:val="42F84333"/>
    <w:rsid w:val="42FB5880"/>
    <w:rsid w:val="430A7BDF"/>
    <w:rsid w:val="430D368B"/>
    <w:rsid w:val="432C39A7"/>
    <w:rsid w:val="433B210B"/>
    <w:rsid w:val="435D2116"/>
    <w:rsid w:val="43666B4D"/>
    <w:rsid w:val="43722671"/>
    <w:rsid w:val="438020AF"/>
    <w:rsid w:val="43887A1A"/>
    <w:rsid w:val="43B96287"/>
    <w:rsid w:val="43BE2291"/>
    <w:rsid w:val="43BF6A80"/>
    <w:rsid w:val="43C755E8"/>
    <w:rsid w:val="43CA5B33"/>
    <w:rsid w:val="43DE2931"/>
    <w:rsid w:val="44012B80"/>
    <w:rsid w:val="4407632C"/>
    <w:rsid w:val="441D01FD"/>
    <w:rsid w:val="441D0ED1"/>
    <w:rsid w:val="441F0432"/>
    <w:rsid w:val="4440539A"/>
    <w:rsid w:val="445822B5"/>
    <w:rsid w:val="446E15BA"/>
    <w:rsid w:val="44843E8F"/>
    <w:rsid w:val="448B44F0"/>
    <w:rsid w:val="449C4E22"/>
    <w:rsid w:val="449C6A74"/>
    <w:rsid w:val="44A27E03"/>
    <w:rsid w:val="44A818BD"/>
    <w:rsid w:val="44D0671E"/>
    <w:rsid w:val="44F512D3"/>
    <w:rsid w:val="451659AA"/>
    <w:rsid w:val="45236361"/>
    <w:rsid w:val="453942C3"/>
    <w:rsid w:val="456926CF"/>
    <w:rsid w:val="457F25AC"/>
    <w:rsid w:val="45917A25"/>
    <w:rsid w:val="459A77C1"/>
    <w:rsid w:val="459E6E71"/>
    <w:rsid w:val="45A07FEA"/>
    <w:rsid w:val="45A858ED"/>
    <w:rsid w:val="45E40194"/>
    <w:rsid w:val="45EF24D9"/>
    <w:rsid w:val="45F621B4"/>
    <w:rsid w:val="460743C1"/>
    <w:rsid w:val="46222EC1"/>
    <w:rsid w:val="464F7B16"/>
    <w:rsid w:val="46687C99"/>
    <w:rsid w:val="46690972"/>
    <w:rsid w:val="46760E44"/>
    <w:rsid w:val="46765303"/>
    <w:rsid w:val="46790F6C"/>
    <w:rsid w:val="468C2418"/>
    <w:rsid w:val="468E6891"/>
    <w:rsid w:val="46910075"/>
    <w:rsid w:val="46C91677"/>
    <w:rsid w:val="46D5626E"/>
    <w:rsid w:val="46D71D2B"/>
    <w:rsid w:val="4705068E"/>
    <w:rsid w:val="47073ABD"/>
    <w:rsid w:val="471773B6"/>
    <w:rsid w:val="4719368E"/>
    <w:rsid w:val="472B215A"/>
    <w:rsid w:val="473F7EC4"/>
    <w:rsid w:val="4741097A"/>
    <w:rsid w:val="4746716B"/>
    <w:rsid w:val="474B4D56"/>
    <w:rsid w:val="47902164"/>
    <w:rsid w:val="4791488A"/>
    <w:rsid w:val="47AF5132"/>
    <w:rsid w:val="47D17CB4"/>
    <w:rsid w:val="47D91D8D"/>
    <w:rsid w:val="47E10C42"/>
    <w:rsid w:val="47EF15A9"/>
    <w:rsid w:val="47F06F8A"/>
    <w:rsid w:val="480F1C53"/>
    <w:rsid w:val="48142003"/>
    <w:rsid w:val="481C4831"/>
    <w:rsid w:val="482211A6"/>
    <w:rsid w:val="482D0B7C"/>
    <w:rsid w:val="483B7CB3"/>
    <w:rsid w:val="484713ED"/>
    <w:rsid w:val="48520FAF"/>
    <w:rsid w:val="485772B9"/>
    <w:rsid w:val="48711FC6"/>
    <w:rsid w:val="48742B93"/>
    <w:rsid w:val="487B44F8"/>
    <w:rsid w:val="487E7F60"/>
    <w:rsid w:val="48801789"/>
    <w:rsid w:val="48895562"/>
    <w:rsid w:val="48911DE6"/>
    <w:rsid w:val="48A0758D"/>
    <w:rsid w:val="48A309CC"/>
    <w:rsid w:val="48B25C5D"/>
    <w:rsid w:val="48D82045"/>
    <w:rsid w:val="48EA7F2A"/>
    <w:rsid w:val="49072697"/>
    <w:rsid w:val="49110761"/>
    <w:rsid w:val="49236307"/>
    <w:rsid w:val="49294FE9"/>
    <w:rsid w:val="49295D8A"/>
    <w:rsid w:val="493354CD"/>
    <w:rsid w:val="493F7F8A"/>
    <w:rsid w:val="49661F40"/>
    <w:rsid w:val="498E7266"/>
    <w:rsid w:val="49B06B1E"/>
    <w:rsid w:val="49B2485D"/>
    <w:rsid w:val="49D86E2B"/>
    <w:rsid w:val="49E66151"/>
    <w:rsid w:val="49ED0675"/>
    <w:rsid w:val="49ED7A7E"/>
    <w:rsid w:val="4A0D499A"/>
    <w:rsid w:val="4A241A39"/>
    <w:rsid w:val="4A250E23"/>
    <w:rsid w:val="4A2B72AA"/>
    <w:rsid w:val="4A4826E4"/>
    <w:rsid w:val="4A4D0063"/>
    <w:rsid w:val="4A522065"/>
    <w:rsid w:val="4A683F77"/>
    <w:rsid w:val="4A781D46"/>
    <w:rsid w:val="4A7B712C"/>
    <w:rsid w:val="4A8B352E"/>
    <w:rsid w:val="4A8E1F36"/>
    <w:rsid w:val="4A9448CC"/>
    <w:rsid w:val="4A9752AA"/>
    <w:rsid w:val="4AA20B5D"/>
    <w:rsid w:val="4AB42891"/>
    <w:rsid w:val="4AB618B1"/>
    <w:rsid w:val="4ABC1E09"/>
    <w:rsid w:val="4AC678F7"/>
    <w:rsid w:val="4AC87101"/>
    <w:rsid w:val="4AC91B45"/>
    <w:rsid w:val="4ACA3C0F"/>
    <w:rsid w:val="4AD361B5"/>
    <w:rsid w:val="4ADA6922"/>
    <w:rsid w:val="4AE44CD1"/>
    <w:rsid w:val="4AE747C1"/>
    <w:rsid w:val="4AF40C36"/>
    <w:rsid w:val="4AF9077E"/>
    <w:rsid w:val="4B0B6702"/>
    <w:rsid w:val="4B261681"/>
    <w:rsid w:val="4B2C210D"/>
    <w:rsid w:val="4B360088"/>
    <w:rsid w:val="4B532522"/>
    <w:rsid w:val="4B9106E2"/>
    <w:rsid w:val="4B9F5BF4"/>
    <w:rsid w:val="4BCB0A38"/>
    <w:rsid w:val="4C0A0767"/>
    <w:rsid w:val="4C15535E"/>
    <w:rsid w:val="4C200064"/>
    <w:rsid w:val="4C2C2DD4"/>
    <w:rsid w:val="4C3C50D4"/>
    <w:rsid w:val="4C430819"/>
    <w:rsid w:val="4C4579F1"/>
    <w:rsid w:val="4C6909F5"/>
    <w:rsid w:val="4C6E1EF7"/>
    <w:rsid w:val="4C8302A5"/>
    <w:rsid w:val="4C8B0F28"/>
    <w:rsid w:val="4C9B5712"/>
    <w:rsid w:val="4CA1013C"/>
    <w:rsid w:val="4CAD5560"/>
    <w:rsid w:val="4CB2520D"/>
    <w:rsid w:val="4CB86EBD"/>
    <w:rsid w:val="4CBA03DF"/>
    <w:rsid w:val="4CBE5D8B"/>
    <w:rsid w:val="4CC463AD"/>
    <w:rsid w:val="4CD776C6"/>
    <w:rsid w:val="4CE1550E"/>
    <w:rsid w:val="4CE47E68"/>
    <w:rsid w:val="4CE70AA9"/>
    <w:rsid w:val="4CF00190"/>
    <w:rsid w:val="4CF06ED1"/>
    <w:rsid w:val="4D0768B9"/>
    <w:rsid w:val="4D1B3451"/>
    <w:rsid w:val="4D2515D1"/>
    <w:rsid w:val="4D2A7633"/>
    <w:rsid w:val="4D2B3854"/>
    <w:rsid w:val="4D3E0050"/>
    <w:rsid w:val="4D5877FF"/>
    <w:rsid w:val="4D5E3093"/>
    <w:rsid w:val="4D6314B0"/>
    <w:rsid w:val="4D99151B"/>
    <w:rsid w:val="4DA11B44"/>
    <w:rsid w:val="4DA4699A"/>
    <w:rsid w:val="4DBC1F35"/>
    <w:rsid w:val="4DCA3332"/>
    <w:rsid w:val="4DDA685F"/>
    <w:rsid w:val="4DE04D77"/>
    <w:rsid w:val="4DE5051A"/>
    <w:rsid w:val="4DF573F1"/>
    <w:rsid w:val="4E014268"/>
    <w:rsid w:val="4E0D173D"/>
    <w:rsid w:val="4E3C637F"/>
    <w:rsid w:val="4E450D8B"/>
    <w:rsid w:val="4E4A54D2"/>
    <w:rsid w:val="4E5029AB"/>
    <w:rsid w:val="4E636855"/>
    <w:rsid w:val="4E671C04"/>
    <w:rsid w:val="4E7022A6"/>
    <w:rsid w:val="4E7651FA"/>
    <w:rsid w:val="4E7F3033"/>
    <w:rsid w:val="4E85550F"/>
    <w:rsid w:val="4E86596F"/>
    <w:rsid w:val="4E97325B"/>
    <w:rsid w:val="4E9E5ADF"/>
    <w:rsid w:val="4EA70399"/>
    <w:rsid w:val="4EAC48D7"/>
    <w:rsid w:val="4EB52E34"/>
    <w:rsid w:val="4EB64BD7"/>
    <w:rsid w:val="4EB90034"/>
    <w:rsid w:val="4ECC61A8"/>
    <w:rsid w:val="4ED10F45"/>
    <w:rsid w:val="4EDA7649"/>
    <w:rsid w:val="4EDE412D"/>
    <w:rsid w:val="4EE00EC5"/>
    <w:rsid w:val="4EF225BA"/>
    <w:rsid w:val="4F1360D8"/>
    <w:rsid w:val="4F215ECC"/>
    <w:rsid w:val="4F283CB4"/>
    <w:rsid w:val="4F2C02B2"/>
    <w:rsid w:val="4F3D0E54"/>
    <w:rsid w:val="4F3D1399"/>
    <w:rsid w:val="4F4A3629"/>
    <w:rsid w:val="4F563CC4"/>
    <w:rsid w:val="4F626473"/>
    <w:rsid w:val="4F6D6003"/>
    <w:rsid w:val="4F6D68D9"/>
    <w:rsid w:val="4F7336A7"/>
    <w:rsid w:val="4F7B0828"/>
    <w:rsid w:val="4F844CD5"/>
    <w:rsid w:val="4F8F2906"/>
    <w:rsid w:val="4F9A62A6"/>
    <w:rsid w:val="4FA40F12"/>
    <w:rsid w:val="4FBC2812"/>
    <w:rsid w:val="4FC575EB"/>
    <w:rsid w:val="4FCF1351"/>
    <w:rsid w:val="4FD427B3"/>
    <w:rsid w:val="4FD5716A"/>
    <w:rsid w:val="4FEC75BA"/>
    <w:rsid w:val="4FFA50EB"/>
    <w:rsid w:val="501175C2"/>
    <w:rsid w:val="502A0B8D"/>
    <w:rsid w:val="503C73DE"/>
    <w:rsid w:val="503D26F6"/>
    <w:rsid w:val="50422B23"/>
    <w:rsid w:val="50483F54"/>
    <w:rsid w:val="504B75A0"/>
    <w:rsid w:val="504F52E3"/>
    <w:rsid w:val="50580597"/>
    <w:rsid w:val="505867BC"/>
    <w:rsid w:val="506104B0"/>
    <w:rsid w:val="50613D85"/>
    <w:rsid w:val="5062157D"/>
    <w:rsid w:val="50644A41"/>
    <w:rsid w:val="5065716B"/>
    <w:rsid w:val="5067715E"/>
    <w:rsid w:val="5074270E"/>
    <w:rsid w:val="50777109"/>
    <w:rsid w:val="507E1724"/>
    <w:rsid w:val="50817288"/>
    <w:rsid w:val="508F1B83"/>
    <w:rsid w:val="50985409"/>
    <w:rsid w:val="50A702EA"/>
    <w:rsid w:val="50B54D9E"/>
    <w:rsid w:val="50DA5962"/>
    <w:rsid w:val="50E748BB"/>
    <w:rsid w:val="50F501C5"/>
    <w:rsid w:val="511A60E3"/>
    <w:rsid w:val="511E6A63"/>
    <w:rsid w:val="51281690"/>
    <w:rsid w:val="512D1476"/>
    <w:rsid w:val="51303829"/>
    <w:rsid w:val="51404C2B"/>
    <w:rsid w:val="51432724"/>
    <w:rsid w:val="51477D8D"/>
    <w:rsid w:val="514E02B9"/>
    <w:rsid w:val="515305E2"/>
    <w:rsid w:val="5154546D"/>
    <w:rsid w:val="51650C5F"/>
    <w:rsid w:val="517E77D2"/>
    <w:rsid w:val="51825244"/>
    <w:rsid w:val="518E7BBA"/>
    <w:rsid w:val="5191170E"/>
    <w:rsid w:val="519C0396"/>
    <w:rsid w:val="519C236E"/>
    <w:rsid w:val="51C15081"/>
    <w:rsid w:val="51C7137A"/>
    <w:rsid w:val="51C94C21"/>
    <w:rsid w:val="51EC090F"/>
    <w:rsid w:val="51FB03F7"/>
    <w:rsid w:val="52107BD0"/>
    <w:rsid w:val="52152046"/>
    <w:rsid w:val="521D4F6D"/>
    <w:rsid w:val="522B2EE7"/>
    <w:rsid w:val="522E5D3A"/>
    <w:rsid w:val="522F1D42"/>
    <w:rsid w:val="523D5C9A"/>
    <w:rsid w:val="52470A8D"/>
    <w:rsid w:val="524A7B14"/>
    <w:rsid w:val="525C19E5"/>
    <w:rsid w:val="526037D7"/>
    <w:rsid w:val="52683276"/>
    <w:rsid w:val="52787BD7"/>
    <w:rsid w:val="5285086E"/>
    <w:rsid w:val="528B601D"/>
    <w:rsid w:val="52A429BD"/>
    <w:rsid w:val="52A64F62"/>
    <w:rsid w:val="52B031F2"/>
    <w:rsid w:val="52B85925"/>
    <w:rsid w:val="52CC0191"/>
    <w:rsid w:val="52D45E6E"/>
    <w:rsid w:val="52DE7E70"/>
    <w:rsid w:val="52DF716B"/>
    <w:rsid w:val="52FC308C"/>
    <w:rsid w:val="52FE5D0D"/>
    <w:rsid w:val="530567BD"/>
    <w:rsid w:val="53065322"/>
    <w:rsid w:val="53114B3F"/>
    <w:rsid w:val="53157149"/>
    <w:rsid w:val="532E1C8A"/>
    <w:rsid w:val="532F2BAA"/>
    <w:rsid w:val="534C5B09"/>
    <w:rsid w:val="534F2884"/>
    <w:rsid w:val="53563E1A"/>
    <w:rsid w:val="535659A3"/>
    <w:rsid w:val="535802D6"/>
    <w:rsid w:val="53820792"/>
    <w:rsid w:val="538E6122"/>
    <w:rsid w:val="539A4FA1"/>
    <w:rsid w:val="53A07C03"/>
    <w:rsid w:val="53AC7D08"/>
    <w:rsid w:val="53BB3F73"/>
    <w:rsid w:val="53CB1124"/>
    <w:rsid w:val="53E5610E"/>
    <w:rsid w:val="53FA7313"/>
    <w:rsid w:val="5404273B"/>
    <w:rsid w:val="541D1229"/>
    <w:rsid w:val="54250AB7"/>
    <w:rsid w:val="542C0846"/>
    <w:rsid w:val="5439045B"/>
    <w:rsid w:val="544E334D"/>
    <w:rsid w:val="545C58CE"/>
    <w:rsid w:val="545D2BA8"/>
    <w:rsid w:val="54646E83"/>
    <w:rsid w:val="54660BAF"/>
    <w:rsid w:val="54805D9E"/>
    <w:rsid w:val="548063A3"/>
    <w:rsid w:val="54914E10"/>
    <w:rsid w:val="54984B94"/>
    <w:rsid w:val="54A23746"/>
    <w:rsid w:val="54AD1178"/>
    <w:rsid w:val="54B95421"/>
    <w:rsid w:val="54C00407"/>
    <w:rsid w:val="54C728B1"/>
    <w:rsid w:val="54CA4C4D"/>
    <w:rsid w:val="54CC20DF"/>
    <w:rsid w:val="54E104D3"/>
    <w:rsid w:val="54E56248"/>
    <w:rsid w:val="54E70DCA"/>
    <w:rsid w:val="54FF09F5"/>
    <w:rsid w:val="55004DFD"/>
    <w:rsid w:val="55037DDF"/>
    <w:rsid w:val="550D571A"/>
    <w:rsid w:val="55264138"/>
    <w:rsid w:val="553B177A"/>
    <w:rsid w:val="55786DF3"/>
    <w:rsid w:val="557E1C9D"/>
    <w:rsid w:val="557E3133"/>
    <w:rsid w:val="55802F12"/>
    <w:rsid w:val="558A46C7"/>
    <w:rsid w:val="55905488"/>
    <w:rsid w:val="55C84863"/>
    <w:rsid w:val="561C2D00"/>
    <w:rsid w:val="563869CF"/>
    <w:rsid w:val="56402A90"/>
    <w:rsid w:val="56491EE8"/>
    <w:rsid w:val="564A4563"/>
    <w:rsid w:val="56515255"/>
    <w:rsid w:val="565753CA"/>
    <w:rsid w:val="5660782D"/>
    <w:rsid w:val="566E223B"/>
    <w:rsid w:val="566E677D"/>
    <w:rsid w:val="567308B8"/>
    <w:rsid w:val="56794E67"/>
    <w:rsid w:val="567C4300"/>
    <w:rsid w:val="569548C1"/>
    <w:rsid w:val="56967313"/>
    <w:rsid w:val="569F2107"/>
    <w:rsid w:val="56C306E5"/>
    <w:rsid w:val="56D33798"/>
    <w:rsid w:val="56D94AA6"/>
    <w:rsid w:val="56DA167E"/>
    <w:rsid w:val="56E96B45"/>
    <w:rsid w:val="57081D47"/>
    <w:rsid w:val="570E2F96"/>
    <w:rsid w:val="57272B15"/>
    <w:rsid w:val="573576FA"/>
    <w:rsid w:val="573A298F"/>
    <w:rsid w:val="574C257C"/>
    <w:rsid w:val="57511577"/>
    <w:rsid w:val="57561E35"/>
    <w:rsid w:val="575621A7"/>
    <w:rsid w:val="575F631E"/>
    <w:rsid w:val="576352B1"/>
    <w:rsid w:val="57680A38"/>
    <w:rsid w:val="576A4B68"/>
    <w:rsid w:val="57740986"/>
    <w:rsid w:val="57740C5F"/>
    <w:rsid w:val="578F4217"/>
    <w:rsid w:val="57932256"/>
    <w:rsid w:val="579C7B68"/>
    <w:rsid w:val="57A10E39"/>
    <w:rsid w:val="57AC2A2F"/>
    <w:rsid w:val="57B20788"/>
    <w:rsid w:val="57D37750"/>
    <w:rsid w:val="57E36310"/>
    <w:rsid w:val="57E74053"/>
    <w:rsid w:val="57ED6617"/>
    <w:rsid w:val="57FB53C0"/>
    <w:rsid w:val="58197D58"/>
    <w:rsid w:val="58387678"/>
    <w:rsid w:val="583E52D1"/>
    <w:rsid w:val="5847689F"/>
    <w:rsid w:val="584C7A26"/>
    <w:rsid w:val="58550FBC"/>
    <w:rsid w:val="5862192B"/>
    <w:rsid w:val="586A6971"/>
    <w:rsid w:val="586D504F"/>
    <w:rsid w:val="58837A41"/>
    <w:rsid w:val="5889438C"/>
    <w:rsid w:val="58922210"/>
    <w:rsid w:val="58DF2F7C"/>
    <w:rsid w:val="58E03C6E"/>
    <w:rsid w:val="58E1576D"/>
    <w:rsid w:val="58E928AF"/>
    <w:rsid w:val="58EB1E0F"/>
    <w:rsid w:val="58F83F85"/>
    <w:rsid w:val="59123351"/>
    <w:rsid w:val="59415157"/>
    <w:rsid w:val="594F433C"/>
    <w:rsid w:val="59622081"/>
    <w:rsid w:val="59681D64"/>
    <w:rsid w:val="597A6033"/>
    <w:rsid w:val="598E4332"/>
    <w:rsid w:val="59906795"/>
    <w:rsid w:val="599E2E37"/>
    <w:rsid w:val="59A90E3D"/>
    <w:rsid w:val="59B72C66"/>
    <w:rsid w:val="59BA19C6"/>
    <w:rsid w:val="59C67694"/>
    <w:rsid w:val="59D11E4C"/>
    <w:rsid w:val="59D356F8"/>
    <w:rsid w:val="59E540F5"/>
    <w:rsid w:val="59E96465"/>
    <w:rsid w:val="59EE67A3"/>
    <w:rsid w:val="59F66FA0"/>
    <w:rsid w:val="5A0409AA"/>
    <w:rsid w:val="5A046DF0"/>
    <w:rsid w:val="5A0A5DD6"/>
    <w:rsid w:val="5A103442"/>
    <w:rsid w:val="5A1D1FAE"/>
    <w:rsid w:val="5A241579"/>
    <w:rsid w:val="5A246023"/>
    <w:rsid w:val="5A490FF5"/>
    <w:rsid w:val="5A4926F8"/>
    <w:rsid w:val="5A49645E"/>
    <w:rsid w:val="5A6A20F8"/>
    <w:rsid w:val="5A777D94"/>
    <w:rsid w:val="5A7B7A76"/>
    <w:rsid w:val="5A7F3B46"/>
    <w:rsid w:val="5A865DA5"/>
    <w:rsid w:val="5A912133"/>
    <w:rsid w:val="5A913396"/>
    <w:rsid w:val="5AA03376"/>
    <w:rsid w:val="5AB0705A"/>
    <w:rsid w:val="5AD938E0"/>
    <w:rsid w:val="5AEA7999"/>
    <w:rsid w:val="5AF34ABD"/>
    <w:rsid w:val="5AFD593B"/>
    <w:rsid w:val="5B0647F0"/>
    <w:rsid w:val="5B08748B"/>
    <w:rsid w:val="5B125FA7"/>
    <w:rsid w:val="5B2C66D8"/>
    <w:rsid w:val="5B433E2C"/>
    <w:rsid w:val="5B6C36DD"/>
    <w:rsid w:val="5B7C79AC"/>
    <w:rsid w:val="5B8E58AF"/>
    <w:rsid w:val="5B995664"/>
    <w:rsid w:val="5B9B7806"/>
    <w:rsid w:val="5BAE72D7"/>
    <w:rsid w:val="5BC426B8"/>
    <w:rsid w:val="5BD0396C"/>
    <w:rsid w:val="5BD23D11"/>
    <w:rsid w:val="5BE07F20"/>
    <w:rsid w:val="5BE74621"/>
    <w:rsid w:val="5BF74A2A"/>
    <w:rsid w:val="5BFD3E45"/>
    <w:rsid w:val="5C0454DB"/>
    <w:rsid w:val="5C162E68"/>
    <w:rsid w:val="5C1775D3"/>
    <w:rsid w:val="5C2274DC"/>
    <w:rsid w:val="5C277063"/>
    <w:rsid w:val="5C2D0890"/>
    <w:rsid w:val="5C474354"/>
    <w:rsid w:val="5C515F3F"/>
    <w:rsid w:val="5C5474C1"/>
    <w:rsid w:val="5C5717CE"/>
    <w:rsid w:val="5C594DF3"/>
    <w:rsid w:val="5C877BB2"/>
    <w:rsid w:val="5CB0535B"/>
    <w:rsid w:val="5CB45457"/>
    <w:rsid w:val="5CC11ED9"/>
    <w:rsid w:val="5CCE60E1"/>
    <w:rsid w:val="5CD1707F"/>
    <w:rsid w:val="5CD235E0"/>
    <w:rsid w:val="5D0774E4"/>
    <w:rsid w:val="5D0902B3"/>
    <w:rsid w:val="5D16440D"/>
    <w:rsid w:val="5D1F04DB"/>
    <w:rsid w:val="5D1F074D"/>
    <w:rsid w:val="5D254E84"/>
    <w:rsid w:val="5D2B63B6"/>
    <w:rsid w:val="5D307882"/>
    <w:rsid w:val="5D325D70"/>
    <w:rsid w:val="5D386867"/>
    <w:rsid w:val="5D411791"/>
    <w:rsid w:val="5D423AA9"/>
    <w:rsid w:val="5D45342E"/>
    <w:rsid w:val="5D521F6E"/>
    <w:rsid w:val="5D560315"/>
    <w:rsid w:val="5D5B6947"/>
    <w:rsid w:val="5D5E4DB7"/>
    <w:rsid w:val="5D83481E"/>
    <w:rsid w:val="5D8D3216"/>
    <w:rsid w:val="5D9E3D6A"/>
    <w:rsid w:val="5DA31AC5"/>
    <w:rsid w:val="5DA455FC"/>
    <w:rsid w:val="5DBB39AA"/>
    <w:rsid w:val="5DE74DAC"/>
    <w:rsid w:val="5DEB34A1"/>
    <w:rsid w:val="5DF94AE0"/>
    <w:rsid w:val="5E0A4B62"/>
    <w:rsid w:val="5E242002"/>
    <w:rsid w:val="5E2F42A6"/>
    <w:rsid w:val="5E3B5F1B"/>
    <w:rsid w:val="5E833588"/>
    <w:rsid w:val="5E914D18"/>
    <w:rsid w:val="5EA70098"/>
    <w:rsid w:val="5ED05841"/>
    <w:rsid w:val="5EE03BB1"/>
    <w:rsid w:val="5EE94B54"/>
    <w:rsid w:val="5EF534F9"/>
    <w:rsid w:val="5F0B4ACB"/>
    <w:rsid w:val="5F1B1AB0"/>
    <w:rsid w:val="5F1F39A6"/>
    <w:rsid w:val="5F206235"/>
    <w:rsid w:val="5F2438E2"/>
    <w:rsid w:val="5F2636B2"/>
    <w:rsid w:val="5F447FDD"/>
    <w:rsid w:val="5F5643DE"/>
    <w:rsid w:val="5F6661A5"/>
    <w:rsid w:val="5F751F44"/>
    <w:rsid w:val="5F812FDF"/>
    <w:rsid w:val="5F935625"/>
    <w:rsid w:val="5FA24C1A"/>
    <w:rsid w:val="5FA40A7B"/>
    <w:rsid w:val="5FA56CCD"/>
    <w:rsid w:val="5FB114CB"/>
    <w:rsid w:val="5FE467CE"/>
    <w:rsid w:val="5FF227B8"/>
    <w:rsid w:val="5FFB4CDE"/>
    <w:rsid w:val="600A4D82"/>
    <w:rsid w:val="600D03CE"/>
    <w:rsid w:val="600F1ACB"/>
    <w:rsid w:val="601A3974"/>
    <w:rsid w:val="60235E44"/>
    <w:rsid w:val="602A173C"/>
    <w:rsid w:val="603B13E0"/>
    <w:rsid w:val="60551B90"/>
    <w:rsid w:val="605F6E50"/>
    <w:rsid w:val="606721D5"/>
    <w:rsid w:val="60716BAF"/>
    <w:rsid w:val="607246D5"/>
    <w:rsid w:val="607B7E5A"/>
    <w:rsid w:val="60A84BF4"/>
    <w:rsid w:val="60AA4A48"/>
    <w:rsid w:val="60D94755"/>
    <w:rsid w:val="60FE017E"/>
    <w:rsid w:val="61062F49"/>
    <w:rsid w:val="61070296"/>
    <w:rsid w:val="610E2650"/>
    <w:rsid w:val="611B39B1"/>
    <w:rsid w:val="612130AA"/>
    <w:rsid w:val="612400C6"/>
    <w:rsid w:val="615564D1"/>
    <w:rsid w:val="615D5386"/>
    <w:rsid w:val="616E0C3A"/>
    <w:rsid w:val="61745F97"/>
    <w:rsid w:val="61994610"/>
    <w:rsid w:val="61997BE3"/>
    <w:rsid w:val="61A13641"/>
    <w:rsid w:val="61A4765D"/>
    <w:rsid w:val="61A82BC6"/>
    <w:rsid w:val="61B12C74"/>
    <w:rsid w:val="61BE347F"/>
    <w:rsid w:val="61BF31C0"/>
    <w:rsid w:val="61BF5A09"/>
    <w:rsid w:val="61C92B3B"/>
    <w:rsid w:val="61DC572C"/>
    <w:rsid w:val="61EC3345"/>
    <w:rsid w:val="61F465FC"/>
    <w:rsid w:val="62003A1A"/>
    <w:rsid w:val="62013F63"/>
    <w:rsid w:val="62080A9B"/>
    <w:rsid w:val="62171412"/>
    <w:rsid w:val="62173786"/>
    <w:rsid w:val="623A01EC"/>
    <w:rsid w:val="62402CDD"/>
    <w:rsid w:val="6248170B"/>
    <w:rsid w:val="62483875"/>
    <w:rsid w:val="625047CD"/>
    <w:rsid w:val="62562501"/>
    <w:rsid w:val="62612783"/>
    <w:rsid w:val="626A0681"/>
    <w:rsid w:val="626C6B8A"/>
    <w:rsid w:val="628C7CD0"/>
    <w:rsid w:val="629268F5"/>
    <w:rsid w:val="62935770"/>
    <w:rsid w:val="62AE1B33"/>
    <w:rsid w:val="62BA2CFA"/>
    <w:rsid w:val="62D33B51"/>
    <w:rsid w:val="62D61A01"/>
    <w:rsid w:val="62DB7996"/>
    <w:rsid w:val="62E06EE1"/>
    <w:rsid w:val="62F628E2"/>
    <w:rsid w:val="62F814EB"/>
    <w:rsid w:val="6301327A"/>
    <w:rsid w:val="63275C4B"/>
    <w:rsid w:val="63493A10"/>
    <w:rsid w:val="634F56B1"/>
    <w:rsid w:val="635823FD"/>
    <w:rsid w:val="63582BB8"/>
    <w:rsid w:val="635A392B"/>
    <w:rsid w:val="63677F48"/>
    <w:rsid w:val="638349C8"/>
    <w:rsid w:val="638E5CCA"/>
    <w:rsid w:val="639005A7"/>
    <w:rsid w:val="639F2C17"/>
    <w:rsid w:val="639F7D2D"/>
    <w:rsid w:val="63A2022F"/>
    <w:rsid w:val="63A26F17"/>
    <w:rsid w:val="63BC2837"/>
    <w:rsid w:val="63D32E90"/>
    <w:rsid w:val="63EE6769"/>
    <w:rsid w:val="6402428B"/>
    <w:rsid w:val="640B10B8"/>
    <w:rsid w:val="640D3575"/>
    <w:rsid w:val="642A7CF9"/>
    <w:rsid w:val="64321D39"/>
    <w:rsid w:val="643818DC"/>
    <w:rsid w:val="643A7236"/>
    <w:rsid w:val="643C1282"/>
    <w:rsid w:val="645037C1"/>
    <w:rsid w:val="64664551"/>
    <w:rsid w:val="646A33DC"/>
    <w:rsid w:val="6470717E"/>
    <w:rsid w:val="648A46E4"/>
    <w:rsid w:val="64A02388"/>
    <w:rsid w:val="64A439AF"/>
    <w:rsid w:val="64A74136"/>
    <w:rsid w:val="64A922B1"/>
    <w:rsid w:val="64AE2947"/>
    <w:rsid w:val="64B81251"/>
    <w:rsid w:val="64E92578"/>
    <w:rsid w:val="64F93B78"/>
    <w:rsid w:val="650C04E3"/>
    <w:rsid w:val="65180DC6"/>
    <w:rsid w:val="65240694"/>
    <w:rsid w:val="653243A5"/>
    <w:rsid w:val="6538199C"/>
    <w:rsid w:val="653A1C66"/>
    <w:rsid w:val="653F1040"/>
    <w:rsid w:val="65420B1A"/>
    <w:rsid w:val="65463B8B"/>
    <w:rsid w:val="6560708C"/>
    <w:rsid w:val="65622F6B"/>
    <w:rsid w:val="65722B82"/>
    <w:rsid w:val="657B0686"/>
    <w:rsid w:val="65803FD5"/>
    <w:rsid w:val="65AB43E2"/>
    <w:rsid w:val="65B45814"/>
    <w:rsid w:val="65D97F82"/>
    <w:rsid w:val="65EAD15B"/>
    <w:rsid w:val="65FD5F98"/>
    <w:rsid w:val="65FF07B9"/>
    <w:rsid w:val="65FF22E5"/>
    <w:rsid w:val="661D61D4"/>
    <w:rsid w:val="662147C8"/>
    <w:rsid w:val="662E6122"/>
    <w:rsid w:val="66377F53"/>
    <w:rsid w:val="664F67C8"/>
    <w:rsid w:val="66512B43"/>
    <w:rsid w:val="665D48EF"/>
    <w:rsid w:val="668533B4"/>
    <w:rsid w:val="669C24AC"/>
    <w:rsid w:val="66A13623"/>
    <w:rsid w:val="66C24B8B"/>
    <w:rsid w:val="66DA18E1"/>
    <w:rsid w:val="66DF3664"/>
    <w:rsid w:val="670E6C71"/>
    <w:rsid w:val="6712479F"/>
    <w:rsid w:val="6728557C"/>
    <w:rsid w:val="67304867"/>
    <w:rsid w:val="675B29ED"/>
    <w:rsid w:val="675C2CC4"/>
    <w:rsid w:val="677F5452"/>
    <w:rsid w:val="67851192"/>
    <w:rsid w:val="67875AE4"/>
    <w:rsid w:val="679715F1"/>
    <w:rsid w:val="679C04E2"/>
    <w:rsid w:val="67A96C2F"/>
    <w:rsid w:val="67AB1480"/>
    <w:rsid w:val="67B57188"/>
    <w:rsid w:val="67BA50CD"/>
    <w:rsid w:val="67C401C0"/>
    <w:rsid w:val="67DD697D"/>
    <w:rsid w:val="67E55729"/>
    <w:rsid w:val="67F1602B"/>
    <w:rsid w:val="68060525"/>
    <w:rsid w:val="68227E1B"/>
    <w:rsid w:val="68307DE8"/>
    <w:rsid w:val="683230C8"/>
    <w:rsid w:val="68442DA1"/>
    <w:rsid w:val="685D4116"/>
    <w:rsid w:val="68601B84"/>
    <w:rsid w:val="686601CB"/>
    <w:rsid w:val="686761EB"/>
    <w:rsid w:val="68690687"/>
    <w:rsid w:val="68703BF0"/>
    <w:rsid w:val="687964CC"/>
    <w:rsid w:val="687C2595"/>
    <w:rsid w:val="68984D56"/>
    <w:rsid w:val="689E08E0"/>
    <w:rsid w:val="689E4B9C"/>
    <w:rsid w:val="68AB3FA6"/>
    <w:rsid w:val="68C64B80"/>
    <w:rsid w:val="68EB6B91"/>
    <w:rsid w:val="68EE6175"/>
    <w:rsid w:val="69081DEA"/>
    <w:rsid w:val="690C3919"/>
    <w:rsid w:val="692C6C65"/>
    <w:rsid w:val="692E6A64"/>
    <w:rsid w:val="69321F89"/>
    <w:rsid w:val="695B4A11"/>
    <w:rsid w:val="696D5620"/>
    <w:rsid w:val="696F6E2A"/>
    <w:rsid w:val="698711F2"/>
    <w:rsid w:val="698B736F"/>
    <w:rsid w:val="69900381"/>
    <w:rsid w:val="69CB69BC"/>
    <w:rsid w:val="69D74436"/>
    <w:rsid w:val="69F525FF"/>
    <w:rsid w:val="69FE0415"/>
    <w:rsid w:val="69FF1774"/>
    <w:rsid w:val="6A052C37"/>
    <w:rsid w:val="6A08034C"/>
    <w:rsid w:val="6A1B4F77"/>
    <w:rsid w:val="6A1F142A"/>
    <w:rsid w:val="6A246A40"/>
    <w:rsid w:val="6A260A0B"/>
    <w:rsid w:val="6A267304"/>
    <w:rsid w:val="6A343AFC"/>
    <w:rsid w:val="6A3811E8"/>
    <w:rsid w:val="6A555A39"/>
    <w:rsid w:val="6A66526B"/>
    <w:rsid w:val="6A824DE6"/>
    <w:rsid w:val="6A9040D6"/>
    <w:rsid w:val="6A926AA3"/>
    <w:rsid w:val="6AAD450A"/>
    <w:rsid w:val="6ABA6B4B"/>
    <w:rsid w:val="6ACE4619"/>
    <w:rsid w:val="6ADA0173"/>
    <w:rsid w:val="6B1271E1"/>
    <w:rsid w:val="6B2520BB"/>
    <w:rsid w:val="6B277E95"/>
    <w:rsid w:val="6B31378F"/>
    <w:rsid w:val="6B3830CD"/>
    <w:rsid w:val="6B4638B1"/>
    <w:rsid w:val="6B4E3056"/>
    <w:rsid w:val="6B530966"/>
    <w:rsid w:val="6B561555"/>
    <w:rsid w:val="6B564534"/>
    <w:rsid w:val="6B5E189E"/>
    <w:rsid w:val="6B80158E"/>
    <w:rsid w:val="6B817ABA"/>
    <w:rsid w:val="6B850E6D"/>
    <w:rsid w:val="6B8569AF"/>
    <w:rsid w:val="6B880F07"/>
    <w:rsid w:val="6B8D0D5A"/>
    <w:rsid w:val="6BA94598"/>
    <w:rsid w:val="6BB21BD0"/>
    <w:rsid w:val="6BBF448F"/>
    <w:rsid w:val="6BC64913"/>
    <w:rsid w:val="6BD5325B"/>
    <w:rsid w:val="6BD552D6"/>
    <w:rsid w:val="6BFA3EFD"/>
    <w:rsid w:val="6C085EFC"/>
    <w:rsid w:val="6C0C59DE"/>
    <w:rsid w:val="6C0E5F5E"/>
    <w:rsid w:val="6C2216A6"/>
    <w:rsid w:val="6C28695E"/>
    <w:rsid w:val="6C4D100D"/>
    <w:rsid w:val="6C6D1AC8"/>
    <w:rsid w:val="6C757A27"/>
    <w:rsid w:val="6C9C3151"/>
    <w:rsid w:val="6CAB6AD4"/>
    <w:rsid w:val="6CCB128A"/>
    <w:rsid w:val="6CD4177E"/>
    <w:rsid w:val="6CD53DE1"/>
    <w:rsid w:val="6CDC4464"/>
    <w:rsid w:val="6CE10598"/>
    <w:rsid w:val="6D077FAF"/>
    <w:rsid w:val="6D08089B"/>
    <w:rsid w:val="6D0E5786"/>
    <w:rsid w:val="6D175ABE"/>
    <w:rsid w:val="6D1B05CF"/>
    <w:rsid w:val="6D2F7BD6"/>
    <w:rsid w:val="6D440450"/>
    <w:rsid w:val="6D577046"/>
    <w:rsid w:val="6D586FD2"/>
    <w:rsid w:val="6D5C7FE9"/>
    <w:rsid w:val="6D643B6D"/>
    <w:rsid w:val="6D6A73BB"/>
    <w:rsid w:val="6D79490E"/>
    <w:rsid w:val="6D9000E5"/>
    <w:rsid w:val="6D9329AB"/>
    <w:rsid w:val="6DA560EA"/>
    <w:rsid w:val="6DE05374"/>
    <w:rsid w:val="6DE34AE4"/>
    <w:rsid w:val="6DED12AB"/>
    <w:rsid w:val="6DF60CDD"/>
    <w:rsid w:val="6DF6687E"/>
    <w:rsid w:val="6E0957AF"/>
    <w:rsid w:val="6E0D7EC3"/>
    <w:rsid w:val="6E1A6AD8"/>
    <w:rsid w:val="6E250FD9"/>
    <w:rsid w:val="6E4C7E57"/>
    <w:rsid w:val="6E544379"/>
    <w:rsid w:val="6E583620"/>
    <w:rsid w:val="6E587ED3"/>
    <w:rsid w:val="6E6421C1"/>
    <w:rsid w:val="6E884F56"/>
    <w:rsid w:val="6E8961FB"/>
    <w:rsid w:val="6E8C6663"/>
    <w:rsid w:val="6E9F0D8B"/>
    <w:rsid w:val="6EAD34A8"/>
    <w:rsid w:val="6EBA5908"/>
    <w:rsid w:val="6EBB24E5"/>
    <w:rsid w:val="6EDF2197"/>
    <w:rsid w:val="6EE079F1"/>
    <w:rsid w:val="6EF33F9C"/>
    <w:rsid w:val="6F0F4C82"/>
    <w:rsid w:val="6F16664F"/>
    <w:rsid w:val="6F1A0158"/>
    <w:rsid w:val="6F203722"/>
    <w:rsid w:val="6F250095"/>
    <w:rsid w:val="6F4644C5"/>
    <w:rsid w:val="6F4B04E3"/>
    <w:rsid w:val="6F591390"/>
    <w:rsid w:val="6F691CF0"/>
    <w:rsid w:val="6F866B86"/>
    <w:rsid w:val="6F8A031E"/>
    <w:rsid w:val="6F9059BC"/>
    <w:rsid w:val="6F9F6842"/>
    <w:rsid w:val="6FAA0A9C"/>
    <w:rsid w:val="6FAA342C"/>
    <w:rsid w:val="6FC21BFD"/>
    <w:rsid w:val="6FCA4268"/>
    <w:rsid w:val="6FCA62DC"/>
    <w:rsid w:val="6FE17E2B"/>
    <w:rsid w:val="6FE25FBC"/>
    <w:rsid w:val="6FF2418F"/>
    <w:rsid w:val="6FF27ADB"/>
    <w:rsid w:val="6FF402F1"/>
    <w:rsid w:val="70005716"/>
    <w:rsid w:val="703142AF"/>
    <w:rsid w:val="70425E72"/>
    <w:rsid w:val="70556577"/>
    <w:rsid w:val="70597304"/>
    <w:rsid w:val="705C0BC4"/>
    <w:rsid w:val="705F4C76"/>
    <w:rsid w:val="7060636D"/>
    <w:rsid w:val="70642701"/>
    <w:rsid w:val="70710506"/>
    <w:rsid w:val="70B122FB"/>
    <w:rsid w:val="70B46A9A"/>
    <w:rsid w:val="70CD1292"/>
    <w:rsid w:val="70DF3556"/>
    <w:rsid w:val="70DF72B6"/>
    <w:rsid w:val="70E47F7B"/>
    <w:rsid w:val="70F27898"/>
    <w:rsid w:val="70F32BEA"/>
    <w:rsid w:val="7104137A"/>
    <w:rsid w:val="710B4BD1"/>
    <w:rsid w:val="71327EC4"/>
    <w:rsid w:val="713952F0"/>
    <w:rsid w:val="713E0B8F"/>
    <w:rsid w:val="71416653"/>
    <w:rsid w:val="7147709D"/>
    <w:rsid w:val="71482A91"/>
    <w:rsid w:val="714B51FB"/>
    <w:rsid w:val="715A2806"/>
    <w:rsid w:val="716212DB"/>
    <w:rsid w:val="716527CE"/>
    <w:rsid w:val="717604C9"/>
    <w:rsid w:val="717C6C3D"/>
    <w:rsid w:val="718570A2"/>
    <w:rsid w:val="719C5A56"/>
    <w:rsid w:val="719E357C"/>
    <w:rsid w:val="71B678FA"/>
    <w:rsid w:val="71BB5107"/>
    <w:rsid w:val="71BD2D4F"/>
    <w:rsid w:val="71CE4672"/>
    <w:rsid w:val="71DB63B3"/>
    <w:rsid w:val="71E7074A"/>
    <w:rsid w:val="71E85F74"/>
    <w:rsid w:val="71F25676"/>
    <w:rsid w:val="72030642"/>
    <w:rsid w:val="72077F6B"/>
    <w:rsid w:val="722B3AB0"/>
    <w:rsid w:val="72514A93"/>
    <w:rsid w:val="7259115B"/>
    <w:rsid w:val="725913A9"/>
    <w:rsid w:val="72691DDC"/>
    <w:rsid w:val="72841F41"/>
    <w:rsid w:val="72AE3C93"/>
    <w:rsid w:val="72B21FD7"/>
    <w:rsid w:val="72E476B5"/>
    <w:rsid w:val="730054CA"/>
    <w:rsid w:val="73020A4A"/>
    <w:rsid w:val="730C1FB3"/>
    <w:rsid w:val="730F2EFE"/>
    <w:rsid w:val="731E38AE"/>
    <w:rsid w:val="73342570"/>
    <w:rsid w:val="73373C88"/>
    <w:rsid w:val="7355410F"/>
    <w:rsid w:val="735F0700"/>
    <w:rsid w:val="737722D7"/>
    <w:rsid w:val="737E5B39"/>
    <w:rsid w:val="7382661F"/>
    <w:rsid w:val="739015EB"/>
    <w:rsid w:val="73927DF8"/>
    <w:rsid w:val="73B912A5"/>
    <w:rsid w:val="73BD042D"/>
    <w:rsid w:val="73CF3EC1"/>
    <w:rsid w:val="73D3612B"/>
    <w:rsid w:val="73DE6D01"/>
    <w:rsid w:val="73FC7ED3"/>
    <w:rsid w:val="7400051E"/>
    <w:rsid w:val="74094836"/>
    <w:rsid w:val="74155C9B"/>
    <w:rsid w:val="74161D57"/>
    <w:rsid w:val="741950ED"/>
    <w:rsid w:val="74240540"/>
    <w:rsid w:val="74297D09"/>
    <w:rsid w:val="743106C6"/>
    <w:rsid w:val="743106D8"/>
    <w:rsid w:val="743D1C12"/>
    <w:rsid w:val="745C02B5"/>
    <w:rsid w:val="745E601A"/>
    <w:rsid w:val="746E1ABB"/>
    <w:rsid w:val="747830FA"/>
    <w:rsid w:val="74945113"/>
    <w:rsid w:val="749D6042"/>
    <w:rsid w:val="74AE1D28"/>
    <w:rsid w:val="74AF11AD"/>
    <w:rsid w:val="74BF1F58"/>
    <w:rsid w:val="74C960B0"/>
    <w:rsid w:val="74D764B6"/>
    <w:rsid w:val="74E26D37"/>
    <w:rsid w:val="74F04B62"/>
    <w:rsid w:val="74FF2EF4"/>
    <w:rsid w:val="750A45BB"/>
    <w:rsid w:val="751122B7"/>
    <w:rsid w:val="75190BC9"/>
    <w:rsid w:val="752C55F8"/>
    <w:rsid w:val="75580DDA"/>
    <w:rsid w:val="755A4898"/>
    <w:rsid w:val="75616D9B"/>
    <w:rsid w:val="756172C3"/>
    <w:rsid w:val="756C4173"/>
    <w:rsid w:val="757A1C0A"/>
    <w:rsid w:val="759D3C7C"/>
    <w:rsid w:val="75B710B1"/>
    <w:rsid w:val="75EC21A9"/>
    <w:rsid w:val="75F553E8"/>
    <w:rsid w:val="75F92AF3"/>
    <w:rsid w:val="75F9399C"/>
    <w:rsid w:val="76000DA3"/>
    <w:rsid w:val="760D0CD1"/>
    <w:rsid w:val="761401E8"/>
    <w:rsid w:val="761B163F"/>
    <w:rsid w:val="76200BF1"/>
    <w:rsid w:val="762C5593"/>
    <w:rsid w:val="76450391"/>
    <w:rsid w:val="76561DBA"/>
    <w:rsid w:val="7667383D"/>
    <w:rsid w:val="76783ABF"/>
    <w:rsid w:val="767D0A1A"/>
    <w:rsid w:val="76866E1C"/>
    <w:rsid w:val="768C0988"/>
    <w:rsid w:val="76AE74B8"/>
    <w:rsid w:val="76B524A6"/>
    <w:rsid w:val="76E3003A"/>
    <w:rsid w:val="76EC7E26"/>
    <w:rsid w:val="77073972"/>
    <w:rsid w:val="770D29F6"/>
    <w:rsid w:val="771A54AF"/>
    <w:rsid w:val="771B741D"/>
    <w:rsid w:val="772150F7"/>
    <w:rsid w:val="772701EB"/>
    <w:rsid w:val="77297D8C"/>
    <w:rsid w:val="7749356B"/>
    <w:rsid w:val="774C35B3"/>
    <w:rsid w:val="774D1E4C"/>
    <w:rsid w:val="774F2DDC"/>
    <w:rsid w:val="777C7EBC"/>
    <w:rsid w:val="77887A76"/>
    <w:rsid w:val="77990123"/>
    <w:rsid w:val="779C055E"/>
    <w:rsid w:val="77A17922"/>
    <w:rsid w:val="77AC65AD"/>
    <w:rsid w:val="77B2471B"/>
    <w:rsid w:val="77B404B4"/>
    <w:rsid w:val="77BD7B2E"/>
    <w:rsid w:val="77C70B32"/>
    <w:rsid w:val="77E21274"/>
    <w:rsid w:val="78025867"/>
    <w:rsid w:val="780B4581"/>
    <w:rsid w:val="781057CE"/>
    <w:rsid w:val="78217E93"/>
    <w:rsid w:val="78281D25"/>
    <w:rsid w:val="782D565A"/>
    <w:rsid w:val="783365AA"/>
    <w:rsid w:val="783F4874"/>
    <w:rsid w:val="784D2DF5"/>
    <w:rsid w:val="785C0C5E"/>
    <w:rsid w:val="787E7C64"/>
    <w:rsid w:val="788039DC"/>
    <w:rsid w:val="788C25AD"/>
    <w:rsid w:val="78B13B95"/>
    <w:rsid w:val="78BA4923"/>
    <w:rsid w:val="78BB4A14"/>
    <w:rsid w:val="78BD02E4"/>
    <w:rsid w:val="78CF04BF"/>
    <w:rsid w:val="78D65F29"/>
    <w:rsid w:val="78E57039"/>
    <w:rsid w:val="78F476F2"/>
    <w:rsid w:val="78FA19E0"/>
    <w:rsid w:val="78FE245C"/>
    <w:rsid w:val="79031BB5"/>
    <w:rsid w:val="79106259"/>
    <w:rsid w:val="79222CE5"/>
    <w:rsid w:val="79334EF2"/>
    <w:rsid w:val="793A51CF"/>
    <w:rsid w:val="794763E3"/>
    <w:rsid w:val="79507F38"/>
    <w:rsid w:val="79643082"/>
    <w:rsid w:val="79680192"/>
    <w:rsid w:val="79915775"/>
    <w:rsid w:val="79983D41"/>
    <w:rsid w:val="79A777C3"/>
    <w:rsid w:val="79AB0301"/>
    <w:rsid w:val="79C37F83"/>
    <w:rsid w:val="79DF633C"/>
    <w:rsid w:val="79EF73C8"/>
    <w:rsid w:val="79F21B97"/>
    <w:rsid w:val="79F71BD7"/>
    <w:rsid w:val="79FE09B1"/>
    <w:rsid w:val="7A137F0C"/>
    <w:rsid w:val="7A1A6092"/>
    <w:rsid w:val="7A2D0C57"/>
    <w:rsid w:val="7A434CC1"/>
    <w:rsid w:val="7A450F40"/>
    <w:rsid w:val="7A4B0019"/>
    <w:rsid w:val="7A4D3D91"/>
    <w:rsid w:val="7A572FE3"/>
    <w:rsid w:val="7A583B82"/>
    <w:rsid w:val="7A5D027D"/>
    <w:rsid w:val="7A7351CB"/>
    <w:rsid w:val="7A735E15"/>
    <w:rsid w:val="7A84334C"/>
    <w:rsid w:val="7A9677A0"/>
    <w:rsid w:val="7A971651"/>
    <w:rsid w:val="7A9849DD"/>
    <w:rsid w:val="7AA408FA"/>
    <w:rsid w:val="7AB03206"/>
    <w:rsid w:val="7AB74025"/>
    <w:rsid w:val="7AD91790"/>
    <w:rsid w:val="7ADA6F0D"/>
    <w:rsid w:val="7AE77D42"/>
    <w:rsid w:val="7AF312C3"/>
    <w:rsid w:val="7B04307F"/>
    <w:rsid w:val="7B0D52CF"/>
    <w:rsid w:val="7B1513A0"/>
    <w:rsid w:val="7B190BD7"/>
    <w:rsid w:val="7B324BAC"/>
    <w:rsid w:val="7B4812BD"/>
    <w:rsid w:val="7B547FBF"/>
    <w:rsid w:val="7B560A24"/>
    <w:rsid w:val="7B576586"/>
    <w:rsid w:val="7B5B3EA0"/>
    <w:rsid w:val="7B7018D0"/>
    <w:rsid w:val="7B7D3CC0"/>
    <w:rsid w:val="7B913576"/>
    <w:rsid w:val="7BB2A889"/>
    <w:rsid w:val="7BC603A3"/>
    <w:rsid w:val="7BCE0F02"/>
    <w:rsid w:val="7BDD1E3F"/>
    <w:rsid w:val="7BE579F5"/>
    <w:rsid w:val="7BE74F6E"/>
    <w:rsid w:val="7BEE2E25"/>
    <w:rsid w:val="7BEF0492"/>
    <w:rsid w:val="7BEF0BD1"/>
    <w:rsid w:val="7C0E4EAB"/>
    <w:rsid w:val="7C2360D7"/>
    <w:rsid w:val="7C3D3992"/>
    <w:rsid w:val="7C461840"/>
    <w:rsid w:val="7C6B0DAD"/>
    <w:rsid w:val="7C7763C7"/>
    <w:rsid w:val="7C7C44BA"/>
    <w:rsid w:val="7C8316D6"/>
    <w:rsid w:val="7C884E11"/>
    <w:rsid w:val="7C9B0675"/>
    <w:rsid w:val="7C9B0D72"/>
    <w:rsid w:val="7CA97FA9"/>
    <w:rsid w:val="7CAF62BA"/>
    <w:rsid w:val="7CAF663E"/>
    <w:rsid w:val="7CB70D33"/>
    <w:rsid w:val="7CB93960"/>
    <w:rsid w:val="7CBE4AD3"/>
    <w:rsid w:val="7CC7564B"/>
    <w:rsid w:val="7CD02F2E"/>
    <w:rsid w:val="7CD95DB0"/>
    <w:rsid w:val="7CDB4F2C"/>
    <w:rsid w:val="7CDE5175"/>
    <w:rsid w:val="7CE16A13"/>
    <w:rsid w:val="7CE70A9C"/>
    <w:rsid w:val="7CEF3B62"/>
    <w:rsid w:val="7CF3625E"/>
    <w:rsid w:val="7D0D4207"/>
    <w:rsid w:val="7D351BA2"/>
    <w:rsid w:val="7D385520"/>
    <w:rsid w:val="7D3E3F27"/>
    <w:rsid w:val="7D425312"/>
    <w:rsid w:val="7D4D58B3"/>
    <w:rsid w:val="7D4D6CE5"/>
    <w:rsid w:val="7D603DDC"/>
    <w:rsid w:val="7D627B54"/>
    <w:rsid w:val="7D673E7D"/>
    <w:rsid w:val="7D8B31EB"/>
    <w:rsid w:val="7D9038A4"/>
    <w:rsid w:val="7DAC4464"/>
    <w:rsid w:val="7DCE6802"/>
    <w:rsid w:val="7DDB16B4"/>
    <w:rsid w:val="7DE1138F"/>
    <w:rsid w:val="7DEA57E9"/>
    <w:rsid w:val="7DF5425B"/>
    <w:rsid w:val="7DFD6A1A"/>
    <w:rsid w:val="7E003655"/>
    <w:rsid w:val="7E12157A"/>
    <w:rsid w:val="7E356FCD"/>
    <w:rsid w:val="7E4159BB"/>
    <w:rsid w:val="7E6F5FE6"/>
    <w:rsid w:val="7E7533F2"/>
    <w:rsid w:val="7E90249F"/>
    <w:rsid w:val="7E9B4999"/>
    <w:rsid w:val="7E9C3C2F"/>
    <w:rsid w:val="7EA0792E"/>
    <w:rsid w:val="7EA32301"/>
    <w:rsid w:val="7EA5274C"/>
    <w:rsid w:val="7EAA3560"/>
    <w:rsid w:val="7EAF49DC"/>
    <w:rsid w:val="7EB353A9"/>
    <w:rsid w:val="7ECF1A3D"/>
    <w:rsid w:val="7EDF731A"/>
    <w:rsid w:val="7EE3796F"/>
    <w:rsid w:val="7F271055"/>
    <w:rsid w:val="7F4C7CE7"/>
    <w:rsid w:val="7F6E76B2"/>
    <w:rsid w:val="7F786E22"/>
    <w:rsid w:val="7F930498"/>
    <w:rsid w:val="7F9840CC"/>
    <w:rsid w:val="7FA469DC"/>
    <w:rsid w:val="7FAC7026"/>
    <w:rsid w:val="7FBE28E3"/>
    <w:rsid w:val="7FC62AF7"/>
    <w:rsid w:val="7FC70142"/>
    <w:rsid w:val="7FDF1D8E"/>
    <w:rsid w:val="7FE65C55"/>
    <w:rsid w:val="7FEF6147"/>
    <w:rsid w:val="BF698882"/>
    <w:rsid w:val="BFFD1A95"/>
    <w:rsid w:val="CFEF4A97"/>
    <w:rsid w:val="DCBA927E"/>
    <w:rsid w:val="EEB96413"/>
    <w:rsid w:val="F7FF60EB"/>
    <w:rsid w:val="FFFC1FCA"/>
    <w:rsid w:val="FFFD9F43"/>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snapToGrid w:val="0"/>
      <w:sz w:val="22"/>
      <w:lang w:val="en-US" w:eastAsia="zh-CN" w:bidi="ar-SA"/>
    </w:rPr>
  </w:style>
  <w:style w:type="paragraph" w:styleId="3">
    <w:name w:val="heading 1"/>
    <w:basedOn w:val="1"/>
    <w:next w:val="1"/>
    <w:link w:val="190"/>
    <w:autoRedefine/>
    <w:qFormat/>
    <w:uiPriority w:val="9"/>
    <w:pPr>
      <w:keepNext/>
      <w:keepLines/>
      <w:widowControl w:val="0"/>
      <w:tabs>
        <w:tab w:val="left" w:pos="0"/>
      </w:tabs>
      <w:spacing w:before="340" w:after="330" w:line="578" w:lineRule="auto"/>
      <w:ind w:firstLine="400"/>
      <w:outlineLvl w:val="0"/>
    </w:pPr>
    <w:rPr>
      <w:rFonts w:eastAsia="仿宋_GB2312"/>
      <w:b/>
      <w:snapToGrid/>
      <w:kern w:val="44"/>
      <w:sz w:val="44"/>
    </w:rPr>
  </w:style>
  <w:style w:type="paragraph" w:styleId="4">
    <w:name w:val="heading 2"/>
    <w:basedOn w:val="1"/>
    <w:next w:val="1"/>
    <w:link w:val="191"/>
    <w:autoRedefine/>
    <w:qFormat/>
    <w:uiPriority w:val="9"/>
    <w:pPr>
      <w:keepNext/>
      <w:keepLines/>
      <w:widowControl w:val="0"/>
      <w:tabs>
        <w:tab w:val="left" w:pos="3960"/>
      </w:tabs>
      <w:spacing w:before="260" w:after="260" w:line="415" w:lineRule="auto"/>
      <w:ind w:firstLine="400"/>
      <w:outlineLvl w:val="1"/>
    </w:pPr>
    <w:rPr>
      <w:rFonts w:ascii="Arial" w:hAnsi="Arial" w:eastAsia="黑体"/>
      <w:b/>
      <w:snapToGrid/>
      <w:sz w:val="32"/>
    </w:rPr>
  </w:style>
  <w:style w:type="paragraph" w:styleId="5">
    <w:name w:val="heading 3"/>
    <w:basedOn w:val="1"/>
    <w:next w:val="1"/>
    <w:link w:val="192"/>
    <w:autoRedefine/>
    <w:qFormat/>
    <w:uiPriority w:val="9"/>
    <w:pPr>
      <w:keepNext/>
      <w:keepLines/>
      <w:widowControl w:val="0"/>
      <w:tabs>
        <w:tab w:val="left" w:pos="2651"/>
      </w:tabs>
      <w:spacing w:before="260" w:after="260" w:line="415" w:lineRule="auto"/>
      <w:ind w:firstLine="400"/>
      <w:outlineLvl w:val="2"/>
    </w:pPr>
    <w:rPr>
      <w:rFonts w:eastAsia="仿宋_GB2312"/>
      <w:b/>
      <w:snapToGrid/>
      <w:sz w:val="32"/>
    </w:rPr>
  </w:style>
  <w:style w:type="paragraph" w:styleId="6">
    <w:name w:val="heading 4"/>
    <w:basedOn w:val="1"/>
    <w:next w:val="7"/>
    <w:link w:val="194"/>
    <w:autoRedefine/>
    <w:qFormat/>
    <w:uiPriority w:val="9"/>
    <w:pPr>
      <w:keepNext/>
      <w:keepLines/>
      <w:widowControl w:val="0"/>
      <w:tabs>
        <w:tab w:val="left" w:pos="1984"/>
      </w:tabs>
      <w:spacing w:before="280" w:after="290" w:line="376" w:lineRule="auto"/>
      <w:outlineLvl w:val="3"/>
    </w:pPr>
    <w:rPr>
      <w:rFonts w:ascii="Arial" w:hAnsi="Arial" w:eastAsia="黑体"/>
      <w:b/>
      <w:snapToGrid/>
      <w:sz w:val="28"/>
    </w:rPr>
  </w:style>
  <w:style w:type="paragraph" w:styleId="8">
    <w:name w:val="heading 5"/>
    <w:basedOn w:val="1"/>
    <w:next w:val="1"/>
    <w:link w:val="195"/>
    <w:autoRedefine/>
    <w:qFormat/>
    <w:uiPriority w:val="9"/>
    <w:pPr>
      <w:keepNext/>
      <w:keepLines/>
      <w:widowControl w:val="0"/>
      <w:spacing w:before="280" w:after="290" w:line="376" w:lineRule="auto"/>
      <w:outlineLvl w:val="4"/>
    </w:pPr>
    <w:rPr>
      <w:b/>
      <w:snapToGrid/>
      <w:sz w:val="28"/>
    </w:rPr>
  </w:style>
  <w:style w:type="paragraph" w:styleId="9">
    <w:name w:val="heading 6"/>
    <w:basedOn w:val="1"/>
    <w:next w:val="1"/>
    <w:link w:val="196"/>
    <w:autoRedefine/>
    <w:qFormat/>
    <w:uiPriority w:val="9"/>
    <w:pPr>
      <w:keepNext/>
      <w:keepLines/>
      <w:widowControl w:val="0"/>
      <w:numPr>
        <w:ilvl w:val="5"/>
        <w:numId w:val="1"/>
      </w:numPr>
      <w:spacing w:before="240" w:after="64" w:line="319" w:lineRule="auto"/>
      <w:outlineLvl w:val="5"/>
    </w:pPr>
    <w:rPr>
      <w:rFonts w:ascii="Arial" w:hAnsi="Arial" w:eastAsia="黑体"/>
      <w:b/>
      <w:snapToGrid/>
      <w:sz w:val="24"/>
    </w:rPr>
  </w:style>
  <w:style w:type="paragraph" w:styleId="10">
    <w:name w:val="heading 7"/>
    <w:basedOn w:val="1"/>
    <w:next w:val="7"/>
    <w:autoRedefine/>
    <w:qFormat/>
    <w:uiPriority w:val="0"/>
    <w:pPr>
      <w:keepNext/>
      <w:keepLines/>
      <w:widowControl w:val="0"/>
      <w:numPr>
        <w:ilvl w:val="6"/>
        <w:numId w:val="1"/>
      </w:numPr>
      <w:spacing w:before="240" w:after="64" w:line="319" w:lineRule="auto"/>
      <w:outlineLvl w:val="6"/>
    </w:pPr>
    <w:rPr>
      <w:b/>
      <w:snapToGrid/>
      <w:sz w:val="24"/>
    </w:rPr>
  </w:style>
  <w:style w:type="paragraph" w:styleId="11">
    <w:name w:val="heading 8"/>
    <w:basedOn w:val="1"/>
    <w:next w:val="7"/>
    <w:autoRedefine/>
    <w:qFormat/>
    <w:uiPriority w:val="0"/>
    <w:pPr>
      <w:keepNext/>
      <w:keepLines/>
      <w:widowControl w:val="0"/>
      <w:numPr>
        <w:ilvl w:val="7"/>
        <w:numId w:val="1"/>
      </w:numPr>
      <w:spacing w:before="240" w:after="64" w:line="319" w:lineRule="auto"/>
      <w:outlineLvl w:val="7"/>
    </w:pPr>
    <w:rPr>
      <w:rFonts w:ascii="Arial" w:hAnsi="Arial" w:eastAsia="黑体"/>
      <w:snapToGrid/>
      <w:sz w:val="24"/>
    </w:rPr>
  </w:style>
  <w:style w:type="paragraph" w:styleId="12">
    <w:name w:val="heading 9"/>
    <w:basedOn w:val="1"/>
    <w:next w:val="7"/>
    <w:autoRedefine/>
    <w:qFormat/>
    <w:uiPriority w:val="0"/>
    <w:pPr>
      <w:keepNext/>
      <w:keepLines/>
      <w:widowControl w:val="0"/>
      <w:numPr>
        <w:ilvl w:val="8"/>
        <w:numId w:val="1"/>
      </w:numPr>
      <w:spacing w:before="240" w:after="64" w:line="319" w:lineRule="auto"/>
      <w:outlineLvl w:val="8"/>
    </w:pPr>
    <w:rPr>
      <w:rFonts w:ascii="Arial" w:hAnsi="Arial" w:eastAsia="黑体"/>
      <w:snapToGrid/>
      <w:sz w:val="34"/>
    </w:rPr>
  </w:style>
  <w:style w:type="character" w:default="1" w:styleId="49">
    <w:name w:val="Default Paragraph Font"/>
    <w:link w:val="50"/>
    <w:autoRedefine/>
    <w:qFormat/>
    <w:uiPriority w:val="0"/>
    <w:rPr>
      <w:rFonts w:ascii="Times New Roman" w:hAnsi="Times New Roman"/>
      <w:szCs w:val="20"/>
    </w:rPr>
  </w:style>
  <w:style w:type="table" w:default="1" w:styleId="47">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styleId="7">
    <w:name w:val="Normal Indent"/>
    <w:basedOn w:val="1"/>
    <w:next w:val="1"/>
    <w:link w:val="193"/>
    <w:autoRedefine/>
    <w:qFormat/>
    <w:uiPriority w:val="0"/>
    <w:pPr>
      <w:ind w:firstLine="200" w:firstLineChars="200"/>
    </w:pPr>
    <w:rPr>
      <w:rFonts w:ascii="Calibri" w:hAnsi="Calibri"/>
      <w:snapToGrid/>
      <w:sz w:val="20"/>
      <w:szCs w:val="24"/>
    </w:rPr>
  </w:style>
  <w:style w:type="paragraph" w:styleId="13">
    <w:name w:val="toc 7"/>
    <w:basedOn w:val="1"/>
    <w:next w:val="1"/>
    <w:autoRedefine/>
    <w:qFormat/>
    <w:uiPriority w:val="0"/>
    <w:pPr>
      <w:ind w:left="2040"/>
      <w:jc w:val="left"/>
    </w:pPr>
    <w:rPr>
      <w:rFonts w:ascii="Calibri" w:hAnsi="Calibri"/>
      <w:snapToGrid/>
      <w:sz w:val="18"/>
      <w:szCs w:val="18"/>
    </w:rPr>
  </w:style>
  <w:style w:type="paragraph" w:styleId="14">
    <w:name w:val="table of authorities"/>
    <w:basedOn w:val="1"/>
    <w:next w:val="1"/>
    <w:qFormat/>
    <w:uiPriority w:val="0"/>
    <w:pPr>
      <w:ind w:left="420" w:leftChars="200"/>
    </w:pPr>
  </w:style>
  <w:style w:type="paragraph" w:styleId="15">
    <w:name w:val="caption"/>
    <w:next w:val="1"/>
    <w:autoRedefine/>
    <w:qFormat/>
    <w:uiPriority w:val="0"/>
    <w:pPr>
      <w:widowControl w:val="0"/>
      <w:jc w:val="both"/>
    </w:pPr>
    <w:rPr>
      <w:rFonts w:ascii="Arial" w:hAnsi="Arial" w:eastAsia="黑体" w:cs="Times New Roman"/>
      <w:kern w:val="2"/>
      <w:szCs w:val="21"/>
      <w:lang w:val="en-US" w:eastAsia="zh-CN" w:bidi="ar-SA"/>
    </w:rPr>
  </w:style>
  <w:style w:type="paragraph" w:styleId="16">
    <w:name w:val="Document Map"/>
    <w:basedOn w:val="1"/>
    <w:autoRedefine/>
    <w:qFormat/>
    <w:uiPriority w:val="0"/>
    <w:pPr>
      <w:shd w:val="clear" w:color="auto" w:fill="000080"/>
    </w:pPr>
    <w:rPr>
      <w:snapToGrid/>
      <w:sz w:val="34"/>
      <w:shd w:val="clear" w:color="auto" w:fill="000080"/>
    </w:rPr>
  </w:style>
  <w:style w:type="paragraph" w:styleId="17">
    <w:name w:val="annotation text"/>
    <w:basedOn w:val="1"/>
    <w:autoRedefine/>
    <w:qFormat/>
    <w:uiPriority w:val="0"/>
    <w:pPr>
      <w:jc w:val="left"/>
    </w:pPr>
    <w:rPr>
      <w:snapToGrid/>
      <w:sz w:val="34"/>
    </w:rPr>
  </w:style>
  <w:style w:type="paragraph" w:styleId="18">
    <w:name w:val="Body Text 3"/>
    <w:basedOn w:val="1"/>
    <w:autoRedefine/>
    <w:qFormat/>
    <w:uiPriority w:val="0"/>
    <w:pPr>
      <w:widowControl/>
      <w:spacing w:line="360" w:lineRule="auto"/>
    </w:pPr>
    <w:rPr>
      <w:rFonts w:ascii="仿宋_GB2312" w:eastAsia="仿宋_GB2312"/>
      <w:snapToGrid/>
      <w:sz w:val="24"/>
    </w:rPr>
  </w:style>
  <w:style w:type="paragraph" w:styleId="19">
    <w:name w:val="Body Text"/>
    <w:basedOn w:val="1"/>
    <w:next w:val="20"/>
    <w:autoRedefine/>
    <w:qFormat/>
    <w:uiPriority w:val="0"/>
    <w:pPr>
      <w:ind w:right="-533"/>
    </w:pPr>
    <w:rPr>
      <w:rFonts w:ascii="仿宋_GB2312" w:hAnsi="仿宋_GB2312"/>
      <w:b/>
    </w:rPr>
  </w:style>
  <w:style w:type="paragraph" w:styleId="20">
    <w:name w:val="Body Text First Indent"/>
    <w:basedOn w:val="19"/>
    <w:next w:val="1"/>
    <w:autoRedefine/>
    <w:qFormat/>
    <w:uiPriority w:val="0"/>
    <w:pPr>
      <w:spacing w:after="120"/>
      <w:ind w:right="0" w:firstLine="100" w:firstLineChars="100"/>
    </w:pPr>
  </w:style>
  <w:style w:type="paragraph" w:styleId="21">
    <w:name w:val="Body Text Indent"/>
    <w:basedOn w:val="1"/>
    <w:next w:val="1"/>
    <w:autoRedefine/>
    <w:qFormat/>
    <w:uiPriority w:val="0"/>
    <w:pPr>
      <w:snapToGrid w:val="0"/>
      <w:spacing w:line="500" w:lineRule="atLeast"/>
      <w:ind w:left="-525" w:firstLine="525"/>
    </w:pPr>
    <w:rPr>
      <w:snapToGrid/>
      <w:sz w:val="24"/>
    </w:rPr>
  </w:style>
  <w:style w:type="paragraph" w:styleId="22">
    <w:name w:val="Block Text"/>
    <w:basedOn w:val="1"/>
    <w:autoRedefine/>
    <w:qFormat/>
    <w:uiPriority w:val="0"/>
    <w:pPr>
      <w:spacing w:after="120"/>
      <w:ind w:left="1440" w:leftChars="700" w:right="1440" w:rightChars="700"/>
    </w:pPr>
  </w:style>
  <w:style w:type="paragraph" w:styleId="23">
    <w:name w:val="toc 5"/>
    <w:basedOn w:val="1"/>
    <w:next w:val="1"/>
    <w:autoRedefine/>
    <w:qFormat/>
    <w:uiPriority w:val="0"/>
    <w:pPr>
      <w:ind w:left="1360"/>
      <w:jc w:val="left"/>
    </w:pPr>
    <w:rPr>
      <w:rFonts w:ascii="Calibri" w:hAnsi="Calibri"/>
      <w:snapToGrid/>
      <w:sz w:val="18"/>
      <w:szCs w:val="18"/>
    </w:rPr>
  </w:style>
  <w:style w:type="paragraph" w:styleId="24">
    <w:name w:val="toc 3"/>
    <w:basedOn w:val="1"/>
    <w:next w:val="1"/>
    <w:autoRedefine/>
    <w:qFormat/>
    <w:uiPriority w:val="0"/>
    <w:pPr>
      <w:tabs>
        <w:tab w:val="right" w:leader="dot" w:pos="9060"/>
      </w:tabs>
      <w:ind w:left="680"/>
      <w:jc w:val="left"/>
    </w:pPr>
    <w:rPr>
      <w:rFonts w:ascii="宋体" w:cs="宋体"/>
      <w:iCs/>
      <w:snapToGrid/>
      <w:sz w:val="20"/>
      <w:lang w:bidi="ar-SA"/>
    </w:rPr>
  </w:style>
  <w:style w:type="paragraph" w:styleId="25">
    <w:name w:val="Plain Text"/>
    <w:basedOn w:val="1"/>
    <w:next w:val="19"/>
    <w:autoRedefine/>
    <w:qFormat/>
    <w:uiPriority w:val="0"/>
    <w:rPr>
      <w:snapToGrid/>
      <w:sz w:val="20"/>
    </w:rPr>
  </w:style>
  <w:style w:type="paragraph" w:styleId="26">
    <w:name w:val="toc 8"/>
    <w:basedOn w:val="1"/>
    <w:next w:val="1"/>
    <w:autoRedefine/>
    <w:qFormat/>
    <w:uiPriority w:val="0"/>
    <w:pPr>
      <w:ind w:left="2380"/>
      <w:jc w:val="left"/>
    </w:pPr>
    <w:rPr>
      <w:rFonts w:ascii="Calibri" w:hAnsi="Calibri"/>
      <w:snapToGrid/>
      <w:sz w:val="18"/>
      <w:szCs w:val="18"/>
    </w:rPr>
  </w:style>
  <w:style w:type="paragraph" w:styleId="27">
    <w:name w:val="Date"/>
    <w:basedOn w:val="1"/>
    <w:next w:val="1"/>
    <w:autoRedefine/>
    <w:qFormat/>
    <w:uiPriority w:val="0"/>
    <w:rPr>
      <w:rFonts w:ascii="楷体_GB2312" w:eastAsia="楷体_GB2312"/>
      <w:b/>
      <w:snapToGrid/>
      <w:sz w:val="28"/>
    </w:rPr>
  </w:style>
  <w:style w:type="paragraph" w:styleId="28">
    <w:name w:val="Body Text Indent 2"/>
    <w:basedOn w:val="1"/>
    <w:autoRedefine/>
    <w:qFormat/>
    <w:uiPriority w:val="0"/>
    <w:pPr>
      <w:autoSpaceDE w:val="0"/>
      <w:autoSpaceDN w:val="0"/>
      <w:spacing w:line="440" w:lineRule="exact"/>
      <w:ind w:firstLine="150" w:firstLineChars="150"/>
    </w:pPr>
    <w:rPr>
      <w:rFonts w:ascii="仿宋_GB2312" w:eastAsia="仿宋_GB2312"/>
      <w:snapToGrid/>
      <w:color w:val="000000"/>
      <w:sz w:val="24"/>
      <w:szCs w:val="24"/>
    </w:rPr>
  </w:style>
  <w:style w:type="paragraph" w:styleId="29">
    <w:name w:val="Balloon Text"/>
    <w:basedOn w:val="1"/>
    <w:link w:val="197"/>
    <w:autoRedefine/>
    <w:qFormat/>
    <w:uiPriority w:val="99"/>
    <w:rPr>
      <w:snapToGrid/>
      <w:sz w:val="18"/>
      <w:szCs w:val="18"/>
    </w:rPr>
  </w:style>
  <w:style w:type="paragraph" w:styleId="30">
    <w:name w:val="footer"/>
    <w:basedOn w:val="1"/>
    <w:link w:val="198"/>
    <w:autoRedefine/>
    <w:qFormat/>
    <w:uiPriority w:val="99"/>
    <w:pPr>
      <w:tabs>
        <w:tab w:val="center" w:pos="4153"/>
        <w:tab w:val="right" w:pos="8306"/>
      </w:tabs>
      <w:snapToGrid w:val="0"/>
      <w:jc w:val="left"/>
    </w:pPr>
    <w:rPr>
      <w:snapToGrid/>
      <w:sz w:val="18"/>
      <w:szCs w:val="18"/>
    </w:rPr>
  </w:style>
  <w:style w:type="paragraph" w:styleId="31">
    <w:name w:val="header"/>
    <w:basedOn w:val="1"/>
    <w:link w:val="199"/>
    <w:autoRedefine/>
    <w:qFormat/>
    <w:uiPriority w:val="99"/>
    <w:pPr>
      <w:pBdr>
        <w:bottom w:val="single" w:color="auto" w:sz="6" w:space="1"/>
      </w:pBdr>
      <w:tabs>
        <w:tab w:val="center" w:pos="4153"/>
        <w:tab w:val="right" w:pos="8306"/>
      </w:tabs>
      <w:snapToGrid w:val="0"/>
      <w:jc w:val="center"/>
    </w:pPr>
    <w:rPr>
      <w:snapToGrid/>
      <w:sz w:val="18"/>
      <w:szCs w:val="18"/>
    </w:rPr>
  </w:style>
  <w:style w:type="paragraph" w:styleId="32">
    <w:name w:val="Signature"/>
    <w:basedOn w:val="1"/>
    <w:next w:val="1"/>
    <w:autoRedefine/>
    <w:qFormat/>
    <w:uiPriority w:val="0"/>
    <w:pPr>
      <w:keepNext/>
      <w:widowControl/>
      <w:adjustRightInd w:val="0"/>
      <w:spacing w:line="220" w:lineRule="atLeast"/>
      <w:jc w:val="right"/>
      <w:textAlignment w:val="baseline"/>
    </w:pPr>
    <w:rPr>
      <w:rFonts w:ascii="Arial" w:hAnsi="Arial"/>
      <w:snapToGrid/>
      <w:spacing w:val="-5"/>
      <w:sz w:val="24"/>
    </w:rPr>
  </w:style>
  <w:style w:type="paragraph" w:styleId="33">
    <w:name w:val="toc 1"/>
    <w:basedOn w:val="1"/>
    <w:next w:val="1"/>
    <w:autoRedefine/>
    <w:qFormat/>
    <w:uiPriority w:val="0"/>
    <w:pPr>
      <w:snapToGrid w:val="0"/>
      <w:spacing w:line="336" w:lineRule="auto"/>
      <w:ind w:left="0" w:hanging="350" w:hangingChars="350"/>
      <w:jc w:val="left"/>
    </w:pPr>
    <w:rPr>
      <w:rFonts w:ascii="黑体" w:hAnsi="黑体" w:eastAsia="黑体"/>
      <w:bCs/>
      <w:caps/>
      <w:snapToGrid/>
      <w:sz w:val="28"/>
    </w:rPr>
  </w:style>
  <w:style w:type="paragraph" w:styleId="34">
    <w:name w:val="toc 4"/>
    <w:basedOn w:val="1"/>
    <w:next w:val="1"/>
    <w:autoRedefine/>
    <w:qFormat/>
    <w:uiPriority w:val="0"/>
    <w:pPr>
      <w:ind w:left="1020"/>
      <w:jc w:val="left"/>
    </w:pPr>
    <w:rPr>
      <w:rFonts w:ascii="Calibri" w:hAnsi="Calibri"/>
      <w:snapToGrid/>
      <w:sz w:val="18"/>
      <w:szCs w:val="18"/>
    </w:rPr>
  </w:style>
  <w:style w:type="paragraph" w:styleId="35">
    <w:name w:val="toc 6"/>
    <w:basedOn w:val="1"/>
    <w:next w:val="1"/>
    <w:autoRedefine/>
    <w:qFormat/>
    <w:uiPriority w:val="0"/>
    <w:pPr>
      <w:ind w:left="1700"/>
      <w:jc w:val="left"/>
    </w:pPr>
    <w:rPr>
      <w:rFonts w:ascii="Calibri" w:hAnsi="Calibri"/>
      <w:snapToGrid/>
      <w:sz w:val="18"/>
      <w:szCs w:val="18"/>
    </w:rPr>
  </w:style>
  <w:style w:type="paragraph" w:styleId="36">
    <w:name w:val="Body Text Indent 3"/>
    <w:basedOn w:val="1"/>
    <w:autoRedefine/>
    <w:qFormat/>
    <w:uiPriority w:val="0"/>
    <w:pPr>
      <w:spacing w:line="360" w:lineRule="auto"/>
      <w:ind w:left="220"/>
      <w:jc w:val="left"/>
    </w:pPr>
    <w:rPr>
      <w:rFonts w:ascii="仿宋_GB2312" w:eastAsia="仿宋_GB2312"/>
      <w:snapToGrid/>
      <w:color w:val="000000"/>
      <w:sz w:val="24"/>
    </w:rPr>
  </w:style>
  <w:style w:type="paragraph" w:styleId="37">
    <w:name w:val="table of figures"/>
    <w:basedOn w:val="1"/>
    <w:next w:val="1"/>
    <w:autoRedefine/>
    <w:qFormat/>
    <w:uiPriority w:val="99"/>
    <w:pPr>
      <w:ind w:left="200" w:leftChars="200" w:hanging="200" w:hangingChars="200"/>
    </w:pPr>
    <w:rPr>
      <w:rFonts w:ascii="Times New Roman" w:hAnsi="Times New Roman"/>
    </w:rPr>
  </w:style>
  <w:style w:type="paragraph" w:styleId="38">
    <w:name w:val="toc 2"/>
    <w:basedOn w:val="1"/>
    <w:next w:val="1"/>
    <w:autoRedefine/>
    <w:qFormat/>
    <w:uiPriority w:val="0"/>
    <w:pPr>
      <w:tabs>
        <w:tab w:val="right" w:leader="dot" w:pos="9060"/>
      </w:tabs>
      <w:snapToGrid w:val="0"/>
      <w:spacing w:line="336" w:lineRule="auto"/>
      <w:ind w:left="482"/>
      <w:jc w:val="left"/>
    </w:pPr>
    <w:rPr>
      <w:rFonts w:ascii="宋体" w:hAnsi="宋体" w:eastAsia="宋体" w:cs="宋体"/>
      <w:bCs/>
      <w:smallCaps/>
      <w:snapToGrid/>
      <w:sz w:val="22"/>
      <w:szCs w:val="24"/>
    </w:rPr>
  </w:style>
  <w:style w:type="paragraph" w:styleId="39">
    <w:name w:val="toc 9"/>
    <w:basedOn w:val="1"/>
    <w:next w:val="1"/>
    <w:autoRedefine/>
    <w:qFormat/>
    <w:uiPriority w:val="0"/>
    <w:pPr>
      <w:ind w:left="2720"/>
      <w:jc w:val="left"/>
    </w:pPr>
    <w:rPr>
      <w:rFonts w:ascii="Calibri" w:hAnsi="Calibri"/>
      <w:snapToGrid/>
      <w:sz w:val="18"/>
      <w:szCs w:val="18"/>
    </w:rPr>
  </w:style>
  <w:style w:type="paragraph" w:styleId="40">
    <w:name w:val="Body Text 2"/>
    <w:basedOn w:val="1"/>
    <w:autoRedefine/>
    <w:qFormat/>
    <w:uiPriority w:val="0"/>
    <w:pPr>
      <w:spacing w:line="560" w:lineRule="exact"/>
    </w:pPr>
    <w:rPr>
      <w:rFonts w:ascii="仿宋_GB2312" w:eastAsia="仿宋_GB2312"/>
      <w:snapToGrid/>
      <w:sz w:val="24"/>
    </w:rPr>
  </w:style>
  <w:style w:type="paragraph" w:styleId="4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snapToGrid/>
      <w:sz w:val="24"/>
      <w:szCs w:val="24"/>
    </w:rPr>
  </w:style>
  <w:style w:type="paragraph" w:styleId="42">
    <w:name w:val="Normal (Web)"/>
    <w:basedOn w:val="1"/>
    <w:autoRedefine/>
    <w:qFormat/>
    <w:uiPriority w:val="0"/>
    <w:pPr>
      <w:widowControl/>
      <w:shd w:val="clear" w:color="auto" w:fill="FFFFFF"/>
      <w:spacing w:before="100" w:beforeAutospacing="1" w:after="100" w:afterAutospacing="1"/>
      <w:jc w:val="left"/>
    </w:pPr>
    <w:rPr>
      <w:rFonts w:ascii="_x000B__x000C_" w:hAnsi="_x000B__x000C_"/>
      <w:kern w:val="0"/>
      <w:sz w:val="18"/>
      <w:szCs w:val="18"/>
    </w:rPr>
  </w:style>
  <w:style w:type="paragraph" w:styleId="43">
    <w:name w:val="Title"/>
    <w:basedOn w:val="1"/>
    <w:next w:val="1"/>
    <w:autoRedefine/>
    <w:qFormat/>
    <w:uiPriority w:val="0"/>
    <w:pPr>
      <w:spacing w:before="240" w:after="60"/>
      <w:jc w:val="center"/>
      <w:outlineLvl w:val="0"/>
    </w:pPr>
    <w:rPr>
      <w:rFonts w:ascii="Calibri Light" w:hAnsi="Calibri Light"/>
      <w:b/>
      <w:bCs/>
      <w:snapToGrid/>
      <w:sz w:val="32"/>
      <w:szCs w:val="32"/>
    </w:rPr>
  </w:style>
  <w:style w:type="paragraph" w:styleId="44">
    <w:name w:val="Body Text First Indent 2"/>
    <w:basedOn w:val="21"/>
    <w:next w:val="45"/>
    <w:autoRedefine/>
    <w:qFormat/>
    <w:uiPriority w:val="0"/>
    <w:pPr>
      <w:spacing w:after="120" w:line="240" w:lineRule="auto"/>
      <w:ind w:left="200" w:leftChars="200" w:firstLine="420"/>
    </w:pPr>
    <w:rPr>
      <w:rFonts w:cs="宋体"/>
      <w:sz w:val="21"/>
      <w:szCs w:val="21"/>
      <w:lang w:bidi="ar-SA"/>
    </w:rPr>
  </w:style>
  <w:style w:type="paragraph" w:customStyle="1" w:styleId="45">
    <w:name w:val="文章正文"/>
    <w:basedOn w:val="1"/>
    <w:next w:val="46"/>
    <w:autoRedefine/>
    <w:qFormat/>
    <w:uiPriority w:val="0"/>
    <w:pPr>
      <w:spacing w:line="360" w:lineRule="auto"/>
      <w:ind w:firstLine="200" w:firstLineChars="200"/>
    </w:pPr>
    <w:rPr>
      <w:rFonts w:ascii="宋体" w:hAnsi="宋体" w:cs="宋体"/>
      <w:snapToGrid/>
      <w:sz w:val="24"/>
      <w:szCs w:val="24"/>
    </w:rPr>
  </w:style>
  <w:style w:type="paragraph" w:customStyle="1" w:styleId="46">
    <w:name w:val="公式样式 变量"/>
    <w:autoRedefine/>
    <w:qFormat/>
    <w:uiPriority w:val="0"/>
    <w:rPr>
      <w:rFonts w:ascii="Times New Roman" w:hAnsi="Times New Roman" w:eastAsia="宋体" w:cs="Times New Roman"/>
      <w:i/>
      <w:lang w:val="en-US" w:eastAsia="zh-CN" w:bidi="ar-SA"/>
    </w:rPr>
  </w:style>
  <w:style w:type="table" w:styleId="48">
    <w:name w:val="Table Grid"/>
    <w:basedOn w:val="4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Char Char Char Char Char Char Char"/>
    <w:basedOn w:val="1"/>
    <w:link w:val="49"/>
    <w:autoRedefine/>
    <w:qFormat/>
    <w:uiPriority w:val="99"/>
    <w:rPr>
      <w:rFonts w:ascii="Times New Roman" w:hAnsi="Times New Roman"/>
      <w:szCs w:val="20"/>
    </w:rPr>
  </w:style>
  <w:style w:type="character" w:styleId="51">
    <w:name w:val="Strong"/>
    <w:basedOn w:val="49"/>
    <w:autoRedefine/>
    <w:qFormat/>
    <w:uiPriority w:val="0"/>
    <w:rPr>
      <w:b/>
      <w:bCs/>
    </w:rPr>
  </w:style>
  <w:style w:type="character" w:styleId="52">
    <w:name w:val="page number"/>
    <w:basedOn w:val="49"/>
    <w:autoRedefine/>
    <w:qFormat/>
    <w:uiPriority w:val="0"/>
  </w:style>
  <w:style w:type="character" w:styleId="53">
    <w:name w:val="FollowedHyperlink"/>
    <w:autoRedefine/>
    <w:qFormat/>
    <w:uiPriority w:val="99"/>
    <w:rPr>
      <w:color w:val="333333"/>
      <w:u w:val="none"/>
    </w:rPr>
  </w:style>
  <w:style w:type="character" w:styleId="54">
    <w:name w:val="Emphasis"/>
    <w:autoRedefine/>
    <w:qFormat/>
    <w:uiPriority w:val="0"/>
    <w:rPr>
      <w:color w:val="CC0033"/>
    </w:rPr>
  </w:style>
  <w:style w:type="character" w:styleId="55">
    <w:name w:val="HTML Definition"/>
    <w:autoRedefine/>
    <w:qFormat/>
    <w:uiPriority w:val="0"/>
  </w:style>
  <w:style w:type="character" w:styleId="56">
    <w:name w:val="HTML Variable"/>
    <w:autoRedefine/>
    <w:qFormat/>
    <w:uiPriority w:val="0"/>
  </w:style>
  <w:style w:type="character" w:styleId="57">
    <w:name w:val="Hyperlink"/>
    <w:autoRedefine/>
    <w:qFormat/>
    <w:uiPriority w:val="99"/>
    <w:rPr>
      <w:color w:val="333333"/>
      <w:u w:val="none"/>
    </w:rPr>
  </w:style>
  <w:style w:type="character" w:styleId="58">
    <w:name w:val="HTML Code"/>
    <w:autoRedefine/>
    <w:qFormat/>
    <w:uiPriority w:val="0"/>
    <w:rPr>
      <w:rFonts w:ascii="Courier New" w:hAnsi="Courier New"/>
      <w:sz w:val="20"/>
    </w:rPr>
  </w:style>
  <w:style w:type="character" w:styleId="59">
    <w:name w:val="HTML Cite"/>
    <w:autoRedefine/>
    <w:qFormat/>
    <w:uiPriority w:val="0"/>
  </w:style>
  <w:style w:type="character" w:styleId="60">
    <w:name w:val="HTML Sample"/>
    <w:autoRedefine/>
    <w:qFormat/>
    <w:uiPriority w:val="0"/>
    <w:rPr>
      <w:rFonts w:hint="default" w:ascii="Courier New" w:hAnsi="Courier New" w:eastAsia="Times New Roman" w:cs="Courier New"/>
    </w:rPr>
  </w:style>
  <w:style w:type="paragraph" w:customStyle="1" w:styleId="61">
    <w:name w:val="正文文本 31"/>
    <w:basedOn w:val="1"/>
    <w:autoRedefine/>
    <w:qFormat/>
    <w:uiPriority w:val="0"/>
    <w:rPr>
      <w:sz w:val="16"/>
      <w:szCs w:val="16"/>
    </w:rPr>
  </w:style>
  <w:style w:type="paragraph" w:customStyle="1" w:styleId="62">
    <w:name w:val="样式 表格正文 + 两端对齐"/>
    <w:basedOn w:val="1"/>
    <w:next w:val="63"/>
    <w:autoRedefine/>
    <w:qFormat/>
    <w:uiPriority w:val="0"/>
    <w:pPr>
      <w:widowControl w:val="0"/>
      <w:autoSpaceDE/>
      <w:autoSpaceDN/>
      <w:spacing w:before="0" w:after="0" w:line="300" w:lineRule="auto"/>
      <w:ind w:left="0" w:firstLine="0"/>
      <w:jc w:val="both"/>
    </w:pPr>
    <w:rPr>
      <w:rFonts w:ascii="Times New Roman" w:eastAsia="宋体"/>
      <w:sz w:val="24"/>
    </w:rPr>
  </w:style>
  <w:style w:type="paragraph" w:customStyle="1" w:styleId="63">
    <w:name w:val="正文1"/>
    <w:basedOn w:val="24"/>
    <w:next w:val="64"/>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4">
    <w:name w:val="自动更正"/>
    <w:next w:val="65"/>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5">
    <w:name w:val="xl39"/>
    <w:basedOn w:val="1"/>
    <w:next w:val="66"/>
    <w:autoRedefine/>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66">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67">
    <w:name w:val="xl53"/>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68">
    <w:name w:val="样式16"/>
    <w:basedOn w:val="38"/>
    <w:autoRedefine/>
    <w:qFormat/>
    <w:uiPriority w:val="0"/>
    <w:pPr>
      <w:spacing w:before="50" w:beforeLines="50"/>
    </w:pPr>
  </w:style>
  <w:style w:type="paragraph" w:customStyle="1" w:styleId="69">
    <w:name w:val="样式17"/>
    <w:basedOn w:val="38"/>
    <w:autoRedefine/>
    <w:qFormat/>
    <w:uiPriority w:val="0"/>
    <w:pPr>
      <w:spacing w:before="50" w:beforeLines="50"/>
    </w:pPr>
  </w:style>
  <w:style w:type="paragraph" w:customStyle="1" w:styleId="70">
    <w:name w:val="样式18"/>
    <w:basedOn w:val="33"/>
    <w:autoRedefine/>
    <w:qFormat/>
    <w:uiPriority w:val="0"/>
    <w:pPr>
      <w:spacing w:before="50" w:beforeLines="50"/>
    </w:pPr>
  </w:style>
  <w:style w:type="paragraph" w:customStyle="1" w:styleId="71">
    <w:name w:val="样式19"/>
    <w:basedOn w:val="38"/>
    <w:autoRedefine/>
    <w:qFormat/>
    <w:uiPriority w:val="0"/>
    <w:pPr>
      <w:spacing w:line="360" w:lineRule="auto"/>
    </w:pPr>
  </w:style>
  <w:style w:type="paragraph" w:customStyle="1" w:styleId="72">
    <w:name w:val="样式20"/>
    <w:basedOn w:val="38"/>
    <w:autoRedefine/>
    <w:qFormat/>
    <w:uiPriority w:val="0"/>
    <w:pPr>
      <w:snapToGrid/>
      <w:spacing w:line="360" w:lineRule="auto"/>
    </w:pPr>
  </w:style>
  <w:style w:type="paragraph" w:customStyle="1" w:styleId="73">
    <w:name w:val="样式21"/>
    <w:basedOn w:val="33"/>
    <w:autoRedefine/>
    <w:qFormat/>
    <w:uiPriority w:val="0"/>
    <w:pPr>
      <w:spacing w:line="360" w:lineRule="auto"/>
    </w:pPr>
  </w:style>
  <w:style w:type="paragraph" w:customStyle="1" w:styleId="74">
    <w:name w:val="样式22"/>
    <w:basedOn w:val="38"/>
    <w:autoRedefine/>
    <w:qFormat/>
    <w:uiPriority w:val="0"/>
    <w:pPr>
      <w:spacing w:before="50" w:beforeLines="50" w:after="50" w:afterLines="50"/>
    </w:pPr>
  </w:style>
  <w:style w:type="paragraph" w:customStyle="1" w:styleId="75">
    <w:name w:val="样式23"/>
    <w:basedOn w:val="38"/>
    <w:autoRedefine/>
    <w:qFormat/>
    <w:uiPriority w:val="0"/>
    <w:pPr>
      <w:spacing w:line="360" w:lineRule="auto"/>
    </w:pPr>
  </w:style>
  <w:style w:type="paragraph" w:customStyle="1" w:styleId="76">
    <w:name w:val="样式24"/>
    <w:basedOn w:val="1"/>
    <w:autoRedefine/>
    <w:qFormat/>
    <w:uiPriority w:val="0"/>
    <w:pPr>
      <w:spacing w:line="360" w:lineRule="auto"/>
    </w:pPr>
  </w:style>
  <w:style w:type="paragraph" w:customStyle="1" w:styleId="77">
    <w:name w:val="样式25"/>
    <w:basedOn w:val="33"/>
    <w:autoRedefine/>
    <w:qFormat/>
    <w:uiPriority w:val="0"/>
    <w:rPr>
      <w:sz w:val="24"/>
    </w:rPr>
  </w:style>
  <w:style w:type="paragraph" w:customStyle="1" w:styleId="78">
    <w:name w:val="样式26"/>
    <w:basedOn w:val="33"/>
    <w:autoRedefine/>
    <w:qFormat/>
    <w:uiPriority w:val="0"/>
    <w:pPr>
      <w:spacing w:line="360" w:lineRule="auto"/>
    </w:pPr>
  </w:style>
  <w:style w:type="paragraph" w:customStyle="1" w:styleId="79">
    <w:name w:val="样式27"/>
    <w:basedOn w:val="33"/>
    <w:autoRedefine/>
    <w:qFormat/>
    <w:uiPriority w:val="0"/>
    <w:pPr>
      <w:spacing w:line="360" w:lineRule="auto"/>
    </w:pPr>
  </w:style>
  <w:style w:type="paragraph" w:customStyle="1" w:styleId="80">
    <w:name w:val="样式28"/>
    <w:basedOn w:val="38"/>
    <w:autoRedefine/>
    <w:qFormat/>
    <w:uiPriority w:val="0"/>
    <w:pPr>
      <w:spacing w:line="360" w:lineRule="auto"/>
    </w:pPr>
  </w:style>
  <w:style w:type="paragraph" w:customStyle="1" w:styleId="81">
    <w:name w:val="样式50"/>
    <w:basedOn w:val="38"/>
    <w:autoRedefine/>
    <w:qFormat/>
    <w:uiPriority w:val="0"/>
    <w:pPr>
      <w:ind w:left="0"/>
    </w:pPr>
  </w:style>
  <w:style w:type="paragraph" w:customStyle="1" w:styleId="82">
    <w:name w:val="段"/>
    <w:link w:val="20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3">
    <w:name w:val="xl1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84">
    <w:name w:val="xl19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85">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86">
    <w:name w:val="主题:"/>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7">
    <w:name w:val="xl188"/>
    <w:basedOn w:val="1"/>
    <w:autoRedefine/>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88">
    <w:name w:val="标准中文版式_正文"/>
    <w:basedOn w:val="1"/>
    <w:autoRedefine/>
    <w:qFormat/>
    <w:uiPriority w:val="0"/>
    <w:pPr>
      <w:spacing w:before="30" w:beforeLines="0" w:line="360" w:lineRule="auto"/>
      <w:ind w:firstLineChars="200"/>
    </w:pPr>
    <w:rPr>
      <w:rFonts w:ascii="Arial" w:hAnsi="Arial"/>
      <w:sz w:val="24"/>
    </w:rPr>
  </w:style>
  <w:style w:type="paragraph" w:customStyle="1" w:styleId="89">
    <w:name w:val="DA-正文"/>
    <w:basedOn w:val="1"/>
    <w:autoRedefine/>
    <w:qFormat/>
    <w:uiPriority w:val="0"/>
    <w:pPr>
      <w:spacing w:line="360" w:lineRule="auto"/>
      <w:ind w:firstLine="200" w:firstLineChars="200"/>
      <w:jc w:val="left"/>
    </w:pPr>
    <w:rPr>
      <w:snapToGrid/>
      <w:sz w:val="24"/>
      <w:szCs w:val="28"/>
      <w:lang w:bidi="en-US"/>
    </w:rPr>
  </w:style>
  <w:style w:type="paragraph" w:customStyle="1" w:styleId="90">
    <w:name w:val="font5"/>
    <w:basedOn w:val="1"/>
    <w:autoRedefine/>
    <w:qFormat/>
    <w:uiPriority w:val="0"/>
    <w:pPr>
      <w:widowControl/>
      <w:spacing w:before="100" w:beforeAutospacing="1" w:after="100" w:afterAutospacing="1"/>
      <w:jc w:val="left"/>
    </w:pPr>
    <w:rPr>
      <w:rFonts w:cs="宋体"/>
      <w:snapToGrid/>
      <w:sz w:val="18"/>
      <w:szCs w:val="18"/>
    </w:rPr>
  </w:style>
  <w:style w:type="paragraph" w:customStyle="1" w:styleId="91">
    <w:name w:val="xl1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92">
    <w:name w:val="xl14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93">
    <w:name w:val="p"/>
    <w:basedOn w:val="1"/>
    <w:autoRedefine/>
    <w:qFormat/>
    <w:uiPriority w:val="0"/>
    <w:pPr>
      <w:spacing w:line="525" w:lineRule="atLeast"/>
      <w:ind w:firstLine="375"/>
    </w:pPr>
  </w:style>
  <w:style w:type="paragraph" w:customStyle="1" w:styleId="94">
    <w:name w:val="xl183"/>
    <w:basedOn w:val="1"/>
    <w:autoRedefine/>
    <w:qFormat/>
    <w:uiPriority w:val="0"/>
    <w:pPr>
      <w:widowControl/>
      <w:pBdr>
        <w:left w:val="single" w:color="auto" w:sz="4" w:space="0"/>
      </w:pBdr>
      <w:spacing w:before="100" w:beforeAutospacing="1" w:after="100" w:afterAutospacing="1"/>
      <w:jc w:val="center"/>
      <w:textAlignment w:val="center"/>
    </w:pPr>
    <w:rPr>
      <w:rFonts w:cs="宋体"/>
      <w:snapToGrid/>
      <w:sz w:val="24"/>
      <w:szCs w:val="24"/>
    </w:rPr>
  </w:style>
  <w:style w:type="paragraph" w:customStyle="1" w:styleId="95">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96">
    <w:name w:val="xl181"/>
    <w:basedOn w:val="1"/>
    <w:autoRedefine/>
    <w:qFormat/>
    <w:uiPriority w:val="0"/>
    <w:pPr>
      <w:widowControl/>
      <w:pBdr>
        <w:top w:val="single" w:color="auto" w:sz="4" w:space="0"/>
        <w:left w:val="single" w:color="auto" w:sz="4" w:space="0"/>
      </w:pBdr>
      <w:spacing w:before="100" w:beforeAutospacing="1" w:after="100" w:afterAutospacing="1"/>
      <w:jc w:val="center"/>
      <w:textAlignment w:val="center"/>
    </w:pPr>
    <w:rPr>
      <w:rFonts w:cs="宋体"/>
      <w:snapToGrid/>
      <w:sz w:val="24"/>
      <w:szCs w:val="24"/>
    </w:rPr>
  </w:style>
  <w:style w:type="paragraph" w:customStyle="1" w:styleId="97">
    <w:name w:val="p0"/>
    <w:basedOn w:val="1"/>
    <w:autoRedefine/>
    <w:qFormat/>
    <w:uiPriority w:val="99"/>
    <w:pPr>
      <w:widowControl/>
    </w:pPr>
    <w:rPr>
      <w:szCs w:val="21"/>
    </w:rPr>
  </w:style>
  <w:style w:type="paragraph" w:customStyle="1" w:styleId="98">
    <w:name w:val="Table Text"/>
    <w:autoRedefine/>
    <w:qFormat/>
    <w:uiPriority w:val="0"/>
    <w:pPr>
      <w:snapToGrid w:val="0"/>
      <w:spacing w:before="80" w:after="80"/>
    </w:pPr>
    <w:rPr>
      <w:rFonts w:ascii="Arial" w:hAnsi="Arial" w:eastAsia="宋体" w:cs="Arial"/>
      <w:kern w:val="2"/>
      <w:sz w:val="18"/>
      <w:szCs w:val="18"/>
      <w:lang w:val="en-US" w:eastAsia="zh-CN" w:bidi="ar-SA"/>
    </w:rPr>
  </w:style>
  <w:style w:type="paragraph" w:customStyle="1" w:styleId="99">
    <w:name w:val="叩请金安！"/>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0">
    <w:name w:val="xl1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cs="宋体"/>
      <w:b/>
      <w:bCs/>
      <w:snapToGrid/>
      <w:sz w:val="24"/>
      <w:szCs w:val="24"/>
    </w:rPr>
  </w:style>
  <w:style w:type="paragraph" w:customStyle="1" w:styleId="101">
    <w:name w:val="样式14"/>
    <w:basedOn w:val="38"/>
    <w:autoRedefine/>
    <w:qFormat/>
    <w:uiPriority w:val="0"/>
    <w:rPr>
      <w:rFonts w:eastAsia="华文楷体"/>
    </w:rPr>
  </w:style>
  <w:style w:type="paragraph" w:customStyle="1" w:styleId="102">
    <w:name w:val="xl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color w:val="000000"/>
      <w:sz w:val="24"/>
      <w:szCs w:val="24"/>
    </w:rPr>
  </w:style>
  <w:style w:type="paragraph" w:customStyle="1" w:styleId="103">
    <w:name w:val="CL1"/>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04">
    <w:name w:val="xl1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cs="宋体"/>
      <w:b/>
      <w:bCs/>
      <w:snapToGrid/>
      <w:sz w:val="24"/>
      <w:szCs w:val="24"/>
    </w:rPr>
  </w:style>
  <w:style w:type="paragraph" w:customStyle="1" w:styleId="105">
    <w:name w:val="xl1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b/>
      <w:bCs/>
      <w:snapToGrid/>
      <w:sz w:val="24"/>
      <w:szCs w:val="24"/>
    </w:rPr>
  </w:style>
  <w:style w:type="paragraph" w:customStyle="1" w:styleId="106">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xl187"/>
    <w:basedOn w:val="1"/>
    <w:autoRedefine/>
    <w:qFormat/>
    <w:uiPriority w:val="0"/>
    <w:pPr>
      <w:widowControl/>
      <w:pBdr>
        <w:top w:val="single" w:color="auto" w:sz="4" w:space="0"/>
        <w:lef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08">
    <w:name w:val="DG正文"/>
    <w:basedOn w:val="1"/>
    <w:autoRedefine/>
    <w:qFormat/>
    <w:uiPriority w:val="0"/>
    <w:pPr>
      <w:widowControl/>
      <w:spacing w:line="360" w:lineRule="auto"/>
      <w:ind w:right="142" w:firstLine="640"/>
      <w:jc w:val="left"/>
    </w:pPr>
    <w:rPr>
      <w:rFonts w:ascii="Calibri" w:hAnsi="Calibri" w:cs="Calibri"/>
      <w:snapToGrid/>
      <w:sz w:val="24"/>
      <w:szCs w:val="24"/>
      <w:lang w:bidi="ar-SA"/>
    </w:rPr>
  </w:style>
  <w:style w:type="paragraph" w:customStyle="1" w:styleId="109">
    <w:name w:val="font7"/>
    <w:basedOn w:val="1"/>
    <w:autoRedefine/>
    <w:qFormat/>
    <w:uiPriority w:val="0"/>
    <w:pPr>
      <w:widowControl/>
      <w:spacing w:before="100" w:beforeAutospacing="1" w:after="100" w:afterAutospacing="1"/>
      <w:jc w:val="left"/>
    </w:pPr>
    <w:rPr>
      <w:rFonts w:cs="宋体"/>
      <w:snapToGrid/>
      <w:color w:val="000000"/>
      <w:szCs w:val="22"/>
    </w:rPr>
  </w:style>
  <w:style w:type="paragraph" w:customStyle="1" w:styleId="110">
    <w:name w:val="xl13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11">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2">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3">
    <w:name w:val="Char2"/>
    <w:basedOn w:val="1"/>
    <w:autoRedefine/>
    <w:qFormat/>
    <w:uiPriority w:val="0"/>
    <w:rPr>
      <w:rFonts w:ascii="仿宋_GB2312" w:eastAsia="仿宋_GB2312"/>
      <w:b/>
      <w:snapToGrid/>
      <w:kern w:val="2"/>
      <w:sz w:val="32"/>
      <w:szCs w:val="32"/>
    </w:rPr>
  </w:style>
  <w:style w:type="paragraph" w:customStyle="1" w:styleId="114">
    <w:name w:val="样式11"/>
    <w:basedOn w:val="38"/>
    <w:autoRedefine/>
    <w:qFormat/>
    <w:uiPriority w:val="0"/>
    <w:rPr>
      <w:rFonts w:cs="宋体"/>
      <w:lang w:bidi="ar-SA"/>
    </w:rPr>
  </w:style>
  <w:style w:type="paragraph" w:customStyle="1" w:styleId="115">
    <w:name w:val="样式1"/>
    <w:basedOn w:val="1"/>
    <w:autoRedefine/>
    <w:qFormat/>
    <w:uiPriority w:val="0"/>
    <w:pPr>
      <w:spacing w:line="360" w:lineRule="exact"/>
      <w:ind w:firstLine="200" w:firstLineChars="200"/>
    </w:pPr>
    <w:rPr>
      <w:rFonts w:ascii="Arial" w:hAnsi="Arial"/>
    </w:rPr>
  </w:style>
  <w:style w:type="paragraph" w:customStyle="1" w:styleId="116">
    <w:name w:val="xl1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7">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18">
    <w:name w:val="Bc"/>
    <w:autoRedefine/>
    <w:qFormat/>
    <w:uiPriority w:val="0"/>
    <w:pPr>
      <w:widowControl w:val="0"/>
      <w:adjustRightInd w:val="0"/>
      <w:spacing w:line="312" w:lineRule="atLeast"/>
      <w:jc w:val="both"/>
      <w:textAlignment w:val="baseline"/>
    </w:pPr>
    <w:rPr>
      <w:rFonts w:ascii="Calibri" w:hAnsi="Calibri" w:eastAsia="宋体" w:cs="Times New Roman"/>
      <w:sz w:val="21"/>
      <w:lang w:val="en-US" w:eastAsia="zh-CN" w:bidi="ar-SA"/>
    </w:rPr>
  </w:style>
  <w:style w:type="paragraph" w:customStyle="1" w:styleId="119">
    <w:name w:val="Proposals body"/>
    <w:basedOn w:val="1"/>
    <w:next w:val="1"/>
    <w:autoRedefine/>
    <w:qFormat/>
    <w:uiPriority w:val="0"/>
    <w:pPr>
      <w:widowControl/>
      <w:spacing w:line="360" w:lineRule="auto"/>
      <w:jc w:val="left"/>
    </w:pPr>
    <w:rPr>
      <w:rFonts w:eastAsia="仿宋_GB2312"/>
      <w:color w:val="000000"/>
      <w:sz w:val="24"/>
    </w:rPr>
  </w:style>
  <w:style w:type="paragraph" w:styleId="120">
    <w:name w:val="No Spacing"/>
    <w:autoRedefine/>
    <w:qFormat/>
    <w:uiPriority w:val="0"/>
    <w:rPr>
      <w:rFonts w:ascii="Times New Roman" w:hAnsi="Times New Roman" w:eastAsia="宋体" w:cs="Times New Roman"/>
      <w:sz w:val="22"/>
      <w:szCs w:val="22"/>
      <w:lang w:val="en-US" w:eastAsia="en-US" w:bidi="en-US"/>
    </w:rPr>
  </w:style>
  <w:style w:type="paragraph" w:customStyle="1" w:styleId="121">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2">
    <w:name w:val="xl1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23">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24">
    <w:name w:val="xl184"/>
    <w:basedOn w:val="1"/>
    <w:autoRedefine/>
    <w:qFormat/>
    <w:uiPriority w:val="0"/>
    <w:pPr>
      <w:widowControl/>
      <w:pBdr>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5">
    <w:name w:val="xl16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6">
    <w:name w:val="xl172"/>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27">
    <w:name w:val="xl17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8">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9">
    <w:name w:val="xl14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30">
    <w:name w:val="列出段落2"/>
    <w:basedOn w:val="1"/>
    <w:autoRedefine/>
    <w:qFormat/>
    <w:uiPriority w:val="0"/>
    <w:pPr>
      <w:widowControl/>
      <w:ind w:firstLine="420" w:firstLineChars="200"/>
      <w:jc w:val="left"/>
    </w:pPr>
    <w:rPr>
      <w:rFonts w:ascii="宋体" w:hAnsi="宋体" w:cs="宋体"/>
      <w:kern w:val="0"/>
      <w:sz w:val="24"/>
    </w:rPr>
  </w:style>
  <w:style w:type="paragraph" w:customStyle="1" w:styleId="131">
    <w:name w:val="xl16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32">
    <w:name w:val="B6MHSANYO"/>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33">
    <w:name w:val="p15"/>
    <w:basedOn w:val="1"/>
    <w:autoRedefine/>
    <w:qFormat/>
    <w:uiPriority w:val="0"/>
    <w:pPr>
      <w:widowControl/>
      <w:spacing w:before="100" w:after="100"/>
      <w:jc w:val="center"/>
    </w:pPr>
    <w:rPr>
      <w:rFonts w:cs="宋体"/>
      <w:snapToGrid/>
      <w:sz w:val="24"/>
      <w:szCs w:val="24"/>
      <w:lang w:bidi="ar-SA"/>
    </w:rPr>
  </w:style>
  <w:style w:type="paragraph" w:customStyle="1" w:styleId="134">
    <w:name w:val="xl182"/>
    <w:basedOn w:val="1"/>
    <w:autoRedefine/>
    <w:qFormat/>
    <w:uiPriority w:val="0"/>
    <w:pPr>
      <w:widowControl/>
      <w:pBdr>
        <w:top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35">
    <w:name w:val="内容正文"/>
    <w:autoRedefine/>
    <w:qFormat/>
    <w:uiPriority w:val="0"/>
    <w:pPr>
      <w:spacing w:line="360" w:lineRule="auto"/>
      <w:ind w:firstLine="420"/>
    </w:pPr>
    <w:rPr>
      <w:rFonts w:hint="eastAsia" w:ascii="Arial Unicode MS" w:hAnsi="Arial Unicode MS" w:eastAsia="Arial" w:cs="Arial Unicode MS"/>
      <w:color w:val="000000"/>
      <w:sz w:val="24"/>
      <w:szCs w:val="24"/>
      <w:u w:val="none" w:color="000000"/>
      <w:lang w:val="en-US" w:eastAsia="zh-CN" w:bidi="ar-SA"/>
    </w:rPr>
  </w:style>
  <w:style w:type="paragraph" w:customStyle="1" w:styleId="136">
    <w:name w:val="简单回函地址"/>
    <w:basedOn w:val="1"/>
    <w:autoRedefine/>
    <w:qFormat/>
    <w:uiPriority w:val="0"/>
    <w:rPr>
      <w:rFonts w:eastAsia="仿宋_GB2312"/>
      <w:snapToGrid/>
      <w:color w:val="000000"/>
      <w:kern w:val="2"/>
      <w:sz w:val="28"/>
      <w:szCs w:val="21"/>
    </w:rPr>
  </w:style>
  <w:style w:type="paragraph" w:customStyle="1" w:styleId="137">
    <w:name w:val="纯文本2"/>
    <w:basedOn w:val="1"/>
    <w:autoRedefine/>
    <w:qFormat/>
    <w:uiPriority w:val="0"/>
    <w:pPr>
      <w:adjustRightInd w:val="0"/>
      <w:spacing w:before="50"/>
      <w:jc w:val="left"/>
      <w:textAlignment w:val="baseline"/>
    </w:pPr>
    <w:rPr>
      <w:rFonts w:ascii="宋体"/>
      <w:sz w:val="24"/>
      <w:szCs w:val="20"/>
    </w:rPr>
  </w:style>
  <w:style w:type="paragraph" w:customStyle="1" w:styleId="138">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39">
    <w:name w:val="正文首行缩进两字符"/>
    <w:basedOn w:val="1"/>
    <w:autoRedefine/>
    <w:qFormat/>
    <w:uiPriority w:val="0"/>
    <w:pPr>
      <w:spacing w:line="360" w:lineRule="auto"/>
      <w:ind w:firstLine="200" w:firstLineChars="200"/>
    </w:pPr>
  </w:style>
  <w:style w:type="paragraph" w:customStyle="1" w:styleId="140">
    <w:name w:val="xl153"/>
    <w:basedOn w:val="1"/>
    <w:autoRedefine/>
    <w:qFormat/>
    <w:uiPriority w:val="0"/>
    <w:pPr>
      <w:widowControl/>
      <w:spacing w:before="100" w:beforeAutospacing="1" w:after="100" w:afterAutospacing="1"/>
      <w:jc w:val="left"/>
    </w:pPr>
    <w:rPr>
      <w:rFonts w:cs="宋体"/>
      <w:snapToGrid/>
      <w:sz w:val="24"/>
      <w:szCs w:val="24"/>
    </w:rPr>
  </w:style>
  <w:style w:type="paragraph" w:customStyle="1" w:styleId="141">
    <w:name w:val="xl169"/>
    <w:basedOn w:val="1"/>
    <w:autoRedefine/>
    <w:qFormat/>
    <w:uiPriority w:val="0"/>
    <w:pPr>
      <w:widowControl/>
      <w:pBdr>
        <w:top w:val="single" w:color="auto" w:sz="4" w:space="0"/>
        <w:bottom w:val="single" w:color="auto" w:sz="4" w:space="0"/>
      </w:pBdr>
      <w:spacing w:before="100" w:beforeAutospacing="1" w:after="100" w:afterAutospacing="1"/>
      <w:jc w:val="center"/>
    </w:pPr>
    <w:rPr>
      <w:rFonts w:cs="宋体"/>
      <w:b/>
      <w:bCs/>
      <w:snapToGrid/>
      <w:sz w:val="24"/>
      <w:szCs w:val="24"/>
    </w:rPr>
  </w:style>
  <w:style w:type="paragraph" w:customStyle="1" w:styleId="142">
    <w:name w:val="xl1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43">
    <w:name w:val="样式12"/>
    <w:basedOn w:val="38"/>
    <w:autoRedefine/>
    <w:qFormat/>
    <w:uiPriority w:val="0"/>
    <w:rPr>
      <w:rFonts w:cs="楷体"/>
      <w:lang w:bidi="ar-SA"/>
    </w:rPr>
  </w:style>
  <w:style w:type="paragraph" w:customStyle="1" w:styleId="144">
    <w:name w:val="正文缩进2格"/>
    <w:basedOn w:val="1"/>
    <w:autoRedefine/>
    <w:qFormat/>
    <w:uiPriority w:val="0"/>
    <w:pPr>
      <w:spacing w:line="600" w:lineRule="exact"/>
      <w:ind w:firstLine="206" w:firstLineChars="206"/>
    </w:pPr>
    <w:rPr>
      <w:rFonts w:ascii="仿宋_GB2312" w:eastAsia="仿宋_GB2312"/>
      <w:sz w:val="31"/>
      <w:szCs w:val="28"/>
    </w:rPr>
  </w:style>
  <w:style w:type="paragraph" w:customStyle="1" w:styleId="145">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46">
    <w:name w:val="列出段落1"/>
    <w:basedOn w:val="1"/>
    <w:autoRedefine/>
    <w:qFormat/>
    <w:uiPriority w:val="0"/>
    <w:pPr>
      <w:keepNext/>
      <w:keepLines/>
      <w:widowControl/>
      <w:ind w:firstLine="200" w:firstLineChars="200"/>
    </w:pPr>
    <w:rPr>
      <w:rFonts w:ascii="Calibri" w:hAnsi="Calibri"/>
      <w:snapToGrid/>
      <w:sz w:val="34"/>
      <w:szCs w:val="22"/>
    </w:rPr>
  </w:style>
  <w:style w:type="paragraph" w:customStyle="1" w:styleId="147">
    <w:name w:val="正文文字缩进"/>
    <w:basedOn w:val="1"/>
    <w:autoRedefine/>
    <w:qFormat/>
    <w:uiPriority w:val="0"/>
    <w:pPr>
      <w:widowControl/>
      <w:spacing w:line="748" w:lineRule="atLeast"/>
      <w:ind w:left="-521" w:firstLine="527"/>
      <w:textAlignment w:val="baseline"/>
    </w:pPr>
    <w:rPr>
      <w:snapToGrid/>
      <w:color w:val="000000"/>
      <w:sz w:val="24"/>
      <w:u w:val="none" w:color="000000"/>
    </w:rPr>
  </w:style>
  <w:style w:type="paragraph" w:customStyle="1" w:styleId="148">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49">
    <w:name w:val="xl17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0">
    <w:name w:val="p19"/>
    <w:basedOn w:val="1"/>
    <w:autoRedefine/>
    <w:qFormat/>
    <w:uiPriority w:val="0"/>
    <w:pPr>
      <w:widowControl/>
    </w:pPr>
    <w:rPr>
      <w:snapToGrid/>
      <w:sz w:val="34"/>
      <w:szCs w:val="21"/>
    </w:rPr>
  </w:style>
  <w:style w:type="paragraph" w:customStyle="1" w:styleId="151">
    <w:name w:val="无间隔{858D7CFB-ED40-4347-BF05-701D383B685F}{858D7CFB-ED40-4347-BF05-701D383B685F}"/>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2">
    <w:name w:val="xl1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53">
    <w:name w:val="xl18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4">
    <w:name w:val="样式13"/>
    <w:basedOn w:val="38"/>
    <w:autoRedefine/>
    <w:qFormat/>
    <w:uiPriority w:val="0"/>
    <w:rPr>
      <w:rFonts w:cs="宋体"/>
      <w:lang w:bidi="ar-SA"/>
    </w:rPr>
  </w:style>
  <w:style w:type="paragraph" w:customStyle="1" w:styleId="155">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6">
    <w:name w:val="xl17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57">
    <w:name w:val="xl1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58">
    <w:name w:val="样式15"/>
    <w:basedOn w:val="38"/>
    <w:autoRedefine/>
    <w:qFormat/>
    <w:uiPriority w:val="0"/>
  </w:style>
  <w:style w:type="paragraph" w:customStyle="1" w:styleId="159">
    <w:name w:val="xl192"/>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0">
    <w:name w:val="Table Paragraph"/>
    <w:basedOn w:val="1"/>
    <w:autoRedefine/>
    <w:qFormat/>
    <w:uiPriority w:val="0"/>
    <w:pPr>
      <w:autoSpaceDE w:val="0"/>
      <w:autoSpaceDN w:val="0"/>
      <w:jc w:val="left"/>
    </w:pPr>
    <w:rPr>
      <w:rFonts w:ascii="宋体" w:cs="宋体"/>
      <w:kern w:val="0"/>
      <w:sz w:val="22"/>
      <w:szCs w:val="22"/>
      <w:lang w:eastAsia="en-US" w:bidi="ar-SA"/>
    </w:rPr>
  </w:style>
  <w:style w:type="paragraph" w:customStyle="1" w:styleId="161">
    <w:name w:val="xl15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2">
    <w:name w:val="xl186"/>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3">
    <w:name w:val="xl13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4">
    <w:name w:val="xl14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5">
    <w:name w:val="xl1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color w:val="000000"/>
      <w:sz w:val="24"/>
      <w:szCs w:val="24"/>
    </w:rPr>
  </w:style>
  <w:style w:type="paragraph" w:customStyle="1" w:styleId="166">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7">
    <w:name w:val="xl1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8">
    <w:name w:val="xl185"/>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cs="宋体"/>
      <w:snapToGrid/>
      <w:sz w:val="24"/>
      <w:szCs w:val="24"/>
    </w:rPr>
  </w:style>
  <w:style w:type="paragraph" w:customStyle="1" w:styleId="169">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70">
    <w:name w:val="默认段落字体 Para Char Char Char Char Char Char Char Char Char1 Char Char Char Char"/>
    <w:basedOn w:val="1"/>
    <w:autoRedefine/>
    <w:qFormat/>
    <w:uiPriority w:val="0"/>
    <w:rPr>
      <w:rFonts w:ascii="Tahoma" w:hAnsi="Tahoma"/>
      <w:sz w:val="24"/>
      <w:szCs w:val="20"/>
    </w:rPr>
  </w:style>
  <w:style w:type="paragraph" w:customStyle="1" w:styleId="171">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72">
    <w:name w:val="xl13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73">
    <w:name w:val="Plain Text"/>
    <w:basedOn w:val="1"/>
    <w:autoRedefine/>
    <w:qFormat/>
    <w:uiPriority w:val="0"/>
    <w:pPr>
      <w:adjustRightInd w:val="0"/>
      <w:textAlignment w:val="baseline"/>
    </w:pPr>
    <w:rPr>
      <w:rFonts w:eastAsia="楷体_GB2312" w:cs="宋体"/>
      <w:snapToGrid/>
      <w:kern w:val="2"/>
      <w:sz w:val="28"/>
      <w:szCs w:val="21"/>
      <w:lang w:bidi="ar-SA"/>
    </w:rPr>
  </w:style>
  <w:style w:type="paragraph" w:customStyle="1" w:styleId="174">
    <w:name w:val="O"/>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75">
    <w:name w:val="xl17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76">
    <w:name w:val="样式6 正文"/>
    <w:autoRedefine/>
    <w:qFormat/>
    <w:uiPriority w:val="0"/>
    <w:pPr>
      <w:spacing w:line="360" w:lineRule="auto"/>
      <w:ind w:firstLine="510"/>
      <w:jc w:val="both"/>
    </w:pPr>
    <w:rPr>
      <w:rFonts w:ascii="宋体" w:hAnsi="宋体" w:eastAsia="Times New Roman" w:cs="Times New Roman"/>
      <w:kern w:val="2"/>
      <w:sz w:val="24"/>
      <w:szCs w:val="24"/>
      <w:lang w:val="en-US" w:eastAsia="zh-CN" w:bidi="ar-SA"/>
    </w:rPr>
  </w:style>
  <w:style w:type="paragraph" w:customStyle="1" w:styleId="177">
    <w:name w:val="久不通函，至以为念。"/>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8">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79">
    <w:name w:val="xl193"/>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0">
    <w:name w:val="xl1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1">
    <w:name w:val="xl17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cs="宋体"/>
      <w:snapToGrid/>
      <w:sz w:val="24"/>
      <w:szCs w:val="24"/>
    </w:rPr>
  </w:style>
  <w:style w:type="paragraph" w:styleId="182">
    <w:name w:val="List Paragraph"/>
    <w:basedOn w:val="1"/>
    <w:autoRedefine/>
    <w:qFormat/>
    <w:uiPriority w:val="34"/>
    <w:pPr>
      <w:ind w:firstLine="200" w:firstLineChars="200"/>
    </w:pPr>
    <w:rPr>
      <w:rFonts w:ascii="Calibri" w:hAnsi="Calibri"/>
      <w:snapToGrid/>
      <w:sz w:val="34"/>
      <w:szCs w:val="22"/>
    </w:rPr>
  </w:style>
  <w:style w:type="paragraph" w:customStyle="1" w:styleId="183">
    <w:name w:val="xl19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4">
    <w:name w:val="font6"/>
    <w:basedOn w:val="1"/>
    <w:autoRedefine/>
    <w:qFormat/>
    <w:uiPriority w:val="0"/>
    <w:pPr>
      <w:widowControl/>
      <w:spacing w:before="100" w:beforeAutospacing="1" w:after="100" w:afterAutospacing="1"/>
      <w:jc w:val="left"/>
    </w:pPr>
    <w:rPr>
      <w:rFonts w:cs="宋体"/>
      <w:snapToGrid/>
      <w:sz w:val="18"/>
      <w:szCs w:val="18"/>
    </w:rPr>
  </w:style>
  <w:style w:type="paragraph" w:customStyle="1" w:styleId="185">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6">
    <w:name w:val="xl14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7">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8">
    <w:name w:val="xl14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9">
    <w:name w:val="xl13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character" w:customStyle="1" w:styleId="190">
    <w:name w:val="标题 1 Char"/>
    <w:link w:val="3"/>
    <w:autoRedefine/>
    <w:qFormat/>
    <w:uiPriority w:val="9"/>
    <w:rPr>
      <w:rFonts w:ascii="宋体" w:hAnsi="宋体" w:eastAsia="仿宋_GB2312"/>
      <w:b/>
      <w:kern w:val="44"/>
      <w:sz w:val="44"/>
    </w:rPr>
  </w:style>
  <w:style w:type="character" w:customStyle="1" w:styleId="191">
    <w:name w:val="标题 2 Char"/>
    <w:link w:val="4"/>
    <w:autoRedefine/>
    <w:qFormat/>
    <w:uiPriority w:val="9"/>
    <w:rPr>
      <w:rFonts w:ascii="Arial" w:hAnsi="Arial" w:eastAsia="黑体"/>
      <w:b/>
      <w:sz w:val="32"/>
    </w:rPr>
  </w:style>
  <w:style w:type="character" w:customStyle="1" w:styleId="192">
    <w:name w:val="标题 3 Char"/>
    <w:link w:val="5"/>
    <w:autoRedefine/>
    <w:qFormat/>
    <w:uiPriority w:val="9"/>
    <w:rPr>
      <w:rFonts w:ascii="宋体" w:hAnsi="宋体" w:eastAsia="仿宋_GB2312"/>
      <w:b/>
      <w:sz w:val="32"/>
    </w:rPr>
  </w:style>
  <w:style w:type="character" w:customStyle="1" w:styleId="193">
    <w:name w:val="正文缩进 Char"/>
    <w:link w:val="7"/>
    <w:autoRedefine/>
    <w:qFormat/>
    <w:locked/>
    <w:uiPriority w:val="0"/>
    <w:rPr>
      <w:rFonts w:ascii="Calibri" w:hAnsi="Calibri"/>
      <w:szCs w:val="24"/>
    </w:rPr>
  </w:style>
  <w:style w:type="character" w:customStyle="1" w:styleId="194">
    <w:name w:val="标题 4 Char"/>
    <w:link w:val="6"/>
    <w:autoRedefine/>
    <w:qFormat/>
    <w:uiPriority w:val="9"/>
    <w:rPr>
      <w:rFonts w:ascii="Arial" w:hAnsi="Arial" w:eastAsia="黑体"/>
      <w:b/>
      <w:sz w:val="28"/>
    </w:rPr>
  </w:style>
  <w:style w:type="character" w:customStyle="1" w:styleId="195">
    <w:name w:val="标题 5 Char"/>
    <w:link w:val="8"/>
    <w:autoRedefine/>
    <w:qFormat/>
    <w:uiPriority w:val="9"/>
    <w:rPr>
      <w:rFonts w:ascii="宋体" w:hAnsi="宋体"/>
      <w:b/>
      <w:sz w:val="28"/>
    </w:rPr>
  </w:style>
  <w:style w:type="character" w:customStyle="1" w:styleId="196">
    <w:name w:val="标题 6 Char"/>
    <w:link w:val="9"/>
    <w:autoRedefine/>
    <w:qFormat/>
    <w:uiPriority w:val="9"/>
    <w:rPr>
      <w:rFonts w:ascii="Arial" w:hAnsi="Arial" w:eastAsia="黑体"/>
      <w:b/>
      <w:sz w:val="24"/>
    </w:rPr>
  </w:style>
  <w:style w:type="character" w:customStyle="1" w:styleId="197">
    <w:name w:val="批注框文本 Char"/>
    <w:link w:val="29"/>
    <w:autoRedefine/>
    <w:qFormat/>
    <w:uiPriority w:val="99"/>
    <w:rPr>
      <w:rFonts w:ascii="宋体" w:hAnsi="宋体"/>
      <w:sz w:val="18"/>
      <w:szCs w:val="18"/>
    </w:rPr>
  </w:style>
  <w:style w:type="character" w:customStyle="1" w:styleId="198">
    <w:name w:val="页脚 Char"/>
    <w:link w:val="30"/>
    <w:autoRedefine/>
    <w:qFormat/>
    <w:uiPriority w:val="99"/>
    <w:rPr>
      <w:rFonts w:ascii="宋体" w:hAnsi="宋体"/>
      <w:snapToGrid/>
      <w:sz w:val="18"/>
      <w:szCs w:val="18"/>
    </w:rPr>
  </w:style>
  <w:style w:type="character" w:customStyle="1" w:styleId="199">
    <w:name w:val="页眉 Char"/>
    <w:link w:val="31"/>
    <w:autoRedefine/>
    <w:qFormat/>
    <w:uiPriority w:val="99"/>
    <w:rPr>
      <w:rFonts w:ascii="宋体" w:hAnsi="宋体"/>
      <w:snapToGrid/>
      <w:sz w:val="18"/>
      <w:szCs w:val="18"/>
    </w:rPr>
  </w:style>
  <w:style w:type="character" w:customStyle="1" w:styleId="200">
    <w:name w:val="case31"/>
    <w:autoRedefine/>
    <w:qFormat/>
    <w:uiPriority w:val="0"/>
    <w:rPr>
      <w:rFonts w:hint="default" w:ascii="_x000B__x000C_" w:hAnsi="_x000B__x000C_"/>
      <w:sz w:val="21"/>
      <w:szCs w:val="21"/>
    </w:rPr>
  </w:style>
  <w:style w:type="character" w:customStyle="1" w:styleId="201">
    <w:name w:val="point_normal1"/>
    <w:autoRedefine/>
    <w:qFormat/>
    <w:uiPriority w:val="0"/>
    <w:rPr>
      <w:rFonts w:ascii="Arial" w:hAnsi="Arial" w:cs="Arial"/>
      <w:sz w:val="18"/>
      <w:szCs w:val="18"/>
      <w:lang w:bidi="ar-SA"/>
    </w:rPr>
  </w:style>
  <w:style w:type="character" w:customStyle="1" w:styleId="202">
    <w:name w:val="font01"/>
    <w:basedOn w:val="49"/>
    <w:autoRedefine/>
    <w:qFormat/>
    <w:uiPriority w:val="0"/>
    <w:rPr>
      <w:rFonts w:hint="eastAsia" w:ascii="宋体" w:hAnsi="宋体" w:eastAsia="宋体" w:cs="宋体"/>
      <w:color w:val="FF0000"/>
      <w:sz w:val="18"/>
      <w:szCs w:val="18"/>
      <w:u w:val="none"/>
    </w:rPr>
  </w:style>
  <w:style w:type="character" w:customStyle="1" w:styleId="203">
    <w:name w:val="样式 仿宋"/>
    <w:autoRedefine/>
    <w:qFormat/>
    <w:uiPriority w:val="0"/>
    <w:rPr>
      <w:rFonts w:ascii="仿宋" w:eastAsia="仿宋"/>
      <w:kern w:val="2"/>
    </w:rPr>
  </w:style>
  <w:style w:type="character" w:customStyle="1" w:styleId="204">
    <w:name w:val="段 Char"/>
    <w:link w:val="82"/>
    <w:autoRedefine/>
    <w:qFormat/>
    <w:uiPriority w:val="0"/>
    <w:rPr>
      <w:rFonts w:ascii="宋体"/>
      <w:sz w:val="21"/>
      <w:lang w:val="en-US" w:eastAsia="zh-CN" w:bidi="ar-SA"/>
    </w:rPr>
  </w:style>
  <w:style w:type="character" w:customStyle="1" w:styleId="205">
    <w:name w:val="large1"/>
    <w:autoRedefine/>
    <w:qFormat/>
    <w:uiPriority w:val="0"/>
    <w:rPr>
      <w:rFonts w:hint="eastAsia" w:ascii="宋体" w:hAnsi="宋体" w:eastAsia="宋体"/>
      <w:sz w:val="21"/>
      <w:szCs w:val="21"/>
    </w:rPr>
  </w:style>
  <w:style w:type="character" w:customStyle="1" w:styleId="206">
    <w:name w:val="font21"/>
    <w:basedOn w:val="49"/>
    <w:autoRedefine/>
    <w:qFormat/>
    <w:uiPriority w:val="0"/>
    <w:rPr>
      <w:rFonts w:hint="eastAsia" w:ascii="宋体" w:hAnsi="宋体" w:eastAsia="宋体" w:cs="宋体"/>
      <w:color w:val="000000"/>
      <w:sz w:val="22"/>
      <w:szCs w:val="22"/>
      <w:u w:val="none"/>
    </w:rPr>
  </w:style>
  <w:style w:type="character" w:customStyle="1" w:styleId="207">
    <w:name w:val="正文文本缩进 2 Char1"/>
    <w:autoRedefine/>
    <w:qFormat/>
    <w:uiPriority w:val="0"/>
    <w:rPr>
      <w:rFonts w:ascii="宋体" w:eastAsia="宋体" w:cs="Times New Roman"/>
      <w:kern w:val="0"/>
      <w:sz w:val="34"/>
      <w:szCs w:val="20"/>
      <w:lang w:bidi="ar-SA"/>
    </w:rPr>
  </w:style>
  <w:style w:type="character" w:customStyle="1" w:styleId="208">
    <w:name w:val="Char Char3"/>
    <w:autoRedefine/>
    <w:qFormat/>
    <w:uiPriority w:val="0"/>
    <w:rPr>
      <w:rFonts w:ascii="宋体" w:eastAsia="宋体"/>
      <w:kern w:val="2"/>
      <w:sz w:val="24"/>
      <w:lang w:val="en-US" w:eastAsia="zh-CN"/>
    </w:rPr>
  </w:style>
  <w:style w:type="character" w:customStyle="1" w:styleId="209">
    <w:name w:val="font81"/>
    <w:basedOn w:val="49"/>
    <w:autoRedefine/>
    <w:qFormat/>
    <w:uiPriority w:val="0"/>
    <w:rPr>
      <w:rFonts w:hint="default" w:ascii="Arial" w:hAnsi="Arial" w:cs="Arial"/>
      <w:color w:val="FF0000"/>
      <w:sz w:val="18"/>
      <w:szCs w:val="18"/>
      <w:u w:val="none"/>
    </w:rPr>
  </w:style>
  <w:style w:type="character" w:customStyle="1" w:styleId="210">
    <w:name w:val="maywed421"/>
    <w:autoRedefine/>
    <w:qFormat/>
    <w:uiPriority w:val="0"/>
    <w:rPr>
      <w:color w:val="366FB6"/>
      <w:u w:val="none"/>
    </w:rPr>
  </w:style>
  <w:style w:type="character" w:customStyle="1" w:styleId="211">
    <w:name w:val="left1"/>
    <w:autoRedefine/>
    <w:qFormat/>
    <w:uiPriority w:val="0"/>
    <w:rPr>
      <w:sz w:val="18"/>
      <w:szCs w:val="18"/>
    </w:rPr>
  </w:style>
  <w:style w:type="character" w:customStyle="1" w:styleId="212">
    <w:name w:val="10zihong_cuhei1"/>
    <w:autoRedefine/>
    <w:qFormat/>
    <w:uiPriority w:val="0"/>
    <w:rPr>
      <w:rFonts w:ascii="Verdana" w:hAnsi="Verdana"/>
      <w:b/>
      <w:bCs/>
      <w:color w:val="000000"/>
      <w:sz w:val="44"/>
      <w:szCs w:val="44"/>
      <w:u w:val="none"/>
    </w:rPr>
  </w:style>
  <w:style w:type="character" w:customStyle="1" w:styleId="213">
    <w:name w:val="表正文 Char"/>
    <w:autoRedefine/>
    <w:qFormat/>
    <w:uiPriority w:val="0"/>
    <w:rPr>
      <w:rFonts w:eastAsia="宋体"/>
      <w:kern w:val="2"/>
      <w:sz w:val="21"/>
      <w:lang w:val="en-US" w:eastAsia="zh-CN" w:bidi="ar-SA"/>
    </w:rPr>
  </w:style>
  <w:style w:type="character" w:customStyle="1" w:styleId="214">
    <w:name w:val="页脚 Char1"/>
    <w:autoRedefine/>
    <w:qFormat/>
    <w:uiPriority w:val="0"/>
    <w:rPr>
      <w:rFonts w:ascii="宋体" w:eastAsia="宋体" w:cs="Times New Roman"/>
      <w:kern w:val="0"/>
      <w:sz w:val="18"/>
      <w:szCs w:val="18"/>
      <w:lang w:bidi="ar-SA"/>
    </w:rPr>
  </w:style>
  <w:style w:type="character" w:customStyle="1" w:styleId="215">
    <w:name w:val="f151"/>
    <w:qFormat/>
    <w:uiPriority w:val="0"/>
    <w:rPr>
      <w:sz w:val="20"/>
      <w:szCs w:val="20"/>
    </w:rPr>
  </w:style>
  <w:style w:type="character" w:customStyle="1" w:styleId="216">
    <w:name w:val="批注文字 Char1"/>
    <w:autoRedefine/>
    <w:semiHidden/>
    <w:qFormat/>
    <w:uiPriority w:val="0"/>
  </w:style>
  <w:style w:type="character" w:customStyle="1" w:styleId="217">
    <w:name w:val="p141"/>
    <w:qFormat/>
    <w:uiPriority w:val="0"/>
    <w:rPr>
      <w:sz w:val="21"/>
      <w:szCs w:val="21"/>
      <w:u w:val="none"/>
    </w:rPr>
  </w:style>
  <w:style w:type="character" w:customStyle="1" w:styleId="218">
    <w:name w:val="font112"/>
    <w:basedOn w:val="49"/>
    <w:qFormat/>
    <w:uiPriority w:val="0"/>
    <w:rPr>
      <w:rFonts w:hint="eastAsia" w:ascii="宋体" w:hAnsi="宋体" w:eastAsia="宋体" w:cs="宋体"/>
      <w:color w:val="FF0000"/>
      <w:sz w:val="20"/>
      <w:szCs w:val="20"/>
      <w:u w:val="none"/>
    </w:rPr>
  </w:style>
  <w:style w:type="character" w:customStyle="1" w:styleId="219">
    <w:name w:val="apple-style-span"/>
    <w:qFormat/>
    <w:uiPriority w:val="0"/>
  </w:style>
  <w:style w:type="character" w:customStyle="1" w:styleId="220">
    <w:name w:val="样式1 Char Char"/>
    <w:qFormat/>
    <w:uiPriority w:val="0"/>
    <w:rPr>
      <w:rFonts w:ascii="Arial" w:hAnsi="Arial" w:eastAsia="宋体"/>
      <w:kern w:val="2"/>
      <w:sz w:val="21"/>
      <w:szCs w:val="24"/>
      <w:lang w:val="en-US" w:eastAsia="zh-CN" w:bidi="ar-SA"/>
    </w:rPr>
  </w:style>
  <w:style w:type="character" w:customStyle="1" w:styleId="221">
    <w:name w:val="modifier"/>
    <w:autoRedefine/>
    <w:qFormat/>
    <w:uiPriority w:val="0"/>
    <w:rPr>
      <w:color w:val="FF0000"/>
    </w:rPr>
  </w:style>
  <w:style w:type="character" w:customStyle="1" w:styleId="222">
    <w:name w:val="正文文本缩进 Char1"/>
    <w:autoRedefine/>
    <w:qFormat/>
    <w:uiPriority w:val="0"/>
    <w:rPr>
      <w:rFonts w:ascii="宋体" w:eastAsia="宋体" w:cs="Times New Roman"/>
      <w:kern w:val="0"/>
      <w:sz w:val="34"/>
      <w:szCs w:val="20"/>
      <w:lang w:bidi="ar-SA"/>
    </w:rPr>
  </w:style>
  <w:style w:type="character" w:customStyle="1" w:styleId="223">
    <w:name w:val="style21"/>
    <w:autoRedefine/>
    <w:qFormat/>
    <w:uiPriority w:val="0"/>
    <w:rPr>
      <w:color w:val="003366"/>
    </w:rPr>
  </w:style>
  <w:style w:type="character" w:customStyle="1" w:styleId="224">
    <w:name w:val="Para head"/>
    <w:qFormat/>
    <w:uiPriority w:val="0"/>
    <w:rPr>
      <w:rFonts w:ascii="Arial" w:hAnsi="Arial" w:eastAsia="Times New Roman"/>
      <w:sz w:val="20"/>
    </w:rPr>
  </w:style>
  <w:style w:type="character" w:customStyle="1" w:styleId="225">
    <w:name w:val="font11"/>
    <w:basedOn w:val="49"/>
    <w:autoRedefine/>
    <w:qFormat/>
    <w:uiPriority w:val="0"/>
    <w:rPr>
      <w:rFonts w:hint="eastAsia" w:ascii="宋体" w:hAnsi="宋体" w:eastAsia="宋体" w:cs="宋体"/>
      <w:color w:val="000000"/>
      <w:sz w:val="24"/>
      <w:szCs w:val="24"/>
      <w:u w:val="none"/>
    </w:rPr>
  </w:style>
  <w:style w:type="character" w:customStyle="1" w:styleId="226">
    <w:name w:val="font41"/>
    <w:basedOn w:val="49"/>
    <w:qFormat/>
    <w:uiPriority w:val="0"/>
    <w:rPr>
      <w:rFonts w:hint="eastAsia" w:ascii="宋体" w:hAnsi="宋体" w:eastAsia="宋体" w:cs="宋体"/>
      <w:color w:val="000000"/>
      <w:sz w:val="22"/>
      <w:szCs w:val="22"/>
      <w:u w:val="none"/>
    </w:rPr>
  </w:style>
  <w:style w:type="character" w:customStyle="1" w:styleId="227">
    <w:name w:val="强调1"/>
    <w:qFormat/>
    <w:uiPriority w:val="0"/>
    <w:rPr>
      <w:rFonts w:ascii="Arial Black" w:hAnsi="Arial Black" w:eastAsia="黑体"/>
      <w:b/>
      <w:spacing w:val="0"/>
      <w:sz w:val="21"/>
    </w:rPr>
  </w:style>
  <w:style w:type="character" w:customStyle="1" w:styleId="228">
    <w:name w:val="titlestylelight1"/>
    <w:autoRedefine/>
    <w:qFormat/>
    <w:uiPriority w:val="0"/>
    <w:rPr>
      <w:rFonts w:ascii="Arial" w:hAnsi="Arial" w:cs="Arial"/>
      <w:b/>
      <w:bCs/>
      <w:color w:val="666666"/>
      <w:sz w:val="18"/>
      <w:szCs w:val="18"/>
      <w:lang w:bidi="ar-SA"/>
    </w:rPr>
  </w:style>
  <w:style w:type="character" w:customStyle="1" w:styleId="229">
    <w:name w:val="纯文本 Char1"/>
    <w:qFormat/>
    <w:uiPriority w:val="0"/>
    <w:rPr>
      <w:rFonts w:ascii="宋体" w:eastAsia="宋体" w:cs="Courier New"/>
      <w:kern w:val="0"/>
      <w:szCs w:val="21"/>
      <w:lang w:bidi="ar-SA"/>
    </w:rPr>
  </w:style>
  <w:style w:type="character" w:customStyle="1" w:styleId="230">
    <w:name w:val="label"/>
    <w:autoRedefine/>
    <w:qFormat/>
    <w:uiPriority w:val="0"/>
    <w:rPr>
      <w:color w:val="555555"/>
    </w:rPr>
  </w:style>
  <w:style w:type="character" w:customStyle="1" w:styleId="231">
    <w:name w:val="ask-title"/>
    <w:qFormat/>
    <w:uiPriority w:val="0"/>
  </w:style>
  <w:style w:type="character" w:customStyle="1" w:styleId="232">
    <w:name w:val="font71"/>
    <w:basedOn w:val="49"/>
    <w:autoRedefine/>
    <w:qFormat/>
    <w:uiPriority w:val="0"/>
    <w:rPr>
      <w:rFonts w:ascii="Helvetica" w:hAnsi="Helvetica" w:eastAsia="Helvetica" w:cs="Helvetica"/>
      <w:color w:val="FF0000"/>
      <w:sz w:val="20"/>
      <w:szCs w:val="20"/>
      <w:u w:val="none"/>
    </w:rPr>
  </w:style>
  <w:style w:type="character" w:customStyle="1" w:styleId="233">
    <w:name w:val="标题 Char1"/>
    <w:qFormat/>
    <w:uiPriority w:val="0"/>
    <w:rPr>
      <w:rFonts w:ascii="Cambria" w:hAnsi="Cambria" w:eastAsia="宋体" w:cs="Times New Roman"/>
      <w:b/>
      <w:bCs/>
      <w:kern w:val="0"/>
      <w:sz w:val="32"/>
      <w:szCs w:val="32"/>
      <w:lang w:bidi="ar-SA"/>
    </w:rPr>
  </w:style>
  <w:style w:type="character" w:customStyle="1" w:styleId="234">
    <w:name w:val="textfont1"/>
    <w:basedOn w:val="49"/>
    <w:qFormat/>
    <w:uiPriority w:val="0"/>
  </w:style>
  <w:style w:type="character" w:customStyle="1" w:styleId="235">
    <w:name w:val="font31"/>
    <w:basedOn w:val="49"/>
    <w:autoRedefine/>
    <w:qFormat/>
    <w:uiPriority w:val="0"/>
    <w:rPr>
      <w:rFonts w:hint="eastAsia" w:ascii="宋体" w:hAnsi="宋体" w:eastAsia="宋体" w:cs="宋体"/>
      <w:color w:val="000000"/>
      <w:sz w:val="24"/>
      <w:szCs w:val="24"/>
      <w:u w:val="none"/>
    </w:rPr>
  </w:style>
  <w:style w:type="paragraph" w:customStyle="1" w:styleId="236">
    <w:name w:val="_Style 1"/>
    <w:basedOn w:val="1"/>
    <w:autoRedefine/>
    <w:qFormat/>
    <w:uiPriority w:val="0"/>
    <w:pPr>
      <w:ind w:firstLine="420" w:firstLineChars="200"/>
    </w:pPr>
    <w:rPr>
      <w:sz w:val="20"/>
    </w:rPr>
  </w:style>
  <w:style w:type="character" w:customStyle="1" w:styleId="237">
    <w:name w:val="无"/>
    <w:qFormat/>
    <w:uiPriority w:val="0"/>
  </w:style>
  <w:style w:type="paragraph" w:customStyle="1" w:styleId="238">
    <w:name w:val="WPSOffice手动目录 1"/>
    <w:qFormat/>
    <w:uiPriority w:val="0"/>
    <w:pPr>
      <w:ind w:leftChars="0"/>
    </w:pPr>
    <w:rPr>
      <w:rFonts w:ascii="Times New Roman" w:hAnsi="Times New Roman" w:eastAsia="宋体" w:cs="Times New Roman"/>
      <w:sz w:val="20"/>
      <w:szCs w:val="20"/>
    </w:rPr>
  </w:style>
  <w:style w:type="character" w:customStyle="1" w:styleId="239">
    <w:name w:val="标题 1 字符"/>
    <w:qFormat/>
    <w:uiPriority w:val="0"/>
    <w:rPr>
      <w:rFonts w:eastAsia="宋体"/>
      <w:b/>
      <w:bCs/>
      <w:kern w:val="44"/>
      <w:sz w:val="44"/>
      <w:szCs w:val="44"/>
      <w:lang w:val="en-US" w:eastAsia="zh-CN" w:bidi="ar-SA"/>
    </w:rPr>
  </w:style>
  <w:style w:type="paragraph" w:customStyle="1" w:styleId="240">
    <w:name w:val="BodyText"/>
    <w:basedOn w:val="1"/>
    <w:next w:val="241"/>
    <w:autoRedefine/>
    <w:qFormat/>
    <w:uiPriority w:val="0"/>
    <w:rPr>
      <w:sz w:val="20"/>
    </w:rPr>
  </w:style>
  <w:style w:type="paragraph" w:customStyle="1" w:styleId="241">
    <w:name w:val="BodyText1I"/>
    <w:basedOn w:val="240"/>
    <w:autoRedefine/>
    <w:qFormat/>
    <w:uiPriority w:val="0"/>
    <w:pPr>
      <w:spacing w:after="120"/>
      <w:ind w:firstLine="420" w:firstLineChars="100"/>
    </w:pPr>
  </w:style>
  <w:style w:type="paragraph" w:customStyle="1" w:styleId="24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3">
    <w:name w:val="正文2"/>
    <w:basedOn w:val="1"/>
    <w:autoRedefine/>
    <w:qFormat/>
    <w:uiPriority w:val="0"/>
    <w:pPr>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113</Pages>
  <Words>66698</Words>
  <Characters>71617</Characters>
  <Lines>219</Lines>
  <Paragraphs>61</Paragraphs>
  <TotalTime>17</TotalTime>
  <ScaleCrop>false</ScaleCrop>
  <LinksUpToDate>false</LinksUpToDate>
  <CharactersWithSpaces>73725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2020-09-23T02:03:00Z</dcterms:created>
  <dc:creator>lbl</dc:creator>
  <cp:lastModifiedBy>Administrator</cp:lastModifiedBy>
  <cp:lastPrinted>2024-05-06T13:25:00Z</cp:lastPrinted>
  <dcterms:modified xsi:type="dcterms:W3CDTF">2024-05-20T01:55:27Z</dcterms:modified>
  <dc:title>NO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A52A3A9C28414E94AB6DD2F736691841_13</vt:lpwstr>
  </property>
</Properties>
</file>