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D515E4C">
      <w:pPr>
        <w:spacing w:line="360" w:lineRule="auto"/>
        <w:rPr>
          <w:rFonts w:ascii="新宋体" w:hAnsi="新宋体" w:eastAsia="新宋体"/>
          <w:b/>
          <w:bCs/>
          <w:color w:val="auto"/>
          <w:sz w:val="32"/>
          <w:szCs w:val="32"/>
        </w:rPr>
      </w:pPr>
    </w:p>
    <w:p w14:paraId="47BD0A79">
      <w:pPr>
        <w:pStyle w:val="25"/>
        <w:ind w:firstLine="482"/>
        <w:jc w:val="center"/>
        <w:rPr>
          <w:rFonts w:hint="eastAsia" w:ascii="宋体" w:hAnsi="宋体" w:eastAsia="宋体" w:cs="宋体"/>
          <w:b/>
          <w:bCs/>
          <w:color w:val="auto"/>
          <w:sz w:val="36"/>
          <w:szCs w:val="36"/>
          <w:lang w:eastAsia="zh-CN"/>
        </w:rPr>
      </w:pPr>
      <w:r>
        <w:rPr>
          <w:rFonts w:hint="eastAsia" w:ascii="宋体" w:hAnsi="宋体" w:cs="宋体"/>
          <w:b/>
          <w:bCs/>
          <w:color w:val="auto"/>
          <w:sz w:val="36"/>
          <w:szCs w:val="36"/>
          <w:lang w:eastAsia="zh-CN"/>
        </w:rPr>
        <w:t>常山县农村垃圾中转站渗滤液集中转运处置项目（2025-2026年度）</w:t>
      </w:r>
    </w:p>
    <w:p w14:paraId="5C026A76">
      <w:pPr>
        <w:rPr>
          <w:rFonts w:ascii="楷体_GB2312" w:hAnsi="楷体_GB2312" w:eastAsia="楷体_GB2312" w:cs="楷体_GB2312"/>
          <w:b/>
          <w:bCs/>
          <w:color w:val="auto"/>
          <w:sz w:val="48"/>
          <w:szCs w:val="48"/>
        </w:rPr>
      </w:pPr>
    </w:p>
    <w:p w14:paraId="5DEF9568">
      <w:pPr>
        <w:pStyle w:val="25"/>
        <w:ind w:firstLine="240"/>
        <w:rPr>
          <w:color w:val="auto"/>
        </w:rPr>
      </w:pPr>
    </w:p>
    <w:p w14:paraId="06647063">
      <w:pPr>
        <w:pStyle w:val="8"/>
        <w:rPr>
          <w:color w:val="auto"/>
        </w:rPr>
      </w:pPr>
    </w:p>
    <w:p w14:paraId="59476180">
      <w:pPr>
        <w:jc w:val="center"/>
        <w:rPr>
          <w:rFonts w:ascii="楷体_GB2312" w:hAnsi="楷体_GB2312" w:eastAsia="楷体_GB2312" w:cs="楷体_GB2312"/>
          <w:b/>
          <w:bCs/>
          <w:color w:val="auto"/>
          <w:sz w:val="44"/>
          <w:szCs w:val="44"/>
        </w:rPr>
      </w:pPr>
      <w:r>
        <w:rPr>
          <w:rFonts w:hint="eastAsia" w:ascii="楷体_GB2312" w:hAnsi="楷体_GB2312" w:eastAsia="楷体_GB2312" w:cs="楷体_GB2312"/>
          <w:b/>
          <w:bCs/>
          <w:color w:val="auto"/>
          <w:sz w:val="44"/>
          <w:szCs w:val="44"/>
        </w:rPr>
        <w:t>公开招标采购文件</w:t>
      </w:r>
    </w:p>
    <w:p w14:paraId="4871744D">
      <w:pPr>
        <w:rPr>
          <w:color w:val="auto"/>
        </w:rPr>
      </w:pPr>
    </w:p>
    <w:p w14:paraId="6B25F502">
      <w:pPr>
        <w:tabs>
          <w:tab w:val="left" w:pos="0"/>
        </w:tabs>
        <w:adjustRightInd w:val="0"/>
        <w:snapToGrid w:val="0"/>
        <w:spacing w:line="360" w:lineRule="auto"/>
        <w:ind w:firstLine="64" w:firstLineChars="20"/>
        <w:jc w:val="center"/>
        <w:rPr>
          <w:rFonts w:ascii="宋体" w:hAnsi="宋体" w:cs="宋体"/>
          <w:b/>
          <w:color w:val="auto"/>
          <w:sz w:val="100"/>
          <w:szCs w:val="100"/>
        </w:rPr>
      </w:pPr>
      <w:r>
        <w:rPr>
          <w:rFonts w:hint="eastAsia" w:ascii="宋体" w:hAnsi="宋体" w:cs="宋体"/>
          <w:b/>
          <w:color w:val="auto"/>
          <w:kern w:val="0"/>
          <w:sz w:val="32"/>
        </w:rPr>
        <w:t>（线上电子招投标）</w:t>
      </w:r>
    </w:p>
    <w:p w14:paraId="4527A5EF">
      <w:pPr>
        <w:rPr>
          <w:rFonts w:ascii="仿宋_GB2312" w:eastAsia="仿宋_GB2312"/>
          <w:color w:val="auto"/>
          <w:sz w:val="28"/>
          <w:szCs w:val="28"/>
        </w:rPr>
      </w:pPr>
    </w:p>
    <w:p w14:paraId="234205DD">
      <w:pPr>
        <w:jc w:val="center"/>
        <w:rPr>
          <w:rFonts w:ascii="仿宋_GB2312" w:eastAsia="仿宋_GB2312"/>
          <w:b/>
          <w:color w:val="auto"/>
          <w:sz w:val="28"/>
          <w:szCs w:val="28"/>
        </w:rPr>
      </w:pPr>
      <w:r>
        <w:rPr>
          <w:color w:val="auto"/>
        </w:rPr>
        <w:drawing>
          <wp:inline distT="0" distB="0" distL="114300" distR="114300">
            <wp:extent cx="1336675" cy="138303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1336675" cy="1383030"/>
                    </a:xfrm>
                    <a:prstGeom prst="rect">
                      <a:avLst/>
                    </a:prstGeom>
                    <a:noFill/>
                    <a:ln>
                      <a:noFill/>
                    </a:ln>
                  </pic:spPr>
                </pic:pic>
              </a:graphicData>
            </a:graphic>
          </wp:inline>
        </w:drawing>
      </w:r>
    </w:p>
    <w:p w14:paraId="7196B849">
      <w:pPr>
        <w:rPr>
          <w:rFonts w:ascii="仿宋_GB2312" w:eastAsia="仿宋_GB2312"/>
          <w:b/>
          <w:color w:val="auto"/>
          <w:sz w:val="28"/>
          <w:szCs w:val="28"/>
        </w:rPr>
      </w:pPr>
    </w:p>
    <w:p w14:paraId="361FEFA5">
      <w:pPr>
        <w:rPr>
          <w:rFonts w:ascii="仿宋_GB2312" w:eastAsia="仿宋_GB2312"/>
          <w:b/>
          <w:color w:val="auto"/>
          <w:sz w:val="28"/>
          <w:szCs w:val="28"/>
        </w:rPr>
      </w:pPr>
    </w:p>
    <w:p w14:paraId="3E356104">
      <w:pPr>
        <w:spacing w:line="480" w:lineRule="auto"/>
        <w:ind w:firstLine="1680" w:firstLineChars="600"/>
        <w:rPr>
          <w:rFonts w:ascii="宋体" w:hAnsi="宋体"/>
          <w:color w:val="auto"/>
          <w:sz w:val="28"/>
          <w:szCs w:val="28"/>
        </w:rPr>
      </w:pPr>
      <w:r>
        <w:rPr>
          <w:rFonts w:hint="eastAsia" w:ascii="宋体" w:hAnsi="宋体"/>
          <w:color w:val="auto"/>
          <w:sz w:val="28"/>
          <w:szCs w:val="28"/>
        </w:rPr>
        <w:t>项目编号：</w:t>
      </w:r>
      <w:r>
        <w:rPr>
          <w:rFonts w:hint="eastAsia" w:ascii="宋体" w:hAnsi="宋体"/>
          <w:color w:val="auto"/>
          <w:sz w:val="28"/>
          <w:szCs w:val="28"/>
          <w:lang w:eastAsia="zh-CN"/>
        </w:rPr>
        <w:t>ZJLT-GK-2025021</w:t>
      </w:r>
      <w:r>
        <w:rPr>
          <w:rFonts w:hint="eastAsia" w:ascii="宋体" w:hAnsi="宋体"/>
          <w:color w:val="auto"/>
          <w:sz w:val="28"/>
          <w:szCs w:val="28"/>
        </w:rPr>
        <w:t xml:space="preserve">   </w:t>
      </w:r>
    </w:p>
    <w:p w14:paraId="7F876768">
      <w:pPr>
        <w:spacing w:line="480" w:lineRule="auto"/>
        <w:rPr>
          <w:rFonts w:hint="eastAsia" w:ascii="宋体" w:hAnsi="宋体" w:eastAsia="宋体"/>
          <w:color w:val="auto"/>
          <w:sz w:val="28"/>
          <w:szCs w:val="28"/>
          <w:lang w:eastAsia="zh-CN"/>
        </w:rPr>
      </w:pPr>
      <w:r>
        <w:rPr>
          <w:rFonts w:hint="eastAsia" w:ascii="宋体" w:hAnsi="宋体"/>
          <w:color w:val="auto"/>
          <w:sz w:val="28"/>
          <w:szCs w:val="28"/>
        </w:rPr>
        <w:t xml:space="preserve">            采购单位：</w:t>
      </w:r>
      <w:r>
        <w:rPr>
          <w:rFonts w:hint="eastAsia" w:ascii="宋体" w:hAnsi="宋体"/>
          <w:color w:val="auto"/>
          <w:sz w:val="28"/>
          <w:szCs w:val="28"/>
          <w:lang w:eastAsia="zh-CN"/>
        </w:rPr>
        <w:t>常山县农业农村局</w:t>
      </w:r>
    </w:p>
    <w:p w14:paraId="1FFDC401">
      <w:pPr>
        <w:spacing w:line="480" w:lineRule="auto"/>
        <w:rPr>
          <w:rFonts w:hint="eastAsia" w:ascii="宋体" w:hAnsi="宋体" w:eastAsia="宋体"/>
          <w:color w:val="auto"/>
          <w:sz w:val="28"/>
          <w:szCs w:val="28"/>
          <w:lang w:eastAsia="zh-CN"/>
        </w:rPr>
      </w:pPr>
      <w:r>
        <w:rPr>
          <w:rFonts w:hint="eastAsia" w:ascii="宋体" w:hAnsi="宋体"/>
          <w:color w:val="auto"/>
          <w:sz w:val="28"/>
          <w:szCs w:val="28"/>
        </w:rPr>
        <w:t xml:space="preserve">            采购代理机构：</w:t>
      </w:r>
      <w:r>
        <w:rPr>
          <w:rFonts w:hint="eastAsia" w:ascii="宋体" w:hAnsi="宋体"/>
          <w:color w:val="auto"/>
          <w:sz w:val="28"/>
          <w:szCs w:val="28"/>
          <w:lang w:eastAsia="zh-CN"/>
        </w:rPr>
        <w:t>浙江联腾工程咨询有限公司</w:t>
      </w:r>
    </w:p>
    <w:p w14:paraId="19FC5893">
      <w:pPr>
        <w:spacing w:line="480" w:lineRule="auto"/>
        <w:jc w:val="center"/>
        <w:rPr>
          <w:rFonts w:ascii="仿宋_GB2312" w:eastAsia="仿宋_GB2312"/>
          <w:color w:val="auto"/>
          <w:sz w:val="28"/>
          <w:szCs w:val="28"/>
        </w:rPr>
      </w:pPr>
    </w:p>
    <w:p w14:paraId="11B20FC0">
      <w:pPr>
        <w:spacing w:line="480" w:lineRule="auto"/>
        <w:jc w:val="center"/>
        <w:rPr>
          <w:bCs/>
          <w:color w:val="auto"/>
          <w:sz w:val="52"/>
          <w:szCs w:val="52"/>
        </w:rPr>
      </w:pPr>
      <w:r>
        <w:rPr>
          <w:rFonts w:hint="eastAsia" w:ascii="仿宋_GB2312" w:eastAsia="仿宋_GB2312"/>
          <w:color w:val="auto"/>
          <w:sz w:val="28"/>
          <w:szCs w:val="28"/>
        </w:rPr>
        <w:t xml:space="preserve">    </w:t>
      </w:r>
      <w:r>
        <w:rPr>
          <w:rFonts w:hint="eastAsia"/>
          <w:color w:val="auto"/>
          <w:sz w:val="28"/>
          <w:szCs w:val="28"/>
        </w:rPr>
        <w:t>二〇二</w:t>
      </w:r>
      <w:r>
        <w:rPr>
          <w:rFonts w:hint="eastAsia"/>
          <w:color w:val="auto"/>
          <w:sz w:val="28"/>
          <w:szCs w:val="28"/>
          <w:lang w:val="en-US" w:eastAsia="zh-CN"/>
        </w:rPr>
        <w:t>五</w:t>
      </w:r>
      <w:r>
        <w:rPr>
          <w:rFonts w:hint="eastAsia"/>
          <w:color w:val="auto"/>
          <w:sz w:val="28"/>
          <w:szCs w:val="28"/>
        </w:rPr>
        <w:t>年</w:t>
      </w:r>
      <w:r>
        <w:rPr>
          <w:rFonts w:hint="eastAsia"/>
          <w:color w:val="auto"/>
          <w:sz w:val="28"/>
          <w:szCs w:val="28"/>
          <w:lang w:val="en-US" w:eastAsia="zh-CN"/>
        </w:rPr>
        <w:t>七</w:t>
      </w:r>
      <w:r>
        <w:rPr>
          <w:rFonts w:hint="eastAsia"/>
          <w:color w:val="auto"/>
          <w:sz w:val="28"/>
          <w:szCs w:val="28"/>
        </w:rPr>
        <w:t>月</w:t>
      </w:r>
    </w:p>
    <w:p w14:paraId="229E0E8D">
      <w:pPr>
        <w:spacing w:line="600" w:lineRule="exact"/>
        <w:jc w:val="center"/>
        <w:rPr>
          <w:rFonts w:ascii="楷体_GB2312" w:eastAsia="楷体_GB2312"/>
          <w:b/>
          <w:bCs/>
          <w:color w:val="auto"/>
          <w:sz w:val="32"/>
          <w:szCs w:val="32"/>
        </w:rPr>
        <w:sectPr>
          <w:headerReference r:id="rId4" w:type="default"/>
          <w:pgSz w:w="11906" w:h="16838"/>
          <w:pgMar w:top="1440" w:right="1080" w:bottom="1440" w:left="1080" w:header="851" w:footer="992" w:gutter="0"/>
          <w:pgNumType w:start="1"/>
          <w:cols w:space="720" w:num="1"/>
          <w:docGrid w:type="lines" w:linePitch="317" w:charSpace="0"/>
        </w:sectPr>
      </w:pPr>
    </w:p>
    <w:p w14:paraId="59875ED3">
      <w:pPr>
        <w:spacing w:line="600" w:lineRule="exact"/>
        <w:jc w:val="both"/>
        <w:rPr>
          <w:rFonts w:ascii="楷体_GB2312" w:eastAsia="楷体_GB2312"/>
          <w:b/>
          <w:bCs/>
          <w:color w:val="auto"/>
          <w:sz w:val="32"/>
          <w:szCs w:val="32"/>
        </w:rPr>
      </w:pPr>
    </w:p>
    <w:p w14:paraId="1ACFF8DC">
      <w:pPr>
        <w:spacing w:line="480" w:lineRule="auto"/>
        <w:jc w:val="center"/>
        <w:rPr>
          <w:rFonts w:hint="eastAsia" w:ascii="宋体" w:hAnsi="宋体" w:cs="宋体"/>
          <w:b/>
          <w:bCs/>
          <w:color w:val="auto"/>
          <w:sz w:val="32"/>
          <w:szCs w:val="32"/>
        </w:rPr>
      </w:pPr>
      <w:r>
        <w:rPr>
          <w:rFonts w:hint="eastAsia" w:ascii="宋体" w:hAnsi="宋体" w:cs="宋体"/>
          <w:b/>
          <w:bCs/>
          <w:color w:val="auto"/>
          <w:sz w:val="32"/>
          <w:szCs w:val="32"/>
        </w:rPr>
        <w:t>目  录</w:t>
      </w:r>
    </w:p>
    <w:p w14:paraId="619E6C79">
      <w:pPr>
        <w:pStyle w:val="25"/>
      </w:pPr>
    </w:p>
    <w:p w14:paraId="04A00DF6">
      <w:pPr>
        <w:pStyle w:val="21"/>
      </w:pPr>
    </w:p>
    <w:p w14:paraId="7C82F903">
      <w:pPr>
        <w:spacing w:line="480" w:lineRule="auto"/>
        <w:jc w:val="center"/>
        <w:rPr>
          <w:rFonts w:ascii="宋体" w:hAnsi="宋体" w:cs="宋体"/>
          <w:bCs/>
          <w:color w:val="auto"/>
          <w:sz w:val="28"/>
          <w:szCs w:val="28"/>
        </w:rPr>
      </w:pPr>
      <w:r>
        <w:rPr>
          <w:rFonts w:hint="eastAsia" w:ascii="宋体" w:hAnsi="宋体" w:cs="宋体"/>
          <w:b/>
          <w:bCs/>
          <w:color w:val="auto"/>
          <w:sz w:val="28"/>
          <w:szCs w:val="28"/>
        </w:rPr>
        <w:fldChar w:fldCharType="begin"/>
      </w:r>
      <w:r>
        <w:rPr>
          <w:rFonts w:hint="eastAsia" w:ascii="宋体" w:hAnsi="宋体" w:cs="宋体"/>
          <w:b/>
          <w:bCs/>
          <w:color w:val="auto"/>
          <w:sz w:val="28"/>
          <w:szCs w:val="28"/>
        </w:rPr>
        <w:instrText xml:space="preserve">TOC \o "1-1" \h \u </w:instrText>
      </w:r>
      <w:r>
        <w:rPr>
          <w:rFonts w:hint="eastAsia" w:ascii="宋体" w:hAnsi="宋体" w:cs="宋体"/>
          <w:b/>
          <w:bCs/>
          <w:color w:val="auto"/>
          <w:sz w:val="28"/>
          <w:szCs w:val="28"/>
        </w:rPr>
        <w:fldChar w:fldCharType="separate"/>
      </w:r>
      <w:r>
        <w:rPr>
          <w:color w:val="auto"/>
          <w:sz w:val="21"/>
          <w:szCs w:val="24"/>
        </w:rPr>
        <w:fldChar w:fldCharType="begin"/>
      </w:r>
      <w:r>
        <w:rPr>
          <w:color w:val="auto"/>
          <w:sz w:val="21"/>
          <w:szCs w:val="24"/>
        </w:rPr>
        <w:instrText xml:space="preserve"> HYPERLINK \l "_Toc26981" </w:instrText>
      </w:r>
      <w:r>
        <w:rPr>
          <w:color w:val="auto"/>
          <w:sz w:val="21"/>
          <w:szCs w:val="24"/>
        </w:rPr>
        <w:fldChar w:fldCharType="separate"/>
      </w:r>
      <w:r>
        <w:rPr>
          <w:rFonts w:hint="eastAsia" w:ascii="宋体" w:hAnsi="宋体" w:cs="宋体"/>
          <w:color w:val="auto"/>
          <w:sz w:val="28"/>
          <w:szCs w:val="28"/>
        </w:rPr>
        <w:t>第一章 招标公告...............................................</w:t>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_Toc26981 </w:instrText>
      </w:r>
      <w:r>
        <w:rPr>
          <w:rFonts w:hint="eastAsia" w:ascii="宋体" w:hAnsi="宋体" w:cs="宋体"/>
          <w:color w:val="auto"/>
          <w:sz w:val="28"/>
          <w:szCs w:val="28"/>
        </w:rPr>
        <w:fldChar w:fldCharType="separate"/>
      </w:r>
      <w:r>
        <w:rPr>
          <w:rFonts w:hint="eastAsia" w:ascii="宋体" w:hAnsi="宋体" w:cs="宋体"/>
          <w:color w:val="auto"/>
          <w:sz w:val="28"/>
          <w:szCs w:val="28"/>
        </w:rPr>
        <w:t>3</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14:paraId="12A2289E">
      <w:pPr>
        <w:spacing w:line="480" w:lineRule="auto"/>
        <w:jc w:val="center"/>
        <w:rPr>
          <w:rFonts w:ascii="宋体" w:hAnsi="宋体" w:cs="宋体"/>
          <w:bCs/>
          <w:color w:val="auto"/>
          <w:sz w:val="28"/>
          <w:szCs w:val="28"/>
        </w:rPr>
      </w:pPr>
      <w:r>
        <w:rPr>
          <w:color w:val="auto"/>
          <w:sz w:val="21"/>
          <w:szCs w:val="24"/>
        </w:rPr>
        <w:fldChar w:fldCharType="begin"/>
      </w:r>
      <w:r>
        <w:rPr>
          <w:color w:val="auto"/>
          <w:sz w:val="21"/>
          <w:szCs w:val="24"/>
        </w:rPr>
        <w:instrText xml:space="preserve"> HYPERLINK \l "_Toc21799" </w:instrText>
      </w:r>
      <w:r>
        <w:rPr>
          <w:color w:val="auto"/>
          <w:sz w:val="21"/>
          <w:szCs w:val="24"/>
        </w:rPr>
        <w:fldChar w:fldCharType="separate"/>
      </w:r>
      <w:r>
        <w:rPr>
          <w:rFonts w:hint="eastAsia" w:ascii="宋体" w:hAnsi="宋体" w:cs="宋体"/>
          <w:bCs/>
          <w:color w:val="auto"/>
          <w:sz w:val="28"/>
          <w:szCs w:val="28"/>
        </w:rPr>
        <w:t>第二章 投标人须知</w:t>
      </w:r>
      <w:r>
        <w:rPr>
          <w:rFonts w:hint="eastAsia" w:ascii="宋体" w:hAnsi="宋体" w:cs="宋体"/>
          <w:bCs/>
          <w:color w:val="auto"/>
          <w:sz w:val="28"/>
          <w:szCs w:val="28"/>
          <w:lang w:val="en-US" w:eastAsia="zh-CN"/>
        </w:rPr>
        <w:t>前附表</w:t>
      </w:r>
      <w:r>
        <w:rPr>
          <w:rFonts w:hint="eastAsia" w:ascii="宋体" w:hAnsi="宋体" w:cs="宋体"/>
          <w:color w:val="auto"/>
          <w:sz w:val="28"/>
          <w:szCs w:val="28"/>
        </w:rPr>
        <w:t>........................................</w:t>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_Toc21799 </w:instrText>
      </w:r>
      <w:r>
        <w:rPr>
          <w:rFonts w:hint="eastAsia" w:ascii="宋体" w:hAnsi="宋体" w:cs="宋体"/>
          <w:color w:val="auto"/>
          <w:sz w:val="28"/>
          <w:szCs w:val="28"/>
        </w:rPr>
        <w:fldChar w:fldCharType="separate"/>
      </w:r>
      <w:r>
        <w:rPr>
          <w:rFonts w:hint="eastAsia" w:ascii="宋体" w:hAnsi="宋体" w:cs="宋体"/>
          <w:color w:val="auto"/>
          <w:sz w:val="28"/>
          <w:szCs w:val="28"/>
        </w:rPr>
        <w:t>6</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14:paraId="467CD402">
      <w:pPr>
        <w:spacing w:line="480" w:lineRule="auto"/>
        <w:jc w:val="center"/>
        <w:rPr>
          <w:rFonts w:ascii="宋体" w:hAnsi="宋体" w:cs="宋体"/>
          <w:bCs/>
          <w:color w:val="auto"/>
          <w:sz w:val="28"/>
          <w:szCs w:val="28"/>
        </w:rPr>
      </w:pPr>
      <w:r>
        <w:rPr>
          <w:color w:val="auto"/>
          <w:sz w:val="21"/>
          <w:szCs w:val="24"/>
        </w:rPr>
        <w:fldChar w:fldCharType="begin"/>
      </w:r>
      <w:r>
        <w:rPr>
          <w:color w:val="auto"/>
          <w:sz w:val="21"/>
          <w:szCs w:val="24"/>
        </w:rPr>
        <w:instrText xml:space="preserve"> HYPERLINK \l "_Toc11781" </w:instrText>
      </w:r>
      <w:r>
        <w:rPr>
          <w:color w:val="auto"/>
          <w:sz w:val="21"/>
          <w:szCs w:val="24"/>
        </w:rPr>
        <w:fldChar w:fldCharType="separate"/>
      </w:r>
      <w:r>
        <w:rPr>
          <w:rFonts w:hint="eastAsia" w:ascii="宋体" w:hAnsi="宋体" w:cs="宋体"/>
          <w:bCs/>
          <w:color w:val="auto"/>
          <w:sz w:val="28"/>
          <w:szCs w:val="28"/>
        </w:rPr>
        <w:t xml:space="preserve">第三章 </w:t>
      </w:r>
      <w:r>
        <w:rPr>
          <w:rFonts w:hint="eastAsia" w:ascii="宋体" w:hAnsi="宋体" w:cs="宋体"/>
          <w:bCs/>
          <w:color w:val="auto"/>
          <w:sz w:val="28"/>
          <w:szCs w:val="28"/>
          <w:lang w:val="en-US" w:eastAsia="zh-CN"/>
        </w:rPr>
        <w:t>采购</w:t>
      </w:r>
      <w:r>
        <w:rPr>
          <w:rFonts w:hint="eastAsia" w:ascii="宋体" w:hAnsi="宋体" w:cs="宋体"/>
          <w:bCs/>
          <w:color w:val="auto"/>
          <w:sz w:val="28"/>
          <w:szCs w:val="28"/>
        </w:rPr>
        <w:t>内容及要求</w:t>
      </w:r>
      <w:r>
        <w:rPr>
          <w:rFonts w:hint="eastAsia" w:ascii="宋体" w:hAnsi="宋体" w:cs="宋体"/>
          <w:color w:val="auto"/>
          <w:sz w:val="28"/>
          <w:szCs w:val="28"/>
        </w:rPr>
        <w:t>........................................</w:t>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_Toc11781 </w:instrText>
      </w:r>
      <w:r>
        <w:rPr>
          <w:rFonts w:hint="eastAsia" w:ascii="宋体" w:hAnsi="宋体" w:cs="宋体"/>
          <w:color w:val="auto"/>
          <w:sz w:val="28"/>
          <w:szCs w:val="28"/>
        </w:rPr>
        <w:fldChar w:fldCharType="separate"/>
      </w:r>
      <w:r>
        <w:rPr>
          <w:rFonts w:hint="eastAsia" w:ascii="宋体" w:hAnsi="宋体" w:cs="宋体"/>
          <w:color w:val="auto"/>
          <w:sz w:val="28"/>
          <w:szCs w:val="28"/>
        </w:rPr>
        <w:t>25</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14:paraId="0EB3D1F0">
      <w:pPr>
        <w:spacing w:line="480" w:lineRule="auto"/>
        <w:jc w:val="center"/>
        <w:rPr>
          <w:rFonts w:hint="eastAsia" w:ascii="宋体" w:hAnsi="宋体" w:eastAsia="宋体" w:cs="宋体"/>
          <w:bCs/>
          <w:color w:val="auto"/>
          <w:sz w:val="28"/>
          <w:szCs w:val="28"/>
          <w:lang w:val="en-US" w:eastAsia="zh-CN"/>
        </w:rPr>
      </w:pPr>
      <w:r>
        <w:rPr>
          <w:color w:val="auto"/>
          <w:sz w:val="21"/>
          <w:szCs w:val="24"/>
        </w:rPr>
        <w:fldChar w:fldCharType="begin"/>
      </w:r>
      <w:r>
        <w:rPr>
          <w:color w:val="auto"/>
          <w:sz w:val="21"/>
          <w:szCs w:val="24"/>
        </w:rPr>
        <w:instrText xml:space="preserve"> HYPERLINK \l "_Toc3399" </w:instrText>
      </w:r>
      <w:r>
        <w:rPr>
          <w:color w:val="auto"/>
          <w:sz w:val="21"/>
          <w:szCs w:val="24"/>
        </w:rPr>
        <w:fldChar w:fldCharType="separate"/>
      </w:r>
      <w:r>
        <w:rPr>
          <w:rFonts w:hint="eastAsia" w:ascii="宋体" w:hAnsi="宋体" w:cs="宋体"/>
          <w:color w:val="auto"/>
          <w:sz w:val="28"/>
          <w:szCs w:val="28"/>
        </w:rPr>
        <w:t>第四章 合同</w:t>
      </w:r>
      <w:r>
        <w:rPr>
          <w:rFonts w:hint="eastAsia" w:ascii="宋体" w:hAnsi="宋体" w:cs="宋体"/>
          <w:color w:val="auto"/>
          <w:sz w:val="28"/>
          <w:szCs w:val="28"/>
          <w:lang w:val="en-US" w:eastAsia="zh-CN"/>
        </w:rPr>
        <w:t>主要条款</w:t>
      </w:r>
      <w:r>
        <w:rPr>
          <w:rFonts w:hint="eastAsia" w:ascii="宋体" w:hAnsi="宋体" w:cs="宋体"/>
          <w:color w:val="auto"/>
          <w:sz w:val="28"/>
          <w:szCs w:val="28"/>
        </w:rPr>
        <w:t>..........................................</w:t>
      </w:r>
      <w:r>
        <w:rPr>
          <w:rFonts w:hint="eastAsia" w:ascii="宋体" w:hAnsi="宋体" w:cs="宋体"/>
          <w:color w:val="auto"/>
          <w:sz w:val="28"/>
          <w:szCs w:val="28"/>
          <w:lang w:val="en-US" w:eastAsia="zh-CN"/>
        </w:rPr>
        <w:t>2</w:t>
      </w:r>
      <w:r>
        <w:rPr>
          <w:rFonts w:hint="eastAsia" w:ascii="宋体" w:hAnsi="宋体" w:cs="宋体"/>
          <w:color w:val="auto"/>
          <w:sz w:val="28"/>
          <w:szCs w:val="28"/>
        </w:rPr>
        <w:fldChar w:fldCharType="end"/>
      </w:r>
      <w:r>
        <w:rPr>
          <w:rFonts w:hint="eastAsia" w:ascii="宋体" w:hAnsi="宋体" w:cs="宋体"/>
          <w:color w:val="auto"/>
          <w:sz w:val="28"/>
          <w:szCs w:val="28"/>
          <w:lang w:val="en-US" w:eastAsia="zh-CN"/>
        </w:rPr>
        <w:t>8</w:t>
      </w:r>
    </w:p>
    <w:p w14:paraId="7A1F049E">
      <w:pPr>
        <w:spacing w:line="480" w:lineRule="auto"/>
        <w:jc w:val="center"/>
        <w:rPr>
          <w:rFonts w:hint="eastAsia" w:ascii="宋体" w:hAnsi="宋体" w:eastAsia="宋体" w:cs="宋体"/>
          <w:bCs/>
          <w:color w:val="auto"/>
          <w:sz w:val="28"/>
          <w:szCs w:val="28"/>
          <w:lang w:val="en-US" w:eastAsia="zh-CN"/>
        </w:rPr>
      </w:pPr>
      <w:r>
        <w:rPr>
          <w:color w:val="auto"/>
          <w:sz w:val="21"/>
          <w:szCs w:val="24"/>
        </w:rPr>
        <w:fldChar w:fldCharType="begin"/>
      </w:r>
      <w:r>
        <w:rPr>
          <w:color w:val="auto"/>
          <w:sz w:val="21"/>
          <w:szCs w:val="24"/>
        </w:rPr>
        <w:instrText xml:space="preserve"> HYPERLINK \l "_Toc14290" </w:instrText>
      </w:r>
      <w:r>
        <w:rPr>
          <w:color w:val="auto"/>
          <w:sz w:val="21"/>
          <w:szCs w:val="24"/>
        </w:rPr>
        <w:fldChar w:fldCharType="separate"/>
      </w:r>
      <w:r>
        <w:rPr>
          <w:rFonts w:hint="eastAsia" w:ascii="宋体" w:hAnsi="宋体" w:cs="宋体"/>
          <w:bCs/>
          <w:color w:val="auto"/>
          <w:sz w:val="28"/>
          <w:szCs w:val="28"/>
        </w:rPr>
        <w:t>第五章 评标原则及方法</w:t>
      </w:r>
      <w:r>
        <w:rPr>
          <w:rFonts w:hint="eastAsia" w:ascii="宋体" w:hAnsi="宋体" w:cs="宋体"/>
          <w:color w:val="auto"/>
          <w:sz w:val="28"/>
          <w:szCs w:val="28"/>
        </w:rPr>
        <w:t>........................................</w:t>
      </w:r>
      <w:r>
        <w:rPr>
          <w:rFonts w:hint="eastAsia" w:ascii="宋体" w:hAnsi="宋体" w:cs="宋体"/>
          <w:color w:val="auto"/>
          <w:sz w:val="28"/>
          <w:szCs w:val="28"/>
          <w:lang w:val="en-US" w:eastAsia="zh-CN"/>
        </w:rPr>
        <w:t>3</w:t>
      </w:r>
      <w:r>
        <w:rPr>
          <w:rFonts w:hint="eastAsia" w:ascii="宋体" w:hAnsi="宋体" w:cs="宋体"/>
          <w:color w:val="auto"/>
          <w:sz w:val="28"/>
          <w:szCs w:val="28"/>
        </w:rPr>
        <w:fldChar w:fldCharType="end"/>
      </w:r>
      <w:r>
        <w:rPr>
          <w:rFonts w:hint="eastAsia" w:ascii="宋体" w:hAnsi="宋体" w:cs="宋体"/>
          <w:color w:val="auto"/>
          <w:sz w:val="28"/>
          <w:szCs w:val="28"/>
          <w:lang w:val="en-US" w:eastAsia="zh-CN"/>
        </w:rPr>
        <w:t>3</w:t>
      </w:r>
    </w:p>
    <w:p w14:paraId="4744A3B7">
      <w:pPr>
        <w:spacing w:line="480" w:lineRule="auto"/>
        <w:jc w:val="center"/>
        <w:rPr>
          <w:rFonts w:ascii="宋体" w:hAnsi="宋体" w:cs="宋体"/>
          <w:color w:val="auto"/>
          <w:sz w:val="28"/>
          <w:szCs w:val="28"/>
        </w:rPr>
      </w:pPr>
      <w:r>
        <w:rPr>
          <w:color w:val="auto"/>
          <w:sz w:val="21"/>
          <w:szCs w:val="24"/>
        </w:rPr>
        <w:fldChar w:fldCharType="begin"/>
      </w:r>
      <w:r>
        <w:rPr>
          <w:color w:val="auto"/>
          <w:sz w:val="21"/>
          <w:szCs w:val="24"/>
        </w:rPr>
        <w:instrText xml:space="preserve"> HYPERLINK \l "_Toc12016" </w:instrText>
      </w:r>
      <w:r>
        <w:rPr>
          <w:color w:val="auto"/>
          <w:sz w:val="21"/>
          <w:szCs w:val="24"/>
        </w:rPr>
        <w:fldChar w:fldCharType="separate"/>
      </w:r>
      <w:r>
        <w:rPr>
          <w:rFonts w:hint="eastAsia" w:ascii="宋体" w:hAnsi="宋体" w:cs="宋体"/>
          <w:color w:val="auto"/>
          <w:sz w:val="28"/>
          <w:szCs w:val="28"/>
        </w:rPr>
        <w:t>第六章 投标文件格式..........................................</w:t>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_Toc12016 </w:instrText>
      </w:r>
      <w:r>
        <w:rPr>
          <w:rFonts w:hint="eastAsia" w:ascii="宋体" w:hAnsi="宋体" w:cs="宋体"/>
          <w:color w:val="auto"/>
          <w:sz w:val="28"/>
          <w:szCs w:val="28"/>
        </w:rPr>
        <w:fldChar w:fldCharType="separate"/>
      </w:r>
      <w:r>
        <w:rPr>
          <w:rFonts w:hint="eastAsia" w:ascii="宋体" w:hAnsi="宋体" w:cs="宋体"/>
          <w:color w:val="auto"/>
          <w:sz w:val="28"/>
          <w:szCs w:val="28"/>
        </w:rPr>
        <w:t>42</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14:paraId="4D92171C">
      <w:pPr>
        <w:pStyle w:val="46"/>
        <w:tabs>
          <w:tab w:val="right" w:leader="dot" w:pos="10206"/>
        </w:tabs>
        <w:spacing w:line="480" w:lineRule="auto"/>
        <w:jc w:val="center"/>
        <w:rPr>
          <w:rFonts w:ascii="宋体" w:hAnsi="宋体" w:cs="宋体"/>
          <w:color w:val="auto"/>
          <w:sz w:val="28"/>
          <w:szCs w:val="28"/>
        </w:rPr>
      </w:pPr>
    </w:p>
    <w:p w14:paraId="29AAABE9">
      <w:pPr>
        <w:spacing w:line="480" w:lineRule="auto"/>
        <w:jc w:val="center"/>
        <w:rPr>
          <w:color w:val="auto"/>
          <w:sz w:val="22"/>
          <w:szCs w:val="22"/>
        </w:rPr>
      </w:pPr>
      <w:r>
        <w:rPr>
          <w:rFonts w:hint="eastAsia" w:ascii="宋体" w:hAnsi="宋体" w:cs="宋体"/>
          <w:bCs/>
          <w:color w:val="auto"/>
          <w:sz w:val="28"/>
          <w:szCs w:val="28"/>
        </w:rPr>
        <w:fldChar w:fldCharType="end"/>
      </w:r>
    </w:p>
    <w:p w14:paraId="3D013012">
      <w:pPr>
        <w:rPr>
          <w:color w:val="auto"/>
          <w:sz w:val="22"/>
          <w:szCs w:val="22"/>
        </w:rPr>
      </w:pPr>
    </w:p>
    <w:p w14:paraId="6FDFDFC4">
      <w:pPr>
        <w:rPr>
          <w:color w:val="auto"/>
          <w:sz w:val="22"/>
          <w:szCs w:val="22"/>
        </w:rPr>
      </w:pPr>
    </w:p>
    <w:p w14:paraId="33776B09">
      <w:pPr>
        <w:rPr>
          <w:color w:val="auto"/>
          <w:sz w:val="22"/>
          <w:szCs w:val="22"/>
        </w:rPr>
      </w:pPr>
    </w:p>
    <w:p w14:paraId="045DB31D">
      <w:pPr>
        <w:rPr>
          <w:color w:val="auto"/>
          <w:sz w:val="22"/>
          <w:szCs w:val="22"/>
        </w:rPr>
      </w:pPr>
    </w:p>
    <w:p w14:paraId="11FE9F99">
      <w:pPr>
        <w:rPr>
          <w:color w:val="auto"/>
          <w:sz w:val="22"/>
          <w:szCs w:val="22"/>
        </w:rPr>
      </w:pPr>
    </w:p>
    <w:p w14:paraId="308755A1">
      <w:pPr>
        <w:rPr>
          <w:color w:val="auto"/>
          <w:sz w:val="22"/>
          <w:szCs w:val="22"/>
        </w:rPr>
      </w:pPr>
    </w:p>
    <w:p w14:paraId="2C460F27">
      <w:pPr>
        <w:rPr>
          <w:color w:val="auto"/>
          <w:sz w:val="22"/>
          <w:szCs w:val="22"/>
        </w:rPr>
      </w:pPr>
    </w:p>
    <w:p w14:paraId="025FE9B9">
      <w:pPr>
        <w:rPr>
          <w:color w:val="auto"/>
          <w:sz w:val="22"/>
          <w:szCs w:val="22"/>
        </w:rPr>
      </w:pPr>
    </w:p>
    <w:p w14:paraId="0D7C6D06">
      <w:pPr>
        <w:rPr>
          <w:color w:val="auto"/>
          <w:sz w:val="22"/>
          <w:szCs w:val="22"/>
        </w:rPr>
      </w:pPr>
    </w:p>
    <w:p w14:paraId="7D5090E2">
      <w:pPr>
        <w:rPr>
          <w:color w:val="auto"/>
          <w:sz w:val="22"/>
          <w:szCs w:val="22"/>
        </w:rPr>
      </w:pPr>
    </w:p>
    <w:p w14:paraId="28820BBA">
      <w:pPr>
        <w:rPr>
          <w:color w:val="auto"/>
          <w:sz w:val="22"/>
          <w:szCs w:val="22"/>
        </w:rPr>
      </w:pPr>
    </w:p>
    <w:p w14:paraId="2060F8D1">
      <w:pPr>
        <w:rPr>
          <w:color w:val="auto"/>
          <w:sz w:val="22"/>
          <w:szCs w:val="22"/>
        </w:rPr>
      </w:pPr>
    </w:p>
    <w:p w14:paraId="53AC94E2">
      <w:pPr>
        <w:rPr>
          <w:color w:val="auto"/>
          <w:sz w:val="22"/>
          <w:szCs w:val="22"/>
        </w:rPr>
      </w:pPr>
    </w:p>
    <w:p w14:paraId="0CE848DA">
      <w:pPr>
        <w:rPr>
          <w:color w:val="auto"/>
          <w:sz w:val="22"/>
          <w:szCs w:val="22"/>
        </w:rPr>
      </w:pPr>
    </w:p>
    <w:p w14:paraId="506C5716">
      <w:pPr>
        <w:spacing w:line="360" w:lineRule="auto"/>
        <w:outlineLvl w:val="0"/>
        <w:rPr>
          <w:rFonts w:ascii="黑体" w:hAnsi="黑体" w:eastAsia="黑体" w:cs="黑体"/>
          <w:color w:val="auto"/>
          <w:sz w:val="32"/>
          <w:szCs w:val="32"/>
        </w:rPr>
      </w:pPr>
      <w:bookmarkStart w:id="0" w:name="_Toc30291"/>
      <w:bookmarkStart w:id="1" w:name="_Toc15588"/>
      <w:bookmarkStart w:id="2" w:name="_Toc26981"/>
      <w:bookmarkStart w:id="3" w:name="OLE_LINK3"/>
    </w:p>
    <w:p w14:paraId="66AF0337">
      <w:pPr>
        <w:spacing w:line="360" w:lineRule="auto"/>
        <w:outlineLvl w:val="0"/>
        <w:rPr>
          <w:rFonts w:ascii="黑体" w:hAnsi="黑体" w:eastAsia="黑体" w:cs="黑体"/>
          <w:color w:val="auto"/>
          <w:sz w:val="32"/>
          <w:szCs w:val="32"/>
        </w:rPr>
      </w:pPr>
    </w:p>
    <w:p w14:paraId="76A9A66F">
      <w:pPr>
        <w:spacing w:line="360" w:lineRule="auto"/>
        <w:outlineLvl w:val="0"/>
        <w:rPr>
          <w:rFonts w:ascii="黑体" w:hAnsi="黑体" w:eastAsia="黑体" w:cs="黑体"/>
          <w:color w:val="auto"/>
          <w:sz w:val="32"/>
          <w:szCs w:val="32"/>
        </w:rPr>
      </w:pPr>
    </w:p>
    <w:p w14:paraId="7E3F794F">
      <w:pPr>
        <w:spacing w:line="360" w:lineRule="auto"/>
        <w:jc w:val="center"/>
        <w:outlineLvl w:val="0"/>
        <w:rPr>
          <w:rFonts w:ascii="宋体" w:hAnsi="宋体" w:cs="宋体"/>
          <w:color w:val="auto"/>
        </w:rPr>
      </w:pPr>
      <w:r>
        <w:rPr>
          <w:rFonts w:hint="eastAsia" w:ascii="黑体" w:hAnsi="黑体" w:eastAsia="黑体" w:cs="黑体"/>
          <w:color w:val="auto"/>
          <w:sz w:val="32"/>
          <w:szCs w:val="32"/>
        </w:rPr>
        <w:t>第一章 招标公告</w:t>
      </w:r>
      <w:bookmarkEnd w:id="0"/>
      <w:bookmarkEnd w:id="1"/>
      <w:bookmarkEnd w:id="2"/>
    </w:p>
    <w:p w14:paraId="2C74C1B9">
      <w:pPr>
        <w:pBdr>
          <w:top w:val="single" w:color="auto" w:sz="4" w:space="1"/>
          <w:left w:val="single" w:color="auto" w:sz="4" w:space="4"/>
          <w:bottom w:val="single" w:color="auto" w:sz="4" w:space="1"/>
          <w:right w:val="single" w:color="auto" w:sz="4" w:space="4"/>
        </w:pBdr>
        <w:spacing w:line="324" w:lineRule="auto"/>
        <w:ind w:firstLine="420" w:firstLineChars="200"/>
        <w:rPr>
          <w:rFonts w:ascii="宋体" w:hAnsi="宋体" w:cs="宋体"/>
          <w:color w:val="auto"/>
          <w:szCs w:val="21"/>
        </w:rPr>
      </w:pPr>
      <w:r>
        <w:rPr>
          <w:rFonts w:hint="eastAsia" w:ascii="宋体" w:hAnsi="宋体" w:cs="宋体"/>
          <w:color w:val="auto"/>
          <w:szCs w:val="21"/>
          <w:u w:val="single"/>
          <w:lang w:eastAsia="zh-CN"/>
        </w:rPr>
        <w:t>常山县农村垃圾中转站渗滤液集中转运处置项目（2025-2026年度）</w:t>
      </w:r>
      <w:r>
        <w:rPr>
          <w:rFonts w:hint="eastAsia" w:ascii="宋体" w:hAnsi="宋体" w:cs="宋体"/>
          <w:color w:val="auto"/>
          <w:szCs w:val="21"/>
        </w:rPr>
        <w:t>的潜在投标人应在政府采购云平台（www.zcygov.cn）上获取招标文件，并于</w:t>
      </w:r>
      <w:r>
        <w:rPr>
          <w:rFonts w:hint="eastAsia" w:ascii="宋体" w:hAnsi="宋体" w:cs="宋体"/>
          <w:b/>
          <w:bCs/>
          <w:color w:val="auto"/>
          <w:szCs w:val="21"/>
          <w:u w:val="single"/>
        </w:rPr>
        <w:t>202</w:t>
      </w:r>
      <w:r>
        <w:rPr>
          <w:rFonts w:hint="eastAsia" w:ascii="宋体" w:hAnsi="宋体" w:cs="宋体"/>
          <w:b/>
          <w:bCs/>
          <w:color w:val="auto"/>
          <w:szCs w:val="21"/>
          <w:u w:val="single"/>
          <w:lang w:val="en-US" w:eastAsia="zh-CN"/>
        </w:rPr>
        <w:t>5</w:t>
      </w:r>
      <w:r>
        <w:rPr>
          <w:rFonts w:hint="eastAsia" w:ascii="宋体" w:hAnsi="宋体" w:cs="宋体"/>
          <w:b/>
          <w:bCs/>
          <w:color w:val="auto"/>
          <w:szCs w:val="21"/>
          <w:u w:val="single"/>
        </w:rPr>
        <w:t>年</w:t>
      </w:r>
      <w:r>
        <w:rPr>
          <w:rFonts w:hint="eastAsia" w:ascii="宋体" w:hAnsi="宋体" w:cs="宋体"/>
          <w:b/>
          <w:bCs/>
          <w:color w:val="auto"/>
          <w:szCs w:val="21"/>
          <w:u w:val="single"/>
          <w:lang w:val="en-US" w:eastAsia="zh-CN"/>
        </w:rPr>
        <w:t>07</w:t>
      </w:r>
      <w:r>
        <w:rPr>
          <w:rFonts w:hint="eastAsia" w:ascii="宋体" w:hAnsi="宋体" w:cs="宋体"/>
          <w:b/>
          <w:bCs/>
          <w:color w:val="auto"/>
          <w:szCs w:val="21"/>
          <w:u w:val="single"/>
        </w:rPr>
        <w:t>月</w:t>
      </w:r>
      <w:r>
        <w:rPr>
          <w:rFonts w:hint="eastAsia" w:ascii="宋体" w:hAnsi="宋体" w:cs="宋体"/>
          <w:b/>
          <w:bCs/>
          <w:color w:val="auto"/>
          <w:szCs w:val="21"/>
          <w:u w:val="single"/>
          <w:lang w:val="en-US" w:eastAsia="zh-CN"/>
        </w:rPr>
        <w:t>28</w:t>
      </w:r>
      <w:r>
        <w:rPr>
          <w:rFonts w:hint="eastAsia" w:ascii="宋体" w:hAnsi="宋体" w:cs="宋体"/>
          <w:b/>
          <w:bCs/>
          <w:color w:val="auto"/>
          <w:szCs w:val="21"/>
          <w:u w:val="single"/>
        </w:rPr>
        <w:t>日</w:t>
      </w:r>
      <w:r>
        <w:rPr>
          <w:rFonts w:hint="eastAsia" w:ascii="宋体" w:hAnsi="宋体" w:cs="宋体"/>
          <w:b/>
          <w:bCs/>
          <w:color w:val="auto"/>
          <w:szCs w:val="21"/>
          <w:u w:val="single"/>
          <w:lang w:val="en-US" w:eastAsia="zh-CN"/>
        </w:rPr>
        <w:t>09</w:t>
      </w:r>
      <w:r>
        <w:rPr>
          <w:rFonts w:hint="eastAsia" w:ascii="宋体" w:hAnsi="宋体" w:cs="宋体"/>
          <w:b/>
          <w:bCs/>
          <w:color w:val="auto"/>
          <w:szCs w:val="21"/>
          <w:u w:val="single"/>
        </w:rPr>
        <w:t>时</w:t>
      </w:r>
      <w:r>
        <w:rPr>
          <w:rFonts w:hint="eastAsia" w:ascii="宋体" w:hAnsi="宋体" w:cs="宋体"/>
          <w:b/>
          <w:bCs/>
          <w:color w:val="auto"/>
          <w:szCs w:val="21"/>
          <w:u w:val="single"/>
          <w:lang w:val="en-US" w:eastAsia="zh-CN"/>
        </w:rPr>
        <w:t>30</w:t>
      </w:r>
      <w:r>
        <w:rPr>
          <w:rFonts w:hint="eastAsia" w:ascii="宋体" w:hAnsi="宋体" w:cs="宋体"/>
          <w:b/>
          <w:bCs/>
          <w:color w:val="auto"/>
          <w:szCs w:val="21"/>
          <w:u w:val="single"/>
        </w:rPr>
        <w:t>分</w:t>
      </w:r>
      <w:r>
        <w:rPr>
          <w:rFonts w:hint="eastAsia" w:ascii="宋体" w:hAnsi="宋体" w:cs="宋体"/>
          <w:bCs/>
          <w:color w:val="auto"/>
          <w:szCs w:val="21"/>
        </w:rPr>
        <w:t>（北京时间）前递交投标文件</w:t>
      </w:r>
      <w:r>
        <w:rPr>
          <w:rFonts w:hint="eastAsia" w:ascii="宋体" w:hAnsi="宋体" w:cs="宋体"/>
          <w:color w:val="auto"/>
          <w:szCs w:val="21"/>
        </w:rPr>
        <w:t>。</w:t>
      </w:r>
      <w:bookmarkStart w:id="4" w:name="_Toc28359079"/>
      <w:bookmarkStart w:id="5" w:name="_Toc35393790"/>
      <w:bookmarkStart w:id="6" w:name="_Toc35393621"/>
      <w:bookmarkStart w:id="7" w:name="_Toc28359002"/>
      <w:bookmarkStart w:id="8" w:name="_Hlk24379207"/>
    </w:p>
    <w:bookmarkEnd w:id="4"/>
    <w:bookmarkEnd w:id="5"/>
    <w:bookmarkEnd w:id="6"/>
    <w:bookmarkEnd w:id="7"/>
    <w:p w14:paraId="4D7E615C">
      <w:pPr>
        <w:spacing w:line="360" w:lineRule="auto"/>
        <w:rPr>
          <w:rFonts w:ascii="宋体" w:hAnsi="宋体" w:cs="宋体"/>
          <w:color w:val="auto"/>
          <w:szCs w:val="21"/>
        </w:rPr>
      </w:pPr>
      <w:r>
        <w:rPr>
          <w:rFonts w:hint="eastAsia" w:ascii="宋体" w:hAnsi="宋体" w:cs="宋体"/>
          <w:color w:val="auto"/>
          <w:szCs w:val="21"/>
        </w:rPr>
        <w:t>一、项目基本情况</w:t>
      </w:r>
    </w:p>
    <w:p w14:paraId="3F7DB7AC">
      <w:pPr>
        <w:spacing w:line="360" w:lineRule="auto"/>
        <w:ind w:firstLine="420" w:firstLineChars="200"/>
        <w:rPr>
          <w:rFonts w:hint="eastAsia" w:ascii="宋体" w:hAnsi="宋体" w:eastAsia="宋体" w:cs="宋体"/>
          <w:color w:val="auto"/>
          <w:szCs w:val="21"/>
          <w:lang w:eastAsia="zh-CN"/>
        </w:rPr>
      </w:pPr>
      <w:r>
        <w:rPr>
          <w:rFonts w:hint="eastAsia" w:ascii="宋体" w:hAnsi="宋体" w:cs="宋体"/>
          <w:color w:val="auto"/>
          <w:szCs w:val="21"/>
        </w:rPr>
        <w:t>项目编号：</w:t>
      </w:r>
      <w:r>
        <w:rPr>
          <w:rFonts w:hint="eastAsia" w:ascii="宋体" w:hAnsi="宋体" w:cs="宋体"/>
          <w:color w:val="auto"/>
          <w:kern w:val="0"/>
          <w:szCs w:val="21"/>
          <w:lang w:eastAsia="zh-CN"/>
        </w:rPr>
        <w:t>ZJLT-GK-2025021</w:t>
      </w:r>
    </w:p>
    <w:p w14:paraId="1267F27D">
      <w:pPr>
        <w:spacing w:line="360" w:lineRule="auto"/>
        <w:ind w:firstLine="420" w:firstLineChars="200"/>
        <w:rPr>
          <w:rFonts w:hint="eastAsia" w:ascii="宋体" w:hAnsi="宋体" w:eastAsia="宋体" w:cs="宋体"/>
          <w:color w:val="auto"/>
          <w:szCs w:val="21"/>
          <w:lang w:eastAsia="zh-CN"/>
        </w:rPr>
      </w:pPr>
      <w:r>
        <w:rPr>
          <w:rFonts w:hint="eastAsia" w:ascii="宋体" w:hAnsi="宋体" w:cs="宋体"/>
          <w:color w:val="auto"/>
          <w:szCs w:val="21"/>
        </w:rPr>
        <w:t>项目名称：</w:t>
      </w:r>
      <w:r>
        <w:rPr>
          <w:rFonts w:hint="eastAsia" w:ascii="宋体" w:hAnsi="宋体" w:cs="宋体"/>
          <w:color w:val="auto"/>
          <w:szCs w:val="21"/>
          <w:lang w:eastAsia="zh-CN"/>
        </w:rPr>
        <w:t>常山县农村垃圾中转站渗滤液集中转运处置项目（2025-2026年度）</w:t>
      </w:r>
    </w:p>
    <w:p w14:paraId="11665475">
      <w:pPr>
        <w:pStyle w:val="12"/>
        <w:spacing w:line="360" w:lineRule="auto"/>
        <w:ind w:left="0" w:leftChars="0" w:firstLine="420" w:firstLineChars="200"/>
        <w:rPr>
          <w:rFonts w:ascii="宋体" w:hAnsi="宋体" w:cs="宋体"/>
          <w:color w:val="auto"/>
          <w:szCs w:val="21"/>
        </w:rPr>
      </w:pPr>
      <w:r>
        <w:rPr>
          <w:rFonts w:hint="eastAsia" w:ascii="宋体" w:hAnsi="宋体" w:cs="宋体"/>
          <w:color w:val="auto"/>
          <w:szCs w:val="21"/>
        </w:rPr>
        <w:t>采购方式：公开招标</w:t>
      </w:r>
    </w:p>
    <w:bookmarkEnd w:id="8"/>
    <w:p w14:paraId="5EE19D14">
      <w:pPr>
        <w:spacing w:line="360" w:lineRule="auto"/>
        <w:ind w:firstLine="420" w:firstLineChars="200"/>
        <w:rPr>
          <w:rFonts w:ascii="宋体" w:hAnsi="宋体" w:cs="宋体"/>
          <w:color w:val="auto"/>
          <w:szCs w:val="21"/>
        </w:rPr>
      </w:pPr>
      <w:r>
        <w:rPr>
          <w:rFonts w:hint="eastAsia" w:ascii="宋体" w:hAnsi="宋体" w:cs="宋体"/>
          <w:color w:val="auto"/>
          <w:szCs w:val="21"/>
        </w:rPr>
        <w:t>预算金额：</w:t>
      </w:r>
      <w:r>
        <w:rPr>
          <w:rFonts w:hint="eastAsia" w:ascii="宋体" w:hAnsi="宋体" w:cs="宋体"/>
          <w:color w:val="auto"/>
          <w:szCs w:val="21"/>
          <w:lang w:val="en-US" w:eastAsia="zh-CN"/>
        </w:rPr>
        <w:t>159.993</w:t>
      </w:r>
      <w:r>
        <w:rPr>
          <w:rFonts w:hint="eastAsia" w:ascii="宋体" w:hAnsi="宋体" w:cs="宋体"/>
          <w:color w:val="auto"/>
          <w:szCs w:val="21"/>
        </w:rPr>
        <w:t>万元</w:t>
      </w:r>
      <w:r>
        <w:rPr>
          <w:rFonts w:hint="eastAsia" w:ascii="宋体" w:hAnsi="宋体" w:cs="宋体"/>
          <w:color w:val="auto"/>
          <w:szCs w:val="21"/>
          <w:lang w:eastAsia="zh-CN"/>
        </w:rPr>
        <w:t>（</w:t>
      </w:r>
      <w:r>
        <w:rPr>
          <w:rFonts w:hint="eastAsia" w:ascii="宋体" w:hAnsi="宋体" w:cs="宋体"/>
          <w:color w:val="auto"/>
          <w:szCs w:val="21"/>
          <w:lang w:val="en-US" w:eastAsia="zh-CN"/>
        </w:rPr>
        <w:t>79.9965万元/年</w:t>
      </w:r>
      <w:r>
        <w:rPr>
          <w:rFonts w:hint="eastAsia" w:ascii="宋体" w:hAnsi="宋体" w:cs="宋体"/>
          <w:color w:val="auto"/>
          <w:szCs w:val="21"/>
          <w:lang w:eastAsia="zh-CN"/>
        </w:rPr>
        <w:t>）</w:t>
      </w:r>
      <w:r>
        <w:rPr>
          <w:rFonts w:hint="eastAsia" w:ascii="宋体" w:hAnsi="宋体" w:cs="宋体"/>
          <w:color w:val="auto"/>
          <w:szCs w:val="21"/>
        </w:rPr>
        <w:t xml:space="preserve"> </w:t>
      </w:r>
    </w:p>
    <w:p w14:paraId="372A4DBB">
      <w:pPr>
        <w:spacing w:line="360" w:lineRule="auto"/>
        <w:ind w:firstLine="420" w:firstLineChars="200"/>
        <w:rPr>
          <w:rFonts w:ascii="宋体" w:hAnsi="宋体" w:cs="宋体"/>
          <w:color w:val="auto"/>
          <w:szCs w:val="21"/>
        </w:rPr>
      </w:pPr>
      <w:r>
        <w:rPr>
          <w:rFonts w:hint="eastAsia" w:ascii="宋体" w:hAnsi="宋体" w:cs="宋体"/>
          <w:color w:val="auto"/>
          <w:szCs w:val="21"/>
        </w:rPr>
        <w:t>采购需求：</w:t>
      </w:r>
    </w:p>
    <w:tbl>
      <w:tblPr>
        <w:tblStyle w:val="27"/>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0"/>
        <w:gridCol w:w="1155"/>
        <w:gridCol w:w="1335"/>
        <w:gridCol w:w="2295"/>
        <w:gridCol w:w="1665"/>
      </w:tblGrid>
      <w:tr w14:paraId="79D6A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2800" w:type="dxa"/>
            <w:vAlign w:val="center"/>
          </w:tcPr>
          <w:p w14:paraId="50B676D8">
            <w:pPr>
              <w:snapToGrid w:val="0"/>
              <w:spacing w:line="360" w:lineRule="auto"/>
              <w:jc w:val="center"/>
              <w:rPr>
                <w:rFonts w:ascii="宋体" w:hAnsi="宋体" w:cs="宋体"/>
                <w:color w:val="auto"/>
                <w:szCs w:val="21"/>
              </w:rPr>
            </w:pPr>
            <w:r>
              <w:rPr>
                <w:rFonts w:hint="eastAsia" w:ascii="宋体" w:hAnsi="宋体" w:cs="宋体"/>
                <w:color w:val="auto"/>
                <w:szCs w:val="21"/>
              </w:rPr>
              <w:t>采购内容</w:t>
            </w:r>
          </w:p>
        </w:tc>
        <w:tc>
          <w:tcPr>
            <w:tcW w:w="1155" w:type="dxa"/>
            <w:vAlign w:val="center"/>
          </w:tcPr>
          <w:p w14:paraId="43251C32">
            <w:pPr>
              <w:snapToGrid w:val="0"/>
              <w:spacing w:line="360" w:lineRule="auto"/>
              <w:jc w:val="center"/>
              <w:rPr>
                <w:rFonts w:ascii="宋体" w:hAnsi="宋体" w:cs="宋体"/>
                <w:color w:val="auto"/>
                <w:szCs w:val="21"/>
              </w:rPr>
            </w:pPr>
            <w:r>
              <w:rPr>
                <w:rFonts w:hint="eastAsia" w:ascii="宋体" w:hAnsi="宋体" w:cs="宋体"/>
                <w:color w:val="auto"/>
                <w:szCs w:val="21"/>
              </w:rPr>
              <w:t>数量</w:t>
            </w:r>
          </w:p>
        </w:tc>
        <w:tc>
          <w:tcPr>
            <w:tcW w:w="1335" w:type="dxa"/>
            <w:vAlign w:val="center"/>
          </w:tcPr>
          <w:p w14:paraId="14186ECF">
            <w:pPr>
              <w:snapToGrid w:val="0"/>
              <w:spacing w:line="360" w:lineRule="auto"/>
              <w:jc w:val="center"/>
              <w:rPr>
                <w:rFonts w:ascii="宋体" w:hAnsi="宋体" w:cs="宋体"/>
                <w:color w:val="auto"/>
                <w:szCs w:val="21"/>
              </w:rPr>
            </w:pPr>
            <w:r>
              <w:rPr>
                <w:rFonts w:hint="eastAsia" w:ascii="宋体" w:hAnsi="宋体" w:cs="宋体"/>
                <w:color w:val="auto"/>
                <w:szCs w:val="21"/>
              </w:rPr>
              <w:t>单位</w:t>
            </w:r>
          </w:p>
        </w:tc>
        <w:tc>
          <w:tcPr>
            <w:tcW w:w="2295" w:type="dxa"/>
            <w:vAlign w:val="center"/>
          </w:tcPr>
          <w:p w14:paraId="7CE1FD5E">
            <w:pPr>
              <w:snapToGrid w:val="0"/>
              <w:spacing w:line="360" w:lineRule="auto"/>
              <w:jc w:val="center"/>
              <w:rPr>
                <w:rFonts w:hint="eastAsia" w:ascii="宋体" w:hAnsi="宋体" w:eastAsia="宋体" w:cs="宋体"/>
                <w:color w:val="auto"/>
                <w:szCs w:val="21"/>
                <w:lang w:eastAsia="zh-CN"/>
              </w:rPr>
            </w:pPr>
            <w:r>
              <w:rPr>
                <w:rFonts w:hint="eastAsia" w:ascii="宋体" w:hAnsi="宋体" w:cs="宋体"/>
                <w:color w:val="auto"/>
                <w:szCs w:val="21"/>
                <w:lang w:eastAsia="zh-CN"/>
              </w:rPr>
              <w:t>单价最高限价</w:t>
            </w:r>
          </w:p>
        </w:tc>
        <w:tc>
          <w:tcPr>
            <w:tcW w:w="1665" w:type="dxa"/>
            <w:vAlign w:val="center"/>
          </w:tcPr>
          <w:p w14:paraId="450FECF5">
            <w:pPr>
              <w:snapToGrid w:val="0"/>
              <w:spacing w:line="360" w:lineRule="auto"/>
              <w:jc w:val="center"/>
              <w:rPr>
                <w:rFonts w:ascii="宋体" w:hAnsi="宋体" w:cs="宋体"/>
                <w:color w:val="auto"/>
                <w:szCs w:val="21"/>
              </w:rPr>
            </w:pPr>
            <w:r>
              <w:rPr>
                <w:rFonts w:hint="eastAsia" w:ascii="宋体" w:hAnsi="宋体" w:cs="宋体"/>
                <w:color w:val="auto"/>
                <w:szCs w:val="21"/>
              </w:rPr>
              <w:t>备注</w:t>
            </w:r>
          </w:p>
        </w:tc>
      </w:tr>
      <w:tr w14:paraId="3D4FA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2800" w:type="dxa"/>
            <w:vAlign w:val="center"/>
          </w:tcPr>
          <w:p w14:paraId="783C8879">
            <w:pPr>
              <w:spacing w:line="300" w:lineRule="exact"/>
              <w:jc w:val="center"/>
              <w:rPr>
                <w:rFonts w:ascii="宋体" w:hAnsi="宋体" w:cs="宋体"/>
                <w:color w:val="auto"/>
              </w:rPr>
            </w:pPr>
            <w:r>
              <w:rPr>
                <w:rFonts w:hint="eastAsia" w:ascii="宋体" w:hAnsi="宋体" w:cs="宋体"/>
                <w:color w:val="auto"/>
                <w:szCs w:val="21"/>
                <w:lang w:eastAsia="zh-CN"/>
              </w:rPr>
              <w:t>农村垃圾中转站渗滤液集中转运处置</w:t>
            </w:r>
          </w:p>
        </w:tc>
        <w:tc>
          <w:tcPr>
            <w:tcW w:w="1155" w:type="dxa"/>
            <w:vAlign w:val="center"/>
          </w:tcPr>
          <w:p w14:paraId="7661A35B">
            <w:pPr>
              <w:widowControl/>
              <w:spacing w:line="300" w:lineRule="exact"/>
              <w:jc w:val="center"/>
              <w:rPr>
                <w:rFonts w:hint="default" w:ascii="宋体" w:hAnsi="宋体" w:eastAsia="宋体" w:cs="宋体"/>
                <w:color w:val="auto"/>
                <w:szCs w:val="21"/>
                <w:lang w:val="en-US" w:eastAsia="zh-CN"/>
              </w:rPr>
            </w:pPr>
            <w:r>
              <w:rPr>
                <w:rFonts w:hint="eastAsia" w:ascii="宋体" w:hAnsi="宋体" w:cs="宋体"/>
                <w:color w:val="auto"/>
                <w:kern w:val="0"/>
                <w:szCs w:val="21"/>
                <w:lang w:val="en-US" w:eastAsia="zh-CN"/>
              </w:rPr>
              <w:t>4500</w:t>
            </w:r>
          </w:p>
        </w:tc>
        <w:tc>
          <w:tcPr>
            <w:tcW w:w="1335" w:type="dxa"/>
            <w:vAlign w:val="center"/>
          </w:tcPr>
          <w:p w14:paraId="6DC41C67">
            <w:pPr>
              <w:widowControl/>
              <w:spacing w:line="300" w:lineRule="exact"/>
              <w:jc w:val="center"/>
              <w:rPr>
                <w:rFonts w:hint="eastAsia" w:ascii="宋体" w:hAnsi="宋体" w:eastAsia="宋体" w:cs="宋体"/>
                <w:color w:val="auto"/>
                <w:szCs w:val="21"/>
                <w:lang w:eastAsia="zh-CN"/>
              </w:rPr>
            </w:pPr>
            <w:r>
              <w:rPr>
                <w:rFonts w:hint="eastAsia" w:ascii="宋体" w:hAnsi="宋体" w:cs="宋体"/>
                <w:color w:val="auto"/>
                <w:kern w:val="0"/>
                <w:szCs w:val="21"/>
                <w:lang w:eastAsia="zh-CN"/>
              </w:rPr>
              <w:t>吨</w:t>
            </w:r>
          </w:p>
        </w:tc>
        <w:tc>
          <w:tcPr>
            <w:tcW w:w="2295" w:type="dxa"/>
            <w:vAlign w:val="center"/>
          </w:tcPr>
          <w:p w14:paraId="26AC392E">
            <w:pPr>
              <w:widowControl/>
              <w:spacing w:line="300" w:lineRule="exact"/>
              <w:jc w:val="center"/>
              <w:rPr>
                <w:rFonts w:hint="default" w:ascii="宋体" w:hAnsi="宋体" w:cs="宋体"/>
                <w:color w:val="auto"/>
                <w:szCs w:val="21"/>
                <w:lang w:val="en-US"/>
              </w:rPr>
            </w:pPr>
            <w:r>
              <w:rPr>
                <w:rFonts w:hint="eastAsia" w:ascii="宋体" w:hAnsi="宋体" w:cs="宋体"/>
                <w:color w:val="auto"/>
                <w:szCs w:val="21"/>
                <w:lang w:val="en-US" w:eastAsia="zh-CN"/>
              </w:rPr>
              <w:t>177.77元/吨</w:t>
            </w:r>
          </w:p>
        </w:tc>
        <w:tc>
          <w:tcPr>
            <w:tcW w:w="1665" w:type="dxa"/>
            <w:vAlign w:val="center"/>
          </w:tcPr>
          <w:p w14:paraId="3B77B6C2">
            <w:pPr>
              <w:widowControl/>
              <w:spacing w:line="300" w:lineRule="exact"/>
              <w:jc w:val="center"/>
              <w:rPr>
                <w:rFonts w:ascii="宋体" w:hAnsi="宋体" w:cs="宋体"/>
                <w:color w:val="auto"/>
                <w:szCs w:val="21"/>
              </w:rPr>
            </w:pPr>
            <w:r>
              <w:rPr>
                <w:rFonts w:hint="eastAsia" w:ascii="宋体" w:hAnsi="宋体" w:cs="宋体"/>
                <w:color w:val="auto"/>
                <w:szCs w:val="21"/>
              </w:rPr>
              <w:t>详见本采购文件第三章</w:t>
            </w:r>
            <w:r>
              <w:rPr>
                <w:rFonts w:hint="eastAsia" w:ascii="宋体" w:hAnsi="宋体" w:cs="宋体"/>
                <w:color w:val="auto"/>
                <w:szCs w:val="21"/>
                <w:lang w:eastAsia="zh-CN"/>
              </w:rPr>
              <w:t>采购</w:t>
            </w:r>
            <w:r>
              <w:rPr>
                <w:rFonts w:hint="eastAsia" w:ascii="宋体" w:hAnsi="宋体" w:cs="宋体"/>
                <w:color w:val="auto"/>
                <w:szCs w:val="21"/>
              </w:rPr>
              <w:t xml:space="preserve">内容及要求 </w:t>
            </w:r>
          </w:p>
        </w:tc>
      </w:tr>
    </w:tbl>
    <w:p w14:paraId="4D54F155">
      <w:pPr>
        <w:spacing w:line="360" w:lineRule="auto"/>
        <w:ind w:firstLine="420" w:firstLineChars="200"/>
        <w:rPr>
          <w:rFonts w:ascii="宋体" w:hAnsi="宋体" w:cs="宋体"/>
          <w:color w:val="auto"/>
          <w:szCs w:val="21"/>
        </w:rPr>
      </w:pPr>
      <w:r>
        <w:rPr>
          <w:rFonts w:hint="eastAsia" w:ascii="宋体" w:hAnsi="宋体" w:cs="宋体"/>
          <w:color w:val="auto"/>
          <w:szCs w:val="21"/>
        </w:rPr>
        <w:t>合同履行期限：自合同签订并生效之日起</w:t>
      </w:r>
      <w:r>
        <w:rPr>
          <w:rFonts w:hint="eastAsia" w:ascii="宋体" w:hAnsi="宋体" w:cs="宋体"/>
          <w:color w:val="auto"/>
          <w:szCs w:val="21"/>
          <w:lang w:val="en-US" w:eastAsia="zh-CN"/>
        </w:rPr>
        <w:t>二</w:t>
      </w:r>
      <w:r>
        <w:rPr>
          <w:rFonts w:hint="eastAsia" w:ascii="宋体" w:hAnsi="宋体" w:cs="宋体"/>
          <w:color w:val="auto"/>
          <w:szCs w:val="21"/>
        </w:rPr>
        <w:t>年</w:t>
      </w:r>
    </w:p>
    <w:p w14:paraId="0948E78F">
      <w:pPr>
        <w:spacing w:line="360" w:lineRule="auto"/>
        <w:ind w:firstLine="420" w:firstLineChars="200"/>
        <w:rPr>
          <w:rFonts w:ascii="宋体" w:hAnsi="宋体" w:cs="宋体"/>
          <w:color w:val="auto"/>
          <w:szCs w:val="21"/>
        </w:rPr>
      </w:pPr>
      <w:r>
        <w:rPr>
          <w:rFonts w:hint="eastAsia" w:ascii="宋体" w:hAnsi="宋体" w:cs="宋体"/>
          <w:color w:val="auto"/>
          <w:szCs w:val="21"/>
        </w:rPr>
        <w:t>本项目不接受联合体投标。</w:t>
      </w:r>
      <w:bookmarkStart w:id="9" w:name="_Toc35393622"/>
      <w:bookmarkStart w:id="10" w:name="_Toc28359003"/>
      <w:bookmarkStart w:id="11" w:name="_Toc35393791"/>
      <w:bookmarkStart w:id="12" w:name="_Toc28359080"/>
    </w:p>
    <w:p w14:paraId="02BF97DF">
      <w:pPr>
        <w:spacing w:line="360" w:lineRule="auto"/>
        <w:rPr>
          <w:rFonts w:ascii="宋体" w:hAnsi="宋体" w:cs="宋体"/>
          <w:color w:val="auto"/>
          <w:szCs w:val="21"/>
        </w:rPr>
      </w:pPr>
      <w:r>
        <w:rPr>
          <w:rFonts w:hint="eastAsia" w:ascii="宋体" w:hAnsi="宋体" w:cs="宋体"/>
          <w:color w:val="auto"/>
          <w:szCs w:val="21"/>
        </w:rPr>
        <w:t>二、申请人的资格要求：</w:t>
      </w:r>
      <w:bookmarkEnd w:id="9"/>
      <w:bookmarkEnd w:id="10"/>
      <w:bookmarkEnd w:id="11"/>
      <w:bookmarkEnd w:id="12"/>
    </w:p>
    <w:p w14:paraId="18436480">
      <w:pPr>
        <w:spacing w:line="360" w:lineRule="auto"/>
        <w:ind w:firstLine="420" w:firstLineChars="200"/>
        <w:rPr>
          <w:rFonts w:ascii="宋体" w:hAnsi="宋体" w:cs="宋体"/>
          <w:color w:val="auto"/>
          <w:szCs w:val="21"/>
        </w:rPr>
      </w:pPr>
      <w:r>
        <w:rPr>
          <w:rFonts w:hint="eastAsia" w:ascii="宋体" w:hAnsi="宋体" w:cs="宋体"/>
          <w:color w:val="auto"/>
          <w:szCs w:val="21"/>
        </w:rPr>
        <w:t>1.满足《中华人民共和国政府采购法》第二十二条规定。</w:t>
      </w:r>
    </w:p>
    <w:p w14:paraId="10DC2FDC">
      <w:pPr>
        <w:spacing w:line="360" w:lineRule="auto"/>
        <w:ind w:firstLine="420" w:firstLineChars="200"/>
        <w:rPr>
          <w:rFonts w:ascii="宋体" w:hAnsi="宋体" w:cs="宋体"/>
          <w:color w:val="auto"/>
          <w:szCs w:val="21"/>
        </w:rPr>
      </w:pPr>
      <w:bookmarkStart w:id="13" w:name="_Toc28359081"/>
      <w:bookmarkStart w:id="14" w:name="_Toc28359004"/>
      <w:r>
        <w:rPr>
          <w:rFonts w:hint="eastAsia" w:ascii="宋体" w:hAnsi="宋体" w:cs="宋体"/>
          <w:color w:val="auto"/>
          <w:szCs w:val="21"/>
        </w:rPr>
        <w:t>2.落实政府采购政策需满足的资格要求：</w:t>
      </w:r>
      <w:r>
        <w:rPr>
          <w:rFonts w:hint="eastAsia" w:ascii="宋体" w:hAnsi="宋体" w:cs="宋体"/>
          <w:color w:val="auto"/>
          <w:szCs w:val="21"/>
          <w:highlight w:val="none"/>
          <w:lang w:eastAsia="zh-CN"/>
        </w:rPr>
        <w:t>本项目专门面向中小企业采购，供应商应为中小微企业</w:t>
      </w:r>
      <w:r>
        <w:rPr>
          <w:rFonts w:hint="eastAsia" w:ascii="宋体" w:hAnsi="宋体" w:cs="宋体"/>
          <w:color w:val="auto"/>
          <w:szCs w:val="21"/>
          <w:lang w:val="en-US" w:eastAsia="zh-CN"/>
        </w:rPr>
        <w:t>（监狱企业及残疾人福利性企业视同小型、微型企业）</w:t>
      </w:r>
      <w:r>
        <w:rPr>
          <w:rFonts w:hint="eastAsia" w:ascii="宋体" w:hAnsi="宋体" w:cs="宋体"/>
          <w:color w:val="auto"/>
          <w:szCs w:val="21"/>
          <w:highlight w:val="none"/>
        </w:rPr>
        <w:t>。</w:t>
      </w:r>
    </w:p>
    <w:p w14:paraId="324CFDAA">
      <w:pPr>
        <w:spacing w:line="360" w:lineRule="auto"/>
        <w:ind w:firstLine="420" w:firstLineChars="200"/>
        <w:rPr>
          <w:rFonts w:ascii="宋体" w:hAnsi="宋体" w:cs="宋体"/>
          <w:color w:val="auto"/>
          <w:szCs w:val="21"/>
        </w:rPr>
      </w:pPr>
      <w:r>
        <w:rPr>
          <w:rFonts w:hint="eastAsia" w:ascii="宋体" w:hAnsi="宋体" w:cs="宋体"/>
          <w:color w:val="auto"/>
          <w:szCs w:val="21"/>
        </w:rPr>
        <w:t>3.未被“信用中国”（www.creditchina.gov.cn）、中国政府采购网（www.ccgp.gov.cn）列入失信被执行人、重大税收违法案件当事人名单、政府采购严重违法失信行为记录名单。</w:t>
      </w:r>
      <w:bookmarkStart w:id="15" w:name="_Toc35393792"/>
      <w:bookmarkStart w:id="16" w:name="_Toc35393623"/>
    </w:p>
    <w:p w14:paraId="37F9D85E">
      <w:pPr>
        <w:spacing w:line="360" w:lineRule="auto"/>
        <w:rPr>
          <w:rFonts w:ascii="宋体" w:hAnsi="宋体" w:cs="宋体"/>
          <w:color w:val="auto"/>
          <w:szCs w:val="21"/>
        </w:rPr>
      </w:pPr>
      <w:r>
        <w:rPr>
          <w:rFonts w:hint="eastAsia" w:ascii="宋体" w:hAnsi="宋体" w:cs="宋体"/>
          <w:color w:val="auto"/>
          <w:szCs w:val="21"/>
        </w:rPr>
        <w:t>三、获取招标文件</w:t>
      </w:r>
      <w:bookmarkEnd w:id="13"/>
      <w:bookmarkEnd w:id="14"/>
      <w:bookmarkEnd w:id="15"/>
      <w:bookmarkEnd w:id="16"/>
    </w:p>
    <w:p w14:paraId="2C2E6F51">
      <w:pPr>
        <w:spacing w:line="324" w:lineRule="auto"/>
        <w:ind w:firstLine="420" w:firstLineChars="200"/>
        <w:rPr>
          <w:rFonts w:ascii="宋体" w:hAnsi="宋体" w:cs="宋体"/>
          <w:color w:val="auto"/>
          <w:szCs w:val="21"/>
        </w:rPr>
      </w:pPr>
      <w:bookmarkStart w:id="17" w:name="_Toc35393793"/>
      <w:bookmarkStart w:id="18" w:name="_Toc28359005"/>
      <w:bookmarkStart w:id="19" w:name="_Toc28359082"/>
      <w:bookmarkStart w:id="20" w:name="_Toc35393624"/>
      <w:r>
        <w:rPr>
          <w:rFonts w:hint="eastAsia" w:ascii="宋体" w:hAnsi="宋体" w:cs="宋体"/>
          <w:color w:val="auto"/>
          <w:szCs w:val="21"/>
        </w:rPr>
        <w:t>1.获取时间：公告发布之日起至投标文件递交截止时间前。</w:t>
      </w:r>
    </w:p>
    <w:p w14:paraId="0C1DC25E">
      <w:pPr>
        <w:spacing w:line="324" w:lineRule="auto"/>
        <w:ind w:firstLine="422" w:firstLineChars="200"/>
        <w:rPr>
          <w:rFonts w:ascii="宋体" w:hAnsi="宋体" w:cs="宋体"/>
          <w:color w:val="auto"/>
          <w:szCs w:val="21"/>
        </w:rPr>
      </w:pPr>
      <w:r>
        <w:rPr>
          <w:rFonts w:hint="eastAsia" w:ascii="宋体" w:hAnsi="宋体" w:cs="宋体"/>
          <w:b/>
          <w:color w:val="auto"/>
          <w:kern w:val="0"/>
          <w:szCs w:val="21"/>
        </w:rPr>
        <w:t>2.本项目采购文件实行在线获取，不提供采购文件纸质版。供应商获取采购文件前应先完成“政府采购云平台--政府采购供应商入驻”（网址：</w:t>
      </w:r>
      <w:r>
        <w:rPr>
          <w:rFonts w:hint="eastAsia" w:ascii="宋体" w:hAnsi="宋体" w:cs="宋体"/>
          <w:b/>
          <w:color w:val="auto"/>
          <w:kern w:val="0"/>
          <w:szCs w:val="21"/>
          <w:u w:val="single"/>
        </w:rPr>
        <w:t>https://middle.zcygov.cn/settle-front/#/registry）</w:t>
      </w:r>
      <w:r>
        <w:rPr>
          <w:rFonts w:hint="eastAsia" w:ascii="宋体" w:hAnsi="宋体" w:cs="宋体"/>
          <w:b/>
          <w:color w:val="auto"/>
          <w:kern w:val="0"/>
          <w:szCs w:val="21"/>
        </w:rPr>
        <w:t>；已注册供应商：（直接登录</w:t>
      </w:r>
      <w:r>
        <w:rPr>
          <w:rFonts w:hint="eastAsia" w:ascii="宋体" w:hAnsi="宋体" w:cs="宋体"/>
          <w:b/>
          <w:color w:val="auto"/>
          <w:kern w:val="0"/>
          <w:szCs w:val="21"/>
          <w:u w:val="single"/>
        </w:rPr>
        <w:t>https://login.zcygov.cn/user-login/#/login ）</w:t>
      </w:r>
      <w:r>
        <w:rPr>
          <w:rFonts w:hint="eastAsia" w:ascii="宋体" w:hAnsi="宋体" w:cs="宋体"/>
          <w:b/>
          <w:color w:val="auto"/>
          <w:kern w:val="0"/>
          <w:szCs w:val="21"/>
        </w:rPr>
        <w:t>。</w:t>
      </w:r>
    </w:p>
    <w:p w14:paraId="02CC207C">
      <w:pPr>
        <w:spacing w:line="324" w:lineRule="auto"/>
        <w:ind w:firstLine="420" w:firstLineChars="200"/>
        <w:rPr>
          <w:rFonts w:ascii="宋体" w:hAnsi="宋体" w:cs="宋体"/>
          <w:color w:val="auto"/>
          <w:szCs w:val="21"/>
        </w:rPr>
      </w:pPr>
      <w:r>
        <w:rPr>
          <w:rFonts w:hint="eastAsia" w:ascii="宋体" w:hAnsi="宋体" w:cs="宋体"/>
          <w:color w:val="auto"/>
          <w:szCs w:val="21"/>
        </w:rPr>
        <w:t>3.方式：潜在供应商登录政府采购云平台，在线申请获取采购文件（进入“项目采购”应用，在获取采购文件菜单中选择项目，申请获取采购文件，本项目采购文件不收取工本费；仅需浏览采购文件的供应商可点击“游客，浏览采购文件”直接下载采购文件浏览）；</w:t>
      </w:r>
    </w:p>
    <w:p w14:paraId="6C1164A4">
      <w:pPr>
        <w:spacing w:line="324" w:lineRule="auto"/>
        <w:ind w:firstLine="420" w:firstLineChars="200"/>
        <w:rPr>
          <w:rFonts w:ascii="宋体" w:hAnsi="宋体" w:cs="宋体"/>
          <w:color w:val="auto"/>
          <w:szCs w:val="21"/>
        </w:rPr>
      </w:pPr>
      <w:r>
        <w:rPr>
          <w:rFonts w:hint="eastAsia" w:ascii="宋体" w:hAnsi="宋体" w:cs="宋体"/>
          <w:color w:val="auto"/>
          <w:szCs w:val="21"/>
        </w:rPr>
        <w:t>4.提示：招标公告附件内的采购文件（或采购需求）仅供阅览使用，供应商只有在“政府采购云平台”完成获取采购文件申请并下载了采购文件后才视作依法获取采购文件（法律法规所指的供应商获取采购文件时间以供应商完成获取采购文件申请后下载采购文件的时间为准）。</w:t>
      </w:r>
    </w:p>
    <w:p w14:paraId="2C38737C">
      <w:pPr>
        <w:spacing w:line="324" w:lineRule="auto"/>
        <w:ind w:firstLine="422" w:firstLineChars="200"/>
        <w:rPr>
          <w:rFonts w:ascii="宋体" w:hAnsi="宋体" w:cs="宋体"/>
          <w:b/>
          <w:bCs/>
          <w:color w:val="auto"/>
          <w:szCs w:val="21"/>
          <w:highlight w:val="cyan"/>
        </w:rPr>
      </w:pPr>
      <w:r>
        <w:rPr>
          <w:rFonts w:hint="eastAsia" w:ascii="宋体" w:hAnsi="宋体" w:cs="宋体"/>
          <w:b/>
          <w:bCs/>
          <w:color w:val="auto"/>
          <w:szCs w:val="21"/>
          <w:highlight w:val="cyan"/>
        </w:rPr>
        <w:t>注：请供应商按上述要求获取采购文件，如未在“政采云”系统内完成相关流程，引起的投标无效责任自负。</w:t>
      </w:r>
    </w:p>
    <w:p w14:paraId="63E26473">
      <w:pPr>
        <w:spacing w:line="324" w:lineRule="auto"/>
        <w:rPr>
          <w:rFonts w:ascii="宋体" w:hAnsi="宋体" w:cs="宋体"/>
          <w:color w:val="auto"/>
          <w:szCs w:val="21"/>
        </w:rPr>
      </w:pPr>
      <w:r>
        <w:rPr>
          <w:rFonts w:hint="eastAsia" w:ascii="宋体" w:hAnsi="宋体" w:cs="宋体"/>
          <w:color w:val="auto"/>
          <w:szCs w:val="21"/>
        </w:rPr>
        <w:t>四、</w:t>
      </w:r>
      <w:bookmarkEnd w:id="17"/>
      <w:bookmarkEnd w:id="18"/>
      <w:bookmarkEnd w:id="19"/>
      <w:bookmarkEnd w:id="20"/>
      <w:r>
        <w:rPr>
          <w:rFonts w:hint="eastAsia" w:ascii="宋体" w:hAnsi="宋体" w:cs="宋体"/>
          <w:color w:val="auto"/>
          <w:szCs w:val="21"/>
        </w:rPr>
        <w:t>提交投标文件截止时间、开标时间和地点</w:t>
      </w:r>
    </w:p>
    <w:p w14:paraId="197A0E82">
      <w:pPr>
        <w:spacing w:line="324" w:lineRule="auto"/>
        <w:ind w:firstLine="420" w:firstLineChars="200"/>
        <w:rPr>
          <w:rFonts w:ascii="宋体" w:hAnsi="宋体" w:cs="宋体"/>
          <w:bCs/>
          <w:color w:val="auto"/>
          <w:szCs w:val="21"/>
        </w:rPr>
      </w:pPr>
      <w:r>
        <w:rPr>
          <w:rFonts w:hint="eastAsia" w:ascii="宋体" w:hAnsi="宋体" w:cs="宋体"/>
          <w:color w:val="auto"/>
          <w:szCs w:val="21"/>
        </w:rPr>
        <w:t>截止时间、开标时间：</w:t>
      </w:r>
      <w:r>
        <w:rPr>
          <w:rFonts w:hint="eastAsia" w:ascii="宋体" w:hAnsi="宋体" w:cs="宋体"/>
          <w:b/>
          <w:bCs/>
          <w:color w:val="auto"/>
          <w:szCs w:val="21"/>
          <w:u w:val="single"/>
        </w:rPr>
        <w:t>202</w:t>
      </w:r>
      <w:r>
        <w:rPr>
          <w:rFonts w:hint="eastAsia" w:ascii="宋体" w:hAnsi="宋体" w:cs="宋体"/>
          <w:b/>
          <w:bCs/>
          <w:color w:val="auto"/>
          <w:szCs w:val="21"/>
          <w:u w:val="single"/>
          <w:lang w:val="en-US" w:eastAsia="zh-CN"/>
        </w:rPr>
        <w:t>5</w:t>
      </w:r>
      <w:r>
        <w:rPr>
          <w:rFonts w:hint="eastAsia" w:ascii="宋体" w:hAnsi="宋体" w:cs="宋体"/>
          <w:b/>
          <w:bCs/>
          <w:color w:val="auto"/>
          <w:szCs w:val="21"/>
          <w:u w:val="single"/>
        </w:rPr>
        <w:t>年</w:t>
      </w:r>
      <w:r>
        <w:rPr>
          <w:rFonts w:hint="eastAsia" w:ascii="宋体" w:hAnsi="宋体" w:cs="宋体"/>
          <w:b/>
          <w:bCs/>
          <w:color w:val="auto"/>
          <w:szCs w:val="21"/>
          <w:u w:val="single"/>
          <w:lang w:val="en-US" w:eastAsia="zh-CN"/>
        </w:rPr>
        <w:t>07</w:t>
      </w:r>
      <w:r>
        <w:rPr>
          <w:rFonts w:hint="eastAsia" w:ascii="宋体" w:hAnsi="宋体" w:cs="宋体"/>
          <w:b/>
          <w:bCs/>
          <w:color w:val="auto"/>
          <w:szCs w:val="21"/>
          <w:u w:val="single"/>
        </w:rPr>
        <w:t>月</w:t>
      </w:r>
      <w:r>
        <w:rPr>
          <w:rFonts w:hint="eastAsia" w:ascii="宋体" w:hAnsi="宋体" w:cs="宋体"/>
          <w:b/>
          <w:bCs/>
          <w:color w:val="auto"/>
          <w:szCs w:val="21"/>
          <w:u w:val="single"/>
          <w:lang w:val="en-US" w:eastAsia="zh-CN"/>
        </w:rPr>
        <w:t>28</w:t>
      </w:r>
      <w:r>
        <w:rPr>
          <w:rFonts w:hint="eastAsia" w:ascii="宋体" w:hAnsi="宋体" w:cs="宋体"/>
          <w:b/>
          <w:bCs/>
          <w:color w:val="auto"/>
          <w:szCs w:val="21"/>
          <w:u w:val="single"/>
        </w:rPr>
        <w:t>日</w:t>
      </w:r>
      <w:r>
        <w:rPr>
          <w:rFonts w:hint="eastAsia" w:ascii="宋体" w:hAnsi="宋体" w:cs="宋体"/>
          <w:b/>
          <w:bCs/>
          <w:color w:val="auto"/>
          <w:szCs w:val="21"/>
          <w:u w:val="single"/>
          <w:lang w:val="en-US" w:eastAsia="zh-CN"/>
        </w:rPr>
        <w:t>09</w:t>
      </w:r>
      <w:r>
        <w:rPr>
          <w:rFonts w:hint="eastAsia" w:ascii="宋体" w:hAnsi="宋体" w:cs="宋体"/>
          <w:b/>
          <w:bCs/>
          <w:color w:val="auto"/>
          <w:szCs w:val="21"/>
          <w:u w:val="single"/>
        </w:rPr>
        <w:t>时</w:t>
      </w:r>
      <w:r>
        <w:rPr>
          <w:rFonts w:hint="eastAsia" w:ascii="宋体" w:hAnsi="宋体" w:cs="宋体"/>
          <w:b/>
          <w:bCs/>
          <w:color w:val="auto"/>
          <w:szCs w:val="21"/>
          <w:u w:val="single"/>
          <w:lang w:val="en-US" w:eastAsia="zh-CN"/>
        </w:rPr>
        <w:t>30</w:t>
      </w:r>
      <w:r>
        <w:rPr>
          <w:rFonts w:hint="eastAsia" w:ascii="宋体" w:hAnsi="宋体" w:cs="宋体"/>
          <w:b/>
          <w:bCs/>
          <w:color w:val="auto"/>
          <w:szCs w:val="21"/>
          <w:u w:val="single"/>
        </w:rPr>
        <w:t>分</w:t>
      </w:r>
      <w:r>
        <w:rPr>
          <w:rFonts w:hint="eastAsia" w:ascii="宋体" w:hAnsi="宋体" w:cs="宋体"/>
          <w:bCs/>
          <w:color w:val="auto"/>
          <w:szCs w:val="21"/>
          <w:u w:val="single"/>
        </w:rPr>
        <w:t>（</w:t>
      </w:r>
      <w:r>
        <w:rPr>
          <w:rFonts w:hint="eastAsia" w:ascii="宋体" w:hAnsi="宋体" w:cs="宋体"/>
          <w:bCs/>
          <w:color w:val="auto"/>
          <w:szCs w:val="21"/>
        </w:rPr>
        <w:t>北京时间）</w:t>
      </w:r>
    </w:p>
    <w:p w14:paraId="1476A49F">
      <w:pPr>
        <w:spacing w:line="324" w:lineRule="auto"/>
        <w:ind w:firstLine="420" w:firstLineChars="200"/>
        <w:rPr>
          <w:rFonts w:ascii="宋体" w:hAnsi="宋体" w:cs="宋体"/>
          <w:color w:val="auto"/>
          <w:szCs w:val="21"/>
        </w:rPr>
      </w:pPr>
      <w:r>
        <w:rPr>
          <w:rFonts w:hint="eastAsia" w:ascii="宋体" w:hAnsi="宋体" w:cs="宋体"/>
          <w:color w:val="auto"/>
          <w:szCs w:val="21"/>
        </w:rPr>
        <w:t>地点：政府采购云平台（www.zcygov.cn）</w:t>
      </w:r>
      <w:bookmarkStart w:id="21" w:name="_Toc35393794"/>
      <w:bookmarkStart w:id="22" w:name="_Toc28359084"/>
      <w:bookmarkStart w:id="23" w:name="_Toc35393625"/>
      <w:bookmarkStart w:id="24" w:name="_Toc28359007"/>
    </w:p>
    <w:p w14:paraId="1E4314BE">
      <w:pPr>
        <w:spacing w:line="324" w:lineRule="auto"/>
        <w:rPr>
          <w:rFonts w:ascii="宋体" w:hAnsi="宋体" w:cs="宋体"/>
          <w:color w:val="auto"/>
          <w:szCs w:val="21"/>
        </w:rPr>
      </w:pPr>
      <w:r>
        <w:rPr>
          <w:rFonts w:hint="eastAsia" w:ascii="宋体" w:hAnsi="宋体" w:cs="宋体"/>
          <w:color w:val="auto"/>
          <w:szCs w:val="21"/>
        </w:rPr>
        <w:t>五、公告期限</w:t>
      </w:r>
      <w:bookmarkEnd w:id="21"/>
      <w:bookmarkEnd w:id="22"/>
      <w:bookmarkEnd w:id="23"/>
      <w:bookmarkEnd w:id="24"/>
    </w:p>
    <w:p w14:paraId="33F6DD99">
      <w:pPr>
        <w:spacing w:line="324" w:lineRule="auto"/>
        <w:ind w:firstLine="420" w:firstLineChars="200"/>
        <w:rPr>
          <w:rFonts w:ascii="宋体" w:hAnsi="宋体" w:cs="宋体"/>
          <w:color w:val="auto"/>
          <w:kern w:val="0"/>
          <w:szCs w:val="21"/>
        </w:rPr>
      </w:pPr>
      <w:r>
        <w:rPr>
          <w:rFonts w:hint="eastAsia" w:ascii="宋体" w:hAnsi="宋体" w:cs="宋体"/>
          <w:color w:val="auto"/>
          <w:kern w:val="0"/>
          <w:szCs w:val="21"/>
        </w:rPr>
        <w:t>自本公告发布之日起5个工作日。</w:t>
      </w:r>
      <w:bookmarkStart w:id="25" w:name="_Toc35393626"/>
      <w:bookmarkStart w:id="26" w:name="_Toc35393795"/>
    </w:p>
    <w:bookmarkEnd w:id="25"/>
    <w:bookmarkEnd w:id="26"/>
    <w:p w14:paraId="6EFAE67B">
      <w:pPr>
        <w:pStyle w:val="3"/>
        <w:spacing w:before="100" w:after="100" w:line="324" w:lineRule="auto"/>
        <w:rPr>
          <w:rFonts w:hint="eastAsia" w:ascii="宋体" w:hAnsi="宋体" w:eastAsia="宋体" w:cs="宋体"/>
          <w:bCs w:val="0"/>
          <w:color w:val="auto"/>
          <w:sz w:val="21"/>
          <w:szCs w:val="21"/>
        </w:rPr>
      </w:pPr>
      <w:bookmarkStart w:id="27" w:name="_Toc28359085"/>
      <w:bookmarkStart w:id="28" w:name="_Toc35393796"/>
      <w:bookmarkStart w:id="29" w:name="_Toc35393627"/>
      <w:bookmarkStart w:id="30" w:name="_Toc28359008"/>
      <w:r>
        <w:rPr>
          <w:rFonts w:hint="eastAsia" w:ascii="宋体" w:hAnsi="宋体" w:eastAsia="宋体" w:cs="宋体"/>
          <w:bCs w:val="0"/>
          <w:color w:val="auto"/>
          <w:sz w:val="21"/>
          <w:szCs w:val="21"/>
        </w:rPr>
        <w:t>六、其他补充事宜</w:t>
      </w:r>
    </w:p>
    <w:p w14:paraId="46DDDDCF">
      <w:pPr>
        <w:spacing w:line="324" w:lineRule="auto"/>
        <w:ind w:firstLine="420" w:firstLineChars="200"/>
        <w:rPr>
          <w:rFonts w:hint="eastAsia"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lang w:val="en-US" w:eastAsia="zh-CN"/>
        </w:rPr>
        <w:t>.</w:t>
      </w:r>
      <w:r>
        <w:rPr>
          <w:rFonts w:hint="eastAsia" w:ascii="宋体" w:hAnsi="宋体" w:cs="宋体"/>
          <w:b/>
          <w:bCs/>
          <w:color w:val="auto"/>
          <w:szCs w:val="21"/>
        </w:rPr>
        <w:t>在线投标响应（电子投标）说明：</w:t>
      </w:r>
    </w:p>
    <w:p w14:paraId="6F64CB51">
      <w:pPr>
        <w:pStyle w:val="15"/>
        <w:wordWrap w:val="0"/>
        <w:snapToGrid w:val="0"/>
        <w:spacing w:line="324" w:lineRule="auto"/>
        <w:ind w:firstLine="420" w:firstLineChars="200"/>
        <w:rPr>
          <w:rFonts w:hint="eastAsia" w:hAnsi="宋体" w:cs="宋体"/>
          <w:b/>
          <w:color w:val="auto"/>
          <w:kern w:val="0"/>
          <w:highlight w:val="cyan"/>
        </w:rPr>
      </w:pPr>
      <w:r>
        <w:rPr>
          <w:rFonts w:hint="eastAsia" w:hAnsi="宋体" w:cs="宋体"/>
          <w:bCs/>
          <w:color w:val="auto"/>
          <w:kern w:val="0"/>
        </w:rPr>
        <w:t>（1）投标人应在投标前完成CA数字证书办理。（办理流程详见</w:t>
      </w:r>
      <w:r>
        <w:rPr>
          <w:rFonts w:hint="eastAsia" w:hAnsi="宋体" w:cs="宋体"/>
          <w:bCs/>
          <w:color w:val="auto"/>
          <w:kern w:val="0"/>
          <w:u w:val="single"/>
        </w:rPr>
        <w:fldChar w:fldCharType="begin"/>
      </w:r>
      <w:r>
        <w:rPr>
          <w:rFonts w:hint="eastAsia" w:hAnsi="宋体" w:cs="宋体"/>
          <w:bCs/>
          <w:color w:val="auto"/>
          <w:kern w:val="0"/>
          <w:u w:val="single"/>
        </w:rPr>
        <w:instrText xml:space="preserve"> HYPERLINK "http://zfcg.czt.zj.gov.cn/bidClientTemplate/2019-05-27/12945.html" </w:instrText>
      </w:r>
      <w:r>
        <w:rPr>
          <w:rFonts w:hint="eastAsia" w:hAnsi="宋体" w:cs="宋体"/>
          <w:bCs/>
          <w:color w:val="auto"/>
          <w:kern w:val="0"/>
          <w:u w:val="single"/>
        </w:rPr>
        <w:fldChar w:fldCharType="separate"/>
      </w:r>
      <w:r>
        <w:rPr>
          <w:rFonts w:hint="eastAsia" w:hAnsi="宋体" w:cs="宋体"/>
          <w:bCs/>
          <w:color w:val="auto"/>
          <w:kern w:val="0"/>
          <w:u w:val="single"/>
        </w:rPr>
        <w:t>http://zfcg.czt.zj.gov.cn/bidClientTemplate/2019-05-27/12945.html</w:t>
      </w:r>
      <w:r>
        <w:rPr>
          <w:rFonts w:hint="eastAsia" w:hAnsi="宋体" w:cs="宋体"/>
          <w:bCs/>
          <w:color w:val="auto"/>
          <w:kern w:val="0"/>
          <w:u w:val="single"/>
        </w:rPr>
        <w:fldChar w:fldCharType="end"/>
      </w:r>
      <w:r>
        <w:rPr>
          <w:rFonts w:hint="eastAsia" w:hAnsi="宋体" w:cs="宋体"/>
          <w:bCs/>
          <w:color w:val="auto"/>
          <w:kern w:val="0"/>
        </w:rPr>
        <w:t>，或登录“浙江政府采购网-下载专区-电子投标客户端-CA驱动和申领流程”）。</w:t>
      </w:r>
      <w:r>
        <w:rPr>
          <w:rFonts w:hint="eastAsia" w:hAnsi="宋体" w:cs="宋体"/>
          <w:b/>
          <w:color w:val="auto"/>
          <w:kern w:val="0"/>
          <w:highlight w:val="cyan"/>
        </w:rPr>
        <w:t>完成CA数字证书办理预计一周左右，建议各投标人抓紧时间办理。</w:t>
      </w:r>
    </w:p>
    <w:p w14:paraId="3C0F4720">
      <w:pPr>
        <w:pStyle w:val="15"/>
        <w:wordWrap w:val="0"/>
        <w:snapToGrid w:val="0"/>
        <w:spacing w:line="324" w:lineRule="auto"/>
        <w:ind w:firstLine="420" w:firstLineChars="200"/>
        <w:rPr>
          <w:rFonts w:hint="eastAsia" w:hAnsi="宋体" w:cs="宋体"/>
          <w:bCs/>
          <w:color w:val="auto"/>
          <w:kern w:val="0"/>
        </w:rPr>
      </w:pPr>
      <w:r>
        <w:rPr>
          <w:rFonts w:hint="eastAsia" w:hAnsi="宋体" w:cs="宋体"/>
          <w:bCs/>
          <w:color w:val="auto"/>
          <w:kern w:val="0"/>
        </w:rPr>
        <w:t>（2）投标人通过“政采云电子交易客户端”制作响应文件。（“政采云电子交易客户端”下载详见</w:t>
      </w:r>
      <w:r>
        <w:rPr>
          <w:rFonts w:hint="eastAsia" w:hAnsi="宋体" w:cs="宋体"/>
          <w:bCs/>
          <w:color w:val="auto"/>
          <w:kern w:val="0"/>
          <w:u w:val="single"/>
        </w:rPr>
        <w:fldChar w:fldCharType="begin"/>
      </w:r>
      <w:r>
        <w:rPr>
          <w:rFonts w:hint="eastAsia" w:hAnsi="宋体" w:cs="宋体"/>
          <w:bCs/>
          <w:color w:val="auto"/>
          <w:kern w:val="0"/>
          <w:u w:val="single"/>
        </w:rPr>
        <w:instrText xml:space="preserve"> HYPERLINK "http://zfcg.czt.zj.gov.cn/bidClientTemplate/2019-09-24/12975.html" </w:instrText>
      </w:r>
      <w:r>
        <w:rPr>
          <w:rFonts w:hint="eastAsia" w:hAnsi="宋体" w:cs="宋体"/>
          <w:bCs/>
          <w:color w:val="auto"/>
          <w:kern w:val="0"/>
          <w:u w:val="single"/>
        </w:rPr>
        <w:fldChar w:fldCharType="separate"/>
      </w:r>
      <w:r>
        <w:rPr>
          <w:rFonts w:hint="eastAsia" w:hAnsi="宋体" w:cs="宋体"/>
          <w:bCs/>
          <w:color w:val="auto"/>
          <w:kern w:val="0"/>
          <w:u w:val="single"/>
        </w:rPr>
        <w:t>http://zfcg.czt.zj.gov.cn/bidClientTemplate/2019-09-24/12975.html</w:t>
      </w:r>
      <w:r>
        <w:rPr>
          <w:rFonts w:hint="eastAsia" w:hAnsi="宋体" w:cs="宋体"/>
          <w:bCs/>
          <w:color w:val="auto"/>
          <w:kern w:val="0"/>
          <w:u w:val="single"/>
        </w:rPr>
        <w:fldChar w:fldCharType="end"/>
      </w:r>
      <w:r>
        <w:rPr>
          <w:rFonts w:hint="eastAsia" w:hAnsi="宋体" w:cs="宋体"/>
          <w:bCs/>
          <w:color w:val="auto"/>
          <w:kern w:val="0"/>
        </w:rPr>
        <w:t>或登录“ 浙江政府采购网-下载专区- 电子投标客户端- 政采云电子交易客户端”）。</w:t>
      </w:r>
    </w:p>
    <w:p w14:paraId="01053773">
      <w:pPr>
        <w:pStyle w:val="15"/>
        <w:wordWrap w:val="0"/>
        <w:snapToGrid w:val="0"/>
        <w:spacing w:line="324" w:lineRule="auto"/>
        <w:ind w:firstLine="420" w:firstLineChars="200"/>
        <w:rPr>
          <w:rFonts w:hint="eastAsia" w:hAnsi="宋体" w:cs="宋体"/>
          <w:bCs/>
          <w:color w:val="auto"/>
          <w:kern w:val="0"/>
        </w:rPr>
      </w:pPr>
      <w:r>
        <w:rPr>
          <w:rFonts w:hint="eastAsia" w:hAnsi="宋体" w:cs="宋体"/>
          <w:bCs/>
          <w:color w:val="auto"/>
          <w:kern w:val="0"/>
        </w:rPr>
        <w:t>（3）电子投标制作具体流程详见政府采购项目电子交易管理操作指南：【请投标供应商点击链接</w:t>
      </w:r>
      <w:r>
        <w:rPr>
          <w:rFonts w:hint="eastAsia" w:hAnsi="宋体" w:cs="宋体"/>
          <w:bCs/>
          <w:color w:val="auto"/>
          <w:kern w:val="0"/>
          <w:u w:val="single"/>
        </w:rPr>
        <w:t>https://service.zcygov.cn/#/knowledges/CW1EtGwBFdiHxlNd6I3m/6IMVAG0BFdiHxlNdQ8Na</w:t>
      </w:r>
      <w:r>
        <w:rPr>
          <w:rFonts w:hint="eastAsia" w:hAnsi="宋体" w:cs="宋体"/>
          <w:bCs/>
          <w:color w:val="auto"/>
          <w:kern w:val="0"/>
        </w:rPr>
        <w:t>或登录“政府采购云平台（www.zcygov.cn）”，从首页-服务中心-帮助文档-项目采购-操作流程-电子招投标，查看文档和视频】。供应商在使用系统进行投标的过程中遇到涉及平台使用的任何问题，可致电政府采购云平台技术支持热线咨询，联系方式：400-881-7190。</w:t>
      </w:r>
    </w:p>
    <w:p w14:paraId="757D8FE9">
      <w:pPr>
        <w:spacing w:line="324" w:lineRule="auto"/>
        <w:rPr>
          <w:rFonts w:hint="eastAsia" w:ascii="宋体" w:hAnsi="宋体" w:cs="宋体"/>
          <w:color w:val="auto"/>
          <w:szCs w:val="21"/>
        </w:rPr>
      </w:pPr>
      <w:r>
        <w:rPr>
          <w:rFonts w:hint="eastAsia" w:ascii="宋体" w:hAnsi="宋体" w:cs="宋体"/>
          <w:bCs/>
          <w:color w:val="auto"/>
          <w:kern w:val="0"/>
          <w:szCs w:val="21"/>
        </w:rPr>
        <w:t xml:space="preserve">   （</w:t>
      </w:r>
      <w:r>
        <w:rPr>
          <w:rFonts w:hint="eastAsia" w:ascii="宋体" w:hAnsi="宋体" w:cs="宋体"/>
          <w:b/>
          <w:color w:val="auto"/>
          <w:kern w:val="0"/>
          <w:szCs w:val="21"/>
        </w:rPr>
        <w:t>4）本项目投标文件的解密、报价文件确认等所使用的CA必须和制作</w:t>
      </w:r>
      <w:r>
        <w:rPr>
          <w:rFonts w:hint="eastAsia" w:ascii="宋体" w:hAnsi="宋体" w:cs="宋体"/>
          <w:b/>
          <w:color w:val="auto"/>
          <w:szCs w:val="21"/>
          <w:lang w:val="zh-CN"/>
        </w:rPr>
        <w:t>电子加密投标文件时使用的</w:t>
      </w:r>
      <w:r>
        <w:rPr>
          <w:rFonts w:hint="eastAsia" w:ascii="宋体" w:hAnsi="宋体" w:cs="宋体"/>
          <w:b/>
          <w:color w:val="auto"/>
          <w:szCs w:val="21"/>
        </w:rPr>
        <w:t>CA为</w:t>
      </w:r>
      <w:r>
        <w:rPr>
          <w:rFonts w:hint="eastAsia" w:ascii="宋体" w:hAnsi="宋体" w:cs="宋体"/>
          <w:b/>
          <w:color w:val="auto"/>
          <w:szCs w:val="21"/>
          <w:lang w:val="zh-CN"/>
        </w:rPr>
        <w:t>同一个。</w:t>
      </w:r>
      <w:r>
        <w:rPr>
          <w:rFonts w:hint="eastAsia" w:ascii="宋体" w:hAnsi="宋体" w:cs="宋体"/>
          <w:bCs/>
          <w:color w:val="auto"/>
          <w:kern w:val="0"/>
          <w:szCs w:val="21"/>
        </w:rPr>
        <w:t>为确保网上操作合法、有效和安全，投标供应商应当在投标截止时间前完成在“政府采购云平台”的身份认证，确保在电子投标过程中能够对相关数据电文进行加密和使用电子签章。</w:t>
      </w:r>
    </w:p>
    <w:p w14:paraId="7E44EC03">
      <w:pPr>
        <w:pStyle w:val="26"/>
        <w:spacing w:line="324" w:lineRule="auto"/>
        <w:ind w:left="0" w:leftChars="0" w:firstLine="0" w:firstLineChars="0"/>
        <w:rPr>
          <w:rFonts w:hint="eastAsia" w:ascii="宋体" w:hAnsi="宋体"/>
          <w:color w:val="auto"/>
        </w:rPr>
      </w:pPr>
      <w:r>
        <w:rPr>
          <w:rFonts w:hint="eastAsia" w:ascii="宋体" w:hAnsi="宋体"/>
          <w:color w:val="auto"/>
        </w:rPr>
        <w:t xml:space="preserve">   （5）本项目采用电子投标，供应商代表无需出席开标现场会议。开标时间前供应商登录“政府采购云平台”进入开标大厅等候开标。</w:t>
      </w:r>
    </w:p>
    <w:p w14:paraId="632D511E">
      <w:pPr>
        <w:keepNext w:val="0"/>
        <w:keepLines w:val="0"/>
        <w:pageBreakBefore w:val="0"/>
        <w:widowControl/>
        <w:numPr>
          <w:ilvl w:val="0"/>
          <w:numId w:val="0"/>
        </w:numPr>
        <w:kinsoku/>
        <w:wordWrap/>
        <w:topLinePunct w:val="0"/>
        <w:bidi w:val="0"/>
        <w:spacing w:line="324" w:lineRule="auto"/>
        <w:ind w:firstLine="420" w:firstLineChars="200"/>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b/>
          <w:bCs/>
          <w:color w:val="auto"/>
          <w:sz w:val="21"/>
          <w:szCs w:val="21"/>
        </w:rPr>
        <w:t>其他事项：</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1</w:t>
      </w:r>
      <w:r>
        <w:rPr>
          <w:rFonts w:hint="eastAsia" w:ascii="宋体" w:hAnsi="宋体" w:eastAsia="宋体" w:cs="宋体"/>
          <w:color w:val="auto"/>
          <w:sz w:val="21"/>
          <w:szCs w:val="21"/>
          <w:lang w:eastAsia="zh-CN"/>
        </w:rPr>
        <w:t>）</w:t>
      </w:r>
      <w:r>
        <w:rPr>
          <w:rStyle w:val="30"/>
          <w:rFonts w:hint="eastAsia" w:ascii="宋体" w:hAnsi="宋体" w:eastAsia="宋体" w:cs="宋体"/>
          <w:i w:val="0"/>
          <w:caps w:val="0"/>
          <w:color w:val="auto"/>
          <w:spacing w:val="0"/>
          <w:sz w:val="21"/>
          <w:szCs w:val="21"/>
        </w:rPr>
        <w:t>本采购项目，中标单位与采购单位签订的政府采购合同适用于</w:t>
      </w:r>
      <w:r>
        <w:rPr>
          <w:rStyle w:val="30"/>
          <w:rFonts w:hint="eastAsia" w:ascii="宋体" w:hAnsi="宋体" w:eastAsia="宋体" w:cs="宋体"/>
          <w:i w:val="0"/>
          <w:caps w:val="0"/>
          <w:color w:val="auto"/>
          <w:spacing w:val="0"/>
          <w:sz w:val="21"/>
          <w:szCs w:val="21"/>
          <w:lang w:eastAsia="zh-CN"/>
        </w:rPr>
        <w:t>衢州市常山县</w:t>
      </w:r>
      <w:r>
        <w:rPr>
          <w:rStyle w:val="30"/>
          <w:rFonts w:hint="eastAsia" w:ascii="宋体" w:hAnsi="宋体" w:eastAsia="宋体" w:cs="宋体"/>
          <w:i w:val="0"/>
          <w:caps w:val="0"/>
          <w:color w:val="auto"/>
          <w:spacing w:val="0"/>
          <w:sz w:val="21"/>
          <w:szCs w:val="21"/>
        </w:rPr>
        <w:t>政府采购贷款政策，简称“政采贷”，具体内容可参阅《</w:t>
      </w:r>
      <w:r>
        <w:rPr>
          <w:rStyle w:val="30"/>
          <w:rFonts w:hint="eastAsia" w:ascii="宋体" w:hAnsi="宋体" w:eastAsia="宋体" w:cs="宋体"/>
          <w:i w:val="0"/>
          <w:caps w:val="0"/>
          <w:color w:val="auto"/>
          <w:spacing w:val="0"/>
          <w:sz w:val="21"/>
          <w:szCs w:val="21"/>
          <w:lang w:eastAsia="zh-CN"/>
        </w:rPr>
        <w:t>常山县</w:t>
      </w:r>
      <w:r>
        <w:rPr>
          <w:rStyle w:val="30"/>
          <w:rFonts w:hint="eastAsia" w:ascii="宋体" w:hAnsi="宋体" w:eastAsia="宋体" w:cs="宋体"/>
          <w:i w:val="0"/>
          <w:caps w:val="0"/>
          <w:color w:val="auto"/>
          <w:spacing w:val="0"/>
          <w:sz w:val="21"/>
          <w:szCs w:val="21"/>
        </w:rPr>
        <w:t>“政采贷”办理指引》</w:t>
      </w:r>
      <w:r>
        <w:rPr>
          <w:rFonts w:hint="eastAsia" w:ascii="宋体" w:hAnsi="宋体" w:eastAsia="宋体" w:cs="宋体"/>
          <w:i w:val="0"/>
          <w:caps w:val="0"/>
          <w:color w:val="auto"/>
          <w:spacing w:val="0"/>
          <w:sz w:val="21"/>
          <w:szCs w:val="21"/>
          <w:u w:val="single"/>
        </w:rPr>
        <w:fldChar w:fldCharType="begin"/>
      </w:r>
      <w:r>
        <w:rPr>
          <w:rFonts w:hint="eastAsia" w:ascii="宋体" w:hAnsi="宋体" w:eastAsia="宋体" w:cs="宋体"/>
          <w:i w:val="0"/>
          <w:caps w:val="0"/>
          <w:color w:val="auto"/>
          <w:spacing w:val="0"/>
          <w:sz w:val="21"/>
          <w:szCs w:val="21"/>
          <w:u w:val="single"/>
        </w:rPr>
        <w:instrText xml:space="preserve"> HYPERLINK "https://mp.weixin.qq.com/s/S-lQ9FA7fuP62RywRqfelQ" </w:instrText>
      </w:r>
      <w:r>
        <w:rPr>
          <w:rFonts w:hint="eastAsia" w:ascii="宋体" w:hAnsi="宋体" w:eastAsia="宋体" w:cs="宋体"/>
          <w:i w:val="0"/>
          <w:caps w:val="0"/>
          <w:color w:val="auto"/>
          <w:spacing w:val="0"/>
          <w:sz w:val="21"/>
          <w:szCs w:val="21"/>
          <w:u w:val="single"/>
        </w:rPr>
        <w:fldChar w:fldCharType="separate"/>
      </w:r>
      <w:r>
        <w:rPr>
          <w:rStyle w:val="32"/>
          <w:rFonts w:hint="eastAsia" w:ascii="宋体" w:hAnsi="宋体" w:eastAsia="宋体" w:cs="宋体"/>
          <w:i w:val="0"/>
          <w:caps w:val="0"/>
          <w:color w:val="auto"/>
          <w:spacing w:val="0"/>
          <w:sz w:val="21"/>
          <w:szCs w:val="21"/>
          <w:u w:val="single"/>
        </w:rPr>
        <w:t>https://mp.weixin.qq.com/s/S-lQ9FA7fuP62RywRqfelQ</w:t>
      </w:r>
      <w:r>
        <w:rPr>
          <w:rFonts w:hint="eastAsia" w:ascii="宋体" w:hAnsi="宋体" w:eastAsia="宋体" w:cs="宋体"/>
          <w:i w:val="0"/>
          <w:caps w:val="0"/>
          <w:color w:val="auto"/>
          <w:spacing w:val="0"/>
          <w:sz w:val="21"/>
          <w:szCs w:val="21"/>
          <w:u w:val="single"/>
        </w:rPr>
        <w:fldChar w:fldCharType="end"/>
      </w:r>
      <w:r>
        <w:rPr>
          <w:rFonts w:hint="eastAsia" w:ascii="宋体" w:hAnsi="宋体" w:eastAsia="宋体" w:cs="宋体"/>
          <w:i w:val="0"/>
          <w:caps w:val="0"/>
          <w:color w:val="auto"/>
          <w:spacing w:val="0"/>
          <w:sz w:val="21"/>
          <w:szCs w:val="21"/>
          <w:lang w:eastAsia="zh-CN"/>
        </w:rPr>
        <w:t>。</w:t>
      </w:r>
    </w:p>
    <w:p w14:paraId="6192850D">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20" w:firstLineChars="200"/>
        <w:textAlignment w:val="auto"/>
        <w:rPr>
          <w:rFonts w:hint="eastAsia" w:ascii="宋体" w:hAnsi="宋体" w:eastAsia="宋体" w:cs="宋体"/>
          <w:color w:val="auto"/>
          <w:sz w:val="21"/>
          <w:szCs w:val="21"/>
          <w:highlight w:val="none"/>
          <w:lang w:val="en-US" w:eastAsia="zh-CN"/>
        </w:rPr>
      </w:pPr>
      <w:r>
        <w:rPr>
          <w:rFonts w:hint="eastAsia" w:cs="宋体"/>
          <w:color w:val="auto"/>
          <w:sz w:val="21"/>
          <w:szCs w:val="21"/>
          <w:lang w:val="en-US" w:eastAsia="zh-CN"/>
        </w:rPr>
        <w:t>3.</w:t>
      </w:r>
      <w:r>
        <w:rPr>
          <w:rFonts w:hint="eastAsia" w:ascii="宋体" w:hAnsi="宋体" w:eastAsia="宋体" w:cs="宋体"/>
          <w:color w:val="auto"/>
          <w:kern w:val="2"/>
          <w:sz w:val="21"/>
          <w:szCs w:val="21"/>
          <w:lang w:val="en-US" w:eastAsia="zh-CN" w:bidi="ar-SA"/>
        </w:rPr>
        <w:t>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D78ABFB">
      <w:pPr>
        <w:pStyle w:val="60"/>
        <w:spacing w:line="324" w:lineRule="auto"/>
        <w:rPr>
          <w:rFonts w:ascii="宋体" w:hAnsi="宋体" w:cs="宋体"/>
          <w:b/>
          <w:bCs/>
          <w:color w:val="auto"/>
          <w:szCs w:val="21"/>
        </w:rPr>
      </w:pPr>
      <w:r>
        <w:rPr>
          <w:rFonts w:hint="eastAsia" w:ascii="宋体" w:hAnsi="宋体" w:cs="宋体"/>
          <w:b/>
          <w:bCs/>
          <w:color w:val="auto"/>
          <w:szCs w:val="21"/>
        </w:rPr>
        <w:t>七、对本次招标提出询问，请按以下方式联系。</w:t>
      </w:r>
      <w:bookmarkEnd w:id="27"/>
      <w:bookmarkEnd w:id="28"/>
      <w:bookmarkEnd w:id="29"/>
      <w:bookmarkEnd w:id="30"/>
    </w:p>
    <w:p w14:paraId="239609A6">
      <w:pPr>
        <w:spacing w:line="360" w:lineRule="auto"/>
        <w:ind w:firstLine="420" w:firstLineChars="200"/>
        <w:rPr>
          <w:rFonts w:ascii="宋体" w:hAnsi="宋体" w:cs="宋体"/>
          <w:color w:val="auto"/>
          <w:szCs w:val="21"/>
        </w:rPr>
      </w:pPr>
      <w:r>
        <w:rPr>
          <w:rFonts w:hint="eastAsia" w:ascii="宋体" w:hAnsi="宋体" w:cs="宋体"/>
          <w:color w:val="auto"/>
          <w:szCs w:val="21"/>
        </w:rPr>
        <w:t>采购单位：</w:t>
      </w:r>
      <w:r>
        <w:rPr>
          <w:rFonts w:hint="eastAsia" w:ascii="宋体" w:hAnsi="宋体" w:cs="宋体"/>
          <w:color w:val="auto"/>
          <w:szCs w:val="21"/>
          <w:lang w:eastAsia="zh-CN"/>
        </w:rPr>
        <w:t>常山县农业农村局</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r>
        <w:rPr>
          <w:rFonts w:hint="eastAsia" w:ascii="宋体" w:hAnsi="宋体" w:cs="宋体"/>
          <w:color w:val="auto"/>
          <w:szCs w:val="21"/>
        </w:rPr>
        <w:t>地址：</w:t>
      </w:r>
      <w:r>
        <w:rPr>
          <w:rFonts w:hint="eastAsia" w:ascii="宋体" w:hAnsi="宋体" w:cs="宋体"/>
          <w:szCs w:val="21"/>
          <w:highlight w:val="none"/>
          <w:lang w:val="en-US" w:eastAsia="zh-CN"/>
        </w:rPr>
        <w:t>常山县天马街道渡口小区16幢</w:t>
      </w:r>
    </w:p>
    <w:p w14:paraId="0DA06231">
      <w:pPr>
        <w:spacing w:line="360" w:lineRule="auto"/>
        <w:ind w:firstLine="420" w:firstLineChars="200"/>
        <w:rPr>
          <w:rFonts w:ascii="宋体" w:hAnsi="宋体" w:cs="宋体"/>
          <w:color w:val="auto"/>
          <w:szCs w:val="21"/>
        </w:rPr>
      </w:pPr>
      <w:r>
        <w:rPr>
          <w:rFonts w:hint="eastAsia" w:ascii="宋体" w:hAnsi="宋体" w:cs="宋体"/>
          <w:color w:val="auto"/>
          <w:szCs w:val="21"/>
        </w:rPr>
        <w:t>联系人：</w:t>
      </w:r>
      <w:r>
        <w:rPr>
          <w:rFonts w:hint="eastAsia" w:ascii="宋体" w:hAnsi="宋体" w:cs="宋体"/>
          <w:color w:val="auto"/>
          <w:szCs w:val="21"/>
          <w:lang w:eastAsia="zh-CN"/>
        </w:rPr>
        <w:t>祝先生</w:t>
      </w:r>
      <w:r>
        <w:rPr>
          <w:rFonts w:hint="eastAsia" w:ascii="宋体" w:hAnsi="宋体" w:cs="宋体"/>
          <w:color w:val="auto"/>
          <w:szCs w:val="21"/>
        </w:rPr>
        <w:t xml:space="preserve">                               联系电话：18857008602</w:t>
      </w:r>
    </w:p>
    <w:p w14:paraId="612181EC">
      <w:pPr>
        <w:spacing w:line="360" w:lineRule="auto"/>
        <w:ind w:firstLine="420" w:firstLineChars="200"/>
        <w:rPr>
          <w:rFonts w:ascii="宋体" w:hAnsi="宋体" w:cs="宋体"/>
          <w:color w:val="auto"/>
          <w:szCs w:val="21"/>
        </w:rPr>
      </w:pPr>
      <w:r>
        <w:rPr>
          <w:rFonts w:hint="eastAsia" w:ascii="宋体" w:hAnsi="宋体" w:cs="宋体"/>
          <w:color w:val="auto"/>
          <w:szCs w:val="21"/>
        </w:rPr>
        <w:t>质疑联系人：</w:t>
      </w:r>
      <w:r>
        <w:rPr>
          <w:rFonts w:hint="eastAsia" w:ascii="宋体" w:hAnsi="宋体" w:cs="宋体"/>
          <w:color w:val="auto"/>
          <w:szCs w:val="21"/>
          <w:lang w:eastAsia="zh-CN"/>
        </w:rPr>
        <w:t>杨女士</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r>
        <w:rPr>
          <w:rFonts w:hint="eastAsia" w:ascii="宋体" w:hAnsi="宋体" w:cs="宋体"/>
          <w:color w:val="auto"/>
          <w:szCs w:val="21"/>
        </w:rPr>
        <w:t>联系电话：0570-5025974 </w:t>
      </w:r>
    </w:p>
    <w:p w14:paraId="3A82516B">
      <w:pPr>
        <w:spacing w:line="360" w:lineRule="auto"/>
        <w:ind w:firstLine="420" w:firstLineChars="200"/>
        <w:rPr>
          <w:rFonts w:ascii="宋体" w:hAnsi="宋体" w:cs="宋体"/>
          <w:color w:val="auto"/>
          <w:szCs w:val="21"/>
        </w:rPr>
      </w:pPr>
      <w:r>
        <w:rPr>
          <w:rFonts w:hint="eastAsia" w:ascii="宋体" w:hAnsi="宋体" w:cs="宋体"/>
          <w:color w:val="auto"/>
          <w:szCs w:val="21"/>
        </w:rPr>
        <w:t xml:space="preserve">   </w:t>
      </w:r>
    </w:p>
    <w:p w14:paraId="6AAAD878">
      <w:pPr>
        <w:pStyle w:val="26"/>
        <w:spacing w:after="0" w:line="360" w:lineRule="auto"/>
        <w:ind w:left="0" w:leftChars="0" w:firstLineChars="200"/>
        <w:rPr>
          <w:rFonts w:ascii="宋体" w:hAnsi="宋体"/>
          <w:color w:val="auto"/>
        </w:rPr>
      </w:pPr>
      <w:r>
        <w:rPr>
          <w:rFonts w:hint="eastAsia" w:ascii="宋体" w:hAnsi="宋体"/>
          <w:color w:val="auto"/>
        </w:rPr>
        <w:t>采购代理机构：</w:t>
      </w:r>
      <w:r>
        <w:rPr>
          <w:rFonts w:hint="eastAsia" w:ascii="宋体" w:hAnsi="宋体"/>
          <w:color w:val="auto"/>
          <w:lang w:eastAsia="zh-CN"/>
        </w:rPr>
        <w:t>浙江联腾工程咨询有限公司</w:t>
      </w:r>
      <w:r>
        <w:rPr>
          <w:rFonts w:hint="eastAsia" w:ascii="宋体" w:hAnsi="宋体"/>
          <w:color w:val="auto"/>
        </w:rPr>
        <w:t xml:space="preserve">       地址：常山县天马街道白龙路10-1幢六楼</w:t>
      </w:r>
    </w:p>
    <w:p w14:paraId="212EDD9F">
      <w:pPr>
        <w:spacing w:line="360" w:lineRule="auto"/>
        <w:ind w:firstLine="420" w:firstLineChars="200"/>
        <w:rPr>
          <w:rFonts w:ascii="宋体" w:hAnsi="宋体" w:cs="宋体"/>
          <w:color w:val="auto"/>
          <w:szCs w:val="21"/>
        </w:rPr>
      </w:pPr>
      <w:r>
        <w:rPr>
          <w:rFonts w:hint="eastAsia" w:ascii="宋体" w:hAnsi="宋体" w:cs="宋体"/>
          <w:color w:val="auto"/>
          <w:szCs w:val="21"/>
        </w:rPr>
        <w:t>联系人：</w:t>
      </w:r>
      <w:r>
        <w:rPr>
          <w:rFonts w:hint="eastAsia" w:ascii="宋体" w:hAnsi="宋体" w:cs="宋体"/>
          <w:color w:val="auto"/>
          <w:szCs w:val="21"/>
          <w:lang w:eastAsia="zh-CN"/>
        </w:rPr>
        <w:t>曾倩</w:t>
      </w:r>
      <w:r>
        <w:rPr>
          <w:rFonts w:hint="eastAsia" w:ascii="宋体" w:hAnsi="宋体" w:cs="宋体"/>
          <w:color w:val="auto"/>
          <w:szCs w:val="21"/>
        </w:rPr>
        <w:t xml:space="preserve">                                 联系电话：0570-5013088</w:t>
      </w:r>
    </w:p>
    <w:p w14:paraId="4402330D">
      <w:pPr>
        <w:spacing w:line="360" w:lineRule="auto"/>
        <w:ind w:firstLine="420" w:firstLineChars="200"/>
        <w:rPr>
          <w:rFonts w:ascii="宋体" w:hAnsi="宋体" w:cs="宋体"/>
          <w:color w:val="auto"/>
          <w:szCs w:val="21"/>
        </w:rPr>
      </w:pPr>
      <w:r>
        <w:rPr>
          <w:rFonts w:hint="eastAsia" w:ascii="宋体" w:hAnsi="宋体" w:cs="宋体"/>
          <w:color w:val="auto"/>
          <w:szCs w:val="21"/>
        </w:rPr>
        <w:t>质疑联系人：</w:t>
      </w:r>
      <w:r>
        <w:rPr>
          <w:rFonts w:hint="eastAsia" w:ascii="宋体" w:hAnsi="宋体" w:cs="宋体"/>
          <w:color w:val="auto"/>
          <w:szCs w:val="21"/>
          <w:lang w:eastAsia="zh-CN"/>
        </w:rPr>
        <w:t>鄢芝</w:t>
      </w:r>
      <w:r>
        <w:rPr>
          <w:rFonts w:hint="eastAsia" w:ascii="宋体" w:hAnsi="宋体" w:cs="宋体"/>
          <w:color w:val="auto"/>
          <w:szCs w:val="21"/>
        </w:rPr>
        <w:t xml:space="preserve">                             联系电话：0570-5016719</w:t>
      </w:r>
    </w:p>
    <w:p w14:paraId="0B967896">
      <w:pPr>
        <w:spacing w:line="360" w:lineRule="auto"/>
        <w:ind w:firstLine="399" w:firstLineChars="190"/>
        <w:jc w:val="right"/>
        <w:rPr>
          <w:rFonts w:ascii="宋体" w:hAnsi="宋体" w:cs="宋体"/>
          <w:color w:val="auto"/>
          <w:szCs w:val="21"/>
        </w:rPr>
      </w:pPr>
    </w:p>
    <w:p w14:paraId="68DE3ED3">
      <w:pPr>
        <w:pStyle w:val="25"/>
        <w:ind w:firstLine="420" w:firstLineChars="20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同级政府采购监督管理部门：常山县财政局政府采购监管科</w:t>
      </w:r>
    </w:p>
    <w:p w14:paraId="44C9A976">
      <w:pPr>
        <w:pStyle w:val="25"/>
        <w:ind w:firstLine="24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 地    址：常山县天马街道定阳北路415号</w:t>
      </w:r>
    </w:p>
    <w:p w14:paraId="2497390B">
      <w:pPr>
        <w:pStyle w:val="25"/>
        <w:ind w:firstLine="24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 联 系 人：李</w:t>
      </w:r>
      <w:r>
        <w:rPr>
          <w:rFonts w:hint="eastAsia" w:ascii="宋体" w:hAnsi="宋体" w:cs="宋体"/>
          <w:color w:val="auto"/>
          <w:kern w:val="2"/>
          <w:sz w:val="21"/>
          <w:szCs w:val="21"/>
          <w:lang w:val="en-US" w:eastAsia="zh-CN" w:bidi="ar-SA"/>
        </w:rPr>
        <w:t>科长</w:t>
      </w:r>
    </w:p>
    <w:p w14:paraId="6A86158A">
      <w:pPr>
        <w:pStyle w:val="25"/>
        <w:ind w:firstLine="24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 监督投诉电话：0570-5015373</w:t>
      </w:r>
    </w:p>
    <w:p w14:paraId="301D26A0">
      <w:pPr>
        <w:pStyle w:val="25"/>
        <w:ind w:firstLine="240"/>
        <w:rPr>
          <w:color w:val="auto"/>
        </w:rPr>
      </w:pPr>
    </w:p>
    <w:p w14:paraId="68A8D887">
      <w:pPr>
        <w:pStyle w:val="21"/>
        <w:rPr>
          <w:color w:val="auto"/>
        </w:rPr>
      </w:pPr>
    </w:p>
    <w:p w14:paraId="67F4C45F">
      <w:pPr>
        <w:pStyle w:val="25"/>
        <w:ind w:firstLine="210"/>
        <w:jc w:val="right"/>
        <w:rPr>
          <w:rFonts w:ascii="宋体" w:hAnsi="宋体" w:cs="宋体"/>
          <w:color w:val="auto"/>
          <w:sz w:val="21"/>
          <w:szCs w:val="21"/>
        </w:rPr>
      </w:pPr>
      <w:r>
        <w:rPr>
          <w:rFonts w:hint="eastAsia" w:ascii="宋体" w:hAnsi="宋体" w:cs="宋体"/>
          <w:color w:val="auto"/>
          <w:sz w:val="21"/>
          <w:szCs w:val="21"/>
        </w:rPr>
        <w:t>202</w:t>
      </w:r>
      <w:r>
        <w:rPr>
          <w:rFonts w:hint="eastAsia" w:ascii="宋体" w:hAnsi="宋体" w:cs="宋体"/>
          <w:color w:val="auto"/>
          <w:sz w:val="21"/>
          <w:szCs w:val="21"/>
          <w:lang w:val="en-US" w:eastAsia="zh-CN"/>
        </w:rPr>
        <w:t>5</w:t>
      </w:r>
      <w:r>
        <w:rPr>
          <w:rFonts w:hint="eastAsia" w:ascii="宋体" w:hAnsi="宋体" w:cs="宋体"/>
          <w:color w:val="auto"/>
          <w:sz w:val="21"/>
          <w:szCs w:val="21"/>
        </w:rPr>
        <w:t xml:space="preserve"> 年</w:t>
      </w:r>
      <w:r>
        <w:rPr>
          <w:rFonts w:hint="eastAsia" w:ascii="宋体" w:hAnsi="宋体" w:cs="宋体"/>
          <w:color w:val="auto"/>
          <w:sz w:val="21"/>
          <w:szCs w:val="21"/>
          <w:lang w:val="en-US" w:eastAsia="zh-CN"/>
        </w:rPr>
        <w:t>07</w:t>
      </w:r>
      <w:r>
        <w:rPr>
          <w:rFonts w:hint="eastAsia" w:ascii="宋体" w:hAnsi="宋体" w:cs="宋体"/>
          <w:color w:val="auto"/>
          <w:sz w:val="21"/>
          <w:szCs w:val="21"/>
        </w:rPr>
        <w:t>月</w:t>
      </w:r>
    </w:p>
    <w:bookmarkEnd w:id="3"/>
    <w:p w14:paraId="346AEACE">
      <w:pPr>
        <w:pStyle w:val="2"/>
        <w:numPr>
          <w:ilvl w:val="0"/>
          <w:numId w:val="1"/>
        </w:numPr>
        <w:spacing w:line="360" w:lineRule="auto"/>
        <w:rPr>
          <w:rFonts w:ascii="黑体" w:hAnsi="黑体" w:eastAsia="黑体" w:cs="黑体"/>
          <w:color w:val="auto"/>
          <w:sz w:val="32"/>
          <w:szCs w:val="32"/>
        </w:rPr>
      </w:pPr>
      <w:bookmarkStart w:id="31" w:name="_Toc221374622"/>
      <w:bookmarkStart w:id="32" w:name="_Toc249758860"/>
      <w:bookmarkStart w:id="33" w:name="_Toc239145350"/>
      <w:bookmarkStart w:id="34" w:name="_Toc223715994"/>
      <w:bookmarkStart w:id="35" w:name="_Toc410031812"/>
      <w:bookmarkStart w:id="36" w:name="_Toc241404198"/>
      <w:bookmarkStart w:id="37" w:name="_Toc221356947"/>
      <w:bookmarkStart w:id="38" w:name="_Toc249758708"/>
      <w:bookmarkStart w:id="39" w:name="_Toc221423615"/>
      <w:bookmarkStart w:id="40" w:name="_Toc262105499"/>
      <w:bookmarkStart w:id="41" w:name="_Toc262049414"/>
      <w:bookmarkStart w:id="42" w:name="_Toc246261261"/>
      <w:bookmarkStart w:id="43" w:name="_Toc245722277"/>
      <w:bookmarkStart w:id="44" w:name="_Toc221356882"/>
      <w:bookmarkStart w:id="45" w:name="_Toc245191310"/>
      <w:bookmarkStart w:id="46" w:name="_Toc222114875"/>
      <w:r>
        <w:rPr>
          <w:rFonts w:hint="eastAsia" w:ascii="黑体" w:hAnsi="黑体" w:eastAsia="黑体" w:cs="黑体"/>
          <w:b w:val="0"/>
          <w:bCs w:val="0"/>
          <w:color w:val="auto"/>
          <w:sz w:val="32"/>
          <w:szCs w:val="32"/>
        </w:rPr>
        <w:br w:type="page"/>
      </w:r>
      <w:bookmarkStart w:id="47" w:name="_Toc21799"/>
      <w:bookmarkStart w:id="48" w:name="_Toc2510"/>
      <w:bookmarkStart w:id="49" w:name="_Toc19851"/>
      <w:r>
        <w:rPr>
          <w:rFonts w:hint="eastAsia" w:ascii="宋体" w:hAnsi="宋体" w:eastAsia="宋体" w:cs="宋体"/>
          <w:b/>
          <w:bCs/>
          <w:color w:val="auto"/>
          <w:sz w:val="32"/>
          <w:szCs w:val="32"/>
        </w:rPr>
        <w:t xml:space="preserve">  投标人须知</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Start w:id="50" w:name="_Toc5389"/>
      <w:r>
        <w:rPr>
          <w:rFonts w:hint="eastAsia" w:ascii="宋体" w:hAnsi="宋体" w:eastAsia="宋体" w:cs="宋体"/>
          <w:b/>
          <w:bCs/>
          <w:color w:val="auto"/>
          <w:sz w:val="32"/>
          <w:szCs w:val="32"/>
        </w:rPr>
        <w:t>前附表</w:t>
      </w:r>
      <w:bookmarkEnd w:id="50"/>
    </w:p>
    <w:tbl>
      <w:tblPr>
        <w:tblStyle w:val="27"/>
        <w:tblW w:w="9884" w:type="dxa"/>
        <w:tblInd w:w="3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919"/>
        <w:gridCol w:w="7095"/>
      </w:tblGrid>
      <w:tr w14:paraId="2EF52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666F1574">
            <w:pPr>
              <w:autoSpaceDE w:val="0"/>
              <w:autoSpaceDN w:val="0"/>
              <w:adjustRightInd w:val="0"/>
              <w:jc w:val="center"/>
              <w:rPr>
                <w:rFonts w:eastAsia="Times New Roman"/>
                <w:color w:val="auto"/>
                <w:kern w:val="0"/>
                <w:sz w:val="36"/>
                <w:szCs w:val="36"/>
              </w:rPr>
            </w:pPr>
            <w:r>
              <w:rPr>
                <w:rFonts w:hint="eastAsia" w:ascii="宋体" w:hAnsi="宋体" w:eastAsia="Times New Roman"/>
                <w:b/>
                <w:color w:val="auto"/>
                <w:kern w:val="0"/>
                <w:sz w:val="20"/>
                <w:szCs w:val="20"/>
                <w:lang w:val="zh-CN"/>
              </w:rPr>
              <w:t>序号</w:t>
            </w:r>
          </w:p>
        </w:tc>
        <w:tc>
          <w:tcPr>
            <w:tcW w:w="1919" w:type="dxa"/>
            <w:vAlign w:val="center"/>
          </w:tcPr>
          <w:p w14:paraId="77494EAD">
            <w:pPr>
              <w:autoSpaceDE w:val="0"/>
              <w:autoSpaceDN w:val="0"/>
              <w:adjustRightInd w:val="0"/>
              <w:jc w:val="center"/>
              <w:rPr>
                <w:rFonts w:eastAsia="Times New Roman"/>
                <w:color w:val="auto"/>
                <w:kern w:val="0"/>
                <w:sz w:val="36"/>
                <w:szCs w:val="36"/>
              </w:rPr>
            </w:pPr>
            <w:r>
              <w:rPr>
                <w:rFonts w:hint="eastAsia" w:ascii="宋体" w:hAnsi="宋体" w:eastAsia="Times New Roman"/>
                <w:b/>
                <w:color w:val="auto"/>
                <w:kern w:val="0"/>
                <w:sz w:val="20"/>
                <w:szCs w:val="20"/>
                <w:lang w:val="zh-CN"/>
              </w:rPr>
              <w:t>项  目</w:t>
            </w:r>
          </w:p>
        </w:tc>
        <w:tc>
          <w:tcPr>
            <w:tcW w:w="7095" w:type="dxa"/>
            <w:vAlign w:val="center"/>
          </w:tcPr>
          <w:p w14:paraId="7467C2B8">
            <w:pPr>
              <w:autoSpaceDE w:val="0"/>
              <w:autoSpaceDN w:val="0"/>
              <w:adjustRightInd w:val="0"/>
              <w:jc w:val="center"/>
              <w:rPr>
                <w:rFonts w:eastAsia="Times New Roman"/>
                <w:color w:val="auto"/>
                <w:kern w:val="0"/>
                <w:sz w:val="36"/>
                <w:szCs w:val="36"/>
              </w:rPr>
            </w:pPr>
            <w:r>
              <w:rPr>
                <w:rFonts w:hint="eastAsia" w:ascii="宋体" w:hAnsi="宋体" w:eastAsia="Times New Roman"/>
                <w:b/>
                <w:color w:val="auto"/>
                <w:kern w:val="0"/>
                <w:sz w:val="20"/>
                <w:szCs w:val="20"/>
                <w:lang w:val="zh-CN"/>
              </w:rPr>
              <w:t>内   容</w:t>
            </w:r>
          </w:p>
        </w:tc>
      </w:tr>
      <w:tr w14:paraId="042F7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5D7E1EC9">
            <w:pPr>
              <w:numPr>
                <w:ilvl w:val="0"/>
                <w:numId w:val="2"/>
              </w:numPr>
              <w:autoSpaceDE w:val="0"/>
              <w:autoSpaceDN w:val="0"/>
              <w:adjustRightInd w:val="0"/>
              <w:spacing w:line="400" w:lineRule="exact"/>
              <w:jc w:val="center"/>
              <w:rPr>
                <w:rFonts w:ascii="宋体" w:hAnsi="宋体" w:eastAsia="Times New Roman" w:cs="宋体"/>
                <w:color w:val="auto"/>
                <w:kern w:val="0"/>
                <w:szCs w:val="21"/>
              </w:rPr>
            </w:pPr>
          </w:p>
        </w:tc>
        <w:tc>
          <w:tcPr>
            <w:tcW w:w="1919" w:type="dxa"/>
            <w:vAlign w:val="center"/>
          </w:tcPr>
          <w:p w14:paraId="13B93666">
            <w:pPr>
              <w:autoSpaceDE w:val="0"/>
              <w:autoSpaceDN w:val="0"/>
              <w:adjustRightInd w:val="0"/>
              <w:spacing w:line="400" w:lineRule="exact"/>
              <w:jc w:val="left"/>
              <w:rPr>
                <w:rFonts w:ascii="宋体" w:hAnsi="宋体" w:eastAsia="Times New Roman" w:cs="宋体"/>
                <w:color w:val="auto"/>
                <w:kern w:val="0"/>
                <w:szCs w:val="21"/>
              </w:rPr>
            </w:pPr>
            <w:r>
              <w:rPr>
                <w:rFonts w:hint="eastAsia" w:ascii="宋体" w:hAnsi="宋体" w:eastAsia="Times New Roman" w:cs="宋体"/>
                <w:color w:val="auto"/>
                <w:kern w:val="0"/>
                <w:szCs w:val="21"/>
                <w:lang w:val="zh-CN"/>
              </w:rPr>
              <w:t>项目名称</w:t>
            </w:r>
          </w:p>
        </w:tc>
        <w:tc>
          <w:tcPr>
            <w:tcW w:w="7095" w:type="dxa"/>
            <w:vAlign w:val="center"/>
          </w:tcPr>
          <w:p w14:paraId="2F0D6F05">
            <w:pPr>
              <w:autoSpaceDE w:val="0"/>
              <w:autoSpaceDN w:val="0"/>
              <w:adjustRightInd w:val="0"/>
              <w:spacing w:line="400" w:lineRule="exact"/>
              <w:rPr>
                <w:rFonts w:hint="eastAsia" w:ascii="宋体" w:hAnsi="宋体" w:eastAsia="宋体" w:cs="宋体"/>
                <w:color w:val="auto"/>
                <w:kern w:val="0"/>
                <w:szCs w:val="21"/>
                <w:lang w:eastAsia="zh-CN"/>
              </w:rPr>
            </w:pPr>
            <w:r>
              <w:rPr>
                <w:rFonts w:hint="eastAsia" w:ascii="宋体" w:hAnsi="宋体" w:cs="宋体"/>
                <w:color w:val="auto"/>
                <w:kern w:val="0"/>
                <w:szCs w:val="21"/>
                <w:lang w:eastAsia="zh-CN"/>
              </w:rPr>
              <w:t>常山县农村垃圾中转站渗滤液集中转运处置项目（2025-2026年度）</w:t>
            </w:r>
          </w:p>
        </w:tc>
      </w:tr>
      <w:tr w14:paraId="34679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12D05E5A">
            <w:pPr>
              <w:numPr>
                <w:ilvl w:val="0"/>
                <w:numId w:val="2"/>
              </w:numPr>
              <w:autoSpaceDE w:val="0"/>
              <w:autoSpaceDN w:val="0"/>
              <w:adjustRightInd w:val="0"/>
              <w:spacing w:line="400" w:lineRule="exact"/>
              <w:jc w:val="center"/>
              <w:rPr>
                <w:rFonts w:ascii="宋体" w:hAnsi="宋体" w:eastAsia="Times New Roman" w:cs="宋体"/>
                <w:color w:val="auto"/>
                <w:kern w:val="0"/>
                <w:szCs w:val="21"/>
              </w:rPr>
            </w:pPr>
          </w:p>
        </w:tc>
        <w:tc>
          <w:tcPr>
            <w:tcW w:w="1919" w:type="dxa"/>
            <w:vAlign w:val="center"/>
          </w:tcPr>
          <w:p w14:paraId="1B7E8E8F">
            <w:pPr>
              <w:autoSpaceDE w:val="0"/>
              <w:autoSpaceDN w:val="0"/>
              <w:adjustRightInd w:val="0"/>
              <w:spacing w:line="400" w:lineRule="exact"/>
              <w:jc w:val="left"/>
              <w:rPr>
                <w:rFonts w:ascii="宋体" w:hAnsi="宋体" w:eastAsia="Times New Roman" w:cs="宋体"/>
                <w:color w:val="auto"/>
                <w:kern w:val="0"/>
                <w:szCs w:val="21"/>
              </w:rPr>
            </w:pPr>
            <w:r>
              <w:rPr>
                <w:rFonts w:hint="eastAsia" w:ascii="宋体" w:hAnsi="宋体" w:eastAsia="Times New Roman" w:cs="宋体"/>
                <w:color w:val="auto"/>
                <w:kern w:val="0"/>
                <w:szCs w:val="21"/>
                <w:lang w:val="zh-CN"/>
              </w:rPr>
              <w:t>招标内容及需求</w:t>
            </w:r>
          </w:p>
        </w:tc>
        <w:tc>
          <w:tcPr>
            <w:tcW w:w="7095" w:type="dxa"/>
            <w:vAlign w:val="center"/>
          </w:tcPr>
          <w:p w14:paraId="0A5FAFD4">
            <w:pPr>
              <w:autoSpaceDE w:val="0"/>
              <w:autoSpaceDN w:val="0"/>
              <w:adjustRightInd w:val="0"/>
              <w:spacing w:line="400" w:lineRule="exact"/>
              <w:rPr>
                <w:rFonts w:ascii="宋体" w:hAnsi="宋体" w:eastAsia="Times New Roman" w:cs="宋体"/>
                <w:color w:val="auto"/>
                <w:kern w:val="0"/>
                <w:szCs w:val="21"/>
              </w:rPr>
            </w:pPr>
            <w:r>
              <w:rPr>
                <w:rFonts w:hint="eastAsia" w:ascii="宋体" w:hAnsi="宋体" w:eastAsia="Times New Roman" w:cs="宋体"/>
                <w:color w:val="auto"/>
                <w:kern w:val="0"/>
                <w:szCs w:val="21"/>
                <w:lang w:val="zh-CN"/>
              </w:rPr>
              <w:t>详见招标文件第</w:t>
            </w:r>
            <w:r>
              <w:rPr>
                <w:rFonts w:hint="eastAsia" w:ascii="宋体" w:hAnsi="宋体" w:eastAsia="Times New Roman" w:cs="宋体"/>
                <w:color w:val="auto"/>
                <w:kern w:val="0"/>
                <w:szCs w:val="21"/>
              </w:rPr>
              <w:t>三章“</w:t>
            </w:r>
            <w:r>
              <w:rPr>
                <w:rFonts w:hint="eastAsia" w:ascii="宋体" w:hAnsi="宋体" w:eastAsia="宋体" w:cs="宋体"/>
                <w:color w:val="auto"/>
                <w:kern w:val="0"/>
                <w:szCs w:val="21"/>
                <w:lang w:val="en-US" w:eastAsia="zh-CN"/>
              </w:rPr>
              <w:t>采购</w:t>
            </w:r>
            <w:r>
              <w:rPr>
                <w:rFonts w:hint="eastAsia" w:ascii="宋体" w:hAnsi="宋体" w:eastAsia="Times New Roman" w:cs="宋体"/>
                <w:color w:val="auto"/>
                <w:kern w:val="0"/>
                <w:szCs w:val="21"/>
              </w:rPr>
              <w:t>内容及要求”</w:t>
            </w:r>
          </w:p>
        </w:tc>
      </w:tr>
      <w:tr w14:paraId="18965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6366038E">
            <w:pPr>
              <w:numPr>
                <w:ilvl w:val="0"/>
                <w:numId w:val="2"/>
              </w:numPr>
              <w:autoSpaceDE w:val="0"/>
              <w:autoSpaceDN w:val="0"/>
              <w:adjustRightInd w:val="0"/>
              <w:spacing w:line="400" w:lineRule="exact"/>
              <w:jc w:val="center"/>
              <w:rPr>
                <w:rFonts w:ascii="宋体" w:hAnsi="宋体" w:eastAsia="Times New Roman" w:cs="宋体"/>
                <w:color w:val="auto"/>
                <w:kern w:val="0"/>
                <w:szCs w:val="21"/>
              </w:rPr>
            </w:pPr>
          </w:p>
        </w:tc>
        <w:tc>
          <w:tcPr>
            <w:tcW w:w="1919" w:type="dxa"/>
            <w:vAlign w:val="center"/>
          </w:tcPr>
          <w:p w14:paraId="30C48973">
            <w:pPr>
              <w:autoSpaceDE w:val="0"/>
              <w:autoSpaceDN w:val="0"/>
              <w:adjustRightInd w:val="0"/>
              <w:spacing w:line="400" w:lineRule="exact"/>
              <w:jc w:val="left"/>
              <w:rPr>
                <w:rFonts w:ascii="宋体" w:hAnsi="宋体" w:eastAsia="Times New Roman" w:cs="宋体"/>
                <w:color w:val="auto"/>
                <w:kern w:val="0"/>
                <w:szCs w:val="21"/>
              </w:rPr>
            </w:pPr>
            <w:r>
              <w:rPr>
                <w:rFonts w:hint="eastAsia" w:ascii="宋体" w:hAnsi="宋体" w:eastAsia="Times New Roman" w:cs="宋体"/>
                <w:color w:val="auto"/>
                <w:kern w:val="0"/>
                <w:szCs w:val="21"/>
                <w:lang w:val="zh-CN"/>
              </w:rPr>
              <w:t>投标资格要求</w:t>
            </w:r>
          </w:p>
        </w:tc>
        <w:tc>
          <w:tcPr>
            <w:tcW w:w="7095" w:type="dxa"/>
            <w:vAlign w:val="center"/>
          </w:tcPr>
          <w:p w14:paraId="4F4FDAC1">
            <w:pPr>
              <w:autoSpaceDE w:val="0"/>
              <w:autoSpaceDN w:val="0"/>
              <w:adjustRightInd w:val="0"/>
              <w:spacing w:line="400" w:lineRule="exact"/>
              <w:rPr>
                <w:rFonts w:ascii="宋体" w:hAnsi="宋体" w:eastAsia="Times New Roman" w:cs="宋体"/>
                <w:color w:val="auto"/>
                <w:kern w:val="0"/>
                <w:szCs w:val="21"/>
              </w:rPr>
            </w:pPr>
            <w:r>
              <w:rPr>
                <w:rFonts w:hint="eastAsia" w:ascii="宋体" w:hAnsi="宋体" w:eastAsia="Times New Roman" w:cs="宋体"/>
                <w:color w:val="auto"/>
                <w:kern w:val="0"/>
                <w:szCs w:val="21"/>
                <w:lang w:val="zh-CN"/>
              </w:rPr>
              <w:t>详见第一章“招标公告”</w:t>
            </w:r>
          </w:p>
        </w:tc>
      </w:tr>
      <w:tr w14:paraId="42DC2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3295ABE5">
            <w:pPr>
              <w:numPr>
                <w:ilvl w:val="0"/>
                <w:numId w:val="2"/>
              </w:numPr>
              <w:autoSpaceDE w:val="0"/>
              <w:autoSpaceDN w:val="0"/>
              <w:adjustRightInd w:val="0"/>
              <w:spacing w:line="400" w:lineRule="exact"/>
              <w:jc w:val="center"/>
              <w:rPr>
                <w:rFonts w:ascii="宋体" w:hAnsi="宋体" w:eastAsia="Times New Roman" w:cs="宋体"/>
                <w:color w:val="auto"/>
                <w:kern w:val="0"/>
                <w:szCs w:val="21"/>
              </w:rPr>
            </w:pPr>
          </w:p>
        </w:tc>
        <w:tc>
          <w:tcPr>
            <w:tcW w:w="1919" w:type="dxa"/>
            <w:vAlign w:val="center"/>
          </w:tcPr>
          <w:p w14:paraId="52ED1B15">
            <w:pPr>
              <w:autoSpaceDE w:val="0"/>
              <w:autoSpaceDN w:val="0"/>
              <w:adjustRightInd w:val="0"/>
              <w:spacing w:line="400" w:lineRule="exact"/>
              <w:jc w:val="left"/>
              <w:rPr>
                <w:rFonts w:ascii="宋体" w:hAnsi="宋体" w:eastAsia="Times New Roman" w:cs="宋体"/>
                <w:color w:val="auto"/>
                <w:kern w:val="0"/>
                <w:szCs w:val="21"/>
              </w:rPr>
            </w:pPr>
            <w:r>
              <w:rPr>
                <w:rFonts w:hint="eastAsia" w:ascii="宋体" w:hAnsi="宋体" w:eastAsia="Times New Roman" w:cs="宋体"/>
                <w:color w:val="auto"/>
                <w:kern w:val="0"/>
                <w:szCs w:val="21"/>
                <w:lang w:val="zh-CN"/>
              </w:rPr>
              <w:t>投标有效期</w:t>
            </w:r>
          </w:p>
        </w:tc>
        <w:tc>
          <w:tcPr>
            <w:tcW w:w="7095" w:type="dxa"/>
            <w:vAlign w:val="center"/>
          </w:tcPr>
          <w:p w14:paraId="3DF7D8E3">
            <w:pPr>
              <w:autoSpaceDE w:val="0"/>
              <w:autoSpaceDN w:val="0"/>
              <w:adjustRightInd w:val="0"/>
              <w:spacing w:line="400" w:lineRule="exact"/>
              <w:rPr>
                <w:rFonts w:ascii="宋体" w:hAnsi="宋体" w:eastAsia="Times New Roman" w:cs="宋体"/>
                <w:color w:val="auto"/>
                <w:kern w:val="0"/>
                <w:szCs w:val="21"/>
              </w:rPr>
            </w:pPr>
            <w:r>
              <w:rPr>
                <w:rFonts w:hint="eastAsia" w:ascii="宋体" w:hAnsi="宋体" w:eastAsia="Times New Roman" w:cs="宋体"/>
                <w:color w:val="auto"/>
                <w:kern w:val="0"/>
                <w:szCs w:val="21"/>
                <w:lang w:val="zh-CN"/>
              </w:rPr>
              <w:t>投标书递交</w:t>
            </w:r>
            <w:r>
              <w:rPr>
                <w:rFonts w:hint="eastAsia" w:ascii="宋体" w:hAnsi="宋体" w:eastAsia="Times New Roman" w:cs="宋体"/>
                <w:color w:val="auto"/>
                <w:kern w:val="0"/>
                <w:szCs w:val="21"/>
              </w:rPr>
              <w:t>90</w:t>
            </w:r>
            <w:r>
              <w:rPr>
                <w:rFonts w:hint="eastAsia" w:ascii="宋体" w:hAnsi="宋体" w:eastAsia="Times New Roman" w:cs="宋体"/>
                <w:color w:val="auto"/>
                <w:kern w:val="0"/>
                <w:szCs w:val="21"/>
                <w:lang w:val="zh-CN"/>
              </w:rPr>
              <w:t>天内有效</w:t>
            </w:r>
          </w:p>
        </w:tc>
      </w:tr>
      <w:tr w14:paraId="6909A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755396C0">
            <w:pPr>
              <w:numPr>
                <w:ilvl w:val="0"/>
                <w:numId w:val="2"/>
              </w:numPr>
              <w:autoSpaceDE w:val="0"/>
              <w:autoSpaceDN w:val="0"/>
              <w:adjustRightInd w:val="0"/>
              <w:spacing w:line="400" w:lineRule="exact"/>
              <w:jc w:val="center"/>
              <w:rPr>
                <w:rFonts w:ascii="宋体" w:hAnsi="宋体" w:eastAsia="Times New Roman" w:cs="宋体"/>
                <w:color w:val="auto"/>
                <w:kern w:val="0"/>
                <w:szCs w:val="21"/>
              </w:rPr>
            </w:pPr>
          </w:p>
        </w:tc>
        <w:tc>
          <w:tcPr>
            <w:tcW w:w="1919" w:type="dxa"/>
            <w:vAlign w:val="center"/>
          </w:tcPr>
          <w:p w14:paraId="6871ED59">
            <w:pPr>
              <w:autoSpaceDE w:val="0"/>
              <w:autoSpaceDN w:val="0"/>
              <w:adjustRightInd w:val="0"/>
              <w:spacing w:line="400" w:lineRule="exact"/>
              <w:jc w:val="left"/>
              <w:rPr>
                <w:rFonts w:ascii="宋体" w:hAnsi="宋体" w:eastAsia="Times New Roman" w:cs="宋体"/>
                <w:color w:val="auto"/>
                <w:kern w:val="0"/>
                <w:szCs w:val="21"/>
              </w:rPr>
            </w:pPr>
            <w:r>
              <w:rPr>
                <w:rFonts w:hint="eastAsia" w:ascii="宋体" w:hAnsi="宋体" w:eastAsia="Times New Roman" w:cs="宋体"/>
                <w:color w:val="auto"/>
                <w:kern w:val="0"/>
                <w:szCs w:val="21"/>
                <w:lang w:val="zh-CN"/>
              </w:rPr>
              <w:t>踏勘现场、标前会</w:t>
            </w:r>
          </w:p>
        </w:tc>
        <w:tc>
          <w:tcPr>
            <w:tcW w:w="7095" w:type="dxa"/>
            <w:vAlign w:val="center"/>
          </w:tcPr>
          <w:p w14:paraId="3E61E6EB">
            <w:pPr>
              <w:autoSpaceDE w:val="0"/>
              <w:autoSpaceDN w:val="0"/>
              <w:adjustRightInd w:val="0"/>
              <w:spacing w:line="400" w:lineRule="exact"/>
              <w:rPr>
                <w:rFonts w:ascii="宋体" w:hAnsi="宋体" w:eastAsia="Times New Roman" w:cs="宋体"/>
                <w:color w:val="auto"/>
                <w:kern w:val="0"/>
                <w:szCs w:val="21"/>
              </w:rPr>
            </w:pPr>
            <w:r>
              <w:rPr>
                <w:rFonts w:hint="eastAsia" w:ascii="宋体" w:hAnsi="宋体" w:eastAsia="Times New Roman" w:cs="宋体"/>
                <w:color w:val="auto"/>
                <w:kern w:val="0"/>
                <w:szCs w:val="21"/>
              </w:rPr>
              <w:t>本项目不组织踏勘现场和不集中答疑</w:t>
            </w:r>
          </w:p>
        </w:tc>
      </w:tr>
      <w:tr w14:paraId="6FA84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18A9F896">
            <w:pPr>
              <w:numPr>
                <w:ilvl w:val="0"/>
                <w:numId w:val="2"/>
              </w:numPr>
              <w:autoSpaceDE w:val="0"/>
              <w:autoSpaceDN w:val="0"/>
              <w:adjustRightInd w:val="0"/>
              <w:spacing w:line="400" w:lineRule="exact"/>
              <w:jc w:val="center"/>
              <w:rPr>
                <w:rFonts w:ascii="宋体" w:hAnsi="宋体" w:eastAsia="Times New Roman" w:cs="宋体"/>
                <w:color w:val="auto"/>
                <w:kern w:val="0"/>
                <w:szCs w:val="21"/>
              </w:rPr>
            </w:pPr>
          </w:p>
        </w:tc>
        <w:tc>
          <w:tcPr>
            <w:tcW w:w="1919" w:type="dxa"/>
            <w:vAlign w:val="center"/>
          </w:tcPr>
          <w:p w14:paraId="3B9D8808">
            <w:pPr>
              <w:autoSpaceDE w:val="0"/>
              <w:autoSpaceDN w:val="0"/>
              <w:adjustRightInd w:val="0"/>
              <w:spacing w:line="400" w:lineRule="exact"/>
              <w:jc w:val="left"/>
              <w:rPr>
                <w:rFonts w:ascii="宋体" w:hAnsi="宋体" w:eastAsia="Times New Roman" w:cs="宋体"/>
                <w:color w:val="auto"/>
                <w:kern w:val="0"/>
                <w:szCs w:val="21"/>
              </w:rPr>
            </w:pPr>
            <w:r>
              <w:rPr>
                <w:rFonts w:hint="eastAsia" w:ascii="宋体" w:hAnsi="宋体" w:eastAsia="Times New Roman" w:cs="宋体"/>
                <w:color w:val="auto"/>
                <w:kern w:val="0"/>
                <w:szCs w:val="21"/>
                <w:lang w:val="zh-CN"/>
              </w:rPr>
              <w:t>投标文件</w:t>
            </w:r>
            <w:r>
              <w:rPr>
                <w:rFonts w:hint="eastAsia" w:ascii="宋体" w:hAnsi="宋体" w:eastAsia="Times New Roman" w:cs="宋体"/>
                <w:color w:val="auto"/>
                <w:kern w:val="0"/>
                <w:szCs w:val="21"/>
              </w:rPr>
              <w:t>递交</w:t>
            </w:r>
            <w:r>
              <w:rPr>
                <w:rFonts w:hint="eastAsia" w:ascii="宋体" w:hAnsi="宋体" w:eastAsia="Times New Roman" w:cs="宋体"/>
                <w:color w:val="auto"/>
                <w:kern w:val="0"/>
                <w:szCs w:val="21"/>
                <w:lang w:val="zh-CN"/>
              </w:rPr>
              <w:t>截止时间</w:t>
            </w:r>
          </w:p>
        </w:tc>
        <w:tc>
          <w:tcPr>
            <w:tcW w:w="7095" w:type="dxa"/>
            <w:vAlign w:val="center"/>
          </w:tcPr>
          <w:p w14:paraId="208E0276">
            <w:pPr>
              <w:snapToGrid w:val="0"/>
              <w:spacing w:line="320" w:lineRule="exact"/>
              <w:rPr>
                <w:rFonts w:ascii="宋体" w:hAnsi="宋体" w:eastAsia="Times New Roman" w:cs="宋体"/>
                <w:color w:val="auto"/>
                <w:kern w:val="0"/>
                <w:szCs w:val="21"/>
              </w:rPr>
            </w:pPr>
            <w:r>
              <w:rPr>
                <w:rFonts w:hint="eastAsia" w:ascii="宋体" w:hAnsi="宋体" w:cs="宋体"/>
                <w:b/>
                <w:bCs/>
                <w:color w:val="auto"/>
                <w:szCs w:val="21"/>
                <w:u w:val="single"/>
              </w:rPr>
              <w:t>202</w:t>
            </w:r>
            <w:r>
              <w:rPr>
                <w:rFonts w:hint="eastAsia" w:ascii="宋体" w:hAnsi="宋体" w:cs="宋体"/>
                <w:b/>
                <w:bCs/>
                <w:color w:val="auto"/>
                <w:szCs w:val="21"/>
                <w:u w:val="single"/>
                <w:lang w:val="en-US" w:eastAsia="zh-CN"/>
              </w:rPr>
              <w:t>5</w:t>
            </w:r>
            <w:r>
              <w:rPr>
                <w:rFonts w:hint="eastAsia" w:ascii="宋体" w:hAnsi="宋体" w:cs="宋体"/>
                <w:b/>
                <w:bCs/>
                <w:color w:val="auto"/>
                <w:szCs w:val="21"/>
                <w:u w:val="single"/>
              </w:rPr>
              <w:t>年</w:t>
            </w:r>
            <w:r>
              <w:rPr>
                <w:rFonts w:hint="eastAsia" w:ascii="宋体" w:hAnsi="宋体" w:cs="宋体"/>
                <w:b/>
                <w:bCs/>
                <w:color w:val="auto"/>
                <w:szCs w:val="21"/>
                <w:u w:val="single"/>
                <w:lang w:val="en-US" w:eastAsia="zh-CN"/>
              </w:rPr>
              <w:t>07</w:t>
            </w:r>
            <w:r>
              <w:rPr>
                <w:rFonts w:hint="eastAsia" w:ascii="宋体" w:hAnsi="宋体" w:cs="宋体"/>
                <w:b/>
                <w:bCs/>
                <w:color w:val="auto"/>
                <w:szCs w:val="21"/>
                <w:u w:val="single"/>
              </w:rPr>
              <w:t>月</w:t>
            </w:r>
            <w:r>
              <w:rPr>
                <w:rFonts w:hint="eastAsia" w:ascii="宋体" w:hAnsi="宋体" w:cs="宋体"/>
                <w:b/>
                <w:bCs/>
                <w:color w:val="auto"/>
                <w:szCs w:val="21"/>
                <w:u w:val="single"/>
                <w:lang w:val="en-US" w:eastAsia="zh-CN"/>
              </w:rPr>
              <w:t>28</w:t>
            </w:r>
            <w:r>
              <w:rPr>
                <w:rFonts w:hint="eastAsia" w:ascii="宋体" w:hAnsi="宋体" w:cs="宋体"/>
                <w:b/>
                <w:bCs/>
                <w:color w:val="auto"/>
                <w:szCs w:val="21"/>
                <w:u w:val="single"/>
              </w:rPr>
              <w:t>日</w:t>
            </w:r>
            <w:r>
              <w:rPr>
                <w:rFonts w:hint="eastAsia" w:ascii="宋体" w:hAnsi="宋体" w:cs="宋体"/>
                <w:b/>
                <w:bCs/>
                <w:color w:val="auto"/>
                <w:szCs w:val="21"/>
                <w:u w:val="single"/>
                <w:lang w:val="en-US" w:eastAsia="zh-CN"/>
              </w:rPr>
              <w:t>09</w:t>
            </w:r>
            <w:r>
              <w:rPr>
                <w:rFonts w:hint="eastAsia" w:ascii="宋体" w:hAnsi="宋体" w:cs="宋体"/>
                <w:b/>
                <w:bCs/>
                <w:color w:val="auto"/>
                <w:szCs w:val="21"/>
                <w:u w:val="single"/>
              </w:rPr>
              <w:t>时</w:t>
            </w:r>
            <w:r>
              <w:rPr>
                <w:rFonts w:hint="eastAsia" w:ascii="宋体" w:hAnsi="宋体" w:cs="宋体"/>
                <w:b/>
                <w:bCs/>
                <w:color w:val="auto"/>
                <w:szCs w:val="21"/>
                <w:u w:val="single"/>
                <w:lang w:val="en-US" w:eastAsia="zh-CN"/>
              </w:rPr>
              <w:t>30</w:t>
            </w:r>
            <w:r>
              <w:rPr>
                <w:rFonts w:hint="eastAsia" w:ascii="宋体" w:hAnsi="宋体" w:cs="宋体"/>
                <w:b/>
                <w:bCs/>
                <w:color w:val="auto"/>
                <w:szCs w:val="21"/>
                <w:u w:val="single"/>
              </w:rPr>
              <w:t>分</w:t>
            </w:r>
            <w:r>
              <w:rPr>
                <w:rFonts w:hint="eastAsia" w:ascii="宋体" w:hAnsi="宋体" w:eastAsia="Times New Roman" w:cs="宋体"/>
                <w:color w:val="auto"/>
                <w:kern w:val="0"/>
                <w:szCs w:val="21"/>
              </w:rPr>
              <w:t>前（北京时间）</w:t>
            </w:r>
          </w:p>
        </w:tc>
      </w:tr>
      <w:tr w14:paraId="2B03F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56AD1757">
            <w:pPr>
              <w:numPr>
                <w:ilvl w:val="0"/>
                <w:numId w:val="2"/>
              </w:numPr>
              <w:autoSpaceDE w:val="0"/>
              <w:autoSpaceDN w:val="0"/>
              <w:adjustRightInd w:val="0"/>
              <w:spacing w:line="400" w:lineRule="exact"/>
              <w:jc w:val="center"/>
              <w:rPr>
                <w:rFonts w:ascii="宋体" w:hAnsi="宋体" w:eastAsia="Times New Roman" w:cs="宋体"/>
                <w:color w:val="auto"/>
                <w:kern w:val="0"/>
                <w:szCs w:val="21"/>
              </w:rPr>
            </w:pPr>
          </w:p>
        </w:tc>
        <w:tc>
          <w:tcPr>
            <w:tcW w:w="1919" w:type="dxa"/>
            <w:vAlign w:val="center"/>
          </w:tcPr>
          <w:p w14:paraId="27FC26D8">
            <w:pPr>
              <w:autoSpaceDE w:val="0"/>
              <w:autoSpaceDN w:val="0"/>
              <w:adjustRightInd w:val="0"/>
              <w:spacing w:line="400" w:lineRule="exact"/>
              <w:jc w:val="left"/>
              <w:rPr>
                <w:rFonts w:ascii="宋体" w:hAnsi="宋体" w:eastAsia="Times New Roman" w:cs="宋体"/>
                <w:color w:val="auto"/>
                <w:kern w:val="0"/>
                <w:szCs w:val="21"/>
              </w:rPr>
            </w:pPr>
            <w:r>
              <w:rPr>
                <w:rFonts w:hint="eastAsia" w:ascii="宋体" w:hAnsi="宋体" w:eastAsia="Times New Roman" w:cs="宋体"/>
                <w:color w:val="auto"/>
                <w:kern w:val="0"/>
                <w:szCs w:val="21"/>
                <w:lang w:val="zh-CN"/>
              </w:rPr>
              <w:t>开标时间及地址</w:t>
            </w:r>
          </w:p>
        </w:tc>
        <w:tc>
          <w:tcPr>
            <w:tcW w:w="7095" w:type="dxa"/>
            <w:vAlign w:val="center"/>
          </w:tcPr>
          <w:p w14:paraId="4AEFA911">
            <w:pPr>
              <w:snapToGrid w:val="0"/>
              <w:spacing w:line="320" w:lineRule="exact"/>
              <w:rPr>
                <w:rFonts w:ascii="宋体" w:hAnsi="宋体" w:eastAsia="Times New Roman" w:cs="宋体"/>
                <w:color w:val="auto"/>
                <w:kern w:val="0"/>
                <w:szCs w:val="21"/>
              </w:rPr>
            </w:pPr>
            <w:r>
              <w:rPr>
                <w:rFonts w:hint="eastAsia" w:ascii="宋体" w:hAnsi="宋体" w:eastAsia="Times New Roman" w:cs="宋体"/>
                <w:color w:val="auto"/>
                <w:kern w:val="0"/>
                <w:szCs w:val="21"/>
              </w:rPr>
              <w:t>时间:</w:t>
            </w:r>
            <w:r>
              <w:rPr>
                <w:rFonts w:hint="eastAsia" w:ascii="宋体" w:hAnsi="宋体" w:cs="宋体"/>
                <w:b/>
                <w:bCs/>
                <w:color w:val="auto"/>
                <w:szCs w:val="21"/>
                <w:u w:val="single"/>
              </w:rPr>
              <w:t>202</w:t>
            </w:r>
            <w:r>
              <w:rPr>
                <w:rFonts w:hint="eastAsia" w:ascii="宋体" w:hAnsi="宋体" w:cs="宋体"/>
                <w:b/>
                <w:bCs/>
                <w:color w:val="auto"/>
                <w:szCs w:val="21"/>
                <w:u w:val="single"/>
                <w:lang w:val="en-US" w:eastAsia="zh-CN"/>
              </w:rPr>
              <w:t>5</w:t>
            </w:r>
            <w:r>
              <w:rPr>
                <w:rFonts w:hint="eastAsia" w:ascii="宋体" w:hAnsi="宋体" w:cs="宋体"/>
                <w:b/>
                <w:bCs/>
                <w:color w:val="auto"/>
                <w:szCs w:val="21"/>
                <w:u w:val="single"/>
              </w:rPr>
              <w:t>年</w:t>
            </w:r>
            <w:r>
              <w:rPr>
                <w:rFonts w:hint="eastAsia" w:ascii="宋体" w:hAnsi="宋体" w:cs="宋体"/>
                <w:b/>
                <w:bCs/>
                <w:color w:val="auto"/>
                <w:szCs w:val="21"/>
                <w:u w:val="single"/>
                <w:lang w:val="en-US" w:eastAsia="zh-CN"/>
              </w:rPr>
              <w:t>07</w:t>
            </w:r>
            <w:r>
              <w:rPr>
                <w:rFonts w:hint="eastAsia" w:ascii="宋体" w:hAnsi="宋体" w:cs="宋体"/>
                <w:b/>
                <w:bCs/>
                <w:color w:val="auto"/>
                <w:szCs w:val="21"/>
                <w:u w:val="single"/>
              </w:rPr>
              <w:t>月</w:t>
            </w:r>
            <w:r>
              <w:rPr>
                <w:rFonts w:hint="eastAsia" w:ascii="宋体" w:hAnsi="宋体" w:cs="宋体"/>
                <w:b/>
                <w:bCs/>
                <w:color w:val="auto"/>
                <w:szCs w:val="21"/>
                <w:u w:val="single"/>
                <w:lang w:val="en-US" w:eastAsia="zh-CN"/>
              </w:rPr>
              <w:t>28</w:t>
            </w:r>
            <w:r>
              <w:rPr>
                <w:rFonts w:hint="eastAsia" w:ascii="宋体" w:hAnsi="宋体" w:cs="宋体"/>
                <w:b/>
                <w:bCs/>
                <w:color w:val="auto"/>
                <w:szCs w:val="21"/>
                <w:u w:val="single"/>
              </w:rPr>
              <w:t>日</w:t>
            </w:r>
            <w:r>
              <w:rPr>
                <w:rFonts w:hint="eastAsia" w:ascii="宋体" w:hAnsi="宋体" w:cs="宋体"/>
                <w:b/>
                <w:bCs/>
                <w:color w:val="auto"/>
                <w:szCs w:val="21"/>
                <w:u w:val="single"/>
                <w:lang w:val="en-US" w:eastAsia="zh-CN"/>
              </w:rPr>
              <w:t>09</w:t>
            </w:r>
            <w:r>
              <w:rPr>
                <w:rFonts w:hint="eastAsia" w:ascii="宋体" w:hAnsi="宋体" w:cs="宋体"/>
                <w:b/>
                <w:bCs/>
                <w:color w:val="auto"/>
                <w:szCs w:val="21"/>
                <w:u w:val="single"/>
              </w:rPr>
              <w:t>时</w:t>
            </w:r>
            <w:r>
              <w:rPr>
                <w:rFonts w:hint="eastAsia" w:ascii="宋体" w:hAnsi="宋体" w:cs="宋体"/>
                <w:b/>
                <w:bCs/>
                <w:color w:val="auto"/>
                <w:szCs w:val="21"/>
                <w:u w:val="single"/>
                <w:lang w:val="en-US" w:eastAsia="zh-CN"/>
              </w:rPr>
              <w:t>30</w:t>
            </w:r>
            <w:r>
              <w:rPr>
                <w:rFonts w:hint="eastAsia" w:ascii="宋体" w:hAnsi="宋体" w:cs="宋体"/>
                <w:b/>
                <w:bCs/>
                <w:color w:val="auto"/>
                <w:szCs w:val="21"/>
                <w:u w:val="single"/>
              </w:rPr>
              <w:t>分</w:t>
            </w:r>
            <w:r>
              <w:rPr>
                <w:rFonts w:hint="eastAsia" w:ascii="宋体" w:hAnsi="宋体" w:eastAsia="Times New Roman" w:cs="宋体"/>
                <w:color w:val="auto"/>
                <w:kern w:val="0"/>
                <w:szCs w:val="21"/>
              </w:rPr>
              <w:t>（北京时间）</w:t>
            </w:r>
            <w:r>
              <w:rPr>
                <w:rFonts w:hint="eastAsia" w:ascii="宋体" w:hAnsi="宋体" w:eastAsia="Times New Roman" w:cs="宋体"/>
                <w:color w:val="auto"/>
                <w:kern w:val="0"/>
                <w:szCs w:val="21"/>
                <w:lang w:val="zh-CN"/>
              </w:rPr>
              <w:t>地点：</w:t>
            </w:r>
            <w:r>
              <w:rPr>
                <w:rFonts w:hint="eastAsia" w:ascii="宋体" w:hAnsi="宋体" w:eastAsia="Times New Roman" w:cs="宋体"/>
                <w:color w:val="auto"/>
                <w:kern w:val="0"/>
                <w:szCs w:val="21"/>
              </w:rPr>
              <w:t>衢州市公共资源交易常山分中心(常山县紫港街道紫港路2号行政服务中心大楼附属楼2楼)；</w:t>
            </w:r>
            <w:r>
              <w:rPr>
                <w:rFonts w:hint="eastAsia" w:ascii="宋体" w:hAnsi="宋体" w:eastAsia="Times New Roman" w:cs="宋体"/>
                <w:color w:val="auto"/>
                <w:szCs w:val="21"/>
              </w:rPr>
              <w:t>同步在“政采云远程开标大厅”在线开标。</w:t>
            </w:r>
          </w:p>
        </w:tc>
      </w:tr>
      <w:tr w14:paraId="778B5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70" w:type="dxa"/>
            <w:vAlign w:val="center"/>
          </w:tcPr>
          <w:p w14:paraId="283626F0">
            <w:pPr>
              <w:numPr>
                <w:ilvl w:val="0"/>
                <w:numId w:val="2"/>
              </w:numPr>
              <w:autoSpaceDE w:val="0"/>
              <w:autoSpaceDN w:val="0"/>
              <w:adjustRightInd w:val="0"/>
              <w:spacing w:line="400" w:lineRule="exact"/>
              <w:jc w:val="center"/>
              <w:rPr>
                <w:rFonts w:ascii="宋体" w:hAnsi="宋体" w:eastAsia="Times New Roman" w:cs="宋体"/>
                <w:color w:val="auto"/>
                <w:kern w:val="0"/>
                <w:szCs w:val="21"/>
              </w:rPr>
            </w:pPr>
          </w:p>
        </w:tc>
        <w:tc>
          <w:tcPr>
            <w:tcW w:w="1919" w:type="dxa"/>
            <w:vAlign w:val="center"/>
          </w:tcPr>
          <w:p w14:paraId="20697780">
            <w:pPr>
              <w:autoSpaceDE w:val="0"/>
              <w:autoSpaceDN w:val="0"/>
              <w:adjustRightInd w:val="0"/>
              <w:jc w:val="left"/>
              <w:rPr>
                <w:rFonts w:ascii="宋体" w:hAnsi="宋体" w:eastAsia="Times New Roman" w:cs="宋体"/>
                <w:color w:val="auto"/>
                <w:kern w:val="0"/>
                <w:szCs w:val="21"/>
              </w:rPr>
            </w:pPr>
            <w:r>
              <w:rPr>
                <w:rFonts w:hint="eastAsia" w:ascii="宋体" w:hAnsi="宋体" w:eastAsia="Times New Roman" w:cs="宋体"/>
                <w:color w:val="auto"/>
                <w:kern w:val="0"/>
                <w:szCs w:val="21"/>
                <w:lang w:val="zh-CN"/>
              </w:rPr>
              <w:t>投标保证金</w:t>
            </w:r>
          </w:p>
        </w:tc>
        <w:tc>
          <w:tcPr>
            <w:tcW w:w="7095" w:type="dxa"/>
            <w:vAlign w:val="center"/>
          </w:tcPr>
          <w:p w14:paraId="43E1072E">
            <w:pPr>
              <w:spacing w:line="320" w:lineRule="auto"/>
              <w:rPr>
                <w:rFonts w:ascii="宋体" w:hAnsi="宋体" w:cs="宋体"/>
                <w:color w:val="auto"/>
                <w:kern w:val="0"/>
                <w:szCs w:val="21"/>
              </w:rPr>
            </w:pPr>
            <w:r>
              <w:rPr>
                <w:rFonts w:hint="eastAsia" w:ascii="宋体" w:hAnsi="宋体" w:eastAsia="Times New Roman" w:cs="宋体"/>
                <w:color w:val="auto"/>
                <w:szCs w:val="21"/>
              </w:rPr>
              <w:t>1.根据《浙江省财政厅关于明确政府采购保证金管理工作的通知》（浙财采监〔2019〕5号）规定，本项目无需缴纳投标保证金。2.投标人在投标有效期内撤回响应文件或者中标人在法定期限内无正当理由不与采购单位签订合同的，应当按照本项目采购预算价2%的标准承担因此给采购单位造成的损失的赔偿责任及相应的法律责任。</w:t>
            </w:r>
          </w:p>
        </w:tc>
      </w:tr>
      <w:tr w14:paraId="1323B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1505D52E">
            <w:pPr>
              <w:numPr>
                <w:ilvl w:val="0"/>
                <w:numId w:val="2"/>
              </w:numPr>
              <w:autoSpaceDE w:val="0"/>
              <w:autoSpaceDN w:val="0"/>
              <w:adjustRightInd w:val="0"/>
              <w:spacing w:line="400" w:lineRule="exact"/>
              <w:jc w:val="center"/>
              <w:rPr>
                <w:rFonts w:ascii="宋体" w:hAnsi="宋体" w:eastAsia="Times New Roman" w:cs="宋体"/>
                <w:bCs/>
                <w:color w:val="auto"/>
                <w:kern w:val="0"/>
                <w:szCs w:val="21"/>
              </w:rPr>
            </w:pPr>
          </w:p>
        </w:tc>
        <w:tc>
          <w:tcPr>
            <w:tcW w:w="1919" w:type="dxa"/>
            <w:vAlign w:val="center"/>
          </w:tcPr>
          <w:p w14:paraId="3942B438">
            <w:pPr>
              <w:autoSpaceDE w:val="0"/>
              <w:autoSpaceDN w:val="0"/>
              <w:adjustRightInd w:val="0"/>
              <w:rPr>
                <w:rFonts w:ascii="宋体" w:hAnsi="宋体" w:eastAsia="Times New Roman" w:cs="宋体"/>
                <w:bCs/>
                <w:color w:val="auto"/>
                <w:kern w:val="0"/>
                <w:szCs w:val="21"/>
              </w:rPr>
            </w:pPr>
            <w:r>
              <w:rPr>
                <w:rFonts w:hint="eastAsia" w:ascii="宋体" w:hAnsi="宋体" w:eastAsia="Times New Roman" w:cs="宋体"/>
                <w:bCs/>
                <w:color w:val="auto"/>
                <w:kern w:val="0"/>
                <w:szCs w:val="21"/>
                <w:lang w:val="zh-CN"/>
              </w:rPr>
              <w:t>评标委员会的组建</w:t>
            </w:r>
          </w:p>
        </w:tc>
        <w:tc>
          <w:tcPr>
            <w:tcW w:w="7095" w:type="dxa"/>
            <w:vAlign w:val="center"/>
          </w:tcPr>
          <w:p w14:paraId="00A14D72">
            <w:pPr>
              <w:spacing w:line="440" w:lineRule="exact"/>
              <w:rPr>
                <w:rFonts w:ascii="宋体" w:hAnsi="宋体" w:eastAsia="Times New Roman" w:cs="宋体"/>
                <w:bCs/>
                <w:color w:val="auto"/>
                <w:kern w:val="0"/>
                <w:szCs w:val="21"/>
              </w:rPr>
            </w:pPr>
            <w:r>
              <w:rPr>
                <w:rFonts w:hint="eastAsia" w:ascii="宋体" w:hAnsi="宋体" w:eastAsia="Times New Roman" w:cs="宋体"/>
                <w:bCs/>
                <w:color w:val="auto"/>
                <w:kern w:val="0"/>
                <w:szCs w:val="21"/>
              </w:rPr>
              <w:t>按规定组建评标委员会。评标专家确定方式：共5人组成，</w:t>
            </w:r>
            <w:r>
              <w:rPr>
                <w:rFonts w:hint="eastAsia" w:ascii="宋体" w:hAnsi="宋体" w:cs="宋体"/>
                <w:bCs/>
                <w:color w:val="auto"/>
                <w:kern w:val="0"/>
                <w:szCs w:val="21"/>
              </w:rPr>
              <w:t>其中业主代表1名，其余4名</w:t>
            </w:r>
            <w:r>
              <w:rPr>
                <w:rFonts w:hint="eastAsia" w:ascii="宋体" w:hAnsi="宋体" w:eastAsia="Times New Roman" w:cs="宋体"/>
                <w:bCs/>
                <w:color w:val="auto"/>
                <w:kern w:val="0"/>
                <w:szCs w:val="21"/>
              </w:rPr>
              <w:t>从政府采购评审专家库中随机抽取产生。</w:t>
            </w:r>
          </w:p>
        </w:tc>
      </w:tr>
      <w:tr w14:paraId="443DC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13FD9EBD">
            <w:pPr>
              <w:numPr>
                <w:ilvl w:val="0"/>
                <w:numId w:val="2"/>
              </w:numPr>
              <w:autoSpaceDE w:val="0"/>
              <w:autoSpaceDN w:val="0"/>
              <w:adjustRightInd w:val="0"/>
              <w:spacing w:line="400" w:lineRule="exact"/>
              <w:jc w:val="center"/>
              <w:rPr>
                <w:rFonts w:ascii="宋体" w:hAnsi="宋体" w:eastAsia="Times New Roman" w:cs="宋体"/>
                <w:color w:val="auto"/>
                <w:kern w:val="0"/>
                <w:szCs w:val="21"/>
              </w:rPr>
            </w:pPr>
          </w:p>
        </w:tc>
        <w:tc>
          <w:tcPr>
            <w:tcW w:w="1919" w:type="dxa"/>
            <w:vAlign w:val="center"/>
          </w:tcPr>
          <w:p w14:paraId="63D2A8F4">
            <w:pPr>
              <w:spacing w:line="360" w:lineRule="auto"/>
              <w:rPr>
                <w:rFonts w:ascii="宋体" w:hAnsi="宋体" w:eastAsia="Times New Roman" w:cs="宋体"/>
                <w:color w:val="auto"/>
                <w:kern w:val="0"/>
                <w:szCs w:val="21"/>
              </w:rPr>
            </w:pPr>
            <w:r>
              <w:rPr>
                <w:rFonts w:hint="eastAsia" w:ascii="宋体" w:hAnsi="宋体" w:eastAsia="Times New Roman" w:cs="宋体"/>
                <w:b/>
                <w:color w:val="auto"/>
                <w:kern w:val="0"/>
                <w:szCs w:val="21"/>
              </w:rPr>
              <w:t>响应文件的</w:t>
            </w:r>
            <w:r>
              <w:rPr>
                <w:rFonts w:hint="eastAsia" w:ascii="宋体" w:hAnsi="宋体" w:cs="宋体"/>
                <w:b/>
                <w:color w:val="auto"/>
                <w:kern w:val="0"/>
                <w:szCs w:val="21"/>
              </w:rPr>
              <w:t>组成</w:t>
            </w:r>
            <w:r>
              <w:rPr>
                <w:rFonts w:hint="eastAsia" w:ascii="宋体" w:hAnsi="宋体" w:eastAsia="Times New Roman" w:cs="宋体"/>
                <w:b/>
                <w:color w:val="auto"/>
                <w:kern w:val="0"/>
                <w:szCs w:val="21"/>
              </w:rPr>
              <w:t>、</w:t>
            </w:r>
            <w:r>
              <w:rPr>
                <w:rFonts w:hint="eastAsia" w:ascii="宋体" w:hAnsi="宋体" w:cs="宋体"/>
                <w:b/>
                <w:color w:val="auto"/>
                <w:kern w:val="0"/>
                <w:szCs w:val="21"/>
              </w:rPr>
              <w:t>编制及在线投标响应（电子投标）说明</w:t>
            </w:r>
          </w:p>
        </w:tc>
        <w:tc>
          <w:tcPr>
            <w:tcW w:w="7095" w:type="dxa"/>
            <w:vAlign w:val="center"/>
          </w:tcPr>
          <w:p w14:paraId="43A58C61">
            <w:pPr>
              <w:pStyle w:val="26"/>
              <w:numPr>
                <w:ilvl w:val="0"/>
                <w:numId w:val="3"/>
              </w:numPr>
              <w:spacing w:line="360" w:lineRule="auto"/>
              <w:ind w:left="0" w:leftChars="0" w:firstLine="0" w:firstLineChars="0"/>
              <w:rPr>
                <w:rFonts w:ascii="宋体" w:hAnsi="宋体"/>
                <w:b/>
                <w:bCs/>
                <w:color w:val="auto"/>
              </w:rPr>
            </w:pPr>
            <w:r>
              <w:rPr>
                <w:rFonts w:hint="eastAsia" w:ascii="宋体" w:hAnsi="宋体"/>
                <w:color w:val="auto"/>
              </w:rPr>
              <w:t>响应文件由资格审查资料、</w:t>
            </w:r>
            <w:r>
              <w:rPr>
                <w:rFonts w:hint="eastAsia" w:ascii="宋体" w:hAnsi="宋体" w:eastAsia="宋体"/>
                <w:color w:val="auto"/>
                <w:lang w:eastAsia="zh-CN"/>
              </w:rPr>
              <w:t>商务技术文件</w:t>
            </w:r>
            <w:r>
              <w:rPr>
                <w:rFonts w:hint="eastAsia" w:ascii="宋体" w:hAnsi="宋体"/>
                <w:color w:val="auto"/>
              </w:rPr>
              <w:t>、报价文件组成。</w:t>
            </w:r>
            <w:r>
              <w:rPr>
                <w:rFonts w:hint="eastAsia" w:ascii="宋体" w:hAnsi="宋体" w:eastAsia="Times New Roman" w:cs="Times New Roman"/>
                <w:color w:val="auto"/>
                <w:lang w:val="zh-CN"/>
              </w:rPr>
              <w:t>2、投标文件编制：供应商应先安装“政采云电子交易客户端”，并按照本采购文件和“政府采购云平台”的要求，通过“政采云电子交易客户端”编制并加密投标文件。3、投标文件的形式：</w:t>
            </w:r>
            <w:r>
              <w:rPr>
                <w:rFonts w:ascii="Segoe UI Emoji" w:hAnsi="Segoe UI Emoji" w:eastAsia="Times New Roman" w:cs="Segoe UI Emoji"/>
                <w:color w:val="auto"/>
                <w:lang w:val="zh-CN"/>
              </w:rPr>
              <w:t>☑</w:t>
            </w:r>
            <w:r>
              <w:rPr>
                <w:rFonts w:hint="eastAsia" w:ascii="宋体" w:hAnsi="宋体" w:eastAsia="Times New Roman"/>
                <w:color w:val="auto"/>
                <w:lang w:val="zh-CN"/>
              </w:rPr>
              <w:t>电子投标文件（包括“电子加密投标文件”和“备份投标文件”，在投标文件编制完成后同时生</w:t>
            </w:r>
            <w:r>
              <w:rPr>
                <w:rFonts w:hint="eastAsia" w:ascii="宋体" w:hAnsi="宋体" w:eastAsia="Times New Roman" w:cs="Times New Roman"/>
                <w:color w:val="auto"/>
                <w:lang w:val="zh-CN"/>
              </w:rPr>
              <w:t>成）；（1）“电子加密投标文件”是指通过“政采云电子交易客户端”完成投标文件编制后生成并加密的数据电文形式的投标文件。（2）“备份投标文件”是指与“电子加密投标文件”同时生成的数据电文形式的电子文件（备份标书），其他方式编制的备份投标文件视为无效备份投标文件。4、投标文件份数：（1）“电子加密投标文件”：在线上传一份。（2）“备份投标文件”：发送至邮箱：</w:t>
            </w:r>
            <w:r>
              <w:rPr>
                <w:rFonts w:hint="eastAsia" w:ascii="宋体" w:hAnsi="宋体" w:eastAsia="宋体"/>
                <w:b/>
                <w:bCs/>
                <w:color w:val="auto"/>
                <w:kern w:val="0"/>
                <w:u w:val="single"/>
                <w:lang w:eastAsia="zh-CN"/>
              </w:rPr>
              <w:t>3421408016@qq.com</w:t>
            </w:r>
            <w:r>
              <w:rPr>
                <w:rFonts w:hint="eastAsia" w:ascii="宋体" w:hAnsi="宋体" w:eastAsia="Times New Roman"/>
                <w:b/>
                <w:bCs/>
                <w:color w:val="auto"/>
                <w:kern w:val="0"/>
                <w:u w:val="single"/>
              </w:rPr>
              <w:t>，</w:t>
            </w:r>
            <w:r>
              <w:rPr>
                <w:rFonts w:hint="eastAsia" w:ascii="宋体" w:hAnsi="宋体" w:eastAsia="Times New Roman"/>
                <w:color w:val="auto"/>
                <w:kern w:val="0"/>
              </w:rPr>
              <w:t>按接收方邮箱收件箱所显示时间为准</w:t>
            </w:r>
            <w:r>
              <w:rPr>
                <w:rFonts w:hint="eastAsia" w:ascii="宋体" w:hAnsi="宋体" w:eastAsia="Times New Roman" w:cs="Times New Roman"/>
                <w:color w:val="auto"/>
                <w:lang w:val="zh-CN"/>
              </w:rPr>
              <w:t>。5、投标文件的上传和递交：（1）“电子加密投标文件”的上传、递交：</w:t>
            </w:r>
            <w:r>
              <w:rPr>
                <w:rFonts w:hint="eastAsia" w:ascii="宋体" w:hAnsi="宋体" w:eastAsia="Times New Roman" w:cs="Times New Roman"/>
                <w:b/>
                <w:bCs/>
                <w:color w:val="auto"/>
                <w:lang w:val="zh-CN"/>
              </w:rPr>
              <w:t>供应商应在投标截止时间前将“电子加密投标文件”成功上传递交至“政府采购云平台”，否则投标无效。</w:t>
            </w:r>
            <w:r>
              <w:rPr>
                <w:rFonts w:hint="eastAsia" w:ascii="宋体" w:hAnsi="宋体" w:eastAsia="Times New Roman" w:cs="Times New Roman"/>
                <w:color w:val="auto"/>
                <w:lang w:val="zh-CN"/>
              </w:rPr>
              <w:t>（2）“备份投标文件”的递交：a.供应商在“政府采购云平台”完成“电子加密投标文件”的上传递交后，还可以（以</w:t>
            </w:r>
            <w:r>
              <w:rPr>
                <w:rFonts w:hint="eastAsia" w:ascii="宋体" w:hAnsi="宋体" w:eastAsia="Times New Roman" w:cs="Times New Roman"/>
                <w:color w:val="auto"/>
              </w:rPr>
              <w:t>电子邮件的</w:t>
            </w:r>
            <w:r>
              <w:rPr>
                <w:rFonts w:hint="eastAsia" w:ascii="宋体" w:hAnsi="宋体" w:eastAsia="Times New Roman" w:cs="Times New Roman"/>
                <w:color w:val="auto"/>
                <w:lang w:val="zh-CN"/>
              </w:rPr>
              <w:t>形式）在投标截止时间前发送一份 “备份投标文件”至邮箱：</w:t>
            </w:r>
            <w:r>
              <w:rPr>
                <w:rFonts w:hint="eastAsia" w:ascii="宋体" w:hAnsi="宋体" w:eastAsia="宋体"/>
                <w:b/>
                <w:bCs/>
                <w:color w:val="auto"/>
                <w:kern w:val="0"/>
                <w:u w:val="single"/>
                <w:lang w:eastAsia="zh-CN"/>
              </w:rPr>
              <w:t>3421408016@qq.com</w:t>
            </w:r>
            <w:r>
              <w:rPr>
                <w:rFonts w:hint="eastAsia" w:ascii="宋体" w:hAnsi="宋体" w:eastAsia="Times New Roman" w:cs="Times New Roman"/>
                <w:color w:val="auto"/>
                <w:lang w:val="zh-CN"/>
              </w:rPr>
              <w:t>；</w:t>
            </w:r>
            <w:r>
              <w:rPr>
                <w:rFonts w:hint="eastAsia" w:ascii="宋体" w:hAnsi="宋体" w:eastAsia="Times New Roman" w:cs="Times New Roman"/>
                <w:b/>
                <w:bCs/>
                <w:color w:val="auto"/>
                <w:lang w:val="zh-CN"/>
              </w:rPr>
              <w:t>b.通过“政府采购云平台”成功上传递交的“电子加密投标文件”已按时解密的，“备份投标文件”自动失效。投标截止时间前，供应商仅递交了“备份投标文件”而未将“电子加密投标文件”成功上传至“政府采购云平台”的，投标无效。</w:t>
            </w:r>
            <w:r>
              <w:rPr>
                <w:rFonts w:hint="eastAsia" w:ascii="宋体" w:hAnsi="宋体" w:eastAsia="Times New Roman" w:cs="Times New Roman"/>
                <w:color w:val="auto"/>
                <w:lang w:val="zh-CN"/>
              </w:rPr>
              <w:t>6、电子加密投标文件的解密和异常情况处理：（1）开标后，采购组织机构将向各供应商发出“电子加密投标文件”的解密通知，各供应商代表应当在接到解密通知后</w:t>
            </w:r>
            <w:r>
              <w:rPr>
                <w:rFonts w:hint="eastAsia" w:ascii="宋体" w:hAnsi="宋体" w:eastAsia="Times New Roman" w:cs="Times New Roman"/>
                <w:b/>
                <w:bCs/>
                <w:color w:val="auto"/>
              </w:rPr>
              <w:t>30</w:t>
            </w:r>
            <w:r>
              <w:rPr>
                <w:rFonts w:hint="eastAsia" w:ascii="宋体" w:hAnsi="宋体" w:eastAsia="Times New Roman" w:cs="Times New Roman"/>
                <w:b/>
                <w:bCs/>
                <w:color w:val="auto"/>
                <w:lang w:val="zh-CN"/>
              </w:rPr>
              <w:t>分钟内</w:t>
            </w:r>
            <w:r>
              <w:rPr>
                <w:rFonts w:hint="eastAsia" w:ascii="宋体" w:hAnsi="宋体" w:eastAsia="Times New Roman" w:cs="Times New Roman"/>
                <w:color w:val="auto"/>
                <w:lang w:val="zh-CN"/>
              </w:rPr>
              <w:t>自行完成“电子加密投标文件”的在线解密，</w:t>
            </w:r>
            <w:r>
              <w:rPr>
                <w:rFonts w:hint="eastAsia" w:ascii="宋体" w:hAnsi="宋体" w:eastAsia="Times New Roman" w:cs="Times New Roman"/>
                <w:b/>
                <w:bCs/>
                <w:color w:val="auto"/>
                <w:lang w:val="zh-CN"/>
              </w:rPr>
              <w:t>超过解密时限，默认供应商自动放弃。</w:t>
            </w:r>
            <w:r>
              <w:rPr>
                <w:rFonts w:hint="eastAsia" w:ascii="宋体" w:hAnsi="宋体" w:eastAsia="Times New Roman" w:cs="Times New Roman"/>
                <w:color w:val="auto"/>
                <w:lang w:val="zh-CN"/>
              </w:rPr>
              <w:t>（2）通过“政府采购云平台”成功上传递交的“电子加密投标文件”无法按时解密，供应商如按规定递交了“备份投标文件”的，以“备份投标文件”为依据（由采购组织机构按“政府采购云平台”操作规范将“备份投标文件”上传至“政府采购云平台”，上传成功后，“电子加密投标文件”自动失效），否则视为投标文件撤回。</w:t>
            </w:r>
            <w:r>
              <w:rPr>
                <w:rFonts w:hint="eastAsia" w:ascii="宋体" w:hAnsi="宋体" w:eastAsia="Times New Roman" w:cs="Times New Roman"/>
                <w:b/>
                <w:bCs/>
                <w:color w:val="auto"/>
                <w:lang w:val="zh-CN"/>
              </w:rPr>
              <w:t>（3）投标截止时间前，供应商仅递交了“备份投标文件”而未将电子加密投标文件上传至“政府采购云平台”的，投标无效。</w:t>
            </w:r>
            <w:r>
              <w:rPr>
                <w:rFonts w:hint="eastAsia" w:ascii="宋体" w:hAnsi="宋体" w:eastAsia="Times New Roman" w:cs="Times New Roman"/>
                <w:color w:val="auto"/>
                <w:lang w:val="zh-CN"/>
              </w:rPr>
              <w:t>7、投标截止后，在投标有效期内，供应商不能撤销投标文件。供应商强行撤销投标文件的，应按预算金额的2%赔偿对招标代理机构造成的损失。</w:t>
            </w:r>
          </w:p>
        </w:tc>
      </w:tr>
      <w:tr w14:paraId="7025D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52167E76">
            <w:pPr>
              <w:numPr>
                <w:ilvl w:val="0"/>
                <w:numId w:val="2"/>
              </w:numPr>
              <w:autoSpaceDE w:val="0"/>
              <w:autoSpaceDN w:val="0"/>
              <w:adjustRightInd w:val="0"/>
              <w:spacing w:line="400" w:lineRule="exact"/>
              <w:jc w:val="center"/>
              <w:rPr>
                <w:rFonts w:ascii="宋体" w:hAnsi="宋体" w:eastAsia="Times New Roman" w:cs="宋体"/>
                <w:color w:val="auto"/>
                <w:kern w:val="0"/>
                <w:szCs w:val="21"/>
              </w:rPr>
            </w:pPr>
          </w:p>
        </w:tc>
        <w:tc>
          <w:tcPr>
            <w:tcW w:w="1919" w:type="dxa"/>
            <w:vAlign w:val="center"/>
          </w:tcPr>
          <w:p w14:paraId="5D5532BD">
            <w:pPr>
              <w:autoSpaceDE w:val="0"/>
              <w:autoSpaceDN w:val="0"/>
              <w:adjustRightInd w:val="0"/>
              <w:rPr>
                <w:rFonts w:ascii="宋体" w:hAnsi="宋体" w:eastAsia="Times New Roman" w:cs="宋体"/>
                <w:color w:val="auto"/>
                <w:kern w:val="0"/>
                <w:szCs w:val="21"/>
              </w:rPr>
            </w:pPr>
            <w:r>
              <w:rPr>
                <w:rFonts w:hint="eastAsia" w:ascii="宋体" w:hAnsi="宋体" w:eastAsia="Times New Roman" w:cs="宋体"/>
                <w:color w:val="auto"/>
                <w:kern w:val="0"/>
                <w:szCs w:val="21"/>
              </w:rPr>
              <w:t>中标结果公告期限</w:t>
            </w:r>
          </w:p>
        </w:tc>
        <w:tc>
          <w:tcPr>
            <w:tcW w:w="7095" w:type="dxa"/>
            <w:vAlign w:val="center"/>
          </w:tcPr>
          <w:p w14:paraId="33A931F2">
            <w:pPr>
              <w:snapToGrid w:val="0"/>
              <w:spacing w:line="320" w:lineRule="exact"/>
              <w:rPr>
                <w:rFonts w:ascii="宋体" w:hAnsi="宋体" w:eastAsia="Times New Roman" w:cs="宋体"/>
                <w:color w:val="auto"/>
                <w:kern w:val="0"/>
                <w:szCs w:val="21"/>
              </w:rPr>
            </w:pPr>
            <w:r>
              <w:rPr>
                <w:rFonts w:hint="eastAsia" w:ascii="宋体" w:hAnsi="宋体" w:cs="宋体"/>
                <w:color w:val="auto"/>
                <w:kern w:val="0"/>
                <w:szCs w:val="21"/>
              </w:rPr>
              <w:t>1</w:t>
            </w:r>
            <w:r>
              <w:rPr>
                <w:rFonts w:hint="eastAsia" w:ascii="宋体" w:hAnsi="宋体" w:eastAsia="Times New Roman" w:cs="宋体"/>
                <w:color w:val="auto"/>
                <w:kern w:val="0"/>
                <w:szCs w:val="21"/>
              </w:rPr>
              <w:t>个工作日</w:t>
            </w:r>
            <w:r>
              <w:rPr>
                <w:rFonts w:hint="eastAsia" w:ascii="宋体" w:hAnsi="宋体" w:eastAsia="Times New Roman" w:cs="宋体"/>
                <w:color w:val="auto"/>
              </w:rPr>
              <w:t>（</w:t>
            </w:r>
            <w:r>
              <w:rPr>
                <w:rFonts w:hint="eastAsia" w:ascii="宋体" w:hAnsi="宋体" w:cs="宋体"/>
                <w:color w:val="auto"/>
              </w:rPr>
              <w:t>中标结果公告发布之日起至第2个工作日止</w:t>
            </w:r>
            <w:r>
              <w:rPr>
                <w:rFonts w:hint="eastAsia" w:ascii="宋体" w:hAnsi="宋体" w:eastAsia="Times New Roman" w:cs="宋体"/>
                <w:color w:val="auto"/>
              </w:rPr>
              <w:t>）</w:t>
            </w:r>
            <w:r>
              <w:rPr>
                <w:rFonts w:hint="eastAsia" w:ascii="宋体" w:hAnsi="宋体" w:eastAsia="Times New Roman" w:cs="宋体"/>
                <w:color w:val="auto"/>
                <w:kern w:val="0"/>
                <w:szCs w:val="21"/>
              </w:rPr>
              <w:t>。</w:t>
            </w:r>
          </w:p>
        </w:tc>
      </w:tr>
      <w:tr w14:paraId="7AE3B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70" w:type="dxa"/>
            <w:vAlign w:val="center"/>
          </w:tcPr>
          <w:p w14:paraId="0A2A5291">
            <w:pPr>
              <w:numPr>
                <w:ilvl w:val="0"/>
                <w:numId w:val="2"/>
              </w:numPr>
              <w:autoSpaceDE w:val="0"/>
              <w:autoSpaceDN w:val="0"/>
              <w:adjustRightInd w:val="0"/>
              <w:spacing w:line="400" w:lineRule="exact"/>
              <w:jc w:val="center"/>
              <w:rPr>
                <w:rFonts w:ascii="宋体" w:hAnsi="宋体" w:eastAsia="Times New Roman" w:cs="宋体"/>
                <w:color w:val="auto"/>
                <w:kern w:val="0"/>
                <w:szCs w:val="21"/>
              </w:rPr>
            </w:pPr>
          </w:p>
        </w:tc>
        <w:tc>
          <w:tcPr>
            <w:tcW w:w="1919" w:type="dxa"/>
            <w:vAlign w:val="center"/>
          </w:tcPr>
          <w:p w14:paraId="53B97317">
            <w:pPr>
              <w:autoSpaceDE w:val="0"/>
              <w:autoSpaceDN w:val="0"/>
              <w:adjustRightInd w:val="0"/>
              <w:rPr>
                <w:rFonts w:ascii="宋体" w:hAnsi="宋体" w:cs="宋体"/>
                <w:color w:val="auto"/>
                <w:kern w:val="0"/>
                <w:szCs w:val="21"/>
              </w:rPr>
            </w:pPr>
            <w:r>
              <w:rPr>
                <w:rFonts w:hint="eastAsia" w:ascii="宋体" w:hAnsi="宋体" w:eastAsia="Times New Roman" w:cs="宋体"/>
                <w:color w:val="auto"/>
                <w:kern w:val="0"/>
                <w:szCs w:val="21"/>
              </w:rPr>
              <w:t>履约保证金</w:t>
            </w:r>
            <w:r>
              <w:rPr>
                <w:rFonts w:hint="eastAsia" w:ascii="宋体" w:hAnsi="宋体" w:cs="宋体"/>
                <w:color w:val="auto"/>
                <w:kern w:val="0"/>
                <w:szCs w:val="21"/>
              </w:rPr>
              <w:t>缴纳</w:t>
            </w:r>
          </w:p>
        </w:tc>
        <w:tc>
          <w:tcPr>
            <w:tcW w:w="7095" w:type="dxa"/>
            <w:vAlign w:val="center"/>
          </w:tcPr>
          <w:p w14:paraId="120221CE">
            <w:pPr>
              <w:snapToGrid w:val="0"/>
              <w:spacing w:line="320" w:lineRule="exact"/>
              <w:rPr>
                <w:rFonts w:eastAsia="Times New Roman"/>
                <w:color w:val="auto"/>
              </w:rPr>
            </w:pPr>
            <w:r>
              <w:rPr>
                <w:rFonts w:hint="eastAsia"/>
                <w:color w:val="auto"/>
                <w:lang w:val="zh-CN"/>
              </w:rPr>
              <w:t>无需缴纳履约保证金。</w:t>
            </w:r>
          </w:p>
        </w:tc>
      </w:tr>
      <w:tr w14:paraId="0BEFB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55E07F9C">
            <w:pPr>
              <w:numPr>
                <w:ilvl w:val="0"/>
                <w:numId w:val="2"/>
              </w:numPr>
              <w:autoSpaceDE w:val="0"/>
              <w:autoSpaceDN w:val="0"/>
              <w:adjustRightInd w:val="0"/>
              <w:spacing w:line="400" w:lineRule="exact"/>
              <w:jc w:val="center"/>
              <w:rPr>
                <w:rFonts w:ascii="宋体" w:hAnsi="宋体" w:eastAsia="Times New Roman" w:cs="宋体"/>
                <w:color w:val="auto"/>
                <w:kern w:val="0"/>
                <w:szCs w:val="21"/>
              </w:rPr>
            </w:pPr>
          </w:p>
        </w:tc>
        <w:tc>
          <w:tcPr>
            <w:tcW w:w="1919" w:type="dxa"/>
            <w:vAlign w:val="center"/>
          </w:tcPr>
          <w:p w14:paraId="024DB880">
            <w:pPr>
              <w:pStyle w:val="15"/>
              <w:spacing w:line="240" w:lineRule="exact"/>
              <w:rPr>
                <w:rFonts w:hAnsi="宋体" w:eastAsia="Times New Roman" w:cs="宋体"/>
                <w:color w:val="auto"/>
                <w:kern w:val="0"/>
              </w:rPr>
            </w:pPr>
            <w:r>
              <w:rPr>
                <w:rFonts w:hint="eastAsia" w:hAnsi="宋体" w:eastAsia="Times New Roman" w:cs="宋体"/>
                <w:color w:val="auto"/>
                <w:kern w:val="0"/>
              </w:rPr>
              <w:t>公告及澄清文件发布网址</w:t>
            </w:r>
          </w:p>
        </w:tc>
        <w:tc>
          <w:tcPr>
            <w:tcW w:w="7095" w:type="dxa"/>
            <w:vAlign w:val="center"/>
          </w:tcPr>
          <w:p w14:paraId="7C538864">
            <w:pPr>
              <w:snapToGrid w:val="0"/>
              <w:spacing w:line="320" w:lineRule="exact"/>
              <w:rPr>
                <w:rFonts w:ascii="宋体" w:hAnsi="宋体" w:eastAsia="Times New Roman" w:cs="宋体"/>
                <w:color w:val="auto"/>
                <w:kern w:val="0"/>
                <w:szCs w:val="21"/>
              </w:rPr>
            </w:pPr>
            <w:r>
              <w:rPr>
                <w:rFonts w:hint="eastAsia" w:ascii="宋体" w:hAnsi="宋体" w:eastAsia="Times New Roman" w:cs="宋体"/>
                <w:color w:val="auto"/>
                <w:kern w:val="0"/>
                <w:szCs w:val="21"/>
              </w:rPr>
              <w:t>浙江政府采购网（http://zfcg.czt.zj.gov.cn/）、</w:t>
            </w:r>
            <w:r>
              <w:rPr>
                <w:rFonts w:hint="eastAsia" w:ascii="宋体" w:hAnsi="宋体" w:cs="宋体"/>
                <w:color w:val="auto"/>
                <w:kern w:val="0"/>
                <w:szCs w:val="21"/>
              </w:rPr>
              <w:t>常山县人民政府网（http://www.zjcs.gov.cn/）</w:t>
            </w:r>
          </w:p>
        </w:tc>
      </w:tr>
      <w:tr w14:paraId="0282E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32F27BC7">
            <w:pPr>
              <w:numPr>
                <w:ilvl w:val="0"/>
                <w:numId w:val="2"/>
              </w:numPr>
              <w:autoSpaceDE w:val="0"/>
              <w:autoSpaceDN w:val="0"/>
              <w:adjustRightInd w:val="0"/>
              <w:spacing w:line="400" w:lineRule="exact"/>
              <w:jc w:val="center"/>
              <w:rPr>
                <w:rFonts w:ascii="宋体" w:hAnsi="宋体" w:eastAsia="Times New Roman" w:cs="宋体"/>
                <w:color w:val="auto"/>
                <w:kern w:val="0"/>
                <w:szCs w:val="21"/>
              </w:rPr>
            </w:pPr>
          </w:p>
        </w:tc>
        <w:tc>
          <w:tcPr>
            <w:tcW w:w="1919" w:type="dxa"/>
            <w:vAlign w:val="center"/>
          </w:tcPr>
          <w:p w14:paraId="464F939D">
            <w:pPr>
              <w:autoSpaceDE w:val="0"/>
              <w:autoSpaceDN w:val="0"/>
              <w:adjustRightInd w:val="0"/>
              <w:rPr>
                <w:rFonts w:ascii="宋体" w:hAnsi="宋体" w:eastAsia="Times New Roman" w:cs="宋体"/>
                <w:b/>
                <w:bCs/>
                <w:color w:val="auto"/>
                <w:kern w:val="0"/>
                <w:szCs w:val="21"/>
              </w:rPr>
            </w:pPr>
            <w:r>
              <w:rPr>
                <w:rFonts w:hint="eastAsia" w:ascii="宋体" w:hAnsi="宋体" w:eastAsia="Times New Roman" w:cs="宋体"/>
                <w:color w:val="auto"/>
                <w:kern w:val="0"/>
                <w:szCs w:val="21"/>
              </w:rPr>
              <w:t>签订合同</w:t>
            </w:r>
          </w:p>
        </w:tc>
        <w:tc>
          <w:tcPr>
            <w:tcW w:w="7095" w:type="dxa"/>
            <w:vAlign w:val="center"/>
          </w:tcPr>
          <w:p w14:paraId="7C6B9493">
            <w:pPr>
              <w:snapToGrid w:val="0"/>
              <w:spacing w:line="320" w:lineRule="exact"/>
              <w:rPr>
                <w:rFonts w:ascii="宋体" w:hAnsi="宋体" w:eastAsia="Times New Roman" w:cs="宋体"/>
                <w:b/>
                <w:bCs/>
                <w:color w:val="auto"/>
                <w:kern w:val="0"/>
                <w:szCs w:val="21"/>
              </w:rPr>
            </w:pPr>
            <w:r>
              <w:rPr>
                <w:rFonts w:hint="eastAsia" w:ascii="宋体" w:hAnsi="宋体" w:eastAsia="Times New Roman" w:cs="宋体"/>
                <w:color w:val="auto"/>
                <w:kern w:val="0"/>
                <w:szCs w:val="21"/>
              </w:rPr>
              <w:t>采购人应当自中标通知书发出之日起30日内，按照采购文件和中标人投标文件的规定，与中标人签订书面合同。</w:t>
            </w:r>
          </w:p>
        </w:tc>
      </w:tr>
      <w:tr w14:paraId="71300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3AAEBF06">
            <w:pPr>
              <w:numPr>
                <w:ilvl w:val="0"/>
                <w:numId w:val="2"/>
              </w:numPr>
              <w:autoSpaceDE w:val="0"/>
              <w:autoSpaceDN w:val="0"/>
              <w:adjustRightInd w:val="0"/>
              <w:spacing w:line="400" w:lineRule="exact"/>
              <w:jc w:val="center"/>
              <w:rPr>
                <w:rFonts w:ascii="宋体" w:hAnsi="宋体" w:eastAsia="Times New Roman" w:cs="宋体"/>
                <w:color w:val="auto"/>
                <w:kern w:val="0"/>
                <w:szCs w:val="21"/>
              </w:rPr>
            </w:pPr>
          </w:p>
        </w:tc>
        <w:tc>
          <w:tcPr>
            <w:tcW w:w="1919" w:type="dxa"/>
            <w:vAlign w:val="center"/>
          </w:tcPr>
          <w:p w14:paraId="02BAFEFA">
            <w:pPr>
              <w:autoSpaceDE w:val="0"/>
              <w:autoSpaceDN w:val="0"/>
              <w:adjustRightInd w:val="0"/>
              <w:rPr>
                <w:rFonts w:ascii="宋体" w:hAnsi="宋体" w:eastAsia="Times New Roman" w:cs="宋体"/>
                <w:b/>
                <w:bCs/>
                <w:color w:val="auto"/>
                <w:kern w:val="0"/>
                <w:szCs w:val="21"/>
              </w:rPr>
            </w:pPr>
            <w:r>
              <w:rPr>
                <w:rFonts w:hint="eastAsia" w:ascii="宋体" w:hAnsi="宋体" w:eastAsia="Times New Roman"/>
                <w:b/>
                <w:bCs/>
                <w:color w:val="auto"/>
                <w:sz w:val="22"/>
              </w:rPr>
              <w:t>合同备案</w:t>
            </w:r>
          </w:p>
        </w:tc>
        <w:tc>
          <w:tcPr>
            <w:tcW w:w="7095" w:type="dxa"/>
            <w:vAlign w:val="center"/>
          </w:tcPr>
          <w:p w14:paraId="42B62017">
            <w:pPr>
              <w:snapToGrid w:val="0"/>
              <w:spacing w:line="320" w:lineRule="exact"/>
              <w:rPr>
                <w:rFonts w:ascii="宋体" w:hAnsi="宋体" w:eastAsia="Times New Roman" w:cs="宋体"/>
                <w:b/>
                <w:bCs/>
                <w:color w:val="auto"/>
                <w:kern w:val="0"/>
                <w:szCs w:val="21"/>
              </w:rPr>
            </w:pPr>
            <w:r>
              <w:rPr>
                <w:rFonts w:hint="eastAsia" w:ascii="宋体" w:hAnsi="宋体" w:cs="宋体"/>
                <w:color w:val="auto"/>
                <w:kern w:val="0"/>
                <w:szCs w:val="21"/>
              </w:rPr>
              <w:t>实行线上签订政府采购电子合同；采购单位可以通过“政采云”平台与成交供应商在线拟订、审核、签订电子采购合同，本项目政府采购合同按规定在浙江政府采购网（http://zfcg.czt.zj.gov.cn/）予以公告。</w:t>
            </w:r>
          </w:p>
        </w:tc>
      </w:tr>
      <w:tr w14:paraId="64D4E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0E2D6EEE">
            <w:pPr>
              <w:numPr>
                <w:ilvl w:val="0"/>
                <w:numId w:val="2"/>
              </w:numPr>
              <w:autoSpaceDE w:val="0"/>
              <w:autoSpaceDN w:val="0"/>
              <w:adjustRightInd w:val="0"/>
              <w:spacing w:line="400" w:lineRule="exact"/>
              <w:jc w:val="center"/>
              <w:rPr>
                <w:rFonts w:ascii="宋体" w:hAnsi="宋体" w:eastAsia="Times New Roman" w:cs="宋体"/>
                <w:color w:val="auto"/>
                <w:kern w:val="0"/>
                <w:szCs w:val="21"/>
              </w:rPr>
            </w:pPr>
            <w:bookmarkStart w:id="51" w:name="_Toc245722278"/>
            <w:bookmarkStart w:id="52" w:name="_Toc11875"/>
            <w:bookmarkStart w:id="53" w:name="_Toc221374623"/>
            <w:bookmarkStart w:id="54" w:name="_Toc223715995"/>
            <w:bookmarkStart w:id="55" w:name="_Toc221356948"/>
            <w:bookmarkStart w:id="56" w:name="_Toc262105500"/>
            <w:bookmarkStart w:id="57" w:name="_Toc410031813"/>
            <w:bookmarkStart w:id="58" w:name="_Toc246261262"/>
            <w:bookmarkStart w:id="59" w:name="_Toc245191311"/>
            <w:bookmarkStart w:id="60" w:name="_Toc249758861"/>
            <w:bookmarkStart w:id="61" w:name="_Toc262049415"/>
            <w:bookmarkStart w:id="62" w:name="_Toc221423616"/>
            <w:bookmarkStart w:id="63" w:name="_Toc241404199"/>
            <w:bookmarkStart w:id="64" w:name="_Toc222114876"/>
            <w:bookmarkStart w:id="65" w:name="_Toc239145351"/>
            <w:bookmarkStart w:id="66" w:name="_Toc221356883"/>
            <w:bookmarkStart w:id="67" w:name="_Toc249758709"/>
          </w:p>
        </w:tc>
        <w:tc>
          <w:tcPr>
            <w:tcW w:w="1919" w:type="dxa"/>
            <w:vAlign w:val="center"/>
          </w:tcPr>
          <w:p w14:paraId="6F424ECC">
            <w:pPr>
              <w:autoSpaceDE w:val="0"/>
              <w:autoSpaceDN w:val="0"/>
              <w:adjustRightInd w:val="0"/>
              <w:spacing w:line="300" w:lineRule="auto"/>
              <w:jc w:val="center"/>
              <w:rPr>
                <w:rFonts w:ascii="宋体" w:hAnsi="宋体" w:eastAsia="Times New Roman"/>
                <w:b/>
                <w:bCs/>
                <w:color w:val="auto"/>
                <w:sz w:val="22"/>
              </w:rPr>
            </w:pPr>
            <w:r>
              <w:rPr>
                <w:rFonts w:hint="eastAsia" w:ascii="宋体" w:hAnsi="宋体" w:eastAsia="Times New Roman"/>
                <w:b/>
                <w:bCs/>
                <w:color w:val="auto"/>
                <w:sz w:val="22"/>
              </w:rPr>
              <w:t>中标</w:t>
            </w:r>
            <w:r>
              <w:rPr>
                <w:rFonts w:hint="eastAsia" w:ascii="宋体" w:hAnsi="宋体"/>
                <w:b/>
                <w:bCs/>
                <w:color w:val="auto"/>
                <w:sz w:val="22"/>
              </w:rPr>
              <w:t>候选</w:t>
            </w:r>
            <w:r>
              <w:rPr>
                <w:rFonts w:hint="eastAsia" w:ascii="宋体" w:hAnsi="宋体" w:eastAsia="Times New Roman"/>
                <w:b/>
                <w:bCs/>
                <w:color w:val="auto"/>
                <w:sz w:val="22"/>
              </w:rPr>
              <w:t>人</w:t>
            </w:r>
          </w:p>
        </w:tc>
        <w:tc>
          <w:tcPr>
            <w:tcW w:w="7095" w:type="dxa"/>
            <w:vAlign w:val="center"/>
          </w:tcPr>
          <w:p w14:paraId="5E748B82">
            <w:pPr>
              <w:snapToGrid w:val="0"/>
              <w:spacing w:line="300" w:lineRule="auto"/>
              <w:rPr>
                <w:rFonts w:ascii="宋体" w:hAnsi="宋体" w:cs="宋体"/>
                <w:color w:val="auto"/>
                <w:kern w:val="0"/>
                <w:szCs w:val="21"/>
              </w:rPr>
            </w:pPr>
            <w:r>
              <w:rPr>
                <w:rFonts w:hint="eastAsia" w:ascii="宋体" w:hAnsi="宋体" w:cs="宋体"/>
                <w:color w:val="auto"/>
                <w:kern w:val="0"/>
                <w:szCs w:val="21"/>
              </w:rPr>
              <w:t>投标文件满足招标文件全部实质性要求，且按照评审因素的量化指标评审得分最高的投标人为中标候选人。采购人收到评审报告后的5个工作日内确认中标人。</w:t>
            </w:r>
          </w:p>
        </w:tc>
      </w:tr>
      <w:tr w14:paraId="4709A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204598DC">
            <w:pPr>
              <w:numPr>
                <w:ilvl w:val="0"/>
                <w:numId w:val="2"/>
              </w:numPr>
              <w:autoSpaceDE w:val="0"/>
              <w:autoSpaceDN w:val="0"/>
              <w:adjustRightInd w:val="0"/>
              <w:spacing w:line="400" w:lineRule="exact"/>
              <w:jc w:val="center"/>
              <w:rPr>
                <w:rFonts w:ascii="宋体" w:hAnsi="宋体" w:eastAsia="Times New Roman" w:cs="宋体"/>
                <w:color w:val="auto"/>
                <w:kern w:val="0"/>
                <w:szCs w:val="21"/>
              </w:rPr>
            </w:pPr>
          </w:p>
        </w:tc>
        <w:tc>
          <w:tcPr>
            <w:tcW w:w="1919" w:type="dxa"/>
            <w:vAlign w:val="center"/>
          </w:tcPr>
          <w:p w14:paraId="457F1004">
            <w:pPr>
              <w:spacing w:line="360" w:lineRule="auto"/>
              <w:jc w:val="center"/>
              <w:rPr>
                <w:rFonts w:ascii="宋体" w:hAnsi="宋体" w:eastAsia="Times New Roman" w:cs="宋体"/>
                <w:color w:val="auto"/>
                <w:kern w:val="0"/>
                <w:szCs w:val="21"/>
              </w:rPr>
            </w:pPr>
            <w:r>
              <w:rPr>
                <w:rFonts w:hint="eastAsia" w:ascii="宋体" w:hAnsi="宋体" w:eastAsia="Times New Roman" w:cs="宋体"/>
                <w:b/>
                <w:bCs/>
                <w:color w:val="auto"/>
                <w:kern w:val="0"/>
                <w:szCs w:val="21"/>
              </w:rPr>
              <w:t>招标代理费</w:t>
            </w:r>
          </w:p>
        </w:tc>
        <w:tc>
          <w:tcPr>
            <w:tcW w:w="7095" w:type="dxa"/>
            <w:vAlign w:val="center"/>
          </w:tcPr>
          <w:p w14:paraId="395393B0">
            <w:pPr>
              <w:spacing w:line="360" w:lineRule="auto"/>
              <w:jc w:val="left"/>
              <w:rPr>
                <w:rFonts w:eastAsia="Times New Roman"/>
                <w:b/>
                <w:bCs/>
                <w:color w:val="auto"/>
              </w:rPr>
            </w:pPr>
            <w:r>
              <w:rPr>
                <w:rFonts w:hint="eastAsia" w:eastAsia="Times New Roman"/>
                <w:b/>
                <w:bCs/>
                <w:color w:val="auto"/>
              </w:rPr>
              <w:t>本项目招标代理费【招标代理费收费标准按照国家计委关于印发《招标代理服务费管理暂行办法》的通知（计价格【2002】1980号）规定的收费标准执行，按服务招标计算】由中标人支付给代理机构。各投标人在投标报价时自行考虑在投标报价中。</w:t>
            </w:r>
          </w:p>
          <w:p w14:paraId="15126889">
            <w:pPr>
              <w:pStyle w:val="26"/>
              <w:ind w:left="842" w:hanging="422"/>
              <w:rPr>
                <w:rFonts w:eastAsia="Times New Roman"/>
                <w:color w:val="auto"/>
              </w:rPr>
            </w:pPr>
            <w:r>
              <w:rPr>
                <w:rFonts w:hint="eastAsia" w:eastAsia="Times New Roman"/>
                <w:b/>
                <w:bCs/>
                <w:color w:val="auto"/>
              </w:rPr>
              <w:t>《招标代理服务费管理暂行办法》的通知规定的收费标准</w:t>
            </w:r>
          </w:p>
          <w:tbl>
            <w:tblPr>
              <w:tblStyle w:val="2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92"/>
              <w:gridCol w:w="2293"/>
              <w:gridCol w:w="2280"/>
            </w:tblGrid>
            <w:tr w14:paraId="01AE9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92" w:type="dxa"/>
                </w:tcPr>
                <w:p w14:paraId="29EFE071">
                  <w:pPr>
                    <w:snapToGrid w:val="0"/>
                    <w:spacing w:before="100" w:beforeAutospacing="1" w:after="100" w:afterAutospacing="1" w:line="276" w:lineRule="auto"/>
                    <w:jc w:val="center"/>
                    <w:rPr>
                      <w:rFonts w:ascii="宋体" w:hAnsi="宋体"/>
                      <w:b/>
                      <w:bCs/>
                      <w:color w:val="auto"/>
                      <w:szCs w:val="21"/>
                    </w:rPr>
                  </w:pPr>
                  <w:r>
                    <w:rPr>
                      <w:rFonts w:hint="eastAsia" w:ascii="宋体" w:hAnsi="宋体"/>
                      <w:b/>
                      <w:bCs/>
                      <w:color w:val="auto"/>
                      <w:szCs w:val="21"/>
                    </w:rPr>
                    <w:t>中标金额（万元）</w:t>
                  </w:r>
                </w:p>
              </w:tc>
              <w:tc>
                <w:tcPr>
                  <w:tcW w:w="2293" w:type="dxa"/>
                </w:tcPr>
                <w:p w14:paraId="5906A3D4">
                  <w:pPr>
                    <w:snapToGrid w:val="0"/>
                    <w:spacing w:before="100" w:beforeAutospacing="1" w:after="100" w:afterAutospacing="1" w:line="276" w:lineRule="auto"/>
                    <w:jc w:val="center"/>
                    <w:rPr>
                      <w:rFonts w:ascii="宋体" w:hAnsi="宋体"/>
                      <w:b/>
                      <w:bCs/>
                      <w:color w:val="auto"/>
                      <w:szCs w:val="21"/>
                    </w:rPr>
                  </w:pPr>
                  <w:r>
                    <w:rPr>
                      <w:rFonts w:hint="eastAsia" w:ascii="宋体" w:hAnsi="宋体"/>
                      <w:b/>
                      <w:bCs/>
                      <w:color w:val="auto"/>
                      <w:szCs w:val="21"/>
                    </w:rPr>
                    <w:t>货物费率</w:t>
                  </w:r>
                </w:p>
              </w:tc>
              <w:tc>
                <w:tcPr>
                  <w:tcW w:w="2280" w:type="dxa"/>
                </w:tcPr>
                <w:p w14:paraId="29AEBF02">
                  <w:pPr>
                    <w:snapToGrid w:val="0"/>
                    <w:spacing w:before="100" w:beforeAutospacing="1" w:after="100" w:afterAutospacing="1" w:line="276" w:lineRule="auto"/>
                    <w:jc w:val="center"/>
                    <w:rPr>
                      <w:rFonts w:ascii="宋体" w:hAnsi="宋体"/>
                      <w:b/>
                      <w:bCs/>
                      <w:color w:val="auto"/>
                      <w:szCs w:val="21"/>
                    </w:rPr>
                  </w:pPr>
                  <w:r>
                    <w:rPr>
                      <w:rFonts w:hint="eastAsia" w:ascii="宋体" w:hAnsi="宋体"/>
                      <w:b/>
                      <w:bCs/>
                      <w:color w:val="auto"/>
                      <w:szCs w:val="21"/>
                    </w:rPr>
                    <w:t>服务费率</w:t>
                  </w:r>
                </w:p>
              </w:tc>
            </w:tr>
            <w:tr w14:paraId="72D73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92" w:type="dxa"/>
                </w:tcPr>
                <w:p w14:paraId="13124B62">
                  <w:pPr>
                    <w:snapToGrid w:val="0"/>
                    <w:spacing w:before="100" w:beforeAutospacing="1" w:after="100" w:afterAutospacing="1" w:line="276" w:lineRule="auto"/>
                    <w:jc w:val="center"/>
                    <w:rPr>
                      <w:rFonts w:ascii="宋体" w:hAnsi="宋体"/>
                      <w:b/>
                      <w:bCs/>
                      <w:color w:val="auto"/>
                      <w:szCs w:val="21"/>
                    </w:rPr>
                  </w:pPr>
                  <w:r>
                    <w:rPr>
                      <w:rFonts w:hint="eastAsia" w:ascii="宋体" w:hAnsi="宋体"/>
                      <w:b/>
                      <w:bCs/>
                      <w:color w:val="auto"/>
                      <w:szCs w:val="21"/>
                    </w:rPr>
                    <w:t>100以下</w:t>
                  </w:r>
                </w:p>
              </w:tc>
              <w:tc>
                <w:tcPr>
                  <w:tcW w:w="2293" w:type="dxa"/>
                </w:tcPr>
                <w:p w14:paraId="26F5517E">
                  <w:pPr>
                    <w:snapToGrid w:val="0"/>
                    <w:spacing w:before="100" w:beforeAutospacing="1" w:after="100" w:afterAutospacing="1" w:line="276" w:lineRule="auto"/>
                    <w:jc w:val="center"/>
                    <w:rPr>
                      <w:rFonts w:ascii="宋体" w:hAnsi="宋体"/>
                      <w:b/>
                      <w:bCs/>
                      <w:color w:val="auto"/>
                      <w:szCs w:val="21"/>
                    </w:rPr>
                  </w:pPr>
                  <w:r>
                    <w:rPr>
                      <w:rFonts w:hint="eastAsia" w:ascii="宋体" w:hAnsi="宋体"/>
                      <w:b/>
                      <w:bCs/>
                      <w:color w:val="auto"/>
                      <w:szCs w:val="21"/>
                    </w:rPr>
                    <w:t>1.5%</w:t>
                  </w:r>
                </w:p>
              </w:tc>
              <w:tc>
                <w:tcPr>
                  <w:tcW w:w="2280" w:type="dxa"/>
                </w:tcPr>
                <w:p w14:paraId="774FF85E">
                  <w:pPr>
                    <w:snapToGrid w:val="0"/>
                    <w:spacing w:before="100" w:beforeAutospacing="1" w:after="100" w:afterAutospacing="1" w:line="276" w:lineRule="auto"/>
                    <w:jc w:val="center"/>
                    <w:rPr>
                      <w:rFonts w:ascii="宋体" w:hAnsi="宋体"/>
                      <w:b/>
                      <w:bCs/>
                      <w:color w:val="auto"/>
                      <w:szCs w:val="21"/>
                    </w:rPr>
                  </w:pPr>
                  <w:r>
                    <w:rPr>
                      <w:rFonts w:hint="eastAsia" w:ascii="宋体" w:hAnsi="宋体"/>
                      <w:b/>
                      <w:bCs/>
                      <w:color w:val="auto"/>
                      <w:szCs w:val="21"/>
                    </w:rPr>
                    <w:t>1.5%</w:t>
                  </w:r>
                </w:p>
              </w:tc>
            </w:tr>
            <w:tr w14:paraId="6EB2A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92" w:type="dxa"/>
                </w:tcPr>
                <w:p w14:paraId="48CC9296">
                  <w:pPr>
                    <w:snapToGrid w:val="0"/>
                    <w:spacing w:before="100" w:beforeAutospacing="1" w:after="100" w:afterAutospacing="1" w:line="276" w:lineRule="auto"/>
                    <w:jc w:val="center"/>
                    <w:rPr>
                      <w:rFonts w:ascii="宋体" w:hAnsi="宋体"/>
                      <w:b/>
                      <w:bCs/>
                      <w:color w:val="auto"/>
                      <w:szCs w:val="21"/>
                    </w:rPr>
                  </w:pPr>
                  <w:r>
                    <w:rPr>
                      <w:rFonts w:hint="eastAsia" w:ascii="宋体" w:hAnsi="宋体"/>
                      <w:b/>
                      <w:bCs/>
                      <w:color w:val="auto"/>
                      <w:szCs w:val="21"/>
                    </w:rPr>
                    <w:t>100-500</w:t>
                  </w:r>
                </w:p>
              </w:tc>
              <w:tc>
                <w:tcPr>
                  <w:tcW w:w="2293" w:type="dxa"/>
                </w:tcPr>
                <w:p w14:paraId="7ABD230C">
                  <w:pPr>
                    <w:snapToGrid w:val="0"/>
                    <w:spacing w:before="100" w:beforeAutospacing="1" w:after="100" w:afterAutospacing="1" w:line="276" w:lineRule="auto"/>
                    <w:jc w:val="center"/>
                    <w:rPr>
                      <w:rFonts w:ascii="宋体" w:hAnsi="宋体"/>
                      <w:b/>
                      <w:bCs/>
                      <w:color w:val="auto"/>
                      <w:szCs w:val="21"/>
                    </w:rPr>
                  </w:pPr>
                  <w:r>
                    <w:rPr>
                      <w:rFonts w:hint="eastAsia" w:ascii="宋体" w:hAnsi="宋体"/>
                      <w:b/>
                      <w:bCs/>
                      <w:color w:val="auto"/>
                      <w:szCs w:val="21"/>
                    </w:rPr>
                    <w:t>1.1%</w:t>
                  </w:r>
                </w:p>
              </w:tc>
              <w:tc>
                <w:tcPr>
                  <w:tcW w:w="2280" w:type="dxa"/>
                </w:tcPr>
                <w:p w14:paraId="348691DC">
                  <w:pPr>
                    <w:snapToGrid w:val="0"/>
                    <w:spacing w:before="100" w:beforeAutospacing="1" w:after="100" w:afterAutospacing="1" w:line="276" w:lineRule="auto"/>
                    <w:jc w:val="center"/>
                    <w:rPr>
                      <w:rFonts w:ascii="宋体" w:hAnsi="宋体"/>
                      <w:b/>
                      <w:bCs/>
                      <w:color w:val="auto"/>
                      <w:szCs w:val="21"/>
                    </w:rPr>
                  </w:pPr>
                  <w:r>
                    <w:rPr>
                      <w:rFonts w:hint="eastAsia" w:ascii="宋体" w:hAnsi="宋体"/>
                      <w:b/>
                      <w:bCs/>
                      <w:color w:val="auto"/>
                      <w:szCs w:val="21"/>
                    </w:rPr>
                    <w:t>0.8%</w:t>
                  </w:r>
                </w:p>
              </w:tc>
            </w:tr>
            <w:tr w14:paraId="681872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92" w:type="dxa"/>
                </w:tcPr>
                <w:p w14:paraId="54C5AC47">
                  <w:pPr>
                    <w:snapToGrid w:val="0"/>
                    <w:spacing w:before="100" w:beforeAutospacing="1" w:after="100" w:afterAutospacing="1" w:line="276" w:lineRule="auto"/>
                    <w:jc w:val="center"/>
                    <w:rPr>
                      <w:rFonts w:ascii="宋体" w:hAnsi="宋体"/>
                      <w:b/>
                      <w:bCs/>
                      <w:color w:val="auto"/>
                      <w:szCs w:val="21"/>
                    </w:rPr>
                  </w:pPr>
                  <w:r>
                    <w:rPr>
                      <w:rFonts w:hint="eastAsia" w:ascii="宋体" w:hAnsi="宋体"/>
                      <w:b/>
                      <w:bCs/>
                      <w:color w:val="auto"/>
                      <w:szCs w:val="21"/>
                    </w:rPr>
                    <w:t>500-1000</w:t>
                  </w:r>
                </w:p>
              </w:tc>
              <w:tc>
                <w:tcPr>
                  <w:tcW w:w="2293" w:type="dxa"/>
                </w:tcPr>
                <w:p w14:paraId="1DC93B19">
                  <w:pPr>
                    <w:snapToGrid w:val="0"/>
                    <w:spacing w:before="100" w:beforeAutospacing="1" w:after="100" w:afterAutospacing="1" w:line="276" w:lineRule="auto"/>
                    <w:jc w:val="center"/>
                    <w:rPr>
                      <w:rFonts w:ascii="宋体" w:hAnsi="宋体"/>
                      <w:b/>
                      <w:bCs/>
                      <w:color w:val="auto"/>
                      <w:szCs w:val="21"/>
                    </w:rPr>
                  </w:pPr>
                  <w:r>
                    <w:rPr>
                      <w:rFonts w:hint="eastAsia" w:ascii="宋体" w:hAnsi="宋体"/>
                      <w:b/>
                      <w:bCs/>
                      <w:color w:val="auto"/>
                      <w:szCs w:val="21"/>
                    </w:rPr>
                    <w:t>0.8%</w:t>
                  </w:r>
                </w:p>
              </w:tc>
              <w:tc>
                <w:tcPr>
                  <w:tcW w:w="2280" w:type="dxa"/>
                </w:tcPr>
                <w:p w14:paraId="2C98BE6C">
                  <w:pPr>
                    <w:snapToGrid w:val="0"/>
                    <w:spacing w:before="100" w:beforeAutospacing="1" w:after="100" w:afterAutospacing="1" w:line="276" w:lineRule="auto"/>
                    <w:jc w:val="center"/>
                    <w:rPr>
                      <w:rFonts w:ascii="宋体" w:hAnsi="宋体"/>
                      <w:b/>
                      <w:bCs/>
                      <w:color w:val="auto"/>
                      <w:szCs w:val="21"/>
                    </w:rPr>
                  </w:pPr>
                  <w:r>
                    <w:rPr>
                      <w:rFonts w:hint="eastAsia" w:ascii="宋体" w:hAnsi="宋体"/>
                      <w:b/>
                      <w:bCs/>
                      <w:color w:val="auto"/>
                      <w:szCs w:val="21"/>
                    </w:rPr>
                    <w:t>0.45%</w:t>
                  </w:r>
                </w:p>
              </w:tc>
            </w:tr>
          </w:tbl>
          <w:p w14:paraId="4FEBAD53">
            <w:pPr>
              <w:pStyle w:val="26"/>
              <w:ind w:left="840" w:hanging="420"/>
              <w:rPr>
                <w:rFonts w:eastAsia="Times New Roman"/>
                <w:color w:val="auto"/>
              </w:rPr>
            </w:pPr>
          </w:p>
        </w:tc>
      </w:tr>
      <w:tr w14:paraId="7FEC9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trPr>
        <w:tc>
          <w:tcPr>
            <w:tcW w:w="870" w:type="dxa"/>
            <w:vAlign w:val="center"/>
          </w:tcPr>
          <w:p w14:paraId="39333E11">
            <w:pPr>
              <w:numPr>
                <w:ilvl w:val="0"/>
                <w:numId w:val="2"/>
              </w:numPr>
              <w:autoSpaceDE w:val="0"/>
              <w:autoSpaceDN w:val="0"/>
              <w:adjustRightInd w:val="0"/>
              <w:spacing w:line="400" w:lineRule="exact"/>
              <w:jc w:val="center"/>
              <w:rPr>
                <w:rFonts w:ascii="宋体" w:hAnsi="宋体" w:cs="宋体"/>
                <w:b/>
                <w:bCs/>
                <w:color w:val="auto"/>
                <w:kern w:val="0"/>
                <w:szCs w:val="21"/>
              </w:rPr>
            </w:pPr>
          </w:p>
        </w:tc>
        <w:tc>
          <w:tcPr>
            <w:tcW w:w="1919" w:type="dxa"/>
            <w:vAlign w:val="center"/>
          </w:tcPr>
          <w:p w14:paraId="7515388F">
            <w:pPr>
              <w:spacing w:line="360" w:lineRule="auto"/>
              <w:jc w:val="center"/>
              <w:rPr>
                <w:rFonts w:ascii="宋体" w:hAnsi="宋体" w:cs="宋体"/>
                <w:b/>
                <w:bCs/>
                <w:color w:val="auto"/>
                <w:kern w:val="0"/>
                <w:szCs w:val="21"/>
              </w:rPr>
            </w:pPr>
            <w:r>
              <w:rPr>
                <w:rFonts w:hint="eastAsia" w:ascii="宋体" w:hAnsi="宋体" w:eastAsia="Times New Roman" w:cs="宋体"/>
                <w:b/>
                <w:bCs/>
                <w:color w:val="auto"/>
                <w:kern w:val="0"/>
                <w:szCs w:val="21"/>
              </w:rPr>
              <w:t>特别说明1</w:t>
            </w:r>
          </w:p>
        </w:tc>
        <w:tc>
          <w:tcPr>
            <w:tcW w:w="7095" w:type="dxa"/>
            <w:vAlign w:val="center"/>
          </w:tcPr>
          <w:p w14:paraId="4C2B913B">
            <w:pPr>
              <w:autoSpaceDE w:val="0"/>
              <w:autoSpaceDN w:val="0"/>
              <w:adjustRightInd w:val="0"/>
              <w:spacing w:line="360" w:lineRule="auto"/>
              <w:ind w:firstLine="420" w:firstLineChars="200"/>
              <w:rPr>
                <w:rFonts w:ascii="宋体" w:hAnsi="宋体" w:cs="宋体"/>
                <w:b/>
                <w:bCs/>
                <w:color w:val="auto"/>
                <w:kern w:val="0"/>
                <w:szCs w:val="21"/>
              </w:rPr>
            </w:pPr>
            <w:r>
              <w:rPr>
                <w:rFonts w:hint="eastAsia" w:ascii="����" w:hAnsi="����" w:eastAsia="Times New Roman"/>
                <w:b/>
                <w:color w:val="auto"/>
                <w:szCs w:val="21"/>
                <w:shd w:val="clear" w:color="auto" w:fill="FFFFFF"/>
              </w:rPr>
              <w:t>未注册加入浙江省政府采购投标人库的投标人一旦被确定为中标人的，应当在《中标通知书》发出前的三个工作日内按《关于印发浙江省政府投标人注册及诚信管理暂行办法通知》[浙财采监字〔2009〕28号]文件的规定进行注册申请，否则，采购单位将拒绝向其发出《中标通知书》，视为未中标。</w:t>
            </w:r>
          </w:p>
        </w:tc>
      </w:tr>
      <w:tr w14:paraId="65F46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trPr>
        <w:tc>
          <w:tcPr>
            <w:tcW w:w="870" w:type="dxa"/>
            <w:vAlign w:val="center"/>
          </w:tcPr>
          <w:p w14:paraId="2DF222A8">
            <w:pPr>
              <w:numPr>
                <w:ilvl w:val="0"/>
                <w:numId w:val="2"/>
              </w:numPr>
              <w:autoSpaceDE w:val="0"/>
              <w:autoSpaceDN w:val="0"/>
              <w:adjustRightInd w:val="0"/>
              <w:spacing w:line="400" w:lineRule="exact"/>
              <w:jc w:val="center"/>
              <w:rPr>
                <w:rFonts w:ascii="宋体" w:hAnsi="宋体" w:cs="宋体"/>
                <w:b/>
                <w:bCs/>
                <w:color w:val="auto"/>
                <w:kern w:val="0"/>
                <w:szCs w:val="21"/>
              </w:rPr>
            </w:pPr>
          </w:p>
        </w:tc>
        <w:tc>
          <w:tcPr>
            <w:tcW w:w="1919" w:type="dxa"/>
            <w:vAlign w:val="center"/>
          </w:tcPr>
          <w:p w14:paraId="67B74541">
            <w:pPr>
              <w:snapToGrid w:val="0"/>
              <w:spacing w:line="420" w:lineRule="exact"/>
              <w:jc w:val="center"/>
              <w:rPr>
                <w:rFonts w:ascii="宋体" w:hAnsi="宋体" w:eastAsia="Times New Roman" w:cs="宋体"/>
                <w:b/>
                <w:bCs/>
                <w:color w:val="auto"/>
                <w:kern w:val="0"/>
                <w:szCs w:val="21"/>
              </w:rPr>
            </w:pPr>
            <w:r>
              <w:rPr>
                <w:rFonts w:hint="eastAsia" w:ascii="宋体" w:hAnsi="宋体" w:cs="宋体"/>
                <w:b/>
                <w:bCs/>
                <w:color w:val="auto"/>
                <w:szCs w:val="21"/>
              </w:rPr>
              <w:t>中小企业预留份额情况</w:t>
            </w:r>
          </w:p>
        </w:tc>
        <w:tc>
          <w:tcPr>
            <w:tcW w:w="7095" w:type="dxa"/>
            <w:vAlign w:val="center"/>
          </w:tcPr>
          <w:p w14:paraId="15DF58C2">
            <w:pPr>
              <w:snapToGrid w:val="0"/>
              <w:spacing w:line="420" w:lineRule="exact"/>
              <w:rPr>
                <w:rFonts w:ascii="����" w:hAnsi="����" w:eastAsia="Times New Roman"/>
                <w:b/>
                <w:color w:val="auto"/>
                <w:szCs w:val="21"/>
                <w:shd w:val="clear" w:color="auto" w:fill="FFFFFF"/>
              </w:rPr>
            </w:pPr>
            <w:r>
              <w:rPr>
                <w:rFonts w:hint="eastAsia" w:ascii="宋体" w:hAnsi="宋体" w:cs="宋体"/>
                <w:b/>
                <w:bCs/>
                <w:color w:val="auto"/>
                <w:szCs w:val="21"/>
              </w:rPr>
              <w:t>根据《政府采购促进中小企业发展管理办法》财库〔2020〕46号文件的规定，本项目（</w:t>
            </w:r>
            <w:r>
              <w:rPr>
                <w:rFonts w:hint="eastAsia" w:ascii="宋体" w:hAnsi="宋体" w:cs="宋体"/>
                <w:b/>
                <w:bCs/>
                <w:color w:val="auto"/>
                <w:szCs w:val="21"/>
              </w:rPr>
              <w:sym w:font="Wingdings 2" w:char="0052"/>
            </w:r>
            <w:r>
              <w:rPr>
                <w:rFonts w:hint="eastAsia" w:ascii="宋体" w:hAnsi="宋体" w:cs="宋体"/>
                <w:b/>
                <w:bCs/>
                <w:color w:val="auto"/>
                <w:szCs w:val="21"/>
              </w:rPr>
              <w:t>是</w:t>
            </w:r>
            <w:r>
              <w:rPr>
                <w:rFonts w:hint="eastAsia" w:ascii="宋体" w:hAnsi="宋体" w:cs="宋体"/>
                <w:b/>
                <w:bCs/>
                <w:color w:val="auto"/>
                <w:szCs w:val="21"/>
              </w:rPr>
              <w:sym w:font="Wingdings 2" w:char="00A3"/>
            </w:r>
            <w:r>
              <w:rPr>
                <w:rFonts w:hint="eastAsia" w:ascii="宋体" w:hAnsi="宋体" w:cs="宋体"/>
                <w:b/>
                <w:bCs/>
                <w:color w:val="auto"/>
                <w:szCs w:val="21"/>
              </w:rPr>
              <w:t>否）属于预留份额专门面向中小企业采购的项目。</w:t>
            </w:r>
          </w:p>
        </w:tc>
      </w:tr>
      <w:tr w14:paraId="68DD3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trPr>
        <w:tc>
          <w:tcPr>
            <w:tcW w:w="870" w:type="dxa"/>
            <w:vAlign w:val="center"/>
          </w:tcPr>
          <w:p w14:paraId="21633FB6">
            <w:pPr>
              <w:numPr>
                <w:ilvl w:val="0"/>
                <w:numId w:val="2"/>
              </w:numPr>
              <w:autoSpaceDE w:val="0"/>
              <w:autoSpaceDN w:val="0"/>
              <w:adjustRightInd w:val="0"/>
              <w:spacing w:line="400" w:lineRule="exact"/>
              <w:jc w:val="center"/>
              <w:rPr>
                <w:rFonts w:ascii="宋体" w:hAnsi="宋体" w:cs="宋体"/>
                <w:b/>
                <w:bCs/>
                <w:color w:val="auto"/>
                <w:kern w:val="0"/>
                <w:szCs w:val="21"/>
              </w:rPr>
            </w:pPr>
          </w:p>
        </w:tc>
        <w:tc>
          <w:tcPr>
            <w:tcW w:w="1919" w:type="dxa"/>
            <w:vAlign w:val="center"/>
          </w:tcPr>
          <w:p w14:paraId="6446A60E">
            <w:pPr>
              <w:autoSpaceDE w:val="0"/>
              <w:autoSpaceDN w:val="0"/>
              <w:adjustRightInd w:val="0"/>
              <w:spacing w:line="360" w:lineRule="auto"/>
              <w:jc w:val="center"/>
              <w:rPr>
                <w:rFonts w:ascii="����" w:hAnsi="����" w:eastAsia="Times New Roman"/>
                <w:b/>
                <w:color w:val="auto"/>
                <w:szCs w:val="21"/>
                <w:shd w:val="clear" w:color="auto" w:fill="FFFFFF"/>
              </w:rPr>
            </w:pPr>
            <w:r>
              <w:rPr>
                <w:rFonts w:hint="eastAsia" w:ascii="宋体" w:hAnsi="宋体" w:cs="宋体"/>
                <w:b/>
                <w:color w:val="auto"/>
                <w:szCs w:val="21"/>
                <w:shd w:val="clear" w:color="auto" w:fill="FFFFFF"/>
              </w:rPr>
              <w:t>政府采购扶持政策</w:t>
            </w:r>
          </w:p>
        </w:tc>
        <w:tc>
          <w:tcPr>
            <w:tcW w:w="7095" w:type="dxa"/>
            <w:vAlign w:val="center"/>
          </w:tcPr>
          <w:p w14:paraId="6F21977D">
            <w:pPr>
              <w:pStyle w:val="54"/>
              <w:snapToGrid w:val="0"/>
              <w:spacing w:line="360" w:lineRule="auto"/>
              <w:ind w:left="0" w:firstLine="0"/>
              <w:rPr>
                <w:b/>
                <w:color w:val="auto"/>
                <w:szCs w:val="21"/>
                <w:u w:val="single"/>
                <w:lang w:val="en-US"/>
              </w:rPr>
            </w:pPr>
            <w:r>
              <w:rPr>
                <w:rFonts w:hint="eastAsia"/>
                <w:b/>
                <w:color w:val="auto"/>
                <w:szCs w:val="21"/>
                <w:lang w:val="en-US"/>
              </w:rPr>
              <w:t>1）</w:t>
            </w:r>
            <w:r>
              <w:rPr>
                <w:rFonts w:hint="eastAsia"/>
                <w:b/>
                <w:color w:val="auto"/>
                <w:szCs w:val="21"/>
              </w:rPr>
              <w:t>项目属性:</w:t>
            </w:r>
            <w:r>
              <w:rPr>
                <w:rFonts w:hint="eastAsia"/>
                <w:b/>
                <w:color w:val="auto"/>
                <w:szCs w:val="21"/>
              </w:rPr>
              <w:sym w:font="Wingdings 2" w:char="00A3"/>
            </w:r>
            <w:r>
              <w:rPr>
                <w:rFonts w:hint="eastAsia"/>
                <w:b/>
                <w:color w:val="auto"/>
                <w:szCs w:val="21"/>
              </w:rPr>
              <w:t>货物类</w:t>
            </w:r>
            <w:r>
              <w:rPr>
                <w:rFonts w:hint="eastAsia"/>
                <w:b/>
                <w:color w:val="auto"/>
                <w:szCs w:val="21"/>
              </w:rPr>
              <w:sym w:font="Wingdings 2" w:char="0052"/>
            </w:r>
            <w:r>
              <w:rPr>
                <w:rFonts w:hint="eastAsia"/>
                <w:b/>
                <w:color w:val="auto"/>
                <w:szCs w:val="21"/>
                <w:lang w:val="en-US"/>
              </w:rPr>
              <w:t>服务类</w:t>
            </w:r>
            <w:r>
              <w:rPr>
                <w:rFonts w:hint="eastAsia"/>
                <w:b/>
                <w:color w:val="auto"/>
                <w:szCs w:val="21"/>
              </w:rPr>
              <w:sym w:font="Wingdings 2" w:char="00A3"/>
            </w:r>
            <w:r>
              <w:rPr>
                <w:rFonts w:hint="eastAsia"/>
                <w:b/>
                <w:color w:val="auto"/>
                <w:szCs w:val="21"/>
                <w:lang w:val="en-US"/>
              </w:rPr>
              <w:t>工程类</w:t>
            </w:r>
          </w:p>
          <w:p w14:paraId="5AAAE1C8">
            <w:pPr>
              <w:pStyle w:val="54"/>
              <w:snapToGrid w:val="0"/>
              <w:spacing w:line="360" w:lineRule="auto"/>
              <w:ind w:left="0" w:firstLine="0"/>
              <w:rPr>
                <w:b/>
                <w:color w:val="auto"/>
                <w:szCs w:val="21"/>
              </w:rPr>
            </w:pPr>
            <w:r>
              <w:rPr>
                <w:rFonts w:hint="eastAsia"/>
                <w:b/>
                <w:color w:val="auto"/>
                <w:szCs w:val="21"/>
                <w:lang w:val="en-US"/>
              </w:rPr>
              <w:t>2）</w:t>
            </w:r>
            <w:r>
              <w:rPr>
                <w:rFonts w:hint="eastAsia"/>
                <w:b/>
                <w:color w:val="auto"/>
                <w:szCs w:val="21"/>
              </w:rPr>
              <w:t>中小企业划分标准所属行业根据《中小企业划型标准规定》执行。</w:t>
            </w:r>
          </w:p>
          <w:p w14:paraId="0CBDB3D5">
            <w:pPr>
              <w:snapToGrid w:val="0"/>
              <w:spacing w:line="360" w:lineRule="auto"/>
              <w:rPr>
                <w:rFonts w:ascii="宋体" w:hAnsi="宋体" w:cs="宋体"/>
                <w:b/>
                <w:color w:val="auto"/>
                <w:szCs w:val="21"/>
              </w:rPr>
            </w:pPr>
            <w:r>
              <w:rPr>
                <w:rFonts w:hint="eastAsia" w:ascii="宋体" w:hAnsi="宋体" w:cs="宋体"/>
                <w:b/>
                <w:color w:val="auto"/>
                <w:szCs w:val="21"/>
              </w:rPr>
              <w:t>采购标的名称：</w:t>
            </w:r>
            <w:r>
              <w:rPr>
                <w:rFonts w:hint="eastAsia" w:ascii="宋体" w:hAnsi="宋体" w:cs="宋体"/>
                <w:b/>
                <w:color w:val="auto"/>
                <w:szCs w:val="21"/>
                <w:u w:val="single"/>
              </w:rPr>
              <w:t xml:space="preserve"> </w:t>
            </w:r>
            <w:r>
              <w:rPr>
                <w:rFonts w:hint="eastAsia" w:ascii="宋体" w:hAnsi="宋体" w:cs="宋体"/>
                <w:b/>
                <w:color w:val="auto"/>
                <w:szCs w:val="21"/>
                <w:u w:val="single"/>
                <w:lang w:eastAsia="zh-CN"/>
              </w:rPr>
              <w:t>常山县农村垃圾中转站渗滤液集中转运处置项目（2025-2026年度）</w:t>
            </w:r>
            <w:r>
              <w:rPr>
                <w:rFonts w:hint="eastAsia" w:ascii="宋体" w:hAnsi="宋体" w:cs="宋体"/>
                <w:b/>
                <w:color w:val="auto"/>
                <w:szCs w:val="21"/>
                <w:u w:val="single"/>
              </w:rPr>
              <w:t xml:space="preserve"> </w:t>
            </w:r>
            <w:r>
              <w:rPr>
                <w:rFonts w:hint="eastAsia" w:ascii="宋体" w:hAnsi="宋体" w:cs="宋体"/>
                <w:b/>
                <w:color w:val="auto"/>
                <w:szCs w:val="21"/>
              </w:rPr>
              <w:t>，所属行业：</w:t>
            </w:r>
            <w:r>
              <w:rPr>
                <w:rFonts w:hint="eastAsia" w:ascii="宋体" w:hAnsi="宋体" w:cs="宋体"/>
                <w:b/>
                <w:color w:val="auto"/>
                <w:szCs w:val="21"/>
                <w:u w:val="single"/>
              </w:rPr>
              <w:t xml:space="preserve"> 其他未列明行业 </w:t>
            </w:r>
            <w:r>
              <w:rPr>
                <w:rFonts w:hint="eastAsia" w:ascii="宋体" w:hAnsi="宋体" w:cs="宋体"/>
                <w:b/>
                <w:color w:val="auto"/>
                <w:szCs w:val="21"/>
              </w:rPr>
              <w:t>。</w:t>
            </w:r>
          </w:p>
          <w:p w14:paraId="1705A0BF">
            <w:pPr>
              <w:autoSpaceDE w:val="0"/>
              <w:autoSpaceDN w:val="0"/>
              <w:adjustRightInd w:val="0"/>
              <w:spacing w:line="360" w:lineRule="auto"/>
              <w:rPr>
                <w:rFonts w:hint="eastAsia" w:ascii="Times New Roman" w:hAnsi="宋体" w:eastAsia="宋体" w:cs="Times New Roman"/>
                <w:b w:val="0"/>
                <w:bCs w:val="0"/>
                <w:color w:val="auto"/>
                <w:kern w:val="2"/>
                <w:sz w:val="21"/>
                <w:szCs w:val="21"/>
                <w:lang w:val="en-US" w:eastAsia="zh-CN" w:bidi="ar-SA"/>
              </w:rPr>
            </w:pPr>
            <w:r>
              <w:rPr>
                <w:rFonts w:hint="eastAsia" w:ascii="Times New Roman" w:hAnsi="宋体" w:eastAsia="宋体" w:cs="Times New Roman"/>
                <w:b w:val="0"/>
                <w:bCs w:val="0"/>
                <w:color w:val="auto"/>
                <w:kern w:val="2"/>
                <w:sz w:val="21"/>
                <w:szCs w:val="21"/>
                <w:lang w:val="en-US" w:eastAsia="zh-CN" w:bidi="ar-SA"/>
              </w:rPr>
              <w:t>3）本采购文件所称中小企业，是指在中华人民共和国境内依法设立，依据国务院批准的中小企业划分标准确定的中型企业、小型企业和微型企业，但与大企业的负责人为同一人，或者与大企业存在直接控股、管理关系的除外。</w:t>
            </w:r>
          </w:p>
          <w:p w14:paraId="1AC1E2DB">
            <w:pPr>
              <w:autoSpaceDE w:val="0"/>
              <w:autoSpaceDN w:val="0"/>
              <w:adjustRightInd w:val="0"/>
              <w:spacing w:line="360" w:lineRule="auto"/>
              <w:rPr>
                <w:rFonts w:hint="eastAsia" w:ascii="Times New Roman" w:hAnsi="宋体" w:eastAsia="宋体" w:cs="Times New Roman"/>
                <w:b w:val="0"/>
                <w:bCs w:val="0"/>
                <w:color w:val="auto"/>
                <w:kern w:val="2"/>
                <w:sz w:val="21"/>
                <w:szCs w:val="21"/>
                <w:lang w:val="en-US" w:eastAsia="zh-CN" w:bidi="ar-SA"/>
              </w:rPr>
            </w:pPr>
            <w:r>
              <w:rPr>
                <w:rFonts w:hint="eastAsia" w:ascii="Times New Roman" w:hAnsi="宋体" w:eastAsia="宋体" w:cs="Times New Roman"/>
                <w:b w:val="0"/>
                <w:bCs w:val="0"/>
                <w:color w:val="auto"/>
                <w:kern w:val="2"/>
                <w:sz w:val="21"/>
                <w:szCs w:val="21"/>
                <w:lang w:val="en-US" w:eastAsia="zh-CN" w:bidi="ar-SA"/>
              </w:rPr>
              <w:t>4）以联合体形式参加政府采购活动，联合体各方均为小微企业的，联合体视同小微企业。（本项目不接受联合体）</w:t>
            </w:r>
          </w:p>
          <w:p w14:paraId="7FF48DB2">
            <w:pPr>
              <w:autoSpaceDE w:val="0"/>
              <w:autoSpaceDN w:val="0"/>
              <w:adjustRightInd w:val="0"/>
              <w:spacing w:line="360" w:lineRule="auto"/>
              <w:rPr>
                <w:rFonts w:hint="eastAsia" w:ascii="Times New Roman" w:hAnsi="宋体" w:eastAsia="宋体" w:cs="Times New Roman"/>
                <w:b w:val="0"/>
                <w:bCs w:val="0"/>
                <w:color w:val="auto"/>
                <w:kern w:val="2"/>
                <w:sz w:val="21"/>
                <w:szCs w:val="21"/>
                <w:lang w:val="en-US" w:eastAsia="zh-CN" w:bidi="ar-SA"/>
              </w:rPr>
            </w:pPr>
            <w:r>
              <w:rPr>
                <w:rFonts w:hint="eastAsia" w:ascii="Times New Roman" w:hAnsi="宋体" w:eastAsia="宋体" w:cs="Times New Roman"/>
                <w:b/>
                <w:bCs/>
                <w:color w:val="auto"/>
                <w:kern w:val="2"/>
                <w:sz w:val="21"/>
                <w:szCs w:val="21"/>
                <w:lang w:val="en-US" w:eastAsia="zh-CN" w:bidi="ar-SA"/>
              </w:rPr>
              <w:t>5） 参加本次采购活动的供应商提供的服务全部由小微企业承接的，其报价给予10%的扣除，用扣除后的价格参加评审。</w:t>
            </w:r>
            <w:r>
              <w:rPr>
                <w:rFonts w:hint="eastAsia" w:ascii="Times New Roman" w:hAnsi="宋体" w:eastAsia="宋体" w:cs="Times New Roman"/>
                <w:b w:val="0"/>
                <w:bCs w:val="0"/>
                <w:color w:val="auto"/>
                <w:kern w:val="2"/>
                <w:sz w:val="21"/>
                <w:szCs w:val="21"/>
                <w:lang w:val="en-US" w:eastAsia="zh-CN" w:bidi="ar-SA"/>
              </w:rPr>
              <w:t>小微企业将合同分包给大中型企业的，其报价不予扣除。</w:t>
            </w:r>
            <w:r>
              <w:rPr>
                <w:rFonts w:hint="eastAsia" w:ascii="宋体" w:hAnsi="宋体" w:cs="宋体"/>
                <w:b/>
                <w:bCs/>
                <w:color w:val="auto"/>
                <w:szCs w:val="21"/>
                <w:shd w:val="clear" w:color="auto" w:fill="FFFFFF"/>
                <w:lang w:eastAsia="zh-CN"/>
              </w:rPr>
              <w:t>（特别说明：</w:t>
            </w:r>
            <w:r>
              <w:rPr>
                <w:rFonts w:hint="eastAsia" w:cs="Times New Roman"/>
                <w:b/>
                <w:bCs/>
                <w:color w:val="auto"/>
                <w:spacing w:val="-6"/>
                <w:sz w:val="21"/>
                <w:szCs w:val="21"/>
              </w:rPr>
              <w:t>本项目专门面向中小企业采购，不再执行价格评审优惠的扶持政策</w:t>
            </w:r>
            <w:r>
              <w:rPr>
                <w:rFonts w:hint="eastAsia" w:ascii="宋体" w:hAnsi="宋体" w:cs="宋体"/>
                <w:b/>
                <w:bCs/>
                <w:color w:val="auto"/>
                <w:szCs w:val="21"/>
                <w:shd w:val="clear" w:color="auto" w:fill="FFFFFF"/>
                <w:lang w:eastAsia="zh-CN"/>
              </w:rPr>
              <w:t>，报价不给予</w:t>
            </w:r>
            <w:r>
              <w:rPr>
                <w:rFonts w:hint="eastAsia" w:ascii="宋体" w:hAnsi="宋体" w:cs="宋体"/>
                <w:b/>
                <w:bCs/>
                <w:color w:val="auto"/>
                <w:szCs w:val="21"/>
                <w:shd w:val="clear" w:color="auto" w:fill="FFFFFF"/>
                <w:lang w:val="en-US" w:eastAsia="zh-CN"/>
              </w:rPr>
              <w:t>10%的扣除</w:t>
            </w:r>
            <w:r>
              <w:rPr>
                <w:rFonts w:hint="eastAsia" w:ascii="宋体" w:hAnsi="宋体" w:cs="宋体"/>
                <w:b/>
                <w:bCs/>
                <w:color w:val="auto"/>
                <w:szCs w:val="21"/>
                <w:shd w:val="clear" w:color="auto" w:fill="FFFFFF"/>
                <w:lang w:eastAsia="zh-CN"/>
              </w:rPr>
              <w:t>）</w:t>
            </w:r>
            <w:r>
              <w:rPr>
                <w:rFonts w:hint="eastAsia" w:ascii="宋体" w:hAnsi="宋体" w:cs="宋体"/>
                <w:b/>
                <w:bCs/>
                <w:color w:val="auto"/>
                <w:szCs w:val="21"/>
                <w:shd w:val="clear" w:color="auto" w:fill="FFFFFF"/>
              </w:rPr>
              <w:t>。</w:t>
            </w:r>
          </w:p>
          <w:p w14:paraId="7BEDB092">
            <w:pPr>
              <w:autoSpaceDE w:val="0"/>
              <w:autoSpaceDN w:val="0"/>
              <w:adjustRightInd w:val="0"/>
              <w:spacing w:line="360" w:lineRule="auto"/>
              <w:rPr>
                <w:rFonts w:ascii="Times New Roman" w:hAnsi="宋体" w:eastAsia="宋体" w:cs="Times New Roman"/>
                <w:b w:val="0"/>
                <w:bCs w:val="0"/>
                <w:color w:val="auto"/>
                <w:kern w:val="2"/>
                <w:sz w:val="21"/>
                <w:szCs w:val="21"/>
                <w:lang w:val="en-US" w:eastAsia="zh-CN" w:bidi="ar-SA"/>
              </w:rPr>
            </w:pPr>
            <w:r>
              <w:rPr>
                <w:rFonts w:hint="eastAsia" w:ascii="Times New Roman" w:hAnsi="宋体" w:eastAsia="宋体" w:cs="Times New Roman"/>
                <w:b w:val="0"/>
                <w:bCs w:val="0"/>
                <w:color w:val="auto"/>
                <w:kern w:val="2"/>
                <w:sz w:val="21"/>
                <w:szCs w:val="21"/>
                <w:lang w:val="en-US" w:eastAsia="zh-CN" w:bidi="ar-SA"/>
              </w:rPr>
              <w:t>6）符合小微企业划分标准的个体工商户，视同小微企业。</w:t>
            </w:r>
          </w:p>
          <w:p w14:paraId="7ECF8B9E">
            <w:pPr>
              <w:autoSpaceDE w:val="0"/>
              <w:autoSpaceDN w:val="0"/>
              <w:adjustRightInd w:val="0"/>
              <w:spacing w:line="360" w:lineRule="auto"/>
              <w:rPr>
                <w:rFonts w:ascii="Times New Roman" w:hAnsi="宋体" w:eastAsia="宋体" w:cs="Times New Roman"/>
                <w:b w:val="0"/>
                <w:bCs w:val="0"/>
                <w:color w:val="auto"/>
                <w:kern w:val="2"/>
                <w:sz w:val="21"/>
                <w:szCs w:val="21"/>
                <w:lang w:val="en-US" w:eastAsia="zh-CN" w:bidi="ar-SA"/>
              </w:rPr>
            </w:pPr>
            <w:r>
              <w:rPr>
                <w:rFonts w:hint="eastAsia" w:ascii="Times New Roman" w:hAnsi="宋体" w:eastAsia="宋体" w:cs="Times New Roman"/>
                <w:b w:val="0"/>
                <w:bCs w:val="0"/>
                <w:color w:val="auto"/>
                <w:kern w:val="2"/>
                <w:sz w:val="21"/>
                <w:szCs w:val="21"/>
                <w:lang w:val="en-US" w:eastAsia="zh-CN" w:bidi="ar-SA"/>
              </w:rPr>
              <w:t>7）本项目不接受大中型企业与小微企业组成联合体。</w:t>
            </w:r>
          </w:p>
          <w:p w14:paraId="635E54AE">
            <w:pPr>
              <w:autoSpaceDE w:val="0"/>
              <w:autoSpaceDN w:val="0"/>
              <w:adjustRightInd w:val="0"/>
              <w:spacing w:line="360" w:lineRule="auto"/>
              <w:rPr>
                <w:rFonts w:ascii="Times New Roman" w:hAnsi="宋体" w:eastAsia="宋体" w:cs="Times New Roman"/>
                <w:b w:val="0"/>
                <w:bCs w:val="0"/>
                <w:color w:val="auto"/>
                <w:kern w:val="2"/>
                <w:sz w:val="21"/>
                <w:szCs w:val="21"/>
                <w:lang w:val="en-US" w:eastAsia="zh-CN" w:bidi="ar-SA"/>
              </w:rPr>
            </w:pPr>
            <w:r>
              <w:rPr>
                <w:rFonts w:hint="eastAsia" w:ascii="Times New Roman" w:hAnsi="宋体" w:eastAsia="宋体" w:cs="Times New Roman"/>
                <w:b w:val="0"/>
                <w:bCs w:val="0"/>
                <w:color w:val="auto"/>
                <w:kern w:val="2"/>
                <w:sz w:val="21"/>
                <w:szCs w:val="21"/>
                <w:lang w:val="en-US" w:eastAsia="zh-CN" w:bidi="ar-SA"/>
              </w:rPr>
              <w:t>8）本项目不允许大中型企业向一家或者多家小微企业分包。</w:t>
            </w:r>
          </w:p>
          <w:p w14:paraId="5FB73FAC">
            <w:pPr>
              <w:autoSpaceDE w:val="0"/>
              <w:autoSpaceDN w:val="0"/>
              <w:adjustRightInd w:val="0"/>
              <w:spacing w:line="360" w:lineRule="auto"/>
              <w:rPr>
                <w:rFonts w:ascii="Times New Roman" w:hAnsi="宋体" w:eastAsia="宋体" w:cs="Times New Roman"/>
                <w:b w:val="0"/>
                <w:bCs w:val="0"/>
                <w:color w:val="auto"/>
                <w:kern w:val="2"/>
                <w:sz w:val="21"/>
                <w:szCs w:val="21"/>
                <w:lang w:val="en-US" w:eastAsia="zh-CN" w:bidi="ar-SA"/>
              </w:rPr>
            </w:pPr>
            <w:r>
              <w:rPr>
                <w:rFonts w:hint="eastAsia" w:ascii="Times New Roman" w:hAnsi="宋体" w:eastAsia="宋体" w:cs="Times New Roman"/>
                <w:b w:val="0"/>
                <w:bCs w:val="0"/>
                <w:color w:val="auto"/>
                <w:kern w:val="2"/>
                <w:sz w:val="21"/>
                <w:szCs w:val="21"/>
                <w:lang w:val="en-US" w:eastAsia="zh-CN" w:bidi="ar-SA"/>
              </w:rPr>
              <w:t>9）小微企业（包括联合体内的小微企业和接受分包的小微企业）参加政府采购活动，应当出具《中小企业声明函》，否则其报价不予扣除。</w:t>
            </w:r>
          </w:p>
          <w:p w14:paraId="5CDAAAB1">
            <w:pPr>
              <w:autoSpaceDE w:val="0"/>
              <w:autoSpaceDN w:val="0"/>
              <w:adjustRightInd w:val="0"/>
              <w:spacing w:line="360" w:lineRule="auto"/>
              <w:rPr>
                <w:rFonts w:ascii="����" w:hAnsi="����" w:eastAsia="Times New Roman"/>
                <w:b/>
                <w:color w:val="auto"/>
                <w:szCs w:val="21"/>
                <w:shd w:val="clear" w:color="auto" w:fill="FFFFFF"/>
              </w:rPr>
            </w:pPr>
            <w:r>
              <w:rPr>
                <w:rFonts w:hint="eastAsia" w:ascii="Times New Roman" w:hAnsi="宋体" w:eastAsia="宋体" w:cs="Times New Roman"/>
                <w:b w:val="0"/>
                <w:bCs w:val="0"/>
                <w:color w:val="auto"/>
                <w:kern w:val="2"/>
                <w:sz w:val="21"/>
                <w:szCs w:val="21"/>
                <w:lang w:val="en-US" w:eastAsia="zh-CN" w:bidi="ar-SA"/>
              </w:rPr>
              <w:t>10）监狱企业和残疾人福利性单位视同小型、微型企业，按《财政部司法部关于政府采购支持监狱企业发展有关问题的通知》(财库〔2014〕68 号)、《财政部民政部中国残疾人联合会关于促进残疾人就业政府采购政策的通知》（财库〔2017〕141 号）的规定执行。</w:t>
            </w:r>
          </w:p>
        </w:tc>
      </w:tr>
      <w:tr w14:paraId="0DC14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870" w:type="dxa"/>
            <w:vAlign w:val="center"/>
          </w:tcPr>
          <w:p w14:paraId="02A819B1">
            <w:pPr>
              <w:numPr>
                <w:ilvl w:val="0"/>
                <w:numId w:val="2"/>
              </w:numPr>
              <w:autoSpaceDE w:val="0"/>
              <w:autoSpaceDN w:val="0"/>
              <w:adjustRightInd w:val="0"/>
              <w:spacing w:line="400" w:lineRule="exact"/>
              <w:jc w:val="center"/>
              <w:rPr>
                <w:rFonts w:ascii="宋体" w:hAnsi="宋体" w:cs="宋体"/>
                <w:color w:val="auto"/>
                <w:kern w:val="0"/>
                <w:szCs w:val="21"/>
              </w:rPr>
            </w:pPr>
          </w:p>
        </w:tc>
        <w:tc>
          <w:tcPr>
            <w:tcW w:w="1919" w:type="dxa"/>
            <w:vAlign w:val="center"/>
          </w:tcPr>
          <w:p w14:paraId="26183CE8">
            <w:pPr>
              <w:pStyle w:val="9"/>
              <w:snapToGrid w:val="0"/>
              <w:spacing w:before="0" w:line="360" w:lineRule="auto"/>
              <w:rPr>
                <w:rFonts w:ascii="宋体" w:hAnsi="宋体" w:eastAsia="宋体" w:cs="宋体"/>
                <w:b w:val="0"/>
                <w:bCs w:val="0"/>
                <w:color w:val="auto"/>
              </w:rPr>
            </w:pPr>
            <w:r>
              <w:rPr>
                <w:rFonts w:ascii="Times New Roman" w:hAnsi="Times New Roman" w:eastAsia="宋体" w:cs="Times New Roman"/>
                <w:b w:val="0"/>
                <w:bCs w:val="0"/>
                <w:color w:val="auto"/>
                <w:kern w:val="2"/>
                <w:sz w:val="21"/>
              </w:rPr>
              <w:t>投标人信用查询</w:t>
            </w:r>
          </w:p>
        </w:tc>
        <w:tc>
          <w:tcPr>
            <w:tcW w:w="7095" w:type="dxa"/>
            <w:vAlign w:val="center"/>
          </w:tcPr>
          <w:p w14:paraId="584FCF4F">
            <w:pPr>
              <w:pStyle w:val="9"/>
              <w:adjustRightInd w:val="0"/>
              <w:snapToGrid w:val="0"/>
              <w:spacing w:before="0" w:line="360" w:lineRule="auto"/>
              <w:rPr>
                <w:rFonts w:ascii="Times New Roman" w:hAnsi="Times New Roman" w:eastAsia="宋体" w:cs="Times New Roman"/>
                <w:b w:val="0"/>
                <w:bCs w:val="0"/>
                <w:color w:val="auto"/>
                <w:kern w:val="2"/>
                <w:sz w:val="21"/>
              </w:rPr>
            </w:pPr>
            <w:r>
              <w:rPr>
                <w:rFonts w:ascii="Times New Roman" w:hAnsi="宋体" w:eastAsia="宋体" w:cs="Times New Roman"/>
                <w:b w:val="0"/>
                <w:bCs w:val="0"/>
                <w:color w:val="auto"/>
                <w:kern w:val="2"/>
                <w:sz w:val="21"/>
              </w:rPr>
              <w:t>根据《关于在政府采购活动中查询及使用信用记录有关问题的通知》财库</w:t>
            </w:r>
            <w:r>
              <w:rPr>
                <w:rFonts w:ascii="Times New Roman" w:hAnsi="Times New Roman" w:eastAsia="宋体" w:cs="Times New Roman"/>
                <w:b w:val="0"/>
                <w:bCs w:val="0"/>
                <w:color w:val="auto"/>
                <w:kern w:val="2"/>
                <w:sz w:val="21"/>
              </w:rPr>
              <w:t>[2016]125</w:t>
            </w:r>
            <w:r>
              <w:rPr>
                <w:rFonts w:ascii="Times New Roman" w:hAnsi="宋体" w:eastAsia="宋体" w:cs="Times New Roman"/>
                <w:b w:val="0"/>
                <w:bCs w:val="0"/>
                <w:color w:val="auto"/>
                <w:kern w:val="2"/>
                <w:sz w:val="21"/>
              </w:rPr>
              <w:t>号的规定：</w:t>
            </w:r>
          </w:p>
          <w:p w14:paraId="764417B5">
            <w:pPr>
              <w:pStyle w:val="9"/>
              <w:adjustRightInd w:val="0"/>
              <w:snapToGrid w:val="0"/>
              <w:spacing w:before="0" w:line="360" w:lineRule="auto"/>
              <w:rPr>
                <w:rFonts w:ascii="Times New Roman" w:hAnsi="Times New Roman" w:eastAsia="宋体" w:cs="Times New Roman"/>
                <w:b w:val="0"/>
                <w:bCs w:val="0"/>
                <w:color w:val="auto"/>
                <w:kern w:val="2"/>
                <w:sz w:val="21"/>
              </w:rPr>
            </w:pPr>
            <w:r>
              <w:rPr>
                <w:rFonts w:ascii="Times New Roman" w:hAnsi="Times New Roman" w:eastAsia="宋体" w:cs="Times New Roman"/>
                <w:b w:val="0"/>
                <w:bCs w:val="0"/>
                <w:color w:val="auto"/>
                <w:kern w:val="2"/>
                <w:sz w:val="21"/>
              </w:rPr>
              <w:t>1</w:t>
            </w:r>
            <w:r>
              <w:rPr>
                <w:rFonts w:ascii="Times New Roman" w:hAnsi="宋体" w:eastAsia="宋体" w:cs="Times New Roman"/>
                <w:b w:val="0"/>
                <w:bCs w:val="0"/>
                <w:color w:val="auto"/>
                <w:kern w:val="2"/>
                <w:sz w:val="21"/>
              </w:rPr>
              <w:t>）采购代理机构将对本项目投标供应商的信用信息进行查询和甄别</w:t>
            </w:r>
            <w:r>
              <w:rPr>
                <w:rFonts w:hint="eastAsia" w:ascii="Times New Roman" w:hAnsi="宋体" w:eastAsia="宋体" w:cs="Times New Roman"/>
                <w:b w:val="0"/>
                <w:bCs w:val="0"/>
                <w:color w:val="auto"/>
                <w:kern w:val="2"/>
                <w:sz w:val="21"/>
              </w:rPr>
              <w:t>，</w:t>
            </w:r>
            <w:r>
              <w:rPr>
                <w:rFonts w:ascii="Times New Roman" w:hAnsi="宋体" w:eastAsia="宋体" w:cs="Times New Roman"/>
                <w:b w:val="0"/>
                <w:bCs w:val="0"/>
                <w:color w:val="auto"/>
                <w:kern w:val="2"/>
                <w:sz w:val="21"/>
              </w:rPr>
              <w:t>查询渠道为信用中国网站（</w:t>
            </w:r>
            <w:r>
              <w:rPr>
                <w:rFonts w:ascii="Times New Roman" w:hAnsi="Times New Roman" w:eastAsia="宋体" w:cs="Times New Roman"/>
                <w:b w:val="0"/>
                <w:bCs w:val="0"/>
                <w:color w:val="auto"/>
                <w:kern w:val="2"/>
                <w:sz w:val="21"/>
              </w:rPr>
              <w:t>www.creditchina.gov.cn</w:t>
            </w:r>
            <w:r>
              <w:rPr>
                <w:rFonts w:ascii="Times New Roman" w:hAnsi="宋体" w:eastAsia="宋体" w:cs="Times New Roman"/>
                <w:b w:val="0"/>
                <w:bCs w:val="0"/>
                <w:color w:val="auto"/>
                <w:kern w:val="2"/>
                <w:sz w:val="21"/>
              </w:rPr>
              <w:t>）、中国政府采购网（</w:t>
            </w:r>
            <w:r>
              <w:rPr>
                <w:rFonts w:ascii="Times New Roman" w:hAnsi="Times New Roman" w:eastAsia="宋体" w:cs="Times New Roman"/>
                <w:b w:val="0"/>
                <w:bCs w:val="0"/>
                <w:color w:val="auto"/>
                <w:kern w:val="2"/>
                <w:sz w:val="21"/>
              </w:rPr>
              <w:t>www.ccgp.gov.cn</w:t>
            </w:r>
            <w:r>
              <w:rPr>
                <w:rFonts w:ascii="Times New Roman" w:hAnsi="宋体" w:eastAsia="宋体" w:cs="Times New Roman"/>
                <w:b w:val="0"/>
                <w:bCs w:val="0"/>
                <w:color w:val="auto"/>
                <w:kern w:val="2"/>
                <w:sz w:val="21"/>
              </w:rPr>
              <w:t>）。</w:t>
            </w:r>
          </w:p>
          <w:p w14:paraId="5F3E5F77">
            <w:pPr>
              <w:pStyle w:val="9"/>
              <w:adjustRightInd w:val="0"/>
              <w:snapToGrid w:val="0"/>
              <w:spacing w:before="0" w:line="360" w:lineRule="auto"/>
              <w:rPr>
                <w:rFonts w:ascii="Times New Roman" w:hAnsi="Times New Roman" w:eastAsia="宋体" w:cs="Times New Roman"/>
                <w:b w:val="0"/>
                <w:bCs w:val="0"/>
                <w:color w:val="auto"/>
                <w:kern w:val="2"/>
                <w:sz w:val="21"/>
              </w:rPr>
            </w:pPr>
            <w:r>
              <w:rPr>
                <w:rFonts w:ascii="Times New Roman" w:hAnsi="Times New Roman" w:eastAsia="宋体" w:cs="Times New Roman"/>
                <w:b w:val="0"/>
                <w:bCs w:val="0"/>
                <w:color w:val="auto"/>
                <w:kern w:val="2"/>
                <w:sz w:val="21"/>
              </w:rPr>
              <w:t>2</w:t>
            </w:r>
            <w:r>
              <w:rPr>
                <w:rFonts w:ascii="Times New Roman" w:hAnsi="宋体" w:eastAsia="宋体" w:cs="Times New Roman"/>
                <w:b w:val="0"/>
                <w:bCs w:val="0"/>
                <w:color w:val="auto"/>
                <w:kern w:val="2"/>
                <w:sz w:val="21"/>
              </w:rPr>
              <w:t>）</w:t>
            </w:r>
            <w:r>
              <w:rPr>
                <w:rFonts w:hint="eastAsia" w:ascii="Times New Roman" w:hAnsi="宋体" w:eastAsia="宋体" w:cs="Times New Roman"/>
                <w:b w:val="0"/>
                <w:bCs w:val="0"/>
                <w:color w:val="auto"/>
                <w:kern w:val="2"/>
                <w:sz w:val="21"/>
              </w:rPr>
              <w:t>截止时点：提交投标文件（响应文件）截止时间前3年内。</w:t>
            </w:r>
          </w:p>
          <w:p w14:paraId="0AFE402D">
            <w:pPr>
              <w:pStyle w:val="9"/>
              <w:adjustRightInd w:val="0"/>
              <w:snapToGrid w:val="0"/>
              <w:spacing w:before="0" w:line="360" w:lineRule="auto"/>
              <w:rPr>
                <w:rFonts w:ascii="Times New Roman" w:hAnsi="Times New Roman" w:eastAsia="宋体" w:cs="Times New Roman"/>
                <w:b w:val="0"/>
                <w:bCs w:val="0"/>
                <w:color w:val="auto"/>
                <w:kern w:val="2"/>
                <w:sz w:val="21"/>
              </w:rPr>
            </w:pPr>
            <w:r>
              <w:rPr>
                <w:rFonts w:ascii="Times New Roman" w:hAnsi="Times New Roman" w:eastAsia="宋体" w:cs="Times New Roman"/>
                <w:b w:val="0"/>
                <w:bCs w:val="0"/>
                <w:color w:val="auto"/>
                <w:kern w:val="2"/>
                <w:sz w:val="21"/>
              </w:rPr>
              <w:t>3</w:t>
            </w:r>
            <w:r>
              <w:rPr>
                <w:rFonts w:ascii="Times New Roman" w:hAnsi="宋体" w:eastAsia="宋体" w:cs="Times New Roman"/>
                <w:b w:val="0"/>
                <w:bCs w:val="0"/>
                <w:color w:val="auto"/>
                <w:kern w:val="2"/>
                <w:sz w:val="21"/>
              </w:rPr>
              <w:t>）信用信息查询记录和证据以网页截图方式留存。</w:t>
            </w:r>
          </w:p>
          <w:p w14:paraId="7459A7B7">
            <w:pPr>
              <w:pStyle w:val="9"/>
              <w:adjustRightInd w:val="0"/>
              <w:snapToGrid w:val="0"/>
              <w:spacing w:before="0" w:line="360" w:lineRule="auto"/>
              <w:rPr>
                <w:rFonts w:ascii="Times New Roman" w:hAnsi="Times New Roman" w:eastAsia="宋体" w:cs="Times New Roman"/>
                <w:b w:val="0"/>
                <w:bCs w:val="0"/>
                <w:color w:val="auto"/>
                <w:kern w:val="2"/>
                <w:sz w:val="21"/>
              </w:rPr>
            </w:pPr>
            <w:r>
              <w:rPr>
                <w:rFonts w:ascii="Times New Roman" w:hAnsi="Times New Roman" w:eastAsia="宋体" w:cs="Times New Roman"/>
                <w:b w:val="0"/>
                <w:bCs w:val="0"/>
                <w:color w:val="auto"/>
                <w:kern w:val="2"/>
                <w:sz w:val="21"/>
              </w:rPr>
              <w:t>4</w:t>
            </w:r>
            <w:r>
              <w:rPr>
                <w:rFonts w:ascii="Times New Roman" w:hAnsi="宋体" w:eastAsia="宋体" w:cs="Times New Roman"/>
                <w:b w:val="0"/>
                <w:bCs w:val="0"/>
                <w:color w:val="auto"/>
                <w:kern w:val="2"/>
                <w:sz w:val="21"/>
              </w:rPr>
              <w:t>）不良信用记录指：</w:t>
            </w:r>
            <w:r>
              <w:rPr>
                <w:rFonts w:ascii="Times New Roman" w:hAnsi="Times New Roman" w:eastAsia="宋体" w:cs="Times New Roman"/>
                <w:b w:val="0"/>
                <w:bCs w:val="0"/>
                <w:color w:val="auto"/>
                <w:kern w:val="2"/>
                <w:sz w:val="21"/>
              </w:rPr>
              <w:t>1.</w:t>
            </w:r>
            <w:r>
              <w:rPr>
                <w:rFonts w:ascii="Times New Roman" w:hAnsi="宋体" w:eastAsia="宋体" w:cs="Times New Roman"/>
                <w:b w:val="0"/>
                <w:bCs w:val="0"/>
                <w:color w:val="auto"/>
                <w:kern w:val="2"/>
                <w:sz w:val="21"/>
              </w:rPr>
              <w:t>被列入信用中国网站</w:t>
            </w:r>
            <w:r>
              <w:rPr>
                <w:rFonts w:ascii="Times New Roman" w:hAnsi="Times New Roman" w:eastAsia="宋体" w:cs="Times New Roman"/>
                <w:b w:val="0"/>
                <w:bCs w:val="0"/>
                <w:color w:val="auto"/>
                <w:kern w:val="2"/>
                <w:sz w:val="21"/>
              </w:rPr>
              <w:t>“</w:t>
            </w:r>
            <w:r>
              <w:rPr>
                <w:rFonts w:ascii="Times New Roman" w:hAnsi="宋体" w:eastAsia="宋体" w:cs="Times New Roman"/>
                <w:b w:val="0"/>
                <w:bCs w:val="0"/>
                <w:color w:val="auto"/>
                <w:kern w:val="2"/>
                <w:sz w:val="21"/>
              </w:rPr>
              <w:t>失信被执行人</w:t>
            </w:r>
            <w:r>
              <w:rPr>
                <w:rFonts w:ascii="Times New Roman" w:hAnsi="Times New Roman" w:eastAsia="宋体" w:cs="Times New Roman"/>
                <w:b w:val="0"/>
                <w:bCs w:val="0"/>
                <w:color w:val="auto"/>
                <w:kern w:val="2"/>
                <w:sz w:val="21"/>
              </w:rPr>
              <w:t xml:space="preserve">”“ </w:t>
            </w:r>
            <w:r>
              <w:rPr>
                <w:rFonts w:hint="eastAsia" w:ascii="Times New Roman" w:hAnsi="宋体" w:eastAsia="宋体" w:cs="Times New Roman"/>
                <w:b w:val="0"/>
                <w:bCs w:val="0"/>
                <w:color w:val="auto"/>
                <w:kern w:val="2"/>
                <w:sz w:val="21"/>
              </w:rPr>
              <w:t>税收违法黑名单</w:t>
            </w:r>
            <w:r>
              <w:rPr>
                <w:rFonts w:ascii="Times New Roman" w:hAnsi="Times New Roman" w:eastAsia="宋体" w:cs="Times New Roman"/>
                <w:b w:val="0"/>
                <w:bCs w:val="0"/>
                <w:color w:val="auto"/>
                <w:kern w:val="2"/>
                <w:sz w:val="21"/>
              </w:rPr>
              <w:t xml:space="preserve">” </w:t>
            </w:r>
            <w:r>
              <w:rPr>
                <w:rFonts w:hint="eastAsia" w:ascii="Times New Roman" w:hAnsi="宋体" w:eastAsia="宋体" w:cs="Times New Roman"/>
                <w:b w:val="0"/>
                <w:bCs w:val="0"/>
                <w:color w:val="auto"/>
                <w:kern w:val="2"/>
                <w:sz w:val="21"/>
              </w:rPr>
              <w:t>；</w:t>
            </w:r>
            <w:r>
              <w:rPr>
                <w:rFonts w:ascii="Times New Roman" w:hAnsi="Times New Roman" w:eastAsia="宋体" w:cs="Times New Roman"/>
                <w:b w:val="0"/>
                <w:bCs w:val="0"/>
                <w:color w:val="auto"/>
                <w:kern w:val="2"/>
                <w:sz w:val="21"/>
              </w:rPr>
              <w:t xml:space="preserve"> 2.</w:t>
            </w:r>
            <w:r>
              <w:rPr>
                <w:rFonts w:ascii="Times New Roman" w:hAnsi="宋体" w:eastAsia="宋体" w:cs="Times New Roman"/>
                <w:b w:val="0"/>
                <w:bCs w:val="0"/>
                <w:color w:val="auto"/>
                <w:kern w:val="2"/>
                <w:sz w:val="21"/>
              </w:rPr>
              <w:t>被列入中国政府采购网政府采购严重违法失信行为记录名单；</w:t>
            </w:r>
          </w:p>
          <w:p w14:paraId="7434FC27">
            <w:pPr>
              <w:pStyle w:val="9"/>
              <w:adjustRightInd w:val="0"/>
              <w:snapToGrid w:val="0"/>
              <w:spacing w:before="0" w:line="360" w:lineRule="auto"/>
              <w:rPr>
                <w:rFonts w:ascii="Times New Roman" w:hAnsi="Times New Roman" w:eastAsia="宋体" w:cs="Times New Roman"/>
                <w:b w:val="0"/>
                <w:bCs w:val="0"/>
                <w:color w:val="auto"/>
                <w:kern w:val="2"/>
                <w:sz w:val="21"/>
              </w:rPr>
            </w:pPr>
            <w:r>
              <w:rPr>
                <w:rFonts w:ascii="Times New Roman" w:hAnsi="Times New Roman" w:eastAsia="宋体" w:cs="Times New Roman"/>
                <w:b w:val="0"/>
                <w:bCs w:val="0"/>
                <w:color w:val="auto"/>
                <w:kern w:val="2"/>
                <w:sz w:val="21"/>
              </w:rPr>
              <w:t>5</w:t>
            </w:r>
            <w:r>
              <w:rPr>
                <w:rFonts w:ascii="Times New Roman" w:hAnsi="宋体" w:eastAsia="宋体" w:cs="Times New Roman"/>
                <w:b w:val="0"/>
                <w:bCs w:val="0"/>
                <w:color w:val="auto"/>
                <w:kern w:val="2"/>
                <w:sz w:val="21"/>
              </w:rPr>
              <w:t>）信用信息的使用规则：供应商存在不良信用记录的，其</w:t>
            </w:r>
            <w:r>
              <w:rPr>
                <w:rFonts w:hint="eastAsia" w:ascii="Times New Roman" w:hAnsi="宋体" w:eastAsia="宋体" w:cs="Times New Roman"/>
                <w:b w:val="0"/>
                <w:bCs w:val="0"/>
                <w:color w:val="auto"/>
                <w:kern w:val="2"/>
                <w:sz w:val="21"/>
              </w:rPr>
              <w:t>投标文件</w:t>
            </w:r>
            <w:r>
              <w:rPr>
                <w:rFonts w:ascii="Times New Roman" w:hAnsi="宋体" w:eastAsia="宋体" w:cs="Times New Roman"/>
                <w:b w:val="0"/>
                <w:bCs w:val="0"/>
                <w:color w:val="auto"/>
                <w:kern w:val="2"/>
                <w:sz w:val="21"/>
              </w:rPr>
              <w:t>将被拒绝。</w:t>
            </w:r>
          </w:p>
          <w:p w14:paraId="79C7C4F7">
            <w:pPr>
              <w:pStyle w:val="9"/>
              <w:adjustRightInd w:val="0"/>
              <w:snapToGrid w:val="0"/>
              <w:spacing w:before="0" w:line="360" w:lineRule="auto"/>
              <w:rPr>
                <w:rFonts w:ascii="����" w:hAnsi="����" w:eastAsia="Times New Roman" w:cs="Times New Roman"/>
                <w:b w:val="0"/>
                <w:bCs w:val="0"/>
                <w:color w:val="auto"/>
                <w:shd w:val="clear" w:color="auto" w:fill="FFFFFF"/>
              </w:rPr>
            </w:pPr>
            <w:r>
              <w:rPr>
                <w:rFonts w:ascii="Times New Roman" w:hAnsi="Times New Roman" w:eastAsia="宋体" w:cs="Times New Roman"/>
                <w:b/>
                <w:bCs/>
                <w:color w:val="auto"/>
                <w:kern w:val="2"/>
                <w:sz w:val="21"/>
              </w:rPr>
              <w:t>6）如允许联合体投标的，联合体成员存在不良信用记录视同联合体存在不良信用记录。</w:t>
            </w:r>
          </w:p>
        </w:tc>
      </w:tr>
      <w:tr w14:paraId="684E5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trPr>
        <w:tc>
          <w:tcPr>
            <w:tcW w:w="870" w:type="dxa"/>
            <w:vAlign w:val="center"/>
          </w:tcPr>
          <w:p w14:paraId="6DFCD755">
            <w:pPr>
              <w:numPr>
                <w:ilvl w:val="0"/>
                <w:numId w:val="2"/>
              </w:numPr>
              <w:autoSpaceDE w:val="0"/>
              <w:autoSpaceDN w:val="0"/>
              <w:adjustRightInd w:val="0"/>
              <w:spacing w:line="400" w:lineRule="exact"/>
              <w:jc w:val="center"/>
              <w:rPr>
                <w:rFonts w:ascii="宋体" w:hAnsi="宋体" w:cs="宋体"/>
                <w:b/>
                <w:bCs/>
                <w:color w:val="auto"/>
                <w:kern w:val="0"/>
                <w:szCs w:val="21"/>
              </w:rPr>
            </w:pPr>
          </w:p>
        </w:tc>
        <w:tc>
          <w:tcPr>
            <w:tcW w:w="1919" w:type="dxa"/>
            <w:vAlign w:val="center"/>
          </w:tcPr>
          <w:p w14:paraId="05419182">
            <w:pPr>
              <w:pStyle w:val="9"/>
              <w:snapToGrid w:val="0"/>
              <w:spacing w:before="0" w:line="360" w:lineRule="auto"/>
              <w:jc w:val="center"/>
              <w:rPr>
                <w:rFonts w:ascii="Times New Roman" w:hAnsi="Times New Roman" w:eastAsia="宋体" w:cs="Times New Roman"/>
                <w:color w:val="auto"/>
                <w:kern w:val="2"/>
                <w:sz w:val="21"/>
              </w:rPr>
            </w:pPr>
            <w:r>
              <w:rPr>
                <w:rFonts w:hint="eastAsia" w:ascii="Times New Roman" w:hAnsi="Times New Roman" w:eastAsia="宋体" w:cs="Times New Roman"/>
                <w:color w:val="auto"/>
                <w:kern w:val="2"/>
                <w:sz w:val="21"/>
              </w:rPr>
              <w:t>特别说明</w:t>
            </w:r>
          </w:p>
        </w:tc>
        <w:tc>
          <w:tcPr>
            <w:tcW w:w="7095" w:type="dxa"/>
            <w:vAlign w:val="center"/>
          </w:tcPr>
          <w:p w14:paraId="72B7245C">
            <w:pPr>
              <w:pStyle w:val="57"/>
              <w:adjustRightInd w:val="0"/>
              <w:snapToGrid w:val="0"/>
              <w:spacing w:line="360" w:lineRule="auto"/>
              <w:ind w:firstLine="0" w:firstLineChars="0"/>
              <w:rPr>
                <w:b/>
                <w:bCs/>
                <w:color w:val="auto"/>
              </w:rPr>
            </w:pPr>
            <w:r>
              <w:rPr>
                <w:rFonts w:eastAsia="Times New Roman" w:cs="Arial"/>
                <w:b/>
                <w:color w:val="auto"/>
              </w:rPr>
              <w:t>中标人应提供与电子投标文件内容一致的纸质投标文件</w:t>
            </w:r>
            <w:r>
              <w:rPr>
                <w:rFonts w:hint="eastAsia" w:eastAsia="Times New Roman" w:cs="Arial"/>
                <w:b/>
                <w:color w:val="auto"/>
              </w:rPr>
              <w:t>（资格审查资料、</w:t>
            </w:r>
            <w:r>
              <w:rPr>
                <w:rFonts w:hint="eastAsia" w:eastAsia="宋体" w:cs="Arial"/>
                <w:b/>
                <w:color w:val="auto"/>
                <w:lang w:eastAsia="zh-CN"/>
              </w:rPr>
              <w:t>商务技术文件</w:t>
            </w:r>
            <w:r>
              <w:rPr>
                <w:rFonts w:hint="eastAsia" w:eastAsia="Times New Roman" w:cs="Arial"/>
                <w:b/>
                <w:color w:val="auto"/>
              </w:rPr>
              <w:t>、报价文件）</w:t>
            </w:r>
            <w:r>
              <w:rPr>
                <w:rFonts w:eastAsia="Times New Roman" w:cs="Arial"/>
                <w:b/>
                <w:color w:val="auto"/>
              </w:rPr>
              <w:t>一正</w:t>
            </w:r>
            <w:r>
              <w:rPr>
                <w:rFonts w:hint="eastAsia" w:eastAsia="Times New Roman" w:cs="Arial"/>
                <w:b/>
                <w:color w:val="auto"/>
              </w:rPr>
              <w:t>三</w:t>
            </w:r>
            <w:r>
              <w:rPr>
                <w:rFonts w:eastAsia="Times New Roman" w:cs="Arial"/>
                <w:b/>
                <w:color w:val="auto"/>
              </w:rPr>
              <w:t>副</w:t>
            </w:r>
            <w:r>
              <w:rPr>
                <w:rFonts w:hint="eastAsia" w:eastAsia="Times New Roman" w:cs="Arial"/>
                <w:b/>
                <w:color w:val="auto"/>
              </w:rPr>
              <w:t>。</w:t>
            </w:r>
            <w:r>
              <w:rPr>
                <w:rFonts w:eastAsia="Times New Roman" w:cs="Arial"/>
                <w:b/>
                <w:color w:val="auto"/>
              </w:rPr>
              <w:t>中标人在领取中标通知书时提供纸质投标文件</w:t>
            </w:r>
            <w:r>
              <w:rPr>
                <w:rFonts w:hint="eastAsia" w:cs="Arial"/>
                <w:b/>
                <w:color w:val="auto"/>
              </w:rPr>
              <w:t>。</w:t>
            </w:r>
          </w:p>
        </w:tc>
      </w:tr>
    </w:tbl>
    <w:p w14:paraId="529DA264">
      <w:pPr>
        <w:pStyle w:val="26"/>
        <w:ind w:left="0" w:leftChars="0" w:firstLine="0" w:firstLineChars="0"/>
        <w:rPr>
          <w:rFonts w:ascii="宋体" w:hAnsi="宋体"/>
          <w:b/>
          <w:bCs/>
          <w:color w:val="auto"/>
        </w:rPr>
      </w:pPr>
    </w:p>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14:paraId="3EFA3C53">
      <w:pPr>
        <w:pStyle w:val="4"/>
        <w:spacing w:before="0" w:after="0" w:line="400" w:lineRule="exact"/>
        <w:jc w:val="center"/>
        <w:rPr>
          <w:color w:val="auto"/>
        </w:rPr>
      </w:pPr>
      <w:bookmarkStart w:id="68" w:name="_Toc16502"/>
      <w:bookmarkStart w:id="69" w:name="_Toc222114877"/>
      <w:bookmarkStart w:id="70" w:name="_Toc241404200"/>
      <w:bookmarkStart w:id="71" w:name="_Toc221356949"/>
      <w:bookmarkStart w:id="72" w:name="_Toc221374624"/>
      <w:bookmarkStart w:id="73" w:name="_Toc221423617"/>
      <w:bookmarkStart w:id="74" w:name="_Toc221356884"/>
      <w:bookmarkStart w:id="75" w:name="_Toc262105501"/>
      <w:bookmarkStart w:id="76" w:name="_Toc262049416"/>
      <w:bookmarkStart w:id="77" w:name="_Toc410031814"/>
      <w:bookmarkStart w:id="78" w:name="_Toc245191312"/>
      <w:bookmarkStart w:id="79" w:name="_Toc249758710"/>
      <w:bookmarkStart w:id="80" w:name="_Toc245722279"/>
      <w:bookmarkStart w:id="81" w:name="_Toc223715996"/>
      <w:bookmarkStart w:id="82" w:name="_Toc246261263"/>
      <w:bookmarkStart w:id="83" w:name="_Toc249758862"/>
      <w:bookmarkStart w:id="84" w:name="_Toc239145352"/>
      <w:r>
        <w:rPr>
          <w:rFonts w:hint="eastAsia"/>
          <w:color w:val="auto"/>
        </w:rPr>
        <w:br w:type="page"/>
      </w:r>
      <w:r>
        <w:rPr>
          <w:rFonts w:hint="eastAsia"/>
          <w:color w:val="auto"/>
        </w:rPr>
        <w:t>一、总则</w:t>
      </w:r>
      <w:bookmarkEnd w:id="68"/>
    </w:p>
    <w:p w14:paraId="7A604A59">
      <w:pPr>
        <w:pStyle w:val="8"/>
        <w:spacing w:line="360" w:lineRule="auto"/>
        <w:ind w:left="422" w:hanging="422"/>
        <w:rPr>
          <w:rFonts w:ascii="宋体" w:hAnsi="宋体" w:cs="宋体"/>
          <w:color w:val="auto"/>
          <w:sz w:val="21"/>
          <w:szCs w:val="21"/>
        </w:rPr>
      </w:pPr>
      <w:r>
        <w:rPr>
          <w:rFonts w:hint="eastAsia" w:ascii="宋体" w:hAnsi="宋体" w:cs="宋体"/>
          <w:b/>
          <w:color w:val="auto"/>
          <w:sz w:val="21"/>
          <w:szCs w:val="21"/>
        </w:rPr>
        <w:t>1.适用范围</w:t>
      </w:r>
    </w:p>
    <w:p w14:paraId="5AE622EB">
      <w:pPr>
        <w:pStyle w:val="8"/>
        <w:spacing w:line="360" w:lineRule="auto"/>
        <w:ind w:left="0" w:firstLine="420" w:firstLineChars="200"/>
        <w:rPr>
          <w:rFonts w:ascii="宋体" w:hAnsi="宋体" w:cs="宋体"/>
          <w:color w:val="auto"/>
          <w:kern w:val="0"/>
          <w:sz w:val="21"/>
          <w:szCs w:val="21"/>
        </w:rPr>
      </w:pPr>
      <w:r>
        <w:rPr>
          <w:rFonts w:hint="eastAsia" w:ascii="宋体" w:hAnsi="宋体" w:cs="宋体"/>
          <w:color w:val="auto"/>
          <w:sz w:val="21"/>
          <w:szCs w:val="21"/>
        </w:rPr>
        <w:t>仅适用于本次招标文件中采购项目的招标、投标、评标、定标、验收、合同履约、付款等行为（法律、法规另有规定的，从其规定）。</w:t>
      </w:r>
    </w:p>
    <w:p w14:paraId="03BB00D4">
      <w:pPr>
        <w:pStyle w:val="8"/>
        <w:spacing w:line="360" w:lineRule="auto"/>
        <w:ind w:left="422" w:hanging="422"/>
        <w:rPr>
          <w:rFonts w:ascii="宋体" w:hAnsi="宋体" w:cs="宋体"/>
          <w:b/>
          <w:color w:val="auto"/>
          <w:sz w:val="21"/>
          <w:szCs w:val="21"/>
        </w:rPr>
      </w:pPr>
      <w:r>
        <w:rPr>
          <w:rFonts w:hint="eastAsia" w:ascii="宋体" w:hAnsi="宋体" w:cs="宋体"/>
          <w:b/>
          <w:color w:val="auto"/>
          <w:sz w:val="21"/>
          <w:szCs w:val="21"/>
        </w:rPr>
        <w:t>2.定义解释</w:t>
      </w:r>
    </w:p>
    <w:p w14:paraId="2EA4D501">
      <w:pPr>
        <w:pStyle w:val="8"/>
        <w:spacing w:line="360" w:lineRule="auto"/>
        <w:ind w:left="420" w:hanging="420"/>
        <w:rPr>
          <w:rFonts w:ascii="宋体" w:hAnsi="宋体" w:cs="宋体"/>
          <w:color w:val="auto"/>
          <w:sz w:val="21"/>
          <w:szCs w:val="21"/>
        </w:rPr>
      </w:pPr>
      <w:r>
        <w:rPr>
          <w:rFonts w:hint="eastAsia" w:ascii="宋体" w:hAnsi="宋体" w:cs="宋体"/>
          <w:color w:val="auto"/>
          <w:sz w:val="21"/>
          <w:szCs w:val="21"/>
        </w:rPr>
        <w:t xml:space="preserve">    2.1“采购代理机构”是指</w:t>
      </w:r>
      <w:r>
        <w:rPr>
          <w:rFonts w:hint="eastAsia" w:ascii="宋体" w:hAnsi="宋体" w:cs="宋体"/>
          <w:color w:val="auto"/>
          <w:sz w:val="21"/>
          <w:szCs w:val="21"/>
          <w:lang w:eastAsia="zh-CN"/>
        </w:rPr>
        <w:t>浙江联腾工程咨询有限公司</w:t>
      </w:r>
      <w:r>
        <w:rPr>
          <w:rFonts w:hint="eastAsia" w:ascii="宋体" w:hAnsi="宋体" w:cs="宋体"/>
          <w:color w:val="auto"/>
          <w:sz w:val="21"/>
          <w:szCs w:val="21"/>
        </w:rPr>
        <w:t>。</w:t>
      </w:r>
    </w:p>
    <w:p w14:paraId="12D99081">
      <w:pPr>
        <w:pStyle w:val="8"/>
        <w:spacing w:line="360" w:lineRule="auto"/>
        <w:ind w:left="420" w:hanging="420"/>
        <w:rPr>
          <w:rFonts w:ascii="宋体" w:hAnsi="宋体" w:cs="宋体"/>
          <w:color w:val="auto"/>
          <w:sz w:val="21"/>
          <w:szCs w:val="21"/>
        </w:rPr>
      </w:pPr>
      <w:r>
        <w:rPr>
          <w:rFonts w:hint="eastAsia" w:ascii="宋体" w:hAnsi="宋体" w:cs="宋体"/>
          <w:color w:val="auto"/>
          <w:sz w:val="21"/>
          <w:szCs w:val="21"/>
        </w:rPr>
        <w:t xml:space="preserve">    2.2“采购人（单位）”是指</w:t>
      </w:r>
      <w:r>
        <w:rPr>
          <w:rFonts w:hint="eastAsia" w:ascii="宋体" w:hAnsi="宋体" w:cs="宋体"/>
          <w:color w:val="auto"/>
          <w:sz w:val="21"/>
          <w:szCs w:val="21"/>
          <w:lang w:eastAsia="zh-CN"/>
        </w:rPr>
        <w:t>常山县农业农村局</w:t>
      </w:r>
      <w:r>
        <w:rPr>
          <w:rFonts w:hint="eastAsia" w:ascii="宋体" w:hAnsi="宋体" w:cs="宋体"/>
          <w:color w:val="auto"/>
          <w:sz w:val="21"/>
          <w:szCs w:val="21"/>
        </w:rPr>
        <w:t>。</w:t>
      </w:r>
    </w:p>
    <w:p w14:paraId="70C29DB7">
      <w:pPr>
        <w:pStyle w:val="8"/>
        <w:spacing w:line="360" w:lineRule="auto"/>
        <w:ind w:left="420" w:hanging="420"/>
        <w:rPr>
          <w:rFonts w:ascii="宋体" w:hAnsi="宋体" w:cs="宋体"/>
          <w:color w:val="auto"/>
          <w:kern w:val="0"/>
          <w:sz w:val="21"/>
          <w:szCs w:val="21"/>
        </w:rPr>
      </w:pPr>
      <w:r>
        <w:rPr>
          <w:rFonts w:hint="eastAsia" w:ascii="宋体" w:hAnsi="宋体" w:cs="宋体"/>
          <w:color w:val="auto"/>
          <w:sz w:val="21"/>
          <w:szCs w:val="21"/>
        </w:rPr>
        <w:t xml:space="preserve">    2.3“采购项目”是指本采购文件所要求的</w:t>
      </w:r>
      <w:r>
        <w:rPr>
          <w:rFonts w:hint="eastAsia" w:ascii="宋体" w:hAnsi="宋体" w:cs="宋体"/>
          <w:color w:val="auto"/>
          <w:sz w:val="21"/>
          <w:szCs w:val="21"/>
          <w:lang w:eastAsia="zh-CN"/>
        </w:rPr>
        <w:t>常山县农村垃圾中转站渗滤液集中转运处置项目（2025-2026年度）</w:t>
      </w:r>
      <w:r>
        <w:rPr>
          <w:rFonts w:hint="eastAsia" w:ascii="宋体" w:hAnsi="宋体" w:cs="宋体"/>
          <w:color w:val="auto"/>
          <w:sz w:val="21"/>
          <w:szCs w:val="21"/>
        </w:rPr>
        <w:t>。</w:t>
      </w:r>
    </w:p>
    <w:p w14:paraId="20E55FD9">
      <w:pPr>
        <w:pStyle w:val="8"/>
        <w:spacing w:line="360" w:lineRule="auto"/>
        <w:ind w:left="420" w:hanging="420"/>
        <w:rPr>
          <w:rFonts w:ascii="宋体" w:hAnsi="宋体" w:cs="宋体"/>
          <w:color w:val="auto"/>
          <w:sz w:val="21"/>
          <w:szCs w:val="21"/>
        </w:rPr>
      </w:pPr>
      <w:r>
        <w:rPr>
          <w:rFonts w:hint="eastAsia" w:ascii="宋体" w:hAnsi="宋体" w:cs="宋体"/>
          <w:color w:val="auto"/>
          <w:sz w:val="21"/>
          <w:szCs w:val="21"/>
        </w:rPr>
        <w:t xml:space="preserve">    2.4“投标人（供应商）”是指获得采购文件并向采购代理机构提交投标文件的投标人。</w:t>
      </w:r>
    </w:p>
    <w:p w14:paraId="253761B7">
      <w:pPr>
        <w:pStyle w:val="8"/>
        <w:spacing w:line="360" w:lineRule="auto"/>
        <w:ind w:left="420" w:hanging="420"/>
        <w:rPr>
          <w:rFonts w:ascii="宋体" w:hAnsi="宋体" w:cs="宋体"/>
          <w:color w:val="auto"/>
          <w:sz w:val="21"/>
          <w:szCs w:val="21"/>
        </w:rPr>
      </w:pPr>
      <w:r>
        <w:rPr>
          <w:rFonts w:hint="eastAsia" w:ascii="宋体" w:hAnsi="宋体" w:cs="宋体"/>
          <w:color w:val="auto"/>
          <w:sz w:val="21"/>
          <w:szCs w:val="21"/>
        </w:rPr>
        <w:t xml:space="preserve">    2.5“潜在投标人（供应商）”是指符合采购文件规定的投标人。</w:t>
      </w:r>
    </w:p>
    <w:p w14:paraId="200D9238">
      <w:pPr>
        <w:pStyle w:val="8"/>
        <w:spacing w:line="360" w:lineRule="auto"/>
        <w:ind w:left="420" w:hanging="420"/>
        <w:rPr>
          <w:rFonts w:ascii="宋体" w:hAnsi="宋体" w:cs="宋体"/>
          <w:color w:val="auto"/>
          <w:sz w:val="21"/>
          <w:szCs w:val="21"/>
        </w:rPr>
      </w:pPr>
      <w:r>
        <w:rPr>
          <w:rFonts w:hint="eastAsia" w:ascii="宋体" w:hAnsi="宋体" w:cs="宋体"/>
          <w:color w:val="auto"/>
          <w:sz w:val="21"/>
          <w:szCs w:val="21"/>
        </w:rPr>
        <w:t xml:space="preserve">    2.6 “中标人（成交供应商）”是指经评标委员会审查通过，并经公示无异议的投标人。</w:t>
      </w:r>
    </w:p>
    <w:p w14:paraId="6E4EE51E">
      <w:pPr>
        <w:pStyle w:val="8"/>
        <w:spacing w:line="360" w:lineRule="auto"/>
        <w:ind w:left="420" w:hanging="420"/>
        <w:rPr>
          <w:rFonts w:ascii="宋体" w:hAnsi="宋体" w:cs="宋体"/>
          <w:color w:val="auto"/>
          <w:sz w:val="21"/>
          <w:szCs w:val="21"/>
        </w:rPr>
      </w:pPr>
      <w:r>
        <w:rPr>
          <w:rFonts w:hint="eastAsia" w:ascii="宋体" w:hAnsi="宋体" w:cs="宋体"/>
          <w:color w:val="auto"/>
          <w:sz w:val="21"/>
          <w:szCs w:val="21"/>
        </w:rPr>
        <w:t xml:space="preserve">    2.7“投标人（供应商）代表”是指投标人法定代表人或投标人法定代表人授权委托的人。</w:t>
      </w:r>
    </w:p>
    <w:p w14:paraId="10E3C49F">
      <w:pPr>
        <w:pStyle w:val="8"/>
        <w:spacing w:line="360" w:lineRule="auto"/>
        <w:ind w:left="0" w:firstLine="420" w:firstLineChars="200"/>
        <w:rPr>
          <w:rFonts w:ascii="宋体" w:hAnsi="宋体" w:cs="宋体"/>
          <w:color w:val="auto"/>
          <w:sz w:val="21"/>
          <w:szCs w:val="21"/>
        </w:rPr>
      </w:pPr>
      <w:r>
        <w:rPr>
          <w:rFonts w:hint="eastAsia" w:ascii="宋体" w:hAnsi="宋体" w:cs="宋体"/>
          <w:color w:val="auto"/>
          <w:sz w:val="21"/>
          <w:szCs w:val="21"/>
        </w:rPr>
        <w:t>2.8“产品（货物）”是指按采购文件要求配置的一切设备、机械、仪器仪表、备品备件、工具、手册及其他有关技术资料和文字材料；</w:t>
      </w:r>
    </w:p>
    <w:p w14:paraId="15EC50A4">
      <w:pPr>
        <w:pStyle w:val="8"/>
        <w:spacing w:line="360" w:lineRule="auto"/>
        <w:ind w:left="0" w:firstLine="420" w:firstLineChars="200"/>
        <w:rPr>
          <w:rFonts w:ascii="宋体" w:hAnsi="宋体" w:cs="宋体"/>
          <w:color w:val="auto"/>
          <w:sz w:val="21"/>
          <w:szCs w:val="21"/>
        </w:rPr>
      </w:pPr>
      <w:r>
        <w:rPr>
          <w:rFonts w:hint="eastAsia" w:ascii="宋体" w:hAnsi="宋体" w:cs="宋体"/>
          <w:color w:val="auto"/>
          <w:sz w:val="21"/>
          <w:szCs w:val="21"/>
        </w:rPr>
        <w:t>2.9“服务”在货物类采购项目中是指采购文件规定供方须承担的货物运输、操作使用、技术支持、培训、维修保养服务；在服务类采购项目是指采购内容本身及相关的售后技术支持、培训服务；</w:t>
      </w:r>
    </w:p>
    <w:p w14:paraId="65DF889F">
      <w:pPr>
        <w:pStyle w:val="8"/>
        <w:spacing w:line="360" w:lineRule="auto"/>
        <w:ind w:left="0" w:firstLine="420" w:firstLineChars="200"/>
        <w:rPr>
          <w:rFonts w:ascii="宋体" w:hAnsi="宋体" w:cs="宋体"/>
          <w:color w:val="auto"/>
          <w:sz w:val="21"/>
          <w:szCs w:val="21"/>
        </w:rPr>
      </w:pPr>
      <w:r>
        <w:rPr>
          <w:rFonts w:hint="eastAsia" w:ascii="宋体" w:hAnsi="宋体" w:cs="宋体"/>
          <w:color w:val="auto"/>
          <w:sz w:val="21"/>
          <w:szCs w:val="21"/>
        </w:rPr>
        <w:t>2.10“书面形式”包括纸质文件、电子邮件、信函、传真等。</w:t>
      </w:r>
    </w:p>
    <w:p w14:paraId="7AE2EC3F">
      <w:pPr>
        <w:pStyle w:val="8"/>
        <w:spacing w:line="360" w:lineRule="auto"/>
        <w:ind w:left="420" w:hanging="420"/>
        <w:rPr>
          <w:rFonts w:ascii="宋体" w:hAnsi="宋体" w:cs="宋体"/>
          <w:color w:val="auto"/>
          <w:sz w:val="21"/>
          <w:szCs w:val="21"/>
        </w:rPr>
      </w:pPr>
      <w:r>
        <w:rPr>
          <w:rFonts w:hint="eastAsia" w:ascii="宋体" w:hAnsi="宋体" w:cs="宋体"/>
          <w:color w:val="auto"/>
          <w:sz w:val="21"/>
          <w:szCs w:val="21"/>
        </w:rPr>
        <w:t xml:space="preserve">    2.11实质性响应：是指投标文件相关内容符合招标（采购）文件规定的实质性内容、条款和规定。</w:t>
      </w:r>
    </w:p>
    <w:p w14:paraId="017E9980">
      <w:pPr>
        <w:pStyle w:val="8"/>
        <w:spacing w:line="360" w:lineRule="auto"/>
        <w:ind w:left="0" w:firstLine="420" w:firstLineChars="200"/>
        <w:rPr>
          <w:rFonts w:ascii="宋体" w:hAnsi="宋体" w:cs="宋体"/>
          <w:color w:val="auto"/>
          <w:sz w:val="21"/>
          <w:szCs w:val="21"/>
        </w:rPr>
      </w:pPr>
      <w:r>
        <w:rPr>
          <w:rFonts w:hint="eastAsia" w:ascii="宋体" w:hAnsi="宋体" w:cs="宋体"/>
          <w:color w:val="auto"/>
          <w:sz w:val="21"/>
          <w:szCs w:val="21"/>
        </w:rPr>
        <w:t>2.12采购文件中所有标示“▲”的均为采购人提出的实质性条款，如未实质性响应的，将按无效投标处理。</w:t>
      </w:r>
    </w:p>
    <w:p w14:paraId="026FDEC0">
      <w:pPr>
        <w:pStyle w:val="8"/>
        <w:spacing w:line="360" w:lineRule="auto"/>
        <w:ind w:left="422" w:hanging="422"/>
        <w:rPr>
          <w:rFonts w:ascii="宋体" w:hAnsi="宋体" w:cs="宋体"/>
          <w:b/>
          <w:color w:val="auto"/>
          <w:sz w:val="21"/>
          <w:szCs w:val="21"/>
        </w:rPr>
      </w:pPr>
      <w:r>
        <w:rPr>
          <w:rFonts w:hint="eastAsia" w:ascii="宋体" w:hAnsi="宋体" w:cs="宋体"/>
          <w:b/>
          <w:color w:val="auto"/>
          <w:sz w:val="21"/>
          <w:szCs w:val="21"/>
        </w:rPr>
        <w:t>3.项目说明</w:t>
      </w:r>
    </w:p>
    <w:p w14:paraId="6813879C">
      <w:pPr>
        <w:pStyle w:val="8"/>
        <w:spacing w:line="360" w:lineRule="auto"/>
        <w:ind w:left="0" w:firstLine="420" w:firstLineChars="200"/>
        <w:jc w:val="left"/>
        <w:rPr>
          <w:rFonts w:ascii="宋体" w:hAnsi="宋体" w:cs="宋体"/>
          <w:color w:val="auto"/>
          <w:sz w:val="21"/>
          <w:szCs w:val="21"/>
        </w:rPr>
      </w:pPr>
      <w:r>
        <w:rPr>
          <w:rFonts w:hint="eastAsia" w:ascii="宋体" w:hAnsi="宋体" w:cs="宋体"/>
          <w:color w:val="auto"/>
          <w:sz w:val="21"/>
          <w:szCs w:val="21"/>
        </w:rPr>
        <w:t>3.1本采购项目按照《中华人民共和国政府采购法》等有关法律、行政法规和部门规章，通过公开招标方式选定中标人。</w:t>
      </w:r>
    </w:p>
    <w:p w14:paraId="2DD00E3B">
      <w:pPr>
        <w:pStyle w:val="8"/>
        <w:spacing w:line="360" w:lineRule="auto"/>
        <w:ind w:left="422" w:hanging="422"/>
        <w:rPr>
          <w:rFonts w:ascii="宋体" w:hAnsi="宋体" w:cs="宋体"/>
          <w:b/>
          <w:color w:val="auto"/>
          <w:sz w:val="21"/>
          <w:szCs w:val="21"/>
        </w:rPr>
      </w:pPr>
      <w:r>
        <w:rPr>
          <w:rFonts w:hint="eastAsia" w:ascii="宋体" w:hAnsi="宋体" w:cs="宋体"/>
          <w:b/>
          <w:color w:val="auto"/>
          <w:sz w:val="21"/>
          <w:szCs w:val="21"/>
        </w:rPr>
        <w:t>4.合格投标人的条件</w:t>
      </w:r>
    </w:p>
    <w:p w14:paraId="7DB108EF">
      <w:pPr>
        <w:pStyle w:val="8"/>
        <w:spacing w:line="360" w:lineRule="auto"/>
        <w:ind w:left="420" w:hanging="420"/>
        <w:rPr>
          <w:rFonts w:ascii="宋体" w:hAnsi="宋体" w:cs="宋体"/>
          <w:color w:val="auto"/>
          <w:sz w:val="21"/>
          <w:szCs w:val="21"/>
        </w:rPr>
      </w:pPr>
      <w:r>
        <w:rPr>
          <w:rFonts w:hint="eastAsia" w:ascii="宋体" w:hAnsi="宋体" w:cs="宋体"/>
          <w:color w:val="auto"/>
          <w:sz w:val="21"/>
          <w:szCs w:val="21"/>
        </w:rPr>
        <w:t xml:space="preserve">    4.1凡符合本招标文件第一章招标公告投标人资格要求的均为合格的投标人。</w:t>
      </w:r>
    </w:p>
    <w:p w14:paraId="66DC6146">
      <w:pPr>
        <w:pStyle w:val="8"/>
        <w:spacing w:line="360" w:lineRule="auto"/>
        <w:ind w:left="422" w:hanging="422"/>
        <w:rPr>
          <w:rFonts w:ascii="宋体" w:hAnsi="宋体" w:cs="宋体"/>
          <w:b/>
          <w:color w:val="auto"/>
          <w:sz w:val="21"/>
          <w:szCs w:val="21"/>
        </w:rPr>
      </w:pPr>
      <w:r>
        <w:rPr>
          <w:rFonts w:hint="eastAsia" w:ascii="宋体" w:hAnsi="宋体" w:cs="宋体"/>
          <w:b/>
          <w:color w:val="auto"/>
          <w:sz w:val="21"/>
          <w:szCs w:val="21"/>
        </w:rPr>
        <w:t>5.投标费用</w:t>
      </w:r>
    </w:p>
    <w:p w14:paraId="161691CB">
      <w:pPr>
        <w:spacing w:line="360" w:lineRule="auto"/>
        <w:ind w:firstLine="420" w:firstLineChars="200"/>
        <w:rPr>
          <w:rFonts w:ascii="宋体" w:hAnsi="宋体" w:cs="宋体"/>
          <w:bCs/>
          <w:color w:val="auto"/>
          <w:sz w:val="18"/>
          <w:szCs w:val="18"/>
        </w:rPr>
      </w:pPr>
      <w:r>
        <w:rPr>
          <w:rFonts w:hint="eastAsia" w:ascii="宋体" w:hAnsi="宋体" w:cs="宋体"/>
          <w:color w:val="auto"/>
          <w:szCs w:val="21"/>
        </w:rPr>
        <w:t>5.1投标人应承担参加本次投标有关的全部费用，无论结果如何，采购单位和采购代理机构在任何情况下均无义务和责任承担这些费用。</w:t>
      </w:r>
    </w:p>
    <w:p w14:paraId="527AA026">
      <w:pPr>
        <w:spacing w:line="360" w:lineRule="auto"/>
        <w:rPr>
          <w:rFonts w:ascii="宋体" w:hAnsi="宋体" w:cs="宋体"/>
          <w:b/>
          <w:bCs/>
          <w:color w:val="auto"/>
          <w:szCs w:val="21"/>
        </w:rPr>
      </w:pPr>
      <w:r>
        <w:rPr>
          <w:rFonts w:hint="eastAsia" w:ascii="宋体" w:hAnsi="宋体" w:cs="宋体"/>
          <w:b/>
          <w:bCs/>
          <w:color w:val="auto"/>
          <w:szCs w:val="21"/>
        </w:rPr>
        <w:t>6.特别说明</w:t>
      </w:r>
    </w:p>
    <w:p w14:paraId="781BC83F">
      <w:pPr>
        <w:pStyle w:val="60"/>
        <w:spacing w:line="360" w:lineRule="auto"/>
        <w:ind w:firstLine="420" w:firstLineChars="200"/>
        <w:rPr>
          <w:color w:val="auto"/>
        </w:rPr>
      </w:pPr>
      <w:r>
        <w:rPr>
          <w:rFonts w:hint="eastAsia"/>
          <w:color w:val="auto"/>
        </w:rPr>
        <w:t>6.1投标人投标所使用的资格、信誉、荣誉、业绩与企业认证必须为投标人所拥有。投标人投标所使用的采购项目实施人员可以为其控股公司的工作人员。</w:t>
      </w:r>
    </w:p>
    <w:p w14:paraId="15C32216">
      <w:pPr>
        <w:pStyle w:val="60"/>
        <w:spacing w:line="360" w:lineRule="auto"/>
        <w:ind w:firstLine="420" w:firstLineChars="200"/>
        <w:rPr>
          <w:color w:val="auto"/>
        </w:rPr>
      </w:pPr>
      <w:r>
        <w:rPr>
          <w:rFonts w:hint="eastAsia"/>
          <w:color w:val="auto"/>
        </w:rPr>
        <w:t>6.2投标人在投标活动中提供任何虚假材料或从事其他违法活动的,其投标无效，并报监管部门查处；成交后发现的,中标人须依照《中华人民共和国消费者权益保护法》规定赔偿。且民事赔偿并不免除违法投标人的行政与刑事责任。</w:t>
      </w:r>
    </w:p>
    <w:p w14:paraId="06534757">
      <w:pPr>
        <w:pStyle w:val="60"/>
        <w:spacing w:line="360" w:lineRule="auto"/>
        <w:ind w:firstLine="420" w:firstLineChars="200"/>
        <w:rPr>
          <w:color w:val="auto"/>
        </w:rPr>
      </w:pPr>
      <w:r>
        <w:rPr>
          <w:rFonts w:hint="eastAsia"/>
          <w:color w:val="auto"/>
        </w:rPr>
        <w:t>6.3投标人应仔细阅读招标文件的所有内容，按照招标文件的要求提交投标文件。投标文件应对招标文件的要求作出实质性响应，并对所提供的全部资料的真实性承担法律责任。</w:t>
      </w:r>
    </w:p>
    <w:p w14:paraId="2C9FCF60">
      <w:pPr>
        <w:spacing w:line="360" w:lineRule="auto"/>
        <w:rPr>
          <w:rFonts w:ascii="宋体" w:hAnsi="宋体" w:cs="宋体"/>
          <w:b/>
          <w:bCs/>
          <w:color w:val="auto"/>
          <w:szCs w:val="21"/>
        </w:rPr>
      </w:pPr>
      <w:r>
        <w:rPr>
          <w:rFonts w:hint="eastAsia" w:ascii="宋体" w:hAnsi="宋体" w:cs="宋体"/>
          <w:b/>
          <w:bCs/>
          <w:color w:val="auto"/>
          <w:szCs w:val="21"/>
        </w:rPr>
        <w:t>7.质疑与投诉</w:t>
      </w:r>
    </w:p>
    <w:p w14:paraId="6382FE68">
      <w:pPr>
        <w:pStyle w:val="25"/>
        <w:spacing w:after="0" w:line="360" w:lineRule="auto"/>
        <w:ind w:firstLineChars="200"/>
        <w:rPr>
          <w:rFonts w:ascii="宋体" w:hAnsi="宋体" w:cs="宋体"/>
          <w:color w:val="auto"/>
          <w:kern w:val="0"/>
          <w:sz w:val="21"/>
          <w:szCs w:val="21"/>
        </w:rPr>
      </w:pPr>
      <w:r>
        <w:rPr>
          <w:rFonts w:hint="eastAsia" w:ascii="宋体" w:hAnsi="宋体" w:cs="宋体"/>
          <w:color w:val="auto"/>
          <w:kern w:val="0"/>
          <w:sz w:val="21"/>
          <w:szCs w:val="21"/>
        </w:rPr>
        <w:t>政府采购供应商可以通过登录“浙江政务服务网”（http://www.zjzwfw.gov.cn/），搜索关键字“政府采购投诉处理”，或者选择“部门窗口—省财政厅—行政裁决—政府采购投诉处理”，点击“在线办理”，即可进行在线投诉。财政部门审查受理、处理决定等政府采购投诉处理相关文书均在线送达，政府采购投诉供应商明确表示需要邮寄的除外。</w:t>
      </w:r>
    </w:p>
    <w:p w14:paraId="4647F4DA">
      <w:pPr>
        <w:pStyle w:val="25"/>
        <w:spacing w:after="0" w:line="360" w:lineRule="auto"/>
        <w:ind w:firstLineChars="200"/>
        <w:rPr>
          <w:rFonts w:ascii="宋体" w:hAnsi="宋体" w:cs="宋体"/>
          <w:color w:val="auto"/>
          <w:kern w:val="0"/>
          <w:sz w:val="21"/>
          <w:szCs w:val="21"/>
        </w:rPr>
      </w:pPr>
      <w:r>
        <w:rPr>
          <w:rFonts w:hint="eastAsia" w:ascii="宋体" w:hAnsi="宋体" w:cs="宋体"/>
          <w:color w:val="auto"/>
          <w:kern w:val="0"/>
          <w:sz w:val="21"/>
          <w:szCs w:val="21"/>
        </w:rPr>
        <w:t>供应商也可通过邮寄方式寄递政府采购投诉、举报材料，邮寄地址为涉及政府采购项目采购人预算级次相应的财政部门。政府采购投诉、举报材料中须写明邮箱地址、传真号码，财政部门审查受理、处理决定等相关文书可通过电子邮件、传真等形式送达 ，供应商明确表示需要邮寄的除外。</w:t>
      </w:r>
    </w:p>
    <w:p w14:paraId="3B8808F7">
      <w:pPr>
        <w:pStyle w:val="25"/>
        <w:spacing w:after="0" w:line="360" w:lineRule="auto"/>
        <w:ind w:firstLineChars="200"/>
        <w:rPr>
          <w:rFonts w:ascii="宋体" w:hAnsi="宋体" w:cs="宋体"/>
          <w:color w:val="auto"/>
          <w:kern w:val="0"/>
          <w:sz w:val="21"/>
          <w:szCs w:val="21"/>
        </w:rPr>
      </w:pPr>
      <w:r>
        <w:rPr>
          <w:rFonts w:hint="eastAsia" w:ascii="宋体" w:hAnsi="宋体" w:cs="宋体"/>
          <w:color w:val="auto"/>
          <w:kern w:val="0"/>
          <w:sz w:val="21"/>
          <w:szCs w:val="21"/>
        </w:rPr>
        <w:t>在线或者邮寄政府采购投诉举报材料当日下班时间点后收到的视为下一个工作日收到。</w:t>
      </w:r>
    </w:p>
    <w:p w14:paraId="40EB574A">
      <w:pPr>
        <w:pStyle w:val="25"/>
        <w:ind w:left="-420" w:leftChars="-200" w:firstLine="0" w:firstLineChars="0"/>
        <w:rPr>
          <w:color w:val="auto"/>
        </w:rPr>
      </w:pPr>
    </w:p>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14:paraId="5A14D9FE">
      <w:pPr>
        <w:pStyle w:val="4"/>
        <w:spacing w:before="0" w:after="0" w:line="360" w:lineRule="auto"/>
        <w:jc w:val="center"/>
        <w:rPr>
          <w:color w:val="auto"/>
        </w:rPr>
      </w:pPr>
      <w:bookmarkStart w:id="85" w:name="_Toc15395"/>
      <w:bookmarkStart w:id="86" w:name="_Toc410031815"/>
      <w:bookmarkStart w:id="87" w:name="_Toc262049417"/>
      <w:bookmarkStart w:id="88" w:name="_Toc222114878"/>
      <w:bookmarkStart w:id="89" w:name="_Toc249758863"/>
      <w:bookmarkStart w:id="90" w:name="_Toc246261264"/>
      <w:bookmarkStart w:id="91" w:name="_Toc223715997"/>
      <w:bookmarkStart w:id="92" w:name="_Toc221423618"/>
      <w:bookmarkStart w:id="93" w:name="_Toc239145353"/>
      <w:bookmarkStart w:id="94" w:name="_Toc221356950"/>
      <w:bookmarkStart w:id="95" w:name="_Toc221374625"/>
      <w:bookmarkStart w:id="96" w:name="_Toc262105502"/>
      <w:bookmarkStart w:id="97" w:name="_Toc221356885"/>
      <w:bookmarkStart w:id="98" w:name="_Toc249758711"/>
      <w:bookmarkStart w:id="99" w:name="_Toc245191313"/>
      <w:bookmarkStart w:id="100" w:name="_Toc245722280"/>
      <w:bookmarkStart w:id="101" w:name="_Toc241404201"/>
      <w:r>
        <w:rPr>
          <w:rFonts w:hint="eastAsia"/>
          <w:color w:val="auto"/>
        </w:rPr>
        <w:t>二、招标文件</w:t>
      </w:r>
      <w:bookmarkEnd w:id="85"/>
    </w:p>
    <w:p w14:paraId="45A9A381">
      <w:pPr>
        <w:pStyle w:val="8"/>
        <w:spacing w:line="360" w:lineRule="auto"/>
        <w:ind w:left="422" w:hanging="422"/>
        <w:rPr>
          <w:rFonts w:ascii="宋体" w:hAnsi="宋体" w:cs="宋体"/>
          <w:b/>
          <w:color w:val="auto"/>
          <w:sz w:val="21"/>
          <w:szCs w:val="21"/>
        </w:rPr>
      </w:pPr>
      <w:bookmarkStart w:id="102" w:name="_Toc1105"/>
      <w:r>
        <w:rPr>
          <w:rFonts w:hint="eastAsia" w:ascii="宋体" w:hAnsi="宋体" w:cs="宋体"/>
          <w:b/>
          <w:color w:val="auto"/>
          <w:sz w:val="21"/>
          <w:szCs w:val="21"/>
        </w:rPr>
        <w:t>1.招标文件的组成</w:t>
      </w:r>
    </w:p>
    <w:p w14:paraId="21F4BFC0">
      <w:pPr>
        <w:pStyle w:val="8"/>
        <w:spacing w:line="360" w:lineRule="auto"/>
        <w:ind w:left="420" w:hanging="420"/>
        <w:rPr>
          <w:rFonts w:ascii="宋体" w:hAnsi="宋体" w:cs="宋体"/>
          <w:color w:val="auto"/>
          <w:sz w:val="21"/>
          <w:szCs w:val="21"/>
        </w:rPr>
      </w:pPr>
      <w:r>
        <w:rPr>
          <w:rFonts w:hint="eastAsia" w:ascii="宋体" w:hAnsi="宋体" w:cs="宋体"/>
          <w:color w:val="auto"/>
          <w:sz w:val="21"/>
          <w:szCs w:val="21"/>
        </w:rPr>
        <w:t xml:space="preserve">    1.1招标文件由以下部分组成：</w:t>
      </w:r>
    </w:p>
    <w:p w14:paraId="202C82E2">
      <w:pPr>
        <w:pStyle w:val="8"/>
        <w:spacing w:line="360" w:lineRule="auto"/>
        <w:ind w:left="420" w:hanging="420"/>
        <w:rPr>
          <w:rFonts w:ascii="宋体" w:hAnsi="宋体" w:cs="宋体"/>
          <w:color w:val="auto"/>
          <w:sz w:val="21"/>
          <w:szCs w:val="21"/>
        </w:rPr>
      </w:pPr>
      <w:r>
        <w:rPr>
          <w:rFonts w:hint="eastAsia" w:ascii="宋体" w:hAnsi="宋体" w:cs="宋体"/>
          <w:color w:val="auto"/>
          <w:sz w:val="21"/>
          <w:szCs w:val="21"/>
        </w:rPr>
        <w:t xml:space="preserve">    第一章 招标公告</w:t>
      </w:r>
    </w:p>
    <w:p w14:paraId="3FDF075C">
      <w:pPr>
        <w:pStyle w:val="8"/>
        <w:spacing w:line="360" w:lineRule="auto"/>
        <w:ind w:left="420" w:hanging="420"/>
        <w:rPr>
          <w:rFonts w:ascii="宋体" w:hAnsi="宋体" w:cs="宋体"/>
          <w:color w:val="auto"/>
          <w:sz w:val="21"/>
          <w:szCs w:val="21"/>
        </w:rPr>
      </w:pPr>
      <w:r>
        <w:rPr>
          <w:rFonts w:hint="eastAsia" w:ascii="宋体" w:hAnsi="宋体" w:cs="宋体"/>
          <w:color w:val="auto"/>
          <w:sz w:val="21"/>
          <w:szCs w:val="21"/>
        </w:rPr>
        <w:t xml:space="preserve">    第二章 投标人须知</w:t>
      </w:r>
    </w:p>
    <w:p w14:paraId="18A1F02C">
      <w:pPr>
        <w:pStyle w:val="8"/>
        <w:spacing w:line="360" w:lineRule="auto"/>
        <w:ind w:left="420" w:hanging="420"/>
        <w:rPr>
          <w:rFonts w:ascii="宋体" w:hAnsi="宋体" w:cs="宋体"/>
          <w:color w:val="auto"/>
          <w:sz w:val="21"/>
          <w:szCs w:val="21"/>
        </w:rPr>
      </w:pPr>
      <w:r>
        <w:rPr>
          <w:rFonts w:hint="eastAsia" w:ascii="宋体" w:hAnsi="宋体" w:cs="宋体"/>
          <w:color w:val="auto"/>
          <w:sz w:val="21"/>
          <w:szCs w:val="21"/>
        </w:rPr>
        <w:t xml:space="preserve">    第三章 </w:t>
      </w:r>
      <w:r>
        <w:rPr>
          <w:rFonts w:hint="eastAsia" w:ascii="宋体" w:hAnsi="宋体" w:cs="宋体"/>
          <w:color w:val="auto"/>
          <w:sz w:val="21"/>
          <w:szCs w:val="21"/>
          <w:lang w:val="en-US" w:eastAsia="zh-CN"/>
        </w:rPr>
        <w:t>采购</w:t>
      </w:r>
      <w:r>
        <w:rPr>
          <w:rFonts w:hint="eastAsia" w:ascii="宋体" w:hAnsi="宋体" w:cs="宋体"/>
          <w:color w:val="auto"/>
          <w:sz w:val="21"/>
          <w:szCs w:val="21"/>
        </w:rPr>
        <w:t>内容及要求</w:t>
      </w:r>
    </w:p>
    <w:p w14:paraId="5CCD6CE8">
      <w:pPr>
        <w:pStyle w:val="8"/>
        <w:spacing w:line="360" w:lineRule="auto"/>
        <w:ind w:left="420" w:hanging="420"/>
        <w:rPr>
          <w:rFonts w:ascii="宋体" w:hAnsi="宋体" w:cs="宋体"/>
          <w:color w:val="auto"/>
          <w:sz w:val="21"/>
          <w:szCs w:val="21"/>
        </w:rPr>
      </w:pPr>
      <w:r>
        <w:rPr>
          <w:rFonts w:hint="eastAsia" w:ascii="宋体" w:hAnsi="宋体" w:cs="宋体"/>
          <w:color w:val="auto"/>
          <w:sz w:val="21"/>
          <w:szCs w:val="21"/>
        </w:rPr>
        <w:t xml:space="preserve">    第四章 合同主要条款</w:t>
      </w:r>
    </w:p>
    <w:p w14:paraId="5ABF9565">
      <w:pPr>
        <w:pStyle w:val="8"/>
        <w:spacing w:line="360" w:lineRule="auto"/>
        <w:ind w:left="420" w:hanging="420"/>
        <w:rPr>
          <w:rFonts w:hint="eastAsia" w:ascii="宋体" w:hAnsi="宋体" w:cs="宋体"/>
          <w:color w:val="auto"/>
          <w:sz w:val="21"/>
          <w:szCs w:val="21"/>
        </w:rPr>
      </w:pPr>
      <w:r>
        <w:rPr>
          <w:rFonts w:hint="eastAsia" w:ascii="宋体" w:hAnsi="宋体" w:cs="宋体"/>
          <w:color w:val="auto"/>
          <w:sz w:val="21"/>
          <w:szCs w:val="21"/>
        </w:rPr>
        <w:t xml:space="preserve">    第五章 评标原则及办法</w:t>
      </w:r>
    </w:p>
    <w:p w14:paraId="5F1A6DDD">
      <w:pPr>
        <w:pStyle w:val="8"/>
        <w:spacing w:line="360" w:lineRule="auto"/>
        <w:ind w:left="420" w:leftChars="200" w:firstLine="0" w:firstLineChars="0"/>
        <w:rPr>
          <w:rFonts w:ascii="宋体" w:hAnsi="宋体" w:cs="宋体"/>
          <w:color w:val="auto"/>
          <w:sz w:val="21"/>
          <w:szCs w:val="21"/>
        </w:rPr>
      </w:pPr>
      <w:r>
        <w:rPr>
          <w:rFonts w:hint="eastAsia" w:ascii="宋体" w:hAnsi="宋体" w:cs="宋体"/>
          <w:color w:val="auto"/>
          <w:sz w:val="21"/>
          <w:szCs w:val="21"/>
        </w:rPr>
        <w:t>第六章 投标文件格式</w:t>
      </w:r>
    </w:p>
    <w:p w14:paraId="28D95867">
      <w:pPr>
        <w:pStyle w:val="8"/>
        <w:spacing w:line="360" w:lineRule="auto"/>
        <w:ind w:left="0" w:firstLine="420" w:firstLineChars="200"/>
        <w:rPr>
          <w:rFonts w:ascii="宋体" w:hAnsi="宋体" w:cs="宋体"/>
          <w:color w:val="auto"/>
          <w:sz w:val="21"/>
          <w:szCs w:val="21"/>
        </w:rPr>
      </w:pPr>
      <w:r>
        <w:rPr>
          <w:rFonts w:hint="eastAsia" w:ascii="宋体" w:hAnsi="宋体" w:cs="宋体"/>
          <w:color w:val="auto"/>
          <w:sz w:val="21"/>
          <w:szCs w:val="21"/>
        </w:rPr>
        <w:t>1.2除上条1.1内容外，采购人、采购代理机构在规定时间前，以书面形式发出的对招标文件的澄清或修改内容，均为招标文件的组成部分。</w:t>
      </w:r>
    </w:p>
    <w:p w14:paraId="2AB777EA">
      <w:pPr>
        <w:pStyle w:val="8"/>
        <w:spacing w:line="360" w:lineRule="auto"/>
        <w:ind w:left="0" w:firstLine="420" w:firstLineChars="200"/>
        <w:rPr>
          <w:rFonts w:ascii="宋体" w:hAnsi="宋体" w:cs="宋体"/>
          <w:color w:val="auto"/>
          <w:sz w:val="21"/>
          <w:szCs w:val="21"/>
        </w:rPr>
      </w:pPr>
      <w:r>
        <w:rPr>
          <w:rFonts w:hint="eastAsia" w:ascii="宋体" w:hAnsi="宋体" w:cs="宋体"/>
          <w:color w:val="auto"/>
          <w:sz w:val="21"/>
          <w:szCs w:val="21"/>
        </w:rPr>
        <w:t>1.3投标人获取招标文件后，应仔细检查招标文件的所有内容，如有残缺等问题，应在获得招标文件3日内向采购单位提出，否则，由此引起的损失由投标人自己承担。投标人同时应认真审阅招标文件中所有的事项、格式、条款和规范要求等，若投标人的投标文件没有按招标文件要求提交全部资料，或投标文件没有对招标文件作出实质性响应，并根据有关条款规定，其风险由投标人自行承担。</w:t>
      </w:r>
    </w:p>
    <w:p w14:paraId="7FDCC71E">
      <w:pPr>
        <w:pStyle w:val="8"/>
        <w:spacing w:line="360" w:lineRule="auto"/>
        <w:ind w:left="422" w:hanging="422"/>
        <w:rPr>
          <w:rFonts w:ascii="宋体" w:hAnsi="宋体" w:cs="宋体"/>
          <w:b/>
          <w:color w:val="auto"/>
          <w:sz w:val="21"/>
          <w:szCs w:val="21"/>
        </w:rPr>
      </w:pPr>
      <w:r>
        <w:rPr>
          <w:rFonts w:hint="eastAsia" w:ascii="宋体" w:hAnsi="宋体" w:cs="宋体"/>
          <w:b/>
          <w:color w:val="auto"/>
          <w:sz w:val="21"/>
          <w:szCs w:val="21"/>
        </w:rPr>
        <w:t>2.招标文件的澄清与修改</w:t>
      </w:r>
    </w:p>
    <w:p w14:paraId="70A6B0C1">
      <w:pPr>
        <w:pStyle w:val="15"/>
        <w:snapToGrid w:val="0"/>
        <w:spacing w:line="360" w:lineRule="auto"/>
        <w:ind w:firstLine="420" w:firstLineChars="200"/>
        <w:rPr>
          <w:rFonts w:hAnsi="宋体"/>
          <w:color w:val="auto"/>
        </w:rPr>
      </w:pPr>
      <w:r>
        <w:rPr>
          <w:rFonts w:hint="eastAsia" w:hAnsi="宋体"/>
          <w:color w:val="auto"/>
        </w:rPr>
        <w:t>2.1</w:t>
      </w:r>
      <w:r>
        <w:rPr>
          <w:rFonts w:hAnsi="宋体"/>
          <w:bCs/>
          <w:color w:val="auto"/>
        </w:rPr>
        <w:t>投标人应认真阅读本招标文件，发现其中有误或有不合理要求的，投标人</w:t>
      </w:r>
      <w:r>
        <w:rPr>
          <w:rFonts w:hint="eastAsia" w:hAnsi="宋体"/>
          <w:bCs/>
          <w:color w:val="auto"/>
        </w:rPr>
        <w:t>应当自知道或者应当知道其合法权益受到损害之日起七个</w:t>
      </w:r>
      <w:bookmarkStart w:id="202" w:name="_GoBack"/>
      <w:bookmarkEnd w:id="202"/>
      <w:r>
        <w:rPr>
          <w:rFonts w:hint="eastAsia" w:hAnsi="宋体"/>
          <w:bCs/>
          <w:color w:val="auto"/>
        </w:rPr>
        <w:t>工作日内</w:t>
      </w:r>
      <w:r>
        <w:rPr>
          <w:rFonts w:hAnsi="宋体"/>
          <w:bCs/>
          <w:color w:val="auto"/>
        </w:rPr>
        <w:t>以书面形式</w:t>
      </w:r>
      <w:r>
        <w:rPr>
          <w:rFonts w:hint="eastAsia" w:hAnsi="宋体"/>
          <w:bCs/>
          <w:color w:val="auto"/>
        </w:rPr>
        <w:t>向采购人、采购代理机构提出质疑</w:t>
      </w:r>
      <w:r>
        <w:rPr>
          <w:rFonts w:hAnsi="宋体"/>
          <w:color w:val="auto"/>
        </w:rPr>
        <w:t>。</w:t>
      </w:r>
      <w:r>
        <w:rPr>
          <w:rFonts w:hint="eastAsia" w:hAnsi="宋体"/>
          <w:color w:val="auto"/>
        </w:rPr>
        <w:t>采购人或采购代理机构</w:t>
      </w:r>
      <w:r>
        <w:rPr>
          <w:rFonts w:hAnsi="宋体"/>
          <w:color w:val="auto"/>
        </w:rPr>
        <w:t>对已发出的招标文件进行必要澄清、答复、修改或补充的，</w:t>
      </w:r>
      <w:r>
        <w:rPr>
          <w:rFonts w:hint="eastAsia" w:hAnsi="宋体"/>
          <w:color w:val="auto"/>
        </w:rPr>
        <w:t>在</w:t>
      </w:r>
      <w:r>
        <w:rPr>
          <w:color w:val="auto"/>
          <w:spacing w:val="-4"/>
        </w:rPr>
        <w:t>原公告发布媒体上</w:t>
      </w:r>
      <w:r>
        <w:rPr>
          <w:rFonts w:hAnsi="宋体"/>
          <w:color w:val="auto"/>
        </w:rPr>
        <w:t>发布</w:t>
      </w:r>
      <w:r>
        <w:rPr>
          <w:rFonts w:hint="eastAsia" w:hAnsi="宋体"/>
          <w:color w:val="auto"/>
        </w:rPr>
        <w:t>澄清（</w:t>
      </w:r>
      <w:r>
        <w:rPr>
          <w:rFonts w:hAnsi="宋体"/>
          <w:color w:val="auto"/>
        </w:rPr>
        <w:t>更正</w:t>
      </w:r>
      <w:r>
        <w:rPr>
          <w:rFonts w:hint="eastAsia" w:hAnsi="宋体"/>
          <w:color w:val="auto"/>
        </w:rPr>
        <w:t>）</w:t>
      </w:r>
      <w:r>
        <w:rPr>
          <w:rFonts w:hAnsi="宋体"/>
          <w:color w:val="auto"/>
        </w:rPr>
        <w:t>公告</w:t>
      </w:r>
      <w:r>
        <w:rPr>
          <w:rFonts w:hint="eastAsia" w:hAnsi="宋体"/>
          <w:color w:val="auto"/>
        </w:rPr>
        <w:t>。澄清或者修改的内容可能影响投标文件编制的，应当在投标截止时间至少15日前，以书面形式通知所有获取招标文件的潜在投标人；不足15日的，将顺延提交投标文件的截止时间。</w:t>
      </w:r>
    </w:p>
    <w:p w14:paraId="6BA2045F">
      <w:pPr>
        <w:pStyle w:val="15"/>
        <w:snapToGrid w:val="0"/>
        <w:spacing w:line="360" w:lineRule="auto"/>
        <w:ind w:firstLine="420" w:firstLineChars="200"/>
        <w:rPr>
          <w:rFonts w:hAnsi="宋体"/>
          <w:color w:val="auto"/>
        </w:rPr>
      </w:pPr>
      <w:r>
        <w:rPr>
          <w:rFonts w:hAnsi="宋体"/>
          <w:color w:val="auto"/>
        </w:rPr>
        <w:t>2</w:t>
      </w:r>
      <w:r>
        <w:rPr>
          <w:rFonts w:hint="eastAsia" w:hAnsi="宋体"/>
          <w:color w:val="auto"/>
        </w:rPr>
        <w:t>.2采购人、采购代理机构</w:t>
      </w:r>
      <w:r>
        <w:rPr>
          <w:rFonts w:hAnsi="宋体"/>
          <w:color w:val="auto"/>
        </w:rPr>
        <w:t>必须以书面形式答复投标人要求澄清的问题，并将不包含问题来源的答复书面通知所有购买招标文件的投标人；除书面答复以外的其他澄清方式及澄清内容均无效。</w:t>
      </w:r>
    </w:p>
    <w:p w14:paraId="7FF93A5B">
      <w:pPr>
        <w:pStyle w:val="15"/>
        <w:snapToGrid w:val="0"/>
        <w:spacing w:line="360" w:lineRule="auto"/>
        <w:ind w:firstLine="420" w:firstLineChars="200"/>
        <w:rPr>
          <w:rFonts w:hAnsi="宋体"/>
          <w:color w:val="auto"/>
        </w:rPr>
      </w:pPr>
      <w:r>
        <w:rPr>
          <w:rFonts w:hint="eastAsia" w:hAnsi="宋体"/>
          <w:color w:val="auto"/>
        </w:rPr>
        <w:t>2.3</w:t>
      </w:r>
      <w:r>
        <w:rPr>
          <w:rFonts w:hAnsi="宋体"/>
          <w:color w:val="auto"/>
        </w:rPr>
        <w:t>招标文件澄清、答复、修改、补充的内容为招标文件的组成部分。当招标文件与招标文件的答复、澄清、修改、补充通知就同一内容的表述不一致时，以最后发出的书面文件为准。</w:t>
      </w:r>
    </w:p>
    <w:p w14:paraId="0089EF75">
      <w:pPr>
        <w:pStyle w:val="4"/>
        <w:spacing w:before="0" w:after="0" w:line="360" w:lineRule="auto"/>
        <w:jc w:val="center"/>
        <w:rPr>
          <w:color w:val="auto"/>
        </w:rPr>
      </w:pPr>
      <w:r>
        <w:rPr>
          <w:rFonts w:hint="eastAsia"/>
          <w:color w:val="auto"/>
        </w:rPr>
        <w:t>三、投标文件</w:t>
      </w:r>
      <w:bookmarkEnd w:id="102"/>
    </w:p>
    <w:p w14:paraId="29F736EA">
      <w:pPr>
        <w:pStyle w:val="8"/>
        <w:spacing w:line="360" w:lineRule="auto"/>
        <w:ind w:left="422" w:hanging="422"/>
        <w:rPr>
          <w:rFonts w:ascii="宋体" w:hAnsi="宋体" w:cs="宋体"/>
          <w:b/>
          <w:color w:val="auto"/>
          <w:sz w:val="21"/>
          <w:szCs w:val="21"/>
        </w:rPr>
      </w:pPr>
      <w:r>
        <w:rPr>
          <w:rFonts w:hint="eastAsia" w:ascii="宋体" w:hAnsi="宋体" w:cs="宋体"/>
          <w:b/>
          <w:color w:val="auto"/>
          <w:sz w:val="21"/>
          <w:szCs w:val="21"/>
        </w:rPr>
        <w:t>1.投标文件的语言及度量衡单位</w:t>
      </w:r>
    </w:p>
    <w:p w14:paraId="11B3611A">
      <w:pPr>
        <w:pStyle w:val="8"/>
        <w:spacing w:line="360" w:lineRule="auto"/>
        <w:ind w:left="0" w:firstLine="420" w:firstLineChars="200"/>
        <w:rPr>
          <w:rFonts w:ascii="宋体" w:hAnsi="宋体" w:cs="宋体"/>
          <w:color w:val="auto"/>
          <w:sz w:val="21"/>
          <w:szCs w:val="21"/>
        </w:rPr>
      </w:pPr>
      <w:r>
        <w:rPr>
          <w:rFonts w:hint="eastAsia" w:ascii="宋体" w:hAnsi="宋体" w:cs="宋体"/>
          <w:color w:val="auto"/>
          <w:sz w:val="21"/>
          <w:szCs w:val="21"/>
        </w:rPr>
        <w:t>1.1除采购货物有关专用名称外，投标文件和与投标有关的所有文件说明均应使用中文。</w:t>
      </w:r>
    </w:p>
    <w:p w14:paraId="23F8B898">
      <w:pPr>
        <w:pStyle w:val="8"/>
        <w:spacing w:line="360" w:lineRule="auto"/>
        <w:ind w:left="0" w:firstLine="420" w:firstLineChars="200"/>
        <w:rPr>
          <w:rFonts w:ascii="宋体" w:hAnsi="宋体" w:cs="宋体"/>
          <w:color w:val="auto"/>
          <w:szCs w:val="21"/>
        </w:rPr>
      </w:pPr>
      <w:r>
        <w:rPr>
          <w:rFonts w:hint="eastAsia" w:ascii="宋体" w:hAnsi="宋体" w:cs="宋体"/>
          <w:color w:val="auto"/>
          <w:sz w:val="21"/>
          <w:szCs w:val="21"/>
        </w:rPr>
        <w:t>1.2除采购项目规范另有规定外，投标文件使用的度量衡单位，均采用中华人民共和国法定计量单位。</w:t>
      </w:r>
      <w:r>
        <w:rPr>
          <w:rFonts w:hint="eastAsia" w:ascii="宋体" w:hAnsi="宋体" w:cs="宋体"/>
          <w:b/>
          <w:color w:val="auto"/>
          <w:sz w:val="21"/>
          <w:szCs w:val="21"/>
        </w:rPr>
        <w:t>2.响应文件的形式和效力</w:t>
      </w:r>
    </w:p>
    <w:p w14:paraId="25ECD3B5">
      <w:pPr>
        <w:snapToGrid w:val="0"/>
        <w:spacing w:line="360" w:lineRule="auto"/>
        <w:ind w:firstLine="422" w:firstLineChars="200"/>
        <w:rPr>
          <w:rFonts w:ascii="宋体" w:hAnsi="宋体" w:cs="宋体"/>
          <w:b/>
          <w:color w:val="auto"/>
          <w:szCs w:val="21"/>
        </w:rPr>
      </w:pPr>
      <w:r>
        <w:rPr>
          <w:rFonts w:hint="eastAsia" w:ascii="宋体" w:hAnsi="宋体" w:cs="宋体"/>
          <w:b/>
          <w:color w:val="auto"/>
          <w:szCs w:val="21"/>
        </w:rPr>
        <w:t>2.1响应文件</w:t>
      </w:r>
      <w:r>
        <w:rPr>
          <w:rFonts w:hint="eastAsia" w:ascii="宋体" w:hAnsi="宋体" w:cs="宋体"/>
          <w:b/>
          <w:bCs/>
          <w:color w:val="auto"/>
          <w:szCs w:val="21"/>
        </w:rPr>
        <w:t>按政府采购云平台</w:t>
      </w:r>
      <w:r>
        <w:rPr>
          <w:rFonts w:hint="eastAsia" w:ascii="宋体" w:hAnsi="宋体" w:cs="Arial"/>
          <w:b/>
          <w:bCs/>
          <w:color w:val="auto"/>
          <w:kern w:val="0"/>
          <w:szCs w:val="21"/>
        </w:rPr>
        <w:t>“供应商-政府采购项目电子交易操作指南”基本</w:t>
      </w:r>
      <w:r>
        <w:rPr>
          <w:rFonts w:hint="eastAsia" w:ascii="宋体" w:hAnsi="宋体" w:cs="宋体"/>
          <w:b/>
          <w:color w:val="auto"/>
          <w:szCs w:val="21"/>
        </w:rPr>
        <w:t>招标文件要求制作、加密并递交。</w:t>
      </w:r>
    </w:p>
    <w:p w14:paraId="795A8B64">
      <w:pPr>
        <w:pStyle w:val="8"/>
        <w:spacing w:line="360" w:lineRule="auto"/>
        <w:ind w:left="422" w:hanging="422"/>
        <w:rPr>
          <w:rFonts w:ascii="宋体" w:hAnsi="宋体" w:cs="宋体"/>
          <w:b/>
          <w:color w:val="auto"/>
          <w:sz w:val="21"/>
          <w:szCs w:val="21"/>
        </w:rPr>
      </w:pPr>
      <w:r>
        <w:rPr>
          <w:rFonts w:hint="eastAsia" w:ascii="宋体" w:hAnsi="宋体" w:cs="宋体"/>
          <w:b/>
          <w:color w:val="auto"/>
          <w:sz w:val="21"/>
          <w:szCs w:val="21"/>
        </w:rPr>
        <w:t>3.投标文件的组成</w:t>
      </w:r>
    </w:p>
    <w:p w14:paraId="15CCD26F">
      <w:pPr>
        <w:tabs>
          <w:tab w:val="left" w:pos="0"/>
          <w:tab w:val="left" w:pos="900"/>
          <w:tab w:val="left" w:pos="7020"/>
          <w:tab w:val="left" w:pos="8460"/>
        </w:tabs>
        <w:snapToGrid w:val="0"/>
        <w:spacing w:line="500" w:lineRule="exact"/>
        <w:ind w:firstLine="420" w:firstLineChars="200"/>
        <w:rPr>
          <w:rFonts w:ascii="宋体" w:hAnsi="宋体" w:cs="宋体"/>
          <w:color w:val="auto"/>
          <w:szCs w:val="21"/>
        </w:rPr>
      </w:pPr>
      <w:r>
        <w:rPr>
          <w:rFonts w:hint="eastAsia" w:ascii="宋体" w:hAnsi="宋体" w:cs="宋体"/>
          <w:color w:val="auto"/>
          <w:szCs w:val="21"/>
          <w:lang w:val="en-US" w:eastAsia="zh-CN"/>
        </w:rPr>
        <w:t>3</w:t>
      </w:r>
      <w:r>
        <w:rPr>
          <w:rFonts w:hint="eastAsia" w:ascii="宋体" w:hAnsi="宋体" w:cs="宋体"/>
          <w:color w:val="auto"/>
          <w:szCs w:val="21"/>
        </w:rPr>
        <w:t>.1投标文件由资格审查资料、</w:t>
      </w:r>
      <w:r>
        <w:rPr>
          <w:rFonts w:hint="eastAsia" w:ascii="宋体" w:hAnsi="宋体" w:cs="宋体"/>
          <w:color w:val="auto"/>
          <w:szCs w:val="21"/>
          <w:lang w:eastAsia="zh-CN"/>
        </w:rPr>
        <w:t>商务技术文件</w:t>
      </w:r>
      <w:r>
        <w:rPr>
          <w:rFonts w:hint="eastAsia" w:ascii="宋体" w:hAnsi="宋体" w:cs="宋体"/>
          <w:color w:val="auto"/>
          <w:szCs w:val="21"/>
        </w:rPr>
        <w:t>、报价文件三部分组成。</w:t>
      </w:r>
      <w:r>
        <w:rPr>
          <w:rFonts w:hint="eastAsia" w:ascii="宋体" w:hAnsi="宋体" w:cs="宋体"/>
          <w:b/>
          <w:color w:val="auto"/>
          <w:szCs w:val="21"/>
        </w:rPr>
        <w:t>响应文件中所须加盖公章部分均采用CA签章。</w:t>
      </w:r>
    </w:p>
    <w:p w14:paraId="026E1E14">
      <w:pPr>
        <w:pStyle w:val="8"/>
        <w:numPr>
          <w:ilvl w:val="0"/>
          <w:numId w:val="4"/>
        </w:numPr>
        <w:spacing w:line="440" w:lineRule="exact"/>
        <w:ind w:left="422" w:hanging="422"/>
        <w:rPr>
          <w:rFonts w:ascii="宋体" w:hAnsi="宋体" w:cs="宋体"/>
          <w:b/>
          <w:bCs/>
          <w:color w:val="auto"/>
          <w:sz w:val="21"/>
          <w:szCs w:val="21"/>
        </w:rPr>
      </w:pPr>
      <w:r>
        <w:rPr>
          <w:rFonts w:hint="eastAsia" w:ascii="宋体" w:hAnsi="宋体" w:cs="宋体"/>
          <w:b/>
          <w:bCs/>
          <w:color w:val="auto"/>
          <w:sz w:val="21"/>
          <w:szCs w:val="21"/>
        </w:rPr>
        <w:t>资格审查资料的组成：</w:t>
      </w:r>
    </w:p>
    <w:p w14:paraId="1B54E03F">
      <w:pPr>
        <w:tabs>
          <w:tab w:val="left" w:pos="720"/>
          <w:tab w:val="left" w:pos="5355"/>
        </w:tabs>
        <w:spacing w:line="440" w:lineRule="exact"/>
        <w:ind w:left="420" w:leftChars="200"/>
        <w:rPr>
          <w:rFonts w:ascii="宋体" w:hAnsi="宋体" w:cs="宋体"/>
          <w:color w:val="auto"/>
          <w:szCs w:val="21"/>
        </w:rPr>
      </w:pPr>
      <w:r>
        <w:rPr>
          <w:rFonts w:hint="eastAsia" w:ascii="宋体" w:hAnsi="宋体" w:cs="宋体"/>
          <w:color w:val="auto"/>
          <w:szCs w:val="21"/>
        </w:rPr>
        <w:t>1）有效期内的营业执照扫描件；</w:t>
      </w:r>
    </w:p>
    <w:p w14:paraId="47E041F1">
      <w:pPr>
        <w:tabs>
          <w:tab w:val="left" w:pos="720"/>
          <w:tab w:val="left" w:pos="5355"/>
        </w:tabs>
        <w:spacing w:line="440" w:lineRule="exact"/>
        <w:ind w:firstLine="420" w:firstLineChars="200"/>
        <w:rPr>
          <w:rFonts w:ascii="宋体" w:hAnsi="宋体" w:cs="宋体"/>
          <w:color w:val="auto"/>
          <w:szCs w:val="21"/>
        </w:rPr>
      </w:pPr>
      <w:r>
        <w:rPr>
          <w:rFonts w:hint="eastAsia" w:ascii="宋体" w:hAnsi="宋体" w:cs="宋体"/>
          <w:color w:val="auto"/>
          <w:szCs w:val="21"/>
        </w:rPr>
        <w:t>2）</w:t>
      </w:r>
      <w:r>
        <w:rPr>
          <w:rFonts w:hint="eastAsia"/>
          <w:spacing w:val="-3"/>
        </w:rPr>
        <w:t>供应商代表为</w:t>
      </w:r>
      <w:r>
        <w:rPr>
          <w:spacing w:val="-3"/>
        </w:rPr>
        <w:t>法定代表人</w:t>
      </w:r>
      <w:r>
        <w:rPr>
          <w:rFonts w:hint="eastAsia"/>
          <w:spacing w:val="-3"/>
        </w:rPr>
        <w:t>时</w:t>
      </w:r>
      <w:r>
        <w:rPr>
          <w:spacing w:val="-3"/>
        </w:rPr>
        <w:t>提供</w:t>
      </w:r>
      <w:r>
        <w:rPr>
          <w:spacing w:val="-4"/>
        </w:rPr>
        <w:t>法定代表人身份证明</w:t>
      </w:r>
      <w:r>
        <w:rPr>
          <w:rFonts w:hint="eastAsia" w:ascii="宋体" w:hAnsi="宋体" w:cs="宋体"/>
          <w:szCs w:val="21"/>
        </w:rPr>
        <w:t>【格式见附件1-1】；</w:t>
      </w:r>
      <w:r>
        <w:rPr>
          <w:rFonts w:hint="eastAsia"/>
          <w:spacing w:val="-3"/>
        </w:rPr>
        <w:t>供应商代表为授权委托人时</w:t>
      </w:r>
      <w:r>
        <w:rPr>
          <w:spacing w:val="-3"/>
        </w:rPr>
        <w:t>提供</w:t>
      </w:r>
      <w:r>
        <w:rPr>
          <w:spacing w:val="-4"/>
        </w:rPr>
        <w:t>法定代表人身份证明</w:t>
      </w:r>
      <w:r>
        <w:rPr>
          <w:rFonts w:hint="eastAsia" w:ascii="宋体" w:hAnsi="宋体" w:cs="宋体"/>
          <w:szCs w:val="21"/>
        </w:rPr>
        <w:t>【格式见附件1-1】和</w:t>
      </w:r>
      <w:r>
        <w:rPr>
          <w:spacing w:val="-5"/>
        </w:rPr>
        <w:t>法定代表人授权委托书</w:t>
      </w:r>
      <w:r>
        <w:rPr>
          <w:rFonts w:hint="eastAsia" w:ascii="宋体" w:hAnsi="宋体" w:cs="宋体"/>
          <w:szCs w:val="21"/>
        </w:rPr>
        <w:t>【格式见附件1-2】；</w:t>
      </w:r>
    </w:p>
    <w:p w14:paraId="3CD2C0F7">
      <w:pPr>
        <w:tabs>
          <w:tab w:val="left" w:pos="720"/>
          <w:tab w:val="left" w:pos="5355"/>
        </w:tabs>
        <w:spacing w:line="360" w:lineRule="auto"/>
        <w:ind w:firstLine="420" w:firstLineChars="200"/>
        <w:rPr>
          <w:rFonts w:hint="eastAsia" w:ascii="宋体" w:hAnsi="宋体" w:cs="宋体"/>
          <w:color w:val="auto"/>
          <w:szCs w:val="21"/>
        </w:rPr>
      </w:pPr>
      <w:r>
        <w:rPr>
          <w:rFonts w:hint="eastAsia" w:ascii="宋体" w:hAnsi="宋体" w:cs="宋体"/>
          <w:color w:val="auto"/>
          <w:szCs w:val="21"/>
        </w:rPr>
        <w:t>3）满足《中华人民共和国政府采购法》第二十二条规定的承诺函【格式见附件】；</w:t>
      </w:r>
    </w:p>
    <w:p w14:paraId="38E9910F">
      <w:pPr>
        <w:pStyle w:val="9"/>
        <w:spacing w:before="0" w:line="360" w:lineRule="auto"/>
        <w:ind w:firstLine="420" w:firstLineChars="200"/>
        <w:rPr>
          <w:rFonts w:hint="eastAsia" w:ascii="宋体" w:hAnsi="宋体" w:cs="宋体"/>
          <w:color w:val="auto"/>
          <w:szCs w:val="21"/>
        </w:rPr>
      </w:pPr>
      <w:r>
        <w:rPr>
          <w:rFonts w:hint="eastAsia" w:ascii="宋体" w:hAnsi="宋体" w:eastAsia="宋体" w:cs="宋体"/>
          <w:b w:val="0"/>
          <w:bCs w:val="0"/>
          <w:color w:val="auto"/>
          <w:kern w:val="2"/>
          <w:sz w:val="21"/>
          <w:highlight w:val="cyan"/>
          <w:lang w:val="en-US" w:eastAsia="zh-CN"/>
        </w:rPr>
        <w:t>4</w:t>
      </w:r>
      <w:r>
        <w:rPr>
          <w:rFonts w:hint="eastAsia" w:ascii="宋体" w:hAnsi="宋体" w:eastAsia="宋体" w:cs="宋体"/>
          <w:b w:val="0"/>
          <w:bCs w:val="0"/>
          <w:color w:val="auto"/>
          <w:kern w:val="2"/>
          <w:sz w:val="21"/>
          <w:highlight w:val="cyan"/>
        </w:rPr>
        <w:t>）承诺函【格式见附件</w:t>
      </w:r>
      <w:r>
        <w:rPr>
          <w:rFonts w:hint="eastAsia" w:ascii="宋体" w:hAnsi="宋体" w:eastAsia="宋体" w:cs="宋体"/>
          <w:b w:val="0"/>
          <w:bCs w:val="0"/>
          <w:color w:val="auto"/>
          <w:kern w:val="2"/>
          <w:sz w:val="21"/>
          <w:highlight w:val="cyan"/>
          <w:lang w:val="en-US" w:eastAsia="zh-CN"/>
        </w:rPr>
        <w:t>3</w:t>
      </w:r>
      <w:r>
        <w:rPr>
          <w:rFonts w:hint="eastAsia" w:ascii="宋体" w:hAnsi="宋体" w:eastAsia="宋体" w:cs="宋体"/>
          <w:b w:val="0"/>
          <w:bCs w:val="0"/>
          <w:color w:val="auto"/>
          <w:kern w:val="2"/>
          <w:sz w:val="21"/>
          <w:highlight w:val="cyan"/>
        </w:rPr>
        <w:t>】</w:t>
      </w:r>
      <w:r>
        <w:rPr>
          <w:rFonts w:hint="eastAsia" w:ascii="宋体" w:hAnsi="宋体" w:eastAsia="宋体" w:cs="宋体"/>
          <w:b w:val="0"/>
          <w:bCs w:val="0"/>
          <w:color w:val="auto"/>
          <w:kern w:val="2"/>
          <w:sz w:val="21"/>
          <w:highlight w:val="cyan"/>
          <w:lang w:eastAsia="zh-CN"/>
        </w:rPr>
        <w:t>（</w:t>
      </w:r>
      <w:r>
        <w:rPr>
          <w:rFonts w:hint="eastAsia" w:ascii="宋体" w:hAnsi="宋体" w:eastAsia="宋体" w:cs="宋体"/>
          <w:b w:val="0"/>
          <w:bCs w:val="0"/>
          <w:color w:val="auto"/>
          <w:kern w:val="2"/>
          <w:sz w:val="21"/>
          <w:highlight w:val="cyan"/>
          <w:lang w:val="en-US" w:eastAsia="zh-CN"/>
        </w:rPr>
        <w:t>此项为废标项，请各投标人注意</w:t>
      </w:r>
      <w:r>
        <w:rPr>
          <w:rFonts w:hint="eastAsia" w:ascii="宋体" w:hAnsi="宋体" w:eastAsia="宋体" w:cs="宋体"/>
          <w:b w:val="0"/>
          <w:bCs w:val="0"/>
          <w:color w:val="auto"/>
          <w:kern w:val="2"/>
          <w:sz w:val="21"/>
          <w:highlight w:val="cyan"/>
          <w:lang w:eastAsia="zh-CN"/>
        </w:rPr>
        <w:t>）</w:t>
      </w:r>
      <w:r>
        <w:rPr>
          <w:rFonts w:hint="eastAsia" w:ascii="宋体" w:hAnsi="宋体" w:eastAsia="宋体" w:cs="宋体"/>
          <w:b w:val="0"/>
          <w:bCs w:val="0"/>
          <w:color w:val="auto"/>
          <w:kern w:val="2"/>
          <w:sz w:val="21"/>
          <w:lang w:eastAsia="zh-CN"/>
        </w:rPr>
        <w:t>；</w:t>
      </w:r>
    </w:p>
    <w:p w14:paraId="22055D29">
      <w:pPr>
        <w:tabs>
          <w:tab w:val="left" w:pos="720"/>
          <w:tab w:val="left" w:pos="5355"/>
        </w:tabs>
        <w:spacing w:line="360" w:lineRule="auto"/>
        <w:ind w:firstLine="420" w:firstLineChars="200"/>
        <w:rPr>
          <w:rFonts w:hint="eastAsia" w:ascii="宋体" w:hAnsi="宋体" w:cs="宋体"/>
          <w:bCs/>
          <w:color w:val="auto"/>
          <w:szCs w:val="21"/>
        </w:rPr>
      </w:pPr>
      <w:r>
        <w:rPr>
          <w:rFonts w:hint="eastAsia" w:ascii="宋体" w:hAnsi="宋体" w:cs="宋体"/>
          <w:color w:val="auto"/>
          <w:szCs w:val="21"/>
          <w:lang w:val="en-US" w:eastAsia="zh-CN"/>
        </w:rPr>
        <w:t>5</w:t>
      </w:r>
      <w:r>
        <w:rPr>
          <w:rFonts w:hint="eastAsia" w:ascii="宋体" w:hAnsi="宋体" w:cs="宋体"/>
          <w:color w:val="auto"/>
          <w:szCs w:val="21"/>
        </w:rPr>
        <w:t>）</w:t>
      </w:r>
      <w:r>
        <w:rPr>
          <w:rFonts w:hint="eastAsia" w:ascii="宋体" w:hAnsi="宋体" w:cs="宋体"/>
          <w:bCs/>
          <w:color w:val="auto"/>
          <w:szCs w:val="21"/>
        </w:rPr>
        <w:t>落实政府采购政策需满足的资格要求：本项目专门面向中小企业采购，供应商应为中小微企业（监狱企业及残疾人福利性单位视同小型、微型企业）：</w:t>
      </w:r>
    </w:p>
    <w:p w14:paraId="703F4C17">
      <w:pPr>
        <w:tabs>
          <w:tab w:val="left" w:pos="720"/>
          <w:tab w:val="left" w:pos="5355"/>
        </w:tabs>
        <w:spacing w:line="360" w:lineRule="auto"/>
        <w:ind w:firstLine="420" w:firstLineChars="200"/>
        <w:rPr>
          <w:rFonts w:hint="eastAsia" w:ascii="宋体" w:hAnsi="宋体" w:cs="宋体"/>
          <w:bCs/>
          <w:color w:val="auto"/>
          <w:szCs w:val="21"/>
        </w:rPr>
      </w:pPr>
      <w:r>
        <w:rPr>
          <w:rFonts w:hint="eastAsia" w:ascii="宋体" w:hAnsi="宋体" w:cs="宋体"/>
          <w:bCs/>
          <w:color w:val="auto"/>
          <w:szCs w:val="21"/>
        </w:rPr>
        <w:t>a.中小企业声明函</w:t>
      </w:r>
      <w:r>
        <w:rPr>
          <w:rFonts w:hint="eastAsia" w:ascii="宋体" w:hAnsi="宋体" w:cs="宋体"/>
          <w:color w:val="auto"/>
          <w:szCs w:val="21"/>
        </w:rPr>
        <w:t>【格式见附件】</w:t>
      </w:r>
      <w:r>
        <w:rPr>
          <w:rFonts w:hint="eastAsia" w:ascii="宋体" w:hAnsi="宋体" w:cs="宋体"/>
          <w:bCs/>
          <w:color w:val="auto"/>
          <w:szCs w:val="21"/>
        </w:rPr>
        <w:t>：</w:t>
      </w:r>
    </w:p>
    <w:p w14:paraId="1C8CA852">
      <w:pPr>
        <w:tabs>
          <w:tab w:val="left" w:pos="720"/>
          <w:tab w:val="left" w:pos="5355"/>
        </w:tabs>
        <w:spacing w:line="360" w:lineRule="auto"/>
        <w:ind w:firstLine="420" w:firstLineChars="200"/>
        <w:rPr>
          <w:rFonts w:hint="eastAsia" w:ascii="宋体" w:hAnsi="宋体" w:cs="宋体"/>
          <w:bCs/>
          <w:color w:val="auto"/>
          <w:szCs w:val="21"/>
        </w:rPr>
      </w:pPr>
      <w:r>
        <w:rPr>
          <w:rFonts w:hint="eastAsia" w:ascii="宋体" w:hAnsi="宋体" w:cs="宋体"/>
          <w:bCs/>
          <w:color w:val="auto"/>
          <w:szCs w:val="21"/>
        </w:rPr>
        <w:t>或b.供应商为监狱企业的证明文件：省级以上监狱管理局、成毒管理局（含新疆生产建设兵团）出具：（如有）</w:t>
      </w:r>
    </w:p>
    <w:p w14:paraId="7079889D">
      <w:pPr>
        <w:pStyle w:val="26"/>
        <w:rPr>
          <w:rFonts w:hint="eastAsia" w:ascii="宋体" w:hAnsi="宋体" w:cs="宋体"/>
          <w:bCs/>
          <w:color w:val="auto"/>
          <w:szCs w:val="21"/>
        </w:rPr>
      </w:pPr>
      <w:r>
        <w:rPr>
          <w:rFonts w:hint="eastAsia" w:ascii="宋体" w:hAnsi="宋体" w:cs="宋体"/>
          <w:bCs/>
          <w:color w:val="auto"/>
          <w:szCs w:val="21"/>
        </w:rPr>
        <w:t>或c.供应商如符合《财政部、民政部、中国残疾人联合会关于促进残疾人就业政府采购政策的通知》</w:t>
      </w:r>
    </w:p>
    <w:p w14:paraId="29C18B25">
      <w:pPr>
        <w:tabs>
          <w:tab w:val="left" w:pos="720"/>
          <w:tab w:val="left" w:pos="5355"/>
        </w:tabs>
        <w:spacing w:line="360" w:lineRule="auto"/>
        <w:ind w:firstLine="420" w:firstLineChars="200"/>
        <w:rPr>
          <w:rFonts w:hint="eastAsia" w:ascii="宋体" w:hAnsi="宋体" w:cs="宋体"/>
          <w:b/>
          <w:bCs/>
          <w:color w:val="auto"/>
          <w:szCs w:val="21"/>
          <w:highlight w:val="cyan"/>
        </w:rPr>
      </w:pPr>
      <w:r>
        <w:rPr>
          <w:rFonts w:hint="eastAsia" w:ascii="宋体" w:hAnsi="宋体" w:cs="宋体"/>
          <w:bCs/>
          <w:color w:val="auto"/>
          <w:szCs w:val="21"/>
        </w:rPr>
        <w:t>（财库（2017)141号）政策规定的，须提供《残疾人福利性单位声明函》</w:t>
      </w:r>
      <w:r>
        <w:rPr>
          <w:rFonts w:hint="eastAsia" w:ascii="宋体" w:hAnsi="宋体" w:cs="宋体"/>
          <w:color w:val="auto"/>
          <w:szCs w:val="21"/>
        </w:rPr>
        <w:t>【格式见附件】</w:t>
      </w:r>
      <w:r>
        <w:rPr>
          <w:rFonts w:hint="eastAsia" w:ascii="宋体" w:hAnsi="宋体" w:cs="宋体"/>
          <w:bCs/>
          <w:color w:val="auto"/>
          <w:szCs w:val="21"/>
        </w:rPr>
        <w:t>。（如有）</w:t>
      </w:r>
    </w:p>
    <w:p w14:paraId="3DBE09A7">
      <w:pPr>
        <w:tabs>
          <w:tab w:val="left" w:pos="720"/>
          <w:tab w:val="left" w:pos="5355"/>
        </w:tabs>
        <w:spacing w:line="360" w:lineRule="auto"/>
        <w:ind w:firstLine="422" w:firstLineChars="200"/>
        <w:rPr>
          <w:rFonts w:ascii="宋体" w:hAnsi="宋体" w:cs="宋体"/>
          <w:b/>
          <w:bCs/>
          <w:color w:val="auto"/>
          <w:szCs w:val="21"/>
        </w:rPr>
      </w:pPr>
      <w:r>
        <w:rPr>
          <w:rFonts w:hint="eastAsia" w:ascii="宋体" w:hAnsi="宋体" w:cs="宋体"/>
          <w:b/>
          <w:bCs/>
          <w:color w:val="auto"/>
          <w:szCs w:val="21"/>
          <w:highlight w:val="cyan"/>
        </w:rPr>
        <w:t>注：资格审查资料应包含以上所有内容，投标人的提供资格审查资料不完整或不符合招标文件要求的，则资格审查不予通过。</w:t>
      </w:r>
    </w:p>
    <w:p w14:paraId="1EA51378">
      <w:pPr>
        <w:pStyle w:val="8"/>
        <w:spacing w:line="360" w:lineRule="auto"/>
        <w:ind w:left="422" w:hanging="422"/>
        <w:rPr>
          <w:rFonts w:ascii="宋体" w:hAnsi="宋体" w:cs="宋体"/>
          <w:b/>
          <w:bCs/>
          <w:color w:val="auto"/>
          <w:sz w:val="21"/>
          <w:szCs w:val="21"/>
        </w:rPr>
      </w:pPr>
      <w:r>
        <w:rPr>
          <w:rFonts w:hint="eastAsia" w:ascii="宋体" w:hAnsi="宋体" w:cs="宋体"/>
          <w:b/>
          <w:bCs/>
          <w:color w:val="auto"/>
          <w:sz w:val="21"/>
          <w:szCs w:val="21"/>
        </w:rPr>
        <w:t xml:space="preserve">    2.</w:t>
      </w:r>
      <w:r>
        <w:rPr>
          <w:rFonts w:hint="eastAsia" w:ascii="宋体" w:hAnsi="宋体" w:cs="宋体"/>
          <w:b/>
          <w:bCs/>
          <w:color w:val="auto"/>
          <w:sz w:val="21"/>
          <w:szCs w:val="21"/>
          <w:lang w:eastAsia="zh-CN"/>
        </w:rPr>
        <w:t>商务技术文件</w:t>
      </w:r>
      <w:r>
        <w:rPr>
          <w:rFonts w:hint="eastAsia" w:ascii="宋体" w:hAnsi="宋体" w:cs="宋体"/>
          <w:b/>
          <w:bCs/>
          <w:color w:val="auto"/>
          <w:sz w:val="21"/>
          <w:szCs w:val="21"/>
        </w:rPr>
        <w:t>（请附“供应商自评表”【格式见附件】，以便评审）：</w:t>
      </w:r>
    </w:p>
    <w:p w14:paraId="33EDA4EC">
      <w:pPr>
        <w:pStyle w:val="8"/>
        <w:spacing w:line="360" w:lineRule="auto"/>
        <w:ind w:left="422" w:hanging="422"/>
        <w:rPr>
          <w:rFonts w:ascii="宋体" w:hAnsi="宋体" w:cs="宋体"/>
          <w:color w:val="auto"/>
          <w:szCs w:val="21"/>
        </w:rPr>
      </w:pPr>
      <w:r>
        <w:rPr>
          <w:rFonts w:hint="eastAsia" w:ascii="宋体" w:hAnsi="宋体" w:cs="宋体"/>
          <w:b/>
          <w:color w:val="auto"/>
          <w:sz w:val="21"/>
          <w:szCs w:val="21"/>
        </w:rPr>
        <w:t xml:space="preserve">    （1）</w:t>
      </w:r>
      <w:r>
        <w:rPr>
          <w:rFonts w:hint="eastAsia" w:ascii="宋体" w:hAnsi="宋体" w:cs="宋体"/>
          <w:b/>
          <w:color w:val="auto"/>
          <w:sz w:val="21"/>
          <w:szCs w:val="21"/>
          <w:lang w:val="en-US" w:eastAsia="zh-CN"/>
        </w:rPr>
        <w:t>商务</w:t>
      </w:r>
      <w:r>
        <w:rPr>
          <w:rFonts w:hint="eastAsia" w:ascii="宋体" w:hAnsi="宋体" w:cs="宋体"/>
          <w:b/>
          <w:color w:val="auto"/>
          <w:sz w:val="21"/>
          <w:szCs w:val="21"/>
        </w:rPr>
        <w:t>部分</w:t>
      </w:r>
    </w:p>
    <w:p w14:paraId="6A21235C">
      <w:pPr>
        <w:numPr>
          <w:ilvl w:val="0"/>
          <w:numId w:val="0"/>
        </w:numPr>
        <w:tabs>
          <w:tab w:val="left" w:pos="720"/>
          <w:tab w:val="left" w:pos="5355"/>
        </w:tabs>
        <w:spacing w:line="360" w:lineRule="auto"/>
        <w:ind w:leftChars="200"/>
        <w:rPr>
          <w:rFonts w:ascii="宋体" w:hAnsi="宋体" w:cs="宋体"/>
          <w:color w:val="auto"/>
          <w:szCs w:val="21"/>
        </w:rPr>
      </w:pPr>
      <w:r>
        <w:rPr>
          <w:rFonts w:hint="eastAsia" w:ascii="宋体" w:hAnsi="宋体" w:cs="宋体"/>
          <w:color w:val="auto"/>
          <w:szCs w:val="21"/>
        </w:rPr>
        <w:t>1）投标声明书【格式见附件】；</w:t>
      </w:r>
    </w:p>
    <w:p w14:paraId="490C1E4D">
      <w:pPr>
        <w:numPr>
          <w:ilvl w:val="0"/>
          <w:numId w:val="0"/>
        </w:numPr>
        <w:tabs>
          <w:tab w:val="left" w:pos="720"/>
          <w:tab w:val="left" w:pos="5355"/>
        </w:tabs>
        <w:spacing w:line="360" w:lineRule="auto"/>
        <w:ind w:leftChars="200"/>
        <w:rPr>
          <w:rFonts w:ascii="宋体" w:hAnsi="宋体" w:cs="宋体"/>
          <w:color w:val="auto"/>
          <w:szCs w:val="21"/>
        </w:rPr>
      </w:pPr>
      <w:r>
        <w:rPr>
          <w:rFonts w:hint="eastAsia" w:ascii="宋体" w:hAnsi="宋体" w:cs="宋体"/>
          <w:color w:val="auto"/>
          <w:szCs w:val="21"/>
          <w:lang w:val="en-US" w:eastAsia="zh-CN"/>
        </w:rPr>
        <w:t>2</w:t>
      </w:r>
      <w:r>
        <w:rPr>
          <w:rFonts w:hint="eastAsia" w:ascii="宋体" w:hAnsi="宋体" w:cs="宋体"/>
          <w:color w:val="auto"/>
          <w:szCs w:val="21"/>
        </w:rPr>
        <w:t>）</w:t>
      </w:r>
      <w:r>
        <w:rPr>
          <w:color w:val="auto"/>
          <w:spacing w:val="-3"/>
        </w:rPr>
        <w:t>投标人基本情况表</w:t>
      </w:r>
      <w:r>
        <w:rPr>
          <w:rFonts w:hint="eastAsia" w:ascii="宋体" w:hAnsi="宋体" w:cs="宋体"/>
          <w:color w:val="auto"/>
          <w:szCs w:val="21"/>
        </w:rPr>
        <w:t>【格式见附件】；</w:t>
      </w:r>
    </w:p>
    <w:p w14:paraId="16EF6EC5">
      <w:pPr>
        <w:numPr>
          <w:ilvl w:val="0"/>
          <w:numId w:val="0"/>
        </w:numPr>
        <w:tabs>
          <w:tab w:val="left" w:pos="720"/>
          <w:tab w:val="left" w:pos="5355"/>
        </w:tabs>
        <w:spacing w:line="360" w:lineRule="auto"/>
        <w:ind w:leftChars="200"/>
        <w:rPr>
          <w:rFonts w:hint="eastAsia" w:ascii="宋体" w:hAnsi="宋体" w:cs="宋体"/>
          <w:color w:val="auto"/>
          <w:szCs w:val="21"/>
        </w:rPr>
      </w:pPr>
      <w:r>
        <w:rPr>
          <w:rFonts w:hint="eastAsia" w:ascii="宋体" w:hAnsi="宋体" w:cs="宋体"/>
          <w:color w:val="auto"/>
          <w:szCs w:val="21"/>
          <w:lang w:val="en-US" w:eastAsia="zh-CN"/>
        </w:rPr>
        <w:t>3</w:t>
      </w:r>
      <w:r>
        <w:rPr>
          <w:rFonts w:hint="eastAsia" w:ascii="宋体" w:hAnsi="宋体" w:cs="宋体"/>
          <w:color w:val="auto"/>
          <w:szCs w:val="21"/>
        </w:rPr>
        <w:t>）根据</w:t>
      </w:r>
      <w:r>
        <w:rPr>
          <w:rFonts w:hint="eastAsia" w:ascii="宋体" w:hAnsi="宋体" w:cs="宋体"/>
          <w:color w:val="auto"/>
          <w:szCs w:val="21"/>
          <w:lang w:val="en-US" w:eastAsia="zh-CN"/>
        </w:rPr>
        <w:t>商务</w:t>
      </w:r>
      <w:r>
        <w:rPr>
          <w:rFonts w:hint="eastAsia" w:ascii="宋体" w:hAnsi="宋体" w:cs="宋体"/>
          <w:color w:val="auto"/>
          <w:szCs w:val="21"/>
        </w:rPr>
        <w:t>评分细则进行编制；</w:t>
      </w:r>
    </w:p>
    <w:p w14:paraId="4FF01BDA">
      <w:pPr>
        <w:numPr>
          <w:ilvl w:val="0"/>
          <w:numId w:val="0"/>
        </w:numPr>
        <w:tabs>
          <w:tab w:val="left" w:pos="720"/>
          <w:tab w:val="left" w:pos="5355"/>
        </w:tabs>
        <w:spacing w:line="360" w:lineRule="auto"/>
        <w:ind w:leftChars="200"/>
        <w:rPr>
          <w:rFonts w:ascii="宋体" w:hAnsi="宋体" w:cs="宋体"/>
          <w:color w:val="auto"/>
          <w:szCs w:val="21"/>
        </w:rPr>
      </w:pPr>
      <w:r>
        <w:rPr>
          <w:rFonts w:hint="eastAsia" w:ascii="宋体" w:hAnsi="宋体" w:cs="宋体"/>
          <w:color w:val="auto"/>
          <w:szCs w:val="21"/>
          <w:lang w:val="en-US" w:eastAsia="zh-CN"/>
        </w:rPr>
        <w:t>4</w:t>
      </w:r>
      <w:r>
        <w:rPr>
          <w:rFonts w:hint="eastAsia" w:ascii="宋体" w:hAnsi="宋体" w:cs="宋体"/>
          <w:color w:val="auto"/>
          <w:szCs w:val="21"/>
        </w:rPr>
        <w:t>）投标人认为有必要提供的其他文件和说明（格式自拟）。</w:t>
      </w:r>
    </w:p>
    <w:p w14:paraId="13F2473F">
      <w:pPr>
        <w:pStyle w:val="8"/>
        <w:spacing w:line="360" w:lineRule="auto"/>
        <w:ind w:left="422" w:hanging="422"/>
        <w:rPr>
          <w:rFonts w:ascii="宋体" w:hAnsi="宋体" w:cs="宋体"/>
          <w:b/>
          <w:color w:val="auto"/>
          <w:sz w:val="21"/>
          <w:szCs w:val="21"/>
        </w:rPr>
      </w:pPr>
      <w:r>
        <w:rPr>
          <w:rFonts w:hint="eastAsia" w:ascii="宋体" w:hAnsi="宋体" w:cs="宋体"/>
          <w:b/>
          <w:color w:val="auto"/>
          <w:sz w:val="21"/>
          <w:szCs w:val="21"/>
        </w:rPr>
        <w:t xml:space="preserve">    （2）技术部分</w:t>
      </w:r>
    </w:p>
    <w:p w14:paraId="7E5D32BE">
      <w:pPr>
        <w:numPr>
          <w:ilvl w:val="0"/>
          <w:numId w:val="0"/>
        </w:numPr>
        <w:tabs>
          <w:tab w:val="left" w:pos="720"/>
          <w:tab w:val="left" w:pos="5355"/>
        </w:tabs>
        <w:spacing w:line="360" w:lineRule="auto"/>
        <w:ind w:left="400" w:leftChars="0"/>
        <w:rPr>
          <w:rFonts w:ascii="宋体" w:hAnsi="宋体" w:cs="宋体"/>
          <w:color w:val="auto"/>
          <w:szCs w:val="21"/>
        </w:rPr>
      </w:pPr>
      <w:r>
        <w:rPr>
          <w:rFonts w:hint="eastAsia" w:ascii="宋体" w:hAnsi="宋体" w:cs="宋体"/>
          <w:color w:val="auto"/>
          <w:szCs w:val="21"/>
        </w:rPr>
        <w:t>1）偏离表【格式见附件】；</w:t>
      </w:r>
    </w:p>
    <w:p w14:paraId="69E822D1">
      <w:pPr>
        <w:numPr>
          <w:ilvl w:val="0"/>
          <w:numId w:val="0"/>
        </w:numPr>
        <w:tabs>
          <w:tab w:val="left" w:pos="720"/>
          <w:tab w:val="left" w:pos="5355"/>
        </w:tabs>
        <w:spacing w:line="360" w:lineRule="auto"/>
        <w:ind w:left="400" w:leftChars="0"/>
        <w:rPr>
          <w:rFonts w:hint="eastAsia" w:ascii="宋体" w:hAnsi="宋体" w:cs="宋体"/>
          <w:color w:val="auto"/>
          <w:szCs w:val="21"/>
        </w:rPr>
      </w:pPr>
      <w:r>
        <w:rPr>
          <w:rFonts w:hint="eastAsia" w:ascii="宋体" w:hAnsi="宋体" w:cs="宋体"/>
          <w:color w:val="auto"/>
          <w:szCs w:val="21"/>
          <w:lang w:val="en-US" w:eastAsia="zh-CN"/>
        </w:rPr>
        <w:t>2</w:t>
      </w:r>
      <w:r>
        <w:rPr>
          <w:rFonts w:hint="eastAsia" w:ascii="宋体" w:hAnsi="宋体" w:cs="宋体"/>
          <w:color w:val="auto"/>
          <w:szCs w:val="21"/>
        </w:rPr>
        <w:t>）根据</w:t>
      </w:r>
      <w:r>
        <w:rPr>
          <w:rFonts w:hint="eastAsia" w:ascii="宋体" w:hAnsi="宋体" w:cs="宋体"/>
          <w:color w:val="auto"/>
          <w:szCs w:val="21"/>
          <w:lang w:val="en-US" w:eastAsia="zh-CN"/>
        </w:rPr>
        <w:t>技术</w:t>
      </w:r>
      <w:r>
        <w:rPr>
          <w:rFonts w:hint="eastAsia" w:ascii="宋体" w:hAnsi="宋体" w:cs="宋体"/>
          <w:color w:val="auto"/>
          <w:szCs w:val="21"/>
        </w:rPr>
        <w:t>评分细则进行编制；</w:t>
      </w:r>
    </w:p>
    <w:p w14:paraId="14AFE667">
      <w:pPr>
        <w:pStyle w:val="26"/>
        <w:numPr>
          <w:ilvl w:val="0"/>
          <w:numId w:val="0"/>
        </w:numPr>
        <w:spacing w:after="0" w:line="360" w:lineRule="auto"/>
        <w:ind w:left="420" w:leftChars="0"/>
        <w:rPr>
          <w:rFonts w:ascii="宋体" w:hAnsi="宋体"/>
          <w:color w:val="auto"/>
        </w:rPr>
      </w:pPr>
      <w:r>
        <w:rPr>
          <w:rFonts w:hint="eastAsia" w:ascii="宋体" w:hAnsi="宋体" w:cs="宋体"/>
          <w:color w:val="auto"/>
          <w:szCs w:val="21"/>
          <w:lang w:val="en-US" w:eastAsia="zh-CN"/>
        </w:rPr>
        <w:t>3</w:t>
      </w:r>
      <w:r>
        <w:rPr>
          <w:rFonts w:hint="eastAsia" w:ascii="宋体" w:hAnsi="宋体" w:cs="宋体"/>
          <w:color w:val="auto"/>
          <w:szCs w:val="21"/>
        </w:rPr>
        <w:t>）</w:t>
      </w:r>
      <w:r>
        <w:rPr>
          <w:rFonts w:hint="eastAsia" w:ascii="宋体" w:hAnsi="宋体"/>
          <w:color w:val="auto"/>
        </w:rPr>
        <w:t>投标人认为有必要提供的其他文件和说明（格式自拟）。</w:t>
      </w:r>
    </w:p>
    <w:p w14:paraId="433DBB12">
      <w:pPr>
        <w:tabs>
          <w:tab w:val="left" w:pos="720"/>
          <w:tab w:val="left" w:pos="5355"/>
        </w:tabs>
        <w:spacing w:line="360" w:lineRule="auto"/>
        <w:ind w:firstLine="422" w:firstLineChars="200"/>
        <w:rPr>
          <w:rFonts w:ascii="宋体" w:hAnsi="宋体" w:cs="宋体"/>
          <w:b/>
          <w:color w:val="auto"/>
          <w:szCs w:val="21"/>
        </w:rPr>
      </w:pPr>
      <w:r>
        <w:rPr>
          <w:rFonts w:hint="eastAsia" w:ascii="宋体" w:hAnsi="宋体" w:cs="宋体"/>
          <w:b/>
          <w:color w:val="auto"/>
          <w:szCs w:val="21"/>
        </w:rPr>
        <w:t>3.报价文件：</w:t>
      </w:r>
    </w:p>
    <w:p w14:paraId="30A7D4F2">
      <w:pPr>
        <w:tabs>
          <w:tab w:val="left" w:pos="720"/>
          <w:tab w:val="left" w:pos="5355"/>
        </w:tabs>
        <w:spacing w:line="360" w:lineRule="auto"/>
        <w:ind w:firstLine="420" w:firstLineChars="200"/>
        <w:rPr>
          <w:rFonts w:ascii="仿宋" w:hAnsi="仿宋" w:cs="仿宋"/>
          <w:b/>
          <w:bCs/>
          <w:color w:val="auto"/>
          <w:highlight w:val="cyan"/>
        </w:rPr>
      </w:pPr>
      <w:r>
        <w:rPr>
          <w:rFonts w:hint="eastAsia" w:ascii="宋体" w:hAnsi="宋体" w:cs="宋体"/>
          <w:color w:val="auto"/>
          <w:szCs w:val="21"/>
        </w:rPr>
        <w:t>1）开标一览表；</w:t>
      </w:r>
      <w:r>
        <w:rPr>
          <w:rFonts w:hint="eastAsia" w:ascii="仿宋" w:hAnsi="仿宋" w:cs="仿宋"/>
          <w:b/>
          <w:bCs/>
          <w:color w:val="auto"/>
          <w:highlight w:val="cyan"/>
        </w:rPr>
        <w:t>（根据系统要求在线填写。）</w:t>
      </w:r>
    </w:p>
    <w:p w14:paraId="4F72885A">
      <w:pPr>
        <w:pStyle w:val="25"/>
        <w:spacing w:after="0"/>
        <w:ind w:firstLineChars="200"/>
        <w:rPr>
          <w:rFonts w:ascii="宋体" w:hAnsi="宋体" w:cs="宋体"/>
          <w:color w:val="auto"/>
          <w:sz w:val="21"/>
          <w:szCs w:val="21"/>
        </w:rPr>
      </w:pPr>
      <w:r>
        <w:rPr>
          <w:rFonts w:hint="eastAsia" w:ascii="宋体" w:hAnsi="宋体" w:cs="宋体"/>
          <w:color w:val="auto"/>
          <w:sz w:val="21"/>
          <w:szCs w:val="21"/>
        </w:rPr>
        <w:t>2）投标报价明细表（格式自拟）</w:t>
      </w:r>
    </w:p>
    <w:p w14:paraId="59981287">
      <w:pPr>
        <w:tabs>
          <w:tab w:val="left" w:pos="720"/>
          <w:tab w:val="left" w:pos="5355"/>
        </w:tabs>
        <w:spacing w:line="440" w:lineRule="exact"/>
        <w:ind w:firstLine="420" w:firstLineChars="200"/>
        <w:rPr>
          <w:rFonts w:ascii="宋体" w:hAnsi="宋体" w:cs="宋体"/>
          <w:color w:val="auto"/>
          <w:szCs w:val="21"/>
        </w:rPr>
      </w:pPr>
      <w:r>
        <w:rPr>
          <w:rFonts w:hint="eastAsia" w:ascii="宋体" w:hAnsi="宋体" w:cs="宋体"/>
          <w:color w:val="auto"/>
          <w:szCs w:val="21"/>
          <w:lang w:val="en-US" w:eastAsia="zh-CN"/>
        </w:rPr>
        <w:t>3</w:t>
      </w:r>
      <w:r>
        <w:rPr>
          <w:rFonts w:hint="eastAsia" w:ascii="宋体" w:hAnsi="宋体" w:cs="宋体"/>
          <w:color w:val="auto"/>
          <w:szCs w:val="21"/>
        </w:rPr>
        <w:t>）投标人针对报价需要说明的其他文件和资料（格式自拟）。</w:t>
      </w:r>
    </w:p>
    <w:p w14:paraId="5F3E209C">
      <w:pPr>
        <w:tabs>
          <w:tab w:val="left" w:pos="720"/>
          <w:tab w:val="left" w:pos="5355"/>
        </w:tabs>
        <w:spacing w:line="440" w:lineRule="exact"/>
        <w:rPr>
          <w:rFonts w:ascii="宋体" w:hAnsi="宋体" w:cs="宋体"/>
          <w:b/>
          <w:color w:val="auto"/>
          <w:szCs w:val="21"/>
        </w:rPr>
      </w:pPr>
      <w:r>
        <w:rPr>
          <w:rFonts w:hint="eastAsia" w:ascii="宋体" w:hAnsi="宋体" w:cs="宋体"/>
          <w:b/>
          <w:color w:val="auto"/>
          <w:szCs w:val="21"/>
        </w:rPr>
        <w:t>4.投标文件的编制格式及说明</w:t>
      </w:r>
    </w:p>
    <w:p w14:paraId="34FD79E8">
      <w:pPr>
        <w:pStyle w:val="8"/>
        <w:spacing w:line="360" w:lineRule="auto"/>
        <w:ind w:left="0" w:firstLine="420" w:firstLineChars="200"/>
        <w:rPr>
          <w:rFonts w:ascii="宋体" w:hAnsi="宋体" w:cs="宋体"/>
          <w:b/>
          <w:bCs/>
          <w:color w:val="auto"/>
          <w:sz w:val="21"/>
          <w:szCs w:val="21"/>
          <w:highlight w:val="yellow"/>
        </w:rPr>
      </w:pPr>
      <w:r>
        <w:rPr>
          <w:rFonts w:hint="eastAsia" w:ascii="宋体" w:hAnsi="宋体" w:cs="宋体"/>
          <w:color w:val="auto"/>
          <w:sz w:val="21"/>
          <w:szCs w:val="21"/>
        </w:rPr>
        <w:t>4.1投标文件应包括规定的内容，投标人提交的投标文件应当使用招标文件所提供的投标文件全部格式（格式可以按同样格式扩展）；未提供投标文件标准格式的，由投标人自行编写：</w:t>
      </w:r>
      <w:r>
        <w:rPr>
          <w:rFonts w:hint="eastAsia" w:ascii="宋体" w:hAnsi="宋体" w:cs="宋体"/>
          <w:b/>
          <w:bCs/>
          <w:color w:val="auto"/>
          <w:sz w:val="21"/>
          <w:szCs w:val="21"/>
        </w:rPr>
        <w:t>响应文件按政府采购云平台</w:t>
      </w:r>
      <w:r>
        <w:rPr>
          <w:rFonts w:hint="eastAsia" w:ascii="宋体" w:hAnsi="宋体" w:cs="Arial"/>
          <w:b/>
          <w:bCs/>
          <w:color w:val="auto"/>
          <w:kern w:val="0"/>
          <w:sz w:val="21"/>
          <w:szCs w:val="21"/>
        </w:rPr>
        <w:t>“供应商-政府采购项目电子交易操作指南”基本</w:t>
      </w:r>
      <w:r>
        <w:rPr>
          <w:rFonts w:hint="eastAsia" w:ascii="宋体" w:hAnsi="宋体" w:cs="宋体"/>
          <w:b/>
          <w:bCs/>
          <w:color w:val="auto"/>
          <w:sz w:val="21"/>
          <w:szCs w:val="21"/>
        </w:rPr>
        <w:t>招标文件要求制作、加密。</w:t>
      </w:r>
    </w:p>
    <w:p w14:paraId="76E80E07">
      <w:pPr>
        <w:pStyle w:val="8"/>
        <w:spacing w:line="360" w:lineRule="auto"/>
        <w:ind w:left="0" w:firstLine="420" w:firstLineChars="200"/>
        <w:rPr>
          <w:rFonts w:ascii="宋体" w:hAnsi="宋体" w:cs="宋体"/>
          <w:color w:val="auto"/>
          <w:sz w:val="21"/>
          <w:szCs w:val="21"/>
        </w:rPr>
      </w:pPr>
      <w:r>
        <w:rPr>
          <w:rFonts w:hint="eastAsia" w:ascii="宋体" w:hAnsi="宋体" w:cs="宋体"/>
          <w:color w:val="auto"/>
          <w:sz w:val="21"/>
          <w:szCs w:val="21"/>
        </w:rPr>
        <w:t>4.2投标文件的格式参照招标文件提供的表格格式；</w:t>
      </w:r>
    </w:p>
    <w:p w14:paraId="5952ED94">
      <w:pPr>
        <w:pStyle w:val="8"/>
        <w:spacing w:line="360" w:lineRule="auto"/>
        <w:ind w:left="0" w:firstLine="420" w:firstLineChars="200"/>
        <w:rPr>
          <w:rFonts w:ascii="宋体" w:hAnsi="宋体" w:cs="宋体"/>
          <w:color w:val="auto"/>
          <w:sz w:val="21"/>
          <w:szCs w:val="21"/>
        </w:rPr>
      </w:pPr>
      <w:r>
        <w:rPr>
          <w:rFonts w:hint="eastAsia" w:ascii="宋体" w:hAnsi="宋体" w:cs="宋体"/>
          <w:color w:val="auto"/>
          <w:sz w:val="21"/>
          <w:szCs w:val="21"/>
        </w:rPr>
        <w:t>4.3投标人应在认真阅读招标文件所有内容的基础上，按照招标文件的要求编制完整的投标文件，投标文件应按照招标文件中规定的统一格式填写，未按招标文件所提供的统一格式编写与漏写而导致投标文件被误读或查找不到有效文件是投标人的风险。</w:t>
      </w:r>
    </w:p>
    <w:p w14:paraId="4E2D40F0">
      <w:pPr>
        <w:pStyle w:val="8"/>
        <w:spacing w:line="360" w:lineRule="auto"/>
        <w:ind w:left="0" w:firstLine="420" w:firstLineChars="200"/>
        <w:rPr>
          <w:rFonts w:ascii="宋体" w:hAnsi="宋体" w:cs="宋体"/>
          <w:color w:val="auto"/>
          <w:sz w:val="21"/>
          <w:szCs w:val="21"/>
        </w:rPr>
      </w:pPr>
      <w:r>
        <w:rPr>
          <w:rFonts w:hint="eastAsia" w:ascii="宋体" w:hAnsi="宋体" w:cs="宋体"/>
          <w:color w:val="auto"/>
          <w:sz w:val="21"/>
          <w:szCs w:val="21"/>
        </w:rPr>
        <w:t>4.4投标人必须保证投标文件所提供的全部资料真实可靠，并接受对其中任何资料进一步审查的要求。</w:t>
      </w:r>
    </w:p>
    <w:p w14:paraId="13653F7C">
      <w:pPr>
        <w:pStyle w:val="8"/>
        <w:spacing w:line="360" w:lineRule="auto"/>
        <w:ind w:left="-420" w:leftChars="-200" w:firstLine="422" w:firstLineChars="200"/>
        <w:rPr>
          <w:rFonts w:ascii="宋体" w:hAnsi="宋体" w:cs="宋体"/>
          <w:color w:val="auto"/>
          <w:sz w:val="21"/>
          <w:szCs w:val="21"/>
        </w:rPr>
      </w:pPr>
      <w:r>
        <w:rPr>
          <w:rFonts w:hint="eastAsia" w:ascii="宋体" w:hAnsi="宋体" w:cs="宋体"/>
          <w:b/>
          <w:color w:val="auto"/>
          <w:sz w:val="21"/>
          <w:szCs w:val="21"/>
        </w:rPr>
        <w:t>5.投标报价</w:t>
      </w:r>
    </w:p>
    <w:p w14:paraId="685E4D4C">
      <w:pPr>
        <w:autoSpaceDE/>
        <w:autoSpaceDN/>
        <w:snapToGrid w:val="0"/>
        <w:spacing w:line="460" w:lineRule="exact"/>
        <w:ind w:firstLine="420" w:firstLineChars="200"/>
        <w:jc w:val="both"/>
        <w:textAlignment w:val="auto"/>
        <w:rPr>
          <w:rFonts w:hint="eastAsia" w:ascii="宋体" w:hAnsi="宋体" w:eastAsia="宋体" w:cs="宋体"/>
          <w:b/>
          <w:bCs/>
          <w:color w:val="auto"/>
          <w:sz w:val="21"/>
          <w:szCs w:val="21"/>
          <w:highlight w:val="cyan"/>
        </w:rPr>
      </w:pPr>
      <w:r>
        <w:rPr>
          <w:rFonts w:hint="eastAsia" w:ascii="宋体" w:hAnsi="宋体" w:cs="宋体"/>
          <w:color w:val="auto"/>
          <w:sz w:val="21"/>
          <w:szCs w:val="21"/>
        </w:rPr>
        <w:t xml:space="preserve">▲ </w:t>
      </w:r>
      <w:r>
        <w:rPr>
          <w:rFonts w:hint="eastAsia" w:ascii="宋体" w:hAnsi="宋体" w:cs="宋体"/>
          <w:b/>
          <w:bCs/>
          <w:color w:val="auto"/>
          <w:sz w:val="21"/>
          <w:szCs w:val="21"/>
        </w:rPr>
        <w:t>5.1</w:t>
      </w:r>
      <w:r>
        <w:rPr>
          <w:rFonts w:hint="eastAsia" w:ascii="宋体" w:hAnsi="宋体" w:eastAsia="宋体" w:cs="宋体"/>
          <w:b/>
          <w:bCs/>
          <w:color w:val="auto"/>
          <w:sz w:val="21"/>
          <w:szCs w:val="21"/>
          <w:highlight w:val="cyan"/>
        </w:rPr>
        <w:t>本项目</w:t>
      </w:r>
      <w:r>
        <w:rPr>
          <w:rFonts w:hint="eastAsia" w:ascii="宋体" w:hAnsi="宋体" w:eastAsia="宋体" w:cs="宋体"/>
          <w:b/>
          <w:bCs/>
          <w:color w:val="auto"/>
          <w:sz w:val="21"/>
          <w:szCs w:val="21"/>
          <w:highlight w:val="cyan"/>
          <w:lang w:val="en-US" w:eastAsia="zh-CN"/>
        </w:rPr>
        <w:t>采用单价报价，</w:t>
      </w:r>
      <w:r>
        <w:rPr>
          <w:rFonts w:hint="eastAsia" w:ascii="宋体" w:hAnsi="宋体" w:eastAsia="宋体" w:cs="宋体"/>
          <w:b/>
          <w:bCs/>
          <w:color w:val="auto"/>
          <w:sz w:val="21"/>
          <w:szCs w:val="21"/>
          <w:highlight w:val="cyan"/>
        </w:rPr>
        <w:t>设有最高限价单价：</w:t>
      </w:r>
      <w:r>
        <w:rPr>
          <w:rFonts w:hint="eastAsia" w:ascii="宋体" w:hAnsi="宋体" w:cs="宋体"/>
          <w:b/>
          <w:bCs/>
          <w:color w:val="auto"/>
          <w:sz w:val="21"/>
          <w:szCs w:val="21"/>
          <w:highlight w:val="cyan"/>
          <w:lang w:val="en-US" w:eastAsia="zh-CN"/>
        </w:rPr>
        <w:t>177.77</w:t>
      </w:r>
      <w:r>
        <w:rPr>
          <w:rFonts w:hint="eastAsia" w:ascii="宋体" w:hAnsi="宋体" w:eastAsia="宋体" w:cs="宋体"/>
          <w:b/>
          <w:bCs/>
          <w:color w:val="auto"/>
          <w:sz w:val="21"/>
          <w:szCs w:val="21"/>
          <w:highlight w:val="cyan"/>
        </w:rPr>
        <w:t>元/吨。投标</w:t>
      </w:r>
      <w:r>
        <w:rPr>
          <w:rFonts w:hint="eastAsia" w:ascii="宋体" w:hAnsi="宋体" w:eastAsia="宋体" w:cs="宋体"/>
          <w:b/>
          <w:bCs/>
          <w:color w:val="auto"/>
          <w:sz w:val="21"/>
          <w:szCs w:val="21"/>
          <w:highlight w:val="cyan"/>
          <w:lang w:val="en-US" w:eastAsia="zh-CN"/>
        </w:rPr>
        <w:t>报价</w:t>
      </w:r>
      <w:r>
        <w:rPr>
          <w:rFonts w:hint="eastAsia" w:ascii="宋体" w:hAnsi="宋体" w:eastAsia="宋体" w:cs="宋体"/>
          <w:b/>
          <w:bCs/>
          <w:color w:val="auto"/>
          <w:sz w:val="21"/>
          <w:szCs w:val="21"/>
          <w:highlight w:val="cyan"/>
        </w:rPr>
        <w:t>高于最高限价</w:t>
      </w:r>
      <w:r>
        <w:rPr>
          <w:rFonts w:hint="eastAsia" w:ascii="宋体" w:hAnsi="宋体" w:eastAsia="宋体" w:cs="宋体"/>
          <w:b/>
          <w:bCs/>
          <w:color w:val="auto"/>
          <w:sz w:val="21"/>
          <w:szCs w:val="21"/>
          <w:highlight w:val="cyan"/>
          <w:lang w:val="en-US" w:eastAsia="zh-CN"/>
        </w:rPr>
        <w:t>单价</w:t>
      </w:r>
      <w:r>
        <w:rPr>
          <w:rFonts w:hint="eastAsia" w:ascii="宋体" w:hAnsi="宋体" w:eastAsia="宋体" w:cs="宋体"/>
          <w:b/>
          <w:bCs/>
          <w:color w:val="auto"/>
          <w:sz w:val="21"/>
          <w:szCs w:val="21"/>
          <w:highlight w:val="cyan"/>
        </w:rPr>
        <w:t>的，作无效标处理。</w:t>
      </w:r>
    </w:p>
    <w:p w14:paraId="5DDD42F8">
      <w:pPr>
        <w:keepNext w:val="0"/>
        <w:keepLines w:val="0"/>
        <w:pageBreakBefore w:val="0"/>
        <w:kinsoku/>
        <w:wordWrap/>
        <w:overflowPunct/>
        <w:topLinePunct w:val="0"/>
        <w:autoSpaceDE/>
        <w:autoSpaceDN/>
        <w:bidi w:val="0"/>
        <w:adjustRightInd/>
        <w:spacing w:line="500" w:lineRule="exact"/>
        <w:ind w:firstLine="420" w:firstLineChars="200"/>
        <w:jc w:val="both"/>
        <w:rPr>
          <w:rFonts w:hint="eastAsia" w:ascii="宋体" w:hAnsi="宋体" w:cs="宋体"/>
          <w:b/>
          <w:bCs/>
          <w:color w:val="auto"/>
          <w:szCs w:val="21"/>
          <w:highlight w:val="cyan"/>
        </w:rPr>
      </w:pPr>
      <w:r>
        <w:rPr>
          <w:rFonts w:hint="eastAsia" w:ascii="宋体" w:hAnsi="宋体" w:cs="宋体"/>
          <w:color w:val="auto"/>
          <w:szCs w:val="21"/>
        </w:rPr>
        <w:t>本项目投标报价应包含第三章</w:t>
      </w:r>
      <w:r>
        <w:rPr>
          <w:rFonts w:hint="eastAsia" w:ascii="宋体" w:hAnsi="宋体" w:cs="宋体"/>
          <w:color w:val="auto"/>
          <w:szCs w:val="21"/>
          <w:lang w:val="en-US" w:eastAsia="zh-CN"/>
        </w:rPr>
        <w:t>采购</w:t>
      </w:r>
      <w:r>
        <w:rPr>
          <w:rFonts w:hint="eastAsia" w:ascii="宋体" w:hAnsi="宋体" w:cs="宋体"/>
          <w:color w:val="auto"/>
          <w:szCs w:val="21"/>
        </w:rPr>
        <w:t>内容及要求的所有内容。</w:t>
      </w:r>
      <w:r>
        <w:rPr>
          <w:rFonts w:hint="eastAsia" w:ascii="宋体" w:hAnsi="宋体" w:eastAsia="宋体" w:cs="宋体"/>
          <w:bCs/>
          <w:color w:val="auto"/>
          <w:sz w:val="21"/>
          <w:szCs w:val="21"/>
          <w:highlight w:val="none"/>
        </w:rPr>
        <w:t>包括</w:t>
      </w:r>
      <w:r>
        <w:rPr>
          <w:rFonts w:hint="eastAsia" w:ascii="宋体" w:hAnsi="宋体" w:cs="宋体"/>
          <w:bCs/>
          <w:color w:val="auto"/>
          <w:sz w:val="21"/>
          <w:szCs w:val="21"/>
          <w:highlight w:val="none"/>
          <w:lang w:eastAsia="zh-CN"/>
        </w:rPr>
        <w:t>但不限于</w:t>
      </w:r>
      <w:r>
        <w:rPr>
          <w:rFonts w:hint="eastAsia" w:ascii="宋体" w:hAnsi="宋体" w:eastAsia="宋体" w:cs="宋体"/>
          <w:color w:val="auto"/>
          <w:sz w:val="21"/>
          <w:szCs w:val="21"/>
          <w:highlight w:val="none"/>
        </w:rPr>
        <w:t>人工费、</w:t>
      </w:r>
      <w:r>
        <w:rPr>
          <w:rFonts w:hint="eastAsia" w:ascii="宋体" w:hAnsi="宋体" w:eastAsia="宋体" w:cs="宋体"/>
          <w:b w:val="0"/>
          <w:bCs w:val="0"/>
          <w:color w:val="auto"/>
          <w:sz w:val="21"/>
          <w:szCs w:val="21"/>
          <w:highlight w:val="none"/>
          <w:lang w:val="en-US" w:eastAsia="zh-CN"/>
        </w:rPr>
        <w:t>运费</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保险、贮存费、</w:t>
      </w:r>
      <w:r>
        <w:rPr>
          <w:rFonts w:hint="eastAsia" w:ascii="宋体" w:hAnsi="宋体" w:cs="宋体"/>
          <w:color w:val="auto"/>
          <w:sz w:val="21"/>
          <w:szCs w:val="21"/>
          <w:highlight w:val="none"/>
          <w:lang w:eastAsia="zh-CN"/>
        </w:rPr>
        <w:t>渗滤液</w:t>
      </w:r>
      <w:r>
        <w:rPr>
          <w:rFonts w:hint="eastAsia" w:ascii="宋体" w:hAnsi="宋体" w:eastAsia="宋体" w:cs="宋体"/>
          <w:color w:val="auto"/>
          <w:sz w:val="21"/>
          <w:szCs w:val="21"/>
          <w:highlight w:val="none"/>
        </w:rPr>
        <w:t>处置费、安全文明作业、环保、风险费、管理费、验收、辅助工作</w:t>
      </w:r>
      <w:r>
        <w:rPr>
          <w:rFonts w:hint="eastAsia" w:ascii="宋体" w:hAnsi="宋体" w:eastAsia="宋体" w:cs="宋体"/>
          <w:bCs/>
          <w:color w:val="auto"/>
          <w:sz w:val="21"/>
          <w:szCs w:val="21"/>
          <w:highlight w:val="none"/>
        </w:rPr>
        <w:t>、合理利润及税费等工作所发生的一切应有费用。投标人应参照国家的相应标准，结合自身综合实力、市场行情、本项目具体特点和技术要求自行报价。除政策性文件规定以外，投标人所报价格在合同实施期间不因市场变化因素而变动</w:t>
      </w:r>
      <w:r>
        <w:rPr>
          <w:rFonts w:hint="eastAsia" w:ascii="宋体" w:hAnsi="宋体" w:cs="宋体"/>
          <w:color w:val="auto"/>
          <w:szCs w:val="21"/>
        </w:rPr>
        <w:t>。</w:t>
      </w:r>
      <w:r>
        <w:rPr>
          <w:rFonts w:hint="eastAsia" w:ascii="宋体" w:hAnsi="宋体" w:cs="宋体"/>
          <w:b/>
          <w:bCs/>
          <w:color w:val="auto"/>
          <w:szCs w:val="21"/>
        </w:rPr>
        <w:t>投标人须充分考虑实际服务内容和需求，针对自身实际情况，核算所需的成本及合理的利润</w:t>
      </w:r>
      <w:r>
        <w:rPr>
          <w:rFonts w:hint="eastAsia" w:ascii="宋体" w:hAnsi="宋体" w:cs="宋体"/>
          <w:color w:val="auto"/>
          <w:szCs w:val="21"/>
        </w:rPr>
        <w:t>。</w:t>
      </w:r>
      <w:r>
        <w:rPr>
          <w:rFonts w:hint="eastAsia" w:ascii="宋体" w:hAnsi="宋体" w:cs="宋体"/>
          <w:b/>
          <w:bCs/>
          <w:color w:val="auto"/>
          <w:szCs w:val="21"/>
          <w:highlight w:val="cyan"/>
        </w:rPr>
        <w:t>结算按照实际</w:t>
      </w:r>
      <w:r>
        <w:rPr>
          <w:rFonts w:hint="eastAsia" w:ascii="宋体" w:hAnsi="宋体" w:cs="宋体"/>
          <w:b/>
          <w:bCs/>
          <w:color w:val="auto"/>
          <w:szCs w:val="21"/>
          <w:highlight w:val="cyan"/>
          <w:lang w:eastAsia="zh-CN"/>
        </w:rPr>
        <w:t>渗滤液</w:t>
      </w:r>
      <w:r>
        <w:rPr>
          <w:rFonts w:hint="eastAsia" w:ascii="宋体" w:hAnsi="宋体" w:cs="宋体"/>
          <w:b/>
          <w:bCs/>
          <w:color w:val="auto"/>
          <w:szCs w:val="21"/>
          <w:highlight w:val="cyan"/>
        </w:rPr>
        <w:t>处置数量乘以中标单价确定。项目实施过程中如</w:t>
      </w:r>
      <w:r>
        <w:rPr>
          <w:rFonts w:hint="eastAsia" w:ascii="宋体" w:hAnsi="宋体" w:cs="宋体"/>
          <w:b/>
          <w:bCs/>
          <w:color w:val="auto"/>
          <w:szCs w:val="21"/>
          <w:highlight w:val="cyan"/>
          <w:lang w:eastAsia="zh-CN"/>
        </w:rPr>
        <w:t>渗滤液</w:t>
      </w:r>
      <w:r>
        <w:rPr>
          <w:rFonts w:hint="eastAsia" w:ascii="宋体" w:hAnsi="宋体" w:cs="宋体"/>
          <w:b/>
          <w:bCs/>
          <w:color w:val="auto"/>
          <w:szCs w:val="21"/>
          <w:highlight w:val="cyan"/>
        </w:rPr>
        <w:t>处置数量超出，合同</w:t>
      </w:r>
      <w:r>
        <w:rPr>
          <w:rFonts w:hint="eastAsia" w:ascii="宋体" w:hAnsi="宋体" w:cs="宋体"/>
          <w:b/>
          <w:bCs/>
          <w:color w:val="auto"/>
          <w:szCs w:val="21"/>
          <w:highlight w:val="cyan"/>
          <w:lang w:eastAsia="zh-CN"/>
        </w:rPr>
        <w:t>结算价</w:t>
      </w:r>
      <w:r>
        <w:rPr>
          <w:rFonts w:hint="eastAsia" w:ascii="宋体" w:hAnsi="宋体" w:cs="宋体"/>
          <w:b/>
          <w:bCs/>
          <w:color w:val="auto"/>
          <w:szCs w:val="21"/>
          <w:highlight w:val="cyan"/>
        </w:rPr>
        <w:t>超出</w:t>
      </w:r>
      <w:r>
        <w:rPr>
          <w:rFonts w:hint="eastAsia" w:ascii="宋体" w:hAnsi="宋体" w:cs="宋体"/>
          <w:b/>
          <w:bCs/>
          <w:color w:val="auto"/>
          <w:szCs w:val="21"/>
          <w:highlight w:val="cyan"/>
          <w:lang w:eastAsia="zh-CN"/>
        </w:rPr>
        <w:t>中标总价（即中标单价</w:t>
      </w:r>
      <w:r>
        <w:rPr>
          <w:rFonts w:hint="eastAsia" w:ascii="宋体" w:hAnsi="宋体" w:cs="宋体"/>
          <w:b/>
          <w:bCs/>
          <w:color w:val="auto"/>
          <w:szCs w:val="21"/>
          <w:highlight w:val="cyan"/>
          <w:lang w:val="en-US" w:eastAsia="zh-CN"/>
        </w:rPr>
        <w:t>×4500吨</w:t>
      </w:r>
      <w:r>
        <w:rPr>
          <w:rFonts w:hint="eastAsia" w:ascii="宋体" w:hAnsi="宋体" w:cs="宋体"/>
          <w:b/>
          <w:bCs/>
          <w:color w:val="auto"/>
          <w:szCs w:val="21"/>
          <w:highlight w:val="cyan"/>
          <w:lang w:eastAsia="zh-CN"/>
        </w:rPr>
        <w:t>）</w:t>
      </w:r>
      <w:r>
        <w:rPr>
          <w:rFonts w:hint="eastAsia" w:ascii="宋体" w:hAnsi="宋体" w:cs="宋体"/>
          <w:b/>
          <w:bCs/>
          <w:color w:val="auto"/>
          <w:szCs w:val="21"/>
          <w:highlight w:val="cyan"/>
        </w:rPr>
        <w:t>但超出金额在</w:t>
      </w:r>
      <w:r>
        <w:rPr>
          <w:rFonts w:hint="eastAsia" w:ascii="宋体" w:hAnsi="宋体" w:cs="宋体"/>
          <w:b/>
          <w:bCs/>
          <w:color w:val="auto"/>
          <w:szCs w:val="21"/>
          <w:highlight w:val="cyan"/>
          <w:lang w:eastAsia="zh-CN"/>
        </w:rPr>
        <w:t>中标总价（即中标单价</w:t>
      </w:r>
      <w:r>
        <w:rPr>
          <w:rFonts w:hint="eastAsia" w:ascii="宋体" w:hAnsi="宋体" w:cs="宋体"/>
          <w:b/>
          <w:bCs/>
          <w:color w:val="auto"/>
          <w:szCs w:val="21"/>
          <w:highlight w:val="cyan"/>
          <w:lang w:val="en-US" w:eastAsia="zh-CN"/>
        </w:rPr>
        <w:t>×4500吨</w:t>
      </w:r>
      <w:r>
        <w:rPr>
          <w:rFonts w:hint="eastAsia" w:ascii="宋体" w:hAnsi="宋体" w:cs="宋体"/>
          <w:b/>
          <w:bCs/>
          <w:color w:val="auto"/>
          <w:szCs w:val="21"/>
          <w:highlight w:val="cyan"/>
          <w:lang w:eastAsia="zh-CN"/>
        </w:rPr>
        <w:t>）</w:t>
      </w:r>
      <w:r>
        <w:rPr>
          <w:rFonts w:hint="eastAsia" w:ascii="宋体" w:hAnsi="宋体" w:cs="宋体"/>
          <w:b/>
          <w:bCs/>
          <w:color w:val="auto"/>
          <w:szCs w:val="21"/>
          <w:highlight w:val="cyan"/>
        </w:rPr>
        <w:t>10%</w:t>
      </w:r>
      <w:r>
        <w:rPr>
          <w:rFonts w:hint="eastAsia" w:ascii="宋体" w:hAnsi="宋体" w:cs="宋体"/>
          <w:b/>
          <w:bCs/>
          <w:color w:val="auto"/>
          <w:szCs w:val="21"/>
          <w:highlight w:val="cyan"/>
          <w:lang w:eastAsia="zh-CN"/>
        </w:rPr>
        <w:t>以内</w:t>
      </w:r>
      <w:r>
        <w:rPr>
          <w:rFonts w:hint="eastAsia" w:ascii="宋体" w:hAnsi="宋体" w:cs="宋体"/>
          <w:b/>
          <w:bCs/>
          <w:color w:val="auto"/>
          <w:szCs w:val="21"/>
          <w:highlight w:val="cyan"/>
        </w:rPr>
        <w:t>的，则由采购人与中标人签订补充协议。超出</w:t>
      </w:r>
      <w:r>
        <w:rPr>
          <w:rFonts w:hint="eastAsia" w:ascii="宋体" w:hAnsi="宋体" w:cs="宋体"/>
          <w:b/>
          <w:bCs/>
          <w:color w:val="auto"/>
          <w:szCs w:val="21"/>
          <w:highlight w:val="cyan"/>
          <w:lang w:eastAsia="zh-CN"/>
        </w:rPr>
        <w:t>中标总价（即中标单价</w:t>
      </w:r>
      <w:r>
        <w:rPr>
          <w:rFonts w:hint="eastAsia" w:ascii="宋体" w:hAnsi="宋体" w:cs="宋体"/>
          <w:b/>
          <w:bCs/>
          <w:color w:val="auto"/>
          <w:szCs w:val="21"/>
          <w:highlight w:val="cyan"/>
          <w:lang w:val="en-US" w:eastAsia="zh-CN"/>
        </w:rPr>
        <w:t>×4500吨）</w:t>
      </w:r>
      <w:r>
        <w:rPr>
          <w:rFonts w:hint="eastAsia" w:ascii="宋体" w:hAnsi="宋体" w:cs="宋体"/>
          <w:b/>
          <w:bCs/>
          <w:color w:val="auto"/>
          <w:szCs w:val="21"/>
          <w:highlight w:val="cyan"/>
        </w:rPr>
        <w:t>10%以上的，则不予以支付。</w:t>
      </w:r>
    </w:p>
    <w:p w14:paraId="3D2F5A41">
      <w:pPr>
        <w:tabs>
          <w:tab w:val="left" w:pos="540"/>
        </w:tabs>
        <w:spacing w:line="360" w:lineRule="auto"/>
        <w:ind w:firstLine="420" w:firstLineChars="200"/>
        <w:rPr>
          <w:rFonts w:ascii="宋体" w:hAnsi="宋体" w:cs="宋体"/>
          <w:color w:val="auto"/>
          <w:szCs w:val="21"/>
        </w:rPr>
      </w:pPr>
      <w:r>
        <w:rPr>
          <w:rFonts w:hint="eastAsia" w:ascii="宋体" w:hAnsi="宋体" w:cs="宋体"/>
          <w:color w:val="auto"/>
          <w:szCs w:val="21"/>
        </w:rPr>
        <w:t>5.2投标相关报价明细表填写时应详细注明该表列举的费用及分项清单。</w:t>
      </w:r>
    </w:p>
    <w:p w14:paraId="060F822B">
      <w:pPr>
        <w:tabs>
          <w:tab w:val="left" w:pos="540"/>
        </w:tabs>
        <w:spacing w:line="360" w:lineRule="auto"/>
        <w:ind w:firstLine="420"/>
        <w:rPr>
          <w:rFonts w:ascii="宋体" w:hAnsi="宋体" w:cs="宋体"/>
          <w:color w:val="auto"/>
          <w:szCs w:val="21"/>
        </w:rPr>
      </w:pPr>
      <w:r>
        <w:rPr>
          <w:rFonts w:hint="eastAsia" w:ascii="宋体" w:hAnsi="宋体" w:cs="宋体"/>
          <w:color w:val="auto"/>
          <w:szCs w:val="21"/>
        </w:rPr>
        <w:t>5.3投标人必须按第六章投标文件格式中的开标一览表（统一格式）的内容填写价格、及其他事项。</w:t>
      </w:r>
    </w:p>
    <w:p w14:paraId="18511460">
      <w:pPr>
        <w:tabs>
          <w:tab w:val="left" w:pos="540"/>
        </w:tabs>
        <w:spacing w:line="360" w:lineRule="auto"/>
        <w:rPr>
          <w:rFonts w:ascii="宋体" w:hAnsi="宋体" w:cs="宋体"/>
          <w:b/>
          <w:color w:val="auto"/>
          <w:szCs w:val="21"/>
        </w:rPr>
      </w:pPr>
      <w:r>
        <w:rPr>
          <w:rFonts w:hint="eastAsia" w:ascii="宋体" w:hAnsi="宋体" w:cs="宋体"/>
          <w:color w:val="auto"/>
          <w:szCs w:val="21"/>
        </w:rPr>
        <w:t xml:space="preserve">    5.4所有投标均以人民币报价。</w:t>
      </w:r>
    </w:p>
    <w:p w14:paraId="1CDE21C0">
      <w:pPr>
        <w:tabs>
          <w:tab w:val="left" w:pos="540"/>
        </w:tabs>
        <w:spacing w:line="360" w:lineRule="auto"/>
        <w:rPr>
          <w:rFonts w:ascii="宋体" w:hAnsi="宋体" w:cs="宋体"/>
          <w:b/>
          <w:color w:val="auto"/>
          <w:szCs w:val="21"/>
        </w:rPr>
      </w:pPr>
      <w:r>
        <w:rPr>
          <w:rFonts w:hint="eastAsia" w:ascii="宋体" w:hAnsi="宋体" w:cs="宋体"/>
          <w:b/>
          <w:color w:val="auto"/>
          <w:szCs w:val="21"/>
        </w:rPr>
        <w:t xml:space="preserve">    5.5采购单位不接受任何选择报价，投标单位只允许有一个有效报价。</w:t>
      </w:r>
    </w:p>
    <w:p w14:paraId="592261D0">
      <w:pPr>
        <w:pStyle w:val="8"/>
        <w:spacing w:line="360" w:lineRule="auto"/>
        <w:ind w:left="-420" w:leftChars="-200" w:firstLine="422" w:firstLineChars="200"/>
        <w:rPr>
          <w:rFonts w:ascii="宋体" w:hAnsi="宋体" w:cs="宋体"/>
          <w:b/>
          <w:color w:val="auto"/>
          <w:sz w:val="21"/>
          <w:szCs w:val="21"/>
        </w:rPr>
      </w:pPr>
      <w:r>
        <w:rPr>
          <w:rFonts w:hint="eastAsia" w:ascii="宋体" w:hAnsi="宋体" w:cs="宋体"/>
          <w:b/>
          <w:color w:val="auto"/>
          <w:sz w:val="21"/>
          <w:szCs w:val="21"/>
        </w:rPr>
        <w:t>6.投标文件的格式和顺序</w:t>
      </w:r>
    </w:p>
    <w:p w14:paraId="0486011A">
      <w:pPr>
        <w:snapToGrid w:val="0"/>
        <w:spacing w:line="360" w:lineRule="auto"/>
        <w:ind w:firstLine="422" w:firstLineChars="200"/>
        <w:outlineLvl w:val="1"/>
        <w:rPr>
          <w:rFonts w:ascii="宋体" w:hAnsi="宋体" w:cs="宋体"/>
          <w:b/>
          <w:bCs/>
          <w:color w:val="auto"/>
          <w:szCs w:val="21"/>
        </w:rPr>
      </w:pPr>
      <w:r>
        <w:rPr>
          <w:rFonts w:hint="eastAsia" w:ascii="宋体" w:hAnsi="宋体" w:cs="宋体"/>
          <w:b/>
          <w:color w:val="auto"/>
          <w:szCs w:val="21"/>
        </w:rPr>
        <w:t>响应文件</w:t>
      </w:r>
      <w:r>
        <w:rPr>
          <w:rFonts w:hint="eastAsia" w:ascii="宋体" w:hAnsi="宋体" w:cs="宋体"/>
          <w:b/>
          <w:bCs/>
          <w:color w:val="auto"/>
          <w:szCs w:val="21"/>
        </w:rPr>
        <w:t>按政府采购云平台</w:t>
      </w:r>
      <w:r>
        <w:rPr>
          <w:rFonts w:hint="eastAsia" w:ascii="宋体" w:hAnsi="宋体" w:cs="Arial"/>
          <w:b/>
          <w:bCs/>
          <w:color w:val="auto"/>
          <w:kern w:val="0"/>
          <w:szCs w:val="21"/>
        </w:rPr>
        <w:t>“供应商-政府采购项目电子交易操作指南”</w:t>
      </w:r>
      <w:r>
        <w:rPr>
          <w:rFonts w:hint="eastAsia"/>
          <w:color w:val="auto"/>
        </w:rPr>
        <w:fldChar w:fldCharType="begin"/>
      </w:r>
      <w:r>
        <w:rPr>
          <w:color w:val="auto"/>
        </w:rPr>
        <w:instrText xml:space="preserve"> HYPERLINK "https://help.zcy.gov.cn/web/site_2/2018/12-28/2573.html）及本招标文件规定的格式和顺序编制电子投标文件并进行关联定位。" </w:instrText>
      </w:r>
      <w:r>
        <w:rPr>
          <w:rFonts w:hint="eastAsia"/>
          <w:color w:val="auto"/>
        </w:rPr>
        <w:fldChar w:fldCharType="separate"/>
      </w:r>
      <w:r>
        <w:rPr>
          <w:rStyle w:val="33"/>
          <w:rFonts w:hint="eastAsia" w:ascii="宋体" w:hAnsi="宋体" w:cs="宋体"/>
          <w:b/>
          <w:bCs/>
          <w:color w:val="auto"/>
          <w:sz w:val="21"/>
          <w:szCs w:val="21"/>
        </w:rPr>
        <w:t>及本招标文件规定的格式和顺序编制响应文件并进行关联定位。</w:t>
      </w:r>
      <w:r>
        <w:rPr>
          <w:rStyle w:val="33"/>
          <w:rFonts w:hint="eastAsia" w:ascii="宋体" w:hAnsi="宋体" w:cs="宋体"/>
          <w:b/>
          <w:bCs/>
          <w:color w:val="auto"/>
          <w:sz w:val="21"/>
          <w:szCs w:val="21"/>
        </w:rPr>
        <w:fldChar w:fldCharType="end"/>
      </w:r>
    </w:p>
    <w:p w14:paraId="0D0AAAEA">
      <w:pPr>
        <w:snapToGrid w:val="0"/>
        <w:spacing w:line="360" w:lineRule="auto"/>
        <w:outlineLvl w:val="1"/>
        <w:rPr>
          <w:rFonts w:ascii="宋体" w:hAnsi="宋体" w:cs="宋体"/>
          <w:b/>
          <w:bCs/>
          <w:color w:val="auto"/>
          <w:szCs w:val="21"/>
        </w:rPr>
      </w:pPr>
      <w:r>
        <w:rPr>
          <w:rFonts w:hint="eastAsia" w:ascii="宋体" w:hAnsi="宋体" w:cs="宋体"/>
          <w:b/>
          <w:bCs/>
          <w:color w:val="auto"/>
          <w:szCs w:val="21"/>
        </w:rPr>
        <w:t>7.投标有效期</w:t>
      </w:r>
    </w:p>
    <w:p w14:paraId="18E49AE0">
      <w:pPr>
        <w:pStyle w:val="8"/>
        <w:spacing w:line="440" w:lineRule="exact"/>
        <w:ind w:left="0" w:firstLine="0" w:firstLineChars="0"/>
        <w:rPr>
          <w:rFonts w:ascii="宋体" w:hAnsi="宋体" w:cs="宋体"/>
          <w:color w:val="auto"/>
          <w:sz w:val="21"/>
          <w:szCs w:val="21"/>
        </w:rPr>
      </w:pPr>
      <w:r>
        <w:rPr>
          <w:rFonts w:hint="eastAsia" w:ascii="宋体" w:hAnsi="宋体" w:cs="宋体"/>
          <w:b/>
          <w:bCs/>
          <w:color w:val="auto"/>
          <w:sz w:val="21"/>
          <w:szCs w:val="21"/>
        </w:rPr>
        <w:t xml:space="preserve"> </w:t>
      </w:r>
      <w:r>
        <w:rPr>
          <w:rFonts w:hint="eastAsia" w:ascii="宋体" w:hAnsi="宋体" w:cs="宋体"/>
          <w:color w:val="auto"/>
          <w:sz w:val="21"/>
          <w:szCs w:val="21"/>
        </w:rPr>
        <w:t xml:space="preserve">  7.1投标有效期见本招标文件中前附表所规定的期限，在此期限内，凡符合招标文件要求的投标文件均保持有效。</w:t>
      </w:r>
    </w:p>
    <w:p w14:paraId="60951CE5">
      <w:pPr>
        <w:pStyle w:val="8"/>
        <w:spacing w:line="440" w:lineRule="exact"/>
        <w:ind w:left="0" w:firstLine="0" w:firstLineChars="0"/>
        <w:rPr>
          <w:rFonts w:ascii="宋体" w:hAnsi="宋体" w:cs="宋体"/>
          <w:color w:val="auto"/>
          <w:sz w:val="21"/>
          <w:szCs w:val="21"/>
        </w:rPr>
      </w:pPr>
      <w:r>
        <w:rPr>
          <w:rFonts w:hint="eastAsia" w:ascii="宋体" w:hAnsi="宋体" w:cs="宋体"/>
          <w:color w:val="auto"/>
          <w:sz w:val="21"/>
          <w:szCs w:val="21"/>
        </w:rPr>
        <w:t xml:space="preserve">   7.2在特殊情况下，采购人、采购代理机构在原定投标有效期内，可以根据需要以书面形式向投标人提出延长投标有效期的要求，对此要求投标人须以书面形式予以答复。投标人可以拒绝采购人、采购代理机构这种要求。同意延长投标有效期的投标人既不能要求也不允许修改其投标文件。</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Start w:id="103" w:name="_Toc6995"/>
      <w:bookmarkStart w:id="104" w:name="_Toc223715998"/>
      <w:bookmarkStart w:id="105" w:name="_Toc221423619"/>
      <w:bookmarkStart w:id="106" w:name="_Toc249758712"/>
      <w:bookmarkStart w:id="107" w:name="_Toc246261265"/>
      <w:bookmarkStart w:id="108" w:name="_Toc221374626"/>
      <w:bookmarkStart w:id="109" w:name="_Toc245191314"/>
      <w:bookmarkStart w:id="110" w:name="_Toc241404202"/>
      <w:bookmarkStart w:id="111" w:name="_Toc221356887"/>
      <w:bookmarkStart w:id="112" w:name="_Toc262105503"/>
      <w:bookmarkStart w:id="113" w:name="_Toc222114879"/>
      <w:bookmarkStart w:id="114" w:name="_Toc245722281"/>
      <w:bookmarkStart w:id="115" w:name="_Toc221356951"/>
      <w:bookmarkStart w:id="116" w:name="_Toc410031816"/>
      <w:bookmarkStart w:id="117" w:name="_Toc239145354"/>
      <w:bookmarkStart w:id="118" w:name="_Toc249758864"/>
      <w:bookmarkStart w:id="119" w:name="_Toc262049418"/>
    </w:p>
    <w:p w14:paraId="5C2C8FC0">
      <w:pPr>
        <w:pStyle w:val="8"/>
        <w:spacing w:line="440" w:lineRule="exact"/>
        <w:ind w:left="0" w:firstLine="0" w:firstLineChars="0"/>
        <w:rPr>
          <w:rFonts w:ascii="宋体" w:hAnsi="宋体" w:cs="宋体"/>
          <w:b/>
          <w:bCs/>
          <w:color w:val="auto"/>
          <w:sz w:val="21"/>
          <w:szCs w:val="21"/>
        </w:rPr>
      </w:pPr>
      <w:r>
        <w:rPr>
          <w:rFonts w:hint="eastAsia" w:ascii="宋体" w:hAnsi="宋体" w:cs="宋体"/>
          <w:b/>
          <w:bCs/>
          <w:color w:val="auto"/>
          <w:sz w:val="21"/>
          <w:szCs w:val="21"/>
        </w:rPr>
        <w:t>8.投标保证金</w:t>
      </w:r>
    </w:p>
    <w:p w14:paraId="12E1AF49">
      <w:pPr>
        <w:pStyle w:val="8"/>
        <w:spacing w:line="440" w:lineRule="exact"/>
        <w:ind w:left="0" w:firstLine="422" w:firstLineChars="200"/>
        <w:rPr>
          <w:rFonts w:ascii="宋体" w:hAnsi="宋体" w:cs="宋体"/>
          <w:color w:val="auto"/>
          <w:sz w:val="21"/>
          <w:szCs w:val="21"/>
        </w:rPr>
      </w:pPr>
      <w:r>
        <w:rPr>
          <w:rFonts w:hint="eastAsia" w:ascii="宋体" w:hAnsi="宋体" w:cs="宋体"/>
          <w:b/>
          <w:bCs/>
          <w:color w:val="auto"/>
          <w:sz w:val="21"/>
          <w:szCs w:val="21"/>
        </w:rPr>
        <w:t>8.1投标保证金的规定：</w:t>
      </w:r>
      <w:r>
        <w:rPr>
          <w:rFonts w:hint="eastAsia" w:ascii="宋体" w:hAnsi="宋体" w:cs="宋体"/>
          <w:color w:val="auto"/>
          <w:sz w:val="21"/>
          <w:szCs w:val="21"/>
        </w:rPr>
        <w:t>详见投标人须知前附表。</w:t>
      </w:r>
    </w:p>
    <w:p w14:paraId="47ABAC57">
      <w:pPr>
        <w:pStyle w:val="4"/>
        <w:spacing w:before="0" w:after="0" w:line="360" w:lineRule="auto"/>
        <w:jc w:val="center"/>
        <w:rPr>
          <w:color w:val="auto"/>
        </w:rPr>
      </w:pPr>
      <w:r>
        <w:rPr>
          <w:rFonts w:hint="eastAsia"/>
          <w:color w:val="auto"/>
        </w:rPr>
        <w:t>四、投标</w:t>
      </w:r>
      <w:bookmarkEnd w:id="103"/>
    </w:p>
    <w:p w14:paraId="491741BB">
      <w:pPr>
        <w:pStyle w:val="8"/>
        <w:spacing w:line="360" w:lineRule="auto"/>
        <w:ind w:left="422" w:hanging="422"/>
        <w:rPr>
          <w:rFonts w:ascii="宋体" w:hAnsi="宋体" w:cs="宋体"/>
          <w:b/>
          <w:color w:val="auto"/>
          <w:sz w:val="21"/>
          <w:szCs w:val="21"/>
        </w:rPr>
      </w:pPr>
      <w:bookmarkStart w:id="120" w:name="_Toc25626"/>
      <w:bookmarkStart w:id="121" w:name="_Toc2836"/>
      <w:r>
        <w:rPr>
          <w:rFonts w:hint="eastAsia" w:ascii="宋体" w:hAnsi="宋体" w:cs="宋体"/>
          <w:b/>
          <w:color w:val="auto"/>
          <w:sz w:val="21"/>
          <w:szCs w:val="21"/>
        </w:rPr>
        <w:t>1.投标文件的递交</w:t>
      </w:r>
    </w:p>
    <w:p w14:paraId="59EC61EF">
      <w:pPr>
        <w:pStyle w:val="8"/>
        <w:spacing w:line="360" w:lineRule="auto"/>
        <w:ind w:left="0" w:firstLine="422" w:firstLineChars="200"/>
        <w:rPr>
          <w:rFonts w:ascii="宋体" w:hAnsi="宋体" w:cs="宋体"/>
          <w:color w:val="auto"/>
          <w:sz w:val="21"/>
          <w:szCs w:val="21"/>
          <w:highlight w:val="yellow"/>
        </w:rPr>
      </w:pPr>
      <w:r>
        <w:rPr>
          <w:rFonts w:hint="eastAsia" w:ascii="宋体" w:hAnsi="宋体" w:cs="宋体"/>
          <w:b/>
          <w:bCs/>
          <w:color w:val="auto"/>
          <w:sz w:val="21"/>
          <w:szCs w:val="21"/>
        </w:rPr>
        <w:t>投标人应当在投标截止时间前完成响应文件的传输递交，投标截止时间前可以补充、修改或者撤回响应文件。补充或者修改响应文件的，应当先行撤回原文件，补充、修改后重新传输递交。投标截止时间前未完成传输的，视为撤回响应文件。</w:t>
      </w:r>
    </w:p>
    <w:p w14:paraId="6CF3073C">
      <w:pPr>
        <w:pStyle w:val="8"/>
        <w:spacing w:line="360" w:lineRule="auto"/>
        <w:ind w:left="422" w:hanging="422"/>
        <w:rPr>
          <w:rFonts w:ascii="宋体" w:hAnsi="宋体" w:cs="宋体"/>
          <w:b/>
          <w:color w:val="auto"/>
          <w:sz w:val="21"/>
          <w:szCs w:val="21"/>
        </w:rPr>
      </w:pPr>
      <w:r>
        <w:rPr>
          <w:rFonts w:hint="eastAsia" w:ascii="宋体" w:hAnsi="宋体" w:cs="宋体"/>
          <w:b/>
          <w:color w:val="auto"/>
          <w:sz w:val="21"/>
          <w:szCs w:val="21"/>
        </w:rPr>
        <w:t>2.投标文件递交的截止时间</w:t>
      </w:r>
    </w:p>
    <w:p w14:paraId="1F88501E">
      <w:pPr>
        <w:pStyle w:val="8"/>
        <w:spacing w:line="360" w:lineRule="auto"/>
        <w:ind w:left="420" w:hanging="420"/>
        <w:rPr>
          <w:rFonts w:ascii="宋体" w:hAnsi="宋体" w:cs="宋体"/>
          <w:color w:val="auto"/>
          <w:sz w:val="21"/>
          <w:szCs w:val="21"/>
        </w:rPr>
      </w:pPr>
      <w:r>
        <w:rPr>
          <w:rFonts w:hint="eastAsia" w:ascii="宋体" w:hAnsi="宋体" w:cs="宋体"/>
          <w:color w:val="auto"/>
          <w:sz w:val="21"/>
          <w:szCs w:val="21"/>
        </w:rPr>
        <w:t xml:space="preserve">    2.1投标文件的截止时间见招标文件投标须知前附表的规定。</w:t>
      </w:r>
    </w:p>
    <w:p w14:paraId="10A5A8AB">
      <w:pPr>
        <w:pStyle w:val="8"/>
        <w:spacing w:line="360" w:lineRule="auto"/>
        <w:ind w:left="0" w:firstLine="420" w:firstLineChars="200"/>
        <w:rPr>
          <w:rFonts w:ascii="宋体" w:hAnsi="宋体" w:cs="宋体"/>
          <w:color w:val="auto"/>
          <w:sz w:val="21"/>
          <w:szCs w:val="21"/>
        </w:rPr>
      </w:pPr>
      <w:r>
        <w:rPr>
          <w:rFonts w:hint="eastAsia" w:ascii="宋体" w:hAnsi="宋体" w:cs="宋体"/>
          <w:color w:val="auto"/>
          <w:sz w:val="21"/>
          <w:szCs w:val="21"/>
        </w:rPr>
        <w:t>2.2采购人、采购代理机构可按本招标文件规定以修改补充通知的方式，酌情延长提交投标文件的截止时间。在此情况下，投标人的所有权利和义务以及投标人受制约的截止时间，均以延长后新的投标截止时间为准。</w:t>
      </w:r>
    </w:p>
    <w:p w14:paraId="5BA5F416">
      <w:pPr>
        <w:pStyle w:val="8"/>
        <w:spacing w:line="360" w:lineRule="auto"/>
        <w:ind w:left="420" w:hanging="420"/>
        <w:rPr>
          <w:rFonts w:ascii="宋体" w:hAnsi="宋体" w:cs="宋体"/>
          <w:color w:val="auto"/>
          <w:sz w:val="21"/>
          <w:szCs w:val="21"/>
        </w:rPr>
      </w:pPr>
      <w:r>
        <w:rPr>
          <w:rFonts w:hint="eastAsia" w:ascii="宋体" w:hAnsi="宋体" w:cs="宋体"/>
          <w:color w:val="auto"/>
          <w:sz w:val="21"/>
          <w:szCs w:val="21"/>
        </w:rPr>
        <w:t xml:space="preserve">    2.3投标人在投标截止时间以后递交的投标文件将被拒绝接受。</w:t>
      </w:r>
    </w:p>
    <w:p w14:paraId="1333308B">
      <w:pPr>
        <w:pStyle w:val="8"/>
        <w:spacing w:line="360" w:lineRule="auto"/>
        <w:ind w:left="422" w:hanging="422"/>
        <w:rPr>
          <w:rFonts w:ascii="宋体" w:hAnsi="宋体" w:cs="宋体"/>
          <w:b/>
          <w:color w:val="auto"/>
          <w:sz w:val="21"/>
          <w:szCs w:val="21"/>
        </w:rPr>
      </w:pPr>
      <w:r>
        <w:rPr>
          <w:rFonts w:hint="eastAsia" w:ascii="宋体" w:hAnsi="宋体" w:cs="宋体"/>
          <w:b/>
          <w:color w:val="auto"/>
          <w:sz w:val="21"/>
          <w:szCs w:val="21"/>
        </w:rPr>
        <w:t>3.投标文件的补充、修改与撤回</w:t>
      </w:r>
    </w:p>
    <w:p w14:paraId="61820955">
      <w:pPr>
        <w:pStyle w:val="8"/>
        <w:spacing w:line="360" w:lineRule="auto"/>
        <w:ind w:left="0" w:firstLine="420" w:firstLineChars="200"/>
        <w:rPr>
          <w:rFonts w:ascii="宋体" w:hAnsi="宋体" w:cs="宋体"/>
          <w:color w:val="auto"/>
          <w:sz w:val="21"/>
          <w:szCs w:val="21"/>
        </w:rPr>
      </w:pPr>
      <w:r>
        <w:rPr>
          <w:rFonts w:hint="eastAsia" w:ascii="宋体" w:hAnsi="宋体" w:cs="宋体"/>
          <w:color w:val="auto"/>
          <w:sz w:val="21"/>
          <w:szCs w:val="21"/>
        </w:rPr>
        <w:t>3.1投标人在提交投标文件以后，在规定的投标截止时间之前，可以补充修改或撤回已提交的投标文件：</w:t>
      </w:r>
    </w:p>
    <w:p w14:paraId="2C90B3A9">
      <w:pPr>
        <w:pStyle w:val="8"/>
        <w:spacing w:line="360" w:lineRule="auto"/>
        <w:ind w:left="0" w:firstLine="422" w:firstLineChars="200"/>
        <w:rPr>
          <w:rFonts w:ascii="宋体" w:hAnsi="宋体" w:cs="宋体"/>
          <w:b/>
          <w:bCs/>
          <w:color w:val="auto"/>
          <w:sz w:val="21"/>
          <w:szCs w:val="21"/>
        </w:rPr>
      </w:pPr>
      <w:r>
        <w:rPr>
          <w:rFonts w:hint="eastAsia" w:ascii="宋体" w:hAnsi="宋体" w:cs="宋体"/>
          <w:b/>
          <w:bCs/>
          <w:color w:val="auto"/>
          <w:sz w:val="21"/>
          <w:szCs w:val="21"/>
        </w:rPr>
        <w:t>递交响应文件截止时间之前补充或者修改响应文件的，应当先行撤回原文件，补充、修改后重新传输递交；</w:t>
      </w:r>
    </w:p>
    <w:p w14:paraId="32D41CCA">
      <w:pPr>
        <w:pStyle w:val="8"/>
        <w:spacing w:line="360" w:lineRule="auto"/>
        <w:ind w:left="0" w:firstLine="525" w:firstLineChars="250"/>
        <w:rPr>
          <w:rFonts w:ascii="宋体" w:hAnsi="宋体" w:cs="宋体"/>
          <w:color w:val="auto"/>
          <w:sz w:val="21"/>
          <w:szCs w:val="21"/>
        </w:rPr>
      </w:pPr>
      <w:r>
        <w:rPr>
          <w:rFonts w:hint="eastAsia" w:ascii="宋体" w:hAnsi="宋体" w:cs="宋体"/>
          <w:color w:val="auto"/>
          <w:sz w:val="21"/>
          <w:szCs w:val="21"/>
        </w:rPr>
        <w:t>3.2在投标截止时间之后，投标人不得补充、修改投标文件。</w:t>
      </w:r>
    </w:p>
    <w:p w14:paraId="29205048">
      <w:pPr>
        <w:pStyle w:val="8"/>
        <w:spacing w:line="360" w:lineRule="auto"/>
        <w:ind w:left="0" w:firstLine="525" w:firstLineChars="250"/>
        <w:rPr>
          <w:rFonts w:ascii="宋体" w:hAnsi="宋体" w:cs="宋体"/>
          <w:color w:val="auto"/>
          <w:sz w:val="21"/>
          <w:szCs w:val="21"/>
        </w:rPr>
      </w:pPr>
      <w:r>
        <w:rPr>
          <w:rFonts w:hint="eastAsia" w:ascii="宋体" w:hAnsi="宋体" w:cs="宋体"/>
          <w:color w:val="auto"/>
          <w:sz w:val="21"/>
          <w:szCs w:val="21"/>
        </w:rPr>
        <w:t>3.3根据招标文件规定，在投标截止时间之后至投标人在投标声明书中规定的投标有效期满之前的这段时间内，投标人不得撤回其投标文件，否则应当按照本项目采购预算价2%的标准承担因此给采购单位造成的损失的赔偿责任及相应的法律责任。</w:t>
      </w:r>
    </w:p>
    <w:p w14:paraId="156844BA">
      <w:pPr>
        <w:pStyle w:val="4"/>
        <w:spacing w:before="0" w:after="0" w:line="360" w:lineRule="auto"/>
        <w:jc w:val="center"/>
        <w:rPr>
          <w:color w:val="auto"/>
        </w:rPr>
      </w:pPr>
      <w:r>
        <w:rPr>
          <w:rFonts w:hint="eastAsia"/>
          <w:color w:val="auto"/>
        </w:rPr>
        <w:t>五、开标</w:t>
      </w:r>
      <w:bookmarkEnd w:id="120"/>
    </w:p>
    <w:p w14:paraId="4E5B85AE">
      <w:pPr>
        <w:pStyle w:val="8"/>
        <w:spacing w:line="360" w:lineRule="auto"/>
        <w:ind w:left="422" w:hanging="422"/>
        <w:rPr>
          <w:rFonts w:ascii="宋体" w:hAnsi="宋体" w:cs="宋体"/>
          <w:b/>
          <w:color w:val="auto"/>
          <w:sz w:val="21"/>
          <w:szCs w:val="21"/>
        </w:rPr>
      </w:pPr>
      <w:r>
        <w:rPr>
          <w:rFonts w:hint="eastAsia" w:ascii="宋体" w:hAnsi="宋体" w:cs="宋体"/>
          <w:b/>
          <w:color w:val="auto"/>
          <w:sz w:val="21"/>
          <w:szCs w:val="21"/>
        </w:rPr>
        <w:t>1.开标</w:t>
      </w:r>
    </w:p>
    <w:p w14:paraId="367CBEBA">
      <w:pPr>
        <w:pStyle w:val="8"/>
        <w:spacing w:line="360" w:lineRule="auto"/>
        <w:ind w:left="0" w:firstLine="420" w:firstLineChars="200"/>
        <w:rPr>
          <w:rFonts w:ascii="宋体" w:hAnsi="宋体" w:cs="宋体"/>
          <w:color w:val="auto"/>
          <w:sz w:val="21"/>
          <w:szCs w:val="21"/>
        </w:rPr>
      </w:pPr>
      <w:r>
        <w:rPr>
          <w:rFonts w:hint="eastAsia" w:ascii="宋体" w:hAnsi="宋体" w:cs="宋体"/>
          <w:color w:val="auto"/>
          <w:sz w:val="21"/>
          <w:szCs w:val="21"/>
        </w:rPr>
        <w:t>1.1采购代理机构按本招标文件投标人须知前附表规定的时间和地点公开开标。</w:t>
      </w:r>
    </w:p>
    <w:p w14:paraId="1EEC8D1F">
      <w:pPr>
        <w:pStyle w:val="8"/>
        <w:spacing w:line="360" w:lineRule="auto"/>
        <w:ind w:left="0" w:firstLine="420" w:firstLineChars="200"/>
        <w:rPr>
          <w:rFonts w:ascii="宋体" w:hAnsi="宋体" w:cs="宋体"/>
          <w:color w:val="auto"/>
          <w:sz w:val="21"/>
          <w:szCs w:val="21"/>
        </w:rPr>
      </w:pPr>
      <w:r>
        <w:rPr>
          <w:rFonts w:hint="eastAsia" w:ascii="宋体" w:hAnsi="宋体" w:cs="宋体"/>
          <w:color w:val="auto"/>
          <w:sz w:val="21"/>
          <w:szCs w:val="21"/>
        </w:rPr>
        <w:t>1.2采购代理机构核验出席开标活动现场的相关单位人员身份，并组织其分别登记、签到，无关人员不得进入现场。</w:t>
      </w:r>
    </w:p>
    <w:p w14:paraId="54A401EE">
      <w:pPr>
        <w:pStyle w:val="8"/>
        <w:spacing w:line="360" w:lineRule="auto"/>
        <w:ind w:left="0" w:firstLine="420" w:firstLineChars="200"/>
        <w:rPr>
          <w:rFonts w:ascii="宋体" w:hAnsi="宋体" w:cs="宋体"/>
          <w:color w:val="auto"/>
          <w:sz w:val="21"/>
          <w:szCs w:val="21"/>
        </w:rPr>
      </w:pPr>
      <w:r>
        <w:rPr>
          <w:rFonts w:hint="eastAsia" w:ascii="宋体" w:hAnsi="宋体" w:cs="宋体"/>
          <w:color w:val="auto"/>
          <w:sz w:val="21"/>
          <w:szCs w:val="21"/>
        </w:rPr>
        <w:t>1.3如投标截止时间止评审期间，出现有效代理商或供应商不足3家的情况，根据“《</w:t>
      </w:r>
      <w:r>
        <w:rPr>
          <w:rFonts w:hint="eastAsia" w:ascii="宋体" w:hAnsi="宋体" w:cs="宋体"/>
          <w:color w:val="auto"/>
          <w:sz w:val="21"/>
          <w:szCs w:val="21"/>
          <w:lang w:val="en-US" w:eastAsia="zh-CN"/>
        </w:rPr>
        <w:t>中华人民共和国</w:t>
      </w:r>
      <w:r>
        <w:rPr>
          <w:rFonts w:hint="eastAsia" w:ascii="宋体" w:hAnsi="宋体" w:cs="宋体"/>
          <w:color w:val="auto"/>
          <w:sz w:val="21"/>
          <w:szCs w:val="21"/>
        </w:rPr>
        <w:t>政府采购法》第三十六条第一款规定：在招标采购中，符合专业条件的供应商或者对招标文件作实质响应的供应商不足三家的，应予废标；以及第三十七条规定：废标后，除采购任务取消情形外，应当重新组织招标；需要采取其他方式采购的，应当在采购活动开始前获得设区的市、自治州以上人民政府采购监督管理部门或者政府有关部门批准。”重新组织招标活动。</w:t>
      </w:r>
    </w:p>
    <w:p w14:paraId="18B11E2B">
      <w:pPr>
        <w:pStyle w:val="8"/>
        <w:spacing w:line="360" w:lineRule="auto"/>
        <w:ind w:left="422" w:hanging="422"/>
        <w:rPr>
          <w:rFonts w:ascii="宋体" w:hAnsi="宋体" w:cs="宋体"/>
          <w:b/>
          <w:color w:val="auto"/>
          <w:sz w:val="21"/>
          <w:szCs w:val="21"/>
        </w:rPr>
      </w:pPr>
      <w:r>
        <w:rPr>
          <w:rFonts w:hint="eastAsia" w:ascii="宋体" w:hAnsi="宋体" w:cs="宋体"/>
          <w:b/>
          <w:color w:val="auto"/>
          <w:sz w:val="21"/>
          <w:szCs w:val="21"/>
        </w:rPr>
        <w:t xml:space="preserve">2.开标准备 </w:t>
      </w:r>
    </w:p>
    <w:p w14:paraId="2EF099C4">
      <w:pPr>
        <w:pStyle w:val="57"/>
        <w:spacing w:line="360" w:lineRule="auto"/>
        <w:ind w:firstLine="422"/>
        <w:rPr>
          <w:rFonts w:cs="Arial"/>
          <w:b/>
          <w:color w:val="auto"/>
        </w:rPr>
      </w:pPr>
      <w:r>
        <w:rPr>
          <w:rFonts w:hint="eastAsia" w:cs="Arial"/>
          <w:b/>
          <w:color w:val="auto"/>
        </w:rPr>
        <w:t>开标的准备工作由采购组织机构负责落实；</w:t>
      </w:r>
    </w:p>
    <w:p w14:paraId="532D5147">
      <w:pPr>
        <w:pStyle w:val="57"/>
        <w:spacing w:line="360" w:lineRule="auto"/>
        <w:ind w:firstLine="422"/>
        <w:rPr>
          <w:rFonts w:cs="Arial"/>
          <w:b/>
          <w:color w:val="auto"/>
        </w:rPr>
      </w:pPr>
      <w:r>
        <w:rPr>
          <w:rFonts w:hint="eastAsia" w:cs="Arial"/>
          <w:b/>
          <w:color w:val="auto"/>
        </w:rPr>
        <w:t>采购组织机构将按照采购文件规定的时间通过“政府采购云平台”组织开标、开启投标文件，所有投标人均应当准时在线参加（因投标人需要及时进行标书在线解密）。投标人</w:t>
      </w:r>
      <w:r>
        <w:rPr>
          <w:rFonts w:cs="Arial"/>
          <w:b/>
          <w:color w:val="auto"/>
        </w:rPr>
        <w:t>如不在线</w:t>
      </w:r>
      <w:r>
        <w:rPr>
          <w:rFonts w:hint="eastAsia" w:cs="Arial"/>
          <w:b/>
          <w:color w:val="auto"/>
        </w:rPr>
        <w:t>参加</w:t>
      </w:r>
      <w:r>
        <w:rPr>
          <w:rFonts w:cs="Arial"/>
          <w:b/>
          <w:color w:val="auto"/>
        </w:rPr>
        <w:t>的，</w:t>
      </w:r>
      <w:r>
        <w:rPr>
          <w:rFonts w:hint="eastAsia" w:cs="Arial"/>
          <w:b/>
          <w:color w:val="auto"/>
        </w:rPr>
        <w:t>视同认可开标结果，</w:t>
      </w:r>
      <w:r>
        <w:rPr>
          <w:rFonts w:cs="Arial"/>
          <w:b/>
          <w:color w:val="auto"/>
        </w:rPr>
        <w:t>事后不得对开标结果提出异议</w:t>
      </w:r>
      <w:r>
        <w:rPr>
          <w:rFonts w:hint="eastAsia" w:cs="Arial"/>
          <w:b/>
          <w:color w:val="auto"/>
        </w:rPr>
        <w:t>。投标人因未在线参加开标而导致投标文件无法按时解密等一切后果由投标人自己承担。</w:t>
      </w:r>
    </w:p>
    <w:p w14:paraId="7A9FC8E3">
      <w:pPr>
        <w:pStyle w:val="57"/>
        <w:spacing w:line="360" w:lineRule="auto"/>
        <w:ind w:firstLine="0" w:firstLineChars="0"/>
        <w:rPr>
          <w:rFonts w:cs="Arial"/>
          <w:color w:val="auto"/>
        </w:rPr>
      </w:pPr>
      <w:r>
        <w:rPr>
          <w:rFonts w:hint="eastAsia" w:cs="Arial"/>
          <w:b/>
          <w:color w:val="auto"/>
        </w:rPr>
        <w:t>3.</w:t>
      </w:r>
      <w:r>
        <w:rPr>
          <w:rFonts w:cs="Arial"/>
          <w:b/>
          <w:color w:val="auto"/>
        </w:rPr>
        <w:t>开标流程</w:t>
      </w:r>
    </w:p>
    <w:p w14:paraId="45322347">
      <w:pPr>
        <w:spacing w:line="360" w:lineRule="auto"/>
        <w:ind w:firstLine="371" w:firstLineChars="177"/>
        <w:jc w:val="left"/>
        <w:rPr>
          <w:rFonts w:ascii="宋体" w:hAnsi="宋体" w:cs="Arial"/>
          <w:color w:val="auto"/>
          <w:kern w:val="0"/>
          <w:szCs w:val="21"/>
        </w:rPr>
      </w:pPr>
      <w:r>
        <w:rPr>
          <w:rFonts w:hint="eastAsia" w:ascii="宋体" w:hAnsi="宋体" w:cs="Arial"/>
          <w:color w:val="auto"/>
          <w:kern w:val="0"/>
          <w:szCs w:val="21"/>
        </w:rPr>
        <w:t>（</w:t>
      </w:r>
      <w:r>
        <w:rPr>
          <w:rFonts w:ascii="宋体" w:hAnsi="宋体" w:cs="Arial"/>
          <w:color w:val="auto"/>
          <w:kern w:val="0"/>
          <w:szCs w:val="21"/>
        </w:rPr>
        <w:t>1</w:t>
      </w:r>
      <w:r>
        <w:rPr>
          <w:rFonts w:hint="eastAsia" w:ascii="宋体" w:hAnsi="宋体" w:cs="Arial"/>
          <w:color w:val="auto"/>
          <w:kern w:val="0"/>
          <w:szCs w:val="21"/>
        </w:rPr>
        <w:t>）向各投标人发出电子加密投标文件【开始解密】通知，由投标人按采购文件规定的时间内自行进行投标文件解密。投标人在规定的时间内无法完成已递交的“电子加密投标文件”解密的，如已按规定递交了备份投标文件的，将由采购组织机构按“政府采购云平台”操作规范将备份投标文件上传至“政府采购云平台”，上传成功后，“电子加密投标文件”自动失效；</w:t>
      </w:r>
    </w:p>
    <w:p w14:paraId="2044DF93">
      <w:pPr>
        <w:spacing w:line="360" w:lineRule="auto"/>
        <w:ind w:firstLine="371" w:firstLineChars="177"/>
        <w:jc w:val="left"/>
        <w:rPr>
          <w:rFonts w:ascii="宋体" w:hAnsi="宋体" w:cs="Arial"/>
          <w:color w:val="auto"/>
        </w:rPr>
      </w:pPr>
      <w:r>
        <w:rPr>
          <w:rFonts w:hint="eastAsia" w:ascii="宋体" w:hAnsi="宋体" w:cs="Arial"/>
          <w:color w:val="auto"/>
          <w:kern w:val="0"/>
          <w:szCs w:val="21"/>
        </w:rPr>
        <w:t>（</w:t>
      </w:r>
      <w:r>
        <w:rPr>
          <w:rFonts w:ascii="宋体" w:hAnsi="宋体" w:cs="Arial"/>
          <w:color w:val="auto"/>
          <w:kern w:val="0"/>
          <w:szCs w:val="21"/>
        </w:rPr>
        <w:t>2</w:t>
      </w:r>
      <w:r>
        <w:rPr>
          <w:rFonts w:hint="eastAsia" w:ascii="宋体" w:hAnsi="宋体" w:cs="Arial"/>
          <w:color w:val="auto"/>
          <w:kern w:val="0"/>
          <w:szCs w:val="21"/>
        </w:rPr>
        <w:t>）投标文件解密结束，组织供应商签署《政府采购活动现场确认声明书》并发送给代理机构；</w:t>
      </w:r>
    </w:p>
    <w:p w14:paraId="0D94A3C7">
      <w:pPr>
        <w:spacing w:line="360" w:lineRule="auto"/>
        <w:ind w:firstLine="371" w:firstLineChars="177"/>
        <w:jc w:val="left"/>
        <w:rPr>
          <w:rFonts w:ascii="宋体" w:hAnsi="宋体" w:cs="Arial"/>
          <w:color w:val="auto"/>
          <w:kern w:val="0"/>
          <w:szCs w:val="21"/>
        </w:rPr>
      </w:pPr>
      <w:r>
        <w:rPr>
          <w:rFonts w:hint="eastAsia" w:ascii="宋体" w:hAnsi="宋体" w:cs="Arial"/>
          <w:color w:val="auto"/>
          <w:kern w:val="0"/>
          <w:szCs w:val="21"/>
        </w:rPr>
        <w:t>（</w:t>
      </w:r>
      <w:r>
        <w:rPr>
          <w:rFonts w:ascii="宋体" w:hAnsi="宋体" w:cs="Arial"/>
          <w:color w:val="auto"/>
          <w:kern w:val="0"/>
          <w:szCs w:val="21"/>
        </w:rPr>
        <w:t>3</w:t>
      </w:r>
      <w:r>
        <w:rPr>
          <w:rFonts w:hint="eastAsia" w:ascii="宋体" w:hAnsi="宋体" w:cs="Arial"/>
          <w:color w:val="auto"/>
          <w:kern w:val="0"/>
          <w:szCs w:val="21"/>
        </w:rPr>
        <w:t xml:space="preserve">）开启投标文件，进入资格审查； </w:t>
      </w:r>
    </w:p>
    <w:p w14:paraId="7B7A7522">
      <w:pPr>
        <w:spacing w:line="360" w:lineRule="auto"/>
        <w:ind w:firstLine="371" w:firstLineChars="177"/>
        <w:jc w:val="left"/>
        <w:rPr>
          <w:rFonts w:ascii="宋体" w:hAnsi="宋体" w:cs="Arial"/>
          <w:color w:val="auto"/>
          <w:kern w:val="0"/>
          <w:szCs w:val="21"/>
        </w:rPr>
      </w:pPr>
      <w:r>
        <w:rPr>
          <w:rFonts w:hint="eastAsia" w:ascii="宋体" w:hAnsi="宋体" w:cs="Arial"/>
          <w:color w:val="auto"/>
          <w:kern w:val="0"/>
          <w:szCs w:val="21"/>
        </w:rPr>
        <w:t>（</w:t>
      </w:r>
      <w:r>
        <w:rPr>
          <w:rFonts w:ascii="宋体" w:hAnsi="宋体" w:cs="Arial"/>
          <w:color w:val="auto"/>
          <w:kern w:val="0"/>
          <w:szCs w:val="21"/>
        </w:rPr>
        <w:t>4</w:t>
      </w:r>
      <w:r>
        <w:rPr>
          <w:rFonts w:hint="eastAsia" w:ascii="宋体" w:hAnsi="宋体" w:cs="Arial"/>
          <w:color w:val="auto"/>
          <w:kern w:val="0"/>
          <w:szCs w:val="21"/>
        </w:rPr>
        <w:t>）开启资格审查通过的投标人的商务技术文件（技术资信</w:t>
      </w:r>
      <w:r>
        <w:rPr>
          <w:rFonts w:hint="eastAsia" w:ascii="宋体" w:hAnsi="宋体" w:cs="Arial"/>
          <w:color w:val="auto"/>
          <w:kern w:val="0"/>
          <w:szCs w:val="21"/>
          <w:lang w:eastAsia="zh-CN"/>
        </w:rPr>
        <w:t>文件</w:t>
      </w:r>
      <w:r>
        <w:rPr>
          <w:rFonts w:hint="eastAsia" w:ascii="宋体" w:hAnsi="宋体" w:cs="Arial"/>
          <w:color w:val="auto"/>
          <w:kern w:val="0"/>
          <w:szCs w:val="21"/>
        </w:rPr>
        <w:t>）进入符合性审查、商务技术（技术资信）评审；</w:t>
      </w:r>
    </w:p>
    <w:p w14:paraId="2E1D2A12">
      <w:pPr>
        <w:spacing w:line="360" w:lineRule="auto"/>
        <w:ind w:firstLine="371" w:firstLineChars="177"/>
        <w:jc w:val="left"/>
        <w:rPr>
          <w:rFonts w:ascii="宋体" w:hAnsi="宋体" w:cs="Arial"/>
          <w:color w:val="auto"/>
          <w:kern w:val="0"/>
          <w:szCs w:val="21"/>
        </w:rPr>
      </w:pPr>
      <w:r>
        <w:rPr>
          <w:rFonts w:hint="eastAsia" w:ascii="宋体" w:hAnsi="宋体" w:cs="Arial"/>
          <w:color w:val="auto"/>
          <w:kern w:val="0"/>
          <w:szCs w:val="21"/>
        </w:rPr>
        <w:t>（5）符合性审查、商务技术（技术资信）评审结束后，在线公布商务技术（技术资信）评审结果。</w:t>
      </w:r>
    </w:p>
    <w:p w14:paraId="630CF24A">
      <w:pPr>
        <w:spacing w:line="360" w:lineRule="auto"/>
        <w:ind w:firstLine="371" w:firstLineChars="177"/>
        <w:jc w:val="left"/>
        <w:rPr>
          <w:rFonts w:ascii="宋体" w:hAnsi="宋体" w:cs="Arial"/>
          <w:color w:val="auto"/>
          <w:kern w:val="0"/>
          <w:szCs w:val="21"/>
        </w:rPr>
      </w:pPr>
      <w:r>
        <w:rPr>
          <w:rFonts w:hint="eastAsia" w:ascii="宋体" w:hAnsi="宋体" w:cs="Arial"/>
          <w:color w:val="auto"/>
          <w:kern w:val="0"/>
          <w:szCs w:val="21"/>
        </w:rPr>
        <w:t>（6）开启符合性审查、商务技术（技术资信）评审有效投标人的《报价文件》，各供应商通过CA签字进行报价确认。</w:t>
      </w:r>
      <w:r>
        <w:rPr>
          <w:rFonts w:ascii="宋体" w:hAnsi="宋体" w:cs="Arial"/>
          <w:color w:val="auto"/>
          <w:kern w:val="0"/>
          <w:szCs w:val="21"/>
        </w:rPr>
        <w:t>结束后，由评标委员会对报价的合理性、准确性等进行审查核实</w:t>
      </w:r>
      <w:r>
        <w:rPr>
          <w:rFonts w:hint="eastAsia" w:ascii="宋体" w:hAnsi="宋体" w:cs="Arial"/>
          <w:color w:val="auto"/>
          <w:kern w:val="0"/>
          <w:szCs w:val="21"/>
        </w:rPr>
        <w:t>，</w:t>
      </w:r>
      <w:r>
        <w:rPr>
          <w:rFonts w:ascii="宋体" w:hAnsi="宋体" w:cs="Arial"/>
          <w:color w:val="auto"/>
          <w:kern w:val="0"/>
          <w:szCs w:val="21"/>
        </w:rPr>
        <w:t>并进行报价评审</w:t>
      </w:r>
      <w:r>
        <w:rPr>
          <w:rFonts w:hint="eastAsia" w:ascii="宋体" w:hAnsi="宋体" w:cs="Arial"/>
          <w:color w:val="auto"/>
          <w:kern w:val="0"/>
          <w:szCs w:val="21"/>
        </w:rPr>
        <w:t>。</w:t>
      </w:r>
    </w:p>
    <w:p w14:paraId="369AFD9D">
      <w:pPr>
        <w:spacing w:line="360" w:lineRule="auto"/>
        <w:ind w:firstLine="371" w:firstLineChars="177"/>
        <w:jc w:val="left"/>
        <w:rPr>
          <w:rFonts w:ascii="宋体" w:hAnsi="宋体" w:cs="宋体"/>
          <w:b/>
          <w:bCs/>
          <w:color w:val="auto"/>
          <w:szCs w:val="21"/>
        </w:rPr>
      </w:pPr>
      <w:r>
        <w:rPr>
          <w:rFonts w:hint="eastAsia" w:ascii="宋体" w:hAnsi="宋体" w:cs="Arial"/>
          <w:color w:val="auto"/>
          <w:kern w:val="0"/>
          <w:szCs w:val="21"/>
        </w:rPr>
        <w:t>（7）评审结束后，在政采云远程开标大厅公布评审结果。</w:t>
      </w:r>
    </w:p>
    <w:p w14:paraId="2DEF284B">
      <w:pPr>
        <w:spacing w:line="360" w:lineRule="auto"/>
        <w:ind w:firstLine="422" w:firstLineChars="200"/>
        <w:rPr>
          <w:rFonts w:ascii="宋体" w:hAnsi="宋体" w:cs="宋体"/>
          <w:b/>
          <w:bCs/>
          <w:color w:val="auto"/>
          <w:szCs w:val="21"/>
        </w:rPr>
      </w:pPr>
      <w:r>
        <w:rPr>
          <w:rFonts w:hint="eastAsia" w:ascii="宋体" w:hAnsi="宋体" w:cs="宋体"/>
          <w:b/>
          <w:bCs/>
          <w:color w:val="auto"/>
          <w:szCs w:val="21"/>
        </w:rPr>
        <w:t>特别说明：政采云公司如对电子化开标及评审程序有调整的，按调整后的程序操作。</w:t>
      </w:r>
    </w:p>
    <w:p w14:paraId="013D31F3">
      <w:pPr>
        <w:pStyle w:val="4"/>
        <w:spacing w:before="0" w:after="0" w:line="360" w:lineRule="auto"/>
        <w:jc w:val="center"/>
        <w:rPr>
          <w:color w:val="auto"/>
        </w:rPr>
      </w:pPr>
      <w:r>
        <w:rPr>
          <w:rFonts w:hint="eastAsia"/>
          <w:color w:val="auto"/>
        </w:rPr>
        <w:t>六、评标</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1"/>
    </w:p>
    <w:p w14:paraId="669BD1B7">
      <w:pPr>
        <w:spacing w:line="360" w:lineRule="auto"/>
        <w:rPr>
          <w:rFonts w:hAnsi="宋体"/>
          <w:b/>
          <w:color w:val="auto"/>
        </w:rPr>
      </w:pPr>
      <w:r>
        <w:rPr>
          <w:rFonts w:hint="eastAsia" w:hAnsi="宋体"/>
          <w:b/>
          <w:color w:val="auto"/>
        </w:rPr>
        <w:t>1.</w:t>
      </w:r>
      <w:r>
        <w:rPr>
          <w:rFonts w:hAnsi="宋体"/>
          <w:b/>
          <w:color w:val="auto"/>
        </w:rPr>
        <w:t>组建评标委员会</w:t>
      </w:r>
    </w:p>
    <w:p w14:paraId="487A6012">
      <w:pPr>
        <w:pStyle w:val="15"/>
        <w:snapToGrid w:val="0"/>
        <w:spacing w:line="360" w:lineRule="auto"/>
        <w:ind w:firstLine="420" w:firstLineChars="200"/>
        <w:rPr>
          <w:rFonts w:hAnsi="宋体" w:cs="宋体"/>
          <w:bCs/>
          <w:color w:val="auto"/>
          <w:kern w:val="0"/>
        </w:rPr>
      </w:pPr>
      <w:r>
        <w:rPr>
          <w:rFonts w:hAnsi="宋体"/>
          <w:color w:val="auto"/>
        </w:rPr>
        <w:t>本项目评标委员会由</w:t>
      </w:r>
      <w:r>
        <w:rPr>
          <w:rFonts w:hint="eastAsia" w:hAnsi="宋体" w:cs="宋体"/>
          <w:bCs/>
          <w:color w:val="auto"/>
          <w:kern w:val="0"/>
        </w:rPr>
        <w:t>共5人组成，</w:t>
      </w:r>
      <w:bookmarkStart w:id="122" w:name="_Toc262049425"/>
      <w:bookmarkStart w:id="123" w:name="_Toc410031821"/>
      <w:bookmarkStart w:id="124" w:name="_Toc262105510"/>
      <w:bookmarkStart w:id="125" w:name="_Toc249758871"/>
      <w:bookmarkStart w:id="126" w:name="_Toc249758721"/>
      <w:bookmarkStart w:id="127" w:name="_Toc221374629"/>
      <w:bookmarkStart w:id="128" w:name="_Toc249758715"/>
      <w:bookmarkStart w:id="129" w:name="_Toc221423622"/>
      <w:bookmarkStart w:id="130" w:name="_Toc241404205"/>
      <w:bookmarkStart w:id="131" w:name="_Toc239145357"/>
      <w:bookmarkStart w:id="132" w:name="_Toc223716001"/>
      <w:bookmarkStart w:id="133" w:name="_Toc262049421"/>
      <w:bookmarkStart w:id="134" w:name="_Toc249758867"/>
      <w:bookmarkStart w:id="135" w:name="_Toc410031819"/>
      <w:bookmarkStart w:id="136" w:name="_Toc245722284"/>
      <w:bookmarkStart w:id="137" w:name="_Toc246261268"/>
      <w:bookmarkStart w:id="138" w:name="_Toc262105506"/>
      <w:bookmarkStart w:id="139" w:name="_Toc222114882"/>
      <w:bookmarkStart w:id="140" w:name="_Toc221356954"/>
      <w:bookmarkStart w:id="141" w:name="_Toc245191317"/>
      <w:bookmarkStart w:id="142" w:name="_Toc221356890"/>
      <w:r>
        <w:rPr>
          <w:rFonts w:hint="eastAsia" w:hAnsi="宋体" w:cs="宋体"/>
          <w:bCs/>
          <w:color w:val="auto"/>
          <w:kern w:val="0"/>
        </w:rPr>
        <w:t>其中业主代表1名，其余4名从政府采购评审专家库中随机抽取产生。</w:t>
      </w:r>
    </w:p>
    <w:p w14:paraId="2AAEBBBE">
      <w:pPr>
        <w:pStyle w:val="15"/>
        <w:snapToGrid w:val="0"/>
        <w:spacing w:line="360" w:lineRule="auto"/>
        <w:rPr>
          <w:rFonts w:hAnsi="宋体"/>
          <w:b/>
          <w:color w:val="auto"/>
        </w:rPr>
      </w:pPr>
      <w:r>
        <w:rPr>
          <w:rFonts w:hint="eastAsia" w:hAnsi="宋体"/>
          <w:b/>
          <w:color w:val="auto"/>
        </w:rPr>
        <w:t>2.</w:t>
      </w:r>
      <w:r>
        <w:rPr>
          <w:rFonts w:hAnsi="宋体"/>
          <w:b/>
          <w:color w:val="auto"/>
        </w:rPr>
        <w:t>评标的方式</w:t>
      </w:r>
    </w:p>
    <w:p w14:paraId="23A9E65B">
      <w:pPr>
        <w:pStyle w:val="15"/>
        <w:snapToGrid w:val="0"/>
        <w:spacing w:line="360" w:lineRule="auto"/>
        <w:ind w:left="689" w:leftChars="228" w:hanging="210" w:hangingChars="100"/>
        <w:rPr>
          <w:rFonts w:hAnsi="宋体"/>
          <w:color w:val="auto"/>
        </w:rPr>
      </w:pPr>
      <w:r>
        <w:rPr>
          <w:rFonts w:hAnsi="宋体"/>
          <w:color w:val="auto"/>
        </w:rPr>
        <w:t>本项目采用不公开方式评标，评标的依据为招标文件和投标文件。</w:t>
      </w:r>
    </w:p>
    <w:p w14:paraId="6AE44648">
      <w:pPr>
        <w:pStyle w:val="15"/>
        <w:snapToGrid w:val="0"/>
        <w:spacing w:line="360" w:lineRule="auto"/>
        <w:rPr>
          <w:rFonts w:hAnsi="宋体"/>
          <w:b/>
          <w:color w:val="auto"/>
        </w:rPr>
      </w:pPr>
      <w:r>
        <w:rPr>
          <w:rFonts w:hint="eastAsia" w:hAnsi="宋体"/>
          <w:b/>
          <w:bCs/>
          <w:color w:val="auto"/>
        </w:rPr>
        <w:t>3.</w:t>
      </w:r>
      <w:r>
        <w:rPr>
          <w:rFonts w:hAnsi="宋体"/>
          <w:b/>
          <w:bCs/>
          <w:color w:val="auto"/>
        </w:rPr>
        <w:t>评标程序</w:t>
      </w:r>
    </w:p>
    <w:p w14:paraId="64E85523">
      <w:pPr>
        <w:snapToGrid w:val="0"/>
        <w:spacing w:line="360" w:lineRule="auto"/>
        <w:ind w:firstLine="413" w:firstLineChars="196"/>
        <w:rPr>
          <w:rFonts w:ascii="宋体" w:hAnsi="宋体"/>
          <w:b/>
          <w:bCs/>
          <w:color w:val="auto"/>
          <w:szCs w:val="21"/>
        </w:rPr>
      </w:pPr>
      <w:r>
        <w:rPr>
          <w:rFonts w:hint="eastAsia" w:ascii="宋体" w:hAnsi="宋体"/>
          <w:b/>
          <w:bCs/>
          <w:color w:val="auto"/>
          <w:szCs w:val="21"/>
        </w:rPr>
        <w:t>3.1</w:t>
      </w:r>
      <w:r>
        <w:rPr>
          <w:rFonts w:ascii="宋体" w:hAnsi="宋体"/>
          <w:b/>
          <w:bCs/>
          <w:color w:val="auto"/>
          <w:szCs w:val="21"/>
        </w:rPr>
        <w:t>形式审查</w:t>
      </w:r>
    </w:p>
    <w:p w14:paraId="4760862C">
      <w:pPr>
        <w:snapToGrid w:val="0"/>
        <w:spacing w:line="360" w:lineRule="auto"/>
        <w:ind w:firstLine="420" w:firstLineChars="200"/>
        <w:rPr>
          <w:rFonts w:ascii="宋体" w:hAnsi="宋体"/>
          <w:b/>
          <w:color w:val="auto"/>
          <w:szCs w:val="21"/>
        </w:rPr>
      </w:pPr>
      <w:r>
        <w:rPr>
          <w:rFonts w:hint="eastAsia" w:ascii="宋体" w:hAnsi="宋体"/>
          <w:color w:val="auto"/>
          <w:szCs w:val="21"/>
        </w:rPr>
        <w:t>采购单位代表和代理机构工作人员协助评标委员会对投标人的</w:t>
      </w:r>
      <w:r>
        <w:rPr>
          <w:rFonts w:ascii="宋体" w:hAnsi="宋体"/>
          <w:color w:val="auto"/>
          <w:szCs w:val="21"/>
        </w:rPr>
        <w:t>投标文件的完整性、合法性等进行审查。</w:t>
      </w:r>
    </w:p>
    <w:p w14:paraId="1EF3BFD9">
      <w:pPr>
        <w:snapToGrid w:val="0"/>
        <w:spacing w:line="360" w:lineRule="auto"/>
        <w:ind w:firstLine="413" w:firstLineChars="196"/>
        <w:rPr>
          <w:rFonts w:ascii="宋体" w:hAnsi="宋体"/>
          <w:b/>
          <w:bCs/>
          <w:color w:val="auto"/>
          <w:szCs w:val="21"/>
        </w:rPr>
      </w:pPr>
      <w:r>
        <w:rPr>
          <w:rFonts w:hint="eastAsia" w:ascii="宋体" w:hAnsi="宋体"/>
          <w:b/>
          <w:bCs/>
          <w:color w:val="auto"/>
          <w:szCs w:val="21"/>
        </w:rPr>
        <w:t>3.2</w:t>
      </w:r>
      <w:r>
        <w:rPr>
          <w:rFonts w:ascii="宋体" w:hAnsi="宋体"/>
          <w:b/>
          <w:bCs/>
          <w:color w:val="auto"/>
          <w:szCs w:val="21"/>
        </w:rPr>
        <w:t>实质审查与比较</w:t>
      </w:r>
    </w:p>
    <w:p w14:paraId="7FBA1563">
      <w:pPr>
        <w:snapToGrid w:val="0"/>
        <w:spacing w:line="360" w:lineRule="auto"/>
        <w:ind w:firstLine="420" w:firstLineChars="200"/>
        <w:rPr>
          <w:rFonts w:ascii="宋体" w:hAnsi="宋体"/>
          <w:color w:val="auto"/>
          <w:szCs w:val="21"/>
        </w:rPr>
      </w:pPr>
      <w:r>
        <w:rPr>
          <w:rFonts w:hint="eastAsia" w:ascii="宋体" w:hAnsi="宋体"/>
          <w:color w:val="auto"/>
          <w:szCs w:val="21"/>
        </w:rPr>
        <w:t>（</w:t>
      </w:r>
      <w:r>
        <w:rPr>
          <w:rFonts w:ascii="宋体" w:hAnsi="宋体"/>
          <w:color w:val="auto"/>
          <w:szCs w:val="21"/>
        </w:rPr>
        <w:t>1）评标委员会审查投标文件的实质性内容是否符合招标文件的实质性要求。</w:t>
      </w:r>
    </w:p>
    <w:p w14:paraId="2E2E5386">
      <w:pPr>
        <w:snapToGrid w:val="0"/>
        <w:spacing w:line="360" w:lineRule="auto"/>
        <w:ind w:firstLine="420" w:firstLineChars="200"/>
        <w:rPr>
          <w:rFonts w:ascii="宋体" w:hAnsi="宋体"/>
          <w:color w:val="auto"/>
          <w:szCs w:val="21"/>
        </w:rPr>
      </w:pPr>
      <w:r>
        <w:rPr>
          <w:rFonts w:hint="eastAsia" w:ascii="宋体" w:hAnsi="宋体"/>
          <w:color w:val="auto"/>
          <w:szCs w:val="21"/>
        </w:rPr>
        <w:t>（</w:t>
      </w:r>
      <w:r>
        <w:rPr>
          <w:rFonts w:ascii="宋体" w:hAnsi="宋体"/>
          <w:color w:val="auto"/>
          <w:szCs w:val="21"/>
        </w:rPr>
        <w:t>2）评标委员会根据投标人的投标文件进行审查、核对</w:t>
      </w:r>
      <w:r>
        <w:rPr>
          <w:rFonts w:hint="eastAsia" w:ascii="宋体" w:hAnsi="宋体"/>
          <w:color w:val="auto"/>
          <w:szCs w:val="21"/>
        </w:rPr>
        <w:t>，</w:t>
      </w:r>
      <w:r>
        <w:rPr>
          <w:rFonts w:ascii="宋体" w:hAnsi="宋体"/>
          <w:color w:val="auto"/>
          <w:szCs w:val="21"/>
        </w:rPr>
        <w:t>如有疑问,对投标人进行</w:t>
      </w:r>
      <w:r>
        <w:rPr>
          <w:rFonts w:hint="eastAsia" w:ascii="宋体" w:hAnsi="宋体"/>
          <w:color w:val="auto"/>
          <w:szCs w:val="21"/>
        </w:rPr>
        <w:t>在线</w:t>
      </w:r>
      <w:r>
        <w:rPr>
          <w:rFonts w:ascii="宋体" w:hAnsi="宋体"/>
          <w:color w:val="auto"/>
          <w:szCs w:val="21"/>
        </w:rPr>
        <w:t>询标</w:t>
      </w:r>
      <w:r>
        <w:rPr>
          <w:rFonts w:hint="eastAsia" w:ascii="宋体" w:hAnsi="宋体"/>
          <w:color w:val="auto"/>
          <w:szCs w:val="21"/>
        </w:rPr>
        <w:t>，</w:t>
      </w:r>
      <w:r>
        <w:rPr>
          <w:rFonts w:ascii="宋体" w:hAnsi="宋体"/>
          <w:color w:val="auto"/>
          <w:szCs w:val="21"/>
        </w:rPr>
        <w:t>投标人要向评标委员会澄清有关问题</w:t>
      </w:r>
      <w:r>
        <w:rPr>
          <w:rFonts w:hint="eastAsia" w:ascii="宋体" w:hAnsi="宋体"/>
          <w:color w:val="auto"/>
          <w:szCs w:val="21"/>
        </w:rPr>
        <w:t>，</w:t>
      </w:r>
      <w:r>
        <w:rPr>
          <w:rFonts w:ascii="宋体" w:hAnsi="宋体"/>
          <w:color w:val="auto"/>
          <w:szCs w:val="21"/>
        </w:rPr>
        <w:t>并最终以书面形式进行答复。</w:t>
      </w:r>
    </w:p>
    <w:p w14:paraId="28FE1BCD">
      <w:pPr>
        <w:snapToGrid w:val="0"/>
        <w:spacing w:line="360" w:lineRule="auto"/>
        <w:rPr>
          <w:rFonts w:ascii="宋体" w:hAnsi="宋体"/>
          <w:color w:val="auto"/>
          <w:szCs w:val="21"/>
        </w:rPr>
      </w:pPr>
      <w:r>
        <w:rPr>
          <w:rFonts w:hint="eastAsia" w:ascii="宋体" w:hAnsi="宋体"/>
          <w:color w:val="auto"/>
          <w:szCs w:val="21"/>
        </w:rPr>
        <w:t xml:space="preserve">    投标人代表拒绝澄清或者未按规定时间提交澄清文件或者澄清的内容改变了投标文件的实质性内容的，评标委员会有权对该投标文件作出不利于投标人的评判。</w:t>
      </w:r>
    </w:p>
    <w:p w14:paraId="2417F432">
      <w:pPr>
        <w:snapToGrid w:val="0"/>
        <w:spacing w:line="360" w:lineRule="auto"/>
        <w:ind w:firstLine="420" w:firstLineChars="200"/>
        <w:rPr>
          <w:rFonts w:ascii="宋体" w:hAnsi="宋体"/>
          <w:color w:val="auto"/>
          <w:szCs w:val="21"/>
        </w:rPr>
      </w:pPr>
      <w:r>
        <w:rPr>
          <w:rFonts w:hint="eastAsia" w:ascii="宋体" w:hAnsi="宋体"/>
          <w:color w:val="auto"/>
          <w:szCs w:val="21"/>
        </w:rPr>
        <w:t>（</w:t>
      </w:r>
      <w:r>
        <w:rPr>
          <w:rFonts w:ascii="宋体" w:hAnsi="宋体"/>
          <w:color w:val="auto"/>
          <w:szCs w:val="21"/>
        </w:rPr>
        <w:t>3）各投标人的</w:t>
      </w:r>
      <w:r>
        <w:rPr>
          <w:rFonts w:hint="eastAsia" w:ascii="宋体" w:hAnsi="宋体"/>
          <w:color w:val="auto"/>
          <w:szCs w:val="21"/>
        </w:rPr>
        <w:t>技术</w:t>
      </w:r>
      <w:r>
        <w:rPr>
          <w:rFonts w:ascii="宋体" w:hAnsi="宋体"/>
          <w:color w:val="auto"/>
          <w:szCs w:val="21"/>
        </w:rPr>
        <w:t>分为所有评委的有效评分的算术平均数</w:t>
      </w:r>
      <w:r>
        <w:rPr>
          <w:rFonts w:hint="eastAsia" w:ascii="宋体" w:hAnsi="宋体"/>
          <w:color w:val="auto"/>
          <w:szCs w:val="21"/>
        </w:rPr>
        <w:t>，资信分由评委依据评审依据和评审标准打分</w:t>
      </w:r>
      <w:r>
        <w:rPr>
          <w:rFonts w:ascii="宋体" w:hAnsi="宋体"/>
          <w:color w:val="auto"/>
          <w:szCs w:val="21"/>
        </w:rPr>
        <w:t>。</w:t>
      </w:r>
    </w:p>
    <w:p w14:paraId="43C0694C">
      <w:pPr>
        <w:snapToGrid w:val="0"/>
        <w:spacing w:line="360" w:lineRule="auto"/>
        <w:ind w:firstLine="420" w:firstLineChars="200"/>
        <w:rPr>
          <w:rFonts w:ascii="宋体" w:hAnsi="宋体"/>
          <w:color w:val="auto"/>
          <w:szCs w:val="21"/>
        </w:rPr>
      </w:pPr>
      <w:r>
        <w:rPr>
          <w:rFonts w:hint="eastAsia" w:ascii="宋体" w:hAnsi="宋体"/>
          <w:color w:val="auto"/>
          <w:szCs w:val="21"/>
        </w:rPr>
        <w:t>（</w:t>
      </w:r>
      <w:r>
        <w:rPr>
          <w:rFonts w:ascii="宋体" w:hAnsi="宋体"/>
          <w:color w:val="auto"/>
          <w:szCs w:val="21"/>
        </w:rPr>
        <w:t>4）</w:t>
      </w:r>
      <w:r>
        <w:rPr>
          <w:rFonts w:hint="eastAsia" w:ascii="宋体" w:hAnsi="宋体"/>
          <w:color w:val="auto"/>
          <w:szCs w:val="21"/>
        </w:rPr>
        <w:t>采购组织机构可协助评审小组组长对打分结果进行校对、核对并汇总统计；对明显畸高、畸低的评分（其总评分偏离平均分30%以上的），评审小组组长应提醒相关评审人员进行复核或书面说明理由，评审人员拒绝说明的，由现场监督员据实记录。</w:t>
      </w:r>
    </w:p>
    <w:p w14:paraId="09C91FBC">
      <w:pPr>
        <w:snapToGrid w:val="0"/>
        <w:spacing w:line="360" w:lineRule="auto"/>
        <w:ind w:firstLine="420" w:firstLineChars="200"/>
        <w:rPr>
          <w:rFonts w:ascii="宋体" w:hAnsi="宋体"/>
          <w:color w:val="auto"/>
          <w:szCs w:val="21"/>
        </w:rPr>
      </w:pPr>
      <w:r>
        <w:rPr>
          <w:rFonts w:hint="eastAsia" w:ascii="宋体" w:hAnsi="宋体"/>
          <w:color w:val="auto"/>
          <w:szCs w:val="21"/>
        </w:rPr>
        <w:t>（</w:t>
      </w:r>
      <w:r>
        <w:rPr>
          <w:rFonts w:ascii="宋体" w:hAnsi="宋体"/>
          <w:color w:val="auto"/>
          <w:szCs w:val="21"/>
        </w:rPr>
        <w:t>5）评标委员会完成评标后</w:t>
      </w:r>
      <w:r>
        <w:rPr>
          <w:rFonts w:hint="eastAsia" w:ascii="宋体" w:hAnsi="宋体"/>
          <w:color w:val="auto"/>
          <w:szCs w:val="21"/>
        </w:rPr>
        <w:t>，</w:t>
      </w:r>
      <w:r>
        <w:rPr>
          <w:rFonts w:ascii="宋体" w:hAnsi="宋体"/>
          <w:color w:val="auto"/>
          <w:szCs w:val="21"/>
        </w:rPr>
        <w:t>评委对各部分得分汇总</w:t>
      </w:r>
      <w:r>
        <w:rPr>
          <w:rFonts w:hint="eastAsia" w:ascii="宋体" w:hAnsi="宋体"/>
          <w:color w:val="auto"/>
          <w:szCs w:val="21"/>
        </w:rPr>
        <w:t>，计算</w:t>
      </w:r>
      <w:r>
        <w:rPr>
          <w:rFonts w:ascii="宋体" w:hAnsi="宋体"/>
          <w:color w:val="auto"/>
          <w:szCs w:val="21"/>
        </w:rPr>
        <w:t>出本项目</w:t>
      </w:r>
      <w:r>
        <w:rPr>
          <w:rFonts w:hint="eastAsia" w:ascii="宋体" w:hAnsi="宋体"/>
          <w:color w:val="auto"/>
          <w:szCs w:val="21"/>
        </w:rPr>
        <w:t>最终得分等</w:t>
      </w:r>
      <w:r>
        <w:rPr>
          <w:rFonts w:ascii="宋体" w:hAnsi="宋体"/>
          <w:color w:val="auto"/>
          <w:szCs w:val="21"/>
        </w:rPr>
        <w:t>。评标委员会按评标原则推荐中标候选人同时起草评标报告。</w:t>
      </w:r>
    </w:p>
    <w:p w14:paraId="7CB393B8">
      <w:pPr>
        <w:snapToGrid w:val="0"/>
        <w:spacing w:line="360" w:lineRule="auto"/>
        <w:rPr>
          <w:rFonts w:ascii="宋体" w:hAnsi="宋体"/>
          <w:b/>
          <w:color w:val="auto"/>
          <w:szCs w:val="21"/>
        </w:rPr>
      </w:pPr>
      <w:r>
        <w:rPr>
          <w:rFonts w:hint="eastAsia" w:ascii="宋体" w:hAnsi="宋体"/>
          <w:b/>
          <w:color w:val="auto"/>
          <w:szCs w:val="21"/>
        </w:rPr>
        <w:t>4.澄清问题的形式</w:t>
      </w:r>
    </w:p>
    <w:p w14:paraId="30F0C5A7">
      <w:pPr>
        <w:snapToGrid w:val="0"/>
        <w:spacing w:line="360" w:lineRule="auto"/>
        <w:ind w:firstLine="420" w:firstLineChars="200"/>
        <w:rPr>
          <w:rFonts w:ascii="宋体" w:hAnsi="宋体"/>
          <w:color w:val="auto"/>
          <w:szCs w:val="21"/>
        </w:rPr>
      </w:pPr>
      <w:r>
        <w:rPr>
          <w:rFonts w:hint="eastAsia" w:ascii="宋体" w:hAnsi="宋体"/>
          <w:color w:val="auto"/>
          <w:szCs w:val="21"/>
        </w:rPr>
        <w:t>对投标文件中含义不明确、同类问题表述不一致或者有明显文字和计算错误的内容，评标委员会可要求投标人作出必要的澄清、说明或者纠正。投标人的澄清、说明或者补正应当采用书面形式，由其授权代表签字或盖章确认，并不得超出投标文件的范围或者改变投标文件的实质性内容。</w:t>
      </w:r>
    </w:p>
    <w:p w14:paraId="51002D25">
      <w:pPr>
        <w:pStyle w:val="2"/>
        <w:spacing w:line="360" w:lineRule="auto"/>
        <w:ind w:firstLine="401"/>
        <w:jc w:val="left"/>
        <w:rPr>
          <w:rFonts w:ascii="宋体" w:hAnsi="宋体" w:eastAsia="宋体"/>
          <w:b w:val="0"/>
          <w:bCs w:val="0"/>
          <w:color w:val="auto"/>
          <w:kern w:val="2"/>
          <w:sz w:val="21"/>
          <w:szCs w:val="21"/>
        </w:rPr>
      </w:pPr>
      <w:bookmarkStart w:id="143" w:name="_Toc24561"/>
      <w:bookmarkStart w:id="144" w:name="_Toc12312"/>
      <w:r>
        <w:rPr>
          <w:rFonts w:hint="eastAsia" w:ascii="宋体" w:hAnsi="宋体" w:eastAsia="宋体"/>
          <w:b w:val="0"/>
          <w:bCs w:val="0"/>
          <w:color w:val="auto"/>
          <w:kern w:val="2"/>
          <w:sz w:val="21"/>
          <w:szCs w:val="21"/>
        </w:rPr>
        <w:t>经澄清后，若偏差仍存在，且不可接受，投标人则被认为是“没有实质性响应招标文件要求”，其投标不进入下一步评审。</w:t>
      </w:r>
      <w:bookmarkEnd w:id="143"/>
      <w:bookmarkEnd w:id="144"/>
    </w:p>
    <w:p w14:paraId="09DB3935">
      <w:pPr>
        <w:pStyle w:val="2"/>
        <w:spacing w:line="360" w:lineRule="auto"/>
        <w:jc w:val="left"/>
        <w:rPr>
          <w:rFonts w:ascii="宋体" w:hAnsi="宋体" w:eastAsia="宋体"/>
          <w:bCs w:val="0"/>
          <w:color w:val="auto"/>
          <w:kern w:val="2"/>
          <w:sz w:val="21"/>
          <w:szCs w:val="21"/>
        </w:rPr>
      </w:pPr>
      <w:r>
        <w:rPr>
          <w:rFonts w:hint="eastAsia" w:ascii="宋体" w:hAnsi="宋体" w:eastAsia="宋体"/>
          <w:bCs w:val="0"/>
          <w:color w:val="auto"/>
          <w:kern w:val="2"/>
          <w:sz w:val="21"/>
          <w:szCs w:val="21"/>
        </w:rPr>
        <w:t>5.错误修正</w:t>
      </w:r>
    </w:p>
    <w:p w14:paraId="30FE4E36">
      <w:pPr>
        <w:pStyle w:val="15"/>
        <w:snapToGrid w:val="0"/>
        <w:spacing w:line="360" w:lineRule="auto"/>
        <w:ind w:left="689" w:leftChars="228" w:hanging="210" w:hangingChars="100"/>
        <w:rPr>
          <w:rFonts w:hAnsi="宋体"/>
          <w:color w:val="auto"/>
        </w:rPr>
      </w:pPr>
      <w:r>
        <w:rPr>
          <w:rFonts w:hAnsi="宋体"/>
          <w:color w:val="auto"/>
        </w:rPr>
        <w:t>投标文件如果出现计算或表达上的错误，修正错误的原则如下：</w:t>
      </w:r>
    </w:p>
    <w:p w14:paraId="51E0F706">
      <w:pPr>
        <w:pStyle w:val="15"/>
        <w:snapToGrid w:val="0"/>
        <w:spacing w:line="360" w:lineRule="auto"/>
        <w:ind w:firstLine="420" w:firstLineChars="200"/>
        <w:rPr>
          <w:rFonts w:hAnsi="宋体"/>
          <w:color w:val="auto"/>
        </w:rPr>
      </w:pPr>
      <w:r>
        <w:rPr>
          <w:rFonts w:hint="eastAsia" w:hAnsi="宋体"/>
          <w:color w:val="auto"/>
        </w:rPr>
        <w:t>（1）投标文件中开标一览表（报价表）内容与投标文件中相应内容不一致的，以开标一览表（报价表）为准；</w:t>
      </w:r>
    </w:p>
    <w:p w14:paraId="33DCB053">
      <w:pPr>
        <w:pStyle w:val="15"/>
        <w:snapToGrid w:val="0"/>
        <w:spacing w:line="360" w:lineRule="auto"/>
        <w:ind w:firstLine="420" w:firstLineChars="200"/>
        <w:rPr>
          <w:rFonts w:hAnsi="宋体"/>
          <w:color w:val="auto"/>
        </w:rPr>
      </w:pPr>
      <w:r>
        <w:rPr>
          <w:rFonts w:hint="eastAsia" w:hAnsi="宋体"/>
          <w:color w:val="auto"/>
        </w:rPr>
        <w:t>（2）大写金额和小写金额不一致的，以大写金额为准；</w:t>
      </w:r>
    </w:p>
    <w:p w14:paraId="70F62213">
      <w:pPr>
        <w:pStyle w:val="15"/>
        <w:snapToGrid w:val="0"/>
        <w:spacing w:line="360" w:lineRule="auto"/>
        <w:ind w:firstLine="420" w:firstLineChars="200"/>
        <w:rPr>
          <w:rFonts w:hAnsi="宋体"/>
          <w:color w:val="auto"/>
        </w:rPr>
      </w:pPr>
      <w:r>
        <w:rPr>
          <w:rFonts w:hint="eastAsia" w:hAnsi="宋体"/>
          <w:color w:val="auto"/>
        </w:rPr>
        <w:t>（3）单价金额小数点或者百分比有明显错位的，以开标一览表的总价为准，并修改单价；</w:t>
      </w:r>
    </w:p>
    <w:p w14:paraId="6CFE3954">
      <w:pPr>
        <w:pStyle w:val="15"/>
        <w:snapToGrid w:val="0"/>
        <w:spacing w:line="360" w:lineRule="auto"/>
        <w:ind w:firstLine="420" w:firstLineChars="200"/>
        <w:rPr>
          <w:rFonts w:hAnsi="宋体"/>
          <w:color w:val="auto"/>
        </w:rPr>
      </w:pPr>
      <w:r>
        <w:rPr>
          <w:rFonts w:hint="eastAsia" w:hAnsi="宋体"/>
          <w:color w:val="auto"/>
        </w:rPr>
        <w:t>（4）总价金额与按单价汇总金额不一致的，以单价金额计算结果为准。</w:t>
      </w:r>
    </w:p>
    <w:p w14:paraId="35E60148">
      <w:pPr>
        <w:pStyle w:val="15"/>
        <w:snapToGrid w:val="0"/>
        <w:spacing w:line="360" w:lineRule="auto"/>
        <w:ind w:firstLine="422" w:firstLineChars="200"/>
        <w:rPr>
          <w:rFonts w:hAnsi="宋体"/>
          <w:b/>
          <w:bCs/>
          <w:color w:val="auto"/>
        </w:rPr>
      </w:pPr>
      <w:r>
        <w:rPr>
          <w:rFonts w:hint="eastAsia" w:hAnsi="宋体"/>
          <w:b/>
          <w:bCs/>
          <w:color w:val="auto"/>
        </w:rPr>
        <w:t>同时出现两种以上不一致的，按照前款规定的顺序修正。</w:t>
      </w:r>
      <w:r>
        <w:rPr>
          <w:rFonts w:hAnsi="宋体"/>
          <w:b/>
          <w:bCs/>
          <w:color w:val="auto"/>
        </w:rPr>
        <w:t>按上述修正错误的原则及方法调整或修正投标文件的投标报价</w:t>
      </w:r>
      <w:r>
        <w:rPr>
          <w:rFonts w:hint="eastAsia" w:hAnsi="宋体"/>
          <w:b/>
          <w:bCs/>
          <w:color w:val="auto"/>
        </w:rPr>
        <w:t>应当采用书面形式，并加盖公章。</w:t>
      </w:r>
      <w:r>
        <w:rPr>
          <w:rFonts w:hAnsi="宋体"/>
          <w:b/>
          <w:bCs/>
          <w:color w:val="auto"/>
        </w:rPr>
        <w:t>投标人</w:t>
      </w:r>
      <w:r>
        <w:rPr>
          <w:rFonts w:hint="eastAsia" w:hAnsi="宋体"/>
          <w:b/>
          <w:bCs/>
          <w:color w:val="auto"/>
        </w:rPr>
        <w:t>确认</w:t>
      </w:r>
      <w:r>
        <w:rPr>
          <w:rFonts w:hAnsi="宋体"/>
          <w:b/>
          <w:bCs/>
          <w:color w:val="auto"/>
        </w:rPr>
        <w:t>后</w:t>
      </w:r>
      <w:r>
        <w:rPr>
          <w:rFonts w:hint="eastAsia" w:hAnsi="宋体"/>
          <w:b/>
          <w:bCs/>
          <w:color w:val="auto"/>
        </w:rPr>
        <w:t>产生约束力，投标人不确认的，其投标无效</w:t>
      </w:r>
      <w:r>
        <w:rPr>
          <w:rFonts w:hAnsi="宋体"/>
          <w:b/>
          <w:bCs/>
          <w:color w:val="auto"/>
        </w:rPr>
        <w:t>。</w:t>
      </w:r>
    </w:p>
    <w:p w14:paraId="4EA48B9F">
      <w:pPr>
        <w:pStyle w:val="15"/>
        <w:snapToGrid w:val="0"/>
        <w:spacing w:line="360" w:lineRule="auto"/>
        <w:rPr>
          <w:rFonts w:hAnsi="宋体"/>
          <w:b/>
          <w:color w:val="auto"/>
        </w:rPr>
      </w:pPr>
      <w:r>
        <w:rPr>
          <w:rFonts w:hint="eastAsia" w:hAnsi="宋体"/>
          <w:b/>
          <w:color w:val="auto"/>
        </w:rPr>
        <w:t>6.</w:t>
      </w:r>
      <w:r>
        <w:rPr>
          <w:rFonts w:hAnsi="宋体"/>
          <w:b/>
          <w:color w:val="auto"/>
        </w:rPr>
        <w:t>评标原则和评标办法</w:t>
      </w:r>
    </w:p>
    <w:p w14:paraId="71A20548">
      <w:pPr>
        <w:pStyle w:val="15"/>
        <w:snapToGrid w:val="0"/>
        <w:spacing w:line="360" w:lineRule="auto"/>
        <w:ind w:firstLine="420" w:firstLineChars="200"/>
        <w:rPr>
          <w:rFonts w:hAnsi="宋体"/>
          <w:color w:val="auto"/>
        </w:rPr>
      </w:pPr>
      <w:r>
        <w:rPr>
          <w:rFonts w:hint="eastAsia" w:hAnsi="宋体"/>
          <w:color w:val="auto"/>
        </w:rPr>
        <w:t>6.1</w:t>
      </w:r>
      <w:r>
        <w:rPr>
          <w:rFonts w:hAnsi="宋体"/>
          <w:color w:val="auto"/>
        </w:rPr>
        <w:t>评标原则。评标委员会必须公平、公正、客观，不带任何倾向性和启发性；不得向外界透露任何</w:t>
      </w:r>
      <w:r>
        <w:rPr>
          <w:rFonts w:hint="eastAsia" w:hAnsi="宋体"/>
          <w:color w:val="auto"/>
        </w:rPr>
        <w:t>与评标有关的内容；任何单位和个人不得干扰、影响评标的正常进行；评标委员会及有关工作人员不得私下与投标人接触。</w:t>
      </w:r>
    </w:p>
    <w:p w14:paraId="617946E8">
      <w:pPr>
        <w:pStyle w:val="15"/>
        <w:snapToGrid w:val="0"/>
        <w:spacing w:line="360" w:lineRule="auto"/>
        <w:ind w:firstLine="420" w:firstLineChars="200"/>
        <w:rPr>
          <w:rFonts w:hAnsi="宋体"/>
          <w:color w:val="auto"/>
        </w:rPr>
      </w:pPr>
      <w:r>
        <w:rPr>
          <w:rFonts w:hint="eastAsia" w:hAnsi="宋体"/>
          <w:color w:val="auto"/>
        </w:rPr>
        <w:t>6.2</w:t>
      </w:r>
      <w:r>
        <w:rPr>
          <w:rFonts w:hAnsi="宋体"/>
          <w:color w:val="auto"/>
        </w:rPr>
        <w:t>评标办法。本项目评标办法是</w:t>
      </w:r>
      <w:r>
        <w:rPr>
          <w:rFonts w:hint="eastAsia" w:hAnsi="宋体"/>
          <w:color w:val="auto"/>
        </w:rPr>
        <w:t>综合评分法</w:t>
      </w:r>
      <w:r>
        <w:rPr>
          <w:rFonts w:hAnsi="宋体"/>
          <w:color w:val="auto"/>
        </w:rPr>
        <w:t>，具体评标内容及评分标准等详见《第</w:t>
      </w:r>
      <w:r>
        <w:rPr>
          <w:rFonts w:hint="eastAsia" w:hAnsi="宋体"/>
          <w:color w:val="auto"/>
        </w:rPr>
        <w:t>五</w:t>
      </w:r>
      <w:r>
        <w:rPr>
          <w:rFonts w:hAnsi="宋体"/>
          <w:color w:val="auto"/>
        </w:rPr>
        <w:t>章：评标</w:t>
      </w:r>
      <w:r>
        <w:rPr>
          <w:rFonts w:hint="eastAsia" w:hAnsi="宋体"/>
          <w:color w:val="auto"/>
        </w:rPr>
        <w:t>原则及方法</w:t>
      </w:r>
      <w:r>
        <w:rPr>
          <w:rFonts w:hAnsi="宋体"/>
          <w:color w:val="auto"/>
        </w:rPr>
        <w:t>》。</w:t>
      </w:r>
    </w:p>
    <w:p w14:paraId="31394464">
      <w:pPr>
        <w:pStyle w:val="15"/>
        <w:snapToGrid w:val="0"/>
        <w:spacing w:line="360" w:lineRule="auto"/>
        <w:rPr>
          <w:rFonts w:hAnsi="宋体"/>
          <w:b/>
          <w:bCs/>
          <w:color w:val="auto"/>
        </w:rPr>
      </w:pPr>
      <w:r>
        <w:rPr>
          <w:rFonts w:hint="eastAsia" w:hAnsi="宋体"/>
          <w:b/>
          <w:bCs/>
          <w:color w:val="auto"/>
        </w:rPr>
        <w:t>7.无效标条款</w:t>
      </w:r>
    </w:p>
    <w:p w14:paraId="702E5165">
      <w:pPr>
        <w:snapToGrid w:val="0"/>
        <w:spacing w:line="360" w:lineRule="auto"/>
        <w:ind w:firstLine="422" w:firstLineChars="200"/>
        <w:rPr>
          <w:rFonts w:ascii="宋体" w:hAnsi="宋体"/>
          <w:b/>
          <w:color w:val="auto"/>
          <w:szCs w:val="21"/>
        </w:rPr>
      </w:pPr>
      <w:r>
        <w:rPr>
          <w:rFonts w:hint="eastAsia" w:hAnsi="宋体"/>
          <w:b/>
          <w:bCs/>
          <w:color w:val="auto"/>
        </w:rPr>
        <w:t>7.1</w:t>
      </w:r>
      <w:r>
        <w:rPr>
          <w:rFonts w:hint="eastAsia" w:ascii="宋体" w:hAnsi="宋体"/>
          <w:b/>
          <w:color w:val="auto"/>
          <w:szCs w:val="21"/>
        </w:rPr>
        <w:t>开标时，如出现以下情况之一的，则投标文件无效：</w:t>
      </w:r>
    </w:p>
    <w:p w14:paraId="55D8F776">
      <w:pPr>
        <w:snapToGrid w:val="0"/>
        <w:spacing w:line="360" w:lineRule="auto"/>
        <w:ind w:firstLine="422" w:firstLineChars="200"/>
        <w:rPr>
          <w:rFonts w:ascii="宋体" w:hAnsi="宋体"/>
          <w:b/>
          <w:color w:val="auto"/>
          <w:szCs w:val="21"/>
        </w:rPr>
      </w:pPr>
      <w:r>
        <w:rPr>
          <w:rFonts w:hint="eastAsia" w:ascii="宋体" w:hAnsi="宋体"/>
          <w:b/>
          <w:color w:val="auto"/>
          <w:szCs w:val="21"/>
        </w:rPr>
        <w:t>（1）投标文件未按招标文件要求签署、签章的；</w:t>
      </w:r>
    </w:p>
    <w:p w14:paraId="4B34B438">
      <w:pPr>
        <w:snapToGrid w:val="0"/>
        <w:spacing w:line="360" w:lineRule="auto"/>
        <w:ind w:firstLine="422" w:firstLineChars="200"/>
        <w:rPr>
          <w:rFonts w:ascii="宋体" w:hAnsi="宋体"/>
          <w:b/>
          <w:color w:val="auto"/>
          <w:szCs w:val="21"/>
        </w:rPr>
      </w:pPr>
      <w:r>
        <w:rPr>
          <w:rFonts w:hint="eastAsia" w:ascii="宋体" w:hAnsi="宋体"/>
          <w:b/>
          <w:color w:val="auto"/>
          <w:szCs w:val="21"/>
        </w:rPr>
        <w:t>（2）不具备招标文件中规定的资格要求的；</w:t>
      </w:r>
    </w:p>
    <w:p w14:paraId="3119D50F">
      <w:pPr>
        <w:snapToGrid w:val="0"/>
        <w:spacing w:line="360" w:lineRule="auto"/>
        <w:ind w:firstLine="422" w:firstLineChars="200"/>
        <w:rPr>
          <w:rFonts w:ascii="宋体" w:hAnsi="宋体"/>
          <w:b/>
          <w:color w:val="auto"/>
          <w:szCs w:val="21"/>
        </w:rPr>
      </w:pPr>
      <w:r>
        <w:rPr>
          <w:rFonts w:hint="eastAsia" w:ascii="宋体" w:hAnsi="宋体"/>
          <w:b/>
          <w:color w:val="auto"/>
          <w:szCs w:val="21"/>
        </w:rPr>
        <w:t>（3）报价超过招标文件中规定的预算金额的；</w:t>
      </w:r>
    </w:p>
    <w:p w14:paraId="205A0D48">
      <w:pPr>
        <w:snapToGrid w:val="0"/>
        <w:spacing w:line="360" w:lineRule="auto"/>
        <w:ind w:firstLine="422" w:firstLineChars="200"/>
        <w:rPr>
          <w:rFonts w:ascii="宋体" w:hAnsi="宋体"/>
          <w:b/>
          <w:color w:val="auto"/>
          <w:szCs w:val="21"/>
        </w:rPr>
      </w:pPr>
      <w:r>
        <w:rPr>
          <w:rFonts w:hint="eastAsia" w:ascii="宋体" w:hAnsi="宋体"/>
          <w:b/>
          <w:color w:val="auto"/>
          <w:szCs w:val="21"/>
        </w:rPr>
        <w:t>（4）投标文件含有采购单位不能接受的附加条件的；</w:t>
      </w:r>
    </w:p>
    <w:p w14:paraId="6D265CF6">
      <w:pPr>
        <w:snapToGrid w:val="0"/>
        <w:spacing w:line="360" w:lineRule="auto"/>
        <w:ind w:firstLine="422" w:firstLineChars="200"/>
        <w:rPr>
          <w:rFonts w:hint="eastAsia" w:ascii="宋体" w:hAnsi="宋体"/>
          <w:b/>
          <w:color w:val="auto"/>
          <w:szCs w:val="21"/>
        </w:rPr>
      </w:pPr>
      <w:r>
        <w:rPr>
          <w:rFonts w:hint="eastAsia" w:ascii="宋体" w:hAnsi="宋体"/>
          <w:b/>
          <w:color w:val="auto"/>
          <w:szCs w:val="21"/>
        </w:rPr>
        <w:t>（5）法律、法规和招标文件规定的其他无效情形；</w:t>
      </w:r>
    </w:p>
    <w:p w14:paraId="30EDCF5D">
      <w:pPr>
        <w:snapToGrid w:val="0"/>
        <w:spacing w:line="360" w:lineRule="auto"/>
        <w:ind w:firstLine="422" w:firstLineChars="200"/>
        <w:rPr>
          <w:rFonts w:hint="eastAsia" w:ascii="宋体" w:hAnsi="宋体"/>
          <w:b/>
          <w:color w:val="auto"/>
          <w:szCs w:val="21"/>
        </w:rPr>
      </w:pPr>
      <w:r>
        <w:rPr>
          <w:rFonts w:hint="eastAsia" w:ascii="宋体" w:hAnsi="宋体"/>
          <w:b/>
          <w:color w:val="auto"/>
          <w:szCs w:val="21"/>
        </w:rPr>
        <w:t>（6）投标文件明显不符合采购文件要求的或者与采购文件标注“▲”的条款发生实质性负偏离的。</w:t>
      </w:r>
    </w:p>
    <w:p w14:paraId="20A14970">
      <w:pPr>
        <w:snapToGrid w:val="0"/>
        <w:spacing w:line="360" w:lineRule="auto"/>
        <w:ind w:firstLine="422" w:firstLineChars="200"/>
        <w:rPr>
          <w:rFonts w:hint="eastAsia" w:ascii="宋体" w:hAnsi="宋体"/>
          <w:b/>
          <w:color w:val="auto"/>
          <w:szCs w:val="21"/>
        </w:rPr>
      </w:pPr>
      <w:r>
        <w:rPr>
          <w:rFonts w:hint="eastAsia" w:ascii="宋体" w:hAnsi="宋体"/>
          <w:b/>
          <w:color w:val="auto"/>
          <w:szCs w:val="21"/>
        </w:rPr>
        <w:t>（7）响应文件解密失败的。</w:t>
      </w:r>
    </w:p>
    <w:p w14:paraId="7C41D5C2">
      <w:pPr>
        <w:snapToGrid w:val="0"/>
        <w:spacing w:line="360" w:lineRule="auto"/>
        <w:ind w:firstLine="422" w:firstLineChars="200"/>
        <w:rPr>
          <w:rFonts w:hint="eastAsia" w:ascii="宋体" w:hAnsi="宋体"/>
          <w:b/>
          <w:color w:val="auto"/>
          <w:szCs w:val="21"/>
        </w:rPr>
      </w:pPr>
      <w:r>
        <w:rPr>
          <w:rFonts w:hint="eastAsia" w:ascii="宋体" w:hAnsi="宋体"/>
          <w:b/>
          <w:color w:val="auto"/>
          <w:szCs w:val="21"/>
          <w:lang w:eastAsia="zh-CN"/>
        </w:rPr>
        <w:t>（</w:t>
      </w:r>
      <w:r>
        <w:rPr>
          <w:rFonts w:hint="eastAsia" w:ascii="宋体" w:hAnsi="宋体"/>
          <w:b/>
          <w:color w:val="auto"/>
          <w:szCs w:val="21"/>
          <w:lang w:val="en-US" w:eastAsia="zh-CN"/>
        </w:rPr>
        <w:t>8</w:t>
      </w:r>
      <w:r>
        <w:rPr>
          <w:rFonts w:hint="eastAsia" w:ascii="宋体" w:hAnsi="宋体"/>
          <w:b/>
          <w:color w:val="auto"/>
          <w:szCs w:val="21"/>
          <w:lang w:eastAsia="zh-CN"/>
        </w:rPr>
        <w:t>）为防止供应商串通投标，采购文件中明确规定参与同一标项的供应商存在以下情形的，投标无效:MAC地址相同；计算机硬盘序列号相同；投标文件细节错误一致且无合理解释的。</w:t>
      </w:r>
    </w:p>
    <w:p w14:paraId="018C9449">
      <w:pPr>
        <w:snapToGrid w:val="0"/>
        <w:spacing w:line="360" w:lineRule="auto"/>
        <w:ind w:firstLine="422" w:firstLineChars="200"/>
        <w:rPr>
          <w:rFonts w:ascii="宋体" w:hAnsi="宋体"/>
          <w:b/>
          <w:color w:val="auto"/>
          <w:szCs w:val="21"/>
        </w:rPr>
      </w:pPr>
      <w:r>
        <w:rPr>
          <w:rFonts w:hint="eastAsia" w:ascii="宋体" w:hAnsi="宋体"/>
          <w:b/>
          <w:color w:val="auto"/>
          <w:szCs w:val="21"/>
        </w:rPr>
        <w:t>7.2有下列情形之一的，视为投标人串通投标，其投标无效：</w:t>
      </w:r>
    </w:p>
    <w:p w14:paraId="438E7634">
      <w:pPr>
        <w:snapToGrid w:val="0"/>
        <w:spacing w:line="360" w:lineRule="auto"/>
        <w:ind w:firstLine="422" w:firstLineChars="200"/>
        <w:rPr>
          <w:rFonts w:ascii="宋体" w:hAnsi="宋体"/>
          <w:b/>
          <w:color w:val="auto"/>
          <w:szCs w:val="21"/>
        </w:rPr>
      </w:pPr>
      <w:r>
        <w:rPr>
          <w:rFonts w:hint="eastAsia" w:ascii="宋体" w:hAnsi="宋体"/>
          <w:b/>
          <w:color w:val="auto"/>
          <w:szCs w:val="21"/>
        </w:rPr>
        <w:t>（1）不同投标人的投标文件由同一单位或者个人编制；</w:t>
      </w:r>
    </w:p>
    <w:p w14:paraId="4CB011AA">
      <w:pPr>
        <w:snapToGrid w:val="0"/>
        <w:spacing w:line="360" w:lineRule="auto"/>
        <w:ind w:firstLine="422" w:firstLineChars="200"/>
        <w:rPr>
          <w:rFonts w:ascii="宋体" w:hAnsi="宋体"/>
          <w:b/>
          <w:color w:val="auto"/>
          <w:szCs w:val="21"/>
        </w:rPr>
      </w:pPr>
      <w:r>
        <w:rPr>
          <w:rFonts w:hint="eastAsia" w:ascii="宋体" w:hAnsi="宋体"/>
          <w:b/>
          <w:color w:val="auto"/>
          <w:szCs w:val="21"/>
        </w:rPr>
        <w:t>（2）不同投标人委托同一单位或者个人办理投标事宜；</w:t>
      </w:r>
    </w:p>
    <w:p w14:paraId="79A9F339">
      <w:pPr>
        <w:snapToGrid w:val="0"/>
        <w:spacing w:line="360" w:lineRule="auto"/>
        <w:ind w:firstLine="422" w:firstLineChars="200"/>
        <w:rPr>
          <w:rFonts w:ascii="宋体" w:hAnsi="宋体"/>
          <w:b/>
          <w:color w:val="auto"/>
          <w:szCs w:val="21"/>
        </w:rPr>
      </w:pPr>
      <w:r>
        <w:rPr>
          <w:rFonts w:hint="eastAsia" w:ascii="宋体" w:hAnsi="宋体"/>
          <w:b/>
          <w:color w:val="auto"/>
          <w:szCs w:val="21"/>
        </w:rPr>
        <w:t>（3）不同投标人的投标文件载明的项目管理成员或者联系人员为同一人；</w:t>
      </w:r>
    </w:p>
    <w:p w14:paraId="22496B2C">
      <w:pPr>
        <w:snapToGrid w:val="0"/>
        <w:spacing w:line="360" w:lineRule="auto"/>
        <w:ind w:firstLine="422" w:firstLineChars="200"/>
        <w:rPr>
          <w:rFonts w:ascii="宋体" w:hAnsi="宋体"/>
          <w:b/>
          <w:color w:val="auto"/>
          <w:szCs w:val="21"/>
        </w:rPr>
      </w:pPr>
      <w:r>
        <w:rPr>
          <w:rFonts w:hint="eastAsia" w:ascii="宋体" w:hAnsi="宋体"/>
          <w:b/>
          <w:color w:val="auto"/>
          <w:szCs w:val="21"/>
        </w:rPr>
        <w:t>（4）不同投标人的投标文件异常一致或者投标报价呈规律性差异；</w:t>
      </w:r>
    </w:p>
    <w:p w14:paraId="14D44C1E">
      <w:pPr>
        <w:snapToGrid w:val="0"/>
        <w:spacing w:line="360" w:lineRule="auto"/>
        <w:ind w:firstLine="422" w:firstLineChars="200"/>
        <w:rPr>
          <w:rFonts w:ascii="宋体" w:hAnsi="宋体"/>
          <w:b/>
          <w:color w:val="auto"/>
          <w:szCs w:val="21"/>
        </w:rPr>
      </w:pPr>
      <w:r>
        <w:rPr>
          <w:rFonts w:hint="eastAsia" w:ascii="宋体" w:hAnsi="宋体"/>
          <w:b/>
          <w:color w:val="auto"/>
          <w:szCs w:val="21"/>
        </w:rPr>
        <w:t>（5）不同投标人的投标文件相互混装；</w:t>
      </w:r>
    </w:p>
    <w:p w14:paraId="375CD006">
      <w:pPr>
        <w:snapToGrid w:val="0"/>
        <w:spacing w:line="360" w:lineRule="auto"/>
        <w:ind w:firstLine="422" w:firstLineChars="200"/>
        <w:rPr>
          <w:rFonts w:ascii="宋体" w:hAnsi="宋体"/>
          <w:b/>
          <w:color w:val="auto"/>
          <w:szCs w:val="21"/>
        </w:rPr>
      </w:pPr>
      <w:r>
        <w:rPr>
          <w:rFonts w:hint="eastAsia" w:ascii="宋体" w:hAnsi="宋体"/>
          <w:b/>
          <w:color w:val="auto"/>
          <w:szCs w:val="21"/>
        </w:rPr>
        <w:t>7.3评标委员会认为投标人的报价明显低于其他通过符合性审查投标人的报价，有可能影响产品质量或者不能诚信履约的，应当要求其在评标现场合理的时间内在线提供书面说明，必要时提交相关证明材料；投标人不能证明其报价合理性的，评标委员会应当将其作为无效投标处理。</w:t>
      </w:r>
    </w:p>
    <w:p w14:paraId="7B80D5CC">
      <w:pPr>
        <w:snapToGrid w:val="0"/>
        <w:spacing w:line="360" w:lineRule="auto"/>
        <w:rPr>
          <w:rFonts w:ascii="宋体" w:hAnsi="宋体"/>
          <w:b/>
          <w:color w:val="auto"/>
          <w:szCs w:val="21"/>
        </w:rPr>
      </w:pPr>
      <w:r>
        <w:rPr>
          <w:rFonts w:hint="eastAsia" w:ascii="宋体" w:hAnsi="宋体"/>
          <w:b/>
          <w:color w:val="auto"/>
          <w:szCs w:val="21"/>
        </w:rPr>
        <w:t>8.废标的情形</w:t>
      </w:r>
    </w:p>
    <w:p w14:paraId="2261C917">
      <w:pPr>
        <w:pStyle w:val="60"/>
        <w:spacing w:line="360" w:lineRule="auto"/>
        <w:ind w:firstLine="421"/>
        <w:rPr>
          <w:rFonts w:ascii="宋体" w:hAnsi="宋体"/>
          <w:b/>
          <w:color w:val="auto"/>
          <w:szCs w:val="21"/>
        </w:rPr>
      </w:pPr>
      <w:r>
        <w:rPr>
          <w:rFonts w:hint="eastAsia" w:ascii="宋体" w:hAnsi="宋体"/>
          <w:b/>
          <w:color w:val="auto"/>
          <w:szCs w:val="21"/>
        </w:rPr>
        <w:t>8.1 如出现以下情况之一的，则废标：</w:t>
      </w:r>
    </w:p>
    <w:p w14:paraId="56081A9E">
      <w:pPr>
        <w:pStyle w:val="60"/>
        <w:spacing w:line="360" w:lineRule="auto"/>
        <w:ind w:firstLine="421"/>
        <w:rPr>
          <w:rFonts w:ascii="宋体" w:hAnsi="宋体"/>
          <w:bCs/>
          <w:color w:val="auto"/>
          <w:szCs w:val="21"/>
        </w:rPr>
      </w:pPr>
      <w:r>
        <w:rPr>
          <w:rFonts w:hint="eastAsia" w:ascii="宋体" w:hAnsi="宋体"/>
          <w:bCs/>
          <w:color w:val="auto"/>
          <w:szCs w:val="21"/>
        </w:rPr>
        <w:t>（1）投标截止时间后或评审期间，符合专业条件的供应商或者对招标文件作实质响应的投标人不足三家的；</w:t>
      </w:r>
    </w:p>
    <w:p w14:paraId="17C10213">
      <w:pPr>
        <w:pStyle w:val="60"/>
        <w:spacing w:line="360" w:lineRule="auto"/>
        <w:ind w:firstLine="421"/>
        <w:rPr>
          <w:rFonts w:ascii="宋体" w:hAnsi="宋体"/>
          <w:bCs/>
          <w:color w:val="auto"/>
          <w:szCs w:val="21"/>
        </w:rPr>
      </w:pPr>
      <w:r>
        <w:rPr>
          <w:rFonts w:hint="eastAsia" w:ascii="宋体" w:hAnsi="宋体"/>
          <w:bCs/>
          <w:color w:val="auto"/>
          <w:szCs w:val="21"/>
        </w:rPr>
        <w:t>（2）出现影响采购公正的违法、违规行为的；</w:t>
      </w:r>
    </w:p>
    <w:p w14:paraId="21BA1CE3">
      <w:pPr>
        <w:pStyle w:val="60"/>
        <w:spacing w:line="360" w:lineRule="auto"/>
        <w:ind w:firstLine="421"/>
        <w:rPr>
          <w:rFonts w:ascii="宋体" w:hAnsi="宋体"/>
          <w:bCs/>
          <w:color w:val="auto"/>
          <w:szCs w:val="21"/>
        </w:rPr>
      </w:pPr>
      <w:r>
        <w:rPr>
          <w:rFonts w:hint="eastAsia" w:ascii="宋体" w:hAnsi="宋体"/>
          <w:bCs/>
          <w:color w:val="auto"/>
          <w:szCs w:val="21"/>
        </w:rPr>
        <w:t>（3）投标人的报价均超过了采购预算，采购人不能支付的；</w:t>
      </w:r>
    </w:p>
    <w:p w14:paraId="3D93E393">
      <w:pPr>
        <w:pStyle w:val="60"/>
        <w:spacing w:line="360" w:lineRule="auto"/>
        <w:ind w:firstLine="421"/>
        <w:rPr>
          <w:rFonts w:ascii="宋体" w:hAnsi="宋体"/>
          <w:bCs/>
          <w:color w:val="auto"/>
          <w:szCs w:val="21"/>
        </w:rPr>
      </w:pPr>
      <w:r>
        <w:rPr>
          <w:rFonts w:hint="eastAsia" w:ascii="宋体" w:hAnsi="宋体"/>
          <w:bCs/>
          <w:color w:val="auto"/>
          <w:szCs w:val="21"/>
        </w:rPr>
        <w:t>（4）因重大变故，采购任务取消的。</w:t>
      </w:r>
    </w:p>
    <w:p w14:paraId="0265FD6B">
      <w:pPr>
        <w:pStyle w:val="60"/>
        <w:spacing w:line="360" w:lineRule="auto"/>
        <w:ind w:firstLine="421"/>
        <w:rPr>
          <w:rFonts w:ascii="宋体" w:hAnsi="宋体"/>
          <w:b/>
          <w:color w:val="auto"/>
          <w:szCs w:val="21"/>
        </w:rPr>
      </w:pPr>
      <w:r>
        <w:rPr>
          <w:rFonts w:hint="eastAsia" w:ascii="宋体" w:hAnsi="宋体"/>
          <w:b/>
          <w:color w:val="auto"/>
          <w:szCs w:val="21"/>
        </w:rPr>
        <w:t>8.2 废标后，废标理由将在原招标公告发布媒体上公告通知所有投标人。</w:t>
      </w:r>
    </w:p>
    <w:p w14:paraId="38C6D960">
      <w:pPr>
        <w:pStyle w:val="60"/>
        <w:spacing w:line="360" w:lineRule="auto"/>
        <w:rPr>
          <w:rFonts w:hAnsi="宋体"/>
          <w:b/>
          <w:color w:val="auto"/>
        </w:rPr>
      </w:pPr>
      <w:r>
        <w:rPr>
          <w:rFonts w:hint="eastAsia" w:hAnsi="宋体"/>
          <w:b/>
          <w:color w:val="auto"/>
        </w:rPr>
        <w:t>9.</w:t>
      </w:r>
      <w:r>
        <w:rPr>
          <w:rFonts w:hAnsi="宋体"/>
          <w:b/>
          <w:color w:val="auto"/>
        </w:rPr>
        <w:t>评标过程的监控</w:t>
      </w:r>
    </w:p>
    <w:p w14:paraId="384B515E">
      <w:pPr>
        <w:pStyle w:val="15"/>
        <w:snapToGrid w:val="0"/>
        <w:spacing w:line="360" w:lineRule="auto"/>
        <w:ind w:firstLine="420" w:firstLineChars="200"/>
        <w:rPr>
          <w:rFonts w:hAnsi="宋体"/>
          <w:color w:val="auto"/>
        </w:rPr>
      </w:pPr>
      <w:r>
        <w:rPr>
          <w:rFonts w:hAnsi="宋体"/>
          <w:color w:val="auto"/>
        </w:rPr>
        <w:t>本项目评标过程实行全程录音、录像监控，投标人在评标过程中所进行的</w:t>
      </w:r>
      <w:r>
        <w:rPr>
          <w:rFonts w:hint="eastAsia" w:hAnsi="宋体"/>
          <w:color w:val="auto"/>
        </w:rPr>
        <w:t>试</w:t>
      </w:r>
      <w:r>
        <w:rPr>
          <w:rFonts w:hAnsi="宋体"/>
          <w:color w:val="auto"/>
        </w:rPr>
        <w:t>图影响评标结果的不公正活动，可能导致其投标被拒绝。</w:t>
      </w:r>
      <w:bookmarkStart w:id="145" w:name="_Toc21033"/>
    </w:p>
    <w:p w14:paraId="7A5D3CFA">
      <w:pPr>
        <w:pStyle w:val="4"/>
        <w:spacing w:before="0" w:after="0" w:line="360" w:lineRule="auto"/>
        <w:jc w:val="center"/>
        <w:rPr>
          <w:color w:val="auto"/>
        </w:rPr>
      </w:pPr>
      <w:r>
        <w:rPr>
          <w:rFonts w:hint="eastAsia"/>
          <w:color w:val="auto"/>
        </w:rPr>
        <w:t>七、定标</w:t>
      </w:r>
      <w:bookmarkEnd w:id="145"/>
    </w:p>
    <w:p w14:paraId="6A200366">
      <w:pPr>
        <w:pStyle w:val="15"/>
        <w:snapToGrid w:val="0"/>
        <w:spacing w:line="360" w:lineRule="auto"/>
        <w:rPr>
          <w:rFonts w:hAnsi="宋体"/>
          <w:b/>
          <w:bCs/>
          <w:color w:val="auto"/>
        </w:rPr>
      </w:pPr>
      <w:r>
        <w:rPr>
          <w:rFonts w:hint="eastAsia" w:hAnsi="宋体"/>
          <w:b/>
          <w:bCs/>
          <w:color w:val="auto"/>
        </w:rPr>
        <w:t>1.确定中标人</w:t>
      </w:r>
    </w:p>
    <w:p w14:paraId="2528FED0">
      <w:pPr>
        <w:snapToGrid w:val="0"/>
        <w:spacing w:line="440" w:lineRule="exact"/>
        <w:ind w:firstLine="420" w:firstLineChars="200"/>
        <w:rPr>
          <w:rFonts w:ascii="宋体" w:hAnsi="宋体"/>
          <w:color w:val="auto"/>
          <w:szCs w:val="21"/>
        </w:rPr>
      </w:pPr>
      <w:r>
        <w:rPr>
          <w:rFonts w:hint="eastAsia" w:ascii="宋体" w:hAnsi="宋体"/>
          <w:color w:val="auto"/>
          <w:szCs w:val="21"/>
        </w:rPr>
        <w:t>1.1</w:t>
      </w:r>
      <w:r>
        <w:rPr>
          <w:rFonts w:ascii="宋体" w:hAnsi="宋体"/>
          <w:color w:val="auto"/>
          <w:szCs w:val="21"/>
        </w:rPr>
        <w:t>采购代理机构在评标结束后2个工作日内将评标报告</w:t>
      </w:r>
      <w:r>
        <w:rPr>
          <w:rFonts w:hint="eastAsia" w:ascii="宋体" w:hAnsi="宋体"/>
          <w:color w:val="auto"/>
          <w:szCs w:val="21"/>
        </w:rPr>
        <w:t>送采购人</w:t>
      </w:r>
      <w:r>
        <w:rPr>
          <w:rFonts w:ascii="宋体" w:hAnsi="宋体"/>
          <w:color w:val="auto"/>
          <w:szCs w:val="21"/>
        </w:rPr>
        <w:t>确认。</w:t>
      </w:r>
    </w:p>
    <w:p w14:paraId="49CB9EDF">
      <w:pPr>
        <w:snapToGrid w:val="0"/>
        <w:spacing w:line="440" w:lineRule="exact"/>
        <w:ind w:firstLine="420" w:firstLineChars="200"/>
        <w:rPr>
          <w:rFonts w:ascii="宋体" w:hAnsi="宋体"/>
          <w:color w:val="auto"/>
          <w:szCs w:val="21"/>
        </w:rPr>
      </w:pPr>
      <w:r>
        <w:rPr>
          <w:rFonts w:hint="eastAsia" w:ascii="宋体" w:hAnsi="宋体"/>
          <w:color w:val="auto"/>
          <w:szCs w:val="21"/>
        </w:rPr>
        <w:t>1.2投标人</w:t>
      </w:r>
      <w:r>
        <w:rPr>
          <w:rFonts w:ascii="宋体" w:hAnsi="宋体"/>
          <w:color w:val="auto"/>
          <w:szCs w:val="21"/>
        </w:rPr>
        <w:t>对评标结果无异议的，</w:t>
      </w:r>
      <w:r>
        <w:rPr>
          <w:rFonts w:hint="eastAsia" w:ascii="宋体" w:hAnsi="宋体"/>
          <w:color w:val="auto"/>
          <w:szCs w:val="21"/>
        </w:rPr>
        <w:t>采购人</w:t>
      </w:r>
      <w:r>
        <w:rPr>
          <w:rFonts w:ascii="宋体" w:hAnsi="宋体"/>
          <w:color w:val="auto"/>
          <w:szCs w:val="21"/>
        </w:rPr>
        <w:t>应在收到评标报告后5个工作日内对评标结果进行确认。如有</w:t>
      </w:r>
      <w:r>
        <w:rPr>
          <w:rFonts w:hint="eastAsia" w:ascii="宋体" w:hAnsi="宋体"/>
          <w:color w:val="auto"/>
          <w:szCs w:val="21"/>
        </w:rPr>
        <w:t>投标人</w:t>
      </w:r>
      <w:r>
        <w:rPr>
          <w:rFonts w:ascii="宋体" w:hAnsi="宋体"/>
          <w:color w:val="auto"/>
          <w:szCs w:val="21"/>
        </w:rPr>
        <w:t>对评标结果提出质疑的，</w:t>
      </w:r>
      <w:r>
        <w:rPr>
          <w:rFonts w:hint="eastAsia" w:ascii="宋体" w:hAnsi="宋体"/>
          <w:color w:val="auto"/>
          <w:szCs w:val="21"/>
        </w:rPr>
        <w:t>采购单位</w:t>
      </w:r>
      <w:r>
        <w:rPr>
          <w:rFonts w:ascii="宋体" w:hAnsi="宋体"/>
          <w:color w:val="auto"/>
          <w:szCs w:val="21"/>
        </w:rPr>
        <w:t>可在质疑处理完毕后确定</w:t>
      </w:r>
      <w:r>
        <w:rPr>
          <w:rFonts w:hint="eastAsia" w:ascii="宋体" w:hAnsi="宋体"/>
          <w:color w:val="auto"/>
          <w:szCs w:val="21"/>
        </w:rPr>
        <w:t>中标人</w:t>
      </w:r>
      <w:r>
        <w:rPr>
          <w:rFonts w:ascii="宋体" w:hAnsi="宋体"/>
          <w:color w:val="auto"/>
          <w:szCs w:val="21"/>
        </w:rPr>
        <w:t>。</w:t>
      </w:r>
    </w:p>
    <w:p w14:paraId="7CB5E67F">
      <w:pPr>
        <w:snapToGrid w:val="0"/>
        <w:spacing w:line="440" w:lineRule="exact"/>
        <w:ind w:firstLine="420" w:firstLineChars="200"/>
        <w:rPr>
          <w:rFonts w:ascii="宋体" w:hAnsi="宋体"/>
          <w:color w:val="auto"/>
          <w:szCs w:val="21"/>
        </w:rPr>
      </w:pPr>
      <w:r>
        <w:rPr>
          <w:rFonts w:hint="eastAsia" w:ascii="宋体" w:hAnsi="宋体"/>
          <w:color w:val="auto"/>
          <w:szCs w:val="21"/>
        </w:rPr>
        <w:t>1.3采购人或采购代理机构应当自中标人确定之日起</w:t>
      </w:r>
      <w:r>
        <w:rPr>
          <w:rFonts w:ascii="宋体" w:hAnsi="宋体"/>
          <w:color w:val="auto"/>
          <w:szCs w:val="21"/>
        </w:rPr>
        <w:t>2个工作日内，在</w:t>
      </w:r>
      <w:r>
        <w:rPr>
          <w:rFonts w:hint="eastAsia"/>
          <w:color w:val="auto"/>
          <w:spacing w:val="-4"/>
        </w:rPr>
        <w:t>常山县公共资源交易网、浙江政府采购网</w:t>
      </w:r>
      <w:r>
        <w:rPr>
          <w:color w:val="auto"/>
          <w:spacing w:val="-4"/>
        </w:rPr>
        <w:t>上</w:t>
      </w:r>
      <w:r>
        <w:rPr>
          <w:rFonts w:hint="eastAsia" w:ascii="宋体" w:hAnsi="宋体"/>
          <w:color w:val="auto"/>
          <w:szCs w:val="21"/>
        </w:rPr>
        <w:t>公告中标结果，同时采购人或</w:t>
      </w:r>
      <w:r>
        <w:rPr>
          <w:rFonts w:ascii="宋体" w:hAnsi="宋体"/>
          <w:color w:val="auto"/>
          <w:szCs w:val="21"/>
        </w:rPr>
        <w:t>采购代理机构</w:t>
      </w:r>
      <w:r>
        <w:rPr>
          <w:rFonts w:hint="eastAsia" w:ascii="宋体" w:hAnsi="宋体"/>
          <w:color w:val="auto"/>
          <w:szCs w:val="21"/>
        </w:rPr>
        <w:t>应当向中标人以书面形式发出《中标通知书》。</w:t>
      </w:r>
    </w:p>
    <w:p w14:paraId="70B6274F">
      <w:pPr>
        <w:pStyle w:val="4"/>
        <w:spacing w:before="100" w:after="100" w:line="440" w:lineRule="exact"/>
        <w:jc w:val="center"/>
        <w:rPr>
          <w:color w:val="auto"/>
        </w:rPr>
      </w:pPr>
      <w:bookmarkStart w:id="146" w:name="_Toc18706"/>
      <w:r>
        <w:rPr>
          <w:rFonts w:hint="eastAsia"/>
          <w:color w:val="auto"/>
        </w:rPr>
        <w:t>八、合同授予</w:t>
      </w:r>
      <w:bookmarkEnd w:id="146"/>
      <w:r>
        <w:rPr>
          <w:rFonts w:hint="eastAsia"/>
          <w:color w:val="auto"/>
        </w:rPr>
        <w:t>及其他</w:t>
      </w:r>
    </w:p>
    <w:p w14:paraId="5F6117C4">
      <w:pPr>
        <w:pStyle w:val="4"/>
        <w:spacing w:before="100" w:after="100" w:line="440" w:lineRule="exact"/>
        <w:rPr>
          <w:rFonts w:ascii="宋体" w:hAnsi="宋体" w:cs="黑体"/>
          <w:color w:val="auto"/>
          <w:sz w:val="21"/>
          <w:szCs w:val="21"/>
        </w:rPr>
      </w:pPr>
      <w:r>
        <w:rPr>
          <w:rFonts w:hint="eastAsia" w:ascii="宋体" w:hAnsi="宋体" w:cs="黑体"/>
          <w:color w:val="auto"/>
          <w:sz w:val="21"/>
          <w:szCs w:val="21"/>
        </w:rPr>
        <w:t>1.签订合同</w:t>
      </w:r>
    </w:p>
    <w:p w14:paraId="630A4027">
      <w:pPr>
        <w:snapToGrid w:val="0"/>
        <w:spacing w:line="440" w:lineRule="exact"/>
        <w:ind w:firstLine="420" w:firstLineChars="200"/>
        <w:rPr>
          <w:rFonts w:ascii="宋体" w:hAnsi="宋体"/>
          <w:color w:val="auto"/>
          <w:szCs w:val="21"/>
        </w:rPr>
      </w:pPr>
      <w:bookmarkStart w:id="147" w:name="OLE_LINK1"/>
      <w:r>
        <w:rPr>
          <w:rFonts w:hint="eastAsia" w:ascii="宋体" w:hAnsi="宋体"/>
          <w:color w:val="auto"/>
          <w:szCs w:val="21"/>
        </w:rPr>
        <w:t>1.1中标通知书于中标公告发布之日签发，中标人应于中标结果公告发布之日起两个工作日内，凭法定代表人（负责人）授权委托书及被授权人身份证原件至</w:t>
      </w:r>
      <w:r>
        <w:rPr>
          <w:rFonts w:hint="eastAsia" w:ascii="宋体" w:hAnsi="宋体"/>
          <w:color w:val="auto"/>
          <w:szCs w:val="21"/>
          <w:lang w:eastAsia="zh-CN"/>
        </w:rPr>
        <w:t>浙江联腾工程咨询有限公司</w:t>
      </w:r>
      <w:r>
        <w:rPr>
          <w:rFonts w:hint="eastAsia" w:ascii="宋体" w:hAnsi="宋体"/>
          <w:color w:val="auto"/>
          <w:szCs w:val="21"/>
        </w:rPr>
        <w:t>领取中标通知书，逾期领取的后果自负。中标人与采购单位须在中标结果公告发出之日起三十天内签订合同。《中标通知书》一经发出即发生法律效力。采购单位无义务向未中标人解释落选原因。《中标通知书》作为签订合同的重要依据，对采购单位和中标人具有法律效力。采购单位改变中标结果或者中标人放弃中标项目的都应承担法律责任。</w:t>
      </w:r>
    </w:p>
    <w:bookmarkEnd w:id="147"/>
    <w:p w14:paraId="258C18A9">
      <w:pPr>
        <w:snapToGrid w:val="0"/>
        <w:spacing w:line="440" w:lineRule="exact"/>
        <w:ind w:firstLine="420" w:firstLineChars="200"/>
        <w:rPr>
          <w:rFonts w:ascii="宋体" w:hAnsi="宋体"/>
          <w:color w:val="auto"/>
          <w:szCs w:val="21"/>
        </w:rPr>
      </w:pPr>
      <w:r>
        <w:rPr>
          <w:rFonts w:hint="eastAsia" w:ascii="宋体" w:hAnsi="宋体"/>
          <w:color w:val="auto"/>
          <w:szCs w:val="21"/>
        </w:rPr>
        <w:t>1.2 中标人</w:t>
      </w:r>
      <w:r>
        <w:rPr>
          <w:rFonts w:ascii="宋体" w:hAnsi="宋体"/>
          <w:color w:val="auto"/>
          <w:szCs w:val="21"/>
        </w:rPr>
        <w:t>拖延、拒签合同的</w:t>
      </w:r>
      <w:r>
        <w:rPr>
          <w:rFonts w:hint="eastAsia" w:ascii="宋体" w:hAnsi="宋体"/>
          <w:color w:val="auto"/>
          <w:szCs w:val="21"/>
        </w:rPr>
        <w:t>，</w:t>
      </w:r>
      <w:r>
        <w:rPr>
          <w:rFonts w:hint="eastAsia" w:ascii="宋体" w:hAnsi="宋体" w:cs="宋体"/>
          <w:color w:val="auto"/>
          <w:szCs w:val="21"/>
        </w:rPr>
        <w:t>应当按照本项目采购预算价2%的标准承担因此给采购单位造成的损失的赔偿责任及相应的法律责任</w:t>
      </w:r>
      <w:r>
        <w:rPr>
          <w:rFonts w:ascii="宋体" w:hAnsi="宋体"/>
          <w:color w:val="auto"/>
          <w:szCs w:val="21"/>
        </w:rPr>
        <w:t>。</w:t>
      </w:r>
    </w:p>
    <w:p w14:paraId="2CDDB4AB">
      <w:pPr>
        <w:pStyle w:val="15"/>
        <w:snapToGrid w:val="0"/>
        <w:spacing w:line="440" w:lineRule="exact"/>
        <w:rPr>
          <w:rFonts w:hAnsi="宋体"/>
          <w:b/>
          <w:color w:val="auto"/>
        </w:rPr>
      </w:pPr>
      <w:r>
        <w:rPr>
          <w:rFonts w:hint="eastAsia" w:hAnsi="宋体"/>
          <w:b/>
          <w:color w:val="auto"/>
        </w:rPr>
        <w:t>2.解释权</w:t>
      </w:r>
    </w:p>
    <w:p w14:paraId="5EB4C83B">
      <w:pPr>
        <w:autoSpaceDE w:val="0"/>
        <w:autoSpaceDN w:val="0"/>
        <w:adjustRightInd w:val="0"/>
        <w:spacing w:line="360" w:lineRule="auto"/>
        <w:ind w:firstLine="480"/>
        <w:rPr>
          <w:color w:val="auto"/>
        </w:rPr>
      </w:pPr>
      <w:r>
        <w:rPr>
          <w:rFonts w:hint="eastAsia" w:ascii="宋体" w:hAnsi="宋体" w:cs="宋体"/>
          <w:color w:val="auto"/>
        </w:rPr>
        <w:t>凡涉及本次采购文件的解释权均属于采购人和采购代理机构。</w:t>
      </w:r>
    </w:p>
    <w:p w14:paraId="5DA98B1A">
      <w:pPr>
        <w:pStyle w:val="15"/>
        <w:snapToGrid w:val="0"/>
        <w:spacing w:line="360" w:lineRule="auto"/>
        <w:ind w:firstLine="420" w:firstLineChars="200"/>
        <w:rPr>
          <w:rFonts w:hAnsi="宋体"/>
          <w:color w:val="auto"/>
        </w:rPr>
      </w:pPr>
    </w:p>
    <w:p w14:paraId="327EA2DB">
      <w:pPr>
        <w:pStyle w:val="4"/>
        <w:spacing w:before="0" w:after="0" w:line="348" w:lineRule="auto"/>
        <w:ind w:firstLine="321" w:firstLineChars="100"/>
        <w:jc w:val="center"/>
        <w:rPr>
          <w:color w:val="auto"/>
        </w:rPr>
      </w:pPr>
      <w:bookmarkStart w:id="148" w:name="_Toc16204"/>
      <w:r>
        <w:rPr>
          <w:rFonts w:hint="eastAsia"/>
          <w:color w:val="auto"/>
        </w:rPr>
        <w:t>九、政府采购扶持政策说明</w:t>
      </w:r>
      <w:bookmarkEnd w:id="148"/>
    </w:p>
    <w:p w14:paraId="5EE90F70">
      <w:pPr>
        <w:pStyle w:val="15"/>
        <w:snapToGrid w:val="0"/>
        <w:spacing w:line="348" w:lineRule="auto"/>
        <w:ind w:firstLine="420" w:firstLineChars="200"/>
        <w:rPr>
          <w:rFonts w:hAnsi="宋体"/>
          <w:color w:val="auto"/>
        </w:rPr>
      </w:pPr>
    </w:p>
    <w:p w14:paraId="1D778659">
      <w:pPr>
        <w:numPr>
          <w:ilvl w:val="0"/>
          <w:numId w:val="5"/>
        </w:numPr>
        <w:spacing w:line="348" w:lineRule="auto"/>
        <w:jc w:val="left"/>
        <w:rPr>
          <w:rFonts w:ascii="宋体" w:hAnsi="宋体" w:cs="宋体"/>
          <w:b/>
          <w:color w:val="auto"/>
          <w:szCs w:val="21"/>
        </w:rPr>
      </w:pPr>
      <w:r>
        <w:rPr>
          <w:rFonts w:hint="eastAsia" w:ascii="宋体" w:hAnsi="宋体" w:cs="宋体"/>
          <w:b/>
          <w:color w:val="auto"/>
          <w:szCs w:val="21"/>
        </w:rPr>
        <w:t>享受小微企业价格折扣应具备的条件</w:t>
      </w:r>
    </w:p>
    <w:p w14:paraId="3C44A6C0">
      <w:pPr>
        <w:numPr>
          <w:ilvl w:val="0"/>
          <w:numId w:val="6"/>
        </w:numPr>
        <w:spacing w:line="348" w:lineRule="auto"/>
        <w:ind w:left="420" w:leftChars="200"/>
        <w:jc w:val="left"/>
        <w:rPr>
          <w:rFonts w:ascii="宋体" w:hAnsi="宋体" w:cs="宋体"/>
          <w:color w:val="auto"/>
          <w:szCs w:val="21"/>
        </w:rPr>
      </w:pPr>
      <w:r>
        <w:rPr>
          <w:rFonts w:hint="eastAsia" w:ascii="宋体" w:hAnsi="宋体" w:cs="宋体"/>
          <w:color w:val="auto"/>
          <w:szCs w:val="21"/>
        </w:rPr>
        <w:t>符合中小企业划分标准；</w:t>
      </w:r>
    </w:p>
    <w:p w14:paraId="3D69A4A9">
      <w:pPr>
        <w:numPr>
          <w:ilvl w:val="0"/>
          <w:numId w:val="6"/>
        </w:numPr>
        <w:spacing w:line="348" w:lineRule="auto"/>
        <w:ind w:left="420" w:leftChars="200"/>
        <w:jc w:val="left"/>
        <w:rPr>
          <w:rFonts w:ascii="宋体" w:hAnsi="宋体" w:cs="宋体"/>
          <w:color w:val="auto"/>
          <w:szCs w:val="21"/>
        </w:rPr>
      </w:pPr>
      <w:r>
        <w:rPr>
          <w:rFonts w:hint="eastAsia" w:ascii="宋体" w:hAnsi="宋体" w:cs="宋体"/>
          <w:color w:val="auto"/>
          <w:szCs w:val="21"/>
        </w:rPr>
        <w:t>在货物采购项目中，货物由中小企业制造，即货物由中小企业生产且使用该中小企业商号或者注册商标。中小企业划分标准，是指国务院有关部门根据企业从业人员、营业收入、资产总额等指标制定的中小企业划型标准。小型、微型企业提供中型企业制造的货物的，视同为中型企业。</w:t>
      </w:r>
    </w:p>
    <w:p w14:paraId="01C5FD1B">
      <w:pPr>
        <w:spacing w:line="348" w:lineRule="auto"/>
        <w:jc w:val="left"/>
        <w:rPr>
          <w:rFonts w:ascii="宋体" w:hAnsi="宋体" w:cs="宋体"/>
          <w:b/>
          <w:color w:val="auto"/>
          <w:szCs w:val="21"/>
        </w:rPr>
      </w:pPr>
      <w:r>
        <w:rPr>
          <w:rFonts w:hint="eastAsia" w:ascii="宋体" w:hAnsi="宋体" w:cs="宋体"/>
          <w:b/>
          <w:color w:val="auto"/>
          <w:szCs w:val="21"/>
        </w:rPr>
        <w:t>2.享受小微企业价格折扣应提供以下证明材料：</w:t>
      </w:r>
    </w:p>
    <w:p w14:paraId="06B4DFBD">
      <w:pPr>
        <w:spacing w:line="348" w:lineRule="auto"/>
        <w:ind w:firstLine="420" w:firstLineChars="200"/>
        <w:jc w:val="left"/>
        <w:rPr>
          <w:rFonts w:ascii="宋体" w:hAnsi="宋体" w:cs="宋体"/>
          <w:bCs/>
          <w:color w:val="auto"/>
          <w:szCs w:val="21"/>
        </w:rPr>
      </w:pPr>
      <w:r>
        <w:rPr>
          <w:rFonts w:hint="eastAsia" w:ascii="宋体" w:hAnsi="宋体" w:cs="宋体"/>
          <w:bCs/>
          <w:color w:val="auto"/>
          <w:szCs w:val="21"/>
        </w:rPr>
        <w:t>《中小企业声明函》【格式见附件一】；</w:t>
      </w:r>
    </w:p>
    <w:p w14:paraId="46AE9B9F">
      <w:pPr>
        <w:spacing w:line="348" w:lineRule="auto"/>
        <w:jc w:val="left"/>
        <w:rPr>
          <w:rFonts w:ascii="宋体" w:hAnsi="宋体" w:cs="宋体"/>
          <w:b/>
          <w:color w:val="auto"/>
          <w:szCs w:val="21"/>
        </w:rPr>
      </w:pPr>
      <w:r>
        <w:rPr>
          <w:rFonts w:hint="eastAsia" w:ascii="宋体" w:hAnsi="宋体" w:cs="宋体"/>
          <w:b/>
          <w:color w:val="auto"/>
          <w:szCs w:val="21"/>
        </w:rPr>
        <w:t>3.享受监狱企业价格折扣应提供以下证明材料：</w:t>
      </w:r>
    </w:p>
    <w:p w14:paraId="2B603F02">
      <w:pPr>
        <w:spacing w:line="348" w:lineRule="auto"/>
        <w:ind w:firstLine="420" w:firstLineChars="200"/>
        <w:jc w:val="left"/>
        <w:rPr>
          <w:rFonts w:ascii="宋体" w:hAnsi="宋体" w:cs="宋体"/>
          <w:bCs/>
          <w:color w:val="auto"/>
          <w:szCs w:val="21"/>
        </w:rPr>
      </w:pPr>
      <w:r>
        <w:rPr>
          <w:rFonts w:hint="eastAsia" w:ascii="宋体" w:hAnsi="宋体" w:cs="宋体"/>
          <w:bCs/>
          <w:color w:val="auto"/>
          <w:szCs w:val="21"/>
        </w:rPr>
        <w:t>监狱企业参加政府采购活动时，应当提供由省级以上监狱管理局、戒毒管理局(含新疆生产建设兵团)出具的属于监狱企业的证明文件（原件或复印件加盖公章）。在政府采购活动中，监狱企业视同小型、微型企业，享受评审中价格扣除政策；</w:t>
      </w:r>
    </w:p>
    <w:p w14:paraId="2F717BED">
      <w:pPr>
        <w:spacing w:line="348" w:lineRule="auto"/>
        <w:jc w:val="left"/>
        <w:rPr>
          <w:rFonts w:ascii="宋体" w:hAnsi="宋体" w:cs="宋体"/>
          <w:b/>
          <w:color w:val="auto"/>
          <w:szCs w:val="21"/>
        </w:rPr>
      </w:pPr>
      <w:r>
        <w:rPr>
          <w:rFonts w:hint="eastAsia" w:ascii="宋体" w:hAnsi="宋体" w:cs="宋体"/>
          <w:b/>
          <w:color w:val="auto"/>
          <w:szCs w:val="21"/>
        </w:rPr>
        <w:t>4.享受残疾人福利性单位格折扣应提供以下证明材料：</w:t>
      </w:r>
    </w:p>
    <w:p w14:paraId="36AF5635">
      <w:pPr>
        <w:spacing w:after="100" w:line="440" w:lineRule="atLeast"/>
        <w:jc w:val="left"/>
        <w:outlineLvl w:val="1"/>
        <w:rPr>
          <w:rFonts w:ascii="宋体" w:hAnsi="宋体" w:cs="宋体"/>
          <w:color w:val="auto"/>
          <w:szCs w:val="21"/>
        </w:rPr>
      </w:pPr>
      <w:r>
        <w:rPr>
          <w:rFonts w:hint="eastAsia" w:ascii="宋体"/>
          <w:bCs/>
          <w:color w:val="auto"/>
          <w:szCs w:val="21"/>
        </w:rPr>
        <w:t>残疾人福利性单位声明函</w:t>
      </w:r>
      <w:r>
        <w:rPr>
          <w:rFonts w:hint="eastAsia" w:ascii="宋体" w:hAnsi="宋体" w:cs="宋体"/>
          <w:bCs/>
          <w:color w:val="auto"/>
          <w:szCs w:val="21"/>
        </w:rPr>
        <w:t>【格式见附件二】；</w:t>
      </w:r>
      <w:r>
        <w:rPr>
          <w:rFonts w:hint="eastAsia" w:ascii="宋体" w:hAnsi="宋体" w:cs="宋体"/>
          <w:color w:val="auto"/>
          <w:szCs w:val="21"/>
        </w:rPr>
        <w:br w:type="page"/>
      </w:r>
      <w:bookmarkStart w:id="149" w:name="_Toc5518"/>
      <w:r>
        <w:rPr>
          <w:rFonts w:hint="eastAsia" w:ascii="宋体" w:hAnsi="宋体" w:cs="宋体"/>
          <w:color w:val="auto"/>
          <w:szCs w:val="21"/>
        </w:rPr>
        <w:t>附件一：</w:t>
      </w:r>
    </w:p>
    <w:p w14:paraId="1509462F">
      <w:pPr>
        <w:spacing w:after="100" w:line="440" w:lineRule="atLeast"/>
        <w:jc w:val="center"/>
        <w:outlineLvl w:val="1"/>
        <w:rPr>
          <w:rFonts w:ascii="宋体" w:hAnsi="宋体" w:cs="宋体"/>
          <w:b/>
          <w:bCs/>
          <w:color w:val="auto"/>
          <w:szCs w:val="21"/>
        </w:rPr>
      </w:pPr>
      <w:r>
        <w:rPr>
          <w:rFonts w:hint="eastAsia" w:ascii="宋体" w:hAnsi="宋体" w:cs="宋体"/>
          <w:b/>
          <w:bCs/>
          <w:color w:val="auto"/>
          <w:szCs w:val="21"/>
        </w:rPr>
        <w:t>中小企业声明函（工程、服务）</w:t>
      </w:r>
    </w:p>
    <w:p w14:paraId="28ECCE56">
      <w:pPr>
        <w:spacing w:line="440" w:lineRule="atLeast"/>
        <w:rPr>
          <w:rFonts w:ascii="宋体" w:hAnsi="宋体" w:cs="宋体"/>
          <w:color w:val="auto"/>
          <w:szCs w:val="21"/>
        </w:rPr>
      </w:pPr>
    </w:p>
    <w:p w14:paraId="123E9D79">
      <w:pPr>
        <w:spacing w:line="440" w:lineRule="atLeast"/>
        <w:ind w:firstLine="420" w:firstLineChars="200"/>
        <w:rPr>
          <w:rFonts w:ascii="宋体" w:hAnsi="宋体" w:cs="宋体"/>
          <w:color w:val="auto"/>
          <w:szCs w:val="21"/>
        </w:rPr>
      </w:pPr>
      <w:r>
        <w:rPr>
          <w:rFonts w:hint="eastAsia" w:ascii="宋体" w:hAnsi="宋体" w:cs="宋体"/>
          <w:color w:val="auto"/>
          <w:szCs w:val="21"/>
        </w:rPr>
        <w:t>本公司（联合体）郑重声明，根据《政府采购促进中小企业发展管理办法》（财库﹝2020﹞46 号）的规定，本公司（联合体）参加</w:t>
      </w:r>
      <w:r>
        <w:rPr>
          <w:rFonts w:hint="eastAsia" w:ascii="宋体" w:hAnsi="宋体" w:cs="宋体"/>
          <w:color w:val="auto"/>
          <w:szCs w:val="21"/>
          <w:u w:val="single"/>
        </w:rPr>
        <w:t xml:space="preserve">  </w:t>
      </w:r>
      <w:r>
        <w:rPr>
          <w:rFonts w:hint="eastAsia" w:ascii="宋体" w:hAnsi="宋体" w:cs="宋体"/>
          <w:color w:val="auto"/>
          <w:szCs w:val="21"/>
          <w:u w:val="single"/>
          <w:lang w:eastAsia="zh-CN"/>
        </w:rPr>
        <w:t>常山县农业农村局</w:t>
      </w:r>
      <w:r>
        <w:rPr>
          <w:rFonts w:hint="eastAsia" w:ascii="宋体" w:hAnsi="宋体" w:cs="宋体"/>
          <w:color w:val="auto"/>
          <w:szCs w:val="21"/>
          <w:u w:val="single"/>
        </w:rPr>
        <w:t xml:space="preserve"> </w:t>
      </w:r>
      <w:r>
        <w:rPr>
          <w:rFonts w:hint="eastAsia" w:ascii="宋体" w:hAnsi="宋体" w:cs="宋体"/>
          <w:color w:val="auto"/>
          <w:szCs w:val="21"/>
        </w:rPr>
        <w:t>的</w:t>
      </w:r>
      <w:r>
        <w:rPr>
          <w:rFonts w:hint="eastAsia" w:ascii="宋体" w:hAnsi="宋体" w:cs="宋体"/>
          <w:color w:val="auto"/>
          <w:szCs w:val="21"/>
          <w:u w:val="single"/>
        </w:rPr>
        <w:t xml:space="preserve">  </w:t>
      </w:r>
      <w:r>
        <w:rPr>
          <w:rFonts w:hint="eastAsia" w:ascii="宋体" w:hAnsi="宋体" w:cs="宋体"/>
          <w:color w:val="auto"/>
          <w:szCs w:val="21"/>
          <w:u w:val="single"/>
          <w:lang w:eastAsia="zh-CN"/>
        </w:rPr>
        <w:t>常山县农村垃圾中转站渗滤液集中转运处置项目（2025-2026年度）</w:t>
      </w:r>
      <w:r>
        <w:rPr>
          <w:rFonts w:hint="eastAsia" w:ascii="宋体" w:hAnsi="宋体" w:cs="宋体"/>
          <w:color w:val="auto"/>
          <w:szCs w:val="21"/>
          <w:u w:val="single"/>
        </w:rPr>
        <w:t xml:space="preserve"> </w:t>
      </w:r>
      <w:r>
        <w:rPr>
          <w:rFonts w:hint="eastAsia" w:ascii="宋体" w:hAnsi="宋体" w:cs="宋体"/>
          <w:color w:val="auto"/>
          <w:szCs w:val="21"/>
        </w:rPr>
        <w:t>采购活动，工程的施工单位全部为符合政策要求的中小企业（或者：服务全部由符合政策要求的中小企业承接）。相关企业（含联合体中的中小企业、签订分包意向协议的中小企业）的具体情况如下：</w:t>
      </w:r>
    </w:p>
    <w:p w14:paraId="75454CA5">
      <w:pPr>
        <w:spacing w:line="440" w:lineRule="atLeast"/>
        <w:ind w:firstLine="420" w:firstLineChars="200"/>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u w:val="single"/>
        </w:rPr>
        <w:t>（标的名称）</w:t>
      </w:r>
      <w:r>
        <w:rPr>
          <w:rFonts w:hint="eastAsia" w:ascii="宋体" w:hAnsi="宋体" w:cs="宋体"/>
          <w:color w:val="auto"/>
          <w:szCs w:val="21"/>
        </w:rPr>
        <w:t>，属于</w:t>
      </w:r>
      <w:r>
        <w:rPr>
          <w:rFonts w:hint="eastAsia" w:ascii="宋体" w:hAnsi="宋体" w:cs="宋体"/>
          <w:color w:val="auto"/>
          <w:szCs w:val="21"/>
          <w:u w:val="single"/>
        </w:rPr>
        <w:t>其他未列明行业</w:t>
      </w:r>
      <w:r>
        <w:rPr>
          <w:rFonts w:hint="eastAsia" w:ascii="宋体" w:hAnsi="宋体" w:cs="宋体"/>
          <w:color w:val="auto"/>
          <w:szCs w:val="21"/>
        </w:rPr>
        <w:t>；承建（承接）企业为</w:t>
      </w:r>
      <w:r>
        <w:rPr>
          <w:rFonts w:hint="eastAsia" w:ascii="宋体" w:hAnsi="宋体" w:cs="宋体"/>
          <w:color w:val="auto"/>
          <w:szCs w:val="21"/>
          <w:u w:val="single"/>
        </w:rPr>
        <w:t>（企业名称）</w:t>
      </w:r>
      <w:r>
        <w:rPr>
          <w:rFonts w:hint="eastAsia" w:ascii="宋体" w:hAnsi="宋体" w:cs="宋体"/>
          <w:color w:val="auto"/>
          <w:szCs w:val="21"/>
        </w:rPr>
        <w:t>，从业人员</w:t>
      </w:r>
      <w:r>
        <w:rPr>
          <w:rFonts w:hint="eastAsia" w:ascii="宋体" w:hAnsi="宋体" w:cs="宋体"/>
          <w:color w:val="auto"/>
          <w:szCs w:val="21"/>
          <w:u w:val="single"/>
        </w:rPr>
        <w:t xml:space="preserve">             </w:t>
      </w:r>
      <w:r>
        <w:rPr>
          <w:rFonts w:hint="eastAsia" w:ascii="宋体" w:hAnsi="宋体" w:cs="宋体"/>
          <w:color w:val="auto"/>
          <w:szCs w:val="21"/>
          <w:u w:val="single"/>
        </w:rPr>
        <w:tab/>
      </w:r>
      <w:r>
        <w:rPr>
          <w:rFonts w:hint="eastAsia" w:ascii="宋体" w:hAnsi="宋体" w:cs="宋体"/>
          <w:color w:val="auto"/>
          <w:szCs w:val="21"/>
          <w:u w:val="single"/>
        </w:rPr>
        <w:t xml:space="preserve">     </w:t>
      </w:r>
      <w:r>
        <w:rPr>
          <w:rFonts w:hint="eastAsia" w:ascii="宋体" w:hAnsi="宋体" w:cs="宋体"/>
          <w:color w:val="auto"/>
          <w:szCs w:val="21"/>
        </w:rPr>
        <w:t>人，营业收入为</w:t>
      </w:r>
      <w:r>
        <w:rPr>
          <w:rFonts w:hint="eastAsia" w:ascii="宋体" w:hAnsi="宋体" w:cs="宋体"/>
          <w:color w:val="auto"/>
          <w:szCs w:val="21"/>
          <w:u w:val="single"/>
        </w:rPr>
        <w:t xml:space="preserve"> </w:t>
      </w:r>
      <w:r>
        <w:rPr>
          <w:rFonts w:hint="eastAsia" w:ascii="宋体" w:hAnsi="宋体" w:cs="宋体"/>
          <w:color w:val="auto"/>
          <w:szCs w:val="21"/>
          <w:u w:val="single"/>
        </w:rPr>
        <w:tab/>
      </w:r>
      <w:r>
        <w:rPr>
          <w:rFonts w:hint="eastAsia" w:ascii="宋体" w:hAnsi="宋体" w:cs="宋体"/>
          <w:color w:val="auto"/>
          <w:szCs w:val="21"/>
        </w:rPr>
        <w:t>万元，资产总额为</w:t>
      </w:r>
      <w:r>
        <w:rPr>
          <w:rFonts w:hint="eastAsia" w:ascii="宋体" w:hAnsi="宋体" w:cs="宋体"/>
          <w:color w:val="auto"/>
          <w:szCs w:val="21"/>
          <w:u w:val="single"/>
        </w:rPr>
        <w:t xml:space="preserve"> </w:t>
      </w:r>
      <w:r>
        <w:rPr>
          <w:rFonts w:hint="eastAsia" w:ascii="宋体" w:hAnsi="宋体" w:cs="宋体"/>
          <w:color w:val="auto"/>
          <w:szCs w:val="21"/>
          <w:u w:val="single"/>
        </w:rPr>
        <w:tab/>
      </w:r>
      <w:r>
        <w:rPr>
          <w:rFonts w:hint="eastAsia" w:ascii="宋体" w:hAnsi="宋体" w:cs="宋体"/>
          <w:color w:val="auto"/>
          <w:szCs w:val="21"/>
        </w:rPr>
        <w:t>万元</w:t>
      </w:r>
      <w:r>
        <w:rPr>
          <w:rStyle w:val="35"/>
          <w:rFonts w:ascii="宋体" w:hAnsi="宋体"/>
          <w:color w:val="auto"/>
        </w:rPr>
        <w:footnoteReference w:id="0"/>
      </w:r>
      <w:r>
        <w:rPr>
          <w:rFonts w:hint="eastAsia" w:ascii="宋体" w:hAnsi="宋体" w:cs="宋体"/>
          <w:color w:val="auto"/>
          <w:szCs w:val="21"/>
        </w:rPr>
        <w:t>，属于</w:t>
      </w:r>
      <w:r>
        <w:rPr>
          <w:rFonts w:hint="eastAsia" w:ascii="宋体" w:hAnsi="宋体" w:cs="宋体"/>
          <w:color w:val="auto"/>
          <w:szCs w:val="21"/>
          <w:u w:val="single"/>
        </w:rPr>
        <w:t>（中型企业、小型企业、微型企业）</w:t>
      </w:r>
      <w:r>
        <w:rPr>
          <w:rFonts w:hint="eastAsia" w:ascii="宋体" w:hAnsi="宋体" w:cs="宋体"/>
          <w:color w:val="auto"/>
          <w:szCs w:val="21"/>
        </w:rPr>
        <w:t>；</w:t>
      </w:r>
    </w:p>
    <w:p w14:paraId="32D7F99D">
      <w:pPr>
        <w:spacing w:line="440" w:lineRule="atLeast"/>
        <w:ind w:firstLine="420" w:firstLineChars="200"/>
        <w:rPr>
          <w:rFonts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u w:val="single"/>
        </w:rPr>
        <w:t>（标的名称）</w:t>
      </w:r>
      <w:r>
        <w:rPr>
          <w:rFonts w:hint="eastAsia" w:ascii="宋体" w:hAnsi="宋体" w:cs="宋体"/>
          <w:color w:val="auto"/>
          <w:szCs w:val="21"/>
        </w:rPr>
        <w:t>，属于</w:t>
      </w:r>
      <w:r>
        <w:rPr>
          <w:rFonts w:hint="eastAsia" w:ascii="宋体" w:hAnsi="宋体" w:cs="宋体"/>
          <w:color w:val="auto"/>
          <w:szCs w:val="21"/>
          <w:u w:val="single"/>
        </w:rPr>
        <w:t>其他未列明行业</w:t>
      </w:r>
      <w:r>
        <w:rPr>
          <w:rFonts w:hint="eastAsia" w:ascii="宋体" w:hAnsi="宋体" w:cs="宋体"/>
          <w:color w:val="auto"/>
          <w:szCs w:val="21"/>
        </w:rPr>
        <w:t>；承建（承接）企业为</w:t>
      </w:r>
      <w:r>
        <w:rPr>
          <w:rFonts w:hint="eastAsia" w:ascii="宋体" w:hAnsi="宋体" w:cs="宋体"/>
          <w:color w:val="auto"/>
          <w:szCs w:val="21"/>
          <w:u w:val="single"/>
        </w:rPr>
        <w:t>（企业名称）</w:t>
      </w:r>
      <w:r>
        <w:rPr>
          <w:rFonts w:hint="eastAsia" w:ascii="宋体" w:hAnsi="宋体" w:cs="宋体"/>
          <w:color w:val="auto"/>
          <w:szCs w:val="21"/>
        </w:rPr>
        <w:t>，从业人员</w:t>
      </w:r>
      <w:r>
        <w:rPr>
          <w:rFonts w:hint="eastAsia" w:ascii="宋体" w:hAnsi="宋体" w:cs="宋体"/>
          <w:color w:val="auto"/>
          <w:szCs w:val="21"/>
          <w:u w:val="single"/>
        </w:rPr>
        <w:t xml:space="preserve">             </w:t>
      </w:r>
      <w:r>
        <w:rPr>
          <w:rFonts w:hint="eastAsia" w:ascii="宋体" w:hAnsi="宋体" w:cs="宋体"/>
          <w:color w:val="auto"/>
          <w:szCs w:val="21"/>
          <w:u w:val="single"/>
        </w:rPr>
        <w:tab/>
      </w:r>
      <w:r>
        <w:rPr>
          <w:rFonts w:hint="eastAsia" w:ascii="宋体" w:hAnsi="宋体" w:cs="宋体"/>
          <w:color w:val="auto"/>
          <w:szCs w:val="21"/>
          <w:u w:val="single"/>
        </w:rPr>
        <w:t xml:space="preserve">     </w:t>
      </w:r>
      <w:r>
        <w:rPr>
          <w:rFonts w:hint="eastAsia" w:ascii="宋体" w:hAnsi="宋体" w:cs="宋体"/>
          <w:color w:val="auto"/>
          <w:szCs w:val="21"/>
        </w:rPr>
        <w:t>人，营业收入为</w:t>
      </w:r>
      <w:r>
        <w:rPr>
          <w:rFonts w:hint="eastAsia" w:ascii="宋体" w:hAnsi="宋体" w:cs="宋体"/>
          <w:color w:val="auto"/>
          <w:szCs w:val="21"/>
          <w:u w:val="single"/>
        </w:rPr>
        <w:t xml:space="preserve"> </w:t>
      </w:r>
      <w:r>
        <w:rPr>
          <w:rFonts w:hint="eastAsia" w:ascii="宋体" w:hAnsi="宋体" w:cs="宋体"/>
          <w:color w:val="auto"/>
          <w:szCs w:val="21"/>
          <w:u w:val="single"/>
        </w:rPr>
        <w:tab/>
      </w:r>
      <w:r>
        <w:rPr>
          <w:rFonts w:hint="eastAsia" w:ascii="宋体" w:hAnsi="宋体" w:cs="宋体"/>
          <w:color w:val="auto"/>
          <w:szCs w:val="21"/>
        </w:rPr>
        <w:t>万元，资产总额为</w:t>
      </w:r>
      <w:r>
        <w:rPr>
          <w:rFonts w:hint="eastAsia" w:ascii="宋体" w:hAnsi="宋体" w:cs="宋体"/>
          <w:color w:val="auto"/>
          <w:szCs w:val="21"/>
          <w:u w:val="single"/>
        </w:rPr>
        <w:t xml:space="preserve"> </w:t>
      </w:r>
      <w:r>
        <w:rPr>
          <w:rFonts w:hint="eastAsia" w:ascii="宋体" w:hAnsi="宋体" w:cs="宋体"/>
          <w:color w:val="auto"/>
          <w:szCs w:val="21"/>
          <w:u w:val="single"/>
        </w:rPr>
        <w:tab/>
      </w:r>
      <w:r>
        <w:rPr>
          <w:rFonts w:hint="eastAsia" w:ascii="宋体" w:hAnsi="宋体" w:cs="宋体"/>
          <w:color w:val="auto"/>
          <w:szCs w:val="21"/>
        </w:rPr>
        <w:t>万元，属于</w:t>
      </w:r>
      <w:r>
        <w:rPr>
          <w:rFonts w:hint="eastAsia" w:ascii="宋体" w:hAnsi="宋体" w:cs="宋体"/>
          <w:color w:val="auto"/>
          <w:szCs w:val="21"/>
          <w:u w:val="single"/>
        </w:rPr>
        <w:t>（中型企业、小型企业、微型企业）</w:t>
      </w:r>
      <w:r>
        <w:rPr>
          <w:rFonts w:hint="eastAsia" w:ascii="宋体" w:hAnsi="宋体" w:cs="宋体"/>
          <w:color w:val="auto"/>
          <w:szCs w:val="21"/>
        </w:rPr>
        <w:t>；</w:t>
      </w:r>
    </w:p>
    <w:p w14:paraId="2A9EBBA6">
      <w:pPr>
        <w:spacing w:line="440" w:lineRule="atLeast"/>
        <w:ind w:firstLine="420" w:firstLineChars="200"/>
        <w:rPr>
          <w:rFonts w:ascii="宋体" w:hAnsi="宋体" w:cs="宋体"/>
          <w:color w:val="auto"/>
          <w:szCs w:val="21"/>
        </w:rPr>
      </w:pPr>
      <w:r>
        <w:rPr>
          <w:rFonts w:hint="eastAsia" w:ascii="宋体" w:hAnsi="宋体" w:cs="宋体"/>
          <w:color w:val="auto"/>
          <w:szCs w:val="21"/>
        </w:rPr>
        <w:t>……</w:t>
      </w:r>
    </w:p>
    <w:p w14:paraId="0A03B419">
      <w:pPr>
        <w:spacing w:line="440" w:lineRule="atLeast"/>
        <w:ind w:firstLine="420" w:firstLineChars="200"/>
        <w:rPr>
          <w:rFonts w:ascii="宋体" w:hAnsi="宋体" w:cs="宋体"/>
          <w:color w:val="auto"/>
          <w:szCs w:val="21"/>
        </w:rPr>
      </w:pPr>
      <w:r>
        <w:rPr>
          <w:rFonts w:hint="eastAsia" w:ascii="宋体" w:hAnsi="宋体" w:cs="宋体"/>
          <w:color w:val="auto"/>
          <w:szCs w:val="21"/>
        </w:rPr>
        <w:t>以上企业，不属于大企业的分支机构，不存在控股股东为大企业的情形，也不存在与大企业的负责人为同一人的情形。</w:t>
      </w:r>
    </w:p>
    <w:p w14:paraId="0F0DD7A6">
      <w:pPr>
        <w:spacing w:line="440" w:lineRule="atLeast"/>
        <w:ind w:firstLine="420" w:firstLineChars="200"/>
        <w:rPr>
          <w:rFonts w:ascii="宋体" w:hAnsi="宋体" w:cs="宋体"/>
          <w:color w:val="auto"/>
          <w:szCs w:val="21"/>
        </w:rPr>
      </w:pPr>
      <w:r>
        <w:rPr>
          <w:rFonts w:hint="eastAsia" w:ascii="宋体" w:hAnsi="宋体" w:cs="宋体"/>
          <w:color w:val="auto"/>
          <w:szCs w:val="21"/>
        </w:rPr>
        <w:t>本企业对上述声明内容的真实性负责。如有虚假，将依法承担相应责任。</w:t>
      </w:r>
    </w:p>
    <w:p w14:paraId="20EBFD9C">
      <w:pPr>
        <w:pStyle w:val="26"/>
        <w:ind w:left="840" w:hanging="420"/>
        <w:rPr>
          <w:rFonts w:ascii="宋体" w:hAnsi="宋体"/>
          <w:color w:val="auto"/>
        </w:rPr>
      </w:pPr>
    </w:p>
    <w:p w14:paraId="505CD2D9">
      <w:pPr>
        <w:pStyle w:val="25"/>
        <w:ind w:firstLine="240"/>
        <w:rPr>
          <w:color w:val="auto"/>
        </w:rPr>
      </w:pPr>
    </w:p>
    <w:p w14:paraId="4AF7E4F1">
      <w:pPr>
        <w:spacing w:line="440" w:lineRule="atLeast"/>
        <w:ind w:firstLine="630" w:firstLineChars="300"/>
        <w:jc w:val="center"/>
        <w:rPr>
          <w:rFonts w:ascii="宋体" w:hAnsi="宋体" w:cs="宋体"/>
          <w:color w:val="auto"/>
          <w:szCs w:val="21"/>
        </w:rPr>
      </w:pPr>
      <w:r>
        <w:rPr>
          <w:rFonts w:hint="eastAsia" w:ascii="宋体" w:hAnsi="宋体" w:cs="宋体"/>
          <w:color w:val="auto"/>
          <w:szCs w:val="21"/>
        </w:rPr>
        <w:t xml:space="preserve">                                  企业名称（盖章）：</w:t>
      </w:r>
    </w:p>
    <w:p w14:paraId="223DA762">
      <w:pPr>
        <w:spacing w:line="440" w:lineRule="atLeast"/>
        <w:ind w:firstLine="630" w:firstLineChars="300"/>
        <w:jc w:val="center"/>
        <w:rPr>
          <w:rFonts w:ascii="宋体" w:hAnsi="宋体" w:cs="宋体"/>
          <w:color w:val="auto"/>
          <w:szCs w:val="21"/>
        </w:rPr>
      </w:pPr>
      <w:r>
        <w:rPr>
          <w:rFonts w:hint="eastAsia" w:ascii="宋体" w:hAnsi="宋体" w:cs="宋体"/>
          <w:color w:val="auto"/>
          <w:szCs w:val="21"/>
        </w:rPr>
        <w:t xml:space="preserve">                      日期：</w:t>
      </w:r>
    </w:p>
    <w:p w14:paraId="478CF243">
      <w:pPr>
        <w:spacing w:line="440" w:lineRule="atLeast"/>
        <w:ind w:firstLine="630" w:firstLineChars="300"/>
        <w:jc w:val="right"/>
        <w:rPr>
          <w:rFonts w:ascii="宋体" w:hAnsi="宋体" w:cs="宋体"/>
          <w:color w:val="auto"/>
          <w:szCs w:val="21"/>
        </w:rPr>
      </w:pPr>
    </w:p>
    <w:p w14:paraId="149EFAB8">
      <w:pPr>
        <w:spacing w:line="440" w:lineRule="atLeast"/>
        <w:rPr>
          <w:rFonts w:ascii="宋体" w:hAnsi="宋体" w:cs="宋体"/>
          <w:color w:val="auto"/>
          <w:szCs w:val="21"/>
        </w:rPr>
      </w:pPr>
    </w:p>
    <w:p w14:paraId="590B9A79">
      <w:pPr>
        <w:spacing w:line="440" w:lineRule="atLeast"/>
        <w:rPr>
          <w:rFonts w:ascii="宋体" w:hAnsi="宋体" w:cs="宋体"/>
          <w:color w:val="auto"/>
          <w:szCs w:val="21"/>
        </w:rPr>
      </w:pPr>
    </w:p>
    <w:p w14:paraId="7BDF0D04">
      <w:pPr>
        <w:spacing w:line="440" w:lineRule="atLeast"/>
        <w:rPr>
          <w:rFonts w:ascii="宋体" w:hAnsi="宋体" w:cs="宋体"/>
          <w:color w:val="auto"/>
          <w:szCs w:val="21"/>
        </w:rPr>
      </w:pPr>
    </w:p>
    <w:p w14:paraId="480F8CE5">
      <w:pPr>
        <w:spacing w:line="440" w:lineRule="atLeast"/>
        <w:rPr>
          <w:rFonts w:ascii="宋体" w:hAnsi="宋体" w:cs="宋体"/>
          <w:color w:val="auto"/>
          <w:szCs w:val="21"/>
        </w:rPr>
      </w:pPr>
    </w:p>
    <w:p w14:paraId="0F570AB7">
      <w:pPr>
        <w:spacing w:line="440" w:lineRule="atLeast"/>
        <w:rPr>
          <w:rFonts w:ascii="宋体" w:hAnsi="宋体" w:cs="宋体"/>
          <w:color w:val="auto"/>
          <w:szCs w:val="21"/>
        </w:rPr>
      </w:pPr>
    </w:p>
    <w:p w14:paraId="15D92A6E">
      <w:pPr>
        <w:spacing w:line="440" w:lineRule="atLeast"/>
        <w:rPr>
          <w:rFonts w:ascii="宋体" w:hAnsi="宋体" w:cs="宋体"/>
          <w:color w:val="auto"/>
          <w:szCs w:val="21"/>
        </w:rPr>
      </w:pPr>
    </w:p>
    <w:p w14:paraId="084A9356">
      <w:pPr>
        <w:spacing w:line="440" w:lineRule="atLeast"/>
        <w:rPr>
          <w:rFonts w:ascii="宋体" w:hAnsi="宋体" w:cs="宋体"/>
          <w:color w:val="auto"/>
          <w:szCs w:val="21"/>
        </w:rPr>
      </w:pPr>
    </w:p>
    <w:p w14:paraId="139B731E">
      <w:pPr>
        <w:spacing w:line="440" w:lineRule="atLeast"/>
        <w:rPr>
          <w:rFonts w:ascii="宋体" w:hAnsi="宋体" w:cs="宋体"/>
          <w:color w:val="auto"/>
          <w:szCs w:val="21"/>
        </w:rPr>
      </w:pPr>
    </w:p>
    <w:p w14:paraId="08CCBD5C">
      <w:pPr>
        <w:spacing w:line="440" w:lineRule="atLeast"/>
        <w:rPr>
          <w:rFonts w:ascii="宋体" w:hAnsi="宋体" w:cs="宋体"/>
          <w:color w:val="auto"/>
          <w:szCs w:val="21"/>
        </w:rPr>
      </w:pPr>
    </w:p>
    <w:p w14:paraId="3FFFF0FB">
      <w:pPr>
        <w:pStyle w:val="48"/>
        <w:jc w:val="left"/>
        <w:rPr>
          <w:rFonts w:hint="eastAsia" w:ascii="宋体" w:hAnsi="宋体" w:cs="宋体"/>
          <w:b/>
          <w:color w:val="auto"/>
          <w:szCs w:val="21"/>
        </w:rPr>
      </w:pPr>
      <w:r>
        <w:rPr>
          <w:rFonts w:hint="eastAsia" w:ascii="宋体" w:hAnsi="宋体" w:cs="宋体"/>
          <w:b/>
          <w:color w:val="auto"/>
          <w:szCs w:val="21"/>
        </w:rPr>
        <w:br w:type="page"/>
      </w:r>
    </w:p>
    <w:p w14:paraId="5CF8F948">
      <w:pPr>
        <w:pStyle w:val="48"/>
        <w:jc w:val="center"/>
        <w:rPr>
          <w:rFonts w:hint="eastAsia" w:ascii="宋体" w:hAnsi="宋体" w:cs="宋体"/>
          <w:b/>
          <w:bCs/>
          <w:color w:val="auto"/>
          <w:sz w:val="24"/>
          <w:szCs w:val="28"/>
        </w:rPr>
      </w:pPr>
      <w:r>
        <w:rPr>
          <w:rFonts w:hint="eastAsia" w:ascii="宋体" w:hAnsi="宋体" w:cs="宋体"/>
          <w:b/>
          <w:bCs/>
          <w:color w:val="auto"/>
          <w:sz w:val="24"/>
          <w:szCs w:val="28"/>
        </w:rPr>
        <w:t>中小企业划型标准规定</w:t>
      </w:r>
    </w:p>
    <w:p w14:paraId="6953BA1B">
      <w:pPr>
        <w:pStyle w:val="48"/>
        <w:jc w:val="center"/>
        <w:rPr>
          <w:rFonts w:hint="eastAsia" w:ascii="宋体" w:hAnsi="宋体" w:cs="宋体"/>
          <w:color w:val="auto"/>
          <w:sz w:val="24"/>
          <w:szCs w:val="28"/>
        </w:rPr>
      </w:pPr>
    </w:p>
    <w:p w14:paraId="73C113F3">
      <w:pPr>
        <w:pStyle w:val="48"/>
        <w:spacing w:line="360" w:lineRule="auto"/>
        <w:jc w:val="left"/>
        <w:rPr>
          <w:rFonts w:hint="eastAsia" w:ascii="宋体" w:hAnsi="宋体" w:eastAsia="宋体" w:cs="宋体"/>
          <w:color w:val="auto"/>
          <w:sz w:val="21"/>
          <w:szCs w:val="22"/>
        </w:rPr>
      </w:pPr>
      <w:r>
        <w:rPr>
          <w:rFonts w:hint="eastAsia" w:ascii="宋体" w:hAnsi="宋体" w:eastAsia="宋体" w:cs="宋体"/>
          <w:color w:val="auto"/>
          <w:sz w:val="21"/>
          <w:szCs w:val="22"/>
        </w:rPr>
        <w:t>各行业划型标准为：</w:t>
      </w:r>
    </w:p>
    <w:p w14:paraId="0F8EB505">
      <w:pPr>
        <w:pStyle w:val="48"/>
        <w:spacing w:line="360" w:lineRule="auto"/>
        <w:jc w:val="left"/>
        <w:rPr>
          <w:rFonts w:hint="eastAsia" w:ascii="宋体" w:hAnsi="宋体" w:eastAsia="宋体" w:cs="宋体"/>
          <w:color w:val="auto"/>
          <w:sz w:val="21"/>
          <w:szCs w:val="22"/>
        </w:rPr>
      </w:pPr>
      <w:r>
        <w:rPr>
          <w:rFonts w:hint="eastAsia" w:ascii="宋体" w:hAnsi="宋体" w:eastAsia="宋体" w:cs="宋体"/>
          <w:color w:val="auto"/>
          <w:sz w:val="21"/>
          <w:szCs w:val="22"/>
        </w:rPr>
        <w:t>（一）农、林、牧、渔业。营业收入20000万元以下的为中小微型企业。其中，营业收入500万元及以上的为中型企业，营业收入50万元及以上的为小型企业，营业收入50万元以下的为微型企业。</w:t>
      </w:r>
    </w:p>
    <w:p w14:paraId="566E9615">
      <w:pPr>
        <w:pStyle w:val="48"/>
        <w:spacing w:line="360" w:lineRule="auto"/>
        <w:jc w:val="left"/>
        <w:rPr>
          <w:rFonts w:hint="eastAsia" w:ascii="宋体" w:hAnsi="宋体" w:eastAsia="宋体" w:cs="宋体"/>
          <w:color w:val="auto"/>
          <w:sz w:val="21"/>
          <w:szCs w:val="22"/>
        </w:rPr>
      </w:pPr>
      <w:r>
        <w:rPr>
          <w:rFonts w:hint="eastAsia" w:ascii="宋体" w:hAnsi="宋体" w:eastAsia="宋体" w:cs="宋体"/>
          <w:color w:val="auto"/>
          <w:sz w:val="21"/>
          <w:szCs w:val="22"/>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31193A85">
      <w:pPr>
        <w:pStyle w:val="48"/>
        <w:spacing w:line="360" w:lineRule="auto"/>
        <w:jc w:val="left"/>
        <w:rPr>
          <w:rFonts w:hint="eastAsia" w:ascii="宋体" w:hAnsi="宋体" w:eastAsia="宋体" w:cs="宋体"/>
          <w:color w:val="auto"/>
          <w:sz w:val="21"/>
          <w:szCs w:val="22"/>
        </w:rPr>
      </w:pPr>
      <w:r>
        <w:rPr>
          <w:rFonts w:hint="eastAsia" w:ascii="宋体" w:hAnsi="宋体" w:eastAsia="宋体" w:cs="宋体"/>
          <w:color w:val="auto"/>
          <w:sz w:val="21"/>
          <w:szCs w:val="22"/>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D0A6B1F">
      <w:pPr>
        <w:pStyle w:val="48"/>
        <w:spacing w:line="360" w:lineRule="auto"/>
        <w:jc w:val="left"/>
        <w:rPr>
          <w:rFonts w:hint="eastAsia" w:ascii="宋体" w:hAnsi="宋体" w:eastAsia="宋体" w:cs="宋体"/>
          <w:color w:val="auto"/>
          <w:sz w:val="21"/>
          <w:szCs w:val="22"/>
        </w:rPr>
      </w:pPr>
      <w:r>
        <w:rPr>
          <w:rFonts w:hint="eastAsia" w:ascii="宋体" w:hAnsi="宋体" w:eastAsia="宋体" w:cs="宋体"/>
          <w:color w:val="auto"/>
          <w:sz w:val="21"/>
          <w:szCs w:val="22"/>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34A797BC">
      <w:pPr>
        <w:pStyle w:val="48"/>
        <w:spacing w:line="360" w:lineRule="auto"/>
        <w:jc w:val="left"/>
        <w:rPr>
          <w:rFonts w:hint="eastAsia" w:ascii="宋体" w:hAnsi="宋体" w:eastAsia="宋体" w:cs="宋体"/>
          <w:color w:val="auto"/>
          <w:sz w:val="21"/>
          <w:szCs w:val="22"/>
        </w:rPr>
      </w:pPr>
      <w:r>
        <w:rPr>
          <w:rFonts w:hint="eastAsia" w:ascii="宋体" w:hAnsi="宋体" w:eastAsia="宋体" w:cs="宋体"/>
          <w:color w:val="auto"/>
          <w:sz w:val="21"/>
          <w:szCs w:val="22"/>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5174FE0D">
      <w:pPr>
        <w:pStyle w:val="48"/>
        <w:spacing w:line="360" w:lineRule="auto"/>
        <w:jc w:val="left"/>
        <w:rPr>
          <w:rFonts w:hint="eastAsia" w:ascii="宋体" w:hAnsi="宋体" w:eastAsia="宋体" w:cs="宋体"/>
          <w:color w:val="auto"/>
          <w:sz w:val="21"/>
          <w:szCs w:val="22"/>
        </w:rPr>
      </w:pPr>
      <w:r>
        <w:rPr>
          <w:rFonts w:hint="eastAsia" w:ascii="宋体" w:hAnsi="宋体" w:eastAsia="宋体" w:cs="宋体"/>
          <w:color w:val="auto"/>
          <w:sz w:val="21"/>
          <w:szCs w:val="22"/>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2F298083">
      <w:pPr>
        <w:pStyle w:val="48"/>
        <w:spacing w:line="360" w:lineRule="auto"/>
        <w:jc w:val="left"/>
        <w:rPr>
          <w:rFonts w:hint="eastAsia" w:ascii="宋体" w:hAnsi="宋体" w:eastAsia="宋体" w:cs="宋体"/>
          <w:color w:val="auto"/>
          <w:sz w:val="21"/>
          <w:szCs w:val="22"/>
        </w:rPr>
      </w:pPr>
      <w:r>
        <w:rPr>
          <w:rFonts w:hint="eastAsia" w:ascii="宋体" w:hAnsi="宋体" w:eastAsia="宋体" w:cs="宋体"/>
          <w:color w:val="auto"/>
          <w:sz w:val="21"/>
          <w:szCs w:val="22"/>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249DACE9">
      <w:pPr>
        <w:pStyle w:val="48"/>
        <w:spacing w:line="360" w:lineRule="auto"/>
        <w:jc w:val="left"/>
        <w:rPr>
          <w:rFonts w:hint="eastAsia" w:ascii="宋体" w:hAnsi="宋体" w:eastAsia="宋体" w:cs="宋体"/>
          <w:color w:val="auto"/>
          <w:sz w:val="21"/>
          <w:szCs w:val="22"/>
        </w:rPr>
      </w:pPr>
      <w:r>
        <w:rPr>
          <w:rFonts w:hint="eastAsia" w:ascii="宋体" w:hAnsi="宋体" w:eastAsia="宋体" w:cs="宋体"/>
          <w:color w:val="auto"/>
          <w:sz w:val="21"/>
          <w:szCs w:val="22"/>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347B63FC">
      <w:pPr>
        <w:pStyle w:val="48"/>
        <w:spacing w:line="360" w:lineRule="auto"/>
        <w:jc w:val="left"/>
        <w:rPr>
          <w:rFonts w:hint="eastAsia" w:ascii="宋体" w:hAnsi="宋体" w:eastAsia="宋体" w:cs="宋体"/>
          <w:color w:val="auto"/>
          <w:sz w:val="21"/>
          <w:szCs w:val="22"/>
        </w:rPr>
      </w:pPr>
      <w:r>
        <w:rPr>
          <w:rFonts w:hint="eastAsia" w:ascii="宋体" w:hAnsi="宋体" w:eastAsia="宋体" w:cs="宋体"/>
          <w:color w:val="auto"/>
          <w:sz w:val="21"/>
          <w:szCs w:val="22"/>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D0EA179">
      <w:pPr>
        <w:pStyle w:val="48"/>
        <w:spacing w:line="360" w:lineRule="auto"/>
        <w:jc w:val="left"/>
        <w:rPr>
          <w:rFonts w:hint="eastAsia" w:ascii="宋体" w:hAnsi="宋体" w:eastAsia="宋体" w:cs="宋体"/>
          <w:color w:val="auto"/>
          <w:sz w:val="21"/>
          <w:szCs w:val="22"/>
        </w:rPr>
      </w:pPr>
      <w:r>
        <w:rPr>
          <w:rFonts w:hint="eastAsia" w:ascii="宋体" w:hAnsi="宋体" w:eastAsia="宋体" w:cs="宋体"/>
          <w:color w:val="auto"/>
          <w:sz w:val="21"/>
          <w:szCs w:val="22"/>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CE04511">
      <w:pPr>
        <w:pStyle w:val="48"/>
        <w:spacing w:line="360" w:lineRule="auto"/>
        <w:jc w:val="left"/>
        <w:rPr>
          <w:rFonts w:hint="eastAsia" w:ascii="宋体" w:hAnsi="宋体" w:eastAsia="宋体" w:cs="宋体"/>
          <w:color w:val="auto"/>
          <w:sz w:val="21"/>
          <w:szCs w:val="22"/>
        </w:rPr>
      </w:pPr>
      <w:r>
        <w:rPr>
          <w:rFonts w:hint="eastAsia" w:ascii="宋体" w:hAnsi="宋体" w:eastAsia="宋体" w:cs="宋体"/>
          <w:color w:val="auto"/>
          <w:sz w:val="21"/>
          <w:szCs w:val="22"/>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409BC5F7">
      <w:pPr>
        <w:pStyle w:val="48"/>
        <w:spacing w:line="360" w:lineRule="auto"/>
        <w:jc w:val="left"/>
        <w:rPr>
          <w:rFonts w:hint="eastAsia" w:ascii="宋体" w:hAnsi="宋体" w:eastAsia="宋体" w:cs="宋体"/>
          <w:color w:val="auto"/>
          <w:sz w:val="21"/>
          <w:szCs w:val="22"/>
        </w:rPr>
      </w:pPr>
      <w:r>
        <w:rPr>
          <w:rFonts w:hint="eastAsia" w:ascii="宋体" w:hAnsi="宋体" w:eastAsia="宋体" w:cs="宋体"/>
          <w:color w:val="auto"/>
          <w:sz w:val="21"/>
          <w:szCs w:val="22"/>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4A355157">
      <w:pPr>
        <w:pStyle w:val="48"/>
        <w:spacing w:line="360" w:lineRule="auto"/>
        <w:jc w:val="left"/>
        <w:rPr>
          <w:rFonts w:hint="eastAsia" w:ascii="宋体" w:hAnsi="宋体" w:eastAsia="宋体" w:cs="宋体"/>
          <w:color w:val="auto"/>
          <w:sz w:val="21"/>
          <w:szCs w:val="22"/>
        </w:rPr>
      </w:pPr>
      <w:r>
        <w:rPr>
          <w:rFonts w:hint="eastAsia" w:ascii="宋体" w:hAnsi="宋体" w:eastAsia="宋体" w:cs="宋体"/>
          <w:color w:val="auto"/>
          <w:sz w:val="21"/>
          <w:szCs w:val="22"/>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1E5568F0">
      <w:pPr>
        <w:pStyle w:val="48"/>
        <w:spacing w:line="360" w:lineRule="auto"/>
        <w:jc w:val="left"/>
        <w:rPr>
          <w:rFonts w:hint="eastAsia" w:ascii="宋体" w:hAnsi="宋体" w:eastAsia="宋体" w:cs="宋体"/>
          <w:color w:val="auto"/>
          <w:sz w:val="21"/>
          <w:szCs w:val="22"/>
        </w:rPr>
      </w:pPr>
      <w:r>
        <w:rPr>
          <w:rFonts w:hint="eastAsia" w:ascii="宋体" w:hAnsi="宋体" w:eastAsia="宋体" w:cs="宋体"/>
          <w:color w:val="auto"/>
          <w:sz w:val="21"/>
          <w:szCs w:val="22"/>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11D38C7F">
      <w:pPr>
        <w:pStyle w:val="48"/>
        <w:spacing w:line="360" w:lineRule="auto"/>
        <w:jc w:val="left"/>
        <w:rPr>
          <w:rFonts w:hint="eastAsia" w:ascii="宋体" w:hAnsi="宋体" w:eastAsia="宋体" w:cs="宋体"/>
          <w:color w:val="auto"/>
          <w:sz w:val="21"/>
          <w:szCs w:val="22"/>
        </w:rPr>
      </w:pPr>
      <w:r>
        <w:rPr>
          <w:rFonts w:hint="eastAsia" w:ascii="宋体" w:hAnsi="宋体" w:eastAsia="宋体" w:cs="宋体"/>
          <w:color w:val="auto"/>
          <w:sz w:val="21"/>
          <w:szCs w:val="22"/>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77B5572E">
      <w:pPr>
        <w:pStyle w:val="48"/>
        <w:jc w:val="left"/>
        <w:rPr>
          <w:rFonts w:hint="eastAsia" w:ascii="宋体" w:hAnsi="宋体" w:cs="宋体"/>
          <w:b/>
          <w:color w:val="auto"/>
          <w:szCs w:val="21"/>
        </w:rPr>
      </w:pPr>
      <w:r>
        <w:rPr>
          <w:rFonts w:hint="eastAsia" w:ascii="宋体" w:hAnsi="宋体" w:eastAsia="宋体" w:cs="宋体"/>
          <w:color w:val="auto"/>
          <w:sz w:val="21"/>
          <w:szCs w:val="22"/>
        </w:rPr>
        <w:t>（十六）其他未列明行业。从业人员300人以下的为中小微型企业。其中，从业人员100人及以上的为中型企业；从业人员10人及以上的为小型企业；从业人员10人以下的为微型企业。</w:t>
      </w:r>
      <w:r>
        <w:rPr>
          <w:rFonts w:hint="eastAsia" w:ascii="宋体" w:hAnsi="宋体" w:cs="宋体"/>
          <w:b/>
          <w:color w:val="auto"/>
          <w:szCs w:val="21"/>
        </w:rPr>
        <w:br w:type="page"/>
      </w:r>
    </w:p>
    <w:p w14:paraId="68F5943C">
      <w:pPr>
        <w:pStyle w:val="48"/>
        <w:jc w:val="left"/>
        <w:rPr>
          <w:rFonts w:hint="eastAsia" w:ascii="宋体" w:hAnsi="宋体" w:cs="宋体"/>
          <w:b/>
          <w:color w:val="auto"/>
          <w:szCs w:val="21"/>
        </w:rPr>
      </w:pPr>
    </w:p>
    <w:p w14:paraId="50364701">
      <w:pPr>
        <w:pStyle w:val="48"/>
        <w:jc w:val="left"/>
        <w:rPr>
          <w:rFonts w:ascii="宋体" w:hAnsi="宋体" w:cs="宋体"/>
          <w:color w:val="auto"/>
          <w:sz w:val="22"/>
        </w:rPr>
      </w:pPr>
      <w:r>
        <w:rPr>
          <w:rFonts w:hint="eastAsia" w:ascii="宋体" w:hAnsi="宋体" w:cs="宋体"/>
          <w:color w:val="auto"/>
          <w:sz w:val="22"/>
        </w:rPr>
        <w:t xml:space="preserve">附件二： </w:t>
      </w:r>
    </w:p>
    <w:p w14:paraId="155B8F0C">
      <w:pPr>
        <w:pStyle w:val="48"/>
        <w:jc w:val="center"/>
        <w:outlineLvl w:val="0"/>
        <w:rPr>
          <w:rFonts w:ascii="宋体" w:hAnsi="宋体" w:cs="宋体"/>
          <w:b/>
          <w:color w:val="auto"/>
          <w:szCs w:val="21"/>
          <w:lang w:val="en-GB"/>
        </w:rPr>
      </w:pPr>
      <w:bookmarkStart w:id="150" w:name="_Toc30594"/>
      <w:bookmarkStart w:id="151" w:name="_Toc28183"/>
      <w:bookmarkStart w:id="152" w:name="OLE_LINK14"/>
      <w:r>
        <w:rPr>
          <w:rFonts w:hint="eastAsia" w:ascii="宋体" w:hAnsi="宋体" w:cs="宋体"/>
          <w:b/>
          <w:color w:val="auto"/>
          <w:szCs w:val="21"/>
          <w:lang w:val="en-GB"/>
        </w:rPr>
        <w:t>残疾人福利性单位声明函</w:t>
      </w:r>
      <w:bookmarkEnd w:id="150"/>
      <w:bookmarkEnd w:id="151"/>
      <w:bookmarkEnd w:id="152"/>
    </w:p>
    <w:p w14:paraId="328294C0">
      <w:pPr>
        <w:pStyle w:val="48"/>
        <w:jc w:val="center"/>
        <w:rPr>
          <w:rFonts w:ascii="宋体" w:hAnsi="宋体" w:cs="宋体"/>
          <w:b/>
          <w:color w:val="auto"/>
          <w:szCs w:val="21"/>
          <w:lang w:val="en-GB"/>
        </w:rPr>
      </w:pPr>
    </w:p>
    <w:p w14:paraId="0C8C21A6">
      <w:pPr>
        <w:spacing w:line="588" w:lineRule="exact"/>
        <w:ind w:firstLine="440" w:firstLineChars="200"/>
        <w:rPr>
          <w:rFonts w:ascii="宋体" w:hAnsi="宋体" w:cs="宋体"/>
          <w:color w:val="auto"/>
          <w:sz w:val="22"/>
        </w:rPr>
      </w:pPr>
      <w:r>
        <w:rPr>
          <w:rFonts w:hint="eastAsia" w:ascii="宋体" w:hAnsi="宋体" w:cs="宋体"/>
          <w:color w:val="auto"/>
          <w:sz w:val="22"/>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color w:val="auto"/>
          <w:szCs w:val="21"/>
          <w:u w:val="single"/>
          <w:lang w:eastAsia="zh-CN"/>
        </w:rPr>
        <w:t>常山县农业农村局</w:t>
      </w:r>
      <w:r>
        <w:rPr>
          <w:rFonts w:hint="eastAsia" w:ascii="宋体" w:hAnsi="宋体" w:cs="宋体"/>
          <w:color w:val="auto"/>
          <w:szCs w:val="21"/>
        </w:rPr>
        <w:t>的</w:t>
      </w:r>
      <w:r>
        <w:rPr>
          <w:rFonts w:hint="eastAsia" w:ascii="宋体" w:hAnsi="宋体" w:cs="宋体"/>
          <w:color w:val="auto"/>
          <w:szCs w:val="21"/>
          <w:u w:val="single"/>
          <w:lang w:eastAsia="zh-CN"/>
        </w:rPr>
        <w:t>常山县农村垃圾中转站渗滤液集中转运处置项目（2025-2026年度）</w:t>
      </w:r>
      <w:r>
        <w:rPr>
          <w:rFonts w:hint="eastAsia" w:ascii="宋体" w:hAnsi="宋体" w:cs="宋体"/>
          <w:color w:val="auto"/>
          <w:sz w:val="22"/>
        </w:rPr>
        <w:t>采购活动提供本单位制造的货物（由本单位承担工程/提供服务），或者提供其他残疾人福利性单位制造的货物（不包括使用非残疾人福利性单位注册商标的货物）。</w:t>
      </w:r>
    </w:p>
    <w:p w14:paraId="02EB2B56">
      <w:pPr>
        <w:spacing w:line="588" w:lineRule="exact"/>
        <w:ind w:firstLine="440" w:firstLineChars="200"/>
        <w:rPr>
          <w:rFonts w:ascii="宋体" w:hAnsi="宋体" w:cs="宋体"/>
          <w:color w:val="auto"/>
          <w:sz w:val="22"/>
        </w:rPr>
      </w:pPr>
      <w:r>
        <w:rPr>
          <w:rFonts w:hint="eastAsia" w:ascii="宋体" w:hAnsi="宋体" w:cs="宋体"/>
          <w:color w:val="auto"/>
          <w:sz w:val="22"/>
        </w:rPr>
        <w:t>本单位对上述声明的真实性负责。如有虚假，将依法承担相应责任。</w:t>
      </w:r>
    </w:p>
    <w:p w14:paraId="2E3A5D12">
      <w:pPr>
        <w:spacing w:line="588" w:lineRule="exact"/>
        <w:ind w:firstLine="624" w:firstLineChars="200"/>
        <w:rPr>
          <w:rFonts w:ascii="宋体" w:hAnsi="宋体" w:cs="宋体"/>
          <w:color w:val="auto"/>
          <w:spacing w:val="6"/>
          <w:sz w:val="30"/>
          <w:szCs w:val="30"/>
        </w:rPr>
      </w:pPr>
    </w:p>
    <w:p w14:paraId="70F99FB3">
      <w:pPr>
        <w:spacing w:line="588" w:lineRule="exact"/>
        <w:ind w:firstLine="624" w:firstLineChars="200"/>
        <w:rPr>
          <w:rFonts w:ascii="宋体" w:hAnsi="宋体" w:cs="宋体"/>
          <w:color w:val="auto"/>
          <w:spacing w:val="6"/>
          <w:sz w:val="30"/>
          <w:szCs w:val="30"/>
        </w:rPr>
      </w:pPr>
    </w:p>
    <w:p w14:paraId="7A8F7939">
      <w:pPr>
        <w:spacing w:line="440" w:lineRule="atLeast"/>
        <w:rPr>
          <w:rFonts w:ascii="宋体" w:hAnsi="宋体" w:cs="宋体"/>
          <w:b/>
          <w:bCs/>
          <w:color w:val="auto"/>
          <w:szCs w:val="21"/>
        </w:rPr>
      </w:pPr>
      <w:r>
        <w:rPr>
          <w:rFonts w:hint="eastAsia" w:ascii="宋体" w:hAnsi="宋体" w:cs="宋体"/>
          <w:b/>
          <w:bCs/>
          <w:color w:val="auto"/>
          <w:szCs w:val="21"/>
        </w:rPr>
        <w:t>投标人（盖章）：  </w:t>
      </w:r>
    </w:p>
    <w:p w14:paraId="6E4672C7">
      <w:pPr>
        <w:spacing w:line="440" w:lineRule="atLeast"/>
        <w:ind w:left="16" w:leftChars="-403" w:hanging="862" w:hangingChars="409"/>
        <w:rPr>
          <w:rFonts w:ascii="宋体" w:hAnsi="宋体" w:cs="宋体"/>
          <w:b/>
          <w:bCs/>
          <w:color w:val="auto"/>
          <w:szCs w:val="21"/>
        </w:rPr>
      </w:pPr>
      <w:r>
        <w:rPr>
          <w:rFonts w:hint="eastAsia" w:ascii="宋体" w:hAnsi="宋体" w:cs="宋体"/>
          <w:b/>
          <w:bCs/>
          <w:color w:val="auto"/>
          <w:szCs w:val="21"/>
        </w:rPr>
        <w:t>              </w:t>
      </w:r>
    </w:p>
    <w:p w14:paraId="1FDA738E">
      <w:pPr>
        <w:pStyle w:val="60"/>
        <w:adjustRightInd/>
        <w:rPr>
          <w:rFonts w:ascii="宋体" w:hAnsi="宋体" w:cs="宋体"/>
          <w:b/>
          <w:bCs/>
          <w:color w:val="auto"/>
        </w:rPr>
      </w:pPr>
    </w:p>
    <w:p w14:paraId="1495A499">
      <w:pPr>
        <w:tabs>
          <w:tab w:val="left" w:pos="4860"/>
        </w:tabs>
        <w:spacing w:line="588" w:lineRule="exact"/>
        <w:ind w:right="1560"/>
        <w:rPr>
          <w:rFonts w:ascii="宋体" w:hAnsi="宋体" w:cs="宋体"/>
          <w:b/>
          <w:bCs/>
          <w:color w:val="auto"/>
          <w:szCs w:val="21"/>
        </w:rPr>
      </w:pPr>
      <w:r>
        <w:rPr>
          <w:rFonts w:hint="eastAsia" w:ascii="宋体" w:hAnsi="宋体" w:cs="宋体"/>
          <w:b/>
          <w:bCs/>
          <w:color w:val="auto"/>
          <w:szCs w:val="21"/>
        </w:rPr>
        <w:t>日  期： </w:t>
      </w:r>
    </w:p>
    <w:p w14:paraId="5463FB87">
      <w:pPr>
        <w:tabs>
          <w:tab w:val="left" w:pos="4860"/>
        </w:tabs>
        <w:spacing w:line="588" w:lineRule="exact"/>
        <w:ind w:right="1560"/>
        <w:rPr>
          <w:rFonts w:ascii="宋体" w:hAnsi="宋体" w:cs="宋体"/>
          <w:color w:val="auto"/>
          <w:spacing w:val="6"/>
          <w:sz w:val="30"/>
          <w:szCs w:val="30"/>
        </w:rPr>
      </w:pPr>
      <w:r>
        <w:rPr>
          <w:rFonts w:hint="eastAsia" w:ascii="宋体" w:hAnsi="宋体" w:cs="宋体"/>
          <w:color w:val="auto"/>
          <w:szCs w:val="21"/>
        </w:rPr>
        <w:t> </w:t>
      </w:r>
    </w:p>
    <w:p w14:paraId="115E1B96">
      <w:pPr>
        <w:tabs>
          <w:tab w:val="left" w:pos="4860"/>
        </w:tabs>
        <w:spacing w:line="588" w:lineRule="exact"/>
        <w:ind w:right="1560"/>
        <w:jc w:val="left"/>
        <w:rPr>
          <w:rFonts w:ascii="宋体" w:hAnsi="宋体" w:cs="宋体"/>
          <w:b/>
          <w:color w:val="auto"/>
          <w:sz w:val="22"/>
        </w:rPr>
      </w:pPr>
      <w:r>
        <w:rPr>
          <w:rFonts w:hint="eastAsia" w:ascii="宋体" w:hAnsi="宋体" w:cs="宋体"/>
          <w:b/>
          <w:color w:val="auto"/>
          <w:sz w:val="22"/>
        </w:rPr>
        <w:t>备注说明：</w:t>
      </w:r>
    </w:p>
    <w:p w14:paraId="0C8F3D16">
      <w:pPr>
        <w:tabs>
          <w:tab w:val="left" w:pos="4860"/>
        </w:tabs>
        <w:spacing w:line="588" w:lineRule="exact"/>
        <w:ind w:right="1560"/>
        <w:jc w:val="left"/>
        <w:rPr>
          <w:rFonts w:ascii="宋体" w:hAnsi="宋体" w:cs="宋体"/>
          <w:b/>
          <w:color w:val="auto"/>
          <w:sz w:val="22"/>
        </w:rPr>
      </w:pPr>
      <w:r>
        <w:rPr>
          <w:rFonts w:hint="eastAsia" w:ascii="宋体" w:hAnsi="宋体" w:cs="宋体"/>
          <w:b/>
          <w:color w:val="auto"/>
          <w:sz w:val="22"/>
        </w:rPr>
        <w:t>1、如中标，将在中标公示中将此残疾人福利性单位声明函予以公示，接受社会监督；</w:t>
      </w:r>
    </w:p>
    <w:p w14:paraId="0062FBD2">
      <w:pPr>
        <w:tabs>
          <w:tab w:val="left" w:pos="4860"/>
        </w:tabs>
        <w:spacing w:line="588" w:lineRule="exact"/>
        <w:ind w:right="-94"/>
        <w:jc w:val="left"/>
        <w:rPr>
          <w:rFonts w:ascii="宋体" w:hAnsi="宋体" w:cs="宋体"/>
          <w:b/>
          <w:color w:val="auto"/>
          <w:sz w:val="22"/>
        </w:rPr>
      </w:pPr>
      <w:r>
        <w:rPr>
          <w:rFonts w:hint="eastAsia" w:ascii="宋体" w:hAnsi="宋体" w:cs="宋体"/>
          <w:b/>
          <w:color w:val="auto"/>
          <w:sz w:val="22"/>
        </w:rPr>
        <w:t>2、供应商提供的《残疾人福利性单位声明函》与事实不符的，依照《</w:t>
      </w:r>
      <w:r>
        <w:rPr>
          <w:rFonts w:hint="eastAsia" w:ascii="宋体" w:hAnsi="宋体" w:cs="宋体"/>
          <w:b/>
          <w:color w:val="auto"/>
          <w:sz w:val="22"/>
          <w:lang w:val="en-US" w:eastAsia="zh-CN"/>
        </w:rPr>
        <w:t>中华人民共和国</w:t>
      </w:r>
      <w:r>
        <w:rPr>
          <w:rFonts w:hint="eastAsia" w:ascii="宋体" w:hAnsi="宋体" w:cs="宋体"/>
          <w:b/>
          <w:color w:val="auto"/>
          <w:sz w:val="22"/>
        </w:rPr>
        <w:t>政府采购法》第七十七条第一款的规定追究法律责任。</w:t>
      </w:r>
    </w:p>
    <w:p w14:paraId="0357D179">
      <w:pPr>
        <w:pStyle w:val="8"/>
        <w:ind w:left="442" w:hanging="442"/>
        <w:rPr>
          <w:rFonts w:ascii="宋体" w:hAnsi="宋体" w:cs="宋体"/>
          <w:b/>
          <w:color w:val="auto"/>
          <w:sz w:val="22"/>
        </w:rPr>
      </w:pPr>
    </w:p>
    <w:p w14:paraId="7EF0EA47">
      <w:pPr>
        <w:rPr>
          <w:rFonts w:ascii="宋体" w:hAnsi="宋体" w:cs="宋体"/>
          <w:b/>
          <w:color w:val="auto"/>
          <w:sz w:val="22"/>
        </w:rPr>
      </w:pPr>
    </w:p>
    <w:p w14:paraId="0F30EB65">
      <w:pPr>
        <w:pStyle w:val="8"/>
        <w:ind w:left="442" w:hanging="442"/>
        <w:rPr>
          <w:rFonts w:ascii="宋体" w:hAnsi="宋体" w:cs="宋体"/>
          <w:b/>
          <w:color w:val="auto"/>
          <w:sz w:val="22"/>
        </w:rPr>
      </w:pPr>
    </w:p>
    <w:p w14:paraId="4C020800">
      <w:pPr>
        <w:rPr>
          <w:rFonts w:ascii="宋体" w:hAnsi="宋体" w:cs="宋体"/>
          <w:b/>
          <w:color w:val="auto"/>
          <w:sz w:val="22"/>
        </w:rPr>
      </w:pPr>
    </w:p>
    <w:p w14:paraId="20FC457F">
      <w:pPr>
        <w:pStyle w:val="8"/>
        <w:ind w:left="442" w:hanging="442"/>
        <w:rPr>
          <w:rFonts w:ascii="宋体" w:hAnsi="宋体" w:cs="宋体"/>
          <w:b/>
          <w:color w:val="auto"/>
          <w:sz w:val="22"/>
        </w:rPr>
      </w:pPr>
    </w:p>
    <w:p w14:paraId="772A14CE">
      <w:pPr>
        <w:rPr>
          <w:rFonts w:ascii="宋体" w:hAnsi="宋体" w:cs="宋体"/>
          <w:b/>
          <w:color w:val="auto"/>
          <w:sz w:val="22"/>
        </w:rPr>
      </w:pPr>
    </w:p>
    <w:p w14:paraId="20566868">
      <w:pPr>
        <w:pStyle w:val="8"/>
        <w:ind w:left="442" w:hanging="442"/>
        <w:rPr>
          <w:rFonts w:ascii="宋体" w:hAnsi="宋体" w:cs="宋体"/>
          <w:b/>
          <w:color w:val="auto"/>
          <w:sz w:val="22"/>
        </w:rPr>
      </w:pPr>
    </w:p>
    <w:p w14:paraId="776648BD">
      <w:pPr>
        <w:pStyle w:val="8"/>
        <w:ind w:left="0" w:firstLine="0" w:firstLineChars="0"/>
        <w:rPr>
          <w:color w:val="auto"/>
        </w:rPr>
        <w:sectPr>
          <w:headerReference r:id="rId5" w:type="default"/>
          <w:footerReference r:id="rId6" w:type="default"/>
          <w:pgSz w:w="11906" w:h="16838"/>
          <w:pgMar w:top="1440" w:right="1080" w:bottom="1440" w:left="1080" w:header="851" w:footer="992" w:gutter="0"/>
          <w:cols w:space="720" w:num="1"/>
          <w:docGrid w:type="lines" w:linePitch="318" w:charSpace="0"/>
        </w:sectPr>
      </w:pPr>
    </w:p>
    <w:p w14:paraId="60BA24BA">
      <w:pPr>
        <w:pStyle w:val="2"/>
        <w:numPr>
          <w:ilvl w:val="0"/>
          <w:numId w:val="7"/>
        </w:numPr>
        <w:rPr>
          <w:rFonts w:ascii="黑体" w:hAnsi="黑体" w:eastAsia="黑体" w:cs="黑体"/>
          <w:b w:val="0"/>
          <w:bCs w:val="0"/>
          <w:color w:val="auto"/>
          <w:sz w:val="32"/>
          <w:szCs w:val="32"/>
        </w:rPr>
      </w:pPr>
      <w:bookmarkStart w:id="153" w:name="_Toc11781"/>
      <w:r>
        <w:rPr>
          <w:rFonts w:hint="eastAsia" w:ascii="黑体" w:hAnsi="黑体" w:eastAsia="黑体" w:cs="黑体"/>
          <w:b w:val="0"/>
          <w:bCs w:val="0"/>
          <w:color w:val="auto"/>
          <w:sz w:val="32"/>
          <w:szCs w:val="32"/>
        </w:rPr>
        <w:t xml:space="preserve"> </w:t>
      </w:r>
      <w:bookmarkStart w:id="154" w:name="_Toc22314"/>
      <w:r>
        <w:rPr>
          <w:rFonts w:hint="eastAsia" w:ascii="黑体" w:hAnsi="黑体" w:eastAsia="黑体" w:cs="黑体"/>
          <w:b w:val="0"/>
          <w:bCs w:val="0"/>
          <w:color w:val="auto"/>
          <w:sz w:val="32"/>
          <w:szCs w:val="32"/>
        </w:rPr>
        <w:t>采购内容及要求</w:t>
      </w:r>
      <w:bookmarkEnd w:id="122"/>
      <w:bookmarkEnd w:id="123"/>
      <w:bookmarkEnd w:id="124"/>
      <w:bookmarkEnd w:id="125"/>
      <w:bookmarkEnd w:id="126"/>
      <w:bookmarkEnd w:id="149"/>
      <w:bookmarkEnd w:id="153"/>
      <w:bookmarkEnd w:id="154"/>
      <w:bookmarkStart w:id="155" w:name="_Toc18274432"/>
    </w:p>
    <w:p w14:paraId="7A77D9AF">
      <w:pPr>
        <w:pStyle w:val="26"/>
        <w:ind w:left="0" w:leftChars="0" w:firstLine="0" w:firstLineChars="0"/>
      </w:pPr>
    </w:p>
    <w:p w14:paraId="7BC6A81B">
      <w:pPr>
        <w:spacing w:line="460" w:lineRule="exact"/>
        <w:outlineLvl w:val="1"/>
        <w:rPr>
          <w:rFonts w:ascii="宋体" w:hAnsi="宋体" w:cs="宋体"/>
          <w:b/>
          <w:bCs/>
          <w:color w:val="auto"/>
          <w:sz w:val="22"/>
          <w:szCs w:val="28"/>
          <w:highlight w:val="none"/>
        </w:rPr>
      </w:pPr>
      <w:r>
        <w:rPr>
          <w:rFonts w:hint="eastAsia" w:ascii="宋体" w:hAnsi="宋体" w:cs="宋体"/>
          <w:b/>
          <w:bCs/>
          <w:color w:val="auto"/>
          <w:sz w:val="22"/>
          <w:szCs w:val="28"/>
          <w:highlight w:val="none"/>
          <w:lang w:val="en-US" w:eastAsia="zh-CN"/>
        </w:rPr>
        <w:t>一</w:t>
      </w:r>
      <w:r>
        <w:rPr>
          <w:rFonts w:hint="eastAsia" w:ascii="宋体" w:hAnsi="宋体" w:cs="宋体"/>
          <w:b/>
          <w:bCs/>
          <w:color w:val="auto"/>
          <w:sz w:val="22"/>
          <w:szCs w:val="28"/>
          <w:highlight w:val="none"/>
        </w:rPr>
        <w:t>、</w:t>
      </w:r>
      <w:r>
        <w:rPr>
          <w:rFonts w:hint="eastAsia" w:ascii="宋体" w:hAnsi="宋体" w:cs="宋体"/>
          <w:b/>
          <w:bCs/>
          <w:color w:val="auto"/>
          <w:sz w:val="22"/>
          <w:szCs w:val="28"/>
          <w:highlight w:val="none"/>
          <w:lang w:val="en-US" w:eastAsia="zh-CN"/>
        </w:rPr>
        <w:t>项目</w:t>
      </w:r>
      <w:r>
        <w:rPr>
          <w:rFonts w:hint="eastAsia" w:ascii="宋体" w:hAnsi="宋体" w:cs="宋体"/>
          <w:b/>
          <w:bCs/>
          <w:color w:val="auto"/>
          <w:sz w:val="22"/>
          <w:szCs w:val="28"/>
          <w:highlight w:val="none"/>
        </w:rPr>
        <w:t>基本情况及渗滤液现状</w:t>
      </w:r>
    </w:p>
    <w:p w14:paraId="6FF4DCB2">
      <w:pPr>
        <w:keepNext w:val="0"/>
        <w:keepLines w:val="0"/>
        <w:pageBreakBefore w:val="0"/>
        <w:widowControl/>
        <w:kinsoku/>
        <w:wordWrap/>
        <w:overflowPunct/>
        <w:topLinePunct w:val="0"/>
        <w:autoSpaceDE/>
        <w:autoSpaceDN/>
        <w:bidi w:val="0"/>
        <w:spacing w:before="60" w:after="60" w:line="440" w:lineRule="exact"/>
        <w:ind w:right="62" w:firstLine="440" w:firstLineChars="200"/>
        <w:jc w:val="left"/>
        <w:textAlignment w:val="auto"/>
        <w:outlineLvl w:val="0"/>
        <w:rPr>
          <w:rFonts w:ascii="宋体" w:hAnsi="宋体" w:cs="宋体"/>
          <w:color w:val="auto"/>
          <w:sz w:val="22"/>
          <w:szCs w:val="28"/>
          <w:highlight w:val="none"/>
        </w:rPr>
      </w:pPr>
      <w:r>
        <w:rPr>
          <w:rFonts w:hint="eastAsia" w:ascii="宋体" w:hAnsi="宋体" w:cs="宋体"/>
          <w:color w:val="auto"/>
          <w:sz w:val="22"/>
          <w:szCs w:val="28"/>
          <w:highlight w:val="none"/>
          <w:lang w:val="en-US" w:eastAsia="zh-CN"/>
        </w:rPr>
        <w:t>本项目需</w:t>
      </w:r>
      <w:r>
        <w:rPr>
          <w:rFonts w:hint="eastAsia" w:ascii="宋体" w:hAnsi="宋体" w:cs="Times New Roman"/>
          <w:color w:val="auto"/>
          <w:kern w:val="0"/>
          <w:sz w:val="22"/>
          <w:szCs w:val="22"/>
          <w:highlight w:val="none"/>
          <w:lang w:val="en-US" w:eastAsia="zh-CN"/>
        </w:rPr>
        <w:t>对</w:t>
      </w:r>
      <w:r>
        <w:rPr>
          <w:rFonts w:hint="eastAsia" w:ascii="宋体" w:hAnsi="宋体" w:eastAsia="宋体" w:cs="Times New Roman"/>
          <w:color w:val="auto"/>
          <w:kern w:val="0"/>
          <w:sz w:val="22"/>
          <w:szCs w:val="22"/>
          <w:highlight w:val="none"/>
          <w:lang w:val="en-US" w:eastAsia="zh-CN"/>
        </w:rPr>
        <w:t>1</w:t>
      </w:r>
      <w:r>
        <w:rPr>
          <w:rFonts w:hint="eastAsia" w:ascii="宋体" w:hAnsi="宋体" w:cs="Times New Roman"/>
          <w:color w:val="auto"/>
          <w:kern w:val="0"/>
          <w:sz w:val="22"/>
          <w:szCs w:val="22"/>
          <w:highlight w:val="none"/>
          <w:lang w:val="en-US" w:eastAsia="zh-CN"/>
        </w:rPr>
        <w:t>6</w:t>
      </w:r>
      <w:r>
        <w:rPr>
          <w:rFonts w:hint="eastAsia" w:ascii="宋体" w:hAnsi="宋体" w:eastAsia="宋体" w:cs="Times New Roman"/>
          <w:color w:val="auto"/>
          <w:kern w:val="0"/>
          <w:sz w:val="22"/>
          <w:szCs w:val="22"/>
          <w:highlight w:val="none"/>
        </w:rPr>
        <w:t>个</w:t>
      </w:r>
      <w:r>
        <w:rPr>
          <w:rFonts w:hint="eastAsia" w:ascii="宋体" w:hAnsi="宋体" w:eastAsia="宋体" w:cs="Times New Roman"/>
          <w:color w:val="auto"/>
          <w:kern w:val="0"/>
          <w:sz w:val="22"/>
          <w:szCs w:val="22"/>
          <w:highlight w:val="none"/>
          <w:lang w:val="en-US" w:eastAsia="zh-CN"/>
        </w:rPr>
        <w:t>座乡镇</w:t>
      </w:r>
      <w:r>
        <w:rPr>
          <w:rFonts w:hint="eastAsia" w:ascii="宋体" w:hAnsi="宋体" w:eastAsia="宋体" w:cs="Times New Roman"/>
          <w:color w:val="auto"/>
          <w:kern w:val="0"/>
          <w:sz w:val="22"/>
          <w:szCs w:val="22"/>
          <w:highlight w:val="none"/>
        </w:rPr>
        <w:t>生活垃圾中转站渗滤液进行</w:t>
      </w:r>
      <w:r>
        <w:rPr>
          <w:rFonts w:hint="eastAsia" w:ascii="宋体" w:hAnsi="宋体" w:cs="Times New Roman"/>
          <w:color w:val="auto"/>
          <w:kern w:val="0"/>
          <w:sz w:val="22"/>
          <w:szCs w:val="22"/>
          <w:highlight w:val="none"/>
          <w:lang w:val="en-US" w:eastAsia="zh-CN"/>
        </w:rPr>
        <w:t>统一收集并进行</w:t>
      </w:r>
      <w:r>
        <w:rPr>
          <w:rFonts w:hint="eastAsia" w:ascii="宋体" w:hAnsi="宋体" w:eastAsia="宋体" w:cs="Times New Roman"/>
          <w:color w:val="auto"/>
          <w:kern w:val="0"/>
          <w:sz w:val="22"/>
          <w:szCs w:val="22"/>
          <w:highlight w:val="none"/>
        </w:rPr>
        <w:t>集中处理</w:t>
      </w:r>
      <w:r>
        <w:rPr>
          <w:rFonts w:hint="eastAsia" w:ascii="宋体" w:hAnsi="宋体" w:cs="Times New Roman"/>
          <w:color w:val="auto"/>
          <w:kern w:val="0"/>
          <w:sz w:val="22"/>
          <w:szCs w:val="22"/>
          <w:highlight w:val="none"/>
          <w:lang w:eastAsia="zh-CN"/>
        </w:rPr>
        <w:t>，</w:t>
      </w:r>
      <w:r>
        <w:rPr>
          <w:rFonts w:hint="eastAsia" w:ascii="宋体" w:hAnsi="宋体" w:cs="Times New Roman"/>
          <w:color w:val="auto"/>
          <w:kern w:val="0"/>
          <w:sz w:val="22"/>
          <w:szCs w:val="22"/>
          <w:highlight w:val="none"/>
          <w:lang w:val="en-US" w:eastAsia="zh-CN"/>
        </w:rPr>
        <w:t>履行期限二年。</w:t>
      </w:r>
      <w:r>
        <w:rPr>
          <w:rFonts w:hint="eastAsia" w:ascii="宋体" w:hAnsi="宋体" w:eastAsia="宋体" w:cs="Times New Roman"/>
          <w:color w:val="auto"/>
          <w:kern w:val="0"/>
          <w:sz w:val="22"/>
          <w:szCs w:val="22"/>
          <w:highlight w:val="none"/>
        </w:rPr>
        <w:t>本次采购项目每吨渗滤液的处置</w:t>
      </w:r>
      <w:r>
        <w:rPr>
          <w:rFonts w:hint="eastAsia" w:ascii="宋体" w:hAnsi="宋体" w:cs="Times New Roman"/>
          <w:color w:val="auto"/>
          <w:kern w:val="0"/>
          <w:sz w:val="22"/>
          <w:szCs w:val="22"/>
          <w:highlight w:val="none"/>
          <w:lang w:eastAsia="zh-CN"/>
        </w:rPr>
        <w:t>最高控制</w:t>
      </w:r>
      <w:r>
        <w:rPr>
          <w:rFonts w:hint="eastAsia" w:ascii="宋体" w:hAnsi="宋体" w:eastAsia="宋体" w:cs="Times New Roman"/>
          <w:color w:val="auto"/>
          <w:kern w:val="0"/>
          <w:sz w:val="22"/>
          <w:szCs w:val="22"/>
          <w:highlight w:val="none"/>
        </w:rPr>
        <w:t>单价(含车辆转</w:t>
      </w:r>
      <w:r>
        <w:rPr>
          <w:rFonts w:hint="eastAsia" w:ascii="宋体" w:hAnsi="宋体" w:cs="Times New Roman"/>
          <w:color w:val="auto"/>
          <w:kern w:val="0"/>
          <w:sz w:val="22"/>
          <w:szCs w:val="22"/>
          <w:highlight w:val="none"/>
          <w:lang w:val="en-US" w:eastAsia="zh-CN"/>
        </w:rPr>
        <w:t>运</w:t>
      </w:r>
      <w:r>
        <w:rPr>
          <w:rFonts w:hint="eastAsia" w:ascii="宋体" w:hAnsi="宋体" w:eastAsia="宋体" w:cs="Times New Roman"/>
          <w:color w:val="auto"/>
          <w:kern w:val="0"/>
          <w:sz w:val="22"/>
          <w:szCs w:val="22"/>
          <w:highlight w:val="none"/>
        </w:rPr>
        <w:t>费)</w:t>
      </w:r>
      <w:r>
        <w:rPr>
          <w:rFonts w:hint="eastAsia" w:ascii="宋体" w:hAnsi="宋体" w:eastAsia="宋体" w:cs="Times New Roman"/>
          <w:color w:val="auto"/>
          <w:kern w:val="0"/>
          <w:sz w:val="22"/>
          <w:szCs w:val="22"/>
          <w:highlight w:val="none"/>
          <w:lang w:val="en-US" w:eastAsia="zh-CN"/>
        </w:rPr>
        <w:t>177.77</w:t>
      </w:r>
      <w:r>
        <w:rPr>
          <w:rFonts w:hint="eastAsia" w:ascii="宋体" w:hAnsi="宋体" w:eastAsia="宋体" w:cs="Times New Roman"/>
          <w:color w:val="auto"/>
          <w:kern w:val="0"/>
          <w:sz w:val="22"/>
          <w:szCs w:val="22"/>
          <w:highlight w:val="none"/>
        </w:rPr>
        <w:t>元/吨</w:t>
      </w:r>
      <w:r>
        <w:rPr>
          <w:rFonts w:hint="eastAsia" w:ascii="宋体" w:hAnsi="宋体" w:eastAsia="宋体" w:cs="Times New Roman"/>
          <w:color w:val="auto"/>
          <w:kern w:val="0"/>
          <w:sz w:val="22"/>
          <w:szCs w:val="22"/>
          <w:highlight w:val="none"/>
          <w:lang w:eastAsia="zh-CN"/>
        </w:rPr>
        <w:t>，</w:t>
      </w:r>
      <w:r>
        <w:rPr>
          <w:rFonts w:hint="eastAsia" w:ascii="宋体" w:hAnsi="宋体" w:cs="Times New Roman"/>
          <w:color w:val="auto"/>
          <w:kern w:val="0"/>
          <w:sz w:val="22"/>
          <w:szCs w:val="22"/>
          <w:highlight w:val="none"/>
          <w:lang w:val="en-US" w:eastAsia="zh-CN"/>
        </w:rPr>
        <w:t>2</w:t>
      </w:r>
      <w:r>
        <w:rPr>
          <w:rFonts w:hint="eastAsia" w:ascii="宋体" w:hAnsi="宋体" w:cs="Times New Roman"/>
          <w:color w:val="auto"/>
          <w:kern w:val="0"/>
          <w:sz w:val="22"/>
          <w:szCs w:val="22"/>
          <w:highlight w:val="none"/>
          <w:lang w:eastAsia="zh-CN"/>
        </w:rPr>
        <w:t>年</w:t>
      </w:r>
      <w:r>
        <w:rPr>
          <w:rFonts w:hint="eastAsia" w:ascii="宋体" w:hAnsi="宋体" w:cs="Times New Roman"/>
          <w:color w:val="auto"/>
          <w:kern w:val="0"/>
          <w:sz w:val="22"/>
          <w:szCs w:val="22"/>
          <w:highlight w:val="none"/>
          <w:lang w:val="en-US" w:eastAsia="zh-CN"/>
        </w:rPr>
        <w:t>159.993万元</w:t>
      </w:r>
      <w:r>
        <w:rPr>
          <w:rFonts w:hint="eastAsia" w:ascii="宋体" w:hAnsi="宋体" w:cs="Times New Roman"/>
          <w:color w:val="auto"/>
          <w:kern w:val="0"/>
          <w:sz w:val="22"/>
          <w:szCs w:val="22"/>
          <w:highlight w:val="none"/>
          <w:lang w:eastAsia="zh-CN"/>
        </w:rPr>
        <w:t>。</w:t>
      </w:r>
      <w:r>
        <w:rPr>
          <w:rFonts w:hint="eastAsia" w:ascii="宋体" w:hAnsi="宋体" w:cs="宋体"/>
          <w:b w:val="0"/>
          <w:bCs w:val="0"/>
          <w:color w:val="auto"/>
          <w:kern w:val="0"/>
          <w:sz w:val="22"/>
          <w:szCs w:val="22"/>
          <w:highlight w:val="none"/>
          <w:lang w:val="en-US" w:eastAsia="zh-CN"/>
        </w:rPr>
        <w:t>渗滤液产生时间不固定</w:t>
      </w:r>
      <w:r>
        <w:rPr>
          <w:rFonts w:hint="eastAsia" w:ascii="宋体" w:hAnsi="宋体" w:eastAsia="宋体" w:cs="Times New Roman"/>
          <w:color w:val="auto"/>
          <w:kern w:val="0"/>
          <w:sz w:val="22"/>
          <w:szCs w:val="22"/>
          <w:highlight w:val="none"/>
          <w:lang w:val="en-US" w:eastAsia="zh-CN"/>
        </w:rPr>
        <w:t>，</w:t>
      </w:r>
      <w:r>
        <w:rPr>
          <w:rFonts w:hint="eastAsia" w:ascii="宋体" w:hAnsi="宋体" w:cs="Times New Roman"/>
          <w:color w:val="auto"/>
          <w:kern w:val="0"/>
          <w:sz w:val="22"/>
          <w:szCs w:val="22"/>
          <w:highlight w:val="none"/>
          <w:lang w:val="en-US" w:eastAsia="zh-CN"/>
        </w:rPr>
        <w:t>处置</w:t>
      </w:r>
      <w:r>
        <w:rPr>
          <w:rFonts w:hint="eastAsia" w:ascii="宋体" w:hAnsi="宋体" w:eastAsia="宋体" w:cs="Times New Roman"/>
          <w:color w:val="auto"/>
          <w:kern w:val="0"/>
          <w:sz w:val="22"/>
          <w:szCs w:val="22"/>
          <w:highlight w:val="none"/>
          <w:lang w:val="en-US" w:eastAsia="zh-CN"/>
        </w:rPr>
        <w:t>渗滤液量为预估数量，最终以实际</w:t>
      </w:r>
      <w:r>
        <w:rPr>
          <w:rFonts w:hint="eastAsia" w:ascii="宋体" w:hAnsi="宋体" w:cs="Times New Roman"/>
          <w:color w:val="auto"/>
          <w:kern w:val="0"/>
          <w:sz w:val="22"/>
          <w:szCs w:val="22"/>
          <w:highlight w:val="none"/>
          <w:lang w:val="en-US" w:eastAsia="zh-CN"/>
        </w:rPr>
        <w:t>处置</w:t>
      </w:r>
      <w:r>
        <w:rPr>
          <w:rFonts w:hint="eastAsia" w:ascii="宋体" w:hAnsi="宋体" w:eastAsia="宋体" w:cs="Times New Roman"/>
          <w:color w:val="auto"/>
          <w:kern w:val="0"/>
          <w:sz w:val="22"/>
          <w:szCs w:val="22"/>
          <w:highlight w:val="none"/>
          <w:lang w:val="en-US" w:eastAsia="zh-CN"/>
        </w:rPr>
        <w:t>数量为准。</w:t>
      </w:r>
    </w:p>
    <w:p w14:paraId="0AA9D062">
      <w:pPr>
        <w:spacing w:line="460" w:lineRule="exact"/>
        <w:ind w:firstLine="440" w:firstLineChars="200"/>
        <w:jc w:val="center"/>
        <w:rPr>
          <w:rFonts w:ascii="宋体" w:hAnsi="宋体" w:cs="宋体"/>
          <w:color w:val="auto"/>
          <w:sz w:val="22"/>
          <w:szCs w:val="22"/>
          <w:highlight w:val="none"/>
        </w:rPr>
      </w:pPr>
      <w:r>
        <w:rPr>
          <w:rFonts w:hint="eastAsia" w:ascii="宋体" w:hAnsi="宋体" w:cs="宋体"/>
          <w:color w:val="auto"/>
          <w:sz w:val="22"/>
          <w:szCs w:val="28"/>
          <w:highlight w:val="none"/>
        </w:rPr>
        <w:t>布置站点清单</w:t>
      </w:r>
    </w:p>
    <w:tbl>
      <w:tblPr>
        <w:tblStyle w:val="73"/>
        <w:tblW w:w="9978" w:type="dxa"/>
        <w:tblInd w:w="-17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3"/>
        <w:gridCol w:w="3240"/>
        <w:gridCol w:w="3949"/>
        <w:gridCol w:w="1666"/>
      </w:tblGrid>
      <w:tr w14:paraId="777F9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0" w:hRule="atLeast"/>
        </w:trPr>
        <w:tc>
          <w:tcPr>
            <w:tcW w:w="1123" w:type="dxa"/>
            <w:textDirection w:val="tbRlV"/>
            <w:vAlign w:val="center"/>
          </w:tcPr>
          <w:p w14:paraId="3D0034C0">
            <w:pPr>
              <w:autoSpaceDE w:val="0"/>
              <w:autoSpaceDN w:val="0"/>
              <w:jc w:val="center"/>
              <w:rPr>
                <w:rFonts w:ascii="宋体" w:hAnsi="宋体" w:cs="宋体"/>
                <w:color w:val="auto"/>
                <w:sz w:val="22"/>
                <w:szCs w:val="22"/>
                <w:highlight w:val="none"/>
                <w:lang w:eastAsia="en-US"/>
              </w:rPr>
            </w:pPr>
            <w:r>
              <w:rPr>
                <w:rFonts w:hint="eastAsia" w:ascii="宋体" w:hAnsi="宋体" w:cs="宋体"/>
                <w:color w:val="auto"/>
                <w:sz w:val="22"/>
                <w:szCs w:val="22"/>
                <w:highlight w:val="none"/>
                <w:lang w:eastAsia="en-US"/>
              </w:rPr>
              <w:t>序号</w:t>
            </w:r>
          </w:p>
        </w:tc>
        <w:tc>
          <w:tcPr>
            <w:tcW w:w="3240" w:type="dxa"/>
            <w:vAlign w:val="center"/>
          </w:tcPr>
          <w:p w14:paraId="2B7FC70B">
            <w:pPr>
              <w:autoSpaceDE w:val="0"/>
              <w:autoSpaceDN w:val="0"/>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中转站名称</w:t>
            </w:r>
          </w:p>
        </w:tc>
        <w:tc>
          <w:tcPr>
            <w:tcW w:w="3949" w:type="dxa"/>
            <w:vAlign w:val="center"/>
          </w:tcPr>
          <w:p w14:paraId="536BB0C4">
            <w:pPr>
              <w:autoSpaceDE w:val="0"/>
              <w:autoSpaceDN w:val="0"/>
              <w:jc w:val="center"/>
              <w:rPr>
                <w:rFonts w:hint="eastAsia" w:ascii="宋体" w:hAnsi="宋体" w:cs="宋体"/>
                <w:color w:val="auto"/>
                <w:sz w:val="22"/>
                <w:szCs w:val="22"/>
                <w:highlight w:val="none"/>
                <w:lang w:val="en-US" w:eastAsia="en-US"/>
              </w:rPr>
            </w:pPr>
            <w:r>
              <w:rPr>
                <w:rFonts w:hint="eastAsia" w:ascii="宋体" w:hAnsi="宋体" w:cs="宋体"/>
                <w:color w:val="auto"/>
                <w:sz w:val="22"/>
                <w:szCs w:val="22"/>
                <w:highlight w:val="none"/>
                <w:lang w:val="en-US" w:eastAsia="zh-CN"/>
              </w:rPr>
              <w:t>坐落位置</w:t>
            </w:r>
          </w:p>
        </w:tc>
        <w:tc>
          <w:tcPr>
            <w:tcW w:w="1666" w:type="dxa"/>
            <w:vAlign w:val="center"/>
          </w:tcPr>
          <w:p w14:paraId="33AECC4D">
            <w:pPr>
              <w:autoSpaceDE w:val="0"/>
              <w:autoSpaceDN w:val="0"/>
              <w:jc w:val="center"/>
              <w:rPr>
                <w:rFonts w:hint="eastAsia" w:ascii="宋体" w:hAnsi="宋体" w:cs="宋体"/>
                <w:color w:val="auto"/>
                <w:sz w:val="22"/>
                <w:szCs w:val="22"/>
                <w:highlight w:val="none"/>
                <w:lang w:val="en-US" w:eastAsia="en-US"/>
              </w:rPr>
            </w:pPr>
          </w:p>
          <w:p w14:paraId="798037D5">
            <w:pPr>
              <w:autoSpaceDE w:val="0"/>
              <w:autoSpaceDN w:val="0"/>
              <w:jc w:val="both"/>
              <w:rPr>
                <w:rFonts w:ascii="宋体" w:hAnsi="宋体" w:cs="宋体"/>
                <w:color w:val="auto"/>
                <w:sz w:val="22"/>
                <w:szCs w:val="22"/>
                <w:highlight w:val="none"/>
                <w:lang w:eastAsia="en-US"/>
              </w:rPr>
            </w:pPr>
            <w:r>
              <w:rPr>
                <w:rFonts w:hint="eastAsia" w:ascii="宋体" w:hAnsi="宋体" w:cs="宋体"/>
                <w:color w:val="auto"/>
                <w:sz w:val="22"/>
                <w:szCs w:val="22"/>
                <w:highlight w:val="none"/>
                <w:lang w:val="en-US" w:eastAsia="en-US"/>
              </w:rPr>
              <w:t>备注</w:t>
            </w:r>
          </w:p>
        </w:tc>
      </w:tr>
      <w:tr w14:paraId="511D6A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123" w:type="dxa"/>
            <w:vAlign w:val="center"/>
          </w:tcPr>
          <w:p w14:paraId="3E15E8B7">
            <w:pPr>
              <w:autoSpaceDE w:val="0"/>
              <w:autoSpaceDN w:val="0"/>
              <w:jc w:val="center"/>
              <w:rPr>
                <w:rFonts w:ascii="宋体" w:hAnsi="宋体" w:cs="宋体"/>
                <w:color w:val="auto"/>
                <w:sz w:val="22"/>
                <w:szCs w:val="22"/>
                <w:highlight w:val="none"/>
                <w:lang w:eastAsia="en-US"/>
              </w:rPr>
            </w:pPr>
            <w:r>
              <w:rPr>
                <w:rFonts w:hint="eastAsia" w:ascii="宋体" w:hAnsi="宋体" w:cs="宋体"/>
                <w:color w:val="auto"/>
                <w:sz w:val="22"/>
                <w:szCs w:val="22"/>
                <w:highlight w:val="none"/>
                <w:lang w:eastAsia="en-US"/>
              </w:rPr>
              <w:t>1</w:t>
            </w:r>
          </w:p>
        </w:tc>
        <w:tc>
          <w:tcPr>
            <w:tcW w:w="3240" w:type="dxa"/>
            <w:vAlign w:val="center"/>
          </w:tcPr>
          <w:p w14:paraId="27B0F05A">
            <w:pPr>
              <w:autoSpaceDE w:val="0"/>
              <w:autoSpaceDN w:val="0"/>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何家乡中转站</w:t>
            </w:r>
          </w:p>
        </w:tc>
        <w:tc>
          <w:tcPr>
            <w:tcW w:w="3949" w:type="dxa"/>
            <w:vAlign w:val="center"/>
          </w:tcPr>
          <w:p w14:paraId="2F70D27E">
            <w:pPr>
              <w:autoSpaceDE w:val="0"/>
              <w:autoSpaceDN w:val="0"/>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何家乡樊家村老205国道边</w:t>
            </w:r>
          </w:p>
        </w:tc>
        <w:tc>
          <w:tcPr>
            <w:tcW w:w="1666" w:type="dxa"/>
            <w:vAlign w:val="center"/>
          </w:tcPr>
          <w:p w14:paraId="05955F9D">
            <w:pPr>
              <w:autoSpaceDE w:val="0"/>
              <w:autoSpaceDN w:val="0"/>
              <w:jc w:val="center"/>
              <w:rPr>
                <w:rFonts w:ascii="宋体" w:hAnsi="宋体" w:cs="宋体"/>
                <w:color w:val="auto"/>
                <w:sz w:val="22"/>
                <w:szCs w:val="22"/>
                <w:highlight w:val="none"/>
                <w:lang w:eastAsia="en-US"/>
              </w:rPr>
            </w:pPr>
          </w:p>
        </w:tc>
      </w:tr>
      <w:tr w14:paraId="5679B3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123" w:type="dxa"/>
            <w:vAlign w:val="center"/>
          </w:tcPr>
          <w:p w14:paraId="08FEEB8A">
            <w:pPr>
              <w:autoSpaceDE w:val="0"/>
              <w:autoSpaceDN w:val="0"/>
              <w:jc w:val="center"/>
              <w:rPr>
                <w:rFonts w:ascii="宋体" w:hAnsi="宋体" w:cs="宋体"/>
                <w:color w:val="auto"/>
                <w:sz w:val="22"/>
                <w:szCs w:val="22"/>
                <w:highlight w:val="none"/>
                <w:lang w:eastAsia="en-US"/>
              </w:rPr>
            </w:pPr>
            <w:r>
              <w:rPr>
                <w:rFonts w:hint="eastAsia" w:ascii="宋体" w:hAnsi="宋体" w:cs="宋体"/>
                <w:color w:val="auto"/>
                <w:sz w:val="22"/>
                <w:szCs w:val="22"/>
                <w:highlight w:val="none"/>
                <w:lang w:eastAsia="en-US"/>
              </w:rPr>
              <w:t>2</w:t>
            </w:r>
          </w:p>
        </w:tc>
        <w:tc>
          <w:tcPr>
            <w:tcW w:w="3240" w:type="dxa"/>
            <w:vAlign w:val="center"/>
          </w:tcPr>
          <w:p w14:paraId="19AF808A">
            <w:pPr>
              <w:autoSpaceDE w:val="0"/>
              <w:autoSpaceDN w:val="0"/>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球川镇垃圾中转站</w:t>
            </w:r>
          </w:p>
        </w:tc>
        <w:tc>
          <w:tcPr>
            <w:tcW w:w="3949" w:type="dxa"/>
            <w:vAlign w:val="center"/>
          </w:tcPr>
          <w:p w14:paraId="7C63E699">
            <w:pPr>
              <w:autoSpaceDE w:val="0"/>
              <w:autoSpaceDN w:val="0"/>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 xml:space="preserve">  黄泥畈村</w:t>
            </w:r>
          </w:p>
        </w:tc>
        <w:tc>
          <w:tcPr>
            <w:tcW w:w="1666" w:type="dxa"/>
            <w:vAlign w:val="center"/>
          </w:tcPr>
          <w:p w14:paraId="364DBD29">
            <w:pPr>
              <w:autoSpaceDE w:val="0"/>
              <w:autoSpaceDN w:val="0"/>
              <w:jc w:val="center"/>
              <w:rPr>
                <w:rFonts w:ascii="宋体" w:hAnsi="宋体" w:cs="宋体"/>
                <w:color w:val="auto"/>
                <w:sz w:val="22"/>
                <w:szCs w:val="22"/>
                <w:highlight w:val="none"/>
                <w:lang w:eastAsia="en-US"/>
              </w:rPr>
            </w:pPr>
          </w:p>
        </w:tc>
      </w:tr>
      <w:tr w14:paraId="0A40D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123" w:type="dxa"/>
            <w:vAlign w:val="center"/>
          </w:tcPr>
          <w:p w14:paraId="60076325">
            <w:pPr>
              <w:autoSpaceDE w:val="0"/>
              <w:autoSpaceDN w:val="0"/>
              <w:jc w:val="center"/>
              <w:rPr>
                <w:rFonts w:ascii="宋体" w:hAnsi="宋体" w:cs="宋体"/>
                <w:color w:val="auto"/>
                <w:sz w:val="22"/>
                <w:szCs w:val="22"/>
                <w:highlight w:val="none"/>
                <w:lang w:eastAsia="en-US"/>
              </w:rPr>
            </w:pPr>
            <w:r>
              <w:rPr>
                <w:rFonts w:hint="eastAsia" w:ascii="宋体" w:hAnsi="宋体" w:cs="宋体"/>
                <w:color w:val="auto"/>
                <w:sz w:val="22"/>
                <w:szCs w:val="22"/>
                <w:highlight w:val="none"/>
                <w:lang w:eastAsia="en-US"/>
              </w:rPr>
              <w:t>3</w:t>
            </w:r>
          </w:p>
        </w:tc>
        <w:tc>
          <w:tcPr>
            <w:tcW w:w="3240" w:type="dxa"/>
            <w:vAlign w:val="center"/>
          </w:tcPr>
          <w:p w14:paraId="4D936F92">
            <w:pPr>
              <w:autoSpaceDE w:val="0"/>
              <w:autoSpaceDN w:val="0"/>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青石镇垃圾中转站</w:t>
            </w:r>
          </w:p>
        </w:tc>
        <w:tc>
          <w:tcPr>
            <w:tcW w:w="3949" w:type="dxa"/>
            <w:vAlign w:val="center"/>
          </w:tcPr>
          <w:p w14:paraId="22A802DE">
            <w:pPr>
              <w:autoSpaceDE w:val="0"/>
              <w:autoSpaceDN w:val="0"/>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青石镇溪口村</w:t>
            </w:r>
          </w:p>
        </w:tc>
        <w:tc>
          <w:tcPr>
            <w:tcW w:w="1666" w:type="dxa"/>
            <w:vAlign w:val="center"/>
          </w:tcPr>
          <w:p w14:paraId="1E69E4F1">
            <w:pPr>
              <w:autoSpaceDE w:val="0"/>
              <w:autoSpaceDN w:val="0"/>
              <w:jc w:val="center"/>
              <w:rPr>
                <w:rFonts w:ascii="宋体" w:hAnsi="宋体" w:cs="宋体"/>
                <w:color w:val="auto"/>
                <w:sz w:val="22"/>
                <w:szCs w:val="22"/>
                <w:highlight w:val="none"/>
                <w:lang w:eastAsia="en-US"/>
              </w:rPr>
            </w:pPr>
          </w:p>
        </w:tc>
      </w:tr>
      <w:tr w14:paraId="11520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123" w:type="dxa"/>
            <w:vAlign w:val="center"/>
          </w:tcPr>
          <w:p w14:paraId="61E97664">
            <w:pPr>
              <w:autoSpaceDE w:val="0"/>
              <w:autoSpaceDN w:val="0"/>
              <w:jc w:val="center"/>
              <w:rPr>
                <w:rFonts w:ascii="宋体" w:hAnsi="宋体" w:cs="宋体"/>
                <w:color w:val="auto"/>
                <w:sz w:val="22"/>
                <w:szCs w:val="22"/>
                <w:highlight w:val="none"/>
                <w:lang w:eastAsia="en-US"/>
              </w:rPr>
            </w:pPr>
            <w:r>
              <w:rPr>
                <w:rFonts w:hint="eastAsia" w:ascii="宋体" w:hAnsi="宋体" w:cs="宋体"/>
                <w:color w:val="auto"/>
                <w:sz w:val="22"/>
                <w:szCs w:val="22"/>
                <w:highlight w:val="none"/>
                <w:lang w:eastAsia="en-US"/>
              </w:rPr>
              <w:t>4</w:t>
            </w:r>
          </w:p>
        </w:tc>
        <w:tc>
          <w:tcPr>
            <w:tcW w:w="3240" w:type="dxa"/>
            <w:vAlign w:val="center"/>
          </w:tcPr>
          <w:p w14:paraId="76AE7FA0">
            <w:pPr>
              <w:autoSpaceDE w:val="0"/>
              <w:autoSpaceDN w:val="0"/>
              <w:jc w:val="center"/>
              <w:rPr>
                <w:rFonts w:hint="eastAsia" w:ascii="宋体" w:hAnsi="宋体" w:cs="宋体"/>
                <w:color w:val="auto"/>
                <w:sz w:val="22"/>
                <w:szCs w:val="22"/>
                <w:highlight w:val="none"/>
                <w:lang w:val="en-US" w:eastAsia="en-US"/>
              </w:rPr>
            </w:pPr>
            <w:r>
              <w:rPr>
                <w:rFonts w:hint="eastAsia" w:ascii="宋体" w:hAnsi="宋体" w:cs="宋体"/>
                <w:color w:val="auto"/>
                <w:sz w:val="22"/>
                <w:szCs w:val="22"/>
                <w:highlight w:val="none"/>
                <w:lang w:val="en-US" w:eastAsia="zh-CN"/>
              </w:rPr>
              <w:t>紫港街道垃圾中转站</w:t>
            </w:r>
          </w:p>
        </w:tc>
        <w:tc>
          <w:tcPr>
            <w:tcW w:w="3949" w:type="dxa"/>
            <w:vAlign w:val="center"/>
          </w:tcPr>
          <w:p w14:paraId="190D98C2">
            <w:pPr>
              <w:autoSpaceDE w:val="0"/>
              <w:autoSpaceDN w:val="0"/>
              <w:jc w:val="center"/>
              <w:rPr>
                <w:rFonts w:hint="eastAsia" w:ascii="宋体" w:hAnsi="宋体" w:cs="宋体"/>
                <w:color w:val="auto"/>
                <w:sz w:val="22"/>
                <w:szCs w:val="22"/>
                <w:highlight w:val="none"/>
                <w:lang w:val="en-US" w:eastAsia="en-US"/>
              </w:rPr>
            </w:pPr>
            <w:r>
              <w:rPr>
                <w:rFonts w:hint="eastAsia" w:ascii="宋体" w:hAnsi="宋体" w:cs="宋体"/>
                <w:color w:val="auto"/>
                <w:sz w:val="22"/>
                <w:szCs w:val="22"/>
                <w:highlight w:val="none"/>
                <w:lang w:val="en-US" w:eastAsia="zh-CN"/>
              </w:rPr>
              <w:t>紫港街道狮东村</w:t>
            </w:r>
          </w:p>
        </w:tc>
        <w:tc>
          <w:tcPr>
            <w:tcW w:w="1666" w:type="dxa"/>
            <w:vAlign w:val="center"/>
          </w:tcPr>
          <w:p w14:paraId="5A5ECC02">
            <w:pPr>
              <w:autoSpaceDE w:val="0"/>
              <w:autoSpaceDN w:val="0"/>
              <w:jc w:val="center"/>
              <w:rPr>
                <w:rFonts w:ascii="宋体" w:hAnsi="宋体" w:cs="宋体"/>
                <w:color w:val="auto"/>
                <w:sz w:val="22"/>
                <w:szCs w:val="22"/>
                <w:highlight w:val="none"/>
                <w:lang w:eastAsia="en-US"/>
              </w:rPr>
            </w:pPr>
          </w:p>
        </w:tc>
      </w:tr>
      <w:tr w14:paraId="13869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123" w:type="dxa"/>
            <w:vAlign w:val="center"/>
          </w:tcPr>
          <w:p w14:paraId="06AFBA8B">
            <w:pPr>
              <w:autoSpaceDE w:val="0"/>
              <w:autoSpaceDN w:val="0"/>
              <w:jc w:val="center"/>
              <w:rPr>
                <w:rFonts w:ascii="宋体" w:hAnsi="宋体" w:cs="宋体"/>
                <w:color w:val="auto"/>
                <w:sz w:val="22"/>
                <w:szCs w:val="22"/>
                <w:highlight w:val="none"/>
                <w:lang w:eastAsia="en-US"/>
              </w:rPr>
            </w:pPr>
            <w:r>
              <w:rPr>
                <w:rFonts w:hint="eastAsia" w:ascii="宋体" w:hAnsi="宋体" w:cs="宋体"/>
                <w:color w:val="auto"/>
                <w:sz w:val="22"/>
                <w:szCs w:val="22"/>
                <w:highlight w:val="none"/>
                <w:lang w:eastAsia="en-US"/>
              </w:rPr>
              <w:t>5</w:t>
            </w:r>
          </w:p>
        </w:tc>
        <w:tc>
          <w:tcPr>
            <w:tcW w:w="3240" w:type="dxa"/>
            <w:vAlign w:val="center"/>
          </w:tcPr>
          <w:p w14:paraId="2B7AFE8B">
            <w:pPr>
              <w:autoSpaceDE w:val="0"/>
              <w:autoSpaceDN w:val="0"/>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辉埠垃圾中转站</w:t>
            </w:r>
          </w:p>
        </w:tc>
        <w:tc>
          <w:tcPr>
            <w:tcW w:w="3949" w:type="dxa"/>
            <w:vAlign w:val="center"/>
          </w:tcPr>
          <w:p w14:paraId="3ACD9810">
            <w:pPr>
              <w:autoSpaceDE w:val="0"/>
              <w:autoSpaceDN w:val="0"/>
              <w:jc w:val="center"/>
              <w:rPr>
                <w:rFonts w:hint="eastAsia" w:ascii="宋体" w:hAnsi="宋体" w:cs="宋体"/>
                <w:color w:val="auto"/>
                <w:sz w:val="22"/>
                <w:szCs w:val="22"/>
                <w:highlight w:val="none"/>
                <w:lang w:val="en-US" w:eastAsia="en-US"/>
              </w:rPr>
            </w:pPr>
            <w:r>
              <w:rPr>
                <w:rFonts w:hint="eastAsia" w:ascii="宋体" w:hAnsi="宋体" w:cs="宋体"/>
                <w:color w:val="auto"/>
                <w:sz w:val="22"/>
                <w:szCs w:val="22"/>
                <w:highlight w:val="none"/>
                <w:lang w:val="en-US" w:eastAsia="zh-CN"/>
              </w:rPr>
              <w:t>辉何公路旁靠近五谷殿自然村</w:t>
            </w:r>
          </w:p>
        </w:tc>
        <w:tc>
          <w:tcPr>
            <w:tcW w:w="1666" w:type="dxa"/>
            <w:vAlign w:val="center"/>
          </w:tcPr>
          <w:p w14:paraId="17AC07BC">
            <w:pPr>
              <w:autoSpaceDE w:val="0"/>
              <w:autoSpaceDN w:val="0"/>
              <w:jc w:val="center"/>
              <w:rPr>
                <w:rFonts w:ascii="宋体" w:hAnsi="宋体" w:cs="宋体"/>
                <w:color w:val="auto"/>
                <w:sz w:val="22"/>
                <w:szCs w:val="22"/>
                <w:highlight w:val="none"/>
                <w:lang w:eastAsia="en-US"/>
              </w:rPr>
            </w:pPr>
          </w:p>
        </w:tc>
      </w:tr>
      <w:tr w14:paraId="7A0696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123" w:type="dxa"/>
            <w:vAlign w:val="center"/>
          </w:tcPr>
          <w:p w14:paraId="3A0F1989">
            <w:pPr>
              <w:autoSpaceDE w:val="0"/>
              <w:autoSpaceDN w:val="0"/>
              <w:jc w:val="center"/>
              <w:rPr>
                <w:rFonts w:ascii="宋体" w:hAnsi="宋体" w:cs="宋体"/>
                <w:color w:val="auto"/>
                <w:sz w:val="22"/>
                <w:szCs w:val="22"/>
                <w:highlight w:val="none"/>
                <w:lang w:eastAsia="en-US"/>
              </w:rPr>
            </w:pPr>
            <w:r>
              <w:rPr>
                <w:rFonts w:hint="eastAsia" w:ascii="宋体" w:hAnsi="宋体" w:cs="宋体"/>
                <w:color w:val="auto"/>
                <w:sz w:val="22"/>
                <w:szCs w:val="22"/>
                <w:highlight w:val="none"/>
                <w:lang w:eastAsia="en-US"/>
              </w:rPr>
              <w:t>6</w:t>
            </w:r>
          </w:p>
        </w:tc>
        <w:tc>
          <w:tcPr>
            <w:tcW w:w="3240" w:type="dxa"/>
            <w:vAlign w:val="center"/>
          </w:tcPr>
          <w:p w14:paraId="6FCD9B7F">
            <w:pPr>
              <w:autoSpaceDE w:val="0"/>
              <w:autoSpaceDN w:val="0"/>
              <w:jc w:val="center"/>
              <w:rPr>
                <w:rFonts w:hint="eastAsia"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宋畈垃圾中转站</w:t>
            </w:r>
          </w:p>
        </w:tc>
        <w:tc>
          <w:tcPr>
            <w:tcW w:w="3949" w:type="dxa"/>
            <w:vAlign w:val="center"/>
          </w:tcPr>
          <w:p w14:paraId="5CA15AB2">
            <w:pPr>
              <w:autoSpaceDE w:val="0"/>
              <w:autoSpaceDN w:val="0"/>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常新线旁</w:t>
            </w:r>
          </w:p>
        </w:tc>
        <w:tc>
          <w:tcPr>
            <w:tcW w:w="1666" w:type="dxa"/>
            <w:vAlign w:val="center"/>
          </w:tcPr>
          <w:p w14:paraId="470B6921">
            <w:pPr>
              <w:autoSpaceDE w:val="0"/>
              <w:autoSpaceDN w:val="0"/>
              <w:jc w:val="center"/>
              <w:rPr>
                <w:rFonts w:ascii="宋体" w:hAnsi="宋体" w:cs="宋体"/>
                <w:color w:val="auto"/>
                <w:sz w:val="22"/>
                <w:szCs w:val="22"/>
                <w:highlight w:val="none"/>
                <w:lang w:eastAsia="en-US"/>
              </w:rPr>
            </w:pPr>
          </w:p>
        </w:tc>
      </w:tr>
      <w:tr w14:paraId="1A92CB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1123" w:type="dxa"/>
            <w:vAlign w:val="center"/>
          </w:tcPr>
          <w:p w14:paraId="561391D9">
            <w:pPr>
              <w:autoSpaceDE w:val="0"/>
              <w:autoSpaceDN w:val="0"/>
              <w:jc w:val="center"/>
              <w:rPr>
                <w:rFonts w:ascii="宋体" w:hAnsi="宋体" w:cs="宋体"/>
                <w:color w:val="auto"/>
                <w:sz w:val="22"/>
                <w:szCs w:val="22"/>
                <w:highlight w:val="none"/>
                <w:lang w:eastAsia="en-US"/>
              </w:rPr>
            </w:pPr>
            <w:r>
              <w:rPr>
                <w:rFonts w:hint="eastAsia" w:ascii="宋体" w:hAnsi="宋体" w:cs="宋体"/>
                <w:color w:val="auto"/>
                <w:sz w:val="22"/>
                <w:szCs w:val="22"/>
                <w:highlight w:val="none"/>
                <w:lang w:eastAsia="en-US"/>
              </w:rPr>
              <w:t>7</w:t>
            </w:r>
          </w:p>
        </w:tc>
        <w:tc>
          <w:tcPr>
            <w:tcW w:w="3240" w:type="dxa"/>
            <w:vAlign w:val="center"/>
          </w:tcPr>
          <w:p w14:paraId="3B8F19D6">
            <w:pPr>
              <w:autoSpaceDE w:val="0"/>
              <w:autoSpaceDN w:val="0"/>
              <w:jc w:val="center"/>
              <w:rPr>
                <w:rFonts w:hint="eastAsia"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同弓乡垃圾中转站</w:t>
            </w:r>
          </w:p>
        </w:tc>
        <w:tc>
          <w:tcPr>
            <w:tcW w:w="3949" w:type="dxa"/>
            <w:vAlign w:val="center"/>
          </w:tcPr>
          <w:p w14:paraId="05E166C1">
            <w:pPr>
              <w:autoSpaceDE w:val="0"/>
              <w:autoSpaceDN w:val="0"/>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同弓乡山边村</w:t>
            </w:r>
          </w:p>
        </w:tc>
        <w:tc>
          <w:tcPr>
            <w:tcW w:w="1666" w:type="dxa"/>
            <w:vAlign w:val="center"/>
          </w:tcPr>
          <w:p w14:paraId="58812C84">
            <w:pPr>
              <w:autoSpaceDE w:val="0"/>
              <w:autoSpaceDN w:val="0"/>
              <w:jc w:val="center"/>
              <w:rPr>
                <w:rFonts w:ascii="宋体" w:hAnsi="宋体" w:cs="宋体"/>
                <w:color w:val="auto"/>
                <w:sz w:val="22"/>
                <w:szCs w:val="22"/>
                <w:highlight w:val="none"/>
                <w:lang w:eastAsia="en-US"/>
              </w:rPr>
            </w:pPr>
          </w:p>
        </w:tc>
      </w:tr>
      <w:tr w14:paraId="1D6C8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1123" w:type="dxa"/>
            <w:vAlign w:val="center"/>
          </w:tcPr>
          <w:p w14:paraId="2EBA921A">
            <w:pPr>
              <w:autoSpaceDE w:val="0"/>
              <w:autoSpaceDN w:val="0"/>
              <w:jc w:val="center"/>
              <w:rPr>
                <w:rFonts w:ascii="宋体" w:hAnsi="宋体" w:cs="宋体"/>
                <w:color w:val="auto"/>
                <w:sz w:val="22"/>
                <w:szCs w:val="22"/>
                <w:highlight w:val="none"/>
                <w:lang w:eastAsia="en-US"/>
              </w:rPr>
            </w:pPr>
            <w:r>
              <w:rPr>
                <w:rFonts w:hint="eastAsia" w:ascii="宋体" w:hAnsi="宋体" w:cs="宋体"/>
                <w:color w:val="auto"/>
                <w:sz w:val="22"/>
                <w:szCs w:val="22"/>
                <w:highlight w:val="none"/>
                <w:lang w:eastAsia="en-US"/>
              </w:rPr>
              <w:t>8</w:t>
            </w:r>
          </w:p>
        </w:tc>
        <w:tc>
          <w:tcPr>
            <w:tcW w:w="3240" w:type="dxa"/>
            <w:vAlign w:val="center"/>
          </w:tcPr>
          <w:p w14:paraId="49BAC0F2">
            <w:pPr>
              <w:autoSpaceDE w:val="0"/>
              <w:autoSpaceDN w:val="0"/>
              <w:jc w:val="center"/>
              <w:rPr>
                <w:rFonts w:hint="eastAsia"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芳村垃圾中转站</w:t>
            </w:r>
          </w:p>
        </w:tc>
        <w:tc>
          <w:tcPr>
            <w:tcW w:w="3949" w:type="dxa"/>
            <w:vAlign w:val="center"/>
          </w:tcPr>
          <w:p w14:paraId="1DF9A79E">
            <w:pPr>
              <w:autoSpaceDE w:val="0"/>
              <w:autoSpaceDN w:val="0"/>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芳村镇园区新村</w:t>
            </w:r>
          </w:p>
        </w:tc>
        <w:tc>
          <w:tcPr>
            <w:tcW w:w="1666" w:type="dxa"/>
            <w:vAlign w:val="center"/>
          </w:tcPr>
          <w:p w14:paraId="006F904B">
            <w:pPr>
              <w:autoSpaceDE w:val="0"/>
              <w:autoSpaceDN w:val="0"/>
              <w:jc w:val="center"/>
              <w:rPr>
                <w:rFonts w:ascii="宋体" w:hAnsi="宋体" w:cs="宋体"/>
                <w:color w:val="auto"/>
                <w:sz w:val="22"/>
                <w:szCs w:val="22"/>
                <w:highlight w:val="none"/>
                <w:lang w:eastAsia="en-US"/>
              </w:rPr>
            </w:pPr>
          </w:p>
        </w:tc>
      </w:tr>
      <w:tr w14:paraId="614457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123" w:type="dxa"/>
            <w:vAlign w:val="center"/>
          </w:tcPr>
          <w:p w14:paraId="1BD82BA5">
            <w:pPr>
              <w:autoSpaceDE w:val="0"/>
              <w:autoSpaceDN w:val="0"/>
              <w:jc w:val="center"/>
              <w:rPr>
                <w:rFonts w:ascii="宋体" w:hAnsi="宋体" w:cs="宋体"/>
                <w:color w:val="auto"/>
                <w:sz w:val="22"/>
                <w:szCs w:val="22"/>
                <w:highlight w:val="none"/>
                <w:lang w:eastAsia="en-US"/>
              </w:rPr>
            </w:pPr>
            <w:r>
              <w:rPr>
                <w:rFonts w:hint="eastAsia" w:ascii="宋体" w:hAnsi="宋体" w:cs="宋体"/>
                <w:color w:val="auto"/>
                <w:sz w:val="22"/>
                <w:szCs w:val="22"/>
                <w:highlight w:val="none"/>
                <w:lang w:eastAsia="en-US"/>
              </w:rPr>
              <w:t>9</w:t>
            </w:r>
          </w:p>
        </w:tc>
        <w:tc>
          <w:tcPr>
            <w:tcW w:w="3240" w:type="dxa"/>
            <w:vAlign w:val="center"/>
          </w:tcPr>
          <w:p w14:paraId="178F708A">
            <w:pPr>
              <w:autoSpaceDE w:val="0"/>
              <w:autoSpaceDN w:val="0"/>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新桥垃圾中转站</w:t>
            </w:r>
          </w:p>
        </w:tc>
        <w:tc>
          <w:tcPr>
            <w:tcW w:w="3949" w:type="dxa"/>
            <w:vAlign w:val="center"/>
          </w:tcPr>
          <w:p w14:paraId="61B7B1D6">
            <w:pPr>
              <w:autoSpaceDE w:val="0"/>
              <w:autoSpaceDN w:val="0"/>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芳村镇新桥村</w:t>
            </w:r>
          </w:p>
        </w:tc>
        <w:tc>
          <w:tcPr>
            <w:tcW w:w="1666" w:type="dxa"/>
            <w:vAlign w:val="center"/>
          </w:tcPr>
          <w:p w14:paraId="273BF4B5">
            <w:pPr>
              <w:autoSpaceDE w:val="0"/>
              <w:autoSpaceDN w:val="0"/>
              <w:jc w:val="center"/>
              <w:rPr>
                <w:rFonts w:ascii="宋体" w:hAnsi="宋体" w:cs="宋体"/>
                <w:color w:val="auto"/>
                <w:sz w:val="22"/>
                <w:szCs w:val="22"/>
                <w:highlight w:val="none"/>
                <w:lang w:eastAsia="en-US"/>
              </w:rPr>
            </w:pPr>
          </w:p>
        </w:tc>
      </w:tr>
      <w:tr w14:paraId="2E53B4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15" w:hRule="atLeast"/>
        </w:trPr>
        <w:tc>
          <w:tcPr>
            <w:tcW w:w="1123" w:type="dxa"/>
            <w:vAlign w:val="center"/>
          </w:tcPr>
          <w:p w14:paraId="5661A249">
            <w:pPr>
              <w:autoSpaceDE w:val="0"/>
              <w:autoSpaceDN w:val="0"/>
              <w:jc w:val="center"/>
              <w:rPr>
                <w:rFonts w:ascii="宋体" w:hAnsi="宋体" w:cs="宋体"/>
                <w:color w:val="auto"/>
                <w:sz w:val="22"/>
                <w:szCs w:val="22"/>
                <w:highlight w:val="none"/>
                <w:lang w:eastAsia="en-US"/>
              </w:rPr>
            </w:pPr>
            <w:r>
              <w:rPr>
                <w:rFonts w:hint="eastAsia" w:ascii="宋体" w:hAnsi="宋体" w:cs="宋体"/>
                <w:color w:val="auto"/>
                <w:sz w:val="22"/>
                <w:szCs w:val="22"/>
                <w:highlight w:val="none"/>
                <w:lang w:eastAsia="en-US"/>
              </w:rPr>
              <w:t>10</w:t>
            </w:r>
          </w:p>
        </w:tc>
        <w:tc>
          <w:tcPr>
            <w:tcW w:w="3240" w:type="dxa"/>
            <w:vAlign w:val="center"/>
          </w:tcPr>
          <w:p w14:paraId="7EF9A059">
            <w:pPr>
              <w:autoSpaceDE w:val="0"/>
              <w:autoSpaceDN w:val="0"/>
              <w:jc w:val="center"/>
              <w:rPr>
                <w:rFonts w:hint="eastAsia"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井河村垃圾中转站</w:t>
            </w:r>
          </w:p>
        </w:tc>
        <w:tc>
          <w:tcPr>
            <w:tcW w:w="3949" w:type="dxa"/>
            <w:vAlign w:val="center"/>
          </w:tcPr>
          <w:p w14:paraId="525D5F96">
            <w:pPr>
              <w:autoSpaceDE w:val="0"/>
              <w:autoSpaceDN w:val="0"/>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芳村镇井河村</w:t>
            </w:r>
          </w:p>
        </w:tc>
        <w:tc>
          <w:tcPr>
            <w:tcW w:w="1666" w:type="dxa"/>
            <w:vAlign w:val="center"/>
          </w:tcPr>
          <w:p w14:paraId="1540E3C5">
            <w:pPr>
              <w:autoSpaceDE w:val="0"/>
              <w:autoSpaceDN w:val="0"/>
              <w:jc w:val="center"/>
              <w:rPr>
                <w:rFonts w:ascii="宋体" w:hAnsi="宋体" w:cs="宋体"/>
                <w:color w:val="auto"/>
                <w:sz w:val="22"/>
                <w:szCs w:val="22"/>
                <w:highlight w:val="none"/>
                <w:lang w:eastAsia="en-US"/>
              </w:rPr>
            </w:pPr>
          </w:p>
        </w:tc>
      </w:tr>
      <w:tr w14:paraId="493671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trPr>
        <w:tc>
          <w:tcPr>
            <w:tcW w:w="1123" w:type="dxa"/>
            <w:vAlign w:val="center"/>
          </w:tcPr>
          <w:p w14:paraId="38446A8D">
            <w:pPr>
              <w:autoSpaceDE w:val="0"/>
              <w:autoSpaceDN w:val="0"/>
              <w:jc w:val="center"/>
              <w:rPr>
                <w:rFonts w:ascii="宋体" w:hAnsi="宋体" w:cs="宋体"/>
                <w:color w:val="auto"/>
                <w:sz w:val="22"/>
                <w:szCs w:val="22"/>
                <w:highlight w:val="none"/>
                <w:lang w:eastAsia="en-US"/>
              </w:rPr>
            </w:pPr>
            <w:r>
              <w:rPr>
                <w:rFonts w:hint="eastAsia" w:ascii="宋体" w:hAnsi="宋体" w:cs="宋体"/>
                <w:color w:val="auto"/>
                <w:sz w:val="22"/>
                <w:szCs w:val="22"/>
                <w:highlight w:val="none"/>
                <w:lang w:eastAsia="en-US"/>
              </w:rPr>
              <w:t>11</w:t>
            </w:r>
          </w:p>
        </w:tc>
        <w:tc>
          <w:tcPr>
            <w:tcW w:w="3240" w:type="dxa"/>
            <w:vAlign w:val="center"/>
          </w:tcPr>
          <w:p w14:paraId="55763D1B">
            <w:pPr>
              <w:autoSpaceDE w:val="0"/>
              <w:autoSpaceDN w:val="0"/>
              <w:jc w:val="center"/>
              <w:rPr>
                <w:rFonts w:hint="eastAsia" w:ascii="宋体" w:hAnsi="宋体" w:cs="宋体"/>
                <w:color w:val="auto"/>
                <w:sz w:val="22"/>
                <w:szCs w:val="22"/>
                <w:highlight w:val="none"/>
                <w:lang w:val="en-US" w:eastAsia="en-US"/>
              </w:rPr>
            </w:pPr>
            <w:r>
              <w:rPr>
                <w:rFonts w:hint="eastAsia" w:ascii="宋体" w:hAnsi="宋体" w:cs="宋体"/>
                <w:color w:val="auto"/>
                <w:sz w:val="22"/>
                <w:szCs w:val="22"/>
                <w:highlight w:val="none"/>
                <w:lang w:val="en-US" w:eastAsia="zh-CN"/>
              </w:rPr>
              <w:t>金川街道鲁里垃圾中转站</w:t>
            </w:r>
          </w:p>
        </w:tc>
        <w:tc>
          <w:tcPr>
            <w:tcW w:w="3949" w:type="dxa"/>
            <w:vAlign w:val="center"/>
          </w:tcPr>
          <w:p w14:paraId="51CAE91F">
            <w:pPr>
              <w:autoSpaceDE w:val="0"/>
              <w:autoSpaceDN w:val="0"/>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上埠村鲁里自然村</w:t>
            </w:r>
          </w:p>
        </w:tc>
        <w:tc>
          <w:tcPr>
            <w:tcW w:w="1666" w:type="dxa"/>
            <w:vAlign w:val="center"/>
          </w:tcPr>
          <w:p w14:paraId="58F1DD51">
            <w:pPr>
              <w:autoSpaceDE w:val="0"/>
              <w:autoSpaceDN w:val="0"/>
              <w:jc w:val="center"/>
              <w:rPr>
                <w:rFonts w:ascii="宋体" w:hAnsi="宋体" w:cs="宋体"/>
                <w:color w:val="auto"/>
                <w:sz w:val="22"/>
                <w:szCs w:val="22"/>
                <w:highlight w:val="none"/>
                <w:lang w:eastAsia="en-US"/>
              </w:rPr>
            </w:pPr>
          </w:p>
        </w:tc>
      </w:tr>
      <w:tr w14:paraId="734CBA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123" w:type="dxa"/>
            <w:vAlign w:val="center"/>
          </w:tcPr>
          <w:p w14:paraId="4B07D41C">
            <w:pPr>
              <w:autoSpaceDE w:val="0"/>
              <w:autoSpaceDN w:val="0"/>
              <w:jc w:val="center"/>
              <w:rPr>
                <w:rFonts w:ascii="宋体" w:hAnsi="宋体" w:cs="宋体"/>
                <w:color w:val="auto"/>
                <w:sz w:val="22"/>
                <w:szCs w:val="22"/>
                <w:highlight w:val="none"/>
                <w:lang w:eastAsia="en-US"/>
              </w:rPr>
            </w:pPr>
            <w:r>
              <w:rPr>
                <w:rFonts w:hint="eastAsia" w:ascii="宋体" w:hAnsi="宋体" w:cs="宋体"/>
                <w:color w:val="auto"/>
                <w:sz w:val="22"/>
                <w:szCs w:val="22"/>
                <w:highlight w:val="none"/>
                <w:lang w:eastAsia="en-US"/>
              </w:rPr>
              <w:t>12</w:t>
            </w:r>
          </w:p>
        </w:tc>
        <w:tc>
          <w:tcPr>
            <w:tcW w:w="3240" w:type="dxa"/>
            <w:vAlign w:val="center"/>
          </w:tcPr>
          <w:p w14:paraId="06976F76">
            <w:pPr>
              <w:autoSpaceDE w:val="0"/>
              <w:autoSpaceDN w:val="0"/>
              <w:jc w:val="center"/>
              <w:rPr>
                <w:rFonts w:hint="eastAsia"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白石镇垃圾中转站</w:t>
            </w:r>
          </w:p>
        </w:tc>
        <w:tc>
          <w:tcPr>
            <w:tcW w:w="3949" w:type="dxa"/>
            <w:vAlign w:val="center"/>
          </w:tcPr>
          <w:p w14:paraId="7FD9FD10">
            <w:pPr>
              <w:autoSpaceDE w:val="0"/>
              <w:autoSpaceDN w:val="0"/>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白石镇白石村</w:t>
            </w:r>
          </w:p>
        </w:tc>
        <w:tc>
          <w:tcPr>
            <w:tcW w:w="1666" w:type="dxa"/>
            <w:vAlign w:val="center"/>
          </w:tcPr>
          <w:p w14:paraId="7D41F11F">
            <w:pPr>
              <w:autoSpaceDE w:val="0"/>
              <w:autoSpaceDN w:val="0"/>
              <w:jc w:val="center"/>
              <w:rPr>
                <w:rFonts w:ascii="宋体" w:hAnsi="宋体" w:cs="宋体"/>
                <w:color w:val="auto"/>
                <w:sz w:val="22"/>
                <w:szCs w:val="22"/>
                <w:highlight w:val="none"/>
                <w:lang w:eastAsia="en-US"/>
              </w:rPr>
            </w:pPr>
          </w:p>
        </w:tc>
      </w:tr>
      <w:tr w14:paraId="51184B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1123" w:type="dxa"/>
            <w:vAlign w:val="center"/>
          </w:tcPr>
          <w:p w14:paraId="1F2460DC">
            <w:pPr>
              <w:autoSpaceDE w:val="0"/>
              <w:autoSpaceDN w:val="0"/>
              <w:jc w:val="center"/>
              <w:rPr>
                <w:rFonts w:ascii="宋体" w:hAnsi="宋体" w:cs="宋体"/>
                <w:color w:val="auto"/>
                <w:sz w:val="22"/>
                <w:szCs w:val="22"/>
                <w:highlight w:val="none"/>
                <w:lang w:eastAsia="en-US"/>
              </w:rPr>
            </w:pPr>
            <w:r>
              <w:rPr>
                <w:rFonts w:hint="eastAsia" w:ascii="宋体" w:hAnsi="宋体" w:cs="宋体"/>
                <w:color w:val="auto"/>
                <w:sz w:val="22"/>
                <w:szCs w:val="22"/>
                <w:highlight w:val="none"/>
                <w:lang w:eastAsia="en-US"/>
              </w:rPr>
              <w:t>13</w:t>
            </w:r>
          </w:p>
        </w:tc>
        <w:tc>
          <w:tcPr>
            <w:tcW w:w="3240" w:type="dxa"/>
            <w:vAlign w:val="center"/>
          </w:tcPr>
          <w:p w14:paraId="59A3A046">
            <w:pPr>
              <w:autoSpaceDE w:val="0"/>
              <w:autoSpaceDN w:val="0"/>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东案乡垃圾中转站</w:t>
            </w:r>
          </w:p>
        </w:tc>
        <w:tc>
          <w:tcPr>
            <w:tcW w:w="3949" w:type="dxa"/>
            <w:vAlign w:val="center"/>
          </w:tcPr>
          <w:p w14:paraId="695D3AB5">
            <w:pPr>
              <w:autoSpaceDE w:val="0"/>
              <w:autoSpaceDN w:val="0"/>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东案乡万安村</w:t>
            </w:r>
          </w:p>
        </w:tc>
        <w:tc>
          <w:tcPr>
            <w:tcW w:w="1666" w:type="dxa"/>
            <w:vAlign w:val="center"/>
          </w:tcPr>
          <w:p w14:paraId="573EA8A4">
            <w:pPr>
              <w:autoSpaceDE w:val="0"/>
              <w:autoSpaceDN w:val="0"/>
              <w:jc w:val="center"/>
              <w:rPr>
                <w:rFonts w:ascii="宋体" w:hAnsi="宋体" w:cs="宋体"/>
                <w:color w:val="auto"/>
                <w:sz w:val="22"/>
                <w:szCs w:val="22"/>
                <w:highlight w:val="none"/>
                <w:lang w:eastAsia="en-US"/>
              </w:rPr>
            </w:pPr>
          </w:p>
        </w:tc>
      </w:tr>
      <w:tr w14:paraId="5ACF93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123" w:type="dxa"/>
            <w:vAlign w:val="center"/>
          </w:tcPr>
          <w:p w14:paraId="112675EF">
            <w:pPr>
              <w:autoSpaceDE w:val="0"/>
              <w:autoSpaceDN w:val="0"/>
              <w:jc w:val="center"/>
              <w:rPr>
                <w:rFonts w:ascii="宋体" w:hAnsi="宋体" w:cs="宋体"/>
                <w:color w:val="auto"/>
                <w:sz w:val="22"/>
                <w:szCs w:val="22"/>
                <w:highlight w:val="none"/>
                <w:lang w:eastAsia="en-US"/>
              </w:rPr>
            </w:pPr>
            <w:r>
              <w:rPr>
                <w:rFonts w:hint="eastAsia" w:ascii="宋体" w:hAnsi="宋体" w:cs="宋体"/>
                <w:color w:val="auto"/>
                <w:sz w:val="22"/>
                <w:szCs w:val="22"/>
                <w:highlight w:val="none"/>
                <w:lang w:eastAsia="en-US"/>
              </w:rPr>
              <w:t>14</w:t>
            </w:r>
          </w:p>
        </w:tc>
        <w:tc>
          <w:tcPr>
            <w:tcW w:w="3240" w:type="dxa"/>
            <w:vAlign w:val="center"/>
          </w:tcPr>
          <w:p w14:paraId="77A8B485">
            <w:pPr>
              <w:autoSpaceDE w:val="0"/>
              <w:autoSpaceDN w:val="0"/>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大桥头乡垃圾中转站</w:t>
            </w:r>
          </w:p>
        </w:tc>
        <w:tc>
          <w:tcPr>
            <w:tcW w:w="3949" w:type="dxa"/>
            <w:vAlign w:val="center"/>
          </w:tcPr>
          <w:p w14:paraId="043F8CE9">
            <w:pPr>
              <w:autoSpaceDE w:val="0"/>
              <w:autoSpaceDN w:val="0"/>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大桥头乡浮河村</w:t>
            </w:r>
          </w:p>
        </w:tc>
        <w:tc>
          <w:tcPr>
            <w:tcW w:w="1666" w:type="dxa"/>
            <w:vAlign w:val="center"/>
          </w:tcPr>
          <w:p w14:paraId="1FE40359">
            <w:pPr>
              <w:autoSpaceDE w:val="0"/>
              <w:autoSpaceDN w:val="0"/>
              <w:jc w:val="center"/>
              <w:rPr>
                <w:rFonts w:ascii="宋体" w:hAnsi="宋体" w:cs="宋体"/>
                <w:color w:val="auto"/>
                <w:sz w:val="22"/>
                <w:szCs w:val="22"/>
                <w:highlight w:val="none"/>
                <w:lang w:eastAsia="en-US"/>
              </w:rPr>
            </w:pPr>
          </w:p>
        </w:tc>
      </w:tr>
      <w:tr w14:paraId="0217EB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123" w:type="dxa"/>
            <w:vAlign w:val="center"/>
          </w:tcPr>
          <w:p w14:paraId="29CFF53C">
            <w:pPr>
              <w:autoSpaceDE w:val="0"/>
              <w:autoSpaceDN w:val="0"/>
              <w:jc w:val="center"/>
              <w:rPr>
                <w:rFonts w:ascii="宋体" w:hAnsi="宋体" w:cs="宋体"/>
                <w:color w:val="auto"/>
                <w:sz w:val="22"/>
                <w:szCs w:val="22"/>
                <w:highlight w:val="none"/>
                <w:lang w:eastAsia="en-US"/>
              </w:rPr>
            </w:pPr>
            <w:r>
              <w:rPr>
                <w:rFonts w:hint="eastAsia" w:ascii="宋体" w:hAnsi="宋体" w:cs="宋体"/>
                <w:color w:val="auto"/>
                <w:sz w:val="22"/>
                <w:szCs w:val="22"/>
                <w:highlight w:val="none"/>
                <w:lang w:eastAsia="en-US"/>
              </w:rPr>
              <w:t>15</w:t>
            </w:r>
          </w:p>
        </w:tc>
        <w:tc>
          <w:tcPr>
            <w:tcW w:w="3240" w:type="dxa"/>
            <w:vAlign w:val="center"/>
          </w:tcPr>
          <w:p w14:paraId="2D7CF282">
            <w:pPr>
              <w:autoSpaceDE w:val="0"/>
              <w:autoSpaceDN w:val="0"/>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新昌乡垃圾中转站</w:t>
            </w:r>
          </w:p>
        </w:tc>
        <w:tc>
          <w:tcPr>
            <w:tcW w:w="3949" w:type="dxa"/>
            <w:vAlign w:val="center"/>
          </w:tcPr>
          <w:p w14:paraId="7646F898">
            <w:pPr>
              <w:autoSpaceDE w:val="0"/>
              <w:autoSpaceDN w:val="0"/>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新昌乡新昌村</w:t>
            </w:r>
          </w:p>
        </w:tc>
        <w:tc>
          <w:tcPr>
            <w:tcW w:w="1666" w:type="dxa"/>
            <w:vAlign w:val="center"/>
          </w:tcPr>
          <w:p w14:paraId="08670805">
            <w:pPr>
              <w:autoSpaceDE w:val="0"/>
              <w:autoSpaceDN w:val="0"/>
              <w:jc w:val="center"/>
              <w:rPr>
                <w:rFonts w:ascii="宋体" w:hAnsi="宋体" w:cs="宋体"/>
                <w:color w:val="auto"/>
                <w:sz w:val="22"/>
                <w:szCs w:val="22"/>
                <w:highlight w:val="none"/>
                <w:lang w:eastAsia="en-US"/>
              </w:rPr>
            </w:pPr>
          </w:p>
        </w:tc>
      </w:tr>
      <w:tr w14:paraId="0C70CD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1123" w:type="dxa"/>
            <w:vAlign w:val="center"/>
          </w:tcPr>
          <w:p w14:paraId="75E0FDBD">
            <w:pPr>
              <w:autoSpaceDE w:val="0"/>
              <w:autoSpaceDN w:val="0"/>
              <w:jc w:val="center"/>
              <w:rPr>
                <w:rFonts w:ascii="宋体" w:hAnsi="宋体" w:cs="宋体"/>
                <w:color w:val="auto"/>
                <w:sz w:val="22"/>
                <w:szCs w:val="22"/>
                <w:highlight w:val="none"/>
                <w:lang w:eastAsia="en-US"/>
              </w:rPr>
            </w:pPr>
            <w:r>
              <w:rPr>
                <w:rFonts w:hint="eastAsia" w:ascii="宋体" w:hAnsi="宋体" w:cs="宋体"/>
                <w:color w:val="auto"/>
                <w:sz w:val="22"/>
                <w:szCs w:val="22"/>
                <w:highlight w:val="none"/>
                <w:lang w:eastAsia="en-US"/>
              </w:rPr>
              <w:t>16</w:t>
            </w:r>
          </w:p>
        </w:tc>
        <w:tc>
          <w:tcPr>
            <w:tcW w:w="3240" w:type="dxa"/>
            <w:vAlign w:val="center"/>
          </w:tcPr>
          <w:p w14:paraId="4669D060">
            <w:pPr>
              <w:autoSpaceDE w:val="0"/>
              <w:autoSpaceDN w:val="0"/>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招贤镇垃圾中转站</w:t>
            </w:r>
          </w:p>
        </w:tc>
        <w:tc>
          <w:tcPr>
            <w:tcW w:w="3949" w:type="dxa"/>
            <w:vAlign w:val="center"/>
          </w:tcPr>
          <w:p w14:paraId="5585A16F">
            <w:pPr>
              <w:autoSpaceDE w:val="0"/>
              <w:autoSpaceDN w:val="0"/>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招贤镇汪家淤村</w:t>
            </w:r>
          </w:p>
        </w:tc>
        <w:tc>
          <w:tcPr>
            <w:tcW w:w="1666" w:type="dxa"/>
            <w:vAlign w:val="center"/>
          </w:tcPr>
          <w:p w14:paraId="4219F4F1">
            <w:pPr>
              <w:autoSpaceDE w:val="0"/>
              <w:autoSpaceDN w:val="0"/>
              <w:jc w:val="center"/>
              <w:rPr>
                <w:rFonts w:ascii="宋体" w:hAnsi="宋体" w:cs="宋体"/>
                <w:color w:val="auto"/>
                <w:sz w:val="22"/>
                <w:szCs w:val="22"/>
                <w:highlight w:val="none"/>
                <w:lang w:eastAsia="en-US"/>
              </w:rPr>
            </w:pPr>
          </w:p>
        </w:tc>
      </w:tr>
    </w:tbl>
    <w:p w14:paraId="4D19FBD2">
      <w:pPr>
        <w:pStyle w:val="71"/>
        <w:keepNext w:val="0"/>
        <w:keepLines w:val="0"/>
        <w:pageBreakBefore w:val="0"/>
        <w:widowControl/>
        <w:numPr>
          <w:ilvl w:val="0"/>
          <w:numId w:val="0"/>
        </w:numPr>
        <w:kinsoku/>
        <w:wordWrap/>
        <w:overflowPunct/>
        <w:topLinePunct w:val="0"/>
        <w:autoSpaceDE/>
        <w:autoSpaceDN/>
        <w:bidi w:val="0"/>
        <w:adjustRightInd/>
        <w:snapToGrid/>
        <w:spacing w:line="600" w:lineRule="exact"/>
        <w:textAlignment w:val="auto"/>
        <w:rPr>
          <w:rFonts w:hint="eastAsia"/>
          <w:b/>
          <w:bCs/>
          <w:color w:val="auto"/>
          <w:sz w:val="22"/>
          <w:szCs w:val="22"/>
          <w:highlight w:val="none"/>
          <w:lang w:val="en-US" w:eastAsia="zh-CN"/>
        </w:rPr>
      </w:pPr>
      <w:r>
        <w:rPr>
          <w:rFonts w:hint="eastAsia"/>
          <w:b/>
          <w:bCs/>
          <w:color w:val="auto"/>
          <w:sz w:val="22"/>
          <w:szCs w:val="22"/>
          <w:highlight w:val="none"/>
          <w:lang w:val="en-US" w:eastAsia="zh-CN"/>
        </w:rPr>
        <w:t>二、服务要求</w:t>
      </w:r>
    </w:p>
    <w:p w14:paraId="0CE279E5">
      <w:pPr>
        <w:keepNext w:val="0"/>
        <w:keepLines w:val="0"/>
        <w:pageBreakBefore w:val="0"/>
        <w:numPr>
          <w:ilvl w:val="0"/>
          <w:numId w:val="0"/>
        </w:numPr>
        <w:kinsoku/>
        <w:wordWrap/>
        <w:overflowPunct/>
        <w:topLinePunct w:val="0"/>
        <w:autoSpaceDE/>
        <w:autoSpaceDN/>
        <w:bidi w:val="0"/>
        <w:spacing w:line="600" w:lineRule="exact"/>
        <w:ind w:firstLine="440" w:firstLineChars="200"/>
        <w:textAlignment w:val="auto"/>
        <w:rPr>
          <w:rFonts w:hint="eastAsia" w:ascii="宋体" w:hAnsi="宋体" w:eastAsia="宋体"/>
          <w:bCs/>
          <w:color w:val="auto"/>
          <w:sz w:val="22"/>
          <w:szCs w:val="22"/>
          <w:highlight w:val="none"/>
          <w:lang w:val="en-US" w:eastAsia="zh-CN"/>
        </w:rPr>
      </w:pPr>
      <w:r>
        <w:rPr>
          <w:rFonts w:hint="eastAsia" w:ascii="宋体" w:hAnsi="宋体" w:eastAsia="宋体"/>
          <w:bCs/>
          <w:color w:val="auto"/>
          <w:sz w:val="22"/>
          <w:szCs w:val="22"/>
          <w:highlight w:val="none"/>
          <w:lang w:val="en-US" w:eastAsia="zh-CN"/>
        </w:rPr>
        <w:t>1、中标单位负责将</w:t>
      </w:r>
      <w:r>
        <w:rPr>
          <w:rFonts w:hint="eastAsia" w:ascii="宋体" w:hAnsi="宋体"/>
          <w:bCs/>
          <w:color w:val="auto"/>
          <w:sz w:val="22"/>
          <w:szCs w:val="22"/>
          <w:highlight w:val="none"/>
          <w:lang w:val="en-US" w:eastAsia="zh-CN"/>
        </w:rPr>
        <w:t>采购单位</w:t>
      </w:r>
      <w:r>
        <w:rPr>
          <w:rFonts w:hint="eastAsia" w:ascii="宋体" w:hAnsi="宋体" w:eastAsia="宋体"/>
          <w:bCs/>
          <w:color w:val="auto"/>
          <w:sz w:val="22"/>
          <w:szCs w:val="22"/>
          <w:highlight w:val="none"/>
          <w:lang w:val="en-US" w:eastAsia="zh-CN"/>
        </w:rPr>
        <w:t>指定地点</w:t>
      </w:r>
      <w:r>
        <w:rPr>
          <w:rFonts w:hint="eastAsia" w:ascii="宋体" w:hAnsi="宋体"/>
          <w:bCs/>
          <w:color w:val="auto"/>
          <w:sz w:val="22"/>
          <w:szCs w:val="22"/>
          <w:highlight w:val="none"/>
          <w:lang w:val="en-US" w:eastAsia="zh-CN"/>
        </w:rPr>
        <w:t>（16个乡镇生活垃圾中转站）</w:t>
      </w:r>
      <w:r>
        <w:rPr>
          <w:rFonts w:hint="eastAsia" w:ascii="宋体" w:hAnsi="宋体" w:eastAsia="宋体"/>
          <w:bCs/>
          <w:color w:val="auto"/>
          <w:sz w:val="22"/>
          <w:szCs w:val="22"/>
          <w:highlight w:val="none"/>
          <w:lang w:val="en-US" w:eastAsia="zh-CN"/>
        </w:rPr>
        <w:t>的</w:t>
      </w:r>
      <w:r>
        <w:rPr>
          <w:rFonts w:hint="eastAsia" w:ascii="宋体" w:hAnsi="宋体"/>
          <w:bCs/>
          <w:color w:val="auto"/>
          <w:sz w:val="22"/>
          <w:szCs w:val="22"/>
          <w:highlight w:val="none"/>
          <w:lang w:val="en-US" w:eastAsia="zh-CN"/>
        </w:rPr>
        <w:t>渗滤液</w:t>
      </w:r>
      <w:r>
        <w:rPr>
          <w:rFonts w:hint="eastAsia" w:ascii="宋体" w:hAnsi="宋体" w:eastAsia="宋体"/>
          <w:bCs/>
          <w:color w:val="auto"/>
          <w:sz w:val="22"/>
          <w:szCs w:val="22"/>
          <w:highlight w:val="none"/>
          <w:lang w:val="en-US" w:eastAsia="zh-CN"/>
        </w:rPr>
        <w:t>运输至</w:t>
      </w:r>
      <w:r>
        <w:rPr>
          <w:rFonts w:hint="eastAsia" w:ascii="宋体" w:hAnsi="宋体"/>
          <w:bCs/>
          <w:color w:val="auto"/>
          <w:sz w:val="22"/>
          <w:szCs w:val="22"/>
          <w:highlight w:val="none"/>
          <w:lang w:val="en-US" w:eastAsia="zh-CN"/>
        </w:rPr>
        <w:t>投标时承诺处置单位</w:t>
      </w:r>
      <w:r>
        <w:rPr>
          <w:rFonts w:hint="eastAsia" w:ascii="宋体" w:hAnsi="宋体" w:eastAsia="宋体"/>
          <w:bCs/>
          <w:color w:val="auto"/>
          <w:sz w:val="22"/>
          <w:szCs w:val="22"/>
          <w:highlight w:val="none"/>
          <w:lang w:val="en-US" w:eastAsia="zh-CN"/>
        </w:rPr>
        <w:t>进行处置，</w:t>
      </w:r>
      <w:r>
        <w:rPr>
          <w:rFonts w:hint="eastAsia" w:ascii="宋体" w:hAnsi="宋体"/>
          <w:bCs/>
          <w:color w:val="auto"/>
          <w:sz w:val="22"/>
          <w:szCs w:val="22"/>
          <w:highlight w:val="none"/>
          <w:lang w:val="en-US" w:eastAsia="zh-CN"/>
        </w:rPr>
        <w:t>渗滤液</w:t>
      </w:r>
      <w:r>
        <w:rPr>
          <w:rFonts w:hint="eastAsia" w:ascii="宋体" w:hAnsi="宋体" w:eastAsia="宋体"/>
          <w:bCs/>
          <w:color w:val="auto"/>
          <w:sz w:val="22"/>
          <w:szCs w:val="22"/>
          <w:highlight w:val="none"/>
          <w:lang w:val="en-US" w:eastAsia="zh-CN"/>
        </w:rPr>
        <w:t>的装卸、处置及</w:t>
      </w:r>
      <w:r>
        <w:rPr>
          <w:rFonts w:hint="eastAsia" w:ascii="宋体" w:hAnsi="宋体"/>
          <w:bCs/>
          <w:color w:val="auto"/>
          <w:sz w:val="22"/>
          <w:szCs w:val="22"/>
          <w:highlight w:val="none"/>
          <w:lang w:val="en-US" w:eastAsia="zh-CN"/>
        </w:rPr>
        <w:t>收集</w:t>
      </w:r>
      <w:r>
        <w:rPr>
          <w:rFonts w:hint="eastAsia" w:ascii="宋体" w:hAnsi="宋体" w:eastAsia="宋体"/>
          <w:bCs/>
          <w:color w:val="auto"/>
          <w:sz w:val="22"/>
          <w:szCs w:val="22"/>
          <w:highlight w:val="none"/>
          <w:lang w:val="en-US" w:eastAsia="zh-CN"/>
        </w:rPr>
        <w:t>池的清理均由中标单位负责，须考虑在报价内。</w:t>
      </w:r>
    </w:p>
    <w:p w14:paraId="249C5FF5">
      <w:pPr>
        <w:keepNext w:val="0"/>
        <w:keepLines w:val="0"/>
        <w:pageBreakBefore w:val="0"/>
        <w:numPr>
          <w:ilvl w:val="0"/>
          <w:numId w:val="0"/>
        </w:numPr>
        <w:kinsoku/>
        <w:wordWrap/>
        <w:overflowPunct/>
        <w:topLinePunct w:val="0"/>
        <w:autoSpaceDE/>
        <w:autoSpaceDN/>
        <w:bidi w:val="0"/>
        <w:spacing w:line="600" w:lineRule="exact"/>
        <w:ind w:firstLine="440" w:firstLineChars="200"/>
        <w:textAlignment w:val="auto"/>
        <w:rPr>
          <w:rFonts w:hint="eastAsia" w:ascii="宋体" w:hAnsi="宋体" w:eastAsia="宋体"/>
          <w:bCs/>
          <w:color w:val="auto"/>
          <w:sz w:val="22"/>
          <w:szCs w:val="22"/>
          <w:highlight w:val="none"/>
          <w:lang w:val="en-US" w:eastAsia="zh-CN"/>
        </w:rPr>
      </w:pPr>
      <w:r>
        <w:rPr>
          <w:rFonts w:hint="eastAsia" w:ascii="宋体" w:hAnsi="宋体" w:eastAsia="宋体"/>
          <w:bCs/>
          <w:color w:val="auto"/>
          <w:sz w:val="22"/>
          <w:szCs w:val="22"/>
          <w:highlight w:val="none"/>
          <w:lang w:val="en-US" w:eastAsia="zh-CN"/>
        </w:rPr>
        <w:t>2、使用的运输车辆（工具）必须符合国家及常山县有关规定和行业要求；证照手续齐全，驾驶员必须经过培训持证上岗，车辆不得运输与</w:t>
      </w:r>
      <w:r>
        <w:rPr>
          <w:rFonts w:hint="eastAsia" w:ascii="宋体" w:hAnsi="宋体"/>
          <w:bCs/>
          <w:color w:val="auto"/>
          <w:sz w:val="22"/>
          <w:szCs w:val="22"/>
          <w:highlight w:val="none"/>
          <w:lang w:val="en-US" w:eastAsia="zh-CN"/>
        </w:rPr>
        <w:t>采购单位</w:t>
      </w:r>
      <w:r>
        <w:rPr>
          <w:rFonts w:hint="eastAsia" w:ascii="宋体" w:hAnsi="宋体" w:eastAsia="宋体"/>
          <w:bCs/>
          <w:color w:val="auto"/>
          <w:sz w:val="22"/>
          <w:szCs w:val="22"/>
          <w:highlight w:val="none"/>
          <w:lang w:val="en-US" w:eastAsia="zh-CN"/>
        </w:rPr>
        <w:t>指定</w:t>
      </w:r>
      <w:r>
        <w:rPr>
          <w:rFonts w:hint="eastAsia" w:ascii="宋体" w:hAnsi="宋体"/>
          <w:bCs/>
          <w:color w:val="auto"/>
          <w:sz w:val="22"/>
          <w:szCs w:val="22"/>
          <w:highlight w:val="none"/>
          <w:lang w:val="en-US" w:eastAsia="zh-CN"/>
        </w:rPr>
        <w:t>渗滤液</w:t>
      </w:r>
      <w:r>
        <w:rPr>
          <w:rFonts w:hint="eastAsia" w:ascii="宋体" w:hAnsi="宋体" w:eastAsia="宋体"/>
          <w:bCs/>
          <w:color w:val="auto"/>
          <w:sz w:val="22"/>
          <w:szCs w:val="22"/>
          <w:highlight w:val="none"/>
          <w:lang w:val="en-US" w:eastAsia="zh-CN"/>
        </w:rPr>
        <w:t>不相符的其他物品。</w:t>
      </w:r>
    </w:p>
    <w:p w14:paraId="6E831C42">
      <w:pPr>
        <w:keepNext w:val="0"/>
        <w:keepLines w:val="0"/>
        <w:pageBreakBefore w:val="0"/>
        <w:numPr>
          <w:ilvl w:val="0"/>
          <w:numId w:val="0"/>
        </w:numPr>
        <w:kinsoku/>
        <w:wordWrap/>
        <w:overflowPunct/>
        <w:topLinePunct w:val="0"/>
        <w:autoSpaceDE/>
        <w:autoSpaceDN/>
        <w:bidi w:val="0"/>
        <w:spacing w:line="600" w:lineRule="exact"/>
        <w:ind w:firstLine="440" w:firstLineChars="200"/>
        <w:textAlignment w:val="auto"/>
        <w:rPr>
          <w:rFonts w:hint="default" w:ascii="宋体" w:hAnsi="宋体" w:eastAsia="宋体"/>
          <w:bCs/>
          <w:color w:val="auto"/>
          <w:sz w:val="22"/>
          <w:szCs w:val="22"/>
          <w:highlight w:val="none"/>
          <w:lang w:val="en-US" w:eastAsia="zh-CN"/>
        </w:rPr>
      </w:pPr>
      <w:r>
        <w:rPr>
          <w:rFonts w:hint="eastAsia" w:ascii="宋体" w:hAnsi="宋体" w:eastAsia="宋体"/>
          <w:bCs/>
          <w:color w:val="auto"/>
          <w:sz w:val="22"/>
          <w:szCs w:val="22"/>
          <w:highlight w:val="none"/>
          <w:lang w:val="en-US" w:eastAsia="zh-CN"/>
        </w:rPr>
        <w:t xml:space="preserve">3、 </w:t>
      </w:r>
      <w:r>
        <w:rPr>
          <w:rFonts w:hint="default" w:ascii="宋体" w:hAnsi="宋体" w:eastAsia="宋体"/>
          <w:bCs/>
          <w:color w:val="auto"/>
          <w:sz w:val="22"/>
          <w:szCs w:val="22"/>
          <w:highlight w:val="none"/>
          <w:lang w:val="en-US" w:eastAsia="zh-CN"/>
        </w:rPr>
        <w:t>运输车辆必须按照法定要求合法、文明、安全进行</w:t>
      </w:r>
      <w:r>
        <w:rPr>
          <w:rFonts w:hint="eastAsia" w:ascii="宋体" w:hAnsi="宋体"/>
          <w:bCs/>
          <w:color w:val="auto"/>
          <w:sz w:val="22"/>
          <w:szCs w:val="22"/>
          <w:highlight w:val="none"/>
          <w:lang w:val="en-US" w:eastAsia="zh-CN"/>
        </w:rPr>
        <w:t>渗滤液</w:t>
      </w:r>
      <w:r>
        <w:rPr>
          <w:rFonts w:hint="default" w:ascii="宋体" w:hAnsi="宋体" w:eastAsia="宋体"/>
          <w:bCs/>
          <w:color w:val="auto"/>
          <w:sz w:val="22"/>
          <w:szCs w:val="22"/>
          <w:highlight w:val="none"/>
          <w:lang w:val="en-US" w:eastAsia="zh-CN"/>
        </w:rPr>
        <w:t>的装车和运输，不得将</w:t>
      </w:r>
      <w:r>
        <w:rPr>
          <w:rFonts w:hint="eastAsia" w:ascii="宋体" w:hAnsi="宋体"/>
          <w:bCs/>
          <w:color w:val="auto"/>
          <w:sz w:val="22"/>
          <w:szCs w:val="22"/>
          <w:highlight w:val="none"/>
          <w:lang w:val="en-US" w:eastAsia="zh-CN"/>
        </w:rPr>
        <w:t>渗滤液倾倒</w:t>
      </w:r>
      <w:r>
        <w:rPr>
          <w:rFonts w:hint="default" w:ascii="宋体" w:hAnsi="宋体" w:eastAsia="宋体"/>
          <w:bCs/>
          <w:color w:val="auto"/>
          <w:sz w:val="22"/>
          <w:szCs w:val="22"/>
          <w:highlight w:val="none"/>
          <w:lang w:val="en-US" w:eastAsia="zh-CN"/>
        </w:rPr>
        <w:t>至</w:t>
      </w:r>
      <w:r>
        <w:rPr>
          <w:rFonts w:hint="eastAsia" w:ascii="宋体" w:hAnsi="宋体"/>
          <w:bCs/>
          <w:color w:val="auto"/>
          <w:sz w:val="22"/>
          <w:szCs w:val="22"/>
          <w:highlight w:val="none"/>
          <w:lang w:val="en-US" w:eastAsia="zh-CN"/>
        </w:rPr>
        <w:t>投标时承诺</w:t>
      </w:r>
      <w:r>
        <w:rPr>
          <w:rFonts w:hint="default" w:ascii="宋体" w:hAnsi="宋体" w:eastAsia="宋体"/>
          <w:bCs/>
          <w:color w:val="auto"/>
          <w:sz w:val="22"/>
          <w:szCs w:val="22"/>
          <w:highlight w:val="none"/>
          <w:lang w:val="en-US" w:eastAsia="zh-CN"/>
        </w:rPr>
        <w:t>处置场地以外的其他地点，在运输途中应杜绝跑、冒、滴、洒、漏，如乱排、乱倒或洒漏运输物品，一切责任由</w:t>
      </w:r>
      <w:r>
        <w:rPr>
          <w:rFonts w:hint="eastAsia" w:ascii="宋体" w:hAnsi="宋体" w:eastAsia="宋体"/>
          <w:bCs/>
          <w:color w:val="auto"/>
          <w:sz w:val="22"/>
          <w:szCs w:val="22"/>
          <w:highlight w:val="none"/>
          <w:lang w:val="en-US" w:eastAsia="zh-CN"/>
        </w:rPr>
        <w:t>中标单位</w:t>
      </w:r>
      <w:r>
        <w:rPr>
          <w:rFonts w:hint="default" w:ascii="宋体" w:hAnsi="宋体" w:eastAsia="宋体"/>
          <w:bCs/>
          <w:color w:val="auto"/>
          <w:sz w:val="22"/>
          <w:szCs w:val="22"/>
          <w:highlight w:val="none"/>
          <w:lang w:val="en-US" w:eastAsia="zh-CN"/>
        </w:rPr>
        <w:t>承担。</w:t>
      </w:r>
    </w:p>
    <w:p w14:paraId="524B3A05">
      <w:pPr>
        <w:keepNext w:val="0"/>
        <w:keepLines w:val="0"/>
        <w:pageBreakBefore w:val="0"/>
        <w:numPr>
          <w:ilvl w:val="0"/>
          <w:numId w:val="0"/>
        </w:numPr>
        <w:kinsoku/>
        <w:wordWrap/>
        <w:overflowPunct/>
        <w:topLinePunct w:val="0"/>
        <w:autoSpaceDE/>
        <w:autoSpaceDN/>
        <w:bidi w:val="0"/>
        <w:spacing w:line="600" w:lineRule="exact"/>
        <w:ind w:firstLine="440" w:firstLineChars="200"/>
        <w:textAlignment w:val="auto"/>
        <w:rPr>
          <w:rFonts w:hint="default" w:ascii="宋体" w:hAnsi="宋体" w:eastAsia="宋体"/>
          <w:bCs/>
          <w:color w:val="auto"/>
          <w:sz w:val="22"/>
          <w:szCs w:val="22"/>
          <w:highlight w:val="none"/>
          <w:lang w:val="en-US" w:eastAsia="zh-CN"/>
        </w:rPr>
      </w:pPr>
      <w:r>
        <w:rPr>
          <w:rFonts w:hint="eastAsia" w:ascii="宋体" w:hAnsi="宋体" w:eastAsia="宋体"/>
          <w:bCs/>
          <w:color w:val="auto"/>
          <w:sz w:val="22"/>
          <w:szCs w:val="22"/>
          <w:highlight w:val="none"/>
          <w:lang w:val="en-US" w:eastAsia="zh-CN"/>
        </w:rPr>
        <w:t>4、</w:t>
      </w:r>
      <w:r>
        <w:rPr>
          <w:rFonts w:hint="eastAsia" w:ascii="宋体" w:hAnsi="宋体"/>
          <w:bCs/>
          <w:color w:val="auto"/>
          <w:sz w:val="22"/>
          <w:szCs w:val="22"/>
          <w:highlight w:val="none"/>
          <w:lang w:val="en-US" w:eastAsia="zh-CN"/>
        </w:rPr>
        <w:t>渗滤液</w:t>
      </w:r>
      <w:r>
        <w:rPr>
          <w:rFonts w:hint="default" w:ascii="宋体" w:hAnsi="宋体" w:eastAsia="宋体"/>
          <w:bCs/>
          <w:color w:val="auto"/>
          <w:sz w:val="22"/>
          <w:szCs w:val="22"/>
          <w:highlight w:val="none"/>
          <w:lang w:val="en-US" w:eastAsia="zh-CN"/>
        </w:rPr>
        <w:t>运送时间由</w:t>
      </w:r>
      <w:r>
        <w:rPr>
          <w:rFonts w:hint="eastAsia" w:ascii="宋体" w:hAnsi="宋体"/>
          <w:bCs/>
          <w:color w:val="auto"/>
          <w:sz w:val="22"/>
          <w:szCs w:val="22"/>
          <w:highlight w:val="none"/>
          <w:lang w:val="en-US" w:eastAsia="zh-CN"/>
        </w:rPr>
        <w:t>采购单位</w:t>
      </w:r>
      <w:r>
        <w:rPr>
          <w:rFonts w:hint="default" w:ascii="宋体" w:hAnsi="宋体" w:eastAsia="宋体"/>
          <w:bCs/>
          <w:color w:val="auto"/>
          <w:sz w:val="22"/>
          <w:szCs w:val="22"/>
          <w:highlight w:val="none"/>
          <w:lang w:val="en-US" w:eastAsia="zh-CN"/>
        </w:rPr>
        <w:t>指定。如运输车辆因故(如车辆检修等)无法运送废水的，需提前书面通知</w:t>
      </w:r>
      <w:r>
        <w:rPr>
          <w:rFonts w:hint="eastAsia" w:ascii="宋体" w:hAnsi="宋体"/>
          <w:bCs/>
          <w:color w:val="auto"/>
          <w:sz w:val="22"/>
          <w:szCs w:val="22"/>
          <w:highlight w:val="none"/>
          <w:lang w:val="en-US" w:eastAsia="zh-CN"/>
        </w:rPr>
        <w:t>采购单位</w:t>
      </w:r>
      <w:r>
        <w:rPr>
          <w:rFonts w:hint="default" w:ascii="宋体" w:hAnsi="宋体" w:eastAsia="宋体"/>
          <w:bCs/>
          <w:color w:val="auto"/>
          <w:sz w:val="22"/>
          <w:szCs w:val="22"/>
          <w:highlight w:val="none"/>
          <w:lang w:val="en-US" w:eastAsia="zh-CN"/>
        </w:rPr>
        <w:t>，便于</w:t>
      </w:r>
      <w:r>
        <w:rPr>
          <w:rFonts w:hint="eastAsia" w:ascii="宋体" w:hAnsi="宋体"/>
          <w:bCs/>
          <w:color w:val="auto"/>
          <w:sz w:val="22"/>
          <w:szCs w:val="22"/>
          <w:highlight w:val="none"/>
          <w:lang w:val="en-US" w:eastAsia="zh-CN"/>
        </w:rPr>
        <w:t>采购单位</w:t>
      </w:r>
      <w:r>
        <w:rPr>
          <w:rFonts w:hint="default" w:ascii="宋体" w:hAnsi="宋体" w:eastAsia="宋体"/>
          <w:bCs/>
          <w:color w:val="auto"/>
          <w:sz w:val="22"/>
          <w:szCs w:val="22"/>
          <w:highlight w:val="none"/>
          <w:lang w:val="en-US" w:eastAsia="zh-CN"/>
        </w:rPr>
        <w:t>提前进行相关调整。若因</w:t>
      </w:r>
      <w:r>
        <w:rPr>
          <w:rFonts w:hint="eastAsia" w:ascii="宋体" w:hAnsi="宋体" w:eastAsia="宋体"/>
          <w:bCs/>
          <w:color w:val="auto"/>
          <w:sz w:val="22"/>
          <w:szCs w:val="22"/>
          <w:highlight w:val="none"/>
          <w:lang w:val="en-US" w:eastAsia="zh-CN"/>
        </w:rPr>
        <w:t>中标单位</w:t>
      </w:r>
      <w:r>
        <w:rPr>
          <w:rFonts w:hint="default" w:ascii="宋体" w:hAnsi="宋体" w:eastAsia="宋体"/>
          <w:bCs/>
          <w:color w:val="auto"/>
          <w:sz w:val="22"/>
          <w:szCs w:val="22"/>
          <w:highlight w:val="none"/>
          <w:lang w:val="en-US" w:eastAsia="zh-CN"/>
        </w:rPr>
        <w:t>未及时告知无法运送废水，给</w:t>
      </w:r>
      <w:r>
        <w:rPr>
          <w:rFonts w:hint="eastAsia" w:ascii="宋体" w:hAnsi="宋体"/>
          <w:bCs/>
          <w:color w:val="auto"/>
          <w:sz w:val="22"/>
          <w:szCs w:val="22"/>
          <w:highlight w:val="none"/>
          <w:lang w:val="en-US" w:eastAsia="zh-CN"/>
        </w:rPr>
        <w:t>采购单位</w:t>
      </w:r>
      <w:r>
        <w:rPr>
          <w:rFonts w:hint="default" w:ascii="宋体" w:hAnsi="宋体" w:eastAsia="宋体"/>
          <w:bCs/>
          <w:color w:val="auto"/>
          <w:sz w:val="22"/>
          <w:szCs w:val="22"/>
          <w:highlight w:val="none"/>
          <w:lang w:val="en-US" w:eastAsia="zh-CN"/>
        </w:rPr>
        <w:t>带来损失的，</w:t>
      </w:r>
      <w:r>
        <w:rPr>
          <w:rFonts w:hint="eastAsia" w:ascii="宋体" w:hAnsi="宋体" w:eastAsia="宋体"/>
          <w:bCs/>
          <w:color w:val="auto"/>
          <w:sz w:val="22"/>
          <w:szCs w:val="22"/>
          <w:highlight w:val="none"/>
          <w:lang w:val="en-US" w:eastAsia="zh-CN"/>
        </w:rPr>
        <w:t>中标单位</w:t>
      </w:r>
      <w:r>
        <w:rPr>
          <w:rFonts w:hint="default" w:ascii="宋体" w:hAnsi="宋体" w:eastAsia="宋体"/>
          <w:bCs/>
          <w:color w:val="auto"/>
          <w:sz w:val="22"/>
          <w:szCs w:val="22"/>
          <w:highlight w:val="none"/>
          <w:lang w:val="en-US" w:eastAsia="zh-CN"/>
        </w:rPr>
        <w:t>应当承担违约责任和赔偿责任。</w:t>
      </w:r>
    </w:p>
    <w:p w14:paraId="57ADCF0C">
      <w:pPr>
        <w:keepNext w:val="0"/>
        <w:keepLines w:val="0"/>
        <w:pageBreakBefore w:val="0"/>
        <w:numPr>
          <w:ilvl w:val="0"/>
          <w:numId w:val="0"/>
        </w:numPr>
        <w:kinsoku/>
        <w:wordWrap/>
        <w:overflowPunct/>
        <w:topLinePunct w:val="0"/>
        <w:autoSpaceDE/>
        <w:autoSpaceDN/>
        <w:bidi w:val="0"/>
        <w:spacing w:line="600" w:lineRule="exact"/>
        <w:ind w:firstLine="440" w:firstLineChars="200"/>
        <w:textAlignment w:val="auto"/>
        <w:rPr>
          <w:rFonts w:hint="default" w:ascii="宋体" w:hAnsi="宋体" w:eastAsia="宋体"/>
          <w:bCs/>
          <w:color w:val="auto"/>
          <w:sz w:val="22"/>
          <w:szCs w:val="22"/>
          <w:highlight w:val="none"/>
          <w:lang w:val="en-US" w:eastAsia="zh-CN"/>
        </w:rPr>
      </w:pPr>
      <w:r>
        <w:rPr>
          <w:rFonts w:hint="eastAsia" w:ascii="宋体" w:hAnsi="宋体" w:eastAsia="宋体"/>
          <w:bCs/>
          <w:color w:val="auto"/>
          <w:sz w:val="22"/>
          <w:szCs w:val="22"/>
          <w:highlight w:val="none"/>
          <w:lang w:val="en-US" w:eastAsia="zh-CN"/>
        </w:rPr>
        <w:t>5、</w:t>
      </w:r>
      <w:r>
        <w:rPr>
          <w:rFonts w:hint="default" w:ascii="宋体" w:hAnsi="宋体" w:eastAsia="宋体"/>
          <w:bCs/>
          <w:color w:val="auto"/>
          <w:sz w:val="22"/>
          <w:szCs w:val="22"/>
          <w:highlight w:val="none"/>
          <w:lang w:val="en-US" w:eastAsia="zh-CN"/>
        </w:rPr>
        <w:t>运输车辆(工具)必须将</w:t>
      </w:r>
      <w:r>
        <w:rPr>
          <w:rFonts w:hint="eastAsia" w:ascii="宋体" w:hAnsi="宋体"/>
          <w:bCs/>
          <w:color w:val="auto"/>
          <w:sz w:val="22"/>
          <w:szCs w:val="22"/>
          <w:highlight w:val="none"/>
          <w:lang w:val="en-US" w:eastAsia="zh-CN"/>
        </w:rPr>
        <w:t>渗滤液运往投标时承诺</w:t>
      </w:r>
      <w:r>
        <w:rPr>
          <w:rFonts w:hint="default" w:ascii="宋体" w:hAnsi="宋体" w:eastAsia="宋体"/>
          <w:bCs/>
          <w:color w:val="auto"/>
          <w:sz w:val="22"/>
          <w:szCs w:val="22"/>
          <w:highlight w:val="none"/>
          <w:lang w:val="en-US" w:eastAsia="zh-CN"/>
        </w:rPr>
        <w:t>处置场地放尽并清理干净方可返回，否则不能离开，</w:t>
      </w:r>
      <w:r>
        <w:rPr>
          <w:rFonts w:hint="eastAsia" w:ascii="宋体" w:hAnsi="宋体"/>
          <w:bCs/>
          <w:color w:val="auto"/>
          <w:sz w:val="22"/>
          <w:szCs w:val="22"/>
          <w:highlight w:val="none"/>
          <w:lang w:val="en-US" w:eastAsia="zh-CN"/>
        </w:rPr>
        <w:t>采购单位</w:t>
      </w:r>
      <w:r>
        <w:rPr>
          <w:rFonts w:hint="default" w:ascii="宋体" w:hAnsi="宋体" w:eastAsia="宋体"/>
          <w:bCs/>
          <w:color w:val="auto"/>
          <w:sz w:val="22"/>
          <w:szCs w:val="22"/>
          <w:highlight w:val="none"/>
          <w:lang w:val="en-US" w:eastAsia="zh-CN"/>
        </w:rPr>
        <w:t>把此项作为对</w:t>
      </w:r>
      <w:r>
        <w:rPr>
          <w:rFonts w:hint="eastAsia" w:ascii="宋体" w:hAnsi="宋体"/>
          <w:bCs/>
          <w:color w:val="auto"/>
          <w:sz w:val="22"/>
          <w:szCs w:val="22"/>
          <w:highlight w:val="none"/>
          <w:lang w:val="en-US" w:eastAsia="zh-CN"/>
        </w:rPr>
        <w:t>中标单位</w:t>
      </w:r>
      <w:r>
        <w:rPr>
          <w:rFonts w:hint="default" w:ascii="宋体" w:hAnsi="宋体" w:eastAsia="宋体"/>
          <w:bCs/>
          <w:color w:val="auto"/>
          <w:sz w:val="22"/>
          <w:szCs w:val="22"/>
          <w:highlight w:val="none"/>
          <w:lang w:val="en-US" w:eastAsia="zh-CN"/>
        </w:rPr>
        <w:t>的考核。</w:t>
      </w:r>
      <w:r>
        <w:rPr>
          <w:rFonts w:hint="eastAsia" w:ascii="宋体" w:hAnsi="宋体"/>
          <w:bCs/>
          <w:color w:val="auto"/>
          <w:sz w:val="22"/>
          <w:szCs w:val="22"/>
          <w:highlight w:val="none"/>
          <w:lang w:val="en-US" w:eastAsia="zh-CN"/>
        </w:rPr>
        <w:t>中标单位</w:t>
      </w:r>
      <w:r>
        <w:rPr>
          <w:rFonts w:hint="default" w:ascii="宋体" w:hAnsi="宋体" w:eastAsia="宋体"/>
          <w:bCs/>
          <w:color w:val="auto"/>
          <w:sz w:val="22"/>
          <w:szCs w:val="22"/>
          <w:highlight w:val="none"/>
          <w:lang w:val="en-US" w:eastAsia="zh-CN"/>
        </w:rPr>
        <w:t>考核若不合格，</w:t>
      </w:r>
      <w:r>
        <w:rPr>
          <w:rFonts w:hint="eastAsia" w:ascii="宋体" w:hAnsi="宋体"/>
          <w:bCs/>
          <w:color w:val="auto"/>
          <w:sz w:val="22"/>
          <w:szCs w:val="22"/>
          <w:highlight w:val="none"/>
          <w:lang w:val="en-US" w:eastAsia="zh-CN"/>
        </w:rPr>
        <w:t>采购单位</w:t>
      </w:r>
      <w:r>
        <w:rPr>
          <w:rFonts w:hint="default" w:ascii="宋体" w:hAnsi="宋体" w:eastAsia="宋体"/>
          <w:bCs/>
          <w:color w:val="auto"/>
          <w:sz w:val="22"/>
          <w:szCs w:val="22"/>
          <w:highlight w:val="none"/>
          <w:lang w:val="en-US" w:eastAsia="zh-CN"/>
        </w:rPr>
        <w:t>可解除本合同。</w:t>
      </w:r>
    </w:p>
    <w:p w14:paraId="3E657676">
      <w:pPr>
        <w:keepNext w:val="0"/>
        <w:keepLines w:val="0"/>
        <w:pageBreakBefore w:val="0"/>
        <w:numPr>
          <w:ilvl w:val="0"/>
          <w:numId w:val="0"/>
        </w:numPr>
        <w:kinsoku/>
        <w:wordWrap/>
        <w:overflowPunct/>
        <w:topLinePunct w:val="0"/>
        <w:autoSpaceDE/>
        <w:autoSpaceDN/>
        <w:bidi w:val="0"/>
        <w:spacing w:line="600" w:lineRule="exact"/>
        <w:ind w:firstLine="440" w:firstLineChars="200"/>
        <w:textAlignment w:val="auto"/>
        <w:rPr>
          <w:rFonts w:hint="default" w:ascii="宋体" w:hAnsi="宋体" w:eastAsia="宋体"/>
          <w:bCs/>
          <w:color w:val="auto"/>
          <w:sz w:val="22"/>
          <w:szCs w:val="22"/>
          <w:highlight w:val="none"/>
          <w:lang w:val="en-US" w:eastAsia="zh-CN"/>
        </w:rPr>
      </w:pPr>
      <w:r>
        <w:rPr>
          <w:rFonts w:hint="eastAsia" w:ascii="宋体" w:hAnsi="宋体" w:eastAsia="宋体"/>
          <w:bCs/>
          <w:color w:val="auto"/>
          <w:sz w:val="22"/>
          <w:szCs w:val="22"/>
          <w:highlight w:val="none"/>
          <w:lang w:val="en-US" w:eastAsia="zh-CN"/>
        </w:rPr>
        <w:t>6、定期</w:t>
      </w:r>
      <w:r>
        <w:rPr>
          <w:rFonts w:hint="default" w:ascii="宋体" w:hAnsi="宋体" w:eastAsia="宋体"/>
          <w:bCs/>
          <w:color w:val="auto"/>
          <w:sz w:val="22"/>
          <w:szCs w:val="22"/>
          <w:highlight w:val="none"/>
          <w:lang w:val="en-US" w:eastAsia="zh-CN"/>
        </w:rPr>
        <w:t>对驾驶员进行安全教育，并严格要求驾驶员和运输车辆执行</w:t>
      </w:r>
      <w:r>
        <w:rPr>
          <w:rFonts w:hint="eastAsia" w:ascii="宋体" w:hAnsi="宋体"/>
          <w:bCs/>
          <w:color w:val="auto"/>
          <w:sz w:val="22"/>
          <w:szCs w:val="22"/>
          <w:highlight w:val="none"/>
          <w:lang w:val="en-US" w:eastAsia="zh-CN"/>
        </w:rPr>
        <w:t>采购单位</w:t>
      </w:r>
      <w:r>
        <w:rPr>
          <w:rFonts w:hint="default" w:ascii="宋体" w:hAnsi="宋体" w:eastAsia="宋体"/>
          <w:bCs/>
          <w:color w:val="auto"/>
          <w:sz w:val="22"/>
          <w:szCs w:val="22"/>
          <w:highlight w:val="none"/>
          <w:lang w:val="en-US" w:eastAsia="zh-CN"/>
        </w:rPr>
        <w:t>指定的《</w:t>
      </w:r>
      <w:r>
        <w:rPr>
          <w:rFonts w:hint="eastAsia" w:ascii="宋体" w:hAnsi="宋体"/>
          <w:bCs/>
          <w:color w:val="auto"/>
          <w:sz w:val="22"/>
          <w:szCs w:val="22"/>
          <w:highlight w:val="none"/>
          <w:lang w:val="en-US" w:eastAsia="zh-CN"/>
        </w:rPr>
        <w:t>渗滤液操作规定</w:t>
      </w:r>
      <w:r>
        <w:rPr>
          <w:rFonts w:hint="default" w:ascii="宋体" w:hAnsi="宋体" w:eastAsia="宋体"/>
          <w:bCs/>
          <w:color w:val="auto"/>
          <w:sz w:val="22"/>
          <w:szCs w:val="22"/>
          <w:highlight w:val="none"/>
          <w:lang w:val="en-US" w:eastAsia="zh-CN"/>
        </w:rPr>
        <w:t>》和其他各项管理规章制度。若工作人员未能按照政策要求进行操作的，造成人身伤害的民事责任及行政处罚等责任，均由</w:t>
      </w:r>
      <w:r>
        <w:rPr>
          <w:rFonts w:hint="eastAsia" w:ascii="宋体" w:hAnsi="宋体" w:eastAsia="宋体"/>
          <w:bCs/>
          <w:color w:val="auto"/>
          <w:sz w:val="22"/>
          <w:szCs w:val="22"/>
          <w:highlight w:val="none"/>
          <w:lang w:val="en-US" w:eastAsia="zh-CN"/>
        </w:rPr>
        <w:t>中标单位</w:t>
      </w:r>
      <w:r>
        <w:rPr>
          <w:rFonts w:hint="default" w:ascii="宋体" w:hAnsi="宋体" w:eastAsia="宋体"/>
          <w:bCs/>
          <w:color w:val="auto"/>
          <w:sz w:val="22"/>
          <w:szCs w:val="22"/>
          <w:highlight w:val="none"/>
          <w:lang w:val="en-US" w:eastAsia="zh-CN"/>
        </w:rPr>
        <w:t>独自承担。</w:t>
      </w:r>
    </w:p>
    <w:p w14:paraId="3E7B1373">
      <w:pPr>
        <w:keepNext w:val="0"/>
        <w:keepLines w:val="0"/>
        <w:pageBreakBefore w:val="0"/>
        <w:numPr>
          <w:ilvl w:val="0"/>
          <w:numId w:val="0"/>
        </w:numPr>
        <w:kinsoku/>
        <w:wordWrap/>
        <w:overflowPunct/>
        <w:topLinePunct w:val="0"/>
        <w:autoSpaceDE/>
        <w:autoSpaceDN/>
        <w:bidi w:val="0"/>
        <w:spacing w:line="600" w:lineRule="exact"/>
        <w:ind w:firstLine="440" w:firstLineChars="200"/>
        <w:textAlignment w:val="auto"/>
        <w:rPr>
          <w:rFonts w:hint="default" w:ascii="宋体" w:hAnsi="宋体" w:eastAsia="宋体"/>
          <w:bCs/>
          <w:color w:val="auto"/>
          <w:sz w:val="22"/>
          <w:szCs w:val="22"/>
          <w:highlight w:val="none"/>
          <w:lang w:val="en-US" w:eastAsia="zh-CN"/>
        </w:rPr>
      </w:pPr>
      <w:r>
        <w:rPr>
          <w:rFonts w:hint="eastAsia" w:ascii="宋体" w:hAnsi="宋体" w:eastAsia="宋体"/>
          <w:bCs/>
          <w:color w:val="auto"/>
          <w:sz w:val="22"/>
          <w:szCs w:val="22"/>
          <w:highlight w:val="none"/>
          <w:lang w:val="en-US" w:eastAsia="zh-CN"/>
        </w:rPr>
        <w:t>7、</w:t>
      </w:r>
      <w:r>
        <w:rPr>
          <w:rFonts w:hint="default" w:ascii="宋体" w:hAnsi="宋体" w:eastAsia="宋体"/>
          <w:bCs/>
          <w:color w:val="auto"/>
          <w:sz w:val="22"/>
          <w:szCs w:val="22"/>
          <w:highlight w:val="none"/>
          <w:lang w:val="en-US" w:eastAsia="zh-CN"/>
        </w:rPr>
        <w:t>协调有关部门，完善</w:t>
      </w:r>
      <w:r>
        <w:rPr>
          <w:rFonts w:hint="eastAsia" w:ascii="宋体" w:hAnsi="宋体"/>
          <w:bCs/>
          <w:color w:val="auto"/>
          <w:sz w:val="22"/>
          <w:szCs w:val="22"/>
          <w:highlight w:val="none"/>
          <w:lang w:val="en-US" w:eastAsia="zh-CN"/>
        </w:rPr>
        <w:t>渗滤液</w:t>
      </w:r>
      <w:r>
        <w:rPr>
          <w:rFonts w:hint="default" w:ascii="宋体" w:hAnsi="宋体" w:eastAsia="宋体"/>
          <w:bCs/>
          <w:color w:val="auto"/>
          <w:sz w:val="22"/>
          <w:szCs w:val="22"/>
          <w:highlight w:val="none"/>
          <w:lang w:val="en-US" w:eastAsia="zh-CN"/>
        </w:rPr>
        <w:t>外运有关手续，不得因</w:t>
      </w:r>
      <w:r>
        <w:rPr>
          <w:rFonts w:hint="eastAsia" w:ascii="宋体" w:hAnsi="宋体"/>
          <w:bCs/>
          <w:color w:val="auto"/>
          <w:sz w:val="22"/>
          <w:szCs w:val="22"/>
          <w:highlight w:val="none"/>
          <w:lang w:val="en-US" w:eastAsia="zh-CN"/>
        </w:rPr>
        <w:t>渗滤液</w:t>
      </w:r>
      <w:r>
        <w:rPr>
          <w:rFonts w:hint="default" w:ascii="宋体" w:hAnsi="宋体" w:eastAsia="宋体"/>
          <w:bCs/>
          <w:color w:val="auto"/>
          <w:sz w:val="22"/>
          <w:szCs w:val="22"/>
          <w:highlight w:val="none"/>
          <w:lang w:val="en-US" w:eastAsia="zh-CN"/>
        </w:rPr>
        <w:t>转运造成相关行政或环保问题，产生一切结果均由</w:t>
      </w:r>
      <w:r>
        <w:rPr>
          <w:rFonts w:hint="eastAsia" w:ascii="宋体" w:hAnsi="宋体" w:eastAsia="宋体"/>
          <w:bCs/>
          <w:color w:val="auto"/>
          <w:sz w:val="22"/>
          <w:szCs w:val="22"/>
          <w:highlight w:val="none"/>
          <w:lang w:val="en-US" w:eastAsia="zh-CN"/>
        </w:rPr>
        <w:t>中标单位</w:t>
      </w:r>
      <w:r>
        <w:rPr>
          <w:rFonts w:hint="default" w:ascii="宋体" w:hAnsi="宋体" w:eastAsia="宋体"/>
          <w:bCs/>
          <w:color w:val="auto"/>
          <w:sz w:val="22"/>
          <w:szCs w:val="22"/>
          <w:highlight w:val="none"/>
          <w:lang w:val="en-US" w:eastAsia="zh-CN"/>
        </w:rPr>
        <w:t>独自承担。</w:t>
      </w:r>
    </w:p>
    <w:p w14:paraId="615F3CD8">
      <w:pPr>
        <w:keepNext w:val="0"/>
        <w:keepLines w:val="0"/>
        <w:pageBreakBefore w:val="0"/>
        <w:numPr>
          <w:ilvl w:val="0"/>
          <w:numId w:val="0"/>
        </w:numPr>
        <w:kinsoku/>
        <w:wordWrap/>
        <w:overflowPunct/>
        <w:topLinePunct w:val="0"/>
        <w:autoSpaceDE/>
        <w:autoSpaceDN/>
        <w:bidi w:val="0"/>
        <w:spacing w:line="600" w:lineRule="exact"/>
        <w:ind w:firstLine="440" w:firstLineChars="200"/>
        <w:textAlignment w:val="auto"/>
        <w:rPr>
          <w:rFonts w:hint="default" w:ascii="宋体" w:hAnsi="宋体" w:eastAsia="宋体"/>
          <w:bCs/>
          <w:color w:val="auto"/>
          <w:sz w:val="22"/>
          <w:szCs w:val="22"/>
          <w:highlight w:val="none"/>
          <w:lang w:val="en-US" w:eastAsia="zh-CN"/>
        </w:rPr>
      </w:pPr>
      <w:r>
        <w:rPr>
          <w:rFonts w:hint="eastAsia" w:ascii="宋体" w:hAnsi="宋体" w:eastAsia="宋体"/>
          <w:bCs/>
          <w:color w:val="auto"/>
          <w:sz w:val="22"/>
          <w:szCs w:val="22"/>
          <w:highlight w:val="none"/>
          <w:lang w:val="en-US" w:eastAsia="zh-CN"/>
        </w:rPr>
        <w:t>8、</w:t>
      </w:r>
      <w:r>
        <w:rPr>
          <w:rFonts w:hint="eastAsia" w:ascii="宋体" w:hAnsi="宋体"/>
          <w:bCs/>
          <w:color w:val="auto"/>
          <w:sz w:val="22"/>
          <w:szCs w:val="22"/>
          <w:highlight w:val="none"/>
          <w:lang w:val="en-US" w:eastAsia="zh-CN"/>
        </w:rPr>
        <w:t>渗滤液</w:t>
      </w:r>
      <w:r>
        <w:rPr>
          <w:rFonts w:hint="default" w:ascii="宋体" w:hAnsi="宋体" w:eastAsia="宋体"/>
          <w:bCs/>
          <w:color w:val="auto"/>
          <w:sz w:val="22"/>
          <w:szCs w:val="22"/>
          <w:highlight w:val="none"/>
          <w:lang w:val="en-US" w:eastAsia="zh-CN"/>
        </w:rPr>
        <w:t>装车前、装车后在</w:t>
      </w:r>
      <w:r>
        <w:rPr>
          <w:rFonts w:hint="eastAsia" w:ascii="宋体" w:hAnsi="宋体"/>
          <w:bCs/>
          <w:color w:val="auto"/>
          <w:sz w:val="22"/>
          <w:szCs w:val="22"/>
          <w:highlight w:val="none"/>
          <w:lang w:val="en-US" w:eastAsia="zh-CN"/>
        </w:rPr>
        <w:t>采购单位</w:t>
      </w:r>
      <w:r>
        <w:rPr>
          <w:rFonts w:hint="default" w:ascii="宋体" w:hAnsi="宋体" w:eastAsia="宋体"/>
          <w:bCs/>
          <w:color w:val="auto"/>
          <w:sz w:val="22"/>
          <w:szCs w:val="22"/>
          <w:highlight w:val="none"/>
          <w:lang w:val="en-US" w:eastAsia="zh-CN"/>
        </w:rPr>
        <w:t>指定的地磅处过磅，过磅数据每日报送，未进行过磅、报送的在费用结算时予以扣除。</w:t>
      </w:r>
    </w:p>
    <w:p w14:paraId="4320BA1F">
      <w:pPr>
        <w:keepNext w:val="0"/>
        <w:keepLines w:val="0"/>
        <w:pageBreakBefore w:val="0"/>
        <w:numPr>
          <w:ilvl w:val="0"/>
          <w:numId w:val="0"/>
        </w:numPr>
        <w:kinsoku/>
        <w:wordWrap/>
        <w:overflowPunct/>
        <w:topLinePunct w:val="0"/>
        <w:autoSpaceDE/>
        <w:autoSpaceDN/>
        <w:bidi w:val="0"/>
        <w:spacing w:line="600" w:lineRule="exact"/>
        <w:ind w:firstLine="440" w:firstLineChars="200"/>
        <w:textAlignment w:val="auto"/>
        <w:rPr>
          <w:rFonts w:hint="default" w:ascii="宋体" w:hAnsi="宋体" w:eastAsia="宋体"/>
          <w:bCs/>
          <w:color w:val="auto"/>
          <w:sz w:val="22"/>
          <w:szCs w:val="22"/>
          <w:highlight w:val="none"/>
          <w:lang w:val="en-US" w:eastAsia="zh-CN"/>
        </w:rPr>
      </w:pPr>
      <w:r>
        <w:rPr>
          <w:rFonts w:hint="eastAsia" w:ascii="宋体" w:hAnsi="宋体" w:eastAsia="宋体"/>
          <w:bCs/>
          <w:color w:val="auto"/>
          <w:sz w:val="22"/>
          <w:szCs w:val="22"/>
          <w:highlight w:val="none"/>
          <w:lang w:val="en-US" w:eastAsia="zh-CN"/>
        </w:rPr>
        <w:t>9、</w:t>
      </w:r>
      <w:r>
        <w:rPr>
          <w:rFonts w:hint="default" w:ascii="宋体" w:hAnsi="宋体" w:eastAsia="宋体"/>
          <w:bCs/>
          <w:color w:val="auto"/>
          <w:sz w:val="22"/>
          <w:szCs w:val="22"/>
          <w:highlight w:val="none"/>
          <w:lang w:val="en-US" w:eastAsia="zh-CN"/>
        </w:rPr>
        <w:t>运输车辆须</w:t>
      </w:r>
      <w:r>
        <w:rPr>
          <w:rFonts w:hint="eastAsia" w:ascii="宋体" w:hAnsi="宋体" w:eastAsia="宋体"/>
          <w:bCs/>
          <w:color w:val="auto"/>
          <w:sz w:val="22"/>
          <w:szCs w:val="22"/>
          <w:highlight w:val="none"/>
          <w:lang w:val="en-US" w:eastAsia="zh-CN"/>
        </w:rPr>
        <w:t>按投标时提供的车辆投入使用</w:t>
      </w:r>
      <w:r>
        <w:rPr>
          <w:rFonts w:hint="default" w:ascii="宋体" w:hAnsi="宋体" w:eastAsia="宋体"/>
          <w:bCs/>
          <w:color w:val="auto"/>
          <w:sz w:val="22"/>
          <w:szCs w:val="22"/>
          <w:highlight w:val="none"/>
          <w:lang w:val="en-US" w:eastAsia="zh-CN"/>
        </w:rPr>
        <w:t>，变更运输车辆需征得</w:t>
      </w:r>
      <w:r>
        <w:rPr>
          <w:rFonts w:hint="eastAsia" w:ascii="宋体" w:hAnsi="宋体"/>
          <w:bCs/>
          <w:color w:val="auto"/>
          <w:sz w:val="22"/>
          <w:szCs w:val="22"/>
          <w:highlight w:val="none"/>
          <w:lang w:val="en-US" w:eastAsia="zh-CN"/>
        </w:rPr>
        <w:t>采购单位</w:t>
      </w:r>
      <w:r>
        <w:rPr>
          <w:rFonts w:hint="default" w:ascii="宋体" w:hAnsi="宋体" w:eastAsia="宋体"/>
          <w:bCs/>
          <w:color w:val="auto"/>
          <w:sz w:val="22"/>
          <w:szCs w:val="22"/>
          <w:highlight w:val="none"/>
          <w:lang w:val="en-US" w:eastAsia="zh-CN"/>
        </w:rPr>
        <w:t>同意。</w:t>
      </w:r>
    </w:p>
    <w:p w14:paraId="4B4B76F9">
      <w:pPr>
        <w:keepNext w:val="0"/>
        <w:keepLines w:val="0"/>
        <w:pageBreakBefore w:val="0"/>
        <w:numPr>
          <w:ilvl w:val="0"/>
          <w:numId w:val="0"/>
        </w:numPr>
        <w:kinsoku/>
        <w:wordWrap/>
        <w:overflowPunct/>
        <w:topLinePunct w:val="0"/>
        <w:autoSpaceDE/>
        <w:autoSpaceDN/>
        <w:bidi w:val="0"/>
        <w:spacing w:line="600" w:lineRule="exact"/>
        <w:ind w:firstLine="440" w:firstLineChars="200"/>
        <w:textAlignment w:val="auto"/>
        <w:rPr>
          <w:rFonts w:hint="default" w:ascii="宋体" w:hAnsi="宋体" w:eastAsia="宋体"/>
          <w:bCs/>
          <w:color w:val="auto"/>
          <w:sz w:val="22"/>
          <w:szCs w:val="22"/>
          <w:highlight w:val="none"/>
          <w:lang w:val="en-US" w:eastAsia="zh-CN"/>
        </w:rPr>
      </w:pPr>
      <w:r>
        <w:rPr>
          <w:rFonts w:hint="eastAsia" w:ascii="宋体" w:hAnsi="宋体" w:eastAsia="宋体"/>
          <w:bCs/>
          <w:color w:val="auto"/>
          <w:sz w:val="22"/>
          <w:szCs w:val="22"/>
          <w:highlight w:val="none"/>
          <w:lang w:val="en-US" w:eastAsia="zh-CN"/>
        </w:rPr>
        <w:t>10、中标单位</w:t>
      </w:r>
      <w:r>
        <w:rPr>
          <w:rFonts w:hint="default" w:ascii="宋体" w:hAnsi="宋体" w:eastAsia="宋体"/>
          <w:bCs/>
          <w:color w:val="auto"/>
          <w:sz w:val="22"/>
          <w:szCs w:val="22"/>
          <w:highlight w:val="none"/>
          <w:lang w:val="en-US" w:eastAsia="zh-CN"/>
        </w:rPr>
        <w:t>在</w:t>
      </w:r>
      <w:r>
        <w:rPr>
          <w:rFonts w:hint="eastAsia" w:ascii="宋体" w:hAnsi="宋体"/>
          <w:bCs/>
          <w:color w:val="auto"/>
          <w:sz w:val="22"/>
          <w:szCs w:val="22"/>
          <w:highlight w:val="none"/>
          <w:lang w:val="en-US" w:eastAsia="zh-CN"/>
        </w:rPr>
        <w:t>采购单位</w:t>
      </w:r>
      <w:r>
        <w:rPr>
          <w:rFonts w:hint="default" w:ascii="宋体" w:hAnsi="宋体" w:eastAsia="宋体"/>
          <w:bCs/>
          <w:color w:val="auto"/>
          <w:sz w:val="22"/>
          <w:szCs w:val="22"/>
          <w:highlight w:val="none"/>
          <w:lang w:val="en-US" w:eastAsia="zh-CN"/>
        </w:rPr>
        <w:t>指定地点进行</w:t>
      </w:r>
      <w:r>
        <w:rPr>
          <w:rFonts w:hint="eastAsia" w:ascii="宋体" w:hAnsi="宋体"/>
          <w:bCs/>
          <w:color w:val="auto"/>
          <w:sz w:val="22"/>
          <w:szCs w:val="22"/>
          <w:highlight w:val="none"/>
          <w:lang w:val="en-US" w:eastAsia="zh-CN"/>
        </w:rPr>
        <w:t>渗滤液</w:t>
      </w:r>
      <w:r>
        <w:rPr>
          <w:rFonts w:hint="default" w:ascii="宋体" w:hAnsi="宋体" w:eastAsia="宋体"/>
          <w:bCs/>
          <w:color w:val="auto"/>
          <w:sz w:val="22"/>
          <w:szCs w:val="22"/>
          <w:highlight w:val="none"/>
          <w:lang w:val="en-US" w:eastAsia="zh-CN"/>
        </w:rPr>
        <w:t>装运时，废水不得在地面残留，负责现场场地的清洗保洁，因</w:t>
      </w:r>
      <w:r>
        <w:rPr>
          <w:rFonts w:hint="eastAsia" w:ascii="宋体" w:hAnsi="宋体" w:eastAsia="宋体"/>
          <w:bCs/>
          <w:color w:val="auto"/>
          <w:sz w:val="22"/>
          <w:szCs w:val="22"/>
          <w:highlight w:val="none"/>
          <w:lang w:val="en-US" w:eastAsia="zh-CN"/>
        </w:rPr>
        <w:t>中标单位</w:t>
      </w:r>
      <w:r>
        <w:rPr>
          <w:rFonts w:hint="default" w:ascii="宋体" w:hAnsi="宋体" w:eastAsia="宋体"/>
          <w:bCs/>
          <w:color w:val="auto"/>
          <w:sz w:val="22"/>
          <w:szCs w:val="22"/>
          <w:highlight w:val="none"/>
          <w:lang w:val="en-US" w:eastAsia="zh-CN"/>
        </w:rPr>
        <w:t>原因致使场地不洁产生的相关责任</w:t>
      </w:r>
      <w:r>
        <w:rPr>
          <w:rFonts w:hint="eastAsia" w:ascii="宋体" w:hAnsi="宋体" w:eastAsia="宋体"/>
          <w:bCs/>
          <w:color w:val="auto"/>
          <w:sz w:val="22"/>
          <w:szCs w:val="22"/>
          <w:highlight w:val="none"/>
          <w:lang w:val="en-US" w:eastAsia="zh-CN"/>
        </w:rPr>
        <w:t>均由中标单位</w:t>
      </w:r>
      <w:r>
        <w:rPr>
          <w:rFonts w:hint="default" w:ascii="宋体" w:hAnsi="宋体" w:eastAsia="宋体"/>
          <w:bCs/>
          <w:color w:val="auto"/>
          <w:sz w:val="22"/>
          <w:szCs w:val="22"/>
          <w:highlight w:val="none"/>
          <w:lang w:val="en-US" w:eastAsia="zh-CN"/>
        </w:rPr>
        <w:t>负责。</w:t>
      </w:r>
    </w:p>
    <w:p w14:paraId="0DCE7777">
      <w:pPr>
        <w:keepNext w:val="0"/>
        <w:keepLines w:val="0"/>
        <w:pageBreakBefore w:val="0"/>
        <w:numPr>
          <w:ilvl w:val="0"/>
          <w:numId w:val="0"/>
        </w:numPr>
        <w:kinsoku/>
        <w:wordWrap/>
        <w:overflowPunct/>
        <w:topLinePunct w:val="0"/>
        <w:autoSpaceDE/>
        <w:autoSpaceDN/>
        <w:bidi w:val="0"/>
        <w:spacing w:line="600" w:lineRule="exact"/>
        <w:ind w:firstLine="440" w:firstLineChars="200"/>
        <w:textAlignment w:val="auto"/>
        <w:rPr>
          <w:rFonts w:hint="default" w:ascii="宋体" w:hAnsi="宋体" w:eastAsia="宋体"/>
          <w:bCs/>
          <w:color w:val="auto"/>
          <w:sz w:val="22"/>
          <w:szCs w:val="22"/>
          <w:highlight w:val="none"/>
          <w:lang w:val="en-US" w:eastAsia="zh-CN"/>
        </w:rPr>
      </w:pPr>
      <w:r>
        <w:rPr>
          <w:rFonts w:hint="eastAsia" w:ascii="宋体" w:hAnsi="宋体" w:eastAsia="宋体"/>
          <w:bCs/>
          <w:color w:val="auto"/>
          <w:sz w:val="22"/>
          <w:szCs w:val="22"/>
          <w:highlight w:val="none"/>
          <w:lang w:val="en-US" w:eastAsia="zh-CN"/>
        </w:rPr>
        <w:t>11、</w:t>
      </w:r>
      <w:r>
        <w:rPr>
          <w:rFonts w:hint="default" w:ascii="宋体" w:hAnsi="宋体" w:eastAsia="宋体"/>
          <w:bCs/>
          <w:color w:val="auto"/>
          <w:sz w:val="22"/>
          <w:szCs w:val="22"/>
          <w:highlight w:val="none"/>
          <w:lang w:val="en-US" w:eastAsia="zh-CN"/>
        </w:rPr>
        <w:t>不得运输非</w:t>
      </w:r>
      <w:r>
        <w:rPr>
          <w:rFonts w:hint="eastAsia" w:ascii="宋体" w:hAnsi="宋体"/>
          <w:bCs/>
          <w:color w:val="auto"/>
          <w:sz w:val="22"/>
          <w:szCs w:val="22"/>
          <w:highlight w:val="none"/>
          <w:lang w:val="en-US" w:eastAsia="zh-CN"/>
        </w:rPr>
        <w:t>采购单位</w:t>
      </w:r>
      <w:r>
        <w:rPr>
          <w:rFonts w:hint="default" w:ascii="宋体" w:hAnsi="宋体" w:eastAsia="宋体"/>
          <w:bCs/>
          <w:color w:val="auto"/>
          <w:sz w:val="22"/>
          <w:szCs w:val="22"/>
          <w:highlight w:val="none"/>
          <w:lang w:val="en-US" w:eastAsia="zh-CN"/>
        </w:rPr>
        <w:t>指定的</w:t>
      </w:r>
      <w:r>
        <w:rPr>
          <w:rFonts w:hint="eastAsia" w:ascii="宋体" w:hAnsi="宋体"/>
          <w:bCs/>
          <w:color w:val="auto"/>
          <w:sz w:val="22"/>
          <w:szCs w:val="22"/>
          <w:highlight w:val="none"/>
          <w:lang w:val="en-US" w:eastAsia="zh-CN"/>
        </w:rPr>
        <w:t>渗滤液</w:t>
      </w:r>
      <w:r>
        <w:rPr>
          <w:rFonts w:hint="default" w:ascii="宋体" w:hAnsi="宋体" w:eastAsia="宋体"/>
          <w:bCs/>
          <w:color w:val="auto"/>
          <w:sz w:val="22"/>
          <w:szCs w:val="22"/>
          <w:highlight w:val="none"/>
          <w:lang w:val="en-US" w:eastAsia="zh-CN"/>
        </w:rPr>
        <w:t>外任何物品至处置场地，车辆在装运</w:t>
      </w:r>
      <w:r>
        <w:rPr>
          <w:rFonts w:hint="eastAsia" w:ascii="宋体" w:hAnsi="宋体" w:eastAsia="宋体"/>
          <w:bCs/>
          <w:color w:val="auto"/>
          <w:sz w:val="22"/>
          <w:szCs w:val="22"/>
          <w:highlight w:val="none"/>
          <w:lang w:val="en-US" w:eastAsia="zh-CN"/>
        </w:rPr>
        <w:t>前</w:t>
      </w:r>
      <w:r>
        <w:rPr>
          <w:rFonts w:hint="default" w:ascii="宋体" w:hAnsi="宋体" w:eastAsia="宋体"/>
          <w:bCs/>
          <w:color w:val="auto"/>
          <w:sz w:val="22"/>
          <w:szCs w:val="22"/>
          <w:highlight w:val="none"/>
          <w:lang w:val="en-US" w:eastAsia="zh-CN"/>
        </w:rPr>
        <w:t>需确保运输车辆车厢处于空置状态。</w:t>
      </w:r>
    </w:p>
    <w:p w14:paraId="3FA2BEE3">
      <w:pPr>
        <w:keepNext w:val="0"/>
        <w:keepLines w:val="0"/>
        <w:pageBreakBefore w:val="0"/>
        <w:numPr>
          <w:ilvl w:val="0"/>
          <w:numId w:val="0"/>
        </w:numPr>
        <w:kinsoku/>
        <w:wordWrap/>
        <w:overflowPunct/>
        <w:topLinePunct w:val="0"/>
        <w:autoSpaceDE/>
        <w:autoSpaceDN/>
        <w:bidi w:val="0"/>
        <w:spacing w:line="600" w:lineRule="exact"/>
        <w:ind w:firstLine="440" w:firstLineChars="200"/>
        <w:textAlignment w:val="auto"/>
        <w:rPr>
          <w:rFonts w:hint="eastAsia" w:ascii="宋体" w:hAnsi="宋体" w:eastAsia="宋体"/>
          <w:bCs/>
          <w:color w:val="auto"/>
          <w:sz w:val="22"/>
          <w:szCs w:val="22"/>
          <w:highlight w:val="none"/>
          <w:lang w:val="en-US" w:eastAsia="zh-CN"/>
        </w:rPr>
      </w:pPr>
      <w:r>
        <w:rPr>
          <w:rFonts w:hint="eastAsia" w:ascii="宋体" w:hAnsi="宋体" w:eastAsia="宋体"/>
          <w:bCs/>
          <w:color w:val="auto"/>
          <w:sz w:val="22"/>
          <w:szCs w:val="22"/>
          <w:highlight w:val="none"/>
          <w:lang w:val="en-US" w:eastAsia="zh-CN"/>
        </w:rPr>
        <w:t>12、</w:t>
      </w:r>
      <w:r>
        <w:rPr>
          <w:rFonts w:hint="default" w:ascii="宋体" w:hAnsi="宋体" w:eastAsia="宋体"/>
          <w:bCs/>
          <w:color w:val="auto"/>
          <w:sz w:val="22"/>
          <w:szCs w:val="22"/>
          <w:highlight w:val="none"/>
          <w:lang w:val="en-US" w:eastAsia="zh-CN"/>
        </w:rPr>
        <w:t>车辆在</w:t>
      </w:r>
      <w:r>
        <w:rPr>
          <w:rFonts w:hint="eastAsia" w:ascii="宋体" w:hAnsi="宋体"/>
          <w:bCs/>
          <w:color w:val="auto"/>
          <w:sz w:val="22"/>
          <w:szCs w:val="22"/>
          <w:highlight w:val="none"/>
          <w:lang w:val="en-US" w:eastAsia="zh-CN"/>
        </w:rPr>
        <w:t>渗滤液</w:t>
      </w:r>
      <w:r>
        <w:rPr>
          <w:rFonts w:hint="default" w:ascii="宋体" w:hAnsi="宋体" w:eastAsia="宋体"/>
          <w:bCs/>
          <w:color w:val="auto"/>
          <w:sz w:val="22"/>
          <w:szCs w:val="22"/>
          <w:highlight w:val="none"/>
          <w:lang w:val="en-US" w:eastAsia="zh-CN"/>
        </w:rPr>
        <w:t>运输过程中要严格遵守交通法律法规，承担相应的违法违规责任</w:t>
      </w:r>
      <w:r>
        <w:rPr>
          <w:rFonts w:hint="eastAsia" w:ascii="宋体" w:hAnsi="宋体" w:eastAsia="宋体"/>
          <w:bCs/>
          <w:color w:val="auto"/>
          <w:sz w:val="22"/>
          <w:szCs w:val="22"/>
          <w:highlight w:val="none"/>
          <w:lang w:val="en-US" w:eastAsia="zh-CN"/>
        </w:rPr>
        <w:t>。</w:t>
      </w:r>
    </w:p>
    <w:p w14:paraId="6A306C1E">
      <w:pPr>
        <w:spacing w:line="360" w:lineRule="auto"/>
        <w:ind w:firstLine="440" w:firstLineChars="200"/>
        <w:rPr>
          <w:rFonts w:hint="eastAsia" w:ascii="宋体" w:hAnsi="宋体" w:cs="Times New Roman"/>
          <w:color w:val="auto"/>
          <w:kern w:val="0"/>
          <w:sz w:val="22"/>
          <w:szCs w:val="22"/>
          <w:highlight w:val="cyan"/>
          <w:lang w:val="zh-CN" w:eastAsia="zh-CN"/>
        </w:rPr>
      </w:pPr>
      <w:r>
        <w:rPr>
          <w:rFonts w:hint="eastAsia" w:ascii="宋体" w:hAnsi="宋体" w:cs="宋体"/>
          <w:color w:val="auto"/>
          <w:sz w:val="22"/>
          <w:szCs w:val="22"/>
          <w:highlight w:val="cyan"/>
        </w:rPr>
        <w:t>▲</w:t>
      </w:r>
      <w:r>
        <w:rPr>
          <w:rFonts w:hint="eastAsia" w:ascii="宋体" w:hAnsi="宋体" w:cs="宋体"/>
          <w:color w:val="auto"/>
          <w:sz w:val="22"/>
          <w:szCs w:val="22"/>
          <w:highlight w:val="cyan"/>
          <w:lang w:val="en-US" w:eastAsia="zh-CN"/>
        </w:rPr>
        <w:t>13、处置需符合环保相关要求，同时承诺渗滤液处置不出县(</w:t>
      </w:r>
      <w:r>
        <w:rPr>
          <w:rFonts w:hint="eastAsia" w:ascii="宋体" w:hAnsi="宋体" w:cs="宋体"/>
          <w:color w:val="auto"/>
          <w:szCs w:val="21"/>
          <w:highlight w:val="cyan"/>
        </w:rPr>
        <w:t>（资格审查文件中需提供承诺函并加盖投标人单位公章，承诺完全响应此要求，承诺函格式见附件</w:t>
      </w:r>
      <w:r>
        <w:rPr>
          <w:rFonts w:hint="eastAsia" w:ascii="宋体" w:hAnsi="宋体" w:cs="宋体"/>
          <w:color w:val="auto"/>
          <w:szCs w:val="21"/>
          <w:highlight w:val="cyan"/>
          <w:lang w:val="en-US" w:eastAsia="zh-CN"/>
        </w:rPr>
        <w:t>3</w:t>
      </w:r>
      <w:r>
        <w:rPr>
          <w:rFonts w:hint="eastAsia" w:ascii="宋体" w:hAnsi="宋体" w:cs="宋体"/>
          <w:color w:val="auto"/>
          <w:szCs w:val="21"/>
          <w:highlight w:val="cyan"/>
        </w:rPr>
        <w:t>，未提供作无效标处理）。</w:t>
      </w:r>
    </w:p>
    <w:p w14:paraId="4F05F655">
      <w:pPr>
        <w:pStyle w:val="41"/>
        <w:numPr>
          <w:ilvl w:val="0"/>
          <w:numId w:val="0"/>
        </w:numPr>
        <w:rPr>
          <w:rFonts w:hint="eastAsia" w:ascii="宋体" w:hAnsi="宋体" w:cs="仿宋_GB2312"/>
          <w:b/>
          <w:color w:val="auto"/>
          <w:kern w:val="0"/>
          <w:sz w:val="22"/>
          <w:szCs w:val="22"/>
          <w:highlight w:val="none"/>
          <w:lang w:val="zh-CN" w:eastAsia="zh-CN"/>
        </w:rPr>
      </w:pPr>
      <w:r>
        <w:rPr>
          <w:rFonts w:hint="eastAsia" w:ascii="宋体" w:hAnsi="宋体" w:cs="仿宋_GB2312"/>
          <w:b/>
          <w:color w:val="auto"/>
          <w:kern w:val="0"/>
          <w:sz w:val="22"/>
          <w:szCs w:val="22"/>
          <w:highlight w:val="none"/>
          <w:lang w:val="en-US" w:eastAsia="zh-CN"/>
        </w:rPr>
        <w:t>三</w:t>
      </w:r>
      <w:r>
        <w:rPr>
          <w:rFonts w:hint="eastAsia" w:ascii="宋体" w:hAnsi="宋体" w:cs="仿宋_GB2312"/>
          <w:b/>
          <w:color w:val="auto"/>
          <w:kern w:val="0"/>
          <w:sz w:val="22"/>
          <w:szCs w:val="22"/>
          <w:highlight w:val="none"/>
          <w:lang w:val="zh-CN" w:eastAsia="zh-CN"/>
        </w:rPr>
        <w:t>、</w:t>
      </w:r>
      <w:r>
        <w:rPr>
          <w:rFonts w:hint="eastAsia" w:ascii="宋体" w:hAnsi="宋体" w:cs="仿宋_GB2312"/>
          <w:b/>
          <w:color w:val="auto"/>
          <w:kern w:val="0"/>
          <w:sz w:val="22"/>
          <w:szCs w:val="22"/>
          <w:highlight w:val="none"/>
          <w:lang w:val="en-US" w:eastAsia="zh-CN"/>
        </w:rPr>
        <w:t>安全约定</w:t>
      </w:r>
    </w:p>
    <w:p w14:paraId="23101CDD">
      <w:pPr>
        <w:keepNext w:val="0"/>
        <w:keepLines w:val="0"/>
        <w:pageBreakBefore w:val="0"/>
        <w:numPr>
          <w:ilvl w:val="0"/>
          <w:numId w:val="8"/>
        </w:numPr>
        <w:kinsoku/>
        <w:wordWrap/>
        <w:overflowPunct/>
        <w:topLinePunct w:val="0"/>
        <w:autoSpaceDE/>
        <w:autoSpaceDN/>
        <w:bidi w:val="0"/>
        <w:spacing w:line="600" w:lineRule="exact"/>
        <w:ind w:firstLine="440" w:firstLineChars="200"/>
        <w:textAlignment w:val="auto"/>
        <w:rPr>
          <w:rFonts w:hint="eastAsia" w:ascii="宋体" w:hAnsi="宋体" w:eastAsia="宋体"/>
          <w:bCs/>
          <w:color w:val="auto"/>
          <w:sz w:val="22"/>
          <w:szCs w:val="22"/>
          <w:highlight w:val="none"/>
          <w:lang w:val="zh-CN" w:eastAsia="zh-CN"/>
        </w:rPr>
      </w:pPr>
      <w:r>
        <w:rPr>
          <w:rFonts w:hint="eastAsia" w:ascii="宋体" w:hAnsi="宋体" w:eastAsia="宋体"/>
          <w:bCs/>
          <w:color w:val="auto"/>
          <w:sz w:val="22"/>
          <w:szCs w:val="22"/>
          <w:highlight w:val="none"/>
          <w:lang w:val="zh-CN" w:eastAsia="zh-CN"/>
        </w:rPr>
        <w:t>进入</w:t>
      </w:r>
      <w:r>
        <w:rPr>
          <w:rFonts w:hint="eastAsia" w:ascii="宋体" w:hAnsi="宋体"/>
          <w:bCs/>
          <w:color w:val="auto"/>
          <w:sz w:val="22"/>
          <w:szCs w:val="22"/>
          <w:highlight w:val="none"/>
          <w:lang w:val="en-US" w:eastAsia="zh-CN"/>
        </w:rPr>
        <w:t>运输地</w:t>
      </w:r>
      <w:r>
        <w:rPr>
          <w:rFonts w:hint="eastAsia" w:ascii="宋体" w:hAnsi="宋体" w:eastAsia="宋体"/>
          <w:bCs/>
          <w:color w:val="auto"/>
          <w:sz w:val="22"/>
          <w:szCs w:val="22"/>
          <w:highlight w:val="none"/>
          <w:lang w:val="zh-CN" w:eastAsia="zh-CN"/>
        </w:rPr>
        <w:t>的车辆必须服从现场工作人员的指挥，不得在</w:t>
      </w:r>
      <w:r>
        <w:rPr>
          <w:rFonts w:hint="eastAsia" w:ascii="宋体" w:hAnsi="宋体"/>
          <w:bCs/>
          <w:color w:val="auto"/>
          <w:sz w:val="22"/>
          <w:szCs w:val="22"/>
          <w:highlight w:val="none"/>
          <w:lang w:val="en-US" w:eastAsia="zh-CN"/>
        </w:rPr>
        <w:t>中转站</w:t>
      </w:r>
      <w:r>
        <w:rPr>
          <w:rFonts w:hint="eastAsia" w:ascii="宋体" w:hAnsi="宋体" w:eastAsia="宋体"/>
          <w:bCs/>
          <w:color w:val="auto"/>
          <w:sz w:val="22"/>
          <w:szCs w:val="22"/>
          <w:highlight w:val="none"/>
          <w:lang w:val="zh-CN" w:eastAsia="zh-CN"/>
        </w:rPr>
        <w:t>内随意穿行、乱卸，如因违反规定造成的一切事故由</w:t>
      </w:r>
      <w:r>
        <w:rPr>
          <w:rFonts w:hint="eastAsia" w:ascii="宋体" w:hAnsi="宋体"/>
          <w:bCs/>
          <w:color w:val="auto"/>
          <w:sz w:val="22"/>
          <w:szCs w:val="22"/>
          <w:highlight w:val="none"/>
          <w:lang w:val="en-US" w:eastAsia="zh-CN"/>
        </w:rPr>
        <w:t>中标单位</w:t>
      </w:r>
      <w:r>
        <w:rPr>
          <w:rFonts w:hint="eastAsia" w:ascii="宋体" w:hAnsi="宋体" w:eastAsia="宋体"/>
          <w:bCs/>
          <w:color w:val="auto"/>
          <w:sz w:val="22"/>
          <w:szCs w:val="22"/>
          <w:highlight w:val="none"/>
          <w:lang w:val="zh-CN" w:eastAsia="zh-CN"/>
        </w:rPr>
        <w:t>负责。</w:t>
      </w:r>
    </w:p>
    <w:p w14:paraId="1C3774C2">
      <w:pPr>
        <w:keepNext w:val="0"/>
        <w:keepLines w:val="0"/>
        <w:pageBreakBefore w:val="0"/>
        <w:numPr>
          <w:ilvl w:val="0"/>
          <w:numId w:val="8"/>
        </w:numPr>
        <w:kinsoku/>
        <w:wordWrap/>
        <w:overflowPunct/>
        <w:topLinePunct w:val="0"/>
        <w:autoSpaceDE/>
        <w:autoSpaceDN/>
        <w:bidi w:val="0"/>
        <w:spacing w:line="600" w:lineRule="exact"/>
        <w:ind w:left="0" w:leftChars="0" w:firstLine="440" w:firstLineChars="200"/>
        <w:textAlignment w:val="auto"/>
        <w:rPr>
          <w:rFonts w:hint="eastAsia" w:ascii="宋体" w:hAnsi="宋体" w:eastAsia="宋体"/>
          <w:bCs/>
          <w:color w:val="auto"/>
          <w:sz w:val="22"/>
          <w:szCs w:val="22"/>
          <w:highlight w:val="none"/>
          <w:lang w:val="zh-CN" w:eastAsia="zh-CN"/>
        </w:rPr>
      </w:pPr>
      <w:r>
        <w:rPr>
          <w:rFonts w:hint="eastAsia" w:ascii="宋体" w:hAnsi="宋体" w:eastAsia="宋体"/>
          <w:bCs/>
          <w:color w:val="auto"/>
          <w:sz w:val="22"/>
          <w:szCs w:val="22"/>
          <w:highlight w:val="none"/>
          <w:lang w:val="zh-CN" w:eastAsia="zh-CN"/>
        </w:rPr>
        <w:t>进入</w:t>
      </w:r>
      <w:r>
        <w:rPr>
          <w:rFonts w:hint="eastAsia" w:ascii="宋体" w:hAnsi="宋体"/>
          <w:bCs/>
          <w:color w:val="auto"/>
          <w:sz w:val="22"/>
          <w:szCs w:val="22"/>
          <w:highlight w:val="none"/>
          <w:lang w:val="en-US" w:eastAsia="zh-CN"/>
        </w:rPr>
        <w:t>处置单位</w:t>
      </w:r>
      <w:r>
        <w:rPr>
          <w:rFonts w:hint="eastAsia" w:ascii="宋体" w:hAnsi="宋体" w:eastAsia="宋体"/>
          <w:bCs/>
          <w:color w:val="auto"/>
          <w:sz w:val="22"/>
          <w:szCs w:val="22"/>
          <w:highlight w:val="none"/>
          <w:lang w:val="zh-CN" w:eastAsia="zh-CN"/>
        </w:rPr>
        <w:t>的车辆应该严格执行其各项管理规章制度。否则，因违反规定造成的一切事故由</w:t>
      </w:r>
      <w:r>
        <w:rPr>
          <w:rFonts w:hint="eastAsia" w:ascii="宋体" w:hAnsi="宋体" w:eastAsia="宋体"/>
          <w:bCs/>
          <w:color w:val="auto"/>
          <w:sz w:val="22"/>
          <w:szCs w:val="22"/>
          <w:highlight w:val="none"/>
          <w:lang w:val="en-US" w:eastAsia="zh-CN"/>
        </w:rPr>
        <w:t>中标</w:t>
      </w:r>
      <w:r>
        <w:rPr>
          <w:rFonts w:hint="eastAsia" w:ascii="宋体" w:hAnsi="宋体"/>
          <w:bCs/>
          <w:color w:val="auto"/>
          <w:sz w:val="22"/>
          <w:szCs w:val="22"/>
          <w:highlight w:val="none"/>
          <w:lang w:val="en-US" w:eastAsia="zh-CN"/>
        </w:rPr>
        <w:t>单位</w:t>
      </w:r>
      <w:r>
        <w:rPr>
          <w:rFonts w:hint="eastAsia" w:ascii="宋体" w:hAnsi="宋体" w:eastAsia="宋体"/>
          <w:bCs/>
          <w:color w:val="auto"/>
          <w:sz w:val="22"/>
          <w:szCs w:val="22"/>
          <w:highlight w:val="none"/>
          <w:lang w:val="zh-CN" w:eastAsia="zh-CN"/>
        </w:rPr>
        <w:t>负责。</w:t>
      </w:r>
    </w:p>
    <w:p w14:paraId="256BFB02">
      <w:pPr>
        <w:keepNext w:val="0"/>
        <w:keepLines w:val="0"/>
        <w:pageBreakBefore w:val="0"/>
        <w:numPr>
          <w:ilvl w:val="0"/>
          <w:numId w:val="8"/>
        </w:numPr>
        <w:kinsoku/>
        <w:wordWrap/>
        <w:overflowPunct/>
        <w:topLinePunct w:val="0"/>
        <w:autoSpaceDE/>
        <w:autoSpaceDN/>
        <w:bidi w:val="0"/>
        <w:spacing w:line="600" w:lineRule="exact"/>
        <w:ind w:left="0" w:leftChars="0" w:firstLine="440" w:firstLineChars="200"/>
        <w:textAlignment w:val="auto"/>
        <w:rPr>
          <w:rFonts w:hint="eastAsia" w:ascii="宋体" w:hAnsi="宋体" w:eastAsia="宋体"/>
          <w:bCs/>
          <w:color w:val="auto"/>
          <w:sz w:val="22"/>
          <w:szCs w:val="22"/>
          <w:highlight w:val="none"/>
          <w:lang w:val="zh-CN" w:eastAsia="zh-CN"/>
        </w:rPr>
      </w:pPr>
      <w:r>
        <w:rPr>
          <w:rFonts w:hint="eastAsia" w:ascii="宋体" w:hAnsi="宋体" w:eastAsia="宋体"/>
          <w:bCs/>
          <w:color w:val="auto"/>
          <w:sz w:val="22"/>
          <w:szCs w:val="22"/>
          <w:highlight w:val="none"/>
          <w:lang w:val="zh-CN" w:eastAsia="zh-CN"/>
        </w:rPr>
        <w:t>车辆如损坏</w:t>
      </w:r>
      <w:r>
        <w:rPr>
          <w:rFonts w:hint="eastAsia" w:ascii="宋体" w:hAnsi="宋体"/>
          <w:bCs/>
          <w:color w:val="auto"/>
          <w:sz w:val="22"/>
          <w:szCs w:val="22"/>
          <w:highlight w:val="none"/>
          <w:lang w:val="en-US" w:eastAsia="zh-CN"/>
        </w:rPr>
        <w:t>中转站</w:t>
      </w:r>
      <w:r>
        <w:rPr>
          <w:rFonts w:hint="eastAsia" w:ascii="宋体" w:hAnsi="宋体" w:eastAsia="宋体"/>
          <w:bCs/>
          <w:color w:val="auto"/>
          <w:sz w:val="22"/>
          <w:szCs w:val="22"/>
          <w:highlight w:val="none"/>
          <w:lang w:val="zh-CN" w:eastAsia="zh-CN"/>
        </w:rPr>
        <w:t>内的设施应照价赔偿，在整个运输、卸料过程中所发生的一切事故由责任方按责任大小承担。</w:t>
      </w:r>
    </w:p>
    <w:p w14:paraId="243B7F63">
      <w:pPr>
        <w:keepNext w:val="0"/>
        <w:keepLines w:val="0"/>
        <w:pageBreakBefore w:val="0"/>
        <w:numPr>
          <w:ilvl w:val="0"/>
          <w:numId w:val="8"/>
        </w:numPr>
        <w:kinsoku/>
        <w:wordWrap/>
        <w:overflowPunct/>
        <w:topLinePunct w:val="0"/>
        <w:autoSpaceDE/>
        <w:autoSpaceDN/>
        <w:bidi w:val="0"/>
        <w:spacing w:line="600" w:lineRule="exact"/>
        <w:ind w:left="0" w:leftChars="0" w:firstLine="440" w:firstLineChars="200"/>
        <w:textAlignment w:val="auto"/>
        <w:rPr>
          <w:rFonts w:hint="eastAsia" w:ascii="宋体" w:hAnsi="宋体" w:eastAsia="宋体"/>
          <w:bCs/>
          <w:color w:val="auto"/>
          <w:sz w:val="22"/>
          <w:szCs w:val="22"/>
          <w:highlight w:val="none"/>
          <w:lang w:val="zh-CN" w:eastAsia="zh-CN"/>
        </w:rPr>
      </w:pPr>
      <w:r>
        <w:rPr>
          <w:rFonts w:hint="eastAsia" w:ascii="宋体" w:hAnsi="宋体"/>
          <w:bCs/>
          <w:color w:val="auto"/>
          <w:sz w:val="22"/>
          <w:szCs w:val="22"/>
          <w:highlight w:val="none"/>
          <w:lang w:val="en-US" w:eastAsia="zh-CN"/>
        </w:rPr>
        <w:t>中标单位</w:t>
      </w:r>
      <w:r>
        <w:rPr>
          <w:rFonts w:hint="eastAsia" w:ascii="宋体" w:hAnsi="宋体" w:eastAsia="宋体"/>
          <w:bCs/>
          <w:color w:val="auto"/>
          <w:sz w:val="22"/>
          <w:szCs w:val="22"/>
          <w:highlight w:val="none"/>
          <w:lang w:val="zh-CN" w:eastAsia="zh-CN"/>
        </w:rPr>
        <w:t>负责</w:t>
      </w:r>
      <w:r>
        <w:rPr>
          <w:rFonts w:hint="eastAsia" w:ascii="宋体" w:hAnsi="宋体"/>
          <w:bCs/>
          <w:color w:val="auto"/>
          <w:sz w:val="22"/>
          <w:szCs w:val="22"/>
          <w:highlight w:val="none"/>
          <w:lang w:val="en-US" w:eastAsia="zh-CN"/>
        </w:rPr>
        <w:t>渗滤液</w:t>
      </w:r>
      <w:r>
        <w:rPr>
          <w:rFonts w:hint="eastAsia" w:ascii="宋体" w:hAnsi="宋体" w:eastAsia="宋体"/>
          <w:bCs/>
          <w:color w:val="auto"/>
          <w:sz w:val="22"/>
          <w:szCs w:val="22"/>
          <w:highlight w:val="none"/>
          <w:lang w:val="zh-CN" w:eastAsia="zh-CN"/>
        </w:rPr>
        <w:t>装车、运输、卸料全过程的安全责任，做好车辆、驾驶员的安全管理，期间如发生安全事故的</w:t>
      </w:r>
      <w:r>
        <w:rPr>
          <w:rFonts w:hint="eastAsia" w:ascii="宋体" w:hAnsi="宋体"/>
          <w:bCs/>
          <w:color w:val="auto"/>
          <w:sz w:val="22"/>
          <w:szCs w:val="22"/>
          <w:highlight w:val="none"/>
          <w:lang w:val="en-US" w:eastAsia="zh-CN"/>
        </w:rPr>
        <w:t>采购单位</w:t>
      </w:r>
      <w:r>
        <w:rPr>
          <w:rFonts w:hint="eastAsia" w:ascii="宋体" w:hAnsi="宋体" w:eastAsia="宋体"/>
          <w:bCs/>
          <w:color w:val="auto"/>
          <w:sz w:val="22"/>
          <w:szCs w:val="22"/>
          <w:highlight w:val="none"/>
          <w:lang w:val="zh-CN" w:eastAsia="zh-CN"/>
        </w:rPr>
        <w:t>不承担任何责任。</w:t>
      </w:r>
    </w:p>
    <w:p w14:paraId="559D2A34">
      <w:pPr>
        <w:keepNext w:val="0"/>
        <w:keepLines w:val="0"/>
        <w:pageBreakBefore w:val="0"/>
        <w:widowControl w:val="0"/>
        <w:kinsoku/>
        <w:wordWrap/>
        <w:overflowPunct/>
        <w:topLinePunct w:val="0"/>
        <w:autoSpaceDE/>
        <w:autoSpaceDN/>
        <w:bidi w:val="0"/>
        <w:spacing w:line="600" w:lineRule="exact"/>
        <w:textAlignment w:val="auto"/>
        <w:rPr>
          <w:rFonts w:hint="eastAsia" w:ascii="宋体" w:hAnsi="宋体"/>
          <w:b/>
          <w:bCs/>
          <w:color w:val="auto"/>
          <w:sz w:val="22"/>
          <w:szCs w:val="22"/>
          <w:highlight w:val="none"/>
        </w:rPr>
      </w:pPr>
      <w:r>
        <w:rPr>
          <w:rFonts w:hint="eastAsia" w:ascii="宋体" w:hAnsi="宋体"/>
          <w:b/>
          <w:bCs/>
          <w:color w:val="auto"/>
          <w:sz w:val="22"/>
          <w:szCs w:val="22"/>
          <w:highlight w:val="none"/>
          <w:lang w:val="en-US" w:eastAsia="zh-CN"/>
        </w:rPr>
        <w:t>四</w:t>
      </w:r>
      <w:r>
        <w:rPr>
          <w:rFonts w:hint="eastAsia" w:ascii="宋体" w:hAnsi="宋体"/>
          <w:b/>
          <w:bCs/>
          <w:color w:val="auto"/>
          <w:sz w:val="22"/>
          <w:szCs w:val="22"/>
          <w:highlight w:val="none"/>
        </w:rPr>
        <w:t>、</w:t>
      </w:r>
      <w:r>
        <w:rPr>
          <w:rFonts w:hint="eastAsia" w:ascii="宋体" w:hAnsi="宋体"/>
          <w:b/>
          <w:bCs/>
          <w:color w:val="auto"/>
          <w:sz w:val="22"/>
          <w:szCs w:val="22"/>
          <w:highlight w:val="none"/>
          <w:lang w:val="en-US" w:eastAsia="zh-CN"/>
        </w:rPr>
        <w:t>服务考核、费用结算</w:t>
      </w:r>
      <w:r>
        <w:rPr>
          <w:rFonts w:hint="eastAsia" w:ascii="宋体" w:hAnsi="宋体"/>
          <w:color w:val="auto"/>
          <w:sz w:val="22"/>
          <w:szCs w:val="22"/>
          <w:highlight w:val="none"/>
        </w:rPr>
        <w:t xml:space="preserve">                </w:t>
      </w:r>
    </w:p>
    <w:p w14:paraId="6307A37E">
      <w:pPr>
        <w:keepNext w:val="0"/>
        <w:keepLines w:val="0"/>
        <w:pageBreakBefore w:val="0"/>
        <w:numPr>
          <w:ilvl w:val="0"/>
          <w:numId w:val="0"/>
        </w:numPr>
        <w:kinsoku/>
        <w:wordWrap/>
        <w:overflowPunct/>
        <w:topLinePunct w:val="0"/>
        <w:autoSpaceDE/>
        <w:autoSpaceDN/>
        <w:bidi w:val="0"/>
        <w:spacing w:line="600" w:lineRule="exact"/>
        <w:ind w:leftChars="200"/>
        <w:textAlignment w:val="auto"/>
        <w:rPr>
          <w:rFonts w:hint="eastAsia" w:ascii="宋体" w:hAnsi="宋体"/>
          <w:bCs/>
          <w:color w:val="auto"/>
          <w:sz w:val="22"/>
          <w:szCs w:val="22"/>
          <w:highlight w:val="none"/>
          <w:lang w:val="en-US" w:eastAsia="zh-CN"/>
        </w:rPr>
      </w:pPr>
      <w:r>
        <w:rPr>
          <w:rFonts w:hint="eastAsia" w:ascii="宋体" w:hAnsi="宋体"/>
          <w:bCs/>
          <w:color w:val="auto"/>
          <w:sz w:val="22"/>
          <w:szCs w:val="22"/>
          <w:highlight w:val="none"/>
          <w:lang w:val="en-US" w:eastAsia="zh-CN"/>
        </w:rPr>
        <w:t>结算方式：每半年应支付服务费用=中标单价× 地磅称重重量（每月累计地磅过磅数量核算）-考核扣减金额（中标单位与各个乡镇自行签订采购合同）</w:t>
      </w:r>
    </w:p>
    <w:p w14:paraId="3E5106DB">
      <w:pPr>
        <w:keepNext w:val="0"/>
        <w:keepLines w:val="0"/>
        <w:pageBreakBefore w:val="0"/>
        <w:numPr>
          <w:ilvl w:val="0"/>
          <w:numId w:val="0"/>
        </w:numPr>
        <w:kinsoku/>
        <w:wordWrap/>
        <w:overflowPunct/>
        <w:topLinePunct w:val="0"/>
        <w:autoSpaceDE/>
        <w:autoSpaceDN/>
        <w:bidi w:val="0"/>
        <w:spacing w:line="600" w:lineRule="exact"/>
        <w:ind w:firstLine="440" w:firstLineChars="200"/>
        <w:textAlignment w:val="auto"/>
        <w:rPr>
          <w:rFonts w:hint="eastAsia" w:ascii="宋体" w:hAnsi="宋体"/>
          <w:bCs/>
          <w:color w:val="auto"/>
          <w:sz w:val="22"/>
          <w:szCs w:val="22"/>
          <w:highlight w:val="none"/>
          <w:lang w:val="en-US" w:eastAsia="zh-CN"/>
        </w:rPr>
      </w:pPr>
      <w:r>
        <w:rPr>
          <w:rFonts w:hint="eastAsia" w:ascii="宋体" w:hAnsi="宋体"/>
          <w:bCs/>
          <w:color w:val="auto"/>
          <w:sz w:val="22"/>
          <w:szCs w:val="22"/>
          <w:highlight w:val="none"/>
          <w:lang w:val="en-US" w:eastAsia="zh-CN"/>
        </w:rPr>
        <w:t>（1）按实结算，每半年结算一次，且中标单位将每月完成处置的渗滤液数量提交采购单位确认，结算金额为：中标单价×经确认的各月实际处置渗滤液数量（此数量以处置方出具的过磅数量为准）。</w:t>
      </w:r>
    </w:p>
    <w:p w14:paraId="31FBF04D">
      <w:pPr>
        <w:keepNext w:val="0"/>
        <w:keepLines w:val="0"/>
        <w:pageBreakBefore w:val="0"/>
        <w:numPr>
          <w:ilvl w:val="0"/>
          <w:numId w:val="0"/>
        </w:numPr>
        <w:kinsoku/>
        <w:wordWrap/>
        <w:overflowPunct/>
        <w:topLinePunct w:val="0"/>
        <w:autoSpaceDE/>
        <w:autoSpaceDN/>
        <w:bidi w:val="0"/>
        <w:spacing w:line="600" w:lineRule="exact"/>
        <w:ind w:firstLine="440" w:firstLineChars="200"/>
        <w:textAlignment w:val="auto"/>
        <w:rPr>
          <w:rFonts w:hint="eastAsia" w:ascii="宋体" w:hAnsi="宋体"/>
          <w:bCs/>
          <w:color w:val="auto"/>
          <w:sz w:val="22"/>
          <w:szCs w:val="22"/>
          <w:highlight w:val="none"/>
          <w:lang w:val="en-US" w:eastAsia="zh-CN"/>
        </w:rPr>
      </w:pPr>
      <w:r>
        <w:rPr>
          <w:rFonts w:hint="eastAsia" w:ascii="宋体" w:hAnsi="宋体"/>
          <w:bCs/>
          <w:color w:val="auto"/>
          <w:sz w:val="22"/>
          <w:szCs w:val="22"/>
          <w:highlight w:val="none"/>
          <w:lang w:val="en-US" w:eastAsia="zh-CN"/>
        </w:rPr>
        <w:t>（2）经双方确认无误后，中标单位应在3个工作日内向采购单位提供符合国家规定的发票，采购单位收到中标单位出具的发票后，于30个工作日内支付。</w:t>
      </w:r>
    </w:p>
    <w:p w14:paraId="30BFF43B">
      <w:pPr>
        <w:keepNext w:val="0"/>
        <w:keepLines w:val="0"/>
        <w:pageBreakBefore w:val="0"/>
        <w:numPr>
          <w:ilvl w:val="0"/>
          <w:numId w:val="0"/>
        </w:numPr>
        <w:kinsoku/>
        <w:wordWrap/>
        <w:overflowPunct/>
        <w:topLinePunct w:val="0"/>
        <w:autoSpaceDE/>
        <w:autoSpaceDN/>
        <w:bidi w:val="0"/>
        <w:spacing w:line="600" w:lineRule="exact"/>
        <w:ind w:leftChars="200" w:firstLine="220" w:firstLineChars="100"/>
        <w:textAlignment w:val="auto"/>
        <w:rPr>
          <w:rFonts w:hint="eastAsia" w:ascii="宋体" w:hAnsi="宋体"/>
          <w:bCs/>
          <w:color w:val="auto"/>
          <w:sz w:val="22"/>
          <w:szCs w:val="22"/>
          <w:highlight w:val="none"/>
          <w:lang w:val="en-US" w:eastAsia="zh-CN"/>
        </w:rPr>
      </w:pPr>
      <w:r>
        <w:rPr>
          <w:rFonts w:hint="eastAsia" w:ascii="宋体" w:hAnsi="宋体"/>
          <w:bCs/>
          <w:color w:val="auto"/>
          <w:sz w:val="22"/>
          <w:szCs w:val="22"/>
          <w:highlight w:val="none"/>
          <w:lang w:val="en-US" w:eastAsia="zh-CN"/>
        </w:rPr>
        <w:t>注：渗滤液计量按双方确认的地磅为准，结算依据为双方授权代表签署的渗滤液转移联单数量为准。</w:t>
      </w:r>
    </w:p>
    <w:p w14:paraId="6EFB30E4">
      <w:pPr>
        <w:keepNext w:val="0"/>
        <w:keepLines w:val="0"/>
        <w:pageBreakBefore w:val="0"/>
        <w:numPr>
          <w:ilvl w:val="0"/>
          <w:numId w:val="0"/>
        </w:numPr>
        <w:kinsoku/>
        <w:wordWrap/>
        <w:overflowPunct/>
        <w:topLinePunct w:val="0"/>
        <w:autoSpaceDE/>
        <w:autoSpaceDN/>
        <w:bidi w:val="0"/>
        <w:spacing w:line="600" w:lineRule="exact"/>
        <w:ind w:leftChars="200"/>
        <w:textAlignment w:val="auto"/>
        <w:rPr>
          <w:rFonts w:hint="eastAsia" w:ascii="宋体" w:hAnsi="宋体"/>
          <w:bCs/>
          <w:color w:val="auto"/>
          <w:sz w:val="22"/>
          <w:szCs w:val="22"/>
          <w:highlight w:val="none"/>
          <w:lang w:val="en-US" w:eastAsia="zh-CN"/>
        </w:rPr>
      </w:pPr>
      <w:r>
        <w:rPr>
          <w:rFonts w:hint="eastAsia" w:ascii="宋体" w:hAnsi="宋体"/>
          <w:bCs/>
          <w:color w:val="auto"/>
          <w:sz w:val="22"/>
          <w:szCs w:val="22"/>
          <w:highlight w:val="none"/>
          <w:lang w:val="en-US" w:eastAsia="zh-CN"/>
        </w:rPr>
        <w:t>采购单位每月对中标单位考核一次，满分为100分，实行倒扣分制。考核在90分以上（含90分）不扣服务费；低于90分（不含90分），扣当月服务费的5%；低于80分（不含80分），扣当月服务费的15%；低于70分（不含70分），扣当月服务费的30%；低于60分（不含60分），采购单位有权解除合同。（服务考核表详见附件一）</w:t>
      </w:r>
    </w:p>
    <w:p w14:paraId="4743B065">
      <w:pPr>
        <w:keepNext w:val="0"/>
        <w:keepLines w:val="0"/>
        <w:pageBreakBefore w:val="0"/>
        <w:numPr>
          <w:ilvl w:val="0"/>
          <w:numId w:val="0"/>
        </w:numPr>
        <w:kinsoku/>
        <w:wordWrap/>
        <w:overflowPunct/>
        <w:topLinePunct w:val="0"/>
        <w:autoSpaceDE/>
        <w:autoSpaceDN/>
        <w:bidi w:val="0"/>
        <w:spacing w:line="600" w:lineRule="exact"/>
        <w:ind w:leftChars="200" w:firstLine="440" w:firstLineChars="200"/>
        <w:textAlignment w:val="auto"/>
        <w:rPr>
          <w:rFonts w:hint="eastAsia" w:ascii="宋体" w:hAnsi="宋体"/>
          <w:bCs/>
          <w:color w:val="auto"/>
          <w:sz w:val="22"/>
          <w:szCs w:val="22"/>
          <w:highlight w:val="none"/>
          <w:lang w:val="en-US" w:eastAsia="zh-CN"/>
        </w:rPr>
      </w:pPr>
      <w:r>
        <w:rPr>
          <w:rFonts w:hint="eastAsia" w:ascii="宋体" w:hAnsi="宋体"/>
          <w:bCs/>
          <w:color w:val="auto"/>
          <w:sz w:val="22"/>
          <w:szCs w:val="22"/>
          <w:highlight w:val="none"/>
          <w:lang w:val="en-US" w:eastAsia="zh-CN"/>
        </w:rPr>
        <w:t xml:space="preserve">如中标单位对考核结果有争议，应在考核结果出具后7个工作日内通知采购单位，双方就争议部分进行协商。如双方对考核结果均无异议，则中标单位需开具正规发票，采购单位在收到发票后30天内完成支付。 </w:t>
      </w:r>
    </w:p>
    <w:p w14:paraId="54EE3EC2">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宋体" w:hAnsi="宋体"/>
          <w:b/>
          <w:bCs w:val="0"/>
          <w:color w:val="auto"/>
          <w:sz w:val="22"/>
          <w:szCs w:val="22"/>
          <w:highlight w:val="none"/>
        </w:rPr>
      </w:pPr>
      <w:r>
        <w:rPr>
          <w:rFonts w:hint="eastAsia" w:ascii="宋体" w:hAnsi="宋体"/>
          <w:b/>
          <w:bCs w:val="0"/>
          <w:color w:val="auto"/>
          <w:sz w:val="22"/>
          <w:szCs w:val="22"/>
          <w:highlight w:val="none"/>
          <w:lang w:val="en-US" w:eastAsia="zh-CN"/>
        </w:rPr>
        <w:t>五</w:t>
      </w:r>
      <w:r>
        <w:rPr>
          <w:rFonts w:hint="eastAsia" w:ascii="宋体" w:hAnsi="宋体"/>
          <w:b/>
          <w:bCs w:val="0"/>
          <w:color w:val="auto"/>
          <w:sz w:val="22"/>
          <w:szCs w:val="22"/>
          <w:highlight w:val="none"/>
        </w:rPr>
        <w:t>、质量保证</w:t>
      </w:r>
    </w:p>
    <w:p w14:paraId="4DF10593">
      <w:pPr>
        <w:keepNext w:val="0"/>
        <w:keepLines w:val="0"/>
        <w:pageBreakBefore w:val="0"/>
        <w:widowControl w:val="0"/>
        <w:kinsoku/>
        <w:wordWrap/>
        <w:overflowPunct/>
        <w:topLinePunct w:val="0"/>
        <w:autoSpaceDE/>
        <w:autoSpaceDN/>
        <w:bidi w:val="0"/>
        <w:adjustRightInd w:val="0"/>
        <w:snapToGrid w:val="0"/>
        <w:spacing w:line="600" w:lineRule="exact"/>
        <w:ind w:firstLine="440" w:firstLineChars="200"/>
        <w:textAlignment w:val="auto"/>
        <w:rPr>
          <w:rFonts w:hint="eastAsia" w:ascii="宋体" w:hAnsi="宋体"/>
          <w:bCs/>
          <w:color w:val="auto"/>
          <w:sz w:val="22"/>
          <w:szCs w:val="22"/>
          <w:highlight w:val="none"/>
        </w:rPr>
      </w:pPr>
      <w:r>
        <w:rPr>
          <w:rFonts w:hint="eastAsia" w:ascii="宋体" w:hAnsi="宋体"/>
          <w:bCs/>
          <w:color w:val="auto"/>
          <w:sz w:val="22"/>
          <w:szCs w:val="22"/>
          <w:highlight w:val="none"/>
        </w:rPr>
        <w:t>1、</w:t>
      </w:r>
      <w:r>
        <w:rPr>
          <w:rFonts w:hint="eastAsia" w:ascii="宋体" w:hAnsi="宋体"/>
          <w:color w:val="auto"/>
          <w:sz w:val="22"/>
          <w:szCs w:val="22"/>
          <w:highlight w:val="none"/>
          <w:lang w:eastAsia="zh-CN"/>
        </w:rPr>
        <w:t>中标单位</w:t>
      </w:r>
      <w:r>
        <w:rPr>
          <w:rFonts w:hint="eastAsia" w:ascii="宋体" w:hAnsi="宋体"/>
          <w:bCs/>
          <w:color w:val="auto"/>
          <w:sz w:val="22"/>
          <w:szCs w:val="22"/>
          <w:highlight w:val="none"/>
        </w:rPr>
        <w:t>应严格按照招标文件的要求确保</w:t>
      </w:r>
      <w:r>
        <w:rPr>
          <w:rFonts w:hint="eastAsia" w:ascii="宋体" w:hAnsi="宋体"/>
          <w:bCs/>
          <w:color w:val="auto"/>
          <w:sz w:val="22"/>
          <w:szCs w:val="22"/>
          <w:highlight w:val="none"/>
          <w:lang w:val="en-US" w:eastAsia="zh-CN"/>
        </w:rPr>
        <w:t>渗滤液</w:t>
      </w:r>
      <w:r>
        <w:rPr>
          <w:rFonts w:hint="eastAsia" w:ascii="宋体" w:hAnsi="宋体"/>
          <w:bCs/>
          <w:color w:val="auto"/>
          <w:sz w:val="22"/>
          <w:szCs w:val="22"/>
          <w:highlight w:val="none"/>
        </w:rPr>
        <w:t>运输效率和质量。</w:t>
      </w:r>
    </w:p>
    <w:p w14:paraId="14E436F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40" w:firstLineChars="200"/>
        <w:jc w:val="both"/>
        <w:textAlignment w:val="auto"/>
        <w:rPr>
          <w:rFonts w:hint="eastAsia" w:ascii="宋体" w:hAnsi="宋体"/>
          <w:bCs/>
          <w:color w:val="auto"/>
          <w:sz w:val="22"/>
          <w:szCs w:val="22"/>
          <w:highlight w:val="none"/>
          <w:lang w:eastAsia="zh-CN"/>
        </w:rPr>
      </w:pPr>
      <w:r>
        <w:rPr>
          <w:rFonts w:hint="eastAsia" w:ascii="宋体" w:hAnsi="宋体"/>
          <w:bCs/>
          <w:color w:val="auto"/>
          <w:sz w:val="22"/>
          <w:szCs w:val="22"/>
          <w:highlight w:val="none"/>
        </w:rPr>
        <w:t>2、如因采购</w:t>
      </w:r>
      <w:r>
        <w:rPr>
          <w:rFonts w:hint="eastAsia" w:ascii="宋体" w:hAnsi="宋体"/>
          <w:bCs/>
          <w:color w:val="auto"/>
          <w:sz w:val="22"/>
          <w:szCs w:val="22"/>
          <w:highlight w:val="none"/>
          <w:lang w:val="en-US" w:eastAsia="zh-CN"/>
        </w:rPr>
        <w:t>单位</w:t>
      </w:r>
      <w:r>
        <w:rPr>
          <w:rFonts w:hint="eastAsia" w:ascii="宋体" w:hAnsi="宋体"/>
          <w:bCs/>
          <w:color w:val="auto"/>
          <w:sz w:val="22"/>
          <w:szCs w:val="22"/>
          <w:highlight w:val="none"/>
        </w:rPr>
        <w:t>造成的问题，</w:t>
      </w:r>
      <w:r>
        <w:rPr>
          <w:rFonts w:hint="eastAsia" w:ascii="宋体" w:hAnsi="宋体"/>
          <w:bCs/>
          <w:color w:val="auto"/>
          <w:sz w:val="22"/>
          <w:szCs w:val="22"/>
          <w:highlight w:val="none"/>
          <w:lang w:eastAsia="zh-CN"/>
        </w:rPr>
        <w:t>中标单位</w:t>
      </w:r>
      <w:r>
        <w:rPr>
          <w:rFonts w:hint="eastAsia" w:ascii="宋体" w:hAnsi="宋体"/>
          <w:bCs/>
          <w:color w:val="auto"/>
          <w:sz w:val="22"/>
          <w:szCs w:val="22"/>
          <w:highlight w:val="none"/>
        </w:rPr>
        <w:t>应配合解决。</w:t>
      </w:r>
    </w:p>
    <w:p w14:paraId="7BB64E42">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宋体" w:hAnsi="宋体" w:eastAsia="宋体" w:cs="Times New Roman"/>
          <w:color w:val="FF0000"/>
          <w:kern w:val="0"/>
          <w:sz w:val="22"/>
          <w:szCs w:val="22"/>
          <w:lang w:val="en-US" w:eastAsia="zh-CN"/>
        </w:rPr>
      </w:pPr>
      <w:r>
        <w:rPr>
          <w:rFonts w:hint="eastAsia" w:ascii="宋体" w:hAnsi="宋体" w:cs="Times New Roman"/>
          <w:b/>
          <w:bCs/>
          <w:color w:val="auto"/>
          <w:kern w:val="2"/>
          <w:sz w:val="22"/>
          <w:szCs w:val="22"/>
          <w:highlight w:val="none"/>
          <w:lang w:val="en-US" w:eastAsia="zh-CN" w:bidi="ar-SA"/>
        </w:rPr>
        <w:t>六</w:t>
      </w:r>
      <w:r>
        <w:rPr>
          <w:rFonts w:hint="eastAsia" w:ascii="宋体" w:hAnsi="宋体" w:eastAsia="宋体" w:cs="Times New Roman"/>
          <w:b/>
          <w:bCs/>
          <w:color w:val="auto"/>
          <w:kern w:val="0"/>
          <w:sz w:val="22"/>
          <w:szCs w:val="22"/>
          <w:lang w:val="zh-CN" w:eastAsia="zh-CN" w:bidi="ar-SA"/>
        </w:rPr>
        <w:t>、验收要求：</w:t>
      </w:r>
      <w:r>
        <w:rPr>
          <w:rFonts w:hint="eastAsia" w:ascii="宋体" w:hAnsi="宋体" w:eastAsia="宋体" w:cs="Times New Roman"/>
          <w:b w:val="0"/>
          <w:bCs w:val="0"/>
          <w:color w:val="auto"/>
          <w:kern w:val="0"/>
          <w:sz w:val="22"/>
          <w:szCs w:val="22"/>
        </w:rPr>
        <w:t>由中标</w:t>
      </w:r>
      <w:r>
        <w:rPr>
          <w:rFonts w:hint="eastAsia" w:ascii="宋体" w:hAnsi="宋体" w:eastAsia="宋体" w:cs="Times New Roman"/>
          <w:b w:val="0"/>
          <w:bCs w:val="0"/>
          <w:color w:val="auto"/>
          <w:kern w:val="0"/>
          <w:sz w:val="22"/>
          <w:szCs w:val="22"/>
          <w:lang w:val="en-US" w:eastAsia="zh-CN"/>
        </w:rPr>
        <w:t>单位</w:t>
      </w:r>
      <w:r>
        <w:rPr>
          <w:rFonts w:hint="eastAsia" w:ascii="宋体" w:hAnsi="宋体" w:eastAsia="宋体" w:cs="Times New Roman"/>
          <w:b w:val="0"/>
          <w:bCs w:val="0"/>
          <w:color w:val="auto"/>
          <w:kern w:val="0"/>
          <w:sz w:val="22"/>
          <w:szCs w:val="22"/>
        </w:rPr>
        <w:t>电话通知</w:t>
      </w:r>
      <w:r>
        <w:rPr>
          <w:rFonts w:hint="eastAsia" w:ascii="宋体" w:hAnsi="宋体" w:eastAsia="宋体" w:cs="Times New Roman"/>
          <w:b w:val="0"/>
          <w:bCs w:val="0"/>
          <w:color w:val="auto"/>
          <w:kern w:val="0"/>
          <w:sz w:val="22"/>
          <w:szCs w:val="22"/>
          <w:lang w:val="en-US" w:eastAsia="zh-CN"/>
        </w:rPr>
        <w:t>采购单位</w:t>
      </w:r>
      <w:r>
        <w:rPr>
          <w:rFonts w:hint="eastAsia" w:ascii="宋体" w:hAnsi="宋体" w:eastAsia="宋体" w:cs="Times New Roman"/>
          <w:b w:val="0"/>
          <w:bCs w:val="0"/>
          <w:color w:val="auto"/>
          <w:kern w:val="0"/>
          <w:sz w:val="22"/>
          <w:szCs w:val="22"/>
        </w:rPr>
        <w:t>现场验收，并提供现场照片，如</w:t>
      </w:r>
      <w:r>
        <w:rPr>
          <w:rFonts w:hint="eastAsia" w:ascii="宋体" w:hAnsi="宋体" w:eastAsia="宋体" w:cs="Times New Roman"/>
          <w:b w:val="0"/>
          <w:bCs w:val="0"/>
          <w:color w:val="auto"/>
          <w:kern w:val="0"/>
          <w:sz w:val="22"/>
          <w:szCs w:val="22"/>
          <w:lang w:val="en-US" w:eastAsia="zh-CN"/>
        </w:rPr>
        <w:t>采购单位</w:t>
      </w:r>
      <w:r>
        <w:rPr>
          <w:rFonts w:hint="eastAsia" w:ascii="宋体" w:hAnsi="宋体" w:eastAsia="宋体" w:cs="Times New Roman"/>
          <w:b w:val="0"/>
          <w:bCs w:val="0"/>
          <w:color w:val="auto"/>
          <w:kern w:val="0"/>
          <w:sz w:val="22"/>
          <w:szCs w:val="22"/>
        </w:rPr>
        <w:t>接到验收通知后一星期内无异议，作验收合格结论；</w:t>
      </w:r>
      <w:r>
        <w:rPr>
          <w:rFonts w:hint="eastAsia" w:ascii="宋体" w:hAnsi="宋体" w:eastAsia="宋体" w:cs="Times New Roman"/>
          <w:b w:val="0"/>
          <w:bCs w:val="0"/>
          <w:color w:val="auto"/>
          <w:kern w:val="0"/>
          <w:sz w:val="22"/>
          <w:szCs w:val="22"/>
          <w:lang w:val="en-US" w:eastAsia="zh-CN"/>
        </w:rPr>
        <w:t>采购单位</w:t>
      </w:r>
      <w:r>
        <w:rPr>
          <w:rFonts w:hint="eastAsia" w:ascii="宋体" w:hAnsi="宋体" w:eastAsia="宋体" w:cs="Times New Roman"/>
          <w:b w:val="0"/>
          <w:bCs w:val="0"/>
          <w:color w:val="auto"/>
          <w:kern w:val="0"/>
          <w:sz w:val="22"/>
          <w:szCs w:val="22"/>
        </w:rPr>
        <w:t>如对中标</w:t>
      </w:r>
      <w:r>
        <w:rPr>
          <w:rFonts w:hint="eastAsia" w:ascii="宋体" w:hAnsi="宋体" w:eastAsia="宋体" w:cs="Times New Roman"/>
          <w:b w:val="0"/>
          <w:bCs w:val="0"/>
          <w:color w:val="auto"/>
          <w:kern w:val="0"/>
          <w:sz w:val="22"/>
          <w:szCs w:val="22"/>
          <w:lang w:val="en-US" w:eastAsia="zh-CN"/>
        </w:rPr>
        <w:t>单位</w:t>
      </w:r>
      <w:r>
        <w:rPr>
          <w:rFonts w:hint="eastAsia" w:ascii="宋体" w:hAnsi="宋体" w:eastAsia="宋体" w:cs="Times New Roman"/>
          <w:b w:val="0"/>
          <w:bCs w:val="0"/>
          <w:color w:val="auto"/>
          <w:kern w:val="0"/>
          <w:sz w:val="22"/>
          <w:szCs w:val="22"/>
        </w:rPr>
        <w:t>完成情况有异议，应在现场验收之日起七天内提出书面异议。</w:t>
      </w:r>
      <w:r>
        <w:rPr>
          <w:rFonts w:hint="eastAsia" w:ascii="宋体" w:hAnsi="宋体" w:cs="Times New Roman"/>
          <w:b w:val="0"/>
          <w:bCs w:val="0"/>
          <w:color w:val="auto"/>
          <w:kern w:val="0"/>
          <w:sz w:val="22"/>
          <w:szCs w:val="22"/>
          <w:lang w:val="en-US" w:eastAsia="zh-CN"/>
        </w:rPr>
        <w:t xml:space="preserve"> </w:t>
      </w:r>
    </w:p>
    <w:p w14:paraId="0C284B40">
      <w:pPr>
        <w:pStyle w:val="71"/>
        <w:keepNext w:val="0"/>
        <w:keepLines w:val="0"/>
        <w:pageBreakBefore w:val="0"/>
        <w:widowControl/>
        <w:numPr>
          <w:ilvl w:val="0"/>
          <w:numId w:val="0"/>
        </w:numPr>
        <w:kinsoku/>
        <w:wordWrap/>
        <w:overflowPunct/>
        <w:topLinePunct w:val="0"/>
        <w:autoSpaceDE/>
        <w:autoSpaceDN/>
        <w:bidi w:val="0"/>
        <w:adjustRightInd/>
        <w:snapToGrid/>
        <w:spacing w:line="600" w:lineRule="exact"/>
        <w:textAlignment w:val="auto"/>
        <w:rPr>
          <w:rFonts w:hint="eastAsia"/>
          <w:lang w:val="en-US" w:eastAsia="zh-CN"/>
        </w:rPr>
      </w:pPr>
      <w:r>
        <w:rPr>
          <w:rFonts w:hint="eastAsia" w:cs="Times New Roman"/>
          <w:b/>
          <w:bCs/>
          <w:color w:val="auto"/>
          <w:kern w:val="0"/>
          <w:sz w:val="22"/>
          <w:szCs w:val="22"/>
          <w:lang w:val="en-US" w:eastAsia="zh-CN" w:bidi="ar-SA"/>
        </w:rPr>
        <w:t>七</w:t>
      </w:r>
      <w:r>
        <w:rPr>
          <w:rFonts w:hint="eastAsia" w:ascii="宋体" w:hAnsi="宋体" w:cs="Times New Roman"/>
          <w:b/>
          <w:bCs/>
          <w:color w:val="auto"/>
          <w:kern w:val="0"/>
          <w:sz w:val="22"/>
          <w:szCs w:val="22"/>
          <w:lang w:val="en-US" w:eastAsia="zh-CN" w:bidi="ar-SA"/>
        </w:rPr>
        <w:t>、</w:t>
      </w:r>
      <w:r>
        <w:rPr>
          <w:rFonts w:hint="eastAsia" w:ascii="宋体" w:hAnsi="宋体" w:eastAsia="宋体" w:cs="宋体"/>
          <w:b/>
          <w:bCs/>
          <w:color w:val="auto"/>
          <w:sz w:val="22"/>
          <w:szCs w:val="22"/>
          <w:highlight w:val="none"/>
          <w:lang w:val="en-US" w:eastAsia="zh-CN"/>
        </w:rPr>
        <w:t>服务期限：</w:t>
      </w:r>
      <w:r>
        <w:rPr>
          <w:rFonts w:hint="eastAsia" w:cs="宋体"/>
          <w:color w:val="auto"/>
          <w:sz w:val="22"/>
          <w:szCs w:val="22"/>
          <w:highlight w:val="none"/>
          <w:lang w:val="en-US" w:eastAsia="zh-CN"/>
        </w:rPr>
        <w:t>2</w:t>
      </w:r>
      <w:r>
        <w:rPr>
          <w:rFonts w:hint="eastAsia" w:ascii="宋体" w:hAnsi="宋体" w:eastAsia="宋体" w:cs="宋体"/>
          <w:color w:val="auto"/>
          <w:sz w:val="22"/>
          <w:szCs w:val="22"/>
          <w:highlight w:val="none"/>
          <w:lang w:val="en-US" w:eastAsia="zh-CN"/>
        </w:rPr>
        <w:t>年，合同根据服务质量签订。如在服务期内如遇特殊情况</w:t>
      </w:r>
      <w:r>
        <w:rPr>
          <w:rFonts w:hint="eastAsia" w:cs="宋体"/>
          <w:color w:val="auto"/>
          <w:sz w:val="22"/>
          <w:szCs w:val="22"/>
          <w:highlight w:val="none"/>
          <w:lang w:val="en-US" w:eastAsia="zh-CN"/>
        </w:rPr>
        <w:t>（如政策调整等不可抗力因素）</w:t>
      </w:r>
      <w:r>
        <w:rPr>
          <w:rFonts w:hint="eastAsia" w:ascii="宋体" w:hAnsi="宋体" w:eastAsia="宋体" w:cs="宋体"/>
          <w:color w:val="auto"/>
          <w:sz w:val="22"/>
          <w:szCs w:val="22"/>
          <w:highlight w:val="none"/>
          <w:lang w:val="en-US" w:eastAsia="zh-CN"/>
        </w:rPr>
        <w:t>，</w:t>
      </w:r>
      <w:r>
        <w:rPr>
          <w:rFonts w:hint="eastAsia" w:cs="宋体"/>
          <w:color w:val="auto"/>
          <w:sz w:val="22"/>
          <w:szCs w:val="22"/>
          <w:highlight w:val="none"/>
          <w:lang w:val="en-US" w:eastAsia="zh-CN"/>
        </w:rPr>
        <w:t>采购单位</w:t>
      </w:r>
      <w:r>
        <w:rPr>
          <w:rFonts w:hint="eastAsia" w:ascii="宋体" w:hAnsi="宋体" w:eastAsia="宋体" w:cs="宋体"/>
          <w:color w:val="auto"/>
          <w:sz w:val="22"/>
          <w:szCs w:val="22"/>
          <w:highlight w:val="none"/>
          <w:lang w:val="en-US" w:eastAsia="zh-CN"/>
        </w:rPr>
        <w:t>有权提前终止合同，</w:t>
      </w:r>
      <w:r>
        <w:rPr>
          <w:rFonts w:hint="default" w:ascii="宋体" w:hAnsi="宋体" w:eastAsia="宋体" w:cs="宋体"/>
          <w:color w:val="auto"/>
          <w:sz w:val="22"/>
          <w:szCs w:val="22"/>
          <w:highlight w:val="none"/>
          <w:lang w:val="zh-CN" w:eastAsia="zh-CN"/>
        </w:rPr>
        <w:t>且无须就提前终止</w:t>
      </w:r>
      <w:r>
        <w:rPr>
          <w:rFonts w:hint="eastAsia" w:ascii="宋体" w:hAnsi="宋体" w:eastAsia="宋体" w:cs="宋体"/>
          <w:color w:val="auto"/>
          <w:sz w:val="22"/>
          <w:szCs w:val="22"/>
          <w:highlight w:val="none"/>
          <w:lang w:val="en-US" w:eastAsia="zh-CN"/>
        </w:rPr>
        <w:t>合同</w:t>
      </w:r>
      <w:r>
        <w:rPr>
          <w:rFonts w:hint="default" w:ascii="宋体" w:hAnsi="宋体" w:eastAsia="宋体" w:cs="宋体"/>
          <w:color w:val="auto"/>
          <w:sz w:val="22"/>
          <w:szCs w:val="22"/>
          <w:highlight w:val="none"/>
          <w:lang w:val="zh-CN" w:eastAsia="zh-CN"/>
        </w:rPr>
        <w:t>向</w:t>
      </w:r>
      <w:r>
        <w:rPr>
          <w:rFonts w:hint="eastAsia" w:ascii="宋体" w:hAnsi="宋体" w:eastAsia="宋体" w:cs="宋体"/>
          <w:color w:val="auto"/>
          <w:sz w:val="22"/>
          <w:szCs w:val="22"/>
          <w:highlight w:val="none"/>
          <w:lang w:val="en-US" w:eastAsia="zh-CN"/>
        </w:rPr>
        <w:t>中标单位</w:t>
      </w:r>
      <w:r>
        <w:rPr>
          <w:rFonts w:hint="default" w:ascii="宋体" w:hAnsi="宋体" w:eastAsia="宋体" w:cs="宋体"/>
          <w:color w:val="auto"/>
          <w:sz w:val="22"/>
          <w:szCs w:val="22"/>
          <w:highlight w:val="none"/>
          <w:lang w:val="zh-CN" w:eastAsia="zh-CN"/>
        </w:rPr>
        <w:t>承担</w:t>
      </w:r>
      <w:r>
        <w:rPr>
          <w:rFonts w:hint="eastAsia" w:ascii="宋体" w:hAnsi="宋体" w:eastAsia="宋体" w:cs="宋体"/>
          <w:color w:val="auto"/>
          <w:sz w:val="22"/>
          <w:szCs w:val="22"/>
          <w:highlight w:val="none"/>
          <w:lang w:val="en-US" w:eastAsia="zh-CN"/>
        </w:rPr>
        <w:t>任何</w:t>
      </w:r>
      <w:r>
        <w:rPr>
          <w:rFonts w:hint="default" w:ascii="宋体" w:hAnsi="宋体" w:eastAsia="宋体" w:cs="宋体"/>
          <w:color w:val="auto"/>
          <w:sz w:val="22"/>
          <w:szCs w:val="22"/>
          <w:highlight w:val="none"/>
          <w:lang w:val="zh-CN" w:eastAsia="zh-CN"/>
        </w:rPr>
        <w:t>赔偿责任</w:t>
      </w:r>
      <w:r>
        <w:rPr>
          <w:rFonts w:hint="eastAsia" w:ascii="宋体" w:hAnsi="宋体" w:eastAsia="宋体" w:cs="宋体"/>
          <w:color w:val="auto"/>
          <w:sz w:val="22"/>
          <w:szCs w:val="22"/>
          <w:highlight w:val="none"/>
          <w:lang w:val="zh-CN" w:eastAsia="zh-CN"/>
        </w:rPr>
        <w:t>，</w:t>
      </w:r>
      <w:r>
        <w:rPr>
          <w:rFonts w:hint="eastAsia" w:ascii="宋体" w:hAnsi="宋体" w:eastAsia="宋体" w:cs="宋体"/>
          <w:color w:val="auto"/>
          <w:sz w:val="22"/>
          <w:szCs w:val="22"/>
          <w:highlight w:val="none"/>
          <w:lang w:val="en-US" w:eastAsia="zh-CN"/>
        </w:rPr>
        <w:t>但需提前30天告知中标单位。</w:t>
      </w:r>
    </w:p>
    <w:p w14:paraId="63EFDC40">
      <w:pPr>
        <w:keepNext w:val="0"/>
        <w:keepLines w:val="0"/>
        <w:pageBreakBefore w:val="0"/>
        <w:kinsoku/>
        <w:wordWrap/>
        <w:overflowPunct/>
        <w:topLinePunct w:val="0"/>
        <w:bidi w:val="0"/>
        <w:adjustRightInd w:val="0"/>
        <w:snapToGrid w:val="0"/>
        <w:spacing w:line="400" w:lineRule="exact"/>
        <w:rPr>
          <w:rFonts w:hint="eastAsia" w:ascii="Times New Roman" w:hAnsi="Times New Roman" w:cs="Times New Roman"/>
          <w:b/>
          <w:bCs/>
          <w:color w:val="auto"/>
          <w:sz w:val="22"/>
          <w:szCs w:val="22"/>
          <w:highlight w:val="none"/>
          <w:lang w:val="en-US" w:eastAsia="zh-CN"/>
        </w:rPr>
      </w:pPr>
    </w:p>
    <w:p w14:paraId="58D97E42">
      <w:pPr>
        <w:keepNext w:val="0"/>
        <w:keepLines w:val="0"/>
        <w:pageBreakBefore w:val="0"/>
        <w:kinsoku/>
        <w:wordWrap/>
        <w:overflowPunct/>
        <w:topLinePunct w:val="0"/>
        <w:bidi w:val="0"/>
        <w:adjustRightInd w:val="0"/>
        <w:snapToGrid w:val="0"/>
        <w:spacing w:line="400" w:lineRule="exact"/>
        <w:rPr>
          <w:rFonts w:hint="eastAsia" w:ascii="Times New Roman" w:hAnsi="Times New Roman" w:cs="Times New Roman"/>
          <w:b/>
          <w:bCs/>
          <w:color w:val="auto"/>
          <w:sz w:val="22"/>
          <w:szCs w:val="22"/>
          <w:highlight w:val="none"/>
          <w:lang w:val="en-US" w:eastAsia="zh-CN"/>
        </w:rPr>
      </w:pPr>
    </w:p>
    <w:p w14:paraId="7E1C11CE">
      <w:pPr>
        <w:keepNext w:val="0"/>
        <w:keepLines w:val="0"/>
        <w:pageBreakBefore w:val="0"/>
        <w:kinsoku/>
        <w:wordWrap/>
        <w:overflowPunct/>
        <w:topLinePunct w:val="0"/>
        <w:bidi w:val="0"/>
        <w:adjustRightInd w:val="0"/>
        <w:snapToGrid w:val="0"/>
        <w:spacing w:line="400" w:lineRule="exact"/>
        <w:rPr>
          <w:rFonts w:hint="eastAsia" w:ascii="Times New Roman" w:hAnsi="Times New Roman" w:cs="Times New Roman"/>
          <w:b/>
          <w:bCs/>
          <w:color w:val="auto"/>
          <w:sz w:val="22"/>
          <w:szCs w:val="22"/>
          <w:highlight w:val="none"/>
          <w:lang w:val="en-US" w:eastAsia="zh-CN"/>
        </w:rPr>
      </w:pPr>
    </w:p>
    <w:p w14:paraId="7D1DE20C">
      <w:pPr>
        <w:keepNext w:val="0"/>
        <w:keepLines w:val="0"/>
        <w:pageBreakBefore w:val="0"/>
        <w:kinsoku/>
        <w:wordWrap/>
        <w:overflowPunct/>
        <w:topLinePunct w:val="0"/>
        <w:bidi w:val="0"/>
        <w:adjustRightInd w:val="0"/>
        <w:snapToGrid w:val="0"/>
        <w:spacing w:line="400" w:lineRule="exact"/>
        <w:rPr>
          <w:rFonts w:hint="eastAsia" w:ascii="Times New Roman" w:hAnsi="Times New Roman" w:cs="Times New Roman"/>
          <w:b/>
          <w:bCs/>
          <w:color w:val="auto"/>
          <w:sz w:val="22"/>
          <w:szCs w:val="22"/>
          <w:highlight w:val="none"/>
          <w:lang w:val="en-US" w:eastAsia="zh-CN"/>
        </w:rPr>
      </w:pPr>
    </w:p>
    <w:p w14:paraId="29FAE612">
      <w:pPr>
        <w:keepNext w:val="0"/>
        <w:keepLines w:val="0"/>
        <w:pageBreakBefore w:val="0"/>
        <w:kinsoku/>
        <w:wordWrap/>
        <w:overflowPunct/>
        <w:topLinePunct w:val="0"/>
        <w:bidi w:val="0"/>
        <w:adjustRightInd w:val="0"/>
        <w:snapToGrid w:val="0"/>
        <w:spacing w:line="400" w:lineRule="exact"/>
        <w:rPr>
          <w:rFonts w:hint="eastAsia" w:ascii="Times New Roman" w:hAnsi="Times New Roman" w:cs="Times New Roman"/>
          <w:b/>
          <w:bCs/>
          <w:color w:val="auto"/>
          <w:sz w:val="22"/>
          <w:szCs w:val="22"/>
          <w:highlight w:val="none"/>
          <w:lang w:val="en-US" w:eastAsia="zh-CN"/>
        </w:rPr>
      </w:pPr>
    </w:p>
    <w:p w14:paraId="3E92CE41">
      <w:pPr>
        <w:pStyle w:val="25"/>
        <w:rPr>
          <w:rFonts w:hint="eastAsia" w:ascii="Times New Roman" w:hAnsi="Times New Roman" w:cs="Times New Roman"/>
          <w:b/>
          <w:bCs/>
          <w:color w:val="auto"/>
          <w:sz w:val="22"/>
          <w:szCs w:val="22"/>
          <w:highlight w:val="none"/>
          <w:lang w:val="en-US" w:eastAsia="zh-CN"/>
        </w:rPr>
      </w:pPr>
    </w:p>
    <w:p w14:paraId="1376CE69">
      <w:pPr>
        <w:pStyle w:val="21"/>
        <w:rPr>
          <w:rFonts w:hint="eastAsia" w:ascii="Times New Roman" w:hAnsi="Times New Roman" w:cs="Times New Roman"/>
          <w:b/>
          <w:bCs/>
          <w:color w:val="auto"/>
          <w:sz w:val="22"/>
          <w:szCs w:val="22"/>
          <w:highlight w:val="none"/>
          <w:lang w:val="en-US" w:eastAsia="zh-CN"/>
        </w:rPr>
      </w:pPr>
    </w:p>
    <w:p w14:paraId="58AC32A9">
      <w:pPr>
        <w:rPr>
          <w:rFonts w:hint="eastAsia"/>
          <w:lang w:val="en-US" w:eastAsia="zh-CN"/>
        </w:rPr>
      </w:pPr>
    </w:p>
    <w:p w14:paraId="4E91D00F">
      <w:pPr>
        <w:pStyle w:val="26"/>
        <w:rPr>
          <w:rFonts w:hint="eastAsia"/>
          <w:lang w:val="en-US" w:eastAsia="zh-CN"/>
        </w:rPr>
      </w:pPr>
    </w:p>
    <w:p w14:paraId="2EE9EDF4">
      <w:pPr>
        <w:pStyle w:val="36"/>
        <w:rPr>
          <w:rFonts w:hint="eastAsia"/>
          <w:lang w:val="en-US" w:eastAsia="zh-CN"/>
        </w:rPr>
      </w:pPr>
    </w:p>
    <w:p w14:paraId="70D08C8D">
      <w:pPr>
        <w:keepNext w:val="0"/>
        <w:keepLines w:val="0"/>
        <w:pageBreakBefore w:val="0"/>
        <w:kinsoku/>
        <w:wordWrap/>
        <w:overflowPunct/>
        <w:topLinePunct w:val="0"/>
        <w:bidi w:val="0"/>
        <w:adjustRightInd w:val="0"/>
        <w:snapToGrid w:val="0"/>
        <w:spacing w:line="400" w:lineRule="exact"/>
        <w:rPr>
          <w:rFonts w:hint="eastAsia" w:ascii="Times New Roman" w:hAnsi="Times New Roman" w:cs="Times New Roman"/>
          <w:b/>
          <w:bCs/>
          <w:color w:val="auto"/>
          <w:sz w:val="22"/>
          <w:szCs w:val="22"/>
          <w:highlight w:val="none"/>
          <w:lang w:val="en-US" w:eastAsia="zh-CN"/>
        </w:rPr>
      </w:pPr>
      <w:r>
        <w:rPr>
          <w:rFonts w:hint="eastAsia" w:ascii="Times New Roman" w:hAnsi="Times New Roman" w:cs="Times New Roman"/>
          <w:b/>
          <w:bCs/>
          <w:color w:val="auto"/>
          <w:sz w:val="22"/>
          <w:szCs w:val="22"/>
          <w:highlight w:val="none"/>
          <w:lang w:val="en-US" w:eastAsia="zh-CN"/>
        </w:rPr>
        <w:t>附件一：</w:t>
      </w:r>
    </w:p>
    <w:p w14:paraId="55359BFB">
      <w:pPr>
        <w:keepNext w:val="0"/>
        <w:keepLines w:val="0"/>
        <w:pageBreakBefore w:val="0"/>
        <w:kinsoku/>
        <w:wordWrap/>
        <w:overflowPunct/>
        <w:topLinePunct w:val="0"/>
        <w:bidi w:val="0"/>
        <w:adjustRightInd w:val="0"/>
        <w:snapToGrid w:val="0"/>
        <w:spacing w:line="400" w:lineRule="exact"/>
        <w:jc w:val="center"/>
        <w:rPr>
          <w:rFonts w:hint="eastAsia" w:ascii="宋体" w:hAnsi="宋体"/>
          <w:bCs/>
          <w:color w:val="auto"/>
          <w:sz w:val="22"/>
          <w:szCs w:val="22"/>
          <w:highlight w:val="none"/>
        </w:rPr>
      </w:pPr>
      <w:r>
        <w:rPr>
          <w:rFonts w:hint="eastAsia" w:ascii="宋体" w:hAnsi="宋体" w:cs="宋体"/>
          <w:b/>
          <w:bCs/>
          <w:color w:val="auto"/>
          <w:sz w:val="22"/>
          <w:szCs w:val="22"/>
          <w:highlight w:val="none"/>
        </w:rPr>
        <w:t>服务考核表</w:t>
      </w:r>
    </w:p>
    <w:tbl>
      <w:tblPr>
        <w:tblStyle w:val="27"/>
        <w:tblW w:w="8860" w:type="dxa"/>
        <w:jc w:val="center"/>
        <w:tblLayout w:type="fixed"/>
        <w:tblCellMar>
          <w:top w:w="0" w:type="dxa"/>
          <w:left w:w="108" w:type="dxa"/>
          <w:bottom w:w="0" w:type="dxa"/>
          <w:right w:w="108" w:type="dxa"/>
        </w:tblCellMar>
      </w:tblPr>
      <w:tblGrid>
        <w:gridCol w:w="700"/>
        <w:gridCol w:w="6472"/>
        <w:gridCol w:w="948"/>
        <w:gridCol w:w="740"/>
      </w:tblGrid>
      <w:tr w14:paraId="749847A6">
        <w:tblPrEx>
          <w:tblCellMar>
            <w:top w:w="0" w:type="dxa"/>
            <w:left w:w="108" w:type="dxa"/>
            <w:bottom w:w="0" w:type="dxa"/>
            <w:right w:w="108" w:type="dxa"/>
          </w:tblCellMar>
        </w:tblPrEx>
        <w:trPr>
          <w:trHeight w:val="397" w:hRule="atLeast"/>
          <w:jc w:val="center"/>
        </w:trPr>
        <w:tc>
          <w:tcPr>
            <w:tcW w:w="7172" w:type="dxa"/>
            <w:gridSpan w:val="2"/>
            <w:tcBorders>
              <w:top w:val="nil"/>
              <w:left w:val="nil"/>
              <w:bottom w:val="single" w:color="auto" w:sz="4" w:space="0"/>
              <w:right w:val="nil"/>
            </w:tcBorders>
            <w:noWrap w:val="0"/>
            <w:vAlign w:val="center"/>
          </w:tcPr>
          <w:p w14:paraId="0747BE2A">
            <w:pPr>
              <w:keepNext w:val="0"/>
              <w:keepLines w:val="0"/>
              <w:pageBreakBefore w:val="0"/>
              <w:widowControl/>
              <w:kinsoku/>
              <w:wordWrap/>
              <w:overflowPunct/>
              <w:topLinePunct w:val="0"/>
              <w:bidi w:val="0"/>
              <w:spacing w:line="40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考评时间：     年   月</w:t>
            </w:r>
          </w:p>
        </w:tc>
        <w:tc>
          <w:tcPr>
            <w:tcW w:w="948" w:type="dxa"/>
            <w:tcBorders>
              <w:top w:val="nil"/>
              <w:left w:val="nil"/>
              <w:bottom w:val="nil"/>
              <w:right w:val="nil"/>
            </w:tcBorders>
            <w:noWrap w:val="0"/>
            <w:vAlign w:val="center"/>
          </w:tcPr>
          <w:p w14:paraId="4904869C">
            <w:pPr>
              <w:keepNext w:val="0"/>
              <w:keepLines w:val="0"/>
              <w:pageBreakBefore w:val="0"/>
              <w:widowControl/>
              <w:kinsoku/>
              <w:wordWrap/>
              <w:overflowPunct/>
              <w:topLinePunct w:val="0"/>
              <w:bidi w:val="0"/>
              <w:spacing w:line="400" w:lineRule="exact"/>
              <w:jc w:val="center"/>
              <w:rPr>
                <w:rFonts w:ascii="宋体" w:hAnsi="宋体" w:cs="宋体"/>
                <w:color w:val="auto"/>
                <w:sz w:val="22"/>
                <w:szCs w:val="22"/>
                <w:highlight w:val="none"/>
              </w:rPr>
            </w:pPr>
          </w:p>
        </w:tc>
        <w:tc>
          <w:tcPr>
            <w:tcW w:w="740" w:type="dxa"/>
            <w:tcBorders>
              <w:top w:val="nil"/>
              <w:left w:val="nil"/>
              <w:bottom w:val="nil"/>
              <w:right w:val="nil"/>
            </w:tcBorders>
            <w:noWrap w:val="0"/>
            <w:vAlign w:val="center"/>
          </w:tcPr>
          <w:p w14:paraId="16DC80BC">
            <w:pPr>
              <w:keepNext w:val="0"/>
              <w:keepLines w:val="0"/>
              <w:pageBreakBefore w:val="0"/>
              <w:widowControl/>
              <w:kinsoku/>
              <w:wordWrap/>
              <w:overflowPunct/>
              <w:topLinePunct w:val="0"/>
              <w:bidi w:val="0"/>
              <w:spacing w:line="400" w:lineRule="exact"/>
              <w:jc w:val="center"/>
              <w:rPr>
                <w:rFonts w:ascii="宋体" w:hAnsi="宋体" w:cs="宋体"/>
                <w:color w:val="auto"/>
                <w:sz w:val="22"/>
                <w:szCs w:val="22"/>
                <w:highlight w:val="none"/>
              </w:rPr>
            </w:pPr>
          </w:p>
        </w:tc>
      </w:tr>
      <w:tr w14:paraId="51B9EFF8">
        <w:tblPrEx>
          <w:tblCellMar>
            <w:top w:w="0" w:type="dxa"/>
            <w:left w:w="108" w:type="dxa"/>
            <w:bottom w:w="0" w:type="dxa"/>
            <w:right w:w="108" w:type="dxa"/>
          </w:tblCellMar>
        </w:tblPrEx>
        <w:trPr>
          <w:trHeight w:val="397" w:hRule="atLeast"/>
          <w:jc w:val="center"/>
        </w:trPr>
        <w:tc>
          <w:tcPr>
            <w:tcW w:w="700" w:type="dxa"/>
            <w:tcBorders>
              <w:top w:val="nil"/>
              <w:left w:val="single" w:color="auto" w:sz="4" w:space="0"/>
              <w:bottom w:val="single" w:color="auto" w:sz="4" w:space="0"/>
              <w:right w:val="single" w:color="auto" w:sz="4" w:space="0"/>
            </w:tcBorders>
            <w:noWrap w:val="0"/>
            <w:vAlign w:val="center"/>
          </w:tcPr>
          <w:p w14:paraId="5007B8F3">
            <w:pPr>
              <w:keepNext w:val="0"/>
              <w:keepLines w:val="0"/>
              <w:pageBreakBefore w:val="0"/>
              <w:widowControl/>
              <w:kinsoku/>
              <w:wordWrap/>
              <w:overflowPunct/>
              <w:topLinePunct w:val="0"/>
              <w:bidi w:val="0"/>
              <w:spacing w:line="40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序号</w:t>
            </w:r>
          </w:p>
        </w:tc>
        <w:tc>
          <w:tcPr>
            <w:tcW w:w="6472" w:type="dxa"/>
            <w:tcBorders>
              <w:top w:val="nil"/>
              <w:left w:val="nil"/>
              <w:bottom w:val="single" w:color="auto" w:sz="4" w:space="0"/>
              <w:right w:val="single" w:color="auto" w:sz="4" w:space="0"/>
            </w:tcBorders>
            <w:noWrap w:val="0"/>
            <w:vAlign w:val="center"/>
          </w:tcPr>
          <w:p w14:paraId="75D4CD05">
            <w:pPr>
              <w:keepNext w:val="0"/>
              <w:keepLines w:val="0"/>
              <w:pageBreakBefore w:val="0"/>
              <w:widowControl/>
              <w:kinsoku/>
              <w:wordWrap/>
              <w:overflowPunct/>
              <w:topLinePunct w:val="0"/>
              <w:bidi w:val="0"/>
              <w:spacing w:line="40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考评条款</w:t>
            </w:r>
          </w:p>
        </w:tc>
        <w:tc>
          <w:tcPr>
            <w:tcW w:w="1688" w:type="dxa"/>
            <w:gridSpan w:val="2"/>
            <w:tcBorders>
              <w:top w:val="single" w:color="auto" w:sz="4" w:space="0"/>
              <w:left w:val="nil"/>
              <w:bottom w:val="single" w:color="auto" w:sz="4" w:space="0"/>
              <w:right w:val="single" w:color="auto" w:sz="4" w:space="0"/>
            </w:tcBorders>
            <w:noWrap w:val="0"/>
            <w:vAlign w:val="center"/>
          </w:tcPr>
          <w:p w14:paraId="50FA1F41">
            <w:pPr>
              <w:keepNext w:val="0"/>
              <w:keepLines w:val="0"/>
              <w:pageBreakBefore w:val="0"/>
              <w:widowControl/>
              <w:kinsoku/>
              <w:wordWrap/>
              <w:overflowPunct/>
              <w:topLinePunct w:val="0"/>
              <w:bidi w:val="0"/>
              <w:spacing w:line="40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当期扣分</w:t>
            </w:r>
          </w:p>
        </w:tc>
      </w:tr>
      <w:tr w14:paraId="689F7B14">
        <w:tblPrEx>
          <w:tblCellMar>
            <w:top w:w="0" w:type="dxa"/>
            <w:left w:w="108" w:type="dxa"/>
            <w:bottom w:w="0" w:type="dxa"/>
            <w:right w:w="108" w:type="dxa"/>
          </w:tblCellMar>
        </w:tblPrEx>
        <w:trPr>
          <w:trHeight w:val="397" w:hRule="atLeast"/>
          <w:jc w:val="center"/>
        </w:trPr>
        <w:tc>
          <w:tcPr>
            <w:tcW w:w="700" w:type="dxa"/>
            <w:tcBorders>
              <w:top w:val="nil"/>
              <w:left w:val="single" w:color="auto" w:sz="4" w:space="0"/>
              <w:bottom w:val="single" w:color="auto" w:sz="4" w:space="0"/>
              <w:right w:val="single" w:color="auto" w:sz="4" w:space="0"/>
            </w:tcBorders>
            <w:noWrap w:val="0"/>
            <w:vAlign w:val="center"/>
          </w:tcPr>
          <w:p w14:paraId="27311FFB">
            <w:pPr>
              <w:keepNext w:val="0"/>
              <w:keepLines w:val="0"/>
              <w:pageBreakBefore w:val="0"/>
              <w:widowControl/>
              <w:kinsoku/>
              <w:wordWrap/>
              <w:overflowPunct/>
              <w:topLinePunct w:val="0"/>
              <w:bidi w:val="0"/>
              <w:spacing w:line="4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6472" w:type="dxa"/>
            <w:tcBorders>
              <w:top w:val="nil"/>
              <w:left w:val="nil"/>
              <w:bottom w:val="single" w:color="auto" w:sz="4" w:space="0"/>
              <w:right w:val="single" w:color="auto" w:sz="4" w:space="0"/>
            </w:tcBorders>
            <w:noWrap w:val="0"/>
            <w:vAlign w:val="center"/>
          </w:tcPr>
          <w:p w14:paraId="2C01C27E">
            <w:pPr>
              <w:keepNext w:val="0"/>
              <w:keepLines w:val="0"/>
              <w:pageBreakBefore w:val="0"/>
              <w:widowControl/>
              <w:kinsoku/>
              <w:wordWrap/>
              <w:overflowPunct/>
              <w:topLinePunct w:val="0"/>
              <w:bidi w:val="0"/>
              <w:spacing w:line="400" w:lineRule="exact"/>
              <w:jc w:val="left"/>
              <w:rPr>
                <w:rFonts w:ascii="宋体" w:hAnsi="宋体" w:cs="宋体"/>
                <w:color w:val="auto"/>
                <w:sz w:val="22"/>
                <w:szCs w:val="22"/>
                <w:highlight w:val="none"/>
              </w:rPr>
            </w:pPr>
            <w:r>
              <w:rPr>
                <w:rFonts w:hint="eastAsia" w:ascii="宋体" w:hAnsi="宋体" w:cs="宋体"/>
                <w:color w:val="auto"/>
                <w:sz w:val="22"/>
                <w:szCs w:val="22"/>
                <w:highlight w:val="none"/>
                <w:lang w:val="en-US" w:eastAsia="zh-CN"/>
              </w:rPr>
              <w:t>实际转运量</w:t>
            </w:r>
            <w:r>
              <w:rPr>
                <w:rFonts w:hint="eastAsia" w:ascii="宋体" w:hAnsi="宋体" w:cs="宋体"/>
                <w:color w:val="auto"/>
                <w:sz w:val="22"/>
                <w:szCs w:val="22"/>
                <w:highlight w:val="none"/>
              </w:rPr>
              <w:t>达不到</w:t>
            </w:r>
            <w:r>
              <w:rPr>
                <w:rFonts w:hint="eastAsia" w:ascii="宋体" w:hAnsi="宋体" w:cs="宋体"/>
                <w:color w:val="auto"/>
                <w:sz w:val="22"/>
                <w:szCs w:val="22"/>
                <w:highlight w:val="none"/>
                <w:lang w:eastAsia="zh-CN"/>
              </w:rPr>
              <w:t>废水</w:t>
            </w:r>
            <w:r>
              <w:rPr>
                <w:rFonts w:hint="eastAsia" w:ascii="宋体" w:hAnsi="宋体" w:cs="宋体"/>
                <w:color w:val="auto"/>
                <w:sz w:val="22"/>
                <w:szCs w:val="22"/>
                <w:highlight w:val="none"/>
                <w:lang w:val="en-US" w:eastAsia="zh-CN"/>
              </w:rPr>
              <w:t>外运要求</w:t>
            </w:r>
            <w:r>
              <w:rPr>
                <w:rFonts w:hint="eastAsia" w:ascii="宋体" w:hAnsi="宋体" w:cs="宋体"/>
                <w:color w:val="auto"/>
                <w:sz w:val="22"/>
                <w:szCs w:val="22"/>
                <w:highlight w:val="none"/>
              </w:rPr>
              <w:t>，每发现一</w:t>
            </w:r>
            <w:r>
              <w:rPr>
                <w:rFonts w:hint="eastAsia" w:ascii="宋体" w:hAnsi="宋体" w:cs="宋体"/>
                <w:color w:val="auto"/>
                <w:sz w:val="22"/>
                <w:szCs w:val="22"/>
                <w:highlight w:val="none"/>
                <w:lang w:val="en-US" w:eastAsia="zh-CN"/>
              </w:rPr>
              <w:t>次</w:t>
            </w:r>
            <w:r>
              <w:rPr>
                <w:rFonts w:hint="eastAsia" w:ascii="宋体" w:hAnsi="宋体" w:cs="宋体"/>
                <w:color w:val="auto"/>
                <w:sz w:val="22"/>
                <w:szCs w:val="22"/>
                <w:highlight w:val="none"/>
              </w:rPr>
              <w:t>达不到要求，按次数叠加</w:t>
            </w:r>
            <w:r>
              <w:rPr>
                <w:rFonts w:hint="eastAsia" w:ascii="仿宋_GB2312" w:hAnsi="宋体" w:cs="宋体"/>
                <w:color w:val="auto"/>
                <w:sz w:val="22"/>
                <w:szCs w:val="22"/>
                <w:highlight w:val="none"/>
              </w:rPr>
              <w:t>扣分，单次扣</w:t>
            </w:r>
            <w:r>
              <w:rPr>
                <w:rFonts w:hint="eastAsia" w:ascii="仿宋_GB2312" w:hAnsi="宋体" w:cs="宋体"/>
                <w:color w:val="auto"/>
                <w:sz w:val="22"/>
                <w:szCs w:val="22"/>
                <w:highlight w:val="none"/>
                <w:lang w:val="en-US" w:eastAsia="zh-CN"/>
              </w:rPr>
              <w:t>20</w:t>
            </w:r>
            <w:r>
              <w:rPr>
                <w:rFonts w:hint="eastAsia" w:ascii="仿宋_GB2312" w:hAnsi="宋体" w:cs="宋体"/>
                <w:color w:val="auto"/>
                <w:sz w:val="22"/>
                <w:szCs w:val="22"/>
                <w:highlight w:val="none"/>
              </w:rPr>
              <w:t>分。</w:t>
            </w:r>
          </w:p>
        </w:tc>
        <w:tc>
          <w:tcPr>
            <w:tcW w:w="1688" w:type="dxa"/>
            <w:gridSpan w:val="2"/>
            <w:tcBorders>
              <w:top w:val="nil"/>
              <w:left w:val="nil"/>
              <w:bottom w:val="single" w:color="auto" w:sz="4" w:space="0"/>
              <w:right w:val="single" w:color="auto" w:sz="4" w:space="0"/>
            </w:tcBorders>
            <w:noWrap w:val="0"/>
            <w:vAlign w:val="center"/>
          </w:tcPr>
          <w:p w14:paraId="08E1D3EF">
            <w:pPr>
              <w:keepNext w:val="0"/>
              <w:keepLines w:val="0"/>
              <w:pageBreakBefore w:val="0"/>
              <w:widowControl/>
              <w:kinsoku/>
              <w:wordWrap/>
              <w:overflowPunct/>
              <w:topLinePunct w:val="0"/>
              <w:bidi w:val="0"/>
              <w:spacing w:line="400" w:lineRule="exact"/>
              <w:jc w:val="center"/>
              <w:rPr>
                <w:rFonts w:ascii="宋体" w:hAnsi="宋体" w:cs="宋体"/>
                <w:color w:val="auto"/>
                <w:sz w:val="22"/>
                <w:szCs w:val="22"/>
                <w:highlight w:val="none"/>
              </w:rPr>
            </w:pPr>
          </w:p>
        </w:tc>
      </w:tr>
      <w:tr w14:paraId="320D6B2C">
        <w:tblPrEx>
          <w:tblCellMar>
            <w:top w:w="0" w:type="dxa"/>
            <w:left w:w="108" w:type="dxa"/>
            <w:bottom w:w="0" w:type="dxa"/>
            <w:right w:w="108" w:type="dxa"/>
          </w:tblCellMar>
        </w:tblPrEx>
        <w:trPr>
          <w:trHeight w:val="397" w:hRule="atLeast"/>
          <w:jc w:val="center"/>
        </w:trPr>
        <w:tc>
          <w:tcPr>
            <w:tcW w:w="700" w:type="dxa"/>
            <w:tcBorders>
              <w:top w:val="nil"/>
              <w:left w:val="single" w:color="auto" w:sz="4" w:space="0"/>
              <w:bottom w:val="single" w:color="auto" w:sz="4" w:space="0"/>
              <w:right w:val="single" w:color="auto" w:sz="4" w:space="0"/>
            </w:tcBorders>
            <w:noWrap w:val="0"/>
            <w:vAlign w:val="center"/>
          </w:tcPr>
          <w:p w14:paraId="19947A6D">
            <w:pPr>
              <w:keepNext w:val="0"/>
              <w:keepLines w:val="0"/>
              <w:pageBreakBefore w:val="0"/>
              <w:widowControl/>
              <w:kinsoku/>
              <w:wordWrap/>
              <w:overflowPunct/>
              <w:topLinePunct w:val="0"/>
              <w:bidi w:val="0"/>
              <w:spacing w:line="4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2</w:t>
            </w:r>
          </w:p>
        </w:tc>
        <w:tc>
          <w:tcPr>
            <w:tcW w:w="6472" w:type="dxa"/>
            <w:tcBorders>
              <w:top w:val="nil"/>
              <w:left w:val="nil"/>
              <w:bottom w:val="single" w:color="auto" w:sz="4" w:space="0"/>
              <w:right w:val="single" w:color="auto" w:sz="4" w:space="0"/>
            </w:tcBorders>
            <w:noWrap w:val="0"/>
            <w:vAlign w:val="center"/>
          </w:tcPr>
          <w:p w14:paraId="4173ABAA">
            <w:pPr>
              <w:keepNext w:val="0"/>
              <w:keepLines w:val="0"/>
              <w:pageBreakBefore w:val="0"/>
              <w:widowControl/>
              <w:kinsoku/>
              <w:wordWrap/>
              <w:overflowPunct/>
              <w:topLinePunct w:val="0"/>
              <w:bidi w:val="0"/>
              <w:spacing w:line="400" w:lineRule="exact"/>
              <w:jc w:val="left"/>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未将渗滤液运输至指定地点进行安全处理的，每发现一次扣50分。</w:t>
            </w:r>
          </w:p>
        </w:tc>
        <w:tc>
          <w:tcPr>
            <w:tcW w:w="1688" w:type="dxa"/>
            <w:gridSpan w:val="2"/>
            <w:tcBorders>
              <w:top w:val="nil"/>
              <w:left w:val="nil"/>
              <w:bottom w:val="single" w:color="auto" w:sz="4" w:space="0"/>
              <w:right w:val="single" w:color="auto" w:sz="4" w:space="0"/>
            </w:tcBorders>
            <w:noWrap w:val="0"/>
            <w:vAlign w:val="center"/>
          </w:tcPr>
          <w:p w14:paraId="4A18E4CF">
            <w:pPr>
              <w:keepNext w:val="0"/>
              <w:keepLines w:val="0"/>
              <w:pageBreakBefore w:val="0"/>
              <w:widowControl/>
              <w:kinsoku/>
              <w:wordWrap/>
              <w:overflowPunct/>
              <w:topLinePunct w:val="0"/>
              <w:bidi w:val="0"/>
              <w:spacing w:line="400" w:lineRule="exact"/>
              <w:jc w:val="center"/>
              <w:rPr>
                <w:rFonts w:ascii="宋体" w:hAnsi="宋体" w:cs="宋体"/>
                <w:color w:val="auto"/>
                <w:sz w:val="22"/>
                <w:szCs w:val="22"/>
                <w:highlight w:val="none"/>
              </w:rPr>
            </w:pPr>
          </w:p>
        </w:tc>
      </w:tr>
      <w:tr w14:paraId="26716C7A">
        <w:tblPrEx>
          <w:tblCellMar>
            <w:top w:w="0" w:type="dxa"/>
            <w:left w:w="108" w:type="dxa"/>
            <w:bottom w:w="0" w:type="dxa"/>
            <w:right w:w="108" w:type="dxa"/>
          </w:tblCellMar>
        </w:tblPrEx>
        <w:trPr>
          <w:trHeight w:val="397" w:hRule="atLeast"/>
          <w:jc w:val="center"/>
        </w:trPr>
        <w:tc>
          <w:tcPr>
            <w:tcW w:w="700" w:type="dxa"/>
            <w:tcBorders>
              <w:top w:val="nil"/>
              <w:left w:val="single" w:color="auto" w:sz="4" w:space="0"/>
              <w:bottom w:val="single" w:color="auto" w:sz="4" w:space="0"/>
              <w:right w:val="single" w:color="auto" w:sz="4" w:space="0"/>
            </w:tcBorders>
            <w:noWrap w:val="0"/>
            <w:vAlign w:val="center"/>
          </w:tcPr>
          <w:p w14:paraId="01093C91">
            <w:pPr>
              <w:keepNext w:val="0"/>
              <w:keepLines w:val="0"/>
              <w:pageBreakBefore w:val="0"/>
              <w:widowControl/>
              <w:kinsoku/>
              <w:wordWrap/>
              <w:overflowPunct/>
              <w:topLinePunct w:val="0"/>
              <w:bidi w:val="0"/>
              <w:spacing w:line="400" w:lineRule="exact"/>
              <w:jc w:val="cente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3</w:t>
            </w:r>
          </w:p>
        </w:tc>
        <w:tc>
          <w:tcPr>
            <w:tcW w:w="6472" w:type="dxa"/>
            <w:tcBorders>
              <w:top w:val="nil"/>
              <w:left w:val="nil"/>
              <w:bottom w:val="single" w:color="auto" w:sz="4" w:space="0"/>
              <w:right w:val="single" w:color="auto" w:sz="4" w:space="0"/>
            </w:tcBorders>
            <w:noWrap w:val="0"/>
            <w:vAlign w:val="center"/>
          </w:tcPr>
          <w:p w14:paraId="203845EE">
            <w:pPr>
              <w:keepNext w:val="0"/>
              <w:keepLines w:val="0"/>
              <w:pageBreakBefore w:val="0"/>
              <w:widowControl/>
              <w:kinsoku/>
              <w:wordWrap/>
              <w:overflowPunct/>
              <w:topLinePunct w:val="0"/>
              <w:bidi w:val="0"/>
              <w:spacing w:line="400" w:lineRule="exact"/>
              <w:jc w:val="left"/>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cs="宋体"/>
                <w:color w:val="000000" w:themeColor="text1"/>
                <w:sz w:val="22"/>
                <w:szCs w:val="22"/>
                <w:highlight w:val="none"/>
                <w:lang w:val="en-US" w:eastAsia="zh-CN"/>
                <w14:textFill>
                  <w14:solidFill>
                    <w14:schemeClr w14:val="tx1"/>
                  </w14:solidFill>
                </w14:textFill>
              </w:rPr>
              <w:t>运输过程中出现异常，</w:t>
            </w:r>
            <w:r>
              <w:rPr>
                <w:rFonts w:hint="eastAsia" w:ascii="宋体" w:hAnsi="宋体" w:cs="宋体"/>
                <w:color w:val="000000" w:themeColor="text1"/>
                <w:sz w:val="22"/>
                <w:szCs w:val="22"/>
                <w:highlight w:val="none"/>
                <w14:textFill>
                  <w14:solidFill>
                    <w14:schemeClr w14:val="tx1"/>
                  </w14:solidFill>
                </w14:textFill>
              </w:rPr>
              <w:t>未及时排除故障，组织维修，未及时报告的，每发现一次扣5分。</w:t>
            </w:r>
          </w:p>
        </w:tc>
        <w:tc>
          <w:tcPr>
            <w:tcW w:w="1688" w:type="dxa"/>
            <w:gridSpan w:val="2"/>
            <w:tcBorders>
              <w:top w:val="nil"/>
              <w:left w:val="nil"/>
              <w:bottom w:val="single" w:color="auto" w:sz="4" w:space="0"/>
              <w:right w:val="single" w:color="auto" w:sz="4" w:space="0"/>
            </w:tcBorders>
            <w:noWrap w:val="0"/>
            <w:vAlign w:val="center"/>
          </w:tcPr>
          <w:p w14:paraId="200E6129">
            <w:pPr>
              <w:keepNext w:val="0"/>
              <w:keepLines w:val="0"/>
              <w:pageBreakBefore w:val="0"/>
              <w:widowControl/>
              <w:kinsoku/>
              <w:wordWrap/>
              <w:overflowPunct/>
              <w:topLinePunct w:val="0"/>
              <w:bidi w:val="0"/>
              <w:spacing w:line="400" w:lineRule="exact"/>
              <w:jc w:val="center"/>
              <w:rPr>
                <w:rFonts w:ascii="宋体" w:hAnsi="宋体" w:cs="宋体"/>
                <w:color w:val="auto"/>
                <w:sz w:val="22"/>
                <w:szCs w:val="22"/>
                <w:highlight w:val="none"/>
              </w:rPr>
            </w:pPr>
          </w:p>
        </w:tc>
      </w:tr>
      <w:tr w14:paraId="457ABB4C">
        <w:tblPrEx>
          <w:tblCellMar>
            <w:top w:w="0" w:type="dxa"/>
            <w:left w:w="108" w:type="dxa"/>
            <w:bottom w:w="0" w:type="dxa"/>
            <w:right w:w="108" w:type="dxa"/>
          </w:tblCellMar>
        </w:tblPrEx>
        <w:trPr>
          <w:trHeight w:val="397" w:hRule="atLeast"/>
          <w:jc w:val="center"/>
        </w:trPr>
        <w:tc>
          <w:tcPr>
            <w:tcW w:w="700" w:type="dxa"/>
            <w:tcBorders>
              <w:top w:val="nil"/>
              <w:left w:val="single" w:color="auto" w:sz="4" w:space="0"/>
              <w:bottom w:val="single" w:color="auto" w:sz="4" w:space="0"/>
              <w:right w:val="single" w:color="auto" w:sz="4" w:space="0"/>
            </w:tcBorders>
            <w:noWrap w:val="0"/>
            <w:vAlign w:val="center"/>
          </w:tcPr>
          <w:p w14:paraId="42561E2E">
            <w:pPr>
              <w:keepNext w:val="0"/>
              <w:keepLines w:val="0"/>
              <w:pageBreakBefore w:val="0"/>
              <w:widowControl/>
              <w:kinsoku/>
              <w:wordWrap/>
              <w:overflowPunct/>
              <w:topLinePunct w:val="0"/>
              <w:bidi w:val="0"/>
              <w:spacing w:line="400" w:lineRule="exact"/>
              <w:jc w:val="center"/>
              <w:rPr>
                <w:rFonts w:hint="eastAsia" w:ascii="宋体" w:hAnsi="宋体" w:cs="宋体"/>
                <w:color w:val="auto"/>
                <w:kern w:val="2"/>
                <w:sz w:val="22"/>
                <w:szCs w:val="22"/>
                <w:highlight w:val="none"/>
                <w:lang w:val="en-US" w:eastAsia="zh-CN" w:bidi="ar-SA"/>
              </w:rPr>
            </w:pPr>
            <w:r>
              <w:rPr>
                <w:rFonts w:hint="eastAsia" w:ascii="宋体" w:hAnsi="宋体" w:cs="宋体"/>
                <w:color w:val="auto"/>
                <w:sz w:val="22"/>
                <w:szCs w:val="22"/>
                <w:highlight w:val="none"/>
              </w:rPr>
              <w:t>4</w:t>
            </w:r>
          </w:p>
        </w:tc>
        <w:tc>
          <w:tcPr>
            <w:tcW w:w="6472" w:type="dxa"/>
            <w:tcBorders>
              <w:top w:val="nil"/>
              <w:left w:val="nil"/>
              <w:bottom w:val="single" w:color="auto" w:sz="4" w:space="0"/>
              <w:right w:val="single" w:color="auto" w:sz="4" w:space="0"/>
            </w:tcBorders>
            <w:noWrap w:val="0"/>
            <w:vAlign w:val="center"/>
          </w:tcPr>
          <w:p w14:paraId="3BB7ECEC">
            <w:pPr>
              <w:keepNext w:val="0"/>
              <w:keepLines w:val="0"/>
              <w:pageBreakBefore w:val="0"/>
              <w:widowControl/>
              <w:kinsoku/>
              <w:wordWrap/>
              <w:overflowPunct/>
              <w:topLinePunct w:val="0"/>
              <w:bidi w:val="0"/>
              <w:spacing w:line="400" w:lineRule="exact"/>
              <w:jc w:val="left"/>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rPr>
              <w:t>未按生产实际编制各类生产数据记录表单，发现一次扣</w:t>
            </w:r>
            <w:r>
              <w:rPr>
                <w:rFonts w:hint="eastAsia" w:ascii="宋体" w:hAnsi="宋体" w:cs="宋体"/>
                <w:color w:val="auto"/>
                <w:sz w:val="22"/>
                <w:szCs w:val="22"/>
                <w:highlight w:val="none"/>
                <w:lang w:val="en-US" w:eastAsia="zh-CN"/>
              </w:rPr>
              <w:t>5</w:t>
            </w:r>
            <w:r>
              <w:rPr>
                <w:rFonts w:hint="eastAsia" w:ascii="宋体" w:hAnsi="宋体" w:cs="宋体"/>
                <w:color w:val="auto"/>
                <w:sz w:val="22"/>
                <w:szCs w:val="22"/>
                <w:highlight w:val="none"/>
              </w:rPr>
              <w:t>分。</w:t>
            </w:r>
          </w:p>
        </w:tc>
        <w:tc>
          <w:tcPr>
            <w:tcW w:w="1688" w:type="dxa"/>
            <w:gridSpan w:val="2"/>
            <w:tcBorders>
              <w:top w:val="nil"/>
              <w:left w:val="nil"/>
              <w:bottom w:val="single" w:color="auto" w:sz="4" w:space="0"/>
              <w:right w:val="single" w:color="auto" w:sz="4" w:space="0"/>
            </w:tcBorders>
            <w:noWrap w:val="0"/>
            <w:vAlign w:val="center"/>
          </w:tcPr>
          <w:p w14:paraId="26E3B935">
            <w:pPr>
              <w:keepNext w:val="0"/>
              <w:keepLines w:val="0"/>
              <w:pageBreakBefore w:val="0"/>
              <w:widowControl/>
              <w:kinsoku/>
              <w:wordWrap/>
              <w:overflowPunct/>
              <w:topLinePunct w:val="0"/>
              <w:bidi w:val="0"/>
              <w:spacing w:line="400" w:lineRule="exact"/>
              <w:jc w:val="center"/>
              <w:rPr>
                <w:rFonts w:ascii="宋体" w:hAnsi="宋体" w:cs="宋体"/>
                <w:color w:val="auto"/>
                <w:sz w:val="22"/>
                <w:szCs w:val="22"/>
                <w:highlight w:val="none"/>
              </w:rPr>
            </w:pPr>
          </w:p>
        </w:tc>
      </w:tr>
      <w:tr w14:paraId="0776D37F">
        <w:tblPrEx>
          <w:tblCellMar>
            <w:top w:w="0" w:type="dxa"/>
            <w:left w:w="108" w:type="dxa"/>
            <w:bottom w:w="0" w:type="dxa"/>
            <w:right w:w="108" w:type="dxa"/>
          </w:tblCellMar>
        </w:tblPrEx>
        <w:trPr>
          <w:trHeight w:val="397" w:hRule="atLeast"/>
          <w:jc w:val="center"/>
        </w:trPr>
        <w:tc>
          <w:tcPr>
            <w:tcW w:w="700" w:type="dxa"/>
            <w:tcBorders>
              <w:top w:val="nil"/>
              <w:left w:val="single" w:color="auto" w:sz="4" w:space="0"/>
              <w:bottom w:val="single" w:color="auto" w:sz="4" w:space="0"/>
              <w:right w:val="single" w:color="auto" w:sz="4" w:space="0"/>
            </w:tcBorders>
            <w:noWrap w:val="0"/>
            <w:vAlign w:val="center"/>
          </w:tcPr>
          <w:p w14:paraId="054B6B8D">
            <w:pPr>
              <w:keepNext w:val="0"/>
              <w:keepLines w:val="0"/>
              <w:pageBreakBefore w:val="0"/>
              <w:widowControl/>
              <w:kinsoku/>
              <w:wordWrap/>
              <w:overflowPunct/>
              <w:topLinePunct w:val="0"/>
              <w:bidi w:val="0"/>
              <w:spacing w:line="400" w:lineRule="exact"/>
              <w:jc w:val="center"/>
              <w:rPr>
                <w:rFonts w:hint="eastAsia" w:ascii="宋体" w:hAnsi="宋体" w:cs="宋体"/>
                <w:color w:val="auto"/>
                <w:kern w:val="2"/>
                <w:sz w:val="22"/>
                <w:szCs w:val="22"/>
                <w:highlight w:val="none"/>
                <w:lang w:val="en-US" w:eastAsia="zh-CN" w:bidi="ar-SA"/>
              </w:rPr>
            </w:pPr>
            <w:r>
              <w:rPr>
                <w:rFonts w:hint="eastAsia" w:ascii="宋体" w:hAnsi="宋体" w:cs="宋体"/>
                <w:color w:val="auto"/>
                <w:sz w:val="22"/>
                <w:szCs w:val="22"/>
                <w:highlight w:val="none"/>
              </w:rPr>
              <w:t>5</w:t>
            </w:r>
          </w:p>
        </w:tc>
        <w:tc>
          <w:tcPr>
            <w:tcW w:w="6472" w:type="dxa"/>
            <w:tcBorders>
              <w:top w:val="nil"/>
              <w:left w:val="nil"/>
              <w:bottom w:val="single" w:color="auto" w:sz="4" w:space="0"/>
              <w:right w:val="single" w:color="auto" w:sz="4" w:space="0"/>
            </w:tcBorders>
            <w:noWrap w:val="0"/>
            <w:vAlign w:val="center"/>
          </w:tcPr>
          <w:p w14:paraId="24F31BA0">
            <w:pPr>
              <w:keepNext w:val="0"/>
              <w:keepLines w:val="0"/>
              <w:pageBreakBefore w:val="0"/>
              <w:widowControl/>
              <w:kinsoku/>
              <w:wordWrap/>
              <w:overflowPunct/>
              <w:topLinePunct w:val="0"/>
              <w:bidi w:val="0"/>
              <w:spacing w:line="400" w:lineRule="exact"/>
              <w:jc w:val="left"/>
              <w:rPr>
                <w:rFonts w:hint="default" w:ascii="宋体" w:hAnsi="宋体" w:eastAsia="宋体" w:cs="宋体"/>
                <w:color w:val="auto"/>
                <w:kern w:val="2"/>
                <w:sz w:val="22"/>
                <w:szCs w:val="22"/>
                <w:highlight w:val="none"/>
                <w:lang w:val="en-US" w:eastAsia="zh-CN" w:bidi="ar-SA"/>
              </w:rPr>
            </w:pPr>
            <w:r>
              <w:rPr>
                <w:rFonts w:hint="eastAsia" w:ascii="宋体" w:hAnsi="宋体" w:cs="宋体"/>
                <w:color w:val="auto"/>
                <w:kern w:val="2"/>
                <w:sz w:val="22"/>
                <w:szCs w:val="22"/>
                <w:highlight w:val="none"/>
                <w:lang w:val="en-US" w:eastAsia="zh-CN" w:bidi="ar-SA"/>
              </w:rPr>
              <w:t>因招标人生产需求调整运输时间，中标单位不配合招标人的安排，每发现一次扣10分。</w:t>
            </w:r>
          </w:p>
        </w:tc>
        <w:tc>
          <w:tcPr>
            <w:tcW w:w="1688" w:type="dxa"/>
            <w:gridSpan w:val="2"/>
            <w:tcBorders>
              <w:top w:val="nil"/>
              <w:left w:val="nil"/>
              <w:bottom w:val="single" w:color="auto" w:sz="4" w:space="0"/>
              <w:right w:val="single" w:color="auto" w:sz="4" w:space="0"/>
            </w:tcBorders>
            <w:noWrap w:val="0"/>
            <w:vAlign w:val="center"/>
          </w:tcPr>
          <w:p w14:paraId="52BF6887">
            <w:pPr>
              <w:keepNext w:val="0"/>
              <w:keepLines w:val="0"/>
              <w:pageBreakBefore w:val="0"/>
              <w:widowControl/>
              <w:kinsoku/>
              <w:wordWrap/>
              <w:overflowPunct/>
              <w:topLinePunct w:val="0"/>
              <w:bidi w:val="0"/>
              <w:spacing w:line="400" w:lineRule="exact"/>
              <w:jc w:val="center"/>
              <w:rPr>
                <w:rFonts w:ascii="宋体" w:hAnsi="宋体" w:cs="宋体"/>
                <w:color w:val="auto"/>
                <w:sz w:val="22"/>
                <w:szCs w:val="22"/>
                <w:highlight w:val="none"/>
              </w:rPr>
            </w:pPr>
          </w:p>
        </w:tc>
      </w:tr>
      <w:tr w14:paraId="204610ED">
        <w:tblPrEx>
          <w:tblCellMar>
            <w:top w:w="0" w:type="dxa"/>
            <w:left w:w="108" w:type="dxa"/>
            <w:bottom w:w="0" w:type="dxa"/>
            <w:right w:w="108" w:type="dxa"/>
          </w:tblCellMar>
        </w:tblPrEx>
        <w:trPr>
          <w:trHeight w:val="397" w:hRule="atLeast"/>
          <w:jc w:val="center"/>
        </w:trPr>
        <w:tc>
          <w:tcPr>
            <w:tcW w:w="700" w:type="dxa"/>
            <w:tcBorders>
              <w:top w:val="nil"/>
              <w:left w:val="single" w:color="auto" w:sz="4" w:space="0"/>
              <w:bottom w:val="single" w:color="auto" w:sz="4" w:space="0"/>
              <w:right w:val="single" w:color="auto" w:sz="4" w:space="0"/>
            </w:tcBorders>
            <w:noWrap w:val="0"/>
            <w:vAlign w:val="center"/>
          </w:tcPr>
          <w:p w14:paraId="45467E5C">
            <w:pPr>
              <w:keepNext w:val="0"/>
              <w:keepLines w:val="0"/>
              <w:pageBreakBefore w:val="0"/>
              <w:widowControl/>
              <w:kinsoku/>
              <w:wordWrap/>
              <w:overflowPunct/>
              <w:topLinePunct w:val="0"/>
              <w:bidi w:val="0"/>
              <w:spacing w:line="400" w:lineRule="exact"/>
              <w:jc w:val="center"/>
              <w:rPr>
                <w:rFonts w:hint="eastAsia" w:ascii="宋体" w:hAnsi="宋体" w:cs="宋体"/>
                <w:color w:val="auto"/>
                <w:kern w:val="2"/>
                <w:sz w:val="22"/>
                <w:szCs w:val="22"/>
                <w:highlight w:val="none"/>
                <w:lang w:val="en-US" w:eastAsia="zh-CN" w:bidi="ar-SA"/>
              </w:rPr>
            </w:pPr>
            <w:r>
              <w:rPr>
                <w:rFonts w:hint="eastAsia" w:ascii="宋体" w:hAnsi="宋体" w:cs="宋体"/>
                <w:color w:val="auto"/>
                <w:sz w:val="22"/>
                <w:szCs w:val="22"/>
                <w:highlight w:val="none"/>
              </w:rPr>
              <w:t>6</w:t>
            </w:r>
          </w:p>
        </w:tc>
        <w:tc>
          <w:tcPr>
            <w:tcW w:w="6472" w:type="dxa"/>
            <w:tcBorders>
              <w:top w:val="nil"/>
              <w:left w:val="nil"/>
              <w:bottom w:val="single" w:color="auto" w:sz="4" w:space="0"/>
              <w:right w:val="single" w:color="auto" w:sz="4" w:space="0"/>
            </w:tcBorders>
            <w:noWrap w:val="0"/>
            <w:vAlign w:val="center"/>
          </w:tcPr>
          <w:p w14:paraId="032D4C69">
            <w:pPr>
              <w:keepNext w:val="0"/>
              <w:keepLines w:val="0"/>
              <w:pageBreakBefore w:val="0"/>
              <w:widowControl/>
              <w:kinsoku/>
              <w:wordWrap/>
              <w:overflowPunct/>
              <w:topLinePunct w:val="0"/>
              <w:bidi w:val="0"/>
              <w:spacing w:line="400" w:lineRule="exact"/>
              <w:jc w:val="left"/>
              <w:rPr>
                <w:rFonts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rPr>
              <w:t>未制定和及时修订《生产管理制度》、《生产区域安全规定》和《应急预案》等相关规章制度，每发现一项扣5分。</w:t>
            </w:r>
          </w:p>
        </w:tc>
        <w:tc>
          <w:tcPr>
            <w:tcW w:w="1688" w:type="dxa"/>
            <w:gridSpan w:val="2"/>
            <w:tcBorders>
              <w:top w:val="nil"/>
              <w:left w:val="nil"/>
              <w:bottom w:val="single" w:color="auto" w:sz="4" w:space="0"/>
              <w:right w:val="single" w:color="auto" w:sz="4" w:space="0"/>
            </w:tcBorders>
            <w:noWrap w:val="0"/>
            <w:vAlign w:val="center"/>
          </w:tcPr>
          <w:p w14:paraId="5F85E19A">
            <w:pPr>
              <w:keepNext w:val="0"/>
              <w:keepLines w:val="0"/>
              <w:pageBreakBefore w:val="0"/>
              <w:widowControl/>
              <w:kinsoku/>
              <w:wordWrap/>
              <w:overflowPunct/>
              <w:topLinePunct w:val="0"/>
              <w:bidi w:val="0"/>
              <w:spacing w:line="400" w:lineRule="exact"/>
              <w:jc w:val="center"/>
              <w:rPr>
                <w:rFonts w:ascii="宋体" w:hAnsi="宋体" w:cs="宋体"/>
                <w:color w:val="auto"/>
                <w:sz w:val="22"/>
                <w:szCs w:val="22"/>
                <w:highlight w:val="none"/>
              </w:rPr>
            </w:pPr>
          </w:p>
        </w:tc>
      </w:tr>
      <w:tr w14:paraId="49A11CEB">
        <w:tblPrEx>
          <w:tblCellMar>
            <w:top w:w="0" w:type="dxa"/>
            <w:left w:w="108" w:type="dxa"/>
            <w:bottom w:w="0" w:type="dxa"/>
            <w:right w:w="108" w:type="dxa"/>
          </w:tblCellMar>
        </w:tblPrEx>
        <w:trPr>
          <w:trHeight w:val="397" w:hRule="atLeast"/>
          <w:jc w:val="center"/>
        </w:trPr>
        <w:tc>
          <w:tcPr>
            <w:tcW w:w="700" w:type="dxa"/>
            <w:tcBorders>
              <w:top w:val="nil"/>
              <w:left w:val="single" w:color="auto" w:sz="4" w:space="0"/>
              <w:bottom w:val="single" w:color="auto" w:sz="4" w:space="0"/>
              <w:right w:val="single" w:color="auto" w:sz="4" w:space="0"/>
            </w:tcBorders>
            <w:noWrap w:val="0"/>
            <w:vAlign w:val="center"/>
          </w:tcPr>
          <w:p w14:paraId="6C313824">
            <w:pPr>
              <w:keepNext w:val="0"/>
              <w:keepLines w:val="0"/>
              <w:pageBreakBefore w:val="0"/>
              <w:widowControl/>
              <w:kinsoku/>
              <w:wordWrap/>
              <w:overflowPunct/>
              <w:topLinePunct w:val="0"/>
              <w:bidi w:val="0"/>
              <w:spacing w:line="40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7</w:t>
            </w:r>
          </w:p>
        </w:tc>
        <w:tc>
          <w:tcPr>
            <w:tcW w:w="6472" w:type="dxa"/>
            <w:tcBorders>
              <w:top w:val="nil"/>
              <w:left w:val="nil"/>
              <w:bottom w:val="single" w:color="auto" w:sz="4" w:space="0"/>
              <w:right w:val="single" w:color="auto" w:sz="4" w:space="0"/>
            </w:tcBorders>
            <w:noWrap w:val="0"/>
            <w:vAlign w:val="center"/>
          </w:tcPr>
          <w:p w14:paraId="081C39E4">
            <w:pPr>
              <w:keepNext w:val="0"/>
              <w:keepLines w:val="0"/>
              <w:pageBreakBefore w:val="0"/>
              <w:widowControl/>
              <w:kinsoku/>
              <w:wordWrap/>
              <w:overflowPunct/>
              <w:topLinePunct w:val="0"/>
              <w:bidi w:val="0"/>
              <w:spacing w:line="400" w:lineRule="exact"/>
              <w:jc w:val="left"/>
              <w:rPr>
                <w:rFonts w:hint="default"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rPr>
              <w:t>未按照编制规程、制度、规定和预案组织生产运行工作的，每</w:t>
            </w:r>
            <w:r>
              <w:rPr>
                <w:rFonts w:hint="eastAsia" w:ascii="宋体" w:hAnsi="宋体" w:cs="宋体"/>
                <w:color w:val="auto"/>
                <w:sz w:val="22"/>
                <w:szCs w:val="22"/>
                <w:highlight w:val="none"/>
                <w:lang w:val="en-US" w:eastAsia="zh-CN"/>
              </w:rPr>
              <w:t>发现</w:t>
            </w:r>
            <w:r>
              <w:rPr>
                <w:rFonts w:hint="eastAsia" w:ascii="宋体" w:hAnsi="宋体" w:cs="宋体"/>
                <w:color w:val="auto"/>
                <w:sz w:val="22"/>
                <w:szCs w:val="22"/>
                <w:highlight w:val="none"/>
              </w:rPr>
              <w:t>一次扣5分。</w:t>
            </w:r>
          </w:p>
        </w:tc>
        <w:tc>
          <w:tcPr>
            <w:tcW w:w="1688" w:type="dxa"/>
            <w:gridSpan w:val="2"/>
            <w:tcBorders>
              <w:top w:val="nil"/>
              <w:left w:val="nil"/>
              <w:bottom w:val="single" w:color="auto" w:sz="4" w:space="0"/>
              <w:right w:val="single" w:color="auto" w:sz="4" w:space="0"/>
            </w:tcBorders>
            <w:noWrap w:val="0"/>
            <w:vAlign w:val="center"/>
          </w:tcPr>
          <w:p w14:paraId="63A873A1">
            <w:pPr>
              <w:keepNext w:val="0"/>
              <w:keepLines w:val="0"/>
              <w:pageBreakBefore w:val="0"/>
              <w:widowControl/>
              <w:kinsoku/>
              <w:wordWrap/>
              <w:overflowPunct/>
              <w:topLinePunct w:val="0"/>
              <w:bidi w:val="0"/>
              <w:spacing w:line="400" w:lineRule="exact"/>
              <w:jc w:val="center"/>
              <w:rPr>
                <w:rFonts w:hint="eastAsia" w:ascii="宋体" w:hAnsi="宋体" w:cs="宋体"/>
                <w:color w:val="auto"/>
                <w:kern w:val="2"/>
                <w:sz w:val="22"/>
                <w:szCs w:val="22"/>
                <w:highlight w:val="none"/>
                <w:lang w:val="en-US" w:eastAsia="zh-CN" w:bidi="ar-SA"/>
              </w:rPr>
            </w:pPr>
          </w:p>
        </w:tc>
      </w:tr>
      <w:tr w14:paraId="660DBF7A">
        <w:tblPrEx>
          <w:tblCellMar>
            <w:top w:w="0" w:type="dxa"/>
            <w:left w:w="108" w:type="dxa"/>
            <w:bottom w:w="0" w:type="dxa"/>
            <w:right w:w="108" w:type="dxa"/>
          </w:tblCellMar>
        </w:tblPrEx>
        <w:trPr>
          <w:trHeight w:val="397" w:hRule="atLeast"/>
          <w:jc w:val="center"/>
        </w:trPr>
        <w:tc>
          <w:tcPr>
            <w:tcW w:w="700" w:type="dxa"/>
            <w:tcBorders>
              <w:top w:val="nil"/>
              <w:left w:val="single" w:color="auto" w:sz="4" w:space="0"/>
              <w:bottom w:val="single" w:color="auto" w:sz="4" w:space="0"/>
              <w:right w:val="single" w:color="auto" w:sz="4" w:space="0"/>
            </w:tcBorders>
            <w:noWrap w:val="0"/>
            <w:vAlign w:val="center"/>
          </w:tcPr>
          <w:p w14:paraId="072F806D">
            <w:pPr>
              <w:keepNext w:val="0"/>
              <w:keepLines w:val="0"/>
              <w:pageBreakBefore w:val="0"/>
              <w:widowControl/>
              <w:kinsoku/>
              <w:wordWrap/>
              <w:overflowPunct/>
              <w:topLinePunct w:val="0"/>
              <w:bidi w:val="0"/>
              <w:spacing w:line="40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8</w:t>
            </w:r>
          </w:p>
        </w:tc>
        <w:tc>
          <w:tcPr>
            <w:tcW w:w="6472" w:type="dxa"/>
            <w:tcBorders>
              <w:top w:val="nil"/>
              <w:left w:val="nil"/>
              <w:bottom w:val="single" w:color="auto" w:sz="4" w:space="0"/>
              <w:right w:val="single" w:color="auto" w:sz="4" w:space="0"/>
            </w:tcBorders>
            <w:noWrap w:val="0"/>
            <w:vAlign w:val="center"/>
          </w:tcPr>
          <w:p w14:paraId="13B1140A">
            <w:pPr>
              <w:keepNext w:val="0"/>
              <w:keepLines w:val="0"/>
              <w:pageBreakBefore w:val="0"/>
              <w:widowControl/>
              <w:kinsoku/>
              <w:wordWrap/>
              <w:overflowPunct/>
              <w:topLinePunct w:val="0"/>
              <w:bidi w:val="0"/>
              <w:spacing w:line="400" w:lineRule="exact"/>
              <w:jc w:val="left"/>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渗滤液运输过程中出现抛洒问题，每发现一次扣10分。</w:t>
            </w:r>
          </w:p>
        </w:tc>
        <w:tc>
          <w:tcPr>
            <w:tcW w:w="1688" w:type="dxa"/>
            <w:gridSpan w:val="2"/>
            <w:tcBorders>
              <w:top w:val="nil"/>
              <w:left w:val="nil"/>
              <w:bottom w:val="single" w:color="auto" w:sz="4" w:space="0"/>
              <w:right w:val="single" w:color="auto" w:sz="4" w:space="0"/>
            </w:tcBorders>
            <w:noWrap w:val="0"/>
            <w:vAlign w:val="center"/>
          </w:tcPr>
          <w:p w14:paraId="797C500C">
            <w:pPr>
              <w:keepNext w:val="0"/>
              <w:keepLines w:val="0"/>
              <w:pageBreakBefore w:val="0"/>
              <w:widowControl/>
              <w:kinsoku/>
              <w:wordWrap/>
              <w:overflowPunct/>
              <w:topLinePunct w:val="0"/>
              <w:bidi w:val="0"/>
              <w:spacing w:line="400" w:lineRule="exact"/>
              <w:jc w:val="center"/>
              <w:rPr>
                <w:rFonts w:ascii="宋体" w:hAnsi="宋体" w:cs="宋体"/>
                <w:color w:val="auto"/>
                <w:kern w:val="2"/>
                <w:sz w:val="22"/>
                <w:szCs w:val="22"/>
                <w:highlight w:val="none"/>
                <w:lang w:val="en-US" w:eastAsia="zh-CN" w:bidi="ar-SA"/>
              </w:rPr>
            </w:pPr>
          </w:p>
        </w:tc>
      </w:tr>
      <w:tr w14:paraId="1574D15C">
        <w:tblPrEx>
          <w:tblCellMar>
            <w:top w:w="0" w:type="dxa"/>
            <w:left w:w="108" w:type="dxa"/>
            <w:bottom w:w="0" w:type="dxa"/>
            <w:right w:w="108" w:type="dxa"/>
          </w:tblCellMar>
        </w:tblPrEx>
        <w:trPr>
          <w:trHeight w:val="397" w:hRule="atLeast"/>
          <w:jc w:val="center"/>
        </w:trPr>
        <w:tc>
          <w:tcPr>
            <w:tcW w:w="700" w:type="dxa"/>
            <w:tcBorders>
              <w:top w:val="nil"/>
              <w:left w:val="single" w:color="auto" w:sz="4" w:space="0"/>
              <w:bottom w:val="single" w:color="auto" w:sz="4" w:space="0"/>
              <w:right w:val="single" w:color="auto" w:sz="4" w:space="0"/>
            </w:tcBorders>
            <w:noWrap w:val="0"/>
            <w:vAlign w:val="center"/>
          </w:tcPr>
          <w:p w14:paraId="634A10A1">
            <w:pPr>
              <w:keepNext w:val="0"/>
              <w:keepLines w:val="0"/>
              <w:pageBreakBefore w:val="0"/>
              <w:widowControl/>
              <w:kinsoku/>
              <w:wordWrap/>
              <w:overflowPunct/>
              <w:topLinePunct w:val="0"/>
              <w:bidi w:val="0"/>
              <w:spacing w:line="400" w:lineRule="exact"/>
              <w:jc w:val="center"/>
              <w:rPr>
                <w:rFonts w:hint="eastAsia" w:ascii="宋体" w:hAnsi="宋体" w:cs="宋体"/>
                <w:color w:val="auto"/>
                <w:kern w:val="2"/>
                <w:sz w:val="22"/>
                <w:szCs w:val="22"/>
                <w:highlight w:val="none"/>
                <w:lang w:val="en-US" w:eastAsia="zh-CN" w:bidi="ar-SA"/>
              </w:rPr>
            </w:pPr>
            <w:r>
              <w:rPr>
                <w:rFonts w:hint="eastAsia" w:ascii="宋体" w:hAnsi="宋体" w:cs="宋体"/>
                <w:color w:val="auto"/>
                <w:sz w:val="22"/>
                <w:szCs w:val="22"/>
                <w:highlight w:val="none"/>
              </w:rPr>
              <w:t>9</w:t>
            </w:r>
          </w:p>
        </w:tc>
        <w:tc>
          <w:tcPr>
            <w:tcW w:w="6472" w:type="dxa"/>
            <w:tcBorders>
              <w:top w:val="nil"/>
              <w:left w:val="nil"/>
              <w:bottom w:val="single" w:color="auto" w:sz="4" w:space="0"/>
              <w:right w:val="single" w:color="auto" w:sz="4" w:space="0"/>
            </w:tcBorders>
            <w:noWrap w:val="0"/>
            <w:vAlign w:val="center"/>
          </w:tcPr>
          <w:p w14:paraId="270960D9">
            <w:pPr>
              <w:keepNext w:val="0"/>
              <w:keepLines w:val="0"/>
              <w:pageBreakBefore w:val="0"/>
              <w:widowControl/>
              <w:kinsoku/>
              <w:wordWrap/>
              <w:overflowPunct/>
              <w:topLinePunct w:val="0"/>
              <w:bidi w:val="0"/>
              <w:spacing w:line="400" w:lineRule="exact"/>
              <w:jc w:val="left"/>
              <w:rPr>
                <w:rFonts w:hint="default" w:ascii="宋体" w:hAnsi="宋体" w:eastAsia="宋体" w:cs="宋体"/>
                <w:color w:val="auto"/>
                <w:kern w:val="2"/>
                <w:sz w:val="22"/>
                <w:szCs w:val="22"/>
                <w:highlight w:val="none"/>
                <w:lang w:val="en-US" w:eastAsia="zh-CN" w:bidi="ar-SA"/>
              </w:rPr>
            </w:pPr>
            <w:r>
              <w:rPr>
                <w:rFonts w:hint="eastAsia" w:ascii="宋体" w:hAnsi="宋体" w:cs="宋体"/>
                <w:b w:val="0"/>
                <w:bCs w:val="0"/>
                <w:color w:val="auto"/>
                <w:kern w:val="2"/>
                <w:sz w:val="22"/>
                <w:szCs w:val="22"/>
                <w:highlight w:val="none"/>
                <w:lang w:val="en-US" w:eastAsia="zh-CN" w:bidi="ar-SA"/>
              </w:rPr>
              <w:t>渗滤液</w:t>
            </w:r>
            <w:r>
              <w:rPr>
                <w:rFonts w:hint="eastAsia" w:ascii="宋体" w:hAnsi="宋体" w:eastAsia="宋体" w:cs="宋体"/>
                <w:b w:val="0"/>
                <w:bCs w:val="0"/>
                <w:color w:val="auto"/>
                <w:kern w:val="2"/>
                <w:sz w:val="22"/>
                <w:szCs w:val="22"/>
                <w:highlight w:val="none"/>
                <w:lang w:val="en-US" w:eastAsia="zh-CN" w:bidi="ar-SA"/>
              </w:rPr>
              <w:t>装卸运输现场卫生较差、存在</w:t>
            </w:r>
            <w:r>
              <w:rPr>
                <w:rFonts w:hint="eastAsia" w:ascii="宋体" w:hAnsi="宋体" w:cs="宋体"/>
                <w:b w:val="0"/>
                <w:bCs w:val="0"/>
                <w:color w:val="auto"/>
                <w:kern w:val="2"/>
                <w:sz w:val="22"/>
                <w:szCs w:val="22"/>
                <w:highlight w:val="none"/>
                <w:lang w:val="en-US" w:eastAsia="zh-CN" w:bidi="ar-SA"/>
              </w:rPr>
              <w:t>渗滤液</w:t>
            </w:r>
            <w:r>
              <w:rPr>
                <w:rFonts w:hint="eastAsia" w:ascii="宋体" w:hAnsi="宋体" w:eastAsia="宋体" w:cs="宋体"/>
                <w:b w:val="0"/>
                <w:bCs w:val="0"/>
                <w:color w:val="auto"/>
                <w:kern w:val="2"/>
                <w:sz w:val="22"/>
                <w:szCs w:val="22"/>
                <w:highlight w:val="none"/>
                <w:lang w:val="en-US" w:eastAsia="zh-CN" w:bidi="ar-SA"/>
              </w:rPr>
              <w:t>洒落问题，每发现一次扣10分。</w:t>
            </w:r>
          </w:p>
        </w:tc>
        <w:tc>
          <w:tcPr>
            <w:tcW w:w="1688" w:type="dxa"/>
            <w:gridSpan w:val="2"/>
            <w:tcBorders>
              <w:top w:val="nil"/>
              <w:left w:val="nil"/>
              <w:bottom w:val="single" w:color="auto" w:sz="4" w:space="0"/>
              <w:right w:val="single" w:color="auto" w:sz="4" w:space="0"/>
            </w:tcBorders>
            <w:noWrap w:val="0"/>
            <w:vAlign w:val="center"/>
          </w:tcPr>
          <w:p w14:paraId="23E27AEF">
            <w:pPr>
              <w:keepNext w:val="0"/>
              <w:keepLines w:val="0"/>
              <w:pageBreakBefore w:val="0"/>
              <w:widowControl/>
              <w:kinsoku/>
              <w:wordWrap/>
              <w:overflowPunct/>
              <w:topLinePunct w:val="0"/>
              <w:bidi w:val="0"/>
              <w:spacing w:line="400" w:lineRule="exact"/>
              <w:jc w:val="center"/>
              <w:rPr>
                <w:rFonts w:ascii="宋体" w:hAnsi="宋体" w:cs="宋体"/>
                <w:color w:val="auto"/>
                <w:kern w:val="2"/>
                <w:sz w:val="22"/>
                <w:szCs w:val="22"/>
                <w:highlight w:val="none"/>
                <w:lang w:val="en-US" w:eastAsia="zh-CN" w:bidi="ar-SA"/>
              </w:rPr>
            </w:pPr>
          </w:p>
        </w:tc>
      </w:tr>
      <w:tr w14:paraId="18BDA8E4">
        <w:tblPrEx>
          <w:tblCellMar>
            <w:top w:w="0" w:type="dxa"/>
            <w:left w:w="108" w:type="dxa"/>
            <w:bottom w:w="0" w:type="dxa"/>
            <w:right w:w="108" w:type="dxa"/>
          </w:tblCellMar>
        </w:tblPrEx>
        <w:trPr>
          <w:trHeight w:val="397" w:hRule="atLeast"/>
          <w:jc w:val="center"/>
        </w:trPr>
        <w:tc>
          <w:tcPr>
            <w:tcW w:w="700" w:type="dxa"/>
            <w:tcBorders>
              <w:top w:val="nil"/>
              <w:left w:val="single" w:color="auto" w:sz="4" w:space="0"/>
              <w:bottom w:val="single" w:color="auto" w:sz="4" w:space="0"/>
              <w:right w:val="single" w:color="auto" w:sz="4" w:space="0"/>
            </w:tcBorders>
            <w:noWrap w:val="0"/>
            <w:vAlign w:val="center"/>
          </w:tcPr>
          <w:p w14:paraId="3564EA02">
            <w:pPr>
              <w:keepNext w:val="0"/>
              <w:keepLines w:val="0"/>
              <w:pageBreakBefore w:val="0"/>
              <w:widowControl/>
              <w:kinsoku/>
              <w:wordWrap/>
              <w:overflowPunct/>
              <w:topLinePunct w:val="0"/>
              <w:bidi w:val="0"/>
              <w:spacing w:line="400" w:lineRule="exact"/>
              <w:jc w:val="center"/>
              <w:rPr>
                <w:rFonts w:hint="eastAsia" w:ascii="宋体" w:hAnsi="宋体" w:cs="宋体"/>
                <w:color w:val="auto"/>
                <w:kern w:val="2"/>
                <w:sz w:val="22"/>
                <w:szCs w:val="22"/>
                <w:highlight w:val="none"/>
                <w:lang w:val="en-US" w:eastAsia="zh-CN" w:bidi="ar-SA"/>
              </w:rPr>
            </w:pPr>
            <w:r>
              <w:rPr>
                <w:rFonts w:hint="eastAsia" w:ascii="宋体" w:hAnsi="宋体" w:cs="宋体"/>
                <w:color w:val="auto"/>
                <w:sz w:val="22"/>
                <w:szCs w:val="22"/>
                <w:highlight w:val="none"/>
              </w:rPr>
              <w:t>10</w:t>
            </w:r>
          </w:p>
        </w:tc>
        <w:tc>
          <w:tcPr>
            <w:tcW w:w="6472" w:type="dxa"/>
            <w:tcBorders>
              <w:top w:val="nil"/>
              <w:left w:val="nil"/>
              <w:bottom w:val="single" w:color="auto" w:sz="4" w:space="0"/>
              <w:right w:val="single" w:color="auto" w:sz="4" w:space="0"/>
            </w:tcBorders>
            <w:noWrap w:val="0"/>
            <w:vAlign w:val="center"/>
          </w:tcPr>
          <w:p w14:paraId="4B9ECB10">
            <w:pPr>
              <w:keepNext w:val="0"/>
              <w:keepLines w:val="0"/>
              <w:pageBreakBefore w:val="0"/>
              <w:widowControl/>
              <w:kinsoku/>
              <w:wordWrap/>
              <w:overflowPunct/>
              <w:topLinePunct w:val="0"/>
              <w:bidi w:val="0"/>
              <w:spacing w:line="400" w:lineRule="exact"/>
              <w:jc w:val="left"/>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中标单位</w:t>
            </w:r>
            <w:r>
              <w:rPr>
                <w:rFonts w:hint="eastAsia" w:ascii="宋体" w:hAnsi="宋体" w:cs="宋体"/>
                <w:color w:val="auto"/>
                <w:sz w:val="22"/>
                <w:szCs w:val="22"/>
                <w:highlight w:val="none"/>
              </w:rPr>
              <w:t>人员不遵守</w:t>
            </w:r>
            <w:r>
              <w:rPr>
                <w:rFonts w:hint="eastAsia" w:ascii="宋体" w:hAnsi="宋体" w:cs="宋体"/>
                <w:color w:val="auto"/>
                <w:sz w:val="22"/>
                <w:szCs w:val="22"/>
                <w:highlight w:val="none"/>
                <w:lang w:val="en-US" w:eastAsia="zh-CN"/>
              </w:rPr>
              <w:t>招标人</w:t>
            </w:r>
            <w:r>
              <w:rPr>
                <w:rFonts w:hint="eastAsia" w:ascii="宋体" w:hAnsi="宋体" w:cs="宋体"/>
                <w:color w:val="auto"/>
                <w:sz w:val="22"/>
                <w:szCs w:val="22"/>
                <w:highlight w:val="none"/>
              </w:rPr>
              <w:t>的相关规章、制度、劳动纪律的，每发现一次扣5分。影响生产的双倍扣分。</w:t>
            </w:r>
          </w:p>
        </w:tc>
        <w:tc>
          <w:tcPr>
            <w:tcW w:w="1688" w:type="dxa"/>
            <w:gridSpan w:val="2"/>
            <w:tcBorders>
              <w:top w:val="nil"/>
              <w:left w:val="nil"/>
              <w:bottom w:val="single" w:color="auto" w:sz="4" w:space="0"/>
              <w:right w:val="single" w:color="auto" w:sz="4" w:space="0"/>
            </w:tcBorders>
            <w:noWrap w:val="0"/>
            <w:vAlign w:val="center"/>
          </w:tcPr>
          <w:p w14:paraId="29DE28F0">
            <w:pPr>
              <w:keepNext w:val="0"/>
              <w:keepLines w:val="0"/>
              <w:pageBreakBefore w:val="0"/>
              <w:widowControl/>
              <w:kinsoku/>
              <w:wordWrap/>
              <w:overflowPunct/>
              <w:topLinePunct w:val="0"/>
              <w:bidi w:val="0"/>
              <w:spacing w:line="400" w:lineRule="exact"/>
              <w:jc w:val="center"/>
              <w:rPr>
                <w:rFonts w:hint="eastAsia" w:ascii="宋体" w:hAnsi="宋体" w:cs="宋体"/>
                <w:color w:val="auto"/>
                <w:kern w:val="2"/>
                <w:sz w:val="22"/>
                <w:szCs w:val="22"/>
                <w:highlight w:val="none"/>
                <w:lang w:val="en-US" w:eastAsia="zh-CN" w:bidi="ar-SA"/>
              </w:rPr>
            </w:pPr>
          </w:p>
        </w:tc>
      </w:tr>
      <w:tr w14:paraId="6C2767A2">
        <w:tblPrEx>
          <w:tblCellMar>
            <w:top w:w="0" w:type="dxa"/>
            <w:left w:w="108" w:type="dxa"/>
            <w:bottom w:w="0" w:type="dxa"/>
            <w:right w:w="108" w:type="dxa"/>
          </w:tblCellMar>
        </w:tblPrEx>
        <w:trPr>
          <w:trHeight w:val="397" w:hRule="atLeast"/>
          <w:jc w:val="center"/>
        </w:trPr>
        <w:tc>
          <w:tcPr>
            <w:tcW w:w="700" w:type="dxa"/>
            <w:tcBorders>
              <w:top w:val="nil"/>
              <w:left w:val="single" w:color="auto" w:sz="4" w:space="0"/>
              <w:bottom w:val="single" w:color="auto" w:sz="4" w:space="0"/>
              <w:right w:val="single" w:color="auto" w:sz="4" w:space="0"/>
            </w:tcBorders>
            <w:noWrap w:val="0"/>
            <w:vAlign w:val="center"/>
          </w:tcPr>
          <w:p w14:paraId="1A2F695F">
            <w:pPr>
              <w:keepNext w:val="0"/>
              <w:keepLines w:val="0"/>
              <w:pageBreakBefore w:val="0"/>
              <w:widowControl/>
              <w:kinsoku/>
              <w:wordWrap/>
              <w:overflowPunct/>
              <w:topLinePunct w:val="0"/>
              <w:bidi w:val="0"/>
              <w:spacing w:line="400" w:lineRule="exact"/>
              <w:jc w:val="center"/>
              <w:rPr>
                <w:rFonts w:hint="eastAsia" w:ascii="宋体" w:hAnsi="宋体" w:cs="宋体"/>
                <w:color w:val="auto"/>
                <w:kern w:val="2"/>
                <w:sz w:val="22"/>
                <w:szCs w:val="22"/>
                <w:highlight w:val="none"/>
                <w:lang w:val="en-US" w:eastAsia="zh-CN" w:bidi="ar-SA"/>
              </w:rPr>
            </w:pPr>
            <w:r>
              <w:rPr>
                <w:rFonts w:hint="eastAsia" w:ascii="宋体" w:hAnsi="宋体" w:cs="宋体"/>
                <w:color w:val="auto"/>
                <w:sz w:val="22"/>
                <w:szCs w:val="22"/>
                <w:highlight w:val="none"/>
              </w:rPr>
              <w:t>11</w:t>
            </w:r>
          </w:p>
        </w:tc>
        <w:tc>
          <w:tcPr>
            <w:tcW w:w="6472" w:type="dxa"/>
            <w:tcBorders>
              <w:top w:val="nil"/>
              <w:left w:val="nil"/>
              <w:bottom w:val="single" w:color="auto" w:sz="4" w:space="0"/>
              <w:right w:val="single" w:color="auto" w:sz="4" w:space="0"/>
            </w:tcBorders>
            <w:noWrap w:val="0"/>
            <w:vAlign w:val="center"/>
          </w:tcPr>
          <w:p w14:paraId="0317B9A3">
            <w:pPr>
              <w:keepNext w:val="0"/>
              <w:keepLines w:val="0"/>
              <w:pageBreakBefore w:val="0"/>
              <w:widowControl/>
              <w:kinsoku/>
              <w:wordWrap/>
              <w:overflowPunct/>
              <w:topLinePunct w:val="0"/>
              <w:bidi w:val="0"/>
              <w:spacing w:line="400" w:lineRule="exact"/>
              <w:jc w:val="left"/>
              <w:rPr>
                <w:rFonts w:hint="default" w:ascii="宋体" w:hAnsi="宋体" w:eastAsia="宋体" w:cs="宋体"/>
                <w:color w:val="auto"/>
                <w:kern w:val="2"/>
                <w:sz w:val="22"/>
                <w:szCs w:val="22"/>
                <w:highlight w:val="none"/>
                <w:lang w:val="en-US" w:eastAsia="zh-CN" w:bidi="ar-SA"/>
              </w:rPr>
            </w:pPr>
            <w:r>
              <w:rPr>
                <w:rFonts w:hint="eastAsia" w:ascii="仿宋_GB2312" w:hAnsi="宋体" w:cs="宋体"/>
                <w:color w:val="auto"/>
                <w:sz w:val="22"/>
                <w:szCs w:val="22"/>
                <w:highlight w:val="none"/>
                <w:lang w:val="en-US" w:eastAsia="zh-CN"/>
              </w:rPr>
              <w:t>中标单位</w:t>
            </w:r>
            <w:r>
              <w:rPr>
                <w:rFonts w:hint="eastAsia" w:ascii="仿宋_GB2312" w:hAnsi="宋体" w:cs="宋体"/>
                <w:color w:val="auto"/>
                <w:sz w:val="22"/>
                <w:szCs w:val="22"/>
                <w:highlight w:val="none"/>
              </w:rPr>
              <w:t>人员在工作期间擅离职守，或出现饮酒作业、带病作业等，每发现一次扣</w:t>
            </w:r>
            <w:r>
              <w:rPr>
                <w:rFonts w:hint="eastAsia" w:ascii="仿宋_GB2312" w:hAnsi="宋体" w:cs="宋体"/>
                <w:color w:val="auto"/>
                <w:sz w:val="22"/>
                <w:szCs w:val="22"/>
                <w:highlight w:val="none"/>
                <w:lang w:val="en-US" w:eastAsia="zh-CN"/>
              </w:rPr>
              <w:t>10</w:t>
            </w:r>
            <w:r>
              <w:rPr>
                <w:rFonts w:hint="eastAsia" w:ascii="仿宋_GB2312" w:hAnsi="宋体" w:cs="宋体"/>
                <w:color w:val="auto"/>
                <w:sz w:val="22"/>
                <w:szCs w:val="22"/>
                <w:highlight w:val="none"/>
              </w:rPr>
              <w:t>分。影响生产的双倍扣分。</w:t>
            </w:r>
          </w:p>
        </w:tc>
        <w:tc>
          <w:tcPr>
            <w:tcW w:w="1688" w:type="dxa"/>
            <w:gridSpan w:val="2"/>
            <w:tcBorders>
              <w:top w:val="nil"/>
              <w:left w:val="nil"/>
              <w:bottom w:val="single" w:color="auto" w:sz="4" w:space="0"/>
              <w:right w:val="single" w:color="auto" w:sz="4" w:space="0"/>
            </w:tcBorders>
            <w:noWrap w:val="0"/>
            <w:vAlign w:val="center"/>
          </w:tcPr>
          <w:p w14:paraId="7804864F">
            <w:pPr>
              <w:keepNext w:val="0"/>
              <w:keepLines w:val="0"/>
              <w:pageBreakBefore w:val="0"/>
              <w:widowControl/>
              <w:kinsoku/>
              <w:wordWrap/>
              <w:overflowPunct/>
              <w:topLinePunct w:val="0"/>
              <w:bidi w:val="0"/>
              <w:spacing w:line="400" w:lineRule="exact"/>
              <w:jc w:val="center"/>
              <w:rPr>
                <w:rFonts w:hint="eastAsia" w:ascii="宋体" w:hAnsi="宋体" w:cs="宋体"/>
                <w:color w:val="auto"/>
                <w:kern w:val="2"/>
                <w:sz w:val="22"/>
                <w:szCs w:val="22"/>
                <w:highlight w:val="none"/>
                <w:lang w:val="en-US" w:eastAsia="zh-CN" w:bidi="ar-SA"/>
              </w:rPr>
            </w:pPr>
          </w:p>
        </w:tc>
      </w:tr>
      <w:tr w14:paraId="2B0DBCB4">
        <w:tblPrEx>
          <w:tblCellMar>
            <w:top w:w="0" w:type="dxa"/>
            <w:left w:w="108" w:type="dxa"/>
            <w:bottom w:w="0" w:type="dxa"/>
            <w:right w:w="108" w:type="dxa"/>
          </w:tblCellMar>
        </w:tblPrEx>
        <w:trPr>
          <w:trHeight w:val="397" w:hRule="atLeast"/>
          <w:jc w:val="center"/>
        </w:trPr>
        <w:tc>
          <w:tcPr>
            <w:tcW w:w="700" w:type="dxa"/>
            <w:tcBorders>
              <w:top w:val="nil"/>
              <w:left w:val="single" w:color="auto" w:sz="4" w:space="0"/>
              <w:bottom w:val="single" w:color="auto" w:sz="4" w:space="0"/>
              <w:right w:val="single" w:color="auto" w:sz="4" w:space="0"/>
            </w:tcBorders>
            <w:noWrap w:val="0"/>
            <w:vAlign w:val="center"/>
          </w:tcPr>
          <w:p w14:paraId="0C947932">
            <w:pPr>
              <w:keepNext w:val="0"/>
              <w:keepLines w:val="0"/>
              <w:pageBreakBefore w:val="0"/>
              <w:widowControl/>
              <w:kinsoku/>
              <w:wordWrap/>
              <w:overflowPunct/>
              <w:topLinePunct w:val="0"/>
              <w:bidi w:val="0"/>
              <w:spacing w:line="400" w:lineRule="exact"/>
              <w:jc w:val="center"/>
              <w:rPr>
                <w:rFonts w:hint="eastAsia" w:ascii="宋体" w:hAnsi="宋体" w:cs="宋体"/>
                <w:color w:val="auto"/>
                <w:kern w:val="2"/>
                <w:sz w:val="22"/>
                <w:szCs w:val="22"/>
                <w:highlight w:val="none"/>
                <w:lang w:val="en-US" w:eastAsia="zh-CN" w:bidi="ar-SA"/>
              </w:rPr>
            </w:pPr>
            <w:r>
              <w:rPr>
                <w:rFonts w:hint="eastAsia" w:ascii="宋体" w:hAnsi="宋体" w:cs="宋体"/>
                <w:color w:val="auto"/>
                <w:sz w:val="22"/>
                <w:szCs w:val="22"/>
                <w:highlight w:val="none"/>
              </w:rPr>
              <w:t>12</w:t>
            </w:r>
          </w:p>
        </w:tc>
        <w:tc>
          <w:tcPr>
            <w:tcW w:w="6472" w:type="dxa"/>
            <w:tcBorders>
              <w:top w:val="nil"/>
              <w:left w:val="nil"/>
              <w:bottom w:val="single" w:color="auto" w:sz="4" w:space="0"/>
              <w:right w:val="single" w:color="auto" w:sz="4" w:space="0"/>
            </w:tcBorders>
            <w:noWrap w:val="0"/>
            <w:vAlign w:val="center"/>
          </w:tcPr>
          <w:p w14:paraId="594C69C9">
            <w:pPr>
              <w:keepNext w:val="0"/>
              <w:keepLines w:val="0"/>
              <w:pageBreakBefore w:val="0"/>
              <w:widowControl/>
              <w:kinsoku/>
              <w:wordWrap/>
              <w:overflowPunct/>
              <w:topLinePunct w:val="0"/>
              <w:bidi w:val="0"/>
              <w:spacing w:line="400" w:lineRule="exact"/>
              <w:jc w:val="left"/>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rPr>
              <w:t>在各级部门的检查中，因</w:t>
            </w:r>
            <w:r>
              <w:rPr>
                <w:rFonts w:hint="eastAsia" w:ascii="宋体" w:hAnsi="宋体" w:cs="宋体"/>
                <w:color w:val="auto"/>
                <w:sz w:val="22"/>
                <w:szCs w:val="22"/>
                <w:highlight w:val="none"/>
                <w:lang w:val="en-US" w:eastAsia="zh-CN"/>
              </w:rPr>
              <w:t>渗滤液运输</w:t>
            </w:r>
            <w:r>
              <w:rPr>
                <w:rFonts w:hint="eastAsia" w:ascii="宋体" w:hAnsi="宋体" w:cs="宋体"/>
                <w:color w:val="auto"/>
                <w:sz w:val="22"/>
                <w:szCs w:val="22"/>
                <w:highlight w:val="none"/>
              </w:rPr>
              <w:t>管理不到位等，被处罚或者考核扣分的，每出现一次扣10分。</w:t>
            </w:r>
          </w:p>
        </w:tc>
        <w:tc>
          <w:tcPr>
            <w:tcW w:w="1688" w:type="dxa"/>
            <w:gridSpan w:val="2"/>
            <w:tcBorders>
              <w:top w:val="nil"/>
              <w:left w:val="nil"/>
              <w:bottom w:val="single" w:color="auto" w:sz="4" w:space="0"/>
              <w:right w:val="single" w:color="auto" w:sz="4" w:space="0"/>
            </w:tcBorders>
            <w:noWrap w:val="0"/>
            <w:vAlign w:val="center"/>
          </w:tcPr>
          <w:p w14:paraId="0D0F6C7B">
            <w:pPr>
              <w:keepNext w:val="0"/>
              <w:keepLines w:val="0"/>
              <w:pageBreakBefore w:val="0"/>
              <w:widowControl/>
              <w:kinsoku/>
              <w:wordWrap/>
              <w:overflowPunct/>
              <w:topLinePunct w:val="0"/>
              <w:bidi w:val="0"/>
              <w:spacing w:line="400" w:lineRule="exact"/>
              <w:jc w:val="center"/>
              <w:rPr>
                <w:rFonts w:ascii="宋体" w:hAnsi="宋体" w:cs="宋体"/>
                <w:color w:val="auto"/>
                <w:sz w:val="22"/>
                <w:szCs w:val="22"/>
                <w:highlight w:val="none"/>
              </w:rPr>
            </w:pPr>
          </w:p>
        </w:tc>
      </w:tr>
      <w:tr w14:paraId="6C1A06D5">
        <w:tblPrEx>
          <w:tblCellMar>
            <w:top w:w="0" w:type="dxa"/>
            <w:left w:w="108" w:type="dxa"/>
            <w:bottom w:w="0" w:type="dxa"/>
            <w:right w:w="108" w:type="dxa"/>
          </w:tblCellMar>
        </w:tblPrEx>
        <w:trPr>
          <w:trHeight w:val="397" w:hRule="atLeast"/>
          <w:jc w:val="center"/>
        </w:trPr>
        <w:tc>
          <w:tcPr>
            <w:tcW w:w="700" w:type="dxa"/>
            <w:tcBorders>
              <w:top w:val="nil"/>
              <w:left w:val="single" w:color="auto" w:sz="4" w:space="0"/>
              <w:bottom w:val="single" w:color="auto" w:sz="4" w:space="0"/>
              <w:right w:val="single" w:color="auto" w:sz="4" w:space="0"/>
            </w:tcBorders>
            <w:noWrap w:val="0"/>
            <w:vAlign w:val="center"/>
          </w:tcPr>
          <w:p w14:paraId="445428A6">
            <w:pPr>
              <w:keepNext w:val="0"/>
              <w:keepLines w:val="0"/>
              <w:pageBreakBefore w:val="0"/>
              <w:widowControl/>
              <w:kinsoku/>
              <w:wordWrap/>
              <w:overflowPunct/>
              <w:topLinePunct w:val="0"/>
              <w:bidi w:val="0"/>
              <w:spacing w:line="400" w:lineRule="exact"/>
              <w:jc w:val="center"/>
              <w:rPr>
                <w:rFonts w:hint="eastAsia" w:ascii="宋体" w:hAnsi="宋体" w:cs="宋体"/>
                <w:color w:val="auto"/>
                <w:kern w:val="2"/>
                <w:sz w:val="22"/>
                <w:szCs w:val="22"/>
                <w:highlight w:val="none"/>
                <w:lang w:val="en-US" w:eastAsia="zh-CN" w:bidi="ar-SA"/>
              </w:rPr>
            </w:pPr>
            <w:r>
              <w:rPr>
                <w:rFonts w:hint="eastAsia" w:ascii="宋体" w:hAnsi="宋体" w:cs="宋体"/>
                <w:color w:val="auto"/>
                <w:sz w:val="22"/>
                <w:szCs w:val="22"/>
                <w:highlight w:val="none"/>
              </w:rPr>
              <w:t>13</w:t>
            </w:r>
          </w:p>
        </w:tc>
        <w:tc>
          <w:tcPr>
            <w:tcW w:w="6472" w:type="dxa"/>
            <w:tcBorders>
              <w:top w:val="nil"/>
              <w:left w:val="nil"/>
              <w:bottom w:val="single" w:color="auto" w:sz="4" w:space="0"/>
              <w:right w:val="single" w:color="auto" w:sz="4" w:space="0"/>
            </w:tcBorders>
            <w:noWrap w:val="0"/>
            <w:vAlign w:val="center"/>
          </w:tcPr>
          <w:p w14:paraId="195CD02C">
            <w:pPr>
              <w:keepNext w:val="0"/>
              <w:keepLines w:val="0"/>
              <w:pageBreakBefore w:val="0"/>
              <w:widowControl/>
              <w:kinsoku/>
              <w:wordWrap/>
              <w:overflowPunct/>
              <w:topLinePunct w:val="0"/>
              <w:bidi w:val="0"/>
              <w:spacing w:line="400" w:lineRule="exact"/>
              <w:jc w:val="left"/>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装卸、运输过程中，损坏招标人的构筑物、建筑物及相关设备设施，每发生一次扣2分。</w:t>
            </w:r>
          </w:p>
        </w:tc>
        <w:tc>
          <w:tcPr>
            <w:tcW w:w="1688" w:type="dxa"/>
            <w:gridSpan w:val="2"/>
            <w:tcBorders>
              <w:top w:val="nil"/>
              <w:left w:val="nil"/>
              <w:bottom w:val="single" w:color="auto" w:sz="4" w:space="0"/>
              <w:right w:val="single" w:color="auto" w:sz="4" w:space="0"/>
            </w:tcBorders>
            <w:noWrap w:val="0"/>
            <w:vAlign w:val="center"/>
          </w:tcPr>
          <w:p w14:paraId="56E15C67">
            <w:pPr>
              <w:keepNext w:val="0"/>
              <w:keepLines w:val="0"/>
              <w:pageBreakBefore w:val="0"/>
              <w:widowControl/>
              <w:kinsoku/>
              <w:wordWrap/>
              <w:overflowPunct/>
              <w:topLinePunct w:val="0"/>
              <w:bidi w:val="0"/>
              <w:spacing w:line="400" w:lineRule="exact"/>
              <w:jc w:val="center"/>
              <w:rPr>
                <w:rFonts w:ascii="宋体" w:hAnsi="宋体" w:cs="宋体"/>
                <w:color w:val="auto"/>
                <w:sz w:val="22"/>
                <w:szCs w:val="22"/>
                <w:highlight w:val="none"/>
              </w:rPr>
            </w:pPr>
          </w:p>
        </w:tc>
      </w:tr>
      <w:tr w14:paraId="0DF4145E">
        <w:tblPrEx>
          <w:tblCellMar>
            <w:top w:w="0" w:type="dxa"/>
            <w:left w:w="108" w:type="dxa"/>
            <w:bottom w:w="0" w:type="dxa"/>
            <w:right w:w="108" w:type="dxa"/>
          </w:tblCellMar>
        </w:tblPrEx>
        <w:trPr>
          <w:trHeight w:val="397" w:hRule="atLeast"/>
          <w:jc w:val="center"/>
        </w:trPr>
        <w:tc>
          <w:tcPr>
            <w:tcW w:w="700" w:type="dxa"/>
            <w:tcBorders>
              <w:top w:val="nil"/>
              <w:left w:val="single" w:color="auto" w:sz="4" w:space="0"/>
              <w:bottom w:val="single" w:color="auto" w:sz="4" w:space="0"/>
              <w:right w:val="single" w:color="auto" w:sz="4" w:space="0"/>
            </w:tcBorders>
            <w:noWrap w:val="0"/>
            <w:vAlign w:val="center"/>
          </w:tcPr>
          <w:p w14:paraId="45B04852">
            <w:pPr>
              <w:keepNext w:val="0"/>
              <w:keepLines w:val="0"/>
              <w:pageBreakBefore w:val="0"/>
              <w:widowControl/>
              <w:kinsoku/>
              <w:wordWrap/>
              <w:overflowPunct/>
              <w:topLinePunct w:val="0"/>
              <w:bidi w:val="0"/>
              <w:spacing w:line="400" w:lineRule="exact"/>
              <w:jc w:val="center"/>
              <w:rPr>
                <w:rFonts w:hint="eastAsia" w:ascii="宋体" w:hAnsi="宋体" w:cs="宋体"/>
                <w:color w:val="auto"/>
                <w:kern w:val="2"/>
                <w:sz w:val="22"/>
                <w:szCs w:val="22"/>
                <w:highlight w:val="none"/>
                <w:lang w:val="en-US" w:eastAsia="zh-CN" w:bidi="ar-SA"/>
              </w:rPr>
            </w:pPr>
            <w:r>
              <w:rPr>
                <w:rFonts w:hint="eastAsia" w:ascii="宋体" w:hAnsi="宋体" w:cs="宋体"/>
                <w:color w:val="auto"/>
                <w:sz w:val="22"/>
                <w:szCs w:val="22"/>
                <w:highlight w:val="none"/>
              </w:rPr>
              <w:t>14</w:t>
            </w:r>
          </w:p>
        </w:tc>
        <w:tc>
          <w:tcPr>
            <w:tcW w:w="6472" w:type="dxa"/>
            <w:tcBorders>
              <w:top w:val="nil"/>
              <w:left w:val="nil"/>
              <w:bottom w:val="single" w:color="auto" w:sz="4" w:space="0"/>
              <w:right w:val="single" w:color="auto" w:sz="4" w:space="0"/>
            </w:tcBorders>
            <w:noWrap w:val="0"/>
            <w:vAlign w:val="center"/>
          </w:tcPr>
          <w:p w14:paraId="7DDF2323">
            <w:pPr>
              <w:keepNext w:val="0"/>
              <w:keepLines w:val="0"/>
              <w:pageBreakBefore w:val="0"/>
              <w:widowControl/>
              <w:kinsoku/>
              <w:wordWrap/>
              <w:overflowPunct/>
              <w:topLinePunct w:val="0"/>
              <w:bidi w:val="0"/>
              <w:spacing w:line="400" w:lineRule="exact"/>
              <w:jc w:val="left"/>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中标单位不配合招标人调遣，每发生一次扣10分。</w:t>
            </w:r>
          </w:p>
        </w:tc>
        <w:tc>
          <w:tcPr>
            <w:tcW w:w="1688" w:type="dxa"/>
            <w:gridSpan w:val="2"/>
            <w:tcBorders>
              <w:top w:val="nil"/>
              <w:left w:val="nil"/>
              <w:bottom w:val="single" w:color="auto" w:sz="4" w:space="0"/>
              <w:right w:val="single" w:color="auto" w:sz="4" w:space="0"/>
            </w:tcBorders>
            <w:noWrap w:val="0"/>
            <w:vAlign w:val="center"/>
          </w:tcPr>
          <w:p w14:paraId="032532D9">
            <w:pPr>
              <w:keepNext w:val="0"/>
              <w:keepLines w:val="0"/>
              <w:pageBreakBefore w:val="0"/>
              <w:widowControl/>
              <w:kinsoku/>
              <w:wordWrap/>
              <w:overflowPunct/>
              <w:topLinePunct w:val="0"/>
              <w:bidi w:val="0"/>
              <w:spacing w:line="400" w:lineRule="exact"/>
              <w:jc w:val="center"/>
              <w:rPr>
                <w:rFonts w:ascii="宋体" w:hAnsi="宋体" w:cs="宋体"/>
                <w:color w:val="auto"/>
                <w:sz w:val="22"/>
                <w:szCs w:val="22"/>
                <w:highlight w:val="none"/>
              </w:rPr>
            </w:pPr>
          </w:p>
        </w:tc>
      </w:tr>
      <w:tr w14:paraId="53A11295">
        <w:tblPrEx>
          <w:tblCellMar>
            <w:top w:w="0" w:type="dxa"/>
            <w:left w:w="108" w:type="dxa"/>
            <w:bottom w:w="0" w:type="dxa"/>
            <w:right w:w="108" w:type="dxa"/>
          </w:tblCellMar>
        </w:tblPrEx>
        <w:trPr>
          <w:trHeight w:val="397" w:hRule="atLeast"/>
          <w:jc w:val="center"/>
        </w:trPr>
        <w:tc>
          <w:tcPr>
            <w:tcW w:w="700" w:type="dxa"/>
            <w:tcBorders>
              <w:top w:val="nil"/>
              <w:left w:val="single" w:color="auto" w:sz="4" w:space="0"/>
              <w:bottom w:val="single" w:color="auto" w:sz="4" w:space="0"/>
              <w:right w:val="single" w:color="auto" w:sz="4" w:space="0"/>
            </w:tcBorders>
            <w:noWrap w:val="0"/>
            <w:vAlign w:val="center"/>
          </w:tcPr>
          <w:p w14:paraId="42378C49">
            <w:pPr>
              <w:keepNext w:val="0"/>
              <w:keepLines w:val="0"/>
              <w:pageBreakBefore w:val="0"/>
              <w:widowControl/>
              <w:kinsoku/>
              <w:wordWrap/>
              <w:overflowPunct/>
              <w:topLinePunct w:val="0"/>
              <w:bidi w:val="0"/>
              <w:spacing w:line="400" w:lineRule="exact"/>
              <w:jc w:val="center"/>
              <w:rPr>
                <w:rFonts w:hint="eastAsia" w:ascii="宋体" w:hAnsi="宋体" w:cs="宋体"/>
                <w:color w:val="auto"/>
                <w:kern w:val="2"/>
                <w:sz w:val="22"/>
                <w:szCs w:val="22"/>
                <w:highlight w:val="none"/>
                <w:lang w:val="en-US" w:eastAsia="zh-CN" w:bidi="ar-SA"/>
              </w:rPr>
            </w:pPr>
            <w:r>
              <w:rPr>
                <w:rFonts w:hint="eastAsia" w:ascii="宋体" w:hAnsi="宋体" w:cs="宋体"/>
                <w:color w:val="auto"/>
                <w:sz w:val="22"/>
                <w:szCs w:val="22"/>
                <w:highlight w:val="none"/>
              </w:rPr>
              <w:t>15</w:t>
            </w:r>
          </w:p>
        </w:tc>
        <w:tc>
          <w:tcPr>
            <w:tcW w:w="6472" w:type="dxa"/>
            <w:tcBorders>
              <w:top w:val="nil"/>
              <w:left w:val="nil"/>
              <w:bottom w:val="single" w:color="auto" w:sz="4" w:space="0"/>
              <w:right w:val="single" w:color="auto" w:sz="4" w:space="0"/>
            </w:tcBorders>
            <w:noWrap w:val="0"/>
            <w:vAlign w:val="center"/>
          </w:tcPr>
          <w:p w14:paraId="6C6F18ED">
            <w:pPr>
              <w:keepNext w:val="0"/>
              <w:keepLines w:val="0"/>
              <w:pageBreakBefore w:val="0"/>
              <w:widowControl/>
              <w:kinsoku/>
              <w:wordWrap/>
              <w:overflowPunct/>
              <w:topLinePunct w:val="0"/>
              <w:bidi w:val="0"/>
              <w:spacing w:line="400" w:lineRule="exact"/>
              <w:jc w:val="left"/>
              <w:rPr>
                <w:rFonts w:hint="default"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转运过程中弄虚作假的每发生一次扣50分。</w:t>
            </w:r>
          </w:p>
        </w:tc>
        <w:tc>
          <w:tcPr>
            <w:tcW w:w="1688" w:type="dxa"/>
            <w:gridSpan w:val="2"/>
            <w:tcBorders>
              <w:top w:val="nil"/>
              <w:left w:val="nil"/>
              <w:bottom w:val="single" w:color="auto" w:sz="4" w:space="0"/>
              <w:right w:val="single" w:color="auto" w:sz="4" w:space="0"/>
            </w:tcBorders>
            <w:noWrap w:val="0"/>
            <w:vAlign w:val="center"/>
          </w:tcPr>
          <w:p w14:paraId="15E6BCB8">
            <w:pPr>
              <w:keepNext w:val="0"/>
              <w:keepLines w:val="0"/>
              <w:pageBreakBefore w:val="0"/>
              <w:widowControl/>
              <w:kinsoku/>
              <w:wordWrap/>
              <w:overflowPunct/>
              <w:topLinePunct w:val="0"/>
              <w:bidi w:val="0"/>
              <w:spacing w:line="400" w:lineRule="exact"/>
              <w:jc w:val="center"/>
              <w:rPr>
                <w:rFonts w:ascii="宋体" w:hAnsi="宋体" w:cs="宋体"/>
                <w:color w:val="auto"/>
                <w:sz w:val="22"/>
                <w:szCs w:val="22"/>
                <w:highlight w:val="none"/>
              </w:rPr>
            </w:pPr>
          </w:p>
        </w:tc>
      </w:tr>
      <w:tr w14:paraId="26AA2122">
        <w:tblPrEx>
          <w:tblCellMar>
            <w:top w:w="0" w:type="dxa"/>
            <w:left w:w="108" w:type="dxa"/>
            <w:bottom w:w="0" w:type="dxa"/>
            <w:right w:w="108" w:type="dxa"/>
          </w:tblCellMar>
        </w:tblPrEx>
        <w:trPr>
          <w:trHeight w:val="397" w:hRule="atLeast"/>
          <w:jc w:val="center"/>
        </w:trPr>
        <w:tc>
          <w:tcPr>
            <w:tcW w:w="7172" w:type="dxa"/>
            <w:gridSpan w:val="2"/>
            <w:tcBorders>
              <w:top w:val="single" w:color="auto" w:sz="4" w:space="0"/>
              <w:left w:val="single" w:color="auto" w:sz="4" w:space="0"/>
              <w:bottom w:val="single" w:color="auto" w:sz="4" w:space="0"/>
              <w:right w:val="single" w:color="auto" w:sz="4" w:space="0"/>
            </w:tcBorders>
            <w:noWrap w:val="0"/>
            <w:vAlign w:val="center"/>
          </w:tcPr>
          <w:p w14:paraId="1B0C574A">
            <w:pPr>
              <w:keepNext w:val="0"/>
              <w:keepLines w:val="0"/>
              <w:pageBreakBefore w:val="0"/>
              <w:widowControl/>
              <w:kinsoku/>
              <w:wordWrap/>
              <w:overflowPunct/>
              <w:topLinePunct w:val="0"/>
              <w:bidi w:val="0"/>
              <w:spacing w:line="40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合计扣分</w:t>
            </w:r>
          </w:p>
        </w:tc>
        <w:tc>
          <w:tcPr>
            <w:tcW w:w="1688" w:type="dxa"/>
            <w:gridSpan w:val="2"/>
            <w:tcBorders>
              <w:top w:val="nil"/>
              <w:left w:val="nil"/>
              <w:bottom w:val="single" w:color="auto" w:sz="4" w:space="0"/>
              <w:right w:val="single" w:color="auto" w:sz="4" w:space="0"/>
            </w:tcBorders>
            <w:noWrap w:val="0"/>
            <w:vAlign w:val="center"/>
          </w:tcPr>
          <w:p w14:paraId="6CA85849">
            <w:pPr>
              <w:keepNext w:val="0"/>
              <w:keepLines w:val="0"/>
              <w:pageBreakBefore w:val="0"/>
              <w:widowControl/>
              <w:kinsoku/>
              <w:wordWrap/>
              <w:overflowPunct/>
              <w:topLinePunct w:val="0"/>
              <w:bidi w:val="0"/>
              <w:spacing w:line="40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　</w:t>
            </w:r>
          </w:p>
        </w:tc>
      </w:tr>
      <w:tr w14:paraId="71B16821">
        <w:tblPrEx>
          <w:tblCellMar>
            <w:top w:w="0" w:type="dxa"/>
            <w:left w:w="108" w:type="dxa"/>
            <w:bottom w:w="0" w:type="dxa"/>
            <w:right w:w="108" w:type="dxa"/>
          </w:tblCellMar>
        </w:tblPrEx>
        <w:trPr>
          <w:trHeight w:val="397" w:hRule="atLeast"/>
          <w:jc w:val="center"/>
        </w:trPr>
        <w:tc>
          <w:tcPr>
            <w:tcW w:w="7172" w:type="dxa"/>
            <w:gridSpan w:val="2"/>
            <w:tcBorders>
              <w:top w:val="single" w:color="auto" w:sz="4" w:space="0"/>
              <w:left w:val="single" w:color="auto" w:sz="4" w:space="0"/>
              <w:bottom w:val="single" w:color="auto" w:sz="4" w:space="0"/>
              <w:right w:val="single" w:color="auto" w:sz="4" w:space="0"/>
            </w:tcBorders>
            <w:noWrap w:val="0"/>
            <w:vAlign w:val="center"/>
          </w:tcPr>
          <w:p w14:paraId="20473843">
            <w:pPr>
              <w:keepNext w:val="0"/>
              <w:keepLines w:val="0"/>
              <w:pageBreakBefore w:val="0"/>
              <w:widowControl/>
              <w:kinsoku/>
              <w:wordWrap/>
              <w:overflowPunct/>
              <w:topLinePunct w:val="0"/>
              <w:bidi w:val="0"/>
              <w:spacing w:line="40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最终得分</w:t>
            </w:r>
          </w:p>
        </w:tc>
        <w:tc>
          <w:tcPr>
            <w:tcW w:w="1688" w:type="dxa"/>
            <w:gridSpan w:val="2"/>
            <w:tcBorders>
              <w:top w:val="nil"/>
              <w:left w:val="nil"/>
              <w:bottom w:val="single" w:color="auto" w:sz="4" w:space="0"/>
              <w:right w:val="single" w:color="auto" w:sz="4" w:space="0"/>
            </w:tcBorders>
            <w:noWrap w:val="0"/>
            <w:vAlign w:val="center"/>
          </w:tcPr>
          <w:p w14:paraId="49B60B47">
            <w:pPr>
              <w:keepNext w:val="0"/>
              <w:keepLines w:val="0"/>
              <w:pageBreakBefore w:val="0"/>
              <w:widowControl/>
              <w:kinsoku/>
              <w:wordWrap/>
              <w:overflowPunct/>
              <w:topLinePunct w:val="0"/>
              <w:bidi w:val="0"/>
              <w:spacing w:line="40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　</w:t>
            </w:r>
          </w:p>
        </w:tc>
      </w:tr>
    </w:tbl>
    <w:p w14:paraId="0AC608D1">
      <w:pPr>
        <w:keepNext w:val="0"/>
        <w:keepLines w:val="0"/>
        <w:pageBreakBefore w:val="0"/>
        <w:kinsoku/>
        <w:wordWrap/>
        <w:overflowPunct/>
        <w:topLinePunct w:val="0"/>
        <w:bidi w:val="0"/>
        <w:spacing w:line="400" w:lineRule="exact"/>
        <w:rPr>
          <w:rFonts w:hint="eastAsia" w:ascii="宋体" w:hAnsi="宋体"/>
          <w:color w:val="auto"/>
          <w:sz w:val="22"/>
          <w:szCs w:val="22"/>
          <w:highlight w:val="none"/>
        </w:rPr>
      </w:pPr>
      <w:r>
        <w:rPr>
          <w:rFonts w:hint="eastAsia" w:ascii="宋体" w:hAnsi="宋体"/>
          <w:color w:val="auto"/>
          <w:sz w:val="22"/>
          <w:szCs w:val="22"/>
          <w:highlight w:val="none"/>
        </w:rPr>
        <w:t>注：1.考核时，根据实际结合条款分值酌情扣分。</w:t>
      </w:r>
    </w:p>
    <w:p w14:paraId="56070B63">
      <w:pPr>
        <w:pStyle w:val="24"/>
        <w:numPr>
          <w:ilvl w:val="0"/>
          <w:numId w:val="9"/>
        </w:numPr>
        <w:tabs>
          <w:tab w:val="clear" w:pos="540"/>
        </w:tabs>
        <w:ind w:left="420" w:leftChars="0" w:firstLine="0" w:firstLineChars="0"/>
        <w:jc w:val="left"/>
        <w:rPr>
          <w:rFonts w:hint="eastAsia" w:ascii="宋体" w:hAnsi="宋体" w:eastAsia="宋体" w:cs="Times New Roman"/>
          <w:b w:val="0"/>
          <w:color w:val="auto"/>
          <w:kern w:val="2"/>
          <w:sz w:val="22"/>
          <w:szCs w:val="22"/>
          <w:highlight w:val="none"/>
          <w:lang w:val="en-US" w:eastAsia="zh-CN" w:bidi="ar-SA"/>
        </w:rPr>
      </w:pPr>
      <w:r>
        <w:rPr>
          <w:rFonts w:hint="eastAsia" w:ascii="宋体" w:hAnsi="宋体" w:eastAsia="宋体" w:cs="Times New Roman"/>
          <w:b w:val="0"/>
          <w:color w:val="auto"/>
          <w:kern w:val="2"/>
          <w:sz w:val="22"/>
          <w:szCs w:val="22"/>
          <w:highlight w:val="none"/>
          <w:lang w:val="en-US" w:eastAsia="zh-CN" w:bidi="ar-SA"/>
        </w:rPr>
        <w:t>考核满分为100分，实行倒扣分制，按月考核。考核在90分以上（含90分）不扣服务费；低于90分（不含90分），扣该期服务费的5%；低于80分（不含80分），扣该期服务费的15%；低于70分（不含70分），扣该期服务费的30%；低于60分（不含60分），招标人有权解除合同。</w:t>
      </w:r>
    </w:p>
    <w:p w14:paraId="63FE4C48">
      <w:pPr>
        <w:pStyle w:val="24"/>
        <w:numPr>
          <w:ilvl w:val="0"/>
          <w:numId w:val="0"/>
        </w:numPr>
        <w:jc w:val="left"/>
        <w:rPr>
          <w:rFonts w:hint="eastAsia" w:ascii="宋体" w:hAnsi="宋体" w:cs="Times New Roman"/>
          <w:b/>
          <w:bCs/>
          <w:color w:val="auto"/>
          <w:kern w:val="2"/>
          <w:sz w:val="22"/>
          <w:szCs w:val="22"/>
          <w:highlight w:val="none"/>
          <w:lang w:val="en-US" w:eastAsia="zh-CN" w:bidi="ar-SA"/>
        </w:rPr>
      </w:pPr>
    </w:p>
    <w:p w14:paraId="67FBD9C2">
      <w:pPr>
        <w:rPr>
          <w:rFonts w:hint="eastAsia" w:ascii="黑体" w:hAnsi="黑体" w:eastAsia="黑体" w:cs="黑体"/>
          <w:b w:val="0"/>
          <w:bCs w:val="0"/>
          <w:color w:val="auto"/>
          <w:sz w:val="32"/>
          <w:szCs w:val="32"/>
        </w:rPr>
      </w:pPr>
    </w:p>
    <w:p w14:paraId="5D1D96FD">
      <w:pPr>
        <w:rPr>
          <w:rFonts w:hint="eastAsia" w:ascii="黑体" w:hAnsi="黑体" w:eastAsia="黑体" w:cs="黑体"/>
          <w:b w:val="0"/>
          <w:bCs w:val="0"/>
          <w:color w:val="auto"/>
          <w:sz w:val="32"/>
          <w:szCs w:val="32"/>
        </w:rPr>
      </w:pPr>
    </w:p>
    <w:p w14:paraId="45B0134D">
      <w:pPr>
        <w:rPr>
          <w:rFonts w:hint="eastAsia" w:ascii="黑体" w:hAnsi="黑体" w:eastAsia="黑体" w:cs="黑体"/>
          <w:b w:val="0"/>
          <w:bCs w:val="0"/>
          <w:color w:val="auto"/>
          <w:sz w:val="32"/>
          <w:szCs w:val="32"/>
        </w:rPr>
      </w:pPr>
    </w:p>
    <w:p w14:paraId="6D212B03">
      <w:pPr>
        <w:rPr>
          <w:rFonts w:hint="eastAsia" w:ascii="黑体" w:hAnsi="黑体" w:eastAsia="黑体" w:cs="黑体"/>
          <w:b w:val="0"/>
          <w:bCs w:val="0"/>
          <w:color w:val="auto"/>
          <w:sz w:val="32"/>
          <w:szCs w:val="32"/>
        </w:rPr>
      </w:pPr>
    </w:p>
    <w:p w14:paraId="74425A45">
      <w:pPr>
        <w:rPr>
          <w:rFonts w:hint="eastAsia" w:ascii="黑体" w:hAnsi="黑体" w:eastAsia="黑体" w:cs="黑体"/>
          <w:b w:val="0"/>
          <w:bCs w:val="0"/>
          <w:color w:val="auto"/>
          <w:sz w:val="32"/>
          <w:szCs w:val="32"/>
        </w:rPr>
      </w:pPr>
    </w:p>
    <w:p w14:paraId="1FA57EB9">
      <w:pPr>
        <w:rPr>
          <w:rFonts w:hint="eastAsia" w:ascii="黑体" w:hAnsi="黑体" w:eastAsia="黑体" w:cs="黑体"/>
          <w:b w:val="0"/>
          <w:bCs w:val="0"/>
          <w:color w:val="auto"/>
          <w:sz w:val="32"/>
          <w:szCs w:val="32"/>
        </w:rPr>
      </w:pPr>
    </w:p>
    <w:p w14:paraId="5FD5957F">
      <w:pPr>
        <w:rPr>
          <w:rFonts w:hint="eastAsia" w:ascii="黑体" w:hAnsi="黑体" w:eastAsia="黑体" w:cs="黑体"/>
          <w:b w:val="0"/>
          <w:bCs w:val="0"/>
          <w:color w:val="auto"/>
          <w:sz w:val="32"/>
          <w:szCs w:val="32"/>
        </w:rPr>
      </w:pPr>
    </w:p>
    <w:p w14:paraId="76AD69E5">
      <w:pPr>
        <w:rPr>
          <w:rFonts w:hint="eastAsia" w:ascii="黑体" w:hAnsi="黑体" w:eastAsia="黑体" w:cs="黑体"/>
          <w:b w:val="0"/>
          <w:bCs w:val="0"/>
          <w:color w:val="auto"/>
          <w:sz w:val="32"/>
          <w:szCs w:val="32"/>
        </w:rPr>
      </w:pPr>
    </w:p>
    <w:p w14:paraId="15E89728">
      <w:pPr>
        <w:rPr>
          <w:rFonts w:hint="eastAsia" w:ascii="黑体" w:hAnsi="黑体" w:eastAsia="黑体" w:cs="黑体"/>
          <w:b w:val="0"/>
          <w:bCs w:val="0"/>
          <w:color w:val="auto"/>
          <w:sz w:val="32"/>
          <w:szCs w:val="32"/>
        </w:rPr>
      </w:pPr>
    </w:p>
    <w:p w14:paraId="1E0060AA">
      <w:pPr>
        <w:rPr>
          <w:rFonts w:hint="eastAsia" w:ascii="黑体" w:hAnsi="黑体" w:eastAsia="黑体" w:cs="黑体"/>
          <w:b w:val="0"/>
          <w:bCs w:val="0"/>
          <w:color w:val="auto"/>
          <w:sz w:val="32"/>
          <w:szCs w:val="32"/>
        </w:rPr>
      </w:pPr>
    </w:p>
    <w:p w14:paraId="27C444D9">
      <w:pPr>
        <w:rPr>
          <w:rFonts w:hint="eastAsia" w:ascii="黑体" w:hAnsi="黑体" w:eastAsia="黑体" w:cs="黑体"/>
          <w:b w:val="0"/>
          <w:bCs w:val="0"/>
          <w:color w:val="auto"/>
          <w:sz w:val="32"/>
          <w:szCs w:val="32"/>
        </w:rPr>
      </w:pPr>
    </w:p>
    <w:p w14:paraId="6F68A521">
      <w:pPr>
        <w:rPr>
          <w:rFonts w:hint="eastAsia" w:ascii="黑体" w:hAnsi="黑体" w:eastAsia="黑体" w:cs="黑体"/>
          <w:b w:val="0"/>
          <w:bCs w:val="0"/>
          <w:color w:val="auto"/>
          <w:sz w:val="32"/>
          <w:szCs w:val="32"/>
        </w:rPr>
      </w:pPr>
    </w:p>
    <w:p w14:paraId="52571DB7">
      <w:pPr>
        <w:rPr>
          <w:rFonts w:hint="eastAsia" w:ascii="黑体" w:hAnsi="黑体" w:eastAsia="黑体" w:cs="黑体"/>
          <w:b w:val="0"/>
          <w:bCs w:val="0"/>
          <w:color w:val="auto"/>
          <w:sz w:val="32"/>
          <w:szCs w:val="32"/>
        </w:rPr>
      </w:pPr>
    </w:p>
    <w:p w14:paraId="188BA497">
      <w:pPr>
        <w:rPr>
          <w:rFonts w:hint="eastAsia" w:ascii="黑体" w:hAnsi="黑体" w:eastAsia="黑体" w:cs="黑体"/>
          <w:b w:val="0"/>
          <w:bCs w:val="0"/>
          <w:color w:val="auto"/>
          <w:sz w:val="32"/>
          <w:szCs w:val="32"/>
        </w:rPr>
      </w:pPr>
    </w:p>
    <w:p w14:paraId="2045E308">
      <w:pPr>
        <w:rPr>
          <w:rFonts w:hint="eastAsia" w:ascii="黑体" w:hAnsi="黑体" w:eastAsia="黑体" w:cs="黑体"/>
          <w:b w:val="0"/>
          <w:bCs w:val="0"/>
          <w:color w:val="auto"/>
          <w:sz w:val="32"/>
          <w:szCs w:val="32"/>
        </w:rPr>
      </w:pPr>
    </w:p>
    <w:p w14:paraId="1483BAA7">
      <w:pPr>
        <w:rPr>
          <w:rFonts w:hint="eastAsia" w:ascii="黑体" w:hAnsi="黑体" w:eastAsia="黑体" w:cs="黑体"/>
          <w:b w:val="0"/>
          <w:bCs w:val="0"/>
          <w:color w:val="auto"/>
          <w:sz w:val="32"/>
          <w:szCs w:val="32"/>
        </w:rPr>
      </w:pPr>
    </w:p>
    <w:p w14:paraId="792CF734">
      <w:pPr>
        <w:rPr>
          <w:rFonts w:hint="eastAsia" w:ascii="黑体" w:hAnsi="黑体" w:eastAsia="黑体" w:cs="黑体"/>
          <w:b w:val="0"/>
          <w:bCs w:val="0"/>
          <w:color w:val="auto"/>
          <w:sz w:val="32"/>
          <w:szCs w:val="32"/>
        </w:rPr>
      </w:pPr>
    </w:p>
    <w:p w14:paraId="18BD8472">
      <w:pPr>
        <w:pStyle w:val="25"/>
        <w:ind w:left="0" w:leftChars="0" w:firstLine="0" w:firstLineChars="0"/>
        <w:rPr>
          <w:rFonts w:hint="eastAsia"/>
        </w:rPr>
      </w:pPr>
    </w:p>
    <w:bookmarkEnd w:id="155"/>
    <w:p w14:paraId="7B7B065B">
      <w:pPr>
        <w:numPr>
          <w:ilvl w:val="0"/>
          <w:numId w:val="0"/>
        </w:numPr>
        <w:jc w:val="center"/>
        <w:outlineLvl w:val="0"/>
        <w:rPr>
          <w:rFonts w:hint="eastAsia" w:ascii="宋体" w:hAnsi="宋体" w:cs="宋体"/>
          <w:color w:val="000000"/>
          <w:sz w:val="32"/>
          <w:szCs w:val="32"/>
          <w:lang w:val="en-US" w:eastAsia="zh-CN"/>
        </w:rPr>
      </w:pPr>
      <w:bookmarkStart w:id="156" w:name="_Toc7049"/>
      <w:bookmarkStart w:id="157" w:name="_Toc2981"/>
      <w:bookmarkStart w:id="158" w:name="_Toc14290"/>
      <w:bookmarkStart w:id="159" w:name="_Toc29160"/>
      <w:bookmarkStart w:id="160" w:name="_Toc11240"/>
      <w:r>
        <w:rPr>
          <w:rFonts w:hint="eastAsia" w:ascii="宋体" w:hAnsi="宋体" w:cs="宋体"/>
          <w:color w:val="000000"/>
          <w:sz w:val="32"/>
          <w:szCs w:val="32"/>
          <w:lang w:val="en-US" w:eastAsia="zh-CN"/>
        </w:rPr>
        <w:t xml:space="preserve"> </w:t>
      </w:r>
    </w:p>
    <w:p w14:paraId="337CACA9">
      <w:pPr>
        <w:numPr>
          <w:ilvl w:val="0"/>
          <w:numId w:val="0"/>
        </w:numPr>
        <w:jc w:val="center"/>
        <w:outlineLvl w:val="0"/>
        <w:rPr>
          <w:rFonts w:hint="default" w:ascii="宋体" w:hAnsi="宋体" w:eastAsia="宋体"/>
          <w:b/>
          <w:color w:val="auto"/>
          <w:sz w:val="32"/>
          <w:szCs w:val="32"/>
          <w:lang w:val="en-US" w:eastAsia="zh-CN"/>
        </w:rPr>
      </w:pPr>
      <w:r>
        <w:rPr>
          <w:rFonts w:hint="eastAsia" w:ascii="宋体" w:hAnsi="宋体" w:eastAsia="宋体" w:cs="Times New Roman"/>
          <w:b/>
          <w:color w:val="auto"/>
          <w:sz w:val="32"/>
          <w:szCs w:val="32"/>
        </w:rPr>
        <w:t xml:space="preserve">第四章 </w:t>
      </w:r>
      <w:r>
        <w:rPr>
          <w:rFonts w:hint="eastAsia" w:ascii="宋体" w:hAnsi="宋体" w:eastAsia="宋体" w:cs="宋体"/>
          <w:color w:val="000000"/>
          <w:sz w:val="32"/>
          <w:szCs w:val="32"/>
        </w:rPr>
        <w:t xml:space="preserve"> </w:t>
      </w:r>
      <w:bookmarkEnd w:id="156"/>
      <w:bookmarkEnd w:id="157"/>
      <w:r>
        <w:rPr>
          <w:rFonts w:hint="eastAsia" w:ascii="宋体" w:hAnsi="宋体"/>
          <w:b/>
          <w:color w:val="auto"/>
          <w:sz w:val="32"/>
          <w:szCs w:val="32"/>
        </w:rPr>
        <w:t>合同</w:t>
      </w:r>
      <w:r>
        <w:rPr>
          <w:rFonts w:hint="eastAsia" w:ascii="宋体" w:hAnsi="宋体"/>
          <w:b/>
          <w:color w:val="auto"/>
          <w:sz w:val="32"/>
          <w:szCs w:val="32"/>
          <w:lang w:val="en-US" w:eastAsia="zh-CN"/>
        </w:rPr>
        <w:t>主要条款</w:t>
      </w:r>
    </w:p>
    <w:p w14:paraId="3492802F">
      <w:pPr>
        <w:pStyle w:val="26"/>
        <w:ind w:left="422" w:leftChars="0" w:firstLine="0" w:firstLineChars="0"/>
        <w:jc w:val="center"/>
        <w:rPr>
          <w:rFonts w:hint="eastAsia"/>
          <w:b/>
          <w:bCs/>
          <w:color w:val="auto"/>
        </w:rPr>
      </w:pPr>
      <w:r>
        <w:rPr>
          <w:rFonts w:hint="eastAsia"/>
          <w:b/>
          <w:bCs/>
          <w:color w:val="auto"/>
        </w:rPr>
        <w:t>（合同以实际签订为准）</w:t>
      </w:r>
    </w:p>
    <w:p w14:paraId="28D4FDAB">
      <w:pPr>
        <w:pStyle w:val="2"/>
        <w:jc w:val="center"/>
        <w:rPr>
          <w:rFonts w:hint="eastAsia" w:ascii="宋体" w:hAnsi="宋体" w:eastAsia="宋体" w:cs="宋体"/>
          <w:color w:val="000000"/>
          <w:sz w:val="32"/>
          <w:szCs w:val="32"/>
          <w:lang w:val="zh-CN"/>
        </w:rPr>
      </w:pPr>
    </w:p>
    <w:p w14:paraId="760078CE">
      <w:pPr>
        <w:ind w:firstLine="5460" w:firstLineChars="2600"/>
        <w:rPr>
          <w:rFonts w:hint="eastAsia" w:ascii="宋体" w:hAnsi="宋体" w:cs="宋体"/>
          <w:color w:val="000000"/>
          <w:kern w:val="0"/>
          <w:szCs w:val="21"/>
        </w:rPr>
      </w:pPr>
    </w:p>
    <w:p w14:paraId="0E1ECAF2">
      <w:pPr>
        <w:ind w:firstLine="5460" w:firstLineChars="2600"/>
        <w:rPr>
          <w:rFonts w:ascii="宋体" w:cs="宋体"/>
          <w:color w:val="000000"/>
          <w:kern w:val="0"/>
          <w:szCs w:val="21"/>
          <w:u w:val="single"/>
        </w:rPr>
      </w:pPr>
      <w:r>
        <w:rPr>
          <w:rFonts w:hint="eastAsia" w:ascii="宋体" w:hAnsi="宋体" w:cs="宋体"/>
          <w:color w:val="000000"/>
          <w:kern w:val="0"/>
          <w:szCs w:val="21"/>
        </w:rPr>
        <w:t>合同编号：</w:t>
      </w:r>
      <w:r>
        <w:rPr>
          <w:rFonts w:ascii="宋体" w:hAnsi="宋体" w:cs="宋体"/>
          <w:color w:val="000000"/>
          <w:kern w:val="0"/>
          <w:szCs w:val="21"/>
          <w:u w:val="single"/>
        </w:rPr>
        <w:t xml:space="preserve">                  </w:t>
      </w:r>
    </w:p>
    <w:p w14:paraId="01D67A73">
      <w:pPr>
        <w:rPr>
          <w:rFonts w:ascii="宋体" w:cs="宋体"/>
          <w:color w:val="000000"/>
          <w:szCs w:val="21"/>
        </w:rPr>
      </w:pPr>
    </w:p>
    <w:p w14:paraId="189DC103">
      <w:pPr>
        <w:autoSpaceDE/>
        <w:autoSpaceDN/>
        <w:adjustRightInd/>
        <w:spacing w:line="460" w:lineRule="exact"/>
        <w:ind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甲方：（采购人）</w:t>
      </w:r>
    </w:p>
    <w:p w14:paraId="20950740">
      <w:pPr>
        <w:autoSpaceDE/>
        <w:autoSpaceDN/>
        <w:adjustRightInd/>
        <w:spacing w:line="460" w:lineRule="exact"/>
        <w:ind w:firstLine="420" w:firstLineChars="200"/>
        <w:jc w:val="both"/>
        <w:textAlignment w:val="auto"/>
        <w:rPr>
          <w:rFonts w:ascii="宋体" w:cs="宋体"/>
          <w:color w:val="000000"/>
          <w:szCs w:val="21"/>
        </w:rPr>
      </w:pPr>
      <w:r>
        <w:rPr>
          <w:rFonts w:hint="eastAsia" w:ascii="宋体" w:hAnsi="宋体" w:eastAsia="宋体" w:cs="宋体"/>
          <w:bCs/>
          <w:color w:val="auto"/>
          <w:sz w:val="21"/>
          <w:szCs w:val="21"/>
          <w:highlight w:val="none"/>
        </w:rPr>
        <w:t>乙方：（中标人）</w:t>
      </w:r>
    </w:p>
    <w:p w14:paraId="77E16182">
      <w:pPr>
        <w:spacing w:line="360" w:lineRule="auto"/>
        <w:ind w:firstLine="420" w:firstLineChars="200"/>
        <w:rPr>
          <w:rFonts w:ascii="宋体" w:hAnsi="宋体" w:cs="宋体"/>
          <w:szCs w:val="21"/>
        </w:rPr>
      </w:pPr>
      <w:r>
        <w:rPr>
          <w:rFonts w:hint="eastAsia" w:ascii="宋体" w:hAnsi="宋体" w:cs="宋体"/>
          <w:szCs w:val="21"/>
        </w:rPr>
        <w:t>根据《中华人民共和国政府采购法》等有关法律法规精神，甲方采用公开招标采购方式，确定乙方为</w:t>
      </w:r>
      <w:r>
        <w:rPr>
          <w:rFonts w:hint="eastAsia" w:ascii="宋体" w:hAnsi="宋体" w:cs="宋体"/>
          <w:szCs w:val="21"/>
          <w:u w:val="single"/>
        </w:rPr>
        <w:t xml:space="preserve"> </w:t>
      </w:r>
      <w:r>
        <w:rPr>
          <w:rFonts w:hint="eastAsia" w:ascii="宋体" w:hAnsi="宋体" w:cs="宋体"/>
          <w:szCs w:val="21"/>
          <w:u w:val="single"/>
          <w:lang w:eastAsia="zh-CN"/>
        </w:rPr>
        <w:t>常山县农村垃圾中转站渗滤液集中转运处置项目（2025-2026年度）</w:t>
      </w:r>
      <w:r>
        <w:rPr>
          <w:rFonts w:hint="eastAsia" w:ascii="宋体" w:hAnsi="宋体" w:cs="宋体"/>
          <w:szCs w:val="21"/>
          <w:u w:val="single"/>
        </w:rPr>
        <w:t>（项目编号：</w:t>
      </w:r>
      <w:r>
        <w:rPr>
          <w:rFonts w:hint="eastAsia" w:ascii="宋体" w:hAnsi="宋体" w:cs="宋体"/>
          <w:szCs w:val="21"/>
          <w:u w:val="single"/>
          <w:lang w:val="en-US" w:eastAsia="zh-CN"/>
        </w:rPr>
        <w:t xml:space="preserve">        </w:t>
      </w:r>
      <w:r>
        <w:rPr>
          <w:rFonts w:hint="eastAsia" w:ascii="宋体" w:hAnsi="宋体" w:cs="宋体"/>
          <w:szCs w:val="21"/>
          <w:u w:val="single"/>
        </w:rPr>
        <w:t>）</w:t>
      </w:r>
      <w:r>
        <w:rPr>
          <w:rFonts w:hint="eastAsia" w:ascii="宋体" w:hAnsi="宋体" w:cs="宋体"/>
          <w:szCs w:val="21"/>
        </w:rPr>
        <w:t>的供应商，经双方协商一致，达成以下合同条款，以资共同遵守。前述项目的中标通知书、乙方投标文件、招标文件是本合同不可分割的部分。</w:t>
      </w:r>
    </w:p>
    <w:p w14:paraId="7A61264F">
      <w:pPr>
        <w:spacing w:line="300" w:lineRule="auto"/>
        <w:ind w:firstLine="420" w:firstLineChars="200"/>
        <w:rPr>
          <w:rFonts w:ascii="宋体" w:hAnsi="宋体" w:cs="宋体"/>
          <w:szCs w:val="21"/>
        </w:rPr>
      </w:pPr>
      <w:r>
        <w:rPr>
          <w:rFonts w:hint="eastAsia" w:ascii="宋体" w:hAnsi="宋体" w:cs="宋体"/>
          <w:szCs w:val="21"/>
        </w:rPr>
        <w:t>下列文件构成本合同的组成部分，彼此相互解释，相互补充。组成本合同的多个文件的优先解释顺序如下：</w:t>
      </w:r>
    </w:p>
    <w:p w14:paraId="3AFC00B2">
      <w:pPr>
        <w:spacing w:line="300" w:lineRule="auto"/>
        <w:ind w:firstLine="420" w:firstLineChars="200"/>
        <w:rPr>
          <w:rFonts w:ascii="宋体" w:hAnsi="宋体" w:cs="宋体"/>
          <w:szCs w:val="21"/>
        </w:rPr>
      </w:pPr>
      <w:r>
        <w:rPr>
          <w:rFonts w:hint="eastAsia" w:ascii="宋体" w:hAnsi="宋体" w:cs="宋体"/>
          <w:szCs w:val="21"/>
        </w:rPr>
        <w:t>1.补充协议（如有）</w:t>
      </w:r>
    </w:p>
    <w:p w14:paraId="7551AF39">
      <w:pPr>
        <w:spacing w:line="300" w:lineRule="auto"/>
        <w:ind w:firstLine="420" w:firstLineChars="200"/>
        <w:rPr>
          <w:rFonts w:ascii="宋体" w:hAnsi="宋体" w:cs="宋体"/>
          <w:szCs w:val="21"/>
        </w:rPr>
      </w:pPr>
      <w:r>
        <w:rPr>
          <w:rFonts w:hint="eastAsia" w:ascii="宋体" w:hAnsi="宋体" w:cs="宋体"/>
          <w:szCs w:val="21"/>
        </w:rPr>
        <w:t>2.本合同书</w:t>
      </w:r>
    </w:p>
    <w:p w14:paraId="17EB6649">
      <w:pPr>
        <w:spacing w:line="300" w:lineRule="auto"/>
        <w:ind w:firstLine="420" w:firstLineChars="200"/>
        <w:rPr>
          <w:rFonts w:ascii="宋体" w:hAnsi="宋体" w:cs="宋体"/>
          <w:szCs w:val="21"/>
        </w:rPr>
      </w:pPr>
      <w:r>
        <w:rPr>
          <w:rFonts w:hint="eastAsia" w:ascii="宋体" w:hAnsi="宋体" w:cs="宋体"/>
          <w:szCs w:val="21"/>
        </w:rPr>
        <w:t>3.中标（成交）通知书</w:t>
      </w:r>
    </w:p>
    <w:p w14:paraId="2DD7CE32">
      <w:pPr>
        <w:spacing w:line="300" w:lineRule="auto"/>
        <w:ind w:firstLine="420" w:firstLineChars="200"/>
        <w:rPr>
          <w:rFonts w:ascii="宋体" w:hAnsi="宋体" w:cs="宋体"/>
          <w:szCs w:val="21"/>
        </w:rPr>
      </w:pPr>
      <w:r>
        <w:rPr>
          <w:rFonts w:hint="eastAsia" w:ascii="宋体" w:hAnsi="宋体" w:cs="宋体"/>
          <w:szCs w:val="21"/>
        </w:rPr>
        <w:t>4.乙方澄清修改文件</w:t>
      </w:r>
    </w:p>
    <w:p w14:paraId="34A68255">
      <w:pPr>
        <w:spacing w:line="300" w:lineRule="auto"/>
        <w:ind w:firstLine="420" w:firstLineChars="200"/>
        <w:rPr>
          <w:rFonts w:ascii="宋体" w:hAnsi="宋体" w:cs="宋体"/>
          <w:szCs w:val="21"/>
        </w:rPr>
      </w:pPr>
      <w:r>
        <w:rPr>
          <w:rFonts w:hint="eastAsia" w:ascii="宋体" w:hAnsi="宋体" w:cs="宋体"/>
          <w:szCs w:val="21"/>
        </w:rPr>
        <w:t>5.乙方投标（响应）文件</w:t>
      </w:r>
    </w:p>
    <w:p w14:paraId="561A9E7C">
      <w:pPr>
        <w:spacing w:line="300" w:lineRule="auto"/>
        <w:ind w:firstLine="420" w:firstLineChars="200"/>
        <w:rPr>
          <w:rFonts w:ascii="宋体" w:hAnsi="宋体" w:cs="宋体"/>
          <w:szCs w:val="21"/>
        </w:rPr>
      </w:pPr>
      <w:r>
        <w:rPr>
          <w:rFonts w:hint="eastAsia" w:ascii="宋体" w:hAnsi="宋体" w:cs="宋体"/>
          <w:szCs w:val="21"/>
        </w:rPr>
        <w:t>6.采购文件澄清（修改）、更正文件</w:t>
      </w:r>
    </w:p>
    <w:p w14:paraId="69DEF8D1">
      <w:pPr>
        <w:spacing w:line="300" w:lineRule="auto"/>
        <w:ind w:firstLine="420" w:firstLineChars="200"/>
        <w:rPr>
          <w:rFonts w:ascii="宋体" w:hAnsi="宋体" w:cs="宋体"/>
          <w:szCs w:val="21"/>
        </w:rPr>
      </w:pPr>
      <w:r>
        <w:rPr>
          <w:rFonts w:hint="eastAsia" w:ascii="宋体" w:hAnsi="宋体" w:cs="宋体"/>
          <w:szCs w:val="21"/>
        </w:rPr>
        <w:t>7.采购文件</w:t>
      </w:r>
    </w:p>
    <w:p w14:paraId="5403DCBC">
      <w:pPr>
        <w:spacing w:line="300" w:lineRule="auto"/>
        <w:ind w:firstLine="422" w:firstLineChars="200"/>
        <w:jc w:val="left"/>
        <w:rPr>
          <w:rFonts w:ascii="宋体" w:hAnsi="宋体" w:cs="宋体"/>
          <w:b/>
          <w:szCs w:val="21"/>
        </w:rPr>
      </w:pPr>
      <w:r>
        <w:rPr>
          <w:rFonts w:hint="eastAsia" w:ascii="宋体" w:hAnsi="宋体" w:cs="宋体"/>
          <w:b/>
          <w:szCs w:val="21"/>
        </w:rPr>
        <w:t>一、服务地点：</w:t>
      </w:r>
      <w:r>
        <w:rPr>
          <w:rFonts w:hint="eastAsia" w:ascii="宋体" w:hAnsi="宋体" w:cs="宋体"/>
          <w:b/>
          <w:szCs w:val="21"/>
          <w:u w:val="single"/>
        </w:rPr>
        <w:t xml:space="preserve">                           </w:t>
      </w:r>
      <w:r>
        <w:rPr>
          <w:rFonts w:hint="eastAsia" w:ascii="宋体" w:hAnsi="宋体" w:cs="宋体"/>
          <w:b/>
          <w:szCs w:val="21"/>
        </w:rPr>
        <w:t>。</w:t>
      </w:r>
    </w:p>
    <w:p w14:paraId="407FB2C2">
      <w:pPr>
        <w:snapToGrid w:val="0"/>
        <w:spacing w:line="500" w:lineRule="exact"/>
        <w:ind w:firstLine="422" w:firstLineChars="200"/>
        <w:rPr>
          <w:rFonts w:hint="eastAsia" w:ascii="宋体" w:hAnsi="宋体" w:eastAsia="宋体" w:cs="宋体"/>
          <w:bCs/>
          <w:color w:val="auto"/>
          <w:sz w:val="21"/>
          <w:szCs w:val="21"/>
          <w:highlight w:val="none"/>
        </w:rPr>
      </w:pPr>
      <w:r>
        <w:rPr>
          <w:rFonts w:hint="eastAsia" w:ascii="宋体" w:hAnsi="宋体" w:cs="宋体"/>
          <w:b/>
          <w:szCs w:val="21"/>
        </w:rPr>
        <w:t>二、服务期限：</w:t>
      </w:r>
      <w:r>
        <w:rPr>
          <w:rFonts w:hint="eastAsia" w:ascii="宋体" w:hAnsi="宋体" w:eastAsia="宋体" w:cs="宋体"/>
          <w:bCs/>
          <w:color w:val="auto"/>
          <w:sz w:val="21"/>
          <w:szCs w:val="21"/>
          <w:highlight w:val="none"/>
        </w:rPr>
        <w:t>自合同签订之日起</w:t>
      </w:r>
      <w:r>
        <w:rPr>
          <w:rFonts w:hint="eastAsia" w:ascii="宋体" w:hAnsi="宋体" w:cs="宋体"/>
          <w:bCs/>
          <w:color w:val="auto"/>
          <w:sz w:val="21"/>
          <w:szCs w:val="21"/>
          <w:highlight w:val="none"/>
          <w:lang w:val="en-US" w:eastAsia="zh-CN"/>
        </w:rPr>
        <w:t>二</w:t>
      </w:r>
      <w:r>
        <w:rPr>
          <w:rFonts w:hint="eastAsia" w:ascii="宋体" w:hAnsi="宋体" w:eastAsia="宋体" w:cs="宋体"/>
          <w:bCs/>
          <w:color w:val="auto"/>
          <w:sz w:val="21"/>
          <w:szCs w:val="21"/>
          <w:highlight w:val="none"/>
        </w:rPr>
        <w:t>年。</w:t>
      </w:r>
    </w:p>
    <w:p w14:paraId="2A3AECC5">
      <w:pPr>
        <w:spacing w:line="300" w:lineRule="auto"/>
        <w:ind w:firstLine="422" w:firstLineChars="200"/>
        <w:rPr>
          <w:rFonts w:hint="eastAsia" w:ascii="宋体" w:hAnsi="宋体" w:eastAsia="宋体" w:cs="宋体"/>
          <w:b/>
          <w:szCs w:val="21"/>
          <w:lang w:eastAsia="zh-CN"/>
        </w:rPr>
      </w:pPr>
      <w:r>
        <w:rPr>
          <w:rFonts w:hint="eastAsia" w:ascii="宋体" w:hAnsi="宋体" w:cs="宋体"/>
          <w:b/>
          <w:szCs w:val="21"/>
        </w:rPr>
        <w:t>三、合同金额及</w:t>
      </w:r>
      <w:r>
        <w:rPr>
          <w:rFonts w:hint="eastAsia" w:ascii="宋体" w:hAnsi="宋体" w:cs="宋体"/>
          <w:b/>
          <w:szCs w:val="21"/>
          <w:lang w:eastAsia="zh-CN"/>
        </w:rPr>
        <w:t>结算方式</w:t>
      </w:r>
    </w:p>
    <w:p w14:paraId="737D69C2">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1.本项目采用固定单价合同。</w:t>
      </w:r>
    </w:p>
    <w:p w14:paraId="41DFF493">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2.本合同金额为（人民币）：大写：    元/吨（小写 </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元/吨），按实结算。</w:t>
      </w:r>
    </w:p>
    <w:p w14:paraId="1FA55492">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3.本项目服务期间内，乙方承诺的中标单价不因市场因素和政策因素变动而调整。</w:t>
      </w:r>
    </w:p>
    <w:p w14:paraId="0A939E23">
      <w:pPr>
        <w:keepNext w:val="0"/>
        <w:keepLines w:val="0"/>
        <w:pageBreakBefore w:val="0"/>
        <w:widowControl w:val="0"/>
        <w:kinsoku/>
        <w:wordWrap/>
        <w:overflowPunct/>
        <w:topLinePunct w:val="0"/>
        <w:autoSpaceDE/>
        <w:autoSpaceDN/>
        <w:bidi w:val="0"/>
        <w:adjustRightInd w:val="0"/>
        <w:snapToGrid w:val="0"/>
        <w:spacing w:line="60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4.结算方式：</w:t>
      </w:r>
      <w:r>
        <w:rPr>
          <w:rFonts w:hint="eastAsia" w:ascii="宋体" w:hAnsi="宋体"/>
          <w:bCs/>
          <w:color w:val="auto"/>
          <w:sz w:val="22"/>
          <w:szCs w:val="22"/>
          <w:highlight w:val="none"/>
          <w:lang w:val="en-US" w:eastAsia="zh-CN"/>
        </w:rPr>
        <w:t>每半年应支付服务费用=中标单价× 地磅称重重量（每月累计地磅过磅数量核算）-考核扣减金额</w:t>
      </w:r>
      <w:r>
        <w:rPr>
          <w:rFonts w:hint="eastAsia" w:ascii="宋体" w:hAnsi="宋体" w:cs="宋体"/>
          <w:color w:val="auto"/>
          <w:sz w:val="21"/>
          <w:szCs w:val="21"/>
          <w:highlight w:val="none"/>
          <w:lang w:eastAsia="zh-CN"/>
        </w:rPr>
        <w:t>（中标人与各个乡镇自行签订采购合同）</w:t>
      </w:r>
    </w:p>
    <w:p w14:paraId="1D854409">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（1）按实结算，每</w:t>
      </w:r>
      <w:r>
        <w:rPr>
          <w:rFonts w:hint="eastAsia" w:ascii="宋体" w:hAnsi="宋体" w:cs="宋体"/>
          <w:color w:val="auto"/>
          <w:sz w:val="21"/>
          <w:szCs w:val="21"/>
          <w:highlight w:val="none"/>
          <w:lang w:eastAsia="zh-CN"/>
        </w:rPr>
        <w:t>半年</w:t>
      </w:r>
      <w:r>
        <w:rPr>
          <w:rFonts w:hint="eastAsia" w:ascii="宋体" w:hAnsi="宋体" w:eastAsia="宋体" w:cs="宋体"/>
          <w:color w:val="auto"/>
          <w:sz w:val="21"/>
          <w:szCs w:val="21"/>
          <w:highlight w:val="none"/>
        </w:rPr>
        <w:t>结算一次，</w:t>
      </w:r>
      <w:r>
        <w:rPr>
          <w:rFonts w:hint="eastAsia" w:ascii="宋体" w:hAnsi="宋体" w:cs="宋体"/>
          <w:color w:val="auto"/>
          <w:sz w:val="21"/>
          <w:szCs w:val="21"/>
          <w:highlight w:val="none"/>
          <w:lang w:eastAsia="zh-CN"/>
        </w:rPr>
        <w:t>且</w:t>
      </w:r>
      <w:r>
        <w:rPr>
          <w:rFonts w:hint="eastAsia" w:ascii="宋体" w:hAnsi="宋体" w:eastAsia="宋体" w:cs="宋体"/>
          <w:color w:val="auto"/>
          <w:sz w:val="21"/>
          <w:szCs w:val="21"/>
          <w:highlight w:val="none"/>
        </w:rPr>
        <w:t>乙方</w:t>
      </w:r>
      <w:r>
        <w:rPr>
          <w:rFonts w:hint="eastAsia" w:ascii="宋体" w:hAnsi="宋体" w:cs="宋体"/>
          <w:color w:val="auto"/>
          <w:sz w:val="21"/>
          <w:szCs w:val="21"/>
          <w:highlight w:val="none"/>
          <w:lang w:eastAsia="zh-CN"/>
        </w:rPr>
        <w:t>每月将</w:t>
      </w:r>
      <w:r>
        <w:rPr>
          <w:rFonts w:hint="eastAsia" w:ascii="宋体" w:hAnsi="宋体" w:eastAsia="宋体" w:cs="宋体"/>
          <w:color w:val="auto"/>
          <w:sz w:val="21"/>
          <w:szCs w:val="21"/>
          <w:highlight w:val="none"/>
        </w:rPr>
        <w:t>完成处置的</w:t>
      </w:r>
      <w:r>
        <w:rPr>
          <w:rFonts w:hint="eastAsia" w:ascii="宋体" w:hAnsi="宋体" w:cs="宋体"/>
          <w:color w:val="auto"/>
          <w:sz w:val="21"/>
          <w:szCs w:val="21"/>
          <w:highlight w:val="none"/>
          <w:lang w:eastAsia="zh-CN"/>
        </w:rPr>
        <w:t>渗滤液</w:t>
      </w:r>
      <w:r>
        <w:rPr>
          <w:rFonts w:hint="eastAsia" w:ascii="宋体" w:hAnsi="宋体" w:eastAsia="宋体" w:cs="宋体"/>
          <w:color w:val="auto"/>
          <w:sz w:val="21"/>
          <w:szCs w:val="21"/>
          <w:highlight w:val="none"/>
        </w:rPr>
        <w:t>数量提交甲方确认，结算金额为：中标单价×经确认的</w:t>
      </w:r>
      <w:r>
        <w:rPr>
          <w:rFonts w:hint="eastAsia" w:ascii="宋体" w:hAnsi="宋体" w:cs="宋体"/>
          <w:color w:val="auto"/>
          <w:sz w:val="21"/>
          <w:szCs w:val="21"/>
          <w:highlight w:val="none"/>
          <w:lang w:eastAsia="zh-CN"/>
        </w:rPr>
        <w:t>各</w:t>
      </w:r>
      <w:r>
        <w:rPr>
          <w:rFonts w:hint="eastAsia" w:ascii="宋体" w:hAnsi="宋体" w:eastAsia="宋体" w:cs="宋体"/>
          <w:color w:val="auto"/>
          <w:sz w:val="21"/>
          <w:szCs w:val="21"/>
          <w:highlight w:val="none"/>
        </w:rPr>
        <w:t>月实际处置</w:t>
      </w:r>
      <w:r>
        <w:rPr>
          <w:rFonts w:hint="eastAsia" w:ascii="宋体" w:hAnsi="宋体" w:cs="宋体"/>
          <w:color w:val="auto"/>
          <w:sz w:val="21"/>
          <w:szCs w:val="21"/>
          <w:highlight w:val="none"/>
          <w:lang w:eastAsia="zh-CN"/>
        </w:rPr>
        <w:t>渗滤液</w:t>
      </w:r>
      <w:r>
        <w:rPr>
          <w:rFonts w:hint="eastAsia" w:ascii="宋体" w:hAnsi="宋体" w:eastAsia="宋体" w:cs="宋体"/>
          <w:color w:val="auto"/>
          <w:sz w:val="21"/>
          <w:szCs w:val="21"/>
          <w:highlight w:val="none"/>
        </w:rPr>
        <w:t>数量</w:t>
      </w:r>
      <w:r>
        <w:rPr>
          <w:rFonts w:hint="eastAsia" w:ascii="宋体" w:hAnsi="宋体" w:cs="宋体"/>
          <w:color w:val="auto"/>
          <w:sz w:val="21"/>
          <w:szCs w:val="21"/>
          <w:highlight w:val="none"/>
          <w:lang w:eastAsia="zh-CN"/>
        </w:rPr>
        <w:t>（此数量以处置方出具的过磅数量为准）</w:t>
      </w:r>
      <w:r>
        <w:rPr>
          <w:rFonts w:hint="eastAsia" w:ascii="宋体" w:hAnsi="宋体" w:eastAsia="宋体" w:cs="宋体"/>
          <w:color w:val="auto"/>
          <w:sz w:val="21"/>
          <w:szCs w:val="21"/>
          <w:highlight w:val="none"/>
        </w:rPr>
        <w:t>。</w:t>
      </w:r>
    </w:p>
    <w:p w14:paraId="3D9B9F74">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（2）经双方确认无误后，乙方应在3个工作日内向甲方提供符合国家规定的发票，甲方收到乙方出具的发票后，于</w:t>
      </w:r>
      <w:r>
        <w:rPr>
          <w:rFonts w:hint="eastAsia" w:ascii="宋体" w:hAnsi="宋体" w:cs="宋体"/>
          <w:color w:val="auto"/>
          <w:sz w:val="21"/>
          <w:szCs w:val="21"/>
          <w:highlight w:val="none"/>
          <w:lang w:val="en-US" w:eastAsia="zh-CN"/>
        </w:rPr>
        <w:t>30</w:t>
      </w:r>
      <w:r>
        <w:rPr>
          <w:rFonts w:hint="eastAsia" w:ascii="宋体" w:hAnsi="宋体" w:eastAsia="宋体" w:cs="宋体"/>
          <w:color w:val="auto"/>
          <w:sz w:val="21"/>
          <w:szCs w:val="21"/>
          <w:highlight w:val="none"/>
        </w:rPr>
        <w:t>个工作日内支付。</w:t>
      </w:r>
    </w:p>
    <w:p w14:paraId="6DBE664B">
      <w:pPr>
        <w:keepNext w:val="0"/>
        <w:keepLines w:val="0"/>
        <w:pageBreakBefore w:val="0"/>
        <w:widowControl w:val="0"/>
        <w:kinsoku/>
        <w:wordWrap/>
        <w:overflowPunct/>
        <w:topLinePunct w:val="0"/>
        <w:autoSpaceDE/>
        <w:autoSpaceDN/>
        <w:bidi w:val="0"/>
        <w:adjustRightInd w:val="0"/>
        <w:snapToGrid w:val="0"/>
        <w:spacing w:line="6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r>
        <w:rPr>
          <w:rFonts w:hint="eastAsia" w:ascii="宋体" w:hAnsi="宋体" w:cs="宋体"/>
          <w:color w:val="auto"/>
          <w:sz w:val="21"/>
          <w:szCs w:val="21"/>
          <w:highlight w:val="none"/>
          <w:lang w:eastAsia="zh-CN"/>
        </w:rPr>
        <w:t>渗滤液</w:t>
      </w:r>
      <w:r>
        <w:rPr>
          <w:rFonts w:hint="eastAsia" w:ascii="宋体" w:hAnsi="宋体" w:eastAsia="宋体" w:cs="宋体"/>
          <w:color w:val="auto"/>
          <w:sz w:val="21"/>
          <w:szCs w:val="21"/>
          <w:highlight w:val="none"/>
        </w:rPr>
        <w:t>计量按甲乙双方确认的地磅为准，结算依据为双方授权代表签署的</w:t>
      </w:r>
      <w:r>
        <w:rPr>
          <w:rFonts w:hint="eastAsia" w:ascii="宋体" w:hAnsi="宋体" w:cs="宋体"/>
          <w:color w:val="auto"/>
          <w:sz w:val="21"/>
          <w:szCs w:val="21"/>
          <w:highlight w:val="none"/>
          <w:lang w:eastAsia="zh-CN"/>
        </w:rPr>
        <w:t>渗滤液</w:t>
      </w:r>
      <w:r>
        <w:rPr>
          <w:rFonts w:hint="eastAsia" w:ascii="宋体" w:hAnsi="宋体" w:eastAsia="宋体" w:cs="宋体"/>
          <w:color w:val="auto"/>
          <w:sz w:val="21"/>
          <w:szCs w:val="21"/>
          <w:highlight w:val="none"/>
        </w:rPr>
        <w:t>转移联单数量为准。</w:t>
      </w:r>
    </w:p>
    <w:p w14:paraId="70C2B404">
      <w:pPr>
        <w:keepNext w:val="0"/>
        <w:keepLines w:val="0"/>
        <w:pageBreakBefore w:val="0"/>
        <w:widowControl w:val="0"/>
        <w:numPr>
          <w:ilvl w:val="0"/>
          <w:numId w:val="5"/>
        </w:numPr>
        <w:kinsoku/>
        <w:wordWrap/>
        <w:overflowPunct/>
        <w:topLinePunct w:val="0"/>
        <w:autoSpaceDE/>
        <w:autoSpaceDN/>
        <w:bidi w:val="0"/>
        <w:adjustRightInd w:val="0"/>
        <w:snapToGrid w:val="0"/>
        <w:spacing w:line="600" w:lineRule="exact"/>
        <w:ind w:left="0" w:leftChars="0" w:firstLine="0" w:firstLineChars="0"/>
        <w:textAlignment w:val="auto"/>
        <w:rPr>
          <w:rFonts w:hint="eastAsia" w:ascii="宋体" w:hAnsi="宋体"/>
          <w:bCs/>
          <w:color w:val="auto"/>
          <w:sz w:val="22"/>
          <w:szCs w:val="22"/>
          <w:highlight w:val="none"/>
          <w:lang w:val="en-US" w:eastAsia="zh-CN"/>
        </w:rPr>
      </w:pPr>
      <w:r>
        <w:rPr>
          <w:rFonts w:hint="eastAsia" w:ascii="宋体" w:hAnsi="宋体"/>
          <w:bCs/>
          <w:color w:val="auto"/>
          <w:sz w:val="22"/>
          <w:szCs w:val="22"/>
          <w:highlight w:val="none"/>
          <w:lang w:val="en-US" w:eastAsia="zh-CN"/>
        </w:rPr>
        <w:t>甲方每月对乙方考核一次，满分为100分，实行倒扣分制。考核在90分以上（含90分）不扣服务费；低于90分（不含90分），扣当月服务费的5%；低于80分（不含80分），扣当月服务费的15%；低于70分（不含70分），扣当月服务费的30%；低于60分（不含60分），甲方有权解除合同。（服务考核表详见附件一）</w:t>
      </w:r>
    </w:p>
    <w:p w14:paraId="2C0E0191">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left="0" w:leftChars="0" w:right="0" w:rightChars="0" w:firstLine="440" w:firstLineChars="200"/>
        <w:jc w:val="both"/>
        <w:textAlignment w:val="auto"/>
        <w:outlineLvl w:val="9"/>
        <w:rPr>
          <w:rFonts w:hint="eastAsia" w:ascii="宋体" w:hAnsi="宋体"/>
          <w:color w:val="auto"/>
          <w:sz w:val="22"/>
          <w:szCs w:val="22"/>
          <w:highlight w:val="none"/>
          <w:lang w:val="en-US" w:eastAsia="zh-CN"/>
        </w:rPr>
      </w:pPr>
      <w:r>
        <w:rPr>
          <w:rFonts w:hint="eastAsia" w:ascii="宋体" w:hAnsi="宋体"/>
          <w:bCs/>
          <w:color w:val="auto"/>
          <w:sz w:val="22"/>
          <w:szCs w:val="22"/>
          <w:highlight w:val="none"/>
          <w:lang w:val="en-US" w:eastAsia="zh-CN"/>
        </w:rPr>
        <w:t>3、如乙方对考核结果有争议，应在考核结果出具后7个工作日内通知甲方，双方就争议部分进行协商。如双方对考核结果均无异议，则</w:t>
      </w:r>
      <w:r>
        <w:rPr>
          <w:rFonts w:hint="eastAsia" w:ascii="宋体" w:hAnsi="宋体"/>
          <w:color w:val="auto"/>
          <w:sz w:val="22"/>
          <w:szCs w:val="22"/>
          <w:highlight w:val="none"/>
          <w:lang w:val="en-US" w:eastAsia="zh-CN"/>
        </w:rPr>
        <w:t xml:space="preserve">乙方需开具正规发票，甲方在收到发票后30天内完成支付。 </w:t>
      </w:r>
    </w:p>
    <w:p w14:paraId="342ABF6B">
      <w:pPr>
        <w:pStyle w:val="49"/>
        <w:spacing w:line="420" w:lineRule="exact"/>
        <w:ind w:left="0" w:leftChars="0" w:firstLine="422" w:firstLineChars="200"/>
        <w:rPr>
          <w:rFonts w:hint="eastAsia" w:hAnsi="宋体"/>
          <w:b/>
        </w:rPr>
      </w:pPr>
      <w:r>
        <w:rPr>
          <w:rFonts w:hint="eastAsia" w:hAnsi="宋体"/>
          <w:b/>
        </w:rPr>
        <w:t>四、服务质量标准</w:t>
      </w:r>
    </w:p>
    <w:p w14:paraId="5739AFEA">
      <w:pPr>
        <w:keepNext w:val="0"/>
        <w:keepLines w:val="0"/>
        <w:pageBreakBefore w:val="0"/>
        <w:widowControl w:val="0"/>
        <w:kinsoku/>
        <w:wordWrap/>
        <w:overflowPunct/>
        <w:topLinePunct w:val="0"/>
        <w:autoSpaceDE/>
        <w:autoSpaceDN/>
        <w:bidi w:val="0"/>
        <w:adjustRightInd w:val="0"/>
        <w:snapToGrid w:val="0"/>
        <w:spacing w:line="600" w:lineRule="exact"/>
        <w:ind w:firstLine="440" w:firstLineChars="200"/>
        <w:textAlignment w:val="auto"/>
        <w:rPr>
          <w:rFonts w:hint="eastAsia" w:ascii="宋体" w:hAnsi="宋体" w:eastAsia="宋体" w:cs="Times New Roman"/>
          <w:bCs/>
          <w:color w:val="auto"/>
          <w:sz w:val="22"/>
          <w:szCs w:val="22"/>
          <w:highlight w:val="none"/>
          <w:lang w:val="zh-CN" w:eastAsia="zh-CN"/>
        </w:rPr>
      </w:pPr>
      <w:r>
        <w:rPr>
          <w:rFonts w:hint="eastAsia" w:ascii="宋体" w:hAnsi="宋体" w:eastAsia="宋体" w:cs="Times New Roman"/>
          <w:bCs/>
          <w:color w:val="auto"/>
          <w:sz w:val="22"/>
          <w:szCs w:val="22"/>
          <w:highlight w:val="none"/>
          <w:lang w:val="zh-CN" w:eastAsia="zh-CN"/>
        </w:rPr>
        <w:t>1.乙方应严格按照《中国环境保护法》、《生活垃圾渗滤液处理技术规范》的标准执行。</w:t>
      </w:r>
    </w:p>
    <w:p w14:paraId="0081F74C">
      <w:pPr>
        <w:keepNext w:val="0"/>
        <w:keepLines w:val="0"/>
        <w:pageBreakBefore w:val="0"/>
        <w:widowControl w:val="0"/>
        <w:kinsoku/>
        <w:wordWrap/>
        <w:overflowPunct/>
        <w:topLinePunct w:val="0"/>
        <w:autoSpaceDE/>
        <w:autoSpaceDN/>
        <w:bidi w:val="0"/>
        <w:adjustRightInd w:val="0"/>
        <w:snapToGrid w:val="0"/>
        <w:spacing w:line="600" w:lineRule="exact"/>
        <w:ind w:firstLine="440" w:firstLineChars="200"/>
        <w:textAlignment w:val="auto"/>
        <w:rPr>
          <w:rFonts w:hint="eastAsia" w:ascii="宋体" w:hAnsi="宋体" w:eastAsia="宋体" w:cs="Times New Roman"/>
          <w:bCs/>
          <w:color w:val="auto"/>
          <w:sz w:val="22"/>
          <w:szCs w:val="22"/>
          <w:highlight w:val="none"/>
          <w:lang w:val="zh-CN" w:eastAsia="zh-CN"/>
        </w:rPr>
      </w:pPr>
      <w:r>
        <w:rPr>
          <w:rFonts w:hint="eastAsia" w:ascii="宋体" w:hAnsi="宋体" w:eastAsia="宋体" w:cs="Times New Roman"/>
          <w:bCs/>
          <w:color w:val="auto"/>
          <w:sz w:val="22"/>
          <w:szCs w:val="22"/>
          <w:highlight w:val="none"/>
          <w:lang w:val="en-US" w:eastAsia="zh-CN"/>
        </w:rPr>
        <w:t>2.</w:t>
      </w:r>
      <w:r>
        <w:rPr>
          <w:rFonts w:hint="eastAsia" w:ascii="宋体" w:hAnsi="宋体" w:eastAsia="宋体" w:cs="Times New Roman"/>
          <w:bCs/>
          <w:color w:val="auto"/>
          <w:sz w:val="22"/>
          <w:szCs w:val="22"/>
          <w:highlight w:val="none"/>
          <w:lang w:val="zh-CN" w:eastAsia="zh-CN"/>
        </w:rPr>
        <w:t xml:space="preserve"> 因乙方原因维护质量达不到约定的质量标准，乙方承担违约责任。</w:t>
      </w:r>
    </w:p>
    <w:p w14:paraId="617F42BE">
      <w:pPr>
        <w:spacing w:line="360" w:lineRule="auto"/>
        <w:ind w:firstLine="422" w:firstLineChars="200"/>
        <w:rPr>
          <w:rFonts w:ascii="宋体" w:hAnsi="宋体" w:cs="宋体"/>
          <w:b/>
          <w:szCs w:val="21"/>
        </w:rPr>
      </w:pPr>
      <w:r>
        <w:rPr>
          <w:rFonts w:hint="eastAsia" w:ascii="宋体" w:hAnsi="宋体" w:cs="宋体"/>
          <w:b/>
          <w:szCs w:val="21"/>
        </w:rPr>
        <w:t>五、转包或分包</w:t>
      </w:r>
    </w:p>
    <w:p w14:paraId="266E83E4">
      <w:pPr>
        <w:keepNext w:val="0"/>
        <w:keepLines w:val="0"/>
        <w:pageBreakBefore w:val="0"/>
        <w:widowControl w:val="0"/>
        <w:kinsoku/>
        <w:wordWrap/>
        <w:overflowPunct/>
        <w:topLinePunct w:val="0"/>
        <w:autoSpaceDE/>
        <w:autoSpaceDN/>
        <w:bidi w:val="0"/>
        <w:adjustRightInd w:val="0"/>
        <w:snapToGrid w:val="0"/>
        <w:spacing w:line="600" w:lineRule="exact"/>
        <w:ind w:firstLine="440" w:firstLineChars="200"/>
        <w:textAlignment w:val="auto"/>
        <w:rPr>
          <w:rFonts w:hint="eastAsia" w:ascii="宋体" w:hAnsi="宋体" w:eastAsia="宋体" w:cs="Times New Roman"/>
          <w:bCs/>
          <w:color w:val="auto"/>
          <w:sz w:val="22"/>
          <w:szCs w:val="22"/>
          <w:highlight w:val="none"/>
          <w:lang w:val="zh-CN" w:eastAsia="zh-CN"/>
        </w:rPr>
      </w:pPr>
      <w:r>
        <w:rPr>
          <w:rFonts w:hint="eastAsia" w:ascii="宋体" w:hAnsi="宋体" w:eastAsia="宋体" w:cs="Times New Roman"/>
          <w:bCs/>
          <w:color w:val="auto"/>
          <w:sz w:val="22"/>
          <w:szCs w:val="22"/>
          <w:highlight w:val="none"/>
          <w:lang w:val="zh-CN" w:eastAsia="zh-CN"/>
        </w:rPr>
        <w:t>1.本项目不允许转包；</w:t>
      </w:r>
    </w:p>
    <w:p w14:paraId="460F79AE">
      <w:pPr>
        <w:keepNext w:val="0"/>
        <w:keepLines w:val="0"/>
        <w:pageBreakBefore w:val="0"/>
        <w:widowControl w:val="0"/>
        <w:kinsoku/>
        <w:wordWrap/>
        <w:overflowPunct/>
        <w:topLinePunct w:val="0"/>
        <w:autoSpaceDE/>
        <w:autoSpaceDN/>
        <w:bidi w:val="0"/>
        <w:adjustRightInd w:val="0"/>
        <w:snapToGrid w:val="0"/>
        <w:spacing w:line="600" w:lineRule="exact"/>
        <w:ind w:firstLine="440" w:firstLineChars="200"/>
        <w:textAlignment w:val="auto"/>
        <w:rPr>
          <w:rFonts w:hint="eastAsia" w:ascii="宋体" w:hAnsi="宋体" w:eastAsia="宋体" w:cs="Times New Roman"/>
          <w:bCs/>
          <w:color w:val="auto"/>
          <w:sz w:val="22"/>
          <w:szCs w:val="22"/>
          <w:highlight w:val="none"/>
          <w:lang w:val="zh-CN" w:eastAsia="zh-CN"/>
        </w:rPr>
      </w:pPr>
      <w:r>
        <w:rPr>
          <w:rFonts w:hint="eastAsia" w:ascii="宋体" w:hAnsi="宋体" w:eastAsia="宋体" w:cs="Times New Roman"/>
          <w:bCs/>
          <w:color w:val="auto"/>
          <w:sz w:val="22"/>
          <w:szCs w:val="22"/>
          <w:highlight w:val="none"/>
          <w:lang w:val="zh-CN" w:eastAsia="zh-CN"/>
        </w:rPr>
        <w:t>2.本项目未经</w:t>
      </w:r>
      <w:r>
        <w:rPr>
          <w:rFonts w:hint="eastAsia" w:ascii="宋体" w:hAnsi="宋体" w:cs="Times New Roman"/>
          <w:bCs/>
          <w:color w:val="auto"/>
          <w:sz w:val="22"/>
          <w:szCs w:val="22"/>
          <w:highlight w:val="none"/>
          <w:lang w:val="en-US" w:eastAsia="zh-CN"/>
        </w:rPr>
        <w:t>甲方</w:t>
      </w:r>
      <w:r>
        <w:rPr>
          <w:rFonts w:hint="eastAsia" w:ascii="宋体" w:hAnsi="宋体" w:eastAsia="宋体" w:cs="Times New Roman"/>
          <w:bCs/>
          <w:color w:val="auto"/>
          <w:sz w:val="22"/>
          <w:szCs w:val="22"/>
          <w:highlight w:val="none"/>
          <w:lang w:val="zh-CN" w:eastAsia="zh-CN"/>
        </w:rPr>
        <w:t>同意不得擅自转包；</w:t>
      </w:r>
    </w:p>
    <w:p w14:paraId="4F421D56">
      <w:pPr>
        <w:keepNext w:val="0"/>
        <w:keepLines w:val="0"/>
        <w:pageBreakBefore w:val="0"/>
        <w:widowControl w:val="0"/>
        <w:kinsoku/>
        <w:wordWrap/>
        <w:overflowPunct/>
        <w:topLinePunct w:val="0"/>
        <w:autoSpaceDE/>
        <w:autoSpaceDN/>
        <w:bidi w:val="0"/>
        <w:adjustRightInd w:val="0"/>
        <w:snapToGrid w:val="0"/>
        <w:spacing w:line="600" w:lineRule="exact"/>
        <w:ind w:firstLine="440" w:firstLineChars="200"/>
        <w:textAlignment w:val="auto"/>
        <w:rPr>
          <w:rFonts w:hint="default" w:ascii="宋体" w:hAnsi="宋体" w:eastAsia="宋体" w:cs="Times New Roman"/>
          <w:bCs/>
          <w:color w:val="auto"/>
          <w:sz w:val="22"/>
          <w:szCs w:val="22"/>
          <w:highlight w:val="none"/>
          <w:lang w:val="en-US" w:eastAsia="zh-CN"/>
        </w:rPr>
      </w:pPr>
      <w:r>
        <w:rPr>
          <w:rFonts w:hint="eastAsia" w:ascii="宋体" w:hAnsi="宋体" w:eastAsia="宋体" w:cs="Times New Roman"/>
          <w:bCs/>
          <w:color w:val="auto"/>
          <w:sz w:val="22"/>
          <w:szCs w:val="22"/>
          <w:highlight w:val="none"/>
          <w:lang w:val="zh-CN" w:eastAsia="zh-CN"/>
        </w:rPr>
        <w:t>3.如乙方擅自转包或再次分包的，甲方有权解除合同，追回已支付款项并追究乙方的违约责任。</w:t>
      </w:r>
    </w:p>
    <w:p w14:paraId="4B9F0AD1">
      <w:pPr>
        <w:spacing w:line="300" w:lineRule="auto"/>
        <w:ind w:firstLine="422" w:firstLineChars="200"/>
        <w:jc w:val="left"/>
        <w:rPr>
          <w:rFonts w:hint="eastAsia" w:ascii="宋体" w:hAnsi="宋体" w:cs="宋体"/>
          <w:b/>
          <w:szCs w:val="21"/>
        </w:rPr>
      </w:pPr>
      <w:r>
        <w:rPr>
          <w:rFonts w:hint="eastAsia" w:ascii="宋体" w:hAnsi="宋体" w:cs="宋体"/>
          <w:b/>
          <w:szCs w:val="21"/>
          <w:lang w:eastAsia="zh-CN"/>
        </w:rPr>
        <w:t>六</w:t>
      </w:r>
      <w:r>
        <w:rPr>
          <w:rFonts w:hint="eastAsia" w:ascii="宋体" w:hAnsi="宋体" w:cs="宋体"/>
          <w:b/>
          <w:szCs w:val="21"/>
        </w:rPr>
        <w:t>、</w:t>
      </w:r>
      <w:r>
        <w:rPr>
          <w:rFonts w:hint="eastAsia" w:ascii="宋体" w:hAnsi="宋体"/>
          <w:b/>
          <w:szCs w:val="21"/>
        </w:rPr>
        <w:t>合同</w:t>
      </w:r>
      <w:r>
        <w:rPr>
          <w:rFonts w:hint="eastAsia" w:ascii="宋体" w:hAnsi="宋体" w:cs="楷体"/>
          <w:b/>
          <w:snapToGrid w:val="0"/>
          <w:kern w:val="0"/>
          <w:szCs w:val="21"/>
        </w:rPr>
        <w:t>双方的权利和义务</w:t>
      </w:r>
    </w:p>
    <w:p w14:paraId="1811615B">
      <w:pPr>
        <w:keepNext w:val="0"/>
        <w:keepLines w:val="0"/>
        <w:pageBreakBefore w:val="0"/>
        <w:widowControl w:val="0"/>
        <w:kinsoku/>
        <w:wordWrap/>
        <w:overflowPunct/>
        <w:topLinePunct w:val="0"/>
        <w:autoSpaceDE/>
        <w:autoSpaceDN/>
        <w:bidi w:val="0"/>
        <w:adjustRightInd w:val="0"/>
        <w:snapToGrid w:val="0"/>
        <w:spacing w:line="600" w:lineRule="exact"/>
        <w:ind w:firstLine="440" w:firstLineChars="200"/>
        <w:textAlignment w:val="auto"/>
        <w:rPr>
          <w:rFonts w:hint="eastAsia" w:ascii="宋体" w:hAnsi="宋体" w:eastAsia="宋体" w:cs="Times New Roman"/>
          <w:bCs/>
          <w:color w:val="auto"/>
          <w:sz w:val="22"/>
          <w:szCs w:val="22"/>
          <w:highlight w:val="none"/>
          <w:lang w:val="zh-CN" w:eastAsia="zh-CN"/>
        </w:rPr>
      </w:pPr>
      <w:r>
        <w:rPr>
          <w:rFonts w:hint="eastAsia" w:ascii="宋体" w:hAnsi="宋体" w:eastAsia="宋体" w:cs="Times New Roman"/>
          <w:bCs/>
          <w:color w:val="auto"/>
          <w:sz w:val="22"/>
          <w:szCs w:val="22"/>
          <w:highlight w:val="none"/>
          <w:lang w:val="zh-CN" w:eastAsia="zh-CN"/>
        </w:rPr>
        <w:t>（一）甲方的权利和义务：</w:t>
      </w:r>
    </w:p>
    <w:p w14:paraId="1F8F7096">
      <w:pPr>
        <w:keepNext w:val="0"/>
        <w:keepLines w:val="0"/>
        <w:pageBreakBefore w:val="0"/>
        <w:widowControl w:val="0"/>
        <w:kinsoku/>
        <w:wordWrap/>
        <w:overflowPunct/>
        <w:topLinePunct w:val="0"/>
        <w:autoSpaceDE/>
        <w:autoSpaceDN/>
        <w:bidi w:val="0"/>
        <w:adjustRightInd w:val="0"/>
        <w:snapToGrid w:val="0"/>
        <w:spacing w:line="600" w:lineRule="exact"/>
        <w:ind w:firstLine="440" w:firstLineChars="200"/>
        <w:textAlignment w:val="auto"/>
        <w:rPr>
          <w:rFonts w:hint="eastAsia" w:ascii="宋体" w:hAnsi="宋体" w:eastAsia="宋体" w:cs="Times New Roman"/>
          <w:bCs/>
          <w:color w:val="auto"/>
          <w:sz w:val="22"/>
          <w:szCs w:val="22"/>
          <w:highlight w:val="none"/>
          <w:lang w:val="zh-CN" w:eastAsia="zh-CN"/>
        </w:rPr>
      </w:pPr>
      <w:r>
        <w:rPr>
          <w:rFonts w:hint="eastAsia" w:ascii="宋体" w:hAnsi="宋体" w:eastAsia="宋体" w:cs="Times New Roman"/>
          <w:bCs/>
          <w:color w:val="auto"/>
          <w:sz w:val="22"/>
          <w:szCs w:val="22"/>
          <w:highlight w:val="none"/>
          <w:lang w:val="zh-CN" w:eastAsia="zh-CN"/>
        </w:rPr>
        <w:t>1.确定污水渗滤液处理、除臭，渗滤液处置工作量，并向乙方下达任务及具体要求;</w:t>
      </w:r>
    </w:p>
    <w:p w14:paraId="153E831D">
      <w:pPr>
        <w:keepNext w:val="0"/>
        <w:keepLines w:val="0"/>
        <w:pageBreakBefore w:val="0"/>
        <w:widowControl w:val="0"/>
        <w:kinsoku/>
        <w:wordWrap/>
        <w:overflowPunct/>
        <w:topLinePunct w:val="0"/>
        <w:autoSpaceDE/>
        <w:autoSpaceDN/>
        <w:bidi w:val="0"/>
        <w:adjustRightInd w:val="0"/>
        <w:snapToGrid w:val="0"/>
        <w:spacing w:line="600" w:lineRule="exact"/>
        <w:ind w:firstLine="440" w:firstLineChars="200"/>
        <w:textAlignment w:val="auto"/>
        <w:rPr>
          <w:rFonts w:hint="eastAsia" w:ascii="宋体" w:hAnsi="宋体" w:eastAsia="宋体" w:cs="Times New Roman"/>
          <w:bCs/>
          <w:color w:val="auto"/>
          <w:sz w:val="22"/>
          <w:szCs w:val="22"/>
          <w:highlight w:val="none"/>
          <w:lang w:val="zh-CN" w:eastAsia="zh-CN"/>
        </w:rPr>
      </w:pPr>
      <w:r>
        <w:rPr>
          <w:rFonts w:hint="eastAsia" w:ascii="宋体" w:hAnsi="宋体" w:eastAsia="宋体" w:cs="Times New Roman"/>
          <w:bCs/>
          <w:color w:val="auto"/>
          <w:sz w:val="22"/>
          <w:szCs w:val="22"/>
          <w:highlight w:val="none"/>
          <w:lang w:val="zh-CN" w:eastAsia="zh-CN"/>
        </w:rPr>
        <w:t>2.对乙方的工作质量进行检查，发现乙方违反相关规定，甲方有权单方面终止协议;</w:t>
      </w:r>
    </w:p>
    <w:p w14:paraId="77560A4D">
      <w:pPr>
        <w:keepNext w:val="0"/>
        <w:keepLines w:val="0"/>
        <w:pageBreakBefore w:val="0"/>
        <w:widowControl w:val="0"/>
        <w:kinsoku/>
        <w:wordWrap/>
        <w:overflowPunct/>
        <w:topLinePunct w:val="0"/>
        <w:autoSpaceDE/>
        <w:autoSpaceDN/>
        <w:bidi w:val="0"/>
        <w:adjustRightInd w:val="0"/>
        <w:snapToGrid w:val="0"/>
        <w:spacing w:line="600" w:lineRule="exact"/>
        <w:ind w:firstLine="440" w:firstLineChars="200"/>
        <w:textAlignment w:val="auto"/>
        <w:rPr>
          <w:rFonts w:hint="eastAsia" w:ascii="宋体" w:hAnsi="宋体" w:eastAsia="宋体" w:cs="Times New Roman"/>
          <w:bCs/>
          <w:color w:val="auto"/>
          <w:sz w:val="22"/>
          <w:szCs w:val="22"/>
          <w:highlight w:val="none"/>
          <w:lang w:val="zh-CN" w:eastAsia="zh-CN"/>
        </w:rPr>
      </w:pPr>
      <w:r>
        <w:rPr>
          <w:rFonts w:hint="eastAsia" w:ascii="宋体" w:hAnsi="宋体" w:eastAsia="宋体" w:cs="Times New Roman"/>
          <w:bCs/>
          <w:color w:val="auto"/>
          <w:sz w:val="22"/>
          <w:szCs w:val="22"/>
          <w:highlight w:val="none"/>
          <w:lang w:val="zh-CN" w:eastAsia="zh-CN"/>
        </w:rPr>
        <w:t>3.如遇突发事件，协调乙方在作业过程中与其他管理部门的关系。</w:t>
      </w:r>
    </w:p>
    <w:p w14:paraId="06230859">
      <w:pPr>
        <w:keepNext w:val="0"/>
        <w:keepLines w:val="0"/>
        <w:pageBreakBefore w:val="0"/>
        <w:widowControl w:val="0"/>
        <w:kinsoku/>
        <w:wordWrap/>
        <w:overflowPunct/>
        <w:topLinePunct w:val="0"/>
        <w:autoSpaceDE/>
        <w:autoSpaceDN/>
        <w:bidi w:val="0"/>
        <w:adjustRightInd w:val="0"/>
        <w:snapToGrid w:val="0"/>
        <w:spacing w:line="600" w:lineRule="exact"/>
        <w:ind w:firstLine="440" w:firstLineChars="200"/>
        <w:textAlignment w:val="auto"/>
        <w:rPr>
          <w:rFonts w:hint="eastAsia" w:ascii="宋体" w:hAnsi="宋体" w:eastAsia="宋体" w:cs="Times New Roman"/>
          <w:bCs/>
          <w:color w:val="auto"/>
          <w:sz w:val="22"/>
          <w:szCs w:val="22"/>
          <w:highlight w:val="none"/>
          <w:lang w:val="zh-CN" w:eastAsia="zh-CN"/>
        </w:rPr>
      </w:pPr>
      <w:r>
        <w:rPr>
          <w:rFonts w:hint="eastAsia" w:ascii="宋体" w:hAnsi="宋体" w:eastAsia="宋体" w:cs="Times New Roman"/>
          <w:bCs/>
          <w:color w:val="auto"/>
          <w:sz w:val="22"/>
          <w:szCs w:val="22"/>
          <w:highlight w:val="none"/>
          <w:lang w:val="zh-CN" w:eastAsia="zh-CN"/>
        </w:rPr>
        <w:t>4.按协议规定支付费用。</w:t>
      </w:r>
    </w:p>
    <w:p w14:paraId="7A3B9FB0">
      <w:pPr>
        <w:keepNext w:val="0"/>
        <w:keepLines w:val="0"/>
        <w:pageBreakBefore w:val="0"/>
        <w:widowControl w:val="0"/>
        <w:kinsoku/>
        <w:wordWrap/>
        <w:overflowPunct/>
        <w:topLinePunct w:val="0"/>
        <w:autoSpaceDE/>
        <w:autoSpaceDN/>
        <w:bidi w:val="0"/>
        <w:adjustRightInd w:val="0"/>
        <w:snapToGrid w:val="0"/>
        <w:spacing w:line="600" w:lineRule="exact"/>
        <w:ind w:firstLine="440" w:firstLineChars="200"/>
        <w:textAlignment w:val="auto"/>
        <w:rPr>
          <w:rFonts w:hint="eastAsia" w:ascii="宋体" w:hAnsi="宋体" w:eastAsia="宋体" w:cs="Times New Roman"/>
          <w:bCs/>
          <w:color w:val="auto"/>
          <w:sz w:val="22"/>
          <w:szCs w:val="22"/>
          <w:highlight w:val="none"/>
          <w:lang w:val="zh-CN" w:eastAsia="zh-CN"/>
        </w:rPr>
      </w:pPr>
      <w:r>
        <w:rPr>
          <w:rFonts w:hint="eastAsia" w:ascii="宋体" w:hAnsi="宋体" w:eastAsia="宋体" w:cs="Times New Roman"/>
          <w:bCs/>
          <w:color w:val="auto"/>
          <w:sz w:val="22"/>
          <w:szCs w:val="22"/>
          <w:highlight w:val="none"/>
          <w:lang w:val="zh-CN" w:eastAsia="zh-CN"/>
        </w:rPr>
        <w:t>（二）乙方的权利和义务：</w:t>
      </w:r>
    </w:p>
    <w:p w14:paraId="7D5AEFD2">
      <w:pPr>
        <w:keepNext w:val="0"/>
        <w:keepLines w:val="0"/>
        <w:pageBreakBefore w:val="0"/>
        <w:widowControl w:val="0"/>
        <w:kinsoku/>
        <w:wordWrap/>
        <w:overflowPunct/>
        <w:topLinePunct w:val="0"/>
        <w:autoSpaceDE/>
        <w:autoSpaceDN/>
        <w:bidi w:val="0"/>
        <w:adjustRightInd w:val="0"/>
        <w:snapToGrid w:val="0"/>
        <w:spacing w:line="600" w:lineRule="exact"/>
        <w:ind w:firstLine="440" w:firstLineChars="200"/>
        <w:textAlignment w:val="auto"/>
        <w:rPr>
          <w:rFonts w:hint="eastAsia" w:ascii="宋体" w:hAnsi="宋体" w:eastAsia="宋体" w:cs="Times New Roman"/>
          <w:bCs/>
          <w:color w:val="auto"/>
          <w:sz w:val="22"/>
          <w:szCs w:val="22"/>
          <w:highlight w:val="none"/>
          <w:lang w:val="zh-CN" w:eastAsia="zh-CN"/>
        </w:rPr>
      </w:pPr>
      <w:r>
        <w:rPr>
          <w:rFonts w:hint="eastAsia" w:ascii="宋体" w:hAnsi="宋体" w:eastAsia="宋体" w:cs="Times New Roman"/>
          <w:bCs/>
          <w:color w:val="auto"/>
          <w:sz w:val="22"/>
          <w:szCs w:val="22"/>
          <w:highlight w:val="none"/>
          <w:lang w:val="zh-CN" w:eastAsia="zh-CN"/>
        </w:rPr>
        <w:t>1</w:t>
      </w:r>
      <w:r>
        <w:rPr>
          <w:rFonts w:hint="eastAsia" w:ascii="宋体" w:hAnsi="宋体" w:eastAsia="宋体" w:cs="Times New Roman"/>
          <w:bCs/>
          <w:color w:val="auto"/>
          <w:sz w:val="22"/>
          <w:szCs w:val="22"/>
          <w:highlight w:val="none"/>
          <w:lang w:val="en-US" w:eastAsia="zh-CN"/>
        </w:rPr>
        <w:t>.</w:t>
      </w:r>
      <w:r>
        <w:rPr>
          <w:rFonts w:hint="eastAsia" w:ascii="宋体" w:hAnsi="宋体" w:eastAsia="宋体" w:cs="Times New Roman"/>
          <w:bCs/>
          <w:color w:val="auto"/>
          <w:sz w:val="22"/>
          <w:szCs w:val="22"/>
          <w:highlight w:val="none"/>
          <w:lang w:val="zh-CN" w:eastAsia="zh-CN"/>
        </w:rPr>
        <w:t>乙方应严格按照《中国环境保护法》、《生活垃圾渗滤液处理技术规范》及国家、地方等相关法律法规、规范标准对渗滤液进行处置，并确保渗滤液的处置为安全处置，且符合相关规定和环保要求。乙方对处置过程和处置结果负责并承担一切法律责任。</w:t>
      </w:r>
    </w:p>
    <w:p w14:paraId="032CD32B">
      <w:pPr>
        <w:keepNext w:val="0"/>
        <w:keepLines w:val="0"/>
        <w:pageBreakBefore w:val="0"/>
        <w:widowControl w:val="0"/>
        <w:kinsoku/>
        <w:wordWrap/>
        <w:overflowPunct/>
        <w:topLinePunct w:val="0"/>
        <w:autoSpaceDE/>
        <w:autoSpaceDN/>
        <w:bidi w:val="0"/>
        <w:adjustRightInd w:val="0"/>
        <w:snapToGrid w:val="0"/>
        <w:spacing w:line="600" w:lineRule="exact"/>
        <w:ind w:firstLine="440" w:firstLineChars="200"/>
        <w:textAlignment w:val="auto"/>
        <w:rPr>
          <w:rFonts w:hint="eastAsia" w:ascii="宋体" w:hAnsi="宋体" w:eastAsia="宋体" w:cs="Times New Roman"/>
          <w:bCs/>
          <w:color w:val="auto"/>
          <w:sz w:val="22"/>
          <w:szCs w:val="22"/>
          <w:highlight w:val="none"/>
          <w:lang w:val="zh-CN" w:eastAsia="zh-CN"/>
        </w:rPr>
      </w:pPr>
      <w:r>
        <w:rPr>
          <w:rFonts w:hint="eastAsia" w:ascii="宋体" w:hAnsi="宋体" w:eastAsia="宋体" w:cs="Times New Roman"/>
          <w:bCs/>
          <w:color w:val="auto"/>
          <w:sz w:val="22"/>
          <w:szCs w:val="22"/>
          <w:highlight w:val="none"/>
          <w:lang w:val="en-US" w:eastAsia="zh-CN"/>
        </w:rPr>
        <w:t>2.乙方应在中标后30个工作日内向当地环保部门申请并完成渗滤液运维专项备案。</w:t>
      </w:r>
    </w:p>
    <w:p w14:paraId="443B841B">
      <w:pPr>
        <w:keepNext w:val="0"/>
        <w:keepLines w:val="0"/>
        <w:pageBreakBefore w:val="0"/>
        <w:widowControl w:val="0"/>
        <w:kinsoku/>
        <w:wordWrap/>
        <w:overflowPunct/>
        <w:topLinePunct w:val="0"/>
        <w:autoSpaceDE/>
        <w:autoSpaceDN/>
        <w:bidi w:val="0"/>
        <w:adjustRightInd w:val="0"/>
        <w:snapToGrid w:val="0"/>
        <w:spacing w:line="600" w:lineRule="exact"/>
        <w:ind w:firstLine="440" w:firstLineChars="200"/>
        <w:textAlignment w:val="auto"/>
        <w:rPr>
          <w:rFonts w:hint="eastAsia" w:ascii="宋体" w:hAnsi="宋体" w:eastAsia="宋体" w:cs="Times New Roman"/>
          <w:bCs/>
          <w:color w:val="auto"/>
          <w:sz w:val="22"/>
          <w:szCs w:val="22"/>
          <w:highlight w:val="none"/>
          <w:lang w:val="zh-CN" w:eastAsia="zh-CN"/>
        </w:rPr>
      </w:pPr>
      <w:r>
        <w:rPr>
          <w:rFonts w:hint="eastAsia" w:ascii="宋体" w:hAnsi="宋体" w:eastAsia="宋体" w:cs="Times New Roman"/>
          <w:bCs/>
          <w:color w:val="auto"/>
          <w:sz w:val="22"/>
          <w:szCs w:val="22"/>
          <w:highlight w:val="none"/>
          <w:lang w:val="en-US" w:eastAsia="zh-CN"/>
        </w:rPr>
        <w:t>3.</w:t>
      </w:r>
      <w:r>
        <w:rPr>
          <w:rFonts w:hint="eastAsia" w:ascii="宋体" w:hAnsi="宋体" w:eastAsia="宋体" w:cs="Times New Roman"/>
          <w:bCs/>
          <w:color w:val="auto"/>
          <w:sz w:val="22"/>
          <w:szCs w:val="22"/>
          <w:highlight w:val="none"/>
          <w:lang w:val="zh-CN" w:eastAsia="zh-CN"/>
        </w:rPr>
        <w:t>乙方在贮存、处置渗滤液时，必须采取防扬散、防流失、防渗漏或者其他防止污染环境的措施。不得擅自倾倒、堆放、丢弃、遗撒固体废物；禁止向江河、湖泊、运河、渠道、水库及其最高水位线以下的滩地和岸坡等法律、法规规定禁止倾倒、堆放废弃物的地点倾倒、堆放渗滤液。</w:t>
      </w:r>
    </w:p>
    <w:p w14:paraId="00E1CDED">
      <w:pPr>
        <w:keepNext w:val="0"/>
        <w:keepLines w:val="0"/>
        <w:pageBreakBefore w:val="0"/>
        <w:widowControl w:val="0"/>
        <w:kinsoku/>
        <w:wordWrap/>
        <w:overflowPunct/>
        <w:topLinePunct w:val="0"/>
        <w:autoSpaceDE/>
        <w:autoSpaceDN/>
        <w:bidi w:val="0"/>
        <w:adjustRightInd w:val="0"/>
        <w:snapToGrid w:val="0"/>
        <w:spacing w:line="600" w:lineRule="exact"/>
        <w:ind w:firstLine="440" w:firstLineChars="200"/>
        <w:textAlignment w:val="auto"/>
        <w:rPr>
          <w:rFonts w:hint="eastAsia" w:ascii="宋体" w:hAnsi="宋体" w:eastAsia="宋体" w:cs="Times New Roman"/>
          <w:bCs/>
          <w:color w:val="auto"/>
          <w:sz w:val="22"/>
          <w:szCs w:val="22"/>
          <w:highlight w:val="none"/>
          <w:lang w:val="zh-CN" w:eastAsia="zh-CN"/>
        </w:rPr>
      </w:pPr>
      <w:r>
        <w:rPr>
          <w:rFonts w:hint="eastAsia" w:ascii="宋体" w:hAnsi="宋体" w:eastAsia="宋体" w:cs="Times New Roman"/>
          <w:bCs/>
          <w:color w:val="auto"/>
          <w:sz w:val="22"/>
          <w:szCs w:val="22"/>
          <w:highlight w:val="none"/>
          <w:lang w:val="en-US" w:eastAsia="zh-CN"/>
        </w:rPr>
        <w:t>4.</w:t>
      </w:r>
      <w:r>
        <w:rPr>
          <w:rFonts w:hint="eastAsia" w:ascii="宋体" w:hAnsi="宋体" w:eastAsia="宋体" w:cs="Times New Roman"/>
          <w:bCs/>
          <w:color w:val="auto"/>
          <w:sz w:val="22"/>
          <w:szCs w:val="22"/>
          <w:highlight w:val="none"/>
          <w:lang w:val="zh-CN" w:eastAsia="zh-CN"/>
        </w:rPr>
        <w:t>未经甲方同意，乙方不得单方面将渗滤液转移至常山县范围以外处置，或在服务期间单方面拒绝接收甲方的渗滤液（环保局等政府部门规定的除外），否则由此造成的损失和责任均由乙方承担。</w:t>
      </w:r>
    </w:p>
    <w:p w14:paraId="57BCE875">
      <w:pPr>
        <w:keepNext w:val="0"/>
        <w:keepLines w:val="0"/>
        <w:pageBreakBefore w:val="0"/>
        <w:widowControl w:val="0"/>
        <w:kinsoku/>
        <w:wordWrap/>
        <w:overflowPunct/>
        <w:topLinePunct w:val="0"/>
        <w:autoSpaceDE/>
        <w:autoSpaceDN/>
        <w:bidi w:val="0"/>
        <w:adjustRightInd w:val="0"/>
        <w:snapToGrid w:val="0"/>
        <w:spacing w:line="600" w:lineRule="exact"/>
        <w:ind w:firstLine="440" w:firstLineChars="200"/>
        <w:textAlignment w:val="auto"/>
        <w:rPr>
          <w:rFonts w:hint="eastAsia" w:ascii="宋体" w:hAnsi="宋体" w:eastAsia="宋体" w:cs="Times New Roman"/>
          <w:bCs/>
          <w:color w:val="auto"/>
          <w:sz w:val="22"/>
          <w:szCs w:val="22"/>
          <w:highlight w:val="none"/>
          <w:lang w:val="zh-CN" w:eastAsia="zh-CN"/>
        </w:rPr>
      </w:pPr>
      <w:r>
        <w:rPr>
          <w:rFonts w:hint="eastAsia" w:ascii="宋体" w:hAnsi="宋体" w:eastAsia="宋体" w:cs="Times New Roman"/>
          <w:bCs/>
          <w:color w:val="auto"/>
          <w:sz w:val="22"/>
          <w:szCs w:val="22"/>
          <w:highlight w:val="none"/>
          <w:lang w:val="en-US" w:eastAsia="zh-CN"/>
        </w:rPr>
        <w:t>5.</w:t>
      </w:r>
      <w:r>
        <w:rPr>
          <w:rFonts w:hint="eastAsia" w:ascii="宋体" w:hAnsi="宋体" w:eastAsia="宋体" w:cs="Times New Roman"/>
          <w:bCs/>
          <w:color w:val="auto"/>
          <w:sz w:val="22"/>
          <w:szCs w:val="22"/>
          <w:highlight w:val="none"/>
          <w:lang w:val="zh-CN" w:eastAsia="zh-CN"/>
        </w:rPr>
        <w:t>渗滤液计量按双方的地磅为准，结算依据为双方授权代表签署的渗滤液转移联单数量为准。</w:t>
      </w:r>
    </w:p>
    <w:p w14:paraId="143229BC">
      <w:pPr>
        <w:keepNext w:val="0"/>
        <w:keepLines w:val="0"/>
        <w:pageBreakBefore w:val="0"/>
        <w:widowControl w:val="0"/>
        <w:kinsoku/>
        <w:wordWrap/>
        <w:overflowPunct/>
        <w:topLinePunct w:val="0"/>
        <w:autoSpaceDE/>
        <w:autoSpaceDN/>
        <w:bidi w:val="0"/>
        <w:adjustRightInd w:val="0"/>
        <w:snapToGrid w:val="0"/>
        <w:spacing w:line="600" w:lineRule="exact"/>
        <w:ind w:firstLine="440" w:firstLineChars="200"/>
        <w:textAlignment w:val="auto"/>
        <w:rPr>
          <w:rFonts w:hint="eastAsia" w:ascii="宋体" w:hAnsi="宋体" w:eastAsia="宋体" w:cs="Times New Roman"/>
          <w:bCs/>
          <w:color w:val="auto"/>
          <w:sz w:val="22"/>
          <w:szCs w:val="22"/>
          <w:highlight w:val="none"/>
          <w:lang w:val="zh-CN" w:eastAsia="zh-CN"/>
        </w:rPr>
      </w:pPr>
      <w:r>
        <w:rPr>
          <w:rFonts w:hint="eastAsia" w:ascii="宋体" w:hAnsi="宋体" w:eastAsia="宋体" w:cs="Times New Roman"/>
          <w:bCs/>
          <w:color w:val="auto"/>
          <w:sz w:val="22"/>
          <w:szCs w:val="22"/>
          <w:highlight w:val="none"/>
          <w:lang w:val="en-US" w:eastAsia="zh-CN"/>
        </w:rPr>
        <w:t>6.</w:t>
      </w:r>
      <w:r>
        <w:rPr>
          <w:rFonts w:hint="eastAsia" w:ascii="宋体" w:hAnsi="宋体" w:eastAsia="宋体" w:cs="Times New Roman"/>
          <w:bCs/>
          <w:color w:val="auto"/>
          <w:sz w:val="22"/>
          <w:szCs w:val="22"/>
          <w:highlight w:val="none"/>
          <w:lang w:val="zh-CN" w:eastAsia="zh-CN"/>
        </w:rPr>
        <w:t>若超过3天未能完成渗滤液处理（以处置单位提供的相关依据为准），则按超出天数（含完成当天，不足1天按整天计）扣罚1万元/天，并承担由此造成的后果。特殊情况可向甲方申报，经甲方同意后，可适当延长处理解决时间。</w:t>
      </w:r>
    </w:p>
    <w:p w14:paraId="330369B0">
      <w:pPr>
        <w:keepNext w:val="0"/>
        <w:keepLines w:val="0"/>
        <w:pageBreakBefore w:val="0"/>
        <w:widowControl w:val="0"/>
        <w:kinsoku/>
        <w:wordWrap/>
        <w:overflowPunct/>
        <w:topLinePunct w:val="0"/>
        <w:autoSpaceDE/>
        <w:autoSpaceDN/>
        <w:bidi w:val="0"/>
        <w:adjustRightInd w:val="0"/>
        <w:snapToGrid w:val="0"/>
        <w:spacing w:line="600" w:lineRule="exact"/>
        <w:ind w:firstLine="440" w:firstLineChars="200"/>
        <w:textAlignment w:val="auto"/>
        <w:rPr>
          <w:rFonts w:hint="eastAsia" w:ascii="宋体" w:hAnsi="宋体" w:eastAsia="宋体" w:cs="Times New Roman"/>
          <w:bCs/>
          <w:color w:val="auto"/>
          <w:sz w:val="22"/>
          <w:szCs w:val="22"/>
          <w:highlight w:val="none"/>
          <w:lang w:val="zh-CN" w:eastAsia="zh-CN"/>
        </w:rPr>
      </w:pPr>
      <w:r>
        <w:rPr>
          <w:rFonts w:hint="eastAsia" w:ascii="宋体" w:hAnsi="宋体" w:eastAsia="宋体" w:cs="Times New Roman"/>
          <w:bCs/>
          <w:color w:val="auto"/>
          <w:sz w:val="22"/>
          <w:szCs w:val="22"/>
          <w:highlight w:val="none"/>
          <w:lang w:val="en-US" w:eastAsia="zh-CN"/>
        </w:rPr>
        <w:t>7.</w:t>
      </w:r>
      <w:r>
        <w:rPr>
          <w:rFonts w:hint="eastAsia" w:ascii="宋体" w:hAnsi="宋体" w:eastAsia="宋体" w:cs="Times New Roman"/>
          <w:bCs/>
          <w:color w:val="auto"/>
          <w:sz w:val="22"/>
          <w:szCs w:val="22"/>
          <w:highlight w:val="none"/>
          <w:lang w:val="zh-CN" w:eastAsia="zh-CN"/>
        </w:rPr>
        <w:t>乙方必须重视安全生产工作，确保全年不出安全生产责任事故。如发生安全生产责任事故或交通事故，由乙方承担一切责任及损失。</w:t>
      </w:r>
    </w:p>
    <w:p w14:paraId="040398DA">
      <w:pPr>
        <w:keepNext w:val="0"/>
        <w:keepLines w:val="0"/>
        <w:pageBreakBefore w:val="0"/>
        <w:widowControl w:val="0"/>
        <w:kinsoku/>
        <w:wordWrap/>
        <w:overflowPunct/>
        <w:topLinePunct w:val="0"/>
        <w:autoSpaceDE/>
        <w:autoSpaceDN/>
        <w:bidi w:val="0"/>
        <w:adjustRightInd w:val="0"/>
        <w:snapToGrid w:val="0"/>
        <w:spacing w:line="600" w:lineRule="exact"/>
        <w:ind w:firstLine="440" w:firstLineChars="200"/>
        <w:textAlignment w:val="auto"/>
        <w:rPr>
          <w:rFonts w:hint="eastAsia" w:ascii="宋体" w:hAnsi="宋体" w:eastAsia="宋体" w:cs="Times New Roman"/>
          <w:bCs/>
          <w:color w:val="auto"/>
          <w:sz w:val="22"/>
          <w:szCs w:val="22"/>
          <w:highlight w:val="none"/>
          <w:lang w:val="zh-CN" w:eastAsia="zh-CN"/>
        </w:rPr>
      </w:pPr>
      <w:r>
        <w:rPr>
          <w:rFonts w:hint="eastAsia" w:ascii="宋体" w:hAnsi="宋体" w:eastAsia="宋体" w:cs="Times New Roman"/>
          <w:bCs/>
          <w:color w:val="auto"/>
          <w:sz w:val="22"/>
          <w:szCs w:val="22"/>
          <w:highlight w:val="none"/>
          <w:lang w:val="en-US" w:eastAsia="zh-CN"/>
        </w:rPr>
        <w:t>8</w:t>
      </w:r>
      <w:r>
        <w:rPr>
          <w:rFonts w:hint="eastAsia" w:ascii="宋体" w:hAnsi="宋体" w:eastAsia="宋体" w:cs="Times New Roman"/>
          <w:bCs/>
          <w:color w:val="auto"/>
          <w:sz w:val="22"/>
          <w:szCs w:val="22"/>
          <w:highlight w:val="none"/>
          <w:lang w:val="zh-CN" w:eastAsia="zh-CN"/>
        </w:rPr>
        <w:t>乙方须接受甲方对项目实施过程中的监督管理。</w:t>
      </w:r>
    </w:p>
    <w:p w14:paraId="49AD276D">
      <w:pPr>
        <w:keepNext w:val="0"/>
        <w:keepLines w:val="0"/>
        <w:pageBreakBefore w:val="0"/>
        <w:widowControl w:val="0"/>
        <w:kinsoku/>
        <w:wordWrap/>
        <w:overflowPunct/>
        <w:topLinePunct w:val="0"/>
        <w:autoSpaceDE/>
        <w:autoSpaceDN/>
        <w:bidi w:val="0"/>
        <w:adjustRightInd w:val="0"/>
        <w:snapToGrid w:val="0"/>
        <w:spacing w:line="600" w:lineRule="exact"/>
        <w:ind w:firstLine="440" w:firstLineChars="200"/>
        <w:textAlignment w:val="auto"/>
        <w:rPr>
          <w:rFonts w:hint="eastAsia" w:ascii="宋体" w:hAnsi="宋体" w:eastAsia="宋体" w:cs="Times New Roman"/>
          <w:bCs/>
          <w:color w:val="auto"/>
          <w:sz w:val="22"/>
          <w:szCs w:val="22"/>
          <w:highlight w:val="none"/>
          <w:lang w:val="zh-CN" w:eastAsia="zh-CN"/>
        </w:rPr>
      </w:pPr>
      <w:r>
        <w:rPr>
          <w:rFonts w:hint="eastAsia" w:ascii="宋体" w:hAnsi="宋体" w:eastAsia="宋体" w:cs="Times New Roman"/>
          <w:bCs/>
          <w:color w:val="auto"/>
          <w:sz w:val="22"/>
          <w:szCs w:val="22"/>
          <w:highlight w:val="none"/>
          <w:lang w:val="en-US" w:eastAsia="zh-CN"/>
        </w:rPr>
        <w:t>9.</w:t>
      </w:r>
      <w:r>
        <w:rPr>
          <w:rFonts w:hint="eastAsia" w:ascii="宋体" w:hAnsi="宋体" w:eastAsia="宋体" w:cs="Times New Roman"/>
          <w:bCs/>
          <w:color w:val="auto"/>
          <w:sz w:val="22"/>
          <w:szCs w:val="22"/>
          <w:highlight w:val="none"/>
          <w:lang w:val="zh-CN" w:eastAsia="zh-CN"/>
        </w:rPr>
        <w:t>乙方有责任及时报告在渗滤液处理处置过程中所发生的事件，包括但不限于任何可能造成各方行政责任及经济损失、任何第三方的投诉和索赔的所有事件。</w:t>
      </w:r>
    </w:p>
    <w:p w14:paraId="467674F1">
      <w:pPr>
        <w:keepNext w:val="0"/>
        <w:keepLines w:val="0"/>
        <w:pageBreakBefore w:val="0"/>
        <w:widowControl w:val="0"/>
        <w:kinsoku/>
        <w:wordWrap/>
        <w:overflowPunct/>
        <w:topLinePunct w:val="0"/>
        <w:autoSpaceDE/>
        <w:autoSpaceDN/>
        <w:bidi w:val="0"/>
        <w:adjustRightInd w:val="0"/>
        <w:snapToGrid w:val="0"/>
        <w:spacing w:line="600" w:lineRule="exact"/>
        <w:ind w:firstLine="440" w:firstLineChars="200"/>
        <w:textAlignment w:val="auto"/>
        <w:rPr>
          <w:rFonts w:hint="eastAsia" w:ascii="宋体" w:hAnsi="宋体" w:eastAsia="宋体" w:cs="Times New Roman"/>
          <w:bCs/>
          <w:color w:val="auto"/>
          <w:sz w:val="22"/>
          <w:szCs w:val="22"/>
          <w:highlight w:val="none"/>
          <w:lang w:val="zh-CN" w:eastAsia="zh-CN"/>
        </w:rPr>
      </w:pPr>
      <w:r>
        <w:rPr>
          <w:rFonts w:hint="eastAsia" w:ascii="宋体" w:hAnsi="宋体" w:eastAsia="宋体" w:cs="Times New Roman"/>
          <w:bCs/>
          <w:color w:val="auto"/>
          <w:sz w:val="22"/>
          <w:szCs w:val="22"/>
          <w:highlight w:val="none"/>
          <w:lang w:val="en-US" w:eastAsia="zh-CN"/>
        </w:rPr>
        <w:t>10.</w:t>
      </w:r>
      <w:r>
        <w:rPr>
          <w:rFonts w:hint="eastAsia" w:ascii="宋体" w:hAnsi="宋体" w:eastAsia="宋体" w:cs="Times New Roman"/>
          <w:bCs/>
          <w:color w:val="auto"/>
          <w:sz w:val="22"/>
          <w:szCs w:val="22"/>
          <w:highlight w:val="none"/>
          <w:lang w:val="zh-CN" w:eastAsia="zh-CN"/>
        </w:rPr>
        <w:t>乙方须接受甲方及其上级主管部门随时对乙方的渗滤液减量干化和处理处置情况的检查。</w:t>
      </w:r>
    </w:p>
    <w:p w14:paraId="786C8355">
      <w:pPr>
        <w:keepNext w:val="0"/>
        <w:keepLines w:val="0"/>
        <w:pageBreakBefore w:val="0"/>
        <w:widowControl w:val="0"/>
        <w:kinsoku/>
        <w:wordWrap/>
        <w:overflowPunct/>
        <w:topLinePunct w:val="0"/>
        <w:autoSpaceDE/>
        <w:autoSpaceDN/>
        <w:bidi w:val="0"/>
        <w:adjustRightInd w:val="0"/>
        <w:snapToGrid w:val="0"/>
        <w:spacing w:line="600" w:lineRule="exact"/>
        <w:ind w:firstLine="440" w:firstLineChars="200"/>
        <w:textAlignment w:val="auto"/>
        <w:rPr>
          <w:rFonts w:hint="eastAsia" w:ascii="宋体" w:hAnsi="宋体" w:eastAsia="宋体" w:cs="Times New Roman"/>
          <w:bCs/>
          <w:color w:val="auto"/>
          <w:sz w:val="22"/>
          <w:szCs w:val="22"/>
          <w:highlight w:val="none"/>
          <w:lang w:val="zh-CN" w:eastAsia="zh-CN"/>
        </w:rPr>
      </w:pPr>
      <w:r>
        <w:rPr>
          <w:rFonts w:hint="eastAsia" w:ascii="宋体" w:hAnsi="宋体" w:eastAsia="宋体" w:cs="Times New Roman"/>
          <w:bCs/>
          <w:color w:val="auto"/>
          <w:sz w:val="22"/>
          <w:szCs w:val="22"/>
          <w:highlight w:val="none"/>
          <w:lang w:val="zh-CN" w:eastAsia="zh-CN"/>
        </w:rPr>
        <w:t>1</w:t>
      </w:r>
      <w:r>
        <w:rPr>
          <w:rFonts w:hint="eastAsia" w:ascii="宋体" w:hAnsi="宋体" w:eastAsia="宋体" w:cs="Times New Roman"/>
          <w:bCs/>
          <w:color w:val="auto"/>
          <w:sz w:val="22"/>
          <w:szCs w:val="22"/>
          <w:highlight w:val="none"/>
          <w:lang w:val="en-US" w:eastAsia="zh-CN"/>
        </w:rPr>
        <w:t>1.</w:t>
      </w:r>
      <w:r>
        <w:rPr>
          <w:rFonts w:hint="eastAsia" w:ascii="宋体" w:hAnsi="宋体" w:eastAsia="宋体" w:cs="Times New Roman"/>
          <w:bCs/>
          <w:color w:val="auto"/>
          <w:sz w:val="22"/>
          <w:szCs w:val="22"/>
          <w:highlight w:val="none"/>
          <w:lang w:val="zh-CN" w:eastAsia="zh-CN"/>
        </w:rPr>
        <w:t>甲方有权对乙方的违规操作行为(包括但不限于偷倒、乱倒)保留追究责任的权利；如发现偷倒、乱倒现象，发现一次则罚款</w:t>
      </w:r>
      <w:r>
        <w:rPr>
          <w:rFonts w:hint="eastAsia" w:ascii="宋体" w:hAnsi="宋体" w:eastAsia="宋体" w:cs="Times New Roman"/>
          <w:bCs/>
          <w:color w:val="auto"/>
          <w:sz w:val="22"/>
          <w:szCs w:val="22"/>
          <w:highlight w:val="none"/>
          <w:lang w:val="en-US" w:eastAsia="zh-CN"/>
        </w:rPr>
        <w:t>1万元，发现三次及以上，甲方则有权解除合同。</w:t>
      </w:r>
    </w:p>
    <w:p w14:paraId="7071060B">
      <w:pPr>
        <w:keepNext w:val="0"/>
        <w:keepLines w:val="0"/>
        <w:pageBreakBefore w:val="0"/>
        <w:widowControl w:val="0"/>
        <w:kinsoku/>
        <w:wordWrap/>
        <w:overflowPunct/>
        <w:topLinePunct w:val="0"/>
        <w:autoSpaceDE/>
        <w:autoSpaceDN/>
        <w:bidi w:val="0"/>
        <w:adjustRightInd w:val="0"/>
        <w:snapToGrid w:val="0"/>
        <w:spacing w:line="600" w:lineRule="exact"/>
        <w:ind w:firstLine="440" w:firstLineChars="200"/>
        <w:textAlignment w:val="auto"/>
        <w:rPr>
          <w:rFonts w:hint="eastAsia" w:ascii="宋体" w:hAnsi="宋体" w:eastAsia="宋体" w:cs="Times New Roman"/>
          <w:bCs/>
          <w:color w:val="auto"/>
          <w:sz w:val="22"/>
          <w:szCs w:val="22"/>
          <w:highlight w:val="none"/>
          <w:lang w:val="zh-CN" w:eastAsia="zh-CN"/>
        </w:rPr>
      </w:pPr>
      <w:r>
        <w:rPr>
          <w:rFonts w:hint="eastAsia" w:ascii="宋体" w:hAnsi="宋体" w:eastAsia="宋体" w:cs="Times New Roman"/>
          <w:bCs/>
          <w:color w:val="auto"/>
          <w:sz w:val="22"/>
          <w:szCs w:val="22"/>
          <w:highlight w:val="none"/>
          <w:lang w:val="zh-CN" w:eastAsia="zh-CN"/>
        </w:rPr>
        <w:t>1</w:t>
      </w:r>
      <w:r>
        <w:rPr>
          <w:rFonts w:hint="eastAsia" w:ascii="宋体" w:hAnsi="宋体" w:eastAsia="宋体" w:cs="Times New Roman"/>
          <w:bCs/>
          <w:color w:val="auto"/>
          <w:sz w:val="22"/>
          <w:szCs w:val="22"/>
          <w:highlight w:val="none"/>
          <w:lang w:val="en-US" w:eastAsia="zh-CN"/>
        </w:rPr>
        <w:t>2</w:t>
      </w:r>
      <w:r>
        <w:rPr>
          <w:rFonts w:hint="eastAsia" w:ascii="宋体" w:hAnsi="宋体" w:eastAsia="宋体" w:cs="Times New Roman"/>
          <w:bCs/>
          <w:color w:val="auto"/>
          <w:sz w:val="22"/>
          <w:szCs w:val="22"/>
          <w:highlight w:val="none"/>
          <w:lang w:val="zh-CN" w:eastAsia="zh-CN"/>
        </w:rPr>
        <w:t>.乙方必须与本项目工作人员签订书面劳动合同。</w:t>
      </w:r>
    </w:p>
    <w:p w14:paraId="14C8F7D7">
      <w:pPr>
        <w:keepNext w:val="0"/>
        <w:keepLines w:val="0"/>
        <w:pageBreakBefore w:val="0"/>
        <w:widowControl w:val="0"/>
        <w:kinsoku/>
        <w:wordWrap/>
        <w:overflowPunct/>
        <w:topLinePunct w:val="0"/>
        <w:autoSpaceDE/>
        <w:autoSpaceDN/>
        <w:bidi w:val="0"/>
        <w:adjustRightInd w:val="0"/>
        <w:snapToGrid w:val="0"/>
        <w:spacing w:line="600" w:lineRule="exact"/>
        <w:ind w:firstLine="440" w:firstLineChars="200"/>
        <w:textAlignment w:val="auto"/>
        <w:rPr>
          <w:rFonts w:hint="eastAsia" w:ascii="宋体" w:hAnsi="宋体" w:eastAsia="宋体" w:cs="Times New Roman"/>
          <w:bCs/>
          <w:color w:val="auto"/>
          <w:sz w:val="22"/>
          <w:szCs w:val="22"/>
          <w:highlight w:val="none"/>
          <w:lang w:val="zh-CN" w:eastAsia="zh-CN"/>
        </w:rPr>
      </w:pPr>
      <w:r>
        <w:rPr>
          <w:rFonts w:hint="eastAsia" w:ascii="宋体" w:hAnsi="宋体" w:eastAsia="宋体" w:cs="Times New Roman"/>
          <w:bCs/>
          <w:color w:val="auto"/>
          <w:sz w:val="22"/>
          <w:szCs w:val="22"/>
          <w:highlight w:val="none"/>
          <w:lang w:val="en-US" w:eastAsia="zh-CN"/>
        </w:rPr>
        <w:t>13</w:t>
      </w:r>
      <w:r>
        <w:rPr>
          <w:rFonts w:hint="eastAsia" w:ascii="宋体" w:hAnsi="宋体" w:eastAsia="宋体" w:cs="Times New Roman"/>
          <w:bCs/>
          <w:color w:val="auto"/>
          <w:sz w:val="22"/>
          <w:szCs w:val="22"/>
          <w:highlight w:val="none"/>
          <w:lang w:val="zh-CN" w:eastAsia="zh-CN"/>
        </w:rPr>
        <w:t>.乙方必须为本项目工作人员缴纳国家规定的社会保险。</w:t>
      </w:r>
    </w:p>
    <w:p w14:paraId="5B8521F2">
      <w:pPr>
        <w:keepNext w:val="0"/>
        <w:keepLines w:val="0"/>
        <w:pageBreakBefore w:val="0"/>
        <w:widowControl w:val="0"/>
        <w:kinsoku/>
        <w:wordWrap/>
        <w:overflowPunct/>
        <w:topLinePunct w:val="0"/>
        <w:autoSpaceDE/>
        <w:autoSpaceDN/>
        <w:bidi w:val="0"/>
        <w:adjustRightInd w:val="0"/>
        <w:snapToGrid w:val="0"/>
        <w:spacing w:line="600" w:lineRule="exact"/>
        <w:ind w:firstLine="440" w:firstLineChars="200"/>
        <w:textAlignment w:val="auto"/>
        <w:rPr>
          <w:rFonts w:hint="eastAsia" w:ascii="宋体" w:hAnsi="宋体" w:eastAsia="宋体" w:cs="Times New Roman"/>
          <w:bCs/>
          <w:color w:val="auto"/>
          <w:sz w:val="22"/>
          <w:szCs w:val="22"/>
          <w:highlight w:val="none"/>
          <w:lang w:val="zh-CN" w:eastAsia="zh-CN"/>
        </w:rPr>
      </w:pPr>
      <w:r>
        <w:rPr>
          <w:rFonts w:hint="eastAsia" w:ascii="宋体" w:hAnsi="宋体" w:eastAsia="宋体" w:cs="Times New Roman"/>
          <w:bCs/>
          <w:color w:val="auto"/>
          <w:sz w:val="22"/>
          <w:szCs w:val="22"/>
          <w:highlight w:val="none"/>
          <w:lang w:val="en-US" w:eastAsia="zh-CN"/>
        </w:rPr>
        <w:t>14</w:t>
      </w:r>
      <w:r>
        <w:rPr>
          <w:rFonts w:hint="eastAsia" w:ascii="宋体" w:hAnsi="宋体" w:eastAsia="宋体" w:cs="Times New Roman"/>
          <w:bCs/>
          <w:color w:val="auto"/>
          <w:sz w:val="22"/>
          <w:szCs w:val="22"/>
          <w:highlight w:val="none"/>
          <w:lang w:val="zh-CN" w:eastAsia="zh-CN"/>
        </w:rPr>
        <w:t>.乙方在合同履行期间内因管理不善等因素导致不能履行合同相关事项，需要终止合同的，应提前十五天采用书面形式告知甲方，取得甲方书面同意后方可终止，并办理终止合同的相关手续。</w:t>
      </w:r>
    </w:p>
    <w:p w14:paraId="28D9B8B0">
      <w:pPr>
        <w:spacing w:line="360" w:lineRule="auto"/>
        <w:ind w:firstLine="422" w:firstLineChars="200"/>
        <w:rPr>
          <w:rFonts w:hint="eastAsia" w:ascii="宋体" w:hAnsi="宋体" w:cs="宋体"/>
          <w:b/>
          <w:bCs/>
          <w:lang w:val="zh-CN"/>
        </w:rPr>
      </w:pPr>
      <w:r>
        <w:rPr>
          <w:rFonts w:hint="eastAsia" w:ascii="宋体" w:hAnsi="宋体" w:cs="宋体"/>
          <w:b/>
          <w:bCs/>
          <w:lang w:eastAsia="zh-CN"/>
        </w:rPr>
        <w:t>七</w:t>
      </w:r>
      <w:r>
        <w:rPr>
          <w:rFonts w:hint="eastAsia" w:ascii="宋体" w:hAnsi="宋体" w:cs="宋体"/>
          <w:b/>
          <w:bCs/>
        </w:rPr>
        <w:t>、</w:t>
      </w:r>
      <w:r>
        <w:rPr>
          <w:rFonts w:hint="eastAsia" w:ascii="宋体" w:hAnsi="宋体" w:cs="宋体"/>
          <w:b/>
          <w:bCs/>
          <w:lang w:val="zh-CN"/>
        </w:rPr>
        <w:t>税费</w:t>
      </w:r>
    </w:p>
    <w:p w14:paraId="4773ACB4">
      <w:pPr>
        <w:keepNext w:val="0"/>
        <w:keepLines w:val="0"/>
        <w:pageBreakBefore w:val="0"/>
        <w:widowControl w:val="0"/>
        <w:kinsoku/>
        <w:wordWrap/>
        <w:overflowPunct/>
        <w:topLinePunct w:val="0"/>
        <w:autoSpaceDE/>
        <w:autoSpaceDN/>
        <w:bidi w:val="0"/>
        <w:adjustRightInd w:val="0"/>
        <w:snapToGrid w:val="0"/>
        <w:spacing w:line="600" w:lineRule="exact"/>
        <w:ind w:firstLine="440" w:firstLineChars="200"/>
        <w:textAlignment w:val="auto"/>
        <w:rPr>
          <w:rFonts w:hint="eastAsia" w:ascii="宋体" w:hAnsi="宋体" w:eastAsia="宋体" w:cs="Times New Roman"/>
          <w:bCs/>
          <w:color w:val="auto"/>
          <w:sz w:val="22"/>
          <w:szCs w:val="22"/>
          <w:highlight w:val="none"/>
          <w:lang w:val="zh-CN" w:eastAsia="zh-CN"/>
        </w:rPr>
      </w:pPr>
      <w:r>
        <w:rPr>
          <w:rFonts w:hint="eastAsia" w:ascii="宋体" w:hAnsi="宋体" w:eastAsia="宋体" w:cs="Times New Roman"/>
          <w:bCs/>
          <w:color w:val="auto"/>
          <w:sz w:val="22"/>
          <w:szCs w:val="22"/>
          <w:highlight w:val="none"/>
          <w:lang w:val="zh-CN" w:eastAsia="zh-CN"/>
        </w:rPr>
        <w:t>本合同执行中相关的一切税费均由乙方负担。</w:t>
      </w:r>
    </w:p>
    <w:p w14:paraId="578887E9">
      <w:pPr>
        <w:spacing w:line="300" w:lineRule="auto"/>
        <w:ind w:firstLine="422" w:firstLineChars="200"/>
        <w:jc w:val="left"/>
        <w:rPr>
          <w:rFonts w:ascii="宋体" w:hAnsi="宋体" w:cs="宋体"/>
          <w:b/>
          <w:szCs w:val="21"/>
        </w:rPr>
      </w:pPr>
      <w:r>
        <w:rPr>
          <w:rFonts w:hint="eastAsia" w:ascii="宋体" w:hAnsi="宋体" w:cs="宋体"/>
          <w:b/>
          <w:szCs w:val="21"/>
          <w:lang w:eastAsia="zh-CN"/>
        </w:rPr>
        <w:t>八</w:t>
      </w:r>
      <w:r>
        <w:rPr>
          <w:rFonts w:hint="eastAsia" w:ascii="宋体" w:hAnsi="宋体" w:cs="宋体"/>
          <w:b/>
          <w:szCs w:val="21"/>
        </w:rPr>
        <w:t>、违约责任</w:t>
      </w:r>
    </w:p>
    <w:p w14:paraId="4C802C0A">
      <w:pPr>
        <w:keepNext w:val="0"/>
        <w:keepLines w:val="0"/>
        <w:pageBreakBefore w:val="0"/>
        <w:widowControl w:val="0"/>
        <w:kinsoku/>
        <w:wordWrap/>
        <w:overflowPunct/>
        <w:topLinePunct w:val="0"/>
        <w:autoSpaceDE/>
        <w:autoSpaceDN/>
        <w:bidi w:val="0"/>
        <w:adjustRightInd w:val="0"/>
        <w:snapToGrid w:val="0"/>
        <w:spacing w:line="600" w:lineRule="exact"/>
        <w:ind w:firstLine="440" w:firstLineChars="200"/>
        <w:textAlignment w:val="auto"/>
        <w:rPr>
          <w:rFonts w:hint="eastAsia" w:ascii="宋体" w:hAnsi="宋体" w:eastAsia="宋体" w:cs="Times New Roman"/>
          <w:bCs/>
          <w:color w:val="auto"/>
          <w:sz w:val="22"/>
          <w:szCs w:val="22"/>
          <w:highlight w:val="none"/>
          <w:lang w:val="zh-CN" w:eastAsia="zh-CN"/>
        </w:rPr>
      </w:pPr>
      <w:r>
        <w:rPr>
          <w:rFonts w:hint="eastAsia" w:ascii="宋体" w:hAnsi="宋体" w:eastAsia="宋体" w:cs="Times New Roman"/>
          <w:bCs/>
          <w:color w:val="auto"/>
          <w:sz w:val="22"/>
          <w:szCs w:val="22"/>
          <w:highlight w:val="none"/>
          <w:lang w:val="zh-CN" w:eastAsia="zh-CN"/>
        </w:rPr>
        <w:t>1．甲方无正当理由拒收接受服务的，甲方向乙方偿付合同款项</w:t>
      </w:r>
      <w:r>
        <w:rPr>
          <w:rFonts w:hint="eastAsia" w:ascii="宋体" w:hAnsi="宋体" w:eastAsia="宋体" w:cs="Times New Roman"/>
          <w:bCs/>
          <w:color w:val="auto"/>
          <w:sz w:val="22"/>
          <w:szCs w:val="22"/>
          <w:highlight w:val="none"/>
          <w:u w:val="single"/>
          <w:lang w:val="zh-CN" w:eastAsia="zh-CN"/>
        </w:rPr>
        <w:t xml:space="preserve"> 1 %</w:t>
      </w:r>
      <w:r>
        <w:rPr>
          <w:rFonts w:hint="eastAsia" w:ascii="宋体" w:hAnsi="宋体" w:eastAsia="宋体" w:cs="Times New Roman"/>
          <w:bCs/>
          <w:color w:val="auto"/>
          <w:sz w:val="22"/>
          <w:szCs w:val="22"/>
          <w:highlight w:val="none"/>
          <w:lang w:val="zh-CN" w:eastAsia="zh-CN"/>
        </w:rPr>
        <w:t>作为违约金。</w:t>
      </w:r>
    </w:p>
    <w:p w14:paraId="64367BB9">
      <w:pPr>
        <w:keepNext w:val="0"/>
        <w:keepLines w:val="0"/>
        <w:pageBreakBefore w:val="0"/>
        <w:widowControl w:val="0"/>
        <w:kinsoku/>
        <w:wordWrap/>
        <w:overflowPunct/>
        <w:topLinePunct w:val="0"/>
        <w:autoSpaceDE/>
        <w:autoSpaceDN/>
        <w:bidi w:val="0"/>
        <w:adjustRightInd w:val="0"/>
        <w:snapToGrid w:val="0"/>
        <w:spacing w:line="600" w:lineRule="exact"/>
        <w:ind w:firstLine="440" w:firstLineChars="200"/>
        <w:textAlignment w:val="auto"/>
        <w:rPr>
          <w:rFonts w:hint="eastAsia" w:ascii="宋体" w:hAnsi="宋体" w:eastAsia="宋体" w:cs="Times New Roman"/>
          <w:bCs/>
          <w:color w:val="auto"/>
          <w:sz w:val="22"/>
          <w:szCs w:val="22"/>
          <w:highlight w:val="none"/>
          <w:lang w:val="zh-CN" w:eastAsia="zh-CN"/>
        </w:rPr>
      </w:pPr>
      <w:r>
        <w:rPr>
          <w:rFonts w:hint="eastAsia" w:ascii="宋体" w:hAnsi="宋体" w:eastAsia="宋体" w:cs="Times New Roman"/>
          <w:bCs/>
          <w:color w:val="auto"/>
          <w:sz w:val="22"/>
          <w:szCs w:val="22"/>
          <w:highlight w:val="none"/>
          <w:lang w:val="en-US" w:eastAsia="zh-CN"/>
        </w:rPr>
        <w:t>2</w:t>
      </w:r>
      <w:r>
        <w:rPr>
          <w:rFonts w:hint="eastAsia" w:ascii="宋体" w:hAnsi="宋体" w:eastAsia="宋体" w:cs="Times New Roman"/>
          <w:bCs/>
          <w:color w:val="auto"/>
          <w:sz w:val="22"/>
          <w:szCs w:val="22"/>
          <w:highlight w:val="none"/>
          <w:lang w:val="zh-CN" w:eastAsia="zh-CN"/>
        </w:rPr>
        <w:t>． 乙方未能如期提供服务的，每日向甲方支付合同款项的</w:t>
      </w:r>
      <w:r>
        <w:rPr>
          <w:rFonts w:hint="eastAsia" w:ascii="宋体" w:hAnsi="宋体" w:eastAsia="宋体" w:cs="Times New Roman"/>
          <w:bCs/>
          <w:color w:val="auto"/>
          <w:sz w:val="22"/>
          <w:szCs w:val="22"/>
          <w:highlight w:val="none"/>
          <w:u w:val="single"/>
          <w:lang w:val="zh-CN" w:eastAsia="zh-CN"/>
        </w:rPr>
        <w:t xml:space="preserve">       </w:t>
      </w:r>
      <w:r>
        <w:rPr>
          <w:rFonts w:hint="eastAsia" w:ascii="宋体" w:hAnsi="宋体" w:eastAsia="宋体" w:cs="Times New Roman"/>
          <w:bCs/>
          <w:color w:val="auto"/>
          <w:sz w:val="22"/>
          <w:szCs w:val="22"/>
          <w:highlight w:val="none"/>
          <w:lang w:val="zh-CN" w:eastAsia="zh-CN"/>
        </w:rPr>
        <w:t>作为违约金。乙方超过约定日期     个工作日仍不能提供服务的，甲方可解除本合同。乙方因未能如期提供服务或因其他违约行为导致甲方解除合同的，乙方应向甲方支付合同总值</w:t>
      </w:r>
      <w:r>
        <w:rPr>
          <w:rFonts w:hint="eastAsia" w:ascii="宋体" w:hAnsi="宋体" w:eastAsia="宋体" w:cs="Times New Roman"/>
          <w:bCs/>
          <w:color w:val="auto"/>
          <w:sz w:val="22"/>
          <w:szCs w:val="22"/>
          <w:highlight w:val="none"/>
          <w:u w:val="single"/>
          <w:lang w:val="zh-CN" w:eastAsia="zh-CN"/>
        </w:rPr>
        <w:t xml:space="preserve">    </w:t>
      </w:r>
      <w:r>
        <w:rPr>
          <w:rFonts w:hint="eastAsia" w:ascii="宋体" w:hAnsi="宋体" w:eastAsia="宋体" w:cs="Times New Roman"/>
          <w:bCs/>
          <w:color w:val="auto"/>
          <w:sz w:val="22"/>
          <w:szCs w:val="22"/>
          <w:highlight w:val="none"/>
          <w:lang w:val="zh-CN" w:eastAsia="zh-CN"/>
        </w:rPr>
        <w:t xml:space="preserve">的违约金，如造成甲方损失超过违约金的，超出部分由乙方继续承担赔偿责任。 </w:t>
      </w:r>
    </w:p>
    <w:p w14:paraId="5D9F2637">
      <w:pPr>
        <w:spacing w:line="300" w:lineRule="auto"/>
        <w:ind w:firstLine="422" w:firstLineChars="200"/>
        <w:jc w:val="left"/>
        <w:rPr>
          <w:rFonts w:hint="eastAsia" w:ascii="宋体" w:hAnsi="宋体" w:cs="宋体"/>
          <w:b/>
          <w:szCs w:val="21"/>
        </w:rPr>
      </w:pPr>
      <w:r>
        <w:rPr>
          <w:rFonts w:hint="eastAsia" w:ascii="宋体" w:hAnsi="宋体" w:cs="宋体"/>
          <w:b/>
          <w:szCs w:val="21"/>
          <w:lang w:eastAsia="zh-CN"/>
        </w:rPr>
        <w:t>九</w:t>
      </w:r>
      <w:r>
        <w:rPr>
          <w:rFonts w:hint="eastAsia" w:ascii="宋体" w:hAnsi="宋体" w:cs="宋体"/>
          <w:b/>
          <w:szCs w:val="21"/>
        </w:rPr>
        <w:t>、不可抗力事件处理</w:t>
      </w:r>
    </w:p>
    <w:p w14:paraId="4209E5C2">
      <w:pPr>
        <w:keepNext w:val="0"/>
        <w:keepLines w:val="0"/>
        <w:pageBreakBefore w:val="0"/>
        <w:widowControl w:val="0"/>
        <w:kinsoku/>
        <w:wordWrap/>
        <w:overflowPunct/>
        <w:topLinePunct w:val="0"/>
        <w:autoSpaceDE/>
        <w:autoSpaceDN/>
        <w:bidi w:val="0"/>
        <w:adjustRightInd w:val="0"/>
        <w:snapToGrid w:val="0"/>
        <w:spacing w:line="600" w:lineRule="exact"/>
        <w:ind w:firstLine="440" w:firstLineChars="200"/>
        <w:textAlignment w:val="auto"/>
        <w:rPr>
          <w:rFonts w:hint="eastAsia" w:ascii="宋体" w:hAnsi="宋体" w:eastAsia="宋体" w:cs="Times New Roman"/>
          <w:bCs/>
          <w:color w:val="auto"/>
          <w:sz w:val="22"/>
          <w:szCs w:val="22"/>
          <w:highlight w:val="none"/>
          <w:lang w:val="zh-CN" w:eastAsia="zh-CN"/>
        </w:rPr>
      </w:pPr>
      <w:r>
        <w:rPr>
          <w:rFonts w:hint="eastAsia" w:ascii="宋体" w:hAnsi="宋体" w:eastAsia="宋体" w:cs="Times New Roman"/>
          <w:bCs/>
          <w:color w:val="auto"/>
          <w:sz w:val="22"/>
          <w:szCs w:val="22"/>
          <w:highlight w:val="none"/>
          <w:lang w:val="zh-CN" w:eastAsia="zh-CN"/>
        </w:rPr>
        <w:t>1.合同有效期内，任何一方因不可抗力事件导致不能履行合同，则合同履行期可延长，其延长期与不可抗力影响期相同。</w:t>
      </w:r>
    </w:p>
    <w:p w14:paraId="1C716A1F">
      <w:pPr>
        <w:keepNext w:val="0"/>
        <w:keepLines w:val="0"/>
        <w:pageBreakBefore w:val="0"/>
        <w:widowControl w:val="0"/>
        <w:kinsoku/>
        <w:wordWrap/>
        <w:overflowPunct/>
        <w:topLinePunct w:val="0"/>
        <w:autoSpaceDE/>
        <w:autoSpaceDN/>
        <w:bidi w:val="0"/>
        <w:adjustRightInd w:val="0"/>
        <w:snapToGrid w:val="0"/>
        <w:spacing w:line="600" w:lineRule="exact"/>
        <w:ind w:firstLine="440" w:firstLineChars="200"/>
        <w:textAlignment w:val="auto"/>
        <w:rPr>
          <w:rFonts w:hint="eastAsia" w:ascii="宋体" w:hAnsi="宋体" w:eastAsia="宋体" w:cs="Times New Roman"/>
          <w:bCs/>
          <w:color w:val="auto"/>
          <w:sz w:val="22"/>
          <w:szCs w:val="22"/>
          <w:highlight w:val="none"/>
          <w:lang w:val="zh-CN" w:eastAsia="zh-CN"/>
        </w:rPr>
      </w:pPr>
      <w:r>
        <w:rPr>
          <w:rFonts w:hint="eastAsia" w:ascii="宋体" w:hAnsi="宋体" w:eastAsia="宋体" w:cs="Times New Roman"/>
          <w:bCs/>
          <w:color w:val="auto"/>
          <w:sz w:val="22"/>
          <w:szCs w:val="22"/>
          <w:highlight w:val="none"/>
          <w:lang w:val="zh-CN" w:eastAsia="zh-CN"/>
        </w:rPr>
        <w:t>2.不可抗力事件发生后，应立即通知对方，并寄送有关权威机构出具的证明。</w:t>
      </w:r>
    </w:p>
    <w:p w14:paraId="17F00C70">
      <w:pPr>
        <w:keepNext w:val="0"/>
        <w:keepLines w:val="0"/>
        <w:pageBreakBefore w:val="0"/>
        <w:widowControl w:val="0"/>
        <w:kinsoku/>
        <w:wordWrap/>
        <w:overflowPunct/>
        <w:topLinePunct w:val="0"/>
        <w:autoSpaceDE/>
        <w:autoSpaceDN/>
        <w:bidi w:val="0"/>
        <w:adjustRightInd w:val="0"/>
        <w:snapToGrid w:val="0"/>
        <w:spacing w:line="600" w:lineRule="exact"/>
        <w:ind w:firstLine="440" w:firstLineChars="200"/>
        <w:textAlignment w:val="auto"/>
        <w:rPr>
          <w:rFonts w:hint="eastAsia" w:ascii="宋体" w:hAnsi="宋体" w:eastAsia="宋体" w:cs="Times New Roman"/>
          <w:bCs/>
          <w:color w:val="auto"/>
          <w:sz w:val="22"/>
          <w:szCs w:val="22"/>
          <w:highlight w:val="none"/>
          <w:lang w:val="zh-CN" w:eastAsia="zh-CN"/>
        </w:rPr>
      </w:pPr>
      <w:r>
        <w:rPr>
          <w:rFonts w:hint="eastAsia" w:ascii="宋体" w:hAnsi="宋体" w:eastAsia="宋体" w:cs="Times New Roman"/>
          <w:bCs/>
          <w:color w:val="auto"/>
          <w:sz w:val="22"/>
          <w:szCs w:val="22"/>
          <w:highlight w:val="none"/>
          <w:lang w:val="zh-CN" w:eastAsia="zh-CN"/>
        </w:rPr>
        <w:t>3.不可抗力事件延续120天以上，双方应通过友好协商，确定是否继续履行合同。</w:t>
      </w:r>
    </w:p>
    <w:p w14:paraId="677D5905">
      <w:pPr>
        <w:spacing w:line="300" w:lineRule="auto"/>
        <w:ind w:firstLine="422" w:firstLineChars="200"/>
        <w:jc w:val="left"/>
        <w:rPr>
          <w:rFonts w:hint="eastAsia" w:ascii="宋体" w:hAnsi="宋体" w:cs="宋体"/>
          <w:b/>
          <w:szCs w:val="21"/>
        </w:rPr>
      </w:pPr>
      <w:r>
        <w:rPr>
          <w:rFonts w:hint="eastAsia" w:ascii="宋体" w:hAnsi="宋体" w:cs="宋体"/>
          <w:b/>
          <w:szCs w:val="21"/>
        </w:rPr>
        <w:t>十、争议的解决</w:t>
      </w:r>
    </w:p>
    <w:p w14:paraId="4B133E04">
      <w:pPr>
        <w:keepNext w:val="0"/>
        <w:keepLines w:val="0"/>
        <w:pageBreakBefore w:val="0"/>
        <w:widowControl w:val="0"/>
        <w:kinsoku/>
        <w:wordWrap/>
        <w:overflowPunct/>
        <w:topLinePunct w:val="0"/>
        <w:autoSpaceDE/>
        <w:autoSpaceDN/>
        <w:bidi w:val="0"/>
        <w:adjustRightInd w:val="0"/>
        <w:snapToGrid w:val="0"/>
        <w:spacing w:line="600" w:lineRule="exact"/>
        <w:ind w:firstLine="440" w:firstLineChars="200"/>
        <w:textAlignment w:val="auto"/>
        <w:rPr>
          <w:rFonts w:hint="eastAsia" w:ascii="宋体" w:hAnsi="宋体" w:eastAsia="宋体" w:cs="Times New Roman"/>
          <w:bCs/>
          <w:color w:val="auto"/>
          <w:sz w:val="22"/>
          <w:szCs w:val="22"/>
          <w:highlight w:val="none"/>
          <w:lang w:val="zh-CN" w:eastAsia="zh-CN"/>
        </w:rPr>
      </w:pPr>
      <w:r>
        <w:rPr>
          <w:rFonts w:hint="eastAsia" w:ascii="宋体" w:hAnsi="宋体" w:eastAsia="宋体" w:cs="Times New Roman"/>
          <w:bCs/>
          <w:color w:val="auto"/>
          <w:sz w:val="22"/>
          <w:szCs w:val="22"/>
          <w:highlight w:val="none"/>
          <w:lang w:val="zh-CN" w:eastAsia="zh-CN"/>
        </w:rPr>
        <w:t>双方在履行合同过程中产生争议时，应首先通过友好协商解决，如果协商不能解决争议，则采取以下第</w:t>
      </w:r>
      <w:r>
        <w:rPr>
          <w:rFonts w:hint="eastAsia" w:ascii="宋体" w:hAnsi="宋体" w:eastAsia="宋体" w:cs="Times New Roman"/>
          <w:bCs/>
          <w:color w:val="auto"/>
          <w:sz w:val="22"/>
          <w:szCs w:val="22"/>
          <w:highlight w:val="none"/>
          <w:u w:val="single"/>
          <w:lang w:val="zh-CN" w:eastAsia="zh-CN"/>
        </w:rPr>
        <w:t>（1）</w:t>
      </w:r>
      <w:r>
        <w:rPr>
          <w:rFonts w:hint="eastAsia" w:ascii="宋体" w:hAnsi="宋体" w:eastAsia="宋体" w:cs="Times New Roman"/>
          <w:bCs/>
          <w:color w:val="auto"/>
          <w:sz w:val="22"/>
          <w:szCs w:val="22"/>
          <w:highlight w:val="none"/>
          <w:lang w:val="zh-CN" w:eastAsia="zh-CN"/>
        </w:rPr>
        <w:t>种方式处理：</w:t>
      </w:r>
    </w:p>
    <w:p w14:paraId="1A984F90">
      <w:pPr>
        <w:keepNext w:val="0"/>
        <w:keepLines w:val="0"/>
        <w:pageBreakBefore w:val="0"/>
        <w:widowControl w:val="0"/>
        <w:kinsoku/>
        <w:wordWrap/>
        <w:overflowPunct/>
        <w:topLinePunct w:val="0"/>
        <w:autoSpaceDE/>
        <w:autoSpaceDN/>
        <w:bidi w:val="0"/>
        <w:adjustRightInd w:val="0"/>
        <w:snapToGrid w:val="0"/>
        <w:spacing w:line="600" w:lineRule="exact"/>
        <w:ind w:firstLine="440" w:firstLineChars="200"/>
        <w:textAlignment w:val="auto"/>
        <w:rPr>
          <w:rFonts w:hint="eastAsia" w:ascii="宋体" w:hAnsi="宋体" w:eastAsia="宋体" w:cs="Times New Roman"/>
          <w:bCs/>
          <w:color w:val="auto"/>
          <w:sz w:val="22"/>
          <w:szCs w:val="22"/>
          <w:highlight w:val="none"/>
          <w:lang w:val="zh-CN" w:eastAsia="zh-CN"/>
        </w:rPr>
      </w:pPr>
      <w:r>
        <w:rPr>
          <w:rFonts w:hint="eastAsia" w:ascii="宋体" w:hAnsi="宋体" w:eastAsia="宋体" w:cs="Times New Roman"/>
          <w:bCs/>
          <w:color w:val="auto"/>
          <w:sz w:val="22"/>
          <w:szCs w:val="22"/>
          <w:highlight w:val="none"/>
          <w:lang w:val="zh-CN" w:eastAsia="zh-CN"/>
        </w:rPr>
        <w:t>（1）向常山县人民法院提起诉讼；</w:t>
      </w:r>
    </w:p>
    <w:p w14:paraId="101E924A">
      <w:pPr>
        <w:keepNext w:val="0"/>
        <w:keepLines w:val="0"/>
        <w:pageBreakBefore w:val="0"/>
        <w:widowControl w:val="0"/>
        <w:kinsoku/>
        <w:wordWrap/>
        <w:overflowPunct/>
        <w:topLinePunct w:val="0"/>
        <w:autoSpaceDE/>
        <w:autoSpaceDN/>
        <w:bidi w:val="0"/>
        <w:adjustRightInd w:val="0"/>
        <w:snapToGrid w:val="0"/>
        <w:spacing w:line="600" w:lineRule="exact"/>
        <w:ind w:firstLine="440" w:firstLineChars="200"/>
        <w:textAlignment w:val="auto"/>
        <w:rPr>
          <w:rFonts w:hint="eastAsia" w:ascii="宋体" w:hAnsi="宋体" w:eastAsia="宋体" w:cs="Times New Roman"/>
          <w:bCs/>
          <w:color w:val="auto"/>
          <w:sz w:val="22"/>
          <w:szCs w:val="22"/>
          <w:highlight w:val="none"/>
          <w:lang w:val="zh-CN" w:eastAsia="zh-CN"/>
        </w:rPr>
      </w:pPr>
      <w:r>
        <w:rPr>
          <w:rFonts w:hint="eastAsia" w:ascii="宋体" w:hAnsi="宋体" w:eastAsia="宋体" w:cs="Times New Roman"/>
          <w:bCs/>
          <w:color w:val="auto"/>
          <w:sz w:val="22"/>
          <w:szCs w:val="22"/>
          <w:highlight w:val="none"/>
          <w:lang w:val="zh-CN" w:eastAsia="zh-CN"/>
        </w:rPr>
        <w:t>（2）向衢州仲裁委员会提请仲裁。</w:t>
      </w:r>
    </w:p>
    <w:p w14:paraId="4DAF5436">
      <w:pPr>
        <w:spacing w:line="300" w:lineRule="auto"/>
        <w:ind w:firstLine="422" w:firstLineChars="200"/>
        <w:jc w:val="left"/>
        <w:rPr>
          <w:rFonts w:hint="eastAsia" w:ascii="宋体" w:hAnsi="宋体" w:cs="宋体"/>
          <w:b/>
          <w:szCs w:val="21"/>
        </w:rPr>
      </w:pPr>
      <w:r>
        <w:rPr>
          <w:rFonts w:hint="eastAsia" w:ascii="宋体" w:hAnsi="宋体" w:cs="宋体"/>
          <w:b/>
          <w:szCs w:val="21"/>
        </w:rPr>
        <w:t>十</w:t>
      </w:r>
      <w:r>
        <w:rPr>
          <w:rFonts w:hint="eastAsia" w:ascii="宋体" w:hAnsi="宋体" w:cs="宋体"/>
          <w:b/>
          <w:szCs w:val="21"/>
          <w:lang w:eastAsia="zh-CN"/>
        </w:rPr>
        <w:t>一</w:t>
      </w:r>
      <w:r>
        <w:rPr>
          <w:rFonts w:hint="eastAsia" w:ascii="宋体" w:hAnsi="宋体" w:cs="宋体"/>
          <w:b/>
          <w:szCs w:val="21"/>
        </w:rPr>
        <w:t>、合同生效及其它</w:t>
      </w:r>
    </w:p>
    <w:p w14:paraId="3F6A7880">
      <w:pPr>
        <w:keepNext w:val="0"/>
        <w:keepLines w:val="0"/>
        <w:pageBreakBefore w:val="0"/>
        <w:widowControl w:val="0"/>
        <w:kinsoku/>
        <w:wordWrap/>
        <w:overflowPunct/>
        <w:topLinePunct w:val="0"/>
        <w:autoSpaceDE/>
        <w:autoSpaceDN/>
        <w:bidi w:val="0"/>
        <w:adjustRightInd w:val="0"/>
        <w:snapToGrid w:val="0"/>
        <w:spacing w:line="600" w:lineRule="exact"/>
        <w:ind w:firstLine="440" w:firstLineChars="200"/>
        <w:textAlignment w:val="auto"/>
        <w:rPr>
          <w:rFonts w:hint="eastAsia" w:ascii="宋体" w:hAnsi="宋体" w:eastAsia="宋体" w:cs="Times New Roman"/>
          <w:bCs/>
          <w:color w:val="auto"/>
          <w:sz w:val="22"/>
          <w:szCs w:val="22"/>
          <w:highlight w:val="none"/>
          <w:lang w:val="zh-CN" w:eastAsia="zh-CN"/>
        </w:rPr>
      </w:pPr>
      <w:r>
        <w:rPr>
          <w:rFonts w:hint="eastAsia" w:ascii="宋体" w:hAnsi="宋体" w:eastAsia="宋体" w:cs="Times New Roman"/>
          <w:bCs/>
          <w:color w:val="auto"/>
          <w:sz w:val="22"/>
          <w:szCs w:val="22"/>
          <w:highlight w:val="none"/>
          <w:lang w:val="zh-CN" w:eastAsia="zh-CN"/>
        </w:rPr>
        <w:t>1.合同经甲、乙双方法定代表人或授权代表签字并加盖单位公章后生效；</w:t>
      </w:r>
    </w:p>
    <w:p w14:paraId="1931E4F8">
      <w:pPr>
        <w:keepNext w:val="0"/>
        <w:keepLines w:val="0"/>
        <w:pageBreakBefore w:val="0"/>
        <w:widowControl w:val="0"/>
        <w:kinsoku/>
        <w:wordWrap/>
        <w:overflowPunct/>
        <w:topLinePunct w:val="0"/>
        <w:autoSpaceDE/>
        <w:autoSpaceDN/>
        <w:bidi w:val="0"/>
        <w:adjustRightInd w:val="0"/>
        <w:snapToGrid w:val="0"/>
        <w:spacing w:line="600" w:lineRule="exact"/>
        <w:ind w:firstLine="440" w:firstLineChars="200"/>
        <w:textAlignment w:val="auto"/>
        <w:rPr>
          <w:rFonts w:hint="eastAsia" w:ascii="宋体" w:hAnsi="宋体" w:eastAsia="宋体" w:cs="Times New Roman"/>
          <w:bCs/>
          <w:color w:val="auto"/>
          <w:sz w:val="22"/>
          <w:szCs w:val="22"/>
          <w:highlight w:val="none"/>
          <w:lang w:val="zh-CN" w:eastAsia="zh-CN"/>
        </w:rPr>
      </w:pPr>
      <w:r>
        <w:rPr>
          <w:rFonts w:hint="eastAsia" w:ascii="宋体" w:hAnsi="宋体" w:eastAsia="宋体" w:cs="Times New Roman"/>
          <w:bCs/>
          <w:color w:val="auto"/>
          <w:sz w:val="22"/>
          <w:szCs w:val="22"/>
          <w:highlight w:val="none"/>
          <w:lang w:val="zh-CN" w:eastAsia="zh-CN"/>
        </w:rPr>
        <w:t>2.合同执行中涉及采购资金和采购内容修改或补充的，须经财政部门审批，并签书面补充协议报同级财政部门备案，方可作为主合同不可分割的一部分。</w:t>
      </w:r>
    </w:p>
    <w:p w14:paraId="7CB8FF65">
      <w:pPr>
        <w:keepNext w:val="0"/>
        <w:keepLines w:val="0"/>
        <w:pageBreakBefore w:val="0"/>
        <w:widowControl w:val="0"/>
        <w:kinsoku/>
        <w:wordWrap/>
        <w:overflowPunct/>
        <w:topLinePunct w:val="0"/>
        <w:autoSpaceDE/>
        <w:autoSpaceDN/>
        <w:bidi w:val="0"/>
        <w:adjustRightInd w:val="0"/>
        <w:snapToGrid w:val="0"/>
        <w:spacing w:line="600" w:lineRule="exact"/>
        <w:ind w:firstLine="440" w:firstLineChars="200"/>
        <w:textAlignment w:val="auto"/>
        <w:rPr>
          <w:rFonts w:hint="eastAsia" w:ascii="宋体" w:hAnsi="宋体" w:eastAsia="宋体" w:cs="Times New Roman"/>
          <w:bCs/>
          <w:color w:val="auto"/>
          <w:sz w:val="22"/>
          <w:szCs w:val="22"/>
          <w:highlight w:val="none"/>
          <w:lang w:val="zh-CN" w:eastAsia="zh-CN"/>
        </w:rPr>
      </w:pPr>
      <w:r>
        <w:rPr>
          <w:rFonts w:hint="eastAsia" w:ascii="宋体" w:hAnsi="宋体" w:eastAsia="宋体" w:cs="Times New Roman"/>
          <w:bCs/>
          <w:color w:val="auto"/>
          <w:sz w:val="22"/>
          <w:szCs w:val="22"/>
          <w:highlight w:val="none"/>
          <w:lang w:val="zh-CN" w:eastAsia="zh-CN"/>
        </w:rPr>
        <w:t>3.本合同未尽事宜，遵照《中华人民共和国民法典》有关条文执行。</w:t>
      </w:r>
    </w:p>
    <w:p w14:paraId="54C4C2EC">
      <w:pPr>
        <w:keepNext w:val="0"/>
        <w:keepLines w:val="0"/>
        <w:pageBreakBefore w:val="0"/>
        <w:widowControl w:val="0"/>
        <w:kinsoku/>
        <w:wordWrap/>
        <w:overflowPunct/>
        <w:topLinePunct w:val="0"/>
        <w:autoSpaceDE/>
        <w:autoSpaceDN/>
        <w:bidi w:val="0"/>
        <w:adjustRightInd w:val="0"/>
        <w:snapToGrid w:val="0"/>
        <w:spacing w:line="600" w:lineRule="exact"/>
        <w:ind w:firstLine="440" w:firstLineChars="200"/>
        <w:textAlignment w:val="auto"/>
        <w:rPr>
          <w:rFonts w:hint="eastAsia" w:ascii="宋体" w:hAnsi="宋体" w:eastAsia="宋体" w:cs="Times New Roman"/>
          <w:bCs/>
          <w:color w:val="auto"/>
          <w:sz w:val="22"/>
          <w:szCs w:val="22"/>
          <w:highlight w:val="none"/>
          <w:lang w:val="zh-CN" w:eastAsia="zh-CN"/>
        </w:rPr>
      </w:pPr>
      <w:r>
        <w:rPr>
          <w:rFonts w:hint="eastAsia" w:ascii="宋体" w:hAnsi="宋体" w:eastAsia="宋体" w:cs="Times New Roman"/>
          <w:bCs/>
          <w:color w:val="auto"/>
          <w:sz w:val="22"/>
          <w:szCs w:val="22"/>
          <w:highlight w:val="none"/>
          <w:lang w:val="zh-CN" w:eastAsia="zh-CN"/>
        </w:rPr>
        <w:t>4.本合同正本一式五份，甲乙双方各执二份；代理机构执一份，均具备同等法律效力。</w:t>
      </w:r>
    </w:p>
    <w:p w14:paraId="3C6C97F5">
      <w:pPr>
        <w:rPr>
          <w:rFonts w:hint="eastAsia" w:ascii="宋体" w:hAnsi="宋体" w:cs="宋体"/>
          <w:szCs w:val="21"/>
        </w:rPr>
      </w:pPr>
    </w:p>
    <w:p w14:paraId="3189F643">
      <w:pPr>
        <w:pStyle w:val="26"/>
        <w:ind w:left="0" w:leftChars="0" w:firstLine="0" w:firstLineChars="0"/>
        <w:rPr>
          <w:rFonts w:hint="eastAsia"/>
          <w:b/>
          <w:bCs/>
        </w:rPr>
      </w:pPr>
      <w:r>
        <w:rPr>
          <w:rFonts w:hint="eastAsia"/>
          <w:b/>
          <w:bCs/>
        </w:rPr>
        <w:t>（以下无正文）</w:t>
      </w:r>
    </w:p>
    <w:p w14:paraId="7353B114">
      <w:pPr>
        <w:pStyle w:val="15"/>
        <w:snapToGrid w:val="0"/>
        <w:spacing w:before="120" w:after="120" w:line="360" w:lineRule="auto"/>
        <w:ind w:firstLine="210" w:firstLineChars="100"/>
        <w:rPr>
          <w:rFonts w:hAnsi="宋体"/>
        </w:rPr>
      </w:pPr>
      <w:r>
        <w:rPr>
          <w:rFonts w:hAnsi="宋体"/>
        </w:rPr>
        <w:t xml:space="preserve">甲方（盖章）：                             乙方（盖章）：        </w:t>
      </w:r>
    </w:p>
    <w:p w14:paraId="0AF1FFAB">
      <w:pPr>
        <w:pStyle w:val="15"/>
        <w:snapToGrid w:val="0"/>
        <w:spacing w:before="120" w:after="120" w:line="360" w:lineRule="auto"/>
        <w:ind w:firstLine="210" w:firstLineChars="100"/>
        <w:rPr>
          <w:rFonts w:hAnsi="宋体"/>
        </w:rPr>
      </w:pPr>
      <w:r>
        <w:rPr>
          <w:rFonts w:hAnsi="宋体"/>
        </w:rPr>
        <w:t>法定代表人</w:t>
      </w:r>
      <w:r>
        <w:rPr>
          <w:rFonts w:hint="eastAsia" w:hAnsi="宋体"/>
        </w:rPr>
        <w:t xml:space="preserve">   </w:t>
      </w:r>
      <w:r>
        <w:rPr>
          <w:rFonts w:hAnsi="宋体"/>
        </w:rPr>
        <w:t xml:space="preserve">                             法定代表人  </w:t>
      </w:r>
    </w:p>
    <w:p w14:paraId="175CAF60">
      <w:pPr>
        <w:pStyle w:val="15"/>
        <w:snapToGrid w:val="0"/>
        <w:spacing w:before="120" w:after="120" w:line="360" w:lineRule="auto"/>
        <w:ind w:firstLine="210" w:firstLineChars="100"/>
        <w:rPr>
          <w:rFonts w:hAnsi="宋体"/>
        </w:rPr>
      </w:pPr>
      <w:r>
        <w:rPr>
          <w:rFonts w:hAnsi="宋体"/>
        </w:rPr>
        <w:t xml:space="preserve">或受委托人（签字）：                       或受委托人（签字）：  </w:t>
      </w:r>
    </w:p>
    <w:p w14:paraId="39F1D3AC">
      <w:pPr>
        <w:pStyle w:val="15"/>
        <w:snapToGrid w:val="0"/>
        <w:spacing w:before="120" w:after="120" w:line="360" w:lineRule="auto"/>
        <w:ind w:firstLine="210" w:firstLineChars="100"/>
        <w:rPr>
          <w:rFonts w:hAnsi="宋体"/>
        </w:rPr>
      </w:pPr>
      <w:r>
        <w:rPr>
          <w:rFonts w:hAnsi="宋体"/>
        </w:rPr>
        <w:t>联系人：                                  联系人：</w:t>
      </w:r>
    </w:p>
    <w:p w14:paraId="0C734708">
      <w:pPr>
        <w:pStyle w:val="15"/>
        <w:snapToGrid w:val="0"/>
        <w:spacing w:before="120" w:after="120" w:line="360" w:lineRule="auto"/>
        <w:ind w:firstLine="210" w:firstLineChars="100"/>
        <w:rPr>
          <w:rFonts w:hAnsi="宋体"/>
        </w:rPr>
      </w:pPr>
      <w:r>
        <w:rPr>
          <w:rFonts w:hAnsi="宋体"/>
        </w:rPr>
        <w:t xml:space="preserve">地址：                                    地址： </w:t>
      </w:r>
    </w:p>
    <w:p w14:paraId="17BCB56C">
      <w:pPr>
        <w:pStyle w:val="15"/>
        <w:snapToGrid w:val="0"/>
        <w:spacing w:before="120" w:after="120" w:line="360" w:lineRule="auto"/>
        <w:ind w:firstLine="210" w:firstLineChars="100"/>
        <w:rPr>
          <w:rFonts w:hAnsi="宋体"/>
        </w:rPr>
      </w:pPr>
      <w:r>
        <w:rPr>
          <w:rFonts w:hAnsi="宋体"/>
        </w:rPr>
        <w:t>电话：                                    电话：</w:t>
      </w:r>
    </w:p>
    <w:p w14:paraId="0886D460">
      <w:pPr>
        <w:pStyle w:val="15"/>
        <w:snapToGrid w:val="0"/>
        <w:spacing w:before="120" w:after="120" w:line="360" w:lineRule="auto"/>
        <w:ind w:firstLine="210" w:firstLineChars="100"/>
        <w:rPr>
          <w:rFonts w:hAnsi="宋体"/>
        </w:rPr>
      </w:pPr>
      <w:r>
        <w:rPr>
          <w:rFonts w:hAnsi="宋体"/>
        </w:rPr>
        <w:t>传真：                                    传真：</w:t>
      </w:r>
    </w:p>
    <w:p w14:paraId="6601BD7A">
      <w:pPr>
        <w:pStyle w:val="15"/>
        <w:snapToGrid w:val="0"/>
        <w:spacing w:before="120" w:after="120" w:line="360" w:lineRule="auto"/>
        <w:ind w:firstLine="210" w:firstLineChars="100"/>
        <w:rPr>
          <w:rFonts w:hAnsi="宋体"/>
        </w:rPr>
      </w:pPr>
      <w:r>
        <w:rPr>
          <w:rFonts w:hAnsi="宋体"/>
        </w:rPr>
        <w:t xml:space="preserve">开户银行：                                开户银行： </w:t>
      </w:r>
    </w:p>
    <w:p w14:paraId="781D84F6">
      <w:pPr>
        <w:pStyle w:val="15"/>
        <w:snapToGrid w:val="0"/>
        <w:spacing w:before="120" w:after="120" w:line="360" w:lineRule="auto"/>
        <w:ind w:firstLine="210" w:firstLineChars="100"/>
        <w:rPr>
          <w:rFonts w:hAnsi="宋体"/>
        </w:rPr>
      </w:pPr>
      <w:r>
        <w:rPr>
          <w:rFonts w:hAnsi="宋体"/>
        </w:rPr>
        <w:t>帐号：                                    帐号：</w:t>
      </w:r>
    </w:p>
    <w:p w14:paraId="57A4E540">
      <w:pPr>
        <w:keepNext w:val="0"/>
        <w:keepLines w:val="0"/>
        <w:pageBreakBefore w:val="0"/>
        <w:kinsoku/>
        <w:wordWrap/>
        <w:overflowPunct/>
        <w:topLinePunct w:val="0"/>
        <w:bidi w:val="0"/>
        <w:adjustRightInd w:val="0"/>
        <w:snapToGrid w:val="0"/>
        <w:spacing w:line="400" w:lineRule="exact"/>
        <w:rPr>
          <w:rFonts w:hint="eastAsia" w:ascii="Times New Roman" w:hAnsi="Times New Roman" w:cs="Times New Roman"/>
          <w:b/>
          <w:bCs/>
          <w:color w:val="auto"/>
          <w:sz w:val="22"/>
          <w:szCs w:val="22"/>
          <w:highlight w:val="none"/>
          <w:lang w:val="en-US" w:eastAsia="zh-CN"/>
        </w:rPr>
      </w:pPr>
    </w:p>
    <w:p w14:paraId="4301B337">
      <w:pPr>
        <w:keepNext w:val="0"/>
        <w:keepLines w:val="0"/>
        <w:pageBreakBefore w:val="0"/>
        <w:kinsoku/>
        <w:wordWrap/>
        <w:overflowPunct/>
        <w:topLinePunct w:val="0"/>
        <w:bidi w:val="0"/>
        <w:adjustRightInd w:val="0"/>
        <w:snapToGrid w:val="0"/>
        <w:spacing w:line="400" w:lineRule="exact"/>
        <w:rPr>
          <w:rFonts w:hint="eastAsia" w:ascii="Times New Roman" w:hAnsi="Times New Roman" w:cs="Times New Roman"/>
          <w:b/>
          <w:bCs/>
          <w:color w:val="auto"/>
          <w:sz w:val="22"/>
          <w:szCs w:val="22"/>
          <w:highlight w:val="none"/>
          <w:lang w:val="en-US" w:eastAsia="zh-CN"/>
        </w:rPr>
      </w:pPr>
    </w:p>
    <w:p w14:paraId="3E6D0EEF">
      <w:pPr>
        <w:keepNext w:val="0"/>
        <w:keepLines w:val="0"/>
        <w:pageBreakBefore w:val="0"/>
        <w:kinsoku/>
        <w:wordWrap/>
        <w:overflowPunct/>
        <w:topLinePunct w:val="0"/>
        <w:bidi w:val="0"/>
        <w:adjustRightInd w:val="0"/>
        <w:snapToGrid w:val="0"/>
        <w:spacing w:line="400" w:lineRule="exact"/>
        <w:rPr>
          <w:rFonts w:hint="eastAsia" w:ascii="Times New Roman" w:hAnsi="Times New Roman" w:cs="Times New Roman"/>
          <w:b/>
          <w:bCs/>
          <w:color w:val="auto"/>
          <w:sz w:val="22"/>
          <w:szCs w:val="22"/>
          <w:highlight w:val="none"/>
          <w:lang w:val="en-US" w:eastAsia="zh-CN"/>
        </w:rPr>
      </w:pPr>
    </w:p>
    <w:p w14:paraId="0082CE03">
      <w:pPr>
        <w:keepNext w:val="0"/>
        <w:keepLines w:val="0"/>
        <w:pageBreakBefore w:val="0"/>
        <w:kinsoku/>
        <w:wordWrap/>
        <w:overflowPunct/>
        <w:topLinePunct w:val="0"/>
        <w:bidi w:val="0"/>
        <w:adjustRightInd w:val="0"/>
        <w:snapToGrid w:val="0"/>
        <w:spacing w:line="400" w:lineRule="exact"/>
        <w:rPr>
          <w:rFonts w:hint="eastAsia" w:ascii="Times New Roman" w:hAnsi="Times New Roman" w:cs="Times New Roman"/>
          <w:b/>
          <w:bCs/>
          <w:color w:val="auto"/>
          <w:sz w:val="22"/>
          <w:szCs w:val="22"/>
          <w:highlight w:val="none"/>
          <w:lang w:val="en-US" w:eastAsia="zh-CN"/>
        </w:rPr>
      </w:pPr>
    </w:p>
    <w:p w14:paraId="4327FF1E">
      <w:pPr>
        <w:keepNext w:val="0"/>
        <w:keepLines w:val="0"/>
        <w:pageBreakBefore w:val="0"/>
        <w:kinsoku/>
        <w:wordWrap/>
        <w:overflowPunct/>
        <w:topLinePunct w:val="0"/>
        <w:bidi w:val="0"/>
        <w:adjustRightInd w:val="0"/>
        <w:snapToGrid w:val="0"/>
        <w:spacing w:line="400" w:lineRule="exact"/>
        <w:rPr>
          <w:rFonts w:hint="eastAsia" w:ascii="Times New Roman" w:hAnsi="Times New Roman" w:cs="Times New Roman"/>
          <w:b/>
          <w:bCs/>
          <w:color w:val="auto"/>
          <w:sz w:val="22"/>
          <w:szCs w:val="22"/>
          <w:highlight w:val="none"/>
          <w:lang w:val="en-US" w:eastAsia="zh-CN"/>
        </w:rPr>
      </w:pPr>
    </w:p>
    <w:p w14:paraId="67B8C3E3">
      <w:pPr>
        <w:keepNext w:val="0"/>
        <w:keepLines w:val="0"/>
        <w:pageBreakBefore w:val="0"/>
        <w:kinsoku/>
        <w:wordWrap/>
        <w:overflowPunct/>
        <w:topLinePunct w:val="0"/>
        <w:bidi w:val="0"/>
        <w:adjustRightInd w:val="0"/>
        <w:snapToGrid w:val="0"/>
        <w:spacing w:line="400" w:lineRule="exact"/>
        <w:rPr>
          <w:rFonts w:hint="eastAsia" w:ascii="Times New Roman" w:hAnsi="Times New Roman" w:cs="Times New Roman"/>
          <w:b/>
          <w:bCs/>
          <w:color w:val="auto"/>
          <w:sz w:val="22"/>
          <w:szCs w:val="22"/>
          <w:highlight w:val="none"/>
          <w:lang w:val="en-US" w:eastAsia="zh-CN"/>
        </w:rPr>
      </w:pPr>
    </w:p>
    <w:p w14:paraId="1EDCBD4A">
      <w:pPr>
        <w:keepNext w:val="0"/>
        <w:keepLines w:val="0"/>
        <w:pageBreakBefore w:val="0"/>
        <w:kinsoku/>
        <w:wordWrap/>
        <w:overflowPunct/>
        <w:topLinePunct w:val="0"/>
        <w:bidi w:val="0"/>
        <w:adjustRightInd w:val="0"/>
        <w:snapToGrid w:val="0"/>
        <w:spacing w:line="400" w:lineRule="exact"/>
        <w:rPr>
          <w:rFonts w:hint="eastAsia" w:ascii="Times New Roman" w:hAnsi="Times New Roman" w:cs="Times New Roman"/>
          <w:b/>
          <w:bCs/>
          <w:color w:val="auto"/>
          <w:sz w:val="22"/>
          <w:szCs w:val="22"/>
          <w:highlight w:val="none"/>
          <w:lang w:val="en-US" w:eastAsia="zh-CN"/>
        </w:rPr>
      </w:pPr>
    </w:p>
    <w:p w14:paraId="18435B9E">
      <w:pPr>
        <w:keepNext w:val="0"/>
        <w:keepLines w:val="0"/>
        <w:pageBreakBefore w:val="0"/>
        <w:kinsoku/>
        <w:wordWrap/>
        <w:overflowPunct/>
        <w:topLinePunct w:val="0"/>
        <w:bidi w:val="0"/>
        <w:adjustRightInd w:val="0"/>
        <w:snapToGrid w:val="0"/>
        <w:spacing w:line="400" w:lineRule="exact"/>
        <w:rPr>
          <w:rFonts w:hint="eastAsia" w:ascii="Times New Roman" w:hAnsi="Times New Roman" w:cs="Times New Roman"/>
          <w:b/>
          <w:bCs/>
          <w:color w:val="auto"/>
          <w:sz w:val="22"/>
          <w:szCs w:val="22"/>
          <w:highlight w:val="none"/>
          <w:lang w:val="en-US" w:eastAsia="zh-CN"/>
        </w:rPr>
      </w:pPr>
    </w:p>
    <w:p w14:paraId="4E42D809">
      <w:pPr>
        <w:keepNext w:val="0"/>
        <w:keepLines w:val="0"/>
        <w:pageBreakBefore w:val="0"/>
        <w:kinsoku/>
        <w:wordWrap/>
        <w:overflowPunct/>
        <w:topLinePunct w:val="0"/>
        <w:bidi w:val="0"/>
        <w:adjustRightInd w:val="0"/>
        <w:snapToGrid w:val="0"/>
        <w:spacing w:line="400" w:lineRule="exact"/>
        <w:rPr>
          <w:rFonts w:hint="eastAsia" w:ascii="Times New Roman" w:hAnsi="Times New Roman" w:cs="Times New Roman"/>
          <w:b/>
          <w:bCs/>
          <w:color w:val="auto"/>
          <w:sz w:val="22"/>
          <w:szCs w:val="22"/>
          <w:highlight w:val="none"/>
          <w:lang w:val="en-US" w:eastAsia="zh-CN"/>
        </w:rPr>
      </w:pPr>
    </w:p>
    <w:p w14:paraId="46CB7BF9">
      <w:pPr>
        <w:keepNext w:val="0"/>
        <w:keepLines w:val="0"/>
        <w:pageBreakBefore w:val="0"/>
        <w:kinsoku/>
        <w:wordWrap/>
        <w:overflowPunct/>
        <w:topLinePunct w:val="0"/>
        <w:bidi w:val="0"/>
        <w:adjustRightInd w:val="0"/>
        <w:snapToGrid w:val="0"/>
        <w:spacing w:line="400" w:lineRule="exact"/>
        <w:rPr>
          <w:rFonts w:hint="eastAsia" w:ascii="Times New Roman" w:hAnsi="Times New Roman" w:cs="Times New Roman"/>
          <w:b/>
          <w:bCs/>
          <w:color w:val="auto"/>
          <w:sz w:val="22"/>
          <w:szCs w:val="22"/>
          <w:highlight w:val="none"/>
          <w:lang w:val="en-US" w:eastAsia="zh-CN"/>
        </w:rPr>
      </w:pPr>
    </w:p>
    <w:p w14:paraId="04EE1832">
      <w:pPr>
        <w:keepNext w:val="0"/>
        <w:keepLines w:val="0"/>
        <w:pageBreakBefore w:val="0"/>
        <w:kinsoku/>
        <w:wordWrap/>
        <w:overflowPunct/>
        <w:topLinePunct w:val="0"/>
        <w:bidi w:val="0"/>
        <w:adjustRightInd w:val="0"/>
        <w:snapToGrid w:val="0"/>
        <w:spacing w:line="400" w:lineRule="exact"/>
        <w:rPr>
          <w:rFonts w:hint="eastAsia" w:ascii="Times New Roman" w:hAnsi="Times New Roman" w:cs="Times New Roman"/>
          <w:b/>
          <w:bCs/>
          <w:color w:val="auto"/>
          <w:sz w:val="22"/>
          <w:szCs w:val="22"/>
          <w:highlight w:val="none"/>
          <w:lang w:val="en-US" w:eastAsia="zh-CN"/>
        </w:rPr>
      </w:pPr>
    </w:p>
    <w:p w14:paraId="2A5FCB42">
      <w:pPr>
        <w:keepNext w:val="0"/>
        <w:keepLines w:val="0"/>
        <w:pageBreakBefore w:val="0"/>
        <w:kinsoku/>
        <w:wordWrap/>
        <w:overflowPunct/>
        <w:topLinePunct w:val="0"/>
        <w:bidi w:val="0"/>
        <w:adjustRightInd w:val="0"/>
        <w:snapToGrid w:val="0"/>
        <w:spacing w:line="400" w:lineRule="exact"/>
        <w:rPr>
          <w:rFonts w:hint="eastAsia" w:ascii="Times New Roman" w:hAnsi="Times New Roman" w:cs="Times New Roman"/>
          <w:b/>
          <w:bCs/>
          <w:color w:val="auto"/>
          <w:sz w:val="22"/>
          <w:szCs w:val="22"/>
          <w:highlight w:val="none"/>
          <w:lang w:val="en-US" w:eastAsia="zh-CN"/>
        </w:rPr>
      </w:pPr>
    </w:p>
    <w:p w14:paraId="6D60B8F8">
      <w:pPr>
        <w:pStyle w:val="5"/>
        <w:rPr>
          <w:rFonts w:hint="eastAsia" w:ascii="Times New Roman" w:hAnsi="Times New Roman" w:cs="Times New Roman"/>
          <w:b/>
          <w:bCs/>
          <w:color w:val="auto"/>
          <w:sz w:val="22"/>
          <w:szCs w:val="22"/>
          <w:highlight w:val="none"/>
          <w:lang w:val="en-US" w:eastAsia="zh-CN"/>
        </w:rPr>
      </w:pPr>
    </w:p>
    <w:p w14:paraId="391CE190">
      <w:pPr>
        <w:rPr>
          <w:rFonts w:hint="eastAsia" w:ascii="Times New Roman" w:hAnsi="Times New Roman" w:cs="Times New Roman"/>
          <w:b/>
          <w:bCs/>
          <w:color w:val="auto"/>
          <w:sz w:val="22"/>
          <w:szCs w:val="22"/>
          <w:highlight w:val="none"/>
          <w:lang w:val="en-US" w:eastAsia="zh-CN"/>
        </w:rPr>
      </w:pPr>
    </w:p>
    <w:p w14:paraId="2EC5D52D">
      <w:pPr>
        <w:keepNext w:val="0"/>
        <w:keepLines w:val="0"/>
        <w:pageBreakBefore w:val="0"/>
        <w:kinsoku/>
        <w:wordWrap/>
        <w:overflowPunct/>
        <w:topLinePunct w:val="0"/>
        <w:bidi w:val="0"/>
        <w:adjustRightInd w:val="0"/>
        <w:snapToGrid w:val="0"/>
        <w:spacing w:line="400" w:lineRule="exact"/>
        <w:rPr>
          <w:rFonts w:hint="eastAsia" w:ascii="Times New Roman" w:hAnsi="Times New Roman" w:cs="Times New Roman"/>
          <w:b/>
          <w:bCs/>
          <w:color w:val="auto"/>
          <w:sz w:val="22"/>
          <w:szCs w:val="22"/>
          <w:highlight w:val="none"/>
          <w:lang w:val="en-US" w:eastAsia="zh-CN"/>
        </w:rPr>
      </w:pPr>
    </w:p>
    <w:p w14:paraId="2C486B1E">
      <w:pPr>
        <w:keepNext w:val="0"/>
        <w:keepLines w:val="0"/>
        <w:pageBreakBefore w:val="0"/>
        <w:kinsoku/>
        <w:wordWrap/>
        <w:overflowPunct/>
        <w:topLinePunct w:val="0"/>
        <w:bidi w:val="0"/>
        <w:adjustRightInd w:val="0"/>
        <w:snapToGrid w:val="0"/>
        <w:spacing w:line="400" w:lineRule="exact"/>
        <w:rPr>
          <w:rFonts w:hint="eastAsia" w:ascii="Times New Roman" w:hAnsi="Times New Roman" w:cs="Times New Roman"/>
          <w:b/>
          <w:bCs/>
          <w:color w:val="auto"/>
          <w:sz w:val="22"/>
          <w:szCs w:val="22"/>
          <w:highlight w:val="none"/>
          <w:lang w:val="en-US" w:eastAsia="zh-CN"/>
        </w:rPr>
      </w:pPr>
    </w:p>
    <w:p w14:paraId="6823E626">
      <w:pPr>
        <w:keepNext w:val="0"/>
        <w:keepLines w:val="0"/>
        <w:pageBreakBefore w:val="0"/>
        <w:kinsoku/>
        <w:wordWrap/>
        <w:overflowPunct/>
        <w:topLinePunct w:val="0"/>
        <w:bidi w:val="0"/>
        <w:adjustRightInd w:val="0"/>
        <w:snapToGrid w:val="0"/>
        <w:spacing w:line="400" w:lineRule="exact"/>
        <w:rPr>
          <w:rFonts w:hint="eastAsia" w:ascii="Times New Roman" w:hAnsi="Times New Roman" w:cs="Times New Roman"/>
          <w:b/>
          <w:bCs/>
          <w:color w:val="auto"/>
          <w:sz w:val="22"/>
          <w:szCs w:val="22"/>
          <w:highlight w:val="none"/>
          <w:lang w:val="en-US" w:eastAsia="zh-CN"/>
        </w:rPr>
      </w:pPr>
      <w:r>
        <w:rPr>
          <w:rFonts w:hint="eastAsia" w:ascii="Times New Roman" w:hAnsi="Times New Roman" w:cs="Times New Roman"/>
          <w:b/>
          <w:bCs/>
          <w:color w:val="auto"/>
          <w:sz w:val="22"/>
          <w:szCs w:val="22"/>
          <w:highlight w:val="none"/>
          <w:lang w:val="en-US" w:eastAsia="zh-CN"/>
        </w:rPr>
        <w:t>附件一：</w:t>
      </w:r>
    </w:p>
    <w:p w14:paraId="66C1227D">
      <w:pPr>
        <w:keepNext w:val="0"/>
        <w:keepLines w:val="0"/>
        <w:pageBreakBefore w:val="0"/>
        <w:kinsoku/>
        <w:wordWrap/>
        <w:overflowPunct/>
        <w:topLinePunct w:val="0"/>
        <w:bidi w:val="0"/>
        <w:adjustRightInd w:val="0"/>
        <w:snapToGrid w:val="0"/>
        <w:spacing w:line="400" w:lineRule="exact"/>
        <w:jc w:val="center"/>
        <w:rPr>
          <w:rFonts w:hint="eastAsia" w:ascii="宋体" w:hAnsi="宋体"/>
          <w:bCs/>
          <w:color w:val="auto"/>
          <w:sz w:val="22"/>
          <w:szCs w:val="22"/>
          <w:highlight w:val="none"/>
        </w:rPr>
      </w:pPr>
      <w:r>
        <w:rPr>
          <w:rFonts w:hint="eastAsia" w:ascii="宋体" w:hAnsi="宋体" w:cs="宋体"/>
          <w:b/>
          <w:bCs/>
          <w:color w:val="auto"/>
          <w:sz w:val="22"/>
          <w:szCs w:val="22"/>
          <w:highlight w:val="none"/>
        </w:rPr>
        <w:t>服务考核表</w:t>
      </w:r>
    </w:p>
    <w:tbl>
      <w:tblPr>
        <w:tblStyle w:val="27"/>
        <w:tblW w:w="8860" w:type="dxa"/>
        <w:jc w:val="center"/>
        <w:tblLayout w:type="fixed"/>
        <w:tblCellMar>
          <w:top w:w="0" w:type="dxa"/>
          <w:left w:w="108" w:type="dxa"/>
          <w:bottom w:w="0" w:type="dxa"/>
          <w:right w:w="108" w:type="dxa"/>
        </w:tblCellMar>
      </w:tblPr>
      <w:tblGrid>
        <w:gridCol w:w="700"/>
        <w:gridCol w:w="6472"/>
        <w:gridCol w:w="948"/>
        <w:gridCol w:w="740"/>
      </w:tblGrid>
      <w:tr w14:paraId="4D7DC0E3">
        <w:tblPrEx>
          <w:tblCellMar>
            <w:top w:w="0" w:type="dxa"/>
            <w:left w:w="108" w:type="dxa"/>
            <w:bottom w:w="0" w:type="dxa"/>
            <w:right w:w="108" w:type="dxa"/>
          </w:tblCellMar>
        </w:tblPrEx>
        <w:trPr>
          <w:trHeight w:val="397" w:hRule="atLeast"/>
          <w:jc w:val="center"/>
        </w:trPr>
        <w:tc>
          <w:tcPr>
            <w:tcW w:w="7172" w:type="dxa"/>
            <w:gridSpan w:val="2"/>
            <w:tcBorders>
              <w:top w:val="nil"/>
              <w:left w:val="nil"/>
              <w:bottom w:val="single" w:color="auto" w:sz="4" w:space="0"/>
              <w:right w:val="nil"/>
            </w:tcBorders>
            <w:noWrap w:val="0"/>
            <w:vAlign w:val="center"/>
          </w:tcPr>
          <w:p w14:paraId="238EC7B8">
            <w:pPr>
              <w:keepNext w:val="0"/>
              <w:keepLines w:val="0"/>
              <w:pageBreakBefore w:val="0"/>
              <w:widowControl/>
              <w:kinsoku/>
              <w:wordWrap/>
              <w:overflowPunct/>
              <w:topLinePunct w:val="0"/>
              <w:bidi w:val="0"/>
              <w:spacing w:line="40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考评时间：     年   月</w:t>
            </w:r>
          </w:p>
        </w:tc>
        <w:tc>
          <w:tcPr>
            <w:tcW w:w="948" w:type="dxa"/>
            <w:tcBorders>
              <w:top w:val="nil"/>
              <w:left w:val="nil"/>
              <w:bottom w:val="nil"/>
              <w:right w:val="nil"/>
            </w:tcBorders>
            <w:noWrap w:val="0"/>
            <w:vAlign w:val="center"/>
          </w:tcPr>
          <w:p w14:paraId="7A3EEA95">
            <w:pPr>
              <w:keepNext w:val="0"/>
              <w:keepLines w:val="0"/>
              <w:pageBreakBefore w:val="0"/>
              <w:widowControl/>
              <w:kinsoku/>
              <w:wordWrap/>
              <w:overflowPunct/>
              <w:topLinePunct w:val="0"/>
              <w:bidi w:val="0"/>
              <w:spacing w:line="400" w:lineRule="exact"/>
              <w:jc w:val="center"/>
              <w:rPr>
                <w:rFonts w:ascii="宋体" w:hAnsi="宋体" w:cs="宋体"/>
                <w:color w:val="auto"/>
                <w:sz w:val="22"/>
                <w:szCs w:val="22"/>
                <w:highlight w:val="none"/>
              </w:rPr>
            </w:pPr>
          </w:p>
        </w:tc>
        <w:tc>
          <w:tcPr>
            <w:tcW w:w="740" w:type="dxa"/>
            <w:tcBorders>
              <w:top w:val="nil"/>
              <w:left w:val="nil"/>
              <w:bottom w:val="nil"/>
              <w:right w:val="nil"/>
            </w:tcBorders>
            <w:noWrap w:val="0"/>
            <w:vAlign w:val="center"/>
          </w:tcPr>
          <w:p w14:paraId="61CAFAB9">
            <w:pPr>
              <w:keepNext w:val="0"/>
              <w:keepLines w:val="0"/>
              <w:pageBreakBefore w:val="0"/>
              <w:widowControl/>
              <w:kinsoku/>
              <w:wordWrap/>
              <w:overflowPunct/>
              <w:topLinePunct w:val="0"/>
              <w:bidi w:val="0"/>
              <w:spacing w:line="400" w:lineRule="exact"/>
              <w:jc w:val="center"/>
              <w:rPr>
                <w:rFonts w:ascii="宋体" w:hAnsi="宋体" w:cs="宋体"/>
                <w:color w:val="auto"/>
                <w:sz w:val="22"/>
                <w:szCs w:val="22"/>
                <w:highlight w:val="none"/>
              </w:rPr>
            </w:pPr>
          </w:p>
        </w:tc>
      </w:tr>
      <w:tr w14:paraId="3FEFF386">
        <w:tblPrEx>
          <w:tblCellMar>
            <w:top w:w="0" w:type="dxa"/>
            <w:left w:w="108" w:type="dxa"/>
            <w:bottom w:w="0" w:type="dxa"/>
            <w:right w:w="108" w:type="dxa"/>
          </w:tblCellMar>
        </w:tblPrEx>
        <w:trPr>
          <w:trHeight w:val="397" w:hRule="atLeast"/>
          <w:jc w:val="center"/>
        </w:trPr>
        <w:tc>
          <w:tcPr>
            <w:tcW w:w="700" w:type="dxa"/>
            <w:tcBorders>
              <w:top w:val="nil"/>
              <w:left w:val="single" w:color="auto" w:sz="4" w:space="0"/>
              <w:bottom w:val="single" w:color="auto" w:sz="4" w:space="0"/>
              <w:right w:val="single" w:color="auto" w:sz="4" w:space="0"/>
            </w:tcBorders>
            <w:noWrap w:val="0"/>
            <w:vAlign w:val="center"/>
          </w:tcPr>
          <w:p w14:paraId="113E2CBF">
            <w:pPr>
              <w:keepNext w:val="0"/>
              <w:keepLines w:val="0"/>
              <w:pageBreakBefore w:val="0"/>
              <w:widowControl/>
              <w:kinsoku/>
              <w:wordWrap/>
              <w:overflowPunct/>
              <w:topLinePunct w:val="0"/>
              <w:bidi w:val="0"/>
              <w:spacing w:line="40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序号</w:t>
            </w:r>
          </w:p>
        </w:tc>
        <w:tc>
          <w:tcPr>
            <w:tcW w:w="6472" w:type="dxa"/>
            <w:tcBorders>
              <w:top w:val="nil"/>
              <w:left w:val="nil"/>
              <w:bottom w:val="single" w:color="auto" w:sz="4" w:space="0"/>
              <w:right w:val="single" w:color="auto" w:sz="4" w:space="0"/>
            </w:tcBorders>
            <w:noWrap w:val="0"/>
            <w:vAlign w:val="center"/>
          </w:tcPr>
          <w:p w14:paraId="5EFE04BD">
            <w:pPr>
              <w:keepNext w:val="0"/>
              <w:keepLines w:val="0"/>
              <w:pageBreakBefore w:val="0"/>
              <w:widowControl/>
              <w:kinsoku/>
              <w:wordWrap/>
              <w:overflowPunct/>
              <w:topLinePunct w:val="0"/>
              <w:bidi w:val="0"/>
              <w:spacing w:line="40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考评条款</w:t>
            </w:r>
          </w:p>
        </w:tc>
        <w:tc>
          <w:tcPr>
            <w:tcW w:w="1688" w:type="dxa"/>
            <w:gridSpan w:val="2"/>
            <w:tcBorders>
              <w:top w:val="single" w:color="auto" w:sz="4" w:space="0"/>
              <w:left w:val="nil"/>
              <w:bottom w:val="single" w:color="auto" w:sz="4" w:space="0"/>
              <w:right w:val="single" w:color="auto" w:sz="4" w:space="0"/>
            </w:tcBorders>
            <w:noWrap w:val="0"/>
            <w:vAlign w:val="center"/>
          </w:tcPr>
          <w:p w14:paraId="2411B3AC">
            <w:pPr>
              <w:keepNext w:val="0"/>
              <w:keepLines w:val="0"/>
              <w:pageBreakBefore w:val="0"/>
              <w:widowControl/>
              <w:kinsoku/>
              <w:wordWrap/>
              <w:overflowPunct/>
              <w:topLinePunct w:val="0"/>
              <w:bidi w:val="0"/>
              <w:spacing w:line="40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当期扣分</w:t>
            </w:r>
          </w:p>
        </w:tc>
      </w:tr>
      <w:tr w14:paraId="7D49F8D4">
        <w:tblPrEx>
          <w:tblCellMar>
            <w:top w:w="0" w:type="dxa"/>
            <w:left w:w="108" w:type="dxa"/>
            <w:bottom w:w="0" w:type="dxa"/>
            <w:right w:w="108" w:type="dxa"/>
          </w:tblCellMar>
        </w:tblPrEx>
        <w:trPr>
          <w:trHeight w:val="397" w:hRule="atLeast"/>
          <w:jc w:val="center"/>
        </w:trPr>
        <w:tc>
          <w:tcPr>
            <w:tcW w:w="700" w:type="dxa"/>
            <w:tcBorders>
              <w:top w:val="nil"/>
              <w:left w:val="single" w:color="auto" w:sz="4" w:space="0"/>
              <w:bottom w:val="single" w:color="auto" w:sz="4" w:space="0"/>
              <w:right w:val="single" w:color="auto" w:sz="4" w:space="0"/>
            </w:tcBorders>
            <w:noWrap w:val="0"/>
            <w:vAlign w:val="center"/>
          </w:tcPr>
          <w:p w14:paraId="3B8EA878">
            <w:pPr>
              <w:keepNext w:val="0"/>
              <w:keepLines w:val="0"/>
              <w:pageBreakBefore w:val="0"/>
              <w:widowControl/>
              <w:kinsoku/>
              <w:wordWrap/>
              <w:overflowPunct/>
              <w:topLinePunct w:val="0"/>
              <w:bidi w:val="0"/>
              <w:spacing w:line="4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6472" w:type="dxa"/>
            <w:tcBorders>
              <w:top w:val="nil"/>
              <w:left w:val="nil"/>
              <w:bottom w:val="single" w:color="auto" w:sz="4" w:space="0"/>
              <w:right w:val="single" w:color="auto" w:sz="4" w:space="0"/>
            </w:tcBorders>
            <w:noWrap w:val="0"/>
            <w:vAlign w:val="center"/>
          </w:tcPr>
          <w:p w14:paraId="12E62702">
            <w:pPr>
              <w:keepNext w:val="0"/>
              <w:keepLines w:val="0"/>
              <w:pageBreakBefore w:val="0"/>
              <w:widowControl/>
              <w:kinsoku/>
              <w:wordWrap/>
              <w:overflowPunct/>
              <w:topLinePunct w:val="0"/>
              <w:bidi w:val="0"/>
              <w:spacing w:line="400" w:lineRule="exact"/>
              <w:jc w:val="left"/>
              <w:rPr>
                <w:rFonts w:ascii="宋体" w:hAnsi="宋体" w:cs="宋体"/>
                <w:color w:val="auto"/>
                <w:sz w:val="22"/>
                <w:szCs w:val="22"/>
                <w:highlight w:val="none"/>
              </w:rPr>
            </w:pPr>
            <w:r>
              <w:rPr>
                <w:rFonts w:hint="eastAsia" w:ascii="宋体" w:hAnsi="宋体" w:cs="宋体"/>
                <w:color w:val="auto"/>
                <w:sz w:val="22"/>
                <w:szCs w:val="22"/>
                <w:highlight w:val="none"/>
                <w:lang w:val="en-US" w:eastAsia="zh-CN"/>
              </w:rPr>
              <w:t>实际转运量</w:t>
            </w:r>
            <w:r>
              <w:rPr>
                <w:rFonts w:hint="eastAsia" w:ascii="宋体" w:hAnsi="宋体" w:cs="宋体"/>
                <w:color w:val="auto"/>
                <w:sz w:val="22"/>
                <w:szCs w:val="22"/>
                <w:highlight w:val="none"/>
              </w:rPr>
              <w:t>达不到</w:t>
            </w:r>
            <w:r>
              <w:rPr>
                <w:rFonts w:hint="eastAsia" w:ascii="宋体" w:hAnsi="宋体" w:cs="宋体"/>
                <w:color w:val="auto"/>
                <w:sz w:val="22"/>
                <w:szCs w:val="22"/>
                <w:highlight w:val="none"/>
                <w:lang w:eastAsia="zh-CN"/>
              </w:rPr>
              <w:t>废水</w:t>
            </w:r>
            <w:r>
              <w:rPr>
                <w:rFonts w:hint="eastAsia" w:ascii="宋体" w:hAnsi="宋体" w:cs="宋体"/>
                <w:color w:val="auto"/>
                <w:sz w:val="22"/>
                <w:szCs w:val="22"/>
                <w:highlight w:val="none"/>
                <w:lang w:val="en-US" w:eastAsia="zh-CN"/>
              </w:rPr>
              <w:t>外运要求</w:t>
            </w:r>
            <w:r>
              <w:rPr>
                <w:rFonts w:hint="eastAsia" w:ascii="宋体" w:hAnsi="宋体" w:cs="宋体"/>
                <w:color w:val="auto"/>
                <w:sz w:val="22"/>
                <w:szCs w:val="22"/>
                <w:highlight w:val="none"/>
              </w:rPr>
              <w:t>，每发现一</w:t>
            </w:r>
            <w:r>
              <w:rPr>
                <w:rFonts w:hint="eastAsia" w:ascii="宋体" w:hAnsi="宋体" w:cs="宋体"/>
                <w:color w:val="auto"/>
                <w:sz w:val="22"/>
                <w:szCs w:val="22"/>
                <w:highlight w:val="none"/>
                <w:lang w:val="en-US" w:eastAsia="zh-CN"/>
              </w:rPr>
              <w:t>次</w:t>
            </w:r>
            <w:r>
              <w:rPr>
                <w:rFonts w:hint="eastAsia" w:ascii="宋体" w:hAnsi="宋体" w:cs="宋体"/>
                <w:color w:val="auto"/>
                <w:sz w:val="22"/>
                <w:szCs w:val="22"/>
                <w:highlight w:val="none"/>
              </w:rPr>
              <w:t>达不到要求，按次数叠加</w:t>
            </w:r>
            <w:r>
              <w:rPr>
                <w:rFonts w:hint="eastAsia" w:ascii="仿宋_GB2312" w:hAnsi="宋体" w:cs="宋体"/>
                <w:color w:val="auto"/>
                <w:sz w:val="22"/>
                <w:szCs w:val="22"/>
                <w:highlight w:val="none"/>
              </w:rPr>
              <w:t>扣分，单次扣</w:t>
            </w:r>
            <w:r>
              <w:rPr>
                <w:rFonts w:hint="eastAsia" w:ascii="仿宋_GB2312" w:hAnsi="宋体" w:cs="宋体"/>
                <w:color w:val="auto"/>
                <w:sz w:val="22"/>
                <w:szCs w:val="22"/>
                <w:highlight w:val="none"/>
                <w:lang w:val="en-US" w:eastAsia="zh-CN"/>
              </w:rPr>
              <w:t>20</w:t>
            </w:r>
            <w:r>
              <w:rPr>
                <w:rFonts w:hint="eastAsia" w:ascii="仿宋_GB2312" w:hAnsi="宋体" w:cs="宋体"/>
                <w:color w:val="auto"/>
                <w:sz w:val="22"/>
                <w:szCs w:val="22"/>
                <w:highlight w:val="none"/>
              </w:rPr>
              <w:t>分。</w:t>
            </w:r>
          </w:p>
        </w:tc>
        <w:tc>
          <w:tcPr>
            <w:tcW w:w="1688" w:type="dxa"/>
            <w:gridSpan w:val="2"/>
            <w:tcBorders>
              <w:top w:val="nil"/>
              <w:left w:val="nil"/>
              <w:bottom w:val="single" w:color="auto" w:sz="4" w:space="0"/>
              <w:right w:val="single" w:color="auto" w:sz="4" w:space="0"/>
            </w:tcBorders>
            <w:noWrap w:val="0"/>
            <w:vAlign w:val="center"/>
          </w:tcPr>
          <w:p w14:paraId="1E0396C4">
            <w:pPr>
              <w:keepNext w:val="0"/>
              <w:keepLines w:val="0"/>
              <w:pageBreakBefore w:val="0"/>
              <w:widowControl/>
              <w:kinsoku/>
              <w:wordWrap/>
              <w:overflowPunct/>
              <w:topLinePunct w:val="0"/>
              <w:bidi w:val="0"/>
              <w:spacing w:line="400" w:lineRule="exact"/>
              <w:jc w:val="center"/>
              <w:rPr>
                <w:rFonts w:ascii="宋体" w:hAnsi="宋体" w:cs="宋体"/>
                <w:color w:val="auto"/>
                <w:sz w:val="22"/>
                <w:szCs w:val="22"/>
                <w:highlight w:val="none"/>
              </w:rPr>
            </w:pPr>
          </w:p>
        </w:tc>
      </w:tr>
      <w:tr w14:paraId="4B3C7E17">
        <w:tblPrEx>
          <w:tblCellMar>
            <w:top w:w="0" w:type="dxa"/>
            <w:left w:w="108" w:type="dxa"/>
            <w:bottom w:w="0" w:type="dxa"/>
            <w:right w:w="108" w:type="dxa"/>
          </w:tblCellMar>
        </w:tblPrEx>
        <w:trPr>
          <w:trHeight w:val="397" w:hRule="atLeast"/>
          <w:jc w:val="center"/>
        </w:trPr>
        <w:tc>
          <w:tcPr>
            <w:tcW w:w="700" w:type="dxa"/>
            <w:tcBorders>
              <w:top w:val="nil"/>
              <w:left w:val="single" w:color="auto" w:sz="4" w:space="0"/>
              <w:bottom w:val="single" w:color="auto" w:sz="4" w:space="0"/>
              <w:right w:val="single" w:color="auto" w:sz="4" w:space="0"/>
            </w:tcBorders>
            <w:noWrap w:val="0"/>
            <w:vAlign w:val="center"/>
          </w:tcPr>
          <w:p w14:paraId="1BDE9D27">
            <w:pPr>
              <w:keepNext w:val="0"/>
              <w:keepLines w:val="0"/>
              <w:pageBreakBefore w:val="0"/>
              <w:widowControl/>
              <w:kinsoku/>
              <w:wordWrap/>
              <w:overflowPunct/>
              <w:topLinePunct w:val="0"/>
              <w:bidi w:val="0"/>
              <w:spacing w:line="4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2</w:t>
            </w:r>
          </w:p>
        </w:tc>
        <w:tc>
          <w:tcPr>
            <w:tcW w:w="6472" w:type="dxa"/>
            <w:tcBorders>
              <w:top w:val="nil"/>
              <w:left w:val="nil"/>
              <w:bottom w:val="single" w:color="auto" w:sz="4" w:space="0"/>
              <w:right w:val="single" w:color="auto" w:sz="4" w:space="0"/>
            </w:tcBorders>
            <w:noWrap w:val="0"/>
            <w:vAlign w:val="center"/>
          </w:tcPr>
          <w:p w14:paraId="3A63F44C">
            <w:pPr>
              <w:keepNext w:val="0"/>
              <w:keepLines w:val="0"/>
              <w:pageBreakBefore w:val="0"/>
              <w:widowControl/>
              <w:kinsoku/>
              <w:wordWrap/>
              <w:overflowPunct/>
              <w:topLinePunct w:val="0"/>
              <w:bidi w:val="0"/>
              <w:spacing w:line="400" w:lineRule="exact"/>
              <w:jc w:val="left"/>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未将渗滤液运输至指定地点进行安全处理的，每发现一次扣50分。</w:t>
            </w:r>
          </w:p>
        </w:tc>
        <w:tc>
          <w:tcPr>
            <w:tcW w:w="1688" w:type="dxa"/>
            <w:gridSpan w:val="2"/>
            <w:tcBorders>
              <w:top w:val="nil"/>
              <w:left w:val="nil"/>
              <w:bottom w:val="single" w:color="auto" w:sz="4" w:space="0"/>
              <w:right w:val="single" w:color="auto" w:sz="4" w:space="0"/>
            </w:tcBorders>
            <w:noWrap w:val="0"/>
            <w:vAlign w:val="center"/>
          </w:tcPr>
          <w:p w14:paraId="114390B0">
            <w:pPr>
              <w:keepNext w:val="0"/>
              <w:keepLines w:val="0"/>
              <w:pageBreakBefore w:val="0"/>
              <w:widowControl/>
              <w:kinsoku/>
              <w:wordWrap/>
              <w:overflowPunct/>
              <w:topLinePunct w:val="0"/>
              <w:bidi w:val="0"/>
              <w:spacing w:line="400" w:lineRule="exact"/>
              <w:jc w:val="center"/>
              <w:rPr>
                <w:rFonts w:ascii="宋体" w:hAnsi="宋体" w:cs="宋体"/>
                <w:color w:val="auto"/>
                <w:sz w:val="22"/>
                <w:szCs w:val="22"/>
                <w:highlight w:val="none"/>
              </w:rPr>
            </w:pPr>
          </w:p>
        </w:tc>
      </w:tr>
      <w:tr w14:paraId="09FFFA04">
        <w:tblPrEx>
          <w:tblCellMar>
            <w:top w:w="0" w:type="dxa"/>
            <w:left w:w="108" w:type="dxa"/>
            <w:bottom w:w="0" w:type="dxa"/>
            <w:right w:w="108" w:type="dxa"/>
          </w:tblCellMar>
        </w:tblPrEx>
        <w:trPr>
          <w:trHeight w:val="397" w:hRule="atLeast"/>
          <w:jc w:val="center"/>
        </w:trPr>
        <w:tc>
          <w:tcPr>
            <w:tcW w:w="700" w:type="dxa"/>
            <w:tcBorders>
              <w:top w:val="nil"/>
              <w:left w:val="single" w:color="auto" w:sz="4" w:space="0"/>
              <w:bottom w:val="single" w:color="auto" w:sz="4" w:space="0"/>
              <w:right w:val="single" w:color="auto" w:sz="4" w:space="0"/>
            </w:tcBorders>
            <w:noWrap w:val="0"/>
            <w:vAlign w:val="center"/>
          </w:tcPr>
          <w:p w14:paraId="508C4CE5">
            <w:pPr>
              <w:keepNext w:val="0"/>
              <w:keepLines w:val="0"/>
              <w:pageBreakBefore w:val="0"/>
              <w:widowControl/>
              <w:kinsoku/>
              <w:wordWrap/>
              <w:overflowPunct/>
              <w:topLinePunct w:val="0"/>
              <w:bidi w:val="0"/>
              <w:spacing w:line="400" w:lineRule="exact"/>
              <w:jc w:val="center"/>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3</w:t>
            </w:r>
          </w:p>
        </w:tc>
        <w:tc>
          <w:tcPr>
            <w:tcW w:w="6472" w:type="dxa"/>
            <w:tcBorders>
              <w:top w:val="nil"/>
              <w:left w:val="nil"/>
              <w:bottom w:val="single" w:color="auto" w:sz="4" w:space="0"/>
              <w:right w:val="single" w:color="auto" w:sz="4" w:space="0"/>
            </w:tcBorders>
            <w:noWrap w:val="0"/>
            <w:vAlign w:val="center"/>
          </w:tcPr>
          <w:p w14:paraId="6665DA4E">
            <w:pPr>
              <w:keepNext w:val="0"/>
              <w:keepLines w:val="0"/>
              <w:pageBreakBefore w:val="0"/>
              <w:widowControl/>
              <w:kinsoku/>
              <w:wordWrap/>
              <w:overflowPunct/>
              <w:topLinePunct w:val="0"/>
              <w:bidi w:val="0"/>
              <w:spacing w:line="400" w:lineRule="exact"/>
              <w:jc w:val="left"/>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cs="宋体"/>
                <w:color w:val="000000" w:themeColor="text1"/>
                <w:sz w:val="22"/>
                <w:szCs w:val="22"/>
                <w:highlight w:val="none"/>
                <w:lang w:val="en-US" w:eastAsia="zh-CN"/>
                <w14:textFill>
                  <w14:solidFill>
                    <w14:schemeClr w14:val="tx1"/>
                  </w14:solidFill>
                </w14:textFill>
              </w:rPr>
              <w:t>运输过程中出现异常，</w:t>
            </w:r>
            <w:r>
              <w:rPr>
                <w:rFonts w:hint="eastAsia" w:ascii="宋体" w:hAnsi="宋体" w:cs="宋体"/>
                <w:color w:val="000000" w:themeColor="text1"/>
                <w:sz w:val="22"/>
                <w:szCs w:val="22"/>
                <w:highlight w:val="none"/>
                <w14:textFill>
                  <w14:solidFill>
                    <w14:schemeClr w14:val="tx1"/>
                  </w14:solidFill>
                </w14:textFill>
              </w:rPr>
              <w:t>未及时排除故障，组织维修，未及时报告的，每发现一次扣5分。</w:t>
            </w:r>
          </w:p>
        </w:tc>
        <w:tc>
          <w:tcPr>
            <w:tcW w:w="1688" w:type="dxa"/>
            <w:gridSpan w:val="2"/>
            <w:tcBorders>
              <w:top w:val="nil"/>
              <w:left w:val="nil"/>
              <w:bottom w:val="single" w:color="auto" w:sz="4" w:space="0"/>
              <w:right w:val="single" w:color="auto" w:sz="4" w:space="0"/>
            </w:tcBorders>
            <w:noWrap w:val="0"/>
            <w:vAlign w:val="center"/>
          </w:tcPr>
          <w:p w14:paraId="7C68F729">
            <w:pPr>
              <w:keepNext w:val="0"/>
              <w:keepLines w:val="0"/>
              <w:pageBreakBefore w:val="0"/>
              <w:widowControl/>
              <w:kinsoku/>
              <w:wordWrap/>
              <w:overflowPunct/>
              <w:topLinePunct w:val="0"/>
              <w:bidi w:val="0"/>
              <w:spacing w:line="400" w:lineRule="exact"/>
              <w:jc w:val="center"/>
              <w:rPr>
                <w:rFonts w:ascii="宋体" w:hAnsi="宋体" w:cs="宋体"/>
                <w:color w:val="auto"/>
                <w:sz w:val="22"/>
                <w:szCs w:val="22"/>
                <w:highlight w:val="none"/>
              </w:rPr>
            </w:pPr>
          </w:p>
        </w:tc>
      </w:tr>
      <w:tr w14:paraId="6FBF7901">
        <w:tblPrEx>
          <w:tblCellMar>
            <w:top w:w="0" w:type="dxa"/>
            <w:left w:w="108" w:type="dxa"/>
            <w:bottom w:w="0" w:type="dxa"/>
            <w:right w:w="108" w:type="dxa"/>
          </w:tblCellMar>
        </w:tblPrEx>
        <w:trPr>
          <w:trHeight w:val="397" w:hRule="atLeast"/>
          <w:jc w:val="center"/>
        </w:trPr>
        <w:tc>
          <w:tcPr>
            <w:tcW w:w="700" w:type="dxa"/>
            <w:tcBorders>
              <w:top w:val="nil"/>
              <w:left w:val="single" w:color="auto" w:sz="4" w:space="0"/>
              <w:bottom w:val="single" w:color="auto" w:sz="4" w:space="0"/>
              <w:right w:val="single" w:color="auto" w:sz="4" w:space="0"/>
            </w:tcBorders>
            <w:noWrap w:val="0"/>
            <w:vAlign w:val="center"/>
          </w:tcPr>
          <w:p w14:paraId="527DCC81">
            <w:pPr>
              <w:keepNext w:val="0"/>
              <w:keepLines w:val="0"/>
              <w:pageBreakBefore w:val="0"/>
              <w:widowControl/>
              <w:kinsoku/>
              <w:wordWrap/>
              <w:overflowPunct/>
              <w:topLinePunct w:val="0"/>
              <w:bidi w:val="0"/>
              <w:spacing w:line="400" w:lineRule="exact"/>
              <w:jc w:val="center"/>
              <w:rPr>
                <w:rFonts w:hint="eastAsia" w:ascii="宋体" w:hAnsi="宋体" w:cs="宋体"/>
                <w:color w:val="auto"/>
                <w:kern w:val="2"/>
                <w:sz w:val="22"/>
                <w:szCs w:val="22"/>
                <w:highlight w:val="none"/>
                <w:lang w:val="en-US" w:eastAsia="zh-CN" w:bidi="ar-SA"/>
              </w:rPr>
            </w:pPr>
            <w:r>
              <w:rPr>
                <w:rFonts w:hint="eastAsia" w:ascii="宋体" w:hAnsi="宋体" w:cs="宋体"/>
                <w:color w:val="auto"/>
                <w:sz w:val="22"/>
                <w:szCs w:val="22"/>
                <w:highlight w:val="none"/>
              </w:rPr>
              <w:t>4</w:t>
            </w:r>
          </w:p>
        </w:tc>
        <w:tc>
          <w:tcPr>
            <w:tcW w:w="6472" w:type="dxa"/>
            <w:tcBorders>
              <w:top w:val="nil"/>
              <w:left w:val="nil"/>
              <w:bottom w:val="single" w:color="auto" w:sz="4" w:space="0"/>
              <w:right w:val="single" w:color="auto" w:sz="4" w:space="0"/>
            </w:tcBorders>
            <w:noWrap w:val="0"/>
            <w:vAlign w:val="center"/>
          </w:tcPr>
          <w:p w14:paraId="59616987">
            <w:pPr>
              <w:keepNext w:val="0"/>
              <w:keepLines w:val="0"/>
              <w:pageBreakBefore w:val="0"/>
              <w:widowControl/>
              <w:kinsoku/>
              <w:wordWrap/>
              <w:overflowPunct/>
              <w:topLinePunct w:val="0"/>
              <w:bidi w:val="0"/>
              <w:spacing w:line="400" w:lineRule="exact"/>
              <w:jc w:val="left"/>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rPr>
              <w:t>未按生产实际编制各类生产数据记录表单，发现一次扣</w:t>
            </w:r>
            <w:r>
              <w:rPr>
                <w:rFonts w:hint="eastAsia" w:ascii="宋体" w:hAnsi="宋体" w:cs="宋体"/>
                <w:color w:val="auto"/>
                <w:sz w:val="22"/>
                <w:szCs w:val="22"/>
                <w:highlight w:val="none"/>
                <w:lang w:val="en-US" w:eastAsia="zh-CN"/>
              </w:rPr>
              <w:t>5</w:t>
            </w:r>
            <w:r>
              <w:rPr>
                <w:rFonts w:hint="eastAsia" w:ascii="宋体" w:hAnsi="宋体" w:cs="宋体"/>
                <w:color w:val="auto"/>
                <w:sz w:val="22"/>
                <w:szCs w:val="22"/>
                <w:highlight w:val="none"/>
              </w:rPr>
              <w:t>分。</w:t>
            </w:r>
          </w:p>
        </w:tc>
        <w:tc>
          <w:tcPr>
            <w:tcW w:w="1688" w:type="dxa"/>
            <w:gridSpan w:val="2"/>
            <w:tcBorders>
              <w:top w:val="nil"/>
              <w:left w:val="nil"/>
              <w:bottom w:val="single" w:color="auto" w:sz="4" w:space="0"/>
              <w:right w:val="single" w:color="auto" w:sz="4" w:space="0"/>
            </w:tcBorders>
            <w:noWrap w:val="0"/>
            <w:vAlign w:val="center"/>
          </w:tcPr>
          <w:p w14:paraId="625D5C31">
            <w:pPr>
              <w:keepNext w:val="0"/>
              <w:keepLines w:val="0"/>
              <w:pageBreakBefore w:val="0"/>
              <w:widowControl/>
              <w:kinsoku/>
              <w:wordWrap/>
              <w:overflowPunct/>
              <w:topLinePunct w:val="0"/>
              <w:bidi w:val="0"/>
              <w:spacing w:line="400" w:lineRule="exact"/>
              <w:jc w:val="center"/>
              <w:rPr>
                <w:rFonts w:ascii="宋体" w:hAnsi="宋体" w:cs="宋体"/>
                <w:color w:val="auto"/>
                <w:sz w:val="22"/>
                <w:szCs w:val="22"/>
                <w:highlight w:val="none"/>
              </w:rPr>
            </w:pPr>
          </w:p>
        </w:tc>
      </w:tr>
      <w:tr w14:paraId="2B6FA531">
        <w:tblPrEx>
          <w:tblCellMar>
            <w:top w:w="0" w:type="dxa"/>
            <w:left w:w="108" w:type="dxa"/>
            <w:bottom w:w="0" w:type="dxa"/>
            <w:right w:w="108" w:type="dxa"/>
          </w:tblCellMar>
        </w:tblPrEx>
        <w:trPr>
          <w:trHeight w:val="397" w:hRule="atLeast"/>
          <w:jc w:val="center"/>
        </w:trPr>
        <w:tc>
          <w:tcPr>
            <w:tcW w:w="700" w:type="dxa"/>
            <w:tcBorders>
              <w:top w:val="nil"/>
              <w:left w:val="single" w:color="auto" w:sz="4" w:space="0"/>
              <w:bottom w:val="single" w:color="auto" w:sz="4" w:space="0"/>
              <w:right w:val="single" w:color="auto" w:sz="4" w:space="0"/>
            </w:tcBorders>
            <w:noWrap w:val="0"/>
            <w:vAlign w:val="center"/>
          </w:tcPr>
          <w:p w14:paraId="6E00CE4E">
            <w:pPr>
              <w:keepNext w:val="0"/>
              <w:keepLines w:val="0"/>
              <w:pageBreakBefore w:val="0"/>
              <w:widowControl/>
              <w:kinsoku/>
              <w:wordWrap/>
              <w:overflowPunct/>
              <w:topLinePunct w:val="0"/>
              <w:bidi w:val="0"/>
              <w:spacing w:line="400" w:lineRule="exact"/>
              <w:jc w:val="center"/>
              <w:rPr>
                <w:rFonts w:hint="eastAsia" w:ascii="宋体" w:hAnsi="宋体" w:cs="宋体"/>
                <w:color w:val="auto"/>
                <w:kern w:val="2"/>
                <w:sz w:val="22"/>
                <w:szCs w:val="22"/>
                <w:highlight w:val="none"/>
                <w:lang w:val="en-US" w:eastAsia="zh-CN" w:bidi="ar-SA"/>
              </w:rPr>
            </w:pPr>
            <w:r>
              <w:rPr>
                <w:rFonts w:hint="eastAsia" w:ascii="宋体" w:hAnsi="宋体" w:cs="宋体"/>
                <w:color w:val="auto"/>
                <w:sz w:val="22"/>
                <w:szCs w:val="22"/>
                <w:highlight w:val="none"/>
              </w:rPr>
              <w:t>5</w:t>
            </w:r>
          </w:p>
        </w:tc>
        <w:tc>
          <w:tcPr>
            <w:tcW w:w="6472" w:type="dxa"/>
            <w:tcBorders>
              <w:top w:val="nil"/>
              <w:left w:val="nil"/>
              <w:bottom w:val="single" w:color="auto" w:sz="4" w:space="0"/>
              <w:right w:val="single" w:color="auto" w:sz="4" w:space="0"/>
            </w:tcBorders>
            <w:noWrap w:val="0"/>
            <w:vAlign w:val="center"/>
          </w:tcPr>
          <w:p w14:paraId="43F56DDC">
            <w:pPr>
              <w:keepNext w:val="0"/>
              <w:keepLines w:val="0"/>
              <w:pageBreakBefore w:val="0"/>
              <w:widowControl/>
              <w:kinsoku/>
              <w:wordWrap/>
              <w:overflowPunct/>
              <w:topLinePunct w:val="0"/>
              <w:bidi w:val="0"/>
              <w:spacing w:line="400" w:lineRule="exact"/>
              <w:jc w:val="left"/>
              <w:rPr>
                <w:rFonts w:hint="default" w:ascii="宋体" w:hAnsi="宋体" w:eastAsia="宋体" w:cs="宋体"/>
                <w:color w:val="auto"/>
                <w:kern w:val="2"/>
                <w:sz w:val="22"/>
                <w:szCs w:val="22"/>
                <w:highlight w:val="none"/>
                <w:lang w:val="en-US" w:eastAsia="zh-CN" w:bidi="ar-SA"/>
              </w:rPr>
            </w:pPr>
            <w:r>
              <w:rPr>
                <w:rFonts w:hint="eastAsia" w:ascii="宋体" w:hAnsi="宋体" w:cs="宋体"/>
                <w:color w:val="auto"/>
                <w:kern w:val="2"/>
                <w:sz w:val="22"/>
                <w:szCs w:val="22"/>
                <w:highlight w:val="none"/>
                <w:lang w:val="en-US" w:eastAsia="zh-CN" w:bidi="ar-SA"/>
              </w:rPr>
              <w:t>因招标人生产需求调整运输时间，中标单位不配合招标人的安排，每发现一次扣10分。</w:t>
            </w:r>
          </w:p>
        </w:tc>
        <w:tc>
          <w:tcPr>
            <w:tcW w:w="1688" w:type="dxa"/>
            <w:gridSpan w:val="2"/>
            <w:tcBorders>
              <w:top w:val="nil"/>
              <w:left w:val="nil"/>
              <w:bottom w:val="single" w:color="auto" w:sz="4" w:space="0"/>
              <w:right w:val="single" w:color="auto" w:sz="4" w:space="0"/>
            </w:tcBorders>
            <w:noWrap w:val="0"/>
            <w:vAlign w:val="center"/>
          </w:tcPr>
          <w:p w14:paraId="0475C0C2">
            <w:pPr>
              <w:keepNext w:val="0"/>
              <w:keepLines w:val="0"/>
              <w:pageBreakBefore w:val="0"/>
              <w:widowControl/>
              <w:kinsoku/>
              <w:wordWrap/>
              <w:overflowPunct/>
              <w:topLinePunct w:val="0"/>
              <w:bidi w:val="0"/>
              <w:spacing w:line="400" w:lineRule="exact"/>
              <w:jc w:val="center"/>
              <w:rPr>
                <w:rFonts w:ascii="宋体" w:hAnsi="宋体" w:cs="宋体"/>
                <w:color w:val="auto"/>
                <w:sz w:val="22"/>
                <w:szCs w:val="22"/>
                <w:highlight w:val="none"/>
              </w:rPr>
            </w:pPr>
          </w:p>
        </w:tc>
      </w:tr>
      <w:tr w14:paraId="73813059">
        <w:tblPrEx>
          <w:tblCellMar>
            <w:top w:w="0" w:type="dxa"/>
            <w:left w:w="108" w:type="dxa"/>
            <w:bottom w:w="0" w:type="dxa"/>
            <w:right w:w="108" w:type="dxa"/>
          </w:tblCellMar>
        </w:tblPrEx>
        <w:trPr>
          <w:trHeight w:val="397" w:hRule="atLeast"/>
          <w:jc w:val="center"/>
        </w:trPr>
        <w:tc>
          <w:tcPr>
            <w:tcW w:w="700" w:type="dxa"/>
            <w:tcBorders>
              <w:top w:val="nil"/>
              <w:left w:val="single" w:color="auto" w:sz="4" w:space="0"/>
              <w:bottom w:val="single" w:color="auto" w:sz="4" w:space="0"/>
              <w:right w:val="single" w:color="auto" w:sz="4" w:space="0"/>
            </w:tcBorders>
            <w:noWrap w:val="0"/>
            <w:vAlign w:val="center"/>
          </w:tcPr>
          <w:p w14:paraId="06024E16">
            <w:pPr>
              <w:keepNext w:val="0"/>
              <w:keepLines w:val="0"/>
              <w:pageBreakBefore w:val="0"/>
              <w:widowControl/>
              <w:kinsoku/>
              <w:wordWrap/>
              <w:overflowPunct/>
              <w:topLinePunct w:val="0"/>
              <w:bidi w:val="0"/>
              <w:spacing w:line="400" w:lineRule="exact"/>
              <w:jc w:val="center"/>
              <w:rPr>
                <w:rFonts w:hint="eastAsia" w:ascii="宋体" w:hAnsi="宋体" w:cs="宋体"/>
                <w:color w:val="auto"/>
                <w:kern w:val="2"/>
                <w:sz w:val="22"/>
                <w:szCs w:val="22"/>
                <w:highlight w:val="none"/>
                <w:lang w:val="en-US" w:eastAsia="zh-CN" w:bidi="ar-SA"/>
              </w:rPr>
            </w:pPr>
            <w:r>
              <w:rPr>
                <w:rFonts w:hint="eastAsia" w:ascii="宋体" w:hAnsi="宋体" w:cs="宋体"/>
                <w:color w:val="auto"/>
                <w:sz w:val="22"/>
                <w:szCs w:val="22"/>
                <w:highlight w:val="none"/>
              </w:rPr>
              <w:t>6</w:t>
            </w:r>
          </w:p>
        </w:tc>
        <w:tc>
          <w:tcPr>
            <w:tcW w:w="6472" w:type="dxa"/>
            <w:tcBorders>
              <w:top w:val="nil"/>
              <w:left w:val="nil"/>
              <w:bottom w:val="single" w:color="auto" w:sz="4" w:space="0"/>
              <w:right w:val="single" w:color="auto" w:sz="4" w:space="0"/>
            </w:tcBorders>
            <w:noWrap w:val="0"/>
            <w:vAlign w:val="center"/>
          </w:tcPr>
          <w:p w14:paraId="111C07C7">
            <w:pPr>
              <w:keepNext w:val="0"/>
              <w:keepLines w:val="0"/>
              <w:pageBreakBefore w:val="0"/>
              <w:widowControl/>
              <w:kinsoku/>
              <w:wordWrap/>
              <w:overflowPunct/>
              <w:topLinePunct w:val="0"/>
              <w:bidi w:val="0"/>
              <w:spacing w:line="400" w:lineRule="exact"/>
              <w:jc w:val="left"/>
              <w:rPr>
                <w:rFonts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rPr>
              <w:t>未制定和及时修订《生产管理制度》、《生产区域安全规定》和《应急预案》等相关规章制度，每发现一项扣5分。</w:t>
            </w:r>
          </w:p>
        </w:tc>
        <w:tc>
          <w:tcPr>
            <w:tcW w:w="1688" w:type="dxa"/>
            <w:gridSpan w:val="2"/>
            <w:tcBorders>
              <w:top w:val="nil"/>
              <w:left w:val="nil"/>
              <w:bottom w:val="single" w:color="auto" w:sz="4" w:space="0"/>
              <w:right w:val="single" w:color="auto" w:sz="4" w:space="0"/>
            </w:tcBorders>
            <w:noWrap w:val="0"/>
            <w:vAlign w:val="center"/>
          </w:tcPr>
          <w:p w14:paraId="714FEDBF">
            <w:pPr>
              <w:keepNext w:val="0"/>
              <w:keepLines w:val="0"/>
              <w:pageBreakBefore w:val="0"/>
              <w:widowControl/>
              <w:kinsoku/>
              <w:wordWrap/>
              <w:overflowPunct/>
              <w:topLinePunct w:val="0"/>
              <w:bidi w:val="0"/>
              <w:spacing w:line="400" w:lineRule="exact"/>
              <w:jc w:val="center"/>
              <w:rPr>
                <w:rFonts w:ascii="宋体" w:hAnsi="宋体" w:cs="宋体"/>
                <w:color w:val="auto"/>
                <w:sz w:val="22"/>
                <w:szCs w:val="22"/>
                <w:highlight w:val="none"/>
              </w:rPr>
            </w:pPr>
          </w:p>
        </w:tc>
      </w:tr>
      <w:tr w14:paraId="2D9F5D9A">
        <w:tblPrEx>
          <w:tblCellMar>
            <w:top w:w="0" w:type="dxa"/>
            <w:left w:w="108" w:type="dxa"/>
            <w:bottom w:w="0" w:type="dxa"/>
            <w:right w:w="108" w:type="dxa"/>
          </w:tblCellMar>
        </w:tblPrEx>
        <w:trPr>
          <w:trHeight w:val="397" w:hRule="atLeast"/>
          <w:jc w:val="center"/>
        </w:trPr>
        <w:tc>
          <w:tcPr>
            <w:tcW w:w="700" w:type="dxa"/>
            <w:tcBorders>
              <w:top w:val="nil"/>
              <w:left w:val="single" w:color="auto" w:sz="4" w:space="0"/>
              <w:bottom w:val="single" w:color="auto" w:sz="4" w:space="0"/>
              <w:right w:val="single" w:color="auto" w:sz="4" w:space="0"/>
            </w:tcBorders>
            <w:noWrap w:val="0"/>
            <w:vAlign w:val="center"/>
          </w:tcPr>
          <w:p w14:paraId="0DE103DC">
            <w:pPr>
              <w:keepNext w:val="0"/>
              <w:keepLines w:val="0"/>
              <w:pageBreakBefore w:val="0"/>
              <w:widowControl/>
              <w:kinsoku/>
              <w:wordWrap/>
              <w:overflowPunct/>
              <w:topLinePunct w:val="0"/>
              <w:bidi w:val="0"/>
              <w:spacing w:line="40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7</w:t>
            </w:r>
          </w:p>
        </w:tc>
        <w:tc>
          <w:tcPr>
            <w:tcW w:w="6472" w:type="dxa"/>
            <w:tcBorders>
              <w:top w:val="nil"/>
              <w:left w:val="nil"/>
              <w:bottom w:val="single" w:color="auto" w:sz="4" w:space="0"/>
              <w:right w:val="single" w:color="auto" w:sz="4" w:space="0"/>
            </w:tcBorders>
            <w:noWrap w:val="0"/>
            <w:vAlign w:val="center"/>
          </w:tcPr>
          <w:p w14:paraId="09530DD0">
            <w:pPr>
              <w:keepNext w:val="0"/>
              <w:keepLines w:val="0"/>
              <w:pageBreakBefore w:val="0"/>
              <w:widowControl/>
              <w:kinsoku/>
              <w:wordWrap/>
              <w:overflowPunct/>
              <w:topLinePunct w:val="0"/>
              <w:bidi w:val="0"/>
              <w:spacing w:line="400" w:lineRule="exact"/>
              <w:jc w:val="left"/>
              <w:rPr>
                <w:rFonts w:hint="default"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rPr>
              <w:t>未按照编制规程、制度、规定和预案组织生产运行工作的，每</w:t>
            </w:r>
            <w:r>
              <w:rPr>
                <w:rFonts w:hint="eastAsia" w:ascii="宋体" w:hAnsi="宋体" w:cs="宋体"/>
                <w:color w:val="auto"/>
                <w:sz w:val="22"/>
                <w:szCs w:val="22"/>
                <w:highlight w:val="none"/>
                <w:lang w:val="en-US" w:eastAsia="zh-CN"/>
              </w:rPr>
              <w:t>发现</w:t>
            </w:r>
            <w:r>
              <w:rPr>
                <w:rFonts w:hint="eastAsia" w:ascii="宋体" w:hAnsi="宋体" w:cs="宋体"/>
                <w:color w:val="auto"/>
                <w:sz w:val="22"/>
                <w:szCs w:val="22"/>
                <w:highlight w:val="none"/>
              </w:rPr>
              <w:t>一次扣5分。</w:t>
            </w:r>
          </w:p>
        </w:tc>
        <w:tc>
          <w:tcPr>
            <w:tcW w:w="1688" w:type="dxa"/>
            <w:gridSpan w:val="2"/>
            <w:tcBorders>
              <w:top w:val="nil"/>
              <w:left w:val="nil"/>
              <w:bottom w:val="single" w:color="auto" w:sz="4" w:space="0"/>
              <w:right w:val="single" w:color="auto" w:sz="4" w:space="0"/>
            </w:tcBorders>
            <w:noWrap w:val="0"/>
            <w:vAlign w:val="center"/>
          </w:tcPr>
          <w:p w14:paraId="14C217DD">
            <w:pPr>
              <w:keepNext w:val="0"/>
              <w:keepLines w:val="0"/>
              <w:pageBreakBefore w:val="0"/>
              <w:widowControl/>
              <w:kinsoku/>
              <w:wordWrap/>
              <w:overflowPunct/>
              <w:topLinePunct w:val="0"/>
              <w:bidi w:val="0"/>
              <w:spacing w:line="400" w:lineRule="exact"/>
              <w:jc w:val="center"/>
              <w:rPr>
                <w:rFonts w:hint="eastAsia" w:ascii="宋体" w:hAnsi="宋体" w:cs="宋体"/>
                <w:color w:val="auto"/>
                <w:kern w:val="2"/>
                <w:sz w:val="22"/>
                <w:szCs w:val="22"/>
                <w:highlight w:val="none"/>
                <w:lang w:val="en-US" w:eastAsia="zh-CN" w:bidi="ar-SA"/>
              </w:rPr>
            </w:pPr>
          </w:p>
        </w:tc>
      </w:tr>
      <w:tr w14:paraId="1CE64DCB">
        <w:tblPrEx>
          <w:tblCellMar>
            <w:top w:w="0" w:type="dxa"/>
            <w:left w:w="108" w:type="dxa"/>
            <w:bottom w:w="0" w:type="dxa"/>
            <w:right w:w="108" w:type="dxa"/>
          </w:tblCellMar>
        </w:tblPrEx>
        <w:trPr>
          <w:trHeight w:val="397" w:hRule="atLeast"/>
          <w:jc w:val="center"/>
        </w:trPr>
        <w:tc>
          <w:tcPr>
            <w:tcW w:w="700" w:type="dxa"/>
            <w:tcBorders>
              <w:top w:val="nil"/>
              <w:left w:val="single" w:color="auto" w:sz="4" w:space="0"/>
              <w:bottom w:val="single" w:color="auto" w:sz="4" w:space="0"/>
              <w:right w:val="single" w:color="auto" w:sz="4" w:space="0"/>
            </w:tcBorders>
            <w:noWrap w:val="0"/>
            <w:vAlign w:val="center"/>
          </w:tcPr>
          <w:p w14:paraId="7EB970D3">
            <w:pPr>
              <w:keepNext w:val="0"/>
              <w:keepLines w:val="0"/>
              <w:pageBreakBefore w:val="0"/>
              <w:widowControl/>
              <w:kinsoku/>
              <w:wordWrap/>
              <w:overflowPunct/>
              <w:topLinePunct w:val="0"/>
              <w:bidi w:val="0"/>
              <w:spacing w:line="40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8</w:t>
            </w:r>
          </w:p>
        </w:tc>
        <w:tc>
          <w:tcPr>
            <w:tcW w:w="6472" w:type="dxa"/>
            <w:tcBorders>
              <w:top w:val="nil"/>
              <w:left w:val="nil"/>
              <w:bottom w:val="single" w:color="auto" w:sz="4" w:space="0"/>
              <w:right w:val="single" w:color="auto" w:sz="4" w:space="0"/>
            </w:tcBorders>
            <w:noWrap w:val="0"/>
            <w:vAlign w:val="center"/>
          </w:tcPr>
          <w:p w14:paraId="66E6780D">
            <w:pPr>
              <w:keepNext w:val="0"/>
              <w:keepLines w:val="0"/>
              <w:pageBreakBefore w:val="0"/>
              <w:widowControl/>
              <w:kinsoku/>
              <w:wordWrap/>
              <w:overflowPunct/>
              <w:topLinePunct w:val="0"/>
              <w:bidi w:val="0"/>
              <w:spacing w:line="400" w:lineRule="exact"/>
              <w:jc w:val="left"/>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渗滤液运输过程中出现抛洒问题，每发现一次扣10分。</w:t>
            </w:r>
          </w:p>
        </w:tc>
        <w:tc>
          <w:tcPr>
            <w:tcW w:w="1688" w:type="dxa"/>
            <w:gridSpan w:val="2"/>
            <w:tcBorders>
              <w:top w:val="nil"/>
              <w:left w:val="nil"/>
              <w:bottom w:val="single" w:color="auto" w:sz="4" w:space="0"/>
              <w:right w:val="single" w:color="auto" w:sz="4" w:space="0"/>
            </w:tcBorders>
            <w:noWrap w:val="0"/>
            <w:vAlign w:val="center"/>
          </w:tcPr>
          <w:p w14:paraId="1D2512B6">
            <w:pPr>
              <w:keepNext w:val="0"/>
              <w:keepLines w:val="0"/>
              <w:pageBreakBefore w:val="0"/>
              <w:widowControl/>
              <w:kinsoku/>
              <w:wordWrap/>
              <w:overflowPunct/>
              <w:topLinePunct w:val="0"/>
              <w:bidi w:val="0"/>
              <w:spacing w:line="400" w:lineRule="exact"/>
              <w:jc w:val="center"/>
              <w:rPr>
                <w:rFonts w:ascii="宋体" w:hAnsi="宋体" w:cs="宋体"/>
                <w:color w:val="auto"/>
                <w:kern w:val="2"/>
                <w:sz w:val="22"/>
                <w:szCs w:val="22"/>
                <w:highlight w:val="none"/>
                <w:lang w:val="en-US" w:eastAsia="zh-CN" w:bidi="ar-SA"/>
              </w:rPr>
            </w:pPr>
          </w:p>
        </w:tc>
      </w:tr>
      <w:tr w14:paraId="1BE55128">
        <w:tblPrEx>
          <w:tblCellMar>
            <w:top w:w="0" w:type="dxa"/>
            <w:left w:w="108" w:type="dxa"/>
            <w:bottom w:w="0" w:type="dxa"/>
            <w:right w:w="108" w:type="dxa"/>
          </w:tblCellMar>
        </w:tblPrEx>
        <w:trPr>
          <w:trHeight w:val="397" w:hRule="atLeast"/>
          <w:jc w:val="center"/>
        </w:trPr>
        <w:tc>
          <w:tcPr>
            <w:tcW w:w="700" w:type="dxa"/>
            <w:tcBorders>
              <w:top w:val="nil"/>
              <w:left w:val="single" w:color="auto" w:sz="4" w:space="0"/>
              <w:bottom w:val="single" w:color="auto" w:sz="4" w:space="0"/>
              <w:right w:val="single" w:color="auto" w:sz="4" w:space="0"/>
            </w:tcBorders>
            <w:noWrap w:val="0"/>
            <w:vAlign w:val="center"/>
          </w:tcPr>
          <w:p w14:paraId="2ED40DD3">
            <w:pPr>
              <w:keepNext w:val="0"/>
              <w:keepLines w:val="0"/>
              <w:pageBreakBefore w:val="0"/>
              <w:widowControl/>
              <w:kinsoku/>
              <w:wordWrap/>
              <w:overflowPunct/>
              <w:topLinePunct w:val="0"/>
              <w:bidi w:val="0"/>
              <w:spacing w:line="400" w:lineRule="exact"/>
              <w:jc w:val="center"/>
              <w:rPr>
                <w:rFonts w:hint="eastAsia" w:ascii="宋体" w:hAnsi="宋体" w:cs="宋体"/>
                <w:color w:val="auto"/>
                <w:kern w:val="2"/>
                <w:sz w:val="22"/>
                <w:szCs w:val="22"/>
                <w:highlight w:val="none"/>
                <w:lang w:val="en-US" w:eastAsia="zh-CN" w:bidi="ar-SA"/>
              </w:rPr>
            </w:pPr>
            <w:r>
              <w:rPr>
                <w:rFonts w:hint="eastAsia" w:ascii="宋体" w:hAnsi="宋体" w:cs="宋体"/>
                <w:color w:val="auto"/>
                <w:sz w:val="22"/>
                <w:szCs w:val="22"/>
                <w:highlight w:val="none"/>
              </w:rPr>
              <w:t>9</w:t>
            </w:r>
          </w:p>
        </w:tc>
        <w:tc>
          <w:tcPr>
            <w:tcW w:w="6472" w:type="dxa"/>
            <w:tcBorders>
              <w:top w:val="nil"/>
              <w:left w:val="nil"/>
              <w:bottom w:val="single" w:color="auto" w:sz="4" w:space="0"/>
              <w:right w:val="single" w:color="auto" w:sz="4" w:space="0"/>
            </w:tcBorders>
            <w:noWrap w:val="0"/>
            <w:vAlign w:val="center"/>
          </w:tcPr>
          <w:p w14:paraId="2399DBBF">
            <w:pPr>
              <w:keepNext w:val="0"/>
              <w:keepLines w:val="0"/>
              <w:pageBreakBefore w:val="0"/>
              <w:widowControl/>
              <w:kinsoku/>
              <w:wordWrap/>
              <w:overflowPunct/>
              <w:topLinePunct w:val="0"/>
              <w:bidi w:val="0"/>
              <w:spacing w:line="400" w:lineRule="exact"/>
              <w:jc w:val="left"/>
              <w:rPr>
                <w:rFonts w:hint="default" w:ascii="宋体" w:hAnsi="宋体" w:eastAsia="宋体" w:cs="宋体"/>
                <w:color w:val="auto"/>
                <w:kern w:val="2"/>
                <w:sz w:val="22"/>
                <w:szCs w:val="22"/>
                <w:highlight w:val="none"/>
                <w:lang w:val="en-US" w:eastAsia="zh-CN" w:bidi="ar-SA"/>
              </w:rPr>
            </w:pPr>
            <w:r>
              <w:rPr>
                <w:rFonts w:hint="eastAsia" w:ascii="宋体" w:hAnsi="宋体" w:cs="宋体"/>
                <w:b w:val="0"/>
                <w:bCs w:val="0"/>
                <w:color w:val="auto"/>
                <w:kern w:val="2"/>
                <w:sz w:val="22"/>
                <w:szCs w:val="22"/>
                <w:highlight w:val="none"/>
                <w:lang w:val="en-US" w:eastAsia="zh-CN" w:bidi="ar-SA"/>
              </w:rPr>
              <w:t>渗滤液</w:t>
            </w:r>
            <w:r>
              <w:rPr>
                <w:rFonts w:hint="eastAsia" w:ascii="宋体" w:hAnsi="宋体" w:eastAsia="宋体" w:cs="宋体"/>
                <w:b w:val="0"/>
                <w:bCs w:val="0"/>
                <w:color w:val="auto"/>
                <w:kern w:val="2"/>
                <w:sz w:val="22"/>
                <w:szCs w:val="22"/>
                <w:highlight w:val="none"/>
                <w:lang w:val="en-US" w:eastAsia="zh-CN" w:bidi="ar-SA"/>
              </w:rPr>
              <w:t>装卸运输现场卫生较差、存在</w:t>
            </w:r>
            <w:r>
              <w:rPr>
                <w:rFonts w:hint="eastAsia" w:ascii="宋体" w:hAnsi="宋体" w:cs="宋体"/>
                <w:b w:val="0"/>
                <w:bCs w:val="0"/>
                <w:color w:val="auto"/>
                <w:kern w:val="2"/>
                <w:sz w:val="22"/>
                <w:szCs w:val="22"/>
                <w:highlight w:val="none"/>
                <w:lang w:val="en-US" w:eastAsia="zh-CN" w:bidi="ar-SA"/>
              </w:rPr>
              <w:t>渗滤液</w:t>
            </w:r>
            <w:r>
              <w:rPr>
                <w:rFonts w:hint="eastAsia" w:ascii="宋体" w:hAnsi="宋体" w:eastAsia="宋体" w:cs="宋体"/>
                <w:b w:val="0"/>
                <w:bCs w:val="0"/>
                <w:color w:val="auto"/>
                <w:kern w:val="2"/>
                <w:sz w:val="22"/>
                <w:szCs w:val="22"/>
                <w:highlight w:val="none"/>
                <w:lang w:val="en-US" w:eastAsia="zh-CN" w:bidi="ar-SA"/>
              </w:rPr>
              <w:t>洒落问题，每发现一次扣10分。</w:t>
            </w:r>
          </w:p>
        </w:tc>
        <w:tc>
          <w:tcPr>
            <w:tcW w:w="1688" w:type="dxa"/>
            <w:gridSpan w:val="2"/>
            <w:tcBorders>
              <w:top w:val="nil"/>
              <w:left w:val="nil"/>
              <w:bottom w:val="single" w:color="auto" w:sz="4" w:space="0"/>
              <w:right w:val="single" w:color="auto" w:sz="4" w:space="0"/>
            </w:tcBorders>
            <w:noWrap w:val="0"/>
            <w:vAlign w:val="center"/>
          </w:tcPr>
          <w:p w14:paraId="2526173E">
            <w:pPr>
              <w:keepNext w:val="0"/>
              <w:keepLines w:val="0"/>
              <w:pageBreakBefore w:val="0"/>
              <w:widowControl/>
              <w:kinsoku/>
              <w:wordWrap/>
              <w:overflowPunct/>
              <w:topLinePunct w:val="0"/>
              <w:bidi w:val="0"/>
              <w:spacing w:line="400" w:lineRule="exact"/>
              <w:jc w:val="center"/>
              <w:rPr>
                <w:rFonts w:ascii="宋体" w:hAnsi="宋体" w:cs="宋体"/>
                <w:color w:val="auto"/>
                <w:kern w:val="2"/>
                <w:sz w:val="22"/>
                <w:szCs w:val="22"/>
                <w:highlight w:val="none"/>
                <w:lang w:val="en-US" w:eastAsia="zh-CN" w:bidi="ar-SA"/>
              </w:rPr>
            </w:pPr>
          </w:p>
        </w:tc>
      </w:tr>
      <w:tr w14:paraId="29B09500">
        <w:tblPrEx>
          <w:tblCellMar>
            <w:top w:w="0" w:type="dxa"/>
            <w:left w:w="108" w:type="dxa"/>
            <w:bottom w:w="0" w:type="dxa"/>
            <w:right w:w="108" w:type="dxa"/>
          </w:tblCellMar>
        </w:tblPrEx>
        <w:trPr>
          <w:trHeight w:val="397" w:hRule="atLeast"/>
          <w:jc w:val="center"/>
        </w:trPr>
        <w:tc>
          <w:tcPr>
            <w:tcW w:w="700" w:type="dxa"/>
            <w:tcBorders>
              <w:top w:val="nil"/>
              <w:left w:val="single" w:color="auto" w:sz="4" w:space="0"/>
              <w:bottom w:val="single" w:color="auto" w:sz="4" w:space="0"/>
              <w:right w:val="single" w:color="auto" w:sz="4" w:space="0"/>
            </w:tcBorders>
            <w:noWrap w:val="0"/>
            <w:vAlign w:val="center"/>
          </w:tcPr>
          <w:p w14:paraId="7ED7A7C0">
            <w:pPr>
              <w:keepNext w:val="0"/>
              <w:keepLines w:val="0"/>
              <w:pageBreakBefore w:val="0"/>
              <w:widowControl/>
              <w:kinsoku/>
              <w:wordWrap/>
              <w:overflowPunct/>
              <w:topLinePunct w:val="0"/>
              <w:bidi w:val="0"/>
              <w:spacing w:line="400" w:lineRule="exact"/>
              <w:jc w:val="center"/>
              <w:rPr>
                <w:rFonts w:hint="eastAsia" w:ascii="宋体" w:hAnsi="宋体" w:cs="宋体"/>
                <w:color w:val="auto"/>
                <w:kern w:val="2"/>
                <w:sz w:val="22"/>
                <w:szCs w:val="22"/>
                <w:highlight w:val="none"/>
                <w:lang w:val="en-US" w:eastAsia="zh-CN" w:bidi="ar-SA"/>
              </w:rPr>
            </w:pPr>
            <w:r>
              <w:rPr>
                <w:rFonts w:hint="eastAsia" w:ascii="宋体" w:hAnsi="宋体" w:cs="宋体"/>
                <w:color w:val="auto"/>
                <w:sz w:val="22"/>
                <w:szCs w:val="22"/>
                <w:highlight w:val="none"/>
              </w:rPr>
              <w:t>10</w:t>
            </w:r>
          </w:p>
        </w:tc>
        <w:tc>
          <w:tcPr>
            <w:tcW w:w="6472" w:type="dxa"/>
            <w:tcBorders>
              <w:top w:val="nil"/>
              <w:left w:val="nil"/>
              <w:bottom w:val="single" w:color="auto" w:sz="4" w:space="0"/>
              <w:right w:val="single" w:color="auto" w:sz="4" w:space="0"/>
            </w:tcBorders>
            <w:noWrap w:val="0"/>
            <w:vAlign w:val="center"/>
          </w:tcPr>
          <w:p w14:paraId="3F1F5925">
            <w:pPr>
              <w:keepNext w:val="0"/>
              <w:keepLines w:val="0"/>
              <w:pageBreakBefore w:val="0"/>
              <w:widowControl/>
              <w:kinsoku/>
              <w:wordWrap/>
              <w:overflowPunct/>
              <w:topLinePunct w:val="0"/>
              <w:bidi w:val="0"/>
              <w:spacing w:line="400" w:lineRule="exact"/>
              <w:jc w:val="left"/>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中标单位</w:t>
            </w:r>
            <w:r>
              <w:rPr>
                <w:rFonts w:hint="eastAsia" w:ascii="宋体" w:hAnsi="宋体" w:cs="宋体"/>
                <w:color w:val="auto"/>
                <w:sz w:val="22"/>
                <w:szCs w:val="22"/>
                <w:highlight w:val="none"/>
              </w:rPr>
              <w:t>人员不遵守</w:t>
            </w:r>
            <w:r>
              <w:rPr>
                <w:rFonts w:hint="eastAsia" w:ascii="宋体" w:hAnsi="宋体" w:cs="宋体"/>
                <w:color w:val="auto"/>
                <w:sz w:val="22"/>
                <w:szCs w:val="22"/>
                <w:highlight w:val="none"/>
                <w:lang w:val="en-US" w:eastAsia="zh-CN"/>
              </w:rPr>
              <w:t>招标人</w:t>
            </w:r>
            <w:r>
              <w:rPr>
                <w:rFonts w:hint="eastAsia" w:ascii="宋体" w:hAnsi="宋体" w:cs="宋体"/>
                <w:color w:val="auto"/>
                <w:sz w:val="22"/>
                <w:szCs w:val="22"/>
                <w:highlight w:val="none"/>
              </w:rPr>
              <w:t>的相关规章、制度、劳动纪律的，每发现一次扣5分。影响生产的双倍扣分。</w:t>
            </w:r>
          </w:p>
        </w:tc>
        <w:tc>
          <w:tcPr>
            <w:tcW w:w="1688" w:type="dxa"/>
            <w:gridSpan w:val="2"/>
            <w:tcBorders>
              <w:top w:val="nil"/>
              <w:left w:val="nil"/>
              <w:bottom w:val="single" w:color="auto" w:sz="4" w:space="0"/>
              <w:right w:val="single" w:color="auto" w:sz="4" w:space="0"/>
            </w:tcBorders>
            <w:noWrap w:val="0"/>
            <w:vAlign w:val="center"/>
          </w:tcPr>
          <w:p w14:paraId="40BA5869">
            <w:pPr>
              <w:keepNext w:val="0"/>
              <w:keepLines w:val="0"/>
              <w:pageBreakBefore w:val="0"/>
              <w:widowControl/>
              <w:kinsoku/>
              <w:wordWrap/>
              <w:overflowPunct/>
              <w:topLinePunct w:val="0"/>
              <w:bidi w:val="0"/>
              <w:spacing w:line="400" w:lineRule="exact"/>
              <w:jc w:val="center"/>
              <w:rPr>
                <w:rFonts w:hint="eastAsia" w:ascii="宋体" w:hAnsi="宋体" w:cs="宋体"/>
                <w:color w:val="auto"/>
                <w:kern w:val="2"/>
                <w:sz w:val="22"/>
                <w:szCs w:val="22"/>
                <w:highlight w:val="none"/>
                <w:lang w:val="en-US" w:eastAsia="zh-CN" w:bidi="ar-SA"/>
              </w:rPr>
            </w:pPr>
          </w:p>
        </w:tc>
      </w:tr>
      <w:tr w14:paraId="5A6EB04C">
        <w:tblPrEx>
          <w:tblCellMar>
            <w:top w:w="0" w:type="dxa"/>
            <w:left w:w="108" w:type="dxa"/>
            <w:bottom w:w="0" w:type="dxa"/>
            <w:right w:w="108" w:type="dxa"/>
          </w:tblCellMar>
        </w:tblPrEx>
        <w:trPr>
          <w:trHeight w:val="397" w:hRule="atLeast"/>
          <w:jc w:val="center"/>
        </w:trPr>
        <w:tc>
          <w:tcPr>
            <w:tcW w:w="700" w:type="dxa"/>
            <w:tcBorders>
              <w:top w:val="nil"/>
              <w:left w:val="single" w:color="auto" w:sz="4" w:space="0"/>
              <w:bottom w:val="single" w:color="auto" w:sz="4" w:space="0"/>
              <w:right w:val="single" w:color="auto" w:sz="4" w:space="0"/>
            </w:tcBorders>
            <w:noWrap w:val="0"/>
            <w:vAlign w:val="center"/>
          </w:tcPr>
          <w:p w14:paraId="74230A51">
            <w:pPr>
              <w:keepNext w:val="0"/>
              <w:keepLines w:val="0"/>
              <w:pageBreakBefore w:val="0"/>
              <w:widowControl/>
              <w:kinsoku/>
              <w:wordWrap/>
              <w:overflowPunct/>
              <w:topLinePunct w:val="0"/>
              <w:bidi w:val="0"/>
              <w:spacing w:line="400" w:lineRule="exact"/>
              <w:jc w:val="center"/>
              <w:rPr>
                <w:rFonts w:hint="eastAsia" w:ascii="宋体" w:hAnsi="宋体" w:cs="宋体"/>
                <w:color w:val="auto"/>
                <w:kern w:val="2"/>
                <w:sz w:val="22"/>
                <w:szCs w:val="22"/>
                <w:highlight w:val="none"/>
                <w:lang w:val="en-US" w:eastAsia="zh-CN" w:bidi="ar-SA"/>
              </w:rPr>
            </w:pPr>
            <w:r>
              <w:rPr>
                <w:rFonts w:hint="eastAsia" w:ascii="宋体" w:hAnsi="宋体" w:cs="宋体"/>
                <w:color w:val="auto"/>
                <w:sz w:val="22"/>
                <w:szCs w:val="22"/>
                <w:highlight w:val="none"/>
              </w:rPr>
              <w:t>11</w:t>
            </w:r>
          </w:p>
        </w:tc>
        <w:tc>
          <w:tcPr>
            <w:tcW w:w="6472" w:type="dxa"/>
            <w:tcBorders>
              <w:top w:val="nil"/>
              <w:left w:val="nil"/>
              <w:bottom w:val="single" w:color="auto" w:sz="4" w:space="0"/>
              <w:right w:val="single" w:color="auto" w:sz="4" w:space="0"/>
            </w:tcBorders>
            <w:noWrap w:val="0"/>
            <w:vAlign w:val="center"/>
          </w:tcPr>
          <w:p w14:paraId="3C7FBBA8">
            <w:pPr>
              <w:keepNext w:val="0"/>
              <w:keepLines w:val="0"/>
              <w:pageBreakBefore w:val="0"/>
              <w:widowControl/>
              <w:kinsoku/>
              <w:wordWrap/>
              <w:overflowPunct/>
              <w:topLinePunct w:val="0"/>
              <w:bidi w:val="0"/>
              <w:spacing w:line="400" w:lineRule="exact"/>
              <w:jc w:val="left"/>
              <w:rPr>
                <w:rFonts w:hint="default" w:ascii="宋体" w:hAnsi="宋体" w:eastAsia="宋体" w:cs="宋体"/>
                <w:color w:val="auto"/>
                <w:kern w:val="2"/>
                <w:sz w:val="22"/>
                <w:szCs w:val="22"/>
                <w:highlight w:val="none"/>
                <w:lang w:val="en-US" w:eastAsia="zh-CN" w:bidi="ar-SA"/>
              </w:rPr>
            </w:pPr>
            <w:r>
              <w:rPr>
                <w:rFonts w:hint="eastAsia" w:ascii="仿宋_GB2312" w:hAnsi="宋体" w:cs="宋体"/>
                <w:color w:val="auto"/>
                <w:sz w:val="22"/>
                <w:szCs w:val="22"/>
                <w:highlight w:val="none"/>
                <w:lang w:val="en-US" w:eastAsia="zh-CN"/>
              </w:rPr>
              <w:t>中标单位</w:t>
            </w:r>
            <w:r>
              <w:rPr>
                <w:rFonts w:hint="eastAsia" w:ascii="仿宋_GB2312" w:hAnsi="宋体" w:cs="宋体"/>
                <w:color w:val="auto"/>
                <w:sz w:val="22"/>
                <w:szCs w:val="22"/>
                <w:highlight w:val="none"/>
              </w:rPr>
              <w:t>人员在工作期间擅离职守，或出现饮酒作业、带病作业等，每发现一次扣</w:t>
            </w:r>
            <w:r>
              <w:rPr>
                <w:rFonts w:hint="eastAsia" w:ascii="仿宋_GB2312" w:hAnsi="宋体" w:cs="宋体"/>
                <w:color w:val="auto"/>
                <w:sz w:val="22"/>
                <w:szCs w:val="22"/>
                <w:highlight w:val="none"/>
                <w:lang w:val="en-US" w:eastAsia="zh-CN"/>
              </w:rPr>
              <w:t>10</w:t>
            </w:r>
            <w:r>
              <w:rPr>
                <w:rFonts w:hint="eastAsia" w:ascii="仿宋_GB2312" w:hAnsi="宋体" w:cs="宋体"/>
                <w:color w:val="auto"/>
                <w:sz w:val="22"/>
                <w:szCs w:val="22"/>
                <w:highlight w:val="none"/>
              </w:rPr>
              <w:t>分。影响生产的双倍扣分。</w:t>
            </w:r>
          </w:p>
        </w:tc>
        <w:tc>
          <w:tcPr>
            <w:tcW w:w="1688" w:type="dxa"/>
            <w:gridSpan w:val="2"/>
            <w:tcBorders>
              <w:top w:val="nil"/>
              <w:left w:val="nil"/>
              <w:bottom w:val="single" w:color="auto" w:sz="4" w:space="0"/>
              <w:right w:val="single" w:color="auto" w:sz="4" w:space="0"/>
            </w:tcBorders>
            <w:noWrap w:val="0"/>
            <w:vAlign w:val="center"/>
          </w:tcPr>
          <w:p w14:paraId="01E1D9AC">
            <w:pPr>
              <w:keepNext w:val="0"/>
              <w:keepLines w:val="0"/>
              <w:pageBreakBefore w:val="0"/>
              <w:widowControl/>
              <w:kinsoku/>
              <w:wordWrap/>
              <w:overflowPunct/>
              <w:topLinePunct w:val="0"/>
              <w:bidi w:val="0"/>
              <w:spacing w:line="400" w:lineRule="exact"/>
              <w:jc w:val="center"/>
              <w:rPr>
                <w:rFonts w:hint="eastAsia" w:ascii="宋体" w:hAnsi="宋体" w:cs="宋体"/>
                <w:color w:val="auto"/>
                <w:kern w:val="2"/>
                <w:sz w:val="22"/>
                <w:szCs w:val="22"/>
                <w:highlight w:val="none"/>
                <w:lang w:val="en-US" w:eastAsia="zh-CN" w:bidi="ar-SA"/>
              </w:rPr>
            </w:pPr>
          </w:p>
        </w:tc>
      </w:tr>
      <w:tr w14:paraId="0419A1BC">
        <w:tblPrEx>
          <w:tblCellMar>
            <w:top w:w="0" w:type="dxa"/>
            <w:left w:w="108" w:type="dxa"/>
            <w:bottom w:w="0" w:type="dxa"/>
            <w:right w:w="108" w:type="dxa"/>
          </w:tblCellMar>
        </w:tblPrEx>
        <w:trPr>
          <w:trHeight w:val="397" w:hRule="atLeast"/>
          <w:jc w:val="center"/>
        </w:trPr>
        <w:tc>
          <w:tcPr>
            <w:tcW w:w="700" w:type="dxa"/>
            <w:tcBorders>
              <w:top w:val="nil"/>
              <w:left w:val="single" w:color="auto" w:sz="4" w:space="0"/>
              <w:bottom w:val="single" w:color="auto" w:sz="4" w:space="0"/>
              <w:right w:val="single" w:color="auto" w:sz="4" w:space="0"/>
            </w:tcBorders>
            <w:noWrap w:val="0"/>
            <w:vAlign w:val="center"/>
          </w:tcPr>
          <w:p w14:paraId="1A22F8BA">
            <w:pPr>
              <w:keepNext w:val="0"/>
              <w:keepLines w:val="0"/>
              <w:pageBreakBefore w:val="0"/>
              <w:widowControl/>
              <w:kinsoku/>
              <w:wordWrap/>
              <w:overflowPunct/>
              <w:topLinePunct w:val="0"/>
              <w:bidi w:val="0"/>
              <w:spacing w:line="400" w:lineRule="exact"/>
              <w:jc w:val="center"/>
              <w:rPr>
                <w:rFonts w:hint="eastAsia" w:ascii="宋体" w:hAnsi="宋体" w:cs="宋体"/>
                <w:color w:val="auto"/>
                <w:kern w:val="2"/>
                <w:sz w:val="22"/>
                <w:szCs w:val="22"/>
                <w:highlight w:val="none"/>
                <w:lang w:val="en-US" w:eastAsia="zh-CN" w:bidi="ar-SA"/>
              </w:rPr>
            </w:pPr>
            <w:r>
              <w:rPr>
                <w:rFonts w:hint="eastAsia" w:ascii="宋体" w:hAnsi="宋体" w:cs="宋体"/>
                <w:color w:val="auto"/>
                <w:sz w:val="22"/>
                <w:szCs w:val="22"/>
                <w:highlight w:val="none"/>
              </w:rPr>
              <w:t>12</w:t>
            </w:r>
          </w:p>
        </w:tc>
        <w:tc>
          <w:tcPr>
            <w:tcW w:w="6472" w:type="dxa"/>
            <w:tcBorders>
              <w:top w:val="nil"/>
              <w:left w:val="nil"/>
              <w:bottom w:val="single" w:color="auto" w:sz="4" w:space="0"/>
              <w:right w:val="single" w:color="auto" w:sz="4" w:space="0"/>
            </w:tcBorders>
            <w:noWrap w:val="0"/>
            <w:vAlign w:val="center"/>
          </w:tcPr>
          <w:p w14:paraId="3521B9CA">
            <w:pPr>
              <w:keepNext w:val="0"/>
              <w:keepLines w:val="0"/>
              <w:pageBreakBefore w:val="0"/>
              <w:widowControl/>
              <w:kinsoku/>
              <w:wordWrap/>
              <w:overflowPunct/>
              <w:topLinePunct w:val="0"/>
              <w:bidi w:val="0"/>
              <w:spacing w:line="400" w:lineRule="exact"/>
              <w:jc w:val="left"/>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rPr>
              <w:t>在各级部门的检查中，因</w:t>
            </w:r>
            <w:r>
              <w:rPr>
                <w:rFonts w:hint="eastAsia" w:ascii="宋体" w:hAnsi="宋体" w:cs="宋体"/>
                <w:color w:val="auto"/>
                <w:sz w:val="22"/>
                <w:szCs w:val="22"/>
                <w:highlight w:val="none"/>
                <w:lang w:val="en-US" w:eastAsia="zh-CN"/>
              </w:rPr>
              <w:t>渗滤液运输</w:t>
            </w:r>
            <w:r>
              <w:rPr>
                <w:rFonts w:hint="eastAsia" w:ascii="宋体" w:hAnsi="宋体" w:cs="宋体"/>
                <w:color w:val="auto"/>
                <w:sz w:val="22"/>
                <w:szCs w:val="22"/>
                <w:highlight w:val="none"/>
              </w:rPr>
              <w:t>管理不到位等，被处罚或者考核扣分的，每出现一次扣10分。</w:t>
            </w:r>
          </w:p>
        </w:tc>
        <w:tc>
          <w:tcPr>
            <w:tcW w:w="1688" w:type="dxa"/>
            <w:gridSpan w:val="2"/>
            <w:tcBorders>
              <w:top w:val="nil"/>
              <w:left w:val="nil"/>
              <w:bottom w:val="single" w:color="auto" w:sz="4" w:space="0"/>
              <w:right w:val="single" w:color="auto" w:sz="4" w:space="0"/>
            </w:tcBorders>
            <w:noWrap w:val="0"/>
            <w:vAlign w:val="center"/>
          </w:tcPr>
          <w:p w14:paraId="07369111">
            <w:pPr>
              <w:keepNext w:val="0"/>
              <w:keepLines w:val="0"/>
              <w:pageBreakBefore w:val="0"/>
              <w:widowControl/>
              <w:kinsoku/>
              <w:wordWrap/>
              <w:overflowPunct/>
              <w:topLinePunct w:val="0"/>
              <w:bidi w:val="0"/>
              <w:spacing w:line="400" w:lineRule="exact"/>
              <w:jc w:val="center"/>
              <w:rPr>
                <w:rFonts w:ascii="宋体" w:hAnsi="宋体" w:cs="宋体"/>
                <w:color w:val="auto"/>
                <w:sz w:val="22"/>
                <w:szCs w:val="22"/>
                <w:highlight w:val="none"/>
              </w:rPr>
            </w:pPr>
          </w:p>
        </w:tc>
      </w:tr>
      <w:tr w14:paraId="751E642B">
        <w:tblPrEx>
          <w:tblCellMar>
            <w:top w:w="0" w:type="dxa"/>
            <w:left w:w="108" w:type="dxa"/>
            <w:bottom w:w="0" w:type="dxa"/>
            <w:right w:w="108" w:type="dxa"/>
          </w:tblCellMar>
        </w:tblPrEx>
        <w:trPr>
          <w:trHeight w:val="397" w:hRule="atLeast"/>
          <w:jc w:val="center"/>
        </w:trPr>
        <w:tc>
          <w:tcPr>
            <w:tcW w:w="700" w:type="dxa"/>
            <w:tcBorders>
              <w:top w:val="nil"/>
              <w:left w:val="single" w:color="auto" w:sz="4" w:space="0"/>
              <w:bottom w:val="single" w:color="auto" w:sz="4" w:space="0"/>
              <w:right w:val="single" w:color="auto" w:sz="4" w:space="0"/>
            </w:tcBorders>
            <w:noWrap w:val="0"/>
            <w:vAlign w:val="center"/>
          </w:tcPr>
          <w:p w14:paraId="174F7E54">
            <w:pPr>
              <w:keepNext w:val="0"/>
              <w:keepLines w:val="0"/>
              <w:pageBreakBefore w:val="0"/>
              <w:widowControl/>
              <w:kinsoku/>
              <w:wordWrap/>
              <w:overflowPunct/>
              <w:topLinePunct w:val="0"/>
              <w:bidi w:val="0"/>
              <w:spacing w:line="400" w:lineRule="exact"/>
              <w:jc w:val="center"/>
              <w:rPr>
                <w:rFonts w:hint="eastAsia" w:ascii="宋体" w:hAnsi="宋体" w:cs="宋体"/>
                <w:color w:val="auto"/>
                <w:kern w:val="2"/>
                <w:sz w:val="22"/>
                <w:szCs w:val="22"/>
                <w:highlight w:val="none"/>
                <w:lang w:val="en-US" w:eastAsia="zh-CN" w:bidi="ar-SA"/>
              </w:rPr>
            </w:pPr>
            <w:r>
              <w:rPr>
                <w:rFonts w:hint="eastAsia" w:ascii="宋体" w:hAnsi="宋体" w:cs="宋体"/>
                <w:color w:val="auto"/>
                <w:sz w:val="22"/>
                <w:szCs w:val="22"/>
                <w:highlight w:val="none"/>
              </w:rPr>
              <w:t>13</w:t>
            </w:r>
          </w:p>
        </w:tc>
        <w:tc>
          <w:tcPr>
            <w:tcW w:w="6472" w:type="dxa"/>
            <w:tcBorders>
              <w:top w:val="nil"/>
              <w:left w:val="nil"/>
              <w:bottom w:val="single" w:color="auto" w:sz="4" w:space="0"/>
              <w:right w:val="single" w:color="auto" w:sz="4" w:space="0"/>
            </w:tcBorders>
            <w:noWrap w:val="0"/>
            <w:vAlign w:val="center"/>
          </w:tcPr>
          <w:p w14:paraId="617247E8">
            <w:pPr>
              <w:keepNext w:val="0"/>
              <w:keepLines w:val="0"/>
              <w:pageBreakBefore w:val="0"/>
              <w:widowControl/>
              <w:kinsoku/>
              <w:wordWrap/>
              <w:overflowPunct/>
              <w:topLinePunct w:val="0"/>
              <w:bidi w:val="0"/>
              <w:spacing w:line="400" w:lineRule="exact"/>
              <w:jc w:val="left"/>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装卸、运输过程中，损坏招标人的构筑物、建筑物及相关设备设施，每发生一次扣2分。</w:t>
            </w:r>
          </w:p>
        </w:tc>
        <w:tc>
          <w:tcPr>
            <w:tcW w:w="1688" w:type="dxa"/>
            <w:gridSpan w:val="2"/>
            <w:tcBorders>
              <w:top w:val="nil"/>
              <w:left w:val="nil"/>
              <w:bottom w:val="single" w:color="auto" w:sz="4" w:space="0"/>
              <w:right w:val="single" w:color="auto" w:sz="4" w:space="0"/>
            </w:tcBorders>
            <w:noWrap w:val="0"/>
            <w:vAlign w:val="center"/>
          </w:tcPr>
          <w:p w14:paraId="4EC5F436">
            <w:pPr>
              <w:keepNext w:val="0"/>
              <w:keepLines w:val="0"/>
              <w:pageBreakBefore w:val="0"/>
              <w:widowControl/>
              <w:kinsoku/>
              <w:wordWrap/>
              <w:overflowPunct/>
              <w:topLinePunct w:val="0"/>
              <w:bidi w:val="0"/>
              <w:spacing w:line="400" w:lineRule="exact"/>
              <w:jc w:val="center"/>
              <w:rPr>
                <w:rFonts w:ascii="宋体" w:hAnsi="宋体" w:cs="宋体"/>
                <w:color w:val="auto"/>
                <w:sz w:val="22"/>
                <w:szCs w:val="22"/>
                <w:highlight w:val="none"/>
              </w:rPr>
            </w:pPr>
          </w:p>
        </w:tc>
      </w:tr>
      <w:tr w14:paraId="2F1324AE">
        <w:tblPrEx>
          <w:tblCellMar>
            <w:top w:w="0" w:type="dxa"/>
            <w:left w:w="108" w:type="dxa"/>
            <w:bottom w:w="0" w:type="dxa"/>
            <w:right w:w="108" w:type="dxa"/>
          </w:tblCellMar>
        </w:tblPrEx>
        <w:trPr>
          <w:trHeight w:val="397" w:hRule="atLeast"/>
          <w:jc w:val="center"/>
        </w:trPr>
        <w:tc>
          <w:tcPr>
            <w:tcW w:w="700" w:type="dxa"/>
            <w:tcBorders>
              <w:top w:val="nil"/>
              <w:left w:val="single" w:color="auto" w:sz="4" w:space="0"/>
              <w:bottom w:val="single" w:color="auto" w:sz="4" w:space="0"/>
              <w:right w:val="single" w:color="auto" w:sz="4" w:space="0"/>
            </w:tcBorders>
            <w:noWrap w:val="0"/>
            <w:vAlign w:val="center"/>
          </w:tcPr>
          <w:p w14:paraId="4DC65E96">
            <w:pPr>
              <w:keepNext w:val="0"/>
              <w:keepLines w:val="0"/>
              <w:pageBreakBefore w:val="0"/>
              <w:widowControl/>
              <w:kinsoku/>
              <w:wordWrap/>
              <w:overflowPunct/>
              <w:topLinePunct w:val="0"/>
              <w:bidi w:val="0"/>
              <w:spacing w:line="400" w:lineRule="exact"/>
              <w:jc w:val="center"/>
              <w:rPr>
                <w:rFonts w:hint="eastAsia" w:ascii="宋体" w:hAnsi="宋体" w:cs="宋体"/>
                <w:color w:val="auto"/>
                <w:kern w:val="2"/>
                <w:sz w:val="22"/>
                <w:szCs w:val="22"/>
                <w:highlight w:val="none"/>
                <w:lang w:val="en-US" w:eastAsia="zh-CN" w:bidi="ar-SA"/>
              </w:rPr>
            </w:pPr>
            <w:r>
              <w:rPr>
                <w:rFonts w:hint="eastAsia" w:ascii="宋体" w:hAnsi="宋体" w:cs="宋体"/>
                <w:color w:val="auto"/>
                <w:sz w:val="22"/>
                <w:szCs w:val="22"/>
                <w:highlight w:val="none"/>
              </w:rPr>
              <w:t>14</w:t>
            </w:r>
          </w:p>
        </w:tc>
        <w:tc>
          <w:tcPr>
            <w:tcW w:w="6472" w:type="dxa"/>
            <w:tcBorders>
              <w:top w:val="nil"/>
              <w:left w:val="nil"/>
              <w:bottom w:val="single" w:color="auto" w:sz="4" w:space="0"/>
              <w:right w:val="single" w:color="auto" w:sz="4" w:space="0"/>
            </w:tcBorders>
            <w:noWrap w:val="0"/>
            <w:vAlign w:val="center"/>
          </w:tcPr>
          <w:p w14:paraId="5F550875">
            <w:pPr>
              <w:keepNext w:val="0"/>
              <w:keepLines w:val="0"/>
              <w:pageBreakBefore w:val="0"/>
              <w:widowControl/>
              <w:kinsoku/>
              <w:wordWrap/>
              <w:overflowPunct/>
              <w:topLinePunct w:val="0"/>
              <w:bidi w:val="0"/>
              <w:spacing w:line="400" w:lineRule="exact"/>
              <w:jc w:val="left"/>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中标单位不配合招标人调遣，每发生一次扣10分。</w:t>
            </w:r>
          </w:p>
        </w:tc>
        <w:tc>
          <w:tcPr>
            <w:tcW w:w="1688" w:type="dxa"/>
            <w:gridSpan w:val="2"/>
            <w:tcBorders>
              <w:top w:val="nil"/>
              <w:left w:val="nil"/>
              <w:bottom w:val="single" w:color="auto" w:sz="4" w:space="0"/>
              <w:right w:val="single" w:color="auto" w:sz="4" w:space="0"/>
            </w:tcBorders>
            <w:noWrap w:val="0"/>
            <w:vAlign w:val="center"/>
          </w:tcPr>
          <w:p w14:paraId="621D1DE4">
            <w:pPr>
              <w:keepNext w:val="0"/>
              <w:keepLines w:val="0"/>
              <w:pageBreakBefore w:val="0"/>
              <w:widowControl/>
              <w:kinsoku/>
              <w:wordWrap/>
              <w:overflowPunct/>
              <w:topLinePunct w:val="0"/>
              <w:bidi w:val="0"/>
              <w:spacing w:line="400" w:lineRule="exact"/>
              <w:jc w:val="center"/>
              <w:rPr>
                <w:rFonts w:ascii="宋体" w:hAnsi="宋体" w:cs="宋体"/>
                <w:color w:val="auto"/>
                <w:sz w:val="22"/>
                <w:szCs w:val="22"/>
                <w:highlight w:val="none"/>
              </w:rPr>
            </w:pPr>
          </w:p>
        </w:tc>
      </w:tr>
      <w:tr w14:paraId="5D53A8A0">
        <w:tblPrEx>
          <w:tblCellMar>
            <w:top w:w="0" w:type="dxa"/>
            <w:left w:w="108" w:type="dxa"/>
            <w:bottom w:w="0" w:type="dxa"/>
            <w:right w:w="108" w:type="dxa"/>
          </w:tblCellMar>
        </w:tblPrEx>
        <w:trPr>
          <w:trHeight w:val="397" w:hRule="atLeast"/>
          <w:jc w:val="center"/>
        </w:trPr>
        <w:tc>
          <w:tcPr>
            <w:tcW w:w="700" w:type="dxa"/>
            <w:tcBorders>
              <w:top w:val="nil"/>
              <w:left w:val="single" w:color="auto" w:sz="4" w:space="0"/>
              <w:bottom w:val="single" w:color="auto" w:sz="4" w:space="0"/>
              <w:right w:val="single" w:color="auto" w:sz="4" w:space="0"/>
            </w:tcBorders>
            <w:noWrap w:val="0"/>
            <w:vAlign w:val="center"/>
          </w:tcPr>
          <w:p w14:paraId="581180F6">
            <w:pPr>
              <w:keepNext w:val="0"/>
              <w:keepLines w:val="0"/>
              <w:pageBreakBefore w:val="0"/>
              <w:widowControl/>
              <w:kinsoku/>
              <w:wordWrap/>
              <w:overflowPunct/>
              <w:topLinePunct w:val="0"/>
              <w:bidi w:val="0"/>
              <w:spacing w:line="400" w:lineRule="exact"/>
              <w:jc w:val="center"/>
              <w:rPr>
                <w:rFonts w:hint="eastAsia" w:ascii="宋体" w:hAnsi="宋体" w:cs="宋体"/>
                <w:color w:val="auto"/>
                <w:kern w:val="2"/>
                <w:sz w:val="22"/>
                <w:szCs w:val="22"/>
                <w:highlight w:val="none"/>
                <w:lang w:val="en-US" w:eastAsia="zh-CN" w:bidi="ar-SA"/>
              </w:rPr>
            </w:pPr>
            <w:r>
              <w:rPr>
                <w:rFonts w:hint="eastAsia" w:ascii="宋体" w:hAnsi="宋体" w:cs="宋体"/>
                <w:color w:val="auto"/>
                <w:sz w:val="22"/>
                <w:szCs w:val="22"/>
                <w:highlight w:val="none"/>
              </w:rPr>
              <w:t>15</w:t>
            </w:r>
          </w:p>
        </w:tc>
        <w:tc>
          <w:tcPr>
            <w:tcW w:w="6472" w:type="dxa"/>
            <w:tcBorders>
              <w:top w:val="nil"/>
              <w:left w:val="nil"/>
              <w:bottom w:val="single" w:color="auto" w:sz="4" w:space="0"/>
              <w:right w:val="single" w:color="auto" w:sz="4" w:space="0"/>
            </w:tcBorders>
            <w:noWrap w:val="0"/>
            <w:vAlign w:val="center"/>
          </w:tcPr>
          <w:p w14:paraId="1134D9B4">
            <w:pPr>
              <w:keepNext w:val="0"/>
              <w:keepLines w:val="0"/>
              <w:pageBreakBefore w:val="0"/>
              <w:widowControl/>
              <w:kinsoku/>
              <w:wordWrap/>
              <w:overflowPunct/>
              <w:topLinePunct w:val="0"/>
              <w:bidi w:val="0"/>
              <w:spacing w:line="400" w:lineRule="exact"/>
              <w:jc w:val="left"/>
              <w:rPr>
                <w:rFonts w:hint="default"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转运过程中弄虚作假的每发生一次扣50分。</w:t>
            </w:r>
          </w:p>
        </w:tc>
        <w:tc>
          <w:tcPr>
            <w:tcW w:w="1688" w:type="dxa"/>
            <w:gridSpan w:val="2"/>
            <w:tcBorders>
              <w:top w:val="nil"/>
              <w:left w:val="nil"/>
              <w:bottom w:val="single" w:color="auto" w:sz="4" w:space="0"/>
              <w:right w:val="single" w:color="auto" w:sz="4" w:space="0"/>
            </w:tcBorders>
            <w:noWrap w:val="0"/>
            <w:vAlign w:val="center"/>
          </w:tcPr>
          <w:p w14:paraId="06D8F4AA">
            <w:pPr>
              <w:keepNext w:val="0"/>
              <w:keepLines w:val="0"/>
              <w:pageBreakBefore w:val="0"/>
              <w:widowControl/>
              <w:kinsoku/>
              <w:wordWrap/>
              <w:overflowPunct/>
              <w:topLinePunct w:val="0"/>
              <w:bidi w:val="0"/>
              <w:spacing w:line="400" w:lineRule="exact"/>
              <w:jc w:val="center"/>
              <w:rPr>
                <w:rFonts w:ascii="宋体" w:hAnsi="宋体" w:cs="宋体"/>
                <w:color w:val="auto"/>
                <w:sz w:val="22"/>
                <w:szCs w:val="22"/>
                <w:highlight w:val="none"/>
              </w:rPr>
            </w:pPr>
          </w:p>
        </w:tc>
      </w:tr>
      <w:tr w14:paraId="4F675574">
        <w:tblPrEx>
          <w:tblCellMar>
            <w:top w:w="0" w:type="dxa"/>
            <w:left w:w="108" w:type="dxa"/>
            <w:bottom w:w="0" w:type="dxa"/>
            <w:right w:w="108" w:type="dxa"/>
          </w:tblCellMar>
        </w:tblPrEx>
        <w:trPr>
          <w:trHeight w:val="397" w:hRule="atLeast"/>
          <w:jc w:val="center"/>
        </w:trPr>
        <w:tc>
          <w:tcPr>
            <w:tcW w:w="7172" w:type="dxa"/>
            <w:gridSpan w:val="2"/>
            <w:tcBorders>
              <w:top w:val="single" w:color="auto" w:sz="4" w:space="0"/>
              <w:left w:val="single" w:color="auto" w:sz="4" w:space="0"/>
              <w:bottom w:val="single" w:color="auto" w:sz="4" w:space="0"/>
              <w:right w:val="single" w:color="auto" w:sz="4" w:space="0"/>
            </w:tcBorders>
            <w:noWrap w:val="0"/>
            <w:vAlign w:val="center"/>
          </w:tcPr>
          <w:p w14:paraId="7D122C07">
            <w:pPr>
              <w:keepNext w:val="0"/>
              <w:keepLines w:val="0"/>
              <w:pageBreakBefore w:val="0"/>
              <w:widowControl/>
              <w:kinsoku/>
              <w:wordWrap/>
              <w:overflowPunct/>
              <w:topLinePunct w:val="0"/>
              <w:bidi w:val="0"/>
              <w:spacing w:line="40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合计扣分</w:t>
            </w:r>
          </w:p>
        </w:tc>
        <w:tc>
          <w:tcPr>
            <w:tcW w:w="1688" w:type="dxa"/>
            <w:gridSpan w:val="2"/>
            <w:tcBorders>
              <w:top w:val="nil"/>
              <w:left w:val="nil"/>
              <w:bottom w:val="single" w:color="auto" w:sz="4" w:space="0"/>
              <w:right w:val="single" w:color="auto" w:sz="4" w:space="0"/>
            </w:tcBorders>
            <w:noWrap w:val="0"/>
            <w:vAlign w:val="center"/>
          </w:tcPr>
          <w:p w14:paraId="1EA88691">
            <w:pPr>
              <w:keepNext w:val="0"/>
              <w:keepLines w:val="0"/>
              <w:pageBreakBefore w:val="0"/>
              <w:widowControl/>
              <w:kinsoku/>
              <w:wordWrap/>
              <w:overflowPunct/>
              <w:topLinePunct w:val="0"/>
              <w:bidi w:val="0"/>
              <w:spacing w:line="40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　</w:t>
            </w:r>
          </w:p>
        </w:tc>
      </w:tr>
      <w:tr w14:paraId="39EC8999">
        <w:tblPrEx>
          <w:tblCellMar>
            <w:top w:w="0" w:type="dxa"/>
            <w:left w:w="108" w:type="dxa"/>
            <w:bottom w:w="0" w:type="dxa"/>
            <w:right w:w="108" w:type="dxa"/>
          </w:tblCellMar>
        </w:tblPrEx>
        <w:trPr>
          <w:trHeight w:val="397" w:hRule="atLeast"/>
          <w:jc w:val="center"/>
        </w:trPr>
        <w:tc>
          <w:tcPr>
            <w:tcW w:w="7172" w:type="dxa"/>
            <w:gridSpan w:val="2"/>
            <w:tcBorders>
              <w:top w:val="single" w:color="auto" w:sz="4" w:space="0"/>
              <w:left w:val="single" w:color="auto" w:sz="4" w:space="0"/>
              <w:bottom w:val="single" w:color="auto" w:sz="4" w:space="0"/>
              <w:right w:val="single" w:color="auto" w:sz="4" w:space="0"/>
            </w:tcBorders>
            <w:noWrap w:val="0"/>
            <w:vAlign w:val="center"/>
          </w:tcPr>
          <w:p w14:paraId="005D644E">
            <w:pPr>
              <w:keepNext w:val="0"/>
              <w:keepLines w:val="0"/>
              <w:pageBreakBefore w:val="0"/>
              <w:widowControl/>
              <w:kinsoku/>
              <w:wordWrap/>
              <w:overflowPunct/>
              <w:topLinePunct w:val="0"/>
              <w:bidi w:val="0"/>
              <w:spacing w:line="40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最终得分</w:t>
            </w:r>
          </w:p>
        </w:tc>
        <w:tc>
          <w:tcPr>
            <w:tcW w:w="1688" w:type="dxa"/>
            <w:gridSpan w:val="2"/>
            <w:tcBorders>
              <w:top w:val="nil"/>
              <w:left w:val="nil"/>
              <w:bottom w:val="single" w:color="auto" w:sz="4" w:space="0"/>
              <w:right w:val="single" w:color="auto" w:sz="4" w:space="0"/>
            </w:tcBorders>
            <w:noWrap w:val="0"/>
            <w:vAlign w:val="center"/>
          </w:tcPr>
          <w:p w14:paraId="4537639D">
            <w:pPr>
              <w:keepNext w:val="0"/>
              <w:keepLines w:val="0"/>
              <w:pageBreakBefore w:val="0"/>
              <w:widowControl/>
              <w:kinsoku/>
              <w:wordWrap/>
              <w:overflowPunct/>
              <w:topLinePunct w:val="0"/>
              <w:bidi w:val="0"/>
              <w:spacing w:line="40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　</w:t>
            </w:r>
          </w:p>
        </w:tc>
      </w:tr>
    </w:tbl>
    <w:p w14:paraId="556FB1B5">
      <w:pPr>
        <w:keepNext w:val="0"/>
        <w:keepLines w:val="0"/>
        <w:pageBreakBefore w:val="0"/>
        <w:kinsoku/>
        <w:wordWrap/>
        <w:overflowPunct/>
        <w:topLinePunct w:val="0"/>
        <w:bidi w:val="0"/>
        <w:spacing w:line="400" w:lineRule="exact"/>
        <w:rPr>
          <w:rFonts w:hint="eastAsia" w:ascii="宋体" w:hAnsi="宋体"/>
          <w:color w:val="auto"/>
          <w:sz w:val="22"/>
          <w:szCs w:val="22"/>
          <w:highlight w:val="none"/>
        </w:rPr>
      </w:pPr>
      <w:r>
        <w:rPr>
          <w:rFonts w:hint="eastAsia" w:ascii="宋体" w:hAnsi="宋体"/>
          <w:color w:val="auto"/>
          <w:sz w:val="22"/>
          <w:szCs w:val="22"/>
          <w:highlight w:val="none"/>
        </w:rPr>
        <w:t>注：1.考核时，根据实际结合条款分值酌情扣分。</w:t>
      </w:r>
    </w:p>
    <w:p w14:paraId="391225E7">
      <w:pPr>
        <w:pStyle w:val="24"/>
        <w:numPr>
          <w:ilvl w:val="0"/>
          <w:numId w:val="0"/>
        </w:numPr>
        <w:ind w:left="420" w:leftChars="0"/>
        <w:jc w:val="left"/>
        <w:rPr>
          <w:rFonts w:hint="eastAsia" w:ascii="宋体" w:hAnsi="宋体" w:eastAsia="宋体" w:cs="Times New Roman"/>
          <w:b w:val="0"/>
          <w:color w:val="auto"/>
          <w:kern w:val="2"/>
          <w:sz w:val="22"/>
          <w:szCs w:val="22"/>
          <w:highlight w:val="none"/>
          <w:lang w:val="en-US" w:eastAsia="zh-CN" w:bidi="ar-SA"/>
        </w:rPr>
      </w:pPr>
      <w:r>
        <w:rPr>
          <w:rFonts w:hint="eastAsia" w:ascii="宋体" w:hAnsi="宋体" w:cs="Times New Roman"/>
          <w:b w:val="0"/>
          <w:color w:val="auto"/>
          <w:kern w:val="2"/>
          <w:sz w:val="22"/>
          <w:szCs w:val="22"/>
          <w:highlight w:val="none"/>
          <w:lang w:val="en-US" w:eastAsia="zh-CN" w:bidi="ar-SA"/>
        </w:rPr>
        <w:t>2.</w:t>
      </w:r>
      <w:r>
        <w:rPr>
          <w:rFonts w:hint="eastAsia" w:ascii="宋体" w:hAnsi="宋体" w:eastAsia="宋体" w:cs="Times New Roman"/>
          <w:b w:val="0"/>
          <w:color w:val="auto"/>
          <w:kern w:val="2"/>
          <w:sz w:val="22"/>
          <w:szCs w:val="22"/>
          <w:highlight w:val="none"/>
          <w:lang w:val="en-US" w:eastAsia="zh-CN" w:bidi="ar-SA"/>
        </w:rPr>
        <w:t>考核满分为100分，实行倒扣分制，按月考核。考核在90分以上（含90分）不扣服务费；低于90分（不含90分），扣该期服务费的5%；低于80分（不含80分），扣该期服务费的15%；低于70分（不含70分），扣该期服务费的30%；低于60分（不含60分），招标人有权解除合同。</w:t>
      </w:r>
    </w:p>
    <w:p w14:paraId="67D1B396">
      <w:pPr>
        <w:pStyle w:val="24"/>
        <w:numPr>
          <w:ilvl w:val="0"/>
          <w:numId w:val="0"/>
        </w:numPr>
        <w:jc w:val="left"/>
        <w:rPr>
          <w:rFonts w:hint="eastAsia" w:ascii="宋体" w:hAnsi="宋体" w:cs="Times New Roman"/>
          <w:b/>
          <w:bCs/>
          <w:color w:val="auto"/>
          <w:kern w:val="2"/>
          <w:sz w:val="22"/>
          <w:szCs w:val="22"/>
          <w:highlight w:val="none"/>
          <w:lang w:val="en-US" w:eastAsia="zh-CN" w:bidi="ar-SA"/>
        </w:rPr>
      </w:pPr>
    </w:p>
    <w:p w14:paraId="401C6D65">
      <w:pPr>
        <w:spacing w:line="480" w:lineRule="auto"/>
        <w:rPr>
          <w:rFonts w:ascii="宋体" w:hAnsi="宋体" w:cs="宋体"/>
          <w:szCs w:val="21"/>
        </w:rPr>
      </w:pPr>
    </w:p>
    <w:p w14:paraId="7E9E1F95">
      <w:pPr>
        <w:rPr>
          <w:rFonts w:hAnsi="宋体"/>
          <w:color w:val="auto"/>
        </w:rPr>
      </w:pPr>
    </w:p>
    <w:p w14:paraId="6D87E2C9">
      <w:pPr>
        <w:rPr>
          <w:rFonts w:hAnsi="宋体"/>
          <w:color w:val="auto"/>
        </w:rPr>
      </w:pPr>
    </w:p>
    <w:p w14:paraId="0EF14B75">
      <w:pPr>
        <w:rPr>
          <w:rFonts w:hAnsi="宋体"/>
          <w:color w:val="auto"/>
        </w:rPr>
      </w:pPr>
    </w:p>
    <w:p w14:paraId="5EC67B2C">
      <w:pPr>
        <w:pStyle w:val="26"/>
        <w:rPr>
          <w:rFonts w:hAnsi="宋体"/>
          <w:color w:val="auto"/>
        </w:rPr>
      </w:pPr>
    </w:p>
    <w:p w14:paraId="4EBD1288">
      <w:pPr>
        <w:pStyle w:val="25"/>
        <w:rPr>
          <w:rFonts w:hAnsi="宋体"/>
          <w:color w:val="auto"/>
        </w:rPr>
      </w:pPr>
    </w:p>
    <w:p w14:paraId="47F863D2">
      <w:pPr>
        <w:pStyle w:val="21"/>
        <w:rPr>
          <w:rFonts w:hAnsi="宋体"/>
          <w:color w:val="auto"/>
        </w:rPr>
      </w:pPr>
    </w:p>
    <w:p w14:paraId="122CE9D4">
      <w:pPr>
        <w:rPr>
          <w:rFonts w:hAnsi="宋体"/>
          <w:color w:val="auto"/>
        </w:rPr>
      </w:pPr>
    </w:p>
    <w:p w14:paraId="39536D11">
      <w:pPr>
        <w:pStyle w:val="26"/>
        <w:rPr>
          <w:rFonts w:hAnsi="宋体"/>
          <w:color w:val="auto"/>
        </w:rPr>
      </w:pPr>
    </w:p>
    <w:p w14:paraId="1EC89F67">
      <w:pPr>
        <w:pStyle w:val="25"/>
      </w:pPr>
    </w:p>
    <w:p w14:paraId="4367889E">
      <w:pPr>
        <w:rPr>
          <w:rFonts w:hAnsi="宋体"/>
          <w:color w:val="auto"/>
        </w:rPr>
      </w:pPr>
    </w:p>
    <w:p w14:paraId="06398F47">
      <w:pPr>
        <w:rPr>
          <w:rFonts w:hAnsi="宋体"/>
          <w:color w:val="auto"/>
        </w:rPr>
      </w:pPr>
    </w:p>
    <w:p w14:paraId="2FB4AF5D">
      <w:pPr>
        <w:pStyle w:val="2"/>
        <w:spacing w:line="360" w:lineRule="auto"/>
        <w:rPr>
          <w:rFonts w:hint="eastAsia" w:ascii="黑体" w:hAnsi="黑体" w:eastAsia="黑体" w:cs="黑体"/>
          <w:b w:val="0"/>
          <w:bCs w:val="0"/>
          <w:color w:val="auto"/>
          <w:sz w:val="32"/>
          <w:szCs w:val="32"/>
        </w:rPr>
      </w:pPr>
    </w:p>
    <w:bookmarkEnd w:id="158"/>
    <w:bookmarkEnd w:id="159"/>
    <w:bookmarkEnd w:id="160"/>
    <w:p w14:paraId="1656C9AE">
      <w:pPr>
        <w:pStyle w:val="2"/>
        <w:spacing w:line="360" w:lineRule="auto"/>
        <w:ind w:firstLine="422" w:firstLineChars="200"/>
        <w:jc w:val="both"/>
        <w:rPr>
          <w:rFonts w:hint="eastAsia" w:ascii="宋体" w:hAnsi="宋体" w:eastAsia="宋体" w:cs="宋体"/>
          <w:bCs w:val="0"/>
          <w:color w:val="auto"/>
          <w:kern w:val="2"/>
          <w:sz w:val="21"/>
          <w:szCs w:val="21"/>
        </w:rPr>
      </w:pPr>
      <w:bookmarkStart w:id="161" w:name="_Toc221356903"/>
      <w:bookmarkStart w:id="162" w:name="_Toc221356966"/>
    </w:p>
    <w:p w14:paraId="7359F553">
      <w:pPr>
        <w:rPr>
          <w:rFonts w:hint="eastAsia" w:ascii="宋体" w:hAnsi="宋体" w:eastAsia="宋体" w:cs="宋体"/>
          <w:bCs w:val="0"/>
          <w:color w:val="auto"/>
          <w:kern w:val="2"/>
          <w:sz w:val="21"/>
          <w:szCs w:val="21"/>
        </w:rPr>
      </w:pPr>
    </w:p>
    <w:p w14:paraId="476616C0">
      <w:pPr>
        <w:rPr>
          <w:rFonts w:hint="eastAsia" w:ascii="宋体" w:hAnsi="宋体" w:eastAsia="宋体" w:cs="宋体"/>
          <w:bCs w:val="0"/>
          <w:color w:val="auto"/>
          <w:kern w:val="2"/>
          <w:sz w:val="21"/>
          <w:szCs w:val="21"/>
        </w:rPr>
      </w:pPr>
    </w:p>
    <w:p w14:paraId="327B652C">
      <w:pPr>
        <w:rPr>
          <w:rFonts w:hint="eastAsia" w:ascii="宋体" w:hAnsi="宋体" w:eastAsia="宋体" w:cs="宋体"/>
          <w:bCs w:val="0"/>
          <w:color w:val="auto"/>
          <w:kern w:val="2"/>
          <w:sz w:val="21"/>
          <w:szCs w:val="21"/>
        </w:rPr>
      </w:pPr>
    </w:p>
    <w:p w14:paraId="4EA4AF77">
      <w:pPr>
        <w:rPr>
          <w:rFonts w:hint="eastAsia" w:ascii="宋体" w:hAnsi="宋体" w:eastAsia="宋体" w:cs="宋体"/>
          <w:bCs w:val="0"/>
          <w:color w:val="auto"/>
          <w:kern w:val="2"/>
          <w:sz w:val="21"/>
          <w:szCs w:val="21"/>
        </w:rPr>
      </w:pPr>
    </w:p>
    <w:p w14:paraId="48790D17">
      <w:pPr>
        <w:pStyle w:val="2"/>
        <w:spacing w:line="360" w:lineRule="auto"/>
        <w:ind w:firstLine="422" w:firstLineChars="200"/>
        <w:jc w:val="both"/>
        <w:rPr>
          <w:rFonts w:hint="eastAsia" w:ascii="宋体" w:hAnsi="宋体" w:eastAsia="宋体" w:cs="宋体"/>
          <w:bCs w:val="0"/>
          <w:color w:val="auto"/>
          <w:kern w:val="2"/>
          <w:sz w:val="21"/>
          <w:szCs w:val="21"/>
        </w:rPr>
      </w:pPr>
    </w:p>
    <w:p w14:paraId="1E1FD264">
      <w:pPr>
        <w:pStyle w:val="2"/>
        <w:spacing w:line="360" w:lineRule="auto"/>
        <w:ind w:firstLine="422" w:firstLineChars="200"/>
        <w:jc w:val="both"/>
        <w:rPr>
          <w:rFonts w:hint="eastAsia" w:ascii="宋体" w:hAnsi="宋体" w:eastAsia="宋体" w:cs="宋体"/>
          <w:bCs w:val="0"/>
          <w:color w:val="auto"/>
          <w:kern w:val="2"/>
          <w:sz w:val="21"/>
          <w:szCs w:val="21"/>
        </w:rPr>
      </w:pPr>
    </w:p>
    <w:p w14:paraId="0C62A3D6">
      <w:pPr>
        <w:pStyle w:val="2"/>
        <w:spacing w:line="360" w:lineRule="auto"/>
        <w:ind w:firstLine="422" w:firstLineChars="200"/>
        <w:jc w:val="both"/>
        <w:rPr>
          <w:rFonts w:hint="eastAsia" w:ascii="宋体" w:hAnsi="宋体" w:eastAsia="宋体" w:cs="宋体"/>
          <w:bCs w:val="0"/>
          <w:color w:val="auto"/>
          <w:kern w:val="2"/>
          <w:sz w:val="21"/>
          <w:szCs w:val="21"/>
        </w:rPr>
      </w:pPr>
    </w:p>
    <w:p w14:paraId="47FB67EE">
      <w:pPr>
        <w:pStyle w:val="2"/>
        <w:spacing w:line="360" w:lineRule="auto"/>
        <w:ind w:firstLine="422" w:firstLineChars="200"/>
        <w:jc w:val="both"/>
        <w:rPr>
          <w:rFonts w:hint="eastAsia" w:ascii="宋体" w:hAnsi="宋体" w:eastAsia="宋体" w:cs="宋体"/>
          <w:bCs w:val="0"/>
          <w:color w:val="auto"/>
          <w:kern w:val="2"/>
          <w:sz w:val="21"/>
          <w:szCs w:val="21"/>
        </w:rPr>
      </w:pPr>
    </w:p>
    <w:p w14:paraId="114FC4DA">
      <w:pPr>
        <w:pStyle w:val="2"/>
        <w:spacing w:line="360" w:lineRule="auto"/>
        <w:ind w:firstLine="422" w:firstLineChars="200"/>
        <w:jc w:val="both"/>
        <w:rPr>
          <w:rFonts w:hint="eastAsia" w:ascii="宋体" w:hAnsi="宋体" w:eastAsia="宋体" w:cs="宋体"/>
          <w:bCs w:val="0"/>
          <w:color w:val="auto"/>
          <w:kern w:val="2"/>
          <w:sz w:val="21"/>
          <w:szCs w:val="21"/>
        </w:rPr>
      </w:pPr>
    </w:p>
    <w:p w14:paraId="3965B161">
      <w:pPr>
        <w:pStyle w:val="2"/>
        <w:spacing w:line="360" w:lineRule="auto"/>
        <w:ind w:firstLine="422" w:firstLineChars="200"/>
        <w:jc w:val="both"/>
        <w:rPr>
          <w:rFonts w:hint="eastAsia" w:ascii="宋体" w:hAnsi="宋体" w:eastAsia="宋体" w:cs="宋体"/>
          <w:bCs w:val="0"/>
          <w:color w:val="auto"/>
          <w:kern w:val="2"/>
          <w:sz w:val="21"/>
          <w:szCs w:val="21"/>
        </w:rPr>
      </w:pPr>
    </w:p>
    <w:p w14:paraId="09DD1AB0">
      <w:pPr>
        <w:pStyle w:val="2"/>
        <w:spacing w:line="360" w:lineRule="auto"/>
        <w:ind w:firstLine="422" w:firstLineChars="200"/>
        <w:jc w:val="both"/>
        <w:rPr>
          <w:rFonts w:hint="eastAsia" w:ascii="宋体" w:hAnsi="宋体" w:eastAsia="宋体" w:cs="宋体"/>
          <w:bCs w:val="0"/>
          <w:color w:val="auto"/>
          <w:kern w:val="2"/>
          <w:sz w:val="21"/>
          <w:szCs w:val="21"/>
        </w:rPr>
      </w:pPr>
    </w:p>
    <w:p w14:paraId="7843B421">
      <w:pPr>
        <w:rPr>
          <w:rFonts w:hint="eastAsia"/>
        </w:rPr>
      </w:pPr>
    </w:p>
    <w:p w14:paraId="226F8795">
      <w:pPr>
        <w:pStyle w:val="2"/>
        <w:spacing w:line="360" w:lineRule="auto"/>
        <w:rPr>
          <w:rFonts w:ascii="黑体" w:hAnsi="黑体" w:eastAsia="黑体" w:cs="黑体"/>
          <w:b w:val="0"/>
          <w:bCs w:val="0"/>
          <w:color w:val="auto"/>
          <w:sz w:val="32"/>
          <w:szCs w:val="32"/>
        </w:rPr>
      </w:pPr>
      <w:r>
        <w:rPr>
          <w:rFonts w:hint="eastAsia" w:ascii="黑体" w:hAnsi="黑体" w:eastAsia="黑体" w:cs="黑体"/>
          <w:b w:val="0"/>
          <w:bCs w:val="0"/>
          <w:color w:val="auto"/>
          <w:sz w:val="32"/>
          <w:szCs w:val="32"/>
        </w:rPr>
        <w:t>第五章</w:t>
      </w:r>
      <w:r>
        <w:rPr>
          <w:rFonts w:hint="eastAsia" w:ascii="宋体" w:hAnsi="宋体"/>
          <w:color w:val="auto"/>
          <w:szCs w:val="21"/>
        </w:rPr>
        <w:t xml:space="preserve"> </w:t>
      </w:r>
      <w:r>
        <w:rPr>
          <w:rFonts w:hint="eastAsia" w:ascii="黑体" w:hAnsi="黑体" w:eastAsia="黑体" w:cs="黑体"/>
          <w:b w:val="0"/>
          <w:bCs w:val="0"/>
          <w:color w:val="auto"/>
          <w:sz w:val="32"/>
          <w:szCs w:val="32"/>
        </w:rPr>
        <w:t>评标原则及方法</w:t>
      </w:r>
    </w:p>
    <w:p w14:paraId="69CAC398">
      <w:pPr>
        <w:pStyle w:val="2"/>
        <w:spacing w:line="360" w:lineRule="auto"/>
        <w:ind w:firstLine="211" w:firstLineChars="100"/>
        <w:jc w:val="both"/>
        <w:rPr>
          <w:rFonts w:ascii="宋体" w:hAnsi="宋体" w:eastAsia="宋体" w:cs="宋体"/>
          <w:bCs w:val="0"/>
          <w:color w:val="auto"/>
          <w:kern w:val="2"/>
          <w:sz w:val="21"/>
          <w:szCs w:val="21"/>
        </w:rPr>
      </w:pPr>
      <w:r>
        <w:rPr>
          <w:rFonts w:hint="eastAsia" w:ascii="宋体" w:hAnsi="宋体" w:eastAsia="宋体" w:cs="宋体"/>
          <w:bCs w:val="0"/>
          <w:color w:val="auto"/>
          <w:kern w:val="2"/>
          <w:sz w:val="21"/>
          <w:szCs w:val="21"/>
        </w:rPr>
        <w:t>根据《中华人民共和国政府采购法》等相关法规特制定以下评标办法。</w:t>
      </w:r>
    </w:p>
    <w:p w14:paraId="3FCF339C">
      <w:pPr>
        <w:pStyle w:val="2"/>
        <w:spacing w:line="360" w:lineRule="auto"/>
        <w:jc w:val="both"/>
        <w:rPr>
          <w:rFonts w:ascii="宋体" w:hAnsi="宋体" w:eastAsia="宋体" w:cs="宋体"/>
          <w:bCs w:val="0"/>
          <w:color w:val="auto"/>
          <w:kern w:val="2"/>
          <w:sz w:val="21"/>
          <w:szCs w:val="21"/>
        </w:rPr>
      </w:pPr>
      <w:r>
        <w:rPr>
          <w:rFonts w:hint="eastAsia" w:ascii="宋体" w:hAnsi="宋体" w:eastAsia="宋体" w:cs="宋体"/>
          <w:bCs w:val="0"/>
          <w:color w:val="auto"/>
          <w:kern w:val="2"/>
          <w:sz w:val="21"/>
          <w:szCs w:val="21"/>
        </w:rPr>
        <w:t>一、评标原则</w:t>
      </w:r>
    </w:p>
    <w:p w14:paraId="16ACBD55">
      <w:pPr>
        <w:spacing w:line="360" w:lineRule="auto"/>
        <w:ind w:firstLine="420" w:firstLineChars="200"/>
        <w:rPr>
          <w:rFonts w:ascii="宋体" w:hAnsi="宋体" w:cs="宋体"/>
          <w:color w:val="auto"/>
          <w:szCs w:val="21"/>
        </w:rPr>
      </w:pPr>
      <w:r>
        <w:rPr>
          <w:rFonts w:hint="eastAsia" w:ascii="宋体" w:hAnsi="宋体" w:cs="宋体"/>
          <w:color w:val="auto"/>
          <w:szCs w:val="21"/>
        </w:rPr>
        <w:t>评标工作遵循公平、公正、科学、择优原则和诚实、信誉、效率的服务原则。本着科学、严谨的态度，认真进行评标。择优选用，推进技术进步，确保工程质量、交货按期，节约投资，最大限度地保护当事人权益。严格按照招标文件的商务、技术要求，对响应文件进行综合评定，提出优选方案，编写评标报告。对落标单位，评标委员会不作任何落标解释。供应商不得以任何方式干扰招投标工作的进行，一经发现其响应文件将被拒绝。</w:t>
      </w:r>
      <w:bookmarkStart w:id="163" w:name="_Toc476644266"/>
      <w:bookmarkStart w:id="164" w:name="_Toc476644721"/>
    </w:p>
    <w:p w14:paraId="3398D853">
      <w:pPr>
        <w:spacing w:line="360" w:lineRule="auto"/>
        <w:rPr>
          <w:rFonts w:ascii="宋体" w:hAnsi="宋体" w:cs="宋体"/>
          <w:b/>
          <w:bCs/>
          <w:color w:val="auto"/>
          <w:szCs w:val="21"/>
          <w:lang w:val="zh-CN"/>
        </w:rPr>
      </w:pPr>
      <w:r>
        <w:rPr>
          <w:rFonts w:hint="eastAsia" w:ascii="宋体" w:hAnsi="宋体" w:cs="宋体"/>
          <w:b/>
          <w:bCs/>
          <w:color w:val="auto"/>
          <w:szCs w:val="21"/>
          <w:lang w:val="zh-CN"/>
        </w:rPr>
        <w:t>二、评标委员会的组成</w:t>
      </w:r>
      <w:bookmarkEnd w:id="163"/>
      <w:bookmarkEnd w:id="164"/>
    </w:p>
    <w:p w14:paraId="0182FA68">
      <w:pPr>
        <w:autoSpaceDE w:val="0"/>
        <w:autoSpaceDN w:val="0"/>
        <w:adjustRightInd w:val="0"/>
        <w:snapToGrid w:val="0"/>
        <w:spacing w:line="540" w:lineRule="exact"/>
        <w:ind w:firstLine="420" w:firstLineChars="200"/>
        <w:rPr>
          <w:rFonts w:ascii="宋体" w:hAnsi="宋体" w:cs="宋体"/>
          <w:color w:val="auto"/>
          <w:szCs w:val="21"/>
        </w:rPr>
      </w:pPr>
      <w:r>
        <w:rPr>
          <w:rFonts w:hint="eastAsia" w:ascii="宋体" w:hAnsi="宋体" w:cs="宋体"/>
          <w:color w:val="auto"/>
          <w:szCs w:val="21"/>
        </w:rPr>
        <w:t>1、评标委员会共5人组成，其中业主代表1名，其余4名从政府采购评审专家库中随机抽取产生。评标委员会对投标文件进行评审。</w:t>
      </w:r>
    </w:p>
    <w:p w14:paraId="6188BA63">
      <w:pPr>
        <w:autoSpaceDE w:val="0"/>
        <w:autoSpaceDN w:val="0"/>
        <w:adjustRightInd w:val="0"/>
        <w:snapToGrid w:val="0"/>
        <w:spacing w:line="540" w:lineRule="exact"/>
        <w:ind w:firstLine="420" w:firstLineChars="200"/>
        <w:rPr>
          <w:rFonts w:ascii="宋体" w:hAnsi="宋体" w:cs="宋体"/>
          <w:color w:val="auto"/>
          <w:szCs w:val="21"/>
        </w:rPr>
      </w:pPr>
      <w:r>
        <w:rPr>
          <w:rFonts w:hint="eastAsia" w:ascii="宋体" w:hAnsi="宋体" w:cs="宋体"/>
          <w:color w:val="auto"/>
          <w:szCs w:val="21"/>
        </w:rPr>
        <w:t>2、在线询标期间，投标人法定代表人或</w:t>
      </w:r>
      <w:r>
        <w:rPr>
          <w:rFonts w:hint="eastAsia" w:hAnsi="宋体" w:cs="宋体"/>
          <w:color w:val="auto"/>
        </w:rPr>
        <w:t>法定代表人授权委托人</w:t>
      </w:r>
      <w:r>
        <w:rPr>
          <w:rFonts w:hint="eastAsia" w:ascii="宋体" w:hAnsi="宋体" w:cs="宋体"/>
          <w:color w:val="auto"/>
          <w:szCs w:val="21"/>
        </w:rPr>
        <w:t>必须在线，负责解答有关事宜。如不在线或未在规定时间内回复，则事后不得对采购过程及结果提出异议。</w:t>
      </w:r>
    </w:p>
    <w:p w14:paraId="4671D4BF">
      <w:pPr>
        <w:autoSpaceDE w:val="0"/>
        <w:autoSpaceDN w:val="0"/>
        <w:adjustRightInd w:val="0"/>
        <w:snapToGrid w:val="0"/>
        <w:spacing w:line="540" w:lineRule="exact"/>
        <w:rPr>
          <w:rFonts w:ascii="宋体" w:hAnsi="宋体" w:cs="宋体"/>
          <w:b/>
          <w:color w:val="auto"/>
          <w:szCs w:val="21"/>
        </w:rPr>
      </w:pPr>
      <w:r>
        <w:rPr>
          <w:rFonts w:hint="eastAsia" w:ascii="宋体" w:hAnsi="宋体" w:cs="宋体"/>
          <w:b/>
          <w:color w:val="auto"/>
          <w:szCs w:val="21"/>
        </w:rPr>
        <w:t>三、评标方法</w:t>
      </w:r>
    </w:p>
    <w:p w14:paraId="0466FCEC">
      <w:pPr>
        <w:spacing w:line="360" w:lineRule="auto"/>
        <w:ind w:firstLine="420" w:firstLineChars="200"/>
        <w:rPr>
          <w:rFonts w:ascii="宋体" w:hAnsi="宋体"/>
          <w:color w:val="auto"/>
          <w:szCs w:val="21"/>
        </w:rPr>
      </w:pPr>
      <w:r>
        <w:rPr>
          <w:rFonts w:hint="eastAsia" w:ascii="宋体" w:hAnsi="宋体"/>
          <w:color w:val="auto"/>
          <w:szCs w:val="21"/>
        </w:rPr>
        <w:t>1、投标报价是指报价合计。</w:t>
      </w:r>
    </w:p>
    <w:p w14:paraId="146B2379">
      <w:pPr>
        <w:spacing w:line="360" w:lineRule="auto"/>
        <w:ind w:firstLine="420" w:firstLineChars="200"/>
        <w:rPr>
          <w:rFonts w:ascii="宋体" w:hAnsi="宋体"/>
          <w:color w:val="auto"/>
          <w:szCs w:val="21"/>
        </w:rPr>
      </w:pPr>
      <w:r>
        <w:rPr>
          <w:rFonts w:hint="eastAsia" w:ascii="宋体" w:hAnsi="宋体"/>
          <w:color w:val="auto"/>
          <w:szCs w:val="21"/>
        </w:rPr>
        <w:t>2、本项目采用综合评分法，即以投标人完全响应招标文件设定的全部责任条款为前提。由评标委员会按招标文件中规定的各项因素进行综合评审，确定综合得分最高的投标人为中标人。总得分相同的，按投标报价由低到高顺序排列；总得分且投标报价相同的，按技术指标优劣顺序排列。</w:t>
      </w:r>
    </w:p>
    <w:p w14:paraId="52EB52AB">
      <w:pPr>
        <w:spacing w:line="360" w:lineRule="auto"/>
        <w:ind w:firstLine="420" w:firstLineChars="200"/>
        <w:rPr>
          <w:rFonts w:ascii="宋体" w:hAnsi="宋体"/>
          <w:color w:val="auto"/>
          <w:szCs w:val="21"/>
        </w:rPr>
      </w:pPr>
      <w:r>
        <w:rPr>
          <w:rFonts w:hint="eastAsia" w:ascii="宋体" w:hAnsi="宋体"/>
          <w:color w:val="auto"/>
          <w:szCs w:val="21"/>
        </w:rPr>
        <w:t>计算结果按四舍五入，保留两位小数。</w:t>
      </w:r>
    </w:p>
    <w:p w14:paraId="755F5E65">
      <w:pPr>
        <w:spacing w:line="360" w:lineRule="auto"/>
        <w:ind w:firstLine="420" w:firstLineChars="200"/>
        <w:rPr>
          <w:color w:val="auto"/>
        </w:rPr>
      </w:pPr>
      <w:r>
        <w:rPr>
          <w:rFonts w:hint="eastAsia"/>
          <w:color w:val="auto"/>
        </w:rPr>
        <w:t>3、</w:t>
      </w:r>
      <w:r>
        <w:rPr>
          <w:color w:val="auto"/>
        </w:rPr>
        <w:t>评标标准</w:t>
      </w:r>
    </w:p>
    <w:p w14:paraId="6D6022CD">
      <w:pPr>
        <w:spacing w:line="360" w:lineRule="auto"/>
        <w:ind w:firstLine="420" w:firstLineChars="200"/>
        <w:rPr>
          <w:color w:val="auto"/>
        </w:rPr>
      </w:pPr>
      <w:r>
        <w:rPr>
          <w:color w:val="auto"/>
        </w:rPr>
        <w:t>各投标人的综合得分为报价得分和</w:t>
      </w:r>
      <w:r>
        <w:rPr>
          <w:rFonts w:hint="eastAsia"/>
          <w:color w:val="auto"/>
          <w:lang w:val="en-US" w:eastAsia="zh-CN"/>
        </w:rPr>
        <w:t>商务技术</w:t>
      </w:r>
      <w:r>
        <w:rPr>
          <w:color w:val="auto"/>
        </w:rPr>
        <w:t>得分之和，总分为100分，其中：报价分</w:t>
      </w:r>
      <w:r>
        <w:rPr>
          <w:rFonts w:hint="eastAsia"/>
          <w:color w:val="auto"/>
          <w:lang w:val="en-US" w:eastAsia="zh-CN"/>
        </w:rPr>
        <w:t>20</w:t>
      </w:r>
      <w:r>
        <w:rPr>
          <w:color w:val="auto"/>
        </w:rPr>
        <w:t>分，</w:t>
      </w:r>
      <w:r>
        <w:rPr>
          <w:rFonts w:hint="eastAsia"/>
          <w:color w:val="auto"/>
          <w:lang w:val="en-US" w:eastAsia="zh-CN"/>
        </w:rPr>
        <w:t>商务技术</w:t>
      </w:r>
      <w:r>
        <w:rPr>
          <w:color w:val="auto"/>
        </w:rPr>
        <w:t>分</w:t>
      </w:r>
      <w:r>
        <w:rPr>
          <w:rFonts w:hint="eastAsia"/>
          <w:color w:val="auto"/>
          <w:lang w:val="en-US" w:eastAsia="zh-CN"/>
        </w:rPr>
        <w:t>80</w:t>
      </w:r>
      <w:r>
        <w:rPr>
          <w:color w:val="auto"/>
        </w:rPr>
        <w:t>分。各投标人的</w:t>
      </w:r>
      <w:r>
        <w:rPr>
          <w:rFonts w:hint="eastAsia"/>
          <w:color w:val="auto"/>
          <w:lang w:val="en-US" w:eastAsia="zh-CN"/>
        </w:rPr>
        <w:t>商务</w:t>
      </w:r>
      <w:r>
        <w:rPr>
          <w:rFonts w:hint="eastAsia"/>
          <w:color w:val="auto"/>
        </w:rPr>
        <w:t>评分由评标委员会统一打分，</w:t>
      </w:r>
      <w:r>
        <w:rPr>
          <w:color w:val="auto"/>
        </w:rPr>
        <w:t>技术评分按照评标委员会成员的独立评分结果汇总后的算术平均分计算；各投标人的报价分得分按低价优先法计算。</w:t>
      </w:r>
    </w:p>
    <w:p w14:paraId="17F9558D">
      <w:pPr>
        <w:spacing w:line="500" w:lineRule="exact"/>
        <w:ind w:firstLine="420" w:firstLineChars="200"/>
        <w:rPr>
          <w:color w:val="auto"/>
        </w:rPr>
      </w:pPr>
      <w:r>
        <w:rPr>
          <w:color w:val="auto"/>
        </w:rPr>
        <w:t>3.1报价分（</w:t>
      </w:r>
      <w:r>
        <w:rPr>
          <w:rFonts w:hint="eastAsia"/>
          <w:color w:val="auto"/>
          <w:lang w:val="en-US" w:eastAsia="zh-CN"/>
        </w:rPr>
        <w:t>20</w:t>
      </w:r>
      <w:r>
        <w:rPr>
          <w:color w:val="auto"/>
        </w:rPr>
        <w:t>分）：</w:t>
      </w:r>
    </w:p>
    <w:p w14:paraId="022D0402">
      <w:pPr>
        <w:spacing w:line="500" w:lineRule="exact"/>
        <w:ind w:firstLine="420" w:firstLineChars="200"/>
        <w:rPr>
          <w:color w:val="auto"/>
        </w:rPr>
      </w:pPr>
      <w:r>
        <w:rPr>
          <w:color w:val="auto"/>
        </w:rPr>
        <w:t>3.1.1报价得分采用低价优先法准则，即满足招标文件要求且投标价格最低的投标报价为评标基准价。</w:t>
      </w:r>
    </w:p>
    <w:p w14:paraId="3A03BA4A">
      <w:pPr>
        <w:spacing w:line="500" w:lineRule="exact"/>
        <w:ind w:firstLine="420" w:firstLineChars="200"/>
        <w:rPr>
          <w:color w:val="auto"/>
        </w:rPr>
      </w:pPr>
      <w:r>
        <w:rPr>
          <w:color w:val="auto"/>
        </w:rPr>
        <w:t>3.1.2报价得分按下列公式计算：</w:t>
      </w:r>
    </w:p>
    <w:p w14:paraId="14B24073">
      <w:pPr>
        <w:spacing w:line="500" w:lineRule="exact"/>
        <w:ind w:firstLine="420" w:firstLineChars="200"/>
        <w:rPr>
          <w:color w:val="auto"/>
        </w:rPr>
      </w:pPr>
      <w:r>
        <w:rPr>
          <w:color w:val="auto"/>
        </w:rPr>
        <w:t>报价得分=（评标基准价 / 投标报价）×</w:t>
      </w:r>
      <w:r>
        <w:rPr>
          <w:rFonts w:hint="eastAsia"/>
          <w:color w:val="auto"/>
          <w:lang w:val="en-US" w:eastAsia="zh-CN"/>
        </w:rPr>
        <w:t>2</w:t>
      </w:r>
      <w:r>
        <w:rPr>
          <w:rFonts w:hint="eastAsia"/>
          <w:color w:val="auto"/>
        </w:rPr>
        <w:t>0</w:t>
      </w:r>
      <w:r>
        <w:rPr>
          <w:color w:val="auto"/>
        </w:rPr>
        <w:t>%×100</w:t>
      </w:r>
      <w:r>
        <w:rPr>
          <w:rFonts w:hint="eastAsia"/>
          <w:color w:val="auto"/>
        </w:rPr>
        <w:t>，</w:t>
      </w:r>
      <w:r>
        <w:rPr>
          <w:rFonts w:hint="eastAsia" w:ascii="宋体" w:hAnsi="宋体" w:cs="宋体"/>
          <w:bCs/>
          <w:color w:val="auto"/>
          <w:szCs w:val="21"/>
        </w:rPr>
        <w:t>结果四舍五入，保留两位小数。</w:t>
      </w:r>
    </w:p>
    <w:p w14:paraId="36006B1B">
      <w:pPr>
        <w:spacing w:line="500" w:lineRule="exact"/>
        <w:ind w:firstLine="420" w:firstLineChars="200"/>
        <w:rPr>
          <w:color w:val="auto"/>
        </w:rPr>
      </w:pPr>
      <w:r>
        <w:rPr>
          <w:color w:val="auto"/>
        </w:rPr>
        <w:t xml:space="preserve">3.2 </w:t>
      </w:r>
      <w:r>
        <w:rPr>
          <w:rFonts w:hint="eastAsia"/>
          <w:color w:val="auto"/>
          <w:lang w:val="en-US" w:eastAsia="zh-CN"/>
        </w:rPr>
        <w:t>商务技术</w:t>
      </w:r>
      <w:r>
        <w:rPr>
          <w:color w:val="auto"/>
        </w:rPr>
        <w:t>分（</w:t>
      </w:r>
      <w:r>
        <w:rPr>
          <w:rFonts w:hint="eastAsia"/>
          <w:color w:val="auto"/>
          <w:lang w:val="en-US" w:eastAsia="zh-CN"/>
        </w:rPr>
        <w:t>8</w:t>
      </w:r>
      <w:r>
        <w:rPr>
          <w:rFonts w:hint="eastAsia"/>
          <w:color w:val="auto"/>
        </w:rPr>
        <w:t>0</w:t>
      </w:r>
      <w:r>
        <w:rPr>
          <w:color w:val="auto"/>
        </w:rPr>
        <w:t>分）：</w:t>
      </w:r>
      <w:r>
        <w:rPr>
          <w:rFonts w:hint="eastAsia"/>
          <w:color w:val="auto"/>
          <w:lang w:val="en-US" w:eastAsia="zh-CN"/>
        </w:rPr>
        <w:t>商务</w:t>
      </w:r>
      <w:r>
        <w:rPr>
          <w:rFonts w:hint="eastAsia"/>
          <w:color w:val="auto"/>
        </w:rPr>
        <w:t>评分由评标委员会统一打分，</w:t>
      </w:r>
      <w:r>
        <w:rPr>
          <w:color w:val="auto"/>
        </w:rPr>
        <w:t>技术评分按照评标委员会成员的独立评分结果汇总后的算术平均分计算。</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
        <w:gridCol w:w="1496"/>
        <w:gridCol w:w="7157"/>
        <w:gridCol w:w="840"/>
      </w:tblGrid>
      <w:tr w14:paraId="5C6BC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9" w:type="dxa"/>
            <w:vAlign w:val="center"/>
          </w:tcPr>
          <w:p w14:paraId="001693EC">
            <w:pPr>
              <w:autoSpaceDE w:val="0"/>
              <w:autoSpaceDN w:val="0"/>
              <w:adjustRightInd w:val="0"/>
              <w:jc w:val="center"/>
              <w:textAlignment w:val="baseline"/>
              <w:rPr>
                <w:rFonts w:ascii="宋体" w:cs="宋体"/>
                <w:b/>
                <w:color w:val="auto"/>
                <w:kern w:val="0"/>
                <w:szCs w:val="21"/>
                <w:highlight w:val="none"/>
              </w:rPr>
            </w:pPr>
            <w:r>
              <w:rPr>
                <w:rFonts w:hint="eastAsia" w:ascii="宋体" w:cs="宋体"/>
                <w:b/>
                <w:color w:val="auto"/>
                <w:kern w:val="0"/>
                <w:szCs w:val="21"/>
                <w:highlight w:val="none"/>
              </w:rPr>
              <w:t>序号</w:t>
            </w:r>
          </w:p>
        </w:tc>
        <w:tc>
          <w:tcPr>
            <w:tcW w:w="1496" w:type="dxa"/>
            <w:vAlign w:val="center"/>
          </w:tcPr>
          <w:p w14:paraId="2ABFBBE1">
            <w:pPr>
              <w:autoSpaceDE w:val="0"/>
              <w:autoSpaceDN w:val="0"/>
              <w:adjustRightInd w:val="0"/>
              <w:jc w:val="center"/>
              <w:textAlignment w:val="baseline"/>
              <w:rPr>
                <w:rFonts w:ascii="宋体" w:cs="宋体"/>
                <w:b/>
                <w:color w:val="auto"/>
                <w:kern w:val="0"/>
                <w:szCs w:val="21"/>
                <w:highlight w:val="none"/>
              </w:rPr>
            </w:pPr>
            <w:r>
              <w:rPr>
                <w:rFonts w:hint="eastAsia" w:ascii="宋体" w:cs="宋体"/>
                <w:b/>
                <w:color w:val="auto"/>
                <w:kern w:val="0"/>
                <w:szCs w:val="21"/>
                <w:highlight w:val="none"/>
              </w:rPr>
              <w:t>评审内容</w:t>
            </w:r>
          </w:p>
        </w:tc>
        <w:tc>
          <w:tcPr>
            <w:tcW w:w="7157" w:type="dxa"/>
            <w:vAlign w:val="center"/>
          </w:tcPr>
          <w:p w14:paraId="205E3AD8">
            <w:pPr>
              <w:ind w:firstLine="422" w:firstLineChars="200"/>
              <w:jc w:val="center"/>
              <w:rPr>
                <w:rFonts w:ascii="宋体" w:cs="宋体"/>
                <w:b/>
                <w:color w:val="auto"/>
                <w:kern w:val="0"/>
                <w:szCs w:val="21"/>
                <w:highlight w:val="none"/>
              </w:rPr>
            </w:pPr>
            <w:r>
              <w:rPr>
                <w:rFonts w:hint="eastAsia" w:ascii="仿宋" w:hAnsi="仿宋" w:cs="仿宋"/>
                <w:b/>
                <w:color w:val="auto"/>
                <w:highlight w:val="none"/>
              </w:rPr>
              <w:t>评分细则</w:t>
            </w:r>
          </w:p>
        </w:tc>
        <w:tc>
          <w:tcPr>
            <w:tcW w:w="840" w:type="dxa"/>
            <w:vAlign w:val="center"/>
          </w:tcPr>
          <w:p w14:paraId="55AD12C4">
            <w:pPr>
              <w:autoSpaceDE w:val="0"/>
              <w:autoSpaceDN w:val="0"/>
              <w:adjustRightInd w:val="0"/>
              <w:jc w:val="center"/>
              <w:textAlignment w:val="baseline"/>
              <w:rPr>
                <w:rFonts w:ascii="宋体" w:cs="宋体"/>
                <w:b/>
                <w:color w:val="auto"/>
                <w:kern w:val="0"/>
                <w:szCs w:val="21"/>
                <w:highlight w:val="none"/>
              </w:rPr>
            </w:pPr>
            <w:r>
              <w:rPr>
                <w:rFonts w:hint="eastAsia" w:ascii="宋体" w:cs="宋体"/>
                <w:b/>
                <w:color w:val="auto"/>
                <w:kern w:val="0"/>
                <w:szCs w:val="21"/>
                <w:highlight w:val="none"/>
              </w:rPr>
              <w:t>分值</w:t>
            </w:r>
          </w:p>
        </w:tc>
      </w:tr>
      <w:tr w14:paraId="7A849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9" w:type="dxa"/>
            <w:vAlign w:val="center"/>
          </w:tcPr>
          <w:p w14:paraId="1FAAF06E">
            <w:pPr>
              <w:autoSpaceDE w:val="0"/>
              <w:autoSpaceDN w:val="0"/>
              <w:adjustRightInd w:val="0"/>
              <w:spacing w:line="360" w:lineRule="auto"/>
              <w:jc w:val="center"/>
              <w:textAlignment w:val="baseline"/>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w:t>
            </w:r>
          </w:p>
        </w:tc>
        <w:tc>
          <w:tcPr>
            <w:tcW w:w="1496" w:type="dxa"/>
            <w:vAlign w:val="center"/>
          </w:tcPr>
          <w:p w14:paraId="5C6AFD74">
            <w:pPr>
              <w:keepNext w:val="0"/>
              <w:keepLines w:val="0"/>
              <w:widowControl/>
              <w:suppressLineNumbers w:val="0"/>
              <w:autoSpaceDE w:val="0"/>
              <w:autoSpaceDN w:val="0"/>
              <w:spacing w:before="0" w:after="0" w:line="360" w:lineRule="auto"/>
              <w:ind w:left="0" w:leftChars="0" w:right="0" w:rightChars="0" w:firstLine="0" w:firstLineChars="0"/>
              <w:jc w:val="center"/>
              <w:textAlignment w:val="center"/>
              <w:rPr>
                <w:rFonts w:hint="eastAsia"/>
                <w:color w:val="auto"/>
                <w:kern w:val="0"/>
                <w:szCs w:val="21"/>
                <w:highlight w:val="none"/>
                <w:lang w:eastAsia="zh-CN"/>
              </w:rPr>
            </w:pPr>
            <w:r>
              <w:rPr>
                <w:rFonts w:hint="eastAsia" w:ascii="宋体" w:hAnsi="宋体" w:eastAsia="宋体" w:cs="宋体"/>
                <w:kern w:val="0"/>
                <w:sz w:val="21"/>
                <w:szCs w:val="21"/>
                <w:highlight w:val="none"/>
                <w:lang w:eastAsia="zh-CN"/>
              </w:rPr>
              <w:t>类似业绩</w:t>
            </w:r>
          </w:p>
        </w:tc>
        <w:tc>
          <w:tcPr>
            <w:tcW w:w="7157" w:type="dxa"/>
            <w:vAlign w:val="center"/>
          </w:tcPr>
          <w:p w14:paraId="75BE9786">
            <w:pPr>
              <w:pStyle w:val="74"/>
              <w:bidi w:val="0"/>
              <w:jc w:val="left"/>
              <w:rPr>
                <w:rFonts w:hint="eastAsia"/>
                <w:highlight w:val="none"/>
              </w:rPr>
            </w:pPr>
            <w:r>
              <w:rPr>
                <w:rFonts w:hint="eastAsia"/>
                <w:highlight w:val="none"/>
              </w:rPr>
              <w:t>投标人自202</w:t>
            </w:r>
            <w:r>
              <w:rPr>
                <w:rFonts w:hint="eastAsia"/>
                <w:highlight w:val="none"/>
                <w:lang w:val="en-US" w:eastAsia="zh-CN"/>
              </w:rPr>
              <w:t>2</w:t>
            </w:r>
            <w:r>
              <w:rPr>
                <w:rFonts w:hint="eastAsia"/>
                <w:highlight w:val="none"/>
              </w:rPr>
              <w:t>年</w:t>
            </w:r>
            <w:r>
              <w:rPr>
                <w:rFonts w:hint="eastAsia"/>
                <w:highlight w:val="none"/>
                <w:lang w:val="en-US" w:eastAsia="zh-CN"/>
              </w:rPr>
              <w:t>0</w:t>
            </w:r>
            <w:r>
              <w:rPr>
                <w:rFonts w:hint="eastAsia"/>
                <w:highlight w:val="none"/>
              </w:rPr>
              <w:t>1月</w:t>
            </w:r>
            <w:r>
              <w:rPr>
                <w:rFonts w:hint="eastAsia"/>
                <w:highlight w:val="none"/>
                <w:lang w:val="en-US" w:eastAsia="zh-CN"/>
              </w:rPr>
              <w:t>0</w:t>
            </w:r>
            <w:r>
              <w:rPr>
                <w:rFonts w:hint="eastAsia"/>
                <w:highlight w:val="none"/>
              </w:rPr>
              <w:t>1日以来（以合同签订时间为准）</w:t>
            </w:r>
            <w:r>
              <w:rPr>
                <w:rFonts w:hint="eastAsia"/>
                <w:highlight w:val="none"/>
                <w:lang w:eastAsia="zh-CN"/>
              </w:rPr>
              <w:t>承接</w:t>
            </w:r>
            <w:r>
              <w:rPr>
                <w:rFonts w:hint="eastAsia"/>
                <w:highlight w:val="none"/>
              </w:rPr>
              <w:t>过类似</w:t>
            </w:r>
            <w:r>
              <w:rPr>
                <w:rFonts w:hint="eastAsia"/>
                <w:highlight w:val="none"/>
                <w:lang w:eastAsia="zh-CN"/>
              </w:rPr>
              <w:t>业绩</w:t>
            </w:r>
            <w:r>
              <w:rPr>
                <w:rFonts w:hint="eastAsia"/>
                <w:highlight w:val="none"/>
              </w:rPr>
              <w:t>的，每</w:t>
            </w:r>
            <w:r>
              <w:rPr>
                <w:rFonts w:hint="eastAsia"/>
                <w:highlight w:val="none"/>
                <w:lang w:eastAsia="zh-CN"/>
              </w:rPr>
              <w:t>提供</w:t>
            </w:r>
            <w:r>
              <w:rPr>
                <w:rFonts w:hint="eastAsia"/>
                <w:highlight w:val="none"/>
              </w:rPr>
              <w:t>一个得</w:t>
            </w:r>
            <w:r>
              <w:rPr>
                <w:rFonts w:hint="eastAsia"/>
                <w:highlight w:val="none"/>
                <w:lang w:val="en-US" w:eastAsia="zh-CN"/>
              </w:rPr>
              <w:t>0.5</w:t>
            </w:r>
            <w:r>
              <w:rPr>
                <w:rFonts w:hint="eastAsia"/>
                <w:highlight w:val="none"/>
              </w:rPr>
              <w:t>分，最高得</w:t>
            </w:r>
            <w:r>
              <w:rPr>
                <w:rFonts w:hint="eastAsia"/>
                <w:highlight w:val="none"/>
                <w:lang w:val="en-US" w:eastAsia="zh-CN"/>
              </w:rPr>
              <w:t>1</w:t>
            </w:r>
            <w:r>
              <w:rPr>
                <w:rFonts w:hint="eastAsia"/>
                <w:highlight w:val="none"/>
              </w:rPr>
              <w:t>分。</w:t>
            </w:r>
          </w:p>
          <w:p w14:paraId="5B7B162A">
            <w:pPr>
              <w:numPr>
                <w:ilvl w:val="0"/>
                <w:numId w:val="0"/>
              </w:numPr>
              <w:adjustRightInd/>
              <w:spacing w:line="312" w:lineRule="auto"/>
              <w:ind w:left="0" w:leftChars="0" w:firstLine="0" w:firstLineChars="0"/>
              <w:jc w:val="left"/>
              <w:rPr>
                <w:b/>
                <w:bCs/>
                <w:color w:val="auto"/>
                <w:kern w:val="0"/>
                <w:szCs w:val="21"/>
                <w:highlight w:val="none"/>
                <w:lang w:val="zh-CN"/>
              </w:rPr>
            </w:pPr>
            <w:r>
              <w:rPr>
                <w:rFonts w:hint="eastAsia"/>
                <w:b/>
                <w:bCs/>
                <w:highlight w:val="none"/>
                <w:lang w:val="en-US" w:eastAsia="zh-CN"/>
              </w:rPr>
              <w:t>注：</w:t>
            </w:r>
            <w:r>
              <w:rPr>
                <w:rFonts w:hint="eastAsia"/>
                <w:b/>
                <w:bCs/>
                <w:highlight w:val="none"/>
                <w:lang w:eastAsia="zh-CN"/>
              </w:rPr>
              <w:t>提供</w:t>
            </w:r>
            <w:r>
              <w:rPr>
                <w:rFonts w:hint="eastAsia"/>
                <w:b/>
                <w:bCs/>
                <w:highlight w:val="none"/>
              </w:rPr>
              <w:t>合同扫描件</w:t>
            </w:r>
            <w:r>
              <w:rPr>
                <w:rFonts w:hint="eastAsia"/>
                <w:b/>
                <w:bCs/>
                <w:highlight w:val="none"/>
                <w:lang w:eastAsia="zh-CN"/>
              </w:rPr>
              <w:t>，</w:t>
            </w:r>
            <w:r>
              <w:rPr>
                <w:rFonts w:hint="eastAsia"/>
                <w:b/>
                <w:bCs/>
                <w:highlight w:val="none"/>
              </w:rPr>
              <w:t>否则不得分。</w:t>
            </w:r>
          </w:p>
        </w:tc>
        <w:tc>
          <w:tcPr>
            <w:tcW w:w="840" w:type="dxa"/>
            <w:vAlign w:val="center"/>
          </w:tcPr>
          <w:p w14:paraId="66C0310D">
            <w:pPr>
              <w:keepNext w:val="0"/>
              <w:keepLines w:val="0"/>
              <w:widowControl/>
              <w:suppressLineNumbers w:val="0"/>
              <w:autoSpaceDE w:val="0"/>
              <w:autoSpaceDN w:val="0"/>
              <w:spacing w:before="0" w:after="0" w:line="240" w:lineRule="auto"/>
              <w:ind w:left="0" w:leftChars="0" w:right="0" w:rightChars="0" w:firstLine="0" w:firstLineChars="0"/>
              <w:jc w:val="center"/>
              <w:textAlignment w:val="center"/>
              <w:rPr>
                <w:rFonts w:hint="eastAsia" w:ascii="宋体" w:hAnsi="宋体" w:cs="宋体"/>
                <w:color w:val="auto"/>
                <w:kern w:val="0"/>
                <w:szCs w:val="21"/>
                <w:highlight w:val="none"/>
              </w:rPr>
            </w:pPr>
            <w:r>
              <w:rPr>
                <w:rFonts w:hint="eastAsia" w:ascii="宋体" w:hAnsi="宋体" w:cs="宋体"/>
                <w:color w:val="auto"/>
                <w:spacing w:val="-4"/>
                <w:kern w:val="0"/>
                <w:sz w:val="22"/>
                <w:szCs w:val="22"/>
                <w:highlight w:val="none"/>
                <w:lang w:val="en-US" w:eastAsia="zh-CN" w:bidi="ar-SA"/>
              </w:rPr>
              <w:t>0-1分</w:t>
            </w:r>
          </w:p>
        </w:tc>
      </w:tr>
      <w:tr w14:paraId="1B78B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9" w:type="dxa"/>
            <w:vAlign w:val="center"/>
          </w:tcPr>
          <w:p w14:paraId="4B345EBF">
            <w:pPr>
              <w:autoSpaceDE w:val="0"/>
              <w:autoSpaceDN w:val="0"/>
              <w:adjustRightInd w:val="0"/>
              <w:spacing w:line="360" w:lineRule="auto"/>
              <w:jc w:val="center"/>
              <w:textAlignment w:val="baseline"/>
              <w:rPr>
                <w:rFonts w:hint="eastAsia" w:ascii="宋体" w:eastAsia="宋体"/>
                <w:color w:val="auto"/>
                <w:kern w:val="0"/>
                <w:sz w:val="34"/>
                <w:szCs w:val="20"/>
                <w:highlight w:val="none"/>
                <w:lang w:eastAsia="zh-CN"/>
              </w:rPr>
            </w:pPr>
            <w:r>
              <w:rPr>
                <w:rFonts w:hint="eastAsia" w:ascii="宋体" w:hAnsi="宋体" w:cs="宋体"/>
                <w:color w:val="auto"/>
                <w:kern w:val="0"/>
                <w:szCs w:val="21"/>
                <w:highlight w:val="none"/>
                <w:lang w:val="en-US" w:eastAsia="zh-CN"/>
              </w:rPr>
              <w:t>2</w:t>
            </w:r>
          </w:p>
        </w:tc>
        <w:tc>
          <w:tcPr>
            <w:tcW w:w="1496" w:type="dxa"/>
            <w:vAlign w:val="center"/>
          </w:tcPr>
          <w:p w14:paraId="424CA30F">
            <w:pPr>
              <w:autoSpaceDE w:val="0"/>
              <w:autoSpaceDN w:val="0"/>
              <w:adjustRightInd w:val="0"/>
              <w:spacing w:line="360" w:lineRule="auto"/>
              <w:jc w:val="center"/>
              <w:textAlignment w:val="baseline"/>
              <w:rPr>
                <w:rFonts w:hint="eastAsia" w:eastAsia="宋体"/>
                <w:color w:val="auto"/>
                <w:kern w:val="0"/>
                <w:sz w:val="34"/>
                <w:szCs w:val="20"/>
                <w:highlight w:val="none"/>
                <w:lang w:eastAsia="zh-CN"/>
              </w:rPr>
            </w:pPr>
            <w:r>
              <w:rPr>
                <w:rFonts w:hint="eastAsia"/>
                <w:color w:val="auto"/>
                <w:kern w:val="0"/>
                <w:szCs w:val="21"/>
                <w:highlight w:val="none"/>
                <w:lang w:eastAsia="zh-CN"/>
              </w:rPr>
              <w:t>体系认证</w:t>
            </w:r>
          </w:p>
        </w:tc>
        <w:tc>
          <w:tcPr>
            <w:tcW w:w="7157" w:type="dxa"/>
            <w:vAlign w:val="center"/>
          </w:tcPr>
          <w:p w14:paraId="20B98177">
            <w:pPr>
              <w:widowControl/>
              <w:wordWrap w:val="0"/>
              <w:autoSpaceDE w:val="0"/>
              <w:autoSpaceDN w:val="0"/>
              <w:adjustRightInd w:val="0"/>
              <w:spacing w:line="360" w:lineRule="auto"/>
              <w:rPr>
                <w:color w:val="auto"/>
                <w:kern w:val="0"/>
                <w:szCs w:val="21"/>
                <w:highlight w:val="none"/>
                <w:lang w:val="zh-CN"/>
              </w:rPr>
            </w:pPr>
            <w:r>
              <w:rPr>
                <w:color w:val="auto"/>
                <w:kern w:val="0"/>
                <w:szCs w:val="21"/>
                <w:highlight w:val="none"/>
                <w:lang w:val="zh-CN"/>
              </w:rPr>
              <w:t>投标人具有有效期内的质量管理体系、环境管理体系、职业健康安全管理体系的</w:t>
            </w:r>
            <w:r>
              <w:rPr>
                <w:rFonts w:hint="eastAsia"/>
                <w:color w:val="auto"/>
                <w:kern w:val="0"/>
                <w:szCs w:val="21"/>
                <w:highlight w:val="none"/>
                <w:lang w:val="zh-CN"/>
              </w:rPr>
              <w:t>，每项得</w:t>
            </w:r>
            <w:r>
              <w:rPr>
                <w:rFonts w:hint="eastAsia"/>
                <w:color w:val="auto"/>
                <w:kern w:val="0"/>
                <w:szCs w:val="21"/>
                <w:highlight w:val="none"/>
                <w:lang w:val="en-US" w:eastAsia="zh-CN"/>
              </w:rPr>
              <w:t>1分</w:t>
            </w:r>
            <w:r>
              <w:rPr>
                <w:color w:val="auto"/>
                <w:kern w:val="0"/>
                <w:szCs w:val="21"/>
                <w:highlight w:val="none"/>
                <w:lang w:val="zh-CN"/>
              </w:rPr>
              <w:t>，</w:t>
            </w:r>
            <w:r>
              <w:rPr>
                <w:rFonts w:hint="eastAsia"/>
                <w:color w:val="auto"/>
                <w:kern w:val="0"/>
                <w:szCs w:val="21"/>
                <w:highlight w:val="none"/>
                <w:lang w:val="zh-CN"/>
              </w:rPr>
              <w:t>最多得</w:t>
            </w:r>
            <w:r>
              <w:rPr>
                <w:rFonts w:hint="eastAsia"/>
                <w:color w:val="auto"/>
                <w:kern w:val="0"/>
                <w:szCs w:val="21"/>
                <w:highlight w:val="none"/>
              </w:rPr>
              <w:t>3</w:t>
            </w:r>
            <w:r>
              <w:rPr>
                <w:color w:val="auto"/>
                <w:kern w:val="0"/>
                <w:szCs w:val="21"/>
                <w:highlight w:val="none"/>
                <w:lang w:val="zh-CN"/>
              </w:rPr>
              <w:t>分。</w:t>
            </w:r>
          </w:p>
          <w:p w14:paraId="4BF447AB">
            <w:pPr>
              <w:widowControl/>
              <w:wordWrap w:val="0"/>
              <w:autoSpaceDE w:val="0"/>
              <w:autoSpaceDN w:val="0"/>
              <w:adjustRightInd w:val="0"/>
              <w:spacing w:line="360" w:lineRule="auto"/>
              <w:rPr>
                <w:rFonts w:hint="eastAsia"/>
                <w:color w:val="auto"/>
                <w:highlight w:val="none"/>
                <w:lang w:val="zh-CN"/>
              </w:rPr>
            </w:pPr>
            <w:r>
              <w:rPr>
                <w:b/>
                <w:bCs/>
                <w:color w:val="auto"/>
                <w:kern w:val="0"/>
                <w:szCs w:val="21"/>
                <w:highlight w:val="none"/>
                <w:lang w:val="zh-CN"/>
              </w:rPr>
              <w:t>注：</w:t>
            </w:r>
            <w:r>
              <w:rPr>
                <w:b/>
                <w:bCs/>
                <w:color w:val="auto"/>
                <w:kern w:val="0"/>
                <w:szCs w:val="21"/>
                <w:highlight w:val="none"/>
              </w:rPr>
              <w:t>提供认证证书及全国认证认可信息公共服务平台上的证书网页查询截图</w:t>
            </w:r>
            <w:r>
              <w:rPr>
                <w:rFonts w:hint="eastAsia"/>
                <w:b/>
                <w:bCs/>
                <w:color w:val="auto"/>
                <w:kern w:val="0"/>
                <w:szCs w:val="21"/>
                <w:highlight w:val="none"/>
                <w:lang w:eastAsia="zh-CN"/>
              </w:rPr>
              <w:t>并</w:t>
            </w:r>
            <w:r>
              <w:rPr>
                <w:b/>
                <w:bCs/>
                <w:color w:val="auto"/>
                <w:kern w:val="0"/>
                <w:szCs w:val="21"/>
                <w:highlight w:val="none"/>
              </w:rPr>
              <w:t>加盖投标人公章，两者缺一不可</w:t>
            </w:r>
            <w:r>
              <w:rPr>
                <w:b/>
                <w:bCs/>
                <w:color w:val="auto"/>
                <w:kern w:val="0"/>
                <w:szCs w:val="21"/>
                <w:highlight w:val="none"/>
                <w:lang w:val="zh-CN"/>
              </w:rPr>
              <w:t>，否则不得分。</w:t>
            </w:r>
          </w:p>
        </w:tc>
        <w:tc>
          <w:tcPr>
            <w:tcW w:w="840" w:type="dxa"/>
            <w:vAlign w:val="center"/>
          </w:tcPr>
          <w:p w14:paraId="371F385A">
            <w:pPr>
              <w:widowControl/>
              <w:autoSpaceDE w:val="0"/>
              <w:autoSpaceDN w:val="0"/>
              <w:adjustRightInd w:val="0"/>
              <w:spacing w:line="36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0-</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分</w:t>
            </w:r>
          </w:p>
        </w:tc>
      </w:tr>
      <w:tr w14:paraId="04BB4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9" w:type="dxa"/>
            <w:vAlign w:val="center"/>
          </w:tcPr>
          <w:p w14:paraId="62063625">
            <w:pPr>
              <w:autoSpaceDE w:val="0"/>
              <w:autoSpaceDN w:val="0"/>
              <w:adjustRightInd w:val="0"/>
              <w:spacing w:line="360" w:lineRule="auto"/>
              <w:jc w:val="center"/>
              <w:textAlignment w:val="baseline"/>
              <w:rPr>
                <w:rFonts w:hint="eastAsia" w:ascii="宋体" w:eastAsia="宋体" w:cs="宋体"/>
                <w:color w:val="auto"/>
                <w:kern w:val="0"/>
                <w:szCs w:val="21"/>
                <w:highlight w:val="none"/>
                <w:lang w:val="en-US" w:eastAsia="zh-CN"/>
              </w:rPr>
            </w:pPr>
            <w:r>
              <w:rPr>
                <w:rFonts w:hint="eastAsia" w:ascii="宋体" w:cs="宋体"/>
                <w:color w:val="auto"/>
                <w:kern w:val="0"/>
                <w:szCs w:val="21"/>
                <w:highlight w:val="none"/>
                <w:lang w:val="en-US" w:eastAsia="zh-CN"/>
              </w:rPr>
              <w:t>3</w:t>
            </w:r>
          </w:p>
        </w:tc>
        <w:tc>
          <w:tcPr>
            <w:tcW w:w="1496" w:type="dxa"/>
            <w:vAlign w:val="center"/>
          </w:tcPr>
          <w:p w14:paraId="3DF63E6E">
            <w:pPr>
              <w:widowControl/>
              <w:autoSpaceDE w:val="0"/>
              <w:autoSpaceDN w:val="0"/>
              <w:adjustRightInd w:val="0"/>
              <w:spacing w:line="360" w:lineRule="auto"/>
              <w:jc w:val="center"/>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现状分析</w:t>
            </w:r>
          </w:p>
        </w:tc>
        <w:tc>
          <w:tcPr>
            <w:tcW w:w="7157" w:type="dxa"/>
            <w:vAlign w:val="center"/>
          </w:tcPr>
          <w:p w14:paraId="14C385E9">
            <w:pPr>
              <w:widowControl/>
              <w:autoSpaceDE w:val="0"/>
              <w:autoSpaceDN w:val="0"/>
              <w:adjustRightInd w:val="0"/>
              <w:spacing w:line="360" w:lineRule="auto"/>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根据投标人针对本项目的现状分析（0-</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lang w:val="zh-CN"/>
              </w:rPr>
              <w:t>分）进行综合评分。</w:t>
            </w:r>
          </w:p>
        </w:tc>
        <w:tc>
          <w:tcPr>
            <w:tcW w:w="840" w:type="dxa"/>
            <w:vAlign w:val="center"/>
          </w:tcPr>
          <w:p w14:paraId="205A2BA5">
            <w:pPr>
              <w:autoSpaceDE w:val="0"/>
              <w:autoSpaceDN w:val="0"/>
              <w:adjustRightInd w:val="0"/>
              <w:spacing w:line="360" w:lineRule="auto"/>
              <w:jc w:val="center"/>
              <w:textAlignment w:val="baseline"/>
              <w:rPr>
                <w:rFonts w:ascii="宋体" w:cs="宋体"/>
                <w:color w:val="auto"/>
                <w:kern w:val="0"/>
                <w:szCs w:val="21"/>
                <w:highlight w:val="none"/>
              </w:rPr>
            </w:pPr>
            <w:r>
              <w:rPr>
                <w:rFonts w:hint="eastAsia" w:ascii="宋体" w:cs="宋体"/>
                <w:color w:val="auto"/>
                <w:kern w:val="0"/>
                <w:szCs w:val="21"/>
                <w:highlight w:val="none"/>
              </w:rPr>
              <w:t>0</w:t>
            </w:r>
            <w:r>
              <w:rPr>
                <w:rFonts w:ascii="宋体" w:cs="宋体"/>
                <w:color w:val="auto"/>
                <w:kern w:val="0"/>
                <w:szCs w:val="21"/>
                <w:highlight w:val="none"/>
              </w:rPr>
              <w:t>-</w:t>
            </w:r>
            <w:r>
              <w:rPr>
                <w:rFonts w:hint="eastAsia" w:ascii="宋体" w:cs="宋体"/>
                <w:color w:val="auto"/>
                <w:kern w:val="0"/>
                <w:szCs w:val="21"/>
                <w:highlight w:val="none"/>
                <w:lang w:val="en-US" w:eastAsia="zh-CN"/>
              </w:rPr>
              <w:t>3</w:t>
            </w:r>
            <w:r>
              <w:rPr>
                <w:rFonts w:hint="eastAsia" w:ascii="宋体" w:cs="宋体"/>
                <w:color w:val="auto"/>
                <w:kern w:val="0"/>
                <w:szCs w:val="21"/>
                <w:highlight w:val="none"/>
              </w:rPr>
              <w:t>分</w:t>
            </w:r>
          </w:p>
        </w:tc>
      </w:tr>
      <w:tr w14:paraId="7F4B8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9" w:type="dxa"/>
            <w:vAlign w:val="center"/>
          </w:tcPr>
          <w:p w14:paraId="2F47D3B5">
            <w:pPr>
              <w:widowControl/>
              <w:autoSpaceDE w:val="0"/>
              <w:autoSpaceDN w:val="0"/>
              <w:adjustRightInd w:val="0"/>
              <w:spacing w:line="360" w:lineRule="auto"/>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4</w:t>
            </w:r>
          </w:p>
        </w:tc>
        <w:tc>
          <w:tcPr>
            <w:tcW w:w="1496" w:type="dxa"/>
            <w:vAlign w:val="center"/>
          </w:tcPr>
          <w:p w14:paraId="1D629D4A">
            <w:pPr>
              <w:widowControl/>
              <w:autoSpaceDE w:val="0"/>
              <w:autoSpaceDN w:val="0"/>
              <w:adjustRightInd w:val="0"/>
              <w:spacing w:line="360" w:lineRule="auto"/>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eastAsia="zh-CN"/>
              </w:rPr>
              <w:t>服务方案</w:t>
            </w:r>
          </w:p>
        </w:tc>
        <w:tc>
          <w:tcPr>
            <w:tcW w:w="7157" w:type="dxa"/>
            <w:vAlign w:val="center"/>
          </w:tcPr>
          <w:p w14:paraId="11417F58">
            <w:pPr>
              <w:widowControl/>
              <w:autoSpaceDE w:val="0"/>
              <w:autoSpaceDN w:val="0"/>
              <w:adjustRightInd w:val="0"/>
              <w:spacing w:line="360" w:lineRule="auto"/>
              <w:jc w:val="left"/>
              <w:rPr>
                <w:rFonts w:hint="eastAsia" w:ascii="宋体" w:hAnsi="宋体" w:cs="宋体"/>
                <w:color w:val="auto"/>
                <w:kern w:val="0"/>
                <w:szCs w:val="21"/>
                <w:highlight w:val="none"/>
                <w:lang w:val="zh-CN"/>
              </w:rPr>
            </w:pPr>
            <w:r>
              <w:rPr>
                <w:rFonts w:hint="eastAsia" w:ascii="宋体" w:hAnsi="宋体" w:cs="宋体"/>
                <w:color w:val="auto"/>
                <w:kern w:val="0"/>
                <w:szCs w:val="21"/>
                <w:highlight w:val="none"/>
                <w:lang w:val="zh-CN" w:eastAsia="zh-CN"/>
              </w:rPr>
              <w:t>根据投标人提供的详细服务方案，内容包括服务内容（</w:t>
            </w:r>
            <w:r>
              <w:rPr>
                <w:rFonts w:hint="eastAsia" w:ascii="宋体" w:hAnsi="宋体" w:cs="宋体"/>
                <w:color w:val="auto"/>
                <w:kern w:val="0"/>
                <w:szCs w:val="21"/>
                <w:highlight w:val="none"/>
                <w:lang w:val="en-US" w:eastAsia="zh-CN"/>
              </w:rPr>
              <w:t>0-1分）</w:t>
            </w:r>
            <w:r>
              <w:rPr>
                <w:rFonts w:hint="eastAsia" w:ascii="宋体" w:hAnsi="宋体" w:cs="宋体"/>
                <w:color w:val="auto"/>
                <w:kern w:val="0"/>
                <w:szCs w:val="21"/>
                <w:highlight w:val="none"/>
                <w:lang w:val="zh-CN" w:eastAsia="zh-CN"/>
              </w:rPr>
              <w:t>、服务流程（</w:t>
            </w:r>
            <w:r>
              <w:rPr>
                <w:rFonts w:hint="eastAsia" w:ascii="宋体" w:hAnsi="宋体" w:cs="宋体"/>
                <w:color w:val="auto"/>
                <w:kern w:val="0"/>
                <w:szCs w:val="21"/>
                <w:highlight w:val="none"/>
                <w:lang w:val="en-US" w:eastAsia="zh-CN"/>
              </w:rPr>
              <w:t>0-1分）</w:t>
            </w:r>
            <w:r>
              <w:rPr>
                <w:rFonts w:hint="eastAsia" w:ascii="宋体" w:hAnsi="宋体" w:cs="宋体"/>
                <w:color w:val="auto"/>
                <w:kern w:val="0"/>
                <w:szCs w:val="21"/>
                <w:highlight w:val="none"/>
                <w:lang w:val="zh-CN" w:eastAsia="zh-CN"/>
              </w:rPr>
              <w:t>、技术实施方案（</w:t>
            </w:r>
            <w:r>
              <w:rPr>
                <w:rFonts w:hint="eastAsia" w:ascii="宋体" w:hAnsi="宋体" w:cs="宋体"/>
                <w:color w:val="auto"/>
                <w:kern w:val="0"/>
                <w:szCs w:val="21"/>
                <w:highlight w:val="none"/>
                <w:lang w:val="en-US" w:eastAsia="zh-CN"/>
              </w:rPr>
              <w:t>0-1分）</w:t>
            </w:r>
            <w:r>
              <w:rPr>
                <w:rFonts w:hint="eastAsia" w:ascii="宋体" w:hAnsi="宋体" w:cs="宋体"/>
                <w:color w:val="auto"/>
                <w:kern w:val="0"/>
                <w:szCs w:val="21"/>
                <w:highlight w:val="none"/>
                <w:lang w:val="zh-CN" w:eastAsia="zh-CN"/>
              </w:rPr>
              <w:t>、服务质量保障措施（</w:t>
            </w:r>
            <w:r>
              <w:rPr>
                <w:rFonts w:hint="eastAsia" w:ascii="宋体" w:hAnsi="宋体" w:cs="宋体"/>
                <w:color w:val="auto"/>
                <w:kern w:val="0"/>
                <w:szCs w:val="21"/>
                <w:highlight w:val="none"/>
                <w:lang w:val="en-US" w:eastAsia="zh-CN"/>
              </w:rPr>
              <w:t>0-1分）</w:t>
            </w:r>
            <w:r>
              <w:rPr>
                <w:rFonts w:hint="eastAsia" w:ascii="宋体" w:hAnsi="宋体" w:cs="宋体"/>
                <w:color w:val="auto"/>
                <w:kern w:val="0"/>
                <w:szCs w:val="21"/>
                <w:highlight w:val="none"/>
                <w:lang w:val="zh-CN" w:eastAsia="zh-CN"/>
              </w:rPr>
              <w:t>等综合评分。</w:t>
            </w:r>
          </w:p>
        </w:tc>
        <w:tc>
          <w:tcPr>
            <w:tcW w:w="840" w:type="dxa"/>
            <w:vAlign w:val="center"/>
          </w:tcPr>
          <w:p w14:paraId="7337291E">
            <w:pPr>
              <w:widowControl/>
              <w:autoSpaceDE w:val="0"/>
              <w:autoSpaceDN w:val="0"/>
              <w:adjustRightInd w:val="0"/>
              <w:spacing w:line="360" w:lineRule="auto"/>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0-4分</w:t>
            </w:r>
          </w:p>
        </w:tc>
      </w:tr>
      <w:tr w14:paraId="4D4CD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9" w:type="dxa"/>
            <w:vMerge w:val="restart"/>
            <w:vAlign w:val="center"/>
          </w:tcPr>
          <w:p w14:paraId="02E89420">
            <w:pPr>
              <w:widowControl/>
              <w:autoSpaceDE w:val="0"/>
              <w:autoSpaceDN w:val="0"/>
              <w:adjustRightInd w:val="0"/>
              <w:spacing w:line="360" w:lineRule="auto"/>
              <w:jc w:val="center"/>
              <w:rPr>
                <w:rFonts w:hint="eastAsia" w:ascii="宋体" w:eastAsia="宋体"/>
                <w:color w:val="auto"/>
                <w:kern w:val="0"/>
                <w:sz w:val="34"/>
                <w:szCs w:val="20"/>
                <w:highlight w:val="none"/>
                <w:lang w:eastAsia="zh-CN"/>
              </w:rPr>
            </w:pPr>
            <w:r>
              <w:rPr>
                <w:rFonts w:hint="eastAsia" w:ascii="宋体" w:hAnsi="宋体" w:cs="宋体"/>
                <w:color w:val="auto"/>
                <w:kern w:val="0"/>
                <w:szCs w:val="21"/>
                <w:highlight w:val="none"/>
                <w:lang w:val="en-US" w:eastAsia="zh-CN"/>
              </w:rPr>
              <w:t>5</w:t>
            </w:r>
          </w:p>
        </w:tc>
        <w:tc>
          <w:tcPr>
            <w:tcW w:w="1496" w:type="dxa"/>
            <w:vMerge w:val="restart"/>
            <w:vAlign w:val="center"/>
          </w:tcPr>
          <w:p w14:paraId="4240565D">
            <w:pPr>
              <w:widowControl/>
              <w:autoSpaceDE w:val="0"/>
              <w:autoSpaceDN w:val="0"/>
              <w:adjustRightInd w:val="0"/>
              <w:spacing w:line="360" w:lineRule="auto"/>
              <w:jc w:val="center"/>
              <w:rPr>
                <w:rFonts w:ascii="宋体"/>
                <w:color w:val="auto"/>
                <w:kern w:val="0"/>
                <w:sz w:val="34"/>
                <w:szCs w:val="20"/>
                <w:highlight w:val="none"/>
              </w:rPr>
            </w:pPr>
            <w:r>
              <w:rPr>
                <w:rFonts w:hint="eastAsia" w:ascii="宋体" w:hAnsi="宋体" w:cs="宋体"/>
                <w:color w:val="auto"/>
                <w:kern w:val="0"/>
                <w:szCs w:val="21"/>
                <w:highlight w:val="none"/>
                <w:lang w:val="en-US" w:eastAsia="zh-CN"/>
              </w:rPr>
              <w:t>人员配置及培训方案</w:t>
            </w:r>
          </w:p>
        </w:tc>
        <w:tc>
          <w:tcPr>
            <w:tcW w:w="7157" w:type="dxa"/>
            <w:vAlign w:val="center"/>
          </w:tcPr>
          <w:p w14:paraId="6C5F76D8">
            <w:pPr>
              <w:spacing w:line="460" w:lineRule="exact"/>
              <w:rPr>
                <w:rFonts w:ascii="宋体" w:hAnsi="宋体" w:cs="宋体"/>
                <w:color w:val="auto"/>
                <w:kern w:val="0"/>
                <w:szCs w:val="21"/>
                <w:highlight w:val="none"/>
                <w:lang w:val="zh-CN"/>
              </w:rPr>
            </w:pPr>
            <w:r>
              <w:rPr>
                <w:rFonts w:hint="eastAsia" w:ascii="宋体" w:hAnsi="宋体" w:eastAsia="宋体"/>
                <w:color w:val="auto"/>
                <w:highlight w:val="none"/>
              </w:rPr>
              <w:t>根据本招标项目实际情况制定方案，方案内容至少包含人员配置方案（0-</w:t>
            </w:r>
            <w:r>
              <w:rPr>
                <w:rFonts w:hint="eastAsia" w:ascii="宋体" w:hAnsi="宋体"/>
                <w:color w:val="auto"/>
                <w:highlight w:val="none"/>
                <w:lang w:val="en-US" w:eastAsia="zh-CN"/>
              </w:rPr>
              <w:t>1</w:t>
            </w:r>
            <w:r>
              <w:rPr>
                <w:rFonts w:hint="eastAsia" w:ascii="宋体" w:hAnsi="宋体" w:eastAsia="宋体"/>
                <w:color w:val="auto"/>
                <w:highlight w:val="none"/>
              </w:rPr>
              <w:t>分），驾驶员等项目组成人员清单（0-</w:t>
            </w:r>
            <w:r>
              <w:rPr>
                <w:rFonts w:hint="eastAsia" w:ascii="宋体" w:hAnsi="宋体"/>
                <w:color w:val="auto"/>
                <w:highlight w:val="none"/>
                <w:lang w:val="en-US" w:eastAsia="zh-CN"/>
              </w:rPr>
              <w:t>1</w:t>
            </w:r>
            <w:r>
              <w:rPr>
                <w:rFonts w:hint="eastAsia" w:ascii="宋体" w:hAnsi="宋体" w:eastAsia="宋体"/>
                <w:color w:val="auto"/>
                <w:highlight w:val="none"/>
              </w:rPr>
              <w:t>分），从业人员配备排班表（0-</w:t>
            </w:r>
            <w:r>
              <w:rPr>
                <w:rFonts w:hint="eastAsia" w:ascii="宋体" w:hAnsi="宋体"/>
                <w:color w:val="auto"/>
                <w:highlight w:val="none"/>
                <w:lang w:val="en-US" w:eastAsia="zh-CN"/>
              </w:rPr>
              <w:t>1</w:t>
            </w:r>
            <w:r>
              <w:rPr>
                <w:rFonts w:hint="eastAsia" w:ascii="宋体" w:hAnsi="宋体" w:eastAsia="宋体"/>
                <w:color w:val="auto"/>
                <w:highlight w:val="none"/>
              </w:rPr>
              <w:t>分）等</w:t>
            </w:r>
            <w:r>
              <w:rPr>
                <w:rFonts w:hint="eastAsia" w:ascii="宋体" w:hAnsi="宋体"/>
                <w:color w:val="auto"/>
                <w:highlight w:val="none"/>
                <w:lang w:eastAsia="zh-CN"/>
              </w:rPr>
              <w:t>来综合评分</w:t>
            </w:r>
            <w:r>
              <w:rPr>
                <w:rFonts w:hint="eastAsia" w:ascii="宋体" w:hAnsi="宋体" w:eastAsia="宋体"/>
                <w:color w:val="auto"/>
                <w:highlight w:val="none"/>
              </w:rPr>
              <w:t>。</w:t>
            </w:r>
          </w:p>
        </w:tc>
        <w:tc>
          <w:tcPr>
            <w:tcW w:w="840" w:type="dxa"/>
            <w:vAlign w:val="center"/>
          </w:tcPr>
          <w:p w14:paraId="0F9BFA95">
            <w:pPr>
              <w:widowControl/>
              <w:autoSpaceDE w:val="0"/>
              <w:autoSpaceDN w:val="0"/>
              <w:adjustRightInd w:val="0"/>
              <w:spacing w:line="360" w:lineRule="auto"/>
              <w:jc w:val="center"/>
              <w:rPr>
                <w:rFonts w:ascii="宋体" w:hAnsi="宋体" w:cs="宋体"/>
                <w:color w:val="auto"/>
                <w:kern w:val="0"/>
                <w:szCs w:val="21"/>
                <w:highlight w:val="none"/>
                <w:lang w:val="zh-CN"/>
              </w:rPr>
            </w:pPr>
            <w:r>
              <w:rPr>
                <w:rFonts w:hint="eastAsia" w:ascii="宋体" w:hAnsi="宋体" w:cs="宋体"/>
                <w:color w:val="auto"/>
                <w:kern w:val="0"/>
                <w:szCs w:val="21"/>
                <w:highlight w:val="none"/>
              </w:rPr>
              <w:t>0-</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分</w:t>
            </w:r>
          </w:p>
        </w:tc>
      </w:tr>
      <w:tr w14:paraId="041B0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9" w:type="dxa"/>
            <w:vMerge w:val="continue"/>
            <w:vAlign w:val="center"/>
          </w:tcPr>
          <w:p w14:paraId="461ED7FC">
            <w:pPr>
              <w:widowControl/>
              <w:autoSpaceDE w:val="0"/>
              <w:autoSpaceDN w:val="0"/>
              <w:adjustRightInd w:val="0"/>
              <w:spacing w:line="360" w:lineRule="auto"/>
              <w:jc w:val="left"/>
              <w:rPr>
                <w:rFonts w:hint="eastAsia" w:ascii="宋体" w:hAnsi="宋体" w:cs="宋体"/>
                <w:color w:val="auto"/>
                <w:kern w:val="0"/>
                <w:szCs w:val="21"/>
                <w:highlight w:val="none"/>
                <w:lang w:val="en-US" w:eastAsia="zh-CN"/>
              </w:rPr>
            </w:pPr>
          </w:p>
        </w:tc>
        <w:tc>
          <w:tcPr>
            <w:tcW w:w="1496" w:type="dxa"/>
            <w:vMerge w:val="continue"/>
            <w:vAlign w:val="center"/>
          </w:tcPr>
          <w:p w14:paraId="283ED3C5">
            <w:pPr>
              <w:widowControl/>
              <w:autoSpaceDE w:val="0"/>
              <w:autoSpaceDN w:val="0"/>
              <w:adjustRightInd w:val="0"/>
              <w:spacing w:line="360" w:lineRule="auto"/>
              <w:jc w:val="left"/>
              <w:rPr>
                <w:rFonts w:hint="eastAsia" w:ascii="宋体" w:hAnsi="宋体" w:cs="宋体"/>
                <w:color w:val="auto"/>
                <w:kern w:val="0"/>
                <w:szCs w:val="21"/>
                <w:highlight w:val="none"/>
                <w:lang w:val="zh-CN"/>
              </w:rPr>
            </w:pPr>
          </w:p>
        </w:tc>
        <w:tc>
          <w:tcPr>
            <w:tcW w:w="7157" w:type="dxa"/>
            <w:vAlign w:val="center"/>
          </w:tcPr>
          <w:p w14:paraId="57E7FBBA">
            <w:pPr>
              <w:spacing w:line="460" w:lineRule="exact"/>
              <w:rPr>
                <w:rFonts w:hint="eastAsia" w:ascii="宋体" w:hAnsi="宋体" w:eastAsia="宋体" w:cs="宋体"/>
                <w:color w:val="auto"/>
                <w:kern w:val="0"/>
                <w:szCs w:val="21"/>
                <w:highlight w:val="none"/>
                <w:lang w:val="zh-CN" w:eastAsia="zh-CN"/>
              </w:rPr>
            </w:pPr>
            <w:r>
              <w:rPr>
                <w:rFonts w:hint="eastAsia" w:ascii="宋体" w:hAnsi="宋体" w:eastAsia="宋体"/>
                <w:bCs/>
                <w:color w:val="auto"/>
                <w:highlight w:val="none"/>
              </w:rPr>
              <w:t>根据拟投入本项目实施人员配置中具有从事清运的从业经历情况（0-</w:t>
            </w:r>
            <w:r>
              <w:rPr>
                <w:rFonts w:hint="eastAsia" w:ascii="宋体" w:hAnsi="宋体" w:eastAsia="宋体"/>
                <w:bCs/>
                <w:color w:val="auto"/>
                <w:highlight w:val="none"/>
                <w:lang w:val="en-US" w:eastAsia="zh-CN"/>
              </w:rPr>
              <w:t>3</w:t>
            </w:r>
            <w:r>
              <w:rPr>
                <w:rFonts w:hint="eastAsia" w:ascii="宋体" w:hAnsi="宋体" w:eastAsia="宋体"/>
                <w:bCs/>
                <w:color w:val="auto"/>
                <w:highlight w:val="none"/>
              </w:rPr>
              <w:t>分）</w:t>
            </w:r>
            <w:r>
              <w:rPr>
                <w:rFonts w:hint="eastAsia" w:ascii="宋体" w:hAnsi="宋体"/>
                <w:bCs/>
                <w:color w:val="auto"/>
                <w:highlight w:val="none"/>
                <w:lang w:eastAsia="zh-CN"/>
              </w:rPr>
              <w:t>等来综合评分。</w:t>
            </w:r>
          </w:p>
        </w:tc>
        <w:tc>
          <w:tcPr>
            <w:tcW w:w="840" w:type="dxa"/>
            <w:vAlign w:val="center"/>
          </w:tcPr>
          <w:p w14:paraId="0B136124">
            <w:pPr>
              <w:widowControl/>
              <w:autoSpaceDE w:val="0"/>
              <w:autoSpaceDN w:val="0"/>
              <w:adjustRightInd w:val="0"/>
              <w:spacing w:line="360" w:lineRule="auto"/>
              <w:jc w:val="left"/>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0-3分</w:t>
            </w:r>
          </w:p>
        </w:tc>
      </w:tr>
      <w:tr w14:paraId="2E30C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9" w:type="dxa"/>
            <w:vMerge w:val="continue"/>
            <w:vAlign w:val="center"/>
          </w:tcPr>
          <w:p w14:paraId="37884991">
            <w:pPr>
              <w:widowControl/>
              <w:autoSpaceDE w:val="0"/>
              <w:autoSpaceDN w:val="0"/>
              <w:adjustRightInd w:val="0"/>
              <w:spacing w:line="360" w:lineRule="auto"/>
              <w:jc w:val="left"/>
              <w:rPr>
                <w:rFonts w:hint="eastAsia" w:ascii="宋体" w:hAnsi="宋体" w:cs="宋体"/>
                <w:color w:val="auto"/>
                <w:kern w:val="0"/>
                <w:szCs w:val="21"/>
                <w:highlight w:val="none"/>
                <w:lang w:val="en-US" w:eastAsia="zh-CN"/>
              </w:rPr>
            </w:pPr>
          </w:p>
        </w:tc>
        <w:tc>
          <w:tcPr>
            <w:tcW w:w="1496" w:type="dxa"/>
            <w:vMerge w:val="continue"/>
            <w:vAlign w:val="center"/>
          </w:tcPr>
          <w:p w14:paraId="01CAF1E7">
            <w:pPr>
              <w:widowControl/>
              <w:autoSpaceDE w:val="0"/>
              <w:autoSpaceDN w:val="0"/>
              <w:adjustRightInd w:val="0"/>
              <w:spacing w:line="360" w:lineRule="auto"/>
              <w:jc w:val="left"/>
              <w:rPr>
                <w:rFonts w:hint="eastAsia" w:ascii="宋体" w:hAnsi="宋体" w:cs="宋体"/>
                <w:color w:val="auto"/>
                <w:kern w:val="0"/>
                <w:szCs w:val="21"/>
                <w:highlight w:val="none"/>
                <w:lang w:val="zh-CN"/>
              </w:rPr>
            </w:pPr>
          </w:p>
        </w:tc>
        <w:tc>
          <w:tcPr>
            <w:tcW w:w="7157" w:type="dxa"/>
            <w:vAlign w:val="center"/>
          </w:tcPr>
          <w:p w14:paraId="2CC4BF7C">
            <w:pPr>
              <w:widowControl/>
              <w:autoSpaceDE w:val="0"/>
              <w:autoSpaceDN w:val="0"/>
              <w:adjustRightInd w:val="0"/>
              <w:spacing w:line="360" w:lineRule="auto"/>
              <w:jc w:val="left"/>
              <w:rPr>
                <w:rFonts w:hint="eastAsia" w:ascii="宋体" w:hAnsi="宋体" w:eastAsia="宋体" w:cs="宋体"/>
                <w:color w:val="auto"/>
                <w:kern w:val="0"/>
                <w:szCs w:val="21"/>
                <w:highlight w:val="none"/>
                <w:lang w:val="zh-CN" w:eastAsia="zh-CN"/>
              </w:rPr>
            </w:pPr>
            <w:r>
              <w:rPr>
                <w:rFonts w:hint="eastAsia" w:ascii="宋体" w:hAnsi="宋体" w:eastAsia="宋体"/>
                <w:color w:val="auto"/>
                <w:highlight w:val="none"/>
              </w:rPr>
              <w:t>针对本项目提供人员上岗培训，包括岗前</w:t>
            </w:r>
            <w:r>
              <w:rPr>
                <w:rFonts w:hint="eastAsia" w:ascii="宋体" w:hAnsi="宋体"/>
                <w:color w:val="auto"/>
                <w:highlight w:val="none"/>
                <w:lang w:eastAsia="zh-CN"/>
              </w:rPr>
              <w:t>（</w:t>
            </w:r>
            <w:r>
              <w:rPr>
                <w:rFonts w:hint="eastAsia" w:ascii="宋体" w:hAnsi="宋体"/>
                <w:color w:val="auto"/>
                <w:highlight w:val="none"/>
                <w:lang w:val="en-US" w:eastAsia="zh-CN"/>
              </w:rPr>
              <w:t>0-1分）</w:t>
            </w:r>
            <w:r>
              <w:rPr>
                <w:rFonts w:hint="eastAsia" w:ascii="宋体" w:hAnsi="宋体" w:eastAsia="宋体"/>
                <w:color w:val="auto"/>
                <w:highlight w:val="none"/>
              </w:rPr>
              <w:t>、岗位</w:t>
            </w:r>
            <w:r>
              <w:rPr>
                <w:rFonts w:hint="eastAsia" w:ascii="宋体" w:hAnsi="宋体"/>
                <w:color w:val="auto"/>
                <w:highlight w:val="none"/>
                <w:lang w:eastAsia="zh-CN"/>
              </w:rPr>
              <w:t>（</w:t>
            </w:r>
            <w:r>
              <w:rPr>
                <w:rFonts w:hint="eastAsia" w:ascii="宋体" w:hAnsi="宋体"/>
                <w:color w:val="auto"/>
                <w:highlight w:val="none"/>
                <w:lang w:val="en-US" w:eastAsia="zh-CN"/>
              </w:rPr>
              <w:t>0-1分）</w:t>
            </w:r>
            <w:r>
              <w:rPr>
                <w:rFonts w:hint="eastAsia" w:ascii="宋体" w:hAnsi="宋体" w:eastAsia="宋体"/>
                <w:color w:val="auto"/>
                <w:highlight w:val="none"/>
              </w:rPr>
              <w:t>、安全</w:t>
            </w:r>
            <w:r>
              <w:rPr>
                <w:rFonts w:hint="eastAsia" w:ascii="宋体" w:hAnsi="宋体"/>
                <w:color w:val="auto"/>
                <w:highlight w:val="none"/>
                <w:lang w:eastAsia="zh-CN"/>
              </w:rPr>
              <w:t>（</w:t>
            </w:r>
            <w:r>
              <w:rPr>
                <w:rFonts w:hint="eastAsia" w:ascii="宋体" w:hAnsi="宋体"/>
                <w:color w:val="auto"/>
                <w:highlight w:val="none"/>
                <w:lang w:val="en-US" w:eastAsia="zh-CN"/>
              </w:rPr>
              <w:t>0-1分)</w:t>
            </w:r>
            <w:r>
              <w:rPr>
                <w:rFonts w:hint="eastAsia" w:ascii="宋体" w:hAnsi="宋体" w:eastAsia="宋体"/>
                <w:color w:val="auto"/>
                <w:highlight w:val="none"/>
              </w:rPr>
              <w:t>、职业道德</w:t>
            </w:r>
            <w:r>
              <w:rPr>
                <w:rFonts w:hint="eastAsia" w:ascii="宋体" w:hAnsi="宋体"/>
                <w:color w:val="auto"/>
                <w:highlight w:val="none"/>
                <w:lang w:eastAsia="zh-CN"/>
              </w:rPr>
              <w:t>（</w:t>
            </w:r>
            <w:r>
              <w:rPr>
                <w:rFonts w:hint="eastAsia" w:ascii="宋体" w:hAnsi="宋体"/>
                <w:color w:val="auto"/>
                <w:highlight w:val="none"/>
                <w:lang w:val="en-US" w:eastAsia="zh-CN"/>
              </w:rPr>
              <w:t>0-1分）</w:t>
            </w:r>
            <w:r>
              <w:rPr>
                <w:rFonts w:hint="eastAsia" w:ascii="宋体" w:hAnsi="宋体" w:eastAsia="宋体"/>
                <w:color w:val="auto"/>
                <w:highlight w:val="none"/>
              </w:rPr>
              <w:t>、行为规范</w:t>
            </w:r>
            <w:r>
              <w:rPr>
                <w:rFonts w:hint="eastAsia" w:ascii="宋体" w:hAnsi="宋体"/>
                <w:color w:val="auto"/>
                <w:highlight w:val="none"/>
                <w:lang w:val="en-US" w:eastAsia="zh-CN"/>
              </w:rPr>
              <w:t>(0-1分）</w:t>
            </w:r>
            <w:r>
              <w:rPr>
                <w:rFonts w:hint="eastAsia" w:ascii="宋体" w:hAnsi="宋体" w:eastAsia="宋体"/>
                <w:color w:val="auto"/>
                <w:highlight w:val="none"/>
              </w:rPr>
              <w:t>等培训</w:t>
            </w:r>
            <w:r>
              <w:rPr>
                <w:rFonts w:hint="eastAsia" w:ascii="宋体" w:hAnsi="宋体"/>
                <w:color w:val="auto"/>
                <w:highlight w:val="none"/>
                <w:lang w:eastAsia="zh-CN"/>
              </w:rPr>
              <w:t>方案等来综合评分。</w:t>
            </w:r>
          </w:p>
        </w:tc>
        <w:tc>
          <w:tcPr>
            <w:tcW w:w="840" w:type="dxa"/>
            <w:vAlign w:val="center"/>
          </w:tcPr>
          <w:p w14:paraId="11784B69">
            <w:pPr>
              <w:widowControl/>
              <w:autoSpaceDE w:val="0"/>
              <w:autoSpaceDN w:val="0"/>
              <w:adjustRightInd w:val="0"/>
              <w:spacing w:line="360" w:lineRule="auto"/>
              <w:jc w:val="left"/>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0-5分</w:t>
            </w:r>
          </w:p>
        </w:tc>
      </w:tr>
      <w:tr w14:paraId="7C7B7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9" w:type="dxa"/>
            <w:vAlign w:val="center"/>
          </w:tcPr>
          <w:p w14:paraId="188AA82E">
            <w:pPr>
              <w:widowControl/>
              <w:autoSpaceDE w:val="0"/>
              <w:autoSpaceDN w:val="0"/>
              <w:adjustRightInd w:val="0"/>
              <w:spacing w:line="360" w:lineRule="auto"/>
              <w:jc w:val="left"/>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6</w:t>
            </w:r>
          </w:p>
        </w:tc>
        <w:tc>
          <w:tcPr>
            <w:tcW w:w="1496" w:type="dxa"/>
            <w:vAlign w:val="center"/>
          </w:tcPr>
          <w:p w14:paraId="50F16D5B">
            <w:pPr>
              <w:widowControl/>
              <w:autoSpaceDE w:val="0"/>
              <w:autoSpaceDN w:val="0"/>
              <w:adjustRightInd w:val="0"/>
              <w:spacing w:line="360" w:lineRule="auto"/>
              <w:jc w:val="left"/>
              <w:rPr>
                <w:rFonts w:hint="eastAsia" w:ascii="宋体" w:hAnsi="宋体" w:eastAsia="宋体" w:cs="Times New Roman"/>
                <w:color w:val="auto"/>
                <w:highlight w:val="none"/>
              </w:rPr>
            </w:pPr>
            <w:r>
              <w:rPr>
                <w:rFonts w:hint="eastAsia" w:ascii="宋体" w:hAnsi="宋体" w:eastAsia="宋体" w:cs="Times New Roman"/>
                <w:color w:val="auto"/>
                <w:highlight w:val="none"/>
              </w:rPr>
              <w:t>项目实际制定方案</w:t>
            </w:r>
          </w:p>
        </w:tc>
        <w:tc>
          <w:tcPr>
            <w:tcW w:w="7157" w:type="dxa"/>
            <w:vAlign w:val="center"/>
          </w:tcPr>
          <w:p w14:paraId="5BD7E9FC">
            <w:pPr>
              <w:widowControl/>
              <w:autoSpaceDE w:val="0"/>
              <w:autoSpaceDN w:val="0"/>
              <w:adjustRightInd w:val="0"/>
              <w:spacing w:line="360" w:lineRule="auto"/>
              <w:jc w:val="left"/>
              <w:rPr>
                <w:rFonts w:hint="eastAsia" w:ascii="宋体" w:hAnsi="宋体" w:eastAsia="宋体" w:cs="Times New Roman"/>
                <w:color w:val="auto"/>
                <w:highlight w:val="none"/>
              </w:rPr>
            </w:pPr>
            <w:r>
              <w:rPr>
                <w:rFonts w:hint="eastAsia" w:ascii="宋体" w:hAnsi="宋体" w:eastAsia="宋体" w:cs="Times New Roman"/>
                <w:color w:val="auto"/>
                <w:highlight w:val="none"/>
              </w:rPr>
              <w:t>根据本招标项目实际制定方案，方案内容至少包括车辆应急调配方案</w:t>
            </w:r>
            <w:r>
              <w:rPr>
                <w:rFonts w:hint="eastAsia" w:ascii="宋体" w:hAnsi="宋体" w:cs="Times New Roman"/>
                <w:color w:val="auto"/>
                <w:highlight w:val="none"/>
                <w:lang w:eastAsia="zh-CN"/>
              </w:rPr>
              <w:t>（</w:t>
            </w:r>
            <w:r>
              <w:rPr>
                <w:rFonts w:hint="eastAsia" w:ascii="宋体" w:hAnsi="宋体" w:cs="Times New Roman"/>
                <w:color w:val="auto"/>
                <w:highlight w:val="none"/>
                <w:lang w:val="en-US" w:eastAsia="zh-CN"/>
              </w:rPr>
              <w:t>0-1分）</w:t>
            </w:r>
            <w:r>
              <w:rPr>
                <w:rFonts w:hint="eastAsia" w:ascii="宋体" w:hAnsi="宋体" w:eastAsia="宋体" w:cs="Times New Roman"/>
                <w:color w:val="auto"/>
                <w:highlight w:val="none"/>
              </w:rPr>
              <w:t>、日常作业方案</w:t>
            </w:r>
            <w:r>
              <w:rPr>
                <w:rFonts w:hint="eastAsia" w:ascii="宋体" w:hAnsi="宋体" w:cs="Times New Roman"/>
                <w:color w:val="auto"/>
                <w:highlight w:val="none"/>
                <w:lang w:eastAsia="zh-CN"/>
              </w:rPr>
              <w:t>（</w:t>
            </w:r>
            <w:r>
              <w:rPr>
                <w:rFonts w:hint="eastAsia" w:ascii="宋体" w:hAnsi="宋体" w:cs="Times New Roman"/>
                <w:color w:val="auto"/>
                <w:highlight w:val="none"/>
                <w:lang w:val="en-US" w:eastAsia="zh-CN"/>
              </w:rPr>
              <w:t>0-1分）</w:t>
            </w:r>
            <w:r>
              <w:rPr>
                <w:rFonts w:hint="eastAsia" w:ascii="宋体" w:hAnsi="宋体" w:eastAsia="宋体" w:cs="Times New Roman"/>
                <w:color w:val="auto"/>
                <w:highlight w:val="none"/>
              </w:rPr>
              <w:t>、车辆排班</w:t>
            </w:r>
            <w:r>
              <w:rPr>
                <w:rFonts w:hint="eastAsia" w:ascii="宋体" w:hAnsi="宋体" w:cs="Times New Roman"/>
                <w:color w:val="auto"/>
                <w:highlight w:val="none"/>
                <w:lang w:eastAsia="zh-CN"/>
              </w:rPr>
              <w:t>（</w:t>
            </w:r>
            <w:r>
              <w:rPr>
                <w:rFonts w:hint="eastAsia" w:ascii="宋体" w:hAnsi="宋体" w:cs="Times New Roman"/>
                <w:color w:val="auto"/>
                <w:highlight w:val="none"/>
                <w:lang w:val="en-US" w:eastAsia="zh-CN"/>
              </w:rPr>
              <w:t>0-1分）</w:t>
            </w:r>
            <w:r>
              <w:rPr>
                <w:rFonts w:hint="eastAsia" w:ascii="宋体" w:hAnsi="宋体" w:eastAsia="宋体" w:cs="Times New Roman"/>
                <w:color w:val="auto"/>
                <w:highlight w:val="none"/>
              </w:rPr>
              <w:t>、车辆维保</w:t>
            </w:r>
            <w:r>
              <w:rPr>
                <w:rFonts w:hint="eastAsia" w:ascii="宋体" w:hAnsi="宋体" w:cs="Times New Roman"/>
                <w:color w:val="auto"/>
                <w:highlight w:val="none"/>
                <w:lang w:eastAsia="zh-CN"/>
              </w:rPr>
              <w:t>（</w:t>
            </w:r>
            <w:r>
              <w:rPr>
                <w:rFonts w:hint="eastAsia" w:ascii="宋体" w:hAnsi="宋体" w:cs="Times New Roman"/>
                <w:color w:val="auto"/>
                <w:highlight w:val="none"/>
                <w:lang w:val="en-US" w:eastAsia="zh-CN"/>
              </w:rPr>
              <w:t>0-1分)</w:t>
            </w:r>
            <w:r>
              <w:rPr>
                <w:rFonts w:hint="eastAsia" w:ascii="宋体" w:hAnsi="宋体" w:eastAsia="宋体" w:cs="Times New Roman"/>
                <w:color w:val="auto"/>
                <w:highlight w:val="none"/>
              </w:rPr>
              <w:t>、车容车貌</w:t>
            </w:r>
            <w:r>
              <w:rPr>
                <w:rFonts w:hint="eastAsia" w:ascii="宋体" w:hAnsi="宋体" w:cs="Times New Roman"/>
                <w:color w:val="auto"/>
                <w:highlight w:val="none"/>
                <w:lang w:val="en-US" w:eastAsia="zh-CN"/>
              </w:rPr>
              <w:t>(0-1分）</w:t>
            </w:r>
            <w:r>
              <w:rPr>
                <w:rFonts w:hint="eastAsia" w:ascii="宋体" w:hAnsi="宋体" w:eastAsia="宋体" w:cs="Times New Roman"/>
                <w:color w:val="auto"/>
                <w:highlight w:val="none"/>
              </w:rPr>
              <w:t>、定期安全检查</w:t>
            </w:r>
            <w:r>
              <w:rPr>
                <w:rFonts w:hint="eastAsia" w:ascii="宋体" w:hAnsi="宋体" w:cs="Times New Roman"/>
                <w:color w:val="auto"/>
                <w:highlight w:val="none"/>
                <w:lang w:eastAsia="zh-CN"/>
              </w:rPr>
              <w:t>（</w:t>
            </w:r>
            <w:r>
              <w:rPr>
                <w:rFonts w:hint="eastAsia" w:ascii="宋体" w:hAnsi="宋体" w:cs="Times New Roman"/>
                <w:color w:val="auto"/>
                <w:highlight w:val="none"/>
                <w:lang w:val="en-US" w:eastAsia="zh-CN"/>
              </w:rPr>
              <w:t>0-1分）</w:t>
            </w:r>
            <w:r>
              <w:rPr>
                <w:rFonts w:hint="eastAsia" w:ascii="宋体" w:hAnsi="宋体" w:eastAsia="宋体" w:cs="Times New Roman"/>
                <w:color w:val="auto"/>
                <w:highlight w:val="none"/>
              </w:rPr>
              <w:t>等内容。</w:t>
            </w:r>
          </w:p>
        </w:tc>
        <w:tc>
          <w:tcPr>
            <w:tcW w:w="840" w:type="dxa"/>
            <w:vAlign w:val="center"/>
          </w:tcPr>
          <w:p w14:paraId="5A00D4CD">
            <w:pPr>
              <w:widowControl/>
              <w:autoSpaceDE w:val="0"/>
              <w:autoSpaceDN w:val="0"/>
              <w:adjustRightInd w:val="0"/>
              <w:spacing w:line="360" w:lineRule="auto"/>
              <w:jc w:val="left"/>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0-6分</w:t>
            </w:r>
          </w:p>
        </w:tc>
      </w:tr>
      <w:tr w14:paraId="211D9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9" w:type="dxa"/>
            <w:vAlign w:val="center"/>
          </w:tcPr>
          <w:p w14:paraId="35F0DBC0">
            <w:pPr>
              <w:widowControl/>
              <w:autoSpaceDE w:val="0"/>
              <w:autoSpaceDN w:val="0"/>
              <w:adjustRightInd w:val="0"/>
              <w:spacing w:line="360" w:lineRule="auto"/>
              <w:jc w:val="left"/>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7</w:t>
            </w:r>
          </w:p>
        </w:tc>
        <w:tc>
          <w:tcPr>
            <w:tcW w:w="1496" w:type="dxa"/>
            <w:vAlign w:val="center"/>
          </w:tcPr>
          <w:p w14:paraId="43F8705F">
            <w:pPr>
              <w:widowControl/>
              <w:autoSpaceDE w:val="0"/>
              <w:autoSpaceDN w:val="0"/>
              <w:adjustRightInd w:val="0"/>
              <w:spacing w:line="360" w:lineRule="auto"/>
              <w:jc w:val="left"/>
              <w:rPr>
                <w:rFonts w:ascii="宋体" w:hAnsi="宋体" w:cs="宋体"/>
                <w:color w:val="auto"/>
                <w:kern w:val="0"/>
                <w:szCs w:val="21"/>
                <w:highlight w:val="none"/>
                <w:lang w:val="zh-CN"/>
              </w:rPr>
            </w:pPr>
            <w:r>
              <w:rPr>
                <w:rFonts w:hint="eastAsia" w:ascii="宋体" w:hAnsi="宋体" w:eastAsia="宋体" w:cs="Times New Roman"/>
                <w:color w:val="auto"/>
                <w:highlight w:val="none"/>
              </w:rPr>
              <w:t>预防机制</w:t>
            </w:r>
          </w:p>
        </w:tc>
        <w:tc>
          <w:tcPr>
            <w:tcW w:w="7157" w:type="dxa"/>
            <w:vAlign w:val="center"/>
          </w:tcPr>
          <w:p w14:paraId="5B8466CC">
            <w:pPr>
              <w:widowControl/>
              <w:autoSpaceDE w:val="0"/>
              <w:autoSpaceDN w:val="0"/>
              <w:adjustRightInd w:val="0"/>
              <w:spacing w:line="360" w:lineRule="auto"/>
              <w:jc w:val="left"/>
              <w:rPr>
                <w:rFonts w:ascii="宋体" w:hAnsi="宋体" w:cs="宋体"/>
                <w:color w:val="auto"/>
                <w:kern w:val="0"/>
                <w:szCs w:val="21"/>
                <w:highlight w:val="none"/>
                <w:lang w:val="zh-CN"/>
              </w:rPr>
            </w:pPr>
            <w:r>
              <w:rPr>
                <w:rFonts w:hint="eastAsia" w:ascii="宋体" w:hAnsi="宋体" w:eastAsia="宋体" w:cs="Times New Roman"/>
                <w:color w:val="auto"/>
                <w:highlight w:val="none"/>
              </w:rPr>
              <w:t>针对项目实施过程中各种安全风险的预见并提出对应预防机制（0-3分）</w:t>
            </w:r>
            <w:r>
              <w:rPr>
                <w:rFonts w:hint="eastAsia" w:ascii="宋体" w:hAnsi="宋体" w:cs="Times New Roman"/>
                <w:color w:val="auto"/>
                <w:highlight w:val="none"/>
                <w:lang w:eastAsia="zh-CN"/>
              </w:rPr>
              <w:t>来综合评分</w:t>
            </w:r>
            <w:r>
              <w:rPr>
                <w:rFonts w:hint="eastAsia" w:ascii="宋体" w:hAnsi="宋体" w:eastAsia="宋体" w:cs="Times New Roman"/>
                <w:color w:val="auto"/>
                <w:highlight w:val="none"/>
              </w:rPr>
              <w:t>。</w:t>
            </w:r>
          </w:p>
        </w:tc>
        <w:tc>
          <w:tcPr>
            <w:tcW w:w="840" w:type="dxa"/>
            <w:vAlign w:val="center"/>
          </w:tcPr>
          <w:p w14:paraId="2774C7AF">
            <w:pPr>
              <w:widowControl/>
              <w:autoSpaceDE w:val="0"/>
              <w:autoSpaceDN w:val="0"/>
              <w:adjustRightInd w:val="0"/>
              <w:spacing w:line="360" w:lineRule="auto"/>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0</w:t>
            </w:r>
            <w:r>
              <w:rPr>
                <w:rFonts w:ascii="宋体" w:hAnsi="宋体" w:cs="宋体"/>
                <w:color w:val="auto"/>
                <w:kern w:val="0"/>
                <w:szCs w:val="21"/>
                <w:highlight w:val="none"/>
                <w:lang w:val="zh-CN"/>
              </w:rPr>
              <w:t>-</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lang w:val="zh-CN"/>
              </w:rPr>
              <w:t>分</w:t>
            </w:r>
          </w:p>
        </w:tc>
      </w:tr>
      <w:tr w14:paraId="35E24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469" w:type="dxa"/>
            <w:vAlign w:val="center"/>
          </w:tcPr>
          <w:p w14:paraId="50431FD5">
            <w:pPr>
              <w:widowControl/>
              <w:autoSpaceDE w:val="0"/>
              <w:autoSpaceDN w:val="0"/>
              <w:adjustRightInd w:val="0"/>
              <w:spacing w:line="360" w:lineRule="auto"/>
              <w:jc w:val="left"/>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8</w:t>
            </w:r>
          </w:p>
        </w:tc>
        <w:tc>
          <w:tcPr>
            <w:tcW w:w="1496" w:type="dxa"/>
            <w:vAlign w:val="center"/>
          </w:tcPr>
          <w:p w14:paraId="2355A2DD">
            <w:pPr>
              <w:widowControl/>
              <w:autoSpaceDE w:val="0"/>
              <w:autoSpaceDN w:val="0"/>
              <w:adjustRightInd w:val="0"/>
              <w:spacing w:line="360" w:lineRule="auto"/>
              <w:jc w:val="left"/>
              <w:rPr>
                <w:rFonts w:hint="eastAsia" w:ascii="宋体" w:hAnsi="宋体" w:cs="宋体"/>
                <w:color w:val="auto"/>
                <w:kern w:val="0"/>
                <w:szCs w:val="21"/>
                <w:highlight w:val="none"/>
                <w:lang w:val="zh-CN"/>
              </w:rPr>
            </w:pPr>
            <w:r>
              <w:rPr>
                <w:rFonts w:hint="eastAsia"/>
                <w:color w:val="auto"/>
                <w:highlight w:val="none"/>
                <w:lang w:val="en-US" w:eastAsia="zh-CN"/>
              </w:rPr>
              <w:t>防滴漏、防洒漏、防偷排措施</w:t>
            </w:r>
          </w:p>
        </w:tc>
        <w:tc>
          <w:tcPr>
            <w:tcW w:w="7157" w:type="dxa"/>
            <w:vAlign w:val="center"/>
          </w:tcPr>
          <w:p w14:paraId="3634FD6E">
            <w:pPr>
              <w:widowControl/>
              <w:adjustRightInd w:val="0"/>
              <w:spacing w:line="360" w:lineRule="auto"/>
              <w:jc w:val="left"/>
              <w:rPr>
                <w:rFonts w:hint="eastAsia" w:ascii="宋体" w:hAnsi="宋体" w:eastAsia="宋体" w:cs="Times New Roman"/>
                <w:bCs/>
                <w:color w:val="auto"/>
                <w:highlight w:val="none"/>
              </w:rPr>
            </w:pPr>
            <w:r>
              <w:rPr>
                <w:rFonts w:hint="eastAsia"/>
                <w:b w:val="0"/>
                <w:bCs w:val="0"/>
                <w:color w:val="auto"/>
                <w:highlight w:val="none"/>
                <w:lang w:val="en-US" w:eastAsia="zh-CN"/>
              </w:rPr>
              <w:t>根据投标人提供的防滴漏、防洒漏(0-1分）、防偷排措施（0-1分）的等综合评分。</w:t>
            </w:r>
          </w:p>
        </w:tc>
        <w:tc>
          <w:tcPr>
            <w:tcW w:w="840" w:type="dxa"/>
            <w:vAlign w:val="center"/>
          </w:tcPr>
          <w:p w14:paraId="5F437450">
            <w:pPr>
              <w:widowControl/>
              <w:autoSpaceDE w:val="0"/>
              <w:autoSpaceDN w:val="0"/>
              <w:adjustRightInd w:val="0"/>
              <w:spacing w:line="360" w:lineRule="auto"/>
              <w:jc w:val="left"/>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0-2分</w:t>
            </w:r>
          </w:p>
        </w:tc>
      </w:tr>
      <w:tr w14:paraId="269D7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469" w:type="dxa"/>
            <w:vAlign w:val="center"/>
          </w:tcPr>
          <w:p w14:paraId="547BEB6F">
            <w:pPr>
              <w:widowControl/>
              <w:autoSpaceDE w:val="0"/>
              <w:autoSpaceDN w:val="0"/>
              <w:adjustRightInd w:val="0"/>
              <w:spacing w:line="360" w:lineRule="auto"/>
              <w:jc w:val="left"/>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9</w:t>
            </w:r>
          </w:p>
        </w:tc>
        <w:tc>
          <w:tcPr>
            <w:tcW w:w="1496" w:type="dxa"/>
            <w:vAlign w:val="center"/>
          </w:tcPr>
          <w:p w14:paraId="24239DE7">
            <w:pPr>
              <w:widowControl/>
              <w:autoSpaceDE w:val="0"/>
              <w:autoSpaceDN w:val="0"/>
              <w:adjustRightInd w:val="0"/>
              <w:spacing w:line="360" w:lineRule="auto"/>
              <w:jc w:val="left"/>
              <w:rPr>
                <w:rFonts w:hint="eastAsia" w:ascii="宋体" w:hAnsi="宋体"/>
                <w:bCs/>
                <w:color w:val="auto"/>
                <w:highlight w:val="none"/>
                <w:lang w:eastAsia="zh-CN"/>
              </w:rPr>
            </w:pPr>
            <w:r>
              <w:rPr>
                <w:rFonts w:hint="eastAsia" w:ascii="宋体" w:hAnsi="宋体"/>
                <w:szCs w:val="21"/>
                <w:highlight w:val="none"/>
              </w:rPr>
              <w:t>台账资料管理</w:t>
            </w:r>
          </w:p>
        </w:tc>
        <w:tc>
          <w:tcPr>
            <w:tcW w:w="7157" w:type="dxa"/>
            <w:vAlign w:val="center"/>
          </w:tcPr>
          <w:p w14:paraId="4284ED93">
            <w:pPr>
              <w:adjustRightInd w:val="0"/>
              <w:snapToGrid w:val="0"/>
              <w:spacing w:line="460" w:lineRule="exact"/>
              <w:jc w:val="left"/>
              <w:rPr>
                <w:rFonts w:hint="default" w:ascii="宋体" w:hAnsi="宋体" w:eastAsia="宋体"/>
                <w:b w:val="0"/>
                <w:bCs/>
                <w:color w:val="auto"/>
                <w:highlight w:val="none"/>
                <w:lang w:val="en-US" w:eastAsia="zh-CN"/>
              </w:rPr>
            </w:pPr>
            <w:r>
              <w:rPr>
                <w:rFonts w:hint="eastAsia" w:ascii="宋体" w:hAnsi="宋体"/>
                <w:kern w:val="0"/>
                <w:szCs w:val="21"/>
                <w:highlight w:val="none"/>
                <w:lang w:val="en-US" w:eastAsia="zh-CN"/>
              </w:rPr>
              <w:t>根</w:t>
            </w:r>
            <w:r>
              <w:rPr>
                <w:rFonts w:ascii="宋体" w:hAnsi="宋体"/>
                <w:kern w:val="0"/>
                <w:szCs w:val="21"/>
                <w:highlight w:val="none"/>
              </w:rPr>
              <w:t>据投标人制定的</w:t>
            </w:r>
            <w:r>
              <w:rPr>
                <w:rFonts w:hint="eastAsia" w:ascii="宋体" w:hAnsi="宋体"/>
                <w:kern w:val="0"/>
                <w:szCs w:val="21"/>
                <w:highlight w:val="none"/>
              </w:rPr>
              <w:t>台帐资料管理</w:t>
            </w:r>
            <w:r>
              <w:rPr>
                <w:rFonts w:ascii="宋体" w:hAnsi="宋体"/>
                <w:kern w:val="0"/>
                <w:szCs w:val="21"/>
                <w:highlight w:val="none"/>
              </w:rPr>
              <w:t>的</w:t>
            </w:r>
            <w:r>
              <w:rPr>
                <w:rFonts w:hint="eastAsia" w:ascii="宋体" w:hAnsi="宋体"/>
                <w:kern w:val="0"/>
                <w:szCs w:val="21"/>
                <w:highlight w:val="none"/>
                <w:lang w:val="en-US" w:eastAsia="zh-CN"/>
              </w:rPr>
              <w:t>方案（0-2分）和措施（0-2分）来进行综合打分。</w:t>
            </w:r>
          </w:p>
        </w:tc>
        <w:tc>
          <w:tcPr>
            <w:tcW w:w="840" w:type="dxa"/>
            <w:vAlign w:val="center"/>
          </w:tcPr>
          <w:p w14:paraId="029C9776">
            <w:pPr>
              <w:widowControl/>
              <w:autoSpaceDE w:val="0"/>
              <w:autoSpaceDN w:val="0"/>
              <w:adjustRightInd w:val="0"/>
              <w:spacing w:line="360" w:lineRule="auto"/>
              <w:jc w:val="left"/>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0-4分</w:t>
            </w:r>
          </w:p>
        </w:tc>
      </w:tr>
      <w:tr w14:paraId="35EDC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9" w:type="dxa"/>
            <w:vAlign w:val="center"/>
          </w:tcPr>
          <w:p w14:paraId="3783A07A">
            <w:pPr>
              <w:widowControl/>
              <w:autoSpaceDE w:val="0"/>
              <w:autoSpaceDN w:val="0"/>
              <w:adjustRightInd w:val="0"/>
              <w:spacing w:line="360" w:lineRule="auto"/>
              <w:jc w:val="left"/>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10</w:t>
            </w:r>
          </w:p>
        </w:tc>
        <w:tc>
          <w:tcPr>
            <w:tcW w:w="1496" w:type="dxa"/>
            <w:vAlign w:val="center"/>
          </w:tcPr>
          <w:p w14:paraId="273E7C85">
            <w:pPr>
              <w:widowControl/>
              <w:autoSpaceDE w:val="0"/>
              <w:autoSpaceDN w:val="0"/>
              <w:adjustRightInd w:val="0"/>
              <w:spacing w:line="360" w:lineRule="auto"/>
              <w:jc w:val="left"/>
              <w:rPr>
                <w:rFonts w:hint="eastAsia" w:ascii="宋体" w:hAnsi="宋体" w:eastAsia="宋体"/>
                <w:bCs/>
                <w:color w:val="auto"/>
                <w:highlight w:val="none"/>
                <w:lang w:eastAsia="zh-CN"/>
              </w:rPr>
            </w:pPr>
            <w:r>
              <w:rPr>
                <w:rFonts w:hint="eastAsia" w:ascii="宋体" w:hAnsi="宋体"/>
                <w:bCs/>
                <w:color w:val="auto"/>
                <w:highlight w:val="none"/>
                <w:lang w:eastAsia="zh-CN"/>
              </w:rPr>
              <w:t>作业方案</w:t>
            </w:r>
          </w:p>
        </w:tc>
        <w:tc>
          <w:tcPr>
            <w:tcW w:w="7157" w:type="dxa"/>
            <w:vAlign w:val="center"/>
          </w:tcPr>
          <w:p w14:paraId="6282DC62">
            <w:pPr>
              <w:adjustRightInd w:val="0"/>
              <w:snapToGrid w:val="0"/>
              <w:spacing w:line="460" w:lineRule="exact"/>
              <w:jc w:val="left"/>
              <w:rPr>
                <w:rFonts w:hint="default" w:ascii="宋体" w:hAnsi="宋体"/>
                <w:b/>
                <w:bCs w:val="0"/>
                <w:color w:val="auto"/>
                <w:highlight w:val="none"/>
                <w:lang w:val="en-US" w:eastAsia="zh-CN"/>
              </w:rPr>
            </w:pPr>
            <w:r>
              <w:rPr>
                <w:rFonts w:hint="eastAsia" w:ascii="宋体" w:hAnsi="宋体"/>
                <w:b w:val="0"/>
                <w:bCs/>
                <w:color w:val="auto"/>
                <w:highlight w:val="none"/>
                <w:lang w:eastAsia="zh-CN"/>
              </w:rPr>
              <w:t>根据投标人提供的渗滤液的装卸（</w:t>
            </w:r>
            <w:r>
              <w:rPr>
                <w:rFonts w:hint="eastAsia" w:ascii="宋体" w:hAnsi="宋体"/>
                <w:b w:val="0"/>
                <w:bCs/>
                <w:color w:val="auto"/>
                <w:highlight w:val="none"/>
                <w:lang w:val="en-US" w:eastAsia="zh-CN"/>
              </w:rPr>
              <w:t>0-2分）</w:t>
            </w:r>
            <w:r>
              <w:rPr>
                <w:rFonts w:hint="eastAsia" w:ascii="宋体" w:hAnsi="宋体"/>
                <w:b w:val="0"/>
                <w:bCs/>
                <w:color w:val="auto"/>
                <w:highlight w:val="none"/>
                <w:lang w:eastAsia="zh-CN"/>
              </w:rPr>
              <w:t>、处置（</w:t>
            </w:r>
            <w:r>
              <w:rPr>
                <w:rFonts w:hint="eastAsia" w:ascii="宋体" w:hAnsi="宋体"/>
                <w:b w:val="0"/>
                <w:bCs/>
                <w:color w:val="auto"/>
                <w:highlight w:val="none"/>
                <w:lang w:val="en-US" w:eastAsia="zh-CN"/>
              </w:rPr>
              <w:t>0-2分）</w:t>
            </w:r>
            <w:r>
              <w:rPr>
                <w:rFonts w:hint="eastAsia" w:ascii="宋体" w:hAnsi="宋体"/>
                <w:b w:val="0"/>
                <w:bCs/>
                <w:color w:val="auto"/>
                <w:highlight w:val="none"/>
                <w:lang w:eastAsia="zh-CN"/>
              </w:rPr>
              <w:t>及收集池的清理（</w:t>
            </w:r>
            <w:r>
              <w:rPr>
                <w:rFonts w:hint="eastAsia" w:ascii="宋体" w:hAnsi="宋体"/>
                <w:b w:val="0"/>
                <w:bCs/>
                <w:color w:val="auto"/>
                <w:highlight w:val="none"/>
                <w:lang w:val="en-US" w:eastAsia="zh-CN"/>
              </w:rPr>
              <w:t>0-2分）作业方案进行评分。</w:t>
            </w:r>
          </w:p>
        </w:tc>
        <w:tc>
          <w:tcPr>
            <w:tcW w:w="840" w:type="dxa"/>
            <w:vAlign w:val="center"/>
          </w:tcPr>
          <w:p w14:paraId="1D7C243F">
            <w:pPr>
              <w:widowControl/>
              <w:autoSpaceDE w:val="0"/>
              <w:autoSpaceDN w:val="0"/>
              <w:adjustRightInd w:val="0"/>
              <w:spacing w:line="360" w:lineRule="auto"/>
              <w:jc w:val="left"/>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0-6分</w:t>
            </w:r>
          </w:p>
        </w:tc>
      </w:tr>
      <w:tr w14:paraId="1B90C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9" w:type="dxa"/>
            <w:vMerge w:val="restart"/>
            <w:vAlign w:val="center"/>
          </w:tcPr>
          <w:p w14:paraId="0D2E4F4D">
            <w:pPr>
              <w:widowControl/>
              <w:autoSpaceDE w:val="0"/>
              <w:autoSpaceDN w:val="0"/>
              <w:adjustRightInd w:val="0"/>
              <w:spacing w:line="360" w:lineRule="auto"/>
              <w:jc w:val="left"/>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11</w:t>
            </w:r>
          </w:p>
        </w:tc>
        <w:tc>
          <w:tcPr>
            <w:tcW w:w="1496" w:type="dxa"/>
            <w:vMerge w:val="restart"/>
            <w:vAlign w:val="center"/>
          </w:tcPr>
          <w:p w14:paraId="4D64DCD8">
            <w:pPr>
              <w:widowControl/>
              <w:autoSpaceDE w:val="0"/>
              <w:autoSpaceDN w:val="0"/>
              <w:adjustRightInd w:val="0"/>
              <w:spacing w:line="360" w:lineRule="auto"/>
              <w:jc w:val="left"/>
              <w:rPr>
                <w:rFonts w:hint="eastAsia"/>
                <w:color w:val="auto"/>
                <w:highlight w:val="none"/>
                <w:lang w:val="en-US" w:eastAsia="zh-CN"/>
              </w:rPr>
            </w:pPr>
            <w:r>
              <w:rPr>
                <w:rFonts w:hint="eastAsia" w:ascii="宋体" w:hAnsi="宋体" w:eastAsia="宋体"/>
                <w:bCs/>
                <w:color w:val="auto"/>
                <w:highlight w:val="none"/>
              </w:rPr>
              <w:t>车辆配置情况</w:t>
            </w:r>
          </w:p>
        </w:tc>
        <w:tc>
          <w:tcPr>
            <w:tcW w:w="7157" w:type="dxa"/>
            <w:vAlign w:val="center"/>
          </w:tcPr>
          <w:p w14:paraId="20D60E11">
            <w:pPr>
              <w:numPr>
                <w:ilvl w:val="0"/>
                <w:numId w:val="0"/>
              </w:numPr>
              <w:adjustRightInd w:val="0"/>
              <w:snapToGrid w:val="0"/>
              <w:spacing w:line="460" w:lineRule="exact"/>
              <w:jc w:val="left"/>
              <w:rPr>
                <w:rFonts w:hint="eastAsia" w:ascii="宋体" w:hAnsi="宋体" w:eastAsia="宋体"/>
                <w:bCs/>
                <w:color w:val="auto"/>
                <w:highlight w:val="none"/>
              </w:rPr>
            </w:pPr>
            <w:r>
              <w:rPr>
                <w:rFonts w:hint="eastAsia" w:ascii="宋体" w:hAnsi="宋体" w:eastAsia="宋体"/>
                <w:bCs/>
                <w:color w:val="auto"/>
                <w:highlight w:val="none"/>
              </w:rPr>
              <w:t>为保障项目实施节点要求，投标人拟投入本项目的已有车辆配置情况：</w:t>
            </w:r>
          </w:p>
          <w:p w14:paraId="27216658">
            <w:pPr>
              <w:numPr>
                <w:ilvl w:val="0"/>
                <w:numId w:val="0"/>
              </w:numPr>
              <w:adjustRightInd w:val="0"/>
              <w:snapToGrid w:val="0"/>
              <w:spacing w:line="460" w:lineRule="exact"/>
              <w:jc w:val="left"/>
              <w:rPr>
                <w:rFonts w:hint="eastAsia" w:ascii="宋体" w:hAnsi="宋体" w:eastAsia="宋体"/>
                <w:bCs/>
                <w:color w:val="auto"/>
                <w:highlight w:val="none"/>
              </w:rPr>
            </w:pPr>
            <w:r>
              <w:rPr>
                <w:rFonts w:hint="eastAsia" w:ascii="宋体" w:hAnsi="宋体" w:eastAsia="宋体"/>
                <w:bCs/>
                <w:color w:val="auto"/>
                <w:highlight w:val="none"/>
              </w:rPr>
              <w:t>已有且拟投入本项目用于渗滤液清转运的</w:t>
            </w:r>
            <w:r>
              <w:rPr>
                <w:rFonts w:hint="eastAsia" w:ascii="宋体" w:hAnsi="宋体" w:eastAsia="宋体"/>
                <w:color w:val="auto"/>
                <w:highlight w:val="none"/>
              </w:rPr>
              <w:t>总质量</w:t>
            </w:r>
            <w:r>
              <w:rPr>
                <w:rFonts w:hint="eastAsia" w:ascii="宋体" w:hAnsi="宋体"/>
                <w:color w:val="auto"/>
                <w:highlight w:val="none"/>
                <w:lang w:val="en-US" w:eastAsia="zh-CN"/>
              </w:rPr>
              <w:t>3</w:t>
            </w:r>
            <w:r>
              <w:rPr>
                <w:rFonts w:hint="eastAsia" w:ascii="宋体" w:hAnsi="宋体" w:eastAsia="宋体"/>
                <w:color w:val="auto"/>
                <w:highlight w:val="none"/>
              </w:rPr>
              <w:t>吨（含）以上</w:t>
            </w:r>
            <w:r>
              <w:rPr>
                <w:rFonts w:hint="eastAsia" w:ascii="宋体" w:hAnsi="宋体" w:eastAsia="宋体"/>
                <w:color w:val="auto"/>
                <w:highlight w:val="none"/>
                <w:lang w:val="en-US" w:eastAsia="zh-CN"/>
              </w:rPr>
              <w:t>吸污</w:t>
            </w:r>
            <w:r>
              <w:rPr>
                <w:rFonts w:hint="eastAsia" w:ascii="宋体" w:hAnsi="宋体" w:eastAsia="宋体"/>
                <w:color w:val="auto"/>
                <w:highlight w:val="none"/>
              </w:rPr>
              <w:t>运输车辆</w:t>
            </w:r>
            <w:r>
              <w:rPr>
                <w:rFonts w:hint="eastAsia" w:ascii="宋体" w:hAnsi="宋体" w:eastAsia="宋体"/>
                <w:bCs/>
                <w:color w:val="auto"/>
                <w:highlight w:val="none"/>
              </w:rPr>
              <w:t>2辆的得2分，</w:t>
            </w:r>
            <w:r>
              <w:rPr>
                <w:rFonts w:hint="eastAsia" w:ascii="宋体" w:hAnsi="宋体"/>
                <w:bCs/>
                <w:color w:val="auto"/>
                <w:highlight w:val="none"/>
                <w:lang w:eastAsia="zh-CN"/>
              </w:rPr>
              <w:t>每增加</w:t>
            </w:r>
            <w:r>
              <w:rPr>
                <w:rFonts w:hint="eastAsia" w:ascii="宋体" w:hAnsi="宋体" w:eastAsia="宋体"/>
                <w:bCs/>
                <w:color w:val="auto"/>
                <w:highlight w:val="none"/>
              </w:rPr>
              <w:t>1辆的得1分，</w:t>
            </w:r>
            <w:r>
              <w:rPr>
                <w:rFonts w:hint="eastAsia" w:ascii="宋体" w:hAnsi="宋体"/>
                <w:bCs/>
                <w:color w:val="auto"/>
                <w:highlight w:val="none"/>
                <w:lang w:eastAsia="zh-CN"/>
              </w:rPr>
              <w:t>最多得</w:t>
            </w:r>
            <w:r>
              <w:rPr>
                <w:rFonts w:hint="eastAsia" w:ascii="宋体" w:hAnsi="宋体"/>
                <w:bCs/>
                <w:color w:val="auto"/>
                <w:highlight w:val="none"/>
                <w:lang w:val="en-US" w:eastAsia="zh-CN"/>
              </w:rPr>
              <w:t>3分</w:t>
            </w:r>
            <w:r>
              <w:rPr>
                <w:rFonts w:hint="eastAsia" w:ascii="宋体" w:hAnsi="宋体" w:eastAsia="宋体"/>
                <w:bCs/>
                <w:color w:val="auto"/>
                <w:highlight w:val="none"/>
              </w:rPr>
              <w:t>。</w:t>
            </w:r>
          </w:p>
          <w:p w14:paraId="5945C7A7">
            <w:pPr>
              <w:adjustRightInd w:val="0"/>
              <w:snapToGrid w:val="0"/>
              <w:spacing w:line="460" w:lineRule="exact"/>
              <w:jc w:val="left"/>
              <w:rPr>
                <w:rFonts w:hint="eastAsia" w:ascii="宋体" w:hAnsi="宋体"/>
                <w:bCs/>
                <w:color w:val="auto"/>
                <w:highlight w:val="none"/>
                <w:lang w:eastAsia="zh-CN"/>
              </w:rPr>
            </w:pPr>
            <w:r>
              <w:rPr>
                <w:rFonts w:hint="eastAsia" w:ascii="宋体" w:hAnsi="宋体"/>
                <w:b/>
                <w:bCs w:val="0"/>
                <w:color w:val="auto"/>
                <w:highlight w:val="none"/>
                <w:lang w:eastAsia="zh-CN"/>
              </w:rPr>
              <w:t>注：</w:t>
            </w:r>
            <w:r>
              <w:rPr>
                <w:rFonts w:hint="eastAsia" w:ascii="宋体" w:hAnsi="宋体" w:eastAsia="宋体"/>
                <w:b/>
                <w:bCs w:val="0"/>
                <w:color w:val="auto"/>
                <w:highlight w:val="none"/>
              </w:rPr>
              <w:t>不重复计分，以上自有车辆需提供车辆购置发票，租赁车辆需提供车辆行驶证、租赁合同、租赁发票的复印件并加盖</w:t>
            </w:r>
            <w:r>
              <w:rPr>
                <w:rFonts w:hint="eastAsia" w:ascii="宋体" w:hAnsi="宋体"/>
                <w:b/>
                <w:bCs w:val="0"/>
                <w:color w:val="auto"/>
                <w:highlight w:val="none"/>
                <w:lang w:eastAsia="zh-CN"/>
              </w:rPr>
              <w:t>投标人</w:t>
            </w:r>
            <w:r>
              <w:rPr>
                <w:rFonts w:hint="eastAsia" w:ascii="宋体" w:hAnsi="宋体" w:eastAsia="宋体"/>
                <w:b/>
                <w:bCs w:val="0"/>
                <w:color w:val="auto"/>
                <w:highlight w:val="none"/>
              </w:rPr>
              <w:t>公章</w:t>
            </w:r>
            <w:r>
              <w:rPr>
                <w:rFonts w:hint="eastAsia" w:ascii="宋体" w:hAnsi="宋体"/>
                <w:b/>
                <w:bCs w:val="0"/>
                <w:color w:val="auto"/>
                <w:highlight w:val="none"/>
                <w:lang w:eastAsia="zh-CN"/>
              </w:rPr>
              <w:t>，不提供则不得分。</w:t>
            </w:r>
          </w:p>
        </w:tc>
        <w:tc>
          <w:tcPr>
            <w:tcW w:w="840" w:type="dxa"/>
            <w:vAlign w:val="center"/>
          </w:tcPr>
          <w:p w14:paraId="41055E23">
            <w:pPr>
              <w:widowControl/>
              <w:autoSpaceDE w:val="0"/>
              <w:autoSpaceDN w:val="0"/>
              <w:adjustRightInd w:val="0"/>
              <w:spacing w:line="360" w:lineRule="auto"/>
              <w:jc w:val="left"/>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0-3分</w:t>
            </w:r>
          </w:p>
        </w:tc>
      </w:tr>
      <w:tr w14:paraId="6BA18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9" w:type="dxa"/>
            <w:vMerge w:val="continue"/>
            <w:vAlign w:val="center"/>
          </w:tcPr>
          <w:p w14:paraId="691C1B63">
            <w:pPr>
              <w:widowControl/>
              <w:autoSpaceDE w:val="0"/>
              <w:autoSpaceDN w:val="0"/>
              <w:adjustRightInd w:val="0"/>
              <w:spacing w:line="360" w:lineRule="auto"/>
              <w:jc w:val="left"/>
              <w:rPr>
                <w:rFonts w:hint="eastAsia" w:ascii="宋体" w:hAnsi="宋体" w:cs="宋体"/>
                <w:color w:val="auto"/>
                <w:kern w:val="0"/>
                <w:szCs w:val="21"/>
                <w:highlight w:val="none"/>
                <w:lang w:val="en-US" w:eastAsia="zh-CN"/>
              </w:rPr>
            </w:pPr>
          </w:p>
        </w:tc>
        <w:tc>
          <w:tcPr>
            <w:tcW w:w="1496" w:type="dxa"/>
            <w:vMerge w:val="continue"/>
            <w:vAlign w:val="center"/>
          </w:tcPr>
          <w:p w14:paraId="1F76F128">
            <w:pPr>
              <w:widowControl/>
              <w:autoSpaceDE w:val="0"/>
              <w:autoSpaceDN w:val="0"/>
              <w:adjustRightInd w:val="0"/>
              <w:spacing w:line="360" w:lineRule="auto"/>
              <w:jc w:val="left"/>
              <w:rPr>
                <w:rFonts w:hint="eastAsia"/>
                <w:color w:val="auto"/>
                <w:highlight w:val="none"/>
                <w:lang w:val="en-US" w:eastAsia="zh-CN"/>
              </w:rPr>
            </w:pPr>
          </w:p>
        </w:tc>
        <w:tc>
          <w:tcPr>
            <w:tcW w:w="7157" w:type="dxa"/>
            <w:vAlign w:val="center"/>
          </w:tcPr>
          <w:p w14:paraId="48DA5000">
            <w:pPr>
              <w:adjustRightInd w:val="0"/>
              <w:snapToGrid w:val="0"/>
              <w:spacing w:line="460" w:lineRule="exact"/>
              <w:jc w:val="left"/>
              <w:rPr>
                <w:rFonts w:hint="eastAsia" w:ascii="宋体" w:hAnsi="宋体" w:eastAsia="宋体"/>
                <w:bCs/>
                <w:color w:val="auto"/>
                <w:highlight w:val="none"/>
              </w:rPr>
            </w:pPr>
            <w:r>
              <w:rPr>
                <w:rFonts w:hint="eastAsia" w:ascii="宋体" w:hAnsi="宋体" w:eastAsia="宋体"/>
                <w:bCs/>
                <w:color w:val="auto"/>
                <w:highlight w:val="none"/>
              </w:rPr>
              <w:t>投标人拟投入本项目的已有驾驶员配置情况：</w:t>
            </w:r>
          </w:p>
          <w:p w14:paraId="126BD2EA">
            <w:pPr>
              <w:adjustRightInd w:val="0"/>
              <w:snapToGrid w:val="0"/>
              <w:spacing w:line="440" w:lineRule="exact"/>
              <w:jc w:val="left"/>
              <w:rPr>
                <w:rFonts w:hint="eastAsia" w:ascii="宋体" w:hAnsi="宋体" w:eastAsia="宋体"/>
                <w:bCs/>
                <w:color w:val="auto"/>
                <w:highlight w:val="none"/>
                <w:lang w:eastAsia="zh-CN"/>
              </w:rPr>
            </w:pPr>
            <w:r>
              <w:rPr>
                <w:rFonts w:hint="eastAsia" w:ascii="宋体" w:hAnsi="宋体" w:eastAsia="宋体"/>
                <w:bCs/>
                <w:color w:val="auto"/>
                <w:highlight w:val="none"/>
              </w:rPr>
              <w:t>已有且拟投入本项目的B照以上的驾驶员</w:t>
            </w:r>
            <w:r>
              <w:rPr>
                <w:rFonts w:hint="eastAsia" w:ascii="宋体" w:hAnsi="宋体"/>
                <w:bCs/>
                <w:color w:val="auto"/>
                <w:highlight w:val="none"/>
                <w:lang w:val="en-US" w:eastAsia="zh-CN"/>
              </w:rPr>
              <w:t>配备3</w:t>
            </w:r>
            <w:r>
              <w:rPr>
                <w:rFonts w:hint="eastAsia" w:ascii="宋体" w:hAnsi="宋体" w:eastAsia="宋体"/>
                <w:bCs/>
                <w:color w:val="auto"/>
                <w:highlight w:val="none"/>
              </w:rPr>
              <w:t>名</w:t>
            </w:r>
            <w:r>
              <w:rPr>
                <w:rFonts w:hint="eastAsia" w:ascii="宋体" w:hAnsi="宋体"/>
                <w:bCs/>
                <w:color w:val="auto"/>
                <w:highlight w:val="none"/>
                <w:lang w:eastAsia="zh-CN"/>
              </w:rPr>
              <w:t>（含</w:t>
            </w:r>
            <w:r>
              <w:rPr>
                <w:rFonts w:hint="eastAsia" w:ascii="宋体" w:hAnsi="宋体"/>
                <w:bCs/>
                <w:color w:val="auto"/>
                <w:highlight w:val="none"/>
                <w:lang w:val="en-US" w:eastAsia="zh-CN"/>
              </w:rPr>
              <w:t>3名）</w:t>
            </w:r>
            <w:r>
              <w:rPr>
                <w:rFonts w:hint="eastAsia" w:ascii="宋体" w:hAnsi="宋体" w:eastAsia="宋体"/>
                <w:bCs/>
                <w:color w:val="auto"/>
                <w:highlight w:val="none"/>
              </w:rPr>
              <w:t>及以上的得2分</w:t>
            </w:r>
            <w:r>
              <w:rPr>
                <w:rFonts w:hint="eastAsia" w:ascii="宋体" w:hAnsi="宋体"/>
                <w:bCs/>
                <w:color w:val="auto"/>
                <w:highlight w:val="none"/>
                <w:lang w:eastAsia="zh-CN"/>
              </w:rPr>
              <w:t>。</w:t>
            </w:r>
          </w:p>
          <w:p w14:paraId="7AB0829F">
            <w:pPr>
              <w:adjustRightInd w:val="0"/>
              <w:snapToGrid w:val="0"/>
              <w:spacing w:line="440" w:lineRule="exact"/>
              <w:jc w:val="left"/>
              <w:rPr>
                <w:rFonts w:hint="eastAsia" w:ascii="宋体" w:hAnsi="宋体"/>
                <w:bCs/>
                <w:color w:val="auto"/>
                <w:highlight w:val="none"/>
                <w:lang w:eastAsia="zh-CN"/>
              </w:rPr>
            </w:pPr>
            <w:r>
              <w:rPr>
                <w:rFonts w:hint="eastAsia" w:ascii="宋体" w:hAnsi="宋体"/>
                <w:b/>
                <w:bCs w:val="0"/>
                <w:color w:val="auto"/>
                <w:highlight w:val="none"/>
                <w:lang w:eastAsia="zh-CN"/>
              </w:rPr>
              <w:t>注：</w:t>
            </w:r>
            <w:r>
              <w:rPr>
                <w:rFonts w:hint="eastAsia" w:ascii="宋体" w:hAnsi="宋体" w:eastAsia="宋体"/>
                <w:b/>
                <w:bCs w:val="0"/>
                <w:color w:val="auto"/>
                <w:highlight w:val="none"/>
              </w:rPr>
              <w:t>须提供驾驶证复印件</w:t>
            </w:r>
            <w:r>
              <w:rPr>
                <w:rFonts w:hint="eastAsia" w:eastAsia="宋体"/>
                <w:b/>
                <w:bCs/>
                <w:highlight w:val="none"/>
              </w:rPr>
              <w:t>及</w:t>
            </w:r>
            <w:r>
              <w:rPr>
                <w:rFonts w:hint="eastAsia" w:eastAsia="宋体"/>
                <w:b/>
                <w:bCs/>
                <w:highlight w:val="none"/>
                <w:lang w:eastAsia="zh-CN"/>
              </w:rPr>
              <w:t>投标人</w:t>
            </w:r>
            <w:r>
              <w:rPr>
                <w:rFonts w:hint="eastAsia" w:eastAsia="宋体"/>
                <w:b/>
                <w:bCs/>
                <w:highlight w:val="none"/>
              </w:rPr>
              <w:t>为其缴纳的202</w:t>
            </w:r>
            <w:r>
              <w:rPr>
                <w:rFonts w:hint="eastAsia"/>
                <w:b/>
                <w:bCs/>
                <w:highlight w:val="none"/>
                <w:lang w:val="en-US" w:eastAsia="zh-CN"/>
              </w:rPr>
              <w:t>5</w:t>
            </w:r>
            <w:r>
              <w:rPr>
                <w:rFonts w:hint="eastAsia" w:eastAsia="宋体"/>
                <w:b/>
                <w:bCs/>
                <w:highlight w:val="none"/>
              </w:rPr>
              <w:t>年</w:t>
            </w:r>
            <w:r>
              <w:rPr>
                <w:rFonts w:hint="eastAsia"/>
                <w:b/>
                <w:bCs/>
                <w:highlight w:val="none"/>
                <w:lang w:val="en-US" w:eastAsia="zh-CN"/>
              </w:rPr>
              <w:t>04</w:t>
            </w:r>
            <w:r>
              <w:rPr>
                <w:rFonts w:hint="eastAsia" w:eastAsia="宋体"/>
                <w:b/>
                <w:bCs/>
                <w:highlight w:val="none"/>
              </w:rPr>
              <w:t>月-</w:t>
            </w:r>
            <w:r>
              <w:rPr>
                <w:rFonts w:hint="eastAsia" w:eastAsia="宋体"/>
                <w:b/>
                <w:bCs/>
                <w:highlight w:val="none"/>
                <w:lang w:val="en-US" w:eastAsia="zh-CN"/>
              </w:rPr>
              <w:t>0</w:t>
            </w:r>
            <w:r>
              <w:rPr>
                <w:rFonts w:hint="eastAsia"/>
                <w:b/>
                <w:bCs/>
                <w:highlight w:val="none"/>
                <w:lang w:val="en-US" w:eastAsia="zh-CN"/>
              </w:rPr>
              <w:t>6</w:t>
            </w:r>
            <w:r>
              <w:rPr>
                <w:rFonts w:hint="eastAsia" w:eastAsia="宋体"/>
                <w:b/>
                <w:bCs/>
                <w:highlight w:val="none"/>
              </w:rPr>
              <w:t>月</w:t>
            </w:r>
            <w:r>
              <w:rPr>
                <w:rFonts w:hint="eastAsia"/>
                <w:b/>
                <w:bCs/>
                <w:highlight w:val="none"/>
                <w:lang w:eastAsia="zh-CN"/>
              </w:rPr>
              <w:t>连续三个月</w:t>
            </w:r>
            <w:r>
              <w:rPr>
                <w:rFonts w:hint="eastAsia" w:eastAsia="宋体"/>
                <w:b/>
                <w:bCs/>
                <w:highlight w:val="none"/>
              </w:rPr>
              <w:t>的社保证明材料扫描件</w:t>
            </w:r>
            <w:r>
              <w:rPr>
                <w:rFonts w:hint="eastAsia" w:eastAsia="宋体"/>
                <w:b/>
                <w:bCs/>
                <w:highlight w:val="none"/>
                <w:lang w:eastAsia="zh-CN"/>
              </w:rPr>
              <w:t>并加盖</w:t>
            </w:r>
            <w:r>
              <w:rPr>
                <w:rFonts w:hint="eastAsia"/>
                <w:b/>
                <w:bCs/>
                <w:highlight w:val="none"/>
                <w:lang w:eastAsia="zh-CN"/>
              </w:rPr>
              <w:t>投标人</w:t>
            </w:r>
            <w:r>
              <w:rPr>
                <w:rFonts w:hint="eastAsia" w:eastAsia="宋体"/>
                <w:b/>
                <w:bCs/>
                <w:highlight w:val="none"/>
                <w:lang w:eastAsia="zh-CN"/>
              </w:rPr>
              <w:t>公章，否则不得分。</w:t>
            </w:r>
          </w:p>
        </w:tc>
        <w:tc>
          <w:tcPr>
            <w:tcW w:w="840" w:type="dxa"/>
            <w:vAlign w:val="center"/>
          </w:tcPr>
          <w:p w14:paraId="6180CAEA">
            <w:pPr>
              <w:widowControl/>
              <w:autoSpaceDE w:val="0"/>
              <w:autoSpaceDN w:val="0"/>
              <w:adjustRightInd w:val="0"/>
              <w:spacing w:line="360" w:lineRule="auto"/>
              <w:jc w:val="left"/>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0-2分</w:t>
            </w:r>
          </w:p>
        </w:tc>
      </w:tr>
      <w:tr w14:paraId="688A2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9" w:type="dxa"/>
            <w:vAlign w:val="center"/>
          </w:tcPr>
          <w:p w14:paraId="0E8A2EA0">
            <w:pPr>
              <w:widowControl/>
              <w:autoSpaceDE w:val="0"/>
              <w:autoSpaceDN w:val="0"/>
              <w:adjustRightInd w:val="0"/>
              <w:spacing w:line="360" w:lineRule="auto"/>
              <w:jc w:val="left"/>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12</w:t>
            </w:r>
          </w:p>
        </w:tc>
        <w:tc>
          <w:tcPr>
            <w:tcW w:w="1496" w:type="dxa"/>
            <w:vAlign w:val="center"/>
          </w:tcPr>
          <w:p w14:paraId="748DD3FA">
            <w:pPr>
              <w:widowControl/>
              <w:autoSpaceDE w:val="0"/>
              <w:autoSpaceDN w:val="0"/>
              <w:adjustRightInd w:val="0"/>
              <w:spacing w:line="360" w:lineRule="auto"/>
              <w:jc w:val="left"/>
              <w:rPr>
                <w:rFonts w:hint="eastAsia"/>
                <w:color w:val="auto"/>
                <w:highlight w:val="none"/>
                <w:lang w:val="en-US" w:eastAsia="zh-CN"/>
              </w:rPr>
            </w:pPr>
            <w:r>
              <w:rPr>
                <w:rFonts w:hint="eastAsia" w:ascii="宋体" w:hAnsi="宋体" w:eastAsia="宋体"/>
                <w:bCs/>
                <w:color w:val="auto"/>
                <w:highlight w:val="none"/>
              </w:rPr>
              <w:t>车辆停放场地保障方案</w:t>
            </w:r>
          </w:p>
        </w:tc>
        <w:tc>
          <w:tcPr>
            <w:tcW w:w="7157" w:type="dxa"/>
            <w:vAlign w:val="center"/>
          </w:tcPr>
          <w:p w14:paraId="4B6E30C7">
            <w:pPr>
              <w:kinsoku w:val="0"/>
              <w:spacing w:line="360" w:lineRule="auto"/>
              <w:textAlignment w:val="baseline"/>
              <w:rPr>
                <w:rFonts w:hint="eastAsia" w:ascii="宋体" w:hAnsi="宋体" w:eastAsia="宋体"/>
                <w:bCs/>
                <w:color w:val="auto"/>
                <w:highlight w:val="none"/>
                <w:lang w:eastAsia="zh-CN"/>
              </w:rPr>
            </w:pPr>
            <w:r>
              <w:rPr>
                <w:rFonts w:hint="eastAsia" w:ascii="宋体" w:hAnsi="宋体"/>
                <w:bCs/>
                <w:color w:val="auto"/>
                <w:highlight w:val="none"/>
                <w:lang w:eastAsia="zh-CN"/>
              </w:rPr>
              <w:t>根据投标人</w:t>
            </w:r>
            <w:r>
              <w:rPr>
                <w:rFonts w:hint="eastAsia" w:ascii="宋体" w:hAnsi="宋体" w:eastAsia="宋体"/>
                <w:bCs/>
                <w:color w:val="auto"/>
                <w:highlight w:val="none"/>
              </w:rPr>
              <w:t>拟投入本项目的车辆停放场地保障方案</w:t>
            </w:r>
            <w:r>
              <w:rPr>
                <w:rFonts w:hint="eastAsia" w:ascii="宋体" w:hAnsi="宋体"/>
                <w:bCs/>
                <w:color w:val="auto"/>
                <w:highlight w:val="none"/>
                <w:lang w:eastAsia="zh-CN"/>
              </w:rPr>
              <w:t>，方案内容至少包括</w:t>
            </w:r>
            <w:r>
              <w:rPr>
                <w:rFonts w:hint="eastAsia" w:ascii="宋体" w:hAnsi="宋体" w:eastAsia="宋体"/>
                <w:bCs/>
                <w:color w:val="auto"/>
                <w:highlight w:val="none"/>
              </w:rPr>
              <w:t>停放规划</w:t>
            </w:r>
            <w:r>
              <w:rPr>
                <w:rFonts w:hint="eastAsia" w:ascii="宋体" w:hAnsi="宋体"/>
                <w:bCs/>
                <w:color w:val="auto"/>
                <w:highlight w:val="none"/>
                <w:lang w:eastAsia="zh-CN"/>
              </w:rPr>
              <w:t>（</w:t>
            </w:r>
            <w:r>
              <w:rPr>
                <w:rFonts w:hint="eastAsia" w:ascii="宋体" w:hAnsi="宋体"/>
                <w:bCs/>
                <w:color w:val="auto"/>
                <w:highlight w:val="none"/>
                <w:lang w:val="en-US" w:eastAsia="zh-CN"/>
              </w:rPr>
              <w:t>0-2分）</w:t>
            </w:r>
            <w:r>
              <w:rPr>
                <w:rFonts w:hint="eastAsia" w:ascii="宋体" w:hAnsi="宋体"/>
                <w:bCs/>
                <w:color w:val="auto"/>
                <w:highlight w:val="none"/>
                <w:lang w:eastAsia="zh-CN"/>
              </w:rPr>
              <w:t>、</w:t>
            </w:r>
            <w:r>
              <w:rPr>
                <w:rFonts w:hint="eastAsia" w:ascii="宋体" w:hAnsi="宋体" w:eastAsia="宋体"/>
                <w:bCs/>
                <w:color w:val="auto"/>
                <w:highlight w:val="none"/>
              </w:rPr>
              <w:t>车辆</w:t>
            </w:r>
            <w:r>
              <w:rPr>
                <w:rFonts w:hint="eastAsia" w:ascii="宋体" w:hAnsi="宋体"/>
                <w:bCs/>
                <w:color w:val="auto"/>
                <w:highlight w:val="none"/>
                <w:lang w:eastAsia="zh-CN"/>
              </w:rPr>
              <w:t>保养（</w:t>
            </w:r>
            <w:r>
              <w:rPr>
                <w:rFonts w:hint="eastAsia" w:ascii="宋体" w:hAnsi="宋体"/>
                <w:bCs/>
                <w:color w:val="auto"/>
                <w:highlight w:val="none"/>
                <w:lang w:val="en-US" w:eastAsia="zh-CN"/>
              </w:rPr>
              <w:t>0-2分）</w:t>
            </w:r>
            <w:r>
              <w:rPr>
                <w:rFonts w:hint="eastAsia" w:ascii="宋体" w:hAnsi="宋体"/>
                <w:bCs/>
                <w:color w:val="auto"/>
                <w:highlight w:val="none"/>
                <w:lang w:eastAsia="zh-CN"/>
              </w:rPr>
              <w:t>等综合评分。</w:t>
            </w:r>
          </w:p>
        </w:tc>
        <w:tc>
          <w:tcPr>
            <w:tcW w:w="840" w:type="dxa"/>
            <w:vAlign w:val="center"/>
          </w:tcPr>
          <w:p w14:paraId="3E7C8EDF">
            <w:pPr>
              <w:widowControl/>
              <w:autoSpaceDE w:val="0"/>
              <w:autoSpaceDN w:val="0"/>
              <w:adjustRightInd w:val="0"/>
              <w:spacing w:line="360" w:lineRule="auto"/>
              <w:jc w:val="left"/>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0-4分</w:t>
            </w:r>
          </w:p>
        </w:tc>
      </w:tr>
      <w:tr w14:paraId="5C464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9" w:type="dxa"/>
            <w:vAlign w:val="center"/>
          </w:tcPr>
          <w:p w14:paraId="42B1C3F0">
            <w:pPr>
              <w:widowControl/>
              <w:autoSpaceDE w:val="0"/>
              <w:autoSpaceDN w:val="0"/>
              <w:adjustRightInd w:val="0"/>
              <w:spacing w:line="360" w:lineRule="auto"/>
              <w:jc w:val="left"/>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13</w:t>
            </w:r>
          </w:p>
        </w:tc>
        <w:tc>
          <w:tcPr>
            <w:tcW w:w="1496" w:type="dxa"/>
            <w:vAlign w:val="center"/>
          </w:tcPr>
          <w:p w14:paraId="7B189138">
            <w:pPr>
              <w:widowControl/>
              <w:autoSpaceDE w:val="0"/>
              <w:autoSpaceDN w:val="0"/>
              <w:adjustRightInd w:val="0"/>
              <w:spacing w:line="360" w:lineRule="auto"/>
              <w:jc w:val="left"/>
              <w:rPr>
                <w:rFonts w:hint="eastAsia"/>
                <w:color w:val="auto"/>
                <w:highlight w:val="none"/>
                <w:lang w:val="en-US" w:eastAsia="zh-CN"/>
              </w:rPr>
            </w:pPr>
            <w:r>
              <w:rPr>
                <w:rFonts w:hint="eastAsia"/>
                <w:color w:val="auto"/>
                <w:highlight w:val="none"/>
                <w:lang w:val="en-US" w:eastAsia="zh-CN"/>
              </w:rPr>
              <w:t>实施方案</w:t>
            </w:r>
          </w:p>
        </w:tc>
        <w:tc>
          <w:tcPr>
            <w:tcW w:w="7157" w:type="dxa"/>
            <w:vAlign w:val="center"/>
          </w:tcPr>
          <w:p w14:paraId="5FE77B65">
            <w:pPr>
              <w:kinsoku w:val="0"/>
              <w:spacing w:line="360" w:lineRule="auto"/>
              <w:textAlignment w:val="baseline"/>
              <w:rPr>
                <w:rFonts w:hint="eastAsia" w:ascii="仿宋" w:hAnsi="仿宋" w:eastAsia="仿宋" w:cs="仿宋"/>
                <w:color w:val="auto"/>
                <w:kern w:val="2"/>
                <w:sz w:val="24"/>
                <w:szCs w:val="24"/>
                <w:highlight w:val="none"/>
                <w:lang w:val="en-US" w:eastAsia="zh-CN" w:bidi="ar-SA"/>
              </w:rPr>
            </w:pPr>
            <w:r>
              <w:rPr>
                <w:rFonts w:hint="eastAsia" w:ascii="宋体" w:hAnsi="宋体"/>
                <w:bCs/>
                <w:color w:val="auto"/>
                <w:highlight w:val="none"/>
                <w:lang w:eastAsia="zh-CN"/>
              </w:rPr>
              <w:t>根据投标人提供的</w:t>
            </w:r>
            <w:r>
              <w:rPr>
                <w:rFonts w:hint="eastAsia" w:ascii="宋体" w:hAnsi="宋体" w:eastAsia="宋体"/>
                <w:bCs/>
                <w:color w:val="auto"/>
                <w:highlight w:val="none"/>
              </w:rPr>
              <w:t>合同开始执行计划措施</w:t>
            </w:r>
            <w:r>
              <w:rPr>
                <w:rFonts w:hint="eastAsia" w:ascii="宋体" w:hAnsi="宋体"/>
                <w:bCs/>
                <w:color w:val="auto"/>
                <w:highlight w:val="none"/>
                <w:lang w:eastAsia="zh-CN"/>
              </w:rPr>
              <w:t>（</w:t>
            </w:r>
            <w:r>
              <w:rPr>
                <w:rFonts w:hint="eastAsia" w:ascii="宋体" w:hAnsi="宋体"/>
                <w:bCs/>
                <w:color w:val="auto"/>
                <w:highlight w:val="none"/>
                <w:lang w:val="en-US" w:eastAsia="zh-CN"/>
              </w:rPr>
              <w:t>0-2分）</w:t>
            </w:r>
            <w:r>
              <w:rPr>
                <w:rFonts w:hint="eastAsia" w:ascii="宋体" w:hAnsi="宋体" w:eastAsia="宋体"/>
                <w:bCs/>
                <w:color w:val="auto"/>
                <w:highlight w:val="none"/>
              </w:rPr>
              <w:t>、</w:t>
            </w:r>
            <w:r>
              <w:rPr>
                <w:rFonts w:hint="eastAsia" w:ascii="宋体" w:hAnsi="宋体"/>
                <w:bCs/>
                <w:color w:val="auto"/>
                <w:highlight w:val="none"/>
                <w:lang w:val="en-US" w:eastAsia="zh-CN"/>
              </w:rPr>
              <w:t>与原单位进行工作交接（0-2分）</w:t>
            </w:r>
            <w:r>
              <w:rPr>
                <w:rFonts w:hint="eastAsia" w:ascii="宋体" w:hAnsi="宋体"/>
                <w:bCs/>
                <w:color w:val="auto"/>
                <w:highlight w:val="none"/>
                <w:lang w:eastAsia="zh-CN"/>
              </w:rPr>
              <w:t>和</w:t>
            </w:r>
            <w:r>
              <w:rPr>
                <w:rFonts w:hint="eastAsia" w:ascii="宋体" w:hAnsi="宋体" w:eastAsia="宋体"/>
                <w:bCs/>
                <w:color w:val="auto"/>
                <w:highlight w:val="none"/>
              </w:rPr>
              <w:t>合同到期后移交平稳过渡计划平稳过渡实施方案</w:t>
            </w:r>
            <w:r>
              <w:rPr>
                <w:rFonts w:hint="eastAsia" w:ascii="宋体" w:hAnsi="宋体"/>
                <w:bCs/>
                <w:color w:val="auto"/>
                <w:highlight w:val="none"/>
                <w:lang w:eastAsia="zh-CN"/>
              </w:rPr>
              <w:t>（</w:t>
            </w:r>
            <w:r>
              <w:rPr>
                <w:rFonts w:hint="eastAsia" w:ascii="宋体" w:hAnsi="宋体"/>
                <w:bCs/>
                <w:color w:val="auto"/>
                <w:highlight w:val="none"/>
                <w:lang w:val="en-US" w:eastAsia="zh-CN"/>
              </w:rPr>
              <w:t>0-2分）</w:t>
            </w:r>
            <w:r>
              <w:rPr>
                <w:rFonts w:hint="eastAsia" w:ascii="宋体" w:hAnsi="宋体" w:eastAsia="宋体"/>
                <w:bCs/>
                <w:color w:val="auto"/>
                <w:highlight w:val="none"/>
              </w:rPr>
              <w:t>等相关措施</w:t>
            </w:r>
            <w:r>
              <w:rPr>
                <w:rFonts w:hint="eastAsia" w:ascii="宋体" w:hAnsi="宋体"/>
                <w:bCs/>
                <w:color w:val="auto"/>
                <w:highlight w:val="none"/>
                <w:lang w:eastAsia="zh-CN"/>
              </w:rPr>
              <w:t>来综合评分</w:t>
            </w:r>
            <w:r>
              <w:rPr>
                <w:rFonts w:hint="eastAsia" w:ascii="宋体" w:hAnsi="宋体" w:eastAsia="宋体"/>
                <w:bCs/>
                <w:color w:val="auto"/>
                <w:highlight w:val="none"/>
              </w:rPr>
              <w:t>。</w:t>
            </w:r>
          </w:p>
        </w:tc>
        <w:tc>
          <w:tcPr>
            <w:tcW w:w="840" w:type="dxa"/>
            <w:vAlign w:val="center"/>
          </w:tcPr>
          <w:p w14:paraId="2607CDF8">
            <w:pPr>
              <w:widowControl/>
              <w:autoSpaceDE w:val="0"/>
              <w:autoSpaceDN w:val="0"/>
              <w:adjustRightInd w:val="0"/>
              <w:spacing w:line="360" w:lineRule="auto"/>
              <w:jc w:val="left"/>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0-6分</w:t>
            </w:r>
          </w:p>
        </w:tc>
      </w:tr>
      <w:tr w14:paraId="7A83A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9" w:type="dxa"/>
            <w:vAlign w:val="center"/>
          </w:tcPr>
          <w:p w14:paraId="22372CD9">
            <w:pPr>
              <w:widowControl/>
              <w:autoSpaceDE w:val="0"/>
              <w:autoSpaceDN w:val="0"/>
              <w:adjustRightInd w:val="0"/>
              <w:spacing w:line="360" w:lineRule="auto"/>
              <w:jc w:val="left"/>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14</w:t>
            </w:r>
          </w:p>
        </w:tc>
        <w:tc>
          <w:tcPr>
            <w:tcW w:w="1496" w:type="dxa"/>
            <w:vAlign w:val="center"/>
          </w:tcPr>
          <w:p w14:paraId="142F50BE">
            <w:pPr>
              <w:widowControl/>
              <w:autoSpaceDE w:val="0"/>
              <w:autoSpaceDN w:val="0"/>
              <w:adjustRightInd w:val="0"/>
              <w:spacing w:line="360" w:lineRule="auto"/>
              <w:jc w:val="left"/>
              <w:rPr>
                <w:rFonts w:hint="eastAsia"/>
                <w:color w:val="auto"/>
                <w:highlight w:val="none"/>
                <w:lang w:val="en-US" w:eastAsia="zh-CN"/>
              </w:rPr>
            </w:pPr>
            <w:r>
              <w:rPr>
                <w:rFonts w:hint="eastAsia" w:ascii="宋体" w:hAnsi="宋体" w:eastAsia="宋体"/>
                <w:bCs/>
                <w:color w:val="auto"/>
                <w:highlight w:val="none"/>
              </w:rPr>
              <w:t>应急处置</w:t>
            </w:r>
            <w:r>
              <w:rPr>
                <w:rFonts w:hint="eastAsia" w:ascii="宋体" w:hAnsi="宋体" w:eastAsia="宋体"/>
                <w:bCs/>
                <w:color w:val="auto"/>
                <w:highlight w:val="none"/>
                <w:lang w:eastAsia="zh-CN"/>
              </w:rPr>
              <w:t>方案</w:t>
            </w:r>
          </w:p>
        </w:tc>
        <w:tc>
          <w:tcPr>
            <w:tcW w:w="7157" w:type="dxa"/>
            <w:vAlign w:val="center"/>
          </w:tcPr>
          <w:p w14:paraId="5965C75D">
            <w:pPr>
              <w:kinsoku w:val="0"/>
              <w:spacing w:line="360" w:lineRule="auto"/>
              <w:textAlignment w:val="baseline"/>
              <w:rPr>
                <w:rFonts w:hint="eastAsia" w:ascii="宋体" w:hAnsi="宋体"/>
                <w:bCs/>
                <w:color w:val="auto"/>
                <w:highlight w:val="none"/>
                <w:lang w:eastAsia="zh-CN"/>
              </w:rPr>
            </w:pPr>
            <w:r>
              <w:rPr>
                <w:rFonts w:hint="eastAsia" w:ascii="宋体" w:hAnsi="宋体" w:eastAsia="宋体"/>
                <w:bCs/>
                <w:color w:val="auto"/>
                <w:highlight w:val="none"/>
              </w:rPr>
              <w:t>针对重大突发性事件渗滤液应急处置</w:t>
            </w:r>
            <w:r>
              <w:rPr>
                <w:rFonts w:hint="eastAsia" w:ascii="宋体" w:hAnsi="宋体"/>
                <w:bCs/>
                <w:color w:val="auto"/>
                <w:highlight w:val="none"/>
                <w:lang w:eastAsia="zh-CN"/>
              </w:rPr>
              <w:t>（</w:t>
            </w:r>
            <w:r>
              <w:rPr>
                <w:rFonts w:hint="eastAsia" w:ascii="宋体" w:hAnsi="宋体"/>
                <w:bCs/>
                <w:color w:val="auto"/>
                <w:highlight w:val="none"/>
                <w:lang w:val="en-US" w:eastAsia="zh-CN"/>
              </w:rPr>
              <w:t>0-3分）</w:t>
            </w:r>
            <w:r>
              <w:rPr>
                <w:rFonts w:hint="eastAsia" w:ascii="宋体" w:hAnsi="宋体"/>
                <w:bCs/>
                <w:color w:val="auto"/>
                <w:highlight w:val="none"/>
                <w:lang w:eastAsia="zh-CN"/>
              </w:rPr>
              <w:t>、</w:t>
            </w:r>
            <w:r>
              <w:rPr>
                <w:rFonts w:hint="eastAsia" w:ascii="宋体" w:hAnsi="宋体" w:eastAsia="宋体"/>
                <w:bCs/>
                <w:color w:val="auto"/>
                <w:highlight w:val="none"/>
              </w:rPr>
              <w:t>重大检查保障</w:t>
            </w:r>
            <w:r>
              <w:rPr>
                <w:rFonts w:hint="eastAsia" w:ascii="宋体" w:hAnsi="宋体"/>
                <w:bCs/>
                <w:color w:val="auto"/>
                <w:highlight w:val="none"/>
                <w:lang w:eastAsia="zh-CN"/>
              </w:rPr>
              <w:t>（</w:t>
            </w:r>
            <w:r>
              <w:rPr>
                <w:rFonts w:hint="eastAsia" w:ascii="宋体" w:hAnsi="宋体"/>
                <w:bCs/>
                <w:color w:val="auto"/>
                <w:highlight w:val="none"/>
                <w:lang w:val="en-US" w:eastAsia="zh-CN"/>
              </w:rPr>
              <w:t>0-3分）</w:t>
            </w:r>
            <w:r>
              <w:rPr>
                <w:rFonts w:hint="eastAsia" w:ascii="宋体" w:hAnsi="宋体" w:eastAsia="宋体"/>
                <w:bCs/>
                <w:color w:val="auto"/>
                <w:highlight w:val="none"/>
              </w:rPr>
              <w:t>等分别制定保障方案</w:t>
            </w:r>
            <w:r>
              <w:rPr>
                <w:rFonts w:hint="eastAsia" w:ascii="宋体" w:hAnsi="宋体"/>
                <w:bCs/>
                <w:color w:val="auto"/>
                <w:highlight w:val="none"/>
                <w:lang w:eastAsia="zh-CN"/>
              </w:rPr>
              <w:t>来综合评分</w:t>
            </w:r>
            <w:r>
              <w:rPr>
                <w:rFonts w:hint="eastAsia" w:ascii="宋体" w:hAnsi="宋体" w:eastAsia="宋体"/>
                <w:bCs/>
                <w:color w:val="auto"/>
                <w:highlight w:val="none"/>
              </w:rPr>
              <w:t>。</w:t>
            </w:r>
          </w:p>
        </w:tc>
        <w:tc>
          <w:tcPr>
            <w:tcW w:w="840" w:type="dxa"/>
            <w:vAlign w:val="center"/>
          </w:tcPr>
          <w:p w14:paraId="7BD3B0E0">
            <w:pPr>
              <w:widowControl/>
              <w:autoSpaceDE w:val="0"/>
              <w:autoSpaceDN w:val="0"/>
              <w:adjustRightInd w:val="0"/>
              <w:spacing w:line="360" w:lineRule="auto"/>
              <w:jc w:val="left"/>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0-6分</w:t>
            </w:r>
          </w:p>
        </w:tc>
      </w:tr>
      <w:tr w14:paraId="07C5A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9" w:type="dxa"/>
            <w:vAlign w:val="center"/>
          </w:tcPr>
          <w:p w14:paraId="4C6173C6">
            <w:pPr>
              <w:widowControl/>
              <w:autoSpaceDE w:val="0"/>
              <w:autoSpaceDN w:val="0"/>
              <w:adjustRightInd w:val="0"/>
              <w:spacing w:line="360" w:lineRule="auto"/>
              <w:jc w:val="left"/>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15</w:t>
            </w:r>
          </w:p>
        </w:tc>
        <w:tc>
          <w:tcPr>
            <w:tcW w:w="1496" w:type="dxa"/>
            <w:vAlign w:val="center"/>
          </w:tcPr>
          <w:p w14:paraId="65CC6772">
            <w:pPr>
              <w:widowControl/>
              <w:autoSpaceDE w:val="0"/>
              <w:autoSpaceDN w:val="0"/>
              <w:adjustRightInd w:val="0"/>
              <w:spacing w:line="360" w:lineRule="auto"/>
              <w:jc w:val="left"/>
              <w:rPr>
                <w:rFonts w:hint="eastAsia" w:ascii="宋体" w:hAnsi="宋体" w:cs="宋体"/>
                <w:color w:val="auto"/>
                <w:kern w:val="0"/>
                <w:szCs w:val="21"/>
                <w:highlight w:val="none"/>
                <w:lang w:val="zh-CN"/>
              </w:rPr>
            </w:pPr>
            <w:r>
              <w:rPr>
                <w:rFonts w:hint="eastAsia" w:ascii="宋体" w:hAnsi="宋体" w:eastAsia="宋体" w:cs="Times New Roman"/>
                <w:color w:val="000000" w:themeColor="text1"/>
                <w:kern w:val="0"/>
                <w:sz w:val="21"/>
                <w:szCs w:val="21"/>
                <w:highlight w:val="none"/>
                <w14:textFill>
                  <w14:solidFill>
                    <w14:schemeClr w14:val="tx1"/>
                  </w14:solidFill>
                </w14:textFill>
              </w:rPr>
              <w:t>安全保障措施</w:t>
            </w:r>
          </w:p>
        </w:tc>
        <w:tc>
          <w:tcPr>
            <w:tcW w:w="7157" w:type="dxa"/>
            <w:vAlign w:val="center"/>
          </w:tcPr>
          <w:p w14:paraId="514E2DFD">
            <w:pPr>
              <w:widowControl/>
              <w:autoSpaceDE w:val="0"/>
              <w:autoSpaceDN w:val="0"/>
              <w:adjustRightInd w:val="0"/>
              <w:spacing w:line="360" w:lineRule="auto"/>
              <w:jc w:val="left"/>
              <w:rPr>
                <w:rFonts w:hint="eastAsia" w:ascii="宋体" w:hAnsi="宋体" w:eastAsia="宋体" w:cs="宋体"/>
                <w:color w:val="auto"/>
                <w:kern w:val="0"/>
                <w:szCs w:val="21"/>
                <w:highlight w:val="none"/>
                <w:lang w:val="zh-CN" w:eastAsia="zh-CN"/>
              </w:rPr>
            </w:pPr>
            <w:r>
              <w:rPr>
                <w:rFonts w:hint="eastAsia" w:ascii="宋体" w:hAnsi="宋体" w:eastAsia="宋体" w:cs="Times New Roman"/>
                <w:color w:val="000000" w:themeColor="text1"/>
                <w:kern w:val="0"/>
                <w:sz w:val="21"/>
                <w:szCs w:val="21"/>
                <w:highlight w:val="none"/>
                <w:lang w:eastAsia="zh-CN"/>
                <w14:textFill>
                  <w14:solidFill>
                    <w14:schemeClr w14:val="tx1"/>
                  </w14:solidFill>
                </w14:textFill>
              </w:rPr>
              <w:t>针对人员安全教育（</w:t>
            </w:r>
            <w:r>
              <w:rPr>
                <w:rFonts w:hint="eastAsia" w:ascii="宋体" w:hAnsi="宋体" w:eastAsia="宋体" w:cs="Times New Roman"/>
                <w:color w:val="000000" w:themeColor="text1"/>
                <w:kern w:val="0"/>
                <w:sz w:val="21"/>
                <w:szCs w:val="21"/>
                <w:highlight w:val="none"/>
                <w:lang w:val="en-US" w:eastAsia="zh-CN"/>
                <w14:textFill>
                  <w14:solidFill>
                    <w14:schemeClr w14:val="tx1"/>
                  </w14:solidFill>
                </w14:textFill>
              </w:rPr>
              <w:t>0-2分）</w:t>
            </w:r>
            <w:r>
              <w:rPr>
                <w:rFonts w:hint="eastAsia" w:ascii="宋体" w:hAnsi="宋体" w:eastAsia="宋体" w:cs="Times New Roman"/>
                <w:color w:val="000000" w:themeColor="text1"/>
                <w:kern w:val="0"/>
                <w:sz w:val="21"/>
                <w:szCs w:val="21"/>
                <w:highlight w:val="none"/>
                <w:lang w:eastAsia="zh-CN"/>
                <w14:textFill>
                  <w14:solidFill>
                    <w14:schemeClr w14:val="tx1"/>
                  </w14:solidFill>
                </w14:textFill>
              </w:rPr>
              <w:t>、</w:t>
            </w:r>
            <w:r>
              <w:rPr>
                <w:rFonts w:hint="eastAsia" w:ascii="宋体" w:hAnsi="宋体" w:eastAsia="宋体" w:cs="Times New Roman"/>
                <w:color w:val="000000" w:themeColor="text1"/>
                <w:kern w:val="0"/>
                <w:sz w:val="21"/>
                <w:szCs w:val="21"/>
                <w:highlight w:val="none"/>
                <w14:textFill>
                  <w14:solidFill>
                    <w14:schemeClr w14:val="tx1"/>
                  </w14:solidFill>
                </w14:textFill>
              </w:rPr>
              <w:t>作业</w:t>
            </w:r>
            <w:r>
              <w:rPr>
                <w:rFonts w:hint="eastAsia" w:ascii="宋体" w:hAnsi="宋体" w:eastAsia="宋体" w:cs="Times New Roman"/>
                <w:color w:val="000000" w:themeColor="text1"/>
                <w:kern w:val="0"/>
                <w:sz w:val="21"/>
                <w:szCs w:val="21"/>
                <w:highlight w:val="none"/>
                <w:lang w:eastAsia="zh-CN"/>
                <w14:textFill>
                  <w14:solidFill>
                    <w14:schemeClr w14:val="tx1"/>
                  </w14:solidFill>
                </w14:textFill>
              </w:rPr>
              <w:t>现场</w:t>
            </w:r>
            <w:r>
              <w:rPr>
                <w:rFonts w:hint="eastAsia" w:ascii="宋体" w:hAnsi="宋体" w:eastAsia="宋体" w:cs="Times New Roman"/>
                <w:color w:val="000000" w:themeColor="text1"/>
                <w:kern w:val="0"/>
                <w:sz w:val="21"/>
                <w:szCs w:val="21"/>
                <w:highlight w:val="none"/>
                <w14:textFill>
                  <w14:solidFill>
                    <w14:schemeClr w14:val="tx1"/>
                  </w14:solidFill>
                </w14:textFill>
              </w:rPr>
              <w:t>安全措施</w:t>
            </w:r>
            <w:r>
              <w:rPr>
                <w:rFonts w:hint="eastAsia" w:ascii="宋体" w:hAnsi="宋体" w:eastAsia="宋体" w:cs="Times New Roman"/>
                <w:color w:val="000000" w:themeColor="text1"/>
                <w:kern w:val="0"/>
                <w:sz w:val="21"/>
                <w:szCs w:val="21"/>
                <w:highlight w:val="none"/>
                <w:lang w:eastAsia="zh-CN"/>
                <w14:textFill>
                  <w14:solidFill>
                    <w14:schemeClr w14:val="tx1"/>
                  </w14:solidFill>
                </w14:textFill>
              </w:rPr>
              <w:t>（</w:t>
            </w:r>
            <w:r>
              <w:rPr>
                <w:rFonts w:hint="eastAsia" w:ascii="宋体" w:hAnsi="宋体" w:eastAsia="宋体" w:cs="Times New Roman"/>
                <w:color w:val="000000" w:themeColor="text1"/>
                <w:kern w:val="0"/>
                <w:sz w:val="21"/>
                <w:szCs w:val="21"/>
                <w:highlight w:val="none"/>
                <w:lang w:val="en-US" w:eastAsia="zh-CN"/>
                <w14:textFill>
                  <w14:solidFill>
                    <w14:schemeClr w14:val="tx1"/>
                  </w14:solidFill>
                </w14:textFill>
              </w:rPr>
              <w:t>0-2分）</w:t>
            </w:r>
            <w:r>
              <w:rPr>
                <w:rFonts w:hint="eastAsia" w:ascii="宋体" w:hAnsi="宋体" w:eastAsia="宋体" w:cs="Times New Roman"/>
                <w:color w:val="000000" w:themeColor="text1"/>
                <w:kern w:val="0"/>
                <w:sz w:val="21"/>
                <w:szCs w:val="21"/>
                <w:highlight w:val="none"/>
                <w:lang w:eastAsia="zh-CN"/>
                <w14:textFill>
                  <w14:solidFill>
                    <w14:schemeClr w14:val="tx1"/>
                  </w14:solidFill>
                </w14:textFill>
              </w:rPr>
              <w:t>、设备设施安全使用（</w:t>
            </w:r>
            <w:r>
              <w:rPr>
                <w:rFonts w:hint="eastAsia" w:ascii="宋体" w:hAnsi="宋体" w:eastAsia="宋体" w:cs="Times New Roman"/>
                <w:color w:val="000000" w:themeColor="text1"/>
                <w:kern w:val="0"/>
                <w:sz w:val="21"/>
                <w:szCs w:val="21"/>
                <w:highlight w:val="none"/>
                <w:lang w:val="en-US" w:eastAsia="zh-CN"/>
                <w14:textFill>
                  <w14:solidFill>
                    <w14:schemeClr w14:val="tx1"/>
                  </w14:solidFill>
                </w14:textFill>
              </w:rPr>
              <w:t>0-2分）、</w:t>
            </w:r>
            <w:r>
              <w:rPr>
                <w:rFonts w:hint="eastAsia" w:ascii="宋体" w:hAnsi="宋体" w:cs="宋体"/>
                <w:color w:val="auto"/>
                <w:kern w:val="0"/>
                <w:szCs w:val="21"/>
                <w:highlight w:val="none"/>
                <w:lang w:val="zh-CN"/>
              </w:rPr>
              <w:t>安全管理体系（</w:t>
            </w:r>
            <w:r>
              <w:rPr>
                <w:rFonts w:hint="eastAsia" w:ascii="宋体" w:hAnsi="宋体" w:cs="宋体"/>
                <w:color w:val="auto"/>
                <w:kern w:val="0"/>
                <w:szCs w:val="21"/>
                <w:highlight w:val="none"/>
                <w:lang w:val="en-US" w:eastAsia="zh-CN"/>
              </w:rPr>
              <w:t>0-2分）</w:t>
            </w:r>
            <w:r>
              <w:rPr>
                <w:rFonts w:hint="eastAsia" w:ascii="宋体" w:hAnsi="宋体" w:eastAsia="宋体" w:cs="Times New Roman"/>
                <w:color w:val="000000" w:themeColor="text1"/>
                <w:kern w:val="0"/>
                <w:sz w:val="21"/>
                <w:szCs w:val="21"/>
                <w:highlight w:val="none"/>
                <w:lang w:eastAsia="zh-CN"/>
                <w14:textFill>
                  <w14:solidFill>
                    <w14:schemeClr w14:val="tx1"/>
                  </w14:solidFill>
                </w14:textFill>
              </w:rPr>
              <w:t>等方面来综合评分。</w:t>
            </w:r>
          </w:p>
        </w:tc>
        <w:tc>
          <w:tcPr>
            <w:tcW w:w="840" w:type="dxa"/>
            <w:vAlign w:val="center"/>
          </w:tcPr>
          <w:p w14:paraId="3F050CCE">
            <w:pPr>
              <w:widowControl/>
              <w:autoSpaceDE w:val="0"/>
              <w:autoSpaceDN w:val="0"/>
              <w:adjustRightInd w:val="0"/>
              <w:spacing w:line="360" w:lineRule="auto"/>
              <w:jc w:val="left"/>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0-8分</w:t>
            </w:r>
          </w:p>
        </w:tc>
      </w:tr>
      <w:tr w14:paraId="3EFB3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9" w:type="dxa"/>
            <w:vAlign w:val="center"/>
          </w:tcPr>
          <w:p w14:paraId="434BB1A5">
            <w:pPr>
              <w:widowControl/>
              <w:autoSpaceDE w:val="0"/>
              <w:autoSpaceDN w:val="0"/>
              <w:adjustRightInd w:val="0"/>
              <w:spacing w:line="360" w:lineRule="auto"/>
              <w:jc w:val="left"/>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16</w:t>
            </w:r>
          </w:p>
        </w:tc>
        <w:tc>
          <w:tcPr>
            <w:tcW w:w="1496" w:type="dxa"/>
            <w:vAlign w:val="center"/>
          </w:tcPr>
          <w:p w14:paraId="4F9ED847">
            <w:pPr>
              <w:widowControl/>
              <w:autoSpaceDE w:val="0"/>
              <w:autoSpaceDN w:val="0"/>
              <w:adjustRightInd w:val="0"/>
              <w:spacing w:line="360" w:lineRule="auto"/>
              <w:jc w:val="left"/>
              <w:rPr>
                <w:rFonts w:hint="eastAsia" w:ascii="宋体" w:hAnsi="宋体" w:cs="宋体"/>
                <w:color w:val="auto"/>
                <w:kern w:val="0"/>
                <w:szCs w:val="21"/>
                <w:highlight w:val="none"/>
                <w:lang w:val="zh-CN"/>
              </w:rPr>
            </w:pPr>
            <w:r>
              <w:rPr>
                <w:rFonts w:hint="eastAsia" w:ascii="宋体" w:hAnsi="宋体" w:cs="宋体"/>
                <w:color w:val="auto"/>
                <w:kern w:val="0"/>
                <w:szCs w:val="21"/>
                <w:highlight w:val="none"/>
                <w:lang w:val="zh-CN"/>
              </w:rPr>
              <w:t>重点难点问题分析及解决方案</w:t>
            </w:r>
          </w:p>
        </w:tc>
        <w:tc>
          <w:tcPr>
            <w:tcW w:w="7157" w:type="dxa"/>
            <w:vAlign w:val="center"/>
          </w:tcPr>
          <w:p w14:paraId="25186339">
            <w:pPr>
              <w:widowControl/>
              <w:autoSpaceDE w:val="0"/>
              <w:autoSpaceDN w:val="0"/>
              <w:adjustRightInd w:val="0"/>
              <w:spacing w:line="360" w:lineRule="auto"/>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重点、难点问题分析及解决方案：</w:t>
            </w:r>
          </w:p>
          <w:p w14:paraId="73033800">
            <w:pPr>
              <w:widowControl/>
              <w:autoSpaceDE w:val="0"/>
              <w:autoSpaceDN w:val="0"/>
              <w:adjustRightInd w:val="0"/>
              <w:spacing w:line="360" w:lineRule="auto"/>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1.根据投标人对项目可能存在的问题综合分析方案（0-</w:t>
            </w:r>
            <w:r>
              <w:rPr>
                <w:rFonts w:hint="eastAsia" w:ascii="宋体" w:hAnsi="宋体" w:cs="宋体"/>
                <w:color w:val="auto"/>
                <w:kern w:val="0"/>
                <w:szCs w:val="21"/>
                <w:highlight w:val="none"/>
                <w:lang w:val="en-US" w:eastAsia="zh-CN"/>
              </w:rPr>
              <w:t>2</w:t>
            </w:r>
            <w:r>
              <w:rPr>
                <w:rFonts w:hint="eastAsia" w:ascii="宋体" w:hAnsi="宋体" w:cs="宋体"/>
                <w:color w:val="auto"/>
                <w:kern w:val="0"/>
                <w:szCs w:val="21"/>
                <w:highlight w:val="none"/>
                <w:lang w:val="zh-CN"/>
              </w:rPr>
              <w:t>分）进行综合评分；</w:t>
            </w:r>
          </w:p>
          <w:p w14:paraId="239D0160">
            <w:pPr>
              <w:widowControl/>
              <w:autoSpaceDE w:val="0"/>
              <w:autoSpaceDN w:val="0"/>
              <w:adjustRightInd w:val="0"/>
              <w:spacing w:line="360" w:lineRule="auto"/>
              <w:jc w:val="left"/>
              <w:rPr>
                <w:rFonts w:hint="eastAsia" w:ascii="宋体" w:hAnsi="宋体" w:cs="宋体"/>
                <w:color w:val="auto"/>
                <w:kern w:val="0"/>
                <w:szCs w:val="21"/>
                <w:highlight w:val="none"/>
                <w:lang w:val="zh-CN"/>
              </w:rPr>
            </w:pPr>
            <w:r>
              <w:rPr>
                <w:rFonts w:hint="eastAsia" w:ascii="宋体" w:hAnsi="宋体" w:cs="宋体"/>
                <w:color w:val="auto"/>
                <w:kern w:val="0"/>
                <w:szCs w:val="21"/>
                <w:highlight w:val="none"/>
                <w:lang w:val="zh-CN"/>
              </w:rPr>
              <w:t>2.根据投标人对本项目重点、难点和疑点问题把握方案（</w:t>
            </w:r>
            <w:r>
              <w:rPr>
                <w:rFonts w:hint="eastAsia" w:ascii="宋体" w:hAnsi="宋体" w:cs="宋体"/>
                <w:color w:val="auto"/>
                <w:kern w:val="0"/>
                <w:szCs w:val="21"/>
                <w:highlight w:val="none"/>
                <w:lang w:val="en-US" w:eastAsia="zh-CN"/>
              </w:rPr>
              <w:t>0-2分)</w:t>
            </w:r>
            <w:r>
              <w:rPr>
                <w:rFonts w:hint="eastAsia" w:ascii="宋体" w:hAnsi="宋体" w:cs="宋体"/>
                <w:color w:val="auto"/>
                <w:kern w:val="0"/>
                <w:szCs w:val="21"/>
                <w:highlight w:val="none"/>
                <w:lang w:val="zh-CN"/>
              </w:rPr>
              <w:t>进行综合评分；</w:t>
            </w:r>
          </w:p>
          <w:p w14:paraId="5D7C26DA">
            <w:pPr>
              <w:widowControl/>
              <w:autoSpaceDE w:val="0"/>
              <w:autoSpaceDN w:val="0"/>
              <w:adjustRightInd w:val="0"/>
              <w:spacing w:line="360" w:lineRule="auto"/>
              <w:jc w:val="left"/>
              <w:rPr>
                <w:rFonts w:hint="eastAsia" w:ascii="宋体" w:hAnsi="宋体" w:eastAsia="宋体" w:cs="Times New Roman"/>
                <w:bCs/>
                <w:color w:val="auto"/>
                <w:highlight w:val="none"/>
              </w:rPr>
            </w:pPr>
            <w:r>
              <w:rPr>
                <w:rFonts w:hint="eastAsia" w:ascii="宋体" w:hAnsi="宋体" w:cs="宋体"/>
                <w:color w:val="auto"/>
                <w:kern w:val="0"/>
                <w:szCs w:val="21"/>
                <w:highlight w:val="none"/>
                <w:lang w:val="zh-CN"/>
              </w:rPr>
              <w:t>3.根据投标人对本项目提出解决方案（</w:t>
            </w:r>
            <w:r>
              <w:rPr>
                <w:rFonts w:hint="eastAsia" w:ascii="宋体" w:hAnsi="宋体" w:cs="宋体"/>
                <w:color w:val="auto"/>
                <w:kern w:val="0"/>
                <w:szCs w:val="21"/>
                <w:highlight w:val="none"/>
                <w:lang w:val="en-US" w:eastAsia="zh-CN"/>
              </w:rPr>
              <w:t>0-1分）</w:t>
            </w:r>
            <w:r>
              <w:rPr>
                <w:rFonts w:hint="eastAsia" w:ascii="宋体" w:hAnsi="宋体" w:cs="宋体"/>
                <w:color w:val="auto"/>
                <w:kern w:val="0"/>
                <w:szCs w:val="21"/>
                <w:highlight w:val="none"/>
                <w:lang w:val="zh-CN"/>
              </w:rPr>
              <w:t>或合理化建议方案（</w:t>
            </w:r>
            <w:r>
              <w:rPr>
                <w:rFonts w:hint="eastAsia" w:ascii="宋体" w:hAnsi="宋体" w:cs="宋体"/>
                <w:color w:val="auto"/>
                <w:kern w:val="0"/>
                <w:szCs w:val="21"/>
                <w:highlight w:val="none"/>
                <w:lang w:val="en-US" w:eastAsia="zh-CN"/>
              </w:rPr>
              <w:t>0-1分）</w:t>
            </w:r>
            <w:r>
              <w:rPr>
                <w:rFonts w:hint="eastAsia" w:ascii="宋体" w:hAnsi="宋体" w:cs="宋体"/>
                <w:color w:val="auto"/>
                <w:kern w:val="0"/>
                <w:szCs w:val="21"/>
                <w:highlight w:val="none"/>
                <w:lang w:val="zh-CN"/>
              </w:rPr>
              <w:t>进行综合评分。</w:t>
            </w:r>
          </w:p>
        </w:tc>
        <w:tc>
          <w:tcPr>
            <w:tcW w:w="840" w:type="dxa"/>
            <w:vAlign w:val="center"/>
          </w:tcPr>
          <w:p w14:paraId="3773F6DB">
            <w:pPr>
              <w:widowControl/>
              <w:autoSpaceDE w:val="0"/>
              <w:autoSpaceDN w:val="0"/>
              <w:adjustRightInd w:val="0"/>
              <w:spacing w:line="360" w:lineRule="auto"/>
              <w:jc w:val="left"/>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0-6分</w:t>
            </w:r>
          </w:p>
        </w:tc>
      </w:tr>
      <w:tr w14:paraId="3ABC9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9" w:type="dxa"/>
            <w:vAlign w:val="center"/>
          </w:tcPr>
          <w:p w14:paraId="75C14F2C">
            <w:pPr>
              <w:widowControl/>
              <w:autoSpaceDE w:val="0"/>
              <w:autoSpaceDN w:val="0"/>
              <w:adjustRightInd w:val="0"/>
              <w:spacing w:line="360" w:lineRule="auto"/>
              <w:jc w:val="left"/>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17</w:t>
            </w:r>
          </w:p>
        </w:tc>
        <w:tc>
          <w:tcPr>
            <w:tcW w:w="1496" w:type="dxa"/>
            <w:vAlign w:val="center"/>
          </w:tcPr>
          <w:p w14:paraId="4E2C85F2">
            <w:pPr>
              <w:widowControl/>
              <w:autoSpaceDE w:val="0"/>
              <w:autoSpaceDN w:val="0"/>
              <w:adjustRightInd w:val="0"/>
              <w:spacing w:line="360" w:lineRule="auto"/>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合理化建议</w:t>
            </w:r>
          </w:p>
        </w:tc>
        <w:tc>
          <w:tcPr>
            <w:tcW w:w="7157" w:type="dxa"/>
            <w:vAlign w:val="center"/>
          </w:tcPr>
          <w:p w14:paraId="3DE8CF9D">
            <w:pPr>
              <w:widowControl/>
              <w:autoSpaceDE w:val="0"/>
              <w:autoSpaceDN w:val="0"/>
              <w:adjustRightInd w:val="0"/>
              <w:spacing w:line="360" w:lineRule="auto"/>
              <w:jc w:val="left"/>
              <w:rPr>
                <w:rFonts w:ascii="宋体" w:hAnsi="宋体" w:cs="宋体"/>
                <w:color w:val="auto"/>
                <w:kern w:val="0"/>
                <w:szCs w:val="21"/>
                <w:highlight w:val="none"/>
                <w:lang w:val="zh-CN"/>
              </w:rPr>
            </w:pPr>
            <w:r>
              <w:rPr>
                <w:rFonts w:hint="eastAsia" w:ascii="宋体" w:hAnsi="宋体" w:eastAsia="宋体" w:cs="Times New Roman"/>
                <w:bCs/>
                <w:color w:val="auto"/>
                <w:highlight w:val="none"/>
              </w:rPr>
              <w:t>根据供应商针对关键点、难点和其他可预见问题所提出的合理化建议</w:t>
            </w:r>
            <w:r>
              <w:rPr>
                <w:rFonts w:hint="eastAsia" w:ascii="宋体" w:hAnsi="宋体" w:cs="Times New Roman"/>
                <w:bCs/>
                <w:color w:val="auto"/>
                <w:highlight w:val="none"/>
                <w:lang w:eastAsia="zh-CN"/>
              </w:rPr>
              <w:t>（</w:t>
            </w:r>
            <w:r>
              <w:rPr>
                <w:rFonts w:hint="eastAsia" w:ascii="宋体" w:hAnsi="宋体" w:cs="Times New Roman"/>
                <w:bCs/>
                <w:color w:val="auto"/>
                <w:highlight w:val="none"/>
                <w:lang w:val="en-US" w:eastAsia="zh-CN"/>
              </w:rPr>
              <w:t>0-2分）来综合评分</w:t>
            </w:r>
            <w:r>
              <w:rPr>
                <w:rFonts w:hint="eastAsia" w:ascii="宋体" w:hAnsi="宋体" w:cs="Times New Roman"/>
                <w:bCs/>
                <w:color w:val="auto"/>
                <w:highlight w:val="none"/>
                <w:lang w:eastAsia="zh-CN"/>
              </w:rPr>
              <w:t>。</w:t>
            </w:r>
          </w:p>
        </w:tc>
        <w:tc>
          <w:tcPr>
            <w:tcW w:w="840" w:type="dxa"/>
            <w:vAlign w:val="center"/>
          </w:tcPr>
          <w:p w14:paraId="11912C9F">
            <w:pPr>
              <w:widowControl/>
              <w:autoSpaceDE w:val="0"/>
              <w:autoSpaceDN w:val="0"/>
              <w:adjustRightInd w:val="0"/>
              <w:spacing w:line="360" w:lineRule="auto"/>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0-</w:t>
            </w:r>
            <w:r>
              <w:rPr>
                <w:rFonts w:hint="eastAsia" w:ascii="宋体" w:hAnsi="宋体" w:cs="宋体"/>
                <w:color w:val="auto"/>
                <w:kern w:val="0"/>
                <w:szCs w:val="21"/>
                <w:highlight w:val="none"/>
                <w:lang w:val="en-US" w:eastAsia="zh-CN"/>
              </w:rPr>
              <w:t>2</w:t>
            </w:r>
            <w:r>
              <w:rPr>
                <w:rFonts w:hint="eastAsia" w:ascii="宋体" w:hAnsi="宋体" w:cs="宋体"/>
                <w:color w:val="auto"/>
                <w:kern w:val="0"/>
                <w:szCs w:val="21"/>
                <w:highlight w:val="none"/>
                <w:lang w:val="zh-CN"/>
              </w:rPr>
              <w:t>分</w:t>
            </w:r>
          </w:p>
        </w:tc>
      </w:tr>
    </w:tbl>
    <w:p w14:paraId="3AB39AA1">
      <w:pPr>
        <w:spacing w:line="336" w:lineRule="auto"/>
        <w:rPr>
          <w:rFonts w:ascii="宋体" w:hAnsi="宋体" w:cs="宋体"/>
          <w:b/>
          <w:color w:val="auto"/>
          <w:szCs w:val="21"/>
        </w:rPr>
      </w:pPr>
      <w:r>
        <w:rPr>
          <w:rFonts w:hint="eastAsia" w:hAnsi="宋体"/>
          <w:b/>
          <w:bCs/>
          <w:color w:val="auto"/>
        </w:rPr>
        <w:t>四、</w:t>
      </w:r>
      <w:r>
        <w:rPr>
          <w:rFonts w:hint="eastAsia" w:ascii="宋体" w:hAnsi="宋体" w:cs="宋体"/>
          <w:b/>
          <w:color w:val="auto"/>
          <w:szCs w:val="21"/>
        </w:rPr>
        <w:t>定标办法</w:t>
      </w:r>
    </w:p>
    <w:p w14:paraId="7816399B">
      <w:pPr>
        <w:spacing w:line="336" w:lineRule="auto"/>
        <w:ind w:left="420" w:hanging="420" w:hangingChars="200"/>
        <w:rPr>
          <w:rFonts w:ascii="宋体" w:hAnsi="宋体" w:cs="宋体"/>
          <w:color w:val="auto"/>
          <w:szCs w:val="21"/>
        </w:rPr>
      </w:pPr>
      <w:r>
        <w:rPr>
          <w:rFonts w:hint="eastAsia" w:ascii="宋体" w:hAnsi="宋体" w:cs="宋体"/>
          <w:color w:val="auto"/>
          <w:szCs w:val="21"/>
        </w:rPr>
        <w:t xml:space="preserve">    1.本次招标由评标委员会推荐中标候选人，采购单位根据评标委员会的推荐结果进行最终确认。</w:t>
      </w:r>
    </w:p>
    <w:p w14:paraId="1FBC4DF9">
      <w:pPr>
        <w:tabs>
          <w:tab w:val="left" w:pos="540"/>
        </w:tabs>
        <w:spacing w:line="336" w:lineRule="auto"/>
        <w:ind w:firstLine="420" w:firstLineChars="200"/>
        <w:rPr>
          <w:rFonts w:ascii="宋体" w:hAnsi="宋体" w:cs="宋体"/>
          <w:color w:val="auto"/>
          <w:szCs w:val="21"/>
        </w:rPr>
      </w:pPr>
      <w:r>
        <w:rPr>
          <w:rFonts w:hint="eastAsia" w:ascii="宋体" w:hAnsi="宋体" w:cs="宋体"/>
          <w:color w:val="auto"/>
          <w:szCs w:val="21"/>
        </w:rPr>
        <w:t>2.评标委员会依据法律、法规及招标文件有关规定，在最大限度地满足招标文件实质性要求前提下，按照招标文件中规定的各项因素进行综合评审后，由高到低进行排序，以评标总得分最高的投标人作为中标供应商（得分相同的，按投标报价由低到高顺序排列。得分且投标报价相同的并列）。</w:t>
      </w:r>
    </w:p>
    <w:p w14:paraId="7353B9DD">
      <w:pPr>
        <w:tabs>
          <w:tab w:val="left" w:pos="540"/>
        </w:tabs>
        <w:spacing w:line="336" w:lineRule="auto"/>
        <w:ind w:firstLine="420" w:firstLineChars="200"/>
        <w:rPr>
          <w:rFonts w:ascii="宋体" w:hAnsi="宋体" w:cs="宋体"/>
          <w:b/>
          <w:bCs/>
          <w:color w:val="auto"/>
          <w:szCs w:val="21"/>
          <w:lang w:val="zh-CN"/>
        </w:rPr>
      </w:pPr>
      <w:r>
        <w:rPr>
          <w:rFonts w:hint="eastAsia" w:ascii="宋体" w:hAnsi="宋体" w:cs="宋体"/>
          <w:color w:val="auto"/>
          <w:szCs w:val="21"/>
        </w:rPr>
        <w:t>3.排名第一的中标候选人因不可抗力提出不能履行合同；或未能在规定时间内与采购单位签订合同的；或者经质疑，采购单位审查后，确因排名第一的候选人在本次采购活动中存在违法违规行为或其他原因使质疑成立的，采购人可以与排位在中标供应商之后第一位的中标候选供应商签订政府采购合同，以此类推；也可以重新招标。</w:t>
      </w:r>
    </w:p>
    <w:p w14:paraId="4BE82924">
      <w:pPr>
        <w:tabs>
          <w:tab w:val="left" w:pos="540"/>
        </w:tabs>
        <w:spacing w:line="336" w:lineRule="auto"/>
        <w:rPr>
          <w:rFonts w:ascii="宋体" w:hAnsi="宋体" w:cs="宋体"/>
          <w:b/>
          <w:bCs/>
          <w:color w:val="auto"/>
          <w:szCs w:val="21"/>
          <w:lang w:val="zh-CN"/>
        </w:rPr>
      </w:pPr>
      <w:r>
        <w:rPr>
          <w:rFonts w:hint="eastAsia" w:ascii="宋体" w:hAnsi="宋体" w:cs="宋体"/>
          <w:b/>
          <w:bCs/>
          <w:color w:val="auto"/>
          <w:szCs w:val="21"/>
        </w:rPr>
        <w:t>五</w:t>
      </w:r>
      <w:r>
        <w:rPr>
          <w:rFonts w:hint="eastAsia" w:ascii="宋体" w:hAnsi="宋体" w:cs="宋体"/>
          <w:b/>
          <w:bCs/>
          <w:color w:val="auto"/>
          <w:szCs w:val="21"/>
          <w:lang w:val="zh-CN"/>
        </w:rPr>
        <w:t>、</w:t>
      </w:r>
      <w:bookmarkStart w:id="165" w:name="注意事项"/>
      <w:r>
        <w:rPr>
          <w:rFonts w:hint="eastAsia" w:ascii="宋体" w:hAnsi="宋体" w:cs="宋体"/>
          <w:b/>
          <w:bCs/>
          <w:color w:val="auto"/>
          <w:szCs w:val="21"/>
          <w:lang w:val="zh-CN"/>
        </w:rPr>
        <w:t>注意事项</w:t>
      </w:r>
      <w:bookmarkEnd w:id="165"/>
    </w:p>
    <w:p w14:paraId="7762E708">
      <w:pPr>
        <w:snapToGrid w:val="0"/>
        <w:spacing w:line="540" w:lineRule="exact"/>
        <w:ind w:firstLine="420" w:firstLineChars="200"/>
        <w:rPr>
          <w:rFonts w:ascii="宋体" w:hAnsi="宋体" w:cs="宋体"/>
          <w:color w:val="auto"/>
          <w:szCs w:val="21"/>
        </w:rPr>
      </w:pPr>
      <w:r>
        <w:rPr>
          <w:rFonts w:hint="eastAsia" w:ascii="宋体" w:hAnsi="宋体" w:cs="宋体"/>
          <w:color w:val="auto"/>
          <w:szCs w:val="21"/>
        </w:rPr>
        <w:t>评审时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61"/>
      <w:bookmarkEnd w:id="162"/>
    </w:p>
    <w:p w14:paraId="73FCB448">
      <w:pPr>
        <w:snapToGrid w:val="0"/>
        <w:spacing w:line="540" w:lineRule="exact"/>
        <w:rPr>
          <w:rFonts w:ascii="宋体" w:hAnsi="宋体" w:cs="宋体"/>
          <w:b/>
          <w:color w:val="auto"/>
          <w:szCs w:val="21"/>
        </w:rPr>
      </w:pPr>
      <w:r>
        <w:rPr>
          <w:rFonts w:hint="eastAsia" w:ascii="宋体" w:hAnsi="宋体" w:cs="宋体"/>
          <w:b/>
          <w:color w:val="auto"/>
          <w:szCs w:val="21"/>
        </w:rPr>
        <w:t>六、</w:t>
      </w:r>
      <w:bookmarkStart w:id="166" w:name="_Toc221356905"/>
      <w:bookmarkStart w:id="167" w:name="_Toc221356968"/>
      <w:r>
        <w:rPr>
          <w:rFonts w:hint="eastAsia" w:ascii="宋体" w:hAnsi="宋体" w:cs="宋体"/>
          <w:b/>
          <w:color w:val="auto"/>
          <w:szCs w:val="21"/>
        </w:rPr>
        <w:t>投标人义务</w:t>
      </w:r>
      <w:bookmarkEnd w:id="166"/>
      <w:bookmarkEnd w:id="167"/>
    </w:p>
    <w:p w14:paraId="65653685">
      <w:pPr>
        <w:spacing w:line="336" w:lineRule="auto"/>
        <w:ind w:firstLine="420" w:firstLineChars="200"/>
        <w:jc w:val="left"/>
        <w:rPr>
          <w:rFonts w:ascii="黑体" w:hAnsi="黑体" w:eastAsia="黑体" w:cs="黑体"/>
          <w:color w:val="auto"/>
          <w:sz w:val="32"/>
          <w:szCs w:val="32"/>
        </w:rPr>
      </w:pPr>
      <w:r>
        <w:rPr>
          <w:rFonts w:hint="eastAsia" w:ascii="宋体" w:hAnsi="宋体" w:cs="宋体"/>
          <w:color w:val="auto"/>
          <w:szCs w:val="21"/>
        </w:rPr>
        <w:t>投标人应随时接受评标委员会的询标，解答包括有关的商务、技术问题等。评标结束，所有评标资料存招标人备查。</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Start w:id="168" w:name="_Toc262049424"/>
      <w:bookmarkStart w:id="169" w:name="_Toc249758718"/>
      <w:bookmarkStart w:id="170" w:name="_Toc221356892"/>
      <w:bookmarkStart w:id="171" w:name="_Toc249758870"/>
      <w:bookmarkStart w:id="172" w:name="_Toc221423624"/>
      <w:bookmarkStart w:id="173" w:name="_Toc223716003"/>
      <w:bookmarkStart w:id="174" w:name="_Toc221374631"/>
      <w:bookmarkStart w:id="175" w:name="_Toc241404207"/>
      <w:bookmarkStart w:id="176" w:name="_Toc245722286"/>
      <w:bookmarkStart w:id="177" w:name="_Toc246261270"/>
      <w:bookmarkStart w:id="178" w:name="_Toc222114884"/>
      <w:bookmarkStart w:id="179" w:name="_Toc410031820"/>
      <w:bookmarkStart w:id="180" w:name="_Toc262105509"/>
      <w:bookmarkStart w:id="181" w:name="_Toc221356956"/>
      <w:bookmarkStart w:id="182" w:name="_Toc239145359"/>
      <w:bookmarkStart w:id="183" w:name="_Toc249758719"/>
      <w:bookmarkStart w:id="184" w:name="_Toc245191319"/>
      <w:r>
        <w:rPr>
          <w:rFonts w:hint="eastAsia" w:ascii="黑体" w:hAnsi="黑体" w:eastAsia="黑体" w:cs="黑体"/>
          <w:color w:val="auto"/>
          <w:sz w:val="32"/>
          <w:szCs w:val="32"/>
        </w:rPr>
        <w:br w:type="page"/>
      </w:r>
      <w:bookmarkStart w:id="185" w:name="_Toc4631"/>
      <w:bookmarkStart w:id="186" w:name="_Toc12016"/>
      <w:bookmarkStart w:id="187" w:name="_Toc4861"/>
      <w:r>
        <w:rPr>
          <w:rFonts w:hint="eastAsia" w:ascii="黑体" w:hAnsi="黑体" w:eastAsia="黑体" w:cs="黑体"/>
          <w:color w:val="auto"/>
          <w:sz w:val="32"/>
          <w:szCs w:val="32"/>
        </w:rPr>
        <w:t xml:space="preserve">                     第六章   </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Pr>
          <w:rFonts w:hint="eastAsia" w:ascii="黑体" w:hAnsi="黑体" w:eastAsia="黑体" w:cs="黑体"/>
          <w:color w:val="auto"/>
          <w:sz w:val="32"/>
          <w:szCs w:val="32"/>
        </w:rPr>
        <w:t>投标文件格式</w:t>
      </w:r>
      <w:bookmarkEnd w:id="185"/>
      <w:bookmarkEnd w:id="186"/>
      <w:bookmarkEnd w:id="187"/>
      <w:bookmarkStart w:id="188" w:name="_Toc1460"/>
      <w:bookmarkStart w:id="189" w:name="_Toc20872"/>
    </w:p>
    <w:p w14:paraId="555EA475">
      <w:pPr>
        <w:spacing w:line="336" w:lineRule="auto"/>
        <w:ind w:firstLine="482" w:firstLineChars="200"/>
        <w:rPr>
          <w:b/>
          <w:color w:val="auto"/>
          <w:sz w:val="24"/>
        </w:rPr>
      </w:pPr>
      <w:r>
        <w:rPr>
          <w:rFonts w:hint="eastAsia"/>
          <w:b/>
          <w:color w:val="auto"/>
          <w:sz w:val="24"/>
        </w:rPr>
        <w:t>投标文件封面格式：</w:t>
      </w:r>
      <w:bookmarkEnd w:id="188"/>
      <w:bookmarkEnd w:id="189"/>
    </w:p>
    <w:p w14:paraId="19624AA9">
      <w:pPr>
        <w:spacing w:before="185"/>
        <w:ind w:right="210"/>
        <w:jc w:val="center"/>
        <w:rPr>
          <w:rFonts w:ascii="楷体_GB2312" w:eastAsia="楷体_GB2312"/>
          <w:b/>
          <w:bCs/>
          <w:color w:val="auto"/>
          <w:sz w:val="22"/>
          <w:szCs w:val="22"/>
        </w:rPr>
      </w:pPr>
    </w:p>
    <w:p w14:paraId="5B6BD44C">
      <w:pPr>
        <w:pStyle w:val="26"/>
        <w:ind w:left="840" w:hanging="420"/>
        <w:rPr>
          <w:color w:val="auto"/>
        </w:rPr>
      </w:pPr>
    </w:p>
    <w:p w14:paraId="1112E963">
      <w:pPr>
        <w:spacing w:before="185"/>
        <w:ind w:right="210"/>
        <w:jc w:val="center"/>
        <w:outlineLvl w:val="0"/>
        <w:rPr>
          <w:b/>
          <w:color w:val="auto"/>
          <w:sz w:val="52"/>
        </w:rPr>
      </w:pPr>
      <w:bookmarkStart w:id="190" w:name="_Toc13896"/>
      <w:r>
        <w:rPr>
          <w:b/>
          <w:color w:val="auto"/>
          <w:sz w:val="52"/>
        </w:rPr>
        <w:t>投 标 文 件</w:t>
      </w:r>
      <w:bookmarkEnd w:id="190"/>
    </w:p>
    <w:p w14:paraId="0A6CABE7">
      <w:pPr>
        <w:pStyle w:val="11"/>
        <w:spacing w:before="11"/>
        <w:rPr>
          <w:b/>
          <w:color w:val="auto"/>
          <w:sz w:val="69"/>
        </w:rPr>
      </w:pPr>
    </w:p>
    <w:p w14:paraId="2E17E52A">
      <w:pPr>
        <w:ind w:right="208"/>
        <w:jc w:val="center"/>
        <w:outlineLvl w:val="0"/>
        <w:rPr>
          <w:b/>
          <w:color w:val="auto"/>
          <w:sz w:val="32"/>
        </w:rPr>
      </w:pPr>
      <w:bookmarkStart w:id="191" w:name="_Toc10073"/>
      <w:r>
        <w:rPr>
          <w:b/>
          <w:color w:val="auto"/>
          <w:sz w:val="32"/>
        </w:rPr>
        <w:t>资格审查</w:t>
      </w:r>
      <w:r>
        <w:rPr>
          <w:rFonts w:hint="eastAsia"/>
          <w:b/>
          <w:color w:val="auto"/>
          <w:sz w:val="32"/>
        </w:rPr>
        <w:t>资料</w:t>
      </w:r>
      <w:r>
        <w:rPr>
          <w:rFonts w:eastAsia="Times New Roman"/>
          <w:b/>
          <w:color w:val="auto"/>
          <w:sz w:val="32"/>
        </w:rPr>
        <w:t>/</w:t>
      </w:r>
      <w:r>
        <w:rPr>
          <w:rFonts w:hint="eastAsia" w:eastAsia="宋体"/>
          <w:b/>
          <w:color w:val="auto"/>
          <w:sz w:val="32"/>
          <w:lang w:eastAsia="zh-CN"/>
        </w:rPr>
        <w:t>商务技术文件</w:t>
      </w:r>
      <w:r>
        <w:rPr>
          <w:rFonts w:eastAsia="Times New Roman"/>
          <w:b/>
          <w:color w:val="auto"/>
          <w:sz w:val="32"/>
        </w:rPr>
        <w:t>/</w:t>
      </w:r>
      <w:r>
        <w:rPr>
          <w:b/>
          <w:color w:val="auto"/>
          <w:sz w:val="32"/>
        </w:rPr>
        <w:t>报价文件</w:t>
      </w:r>
      <w:bookmarkEnd w:id="191"/>
    </w:p>
    <w:p w14:paraId="3E00A4DA">
      <w:pPr>
        <w:pStyle w:val="60"/>
        <w:rPr>
          <w:b/>
          <w:color w:val="auto"/>
          <w:sz w:val="32"/>
        </w:rPr>
      </w:pPr>
    </w:p>
    <w:p w14:paraId="6A97C4A1">
      <w:pPr>
        <w:pStyle w:val="60"/>
        <w:rPr>
          <w:b/>
          <w:color w:val="auto"/>
          <w:sz w:val="32"/>
        </w:rPr>
      </w:pPr>
    </w:p>
    <w:p w14:paraId="6F10A3EC">
      <w:pPr>
        <w:adjustRightInd w:val="0"/>
        <w:snapToGrid w:val="0"/>
        <w:spacing w:line="720" w:lineRule="auto"/>
        <w:ind w:firstLine="1120" w:firstLineChars="400"/>
        <w:rPr>
          <w:rFonts w:ascii="宋体" w:hAnsi="宋体"/>
          <w:color w:val="auto"/>
          <w:sz w:val="28"/>
          <w:szCs w:val="28"/>
          <w:u w:val="single"/>
        </w:rPr>
      </w:pPr>
      <w:r>
        <w:rPr>
          <w:rFonts w:hint="eastAsia" w:ascii="宋体" w:hAnsi="宋体"/>
          <w:color w:val="auto"/>
          <w:sz w:val="28"/>
          <w:szCs w:val="28"/>
        </w:rPr>
        <w:t>项目名称：</w:t>
      </w:r>
      <w:r>
        <w:rPr>
          <w:rFonts w:hint="eastAsia" w:ascii="宋体" w:hAnsi="宋体"/>
          <w:color w:val="auto"/>
          <w:sz w:val="28"/>
          <w:szCs w:val="28"/>
          <w:u w:val="single"/>
        </w:rPr>
        <w:t xml:space="preserve">                       </w:t>
      </w:r>
    </w:p>
    <w:p w14:paraId="1A3CD640">
      <w:pPr>
        <w:adjustRightInd w:val="0"/>
        <w:snapToGrid w:val="0"/>
        <w:spacing w:line="720" w:lineRule="auto"/>
        <w:ind w:firstLine="1120" w:firstLineChars="400"/>
        <w:rPr>
          <w:rFonts w:ascii="宋体" w:hAnsi="宋体"/>
          <w:color w:val="auto"/>
          <w:sz w:val="28"/>
          <w:szCs w:val="28"/>
        </w:rPr>
      </w:pPr>
      <w:r>
        <w:rPr>
          <w:rFonts w:hint="eastAsia" w:ascii="宋体" w:hAnsi="宋体"/>
          <w:color w:val="auto"/>
          <w:sz w:val="28"/>
          <w:szCs w:val="28"/>
        </w:rPr>
        <w:t>项目编号：</w:t>
      </w:r>
      <w:r>
        <w:rPr>
          <w:rFonts w:hint="eastAsia" w:ascii="宋体" w:hAnsi="宋体"/>
          <w:color w:val="auto"/>
          <w:sz w:val="28"/>
          <w:szCs w:val="28"/>
          <w:u w:val="single"/>
        </w:rPr>
        <w:t>                       </w:t>
      </w:r>
      <w:r>
        <w:rPr>
          <w:rFonts w:ascii="宋体" w:hAnsi="宋体"/>
          <w:color w:val="auto"/>
          <w:sz w:val="28"/>
          <w:szCs w:val="28"/>
        </w:rPr>
        <w:t xml:space="preserve"> </w:t>
      </w:r>
    </w:p>
    <w:p w14:paraId="31402FD6">
      <w:pPr>
        <w:adjustRightInd w:val="0"/>
        <w:snapToGrid w:val="0"/>
        <w:spacing w:line="720" w:lineRule="auto"/>
        <w:ind w:firstLine="1120" w:firstLineChars="400"/>
        <w:rPr>
          <w:rFonts w:ascii="宋体" w:hAnsi="宋体"/>
          <w:color w:val="auto"/>
          <w:sz w:val="28"/>
          <w:szCs w:val="28"/>
        </w:rPr>
      </w:pPr>
      <w:r>
        <w:rPr>
          <w:rFonts w:ascii="宋体" w:hAnsi="宋体"/>
          <w:color w:val="auto"/>
          <w:sz w:val="28"/>
          <w:szCs w:val="28"/>
        </w:rPr>
        <w:t>投标人</w:t>
      </w:r>
      <w:r>
        <w:rPr>
          <w:rFonts w:hint="eastAsia" w:ascii="宋体" w:hAnsi="宋体"/>
          <w:color w:val="auto"/>
          <w:sz w:val="28"/>
          <w:szCs w:val="28"/>
        </w:rPr>
        <w:t>（全称）</w:t>
      </w:r>
      <w:r>
        <w:rPr>
          <w:rFonts w:ascii="宋体" w:hAnsi="宋体"/>
          <w:color w:val="auto"/>
          <w:sz w:val="28"/>
          <w:szCs w:val="28"/>
        </w:rPr>
        <w:t>：</w:t>
      </w:r>
      <w:r>
        <w:rPr>
          <w:rFonts w:hint="eastAsia" w:ascii="宋体" w:hAnsi="宋体"/>
          <w:color w:val="auto"/>
          <w:sz w:val="28"/>
          <w:szCs w:val="28"/>
          <w:u w:val="single"/>
        </w:rPr>
        <w:t xml:space="preserve">            </w:t>
      </w:r>
      <w:r>
        <w:rPr>
          <w:rFonts w:ascii="宋体" w:hAnsi="宋体"/>
          <w:color w:val="auto"/>
          <w:sz w:val="28"/>
          <w:szCs w:val="28"/>
          <w:u w:val="single"/>
        </w:rPr>
        <w:t>（盖章）</w:t>
      </w:r>
    </w:p>
    <w:p w14:paraId="01477B12">
      <w:pPr>
        <w:adjustRightInd w:val="0"/>
        <w:snapToGrid w:val="0"/>
        <w:spacing w:line="720" w:lineRule="auto"/>
        <w:ind w:firstLine="1120" w:firstLineChars="400"/>
        <w:rPr>
          <w:rFonts w:ascii="宋体" w:hAnsi="宋体"/>
          <w:color w:val="auto"/>
          <w:sz w:val="28"/>
          <w:szCs w:val="28"/>
          <w:u w:val="single"/>
        </w:rPr>
      </w:pPr>
      <w:r>
        <w:rPr>
          <w:rFonts w:ascii="宋体" w:hAnsi="宋体"/>
          <w:color w:val="auto"/>
          <w:sz w:val="28"/>
          <w:szCs w:val="28"/>
        </w:rPr>
        <w:t>投标人地址：</w:t>
      </w:r>
      <w:r>
        <w:rPr>
          <w:rFonts w:hint="eastAsia" w:ascii="宋体" w:hAnsi="宋体"/>
          <w:color w:val="auto"/>
          <w:sz w:val="28"/>
          <w:szCs w:val="28"/>
          <w:u w:val="single"/>
        </w:rPr>
        <w:t>                     </w:t>
      </w:r>
    </w:p>
    <w:p w14:paraId="35F54FA3">
      <w:pPr>
        <w:pStyle w:val="60"/>
        <w:rPr>
          <w:rFonts w:ascii="宋体" w:hAnsi="宋体"/>
          <w:color w:val="auto"/>
          <w:sz w:val="28"/>
          <w:szCs w:val="28"/>
          <w:u w:val="single"/>
        </w:rPr>
      </w:pPr>
    </w:p>
    <w:p w14:paraId="773993DA">
      <w:pPr>
        <w:spacing w:line="460" w:lineRule="exact"/>
        <w:outlineLvl w:val="0"/>
        <w:rPr>
          <w:rFonts w:ascii="楷体_GB2312"/>
          <w:b/>
          <w:bCs/>
          <w:color w:val="auto"/>
          <w:sz w:val="22"/>
          <w:szCs w:val="22"/>
        </w:rPr>
      </w:pPr>
      <w:r>
        <w:rPr>
          <w:rFonts w:hint="eastAsia" w:ascii="楷体_GB2312" w:eastAsia="楷体_GB2312"/>
          <w:b/>
          <w:bCs/>
          <w:color w:val="auto"/>
          <w:sz w:val="22"/>
          <w:szCs w:val="22"/>
        </w:rPr>
        <w:br w:type="page"/>
      </w:r>
      <w:bookmarkStart w:id="192" w:name="_Toc5957"/>
      <w:r>
        <w:rPr>
          <w:rFonts w:hint="eastAsia" w:ascii="宋体" w:hAnsi="宋体" w:cs="宋体"/>
          <w:b/>
          <w:bCs/>
          <w:color w:val="auto"/>
          <w:sz w:val="22"/>
          <w:szCs w:val="22"/>
        </w:rPr>
        <w:t>附件1</w:t>
      </w:r>
      <w:bookmarkEnd w:id="192"/>
      <w:r>
        <w:rPr>
          <w:rFonts w:hint="eastAsia" w:ascii="宋体" w:hAnsi="宋体" w:cs="宋体"/>
          <w:b/>
          <w:bCs/>
          <w:color w:val="auto"/>
          <w:sz w:val="22"/>
          <w:szCs w:val="22"/>
        </w:rPr>
        <w:t>-1</w:t>
      </w:r>
    </w:p>
    <w:p w14:paraId="06BF80F8">
      <w:pPr>
        <w:spacing w:line="460" w:lineRule="exact"/>
        <w:rPr>
          <w:rFonts w:ascii="楷体_GB2312" w:hAnsi="新宋体" w:eastAsia="楷体_GB2312"/>
          <w:color w:val="auto"/>
          <w:sz w:val="22"/>
          <w:szCs w:val="22"/>
        </w:rPr>
      </w:pPr>
    </w:p>
    <w:p w14:paraId="7DA3E5D6">
      <w:pPr>
        <w:widowControl/>
        <w:spacing w:line="420" w:lineRule="atLeast"/>
        <w:rPr>
          <w:rFonts w:ascii="宋体" w:hAnsi="宋体"/>
          <w:b/>
          <w:bCs/>
          <w:color w:val="auto"/>
          <w:kern w:val="0"/>
          <w:sz w:val="24"/>
        </w:rPr>
      </w:pPr>
    </w:p>
    <w:p w14:paraId="0973BB25">
      <w:pPr>
        <w:widowControl/>
        <w:spacing w:line="420" w:lineRule="atLeast"/>
        <w:jc w:val="center"/>
        <w:rPr>
          <w:rFonts w:ascii="宋体" w:hAnsi="宋体"/>
          <w:b/>
          <w:bCs/>
          <w:color w:val="auto"/>
          <w:kern w:val="0"/>
          <w:sz w:val="30"/>
          <w:szCs w:val="30"/>
        </w:rPr>
      </w:pPr>
      <w:r>
        <w:rPr>
          <w:rFonts w:hint="eastAsia" w:ascii="宋体" w:hAnsi="宋体"/>
          <w:b/>
          <w:bCs/>
          <w:color w:val="auto"/>
          <w:kern w:val="0"/>
          <w:sz w:val="30"/>
          <w:szCs w:val="30"/>
        </w:rPr>
        <w:t xml:space="preserve">   法定代表人身份证明</w:t>
      </w:r>
    </w:p>
    <w:p w14:paraId="0D473312">
      <w:pPr>
        <w:widowControl/>
        <w:spacing w:line="420" w:lineRule="atLeast"/>
        <w:jc w:val="center"/>
        <w:rPr>
          <w:rFonts w:ascii="宋体" w:hAnsi="宋体"/>
          <w:b/>
          <w:bCs/>
          <w:color w:val="auto"/>
          <w:kern w:val="0"/>
          <w:sz w:val="24"/>
        </w:rPr>
      </w:pPr>
      <w:r>
        <w:rPr>
          <w:rFonts w:hint="eastAsia" w:ascii="宋体" w:hAnsi="宋体"/>
          <w:b/>
          <w:bCs/>
          <w:color w:val="auto"/>
          <w:kern w:val="0"/>
          <w:sz w:val="24"/>
        </w:rPr>
        <w:t xml:space="preserve"> </w:t>
      </w:r>
    </w:p>
    <w:p w14:paraId="56ADE25C">
      <w:pPr>
        <w:widowControl/>
        <w:spacing w:line="420" w:lineRule="atLeast"/>
        <w:ind w:firstLine="480"/>
        <w:jc w:val="left"/>
        <w:rPr>
          <w:rFonts w:ascii="宋体" w:hAnsi="宋体"/>
          <w:color w:val="auto"/>
          <w:kern w:val="0"/>
          <w:sz w:val="24"/>
        </w:rPr>
      </w:pPr>
      <w:r>
        <w:rPr>
          <w:rFonts w:hint="eastAsia" w:ascii="宋体" w:hAnsi="宋体"/>
          <w:color w:val="auto"/>
          <w:kern w:val="0"/>
          <w:sz w:val="24"/>
        </w:rPr>
        <w:t xml:space="preserve"> </w:t>
      </w:r>
    </w:p>
    <w:p w14:paraId="004CBC62">
      <w:pPr>
        <w:widowControl/>
        <w:spacing w:line="420" w:lineRule="atLeast"/>
        <w:ind w:firstLine="1080"/>
        <w:rPr>
          <w:rFonts w:ascii="宋体" w:hAnsi="宋体"/>
          <w:color w:val="auto"/>
          <w:kern w:val="0"/>
          <w:szCs w:val="21"/>
        </w:rPr>
      </w:pPr>
      <w:r>
        <w:rPr>
          <w:rFonts w:hint="eastAsia" w:ascii="宋体" w:hAnsi="宋体"/>
          <w:color w:val="auto"/>
          <w:kern w:val="0"/>
          <w:szCs w:val="21"/>
        </w:rPr>
        <w:t>单位名称：</w:t>
      </w:r>
      <w:r>
        <w:rPr>
          <w:rFonts w:hint="eastAsia" w:ascii="宋体" w:hAnsi="宋体"/>
          <w:color w:val="auto"/>
          <w:kern w:val="0"/>
          <w:szCs w:val="21"/>
          <w:u w:val="single"/>
        </w:rPr>
        <w:t xml:space="preserve">                                               </w:t>
      </w:r>
    </w:p>
    <w:p w14:paraId="38B08F26">
      <w:pPr>
        <w:widowControl/>
        <w:spacing w:line="420" w:lineRule="atLeast"/>
        <w:ind w:firstLine="1080"/>
        <w:rPr>
          <w:rFonts w:ascii="宋体" w:hAnsi="宋体"/>
          <w:color w:val="auto"/>
          <w:kern w:val="0"/>
          <w:szCs w:val="21"/>
          <w:u w:val="single"/>
        </w:rPr>
      </w:pPr>
      <w:r>
        <w:rPr>
          <w:rFonts w:hint="eastAsia" w:ascii="宋体" w:hAnsi="宋体"/>
          <w:color w:val="auto"/>
          <w:kern w:val="0"/>
          <w:szCs w:val="21"/>
        </w:rPr>
        <w:t>单位性质：</w:t>
      </w:r>
      <w:r>
        <w:rPr>
          <w:rFonts w:hint="eastAsia" w:ascii="宋体" w:hAnsi="宋体"/>
          <w:color w:val="auto"/>
          <w:kern w:val="0"/>
          <w:szCs w:val="21"/>
          <w:u w:val="single"/>
        </w:rPr>
        <w:t xml:space="preserve">                                               </w:t>
      </w:r>
    </w:p>
    <w:p w14:paraId="40EB8301">
      <w:pPr>
        <w:widowControl/>
        <w:spacing w:line="420" w:lineRule="atLeast"/>
        <w:ind w:firstLine="1080"/>
        <w:rPr>
          <w:rFonts w:ascii="宋体" w:hAnsi="宋体"/>
          <w:color w:val="auto"/>
          <w:kern w:val="0"/>
          <w:szCs w:val="21"/>
          <w:u w:val="single"/>
        </w:rPr>
      </w:pPr>
      <w:r>
        <w:rPr>
          <w:rFonts w:hint="eastAsia" w:ascii="宋体" w:hAnsi="宋体"/>
          <w:color w:val="auto"/>
          <w:kern w:val="0"/>
          <w:szCs w:val="21"/>
        </w:rPr>
        <w:t>地    址：</w:t>
      </w:r>
      <w:r>
        <w:rPr>
          <w:rFonts w:hint="eastAsia" w:ascii="宋体" w:hAnsi="宋体"/>
          <w:color w:val="auto"/>
          <w:kern w:val="0"/>
          <w:szCs w:val="21"/>
          <w:u w:val="single"/>
        </w:rPr>
        <w:t xml:space="preserve">                                               </w:t>
      </w:r>
    </w:p>
    <w:p w14:paraId="230037AC">
      <w:pPr>
        <w:widowControl/>
        <w:spacing w:line="420" w:lineRule="atLeast"/>
        <w:ind w:firstLine="1080"/>
        <w:rPr>
          <w:rFonts w:ascii="宋体" w:hAnsi="宋体"/>
          <w:color w:val="auto"/>
          <w:kern w:val="0"/>
          <w:szCs w:val="21"/>
        </w:rPr>
      </w:pPr>
      <w:r>
        <w:rPr>
          <w:rFonts w:hint="eastAsia" w:ascii="宋体" w:hAnsi="宋体"/>
          <w:color w:val="auto"/>
          <w:kern w:val="0"/>
          <w:szCs w:val="21"/>
        </w:rPr>
        <w:t>成立时间：</w:t>
      </w:r>
      <w:r>
        <w:rPr>
          <w:rFonts w:hint="eastAsia" w:ascii="宋体" w:hAnsi="宋体"/>
          <w:color w:val="auto"/>
          <w:kern w:val="0"/>
          <w:szCs w:val="21"/>
          <w:u w:val="single"/>
        </w:rPr>
        <w:t xml:space="preserve">             </w:t>
      </w:r>
      <w:r>
        <w:rPr>
          <w:rFonts w:hint="eastAsia" w:ascii="宋体" w:hAnsi="宋体"/>
          <w:color w:val="auto"/>
          <w:kern w:val="0"/>
          <w:szCs w:val="21"/>
        </w:rPr>
        <w:t>年</w:t>
      </w:r>
      <w:r>
        <w:rPr>
          <w:rFonts w:hint="eastAsia" w:ascii="宋体" w:hAnsi="宋体"/>
          <w:color w:val="auto"/>
          <w:kern w:val="0"/>
          <w:szCs w:val="21"/>
          <w:u w:val="single"/>
        </w:rPr>
        <w:t xml:space="preserve">               </w:t>
      </w:r>
      <w:r>
        <w:rPr>
          <w:rFonts w:hint="eastAsia" w:ascii="宋体" w:hAnsi="宋体"/>
          <w:color w:val="auto"/>
          <w:kern w:val="0"/>
          <w:szCs w:val="21"/>
        </w:rPr>
        <w:t>月</w:t>
      </w:r>
      <w:r>
        <w:rPr>
          <w:rFonts w:hint="eastAsia" w:ascii="宋体" w:hAnsi="宋体"/>
          <w:color w:val="auto"/>
          <w:kern w:val="0"/>
          <w:szCs w:val="21"/>
          <w:u w:val="single"/>
        </w:rPr>
        <w:t xml:space="preserve">               </w:t>
      </w:r>
      <w:r>
        <w:rPr>
          <w:rFonts w:hint="eastAsia" w:ascii="宋体" w:hAnsi="宋体"/>
          <w:color w:val="auto"/>
          <w:kern w:val="0"/>
          <w:szCs w:val="21"/>
        </w:rPr>
        <w:t>日</w:t>
      </w:r>
    </w:p>
    <w:p w14:paraId="2A59FA4D">
      <w:pPr>
        <w:widowControl/>
        <w:spacing w:line="420" w:lineRule="atLeast"/>
        <w:ind w:firstLine="1080"/>
        <w:rPr>
          <w:rFonts w:ascii="宋体" w:hAnsi="宋体"/>
          <w:color w:val="auto"/>
          <w:kern w:val="0"/>
          <w:szCs w:val="21"/>
          <w:u w:val="single"/>
        </w:rPr>
      </w:pPr>
      <w:r>
        <w:rPr>
          <w:rFonts w:hint="eastAsia" w:ascii="宋体" w:hAnsi="宋体"/>
          <w:color w:val="auto"/>
          <w:kern w:val="0"/>
          <w:szCs w:val="21"/>
        </w:rPr>
        <w:t>经营期限：</w:t>
      </w:r>
      <w:r>
        <w:rPr>
          <w:rFonts w:hint="eastAsia" w:ascii="宋体" w:hAnsi="宋体"/>
          <w:color w:val="auto"/>
          <w:kern w:val="0"/>
          <w:szCs w:val="21"/>
          <w:u w:val="single"/>
        </w:rPr>
        <w:t xml:space="preserve">                                               </w:t>
      </w:r>
    </w:p>
    <w:p w14:paraId="331D2122">
      <w:pPr>
        <w:widowControl/>
        <w:spacing w:line="420" w:lineRule="atLeast"/>
        <w:ind w:firstLine="1080"/>
        <w:rPr>
          <w:rFonts w:ascii="宋体" w:hAnsi="宋体"/>
          <w:color w:val="auto"/>
          <w:kern w:val="0"/>
          <w:szCs w:val="21"/>
          <w:u w:val="single"/>
        </w:rPr>
      </w:pPr>
      <w:r>
        <w:rPr>
          <w:rFonts w:hint="eastAsia" w:ascii="宋体" w:hAnsi="宋体"/>
          <w:color w:val="auto"/>
          <w:kern w:val="0"/>
          <w:szCs w:val="21"/>
        </w:rPr>
        <w:t>姓    名：</w:t>
      </w:r>
      <w:r>
        <w:rPr>
          <w:rFonts w:hint="eastAsia" w:ascii="宋体" w:hAnsi="宋体"/>
          <w:color w:val="auto"/>
          <w:kern w:val="0"/>
          <w:szCs w:val="21"/>
          <w:u w:val="single"/>
        </w:rPr>
        <w:t xml:space="preserve">                          </w:t>
      </w:r>
      <w:r>
        <w:rPr>
          <w:rFonts w:hint="eastAsia" w:ascii="宋体" w:hAnsi="宋体"/>
          <w:color w:val="auto"/>
          <w:kern w:val="0"/>
          <w:szCs w:val="21"/>
        </w:rPr>
        <w:t>性    别：</w:t>
      </w:r>
      <w:r>
        <w:rPr>
          <w:rFonts w:hint="eastAsia" w:ascii="宋体" w:hAnsi="宋体"/>
          <w:color w:val="auto"/>
          <w:kern w:val="0"/>
          <w:szCs w:val="21"/>
          <w:u w:val="single"/>
        </w:rPr>
        <w:t xml:space="preserve">            </w:t>
      </w:r>
    </w:p>
    <w:p w14:paraId="3FE278C6">
      <w:pPr>
        <w:widowControl/>
        <w:spacing w:line="420" w:lineRule="atLeast"/>
        <w:ind w:firstLine="1080"/>
        <w:rPr>
          <w:rFonts w:ascii="宋体" w:hAnsi="宋体"/>
          <w:color w:val="auto"/>
          <w:kern w:val="0"/>
          <w:szCs w:val="21"/>
          <w:u w:val="single"/>
        </w:rPr>
      </w:pPr>
      <w:r>
        <w:rPr>
          <w:rFonts w:hint="eastAsia" w:ascii="宋体" w:hAnsi="宋体"/>
          <w:color w:val="auto"/>
          <w:kern w:val="0"/>
          <w:szCs w:val="21"/>
        </w:rPr>
        <w:t>年    龄：</w:t>
      </w:r>
      <w:r>
        <w:rPr>
          <w:rFonts w:hint="eastAsia" w:ascii="宋体" w:hAnsi="宋体"/>
          <w:color w:val="auto"/>
          <w:kern w:val="0"/>
          <w:szCs w:val="21"/>
          <w:u w:val="single"/>
        </w:rPr>
        <w:t xml:space="preserve">                          </w:t>
      </w:r>
      <w:r>
        <w:rPr>
          <w:rFonts w:hint="eastAsia" w:ascii="宋体" w:hAnsi="宋体"/>
          <w:color w:val="auto"/>
          <w:kern w:val="0"/>
          <w:szCs w:val="21"/>
        </w:rPr>
        <w:t>职    务：</w:t>
      </w:r>
      <w:r>
        <w:rPr>
          <w:rFonts w:hint="eastAsia" w:ascii="宋体" w:hAnsi="宋体"/>
          <w:color w:val="auto"/>
          <w:kern w:val="0"/>
          <w:szCs w:val="21"/>
          <w:u w:val="single"/>
        </w:rPr>
        <w:t xml:space="preserve">            </w:t>
      </w:r>
    </w:p>
    <w:p w14:paraId="4AF23C99">
      <w:pPr>
        <w:widowControl/>
        <w:spacing w:line="420" w:lineRule="atLeast"/>
        <w:ind w:firstLine="1080"/>
        <w:rPr>
          <w:rFonts w:ascii="宋体" w:hAnsi="宋体"/>
          <w:color w:val="auto"/>
          <w:kern w:val="0"/>
          <w:szCs w:val="21"/>
        </w:rPr>
      </w:pPr>
      <w:r>
        <w:rPr>
          <w:rFonts w:hint="eastAsia" w:ascii="宋体" w:hAnsi="宋体"/>
          <w:color w:val="auto"/>
          <w:kern w:val="0"/>
          <w:szCs w:val="21"/>
        </w:rPr>
        <w:t>系</w:t>
      </w:r>
      <w:r>
        <w:rPr>
          <w:rFonts w:hint="eastAsia" w:ascii="宋体" w:hAnsi="宋体"/>
          <w:color w:val="auto"/>
          <w:kern w:val="0"/>
          <w:szCs w:val="21"/>
          <w:u w:val="single"/>
        </w:rPr>
        <w:t xml:space="preserve">                             </w:t>
      </w:r>
      <w:r>
        <w:rPr>
          <w:rFonts w:hint="eastAsia" w:ascii="宋体" w:hAnsi="宋体"/>
          <w:color w:val="auto"/>
          <w:kern w:val="0"/>
          <w:szCs w:val="21"/>
        </w:rPr>
        <w:t>（投标人名称）的法定代表人。</w:t>
      </w:r>
    </w:p>
    <w:p w14:paraId="7B34B4EF">
      <w:pPr>
        <w:widowControl/>
        <w:spacing w:line="420" w:lineRule="atLeast"/>
        <w:ind w:firstLine="1080"/>
        <w:rPr>
          <w:rFonts w:ascii="宋体" w:hAnsi="宋体"/>
          <w:color w:val="auto"/>
          <w:kern w:val="0"/>
          <w:szCs w:val="21"/>
        </w:rPr>
      </w:pPr>
      <w:r>
        <w:rPr>
          <w:rFonts w:hint="eastAsia" w:ascii="宋体" w:hAnsi="宋体"/>
          <w:color w:val="auto"/>
          <w:kern w:val="0"/>
          <w:szCs w:val="21"/>
        </w:rPr>
        <w:t>特此证明。</w:t>
      </w:r>
    </w:p>
    <w:p w14:paraId="57A1925B">
      <w:pPr>
        <w:widowControl/>
        <w:spacing w:line="420" w:lineRule="atLeast"/>
        <w:rPr>
          <w:rFonts w:ascii="宋体" w:hAnsi="宋体"/>
          <w:color w:val="auto"/>
          <w:kern w:val="0"/>
          <w:szCs w:val="21"/>
        </w:rPr>
      </w:pPr>
      <w:r>
        <w:rPr>
          <w:rFonts w:hint="eastAsia" w:ascii="宋体" w:hAnsi="宋体"/>
          <w:color w:val="auto"/>
          <w:kern w:val="0"/>
          <w:szCs w:val="21"/>
        </w:rPr>
        <w:t xml:space="preserve"> </w:t>
      </w:r>
    </w:p>
    <w:p w14:paraId="6E26282A">
      <w:pPr>
        <w:widowControl/>
        <w:spacing w:line="420" w:lineRule="atLeast"/>
        <w:rPr>
          <w:rFonts w:ascii="宋体" w:hAnsi="宋体"/>
          <w:color w:val="auto"/>
          <w:kern w:val="0"/>
          <w:szCs w:val="21"/>
        </w:rPr>
      </w:pPr>
      <w:r>
        <w:rPr>
          <w:rFonts w:hint="eastAsia" w:ascii="宋体" w:hAnsi="宋体"/>
          <w:color w:val="auto"/>
          <w:kern w:val="0"/>
          <w:szCs w:val="21"/>
        </w:rPr>
        <w:t xml:space="preserve"> </w:t>
      </w:r>
    </w:p>
    <w:p w14:paraId="179E6CEF">
      <w:pPr>
        <w:widowControl/>
        <w:spacing w:line="420" w:lineRule="atLeast"/>
        <w:ind w:right="-64" w:firstLine="3600"/>
        <w:rPr>
          <w:rFonts w:ascii="宋体" w:hAnsi="宋体"/>
          <w:b/>
          <w:bCs/>
          <w:color w:val="auto"/>
          <w:kern w:val="0"/>
          <w:szCs w:val="21"/>
        </w:rPr>
      </w:pPr>
      <w:r>
        <w:rPr>
          <w:rFonts w:hint="eastAsia" w:ascii="宋体" w:hAnsi="宋体"/>
          <w:b/>
          <w:bCs/>
          <w:color w:val="auto"/>
          <w:kern w:val="0"/>
          <w:szCs w:val="21"/>
        </w:rPr>
        <w:t>投标人：</w:t>
      </w:r>
      <w:r>
        <w:rPr>
          <w:rFonts w:hint="eastAsia" w:ascii="宋体" w:hAnsi="宋体"/>
          <w:b/>
          <w:bCs/>
          <w:color w:val="auto"/>
          <w:kern w:val="0"/>
          <w:szCs w:val="21"/>
          <w:u w:val="single"/>
        </w:rPr>
        <w:t xml:space="preserve">                      </w:t>
      </w:r>
      <w:r>
        <w:rPr>
          <w:rFonts w:hint="eastAsia" w:ascii="宋体" w:hAnsi="宋体"/>
          <w:b/>
          <w:bCs/>
          <w:color w:val="auto"/>
          <w:kern w:val="0"/>
          <w:szCs w:val="21"/>
        </w:rPr>
        <w:t>（盖单位章）</w:t>
      </w:r>
    </w:p>
    <w:p w14:paraId="1353C10B">
      <w:pPr>
        <w:widowControl/>
        <w:spacing w:line="420" w:lineRule="atLeast"/>
        <w:ind w:right="420"/>
        <w:rPr>
          <w:rFonts w:ascii="宋体" w:hAnsi="宋体"/>
          <w:b/>
          <w:bCs/>
          <w:color w:val="auto"/>
          <w:kern w:val="0"/>
          <w:szCs w:val="21"/>
          <w:u w:val="single"/>
        </w:rPr>
      </w:pPr>
    </w:p>
    <w:p w14:paraId="3CF4CEEA">
      <w:pPr>
        <w:widowControl/>
        <w:spacing w:line="420" w:lineRule="atLeast"/>
        <w:ind w:right="-64" w:firstLine="4320"/>
        <w:rPr>
          <w:rFonts w:ascii="宋体" w:hAnsi="宋体"/>
          <w:b/>
          <w:bCs/>
          <w:color w:val="auto"/>
          <w:kern w:val="0"/>
          <w:szCs w:val="21"/>
        </w:rPr>
      </w:pPr>
      <w:r>
        <w:rPr>
          <w:rFonts w:hint="eastAsia" w:ascii="宋体" w:hAnsi="宋体"/>
          <w:b/>
          <w:bCs/>
          <w:color w:val="auto"/>
          <w:kern w:val="0"/>
          <w:szCs w:val="21"/>
          <w:u w:val="single"/>
        </w:rPr>
        <w:t xml:space="preserve">          </w:t>
      </w:r>
      <w:r>
        <w:rPr>
          <w:rFonts w:hint="eastAsia" w:ascii="宋体" w:hAnsi="宋体"/>
          <w:b/>
          <w:bCs/>
          <w:color w:val="auto"/>
          <w:kern w:val="0"/>
          <w:szCs w:val="21"/>
        </w:rPr>
        <w:t>年</w:t>
      </w:r>
      <w:r>
        <w:rPr>
          <w:rFonts w:hint="eastAsia" w:ascii="宋体" w:hAnsi="宋体"/>
          <w:b/>
          <w:bCs/>
          <w:color w:val="auto"/>
          <w:kern w:val="0"/>
          <w:szCs w:val="21"/>
          <w:u w:val="single"/>
        </w:rPr>
        <w:t xml:space="preserve">      </w:t>
      </w:r>
      <w:r>
        <w:rPr>
          <w:rFonts w:hint="eastAsia" w:ascii="宋体" w:hAnsi="宋体"/>
          <w:b/>
          <w:bCs/>
          <w:color w:val="auto"/>
          <w:kern w:val="0"/>
          <w:szCs w:val="21"/>
        </w:rPr>
        <w:t>月</w:t>
      </w:r>
      <w:r>
        <w:rPr>
          <w:rFonts w:hint="eastAsia" w:ascii="宋体" w:hAnsi="宋体"/>
          <w:b/>
          <w:bCs/>
          <w:color w:val="auto"/>
          <w:kern w:val="0"/>
          <w:szCs w:val="21"/>
          <w:u w:val="single"/>
        </w:rPr>
        <w:t xml:space="preserve">        </w:t>
      </w:r>
      <w:r>
        <w:rPr>
          <w:rFonts w:hint="eastAsia" w:ascii="宋体" w:hAnsi="宋体"/>
          <w:b/>
          <w:bCs/>
          <w:color w:val="auto"/>
          <w:kern w:val="0"/>
          <w:szCs w:val="21"/>
        </w:rPr>
        <w:t xml:space="preserve">日 </w:t>
      </w:r>
    </w:p>
    <w:p w14:paraId="56B23738">
      <w:pPr>
        <w:pStyle w:val="60"/>
        <w:rPr>
          <w:b/>
          <w:bCs/>
          <w:color w:val="auto"/>
        </w:rPr>
      </w:pPr>
    </w:p>
    <w:p w14:paraId="08DF077F">
      <w:pPr>
        <w:pStyle w:val="11"/>
        <w:ind w:left="1020"/>
        <w:rPr>
          <w:rFonts w:ascii="宋体" w:hAnsi="宋体"/>
          <w:color w:val="auto"/>
          <w:kern w:val="0"/>
          <w:sz w:val="24"/>
        </w:rPr>
      </w:pPr>
      <w:r>
        <w:rPr>
          <w:rFonts w:hint="eastAsia" w:ascii="宋体" w:hAnsi="宋体" w:cs="宋体"/>
          <w:color w:val="auto"/>
        </w:rPr>
        <w:t>--------------------------------------------------------------------</w:t>
      </w:r>
      <w:r>
        <w:rPr>
          <w:color w:val="auto"/>
        </w:rPr>
        <mc:AlternateContent>
          <mc:Choice Requires="wps">
            <w:drawing>
              <wp:anchor distT="0" distB="0" distL="114300" distR="114300" simplePos="0" relativeHeight="251660288" behindDoc="1" locked="0" layoutInCell="1" allowOverlap="1">
                <wp:simplePos x="0" y="0"/>
                <wp:positionH relativeFrom="page">
                  <wp:posOffset>1294765</wp:posOffset>
                </wp:positionH>
                <wp:positionV relativeFrom="paragraph">
                  <wp:posOffset>88265</wp:posOffset>
                </wp:positionV>
                <wp:extent cx="4244340" cy="2042160"/>
                <wp:effectExtent l="0" t="0" r="0" b="0"/>
                <wp:wrapTopAndBottom/>
                <wp:docPr id="1" name="文本框 4"/>
                <wp:cNvGraphicFramePr/>
                <a:graphic xmlns:a="http://schemas.openxmlformats.org/drawingml/2006/main">
                  <a:graphicData uri="http://schemas.microsoft.com/office/word/2010/wordprocessingShape">
                    <wps:wsp>
                      <wps:cNvSpPr txBox="1"/>
                      <wps:spPr>
                        <a:xfrm>
                          <a:off x="0" y="0"/>
                          <a:ext cx="4244340" cy="2042160"/>
                        </a:xfrm>
                        <a:prstGeom prst="rect">
                          <a:avLst/>
                        </a:prstGeom>
                        <a:noFill/>
                        <a:ln w="6096" cap="flat" cmpd="sng">
                          <a:solidFill>
                            <a:srgbClr val="000000"/>
                          </a:solidFill>
                          <a:prstDash val="solid"/>
                          <a:miter/>
                          <a:headEnd type="none" w="med" len="med"/>
                          <a:tailEnd type="none" w="med" len="med"/>
                        </a:ln>
                      </wps:spPr>
                      <wps:txbx>
                        <w:txbxContent>
                          <w:p w14:paraId="398845DB">
                            <w:pPr>
                              <w:pStyle w:val="11"/>
                              <w:rPr>
                                <w:sz w:val="20"/>
                              </w:rPr>
                            </w:pPr>
                          </w:p>
                          <w:p w14:paraId="5EA7430B">
                            <w:pPr>
                              <w:pStyle w:val="11"/>
                              <w:rPr>
                                <w:sz w:val="20"/>
                              </w:rPr>
                            </w:pPr>
                          </w:p>
                          <w:p w14:paraId="0D761D59">
                            <w:pPr>
                              <w:pStyle w:val="11"/>
                              <w:rPr>
                                <w:sz w:val="20"/>
                              </w:rPr>
                            </w:pPr>
                          </w:p>
                          <w:p w14:paraId="6E2A1B42">
                            <w:pPr>
                              <w:spacing w:before="174"/>
                              <w:ind w:left="303"/>
                              <w:jc w:val="center"/>
                              <w:rPr>
                                <w:sz w:val="20"/>
                              </w:rPr>
                            </w:pPr>
                            <w:r>
                              <w:rPr>
                                <w:rFonts w:hint="eastAsia"/>
                                <w:sz w:val="20"/>
                              </w:rPr>
                              <w:t>法定代表人</w:t>
                            </w:r>
                            <w:r>
                              <w:rPr>
                                <w:sz w:val="20"/>
                              </w:rPr>
                              <w:t>身份证正反面</w:t>
                            </w:r>
                            <w:r>
                              <w:rPr>
                                <w:rFonts w:hint="eastAsia"/>
                                <w:sz w:val="20"/>
                              </w:rPr>
                              <w:t>影印件或</w:t>
                            </w:r>
                            <w:r>
                              <w:rPr>
                                <w:sz w:val="20"/>
                              </w:rPr>
                              <w:t>复印件粘贴处</w:t>
                            </w:r>
                          </w:p>
                        </w:txbxContent>
                      </wps:txbx>
                      <wps:bodyPr lIns="0" tIns="0" rIns="0" bIns="0" upright="1"/>
                    </wps:wsp>
                  </a:graphicData>
                </a:graphic>
              </wp:anchor>
            </w:drawing>
          </mc:Choice>
          <mc:Fallback>
            <w:pict>
              <v:shape id="文本框 4" o:spid="_x0000_s1026" o:spt="202" type="#_x0000_t202" style="position:absolute;left:0pt;margin-left:101.95pt;margin-top:6.95pt;height:160.8pt;width:334.2pt;mso-position-horizontal-relative:page;mso-wrap-distance-bottom:0pt;mso-wrap-distance-top:0pt;z-index:-251656192;mso-width-relative:page;mso-height-relative:page;" filled="f" stroked="t" coordsize="21600,21600" o:gfxdata="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VktkfWAAAACgEAAA8AAAAAAAAA&#10;AQAgAAAAIgAAAGRycy9kb3ducmV2LnhtbFBLAQIUABQAAAAIAIdO4kB8nY9ZEwIAADIEAAAOAAAA&#10;AAAAAAEAIAAAACUBAABkcnMvZTJvRG9jLnhtbFBLBQYAAAAABgAGAFkBAACqBQAAAAA=&#10;">
                <v:fill on="f" focussize="0,0"/>
                <v:stroke weight="0.48pt" color="#000000" joinstyle="miter"/>
                <v:imagedata o:title=""/>
                <o:lock v:ext="edit" aspectratio="f"/>
                <v:textbox inset="0mm,0mm,0mm,0mm">
                  <w:txbxContent>
                    <w:p w14:paraId="398845DB">
                      <w:pPr>
                        <w:pStyle w:val="11"/>
                        <w:rPr>
                          <w:sz w:val="20"/>
                        </w:rPr>
                      </w:pPr>
                    </w:p>
                    <w:p w14:paraId="5EA7430B">
                      <w:pPr>
                        <w:pStyle w:val="11"/>
                        <w:rPr>
                          <w:sz w:val="20"/>
                        </w:rPr>
                      </w:pPr>
                    </w:p>
                    <w:p w14:paraId="0D761D59">
                      <w:pPr>
                        <w:pStyle w:val="11"/>
                        <w:rPr>
                          <w:sz w:val="20"/>
                        </w:rPr>
                      </w:pPr>
                    </w:p>
                    <w:p w14:paraId="6E2A1B42">
                      <w:pPr>
                        <w:spacing w:before="174"/>
                        <w:ind w:left="303"/>
                        <w:jc w:val="center"/>
                        <w:rPr>
                          <w:sz w:val="20"/>
                        </w:rPr>
                      </w:pPr>
                      <w:r>
                        <w:rPr>
                          <w:rFonts w:hint="eastAsia"/>
                          <w:sz w:val="20"/>
                        </w:rPr>
                        <w:t>法定代表人</w:t>
                      </w:r>
                      <w:r>
                        <w:rPr>
                          <w:sz w:val="20"/>
                        </w:rPr>
                        <w:t>身份证正反面</w:t>
                      </w:r>
                      <w:r>
                        <w:rPr>
                          <w:rFonts w:hint="eastAsia"/>
                          <w:sz w:val="20"/>
                        </w:rPr>
                        <w:t>影印件或</w:t>
                      </w:r>
                      <w:r>
                        <w:rPr>
                          <w:sz w:val="20"/>
                        </w:rPr>
                        <w:t>复印件粘贴处</w:t>
                      </w:r>
                    </w:p>
                  </w:txbxContent>
                </v:textbox>
                <w10:wrap type="topAndBottom"/>
              </v:shape>
            </w:pict>
          </mc:Fallback>
        </mc:AlternateContent>
      </w:r>
      <w:r>
        <w:rPr>
          <w:rFonts w:hint="eastAsia" w:ascii="宋体" w:hAnsi="宋体"/>
          <w:color w:val="auto"/>
          <w:kern w:val="0"/>
          <w:szCs w:val="21"/>
        </w:rPr>
        <w:t xml:space="preserve"> </w:t>
      </w:r>
      <w:r>
        <w:rPr>
          <w:rFonts w:hint="eastAsia" w:ascii="宋体" w:hAnsi="宋体"/>
          <w:color w:val="auto"/>
          <w:kern w:val="0"/>
          <w:sz w:val="24"/>
        </w:rPr>
        <w:t xml:space="preserve">  </w:t>
      </w:r>
      <w:bookmarkStart w:id="193" w:name="_Toc13526"/>
    </w:p>
    <w:p w14:paraId="0CA78EAA">
      <w:pPr>
        <w:pStyle w:val="11"/>
        <w:ind w:left="1020"/>
        <w:rPr>
          <w:rFonts w:ascii="宋体" w:hAnsi="宋体"/>
          <w:color w:val="auto"/>
          <w:kern w:val="0"/>
          <w:sz w:val="24"/>
        </w:rPr>
      </w:pPr>
    </w:p>
    <w:p w14:paraId="185DC491">
      <w:pPr>
        <w:pStyle w:val="11"/>
        <w:ind w:left="1020"/>
        <w:rPr>
          <w:rFonts w:ascii="宋体" w:hAnsi="宋体"/>
          <w:color w:val="auto"/>
          <w:kern w:val="0"/>
          <w:sz w:val="24"/>
        </w:rPr>
      </w:pPr>
    </w:p>
    <w:p w14:paraId="45009D27">
      <w:pPr>
        <w:pStyle w:val="11"/>
        <w:rPr>
          <w:rFonts w:ascii="宋体" w:hAnsi="宋体" w:cs="宋体"/>
          <w:b/>
          <w:bCs/>
          <w:color w:val="auto"/>
          <w:sz w:val="22"/>
          <w:szCs w:val="22"/>
        </w:rPr>
      </w:pPr>
      <w:r>
        <w:rPr>
          <w:rFonts w:hint="eastAsia" w:ascii="宋体" w:hAnsi="宋体" w:cs="宋体"/>
          <w:b/>
          <w:bCs/>
          <w:color w:val="auto"/>
          <w:sz w:val="22"/>
          <w:szCs w:val="22"/>
        </w:rPr>
        <w:t>附件1-</w:t>
      </w:r>
      <w:bookmarkEnd w:id="193"/>
      <w:r>
        <w:rPr>
          <w:rFonts w:hint="eastAsia" w:ascii="宋体" w:hAnsi="宋体" w:cs="宋体"/>
          <w:b/>
          <w:bCs/>
          <w:color w:val="auto"/>
          <w:sz w:val="22"/>
          <w:szCs w:val="22"/>
        </w:rPr>
        <w:t>2</w:t>
      </w:r>
    </w:p>
    <w:p w14:paraId="56998B8C">
      <w:pPr>
        <w:pStyle w:val="11"/>
        <w:ind w:left="1020"/>
        <w:jc w:val="center"/>
        <w:rPr>
          <w:rFonts w:ascii="宋体" w:hAnsi="宋体"/>
          <w:b/>
          <w:bCs/>
          <w:color w:val="auto"/>
          <w:kern w:val="0"/>
          <w:sz w:val="30"/>
          <w:szCs w:val="30"/>
        </w:rPr>
      </w:pPr>
      <w:r>
        <w:rPr>
          <w:rFonts w:ascii="宋体" w:hAnsi="宋体"/>
          <w:b/>
          <w:bCs/>
          <w:color w:val="auto"/>
          <w:kern w:val="0"/>
          <w:sz w:val="30"/>
          <w:szCs w:val="30"/>
        </w:rPr>
        <w:t>法定代表人</w:t>
      </w:r>
      <w:r>
        <w:rPr>
          <w:rFonts w:hint="eastAsia" w:ascii="宋体" w:hAnsi="宋体"/>
          <w:b/>
          <w:bCs/>
          <w:color w:val="auto"/>
          <w:kern w:val="0"/>
          <w:sz w:val="30"/>
          <w:szCs w:val="30"/>
        </w:rPr>
        <w:t>授权委托</w:t>
      </w:r>
      <w:r>
        <w:rPr>
          <w:rFonts w:ascii="宋体" w:hAnsi="宋体"/>
          <w:b/>
          <w:bCs/>
          <w:color w:val="auto"/>
          <w:kern w:val="0"/>
          <w:sz w:val="30"/>
          <w:szCs w:val="30"/>
        </w:rPr>
        <w:t>书</w:t>
      </w:r>
    </w:p>
    <w:p w14:paraId="0DFF75B8">
      <w:pPr>
        <w:widowControl/>
        <w:spacing w:line="420" w:lineRule="atLeast"/>
        <w:ind w:left="120"/>
        <w:jc w:val="left"/>
        <w:rPr>
          <w:rFonts w:ascii="宋体" w:hAnsi="宋体"/>
          <w:color w:val="auto"/>
          <w:kern w:val="0"/>
          <w:sz w:val="24"/>
        </w:rPr>
      </w:pPr>
      <w:r>
        <w:rPr>
          <w:rFonts w:hint="eastAsia" w:ascii="宋体" w:hAnsi="宋体"/>
          <w:color w:val="auto"/>
          <w:kern w:val="0"/>
          <w:sz w:val="24"/>
        </w:rPr>
        <w:t xml:space="preserve"> </w:t>
      </w:r>
    </w:p>
    <w:p w14:paraId="1B9C9F7F">
      <w:pPr>
        <w:widowControl/>
        <w:spacing w:line="360" w:lineRule="auto"/>
        <w:ind w:firstLine="420" w:firstLineChars="200"/>
        <w:jc w:val="left"/>
        <w:rPr>
          <w:rFonts w:ascii="宋体" w:hAnsi="宋体"/>
          <w:color w:val="auto"/>
          <w:kern w:val="0"/>
          <w:szCs w:val="21"/>
        </w:rPr>
      </w:pPr>
      <w:r>
        <w:rPr>
          <w:rFonts w:hint="eastAsia" w:ascii="宋体" w:hAnsi="宋体"/>
          <w:color w:val="auto"/>
          <w:kern w:val="0"/>
          <w:szCs w:val="21"/>
        </w:rPr>
        <w:t>本授权书声明：我</w:t>
      </w:r>
      <w:r>
        <w:rPr>
          <w:rFonts w:hint="eastAsia" w:ascii="宋体" w:hAnsi="宋体"/>
          <w:color w:val="auto"/>
          <w:kern w:val="0"/>
          <w:szCs w:val="21"/>
          <w:u w:val="single"/>
        </w:rPr>
        <w:t xml:space="preserve">             </w:t>
      </w:r>
      <w:r>
        <w:rPr>
          <w:rFonts w:hint="eastAsia" w:ascii="宋体" w:hAnsi="宋体"/>
          <w:color w:val="auto"/>
          <w:kern w:val="0"/>
          <w:szCs w:val="21"/>
        </w:rPr>
        <w:t>（法定代表人姓名、职务）是</w:t>
      </w:r>
      <w:r>
        <w:rPr>
          <w:rFonts w:hint="eastAsia" w:ascii="宋体" w:hAnsi="宋体"/>
          <w:color w:val="auto"/>
          <w:kern w:val="0"/>
          <w:szCs w:val="21"/>
          <w:u w:val="single"/>
        </w:rPr>
        <w:t xml:space="preserve">                                </w:t>
      </w:r>
      <w:r>
        <w:rPr>
          <w:rFonts w:hint="eastAsia" w:ascii="宋体" w:hAnsi="宋体"/>
          <w:color w:val="auto"/>
          <w:kern w:val="0"/>
          <w:szCs w:val="21"/>
        </w:rPr>
        <w:t>（单位名称）的法定代表人，现代表本单位授权</w:t>
      </w:r>
      <w:r>
        <w:rPr>
          <w:rFonts w:hint="eastAsia" w:ascii="宋体" w:hAnsi="宋体"/>
          <w:color w:val="auto"/>
          <w:kern w:val="0"/>
          <w:szCs w:val="21"/>
          <w:u w:val="single"/>
        </w:rPr>
        <w:t xml:space="preserve">                   </w:t>
      </w:r>
      <w:r>
        <w:rPr>
          <w:rFonts w:hint="eastAsia" w:ascii="宋体" w:hAnsi="宋体"/>
          <w:color w:val="auto"/>
          <w:kern w:val="0"/>
          <w:szCs w:val="21"/>
        </w:rPr>
        <w:t>（被授权人的姓名、职务）为本单位的合法代理人，就参加</w:t>
      </w:r>
      <w:r>
        <w:rPr>
          <w:rFonts w:hint="eastAsia" w:ascii="宋体" w:hAnsi="宋体"/>
          <w:color w:val="auto"/>
          <w:kern w:val="0"/>
          <w:szCs w:val="21"/>
          <w:u w:val="single"/>
        </w:rPr>
        <w:t xml:space="preserve"> </w:t>
      </w:r>
      <w:r>
        <w:rPr>
          <w:rFonts w:hint="eastAsia" w:ascii="宋体" w:hAnsi="宋体" w:cs="宋体"/>
          <w:color w:val="auto"/>
          <w:szCs w:val="21"/>
          <w:u w:val="single"/>
          <w:lang w:eastAsia="zh-CN"/>
        </w:rPr>
        <w:t>常山县农村垃圾中转站渗滤液集中转运处置项目（2025-2026年度）</w:t>
      </w:r>
      <w:r>
        <w:rPr>
          <w:rFonts w:hint="eastAsia" w:ascii="宋体" w:hAnsi="宋体" w:cs="宋体"/>
          <w:color w:val="auto"/>
          <w:szCs w:val="21"/>
          <w:u w:val="single"/>
        </w:rPr>
        <w:t>（项目编号：</w:t>
      </w:r>
      <w:r>
        <w:rPr>
          <w:rFonts w:hint="eastAsia" w:ascii="宋体" w:hAnsi="宋体" w:cs="宋体"/>
          <w:color w:val="auto"/>
          <w:szCs w:val="21"/>
          <w:u w:val="single"/>
          <w:lang w:eastAsia="zh-CN"/>
        </w:rPr>
        <w:t>ZJLT-GK-2025021</w:t>
      </w:r>
      <w:r>
        <w:rPr>
          <w:rFonts w:hint="eastAsia" w:ascii="宋体" w:hAnsi="宋体" w:cs="宋体"/>
          <w:color w:val="auto"/>
          <w:szCs w:val="21"/>
          <w:u w:val="single"/>
        </w:rPr>
        <w:t>）</w:t>
      </w:r>
      <w:r>
        <w:rPr>
          <w:rFonts w:hint="eastAsia" w:ascii="宋体" w:hAnsi="宋体"/>
          <w:color w:val="auto"/>
          <w:kern w:val="0"/>
          <w:szCs w:val="21"/>
        </w:rPr>
        <w:t>公开招标的投标、签订合同以及合同的执行、完成和服务，及以本单位名义处理一切与之有关的事务。</w:t>
      </w:r>
    </w:p>
    <w:p w14:paraId="1FBEE8B3">
      <w:pPr>
        <w:widowControl/>
        <w:spacing w:line="360" w:lineRule="auto"/>
        <w:ind w:firstLine="480"/>
        <w:jc w:val="left"/>
        <w:rPr>
          <w:rFonts w:ascii="宋体" w:hAnsi="宋体"/>
          <w:color w:val="auto"/>
          <w:kern w:val="0"/>
          <w:szCs w:val="21"/>
        </w:rPr>
      </w:pPr>
      <w:r>
        <w:rPr>
          <w:rFonts w:hint="eastAsia" w:ascii="宋体" w:hAnsi="宋体"/>
          <w:color w:val="auto"/>
          <w:kern w:val="0"/>
          <w:szCs w:val="21"/>
        </w:rPr>
        <w:t xml:space="preserve"> 本授权书于</w:t>
      </w:r>
      <w:r>
        <w:rPr>
          <w:rFonts w:hint="eastAsia" w:ascii="宋体" w:hAnsi="宋体"/>
          <w:color w:val="auto"/>
          <w:kern w:val="0"/>
          <w:szCs w:val="21"/>
          <w:u w:val="single"/>
        </w:rPr>
        <w:t xml:space="preserve">     </w:t>
      </w:r>
      <w:r>
        <w:rPr>
          <w:rFonts w:hint="eastAsia" w:ascii="宋体" w:hAnsi="宋体"/>
          <w:color w:val="auto"/>
          <w:kern w:val="0"/>
          <w:szCs w:val="21"/>
        </w:rPr>
        <w:t>年</w:t>
      </w:r>
      <w:r>
        <w:rPr>
          <w:rFonts w:hint="eastAsia" w:ascii="宋体" w:hAnsi="宋体"/>
          <w:color w:val="auto"/>
          <w:kern w:val="0"/>
          <w:szCs w:val="21"/>
          <w:u w:val="single"/>
        </w:rPr>
        <w:t xml:space="preserve">      </w:t>
      </w:r>
      <w:r>
        <w:rPr>
          <w:rFonts w:hint="eastAsia" w:ascii="宋体" w:hAnsi="宋体"/>
          <w:color w:val="auto"/>
          <w:kern w:val="0"/>
          <w:szCs w:val="21"/>
        </w:rPr>
        <w:t>月</w:t>
      </w:r>
      <w:r>
        <w:rPr>
          <w:rFonts w:hint="eastAsia" w:ascii="宋体" w:hAnsi="宋体"/>
          <w:color w:val="auto"/>
          <w:kern w:val="0"/>
          <w:szCs w:val="21"/>
          <w:u w:val="single"/>
        </w:rPr>
        <w:t xml:space="preserve">      </w:t>
      </w:r>
      <w:r>
        <w:rPr>
          <w:rFonts w:hint="eastAsia" w:ascii="宋体" w:hAnsi="宋体"/>
          <w:color w:val="auto"/>
          <w:kern w:val="0"/>
          <w:szCs w:val="21"/>
        </w:rPr>
        <w:t>日签字生效，特此声明。</w:t>
      </w:r>
    </w:p>
    <w:p w14:paraId="35861DB4">
      <w:pPr>
        <w:pStyle w:val="60"/>
        <w:rPr>
          <w:color w:val="auto"/>
        </w:rPr>
      </w:pPr>
    </w:p>
    <w:p w14:paraId="15F56817">
      <w:pPr>
        <w:widowControl/>
        <w:spacing w:line="360" w:lineRule="auto"/>
        <w:ind w:firstLine="600"/>
        <w:jc w:val="left"/>
        <w:rPr>
          <w:rFonts w:ascii="宋体" w:hAnsi="宋体"/>
          <w:color w:val="auto"/>
          <w:kern w:val="0"/>
          <w:szCs w:val="21"/>
        </w:rPr>
      </w:pPr>
    </w:p>
    <w:p w14:paraId="4E91E4EB">
      <w:pPr>
        <w:widowControl/>
        <w:spacing w:line="360" w:lineRule="auto"/>
        <w:ind w:firstLine="600"/>
        <w:jc w:val="left"/>
        <w:rPr>
          <w:rFonts w:ascii="宋体" w:hAnsi="宋体"/>
          <w:b/>
          <w:bCs/>
          <w:color w:val="auto"/>
          <w:kern w:val="0"/>
          <w:szCs w:val="21"/>
        </w:rPr>
      </w:pPr>
      <w:r>
        <w:rPr>
          <w:rFonts w:hint="eastAsia" w:ascii="宋体" w:hAnsi="宋体"/>
          <w:b/>
          <w:bCs/>
          <w:color w:val="auto"/>
          <w:kern w:val="0"/>
          <w:szCs w:val="21"/>
        </w:rPr>
        <w:t>法定代表人（签字）</w:t>
      </w:r>
      <w:r>
        <w:rPr>
          <w:rFonts w:hint="eastAsia" w:ascii="宋体" w:hAnsi="宋体"/>
          <w:b/>
          <w:bCs/>
          <w:color w:val="auto"/>
          <w:kern w:val="0"/>
          <w:szCs w:val="21"/>
          <w:u w:val="single"/>
        </w:rPr>
        <w:t xml:space="preserve">                          </w:t>
      </w:r>
    </w:p>
    <w:p w14:paraId="4377FCF7">
      <w:pPr>
        <w:widowControl/>
        <w:spacing w:line="360" w:lineRule="auto"/>
        <w:ind w:firstLine="600"/>
        <w:jc w:val="left"/>
        <w:rPr>
          <w:rFonts w:ascii="宋体" w:hAnsi="宋体"/>
          <w:b/>
          <w:bCs/>
          <w:color w:val="auto"/>
          <w:kern w:val="0"/>
          <w:szCs w:val="21"/>
        </w:rPr>
      </w:pPr>
      <w:r>
        <w:rPr>
          <w:rFonts w:hint="eastAsia" w:ascii="宋体" w:hAnsi="宋体"/>
          <w:b/>
          <w:bCs/>
          <w:color w:val="auto"/>
          <w:kern w:val="0"/>
          <w:szCs w:val="21"/>
        </w:rPr>
        <w:t>授权委托人（签字）</w:t>
      </w:r>
      <w:r>
        <w:rPr>
          <w:rFonts w:hint="eastAsia" w:ascii="宋体" w:hAnsi="宋体"/>
          <w:b/>
          <w:bCs/>
          <w:color w:val="auto"/>
          <w:kern w:val="0"/>
          <w:szCs w:val="21"/>
          <w:u w:val="single"/>
        </w:rPr>
        <w:t xml:space="preserve">                        </w:t>
      </w:r>
    </w:p>
    <w:p w14:paraId="60121484">
      <w:pPr>
        <w:widowControl/>
        <w:spacing w:line="360" w:lineRule="auto"/>
        <w:ind w:firstLine="600"/>
        <w:jc w:val="left"/>
        <w:rPr>
          <w:rFonts w:ascii="宋体" w:hAnsi="宋体"/>
          <w:b/>
          <w:bCs/>
          <w:color w:val="auto"/>
          <w:kern w:val="0"/>
          <w:szCs w:val="21"/>
        </w:rPr>
      </w:pPr>
      <w:r>
        <w:rPr>
          <w:rFonts w:hint="eastAsia" w:ascii="宋体" w:hAnsi="宋体"/>
          <w:b/>
          <w:bCs/>
          <w:color w:val="auto"/>
          <w:kern w:val="0"/>
          <w:szCs w:val="21"/>
        </w:rPr>
        <w:t>单位名称（公章）</w:t>
      </w:r>
      <w:r>
        <w:rPr>
          <w:rFonts w:hint="eastAsia" w:ascii="宋体" w:hAnsi="宋体"/>
          <w:b/>
          <w:bCs/>
          <w:color w:val="auto"/>
          <w:kern w:val="0"/>
          <w:szCs w:val="21"/>
          <w:u w:val="single"/>
        </w:rPr>
        <w:t xml:space="preserve">                              </w:t>
      </w:r>
    </w:p>
    <w:p w14:paraId="5A042EB4">
      <w:pPr>
        <w:widowControl/>
        <w:spacing w:line="360" w:lineRule="auto"/>
        <w:ind w:firstLine="480"/>
        <w:jc w:val="left"/>
        <w:rPr>
          <w:rFonts w:ascii="宋体" w:hAnsi="宋体"/>
          <w:b/>
          <w:bCs/>
          <w:color w:val="auto"/>
          <w:kern w:val="0"/>
          <w:szCs w:val="21"/>
        </w:rPr>
      </w:pPr>
      <w:r>
        <w:rPr>
          <w:rFonts w:hint="eastAsia" w:ascii="宋体" w:hAnsi="宋体"/>
          <w:b/>
          <w:bCs/>
          <w:color w:val="auto"/>
          <w:kern w:val="0"/>
          <w:szCs w:val="21"/>
        </w:rPr>
        <w:t xml:space="preserve"> 日    期：</w:t>
      </w:r>
      <w:r>
        <w:rPr>
          <w:rFonts w:hint="eastAsia" w:ascii="宋体" w:hAnsi="宋体"/>
          <w:b/>
          <w:bCs/>
          <w:color w:val="auto"/>
          <w:kern w:val="0"/>
          <w:szCs w:val="21"/>
          <w:u w:val="single"/>
        </w:rPr>
        <w:t xml:space="preserve">                                    </w:t>
      </w:r>
    </w:p>
    <w:p w14:paraId="6A63BB9A">
      <w:pPr>
        <w:widowControl/>
        <w:spacing w:line="360" w:lineRule="auto"/>
        <w:rPr>
          <w:rFonts w:ascii="宋体" w:hAnsi="宋体"/>
          <w:color w:val="auto"/>
          <w:kern w:val="0"/>
          <w:szCs w:val="21"/>
        </w:rPr>
      </w:pPr>
      <w:r>
        <w:rPr>
          <w:rFonts w:hint="eastAsia" w:ascii="宋体" w:hAnsi="宋体"/>
          <w:color w:val="auto"/>
          <w:kern w:val="0"/>
          <w:szCs w:val="21"/>
        </w:rPr>
        <w:t xml:space="preserve"> </w:t>
      </w:r>
    </w:p>
    <w:p w14:paraId="44D8FAC9">
      <w:pPr>
        <w:widowControl/>
        <w:spacing w:line="360" w:lineRule="auto"/>
        <w:rPr>
          <w:rFonts w:ascii="宋体" w:hAnsi="宋体"/>
          <w:color w:val="auto"/>
          <w:kern w:val="0"/>
          <w:szCs w:val="21"/>
        </w:rPr>
      </w:pPr>
    </w:p>
    <w:p w14:paraId="7A2798F0">
      <w:pPr>
        <w:pStyle w:val="11"/>
        <w:ind w:left="1020"/>
        <w:rPr>
          <w:rFonts w:ascii="宋体" w:hAnsi="宋体"/>
          <w:color w:val="auto"/>
          <w:kern w:val="0"/>
          <w:sz w:val="24"/>
        </w:rPr>
      </w:pPr>
      <w:r>
        <w:rPr>
          <w:rFonts w:hint="eastAsia" w:ascii="宋体" w:hAnsi="宋体" w:cs="宋体"/>
          <w:color w:val="auto"/>
        </w:rPr>
        <w:t>--------------------------------------------------------------------</w:t>
      </w:r>
      <w:r>
        <w:rPr>
          <w:color w:val="auto"/>
        </w:rPr>
        <mc:AlternateContent>
          <mc:Choice Requires="wps">
            <w:drawing>
              <wp:anchor distT="0" distB="0" distL="114300" distR="114300" simplePos="0" relativeHeight="251660288" behindDoc="1" locked="0" layoutInCell="1" allowOverlap="1">
                <wp:simplePos x="0" y="0"/>
                <wp:positionH relativeFrom="page">
                  <wp:posOffset>1294765</wp:posOffset>
                </wp:positionH>
                <wp:positionV relativeFrom="paragraph">
                  <wp:posOffset>88265</wp:posOffset>
                </wp:positionV>
                <wp:extent cx="4244340" cy="2042160"/>
                <wp:effectExtent l="0" t="0" r="0" b="0"/>
                <wp:wrapTopAndBottom/>
                <wp:docPr id="2" name="文本框 5"/>
                <wp:cNvGraphicFramePr/>
                <a:graphic xmlns:a="http://schemas.openxmlformats.org/drawingml/2006/main">
                  <a:graphicData uri="http://schemas.microsoft.com/office/word/2010/wordprocessingShape">
                    <wps:wsp>
                      <wps:cNvSpPr txBox="1"/>
                      <wps:spPr>
                        <a:xfrm>
                          <a:off x="0" y="0"/>
                          <a:ext cx="4244340" cy="2042160"/>
                        </a:xfrm>
                        <a:prstGeom prst="rect">
                          <a:avLst/>
                        </a:prstGeom>
                        <a:noFill/>
                        <a:ln w="6096" cap="flat" cmpd="sng">
                          <a:solidFill>
                            <a:srgbClr val="000000"/>
                          </a:solidFill>
                          <a:prstDash val="solid"/>
                          <a:miter/>
                          <a:headEnd type="none" w="med" len="med"/>
                          <a:tailEnd type="none" w="med" len="med"/>
                        </a:ln>
                      </wps:spPr>
                      <wps:txbx>
                        <w:txbxContent>
                          <w:p w14:paraId="4D1E7809">
                            <w:pPr>
                              <w:pStyle w:val="11"/>
                              <w:rPr>
                                <w:sz w:val="20"/>
                              </w:rPr>
                            </w:pPr>
                          </w:p>
                          <w:p w14:paraId="1DB791D8">
                            <w:pPr>
                              <w:pStyle w:val="11"/>
                              <w:rPr>
                                <w:sz w:val="20"/>
                              </w:rPr>
                            </w:pPr>
                          </w:p>
                          <w:p w14:paraId="7202A7D4">
                            <w:pPr>
                              <w:pStyle w:val="11"/>
                              <w:rPr>
                                <w:sz w:val="20"/>
                              </w:rPr>
                            </w:pPr>
                          </w:p>
                          <w:p w14:paraId="1F0A28FF">
                            <w:pPr>
                              <w:spacing w:before="174"/>
                              <w:ind w:left="303"/>
                              <w:jc w:val="center"/>
                              <w:rPr>
                                <w:sz w:val="20"/>
                              </w:rPr>
                            </w:pPr>
                            <w:r>
                              <w:rPr>
                                <w:rFonts w:hint="eastAsia"/>
                                <w:sz w:val="20"/>
                              </w:rPr>
                              <w:t>被授权人</w:t>
                            </w:r>
                            <w:r>
                              <w:rPr>
                                <w:sz w:val="20"/>
                              </w:rPr>
                              <w:t>身份证正反面</w:t>
                            </w:r>
                            <w:r>
                              <w:rPr>
                                <w:rFonts w:hint="eastAsia"/>
                                <w:sz w:val="20"/>
                              </w:rPr>
                              <w:t>影印件或</w:t>
                            </w:r>
                            <w:r>
                              <w:rPr>
                                <w:sz w:val="20"/>
                              </w:rPr>
                              <w:t>复印件粘贴处</w:t>
                            </w:r>
                          </w:p>
                        </w:txbxContent>
                      </wps:txbx>
                      <wps:bodyPr lIns="0" tIns="0" rIns="0" bIns="0" upright="1"/>
                    </wps:wsp>
                  </a:graphicData>
                </a:graphic>
              </wp:anchor>
            </w:drawing>
          </mc:Choice>
          <mc:Fallback>
            <w:pict>
              <v:shape id="文本框 5" o:spid="_x0000_s1026" o:spt="202" type="#_x0000_t202" style="position:absolute;left:0pt;margin-left:101.95pt;margin-top:6.95pt;height:160.8pt;width:334.2pt;mso-position-horizontal-relative:page;mso-wrap-distance-bottom:0pt;mso-wrap-distance-top:0pt;z-index:-251656192;mso-width-relative:page;mso-height-relative:page;" filled="f" stroked="t" coordsize="21600,21600" o:gfxdata="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1ZLZH1gAAAAoBAAAPAAAAAAAA&#10;AAEAIAAAACIAAABkcnMvZG93bnJldi54bWxQSwECFAAUAAAACACHTuJA/clJURQCAAAyBAAADgAA&#10;AAAAAAABACAAAAAlAQAAZHJzL2Uyb0RvYy54bWxQSwUGAAAAAAYABgBZAQAAqwUAAAAA&#10;">
                <v:fill on="f" focussize="0,0"/>
                <v:stroke weight="0.48pt" color="#000000" joinstyle="miter"/>
                <v:imagedata o:title=""/>
                <o:lock v:ext="edit" aspectratio="f"/>
                <v:textbox inset="0mm,0mm,0mm,0mm">
                  <w:txbxContent>
                    <w:p w14:paraId="4D1E7809">
                      <w:pPr>
                        <w:pStyle w:val="11"/>
                        <w:rPr>
                          <w:sz w:val="20"/>
                        </w:rPr>
                      </w:pPr>
                    </w:p>
                    <w:p w14:paraId="1DB791D8">
                      <w:pPr>
                        <w:pStyle w:val="11"/>
                        <w:rPr>
                          <w:sz w:val="20"/>
                        </w:rPr>
                      </w:pPr>
                    </w:p>
                    <w:p w14:paraId="7202A7D4">
                      <w:pPr>
                        <w:pStyle w:val="11"/>
                        <w:rPr>
                          <w:sz w:val="20"/>
                        </w:rPr>
                      </w:pPr>
                    </w:p>
                    <w:p w14:paraId="1F0A28FF">
                      <w:pPr>
                        <w:spacing w:before="174"/>
                        <w:ind w:left="303"/>
                        <w:jc w:val="center"/>
                        <w:rPr>
                          <w:sz w:val="20"/>
                        </w:rPr>
                      </w:pPr>
                      <w:r>
                        <w:rPr>
                          <w:rFonts w:hint="eastAsia"/>
                          <w:sz w:val="20"/>
                        </w:rPr>
                        <w:t>被授权人</w:t>
                      </w:r>
                      <w:r>
                        <w:rPr>
                          <w:sz w:val="20"/>
                        </w:rPr>
                        <w:t>身份证正反面</w:t>
                      </w:r>
                      <w:r>
                        <w:rPr>
                          <w:rFonts w:hint="eastAsia"/>
                          <w:sz w:val="20"/>
                        </w:rPr>
                        <w:t>影印件或</w:t>
                      </w:r>
                      <w:r>
                        <w:rPr>
                          <w:sz w:val="20"/>
                        </w:rPr>
                        <w:t>复印件粘贴处</w:t>
                      </w:r>
                    </w:p>
                  </w:txbxContent>
                </v:textbox>
                <w10:wrap type="topAndBottom"/>
              </v:shape>
            </w:pict>
          </mc:Fallback>
        </mc:AlternateContent>
      </w:r>
      <w:r>
        <w:rPr>
          <w:rFonts w:hint="eastAsia" w:ascii="宋体" w:hAnsi="宋体"/>
          <w:color w:val="auto"/>
          <w:kern w:val="0"/>
          <w:szCs w:val="21"/>
        </w:rPr>
        <w:t xml:space="preserve"> </w:t>
      </w:r>
      <w:r>
        <w:rPr>
          <w:rFonts w:hint="eastAsia" w:ascii="宋体" w:hAnsi="宋体"/>
          <w:color w:val="auto"/>
          <w:kern w:val="0"/>
          <w:sz w:val="24"/>
        </w:rPr>
        <w:t xml:space="preserve">  </w:t>
      </w:r>
    </w:p>
    <w:p w14:paraId="44F884A4">
      <w:pPr>
        <w:spacing w:line="460" w:lineRule="exact"/>
        <w:jc w:val="left"/>
        <w:rPr>
          <w:rFonts w:ascii="楷体_GB2312" w:eastAsia="楷体_GB2312"/>
          <w:b/>
          <w:bCs/>
          <w:color w:val="auto"/>
          <w:sz w:val="22"/>
          <w:szCs w:val="22"/>
        </w:rPr>
      </w:pPr>
    </w:p>
    <w:p w14:paraId="477870CF">
      <w:pPr>
        <w:spacing w:line="460" w:lineRule="exact"/>
        <w:jc w:val="left"/>
        <w:outlineLvl w:val="0"/>
        <w:rPr>
          <w:rFonts w:ascii="宋体" w:hAnsi="宋体" w:cs="宋体"/>
          <w:b/>
          <w:bCs/>
          <w:color w:val="auto"/>
          <w:sz w:val="22"/>
          <w:szCs w:val="22"/>
        </w:rPr>
      </w:pPr>
      <w:r>
        <w:rPr>
          <w:b/>
          <w:color w:val="auto"/>
          <w:sz w:val="30"/>
        </w:rPr>
        <w:br w:type="page"/>
      </w:r>
      <w:bookmarkStart w:id="194" w:name="_Toc12305"/>
      <w:r>
        <w:rPr>
          <w:rFonts w:hint="eastAsia" w:ascii="宋体" w:hAnsi="宋体" w:cs="宋体"/>
          <w:b/>
          <w:bCs/>
          <w:color w:val="auto"/>
          <w:sz w:val="22"/>
          <w:szCs w:val="22"/>
        </w:rPr>
        <w:t>附件2</w:t>
      </w:r>
      <w:bookmarkEnd w:id="194"/>
    </w:p>
    <w:p w14:paraId="1DE969EB">
      <w:pPr>
        <w:spacing w:line="460" w:lineRule="exact"/>
        <w:jc w:val="center"/>
        <w:outlineLvl w:val="0"/>
        <w:rPr>
          <w:b/>
          <w:color w:val="auto"/>
          <w:sz w:val="30"/>
        </w:rPr>
      </w:pPr>
    </w:p>
    <w:p w14:paraId="525D3B7F">
      <w:pPr>
        <w:spacing w:line="460" w:lineRule="exact"/>
        <w:jc w:val="center"/>
        <w:outlineLvl w:val="0"/>
        <w:rPr>
          <w:rFonts w:ascii="宋体" w:hAnsi="宋体" w:cs="宋体"/>
          <w:color w:val="auto"/>
          <w:sz w:val="24"/>
        </w:rPr>
      </w:pPr>
      <w:r>
        <w:rPr>
          <w:rFonts w:hint="eastAsia" w:ascii="宋体" w:hAnsi="宋体" w:cs="宋体"/>
          <w:b/>
          <w:color w:val="auto"/>
          <w:kern w:val="36"/>
          <w:sz w:val="28"/>
          <w:szCs w:val="28"/>
        </w:rPr>
        <w:t>具有满足《中华人民共和国政府采购法》第二十二条规定的承诺函</w:t>
      </w:r>
    </w:p>
    <w:p w14:paraId="6006E6CE">
      <w:pPr>
        <w:spacing w:line="460" w:lineRule="exact"/>
        <w:jc w:val="left"/>
        <w:outlineLvl w:val="0"/>
        <w:rPr>
          <w:rFonts w:ascii="宋体" w:hAnsi="宋体" w:cs="宋体"/>
          <w:b/>
          <w:bCs/>
          <w:color w:val="auto"/>
          <w:sz w:val="22"/>
          <w:szCs w:val="22"/>
        </w:rPr>
      </w:pPr>
    </w:p>
    <w:p w14:paraId="742FB5A9">
      <w:pPr>
        <w:spacing w:line="460" w:lineRule="exact"/>
        <w:jc w:val="left"/>
        <w:outlineLvl w:val="0"/>
        <w:rPr>
          <w:rFonts w:ascii="宋体" w:hAnsi="宋体" w:cs="宋体"/>
          <w:b/>
          <w:bCs/>
          <w:color w:val="auto"/>
          <w:sz w:val="22"/>
          <w:szCs w:val="22"/>
        </w:rPr>
      </w:pPr>
    </w:p>
    <w:p w14:paraId="7E965783">
      <w:pPr>
        <w:pStyle w:val="11"/>
        <w:tabs>
          <w:tab w:val="left" w:pos="3659"/>
        </w:tabs>
        <w:jc w:val="left"/>
        <w:rPr>
          <w:rFonts w:ascii="宋体" w:hAnsi="宋体" w:cs="宋体"/>
          <w:color w:val="auto"/>
          <w:szCs w:val="21"/>
        </w:rPr>
      </w:pPr>
      <w:r>
        <w:rPr>
          <w:rFonts w:hint="eastAsia" w:ascii="宋体" w:hAnsi="宋体" w:cs="宋体"/>
          <w:color w:val="auto"/>
          <w:szCs w:val="21"/>
          <w:u w:val="single"/>
          <w:lang w:eastAsia="zh-CN"/>
        </w:rPr>
        <w:t>常山县农业农村局</w:t>
      </w:r>
      <w:r>
        <w:rPr>
          <w:rFonts w:hint="eastAsia" w:ascii="宋体" w:hAnsi="宋体" w:cs="宋体"/>
          <w:color w:val="auto"/>
          <w:szCs w:val="21"/>
          <w:u w:val="single"/>
        </w:rPr>
        <w:t xml:space="preserve"> </w:t>
      </w:r>
      <w:r>
        <w:rPr>
          <w:rFonts w:hint="eastAsia" w:ascii="宋体" w:hAnsi="宋体" w:cs="宋体"/>
          <w:color w:val="auto"/>
          <w:szCs w:val="21"/>
        </w:rPr>
        <w:t>：</w:t>
      </w:r>
    </w:p>
    <w:p w14:paraId="1E39C022">
      <w:pPr>
        <w:spacing w:line="360" w:lineRule="auto"/>
        <w:ind w:firstLine="412" w:firstLineChars="200"/>
        <w:jc w:val="left"/>
        <w:rPr>
          <w:rFonts w:ascii="宋体" w:hAnsi="宋体" w:cs="宋体"/>
          <w:color w:val="auto"/>
          <w:spacing w:val="-8"/>
          <w:szCs w:val="21"/>
        </w:rPr>
      </w:pPr>
      <w:r>
        <w:rPr>
          <w:rFonts w:hint="eastAsia" w:ascii="宋体" w:hAnsi="宋体" w:cs="宋体"/>
          <w:color w:val="auto"/>
          <w:spacing w:val="-2"/>
          <w:szCs w:val="21"/>
        </w:rPr>
        <w:t>根据贵方</w:t>
      </w:r>
      <w:r>
        <w:rPr>
          <w:rFonts w:hint="eastAsia" w:ascii="宋体" w:hAnsi="宋体" w:cs="宋体"/>
          <w:color w:val="auto"/>
          <w:spacing w:val="-2"/>
          <w:szCs w:val="21"/>
          <w:u w:val="single"/>
        </w:rPr>
        <w:t xml:space="preserve"> </w:t>
      </w:r>
      <w:r>
        <w:rPr>
          <w:rFonts w:hint="eastAsia" w:ascii="宋体" w:hAnsi="宋体" w:cs="宋体"/>
          <w:color w:val="auto"/>
          <w:spacing w:val="-2"/>
          <w:szCs w:val="21"/>
          <w:u w:val="single"/>
          <w:lang w:eastAsia="zh-CN"/>
        </w:rPr>
        <w:t>常山县农村垃圾中转站渗滤液集中转运处置项目（2025-2026年度）</w:t>
      </w:r>
      <w:r>
        <w:rPr>
          <w:rFonts w:hint="eastAsia" w:ascii="宋体" w:hAnsi="宋体" w:cs="宋体"/>
          <w:color w:val="auto"/>
          <w:spacing w:val="-2"/>
          <w:szCs w:val="21"/>
          <w:u w:val="single"/>
        </w:rPr>
        <w:t>（项目编号：</w:t>
      </w:r>
      <w:r>
        <w:rPr>
          <w:rFonts w:hint="eastAsia" w:ascii="宋体" w:hAnsi="宋体" w:cs="宋体"/>
          <w:color w:val="auto"/>
          <w:spacing w:val="-2"/>
          <w:szCs w:val="21"/>
          <w:u w:val="single"/>
          <w:lang w:eastAsia="zh-CN"/>
        </w:rPr>
        <w:t>ZJLT-GK-2025021</w:t>
      </w:r>
      <w:r>
        <w:rPr>
          <w:rFonts w:hint="eastAsia" w:ascii="宋体" w:hAnsi="宋体" w:cs="宋体"/>
          <w:color w:val="auto"/>
          <w:spacing w:val="-2"/>
          <w:szCs w:val="21"/>
          <w:u w:val="single"/>
        </w:rPr>
        <w:t>）</w:t>
      </w:r>
      <w:r>
        <w:rPr>
          <w:rFonts w:hint="eastAsia" w:ascii="宋体" w:hAnsi="宋体" w:cs="宋体"/>
          <w:color w:val="auto"/>
          <w:spacing w:val="-3"/>
          <w:szCs w:val="21"/>
        </w:rPr>
        <w:t>采购文件要求，我公司在完全理解采购文件技术要求、商务条款</w:t>
      </w:r>
      <w:r>
        <w:rPr>
          <w:rFonts w:hint="eastAsia" w:ascii="宋体" w:hAnsi="宋体" w:cs="宋体"/>
          <w:color w:val="auto"/>
          <w:spacing w:val="-6"/>
          <w:szCs w:val="21"/>
        </w:rPr>
        <w:t>及其他内容的基础上，决定参与该项目的投标活动。并承诺，我公司满足《中华人民共和国政府采购法》第二十二条规定的资格条件</w:t>
      </w:r>
      <w:r>
        <w:rPr>
          <w:rFonts w:hint="eastAsia" w:ascii="宋体" w:hAnsi="宋体" w:cs="宋体"/>
          <w:color w:val="auto"/>
          <w:spacing w:val="-8"/>
          <w:szCs w:val="21"/>
        </w:rPr>
        <w:t>：</w:t>
      </w:r>
    </w:p>
    <w:p w14:paraId="4910649E">
      <w:pPr>
        <w:spacing w:line="360" w:lineRule="auto"/>
        <w:ind w:firstLine="388" w:firstLineChars="200"/>
        <w:jc w:val="left"/>
        <w:rPr>
          <w:rFonts w:ascii="宋体" w:hAnsi="宋体" w:cs="宋体"/>
          <w:color w:val="auto"/>
          <w:spacing w:val="-8"/>
          <w:szCs w:val="21"/>
        </w:rPr>
      </w:pPr>
      <w:r>
        <w:rPr>
          <w:rFonts w:hint="eastAsia" w:ascii="宋体" w:hAnsi="宋体" w:cs="宋体"/>
          <w:color w:val="auto"/>
          <w:spacing w:val="-8"/>
          <w:szCs w:val="21"/>
        </w:rPr>
        <w:t>(一)具有独立承担民事责任的能力；</w:t>
      </w:r>
    </w:p>
    <w:p w14:paraId="3A5B461A">
      <w:pPr>
        <w:spacing w:line="360" w:lineRule="auto"/>
        <w:ind w:firstLine="388" w:firstLineChars="200"/>
        <w:jc w:val="left"/>
        <w:rPr>
          <w:rFonts w:ascii="宋体" w:hAnsi="宋体" w:cs="宋体"/>
          <w:color w:val="auto"/>
          <w:spacing w:val="-8"/>
          <w:szCs w:val="21"/>
        </w:rPr>
      </w:pPr>
      <w:r>
        <w:rPr>
          <w:rFonts w:hint="eastAsia" w:ascii="宋体" w:hAnsi="宋体" w:cs="宋体"/>
          <w:color w:val="auto"/>
          <w:spacing w:val="-8"/>
          <w:szCs w:val="21"/>
        </w:rPr>
        <w:t>(二)具有良好的商业信誉和健全的财务会计制度；</w:t>
      </w:r>
    </w:p>
    <w:p w14:paraId="6B146970">
      <w:pPr>
        <w:spacing w:line="360" w:lineRule="auto"/>
        <w:ind w:firstLine="388" w:firstLineChars="200"/>
        <w:jc w:val="left"/>
        <w:rPr>
          <w:rFonts w:ascii="宋体" w:hAnsi="宋体" w:cs="宋体"/>
          <w:color w:val="auto"/>
          <w:spacing w:val="-8"/>
          <w:szCs w:val="21"/>
        </w:rPr>
      </w:pPr>
      <w:r>
        <w:rPr>
          <w:rFonts w:hint="eastAsia" w:ascii="宋体" w:hAnsi="宋体" w:cs="宋体"/>
          <w:color w:val="auto"/>
          <w:spacing w:val="-8"/>
          <w:szCs w:val="21"/>
        </w:rPr>
        <w:t>(三)具有履行合同所必需的设备和专业技术能力；</w:t>
      </w:r>
    </w:p>
    <w:p w14:paraId="1F3EC610">
      <w:pPr>
        <w:spacing w:line="360" w:lineRule="auto"/>
        <w:ind w:firstLine="388" w:firstLineChars="200"/>
        <w:jc w:val="left"/>
        <w:rPr>
          <w:rFonts w:ascii="宋体" w:hAnsi="宋体" w:cs="宋体"/>
          <w:color w:val="auto"/>
          <w:spacing w:val="-8"/>
          <w:szCs w:val="21"/>
        </w:rPr>
      </w:pPr>
      <w:r>
        <w:rPr>
          <w:rFonts w:hint="eastAsia" w:ascii="宋体" w:hAnsi="宋体" w:cs="宋体"/>
          <w:color w:val="auto"/>
          <w:spacing w:val="-8"/>
          <w:szCs w:val="21"/>
        </w:rPr>
        <w:t>(四)有依法缴纳税收和社会保障资金的良好记录；</w:t>
      </w:r>
    </w:p>
    <w:p w14:paraId="650F7F72">
      <w:pPr>
        <w:spacing w:line="360" w:lineRule="auto"/>
        <w:ind w:firstLine="388" w:firstLineChars="200"/>
        <w:jc w:val="left"/>
        <w:rPr>
          <w:rFonts w:ascii="宋体" w:hAnsi="宋体" w:cs="宋体"/>
          <w:color w:val="auto"/>
          <w:spacing w:val="-8"/>
          <w:szCs w:val="21"/>
        </w:rPr>
      </w:pPr>
      <w:r>
        <w:rPr>
          <w:rFonts w:hint="eastAsia" w:ascii="宋体" w:hAnsi="宋体" w:cs="宋体"/>
          <w:color w:val="auto"/>
          <w:spacing w:val="-8"/>
          <w:szCs w:val="21"/>
        </w:rPr>
        <w:t>(五)参加政府采购活动前三年内，在经营活动中没有重大违法记录；</w:t>
      </w:r>
    </w:p>
    <w:p w14:paraId="7DDF41C0">
      <w:pPr>
        <w:spacing w:line="360" w:lineRule="auto"/>
        <w:ind w:firstLine="388" w:firstLineChars="200"/>
        <w:jc w:val="left"/>
        <w:rPr>
          <w:rFonts w:ascii="宋体" w:hAnsi="宋体" w:cs="宋体"/>
          <w:color w:val="auto"/>
          <w:spacing w:val="-8"/>
          <w:szCs w:val="21"/>
        </w:rPr>
      </w:pPr>
      <w:r>
        <w:rPr>
          <w:rFonts w:hint="eastAsia" w:ascii="宋体" w:hAnsi="宋体" w:cs="宋体"/>
          <w:color w:val="auto"/>
          <w:spacing w:val="-8"/>
          <w:szCs w:val="21"/>
        </w:rPr>
        <w:t>(六)法律、行政法规规定的其他条件。</w:t>
      </w:r>
    </w:p>
    <w:p w14:paraId="00DB6907">
      <w:pPr>
        <w:spacing w:line="360" w:lineRule="auto"/>
        <w:ind w:firstLine="388" w:firstLineChars="200"/>
        <w:jc w:val="left"/>
        <w:rPr>
          <w:rFonts w:ascii="宋体" w:hAnsi="宋体" w:cs="宋体"/>
          <w:color w:val="auto"/>
          <w:spacing w:val="-3"/>
          <w:szCs w:val="21"/>
        </w:rPr>
      </w:pPr>
      <w:r>
        <w:rPr>
          <w:rFonts w:hint="eastAsia" w:ascii="宋体" w:hAnsi="宋体" w:cs="宋体"/>
          <w:color w:val="auto"/>
          <w:spacing w:val="-8"/>
          <w:szCs w:val="21"/>
        </w:rPr>
        <w:t>本公司对上述承诺的真实性负责，如有虚假，我公司同意按我方提供虚假材料谋取中标</w:t>
      </w:r>
      <w:r>
        <w:rPr>
          <w:rFonts w:hint="eastAsia" w:ascii="宋体" w:hAnsi="宋体" w:cs="宋体"/>
          <w:color w:val="auto"/>
          <w:szCs w:val="21"/>
        </w:rPr>
        <w:t>（成交）</w:t>
      </w:r>
      <w:r>
        <w:rPr>
          <w:rFonts w:hint="eastAsia" w:ascii="宋体" w:hAnsi="宋体" w:cs="宋体"/>
          <w:color w:val="auto"/>
          <w:spacing w:val="-3"/>
          <w:szCs w:val="21"/>
        </w:rPr>
        <w:t>处理，并依法承担相应法律责任。</w:t>
      </w:r>
    </w:p>
    <w:p w14:paraId="317E0FC6">
      <w:pPr>
        <w:spacing w:line="360" w:lineRule="auto"/>
        <w:ind w:firstLine="440" w:firstLineChars="200"/>
        <w:rPr>
          <w:rFonts w:ascii="宋体" w:hAnsi="宋体" w:cs="Arial"/>
          <w:color w:val="auto"/>
          <w:sz w:val="22"/>
          <w:szCs w:val="22"/>
        </w:rPr>
      </w:pPr>
      <w:r>
        <w:rPr>
          <w:rFonts w:hint="eastAsia" w:ascii="宋体" w:hAnsi="宋体" w:cs="Arial"/>
          <w:color w:val="auto"/>
          <w:sz w:val="22"/>
          <w:szCs w:val="22"/>
        </w:rPr>
        <w:t>特此承诺！</w:t>
      </w:r>
    </w:p>
    <w:p w14:paraId="64FAB859">
      <w:pPr>
        <w:snapToGrid w:val="0"/>
        <w:spacing w:line="360" w:lineRule="auto"/>
        <w:ind w:firstLine="440" w:firstLineChars="200"/>
        <w:rPr>
          <w:rFonts w:ascii="宋体" w:hAnsi="宋体" w:cs="宋体"/>
          <w:color w:val="auto"/>
          <w:sz w:val="22"/>
          <w:szCs w:val="22"/>
        </w:rPr>
      </w:pPr>
    </w:p>
    <w:p w14:paraId="718C6C19">
      <w:pPr>
        <w:snapToGrid w:val="0"/>
        <w:spacing w:line="360" w:lineRule="auto"/>
        <w:ind w:firstLine="440" w:firstLineChars="200"/>
        <w:rPr>
          <w:rFonts w:ascii="宋体" w:hAnsi="宋体" w:cs="宋体"/>
          <w:color w:val="auto"/>
          <w:sz w:val="22"/>
          <w:szCs w:val="22"/>
        </w:rPr>
      </w:pPr>
    </w:p>
    <w:p w14:paraId="186A8659">
      <w:pPr>
        <w:spacing w:line="440" w:lineRule="exact"/>
        <w:ind w:firstLine="4860"/>
        <w:jc w:val="left"/>
        <w:rPr>
          <w:rFonts w:ascii="宋体" w:hAnsi="宋体" w:cs="宋体"/>
          <w:b/>
          <w:bCs/>
          <w:color w:val="auto"/>
          <w:szCs w:val="21"/>
          <w:u w:val="single"/>
        </w:rPr>
      </w:pPr>
      <w:r>
        <w:rPr>
          <w:rFonts w:hint="eastAsia" w:ascii="宋体" w:hAnsi="宋体" w:cs="宋体"/>
          <w:color w:val="auto"/>
          <w:sz w:val="22"/>
          <w:szCs w:val="22"/>
        </w:rPr>
        <w:t xml:space="preserve">           </w:t>
      </w:r>
      <w:r>
        <w:rPr>
          <w:rFonts w:hint="eastAsia" w:ascii="宋体" w:hAnsi="宋体" w:cs="宋体"/>
          <w:b/>
          <w:bCs/>
          <w:color w:val="auto"/>
          <w:szCs w:val="21"/>
        </w:rPr>
        <w:t>投标人（盖章）：</w:t>
      </w:r>
      <w:r>
        <w:rPr>
          <w:rFonts w:hint="eastAsia" w:ascii="宋体" w:hAnsi="宋体" w:cs="宋体"/>
          <w:b/>
          <w:bCs/>
          <w:color w:val="auto"/>
          <w:szCs w:val="21"/>
          <w:u w:val="single"/>
        </w:rPr>
        <w:t xml:space="preserve">                               </w:t>
      </w:r>
    </w:p>
    <w:p w14:paraId="4D8AF77C">
      <w:pPr>
        <w:pStyle w:val="26"/>
        <w:ind w:left="840" w:hanging="420"/>
        <w:rPr>
          <w:color w:val="auto"/>
        </w:rPr>
      </w:pPr>
    </w:p>
    <w:p w14:paraId="76742BDC">
      <w:pPr>
        <w:pStyle w:val="50"/>
        <w:jc w:val="right"/>
        <w:rPr>
          <w:rFonts w:hAnsi="宋体"/>
          <w:b/>
          <w:bCs/>
          <w:color w:val="auto"/>
          <w:sz w:val="22"/>
          <w:szCs w:val="22"/>
        </w:rPr>
      </w:pPr>
      <w:r>
        <w:rPr>
          <w:rFonts w:hint="eastAsia" w:hAnsi="宋体"/>
          <w:b/>
          <w:bCs/>
          <w:color w:val="auto"/>
          <w:szCs w:val="21"/>
        </w:rPr>
        <w:t>日   期：    年     月     日</w:t>
      </w:r>
      <w:r>
        <w:rPr>
          <w:rFonts w:hint="eastAsia" w:hAnsi="宋体"/>
          <w:color w:val="auto"/>
          <w:szCs w:val="21"/>
        </w:rPr>
        <w:t xml:space="preserve"> </w:t>
      </w:r>
    </w:p>
    <w:p w14:paraId="2AB92B90">
      <w:pPr>
        <w:spacing w:line="460" w:lineRule="exact"/>
        <w:outlineLvl w:val="0"/>
        <w:rPr>
          <w:rFonts w:hint="eastAsia" w:ascii="宋体" w:hAnsi="宋体" w:cs="宋体"/>
          <w:b/>
          <w:bCs/>
          <w:kern w:val="0"/>
          <w:sz w:val="36"/>
          <w:szCs w:val="36"/>
          <w:lang w:val="en-US" w:eastAsia="zh-CN"/>
        </w:rPr>
      </w:pPr>
      <w:r>
        <w:rPr>
          <w:rFonts w:hint="eastAsia" w:ascii="宋体" w:hAnsi="宋体" w:cs="宋体"/>
          <w:color w:val="auto"/>
          <w:szCs w:val="21"/>
        </w:rPr>
        <w:t xml:space="preserve">                        </w:t>
      </w:r>
      <w:r>
        <w:rPr>
          <w:rFonts w:hint="eastAsia" w:ascii="宋体" w:hAnsi="宋体" w:cs="宋体"/>
          <w:b/>
          <w:bCs/>
          <w:color w:val="auto"/>
          <w:sz w:val="24"/>
        </w:rPr>
        <w:br w:type="page"/>
      </w:r>
      <w:bookmarkStart w:id="195" w:name="_Toc23773"/>
      <w:r>
        <w:rPr>
          <w:rFonts w:hint="eastAsia" w:ascii="宋体" w:hAnsi="宋体" w:eastAsia="宋体" w:cs="宋体"/>
          <w:b/>
          <w:bCs/>
          <w:color w:val="auto"/>
          <w:sz w:val="22"/>
          <w:szCs w:val="22"/>
          <w:lang w:eastAsia="zh-CN"/>
        </w:rPr>
        <w:t>附件</w:t>
      </w:r>
      <w:r>
        <w:rPr>
          <w:rFonts w:hint="eastAsia" w:ascii="宋体" w:hAnsi="宋体" w:eastAsia="宋体" w:cs="宋体"/>
          <w:b/>
          <w:bCs/>
          <w:color w:val="auto"/>
          <w:sz w:val="22"/>
          <w:szCs w:val="22"/>
          <w:lang w:val="en-US" w:eastAsia="zh-CN"/>
        </w:rPr>
        <w:t>3</w:t>
      </w:r>
    </w:p>
    <w:p w14:paraId="06B0529F">
      <w:pPr>
        <w:pStyle w:val="16"/>
        <w:spacing w:before="166" w:after="166" w:line="480" w:lineRule="auto"/>
        <w:ind w:firstLine="0" w:firstLineChars="0"/>
        <w:jc w:val="center"/>
        <w:rPr>
          <w:rFonts w:hint="eastAsia" w:ascii="宋体" w:hAnsi="宋体" w:cs="宋体"/>
          <w:b/>
          <w:bCs/>
          <w:kern w:val="0"/>
          <w:sz w:val="36"/>
          <w:szCs w:val="36"/>
          <w:lang w:val="en-US" w:eastAsia="zh-CN"/>
        </w:rPr>
      </w:pPr>
      <w:r>
        <w:rPr>
          <w:rFonts w:hint="eastAsia" w:ascii="宋体" w:hAnsi="宋体" w:cs="宋体"/>
          <w:b/>
          <w:bCs/>
          <w:kern w:val="0"/>
          <w:sz w:val="36"/>
          <w:szCs w:val="36"/>
          <w:lang w:val="en-US" w:eastAsia="zh-CN"/>
        </w:rPr>
        <w:t>承诺函</w:t>
      </w:r>
    </w:p>
    <w:p w14:paraId="537B38FE">
      <w:pPr>
        <w:keepNext w:val="0"/>
        <w:keepLines w:val="0"/>
        <w:pageBreakBefore w:val="0"/>
        <w:widowControl w:val="0"/>
        <w:kinsoku/>
        <w:wordWrap/>
        <w:overflowPunct/>
        <w:topLinePunct w:val="0"/>
        <w:autoSpaceDE/>
        <w:autoSpaceDN/>
        <w:bidi w:val="0"/>
        <w:adjustRightInd/>
        <w:snapToGrid/>
        <w:spacing w:line="840" w:lineRule="exact"/>
        <w:ind w:firstLine="408" w:firstLineChars="200"/>
        <w:jc w:val="left"/>
        <w:textAlignment w:val="auto"/>
        <w:rPr>
          <w:rFonts w:hint="eastAsia" w:ascii="宋体" w:hAnsi="宋体" w:cs="宋体"/>
          <w:b w:val="0"/>
          <w:bCs w:val="0"/>
          <w:color w:val="auto"/>
          <w:spacing w:val="-8"/>
          <w:sz w:val="22"/>
          <w:szCs w:val="22"/>
          <w:lang w:val="en-US" w:eastAsia="zh-CN"/>
        </w:rPr>
      </w:pPr>
      <w:r>
        <w:rPr>
          <w:rFonts w:hint="eastAsia" w:ascii="宋体" w:hAnsi="宋体" w:cs="宋体"/>
          <w:b w:val="0"/>
          <w:bCs w:val="0"/>
          <w:color w:val="auto"/>
          <w:spacing w:val="-8"/>
          <w:sz w:val="22"/>
          <w:szCs w:val="22"/>
          <w:lang w:val="en-US" w:eastAsia="zh-CN"/>
        </w:rPr>
        <w:t>常山县农业农村局：</w:t>
      </w:r>
    </w:p>
    <w:p w14:paraId="0FAF269D">
      <w:pPr>
        <w:keepNext w:val="0"/>
        <w:keepLines w:val="0"/>
        <w:pageBreakBefore w:val="0"/>
        <w:widowControl w:val="0"/>
        <w:kinsoku/>
        <w:wordWrap/>
        <w:overflowPunct/>
        <w:topLinePunct w:val="0"/>
        <w:autoSpaceDE/>
        <w:autoSpaceDN/>
        <w:bidi w:val="0"/>
        <w:adjustRightInd/>
        <w:snapToGrid/>
        <w:spacing w:line="840" w:lineRule="exact"/>
        <w:ind w:firstLine="408" w:firstLineChars="200"/>
        <w:jc w:val="left"/>
        <w:textAlignment w:val="auto"/>
        <w:rPr>
          <w:rFonts w:hint="eastAsia" w:ascii="宋体" w:hAnsi="宋体" w:cs="宋体"/>
          <w:color w:val="auto"/>
          <w:spacing w:val="-8"/>
          <w:sz w:val="22"/>
          <w:szCs w:val="22"/>
          <w:lang w:val="en-US" w:eastAsia="zh-CN"/>
        </w:rPr>
      </w:pPr>
      <w:r>
        <w:rPr>
          <w:rFonts w:hint="eastAsia" w:ascii="宋体" w:hAnsi="宋体" w:cs="宋体"/>
          <w:color w:val="auto"/>
          <w:spacing w:val="-8"/>
          <w:sz w:val="22"/>
          <w:szCs w:val="22"/>
          <w:lang w:val="en-US" w:eastAsia="zh-CN"/>
        </w:rPr>
        <w:t>我公司在参加本次政府采购活动，遵循公开、公平、公正和诚实信用的原则，承诺中标后能够完全满足招标文件要求：</w:t>
      </w:r>
    </w:p>
    <w:p w14:paraId="33B5176A">
      <w:pPr>
        <w:keepNext w:val="0"/>
        <w:keepLines w:val="0"/>
        <w:pageBreakBefore w:val="0"/>
        <w:widowControl w:val="0"/>
        <w:kinsoku/>
        <w:wordWrap/>
        <w:overflowPunct/>
        <w:topLinePunct w:val="0"/>
        <w:autoSpaceDE/>
        <w:autoSpaceDN/>
        <w:bidi w:val="0"/>
        <w:adjustRightInd/>
        <w:snapToGrid/>
        <w:spacing w:line="840" w:lineRule="exact"/>
        <w:ind w:firstLine="408" w:firstLineChars="200"/>
        <w:jc w:val="left"/>
        <w:textAlignment w:val="auto"/>
        <w:rPr>
          <w:rFonts w:hint="eastAsia" w:ascii="宋体" w:hAnsi="宋体" w:cs="宋体"/>
          <w:color w:val="auto"/>
          <w:spacing w:val="-8"/>
          <w:sz w:val="22"/>
          <w:szCs w:val="22"/>
          <w:lang w:val="en-US" w:eastAsia="zh-CN"/>
        </w:rPr>
      </w:pPr>
      <w:r>
        <w:rPr>
          <w:rFonts w:hint="eastAsia" w:ascii="宋体" w:hAnsi="宋体" w:cs="宋体"/>
          <w:color w:val="auto"/>
          <w:spacing w:val="-8"/>
          <w:sz w:val="22"/>
          <w:szCs w:val="22"/>
          <w:lang w:val="en-US" w:eastAsia="zh-CN"/>
        </w:rPr>
        <w:t>我公司承诺处置需符合环保相关要求，同时承诺渗滤液处置不出县。</w:t>
      </w:r>
    </w:p>
    <w:p w14:paraId="7222ACE4">
      <w:pPr>
        <w:keepNext w:val="0"/>
        <w:keepLines w:val="0"/>
        <w:pageBreakBefore w:val="0"/>
        <w:widowControl w:val="0"/>
        <w:kinsoku/>
        <w:wordWrap/>
        <w:overflowPunct/>
        <w:topLinePunct w:val="0"/>
        <w:autoSpaceDE/>
        <w:autoSpaceDN/>
        <w:bidi w:val="0"/>
        <w:adjustRightInd/>
        <w:snapToGrid/>
        <w:spacing w:line="840" w:lineRule="exact"/>
        <w:ind w:firstLine="408" w:firstLineChars="200"/>
        <w:jc w:val="left"/>
        <w:textAlignment w:val="auto"/>
        <w:rPr>
          <w:rFonts w:hint="eastAsia" w:ascii="宋体" w:hAnsi="宋体" w:cs="宋体"/>
          <w:color w:val="auto"/>
          <w:spacing w:val="-8"/>
          <w:sz w:val="22"/>
          <w:szCs w:val="22"/>
          <w:lang w:val="en-US" w:eastAsia="zh-CN"/>
        </w:rPr>
      </w:pPr>
      <w:r>
        <w:rPr>
          <w:rFonts w:hint="eastAsia" w:ascii="宋体" w:hAnsi="宋体" w:cs="宋体"/>
          <w:color w:val="auto"/>
          <w:spacing w:val="-8"/>
          <w:sz w:val="22"/>
          <w:szCs w:val="22"/>
          <w:lang w:val="en-US" w:eastAsia="zh-CN"/>
        </w:rPr>
        <w:t>特此承诺。</w:t>
      </w:r>
    </w:p>
    <w:p w14:paraId="2E9D0853">
      <w:pPr>
        <w:spacing w:line="360" w:lineRule="auto"/>
        <w:ind w:firstLine="6957" w:firstLineChars="3300"/>
        <w:jc w:val="right"/>
        <w:rPr>
          <w:rFonts w:hint="eastAsia" w:ascii="宋体" w:hAnsi="宋体" w:cs="宋体"/>
          <w:b/>
          <w:bCs/>
          <w:szCs w:val="21"/>
        </w:rPr>
      </w:pPr>
    </w:p>
    <w:p w14:paraId="6A1EA262">
      <w:pPr>
        <w:spacing w:line="360" w:lineRule="auto"/>
        <w:ind w:firstLine="6957" w:firstLineChars="3300"/>
        <w:jc w:val="right"/>
        <w:rPr>
          <w:rFonts w:hint="eastAsia" w:ascii="宋体" w:hAnsi="宋体" w:cs="宋体"/>
          <w:b/>
          <w:bCs/>
          <w:szCs w:val="21"/>
        </w:rPr>
      </w:pPr>
      <w:r>
        <w:rPr>
          <w:rFonts w:hint="eastAsia" w:ascii="宋体" w:hAnsi="宋体" w:cs="宋体"/>
          <w:b/>
          <w:bCs/>
          <w:szCs w:val="21"/>
        </w:rPr>
        <w:t>投标人（盖章）：</w:t>
      </w:r>
    </w:p>
    <w:p w14:paraId="5BC77064">
      <w:pPr>
        <w:spacing w:line="360" w:lineRule="auto"/>
        <w:ind w:left="357" w:leftChars="104" w:hanging="139" w:hangingChars="66"/>
        <w:jc w:val="left"/>
        <w:rPr>
          <w:rFonts w:hint="eastAsia" w:ascii="宋体" w:hAnsi="宋体" w:cs="宋体"/>
          <w:b/>
          <w:bCs/>
          <w:szCs w:val="21"/>
        </w:rPr>
      </w:pPr>
    </w:p>
    <w:p w14:paraId="7900B949">
      <w:pPr>
        <w:spacing w:line="360" w:lineRule="auto"/>
        <w:ind w:firstLine="5903" w:firstLineChars="2800"/>
        <w:jc w:val="right"/>
        <w:rPr>
          <w:rFonts w:hint="eastAsia" w:ascii="宋体" w:hAnsi="宋体" w:cs="宋体"/>
          <w:b/>
          <w:bCs/>
          <w:szCs w:val="21"/>
        </w:rPr>
      </w:pPr>
      <w:r>
        <w:rPr>
          <w:rFonts w:hint="eastAsia" w:ascii="宋体" w:hAnsi="宋体" w:cs="宋体"/>
          <w:b/>
          <w:bCs/>
          <w:szCs w:val="21"/>
        </w:rPr>
        <w:t>日 期：  年  月  日</w:t>
      </w:r>
    </w:p>
    <w:p w14:paraId="72EAE04F">
      <w:pPr>
        <w:pStyle w:val="16"/>
        <w:spacing w:before="166" w:after="166"/>
        <w:ind w:firstLine="420"/>
        <w:rPr>
          <w:rFonts w:ascii="宋体" w:hAnsi="宋体" w:cs="宋体"/>
          <w:sz w:val="21"/>
          <w:szCs w:val="21"/>
          <w:lang w:val="en-US" w:eastAsia="zh-CN"/>
        </w:rPr>
      </w:pPr>
    </w:p>
    <w:p w14:paraId="52EE907C">
      <w:pPr>
        <w:pStyle w:val="16"/>
        <w:spacing w:before="166" w:after="166"/>
        <w:ind w:firstLine="420"/>
        <w:rPr>
          <w:rFonts w:ascii="宋体" w:hAnsi="宋体" w:cs="宋体"/>
          <w:sz w:val="21"/>
          <w:szCs w:val="21"/>
          <w:lang w:val="en-US" w:eastAsia="zh-CN"/>
        </w:rPr>
      </w:pPr>
    </w:p>
    <w:p w14:paraId="529508ED">
      <w:pPr>
        <w:pStyle w:val="16"/>
        <w:spacing w:before="166" w:after="166"/>
        <w:ind w:firstLine="420"/>
        <w:rPr>
          <w:rFonts w:ascii="宋体" w:hAnsi="宋体" w:cs="宋体"/>
          <w:sz w:val="21"/>
          <w:szCs w:val="21"/>
          <w:lang w:val="en-US" w:eastAsia="zh-CN"/>
        </w:rPr>
      </w:pPr>
    </w:p>
    <w:p w14:paraId="40A97446">
      <w:pPr>
        <w:pStyle w:val="16"/>
        <w:spacing w:before="166" w:after="166"/>
        <w:ind w:firstLine="0" w:firstLineChars="0"/>
        <w:rPr>
          <w:rFonts w:ascii="宋体" w:hAnsi="宋体" w:cs="宋体"/>
          <w:sz w:val="21"/>
          <w:szCs w:val="21"/>
          <w:lang w:val="en-US" w:eastAsia="zh-CN"/>
        </w:rPr>
      </w:pPr>
    </w:p>
    <w:p w14:paraId="33BEB107">
      <w:pPr>
        <w:pStyle w:val="49"/>
        <w:widowControl w:val="0"/>
        <w:snapToGrid w:val="0"/>
        <w:spacing w:line="440" w:lineRule="exact"/>
        <w:ind w:left="0" w:leftChars="0" w:firstLine="0" w:firstLineChars="0"/>
        <w:rPr>
          <w:rFonts w:hint="eastAsia" w:hAnsi="宋体"/>
          <w:b/>
          <w:bCs/>
          <w:color w:val="auto"/>
          <w:sz w:val="24"/>
          <w:szCs w:val="24"/>
        </w:rPr>
      </w:pPr>
    </w:p>
    <w:p w14:paraId="60812F9F">
      <w:pPr>
        <w:spacing w:line="440" w:lineRule="exact"/>
        <w:jc w:val="left"/>
        <w:rPr>
          <w:rFonts w:hint="eastAsia" w:ascii="宋体" w:hAnsi="宋体" w:cs="宋体"/>
          <w:b/>
          <w:bCs/>
          <w:color w:val="auto"/>
          <w:sz w:val="22"/>
          <w:szCs w:val="22"/>
        </w:rPr>
      </w:pPr>
    </w:p>
    <w:p w14:paraId="214A3E01">
      <w:pPr>
        <w:spacing w:line="440" w:lineRule="exact"/>
        <w:jc w:val="left"/>
        <w:rPr>
          <w:rFonts w:hint="eastAsia" w:ascii="宋体" w:hAnsi="宋体" w:cs="宋体"/>
          <w:b/>
          <w:bCs/>
          <w:color w:val="auto"/>
          <w:sz w:val="22"/>
          <w:szCs w:val="22"/>
        </w:rPr>
      </w:pPr>
    </w:p>
    <w:p w14:paraId="5C8CCCF9">
      <w:pPr>
        <w:spacing w:line="440" w:lineRule="exact"/>
        <w:jc w:val="left"/>
        <w:rPr>
          <w:rFonts w:hint="eastAsia" w:ascii="宋体" w:hAnsi="宋体" w:cs="宋体"/>
          <w:b/>
          <w:bCs/>
          <w:color w:val="auto"/>
          <w:sz w:val="22"/>
          <w:szCs w:val="22"/>
        </w:rPr>
      </w:pPr>
    </w:p>
    <w:p w14:paraId="36AE5DAA">
      <w:pPr>
        <w:spacing w:line="440" w:lineRule="exact"/>
        <w:jc w:val="left"/>
        <w:rPr>
          <w:rFonts w:hint="eastAsia" w:ascii="宋体" w:hAnsi="宋体" w:cs="宋体"/>
          <w:b/>
          <w:bCs/>
          <w:color w:val="auto"/>
          <w:sz w:val="22"/>
          <w:szCs w:val="22"/>
        </w:rPr>
      </w:pPr>
    </w:p>
    <w:p w14:paraId="10E2A959">
      <w:pPr>
        <w:spacing w:line="440" w:lineRule="exact"/>
        <w:jc w:val="left"/>
        <w:rPr>
          <w:rFonts w:hint="eastAsia" w:ascii="宋体" w:hAnsi="宋体" w:cs="宋体"/>
          <w:b/>
          <w:bCs/>
          <w:color w:val="auto"/>
          <w:sz w:val="22"/>
          <w:szCs w:val="22"/>
        </w:rPr>
      </w:pPr>
    </w:p>
    <w:p w14:paraId="401FD437">
      <w:pPr>
        <w:spacing w:line="440" w:lineRule="exact"/>
        <w:jc w:val="left"/>
        <w:rPr>
          <w:rFonts w:hint="eastAsia" w:ascii="宋体" w:hAnsi="宋体" w:cs="宋体"/>
          <w:b/>
          <w:bCs/>
          <w:color w:val="auto"/>
          <w:sz w:val="22"/>
          <w:szCs w:val="22"/>
        </w:rPr>
      </w:pPr>
    </w:p>
    <w:p w14:paraId="2FB44833">
      <w:pPr>
        <w:spacing w:line="440" w:lineRule="exact"/>
        <w:jc w:val="left"/>
        <w:rPr>
          <w:rFonts w:hint="eastAsia" w:ascii="宋体" w:hAnsi="宋体" w:cs="宋体"/>
          <w:b/>
          <w:bCs/>
          <w:color w:val="auto"/>
          <w:sz w:val="22"/>
          <w:szCs w:val="22"/>
        </w:rPr>
      </w:pPr>
    </w:p>
    <w:p w14:paraId="2F49CD98">
      <w:pPr>
        <w:spacing w:line="440" w:lineRule="exact"/>
        <w:jc w:val="left"/>
        <w:rPr>
          <w:rFonts w:ascii="宋体" w:hAnsi="宋体" w:cs="宋体"/>
          <w:b/>
          <w:bCs/>
          <w:color w:val="auto"/>
          <w:sz w:val="24"/>
        </w:rPr>
      </w:pPr>
      <w:r>
        <w:rPr>
          <w:rFonts w:hint="eastAsia" w:ascii="宋体" w:hAnsi="宋体" w:cs="宋体"/>
          <w:b/>
          <w:bCs/>
          <w:color w:val="auto"/>
          <w:sz w:val="22"/>
          <w:szCs w:val="22"/>
        </w:rPr>
        <w:t>附件</w:t>
      </w:r>
      <w:bookmarkEnd w:id="195"/>
      <w:r>
        <w:rPr>
          <w:rFonts w:hint="eastAsia" w:ascii="宋体" w:hAnsi="宋体" w:cs="宋体"/>
          <w:b/>
          <w:bCs/>
          <w:color w:val="auto"/>
          <w:sz w:val="22"/>
          <w:szCs w:val="22"/>
          <w:lang w:val="en-US" w:eastAsia="zh-CN"/>
        </w:rPr>
        <w:t>4</w:t>
      </w:r>
      <w:r>
        <w:rPr>
          <w:rFonts w:hint="eastAsia" w:ascii="宋体" w:hAnsi="宋体" w:cs="宋体"/>
          <w:b/>
          <w:bCs/>
          <w:color w:val="auto"/>
          <w:sz w:val="24"/>
        </w:rPr>
        <w:t xml:space="preserve">                        </w:t>
      </w:r>
    </w:p>
    <w:p w14:paraId="7304AF40">
      <w:pPr>
        <w:spacing w:line="440" w:lineRule="exact"/>
        <w:ind w:firstLine="4860"/>
        <w:jc w:val="left"/>
        <w:rPr>
          <w:rFonts w:ascii="宋体" w:hAnsi="宋体" w:cs="宋体"/>
          <w:b/>
          <w:bCs/>
          <w:color w:val="auto"/>
          <w:sz w:val="24"/>
        </w:rPr>
      </w:pPr>
    </w:p>
    <w:p w14:paraId="707B3053">
      <w:pPr>
        <w:spacing w:line="440" w:lineRule="exact"/>
        <w:ind w:firstLine="4860"/>
        <w:jc w:val="left"/>
        <w:rPr>
          <w:rFonts w:ascii="宋体" w:hAnsi="宋体" w:cs="宋体"/>
          <w:b/>
          <w:bCs/>
          <w:color w:val="auto"/>
          <w:sz w:val="32"/>
          <w:szCs w:val="32"/>
        </w:rPr>
      </w:pPr>
      <w:r>
        <w:rPr>
          <w:rFonts w:hint="eastAsia" w:ascii="宋体" w:hAnsi="宋体" w:cs="宋体"/>
          <w:b/>
          <w:bCs/>
          <w:color w:val="auto"/>
          <w:sz w:val="32"/>
          <w:szCs w:val="32"/>
        </w:rPr>
        <w:t>供应商自评表</w:t>
      </w:r>
    </w:p>
    <w:tbl>
      <w:tblPr>
        <w:tblStyle w:val="27"/>
        <w:tblW w:w="10265" w:type="dxa"/>
        <w:tblInd w:w="0" w:type="dxa"/>
        <w:tblLayout w:type="fixed"/>
        <w:tblCellMar>
          <w:top w:w="15" w:type="dxa"/>
          <w:left w:w="15" w:type="dxa"/>
          <w:bottom w:w="15" w:type="dxa"/>
          <w:right w:w="15" w:type="dxa"/>
        </w:tblCellMar>
      </w:tblPr>
      <w:tblGrid>
        <w:gridCol w:w="1276"/>
        <w:gridCol w:w="3275"/>
        <w:gridCol w:w="1715"/>
        <w:gridCol w:w="1117"/>
        <w:gridCol w:w="1448"/>
        <w:gridCol w:w="1434"/>
      </w:tblGrid>
      <w:tr w14:paraId="575FF07F">
        <w:tblPrEx>
          <w:tblCellMar>
            <w:top w:w="15" w:type="dxa"/>
            <w:left w:w="15" w:type="dxa"/>
            <w:bottom w:w="15" w:type="dxa"/>
            <w:right w:w="15" w:type="dxa"/>
          </w:tblCellMar>
        </w:tblPrEx>
        <w:trPr>
          <w:trHeight w:val="440" w:hRule="atLeast"/>
        </w:trPr>
        <w:tc>
          <w:tcPr>
            <w:tcW w:w="1276" w:type="dxa"/>
            <w:tcBorders>
              <w:top w:val="single" w:color="auto" w:sz="4" w:space="0"/>
              <w:left w:val="single" w:color="auto" w:sz="4" w:space="0"/>
              <w:bottom w:val="single" w:color="auto" w:sz="4" w:space="0"/>
              <w:right w:val="single" w:color="auto" w:sz="4" w:space="0"/>
            </w:tcBorders>
            <w:vAlign w:val="center"/>
          </w:tcPr>
          <w:p w14:paraId="6FEC0E94">
            <w:pPr>
              <w:widowControl/>
              <w:spacing w:line="360" w:lineRule="auto"/>
              <w:jc w:val="center"/>
              <w:textAlignment w:val="center"/>
              <w:rPr>
                <w:rFonts w:ascii="宋体" w:hAnsi="宋体" w:cs="宋体"/>
                <w:b/>
                <w:bCs/>
                <w:color w:val="auto"/>
                <w:szCs w:val="21"/>
              </w:rPr>
            </w:pPr>
            <w:r>
              <w:rPr>
                <w:rFonts w:hint="eastAsia" w:ascii="宋体" w:hAnsi="宋体" w:cs="宋体"/>
                <w:b/>
                <w:bCs/>
                <w:color w:val="auto"/>
                <w:szCs w:val="21"/>
              </w:rPr>
              <w:t>评审项目</w:t>
            </w:r>
          </w:p>
        </w:tc>
        <w:tc>
          <w:tcPr>
            <w:tcW w:w="3275" w:type="dxa"/>
            <w:tcBorders>
              <w:top w:val="single" w:color="auto" w:sz="4" w:space="0"/>
              <w:left w:val="single" w:color="auto" w:sz="4" w:space="0"/>
              <w:bottom w:val="single" w:color="auto" w:sz="4" w:space="0"/>
              <w:right w:val="single" w:color="auto" w:sz="4" w:space="0"/>
            </w:tcBorders>
            <w:vAlign w:val="center"/>
          </w:tcPr>
          <w:p w14:paraId="09F9F749">
            <w:pPr>
              <w:widowControl/>
              <w:spacing w:line="360" w:lineRule="auto"/>
              <w:jc w:val="center"/>
              <w:textAlignment w:val="center"/>
              <w:rPr>
                <w:rFonts w:ascii="宋体" w:hAnsi="宋体" w:cs="宋体"/>
                <w:b/>
                <w:bCs/>
                <w:color w:val="auto"/>
                <w:szCs w:val="21"/>
              </w:rPr>
            </w:pPr>
            <w:r>
              <w:rPr>
                <w:rFonts w:hint="eastAsia" w:ascii="宋体" w:hAnsi="宋体" w:cs="宋体"/>
                <w:b/>
                <w:bCs/>
                <w:color w:val="auto"/>
                <w:szCs w:val="21"/>
              </w:rPr>
              <w:t>评分标准</w:t>
            </w:r>
          </w:p>
        </w:tc>
        <w:tc>
          <w:tcPr>
            <w:tcW w:w="1715" w:type="dxa"/>
            <w:tcBorders>
              <w:top w:val="single" w:color="auto" w:sz="4" w:space="0"/>
              <w:left w:val="single" w:color="auto" w:sz="4" w:space="0"/>
              <w:bottom w:val="single" w:color="auto" w:sz="4" w:space="0"/>
              <w:right w:val="single" w:color="auto" w:sz="4" w:space="0"/>
            </w:tcBorders>
            <w:vAlign w:val="center"/>
          </w:tcPr>
          <w:p w14:paraId="6E7AF800">
            <w:pPr>
              <w:widowControl/>
              <w:spacing w:line="360" w:lineRule="auto"/>
              <w:jc w:val="center"/>
              <w:textAlignment w:val="center"/>
              <w:rPr>
                <w:rFonts w:ascii="宋体" w:hAnsi="宋体" w:cs="宋体"/>
                <w:b/>
                <w:bCs/>
                <w:color w:val="auto"/>
                <w:szCs w:val="21"/>
              </w:rPr>
            </w:pPr>
            <w:r>
              <w:rPr>
                <w:rFonts w:hint="eastAsia" w:ascii="宋体" w:hAnsi="宋体" w:cs="宋体"/>
                <w:b/>
                <w:bCs/>
                <w:color w:val="auto"/>
                <w:szCs w:val="21"/>
              </w:rPr>
              <w:t>分值</w:t>
            </w:r>
          </w:p>
        </w:tc>
        <w:tc>
          <w:tcPr>
            <w:tcW w:w="1117" w:type="dxa"/>
            <w:tcBorders>
              <w:top w:val="single" w:color="auto" w:sz="4" w:space="0"/>
              <w:left w:val="single" w:color="auto" w:sz="4" w:space="0"/>
              <w:bottom w:val="single" w:color="auto" w:sz="4" w:space="0"/>
              <w:right w:val="single" w:color="auto" w:sz="4" w:space="0"/>
            </w:tcBorders>
            <w:vAlign w:val="center"/>
          </w:tcPr>
          <w:p w14:paraId="52FC4F2D">
            <w:pPr>
              <w:widowControl/>
              <w:spacing w:line="360" w:lineRule="auto"/>
              <w:jc w:val="center"/>
              <w:textAlignment w:val="center"/>
              <w:rPr>
                <w:rFonts w:ascii="宋体" w:hAnsi="宋体" w:cs="宋体"/>
                <w:b/>
                <w:bCs/>
                <w:color w:val="auto"/>
                <w:szCs w:val="21"/>
              </w:rPr>
            </w:pPr>
            <w:r>
              <w:rPr>
                <w:rFonts w:hint="eastAsia" w:ascii="宋体" w:hAnsi="宋体" w:cs="宋体"/>
                <w:b/>
                <w:bCs/>
                <w:color w:val="auto"/>
                <w:szCs w:val="21"/>
              </w:rPr>
              <w:t>自评分值</w:t>
            </w:r>
          </w:p>
        </w:tc>
        <w:tc>
          <w:tcPr>
            <w:tcW w:w="1448" w:type="dxa"/>
            <w:tcBorders>
              <w:top w:val="single" w:color="auto" w:sz="4" w:space="0"/>
              <w:left w:val="single" w:color="auto" w:sz="4" w:space="0"/>
              <w:bottom w:val="single" w:color="auto" w:sz="4" w:space="0"/>
              <w:right w:val="single" w:color="auto" w:sz="4" w:space="0"/>
            </w:tcBorders>
            <w:vAlign w:val="center"/>
          </w:tcPr>
          <w:p w14:paraId="52753225">
            <w:pPr>
              <w:widowControl/>
              <w:spacing w:line="360" w:lineRule="auto"/>
              <w:jc w:val="center"/>
              <w:textAlignment w:val="center"/>
              <w:rPr>
                <w:rFonts w:ascii="宋体" w:hAnsi="宋体" w:cs="宋体"/>
                <w:b/>
                <w:bCs/>
                <w:color w:val="auto"/>
                <w:szCs w:val="21"/>
              </w:rPr>
            </w:pPr>
            <w:r>
              <w:rPr>
                <w:rFonts w:hint="eastAsia" w:ascii="宋体" w:hAnsi="宋体" w:cs="宋体"/>
                <w:b/>
                <w:bCs/>
                <w:color w:val="auto"/>
                <w:szCs w:val="21"/>
              </w:rPr>
              <w:t>评分依据</w:t>
            </w:r>
          </w:p>
        </w:tc>
        <w:tc>
          <w:tcPr>
            <w:tcW w:w="1434" w:type="dxa"/>
            <w:tcBorders>
              <w:top w:val="single" w:color="auto" w:sz="4" w:space="0"/>
              <w:left w:val="single" w:color="auto" w:sz="4" w:space="0"/>
              <w:bottom w:val="single" w:color="auto" w:sz="4" w:space="0"/>
              <w:right w:val="single" w:color="auto" w:sz="4" w:space="0"/>
            </w:tcBorders>
            <w:vAlign w:val="center"/>
          </w:tcPr>
          <w:p w14:paraId="528F02AB">
            <w:pPr>
              <w:widowControl/>
              <w:spacing w:line="360" w:lineRule="auto"/>
              <w:jc w:val="center"/>
              <w:textAlignment w:val="center"/>
              <w:rPr>
                <w:rFonts w:ascii="宋体" w:hAnsi="宋体" w:cs="宋体"/>
                <w:b/>
                <w:bCs/>
                <w:color w:val="auto"/>
                <w:szCs w:val="21"/>
              </w:rPr>
            </w:pPr>
            <w:r>
              <w:rPr>
                <w:rFonts w:hint="eastAsia" w:ascii="宋体" w:hAnsi="宋体" w:cs="宋体"/>
                <w:b/>
                <w:bCs/>
                <w:color w:val="auto"/>
                <w:szCs w:val="21"/>
              </w:rPr>
              <w:t>评分对应页码</w:t>
            </w:r>
          </w:p>
        </w:tc>
      </w:tr>
      <w:tr w14:paraId="6DEF26C9">
        <w:tblPrEx>
          <w:tblCellMar>
            <w:top w:w="15" w:type="dxa"/>
            <w:left w:w="15" w:type="dxa"/>
            <w:bottom w:w="15" w:type="dxa"/>
            <w:right w:w="15" w:type="dxa"/>
          </w:tblCellMar>
        </w:tblPrEx>
        <w:trPr>
          <w:trHeight w:val="1279" w:hRule="atLeast"/>
        </w:trPr>
        <w:tc>
          <w:tcPr>
            <w:tcW w:w="1276" w:type="dxa"/>
            <w:tcBorders>
              <w:top w:val="single" w:color="auto" w:sz="4" w:space="0"/>
              <w:left w:val="single" w:color="auto" w:sz="4" w:space="0"/>
              <w:bottom w:val="single" w:color="auto" w:sz="4" w:space="0"/>
              <w:right w:val="single" w:color="auto" w:sz="4" w:space="0"/>
            </w:tcBorders>
            <w:vAlign w:val="center"/>
          </w:tcPr>
          <w:p w14:paraId="0DCDF6CE">
            <w:pPr>
              <w:widowControl/>
              <w:spacing w:line="360" w:lineRule="auto"/>
              <w:jc w:val="center"/>
              <w:textAlignment w:val="center"/>
              <w:rPr>
                <w:rFonts w:ascii="宋体" w:hAnsi="宋体" w:cs="宋体"/>
                <w:color w:val="auto"/>
                <w:szCs w:val="21"/>
              </w:rPr>
            </w:pPr>
          </w:p>
        </w:tc>
        <w:tc>
          <w:tcPr>
            <w:tcW w:w="3275" w:type="dxa"/>
            <w:tcBorders>
              <w:top w:val="single" w:color="auto" w:sz="4" w:space="0"/>
              <w:left w:val="single" w:color="auto" w:sz="4" w:space="0"/>
              <w:bottom w:val="single" w:color="auto" w:sz="4" w:space="0"/>
              <w:right w:val="single" w:color="auto" w:sz="4" w:space="0"/>
            </w:tcBorders>
            <w:vAlign w:val="center"/>
          </w:tcPr>
          <w:p w14:paraId="69D8A32E">
            <w:pPr>
              <w:widowControl/>
              <w:spacing w:line="360" w:lineRule="auto"/>
              <w:jc w:val="left"/>
              <w:textAlignment w:val="center"/>
              <w:rPr>
                <w:color w:val="auto"/>
              </w:rPr>
            </w:pPr>
          </w:p>
        </w:tc>
        <w:tc>
          <w:tcPr>
            <w:tcW w:w="1715" w:type="dxa"/>
            <w:tcBorders>
              <w:top w:val="single" w:color="auto" w:sz="4" w:space="0"/>
              <w:left w:val="single" w:color="auto" w:sz="4" w:space="0"/>
              <w:bottom w:val="single" w:color="auto" w:sz="4" w:space="0"/>
              <w:right w:val="single" w:color="auto" w:sz="4" w:space="0"/>
            </w:tcBorders>
            <w:vAlign w:val="center"/>
          </w:tcPr>
          <w:p w14:paraId="5D4FA2D9">
            <w:pPr>
              <w:widowControl/>
              <w:spacing w:line="360" w:lineRule="auto"/>
              <w:jc w:val="center"/>
              <w:rPr>
                <w:rFonts w:ascii="宋体" w:hAnsi="宋体" w:cs="宋体"/>
                <w:color w:val="auto"/>
                <w:szCs w:val="21"/>
              </w:rPr>
            </w:pPr>
          </w:p>
        </w:tc>
        <w:tc>
          <w:tcPr>
            <w:tcW w:w="1117" w:type="dxa"/>
            <w:tcBorders>
              <w:top w:val="single" w:color="auto" w:sz="4" w:space="0"/>
              <w:left w:val="single" w:color="auto" w:sz="4" w:space="0"/>
              <w:bottom w:val="single" w:color="auto" w:sz="4" w:space="0"/>
              <w:right w:val="single" w:color="auto" w:sz="4" w:space="0"/>
            </w:tcBorders>
            <w:vAlign w:val="center"/>
          </w:tcPr>
          <w:p w14:paraId="5367399B">
            <w:pPr>
              <w:widowControl/>
              <w:spacing w:line="360" w:lineRule="auto"/>
              <w:jc w:val="center"/>
              <w:rPr>
                <w:rFonts w:ascii="宋体" w:hAnsi="宋体" w:cs="宋体"/>
                <w:color w:val="auto"/>
                <w:szCs w:val="21"/>
              </w:rPr>
            </w:pPr>
          </w:p>
        </w:tc>
        <w:tc>
          <w:tcPr>
            <w:tcW w:w="1448" w:type="dxa"/>
            <w:tcBorders>
              <w:top w:val="single" w:color="auto" w:sz="4" w:space="0"/>
              <w:left w:val="single" w:color="auto" w:sz="4" w:space="0"/>
              <w:bottom w:val="single" w:color="auto" w:sz="4" w:space="0"/>
              <w:right w:val="single" w:color="auto" w:sz="4" w:space="0"/>
            </w:tcBorders>
            <w:vAlign w:val="center"/>
          </w:tcPr>
          <w:p w14:paraId="0CCA5A50">
            <w:pPr>
              <w:widowControl/>
              <w:spacing w:line="360" w:lineRule="auto"/>
              <w:jc w:val="center"/>
              <w:rPr>
                <w:rFonts w:ascii="宋体" w:hAnsi="宋体" w:cs="宋体"/>
                <w:color w:val="auto"/>
                <w:szCs w:val="21"/>
              </w:rPr>
            </w:pPr>
          </w:p>
        </w:tc>
        <w:tc>
          <w:tcPr>
            <w:tcW w:w="1434" w:type="dxa"/>
            <w:tcBorders>
              <w:top w:val="single" w:color="auto" w:sz="4" w:space="0"/>
              <w:left w:val="single" w:color="auto" w:sz="4" w:space="0"/>
              <w:bottom w:val="single" w:color="auto" w:sz="4" w:space="0"/>
              <w:right w:val="single" w:color="auto" w:sz="4" w:space="0"/>
            </w:tcBorders>
            <w:vAlign w:val="center"/>
          </w:tcPr>
          <w:p w14:paraId="678F08D7">
            <w:pPr>
              <w:widowControl/>
              <w:spacing w:line="360" w:lineRule="auto"/>
              <w:jc w:val="center"/>
              <w:rPr>
                <w:rFonts w:ascii="宋体" w:hAnsi="宋体" w:cs="宋体"/>
                <w:color w:val="auto"/>
                <w:szCs w:val="21"/>
              </w:rPr>
            </w:pPr>
          </w:p>
        </w:tc>
      </w:tr>
      <w:tr w14:paraId="03E23C51">
        <w:tblPrEx>
          <w:tblCellMar>
            <w:top w:w="15" w:type="dxa"/>
            <w:left w:w="15" w:type="dxa"/>
            <w:bottom w:w="15" w:type="dxa"/>
            <w:right w:w="15" w:type="dxa"/>
          </w:tblCellMar>
        </w:tblPrEx>
        <w:trPr>
          <w:trHeight w:val="1597" w:hRule="atLeast"/>
        </w:trPr>
        <w:tc>
          <w:tcPr>
            <w:tcW w:w="1276" w:type="dxa"/>
            <w:tcBorders>
              <w:top w:val="single" w:color="auto" w:sz="4" w:space="0"/>
              <w:left w:val="single" w:color="auto" w:sz="4" w:space="0"/>
              <w:bottom w:val="single" w:color="auto" w:sz="4" w:space="0"/>
              <w:right w:val="single" w:color="auto" w:sz="4" w:space="0"/>
            </w:tcBorders>
            <w:vAlign w:val="center"/>
          </w:tcPr>
          <w:p w14:paraId="04022990">
            <w:pPr>
              <w:widowControl/>
              <w:spacing w:line="360" w:lineRule="auto"/>
              <w:jc w:val="center"/>
              <w:textAlignment w:val="center"/>
              <w:rPr>
                <w:rFonts w:ascii="宋体" w:hAnsi="宋体" w:cs="宋体"/>
                <w:color w:val="auto"/>
                <w:szCs w:val="21"/>
              </w:rPr>
            </w:pPr>
          </w:p>
        </w:tc>
        <w:tc>
          <w:tcPr>
            <w:tcW w:w="3275" w:type="dxa"/>
            <w:tcBorders>
              <w:top w:val="single" w:color="auto" w:sz="4" w:space="0"/>
              <w:left w:val="single" w:color="auto" w:sz="4" w:space="0"/>
              <w:bottom w:val="single" w:color="auto" w:sz="4" w:space="0"/>
              <w:right w:val="single" w:color="auto" w:sz="4" w:space="0"/>
            </w:tcBorders>
            <w:vAlign w:val="center"/>
          </w:tcPr>
          <w:p w14:paraId="5D0C2497">
            <w:pPr>
              <w:widowControl/>
              <w:spacing w:line="360" w:lineRule="auto"/>
              <w:jc w:val="left"/>
              <w:textAlignment w:val="center"/>
              <w:rPr>
                <w:rFonts w:ascii="宋体" w:hAnsi="宋体" w:cs="宋体"/>
                <w:color w:val="auto"/>
                <w:szCs w:val="21"/>
              </w:rPr>
            </w:pPr>
          </w:p>
        </w:tc>
        <w:tc>
          <w:tcPr>
            <w:tcW w:w="1715" w:type="dxa"/>
            <w:tcBorders>
              <w:top w:val="single" w:color="auto" w:sz="4" w:space="0"/>
              <w:left w:val="single" w:color="auto" w:sz="4" w:space="0"/>
              <w:bottom w:val="single" w:color="auto" w:sz="4" w:space="0"/>
              <w:right w:val="single" w:color="auto" w:sz="4" w:space="0"/>
            </w:tcBorders>
            <w:vAlign w:val="center"/>
          </w:tcPr>
          <w:p w14:paraId="428E2E37">
            <w:pPr>
              <w:widowControl/>
              <w:spacing w:line="360" w:lineRule="auto"/>
              <w:jc w:val="center"/>
              <w:textAlignment w:val="center"/>
              <w:rPr>
                <w:rFonts w:ascii="宋体" w:hAnsi="宋体" w:cs="宋体"/>
                <w:color w:val="auto"/>
                <w:szCs w:val="21"/>
              </w:rPr>
            </w:pPr>
          </w:p>
        </w:tc>
        <w:tc>
          <w:tcPr>
            <w:tcW w:w="1117" w:type="dxa"/>
            <w:tcBorders>
              <w:top w:val="single" w:color="auto" w:sz="4" w:space="0"/>
              <w:left w:val="single" w:color="auto" w:sz="4" w:space="0"/>
              <w:bottom w:val="single" w:color="auto" w:sz="4" w:space="0"/>
              <w:right w:val="single" w:color="auto" w:sz="4" w:space="0"/>
            </w:tcBorders>
            <w:vAlign w:val="center"/>
          </w:tcPr>
          <w:p w14:paraId="79DE2015">
            <w:pPr>
              <w:widowControl/>
              <w:spacing w:line="360" w:lineRule="auto"/>
              <w:jc w:val="center"/>
              <w:textAlignment w:val="center"/>
              <w:rPr>
                <w:rFonts w:ascii="宋体" w:hAnsi="宋体" w:cs="宋体"/>
                <w:color w:val="auto"/>
                <w:szCs w:val="21"/>
              </w:rPr>
            </w:pPr>
          </w:p>
        </w:tc>
        <w:tc>
          <w:tcPr>
            <w:tcW w:w="1448" w:type="dxa"/>
            <w:tcBorders>
              <w:top w:val="single" w:color="auto" w:sz="4" w:space="0"/>
              <w:left w:val="single" w:color="auto" w:sz="4" w:space="0"/>
              <w:bottom w:val="single" w:color="auto" w:sz="4" w:space="0"/>
              <w:right w:val="single" w:color="auto" w:sz="4" w:space="0"/>
            </w:tcBorders>
            <w:vAlign w:val="center"/>
          </w:tcPr>
          <w:p w14:paraId="480818FF">
            <w:pPr>
              <w:widowControl/>
              <w:spacing w:line="360" w:lineRule="auto"/>
              <w:jc w:val="center"/>
              <w:textAlignment w:val="center"/>
              <w:rPr>
                <w:rFonts w:ascii="宋体" w:hAnsi="宋体" w:cs="宋体"/>
                <w:color w:val="auto"/>
                <w:szCs w:val="21"/>
              </w:rPr>
            </w:pPr>
          </w:p>
        </w:tc>
        <w:tc>
          <w:tcPr>
            <w:tcW w:w="1434" w:type="dxa"/>
            <w:tcBorders>
              <w:top w:val="single" w:color="auto" w:sz="4" w:space="0"/>
              <w:left w:val="single" w:color="auto" w:sz="4" w:space="0"/>
              <w:bottom w:val="single" w:color="auto" w:sz="4" w:space="0"/>
              <w:right w:val="single" w:color="auto" w:sz="4" w:space="0"/>
            </w:tcBorders>
            <w:vAlign w:val="center"/>
          </w:tcPr>
          <w:p w14:paraId="08F205DF">
            <w:pPr>
              <w:widowControl/>
              <w:spacing w:line="360" w:lineRule="auto"/>
              <w:jc w:val="center"/>
              <w:textAlignment w:val="center"/>
              <w:rPr>
                <w:rFonts w:ascii="宋体" w:hAnsi="宋体" w:cs="宋体"/>
                <w:color w:val="auto"/>
                <w:szCs w:val="21"/>
              </w:rPr>
            </w:pPr>
          </w:p>
        </w:tc>
      </w:tr>
      <w:tr w14:paraId="6A7D6EDC">
        <w:tblPrEx>
          <w:tblCellMar>
            <w:top w:w="15" w:type="dxa"/>
            <w:left w:w="15" w:type="dxa"/>
            <w:bottom w:w="15" w:type="dxa"/>
            <w:right w:w="15" w:type="dxa"/>
          </w:tblCellMar>
        </w:tblPrEx>
        <w:trPr>
          <w:trHeight w:val="1545" w:hRule="atLeast"/>
        </w:trPr>
        <w:tc>
          <w:tcPr>
            <w:tcW w:w="1276" w:type="dxa"/>
            <w:tcBorders>
              <w:top w:val="single" w:color="auto" w:sz="4" w:space="0"/>
              <w:left w:val="single" w:color="auto" w:sz="4" w:space="0"/>
              <w:bottom w:val="single" w:color="auto" w:sz="4" w:space="0"/>
              <w:right w:val="single" w:color="auto" w:sz="4" w:space="0"/>
            </w:tcBorders>
            <w:vAlign w:val="center"/>
          </w:tcPr>
          <w:p w14:paraId="35A0A084">
            <w:pPr>
              <w:widowControl/>
              <w:spacing w:line="360" w:lineRule="auto"/>
              <w:jc w:val="center"/>
              <w:rPr>
                <w:color w:val="auto"/>
              </w:rPr>
            </w:pPr>
          </w:p>
        </w:tc>
        <w:tc>
          <w:tcPr>
            <w:tcW w:w="3275" w:type="dxa"/>
            <w:tcBorders>
              <w:top w:val="single" w:color="auto" w:sz="4" w:space="0"/>
              <w:left w:val="single" w:color="auto" w:sz="4" w:space="0"/>
              <w:bottom w:val="single" w:color="auto" w:sz="4" w:space="0"/>
              <w:right w:val="single" w:color="auto" w:sz="4" w:space="0"/>
            </w:tcBorders>
            <w:vAlign w:val="center"/>
          </w:tcPr>
          <w:p w14:paraId="74EFA9B9">
            <w:pPr>
              <w:widowControl/>
              <w:spacing w:line="360" w:lineRule="auto"/>
              <w:rPr>
                <w:color w:val="auto"/>
              </w:rPr>
            </w:pPr>
          </w:p>
        </w:tc>
        <w:tc>
          <w:tcPr>
            <w:tcW w:w="1715" w:type="dxa"/>
            <w:tcBorders>
              <w:top w:val="single" w:color="auto" w:sz="4" w:space="0"/>
              <w:left w:val="single" w:color="auto" w:sz="4" w:space="0"/>
              <w:bottom w:val="single" w:color="auto" w:sz="4" w:space="0"/>
              <w:right w:val="single" w:color="auto" w:sz="4" w:space="0"/>
            </w:tcBorders>
            <w:vAlign w:val="center"/>
          </w:tcPr>
          <w:p w14:paraId="6C63BDCC">
            <w:pPr>
              <w:widowControl/>
              <w:spacing w:line="360" w:lineRule="auto"/>
              <w:jc w:val="center"/>
              <w:textAlignment w:val="center"/>
              <w:rPr>
                <w:rFonts w:ascii="宋体" w:hAnsi="宋体" w:cs="宋体"/>
                <w:color w:val="auto"/>
                <w:szCs w:val="21"/>
              </w:rPr>
            </w:pPr>
          </w:p>
        </w:tc>
        <w:tc>
          <w:tcPr>
            <w:tcW w:w="1117" w:type="dxa"/>
            <w:tcBorders>
              <w:top w:val="single" w:color="auto" w:sz="4" w:space="0"/>
              <w:left w:val="single" w:color="auto" w:sz="4" w:space="0"/>
              <w:bottom w:val="single" w:color="auto" w:sz="4" w:space="0"/>
              <w:right w:val="single" w:color="auto" w:sz="4" w:space="0"/>
            </w:tcBorders>
            <w:vAlign w:val="center"/>
          </w:tcPr>
          <w:p w14:paraId="47531936">
            <w:pPr>
              <w:widowControl/>
              <w:spacing w:line="360" w:lineRule="auto"/>
              <w:jc w:val="center"/>
              <w:textAlignment w:val="center"/>
              <w:rPr>
                <w:rFonts w:ascii="宋体" w:hAnsi="宋体" w:cs="宋体"/>
                <w:color w:val="auto"/>
                <w:szCs w:val="21"/>
              </w:rPr>
            </w:pPr>
          </w:p>
        </w:tc>
        <w:tc>
          <w:tcPr>
            <w:tcW w:w="1448" w:type="dxa"/>
            <w:tcBorders>
              <w:top w:val="single" w:color="auto" w:sz="4" w:space="0"/>
              <w:left w:val="single" w:color="auto" w:sz="4" w:space="0"/>
              <w:bottom w:val="single" w:color="auto" w:sz="4" w:space="0"/>
              <w:right w:val="single" w:color="auto" w:sz="4" w:space="0"/>
            </w:tcBorders>
            <w:vAlign w:val="center"/>
          </w:tcPr>
          <w:p w14:paraId="5D74171F">
            <w:pPr>
              <w:widowControl/>
              <w:spacing w:line="360" w:lineRule="auto"/>
              <w:jc w:val="center"/>
              <w:textAlignment w:val="center"/>
              <w:rPr>
                <w:rFonts w:ascii="宋体" w:hAnsi="宋体" w:cs="宋体"/>
                <w:color w:val="auto"/>
                <w:szCs w:val="21"/>
              </w:rPr>
            </w:pPr>
          </w:p>
        </w:tc>
        <w:tc>
          <w:tcPr>
            <w:tcW w:w="1434" w:type="dxa"/>
            <w:tcBorders>
              <w:top w:val="single" w:color="auto" w:sz="4" w:space="0"/>
              <w:left w:val="single" w:color="auto" w:sz="4" w:space="0"/>
              <w:bottom w:val="single" w:color="auto" w:sz="4" w:space="0"/>
              <w:right w:val="single" w:color="auto" w:sz="4" w:space="0"/>
            </w:tcBorders>
            <w:vAlign w:val="center"/>
          </w:tcPr>
          <w:p w14:paraId="3DFF2E57">
            <w:pPr>
              <w:widowControl/>
              <w:spacing w:line="360" w:lineRule="auto"/>
              <w:jc w:val="center"/>
              <w:textAlignment w:val="center"/>
              <w:rPr>
                <w:rFonts w:ascii="宋体" w:hAnsi="宋体" w:cs="宋体"/>
                <w:color w:val="auto"/>
                <w:szCs w:val="21"/>
              </w:rPr>
            </w:pPr>
          </w:p>
        </w:tc>
      </w:tr>
      <w:tr w14:paraId="56F9D053">
        <w:tblPrEx>
          <w:tblCellMar>
            <w:top w:w="15" w:type="dxa"/>
            <w:left w:w="15" w:type="dxa"/>
            <w:bottom w:w="15" w:type="dxa"/>
            <w:right w:w="15" w:type="dxa"/>
          </w:tblCellMar>
        </w:tblPrEx>
        <w:trPr>
          <w:trHeight w:val="1320" w:hRule="atLeast"/>
        </w:trPr>
        <w:tc>
          <w:tcPr>
            <w:tcW w:w="1276" w:type="dxa"/>
            <w:tcBorders>
              <w:top w:val="single" w:color="auto" w:sz="4" w:space="0"/>
              <w:left w:val="single" w:color="auto" w:sz="4" w:space="0"/>
              <w:bottom w:val="single" w:color="auto" w:sz="4" w:space="0"/>
              <w:right w:val="single" w:color="auto" w:sz="4" w:space="0"/>
            </w:tcBorders>
            <w:vAlign w:val="center"/>
          </w:tcPr>
          <w:p w14:paraId="1AB460D9">
            <w:pPr>
              <w:widowControl/>
              <w:spacing w:line="360" w:lineRule="auto"/>
              <w:jc w:val="center"/>
              <w:rPr>
                <w:color w:val="auto"/>
              </w:rPr>
            </w:pPr>
          </w:p>
        </w:tc>
        <w:tc>
          <w:tcPr>
            <w:tcW w:w="3275" w:type="dxa"/>
            <w:tcBorders>
              <w:top w:val="single" w:color="auto" w:sz="4" w:space="0"/>
              <w:left w:val="single" w:color="auto" w:sz="4" w:space="0"/>
              <w:bottom w:val="single" w:color="auto" w:sz="4" w:space="0"/>
              <w:right w:val="single" w:color="auto" w:sz="4" w:space="0"/>
            </w:tcBorders>
            <w:vAlign w:val="center"/>
          </w:tcPr>
          <w:p w14:paraId="752579F7">
            <w:pPr>
              <w:widowControl/>
              <w:spacing w:line="380" w:lineRule="exact"/>
              <w:jc w:val="left"/>
              <w:rPr>
                <w:color w:val="auto"/>
              </w:rPr>
            </w:pPr>
          </w:p>
        </w:tc>
        <w:tc>
          <w:tcPr>
            <w:tcW w:w="1715" w:type="dxa"/>
            <w:tcBorders>
              <w:top w:val="single" w:color="auto" w:sz="4" w:space="0"/>
              <w:left w:val="single" w:color="auto" w:sz="4" w:space="0"/>
              <w:bottom w:val="single" w:color="auto" w:sz="4" w:space="0"/>
              <w:right w:val="single" w:color="auto" w:sz="4" w:space="0"/>
            </w:tcBorders>
            <w:vAlign w:val="center"/>
          </w:tcPr>
          <w:p w14:paraId="0AA8B59F">
            <w:pPr>
              <w:widowControl/>
              <w:spacing w:line="360" w:lineRule="auto"/>
              <w:jc w:val="center"/>
              <w:textAlignment w:val="center"/>
              <w:rPr>
                <w:rFonts w:ascii="宋体" w:hAnsi="宋体" w:cs="宋体"/>
                <w:color w:val="auto"/>
                <w:szCs w:val="21"/>
              </w:rPr>
            </w:pPr>
          </w:p>
        </w:tc>
        <w:tc>
          <w:tcPr>
            <w:tcW w:w="1117" w:type="dxa"/>
            <w:tcBorders>
              <w:top w:val="single" w:color="auto" w:sz="4" w:space="0"/>
              <w:left w:val="single" w:color="auto" w:sz="4" w:space="0"/>
              <w:bottom w:val="single" w:color="auto" w:sz="4" w:space="0"/>
              <w:right w:val="single" w:color="auto" w:sz="4" w:space="0"/>
            </w:tcBorders>
            <w:vAlign w:val="center"/>
          </w:tcPr>
          <w:p w14:paraId="285AEC5A">
            <w:pPr>
              <w:widowControl/>
              <w:spacing w:line="360" w:lineRule="auto"/>
              <w:jc w:val="center"/>
              <w:textAlignment w:val="center"/>
              <w:rPr>
                <w:rFonts w:ascii="宋体" w:hAnsi="宋体" w:cs="宋体"/>
                <w:color w:val="auto"/>
                <w:szCs w:val="21"/>
              </w:rPr>
            </w:pPr>
          </w:p>
        </w:tc>
        <w:tc>
          <w:tcPr>
            <w:tcW w:w="1448" w:type="dxa"/>
            <w:tcBorders>
              <w:top w:val="single" w:color="auto" w:sz="4" w:space="0"/>
              <w:left w:val="single" w:color="auto" w:sz="4" w:space="0"/>
              <w:bottom w:val="single" w:color="auto" w:sz="4" w:space="0"/>
              <w:right w:val="single" w:color="auto" w:sz="4" w:space="0"/>
            </w:tcBorders>
            <w:vAlign w:val="center"/>
          </w:tcPr>
          <w:p w14:paraId="553BD5F2">
            <w:pPr>
              <w:widowControl/>
              <w:spacing w:line="360" w:lineRule="auto"/>
              <w:jc w:val="center"/>
              <w:textAlignment w:val="center"/>
              <w:rPr>
                <w:rFonts w:ascii="宋体" w:hAnsi="宋体" w:cs="宋体"/>
                <w:color w:val="auto"/>
                <w:szCs w:val="21"/>
              </w:rPr>
            </w:pPr>
          </w:p>
        </w:tc>
        <w:tc>
          <w:tcPr>
            <w:tcW w:w="1434" w:type="dxa"/>
            <w:tcBorders>
              <w:top w:val="single" w:color="auto" w:sz="4" w:space="0"/>
              <w:left w:val="single" w:color="auto" w:sz="4" w:space="0"/>
              <w:bottom w:val="single" w:color="auto" w:sz="4" w:space="0"/>
              <w:right w:val="single" w:color="auto" w:sz="4" w:space="0"/>
            </w:tcBorders>
            <w:vAlign w:val="center"/>
          </w:tcPr>
          <w:p w14:paraId="7D83D882">
            <w:pPr>
              <w:widowControl/>
              <w:spacing w:line="360" w:lineRule="auto"/>
              <w:jc w:val="center"/>
              <w:textAlignment w:val="center"/>
              <w:rPr>
                <w:rFonts w:ascii="宋体" w:hAnsi="宋体" w:cs="宋体"/>
                <w:color w:val="auto"/>
                <w:szCs w:val="21"/>
              </w:rPr>
            </w:pPr>
          </w:p>
        </w:tc>
      </w:tr>
    </w:tbl>
    <w:p w14:paraId="0D53B7D4">
      <w:pPr>
        <w:spacing w:line="440" w:lineRule="exact"/>
        <w:rPr>
          <w:rFonts w:ascii="宋体" w:hAnsi="宋体" w:cs="宋体"/>
          <w:b/>
          <w:bCs/>
          <w:color w:val="auto"/>
          <w:szCs w:val="21"/>
        </w:rPr>
      </w:pPr>
      <w:r>
        <w:rPr>
          <w:rFonts w:hint="eastAsia" w:ascii="宋体" w:hAnsi="宋体" w:cs="宋体"/>
          <w:b/>
          <w:bCs/>
          <w:color w:val="auto"/>
          <w:szCs w:val="21"/>
        </w:rPr>
        <w:t>注：评审项目、评分标准、分值对应“第五章  评标原则及方法”</w:t>
      </w:r>
      <w:r>
        <w:rPr>
          <w:rFonts w:hint="eastAsia" w:ascii="宋体" w:hAnsi="宋体" w:cs="宋体"/>
          <w:b/>
          <w:bCs/>
          <w:color w:val="auto"/>
          <w:szCs w:val="21"/>
          <w:lang w:val="en-US" w:eastAsia="zh-CN"/>
        </w:rPr>
        <w:t>商务技术</w:t>
      </w:r>
      <w:r>
        <w:rPr>
          <w:rFonts w:hint="eastAsia" w:ascii="宋体" w:hAnsi="宋体" w:cs="宋体"/>
          <w:b/>
          <w:bCs/>
          <w:color w:val="auto"/>
          <w:szCs w:val="21"/>
        </w:rPr>
        <w:t>分评审内容。</w:t>
      </w:r>
    </w:p>
    <w:p w14:paraId="1A35A225">
      <w:pPr>
        <w:spacing w:line="440" w:lineRule="exact"/>
        <w:ind w:firstLine="4860"/>
        <w:rPr>
          <w:rFonts w:ascii="宋体" w:hAnsi="宋体" w:cs="宋体"/>
          <w:b/>
          <w:bCs/>
          <w:color w:val="auto"/>
          <w:szCs w:val="21"/>
        </w:rPr>
      </w:pPr>
    </w:p>
    <w:p w14:paraId="512324A1">
      <w:pPr>
        <w:spacing w:line="440" w:lineRule="exact"/>
        <w:ind w:firstLine="4860"/>
        <w:rPr>
          <w:rFonts w:ascii="宋体" w:hAnsi="宋体" w:cs="宋体"/>
          <w:b/>
          <w:bCs/>
          <w:color w:val="auto"/>
          <w:szCs w:val="21"/>
        </w:rPr>
      </w:pPr>
    </w:p>
    <w:p w14:paraId="57CE1C6B">
      <w:pPr>
        <w:spacing w:line="440" w:lineRule="exact"/>
        <w:ind w:firstLine="4860"/>
        <w:rPr>
          <w:rFonts w:ascii="宋体" w:hAnsi="宋体" w:cs="宋体"/>
          <w:b/>
          <w:bCs/>
          <w:color w:val="auto"/>
          <w:szCs w:val="21"/>
          <w:u w:val="single"/>
        </w:rPr>
      </w:pPr>
      <w:r>
        <w:rPr>
          <w:rFonts w:hint="eastAsia" w:ascii="宋体" w:hAnsi="宋体" w:cs="宋体"/>
          <w:b/>
          <w:bCs/>
          <w:color w:val="auto"/>
          <w:szCs w:val="21"/>
        </w:rPr>
        <w:t>投标人（盖章）：</w:t>
      </w:r>
      <w:r>
        <w:rPr>
          <w:rFonts w:hint="eastAsia" w:ascii="宋体" w:hAnsi="宋体" w:cs="宋体"/>
          <w:b/>
          <w:bCs/>
          <w:color w:val="auto"/>
          <w:szCs w:val="21"/>
          <w:u w:val="single"/>
        </w:rPr>
        <w:t xml:space="preserve">                               </w:t>
      </w:r>
    </w:p>
    <w:p w14:paraId="046C4424">
      <w:pPr>
        <w:spacing w:line="440" w:lineRule="exact"/>
        <w:ind w:firstLine="4860"/>
        <w:rPr>
          <w:rFonts w:ascii="宋体" w:hAnsi="宋体" w:cs="宋体"/>
          <w:b/>
          <w:bCs/>
          <w:color w:val="auto"/>
          <w:szCs w:val="21"/>
        </w:rPr>
      </w:pPr>
    </w:p>
    <w:p w14:paraId="063A26EF">
      <w:pPr>
        <w:spacing w:line="440" w:lineRule="exact"/>
        <w:ind w:firstLine="4860"/>
        <w:rPr>
          <w:rFonts w:ascii="宋体" w:hAnsi="宋体" w:cs="宋体"/>
          <w:b/>
          <w:bCs/>
          <w:color w:val="auto"/>
          <w:szCs w:val="21"/>
          <w:u w:val="single"/>
        </w:rPr>
      </w:pPr>
      <w:r>
        <w:rPr>
          <w:rFonts w:hint="eastAsia" w:ascii="宋体" w:hAnsi="宋体" w:cs="宋体"/>
          <w:b/>
          <w:bCs/>
          <w:color w:val="auto"/>
          <w:szCs w:val="21"/>
        </w:rPr>
        <w:t>日 期：  年  月  日</w:t>
      </w:r>
    </w:p>
    <w:p w14:paraId="4631157C">
      <w:pPr>
        <w:spacing w:line="360" w:lineRule="auto"/>
        <w:jc w:val="left"/>
        <w:outlineLvl w:val="0"/>
        <w:rPr>
          <w:rFonts w:hint="eastAsia" w:ascii="楷体_GB2312" w:eastAsia="宋体"/>
          <w:b/>
          <w:bCs/>
          <w:color w:val="auto"/>
          <w:sz w:val="22"/>
          <w:szCs w:val="22"/>
          <w:lang w:eastAsia="zh-CN"/>
        </w:rPr>
      </w:pPr>
      <w:r>
        <w:rPr>
          <w:rFonts w:hint="eastAsia" w:ascii="宋体" w:hAnsi="宋体" w:cs="宋体"/>
          <w:b/>
          <w:bCs/>
          <w:color w:val="auto"/>
          <w:sz w:val="24"/>
        </w:rPr>
        <w:br w:type="page"/>
      </w:r>
      <w:bookmarkStart w:id="196" w:name="_Toc8613"/>
      <w:r>
        <w:rPr>
          <w:rFonts w:hint="eastAsia" w:ascii="宋体" w:hAnsi="宋体" w:cs="宋体"/>
          <w:b/>
          <w:bCs/>
          <w:color w:val="auto"/>
          <w:sz w:val="22"/>
          <w:szCs w:val="22"/>
        </w:rPr>
        <w:t>附件</w:t>
      </w:r>
      <w:bookmarkEnd w:id="196"/>
      <w:r>
        <w:rPr>
          <w:rFonts w:hint="eastAsia" w:ascii="宋体" w:hAnsi="宋体" w:cs="宋体"/>
          <w:b/>
          <w:bCs/>
          <w:color w:val="auto"/>
          <w:sz w:val="22"/>
          <w:szCs w:val="22"/>
          <w:lang w:val="en-US" w:eastAsia="zh-CN"/>
        </w:rPr>
        <w:t>5</w:t>
      </w:r>
    </w:p>
    <w:p w14:paraId="3709AB4B">
      <w:pPr>
        <w:spacing w:line="360" w:lineRule="auto"/>
        <w:ind w:firstLine="602" w:firstLineChars="200"/>
        <w:jc w:val="center"/>
        <w:outlineLvl w:val="0"/>
        <w:rPr>
          <w:rFonts w:ascii="宋体" w:hAnsi="宋体"/>
          <w:b/>
          <w:bCs/>
          <w:color w:val="auto"/>
          <w:kern w:val="0"/>
          <w:sz w:val="30"/>
          <w:szCs w:val="30"/>
        </w:rPr>
      </w:pPr>
      <w:r>
        <w:rPr>
          <w:rFonts w:hint="eastAsia" w:ascii="宋体" w:hAnsi="宋体"/>
          <w:b/>
          <w:bCs/>
          <w:color w:val="auto"/>
          <w:kern w:val="0"/>
          <w:sz w:val="30"/>
          <w:szCs w:val="30"/>
        </w:rPr>
        <w:t>投标声明书</w:t>
      </w:r>
    </w:p>
    <w:p w14:paraId="3B554881">
      <w:pPr>
        <w:spacing w:line="360" w:lineRule="auto"/>
        <w:jc w:val="left"/>
        <w:outlineLvl w:val="0"/>
        <w:rPr>
          <w:rFonts w:ascii="宋体" w:hAnsi="宋体" w:cs="宋体"/>
          <w:color w:val="auto"/>
          <w:szCs w:val="21"/>
        </w:rPr>
      </w:pPr>
      <w:r>
        <w:rPr>
          <w:rFonts w:hint="eastAsia" w:ascii="宋体" w:hAnsi="宋体" w:cs="宋体"/>
          <w:color w:val="auto"/>
          <w:szCs w:val="21"/>
          <w:u w:val="single"/>
          <w:lang w:eastAsia="zh-CN"/>
        </w:rPr>
        <w:t>常山县农业农村局</w:t>
      </w:r>
      <w:r>
        <w:rPr>
          <w:rFonts w:hint="eastAsia" w:ascii="宋体" w:hAnsi="宋体" w:cs="宋体"/>
          <w:color w:val="auto"/>
          <w:szCs w:val="21"/>
        </w:rPr>
        <w:t>：</w:t>
      </w:r>
    </w:p>
    <w:p w14:paraId="4F12A9EE">
      <w:pPr>
        <w:spacing w:line="440" w:lineRule="exact"/>
        <w:ind w:firstLine="420" w:firstLineChars="200"/>
        <w:rPr>
          <w:rFonts w:ascii="宋体" w:hAnsi="宋体" w:cs="宋体"/>
          <w:color w:val="auto"/>
          <w:szCs w:val="21"/>
        </w:rPr>
      </w:pPr>
      <w:r>
        <w:rPr>
          <w:rFonts w:hint="eastAsia" w:ascii="宋体" w:hAnsi="宋体" w:cs="宋体"/>
          <w:color w:val="auto"/>
          <w:szCs w:val="21"/>
        </w:rPr>
        <w:t>根据贵方为</w:t>
      </w:r>
      <w:r>
        <w:rPr>
          <w:rFonts w:hint="eastAsia" w:ascii="宋体" w:hAnsi="宋体" w:cs="宋体"/>
          <w:color w:val="auto"/>
          <w:szCs w:val="21"/>
          <w:u w:val="single"/>
        </w:rPr>
        <w:t xml:space="preserve"> </w:t>
      </w:r>
      <w:r>
        <w:rPr>
          <w:rFonts w:hint="eastAsia" w:ascii="宋体" w:hAnsi="宋体" w:cs="宋体"/>
          <w:color w:val="auto"/>
          <w:szCs w:val="21"/>
          <w:u w:val="single"/>
          <w:lang w:eastAsia="zh-CN"/>
        </w:rPr>
        <w:t>常山县农村垃圾中转站渗滤液集中转运处置项目（2025-2026年度）</w:t>
      </w:r>
      <w:r>
        <w:rPr>
          <w:rFonts w:hint="eastAsia" w:ascii="宋体" w:hAnsi="宋体" w:cs="宋体"/>
          <w:color w:val="auto"/>
          <w:szCs w:val="21"/>
          <w:u w:val="single"/>
        </w:rPr>
        <w:t>（项目编号：</w:t>
      </w:r>
      <w:r>
        <w:rPr>
          <w:rFonts w:hint="eastAsia" w:ascii="宋体" w:hAnsi="宋体" w:cs="宋体"/>
          <w:color w:val="auto"/>
          <w:szCs w:val="21"/>
          <w:u w:val="single"/>
          <w:lang w:eastAsia="zh-CN"/>
        </w:rPr>
        <w:t>ZJLT-GK-2025021</w:t>
      </w:r>
      <w:r>
        <w:rPr>
          <w:rFonts w:hint="eastAsia" w:ascii="宋体" w:hAnsi="宋体" w:cs="宋体"/>
          <w:color w:val="auto"/>
          <w:szCs w:val="21"/>
          <w:u w:val="single"/>
        </w:rPr>
        <w:t>）</w:t>
      </w:r>
      <w:r>
        <w:rPr>
          <w:rFonts w:hint="eastAsia" w:ascii="宋体" w:hAnsi="宋体" w:cs="宋体"/>
          <w:color w:val="auto"/>
          <w:szCs w:val="21"/>
        </w:rPr>
        <w:t>的招标文件，我方</w:t>
      </w:r>
      <w:r>
        <w:rPr>
          <w:rFonts w:hint="eastAsia" w:ascii="宋体" w:hAnsi="宋体" w:cs="宋体"/>
          <w:color w:val="auto"/>
          <w:szCs w:val="21"/>
          <w:u w:val="single"/>
        </w:rPr>
        <w:t xml:space="preserve">           　　</w:t>
      </w:r>
      <w:r>
        <w:rPr>
          <w:rFonts w:hint="eastAsia" w:ascii="宋体" w:hAnsi="宋体" w:cs="宋体"/>
          <w:color w:val="auto"/>
          <w:szCs w:val="21"/>
        </w:rPr>
        <w:t>（投标人名称）作为投标人正式授权</w:t>
      </w:r>
      <w:r>
        <w:rPr>
          <w:rFonts w:hint="eastAsia" w:ascii="宋体" w:hAnsi="宋体" w:cs="宋体"/>
          <w:color w:val="auto"/>
          <w:szCs w:val="21"/>
          <w:u w:val="single"/>
        </w:rPr>
        <w:t>　           （</w:t>
      </w:r>
      <w:r>
        <w:rPr>
          <w:rFonts w:hint="eastAsia" w:ascii="宋体" w:hAnsi="宋体" w:cs="宋体"/>
          <w:color w:val="auto"/>
          <w:szCs w:val="21"/>
        </w:rPr>
        <w:t>授权代表全名，职务）代表我方处理有关本投标的一切事宜。</w:t>
      </w:r>
    </w:p>
    <w:p w14:paraId="33C7941C">
      <w:pPr>
        <w:pStyle w:val="7"/>
        <w:spacing w:line="440" w:lineRule="exact"/>
        <w:ind w:firstLine="440"/>
        <w:rPr>
          <w:rFonts w:ascii="宋体" w:hAnsi="宋体" w:cs="宋体"/>
          <w:color w:val="auto"/>
          <w:szCs w:val="21"/>
        </w:rPr>
      </w:pPr>
      <w:r>
        <w:rPr>
          <w:rFonts w:hint="eastAsia" w:ascii="宋体" w:hAnsi="宋体" w:cs="宋体"/>
          <w:color w:val="auto"/>
          <w:szCs w:val="21"/>
        </w:rPr>
        <w:t>在此</w:t>
      </w:r>
      <w:r>
        <w:rPr>
          <w:color w:val="auto"/>
          <w:spacing w:val="-3"/>
        </w:rPr>
        <w:t>提</w:t>
      </w:r>
      <w:r>
        <w:rPr>
          <w:color w:val="auto"/>
        </w:rPr>
        <w:t>供</w:t>
      </w:r>
      <w:r>
        <w:rPr>
          <w:color w:val="auto"/>
          <w:spacing w:val="-3"/>
        </w:rPr>
        <w:t>投</w:t>
      </w:r>
      <w:r>
        <w:rPr>
          <w:color w:val="auto"/>
        </w:rPr>
        <w:t>标</w:t>
      </w:r>
      <w:r>
        <w:rPr>
          <w:color w:val="auto"/>
          <w:spacing w:val="-3"/>
        </w:rPr>
        <w:t>人</w:t>
      </w:r>
      <w:r>
        <w:rPr>
          <w:color w:val="auto"/>
        </w:rPr>
        <w:t>须知规</w:t>
      </w:r>
      <w:r>
        <w:rPr>
          <w:color w:val="auto"/>
          <w:spacing w:val="-3"/>
        </w:rPr>
        <w:t>定的</w:t>
      </w:r>
      <w:r>
        <w:rPr>
          <w:color w:val="auto"/>
        </w:rPr>
        <w:t>全部</w:t>
      </w:r>
      <w:r>
        <w:rPr>
          <w:color w:val="auto"/>
          <w:spacing w:val="-3"/>
        </w:rPr>
        <w:t>投</w:t>
      </w:r>
      <w:r>
        <w:rPr>
          <w:color w:val="auto"/>
        </w:rPr>
        <w:t>标</w:t>
      </w:r>
      <w:r>
        <w:rPr>
          <w:color w:val="auto"/>
          <w:spacing w:val="-3"/>
        </w:rPr>
        <w:t>文</w:t>
      </w:r>
      <w:r>
        <w:rPr>
          <w:color w:val="auto"/>
        </w:rPr>
        <w:t>件。</w:t>
      </w:r>
    </w:p>
    <w:p w14:paraId="70410D4C">
      <w:pPr>
        <w:spacing w:line="440" w:lineRule="exact"/>
        <w:ind w:firstLine="420" w:firstLineChars="200"/>
        <w:rPr>
          <w:rFonts w:ascii="宋体" w:hAnsi="宋体" w:cs="宋体"/>
          <w:color w:val="auto"/>
          <w:szCs w:val="21"/>
        </w:rPr>
      </w:pPr>
      <w:r>
        <w:rPr>
          <w:rFonts w:hint="eastAsia" w:ascii="宋体" w:hAnsi="宋体" w:cs="宋体"/>
          <w:color w:val="auto"/>
          <w:szCs w:val="21"/>
        </w:rPr>
        <w:t>我方己完全明白招标文件的所有条款要求，并重申以下几点：</w:t>
      </w:r>
    </w:p>
    <w:p w14:paraId="14404C14">
      <w:pPr>
        <w:spacing w:line="440" w:lineRule="exact"/>
        <w:ind w:firstLine="420" w:firstLineChars="200"/>
        <w:rPr>
          <w:rFonts w:ascii="宋体" w:hAnsi="宋体" w:cs="宋体"/>
          <w:color w:val="auto"/>
          <w:szCs w:val="21"/>
        </w:rPr>
      </w:pPr>
      <w:r>
        <w:rPr>
          <w:rFonts w:hint="eastAsia" w:ascii="宋体" w:hAnsi="宋体" w:cs="宋体"/>
          <w:color w:val="auto"/>
          <w:szCs w:val="21"/>
        </w:rPr>
        <w:t>（一）投标人已详细审查全部“招标文件”，包括修改、澄清文件（如有的话）以及全部参考资料和有关附件，已经了解我方对于招标文件、采购过程、采购结果有依法进行询问、质疑、投诉的权利及相关渠道和要求。</w:t>
      </w:r>
    </w:p>
    <w:p w14:paraId="5BD33169">
      <w:pPr>
        <w:spacing w:line="440" w:lineRule="exact"/>
        <w:ind w:firstLine="420" w:firstLineChars="200"/>
        <w:rPr>
          <w:rFonts w:ascii="宋体" w:hAnsi="宋体" w:cs="宋体"/>
          <w:color w:val="auto"/>
          <w:szCs w:val="21"/>
        </w:rPr>
      </w:pPr>
      <w:r>
        <w:rPr>
          <w:rFonts w:hint="eastAsia" w:ascii="宋体" w:hAnsi="宋体" w:cs="宋体"/>
          <w:color w:val="auto"/>
          <w:szCs w:val="21"/>
        </w:rPr>
        <w:t>（二）投标人在投标之前已经与贵方进行了充分的沟通，完全理解并接受招标文件的各项规定和要求，对招标文件的合理性、合法性不再有异议。</w:t>
      </w:r>
    </w:p>
    <w:p w14:paraId="4EA53257">
      <w:pPr>
        <w:spacing w:line="440" w:lineRule="exact"/>
        <w:ind w:firstLine="420" w:firstLineChars="200"/>
        <w:rPr>
          <w:rFonts w:ascii="宋体" w:hAnsi="宋体" w:cs="宋体"/>
          <w:color w:val="auto"/>
          <w:szCs w:val="21"/>
        </w:rPr>
      </w:pPr>
      <w:r>
        <w:rPr>
          <w:rFonts w:hint="eastAsia" w:ascii="宋体" w:hAnsi="宋体" w:cs="宋体"/>
          <w:color w:val="auto"/>
          <w:szCs w:val="21"/>
        </w:rPr>
        <w:t>（三）本投标有效期自开标日起90日。</w:t>
      </w:r>
    </w:p>
    <w:p w14:paraId="5429E6EE">
      <w:pPr>
        <w:spacing w:line="440" w:lineRule="exact"/>
        <w:ind w:firstLine="420" w:firstLineChars="200"/>
        <w:rPr>
          <w:rFonts w:ascii="宋体" w:hAnsi="宋体" w:cs="宋体"/>
          <w:color w:val="auto"/>
          <w:szCs w:val="21"/>
        </w:rPr>
      </w:pPr>
      <w:r>
        <w:rPr>
          <w:rFonts w:hint="eastAsia" w:ascii="宋体" w:hAnsi="宋体" w:cs="宋体"/>
          <w:color w:val="auto"/>
          <w:szCs w:val="21"/>
        </w:rPr>
        <w:t>（四）如中标，本投标文件至本项目合同履行完毕止均保持有效，本投标人将按“招标文件”及政府采购法律、法规的规定履行合同责任和义务。</w:t>
      </w:r>
    </w:p>
    <w:p w14:paraId="142127B5">
      <w:pPr>
        <w:spacing w:line="440" w:lineRule="exact"/>
        <w:ind w:firstLine="420" w:firstLineChars="200"/>
        <w:rPr>
          <w:rFonts w:ascii="宋体" w:hAnsi="宋体" w:cs="宋体"/>
          <w:color w:val="auto"/>
          <w:szCs w:val="21"/>
        </w:rPr>
      </w:pPr>
      <w:r>
        <w:rPr>
          <w:rFonts w:hint="eastAsia" w:ascii="宋体" w:hAnsi="宋体" w:cs="宋体"/>
          <w:color w:val="auto"/>
          <w:szCs w:val="21"/>
        </w:rPr>
        <w:t>（五）投标人同意按照贵方要求提供与投标有关的一切数据或资料。</w:t>
      </w:r>
    </w:p>
    <w:p w14:paraId="0232F35B">
      <w:pPr>
        <w:spacing w:line="440" w:lineRule="exact"/>
        <w:ind w:firstLine="420" w:firstLineChars="200"/>
        <w:rPr>
          <w:rFonts w:ascii="宋体" w:hAnsi="宋体" w:cs="宋体"/>
          <w:color w:val="auto"/>
          <w:szCs w:val="21"/>
        </w:rPr>
      </w:pPr>
      <w:r>
        <w:rPr>
          <w:rFonts w:hint="eastAsia" w:ascii="宋体" w:hAnsi="宋体" w:cs="宋体"/>
          <w:color w:val="auto"/>
          <w:szCs w:val="21"/>
        </w:rPr>
        <w:t>（六）我方向贵方提交的所有投标文件、资料都是准确的和真实的。</w:t>
      </w:r>
    </w:p>
    <w:p w14:paraId="3D16A9A7">
      <w:pPr>
        <w:spacing w:line="440" w:lineRule="exact"/>
        <w:ind w:firstLine="420" w:firstLineChars="200"/>
        <w:rPr>
          <w:rFonts w:ascii="宋体" w:hAnsi="宋体" w:cs="宋体"/>
          <w:color w:val="auto"/>
          <w:szCs w:val="21"/>
        </w:rPr>
      </w:pPr>
      <w:r>
        <w:rPr>
          <w:rFonts w:hint="eastAsia" w:ascii="宋体" w:hAnsi="宋体" w:cs="宋体"/>
          <w:color w:val="auto"/>
          <w:szCs w:val="21"/>
        </w:rPr>
        <w:t>（七）我方不是采购人的附属机构；在获知本项目采购信息后，与采购人聘请的为此项目提供咨询服务的公司及其附属机构没有任何联系。</w:t>
      </w:r>
    </w:p>
    <w:p w14:paraId="7582EC5B">
      <w:pPr>
        <w:spacing w:line="440" w:lineRule="exact"/>
        <w:ind w:firstLine="420" w:firstLineChars="200"/>
        <w:rPr>
          <w:rFonts w:ascii="宋体" w:hAnsi="宋体" w:cs="宋体"/>
          <w:color w:val="auto"/>
          <w:szCs w:val="21"/>
          <w:u w:val="single"/>
        </w:rPr>
      </w:pPr>
      <w:r>
        <w:rPr>
          <w:rFonts w:hint="eastAsia" w:ascii="宋体" w:hAnsi="宋体" w:cs="宋体"/>
          <w:color w:val="auto"/>
          <w:szCs w:val="21"/>
        </w:rPr>
        <w:t>（八）以上事项如有虚假或隐瞒，我方愿意承担一切后果，并不再寻求任何旨在减轻或免除法律责任的辩解。</w:t>
      </w:r>
    </w:p>
    <w:p w14:paraId="647A7720">
      <w:pPr>
        <w:spacing w:line="440" w:lineRule="exact"/>
        <w:ind w:firstLine="420" w:firstLineChars="200"/>
        <w:rPr>
          <w:rFonts w:ascii="宋体" w:hAnsi="宋体" w:cs="宋体"/>
          <w:color w:val="auto"/>
          <w:szCs w:val="21"/>
        </w:rPr>
      </w:pPr>
      <w:r>
        <w:rPr>
          <w:rFonts w:hint="eastAsia" w:ascii="宋体" w:hAnsi="宋体" w:cs="宋体"/>
          <w:color w:val="auto"/>
          <w:szCs w:val="21"/>
        </w:rPr>
        <w:t>（九）本投标有关的一切正式往来信函请寄：</w:t>
      </w:r>
    </w:p>
    <w:p w14:paraId="4BEDF87B">
      <w:pPr>
        <w:spacing w:line="440" w:lineRule="exact"/>
        <w:ind w:firstLine="435"/>
        <w:rPr>
          <w:rFonts w:ascii="宋体" w:hAnsi="宋体" w:cs="宋体"/>
          <w:color w:val="auto"/>
          <w:szCs w:val="21"/>
        </w:rPr>
      </w:pPr>
      <w:r>
        <w:rPr>
          <w:rFonts w:hint="eastAsia" w:ascii="宋体" w:hAnsi="宋体" w:cs="宋体"/>
          <w:color w:val="auto"/>
          <w:szCs w:val="21"/>
        </w:rPr>
        <w:t xml:space="preserve">   地址</w:t>
      </w:r>
      <w:r>
        <w:rPr>
          <w:rFonts w:hint="eastAsia" w:ascii="宋体" w:hAnsi="宋体" w:cs="宋体"/>
          <w:color w:val="auto"/>
          <w:szCs w:val="21"/>
          <w:u w:val="single"/>
        </w:rPr>
        <w:t xml:space="preserve">                           </w:t>
      </w:r>
    </w:p>
    <w:p w14:paraId="35393447">
      <w:pPr>
        <w:spacing w:line="440" w:lineRule="exact"/>
        <w:ind w:firstLine="435"/>
        <w:rPr>
          <w:rFonts w:ascii="宋体" w:hAnsi="宋体" w:cs="宋体"/>
          <w:color w:val="auto"/>
          <w:szCs w:val="21"/>
        </w:rPr>
      </w:pPr>
      <w:r>
        <w:rPr>
          <w:rFonts w:hint="eastAsia" w:ascii="宋体" w:hAnsi="宋体" w:cs="宋体"/>
          <w:color w:val="auto"/>
          <w:szCs w:val="21"/>
        </w:rPr>
        <w:t xml:space="preserve">   电话</w:t>
      </w:r>
      <w:r>
        <w:rPr>
          <w:rFonts w:hint="eastAsia" w:ascii="宋体" w:hAnsi="宋体" w:cs="宋体"/>
          <w:color w:val="auto"/>
          <w:szCs w:val="21"/>
          <w:u w:val="single"/>
        </w:rPr>
        <w:t xml:space="preserve">                           </w:t>
      </w:r>
    </w:p>
    <w:p w14:paraId="59053C8C">
      <w:pPr>
        <w:spacing w:line="440" w:lineRule="exact"/>
        <w:ind w:firstLine="735" w:firstLineChars="350"/>
        <w:rPr>
          <w:rFonts w:ascii="宋体" w:hAnsi="宋体" w:cs="宋体"/>
          <w:color w:val="auto"/>
          <w:szCs w:val="21"/>
        </w:rPr>
      </w:pPr>
      <w:r>
        <w:rPr>
          <w:rFonts w:hint="eastAsia" w:ascii="宋体" w:hAnsi="宋体" w:cs="宋体"/>
          <w:color w:val="auto"/>
          <w:szCs w:val="21"/>
        </w:rPr>
        <w:t>电子邮件</w:t>
      </w:r>
      <w:r>
        <w:rPr>
          <w:rFonts w:hint="eastAsia" w:ascii="宋体" w:hAnsi="宋体" w:cs="宋体"/>
          <w:color w:val="auto"/>
          <w:szCs w:val="21"/>
          <w:u w:val="single"/>
        </w:rPr>
        <w:t xml:space="preserve">                           </w:t>
      </w:r>
    </w:p>
    <w:p w14:paraId="73CE72CA">
      <w:pPr>
        <w:spacing w:line="360" w:lineRule="auto"/>
        <w:ind w:firstLine="435"/>
        <w:rPr>
          <w:rFonts w:ascii="宋体" w:hAnsi="宋体" w:cs="宋体"/>
          <w:color w:val="auto"/>
          <w:szCs w:val="21"/>
        </w:rPr>
      </w:pPr>
    </w:p>
    <w:p w14:paraId="73653693">
      <w:pPr>
        <w:spacing w:line="440" w:lineRule="exact"/>
        <w:ind w:firstLine="4860"/>
        <w:rPr>
          <w:rFonts w:ascii="宋体" w:hAnsi="宋体" w:cs="宋体"/>
          <w:b/>
          <w:bCs/>
          <w:color w:val="auto"/>
          <w:szCs w:val="21"/>
        </w:rPr>
      </w:pPr>
      <w:r>
        <w:rPr>
          <w:rFonts w:hint="eastAsia" w:ascii="宋体" w:hAnsi="宋体" w:cs="宋体"/>
          <w:b/>
          <w:bCs/>
          <w:color w:val="auto"/>
          <w:szCs w:val="21"/>
        </w:rPr>
        <w:t>投标人（盖章）：</w:t>
      </w:r>
      <w:r>
        <w:rPr>
          <w:rFonts w:hint="eastAsia" w:ascii="宋体" w:hAnsi="宋体" w:cs="宋体"/>
          <w:b/>
          <w:bCs/>
          <w:color w:val="auto"/>
          <w:szCs w:val="21"/>
          <w:u w:val="single"/>
        </w:rPr>
        <w:t xml:space="preserve">                               </w:t>
      </w:r>
    </w:p>
    <w:p w14:paraId="54E34769">
      <w:pPr>
        <w:spacing w:line="440" w:lineRule="exact"/>
        <w:ind w:firstLine="4860"/>
        <w:rPr>
          <w:rFonts w:ascii="宋体" w:hAnsi="宋体" w:cs="宋体"/>
          <w:b/>
          <w:bCs/>
          <w:color w:val="auto"/>
          <w:szCs w:val="21"/>
          <w:u w:val="single"/>
        </w:rPr>
      </w:pPr>
      <w:r>
        <w:rPr>
          <w:rFonts w:hint="eastAsia" w:ascii="宋体" w:hAnsi="宋体" w:cs="宋体"/>
          <w:b/>
          <w:bCs/>
          <w:color w:val="auto"/>
          <w:szCs w:val="21"/>
        </w:rPr>
        <w:t>日 期：  年  月  日</w:t>
      </w:r>
      <w:r>
        <w:rPr>
          <w:rFonts w:hint="eastAsia" w:ascii="宋体" w:hAnsi="宋体" w:cs="宋体"/>
          <w:b/>
          <w:bCs/>
          <w:color w:val="auto"/>
          <w:szCs w:val="21"/>
          <w:u w:val="single"/>
        </w:rPr>
        <w:t xml:space="preserve">                            </w:t>
      </w:r>
    </w:p>
    <w:p w14:paraId="1E514152">
      <w:pPr>
        <w:spacing w:line="460" w:lineRule="exact"/>
        <w:outlineLvl w:val="0"/>
        <w:rPr>
          <w:rFonts w:hint="eastAsia" w:ascii="楷体_GB2312" w:eastAsia="宋体"/>
          <w:b/>
          <w:bCs/>
          <w:color w:val="auto"/>
          <w:sz w:val="22"/>
          <w:szCs w:val="22"/>
          <w:lang w:eastAsia="zh-CN"/>
        </w:rPr>
      </w:pPr>
      <w:r>
        <w:rPr>
          <w:rFonts w:hint="eastAsia" w:ascii="楷体_GB2312" w:eastAsia="楷体_GB2312"/>
          <w:b/>
          <w:bCs/>
          <w:color w:val="auto"/>
          <w:sz w:val="22"/>
          <w:szCs w:val="22"/>
        </w:rPr>
        <w:br w:type="page"/>
      </w:r>
      <w:bookmarkStart w:id="197" w:name="_Toc15651"/>
      <w:r>
        <w:rPr>
          <w:rFonts w:hint="eastAsia" w:ascii="宋体" w:hAnsi="宋体" w:cs="宋体"/>
          <w:b/>
          <w:bCs/>
          <w:color w:val="auto"/>
          <w:sz w:val="22"/>
          <w:szCs w:val="22"/>
        </w:rPr>
        <w:t>附件</w:t>
      </w:r>
      <w:bookmarkEnd w:id="197"/>
      <w:r>
        <w:rPr>
          <w:rFonts w:hint="eastAsia" w:ascii="宋体" w:hAnsi="宋体" w:cs="宋体"/>
          <w:b/>
          <w:bCs/>
          <w:color w:val="auto"/>
          <w:sz w:val="22"/>
          <w:szCs w:val="22"/>
          <w:lang w:val="en-US" w:eastAsia="zh-CN"/>
        </w:rPr>
        <w:t>6</w:t>
      </w:r>
    </w:p>
    <w:p w14:paraId="7AD8FB47">
      <w:pPr>
        <w:spacing w:line="460" w:lineRule="exact"/>
        <w:jc w:val="center"/>
        <w:outlineLvl w:val="0"/>
        <w:rPr>
          <w:rFonts w:ascii="宋体" w:hAnsi="宋体"/>
          <w:b/>
          <w:bCs/>
          <w:color w:val="auto"/>
          <w:kern w:val="0"/>
          <w:sz w:val="30"/>
          <w:szCs w:val="30"/>
        </w:rPr>
      </w:pPr>
      <w:r>
        <w:rPr>
          <w:rFonts w:hint="eastAsia" w:ascii="宋体" w:hAnsi="宋体"/>
          <w:b/>
          <w:bCs/>
          <w:color w:val="auto"/>
          <w:kern w:val="0"/>
          <w:sz w:val="30"/>
          <w:szCs w:val="30"/>
        </w:rPr>
        <w:t>投标人基本情况表</w:t>
      </w:r>
    </w:p>
    <w:tbl>
      <w:tblPr>
        <w:tblStyle w:val="2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43"/>
        <w:gridCol w:w="1434"/>
        <w:gridCol w:w="1423"/>
        <w:gridCol w:w="1431"/>
        <w:gridCol w:w="1533"/>
        <w:gridCol w:w="308"/>
        <w:gridCol w:w="1571"/>
      </w:tblGrid>
      <w:tr w14:paraId="4746FF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1543" w:type="dxa"/>
            <w:tcBorders>
              <w:top w:val="single" w:color="auto" w:sz="4" w:space="0"/>
              <w:left w:val="single" w:color="auto" w:sz="4" w:space="0"/>
              <w:bottom w:val="single" w:color="auto" w:sz="4" w:space="0"/>
              <w:right w:val="single" w:color="auto" w:sz="4" w:space="0"/>
            </w:tcBorders>
            <w:vAlign w:val="center"/>
          </w:tcPr>
          <w:p w14:paraId="7A449900">
            <w:pPr>
              <w:spacing w:line="320" w:lineRule="exact"/>
              <w:jc w:val="center"/>
              <w:rPr>
                <w:rFonts w:ascii="宋体" w:hAnsi="宋体"/>
                <w:bCs/>
                <w:color w:val="auto"/>
                <w:szCs w:val="21"/>
              </w:rPr>
            </w:pPr>
            <w:r>
              <w:rPr>
                <w:rFonts w:hint="eastAsia" w:ascii="宋体" w:hAnsi="宋体"/>
                <w:bCs/>
                <w:color w:val="auto"/>
                <w:szCs w:val="21"/>
              </w:rPr>
              <w:t>投标人名称</w:t>
            </w:r>
          </w:p>
        </w:tc>
        <w:tc>
          <w:tcPr>
            <w:tcW w:w="7700" w:type="dxa"/>
            <w:gridSpan w:val="6"/>
            <w:tcBorders>
              <w:top w:val="single" w:color="auto" w:sz="4" w:space="0"/>
              <w:left w:val="single" w:color="auto" w:sz="4" w:space="0"/>
              <w:bottom w:val="single" w:color="auto" w:sz="4" w:space="0"/>
              <w:right w:val="single" w:color="auto" w:sz="4" w:space="0"/>
            </w:tcBorders>
            <w:vAlign w:val="center"/>
          </w:tcPr>
          <w:p w14:paraId="717A1F55">
            <w:pPr>
              <w:spacing w:line="240" w:lineRule="exact"/>
              <w:rPr>
                <w:rFonts w:ascii="宋体" w:hAnsi="宋体"/>
                <w:color w:val="auto"/>
                <w:szCs w:val="21"/>
              </w:rPr>
            </w:pPr>
          </w:p>
        </w:tc>
      </w:tr>
      <w:tr w14:paraId="49C481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1543" w:type="dxa"/>
            <w:tcBorders>
              <w:top w:val="single" w:color="auto" w:sz="4" w:space="0"/>
              <w:left w:val="single" w:color="auto" w:sz="4" w:space="0"/>
              <w:bottom w:val="single" w:color="auto" w:sz="4" w:space="0"/>
              <w:right w:val="single" w:color="auto" w:sz="4" w:space="0"/>
            </w:tcBorders>
            <w:vAlign w:val="center"/>
          </w:tcPr>
          <w:p w14:paraId="1BBB12B6">
            <w:pPr>
              <w:spacing w:line="320" w:lineRule="exact"/>
              <w:ind w:left="-38" w:leftChars="-51" w:right="-107" w:rightChars="-51" w:hanging="69" w:hangingChars="33"/>
              <w:jc w:val="center"/>
              <w:rPr>
                <w:rFonts w:ascii="宋体" w:hAnsi="宋体"/>
                <w:bCs/>
                <w:color w:val="auto"/>
                <w:szCs w:val="21"/>
              </w:rPr>
            </w:pPr>
            <w:r>
              <w:rPr>
                <w:rFonts w:hint="eastAsia" w:ascii="宋体" w:hAnsi="宋体"/>
                <w:bCs/>
                <w:color w:val="auto"/>
                <w:szCs w:val="21"/>
              </w:rPr>
              <w:t>法定代表人</w:t>
            </w:r>
          </w:p>
        </w:tc>
        <w:tc>
          <w:tcPr>
            <w:tcW w:w="1434" w:type="dxa"/>
            <w:tcBorders>
              <w:top w:val="single" w:color="auto" w:sz="4" w:space="0"/>
              <w:left w:val="single" w:color="auto" w:sz="4" w:space="0"/>
              <w:bottom w:val="single" w:color="auto" w:sz="4" w:space="0"/>
              <w:right w:val="single" w:color="auto" w:sz="4" w:space="0"/>
            </w:tcBorders>
            <w:vAlign w:val="center"/>
          </w:tcPr>
          <w:p w14:paraId="5EE283F0">
            <w:pPr>
              <w:spacing w:line="240" w:lineRule="exact"/>
              <w:jc w:val="center"/>
              <w:rPr>
                <w:rFonts w:ascii="宋体" w:hAnsi="宋体"/>
                <w:bCs/>
                <w:color w:val="auto"/>
                <w:szCs w:val="21"/>
              </w:rPr>
            </w:pPr>
          </w:p>
        </w:tc>
        <w:tc>
          <w:tcPr>
            <w:tcW w:w="1423" w:type="dxa"/>
            <w:tcBorders>
              <w:top w:val="single" w:color="auto" w:sz="4" w:space="0"/>
              <w:left w:val="single" w:color="auto" w:sz="4" w:space="0"/>
              <w:bottom w:val="single" w:color="auto" w:sz="4" w:space="0"/>
              <w:right w:val="single" w:color="auto" w:sz="4" w:space="0"/>
            </w:tcBorders>
            <w:vAlign w:val="center"/>
          </w:tcPr>
          <w:p w14:paraId="439401AA">
            <w:pPr>
              <w:spacing w:line="320" w:lineRule="exact"/>
              <w:ind w:left="-38" w:leftChars="-51" w:right="-107" w:rightChars="-51" w:hanging="69" w:hangingChars="33"/>
              <w:jc w:val="center"/>
              <w:rPr>
                <w:rFonts w:ascii="宋体" w:hAnsi="宋体"/>
                <w:bCs/>
                <w:color w:val="auto"/>
                <w:szCs w:val="21"/>
              </w:rPr>
            </w:pPr>
            <w:r>
              <w:rPr>
                <w:rFonts w:hint="eastAsia" w:ascii="宋体" w:hAnsi="宋体"/>
                <w:bCs/>
                <w:color w:val="auto"/>
                <w:szCs w:val="21"/>
              </w:rPr>
              <w:t>授权代表人</w:t>
            </w:r>
          </w:p>
        </w:tc>
        <w:tc>
          <w:tcPr>
            <w:tcW w:w="1431" w:type="dxa"/>
            <w:tcBorders>
              <w:top w:val="single" w:color="auto" w:sz="4" w:space="0"/>
              <w:left w:val="single" w:color="auto" w:sz="4" w:space="0"/>
              <w:bottom w:val="single" w:color="auto" w:sz="4" w:space="0"/>
              <w:right w:val="single" w:color="auto" w:sz="4" w:space="0"/>
            </w:tcBorders>
            <w:vAlign w:val="center"/>
          </w:tcPr>
          <w:p w14:paraId="0E1C0147">
            <w:pPr>
              <w:spacing w:line="240" w:lineRule="exact"/>
              <w:jc w:val="center"/>
              <w:rPr>
                <w:rFonts w:ascii="宋体" w:hAnsi="宋体"/>
                <w:bCs/>
                <w:color w:val="auto"/>
                <w:szCs w:val="21"/>
              </w:rPr>
            </w:pPr>
          </w:p>
        </w:tc>
        <w:tc>
          <w:tcPr>
            <w:tcW w:w="1533" w:type="dxa"/>
            <w:tcBorders>
              <w:top w:val="single" w:color="auto" w:sz="4" w:space="0"/>
              <w:left w:val="single" w:color="auto" w:sz="4" w:space="0"/>
              <w:bottom w:val="single" w:color="auto" w:sz="4" w:space="0"/>
              <w:right w:val="single" w:color="auto" w:sz="4" w:space="0"/>
            </w:tcBorders>
            <w:vAlign w:val="center"/>
          </w:tcPr>
          <w:p w14:paraId="5028DCC6">
            <w:pPr>
              <w:spacing w:line="320" w:lineRule="exact"/>
              <w:jc w:val="center"/>
              <w:rPr>
                <w:rFonts w:ascii="宋体" w:hAnsi="宋体"/>
                <w:bCs/>
                <w:color w:val="auto"/>
                <w:szCs w:val="21"/>
              </w:rPr>
            </w:pPr>
            <w:r>
              <w:rPr>
                <w:rFonts w:hint="eastAsia" w:ascii="宋体" w:hAnsi="宋体"/>
                <w:bCs/>
                <w:color w:val="auto"/>
                <w:szCs w:val="21"/>
              </w:rPr>
              <w:t>营业（经营）执照号码</w:t>
            </w:r>
          </w:p>
        </w:tc>
        <w:tc>
          <w:tcPr>
            <w:tcW w:w="1879" w:type="dxa"/>
            <w:gridSpan w:val="2"/>
            <w:tcBorders>
              <w:top w:val="single" w:color="auto" w:sz="4" w:space="0"/>
              <w:left w:val="single" w:color="auto" w:sz="4" w:space="0"/>
              <w:bottom w:val="single" w:color="auto" w:sz="4" w:space="0"/>
              <w:right w:val="single" w:color="auto" w:sz="4" w:space="0"/>
            </w:tcBorders>
            <w:vAlign w:val="center"/>
          </w:tcPr>
          <w:p w14:paraId="39BA6C60">
            <w:pPr>
              <w:spacing w:line="240" w:lineRule="exact"/>
              <w:rPr>
                <w:rFonts w:ascii="宋体" w:hAnsi="宋体"/>
                <w:bCs/>
                <w:color w:val="auto"/>
                <w:szCs w:val="21"/>
              </w:rPr>
            </w:pPr>
          </w:p>
        </w:tc>
      </w:tr>
      <w:tr w14:paraId="1FFC59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1543" w:type="dxa"/>
            <w:tcBorders>
              <w:top w:val="single" w:color="auto" w:sz="4" w:space="0"/>
              <w:left w:val="single" w:color="auto" w:sz="4" w:space="0"/>
              <w:bottom w:val="single" w:color="auto" w:sz="4" w:space="0"/>
              <w:right w:val="single" w:color="auto" w:sz="4" w:space="0"/>
            </w:tcBorders>
            <w:vAlign w:val="center"/>
          </w:tcPr>
          <w:p w14:paraId="40A4CB9A">
            <w:pPr>
              <w:spacing w:line="320" w:lineRule="exact"/>
              <w:jc w:val="center"/>
              <w:rPr>
                <w:rFonts w:ascii="宋体" w:hAnsi="宋体"/>
                <w:bCs/>
                <w:color w:val="auto"/>
                <w:szCs w:val="21"/>
              </w:rPr>
            </w:pPr>
            <w:r>
              <w:rPr>
                <w:rFonts w:hint="eastAsia" w:ascii="宋体" w:hAnsi="宋体"/>
                <w:bCs/>
                <w:color w:val="auto"/>
                <w:szCs w:val="21"/>
              </w:rPr>
              <w:t>职工人数</w:t>
            </w:r>
          </w:p>
        </w:tc>
        <w:tc>
          <w:tcPr>
            <w:tcW w:w="1434" w:type="dxa"/>
            <w:tcBorders>
              <w:top w:val="single" w:color="auto" w:sz="4" w:space="0"/>
              <w:left w:val="single" w:color="auto" w:sz="4" w:space="0"/>
              <w:bottom w:val="single" w:color="auto" w:sz="4" w:space="0"/>
              <w:right w:val="single" w:color="auto" w:sz="4" w:space="0"/>
            </w:tcBorders>
            <w:vAlign w:val="center"/>
          </w:tcPr>
          <w:p w14:paraId="1ECFE9DD">
            <w:pPr>
              <w:spacing w:line="240" w:lineRule="exact"/>
              <w:jc w:val="center"/>
              <w:rPr>
                <w:rFonts w:ascii="宋体" w:hAnsi="宋体"/>
                <w:bCs/>
                <w:color w:val="auto"/>
                <w:szCs w:val="21"/>
              </w:rPr>
            </w:pPr>
          </w:p>
        </w:tc>
        <w:tc>
          <w:tcPr>
            <w:tcW w:w="1423" w:type="dxa"/>
            <w:tcBorders>
              <w:top w:val="single" w:color="auto" w:sz="4" w:space="0"/>
              <w:left w:val="single" w:color="auto" w:sz="4" w:space="0"/>
              <w:bottom w:val="single" w:color="auto" w:sz="4" w:space="0"/>
              <w:right w:val="single" w:color="auto" w:sz="4" w:space="0"/>
            </w:tcBorders>
            <w:vAlign w:val="center"/>
          </w:tcPr>
          <w:p w14:paraId="5CE7C9C9">
            <w:pPr>
              <w:spacing w:line="320" w:lineRule="exact"/>
              <w:jc w:val="center"/>
              <w:rPr>
                <w:rFonts w:ascii="宋体" w:hAnsi="宋体"/>
                <w:bCs/>
                <w:color w:val="auto"/>
                <w:szCs w:val="21"/>
              </w:rPr>
            </w:pPr>
            <w:r>
              <w:rPr>
                <w:rFonts w:hint="eastAsia" w:ascii="宋体" w:hAnsi="宋体"/>
                <w:bCs/>
                <w:color w:val="auto"/>
                <w:szCs w:val="21"/>
              </w:rPr>
              <w:t>注册时间</w:t>
            </w:r>
          </w:p>
        </w:tc>
        <w:tc>
          <w:tcPr>
            <w:tcW w:w="1431" w:type="dxa"/>
            <w:tcBorders>
              <w:top w:val="single" w:color="auto" w:sz="4" w:space="0"/>
              <w:left w:val="single" w:color="auto" w:sz="4" w:space="0"/>
              <w:bottom w:val="single" w:color="auto" w:sz="4" w:space="0"/>
              <w:right w:val="single" w:color="auto" w:sz="4" w:space="0"/>
            </w:tcBorders>
            <w:vAlign w:val="center"/>
          </w:tcPr>
          <w:p w14:paraId="7D5C3574">
            <w:pPr>
              <w:spacing w:line="240" w:lineRule="exact"/>
              <w:ind w:right="-89"/>
              <w:jc w:val="center"/>
              <w:rPr>
                <w:rFonts w:ascii="宋体" w:hAnsi="宋体"/>
                <w:bCs/>
                <w:color w:val="auto"/>
                <w:szCs w:val="21"/>
              </w:rPr>
            </w:pPr>
          </w:p>
        </w:tc>
        <w:tc>
          <w:tcPr>
            <w:tcW w:w="1533" w:type="dxa"/>
            <w:tcBorders>
              <w:top w:val="single" w:color="auto" w:sz="4" w:space="0"/>
              <w:left w:val="single" w:color="auto" w:sz="4" w:space="0"/>
              <w:bottom w:val="single" w:color="auto" w:sz="4" w:space="0"/>
              <w:right w:val="single" w:color="auto" w:sz="4" w:space="0"/>
            </w:tcBorders>
            <w:vAlign w:val="center"/>
          </w:tcPr>
          <w:p w14:paraId="0E6FB17B">
            <w:pPr>
              <w:spacing w:line="320" w:lineRule="exact"/>
              <w:ind w:left="-38" w:leftChars="-51" w:hanging="69" w:hangingChars="33"/>
              <w:jc w:val="center"/>
              <w:rPr>
                <w:rFonts w:ascii="宋体" w:hAnsi="宋体"/>
                <w:bCs/>
                <w:color w:val="auto"/>
                <w:szCs w:val="21"/>
              </w:rPr>
            </w:pPr>
            <w:r>
              <w:rPr>
                <w:rFonts w:hint="eastAsia" w:ascii="宋体" w:hAnsi="宋体"/>
                <w:bCs/>
                <w:color w:val="auto"/>
                <w:szCs w:val="21"/>
              </w:rPr>
              <w:t>注册资金</w:t>
            </w:r>
          </w:p>
        </w:tc>
        <w:tc>
          <w:tcPr>
            <w:tcW w:w="1879" w:type="dxa"/>
            <w:gridSpan w:val="2"/>
            <w:tcBorders>
              <w:top w:val="single" w:color="auto" w:sz="4" w:space="0"/>
              <w:left w:val="single" w:color="auto" w:sz="4" w:space="0"/>
              <w:bottom w:val="single" w:color="auto" w:sz="4" w:space="0"/>
              <w:right w:val="single" w:color="auto" w:sz="4" w:space="0"/>
            </w:tcBorders>
            <w:vAlign w:val="center"/>
          </w:tcPr>
          <w:p w14:paraId="68CFFE26">
            <w:pPr>
              <w:spacing w:line="320" w:lineRule="exact"/>
              <w:rPr>
                <w:rFonts w:ascii="宋体" w:hAnsi="宋体"/>
                <w:bCs/>
                <w:color w:val="auto"/>
                <w:szCs w:val="21"/>
              </w:rPr>
            </w:pPr>
            <w:r>
              <w:rPr>
                <w:rFonts w:ascii="宋体" w:hAnsi="宋体"/>
                <w:bCs/>
                <w:color w:val="auto"/>
                <w:szCs w:val="21"/>
              </w:rPr>
              <w:t xml:space="preserve">      </w:t>
            </w:r>
            <w:r>
              <w:rPr>
                <w:rFonts w:hint="eastAsia" w:ascii="宋体" w:hAnsi="宋体"/>
                <w:bCs/>
                <w:color w:val="auto"/>
                <w:szCs w:val="21"/>
              </w:rPr>
              <w:t>万元</w:t>
            </w:r>
          </w:p>
        </w:tc>
      </w:tr>
      <w:tr w14:paraId="244C6A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1543" w:type="dxa"/>
            <w:tcBorders>
              <w:top w:val="single" w:color="auto" w:sz="4" w:space="0"/>
              <w:left w:val="single" w:color="auto" w:sz="4" w:space="0"/>
              <w:bottom w:val="single" w:color="auto" w:sz="4" w:space="0"/>
              <w:right w:val="single" w:color="auto" w:sz="4" w:space="0"/>
            </w:tcBorders>
            <w:vAlign w:val="center"/>
          </w:tcPr>
          <w:p w14:paraId="2159CC38">
            <w:pPr>
              <w:spacing w:line="320" w:lineRule="exact"/>
              <w:jc w:val="center"/>
              <w:rPr>
                <w:rFonts w:ascii="宋体" w:hAnsi="宋体"/>
                <w:bCs/>
                <w:color w:val="auto"/>
                <w:szCs w:val="21"/>
              </w:rPr>
            </w:pPr>
            <w:r>
              <w:rPr>
                <w:rFonts w:hint="eastAsia" w:ascii="宋体" w:hAnsi="宋体"/>
                <w:bCs/>
                <w:color w:val="auto"/>
                <w:szCs w:val="21"/>
              </w:rPr>
              <w:t>地   址</w:t>
            </w:r>
          </w:p>
        </w:tc>
        <w:tc>
          <w:tcPr>
            <w:tcW w:w="7700" w:type="dxa"/>
            <w:gridSpan w:val="6"/>
            <w:tcBorders>
              <w:top w:val="single" w:color="auto" w:sz="4" w:space="0"/>
              <w:left w:val="single" w:color="auto" w:sz="4" w:space="0"/>
              <w:bottom w:val="single" w:color="auto" w:sz="4" w:space="0"/>
              <w:right w:val="single" w:color="auto" w:sz="4" w:space="0"/>
            </w:tcBorders>
            <w:vAlign w:val="center"/>
          </w:tcPr>
          <w:p w14:paraId="45AA9CF1">
            <w:pPr>
              <w:spacing w:line="240" w:lineRule="exact"/>
              <w:jc w:val="center"/>
              <w:rPr>
                <w:rFonts w:ascii="宋体" w:hAnsi="宋体"/>
                <w:bCs/>
                <w:color w:val="auto"/>
                <w:szCs w:val="21"/>
              </w:rPr>
            </w:pPr>
          </w:p>
        </w:tc>
      </w:tr>
      <w:tr w14:paraId="309B44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1543" w:type="dxa"/>
            <w:vMerge w:val="restart"/>
            <w:tcBorders>
              <w:top w:val="single" w:color="auto" w:sz="4" w:space="0"/>
              <w:left w:val="single" w:color="auto" w:sz="4" w:space="0"/>
              <w:right w:val="single" w:color="auto" w:sz="4" w:space="0"/>
            </w:tcBorders>
            <w:vAlign w:val="center"/>
          </w:tcPr>
          <w:p w14:paraId="35E68261">
            <w:pPr>
              <w:spacing w:line="320" w:lineRule="exact"/>
              <w:jc w:val="center"/>
              <w:rPr>
                <w:rFonts w:ascii="宋体" w:hAnsi="宋体"/>
                <w:color w:val="auto"/>
                <w:szCs w:val="21"/>
              </w:rPr>
            </w:pPr>
            <w:r>
              <w:rPr>
                <w:rFonts w:hint="eastAsia" w:ascii="宋体" w:hAnsi="宋体"/>
                <w:color w:val="auto"/>
                <w:szCs w:val="21"/>
              </w:rPr>
              <w:t>所获资质或认证</w:t>
            </w:r>
          </w:p>
        </w:tc>
        <w:tc>
          <w:tcPr>
            <w:tcW w:w="1434" w:type="dxa"/>
            <w:tcBorders>
              <w:top w:val="single" w:color="auto" w:sz="4" w:space="0"/>
              <w:left w:val="single" w:color="auto" w:sz="4" w:space="0"/>
              <w:bottom w:val="single" w:color="auto" w:sz="4" w:space="0"/>
              <w:right w:val="single" w:color="auto" w:sz="4" w:space="0"/>
            </w:tcBorders>
            <w:vAlign w:val="center"/>
          </w:tcPr>
          <w:p w14:paraId="2A517DAB">
            <w:pPr>
              <w:spacing w:line="320" w:lineRule="exact"/>
              <w:jc w:val="center"/>
              <w:rPr>
                <w:rFonts w:ascii="宋体" w:hAnsi="宋体"/>
                <w:bCs/>
                <w:color w:val="auto"/>
                <w:szCs w:val="21"/>
              </w:rPr>
            </w:pPr>
            <w:r>
              <w:rPr>
                <w:rFonts w:hint="eastAsia" w:ascii="宋体" w:hAnsi="宋体"/>
                <w:bCs/>
                <w:color w:val="auto"/>
                <w:szCs w:val="21"/>
              </w:rPr>
              <w:t>证书或证件名称及等级</w:t>
            </w:r>
          </w:p>
        </w:tc>
        <w:tc>
          <w:tcPr>
            <w:tcW w:w="2854" w:type="dxa"/>
            <w:gridSpan w:val="2"/>
            <w:tcBorders>
              <w:top w:val="single" w:color="auto" w:sz="4" w:space="0"/>
              <w:left w:val="single" w:color="auto" w:sz="4" w:space="0"/>
              <w:bottom w:val="single" w:color="auto" w:sz="4" w:space="0"/>
              <w:right w:val="single" w:color="auto" w:sz="4" w:space="0"/>
            </w:tcBorders>
            <w:vAlign w:val="center"/>
          </w:tcPr>
          <w:p w14:paraId="487C53E4">
            <w:pPr>
              <w:widowControl/>
              <w:spacing w:line="320" w:lineRule="exact"/>
              <w:jc w:val="center"/>
              <w:rPr>
                <w:rFonts w:ascii="宋体" w:hAnsi="宋体"/>
                <w:bCs/>
                <w:color w:val="auto"/>
                <w:szCs w:val="21"/>
              </w:rPr>
            </w:pPr>
            <w:r>
              <w:rPr>
                <w:rFonts w:hint="eastAsia" w:ascii="宋体" w:hAnsi="宋体"/>
                <w:bCs/>
                <w:color w:val="auto"/>
                <w:szCs w:val="21"/>
              </w:rPr>
              <w:t>颁发部门</w:t>
            </w:r>
          </w:p>
        </w:tc>
        <w:tc>
          <w:tcPr>
            <w:tcW w:w="1841" w:type="dxa"/>
            <w:gridSpan w:val="2"/>
            <w:tcBorders>
              <w:top w:val="single" w:color="auto" w:sz="4" w:space="0"/>
              <w:left w:val="single" w:color="auto" w:sz="4" w:space="0"/>
              <w:bottom w:val="single" w:color="auto" w:sz="4" w:space="0"/>
              <w:right w:val="single" w:color="auto" w:sz="4" w:space="0"/>
            </w:tcBorders>
            <w:vAlign w:val="center"/>
          </w:tcPr>
          <w:p w14:paraId="0750F987">
            <w:pPr>
              <w:widowControl/>
              <w:spacing w:line="320" w:lineRule="exact"/>
              <w:jc w:val="center"/>
              <w:rPr>
                <w:rFonts w:ascii="宋体" w:hAnsi="宋体"/>
                <w:bCs/>
                <w:color w:val="auto"/>
                <w:szCs w:val="21"/>
              </w:rPr>
            </w:pPr>
            <w:r>
              <w:rPr>
                <w:rFonts w:hint="eastAsia" w:ascii="宋体" w:hAnsi="宋体"/>
                <w:bCs/>
                <w:color w:val="auto"/>
                <w:szCs w:val="21"/>
              </w:rPr>
              <w:t>颁发时间</w:t>
            </w:r>
          </w:p>
        </w:tc>
        <w:tc>
          <w:tcPr>
            <w:tcW w:w="1571" w:type="dxa"/>
            <w:tcBorders>
              <w:top w:val="single" w:color="auto" w:sz="4" w:space="0"/>
              <w:left w:val="single" w:color="auto" w:sz="4" w:space="0"/>
              <w:bottom w:val="single" w:color="auto" w:sz="4" w:space="0"/>
              <w:right w:val="single" w:color="auto" w:sz="4" w:space="0"/>
            </w:tcBorders>
            <w:vAlign w:val="center"/>
          </w:tcPr>
          <w:p w14:paraId="06E3850E">
            <w:pPr>
              <w:widowControl/>
              <w:spacing w:line="320" w:lineRule="exact"/>
              <w:jc w:val="center"/>
              <w:rPr>
                <w:rFonts w:ascii="宋体" w:hAnsi="宋体"/>
                <w:bCs/>
                <w:color w:val="auto"/>
                <w:szCs w:val="21"/>
              </w:rPr>
            </w:pPr>
            <w:r>
              <w:rPr>
                <w:rFonts w:hint="eastAsia" w:ascii="宋体" w:hAnsi="宋体"/>
                <w:bCs/>
                <w:color w:val="auto"/>
                <w:szCs w:val="21"/>
              </w:rPr>
              <w:t>有效期</w:t>
            </w:r>
          </w:p>
        </w:tc>
      </w:tr>
      <w:tr w14:paraId="30E51A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1543" w:type="dxa"/>
            <w:vMerge w:val="continue"/>
            <w:tcBorders>
              <w:left w:val="single" w:color="auto" w:sz="4" w:space="0"/>
              <w:right w:val="single" w:color="auto" w:sz="4" w:space="0"/>
            </w:tcBorders>
            <w:vAlign w:val="center"/>
          </w:tcPr>
          <w:p w14:paraId="307000DD">
            <w:pPr>
              <w:spacing w:line="240" w:lineRule="exact"/>
              <w:jc w:val="center"/>
              <w:rPr>
                <w:rFonts w:ascii="宋体" w:hAnsi="宋体"/>
                <w:color w:val="auto"/>
                <w:szCs w:val="21"/>
              </w:rPr>
            </w:pPr>
          </w:p>
        </w:tc>
        <w:tc>
          <w:tcPr>
            <w:tcW w:w="1434" w:type="dxa"/>
            <w:tcBorders>
              <w:top w:val="single" w:color="auto" w:sz="4" w:space="0"/>
              <w:left w:val="single" w:color="auto" w:sz="4" w:space="0"/>
              <w:bottom w:val="single" w:color="auto" w:sz="4" w:space="0"/>
              <w:right w:val="single" w:color="auto" w:sz="4" w:space="0"/>
            </w:tcBorders>
            <w:vAlign w:val="center"/>
          </w:tcPr>
          <w:p w14:paraId="2D50AE99">
            <w:pPr>
              <w:spacing w:line="240" w:lineRule="exact"/>
              <w:rPr>
                <w:rFonts w:ascii="宋体" w:hAnsi="宋体"/>
                <w:color w:val="auto"/>
                <w:szCs w:val="21"/>
                <w:u w:val="single"/>
              </w:rPr>
            </w:pPr>
          </w:p>
        </w:tc>
        <w:tc>
          <w:tcPr>
            <w:tcW w:w="2854" w:type="dxa"/>
            <w:gridSpan w:val="2"/>
            <w:tcBorders>
              <w:top w:val="single" w:color="auto" w:sz="4" w:space="0"/>
              <w:left w:val="single" w:color="auto" w:sz="4" w:space="0"/>
              <w:bottom w:val="single" w:color="auto" w:sz="4" w:space="0"/>
              <w:right w:val="single" w:color="auto" w:sz="4" w:space="0"/>
            </w:tcBorders>
            <w:vAlign w:val="center"/>
          </w:tcPr>
          <w:p w14:paraId="73EC8F59">
            <w:pPr>
              <w:spacing w:line="240" w:lineRule="exact"/>
              <w:rPr>
                <w:rFonts w:ascii="宋体" w:hAnsi="宋体"/>
                <w:color w:val="auto"/>
                <w:szCs w:val="21"/>
                <w:u w:val="single"/>
              </w:rPr>
            </w:pPr>
          </w:p>
        </w:tc>
        <w:tc>
          <w:tcPr>
            <w:tcW w:w="1841" w:type="dxa"/>
            <w:gridSpan w:val="2"/>
            <w:tcBorders>
              <w:top w:val="single" w:color="auto" w:sz="4" w:space="0"/>
              <w:left w:val="single" w:color="auto" w:sz="4" w:space="0"/>
              <w:bottom w:val="single" w:color="auto" w:sz="4" w:space="0"/>
              <w:right w:val="single" w:color="auto" w:sz="4" w:space="0"/>
            </w:tcBorders>
            <w:vAlign w:val="center"/>
          </w:tcPr>
          <w:p w14:paraId="0A22E27D">
            <w:pPr>
              <w:spacing w:line="240" w:lineRule="exact"/>
              <w:rPr>
                <w:rFonts w:ascii="宋体" w:hAnsi="宋体"/>
                <w:color w:val="auto"/>
                <w:szCs w:val="21"/>
                <w:u w:val="single"/>
              </w:rPr>
            </w:pPr>
          </w:p>
        </w:tc>
        <w:tc>
          <w:tcPr>
            <w:tcW w:w="1571" w:type="dxa"/>
            <w:tcBorders>
              <w:top w:val="single" w:color="auto" w:sz="4" w:space="0"/>
              <w:left w:val="single" w:color="auto" w:sz="4" w:space="0"/>
              <w:bottom w:val="single" w:color="auto" w:sz="4" w:space="0"/>
              <w:right w:val="single" w:color="auto" w:sz="4" w:space="0"/>
            </w:tcBorders>
            <w:vAlign w:val="center"/>
          </w:tcPr>
          <w:p w14:paraId="0CFB1280">
            <w:pPr>
              <w:spacing w:line="240" w:lineRule="exact"/>
              <w:rPr>
                <w:rFonts w:ascii="宋体" w:hAnsi="宋体"/>
                <w:color w:val="auto"/>
                <w:szCs w:val="21"/>
                <w:u w:val="single"/>
              </w:rPr>
            </w:pPr>
          </w:p>
        </w:tc>
      </w:tr>
      <w:tr w14:paraId="0649B5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1543" w:type="dxa"/>
            <w:vMerge w:val="continue"/>
            <w:tcBorders>
              <w:left w:val="single" w:color="auto" w:sz="4" w:space="0"/>
              <w:right w:val="single" w:color="auto" w:sz="4" w:space="0"/>
            </w:tcBorders>
            <w:vAlign w:val="center"/>
          </w:tcPr>
          <w:p w14:paraId="615A1A79">
            <w:pPr>
              <w:spacing w:line="240" w:lineRule="exact"/>
              <w:jc w:val="center"/>
              <w:rPr>
                <w:rFonts w:ascii="宋体" w:hAnsi="宋体"/>
                <w:color w:val="auto"/>
                <w:szCs w:val="21"/>
              </w:rPr>
            </w:pPr>
          </w:p>
        </w:tc>
        <w:tc>
          <w:tcPr>
            <w:tcW w:w="1434" w:type="dxa"/>
            <w:tcBorders>
              <w:top w:val="single" w:color="auto" w:sz="4" w:space="0"/>
              <w:left w:val="single" w:color="auto" w:sz="4" w:space="0"/>
              <w:bottom w:val="single" w:color="auto" w:sz="4" w:space="0"/>
              <w:right w:val="single" w:color="auto" w:sz="4" w:space="0"/>
            </w:tcBorders>
            <w:vAlign w:val="center"/>
          </w:tcPr>
          <w:p w14:paraId="73296ECF">
            <w:pPr>
              <w:spacing w:line="240" w:lineRule="exact"/>
              <w:rPr>
                <w:rFonts w:ascii="宋体" w:hAnsi="宋体"/>
                <w:color w:val="auto"/>
                <w:szCs w:val="21"/>
                <w:u w:val="single"/>
              </w:rPr>
            </w:pPr>
          </w:p>
        </w:tc>
        <w:tc>
          <w:tcPr>
            <w:tcW w:w="2854" w:type="dxa"/>
            <w:gridSpan w:val="2"/>
            <w:tcBorders>
              <w:top w:val="single" w:color="auto" w:sz="4" w:space="0"/>
              <w:left w:val="single" w:color="auto" w:sz="4" w:space="0"/>
              <w:bottom w:val="single" w:color="auto" w:sz="4" w:space="0"/>
              <w:right w:val="single" w:color="auto" w:sz="4" w:space="0"/>
            </w:tcBorders>
            <w:vAlign w:val="center"/>
          </w:tcPr>
          <w:p w14:paraId="3D2D51FC">
            <w:pPr>
              <w:spacing w:line="240" w:lineRule="exact"/>
              <w:rPr>
                <w:rFonts w:ascii="宋体" w:hAnsi="宋体"/>
                <w:color w:val="auto"/>
                <w:szCs w:val="21"/>
                <w:u w:val="single"/>
              </w:rPr>
            </w:pPr>
          </w:p>
        </w:tc>
        <w:tc>
          <w:tcPr>
            <w:tcW w:w="1841" w:type="dxa"/>
            <w:gridSpan w:val="2"/>
            <w:tcBorders>
              <w:top w:val="single" w:color="auto" w:sz="4" w:space="0"/>
              <w:left w:val="single" w:color="auto" w:sz="4" w:space="0"/>
              <w:bottom w:val="single" w:color="auto" w:sz="4" w:space="0"/>
              <w:right w:val="single" w:color="auto" w:sz="4" w:space="0"/>
            </w:tcBorders>
            <w:vAlign w:val="center"/>
          </w:tcPr>
          <w:p w14:paraId="52D681F3">
            <w:pPr>
              <w:spacing w:line="240" w:lineRule="exact"/>
              <w:rPr>
                <w:rFonts w:ascii="宋体" w:hAnsi="宋体"/>
                <w:color w:val="auto"/>
                <w:szCs w:val="21"/>
                <w:u w:val="single"/>
              </w:rPr>
            </w:pPr>
          </w:p>
        </w:tc>
        <w:tc>
          <w:tcPr>
            <w:tcW w:w="1571" w:type="dxa"/>
            <w:tcBorders>
              <w:top w:val="single" w:color="auto" w:sz="4" w:space="0"/>
              <w:left w:val="single" w:color="auto" w:sz="4" w:space="0"/>
              <w:bottom w:val="single" w:color="auto" w:sz="4" w:space="0"/>
              <w:right w:val="single" w:color="auto" w:sz="4" w:space="0"/>
            </w:tcBorders>
            <w:vAlign w:val="center"/>
          </w:tcPr>
          <w:p w14:paraId="17072402">
            <w:pPr>
              <w:spacing w:line="240" w:lineRule="exact"/>
              <w:rPr>
                <w:rFonts w:ascii="宋体" w:hAnsi="宋体"/>
                <w:color w:val="auto"/>
                <w:szCs w:val="21"/>
                <w:u w:val="single"/>
              </w:rPr>
            </w:pPr>
          </w:p>
        </w:tc>
      </w:tr>
      <w:tr w14:paraId="630CAD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1543" w:type="dxa"/>
            <w:vMerge w:val="continue"/>
            <w:tcBorders>
              <w:left w:val="single" w:color="auto" w:sz="4" w:space="0"/>
              <w:right w:val="single" w:color="auto" w:sz="4" w:space="0"/>
            </w:tcBorders>
            <w:vAlign w:val="center"/>
          </w:tcPr>
          <w:p w14:paraId="3E8842F7">
            <w:pPr>
              <w:spacing w:line="240" w:lineRule="exact"/>
              <w:jc w:val="center"/>
              <w:rPr>
                <w:rFonts w:ascii="宋体" w:hAnsi="宋体"/>
                <w:color w:val="auto"/>
                <w:szCs w:val="21"/>
              </w:rPr>
            </w:pPr>
          </w:p>
        </w:tc>
        <w:tc>
          <w:tcPr>
            <w:tcW w:w="1434" w:type="dxa"/>
            <w:tcBorders>
              <w:top w:val="single" w:color="auto" w:sz="4" w:space="0"/>
              <w:left w:val="single" w:color="auto" w:sz="4" w:space="0"/>
              <w:bottom w:val="single" w:color="auto" w:sz="4" w:space="0"/>
              <w:right w:val="single" w:color="auto" w:sz="4" w:space="0"/>
            </w:tcBorders>
            <w:vAlign w:val="center"/>
          </w:tcPr>
          <w:p w14:paraId="29236B8B">
            <w:pPr>
              <w:spacing w:line="240" w:lineRule="exact"/>
              <w:rPr>
                <w:rFonts w:ascii="宋体" w:hAnsi="宋体"/>
                <w:color w:val="auto"/>
                <w:szCs w:val="21"/>
                <w:u w:val="single"/>
              </w:rPr>
            </w:pPr>
          </w:p>
        </w:tc>
        <w:tc>
          <w:tcPr>
            <w:tcW w:w="2854" w:type="dxa"/>
            <w:gridSpan w:val="2"/>
            <w:tcBorders>
              <w:top w:val="single" w:color="auto" w:sz="4" w:space="0"/>
              <w:left w:val="single" w:color="auto" w:sz="4" w:space="0"/>
              <w:bottom w:val="single" w:color="auto" w:sz="4" w:space="0"/>
              <w:right w:val="single" w:color="auto" w:sz="4" w:space="0"/>
            </w:tcBorders>
            <w:vAlign w:val="center"/>
          </w:tcPr>
          <w:p w14:paraId="1EFE71C0">
            <w:pPr>
              <w:spacing w:line="240" w:lineRule="exact"/>
              <w:rPr>
                <w:rFonts w:ascii="宋体" w:hAnsi="宋体"/>
                <w:color w:val="auto"/>
                <w:szCs w:val="21"/>
                <w:u w:val="single"/>
              </w:rPr>
            </w:pPr>
          </w:p>
        </w:tc>
        <w:tc>
          <w:tcPr>
            <w:tcW w:w="1841" w:type="dxa"/>
            <w:gridSpan w:val="2"/>
            <w:tcBorders>
              <w:top w:val="single" w:color="auto" w:sz="4" w:space="0"/>
              <w:left w:val="single" w:color="auto" w:sz="4" w:space="0"/>
              <w:bottom w:val="single" w:color="auto" w:sz="4" w:space="0"/>
              <w:right w:val="single" w:color="auto" w:sz="4" w:space="0"/>
            </w:tcBorders>
            <w:vAlign w:val="center"/>
          </w:tcPr>
          <w:p w14:paraId="2D9F49F1">
            <w:pPr>
              <w:spacing w:line="240" w:lineRule="exact"/>
              <w:rPr>
                <w:rFonts w:ascii="宋体" w:hAnsi="宋体"/>
                <w:color w:val="auto"/>
                <w:szCs w:val="21"/>
                <w:u w:val="single"/>
              </w:rPr>
            </w:pPr>
          </w:p>
        </w:tc>
        <w:tc>
          <w:tcPr>
            <w:tcW w:w="1571" w:type="dxa"/>
            <w:tcBorders>
              <w:top w:val="single" w:color="auto" w:sz="4" w:space="0"/>
              <w:left w:val="single" w:color="auto" w:sz="4" w:space="0"/>
              <w:bottom w:val="single" w:color="auto" w:sz="4" w:space="0"/>
              <w:right w:val="single" w:color="auto" w:sz="4" w:space="0"/>
            </w:tcBorders>
            <w:vAlign w:val="center"/>
          </w:tcPr>
          <w:p w14:paraId="08F5606A">
            <w:pPr>
              <w:spacing w:line="240" w:lineRule="exact"/>
              <w:rPr>
                <w:rFonts w:ascii="宋体" w:hAnsi="宋体"/>
                <w:color w:val="auto"/>
                <w:szCs w:val="21"/>
                <w:u w:val="single"/>
              </w:rPr>
            </w:pPr>
          </w:p>
        </w:tc>
      </w:tr>
      <w:tr w14:paraId="612053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1543" w:type="dxa"/>
            <w:vMerge w:val="continue"/>
            <w:tcBorders>
              <w:left w:val="single" w:color="auto" w:sz="4" w:space="0"/>
              <w:right w:val="single" w:color="auto" w:sz="4" w:space="0"/>
            </w:tcBorders>
            <w:vAlign w:val="center"/>
          </w:tcPr>
          <w:p w14:paraId="6A2FBF54">
            <w:pPr>
              <w:spacing w:line="240" w:lineRule="exact"/>
              <w:jc w:val="center"/>
              <w:rPr>
                <w:rFonts w:ascii="宋体" w:hAnsi="宋体"/>
                <w:color w:val="auto"/>
                <w:szCs w:val="21"/>
              </w:rPr>
            </w:pPr>
          </w:p>
        </w:tc>
        <w:tc>
          <w:tcPr>
            <w:tcW w:w="1434" w:type="dxa"/>
            <w:tcBorders>
              <w:top w:val="single" w:color="auto" w:sz="4" w:space="0"/>
              <w:left w:val="single" w:color="auto" w:sz="4" w:space="0"/>
              <w:bottom w:val="single" w:color="auto" w:sz="4" w:space="0"/>
              <w:right w:val="single" w:color="auto" w:sz="4" w:space="0"/>
            </w:tcBorders>
            <w:vAlign w:val="center"/>
          </w:tcPr>
          <w:p w14:paraId="7AD6DBB9">
            <w:pPr>
              <w:spacing w:line="240" w:lineRule="exact"/>
              <w:rPr>
                <w:rFonts w:ascii="宋体" w:hAnsi="宋体"/>
                <w:color w:val="auto"/>
                <w:szCs w:val="21"/>
                <w:u w:val="single"/>
              </w:rPr>
            </w:pPr>
          </w:p>
        </w:tc>
        <w:tc>
          <w:tcPr>
            <w:tcW w:w="2854" w:type="dxa"/>
            <w:gridSpan w:val="2"/>
            <w:tcBorders>
              <w:top w:val="single" w:color="auto" w:sz="4" w:space="0"/>
              <w:left w:val="single" w:color="auto" w:sz="4" w:space="0"/>
              <w:bottom w:val="single" w:color="auto" w:sz="4" w:space="0"/>
              <w:right w:val="single" w:color="auto" w:sz="4" w:space="0"/>
            </w:tcBorders>
            <w:vAlign w:val="center"/>
          </w:tcPr>
          <w:p w14:paraId="35AB462F">
            <w:pPr>
              <w:spacing w:line="240" w:lineRule="exact"/>
              <w:rPr>
                <w:rFonts w:ascii="宋体" w:hAnsi="宋体"/>
                <w:color w:val="auto"/>
                <w:szCs w:val="21"/>
                <w:u w:val="single"/>
              </w:rPr>
            </w:pPr>
          </w:p>
        </w:tc>
        <w:tc>
          <w:tcPr>
            <w:tcW w:w="1841" w:type="dxa"/>
            <w:gridSpan w:val="2"/>
            <w:tcBorders>
              <w:top w:val="single" w:color="auto" w:sz="4" w:space="0"/>
              <w:left w:val="single" w:color="auto" w:sz="4" w:space="0"/>
              <w:bottom w:val="single" w:color="auto" w:sz="4" w:space="0"/>
              <w:right w:val="single" w:color="auto" w:sz="4" w:space="0"/>
            </w:tcBorders>
            <w:vAlign w:val="center"/>
          </w:tcPr>
          <w:p w14:paraId="78A7319C">
            <w:pPr>
              <w:spacing w:line="240" w:lineRule="exact"/>
              <w:rPr>
                <w:rFonts w:ascii="宋体" w:hAnsi="宋体"/>
                <w:color w:val="auto"/>
                <w:szCs w:val="21"/>
                <w:u w:val="single"/>
              </w:rPr>
            </w:pPr>
          </w:p>
        </w:tc>
        <w:tc>
          <w:tcPr>
            <w:tcW w:w="1571" w:type="dxa"/>
            <w:tcBorders>
              <w:top w:val="single" w:color="auto" w:sz="4" w:space="0"/>
              <w:left w:val="single" w:color="auto" w:sz="4" w:space="0"/>
              <w:bottom w:val="single" w:color="auto" w:sz="4" w:space="0"/>
              <w:right w:val="single" w:color="auto" w:sz="4" w:space="0"/>
            </w:tcBorders>
            <w:vAlign w:val="center"/>
          </w:tcPr>
          <w:p w14:paraId="025D2478">
            <w:pPr>
              <w:spacing w:line="240" w:lineRule="exact"/>
              <w:rPr>
                <w:rFonts w:ascii="宋体" w:hAnsi="宋体"/>
                <w:color w:val="auto"/>
                <w:szCs w:val="21"/>
                <w:u w:val="single"/>
              </w:rPr>
            </w:pPr>
          </w:p>
        </w:tc>
      </w:tr>
      <w:tr w14:paraId="09E446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1543" w:type="dxa"/>
            <w:vMerge w:val="restart"/>
            <w:tcBorders>
              <w:top w:val="single" w:color="auto" w:sz="4" w:space="0"/>
              <w:left w:val="single" w:color="auto" w:sz="4" w:space="0"/>
              <w:right w:val="single" w:color="auto" w:sz="4" w:space="0"/>
            </w:tcBorders>
            <w:vAlign w:val="center"/>
          </w:tcPr>
          <w:p w14:paraId="257E043F">
            <w:pPr>
              <w:spacing w:line="320" w:lineRule="exact"/>
              <w:jc w:val="center"/>
              <w:rPr>
                <w:rFonts w:ascii="宋体" w:hAnsi="宋体"/>
                <w:color w:val="auto"/>
                <w:szCs w:val="21"/>
              </w:rPr>
            </w:pPr>
            <w:r>
              <w:rPr>
                <w:rFonts w:hint="eastAsia" w:ascii="宋体" w:hAnsi="宋体"/>
                <w:bCs/>
                <w:color w:val="auto"/>
                <w:szCs w:val="21"/>
              </w:rPr>
              <w:t>所获荣誉</w:t>
            </w:r>
          </w:p>
        </w:tc>
        <w:tc>
          <w:tcPr>
            <w:tcW w:w="1434" w:type="dxa"/>
            <w:tcBorders>
              <w:top w:val="single" w:color="auto" w:sz="4" w:space="0"/>
              <w:left w:val="single" w:color="auto" w:sz="4" w:space="0"/>
              <w:bottom w:val="single" w:color="auto" w:sz="4" w:space="0"/>
              <w:right w:val="single" w:color="auto" w:sz="4" w:space="0"/>
            </w:tcBorders>
            <w:vAlign w:val="center"/>
          </w:tcPr>
          <w:p w14:paraId="0905A13A">
            <w:pPr>
              <w:spacing w:line="320" w:lineRule="exact"/>
              <w:jc w:val="center"/>
              <w:rPr>
                <w:rFonts w:ascii="宋体" w:hAnsi="宋体"/>
                <w:bCs/>
                <w:color w:val="auto"/>
                <w:szCs w:val="21"/>
              </w:rPr>
            </w:pPr>
            <w:r>
              <w:rPr>
                <w:rFonts w:hint="eastAsia" w:ascii="宋体" w:hAnsi="宋体"/>
                <w:bCs/>
                <w:color w:val="auto"/>
                <w:szCs w:val="21"/>
              </w:rPr>
              <w:t>荣誉名称</w:t>
            </w:r>
          </w:p>
        </w:tc>
        <w:tc>
          <w:tcPr>
            <w:tcW w:w="2854" w:type="dxa"/>
            <w:gridSpan w:val="2"/>
            <w:tcBorders>
              <w:top w:val="single" w:color="auto" w:sz="4" w:space="0"/>
              <w:left w:val="single" w:color="auto" w:sz="4" w:space="0"/>
              <w:bottom w:val="single" w:color="auto" w:sz="4" w:space="0"/>
              <w:right w:val="single" w:color="auto" w:sz="4" w:space="0"/>
            </w:tcBorders>
            <w:vAlign w:val="center"/>
          </w:tcPr>
          <w:p w14:paraId="521A9627">
            <w:pPr>
              <w:widowControl/>
              <w:spacing w:line="320" w:lineRule="exact"/>
              <w:jc w:val="center"/>
              <w:rPr>
                <w:rFonts w:ascii="宋体" w:hAnsi="宋体"/>
                <w:bCs/>
                <w:color w:val="auto"/>
                <w:szCs w:val="21"/>
              </w:rPr>
            </w:pPr>
            <w:r>
              <w:rPr>
                <w:rFonts w:hint="eastAsia" w:ascii="宋体" w:hAnsi="宋体"/>
                <w:bCs/>
                <w:color w:val="auto"/>
                <w:szCs w:val="21"/>
              </w:rPr>
              <w:t>颁发部门</w:t>
            </w:r>
          </w:p>
        </w:tc>
        <w:tc>
          <w:tcPr>
            <w:tcW w:w="1841" w:type="dxa"/>
            <w:gridSpan w:val="2"/>
            <w:tcBorders>
              <w:top w:val="single" w:color="auto" w:sz="4" w:space="0"/>
              <w:left w:val="single" w:color="auto" w:sz="4" w:space="0"/>
              <w:bottom w:val="single" w:color="auto" w:sz="4" w:space="0"/>
              <w:right w:val="single" w:color="auto" w:sz="4" w:space="0"/>
            </w:tcBorders>
            <w:vAlign w:val="center"/>
          </w:tcPr>
          <w:p w14:paraId="01619675">
            <w:pPr>
              <w:widowControl/>
              <w:spacing w:line="320" w:lineRule="exact"/>
              <w:jc w:val="center"/>
              <w:rPr>
                <w:rFonts w:ascii="宋体" w:hAnsi="宋体"/>
                <w:bCs/>
                <w:color w:val="auto"/>
                <w:szCs w:val="21"/>
              </w:rPr>
            </w:pPr>
            <w:r>
              <w:rPr>
                <w:rFonts w:hint="eastAsia" w:ascii="宋体" w:hAnsi="宋体"/>
                <w:bCs/>
                <w:color w:val="auto"/>
                <w:szCs w:val="21"/>
              </w:rPr>
              <w:t>颁发时间</w:t>
            </w:r>
          </w:p>
        </w:tc>
        <w:tc>
          <w:tcPr>
            <w:tcW w:w="1571" w:type="dxa"/>
            <w:tcBorders>
              <w:top w:val="single" w:color="auto" w:sz="4" w:space="0"/>
              <w:left w:val="single" w:color="auto" w:sz="4" w:space="0"/>
              <w:bottom w:val="single" w:color="auto" w:sz="4" w:space="0"/>
              <w:right w:val="single" w:color="auto" w:sz="4" w:space="0"/>
            </w:tcBorders>
            <w:vAlign w:val="center"/>
          </w:tcPr>
          <w:p w14:paraId="4143B038">
            <w:pPr>
              <w:widowControl/>
              <w:spacing w:line="320" w:lineRule="exact"/>
              <w:jc w:val="center"/>
              <w:rPr>
                <w:rFonts w:ascii="宋体" w:hAnsi="宋体"/>
                <w:bCs/>
                <w:color w:val="auto"/>
                <w:szCs w:val="21"/>
              </w:rPr>
            </w:pPr>
            <w:r>
              <w:rPr>
                <w:rFonts w:hint="eastAsia" w:ascii="宋体" w:hAnsi="宋体"/>
                <w:bCs/>
                <w:color w:val="auto"/>
                <w:szCs w:val="21"/>
              </w:rPr>
              <w:t>有效期</w:t>
            </w:r>
          </w:p>
        </w:tc>
      </w:tr>
      <w:tr w14:paraId="6BFC08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1543" w:type="dxa"/>
            <w:vMerge w:val="continue"/>
            <w:tcBorders>
              <w:left w:val="single" w:color="auto" w:sz="4" w:space="0"/>
              <w:right w:val="single" w:color="auto" w:sz="4" w:space="0"/>
            </w:tcBorders>
            <w:vAlign w:val="center"/>
          </w:tcPr>
          <w:p w14:paraId="61EE7DDB">
            <w:pPr>
              <w:spacing w:line="240" w:lineRule="exact"/>
              <w:jc w:val="center"/>
              <w:rPr>
                <w:rFonts w:ascii="宋体" w:hAnsi="宋体"/>
                <w:color w:val="auto"/>
                <w:szCs w:val="21"/>
              </w:rPr>
            </w:pPr>
          </w:p>
        </w:tc>
        <w:tc>
          <w:tcPr>
            <w:tcW w:w="1434" w:type="dxa"/>
            <w:tcBorders>
              <w:top w:val="single" w:color="auto" w:sz="4" w:space="0"/>
              <w:left w:val="single" w:color="auto" w:sz="4" w:space="0"/>
              <w:bottom w:val="single" w:color="auto" w:sz="4" w:space="0"/>
              <w:right w:val="single" w:color="auto" w:sz="4" w:space="0"/>
            </w:tcBorders>
            <w:vAlign w:val="center"/>
          </w:tcPr>
          <w:p w14:paraId="3A8E4597">
            <w:pPr>
              <w:spacing w:line="240" w:lineRule="exact"/>
              <w:rPr>
                <w:rFonts w:ascii="宋体" w:hAnsi="宋体"/>
                <w:color w:val="auto"/>
                <w:szCs w:val="21"/>
                <w:u w:val="single"/>
              </w:rPr>
            </w:pPr>
          </w:p>
        </w:tc>
        <w:tc>
          <w:tcPr>
            <w:tcW w:w="2854" w:type="dxa"/>
            <w:gridSpan w:val="2"/>
            <w:tcBorders>
              <w:top w:val="single" w:color="auto" w:sz="4" w:space="0"/>
              <w:left w:val="single" w:color="auto" w:sz="4" w:space="0"/>
              <w:bottom w:val="single" w:color="auto" w:sz="4" w:space="0"/>
              <w:right w:val="single" w:color="auto" w:sz="4" w:space="0"/>
            </w:tcBorders>
            <w:vAlign w:val="center"/>
          </w:tcPr>
          <w:p w14:paraId="34D6A120">
            <w:pPr>
              <w:spacing w:line="240" w:lineRule="exact"/>
              <w:rPr>
                <w:rFonts w:ascii="宋体" w:hAnsi="宋体"/>
                <w:color w:val="auto"/>
                <w:szCs w:val="21"/>
                <w:u w:val="single"/>
              </w:rPr>
            </w:pPr>
          </w:p>
        </w:tc>
        <w:tc>
          <w:tcPr>
            <w:tcW w:w="1841" w:type="dxa"/>
            <w:gridSpan w:val="2"/>
            <w:tcBorders>
              <w:top w:val="single" w:color="auto" w:sz="4" w:space="0"/>
              <w:left w:val="single" w:color="auto" w:sz="4" w:space="0"/>
              <w:bottom w:val="single" w:color="auto" w:sz="4" w:space="0"/>
              <w:right w:val="single" w:color="auto" w:sz="4" w:space="0"/>
            </w:tcBorders>
            <w:vAlign w:val="center"/>
          </w:tcPr>
          <w:p w14:paraId="46EABAA9">
            <w:pPr>
              <w:spacing w:line="240" w:lineRule="exact"/>
              <w:rPr>
                <w:rFonts w:ascii="宋体" w:hAnsi="宋体"/>
                <w:color w:val="auto"/>
                <w:szCs w:val="21"/>
                <w:u w:val="single"/>
              </w:rPr>
            </w:pPr>
          </w:p>
        </w:tc>
        <w:tc>
          <w:tcPr>
            <w:tcW w:w="1571" w:type="dxa"/>
            <w:tcBorders>
              <w:top w:val="single" w:color="auto" w:sz="4" w:space="0"/>
              <w:left w:val="single" w:color="auto" w:sz="4" w:space="0"/>
              <w:bottom w:val="single" w:color="auto" w:sz="4" w:space="0"/>
              <w:right w:val="single" w:color="auto" w:sz="4" w:space="0"/>
            </w:tcBorders>
            <w:vAlign w:val="center"/>
          </w:tcPr>
          <w:p w14:paraId="06FFD1BE">
            <w:pPr>
              <w:spacing w:line="240" w:lineRule="exact"/>
              <w:rPr>
                <w:rFonts w:ascii="宋体" w:hAnsi="宋体"/>
                <w:color w:val="auto"/>
                <w:szCs w:val="21"/>
                <w:u w:val="single"/>
              </w:rPr>
            </w:pPr>
          </w:p>
        </w:tc>
      </w:tr>
      <w:tr w14:paraId="2C2E78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1543" w:type="dxa"/>
            <w:vMerge w:val="continue"/>
            <w:tcBorders>
              <w:left w:val="single" w:color="auto" w:sz="4" w:space="0"/>
              <w:right w:val="single" w:color="auto" w:sz="4" w:space="0"/>
            </w:tcBorders>
            <w:vAlign w:val="center"/>
          </w:tcPr>
          <w:p w14:paraId="3EF9C2B6">
            <w:pPr>
              <w:spacing w:line="240" w:lineRule="exact"/>
              <w:jc w:val="center"/>
              <w:rPr>
                <w:rFonts w:ascii="宋体" w:hAnsi="宋体"/>
                <w:color w:val="auto"/>
                <w:szCs w:val="21"/>
              </w:rPr>
            </w:pPr>
          </w:p>
        </w:tc>
        <w:tc>
          <w:tcPr>
            <w:tcW w:w="1434" w:type="dxa"/>
            <w:tcBorders>
              <w:top w:val="single" w:color="auto" w:sz="4" w:space="0"/>
              <w:left w:val="single" w:color="auto" w:sz="4" w:space="0"/>
              <w:bottom w:val="single" w:color="auto" w:sz="4" w:space="0"/>
              <w:right w:val="single" w:color="auto" w:sz="4" w:space="0"/>
            </w:tcBorders>
            <w:vAlign w:val="center"/>
          </w:tcPr>
          <w:p w14:paraId="445CF6F4">
            <w:pPr>
              <w:spacing w:line="240" w:lineRule="exact"/>
              <w:rPr>
                <w:rFonts w:ascii="宋体" w:hAnsi="宋体"/>
                <w:color w:val="auto"/>
                <w:szCs w:val="21"/>
                <w:u w:val="single"/>
              </w:rPr>
            </w:pPr>
          </w:p>
        </w:tc>
        <w:tc>
          <w:tcPr>
            <w:tcW w:w="2854" w:type="dxa"/>
            <w:gridSpan w:val="2"/>
            <w:tcBorders>
              <w:top w:val="single" w:color="auto" w:sz="4" w:space="0"/>
              <w:left w:val="single" w:color="auto" w:sz="4" w:space="0"/>
              <w:bottom w:val="single" w:color="auto" w:sz="4" w:space="0"/>
              <w:right w:val="single" w:color="auto" w:sz="4" w:space="0"/>
            </w:tcBorders>
            <w:vAlign w:val="center"/>
          </w:tcPr>
          <w:p w14:paraId="4D6397D0">
            <w:pPr>
              <w:spacing w:line="240" w:lineRule="exact"/>
              <w:rPr>
                <w:rFonts w:ascii="宋体" w:hAnsi="宋体"/>
                <w:color w:val="auto"/>
                <w:szCs w:val="21"/>
                <w:u w:val="single"/>
              </w:rPr>
            </w:pPr>
          </w:p>
        </w:tc>
        <w:tc>
          <w:tcPr>
            <w:tcW w:w="1841" w:type="dxa"/>
            <w:gridSpan w:val="2"/>
            <w:tcBorders>
              <w:top w:val="single" w:color="auto" w:sz="4" w:space="0"/>
              <w:left w:val="single" w:color="auto" w:sz="4" w:space="0"/>
              <w:bottom w:val="single" w:color="auto" w:sz="4" w:space="0"/>
              <w:right w:val="single" w:color="auto" w:sz="4" w:space="0"/>
            </w:tcBorders>
            <w:vAlign w:val="center"/>
          </w:tcPr>
          <w:p w14:paraId="074BBF59">
            <w:pPr>
              <w:spacing w:line="240" w:lineRule="exact"/>
              <w:rPr>
                <w:rFonts w:ascii="宋体" w:hAnsi="宋体"/>
                <w:color w:val="auto"/>
                <w:szCs w:val="21"/>
                <w:u w:val="single"/>
              </w:rPr>
            </w:pPr>
          </w:p>
        </w:tc>
        <w:tc>
          <w:tcPr>
            <w:tcW w:w="1571" w:type="dxa"/>
            <w:tcBorders>
              <w:top w:val="single" w:color="auto" w:sz="4" w:space="0"/>
              <w:left w:val="single" w:color="auto" w:sz="4" w:space="0"/>
              <w:bottom w:val="single" w:color="auto" w:sz="4" w:space="0"/>
              <w:right w:val="single" w:color="auto" w:sz="4" w:space="0"/>
            </w:tcBorders>
            <w:vAlign w:val="center"/>
          </w:tcPr>
          <w:p w14:paraId="1B28E575">
            <w:pPr>
              <w:spacing w:line="240" w:lineRule="exact"/>
              <w:rPr>
                <w:rFonts w:ascii="宋体" w:hAnsi="宋体"/>
                <w:color w:val="auto"/>
                <w:szCs w:val="21"/>
                <w:u w:val="single"/>
              </w:rPr>
            </w:pPr>
          </w:p>
        </w:tc>
      </w:tr>
      <w:tr w14:paraId="062BD5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1543" w:type="dxa"/>
            <w:vMerge w:val="continue"/>
            <w:tcBorders>
              <w:left w:val="single" w:color="auto" w:sz="4" w:space="0"/>
              <w:bottom w:val="single" w:color="auto" w:sz="4" w:space="0"/>
              <w:right w:val="single" w:color="auto" w:sz="4" w:space="0"/>
            </w:tcBorders>
            <w:vAlign w:val="center"/>
          </w:tcPr>
          <w:p w14:paraId="60DC1D07">
            <w:pPr>
              <w:spacing w:line="240" w:lineRule="exact"/>
              <w:jc w:val="center"/>
              <w:rPr>
                <w:rFonts w:ascii="宋体" w:hAnsi="宋体"/>
                <w:color w:val="auto"/>
                <w:szCs w:val="21"/>
              </w:rPr>
            </w:pPr>
          </w:p>
        </w:tc>
        <w:tc>
          <w:tcPr>
            <w:tcW w:w="1434" w:type="dxa"/>
            <w:tcBorders>
              <w:top w:val="single" w:color="auto" w:sz="4" w:space="0"/>
              <w:left w:val="single" w:color="auto" w:sz="4" w:space="0"/>
              <w:bottom w:val="single" w:color="auto" w:sz="4" w:space="0"/>
              <w:right w:val="single" w:color="auto" w:sz="4" w:space="0"/>
            </w:tcBorders>
            <w:vAlign w:val="center"/>
          </w:tcPr>
          <w:p w14:paraId="1AB567BB">
            <w:pPr>
              <w:spacing w:line="240" w:lineRule="exact"/>
              <w:rPr>
                <w:rFonts w:ascii="宋体" w:hAnsi="宋体"/>
                <w:color w:val="auto"/>
                <w:szCs w:val="21"/>
                <w:u w:val="single"/>
              </w:rPr>
            </w:pPr>
          </w:p>
        </w:tc>
        <w:tc>
          <w:tcPr>
            <w:tcW w:w="2854" w:type="dxa"/>
            <w:gridSpan w:val="2"/>
            <w:tcBorders>
              <w:top w:val="single" w:color="auto" w:sz="4" w:space="0"/>
              <w:left w:val="single" w:color="auto" w:sz="4" w:space="0"/>
              <w:bottom w:val="single" w:color="auto" w:sz="4" w:space="0"/>
              <w:right w:val="single" w:color="auto" w:sz="4" w:space="0"/>
            </w:tcBorders>
            <w:vAlign w:val="center"/>
          </w:tcPr>
          <w:p w14:paraId="63A764CE">
            <w:pPr>
              <w:spacing w:line="240" w:lineRule="exact"/>
              <w:rPr>
                <w:rFonts w:ascii="宋体" w:hAnsi="宋体"/>
                <w:color w:val="auto"/>
                <w:szCs w:val="21"/>
                <w:u w:val="single"/>
              </w:rPr>
            </w:pPr>
          </w:p>
        </w:tc>
        <w:tc>
          <w:tcPr>
            <w:tcW w:w="1841" w:type="dxa"/>
            <w:gridSpan w:val="2"/>
            <w:tcBorders>
              <w:top w:val="single" w:color="auto" w:sz="4" w:space="0"/>
              <w:left w:val="single" w:color="auto" w:sz="4" w:space="0"/>
              <w:bottom w:val="single" w:color="auto" w:sz="4" w:space="0"/>
              <w:right w:val="single" w:color="auto" w:sz="4" w:space="0"/>
            </w:tcBorders>
            <w:vAlign w:val="center"/>
          </w:tcPr>
          <w:p w14:paraId="2F293611">
            <w:pPr>
              <w:spacing w:line="240" w:lineRule="exact"/>
              <w:rPr>
                <w:rFonts w:ascii="宋体" w:hAnsi="宋体"/>
                <w:color w:val="auto"/>
                <w:szCs w:val="21"/>
                <w:u w:val="single"/>
              </w:rPr>
            </w:pPr>
          </w:p>
        </w:tc>
        <w:tc>
          <w:tcPr>
            <w:tcW w:w="1571" w:type="dxa"/>
            <w:tcBorders>
              <w:top w:val="single" w:color="auto" w:sz="4" w:space="0"/>
              <w:left w:val="single" w:color="auto" w:sz="4" w:space="0"/>
              <w:bottom w:val="single" w:color="auto" w:sz="4" w:space="0"/>
              <w:right w:val="single" w:color="auto" w:sz="4" w:space="0"/>
            </w:tcBorders>
            <w:vAlign w:val="center"/>
          </w:tcPr>
          <w:p w14:paraId="4C21BA77">
            <w:pPr>
              <w:spacing w:line="240" w:lineRule="exact"/>
              <w:rPr>
                <w:rFonts w:ascii="宋体" w:hAnsi="宋体"/>
                <w:color w:val="auto"/>
                <w:szCs w:val="21"/>
                <w:u w:val="single"/>
              </w:rPr>
            </w:pPr>
          </w:p>
        </w:tc>
      </w:tr>
      <w:tr w14:paraId="4C6CE3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6" w:hRule="atLeast"/>
          <w:jc w:val="center"/>
        </w:trPr>
        <w:tc>
          <w:tcPr>
            <w:tcW w:w="1543" w:type="dxa"/>
            <w:tcBorders>
              <w:top w:val="single" w:color="auto" w:sz="4" w:space="0"/>
              <w:left w:val="single" w:color="auto" w:sz="4" w:space="0"/>
              <w:bottom w:val="single" w:color="auto" w:sz="4" w:space="0"/>
              <w:right w:val="single" w:color="auto" w:sz="4" w:space="0"/>
            </w:tcBorders>
            <w:vAlign w:val="center"/>
          </w:tcPr>
          <w:p w14:paraId="45C2F817">
            <w:pPr>
              <w:spacing w:line="320" w:lineRule="exact"/>
              <w:jc w:val="center"/>
              <w:rPr>
                <w:rFonts w:ascii="宋体" w:hAnsi="宋体"/>
                <w:bCs/>
                <w:color w:val="auto"/>
                <w:szCs w:val="21"/>
              </w:rPr>
            </w:pPr>
            <w:r>
              <w:rPr>
                <w:rFonts w:hint="eastAsia" w:ascii="宋体" w:hAnsi="宋体"/>
                <w:bCs/>
                <w:color w:val="auto"/>
                <w:szCs w:val="21"/>
              </w:rPr>
              <w:t>经营范围</w:t>
            </w:r>
          </w:p>
        </w:tc>
        <w:tc>
          <w:tcPr>
            <w:tcW w:w="7700" w:type="dxa"/>
            <w:gridSpan w:val="6"/>
            <w:tcBorders>
              <w:top w:val="single" w:color="auto" w:sz="4" w:space="0"/>
              <w:left w:val="single" w:color="auto" w:sz="4" w:space="0"/>
              <w:bottom w:val="single" w:color="auto" w:sz="4" w:space="0"/>
              <w:right w:val="single" w:color="auto" w:sz="4" w:space="0"/>
            </w:tcBorders>
            <w:vAlign w:val="center"/>
          </w:tcPr>
          <w:p w14:paraId="287669F9">
            <w:pPr>
              <w:pStyle w:val="8"/>
              <w:tabs>
                <w:tab w:val="left" w:pos="1800"/>
                <w:tab w:val="left" w:pos="1980"/>
              </w:tabs>
              <w:spacing w:line="240" w:lineRule="exact"/>
              <w:ind w:left="420" w:hanging="420"/>
              <w:rPr>
                <w:rFonts w:hAnsi="宋体"/>
                <w:color w:val="auto"/>
                <w:sz w:val="21"/>
                <w:szCs w:val="21"/>
              </w:rPr>
            </w:pPr>
          </w:p>
        </w:tc>
      </w:tr>
      <w:tr w14:paraId="01CE9A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79" w:hRule="atLeast"/>
          <w:jc w:val="center"/>
        </w:trPr>
        <w:tc>
          <w:tcPr>
            <w:tcW w:w="1543" w:type="dxa"/>
            <w:tcBorders>
              <w:top w:val="single" w:color="auto" w:sz="4" w:space="0"/>
              <w:left w:val="single" w:color="auto" w:sz="4" w:space="0"/>
              <w:bottom w:val="single" w:color="auto" w:sz="4" w:space="0"/>
              <w:right w:val="single" w:color="auto" w:sz="4" w:space="0"/>
            </w:tcBorders>
            <w:vAlign w:val="center"/>
          </w:tcPr>
          <w:p w14:paraId="34DBDAC0">
            <w:pPr>
              <w:spacing w:line="320" w:lineRule="exact"/>
              <w:jc w:val="center"/>
              <w:rPr>
                <w:rFonts w:ascii="宋体" w:hAnsi="宋体"/>
                <w:bCs/>
                <w:color w:val="auto"/>
                <w:szCs w:val="21"/>
              </w:rPr>
            </w:pPr>
            <w:r>
              <w:rPr>
                <w:rFonts w:hint="eastAsia" w:ascii="宋体" w:hAnsi="宋体"/>
                <w:bCs/>
                <w:color w:val="auto"/>
                <w:szCs w:val="21"/>
              </w:rPr>
              <w:t>其他</w:t>
            </w:r>
          </w:p>
        </w:tc>
        <w:tc>
          <w:tcPr>
            <w:tcW w:w="7700" w:type="dxa"/>
            <w:gridSpan w:val="6"/>
            <w:tcBorders>
              <w:top w:val="single" w:color="auto" w:sz="4" w:space="0"/>
              <w:left w:val="single" w:color="auto" w:sz="4" w:space="0"/>
              <w:bottom w:val="single" w:color="auto" w:sz="4" w:space="0"/>
              <w:right w:val="single" w:color="auto" w:sz="4" w:space="0"/>
            </w:tcBorders>
            <w:vAlign w:val="center"/>
          </w:tcPr>
          <w:p w14:paraId="06745321">
            <w:pPr>
              <w:spacing w:line="240" w:lineRule="exact"/>
              <w:rPr>
                <w:rFonts w:ascii="宋体" w:hAnsi="宋体"/>
                <w:bCs/>
                <w:color w:val="auto"/>
                <w:szCs w:val="21"/>
              </w:rPr>
            </w:pPr>
          </w:p>
        </w:tc>
      </w:tr>
    </w:tbl>
    <w:p w14:paraId="58786D84">
      <w:pPr>
        <w:spacing w:line="320" w:lineRule="exact"/>
        <w:ind w:firstLine="90"/>
        <w:rPr>
          <w:color w:val="auto"/>
          <w:sz w:val="18"/>
          <w:szCs w:val="18"/>
        </w:rPr>
      </w:pPr>
      <w:r>
        <w:rPr>
          <w:rFonts w:hint="eastAsia"/>
          <w:color w:val="auto"/>
          <w:sz w:val="18"/>
          <w:szCs w:val="18"/>
        </w:rPr>
        <w:t>注：1、表格内容不够，可另附页。</w:t>
      </w:r>
    </w:p>
    <w:p w14:paraId="2E3AA98C">
      <w:pPr>
        <w:spacing w:line="320" w:lineRule="exact"/>
        <w:ind w:firstLine="435"/>
        <w:rPr>
          <w:color w:val="auto"/>
          <w:sz w:val="18"/>
          <w:szCs w:val="18"/>
        </w:rPr>
      </w:pPr>
      <w:r>
        <w:rPr>
          <w:rFonts w:hint="eastAsia"/>
          <w:color w:val="auto"/>
          <w:sz w:val="18"/>
          <w:szCs w:val="18"/>
        </w:rPr>
        <w:t>2、企业营业执照、所获认证证书、荣誉资料的复印件附后。</w:t>
      </w:r>
    </w:p>
    <w:p w14:paraId="4827BE6B">
      <w:pPr>
        <w:spacing w:line="320" w:lineRule="exact"/>
        <w:rPr>
          <w:rFonts w:ascii="仿宋_GB2312" w:eastAsia="仿宋_GB2312"/>
          <w:b/>
          <w:color w:val="auto"/>
          <w:sz w:val="24"/>
        </w:rPr>
      </w:pPr>
    </w:p>
    <w:p w14:paraId="31EE2115">
      <w:pPr>
        <w:spacing w:line="320" w:lineRule="exact"/>
        <w:rPr>
          <w:rFonts w:ascii="仿宋_GB2312" w:eastAsia="仿宋_GB2312"/>
          <w:b/>
          <w:color w:val="auto"/>
          <w:sz w:val="24"/>
        </w:rPr>
      </w:pPr>
    </w:p>
    <w:p w14:paraId="7A5F7C23">
      <w:pPr>
        <w:spacing w:line="320" w:lineRule="exact"/>
        <w:rPr>
          <w:rFonts w:ascii="仿宋_GB2312" w:eastAsia="仿宋_GB2312"/>
          <w:b/>
          <w:color w:val="auto"/>
          <w:sz w:val="24"/>
        </w:rPr>
      </w:pPr>
    </w:p>
    <w:p w14:paraId="60243AF7">
      <w:pPr>
        <w:spacing w:line="320" w:lineRule="exact"/>
        <w:ind w:firstLine="480"/>
        <w:rPr>
          <w:rFonts w:ascii="宋体" w:hAnsi="宋体"/>
          <w:b/>
          <w:color w:val="auto"/>
          <w:szCs w:val="21"/>
        </w:rPr>
      </w:pPr>
      <w:r>
        <w:rPr>
          <w:rFonts w:hint="eastAsia" w:ascii="宋体" w:hAnsi="宋体"/>
          <w:b/>
          <w:color w:val="auto"/>
          <w:szCs w:val="21"/>
        </w:rPr>
        <w:t>投标人（盖章）：</w:t>
      </w:r>
      <w:r>
        <w:rPr>
          <w:rFonts w:ascii="宋体" w:hAnsi="宋体"/>
          <w:b/>
          <w:color w:val="auto"/>
          <w:szCs w:val="21"/>
        </w:rPr>
        <w:t xml:space="preserve">                   </w:t>
      </w:r>
      <w:r>
        <w:rPr>
          <w:rFonts w:hint="eastAsia" w:ascii="宋体" w:hAnsi="宋体"/>
          <w:b/>
          <w:color w:val="auto"/>
          <w:szCs w:val="21"/>
        </w:rPr>
        <w:t xml:space="preserve"> </w:t>
      </w:r>
    </w:p>
    <w:p w14:paraId="2BA1751E">
      <w:pPr>
        <w:spacing w:line="320" w:lineRule="exact"/>
        <w:ind w:firstLine="480"/>
        <w:rPr>
          <w:rFonts w:ascii="宋体" w:hAnsi="宋体"/>
          <w:b/>
          <w:color w:val="auto"/>
          <w:szCs w:val="21"/>
        </w:rPr>
      </w:pPr>
    </w:p>
    <w:p w14:paraId="449770C0">
      <w:pPr>
        <w:spacing w:line="320" w:lineRule="exact"/>
        <w:ind w:firstLine="480"/>
        <w:rPr>
          <w:rFonts w:hint="eastAsia" w:ascii="楷体_GB2312" w:eastAsia="宋体"/>
          <w:b/>
          <w:bCs/>
          <w:color w:val="auto"/>
          <w:sz w:val="22"/>
          <w:szCs w:val="22"/>
          <w:lang w:val="en-US" w:eastAsia="zh-CN"/>
        </w:rPr>
      </w:pPr>
      <w:r>
        <w:rPr>
          <w:rFonts w:hint="eastAsia" w:ascii="宋体" w:hAnsi="宋体"/>
          <w:b/>
          <w:color w:val="auto"/>
          <w:kern w:val="0"/>
          <w:szCs w:val="21"/>
        </w:rPr>
        <w:t>日    期：</w:t>
      </w:r>
      <w:r>
        <w:rPr>
          <w:rFonts w:hint="eastAsia" w:ascii="楷体_GB2312" w:eastAsia="楷体_GB2312"/>
          <w:b/>
          <w:bCs/>
          <w:color w:val="auto"/>
          <w:sz w:val="22"/>
          <w:szCs w:val="22"/>
        </w:rPr>
        <w:br w:type="page"/>
      </w:r>
      <w:bookmarkStart w:id="198" w:name="_Toc26712"/>
      <w:r>
        <w:rPr>
          <w:rFonts w:hint="eastAsia" w:ascii="宋体" w:hAnsi="宋体" w:cs="宋体"/>
          <w:b/>
          <w:bCs/>
          <w:color w:val="auto"/>
          <w:sz w:val="22"/>
          <w:szCs w:val="22"/>
        </w:rPr>
        <w:t>附件</w:t>
      </w:r>
      <w:bookmarkEnd w:id="198"/>
      <w:r>
        <w:rPr>
          <w:rFonts w:hint="eastAsia" w:ascii="宋体" w:hAnsi="宋体" w:cs="宋体"/>
          <w:b/>
          <w:bCs/>
          <w:color w:val="auto"/>
          <w:sz w:val="22"/>
          <w:szCs w:val="22"/>
          <w:lang w:val="en-US" w:eastAsia="zh-CN"/>
        </w:rPr>
        <w:t>7</w:t>
      </w:r>
    </w:p>
    <w:p w14:paraId="78EE088C">
      <w:pPr>
        <w:spacing w:line="320" w:lineRule="exact"/>
        <w:ind w:firstLine="480"/>
        <w:jc w:val="center"/>
        <w:rPr>
          <w:rFonts w:ascii="宋体" w:hAnsi="宋体"/>
          <w:b/>
          <w:bCs/>
          <w:color w:val="auto"/>
          <w:kern w:val="0"/>
          <w:sz w:val="30"/>
          <w:szCs w:val="30"/>
        </w:rPr>
      </w:pPr>
      <w:r>
        <w:rPr>
          <w:rFonts w:hint="eastAsia" w:ascii="宋体" w:hAnsi="宋体"/>
          <w:b/>
          <w:bCs/>
          <w:color w:val="auto"/>
          <w:kern w:val="0"/>
          <w:sz w:val="30"/>
          <w:szCs w:val="30"/>
        </w:rPr>
        <w:t>偏离表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15"/>
        <w:gridCol w:w="2859"/>
        <w:gridCol w:w="2295"/>
        <w:gridCol w:w="1896"/>
        <w:gridCol w:w="1298"/>
      </w:tblGrid>
      <w:tr w14:paraId="0A49A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6" w:hRule="atLeast"/>
          <w:jc w:val="center"/>
        </w:trPr>
        <w:tc>
          <w:tcPr>
            <w:tcW w:w="915" w:type="dxa"/>
            <w:tcBorders>
              <w:top w:val="single" w:color="auto" w:sz="4" w:space="0"/>
              <w:left w:val="single" w:color="auto" w:sz="4" w:space="0"/>
              <w:bottom w:val="single" w:color="auto" w:sz="4" w:space="0"/>
              <w:right w:val="single" w:color="auto" w:sz="4" w:space="0"/>
            </w:tcBorders>
            <w:vAlign w:val="center"/>
          </w:tcPr>
          <w:p w14:paraId="3ACEFD11">
            <w:pPr>
              <w:spacing w:before="156" w:line="360" w:lineRule="auto"/>
              <w:jc w:val="center"/>
              <w:rPr>
                <w:rFonts w:ascii="宋体" w:hAnsi="宋体" w:cs="宋体"/>
                <w:b/>
                <w:color w:val="auto"/>
                <w:szCs w:val="21"/>
              </w:rPr>
            </w:pPr>
            <w:r>
              <w:rPr>
                <w:rFonts w:hint="eastAsia" w:ascii="宋体" w:hAnsi="宋体" w:cs="宋体"/>
                <w:b/>
                <w:color w:val="auto"/>
                <w:szCs w:val="21"/>
              </w:rPr>
              <w:t>序号</w:t>
            </w:r>
          </w:p>
        </w:tc>
        <w:tc>
          <w:tcPr>
            <w:tcW w:w="2859" w:type="dxa"/>
            <w:tcBorders>
              <w:top w:val="single" w:color="auto" w:sz="4" w:space="0"/>
              <w:left w:val="single" w:color="auto" w:sz="4" w:space="0"/>
              <w:bottom w:val="single" w:color="auto" w:sz="4" w:space="0"/>
              <w:right w:val="single" w:color="auto" w:sz="4" w:space="0"/>
            </w:tcBorders>
            <w:vAlign w:val="center"/>
          </w:tcPr>
          <w:p w14:paraId="3A7E3892">
            <w:pPr>
              <w:spacing w:before="156" w:line="360" w:lineRule="auto"/>
              <w:jc w:val="center"/>
              <w:rPr>
                <w:rFonts w:ascii="宋体" w:hAnsi="宋体" w:cs="宋体"/>
                <w:b/>
                <w:color w:val="auto"/>
                <w:szCs w:val="21"/>
              </w:rPr>
            </w:pPr>
            <w:r>
              <w:rPr>
                <w:rFonts w:hint="eastAsia" w:ascii="宋体" w:hAnsi="宋体" w:cs="宋体"/>
                <w:b/>
                <w:color w:val="auto"/>
                <w:szCs w:val="21"/>
              </w:rPr>
              <w:t>招标要求</w:t>
            </w:r>
          </w:p>
        </w:tc>
        <w:tc>
          <w:tcPr>
            <w:tcW w:w="2295" w:type="dxa"/>
            <w:tcBorders>
              <w:top w:val="single" w:color="auto" w:sz="4" w:space="0"/>
              <w:left w:val="single" w:color="auto" w:sz="4" w:space="0"/>
              <w:bottom w:val="single" w:color="auto" w:sz="4" w:space="0"/>
              <w:right w:val="single" w:color="auto" w:sz="4" w:space="0"/>
            </w:tcBorders>
            <w:vAlign w:val="center"/>
          </w:tcPr>
          <w:p w14:paraId="47A46858">
            <w:pPr>
              <w:spacing w:before="156" w:line="360" w:lineRule="auto"/>
              <w:jc w:val="center"/>
              <w:rPr>
                <w:rFonts w:ascii="宋体" w:hAnsi="宋体" w:cs="宋体"/>
                <w:b/>
                <w:color w:val="auto"/>
                <w:szCs w:val="21"/>
              </w:rPr>
            </w:pPr>
            <w:r>
              <w:rPr>
                <w:rFonts w:hint="eastAsia" w:ascii="宋体" w:hAnsi="宋体" w:cs="宋体"/>
                <w:b/>
                <w:color w:val="auto"/>
                <w:szCs w:val="21"/>
              </w:rPr>
              <w:t>投标响应</w:t>
            </w:r>
          </w:p>
        </w:tc>
        <w:tc>
          <w:tcPr>
            <w:tcW w:w="1896" w:type="dxa"/>
            <w:tcBorders>
              <w:top w:val="single" w:color="auto" w:sz="4" w:space="0"/>
              <w:left w:val="single" w:color="auto" w:sz="4" w:space="0"/>
              <w:bottom w:val="single" w:color="auto" w:sz="4" w:space="0"/>
              <w:right w:val="single" w:color="auto" w:sz="4" w:space="0"/>
            </w:tcBorders>
            <w:vAlign w:val="center"/>
          </w:tcPr>
          <w:p w14:paraId="6113392B">
            <w:pPr>
              <w:spacing w:before="156" w:line="360" w:lineRule="auto"/>
              <w:jc w:val="center"/>
              <w:rPr>
                <w:rFonts w:ascii="宋体" w:hAnsi="宋体" w:cs="宋体"/>
                <w:b/>
                <w:color w:val="auto"/>
                <w:szCs w:val="21"/>
              </w:rPr>
            </w:pPr>
            <w:r>
              <w:rPr>
                <w:rFonts w:hint="eastAsia" w:ascii="宋体" w:hAnsi="宋体" w:cs="宋体"/>
                <w:b/>
                <w:color w:val="auto"/>
                <w:szCs w:val="21"/>
              </w:rPr>
              <w:t>是否偏离</w:t>
            </w:r>
          </w:p>
        </w:tc>
        <w:tc>
          <w:tcPr>
            <w:tcW w:w="1298" w:type="dxa"/>
            <w:tcBorders>
              <w:top w:val="single" w:color="auto" w:sz="4" w:space="0"/>
              <w:left w:val="single" w:color="auto" w:sz="4" w:space="0"/>
              <w:bottom w:val="single" w:color="auto" w:sz="4" w:space="0"/>
              <w:right w:val="single" w:color="auto" w:sz="4" w:space="0"/>
            </w:tcBorders>
            <w:vAlign w:val="center"/>
          </w:tcPr>
          <w:p w14:paraId="730F6631">
            <w:pPr>
              <w:spacing w:before="156" w:line="360" w:lineRule="auto"/>
              <w:jc w:val="center"/>
              <w:rPr>
                <w:rFonts w:ascii="宋体" w:hAnsi="宋体" w:cs="宋体"/>
                <w:b/>
                <w:color w:val="auto"/>
                <w:szCs w:val="21"/>
              </w:rPr>
            </w:pPr>
            <w:r>
              <w:rPr>
                <w:rFonts w:hint="eastAsia" w:ascii="宋体" w:hAnsi="宋体" w:cs="宋体"/>
                <w:b/>
                <w:color w:val="auto"/>
                <w:szCs w:val="21"/>
              </w:rPr>
              <w:t>说明</w:t>
            </w:r>
          </w:p>
        </w:tc>
      </w:tr>
      <w:tr w14:paraId="6A592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915" w:type="dxa"/>
            <w:tcBorders>
              <w:top w:val="single" w:color="auto" w:sz="4" w:space="0"/>
              <w:left w:val="single" w:color="auto" w:sz="4" w:space="0"/>
              <w:bottom w:val="single" w:color="auto" w:sz="4" w:space="0"/>
              <w:right w:val="single" w:color="auto" w:sz="4" w:space="0"/>
            </w:tcBorders>
            <w:vAlign w:val="center"/>
          </w:tcPr>
          <w:p w14:paraId="281CBCC7">
            <w:pPr>
              <w:spacing w:before="156" w:line="360" w:lineRule="auto"/>
              <w:jc w:val="center"/>
              <w:rPr>
                <w:rFonts w:ascii="宋体" w:hAnsi="宋体" w:cs="宋体"/>
                <w:color w:val="auto"/>
                <w:sz w:val="24"/>
              </w:rPr>
            </w:pPr>
          </w:p>
        </w:tc>
        <w:tc>
          <w:tcPr>
            <w:tcW w:w="2859" w:type="dxa"/>
            <w:tcBorders>
              <w:top w:val="single" w:color="auto" w:sz="4" w:space="0"/>
              <w:left w:val="single" w:color="auto" w:sz="4" w:space="0"/>
              <w:bottom w:val="single" w:color="auto" w:sz="4" w:space="0"/>
              <w:right w:val="single" w:color="auto" w:sz="4" w:space="0"/>
            </w:tcBorders>
          </w:tcPr>
          <w:p w14:paraId="4866DD06">
            <w:pPr>
              <w:spacing w:before="156" w:line="360" w:lineRule="auto"/>
              <w:ind w:firstLine="420" w:firstLineChars="200"/>
              <w:rPr>
                <w:rFonts w:ascii="宋体" w:hAnsi="宋体" w:cs="宋体"/>
                <w:color w:val="auto"/>
                <w:szCs w:val="21"/>
              </w:rPr>
            </w:pPr>
          </w:p>
        </w:tc>
        <w:tc>
          <w:tcPr>
            <w:tcW w:w="2295" w:type="dxa"/>
            <w:tcBorders>
              <w:top w:val="single" w:color="auto" w:sz="4" w:space="0"/>
              <w:left w:val="single" w:color="auto" w:sz="4" w:space="0"/>
              <w:bottom w:val="single" w:color="auto" w:sz="4" w:space="0"/>
              <w:right w:val="single" w:color="auto" w:sz="4" w:space="0"/>
            </w:tcBorders>
          </w:tcPr>
          <w:p w14:paraId="48463C5B">
            <w:pPr>
              <w:spacing w:before="156" w:line="360" w:lineRule="auto"/>
              <w:ind w:firstLine="420" w:firstLineChars="200"/>
              <w:rPr>
                <w:rFonts w:ascii="宋体" w:hAnsi="宋体" w:cs="宋体"/>
                <w:color w:val="auto"/>
                <w:szCs w:val="21"/>
              </w:rPr>
            </w:pPr>
          </w:p>
        </w:tc>
        <w:tc>
          <w:tcPr>
            <w:tcW w:w="1896" w:type="dxa"/>
            <w:tcBorders>
              <w:top w:val="single" w:color="auto" w:sz="4" w:space="0"/>
              <w:left w:val="single" w:color="auto" w:sz="4" w:space="0"/>
              <w:bottom w:val="single" w:color="auto" w:sz="4" w:space="0"/>
              <w:right w:val="single" w:color="auto" w:sz="4" w:space="0"/>
            </w:tcBorders>
          </w:tcPr>
          <w:p w14:paraId="6E995392">
            <w:pPr>
              <w:spacing w:before="156" w:line="360" w:lineRule="auto"/>
              <w:ind w:firstLine="420" w:firstLineChars="200"/>
              <w:rPr>
                <w:rFonts w:ascii="宋体" w:hAnsi="宋体" w:cs="宋体"/>
                <w:color w:val="auto"/>
                <w:szCs w:val="21"/>
              </w:rPr>
            </w:pPr>
          </w:p>
        </w:tc>
        <w:tc>
          <w:tcPr>
            <w:tcW w:w="1298" w:type="dxa"/>
            <w:tcBorders>
              <w:top w:val="single" w:color="auto" w:sz="4" w:space="0"/>
              <w:left w:val="single" w:color="auto" w:sz="4" w:space="0"/>
              <w:bottom w:val="single" w:color="auto" w:sz="4" w:space="0"/>
              <w:right w:val="single" w:color="auto" w:sz="4" w:space="0"/>
            </w:tcBorders>
          </w:tcPr>
          <w:p w14:paraId="001C32C0">
            <w:pPr>
              <w:spacing w:before="156" w:line="360" w:lineRule="auto"/>
              <w:ind w:firstLine="420" w:firstLineChars="200"/>
              <w:rPr>
                <w:rFonts w:ascii="宋体" w:hAnsi="宋体" w:cs="宋体"/>
                <w:color w:val="auto"/>
                <w:szCs w:val="21"/>
              </w:rPr>
            </w:pPr>
          </w:p>
        </w:tc>
      </w:tr>
      <w:tr w14:paraId="6FAD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915" w:type="dxa"/>
            <w:tcBorders>
              <w:top w:val="single" w:color="auto" w:sz="4" w:space="0"/>
              <w:left w:val="single" w:color="auto" w:sz="4" w:space="0"/>
              <w:bottom w:val="single" w:color="auto" w:sz="4" w:space="0"/>
              <w:right w:val="single" w:color="auto" w:sz="4" w:space="0"/>
            </w:tcBorders>
            <w:vAlign w:val="center"/>
          </w:tcPr>
          <w:p w14:paraId="2ECCF681">
            <w:pPr>
              <w:spacing w:before="156" w:line="360" w:lineRule="auto"/>
              <w:jc w:val="center"/>
              <w:rPr>
                <w:rFonts w:ascii="宋体" w:hAnsi="宋体" w:cs="宋体"/>
                <w:color w:val="auto"/>
                <w:sz w:val="24"/>
              </w:rPr>
            </w:pPr>
          </w:p>
        </w:tc>
        <w:tc>
          <w:tcPr>
            <w:tcW w:w="2859" w:type="dxa"/>
            <w:tcBorders>
              <w:top w:val="single" w:color="auto" w:sz="4" w:space="0"/>
              <w:left w:val="single" w:color="auto" w:sz="4" w:space="0"/>
              <w:bottom w:val="single" w:color="auto" w:sz="4" w:space="0"/>
              <w:right w:val="single" w:color="auto" w:sz="4" w:space="0"/>
            </w:tcBorders>
          </w:tcPr>
          <w:p w14:paraId="3AD15EF9">
            <w:pPr>
              <w:spacing w:before="156" w:line="360" w:lineRule="auto"/>
              <w:ind w:firstLine="420" w:firstLineChars="200"/>
              <w:rPr>
                <w:rFonts w:ascii="宋体" w:hAnsi="宋体" w:cs="宋体"/>
                <w:color w:val="auto"/>
                <w:szCs w:val="21"/>
              </w:rPr>
            </w:pPr>
          </w:p>
        </w:tc>
        <w:tc>
          <w:tcPr>
            <w:tcW w:w="2295" w:type="dxa"/>
            <w:tcBorders>
              <w:top w:val="single" w:color="auto" w:sz="4" w:space="0"/>
              <w:left w:val="single" w:color="auto" w:sz="4" w:space="0"/>
              <w:bottom w:val="single" w:color="auto" w:sz="4" w:space="0"/>
              <w:right w:val="single" w:color="auto" w:sz="4" w:space="0"/>
            </w:tcBorders>
          </w:tcPr>
          <w:p w14:paraId="1D70EFBC">
            <w:pPr>
              <w:spacing w:before="156" w:line="360" w:lineRule="auto"/>
              <w:ind w:firstLine="420" w:firstLineChars="200"/>
              <w:rPr>
                <w:rFonts w:ascii="宋体" w:hAnsi="宋体" w:cs="宋体"/>
                <w:color w:val="auto"/>
                <w:szCs w:val="21"/>
              </w:rPr>
            </w:pPr>
          </w:p>
        </w:tc>
        <w:tc>
          <w:tcPr>
            <w:tcW w:w="1896" w:type="dxa"/>
            <w:tcBorders>
              <w:top w:val="single" w:color="auto" w:sz="4" w:space="0"/>
              <w:left w:val="single" w:color="auto" w:sz="4" w:space="0"/>
              <w:bottom w:val="single" w:color="auto" w:sz="4" w:space="0"/>
              <w:right w:val="single" w:color="auto" w:sz="4" w:space="0"/>
            </w:tcBorders>
          </w:tcPr>
          <w:p w14:paraId="07DA5D00">
            <w:pPr>
              <w:spacing w:before="156" w:line="360" w:lineRule="auto"/>
              <w:ind w:firstLine="420" w:firstLineChars="200"/>
              <w:rPr>
                <w:rFonts w:ascii="宋体" w:hAnsi="宋体" w:cs="宋体"/>
                <w:color w:val="auto"/>
                <w:szCs w:val="21"/>
              </w:rPr>
            </w:pPr>
          </w:p>
        </w:tc>
        <w:tc>
          <w:tcPr>
            <w:tcW w:w="1298" w:type="dxa"/>
            <w:tcBorders>
              <w:top w:val="single" w:color="auto" w:sz="4" w:space="0"/>
              <w:left w:val="single" w:color="auto" w:sz="4" w:space="0"/>
              <w:bottom w:val="single" w:color="auto" w:sz="4" w:space="0"/>
              <w:right w:val="single" w:color="auto" w:sz="4" w:space="0"/>
            </w:tcBorders>
          </w:tcPr>
          <w:p w14:paraId="540CDF6C">
            <w:pPr>
              <w:spacing w:before="156" w:line="360" w:lineRule="auto"/>
              <w:ind w:firstLine="420" w:firstLineChars="200"/>
              <w:rPr>
                <w:rFonts w:ascii="宋体" w:hAnsi="宋体" w:cs="宋体"/>
                <w:color w:val="auto"/>
                <w:szCs w:val="21"/>
              </w:rPr>
            </w:pPr>
          </w:p>
        </w:tc>
      </w:tr>
      <w:tr w14:paraId="27E43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915" w:type="dxa"/>
            <w:tcBorders>
              <w:top w:val="single" w:color="auto" w:sz="4" w:space="0"/>
              <w:left w:val="single" w:color="auto" w:sz="4" w:space="0"/>
              <w:bottom w:val="single" w:color="auto" w:sz="4" w:space="0"/>
              <w:right w:val="single" w:color="auto" w:sz="4" w:space="0"/>
            </w:tcBorders>
            <w:vAlign w:val="center"/>
          </w:tcPr>
          <w:p w14:paraId="73135DC8">
            <w:pPr>
              <w:spacing w:before="156" w:line="360" w:lineRule="auto"/>
              <w:jc w:val="center"/>
              <w:rPr>
                <w:rFonts w:ascii="宋体" w:hAnsi="宋体" w:cs="宋体"/>
                <w:color w:val="auto"/>
                <w:sz w:val="24"/>
              </w:rPr>
            </w:pPr>
          </w:p>
        </w:tc>
        <w:tc>
          <w:tcPr>
            <w:tcW w:w="2859" w:type="dxa"/>
            <w:tcBorders>
              <w:top w:val="single" w:color="auto" w:sz="4" w:space="0"/>
              <w:left w:val="single" w:color="auto" w:sz="4" w:space="0"/>
              <w:bottom w:val="single" w:color="auto" w:sz="4" w:space="0"/>
              <w:right w:val="single" w:color="auto" w:sz="4" w:space="0"/>
            </w:tcBorders>
          </w:tcPr>
          <w:p w14:paraId="49877071">
            <w:pPr>
              <w:spacing w:before="156" w:line="360" w:lineRule="auto"/>
              <w:ind w:firstLine="420" w:firstLineChars="200"/>
              <w:rPr>
                <w:rFonts w:ascii="宋体" w:hAnsi="宋体" w:cs="宋体"/>
                <w:color w:val="auto"/>
                <w:szCs w:val="21"/>
              </w:rPr>
            </w:pPr>
          </w:p>
        </w:tc>
        <w:tc>
          <w:tcPr>
            <w:tcW w:w="2295" w:type="dxa"/>
            <w:tcBorders>
              <w:top w:val="single" w:color="auto" w:sz="4" w:space="0"/>
              <w:left w:val="single" w:color="auto" w:sz="4" w:space="0"/>
              <w:bottom w:val="single" w:color="auto" w:sz="4" w:space="0"/>
              <w:right w:val="single" w:color="auto" w:sz="4" w:space="0"/>
            </w:tcBorders>
          </w:tcPr>
          <w:p w14:paraId="1A278BE7">
            <w:pPr>
              <w:spacing w:before="156" w:line="360" w:lineRule="auto"/>
              <w:ind w:firstLine="420" w:firstLineChars="200"/>
              <w:rPr>
                <w:rFonts w:ascii="宋体" w:hAnsi="宋体" w:cs="宋体"/>
                <w:color w:val="auto"/>
                <w:szCs w:val="21"/>
              </w:rPr>
            </w:pPr>
          </w:p>
        </w:tc>
        <w:tc>
          <w:tcPr>
            <w:tcW w:w="1896" w:type="dxa"/>
            <w:tcBorders>
              <w:top w:val="single" w:color="auto" w:sz="4" w:space="0"/>
              <w:left w:val="single" w:color="auto" w:sz="4" w:space="0"/>
              <w:bottom w:val="single" w:color="auto" w:sz="4" w:space="0"/>
              <w:right w:val="single" w:color="auto" w:sz="4" w:space="0"/>
            </w:tcBorders>
          </w:tcPr>
          <w:p w14:paraId="26EC4D1D">
            <w:pPr>
              <w:spacing w:before="156" w:line="360" w:lineRule="auto"/>
              <w:ind w:firstLine="420" w:firstLineChars="200"/>
              <w:rPr>
                <w:rFonts w:ascii="宋体" w:hAnsi="宋体" w:cs="宋体"/>
                <w:color w:val="auto"/>
                <w:szCs w:val="21"/>
              </w:rPr>
            </w:pPr>
          </w:p>
        </w:tc>
        <w:tc>
          <w:tcPr>
            <w:tcW w:w="1298" w:type="dxa"/>
            <w:tcBorders>
              <w:top w:val="single" w:color="auto" w:sz="4" w:space="0"/>
              <w:left w:val="single" w:color="auto" w:sz="4" w:space="0"/>
              <w:bottom w:val="single" w:color="auto" w:sz="4" w:space="0"/>
              <w:right w:val="single" w:color="auto" w:sz="4" w:space="0"/>
            </w:tcBorders>
          </w:tcPr>
          <w:p w14:paraId="4296C717">
            <w:pPr>
              <w:spacing w:before="156" w:line="360" w:lineRule="auto"/>
              <w:ind w:firstLine="420" w:firstLineChars="200"/>
              <w:rPr>
                <w:rFonts w:ascii="宋体" w:hAnsi="宋体" w:cs="宋体"/>
                <w:color w:val="auto"/>
                <w:szCs w:val="21"/>
              </w:rPr>
            </w:pPr>
          </w:p>
        </w:tc>
      </w:tr>
      <w:tr w14:paraId="14E45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915" w:type="dxa"/>
            <w:tcBorders>
              <w:top w:val="single" w:color="auto" w:sz="4" w:space="0"/>
              <w:left w:val="single" w:color="auto" w:sz="4" w:space="0"/>
              <w:bottom w:val="single" w:color="auto" w:sz="4" w:space="0"/>
              <w:right w:val="single" w:color="auto" w:sz="4" w:space="0"/>
            </w:tcBorders>
            <w:vAlign w:val="center"/>
          </w:tcPr>
          <w:p w14:paraId="730612FB">
            <w:pPr>
              <w:spacing w:before="156" w:line="360" w:lineRule="auto"/>
              <w:jc w:val="center"/>
              <w:rPr>
                <w:rFonts w:ascii="宋体" w:hAnsi="宋体" w:cs="宋体"/>
                <w:color w:val="auto"/>
                <w:sz w:val="24"/>
              </w:rPr>
            </w:pPr>
          </w:p>
        </w:tc>
        <w:tc>
          <w:tcPr>
            <w:tcW w:w="2859" w:type="dxa"/>
            <w:tcBorders>
              <w:top w:val="single" w:color="auto" w:sz="4" w:space="0"/>
              <w:left w:val="single" w:color="auto" w:sz="4" w:space="0"/>
              <w:bottom w:val="single" w:color="auto" w:sz="4" w:space="0"/>
              <w:right w:val="single" w:color="auto" w:sz="4" w:space="0"/>
            </w:tcBorders>
          </w:tcPr>
          <w:p w14:paraId="748FC993">
            <w:pPr>
              <w:spacing w:before="156" w:line="360" w:lineRule="auto"/>
              <w:ind w:firstLine="420" w:firstLineChars="200"/>
              <w:rPr>
                <w:rFonts w:ascii="宋体" w:hAnsi="宋体" w:cs="宋体"/>
                <w:color w:val="auto"/>
                <w:szCs w:val="21"/>
              </w:rPr>
            </w:pPr>
          </w:p>
        </w:tc>
        <w:tc>
          <w:tcPr>
            <w:tcW w:w="2295" w:type="dxa"/>
            <w:tcBorders>
              <w:top w:val="single" w:color="auto" w:sz="4" w:space="0"/>
              <w:left w:val="single" w:color="auto" w:sz="4" w:space="0"/>
              <w:bottom w:val="single" w:color="auto" w:sz="4" w:space="0"/>
              <w:right w:val="single" w:color="auto" w:sz="4" w:space="0"/>
            </w:tcBorders>
          </w:tcPr>
          <w:p w14:paraId="234A6883">
            <w:pPr>
              <w:spacing w:before="156" w:line="360" w:lineRule="auto"/>
              <w:ind w:firstLine="420" w:firstLineChars="200"/>
              <w:rPr>
                <w:rFonts w:ascii="宋体" w:hAnsi="宋体" w:cs="宋体"/>
                <w:color w:val="auto"/>
                <w:szCs w:val="21"/>
              </w:rPr>
            </w:pPr>
          </w:p>
        </w:tc>
        <w:tc>
          <w:tcPr>
            <w:tcW w:w="1896" w:type="dxa"/>
            <w:tcBorders>
              <w:top w:val="single" w:color="auto" w:sz="4" w:space="0"/>
              <w:left w:val="single" w:color="auto" w:sz="4" w:space="0"/>
              <w:bottom w:val="single" w:color="auto" w:sz="4" w:space="0"/>
              <w:right w:val="single" w:color="auto" w:sz="4" w:space="0"/>
            </w:tcBorders>
          </w:tcPr>
          <w:p w14:paraId="019D8768">
            <w:pPr>
              <w:spacing w:before="156" w:line="360" w:lineRule="auto"/>
              <w:ind w:firstLine="420" w:firstLineChars="200"/>
              <w:rPr>
                <w:rFonts w:ascii="宋体" w:hAnsi="宋体" w:cs="宋体"/>
                <w:color w:val="auto"/>
                <w:szCs w:val="21"/>
              </w:rPr>
            </w:pPr>
          </w:p>
        </w:tc>
        <w:tc>
          <w:tcPr>
            <w:tcW w:w="1298" w:type="dxa"/>
            <w:tcBorders>
              <w:top w:val="single" w:color="auto" w:sz="4" w:space="0"/>
              <w:left w:val="single" w:color="auto" w:sz="4" w:space="0"/>
              <w:bottom w:val="single" w:color="auto" w:sz="4" w:space="0"/>
              <w:right w:val="single" w:color="auto" w:sz="4" w:space="0"/>
            </w:tcBorders>
          </w:tcPr>
          <w:p w14:paraId="717D9B4A">
            <w:pPr>
              <w:spacing w:before="156" w:line="360" w:lineRule="auto"/>
              <w:ind w:firstLine="420" w:firstLineChars="200"/>
              <w:rPr>
                <w:rFonts w:ascii="宋体" w:hAnsi="宋体" w:cs="宋体"/>
                <w:color w:val="auto"/>
                <w:szCs w:val="21"/>
              </w:rPr>
            </w:pPr>
          </w:p>
        </w:tc>
      </w:tr>
      <w:tr w14:paraId="24283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915" w:type="dxa"/>
            <w:tcBorders>
              <w:top w:val="single" w:color="auto" w:sz="4" w:space="0"/>
              <w:left w:val="single" w:color="auto" w:sz="4" w:space="0"/>
              <w:bottom w:val="single" w:color="auto" w:sz="4" w:space="0"/>
              <w:right w:val="single" w:color="auto" w:sz="4" w:space="0"/>
            </w:tcBorders>
            <w:vAlign w:val="center"/>
          </w:tcPr>
          <w:p w14:paraId="4C089B13">
            <w:pPr>
              <w:spacing w:before="156" w:line="360" w:lineRule="auto"/>
              <w:jc w:val="center"/>
              <w:rPr>
                <w:rFonts w:ascii="宋体" w:hAnsi="宋体" w:cs="宋体"/>
                <w:color w:val="auto"/>
                <w:sz w:val="24"/>
              </w:rPr>
            </w:pPr>
          </w:p>
        </w:tc>
        <w:tc>
          <w:tcPr>
            <w:tcW w:w="2859" w:type="dxa"/>
            <w:tcBorders>
              <w:top w:val="single" w:color="auto" w:sz="4" w:space="0"/>
              <w:left w:val="single" w:color="auto" w:sz="4" w:space="0"/>
              <w:bottom w:val="single" w:color="auto" w:sz="4" w:space="0"/>
              <w:right w:val="single" w:color="auto" w:sz="4" w:space="0"/>
            </w:tcBorders>
          </w:tcPr>
          <w:p w14:paraId="0A3F1DB6">
            <w:pPr>
              <w:spacing w:before="156" w:line="360" w:lineRule="auto"/>
              <w:ind w:firstLine="420" w:firstLineChars="200"/>
              <w:rPr>
                <w:rFonts w:ascii="宋体" w:hAnsi="宋体" w:cs="宋体"/>
                <w:color w:val="auto"/>
                <w:szCs w:val="21"/>
              </w:rPr>
            </w:pPr>
          </w:p>
        </w:tc>
        <w:tc>
          <w:tcPr>
            <w:tcW w:w="2295" w:type="dxa"/>
            <w:tcBorders>
              <w:top w:val="single" w:color="auto" w:sz="4" w:space="0"/>
              <w:left w:val="single" w:color="auto" w:sz="4" w:space="0"/>
              <w:bottom w:val="single" w:color="auto" w:sz="4" w:space="0"/>
              <w:right w:val="single" w:color="auto" w:sz="4" w:space="0"/>
            </w:tcBorders>
          </w:tcPr>
          <w:p w14:paraId="163F1A1F">
            <w:pPr>
              <w:spacing w:before="156" w:line="360" w:lineRule="auto"/>
              <w:ind w:firstLine="420" w:firstLineChars="200"/>
              <w:rPr>
                <w:rFonts w:ascii="宋体" w:hAnsi="宋体" w:cs="宋体"/>
                <w:color w:val="auto"/>
                <w:szCs w:val="21"/>
              </w:rPr>
            </w:pPr>
          </w:p>
        </w:tc>
        <w:tc>
          <w:tcPr>
            <w:tcW w:w="1896" w:type="dxa"/>
            <w:tcBorders>
              <w:top w:val="single" w:color="auto" w:sz="4" w:space="0"/>
              <w:left w:val="single" w:color="auto" w:sz="4" w:space="0"/>
              <w:bottom w:val="single" w:color="auto" w:sz="4" w:space="0"/>
              <w:right w:val="single" w:color="auto" w:sz="4" w:space="0"/>
            </w:tcBorders>
          </w:tcPr>
          <w:p w14:paraId="1EDE2C7A">
            <w:pPr>
              <w:spacing w:before="156" w:line="360" w:lineRule="auto"/>
              <w:ind w:firstLine="420" w:firstLineChars="200"/>
              <w:rPr>
                <w:rFonts w:ascii="宋体" w:hAnsi="宋体" w:cs="宋体"/>
                <w:color w:val="auto"/>
                <w:szCs w:val="21"/>
              </w:rPr>
            </w:pPr>
          </w:p>
        </w:tc>
        <w:tc>
          <w:tcPr>
            <w:tcW w:w="1298" w:type="dxa"/>
            <w:tcBorders>
              <w:top w:val="single" w:color="auto" w:sz="4" w:space="0"/>
              <w:left w:val="single" w:color="auto" w:sz="4" w:space="0"/>
              <w:bottom w:val="single" w:color="auto" w:sz="4" w:space="0"/>
              <w:right w:val="single" w:color="auto" w:sz="4" w:space="0"/>
            </w:tcBorders>
          </w:tcPr>
          <w:p w14:paraId="47F31627">
            <w:pPr>
              <w:spacing w:before="156" w:line="360" w:lineRule="auto"/>
              <w:ind w:firstLine="420" w:firstLineChars="200"/>
              <w:rPr>
                <w:rFonts w:ascii="宋体" w:hAnsi="宋体" w:cs="宋体"/>
                <w:color w:val="auto"/>
                <w:szCs w:val="21"/>
              </w:rPr>
            </w:pPr>
          </w:p>
        </w:tc>
      </w:tr>
      <w:tr w14:paraId="03FF8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915" w:type="dxa"/>
            <w:tcBorders>
              <w:top w:val="single" w:color="auto" w:sz="4" w:space="0"/>
              <w:left w:val="single" w:color="auto" w:sz="4" w:space="0"/>
              <w:bottom w:val="single" w:color="auto" w:sz="4" w:space="0"/>
              <w:right w:val="single" w:color="auto" w:sz="4" w:space="0"/>
            </w:tcBorders>
            <w:vAlign w:val="center"/>
          </w:tcPr>
          <w:p w14:paraId="75EAB790">
            <w:pPr>
              <w:spacing w:before="156" w:line="360" w:lineRule="auto"/>
              <w:jc w:val="center"/>
              <w:rPr>
                <w:rFonts w:ascii="宋体" w:hAnsi="宋体" w:cs="宋体"/>
                <w:color w:val="auto"/>
                <w:sz w:val="24"/>
              </w:rPr>
            </w:pPr>
          </w:p>
        </w:tc>
        <w:tc>
          <w:tcPr>
            <w:tcW w:w="2859" w:type="dxa"/>
            <w:tcBorders>
              <w:top w:val="single" w:color="auto" w:sz="4" w:space="0"/>
              <w:left w:val="single" w:color="auto" w:sz="4" w:space="0"/>
              <w:bottom w:val="single" w:color="auto" w:sz="4" w:space="0"/>
              <w:right w:val="single" w:color="auto" w:sz="4" w:space="0"/>
            </w:tcBorders>
          </w:tcPr>
          <w:p w14:paraId="0E06C55A">
            <w:pPr>
              <w:spacing w:before="156" w:line="360" w:lineRule="auto"/>
              <w:ind w:firstLine="420" w:firstLineChars="200"/>
              <w:rPr>
                <w:rFonts w:ascii="宋体" w:hAnsi="宋体" w:cs="宋体"/>
                <w:color w:val="auto"/>
                <w:szCs w:val="21"/>
              </w:rPr>
            </w:pPr>
          </w:p>
        </w:tc>
        <w:tc>
          <w:tcPr>
            <w:tcW w:w="2295" w:type="dxa"/>
            <w:tcBorders>
              <w:top w:val="single" w:color="auto" w:sz="4" w:space="0"/>
              <w:left w:val="single" w:color="auto" w:sz="4" w:space="0"/>
              <w:bottom w:val="single" w:color="auto" w:sz="4" w:space="0"/>
              <w:right w:val="single" w:color="auto" w:sz="4" w:space="0"/>
            </w:tcBorders>
          </w:tcPr>
          <w:p w14:paraId="1CAE2477">
            <w:pPr>
              <w:spacing w:before="156" w:line="360" w:lineRule="auto"/>
              <w:ind w:firstLine="420" w:firstLineChars="200"/>
              <w:rPr>
                <w:rFonts w:ascii="宋体" w:hAnsi="宋体" w:cs="宋体"/>
                <w:color w:val="auto"/>
                <w:szCs w:val="21"/>
              </w:rPr>
            </w:pPr>
          </w:p>
        </w:tc>
        <w:tc>
          <w:tcPr>
            <w:tcW w:w="1896" w:type="dxa"/>
            <w:tcBorders>
              <w:top w:val="single" w:color="auto" w:sz="4" w:space="0"/>
              <w:left w:val="single" w:color="auto" w:sz="4" w:space="0"/>
              <w:bottom w:val="single" w:color="auto" w:sz="4" w:space="0"/>
              <w:right w:val="single" w:color="auto" w:sz="4" w:space="0"/>
            </w:tcBorders>
          </w:tcPr>
          <w:p w14:paraId="73CD5676">
            <w:pPr>
              <w:spacing w:before="156" w:line="360" w:lineRule="auto"/>
              <w:ind w:firstLine="420" w:firstLineChars="200"/>
              <w:rPr>
                <w:rFonts w:ascii="宋体" w:hAnsi="宋体" w:cs="宋体"/>
                <w:color w:val="auto"/>
                <w:szCs w:val="21"/>
              </w:rPr>
            </w:pPr>
          </w:p>
        </w:tc>
        <w:tc>
          <w:tcPr>
            <w:tcW w:w="1298" w:type="dxa"/>
            <w:tcBorders>
              <w:top w:val="single" w:color="auto" w:sz="4" w:space="0"/>
              <w:left w:val="single" w:color="auto" w:sz="4" w:space="0"/>
              <w:bottom w:val="single" w:color="auto" w:sz="4" w:space="0"/>
              <w:right w:val="single" w:color="auto" w:sz="4" w:space="0"/>
            </w:tcBorders>
          </w:tcPr>
          <w:p w14:paraId="6F00B8CA">
            <w:pPr>
              <w:spacing w:before="156" w:line="360" w:lineRule="auto"/>
              <w:ind w:firstLine="420" w:firstLineChars="200"/>
              <w:rPr>
                <w:rFonts w:ascii="宋体" w:hAnsi="宋体" w:cs="宋体"/>
                <w:color w:val="auto"/>
                <w:szCs w:val="21"/>
              </w:rPr>
            </w:pPr>
          </w:p>
        </w:tc>
      </w:tr>
    </w:tbl>
    <w:p w14:paraId="77E7D1F7">
      <w:pPr>
        <w:spacing w:before="156" w:line="360" w:lineRule="auto"/>
        <w:rPr>
          <w:rFonts w:ascii="宋体" w:hAnsi="宋体" w:cs="宋体"/>
          <w:b/>
          <w:bCs/>
          <w:color w:val="auto"/>
          <w:szCs w:val="21"/>
        </w:rPr>
      </w:pPr>
      <w:r>
        <w:rPr>
          <w:rFonts w:hint="eastAsia" w:ascii="宋体" w:hAnsi="宋体" w:cs="宋体"/>
          <w:b/>
          <w:bCs/>
          <w:color w:val="auto"/>
          <w:szCs w:val="21"/>
        </w:rPr>
        <w:t>填表说明：</w:t>
      </w:r>
    </w:p>
    <w:p w14:paraId="7D4A276E">
      <w:pPr>
        <w:keepNext w:val="0"/>
        <w:keepLines w:val="0"/>
        <w:pageBreakBefore w:val="0"/>
        <w:widowControl w:val="0"/>
        <w:kinsoku/>
        <w:wordWrap/>
        <w:overflowPunct/>
        <w:topLinePunct w:val="0"/>
        <w:autoSpaceDE/>
        <w:autoSpaceDN/>
        <w:bidi w:val="0"/>
        <w:adjustRightInd/>
        <w:snapToGrid/>
        <w:spacing w:line="560" w:lineRule="exact"/>
        <w:ind w:firstLine="91"/>
        <w:textAlignment w:val="auto"/>
        <w:rPr>
          <w:rFonts w:hint="eastAsia"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1、投标人承诺：对采购文件有任何偏离（包括正偏离及负偏离）均已汇总并填写在此表中，除偏离表列出的偏离外，承诺响应招标文件的全部要求。</w:t>
      </w:r>
    </w:p>
    <w:p w14:paraId="1B4DB849">
      <w:pPr>
        <w:keepNext w:val="0"/>
        <w:keepLines w:val="0"/>
        <w:pageBreakBefore w:val="0"/>
        <w:widowControl w:val="0"/>
        <w:kinsoku/>
        <w:wordWrap/>
        <w:overflowPunct/>
        <w:topLinePunct w:val="0"/>
        <w:autoSpaceDE/>
        <w:autoSpaceDN/>
        <w:bidi w:val="0"/>
        <w:adjustRightInd/>
        <w:snapToGrid/>
        <w:spacing w:line="560" w:lineRule="exact"/>
        <w:ind w:firstLine="91"/>
        <w:textAlignment w:val="auto"/>
        <w:rPr>
          <w:rFonts w:hint="eastAsia"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2、此表可在不改变格式的情况下自行制作。</w:t>
      </w:r>
    </w:p>
    <w:p w14:paraId="2545E281">
      <w:pPr>
        <w:keepNext w:val="0"/>
        <w:keepLines w:val="0"/>
        <w:pageBreakBefore w:val="0"/>
        <w:widowControl w:val="0"/>
        <w:kinsoku/>
        <w:wordWrap/>
        <w:overflowPunct/>
        <w:topLinePunct w:val="0"/>
        <w:autoSpaceDE/>
        <w:autoSpaceDN/>
        <w:bidi w:val="0"/>
        <w:adjustRightInd/>
        <w:snapToGrid/>
        <w:spacing w:line="560" w:lineRule="exact"/>
        <w:ind w:firstLine="91"/>
        <w:textAlignment w:val="auto"/>
        <w:rPr>
          <w:rFonts w:hint="eastAsia"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 xml:space="preserve">3、本偏离表的负偏离情况应与技术参数评分项一致。  </w:t>
      </w:r>
    </w:p>
    <w:p w14:paraId="4FBA3197">
      <w:pPr>
        <w:pStyle w:val="26"/>
        <w:ind w:left="840" w:hanging="420"/>
        <w:rPr>
          <w:color w:val="auto"/>
        </w:rPr>
      </w:pPr>
    </w:p>
    <w:p w14:paraId="3BF35AEB">
      <w:pPr>
        <w:spacing w:line="360" w:lineRule="auto"/>
        <w:ind w:left="359" w:leftChars="171"/>
        <w:jc w:val="left"/>
        <w:rPr>
          <w:rFonts w:ascii="宋体" w:hAnsi="宋体" w:cs="宋体"/>
          <w:b/>
          <w:bCs/>
          <w:color w:val="auto"/>
          <w:szCs w:val="21"/>
        </w:rPr>
      </w:pPr>
      <w:r>
        <w:rPr>
          <w:rFonts w:hint="eastAsia" w:ascii="宋体" w:hAnsi="宋体" w:cs="宋体"/>
          <w:color w:val="auto"/>
          <w:szCs w:val="21"/>
        </w:rPr>
        <w:t xml:space="preserve"> </w:t>
      </w:r>
      <w:r>
        <w:rPr>
          <w:rFonts w:hint="eastAsia" w:ascii="宋体" w:hAnsi="宋体" w:cs="宋体"/>
          <w:b/>
          <w:bCs/>
          <w:color w:val="auto"/>
          <w:szCs w:val="21"/>
        </w:rPr>
        <w:t>投标人（盖章）：</w:t>
      </w:r>
    </w:p>
    <w:p w14:paraId="676ACE92">
      <w:pPr>
        <w:spacing w:line="360" w:lineRule="auto"/>
        <w:ind w:left="359" w:leftChars="171"/>
        <w:jc w:val="left"/>
        <w:rPr>
          <w:rFonts w:ascii="宋体" w:hAnsi="宋体" w:cs="宋体"/>
          <w:b/>
          <w:bCs/>
          <w:color w:val="auto"/>
          <w:szCs w:val="21"/>
        </w:rPr>
      </w:pPr>
    </w:p>
    <w:p w14:paraId="686B5BB2">
      <w:pPr>
        <w:spacing w:line="360" w:lineRule="auto"/>
        <w:ind w:left="359" w:leftChars="171"/>
        <w:jc w:val="left"/>
        <w:rPr>
          <w:rFonts w:ascii="宋体" w:hAnsi="宋体" w:cs="宋体"/>
          <w:b/>
          <w:bCs/>
          <w:color w:val="auto"/>
          <w:szCs w:val="21"/>
        </w:rPr>
      </w:pPr>
      <w:r>
        <w:rPr>
          <w:rFonts w:hint="eastAsia" w:ascii="宋体" w:hAnsi="宋体" w:cs="宋体"/>
          <w:b/>
          <w:bCs/>
          <w:color w:val="auto"/>
          <w:szCs w:val="21"/>
        </w:rPr>
        <w:t xml:space="preserve"> 日 期：  年  月  日</w:t>
      </w:r>
    </w:p>
    <w:p w14:paraId="603140AA">
      <w:pPr>
        <w:spacing w:line="460" w:lineRule="exact"/>
        <w:jc w:val="center"/>
        <w:rPr>
          <w:rFonts w:ascii="楷体_GB2312" w:eastAsia="楷体_GB2312"/>
          <w:b/>
          <w:bCs/>
          <w:color w:val="auto"/>
          <w:sz w:val="28"/>
          <w:szCs w:val="28"/>
        </w:rPr>
      </w:pPr>
    </w:p>
    <w:p w14:paraId="6A3DBAE8">
      <w:pPr>
        <w:spacing w:line="460" w:lineRule="exact"/>
        <w:jc w:val="center"/>
        <w:rPr>
          <w:rFonts w:ascii="楷体_GB2312" w:eastAsia="楷体_GB2312"/>
          <w:b/>
          <w:bCs/>
          <w:color w:val="auto"/>
          <w:sz w:val="28"/>
          <w:szCs w:val="28"/>
        </w:rPr>
      </w:pPr>
    </w:p>
    <w:p w14:paraId="14298EF4">
      <w:pPr>
        <w:spacing w:line="460" w:lineRule="exact"/>
        <w:jc w:val="center"/>
        <w:rPr>
          <w:rFonts w:ascii="楷体_GB2312" w:eastAsia="楷体_GB2312"/>
          <w:b/>
          <w:bCs/>
          <w:color w:val="auto"/>
          <w:sz w:val="28"/>
          <w:szCs w:val="28"/>
        </w:rPr>
      </w:pPr>
    </w:p>
    <w:p w14:paraId="493FDA6E">
      <w:pPr>
        <w:spacing w:line="460" w:lineRule="exact"/>
        <w:jc w:val="center"/>
        <w:rPr>
          <w:rFonts w:ascii="楷体_GB2312" w:eastAsia="楷体_GB2312"/>
          <w:b/>
          <w:bCs/>
          <w:color w:val="auto"/>
          <w:sz w:val="28"/>
          <w:szCs w:val="28"/>
        </w:rPr>
      </w:pPr>
    </w:p>
    <w:p w14:paraId="7563323C">
      <w:pPr>
        <w:spacing w:line="460" w:lineRule="exact"/>
        <w:jc w:val="center"/>
        <w:rPr>
          <w:rFonts w:ascii="楷体_GB2312" w:eastAsia="楷体_GB2312"/>
          <w:b/>
          <w:bCs/>
          <w:color w:val="auto"/>
          <w:sz w:val="28"/>
          <w:szCs w:val="28"/>
        </w:rPr>
      </w:pPr>
    </w:p>
    <w:p w14:paraId="714E0556">
      <w:pPr>
        <w:spacing w:line="460" w:lineRule="exact"/>
        <w:jc w:val="center"/>
        <w:rPr>
          <w:rFonts w:ascii="楷体_GB2312" w:eastAsia="楷体_GB2312"/>
          <w:b/>
          <w:bCs/>
          <w:color w:val="auto"/>
          <w:sz w:val="28"/>
          <w:szCs w:val="28"/>
        </w:rPr>
      </w:pPr>
    </w:p>
    <w:p w14:paraId="6DC747B6">
      <w:pPr>
        <w:spacing w:line="460" w:lineRule="exact"/>
        <w:jc w:val="center"/>
        <w:rPr>
          <w:rFonts w:ascii="楷体_GB2312" w:eastAsia="楷体_GB2312"/>
          <w:b/>
          <w:bCs/>
          <w:color w:val="auto"/>
          <w:sz w:val="28"/>
          <w:szCs w:val="28"/>
        </w:rPr>
      </w:pPr>
    </w:p>
    <w:p w14:paraId="201711F3">
      <w:pPr>
        <w:spacing w:line="460" w:lineRule="exact"/>
        <w:rPr>
          <w:rFonts w:ascii="楷体_GB2312" w:eastAsia="楷体_GB2312"/>
          <w:b/>
          <w:bCs/>
          <w:color w:val="auto"/>
          <w:sz w:val="28"/>
          <w:szCs w:val="28"/>
        </w:rPr>
      </w:pPr>
    </w:p>
    <w:p w14:paraId="41F8E23D">
      <w:pPr>
        <w:spacing w:line="460" w:lineRule="exact"/>
        <w:outlineLvl w:val="0"/>
        <w:rPr>
          <w:rFonts w:hint="eastAsia" w:ascii="宋体" w:hAnsi="宋体" w:eastAsia="宋体" w:cs="宋体"/>
          <w:b/>
          <w:bCs/>
          <w:color w:val="auto"/>
          <w:sz w:val="22"/>
          <w:szCs w:val="22"/>
          <w:lang w:eastAsia="zh-CN"/>
        </w:rPr>
      </w:pPr>
      <w:r>
        <w:rPr>
          <w:rFonts w:hint="eastAsia" w:ascii="楷体_GB2312" w:eastAsia="楷体_GB2312"/>
          <w:b/>
          <w:bCs/>
          <w:color w:val="auto"/>
          <w:sz w:val="22"/>
          <w:szCs w:val="22"/>
        </w:rPr>
        <w:br w:type="page"/>
      </w:r>
      <w:bookmarkStart w:id="199" w:name="_Toc31767"/>
      <w:r>
        <w:rPr>
          <w:rFonts w:hint="eastAsia" w:ascii="宋体" w:hAnsi="宋体" w:cs="宋体"/>
          <w:b/>
          <w:bCs/>
          <w:color w:val="auto"/>
          <w:sz w:val="22"/>
          <w:szCs w:val="22"/>
        </w:rPr>
        <w:t>附件</w:t>
      </w:r>
      <w:bookmarkEnd w:id="199"/>
      <w:r>
        <w:rPr>
          <w:rFonts w:hint="eastAsia" w:ascii="宋体" w:hAnsi="宋体" w:cs="宋体"/>
          <w:b/>
          <w:bCs/>
          <w:color w:val="auto"/>
          <w:sz w:val="22"/>
          <w:szCs w:val="22"/>
          <w:lang w:val="en-US" w:eastAsia="zh-CN"/>
        </w:rPr>
        <w:t>8</w:t>
      </w:r>
    </w:p>
    <w:p w14:paraId="76E3D98A">
      <w:pPr>
        <w:spacing w:line="460" w:lineRule="exact"/>
        <w:jc w:val="center"/>
        <w:outlineLvl w:val="0"/>
        <w:rPr>
          <w:rFonts w:ascii="宋体" w:hAnsi="宋体"/>
          <w:b/>
          <w:bCs/>
          <w:color w:val="auto"/>
          <w:kern w:val="0"/>
          <w:sz w:val="30"/>
          <w:szCs w:val="30"/>
        </w:rPr>
      </w:pPr>
      <w:r>
        <w:rPr>
          <w:rFonts w:hint="eastAsia" w:ascii="宋体" w:hAnsi="宋体"/>
          <w:b/>
          <w:bCs/>
          <w:color w:val="auto"/>
          <w:kern w:val="0"/>
          <w:sz w:val="30"/>
          <w:szCs w:val="30"/>
        </w:rPr>
        <w:t>开标一览表</w:t>
      </w:r>
    </w:p>
    <w:p w14:paraId="1CEE5EA2">
      <w:pPr>
        <w:spacing w:line="380" w:lineRule="exact"/>
        <w:jc w:val="center"/>
        <w:rPr>
          <w:rFonts w:ascii="楷体_GB2312" w:eastAsia="楷体_GB2312"/>
          <w:b/>
          <w:bCs/>
          <w:color w:val="auto"/>
          <w:sz w:val="28"/>
        </w:rPr>
      </w:pPr>
    </w:p>
    <w:p w14:paraId="06123AA2">
      <w:pPr>
        <w:spacing w:line="380" w:lineRule="exact"/>
        <w:jc w:val="center"/>
        <w:rPr>
          <w:rFonts w:ascii="楷体_GB2312" w:eastAsia="楷体_GB2312"/>
          <w:b/>
          <w:bCs/>
          <w:color w:val="auto"/>
          <w:sz w:val="28"/>
        </w:rPr>
      </w:pPr>
    </w:p>
    <w:p w14:paraId="25A7EAE1">
      <w:pPr>
        <w:pStyle w:val="26"/>
        <w:ind w:left="842" w:hanging="422"/>
        <w:rPr>
          <w:rFonts w:ascii="宋体" w:hAnsi="宋体"/>
          <w:b/>
          <w:color w:val="auto"/>
        </w:rPr>
      </w:pPr>
      <w:r>
        <w:rPr>
          <w:rFonts w:hint="eastAsia" w:ascii="宋体" w:hAnsi="宋体"/>
          <w:b/>
          <w:color w:val="auto"/>
        </w:rPr>
        <w:t>项目名称：</w:t>
      </w:r>
      <w:r>
        <w:rPr>
          <w:rFonts w:hint="eastAsia" w:ascii="宋体" w:hAnsi="宋体"/>
          <w:b/>
          <w:color w:val="auto"/>
          <w:lang w:eastAsia="zh-CN"/>
        </w:rPr>
        <w:t>常山县农村垃圾中转站渗滤液集中转运处置项目（2025-2026年度）</w:t>
      </w:r>
      <w:r>
        <w:rPr>
          <w:rFonts w:hint="eastAsia" w:ascii="宋体" w:hAnsi="宋体"/>
          <w:b/>
          <w:color w:val="auto"/>
        </w:rPr>
        <w:t xml:space="preserve">           </w:t>
      </w:r>
    </w:p>
    <w:p w14:paraId="4E39B84E">
      <w:pPr>
        <w:pStyle w:val="26"/>
        <w:ind w:left="842" w:hanging="422"/>
        <w:rPr>
          <w:rFonts w:hint="eastAsia" w:ascii="宋体" w:hAnsi="宋体" w:eastAsia="宋体"/>
          <w:b/>
          <w:color w:val="auto"/>
          <w:lang w:eastAsia="zh-CN"/>
        </w:rPr>
      </w:pPr>
      <w:r>
        <w:rPr>
          <w:rFonts w:hint="eastAsia" w:ascii="宋体" w:hAnsi="宋体"/>
          <w:b/>
          <w:color w:val="auto"/>
        </w:rPr>
        <w:t>项目编号：</w:t>
      </w:r>
      <w:r>
        <w:rPr>
          <w:rFonts w:hint="eastAsia" w:ascii="宋体" w:hAnsi="宋体"/>
          <w:b/>
          <w:color w:val="auto"/>
          <w:lang w:eastAsia="zh-CN"/>
        </w:rPr>
        <w:t>ZJLT-GK-2025021</w:t>
      </w:r>
    </w:p>
    <w:tbl>
      <w:tblPr>
        <w:tblStyle w:val="2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9"/>
        <w:gridCol w:w="2520"/>
        <w:gridCol w:w="6437"/>
      </w:tblGrid>
      <w:tr w14:paraId="685CCF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2" w:hRule="atLeast"/>
          <w:jc w:val="center"/>
        </w:trPr>
        <w:tc>
          <w:tcPr>
            <w:tcW w:w="709" w:type="dxa"/>
            <w:tcBorders>
              <w:bottom w:val="single" w:color="auto" w:sz="4" w:space="0"/>
              <w:right w:val="single" w:color="auto" w:sz="4" w:space="0"/>
            </w:tcBorders>
            <w:noWrap/>
            <w:vAlign w:val="center"/>
          </w:tcPr>
          <w:p w14:paraId="1EFFB226">
            <w:pPr>
              <w:pStyle w:val="15"/>
              <w:jc w:val="center"/>
              <w:rPr>
                <w:rFonts w:hAnsi="宋体"/>
                <w:color w:val="auto"/>
              </w:rPr>
            </w:pPr>
            <w:r>
              <w:rPr>
                <w:rFonts w:hint="eastAsia" w:hAnsi="宋体"/>
                <w:color w:val="auto"/>
              </w:rPr>
              <w:t>序号</w:t>
            </w:r>
          </w:p>
        </w:tc>
        <w:tc>
          <w:tcPr>
            <w:tcW w:w="2520" w:type="dxa"/>
            <w:tcBorders>
              <w:left w:val="single" w:color="auto" w:sz="4" w:space="0"/>
              <w:bottom w:val="single" w:color="auto" w:sz="4" w:space="0"/>
              <w:right w:val="single" w:color="auto" w:sz="4" w:space="0"/>
            </w:tcBorders>
            <w:noWrap/>
            <w:vAlign w:val="center"/>
          </w:tcPr>
          <w:p w14:paraId="5F4AECB5">
            <w:pPr>
              <w:pStyle w:val="15"/>
              <w:jc w:val="center"/>
              <w:rPr>
                <w:rFonts w:hAnsi="宋体"/>
                <w:color w:val="auto"/>
              </w:rPr>
            </w:pPr>
            <w:r>
              <w:rPr>
                <w:rFonts w:hint="eastAsia" w:hAnsi="宋体"/>
                <w:color w:val="auto"/>
              </w:rPr>
              <w:t>名称</w:t>
            </w:r>
          </w:p>
        </w:tc>
        <w:tc>
          <w:tcPr>
            <w:tcW w:w="6437" w:type="dxa"/>
            <w:tcBorders>
              <w:left w:val="single" w:color="auto" w:sz="4" w:space="0"/>
              <w:bottom w:val="single" w:color="auto" w:sz="4" w:space="0"/>
            </w:tcBorders>
            <w:noWrap/>
            <w:vAlign w:val="center"/>
          </w:tcPr>
          <w:p w14:paraId="393FD5FF">
            <w:pPr>
              <w:pStyle w:val="15"/>
              <w:jc w:val="center"/>
              <w:rPr>
                <w:rFonts w:hAnsi="宋体"/>
                <w:color w:val="auto"/>
              </w:rPr>
            </w:pPr>
            <w:r>
              <w:rPr>
                <w:rFonts w:hint="eastAsia" w:hAnsi="宋体"/>
                <w:color w:val="auto"/>
              </w:rPr>
              <w:t>内容</w:t>
            </w:r>
          </w:p>
        </w:tc>
      </w:tr>
      <w:tr w14:paraId="22D548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76" w:hRule="atLeast"/>
          <w:jc w:val="center"/>
        </w:trPr>
        <w:tc>
          <w:tcPr>
            <w:tcW w:w="709" w:type="dxa"/>
            <w:tcBorders>
              <w:bottom w:val="single" w:color="auto" w:sz="4" w:space="0"/>
              <w:right w:val="single" w:color="auto" w:sz="4" w:space="0"/>
            </w:tcBorders>
            <w:noWrap/>
            <w:vAlign w:val="center"/>
          </w:tcPr>
          <w:p w14:paraId="594C0D78">
            <w:pPr>
              <w:pStyle w:val="15"/>
              <w:jc w:val="center"/>
              <w:rPr>
                <w:rFonts w:hAnsi="宋体"/>
                <w:color w:val="auto"/>
              </w:rPr>
            </w:pPr>
            <w:r>
              <w:rPr>
                <w:rFonts w:hint="eastAsia" w:hAnsi="宋体"/>
                <w:color w:val="auto"/>
              </w:rPr>
              <w:t>一</w:t>
            </w:r>
          </w:p>
        </w:tc>
        <w:tc>
          <w:tcPr>
            <w:tcW w:w="2520" w:type="dxa"/>
            <w:tcBorders>
              <w:left w:val="single" w:color="auto" w:sz="4" w:space="0"/>
              <w:bottom w:val="single" w:color="auto" w:sz="4" w:space="0"/>
              <w:right w:val="single" w:color="auto" w:sz="4" w:space="0"/>
            </w:tcBorders>
            <w:noWrap/>
            <w:vAlign w:val="center"/>
          </w:tcPr>
          <w:p w14:paraId="3459FF27">
            <w:pPr>
              <w:pStyle w:val="15"/>
              <w:rPr>
                <w:rFonts w:hint="eastAsia" w:hAnsi="宋体" w:eastAsia="宋体"/>
                <w:color w:val="auto"/>
                <w:lang w:val="en-US" w:eastAsia="zh-CN"/>
              </w:rPr>
            </w:pPr>
            <w:r>
              <w:rPr>
                <w:rFonts w:hint="eastAsia" w:hAnsi="宋体"/>
                <w:color w:val="auto"/>
              </w:rPr>
              <w:t>投标</w:t>
            </w:r>
            <w:r>
              <w:rPr>
                <w:rFonts w:hint="eastAsia" w:hAnsi="宋体"/>
                <w:color w:val="auto"/>
                <w:lang w:eastAsia="zh-CN"/>
              </w:rPr>
              <w:t>单</w:t>
            </w:r>
            <w:r>
              <w:rPr>
                <w:rFonts w:hint="eastAsia" w:hAnsi="宋体"/>
                <w:color w:val="auto"/>
              </w:rPr>
              <w:t>价（元</w:t>
            </w:r>
            <w:r>
              <w:rPr>
                <w:rFonts w:hint="eastAsia" w:hAnsi="宋体"/>
                <w:color w:val="auto"/>
                <w:lang w:val="en-US" w:eastAsia="zh-CN"/>
              </w:rPr>
              <w:t>/吨</w:t>
            </w:r>
            <w:r>
              <w:rPr>
                <w:rFonts w:hint="eastAsia" w:hAnsi="宋体"/>
                <w:color w:val="auto"/>
              </w:rPr>
              <w:t>）</w:t>
            </w:r>
          </w:p>
        </w:tc>
        <w:tc>
          <w:tcPr>
            <w:tcW w:w="6437" w:type="dxa"/>
            <w:tcBorders>
              <w:top w:val="single" w:color="auto" w:sz="4" w:space="0"/>
              <w:left w:val="single" w:color="auto" w:sz="4" w:space="0"/>
              <w:bottom w:val="single" w:color="auto" w:sz="4" w:space="0"/>
            </w:tcBorders>
            <w:noWrap/>
            <w:vAlign w:val="center"/>
          </w:tcPr>
          <w:p w14:paraId="793D7B88">
            <w:pPr>
              <w:pStyle w:val="15"/>
              <w:rPr>
                <w:rFonts w:hAnsi="宋体"/>
                <w:color w:val="auto"/>
              </w:rPr>
            </w:pPr>
            <w:r>
              <w:rPr>
                <w:rFonts w:hint="eastAsia" w:hAnsi="宋体"/>
                <w:color w:val="auto"/>
              </w:rPr>
              <w:t>大写（人民币）：</w:t>
            </w:r>
            <w:r>
              <w:rPr>
                <w:rFonts w:hint="eastAsia" w:hAnsi="宋体"/>
                <w:color w:val="auto"/>
                <w:u w:val="single"/>
                <w:lang w:val="en-US" w:eastAsia="zh-CN"/>
              </w:rPr>
              <w:t>每吨</w:t>
            </w:r>
            <w:r>
              <w:rPr>
                <w:rFonts w:hint="eastAsia" w:hAnsi="宋体"/>
                <w:color w:val="auto"/>
                <w:u w:val="single"/>
              </w:rPr>
              <w:t xml:space="preserve">              </w:t>
            </w:r>
            <w:r>
              <w:rPr>
                <w:rFonts w:hint="eastAsia" w:hAnsi="宋体"/>
                <w:color w:val="auto"/>
              </w:rPr>
              <w:t>（￥</w:t>
            </w:r>
            <w:r>
              <w:rPr>
                <w:rFonts w:hint="eastAsia" w:hAnsi="宋体"/>
                <w:color w:val="auto"/>
                <w:u w:val="single"/>
              </w:rPr>
              <w:t xml:space="preserve">            </w:t>
            </w:r>
            <w:r>
              <w:rPr>
                <w:rFonts w:hint="eastAsia" w:hAnsi="宋体"/>
                <w:color w:val="auto"/>
                <w:u w:val="single"/>
                <w:lang w:val="en-US" w:eastAsia="zh-CN"/>
              </w:rPr>
              <w:t>元/吨</w:t>
            </w:r>
            <w:r>
              <w:rPr>
                <w:rFonts w:hint="eastAsia" w:hAnsi="宋体"/>
                <w:color w:val="auto"/>
              </w:rPr>
              <w:t>）</w:t>
            </w:r>
          </w:p>
        </w:tc>
      </w:tr>
      <w:tr w14:paraId="1061E8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709" w:type="dxa"/>
            <w:tcBorders>
              <w:top w:val="single" w:color="auto" w:sz="4" w:space="0"/>
              <w:bottom w:val="single" w:color="auto" w:sz="4" w:space="0"/>
              <w:right w:val="single" w:color="auto" w:sz="4" w:space="0"/>
            </w:tcBorders>
            <w:noWrap/>
            <w:vAlign w:val="center"/>
          </w:tcPr>
          <w:p w14:paraId="50DD2A0C">
            <w:pPr>
              <w:pStyle w:val="15"/>
              <w:jc w:val="center"/>
              <w:rPr>
                <w:rFonts w:hAnsi="宋体"/>
                <w:color w:val="auto"/>
              </w:rPr>
            </w:pPr>
            <w:r>
              <w:rPr>
                <w:rFonts w:hint="eastAsia" w:hAnsi="宋体"/>
                <w:color w:val="auto"/>
              </w:rPr>
              <w:t>二</w:t>
            </w:r>
          </w:p>
        </w:tc>
        <w:tc>
          <w:tcPr>
            <w:tcW w:w="2520" w:type="dxa"/>
            <w:tcBorders>
              <w:top w:val="single" w:color="auto" w:sz="4" w:space="0"/>
              <w:left w:val="single" w:color="auto" w:sz="4" w:space="0"/>
              <w:bottom w:val="single" w:color="auto" w:sz="4" w:space="0"/>
              <w:right w:val="single" w:color="auto" w:sz="4" w:space="0"/>
            </w:tcBorders>
            <w:noWrap/>
            <w:vAlign w:val="center"/>
          </w:tcPr>
          <w:p w14:paraId="285122AD">
            <w:pPr>
              <w:pStyle w:val="15"/>
              <w:rPr>
                <w:rFonts w:hAnsi="宋体"/>
                <w:color w:val="auto"/>
              </w:rPr>
            </w:pPr>
            <w:r>
              <w:rPr>
                <w:rFonts w:hint="eastAsia" w:hAnsi="宋体"/>
                <w:color w:val="auto"/>
              </w:rPr>
              <w:t>项目负责人</w:t>
            </w:r>
          </w:p>
        </w:tc>
        <w:tc>
          <w:tcPr>
            <w:tcW w:w="6437" w:type="dxa"/>
            <w:tcBorders>
              <w:top w:val="single" w:color="auto" w:sz="4" w:space="0"/>
              <w:left w:val="single" w:color="auto" w:sz="4" w:space="0"/>
              <w:bottom w:val="single" w:color="auto" w:sz="4" w:space="0"/>
            </w:tcBorders>
            <w:noWrap/>
            <w:vAlign w:val="center"/>
          </w:tcPr>
          <w:p w14:paraId="26D8130A">
            <w:pPr>
              <w:pStyle w:val="15"/>
              <w:rPr>
                <w:rFonts w:hAnsi="宋体"/>
                <w:color w:val="auto"/>
                <w:u w:val="single"/>
              </w:rPr>
            </w:pPr>
          </w:p>
        </w:tc>
      </w:tr>
      <w:tr w14:paraId="5B3588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709" w:type="dxa"/>
            <w:tcBorders>
              <w:top w:val="single" w:color="auto" w:sz="4" w:space="0"/>
              <w:bottom w:val="single" w:color="auto" w:sz="4" w:space="0"/>
              <w:right w:val="single" w:color="auto" w:sz="4" w:space="0"/>
            </w:tcBorders>
            <w:noWrap/>
            <w:vAlign w:val="center"/>
          </w:tcPr>
          <w:p w14:paraId="30FDEDA6">
            <w:pPr>
              <w:pStyle w:val="15"/>
              <w:jc w:val="center"/>
              <w:rPr>
                <w:rFonts w:hint="eastAsia" w:hAnsi="宋体" w:eastAsia="宋体"/>
                <w:color w:val="auto"/>
                <w:lang w:val="en-US" w:eastAsia="zh-CN"/>
              </w:rPr>
            </w:pPr>
            <w:r>
              <w:rPr>
                <w:rFonts w:hint="eastAsia" w:hAnsi="宋体"/>
                <w:color w:val="auto"/>
                <w:lang w:val="en-US" w:eastAsia="zh-CN"/>
              </w:rPr>
              <w:t>三</w:t>
            </w:r>
          </w:p>
        </w:tc>
        <w:tc>
          <w:tcPr>
            <w:tcW w:w="2520" w:type="dxa"/>
            <w:tcBorders>
              <w:top w:val="single" w:color="auto" w:sz="4" w:space="0"/>
              <w:left w:val="single" w:color="auto" w:sz="4" w:space="0"/>
              <w:bottom w:val="single" w:color="auto" w:sz="4" w:space="0"/>
              <w:right w:val="single" w:color="auto" w:sz="4" w:space="0"/>
            </w:tcBorders>
            <w:noWrap/>
            <w:vAlign w:val="center"/>
          </w:tcPr>
          <w:p w14:paraId="760EDD6A">
            <w:pPr>
              <w:pStyle w:val="15"/>
              <w:rPr>
                <w:rFonts w:hint="default" w:hAnsi="宋体" w:eastAsia="宋体"/>
                <w:color w:val="auto"/>
                <w:lang w:val="en-US" w:eastAsia="zh-CN"/>
              </w:rPr>
            </w:pPr>
            <w:r>
              <w:rPr>
                <w:rFonts w:hint="eastAsia" w:hAnsi="宋体"/>
                <w:color w:val="auto"/>
                <w:lang w:val="en-US" w:eastAsia="zh-CN"/>
              </w:rPr>
              <w:t>服务期限</w:t>
            </w:r>
          </w:p>
        </w:tc>
        <w:tc>
          <w:tcPr>
            <w:tcW w:w="6437" w:type="dxa"/>
            <w:tcBorders>
              <w:top w:val="single" w:color="auto" w:sz="4" w:space="0"/>
              <w:left w:val="single" w:color="auto" w:sz="4" w:space="0"/>
              <w:bottom w:val="single" w:color="auto" w:sz="4" w:space="0"/>
            </w:tcBorders>
            <w:noWrap/>
            <w:vAlign w:val="center"/>
          </w:tcPr>
          <w:p w14:paraId="40BC9058">
            <w:pPr>
              <w:pStyle w:val="15"/>
              <w:jc w:val="center"/>
              <w:rPr>
                <w:rFonts w:hint="default" w:hAnsi="宋体" w:eastAsia="宋体"/>
                <w:color w:val="auto"/>
                <w:u w:val="single"/>
                <w:lang w:val="en-US" w:eastAsia="zh-CN"/>
              </w:rPr>
            </w:pPr>
            <w:r>
              <w:rPr>
                <w:rFonts w:hint="eastAsia" w:hAnsi="宋体"/>
                <w:color w:val="auto"/>
                <w:u w:val="none"/>
                <w:lang w:val="en-US" w:eastAsia="zh-CN"/>
              </w:rPr>
              <w:t>二年</w:t>
            </w:r>
          </w:p>
        </w:tc>
      </w:tr>
    </w:tbl>
    <w:p w14:paraId="165CC993">
      <w:pPr>
        <w:tabs>
          <w:tab w:val="left" w:pos="720"/>
          <w:tab w:val="left" w:pos="5355"/>
        </w:tabs>
        <w:spacing w:line="360" w:lineRule="auto"/>
        <w:ind w:firstLine="422" w:firstLineChars="200"/>
        <w:rPr>
          <w:rFonts w:hint="eastAsia" w:ascii="宋体" w:hAnsi="宋体" w:cs="宋体"/>
          <w:b/>
          <w:bCs/>
          <w:color w:val="auto"/>
          <w:szCs w:val="21"/>
          <w:highlight w:val="cyan"/>
        </w:rPr>
      </w:pPr>
    </w:p>
    <w:p w14:paraId="3B1F5B30">
      <w:pPr>
        <w:tabs>
          <w:tab w:val="left" w:pos="720"/>
          <w:tab w:val="left" w:pos="5355"/>
        </w:tabs>
        <w:spacing w:line="360" w:lineRule="auto"/>
        <w:ind w:firstLine="422" w:firstLineChars="200"/>
        <w:rPr>
          <w:rFonts w:hint="eastAsia" w:ascii="宋体" w:hAnsi="宋体" w:cs="宋体"/>
          <w:b/>
          <w:bCs/>
          <w:color w:val="auto"/>
          <w:szCs w:val="21"/>
          <w:highlight w:val="cyan"/>
        </w:rPr>
      </w:pPr>
    </w:p>
    <w:p w14:paraId="1029C304">
      <w:pPr>
        <w:tabs>
          <w:tab w:val="left" w:pos="720"/>
          <w:tab w:val="left" w:pos="5355"/>
        </w:tabs>
        <w:spacing w:line="360" w:lineRule="auto"/>
        <w:ind w:firstLine="422" w:firstLineChars="200"/>
        <w:rPr>
          <w:rFonts w:ascii="宋体" w:hAnsi="宋体" w:cs="宋体"/>
          <w:b/>
          <w:bCs/>
          <w:color w:val="auto"/>
          <w:szCs w:val="21"/>
        </w:rPr>
      </w:pPr>
      <w:r>
        <w:rPr>
          <w:rFonts w:hint="eastAsia" w:ascii="宋体" w:hAnsi="宋体" w:cs="宋体"/>
          <w:b/>
          <w:bCs/>
          <w:color w:val="auto"/>
          <w:szCs w:val="21"/>
          <w:highlight w:val="cyan"/>
        </w:rPr>
        <w:t>注：开标时开标一览表</w:t>
      </w:r>
      <w:r>
        <w:rPr>
          <w:rFonts w:hint="eastAsia" w:ascii="仿宋" w:hAnsi="仿宋" w:cs="仿宋"/>
          <w:b/>
          <w:bCs/>
          <w:color w:val="auto"/>
          <w:highlight w:val="cyan"/>
        </w:rPr>
        <w:t>根据系统要求在线填写，中标供应商补纸质投标文件时提供本附件。</w:t>
      </w:r>
    </w:p>
    <w:p w14:paraId="5E8FA95F">
      <w:pPr>
        <w:spacing w:line="360" w:lineRule="auto"/>
        <w:ind w:firstLine="219" w:firstLineChars="104"/>
        <w:jc w:val="left"/>
        <w:rPr>
          <w:rFonts w:ascii="宋体" w:hAnsi="宋体" w:cs="宋体"/>
          <w:b/>
          <w:bCs/>
          <w:color w:val="auto"/>
          <w:szCs w:val="21"/>
        </w:rPr>
      </w:pPr>
    </w:p>
    <w:p w14:paraId="39FC76B3">
      <w:pPr>
        <w:spacing w:line="360" w:lineRule="auto"/>
        <w:ind w:firstLine="219" w:firstLineChars="104"/>
        <w:jc w:val="left"/>
        <w:rPr>
          <w:rFonts w:ascii="宋体" w:hAnsi="宋体" w:cs="宋体"/>
          <w:b/>
          <w:bCs/>
          <w:color w:val="auto"/>
          <w:szCs w:val="21"/>
        </w:rPr>
      </w:pPr>
      <w:r>
        <w:rPr>
          <w:rFonts w:hint="eastAsia" w:ascii="宋体" w:hAnsi="宋体" w:cs="宋体"/>
          <w:b/>
          <w:bCs/>
          <w:color w:val="auto"/>
          <w:szCs w:val="21"/>
        </w:rPr>
        <w:t>投标人（盖章）：</w:t>
      </w:r>
    </w:p>
    <w:p w14:paraId="23A44CD3">
      <w:pPr>
        <w:spacing w:line="360" w:lineRule="auto"/>
        <w:ind w:left="357" w:leftChars="104" w:hanging="139" w:hangingChars="66"/>
        <w:jc w:val="left"/>
        <w:rPr>
          <w:rFonts w:ascii="宋体" w:hAnsi="宋体" w:cs="宋体"/>
          <w:b/>
          <w:bCs/>
          <w:color w:val="auto"/>
          <w:szCs w:val="21"/>
        </w:rPr>
      </w:pPr>
    </w:p>
    <w:p w14:paraId="3C8EBA42">
      <w:pPr>
        <w:spacing w:line="360" w:lineRule="auto"/>
        <w:ind w:left="357" w:leftChars="104" w:hanging="139" w:hangingChars="66"/>
        <w:jc w:val="left"/>
        <w:rPr>
          <w:rFonts w:ascii="宋体" w:hAnsi="宋体" w:cs="宋体"/>
          <w:b/>
          <w:bCs/>
          <w:color w:val="auto"/>
          <w:szCs w:val="21"/>
        </w:rPr>
      </w:pPr>
      <w:r>
        <w:rPr>
          <w:rFonts w:hint="eastAsia" w:ascii="宋体" w:hAnsi="宋体" w:cs="宋体"/>
          <w:b/>
          <w:bCs/>
          <w:color w:val="auto"/>
          <w:szCs w:val="21"/>
        </w:rPr>
        <w:t>日 期：  年  月  日</w:t>
      </w:r>
    </w:p>
    <w:p w14:paraId="7C15B038">
      <w:pPr>
        <w:spacing w:line="380" w:lineRule="exact"/>
        <w:ind w:left="359" w:leftChars="171"/>
        <w:rPr>
          <w:rFonts w:ascii="楷体_GB2312" w:eastAsia="楷体_GB2312"/>
          <w:color w:val="auto"/>
          <w:sz w:val="22"/>
          <w:szCs w:val="22"/>
        </w:rPr>
      </w:pPr>
    </w:p>
    <w:p w14:paraId="2F06A451">
      <w:pPr>
        <w:spacing w:line="380" w:lineRule="exact"/>
        <w:ind w:left="359" w:leftChars="171"/>
        <w:rPr>
          <w:rFonts w:ascii="楷体_GB2312" w:eastAsia="楷体_GB2312"/>
          <w:color w:val="auto"/>
          <w:sz w:val="22"/>
          <w:szCs w:val="22"/>
        </w:rPr>
      </w:pPr>
    </w:p>
    <w:p w14:paraId="00BB84FF">
      <w:pPr>
        <w:spacing w:line="380" w:lineRule="exact"/>
        <w:ind w:left="359" w:leftChars="171"/>
        <w:rPr>
          <w:rFonts w:ascii="楷体_GB2312" w:eastAsia="楷体_GB2312"/>
          <w:color w:val="auto"/>
          <w:sz w:val="22"/>
          <w:szCs w:val="22"/>
        </w:rPr>
      </w:pPr>
    </w:p>
    <w:p w14:paraId="1BE8B30D">
      <w:pPr>
        <w:spacing w:line="380" w:lineRule="exact"/>
        <w:ind w:left="359" w:leftChars="171"/>
        <w:rPr>
          <w:rFonts w:ascii="楷体_GB2312" w:eastAsia="楷体_GB2312"/>
          <w:color w:val="auto"/>
          <w:sz w:val="22"/>
          <w:szCs w:val="22"/>
        </w:rPr>
      </w:pPr>
    </w:p>
    <w:p w14:paraId="0D6BCD66">
      <w:pPr>
        <w:spacing w:line="380" w:lineRule="exact"/>
        <w:ind w:left="359" w:leftChars="171"/>
        <w:rPr>
          <w:rFonts w:ascii="楷体_GB2312" w:eastAsia="楷体_GB2312"/>
          <w:color w:val="auto"/>
          <w:sz w:val="22"/>
          <w:szCs w:val="22"/>
        </w:rPr>
      </w:pPr>
    </w:p>
    <w:p w14:paraId="496782DF">
      <w:pPr>
        <w:rPr>
          <w:color w:val="auto"/>
        </w:rPr>
      </w:pPr>
    </w:p>
    <w:p w14:paraId="7B4123C3">
      <w:pPr>
        <w:rPr>
          <w:color w:val="auto"/>
        </w:rPr>
      </w:pPr>
    </w:p>
    <w:p w14:paraId="4E0D04FD">
      <w:pPr>
        <w:rPr>
          <w:color w:val="auto"/>
        </w:rPr>
      </w:pPr>
    </w:p>
    <w:p w14:paraId="7B88D9AD">
      <w:pPr>
        <w:rPr>
          <w:color w:val="auto"/>
        </w:rPr>
      </w:pPr>
    </w:p>
    <w:p w14:paraId="3FB097E0">
      <w:pPr>
        <w:rPr>
          <w:color w:val="auto"/>
        </w:rPr>
      </w:pPr>
    </w:p>
    <w:p w14:paraId="04348CBB">
      <w:pPr>
        <w:rPr>
          <w:color w:val="auto"/>
        </w:rPr>
      </w:pPr>
    </w:p>
    <w:p w14:paraId="62F8CAD3">
      <w:pPr>
        <w:rPr>
          <w:color w:val="auto"/>
        </w:rPr>
      </w:pPr>
    </w:p>
    <w:p w14:paraId="3AAE8C80">
      <w:pPr>
        <w:rPr>
          <w:color w:val="auto"/>
        </w:rPr>
      </w:pPr>
    </w:p>
    <w:p w14:paraId="08239413">
      <w:pPr>
        <w:spacing w:line="460" w:lineRule="exact"/>
        <w:outlineLvl w:val="0"/>
        <w:rPr>
          <w:rFonts w:ascii="宋体" w:hAnsi="宋体" w:cs="宋体"/>
          <w:b/>
          <w:bCs/>
          <w:color w:val="auto"/>
          <w:sz w:val="22"/>
          <w:szCs w:val="22"/>
        </w:rPr>
      </w:pPr>
      <w:bookmarkStart w:id="200" w:name="_Toc5491"/>
    </w:p>
    <w:bookmarkEnd w:id="200"/>
    <w:p w14:paraId="1B5EA25E">
      <w:pPr>
        <w:spacing w:line="360" w:lineRule="auto"/>
        <w:jc w:val="both"/>
        <w:rPr>
          <w:rFonts w:hAnsi="宋体" w:cs="方正小标宋简体"/>
          <w:color w:val="auto"/>
          <w:sz w:val="32"/>
          <w:szCs w:val="32"/>
        </w:rPr>
      </w:pPr>
    </w:p>
    <w:p w14:paraId="68B5CAA8">
      <w:pPr>
        <w:spacing w:line="360" w:lineRule="auto"/>
        <w:ind w:left="359" w:leftChars="171"/>
        <w:jc w:val="center"/>
        <w:rPr>
          <w:rFonts w:hAnsi="宋体" w:cs="方正小标宋简体"/>
          <w:color w:val="auto"/>
          <w:sz w:val="32"/>
          <w:szCs w:val="32"/>
        </w:rPr>
        <w:sectPr>
          <w:pgSz w:w="11906" w:h="16838"/>
          <w:pgMar w:top="1440" w:right="1080" w:bottom="1440" w:left="1080" w:header="851" w:footer="992" w:gutter="0"/>
          <w:cols w:space="0" w:num="1"/>
          <w:docGrid w:type="lines" w:linePitch="324" w:charSpace="0"/>
        </w:sectPr>
      </w:pPr>
    </w:p>
    <w:p w14:paraId="6F2F4BE3">
      <w:pPr>
        <w:spacing w:line="460" w:lineRule="exact"/>
        <w:outlineLvl w:val="0"/>
        <w:rPr>
          <w:rFonts w:hint="default" w:hAnsi="宋体" w:eastAsia="宋体" w:cs="方正小标宋简体"/>
          <w:color w:val="auto"/>
          <w:sz w:val="32"/>
          <w:szCs w:val="32"/>
          <w:lang w:val="en-US" w:eastAsia="zh-CN"/>
        </w:rPr>
      </w:pPr>
      <w:r>
        <w:rPr>
          <w:rFonts w:hint="eastAsia" w:ascii="宋体" w:hAnsi="宋体" w:cs="宋体"/>
          <w:b/>
          <w:bCs/>
          <w:color w:val="auto"/>
          <w:sz w:val="22"/>
          <w:szCs w:val="22"/>
        </w:rPr>
        <w:t>附件</w:t>
      </w:r>
      <w:r>
        <w:rPr>
          <w:rFonts w:hint="eastAsia" w:ascii="宋体" w:hAnsi="宋体" w:cs="宋体"/>
          <w:b/>
          <w:bCs/>
          <w:color w:val="auto"/>
          <w:sz w:val="22"/>
          <w:szCs w:val="22"/>
          <w:lang w:val="en-US" w:eastAsia="zh-CN"/>
        </w:rPr>
        <w:t>9</w:t>
      </w:r>
    </w:p>
    <w:p w14:paraId="5810DB36">
      <w:pPr>
        <w:spacing w:line="360" w:lineRule="auto"/>
        <w:ind w:left="359" w:leftChars="171"/>
        <w:jc w:val="center"/>
        <w:rPr>
          <w:rFonts w:hAnsi="宋体"/>
          <w:color w:val="auto"/>
          <w:sz w:val="32"/>
          <w:szCs w:val="32"/>
        </w:rPr>
      </w:pPr>
      <w:r>
        <w:rPr>
          <w:rFonts w:hint="eastAsia" w:hAnsi="宋体" w:cs="方正小标宋简体"/>
          <w:color w:val="auto"/>
          <w:sz w:val="32"/>
          <w:szCs w:val="32"/>
        </w:rPr>
        <w:t>政府采购活动现场确认声明书</w:t>
      </w:r>
    </w:p>
    <w:p w14:paraId="5EC8E854">
      <w:pPr>
        <w:pStyle w:val="49"/>
        <w:widowControl w:val="0"/>
        <w:snapToGrid w:val="0"/>
        <w:spacing w:line="500" w:lineRule="exact"/>
        <w:jc w:val="both"/>
        <w:rPr>
          <w:rFonts w:hAnsi="宋体" w:cs="Times New Roman"/>
          <w:color w:val="auto"/>
          <w:kern w:val="0"/>
          <w:sz w:val="28"/>
          <w:szCs w:val="28"/>
        </w:rPr>
      </w:pPr>
    </w:p>
    <w:p w14:paraId="41C204F0">
      <w:pPr>
        <w:pStyle w:val="49"/>
        <w:widowControl w:val="0"/>
        <w:snapToGrid w:val="0"/>
        <w:spacing w:line="440" w:lineRule="exact"/>
        <w:ind w:left="0" w:leftChars="0" w:firstLine="0" w:firstLineChars="0"/>
        <w:jc w:val="both"/>
        <w:rPr>
          <w:rFonts w:hAnsi="宋体" w:cs="Times New Roman"/>
          <w:bCs/>
          <w:color w:val="auto"/>
          <w:sz w:val="24"/>
          <w:szCs w:val="24"/>
        </w:rPr>
      </w:pPr>
      <w:r>
        <w:rPr>
          <w:rFonts w:hint="eastAsia" w:hAnsi="宋体"/>
          <w:color w:val="auto"/>
          <w:kern w:val="0"/>
          <w:sz w:val="24"/>
          <w:szCs w:val="24"/>
          <w:lang w:eastAsia="zh-CN"/>
        </w:rPr>
        <w:t>浙江联腾工程咨询有限公司</w:t>
      </w:r>
      <w:r>
        <w:rPr>
          <w:rFonts w:hint="eastAsia" w:hAnsi="宋体"/>
          <w:color w:val="auto"/>
          <w:kern w:val="0"/>
          <w:sz w:val="24"/>
          <w:szCs w:val="24"/>
        </w:rPr>
        <w:t>：</w:t>
      </w:r>
    </w:p>
    <w:p w14:paraId="07B7D3F8">
      <w:pPr>
        <w:pStyle w:val="49"/>
        <w:widowControl w:val="0"/>
        <w:snapToGrid w:val="0"/>
        <w:spacing w:line="440" w:lineRule="exact"/>
        <w:ind w:left="0" w:leftChars="0" w:firstLine="504" w:firstLineChars="200"/>
        <w:rPr>
          <w:rFonts w:hAnsi="宋体"/>
          <w:color w:val="auto"/>
          <w:spacing w:val="6"/>
          <w:sz w:val="24"/>
          <w:szCs w:val="24"/>
        </w:rPr>
      </w:pPr>
      <w:r>
        <w:rPr>
          <w:rFonts w:hint="eastAsia" w:hAnsi="宋体"/>
          <w:color w:val="auto"/>
          <w:spacing w:val="6"/>
          <w:sz w:val="24"/>
          <w:szCs w:val="24"/>
        </w:rPr>
        <w:t>本人</w:t>
      </w:r>
      <w:r>
        <w:rPr>
          <w:rFonts w:hAnsi="宋体"/>
          <w:color w:val="auto"/>
          <w:spacing w:val="6"/>
          <w:sz w:val="24"/>
          <w:szCs w:val="24"/>
          <w:u w:val="single"/>
        </w:rPr>
        <w:t xml:space="preserve">        </w:t>
      </w:r>
      <w:r>
        <w:rPr>
          <w:rFonts w:hint="eastAsia" w:hAnsi="宋体"/>
          <w:color w:val="auto"/>
          <w:spacing w:val="6"/>
          <w:sz w:val="24"/>
          <w:szCs w:val="24"/>
        </w:rPr>
        <w:t>（授权代表姓名），经由</w:t>
      </w:r>
      <w:r>
        <w:rPr>
          <w:rFonts w:hAnsi="宋体"/>
          <w:color w:val="auto"/>
          <w:spacing w:val="6"/>
          <w:sz w:val="24"/>
          <w:szCs w:val="24"/>
          <w:u w:val="single"/>
        </w:rPr>
        <w:t xml:space="preserve">        </w:t>
      </w:r>
      <w:r>
        <w:rPr>
          <w:rFonts w:hint="eastAsia" w:hAnsi="宋体"/>
          <w:color w:val="auto"/>
          <w:spacing w:val="6"/>
          <w:sz w:val="24"/>
          <w:szCs w:val="24"/>
          <w:u w:val="single"/>
        </w:rPr>
        <w:t xml:space="preserve">                   </w:t>
      </w:r>
      <w:r>
        <w:rPr>
          <w:rFonts w:hAnsi="宋体"/>
          <w:color w:val="auto"/>
          <w:spacing w:val="6"/>
          <w:sz w:val="24"/>
          <w:szCs w:val="24"/>
          <w:u w:val="single"/>
        </w:rPr>
        <w:t xml:space="preserve">   </w:t>
      </w:r>
      <w:r>
        <w:rPr>
          <w:rFonts w:hint="eastAsia" w:hAnsi="宋体"/>
          <w:color w:val="auto"/>
          <w:spacing w:val="6"/>
          <w:sz w:val="24"/>
          <w:szCs w:val="24"/>
        </w:rPr>
        <w:t>（单位）</w:t>
      </w:r>
      <w:r>
        <w:rPr>
          <w:rFonts w:hAnsi="宋体"/>
          <w:color w:val="auto"/>
          <w:spacing w:val="6"/>
          <w:sz w:val="24"/>
          <w:szCs w:val="24"/>
          <w:u w:val="single"/>
        </w:rPr>
        <w:t xml:space="preserve">         </w:t>
      </w:r>
      <w:r>
        <w:rPr>
          <w:rFonts w:hint="eastAsia" w:hAnsi="宋体"/>
          <w:color w:val="auto"/>
          <w:spacing w:val="6"/>
          <w:sz w:val="24"/>
          <w:szCs w:val="24"/>
          <w:u w:val="single"/>
        </w:rPr>
        <w:t xml:space="preserve">                 </w:t>
      </w:r>
      <w:r>
        <w:rPr>
          <w:rFonts w:hint="eastAsia" w:hAnsi="宋体"/>
          <w:color w:val="auto"/>
          <w:spacing w:val="6"/>
          <w:sz w:val="24"/>
          <w:szCs w:val="24"/>
        </w:rPr>
        <w:t>（法定代表人姓名）合法授权参加</w:t>
      </w:r>
      <w:r>
        <w:rPr>
          <w:rFonts w:hint="eastAsia" w:hAnsi="宋体"/>
          <w:color w:val="auto"/>
          <w:sz w:val="24"/>
          <w:szCs w:val="24"/>
          <w:u w:val="single"/>
        </w:rPr>
        <w:t xml:space="preserve"> </w:t>
      </w:r>
      <w:r>
        <w:rPr>
          <w:rFonts w:hint="eastAsia" w:hAnsi="宋体"/>
          <w:color w:val="auto"/>
          <w:sz w:val="24"/>
          <w:szCs w:val="24"/>
          <w:u w:val="single"/>
          <w:lang w:eastAsia="zh-CN"/>
        </w:rPr>
        <w:t>常山县农村垃圾中转站渗滤液集中转运处置项目（2025-2026年度）</w:t>
      </w:r>
      <w:r>
        <w:rPr>
          <w:rFonts w:hint="eastAsia" w:hAnsi="宋体"/>
          <w:color w:val="auto"/>
          <w:sz w:val="24"/>
          <w:szCs w:val="24"/>
          <w:u w:val="single"/>
        </w:rPr>
        <w:t>（项目编号：</w:t>
      </w:r>
      <w:r>
        <w:rPr>
          <w:rFonts w:hint="eastAsia" w:hAnsi="宋体"/>
          <w:color w:val="auto"/>
          <w:sz w:val="24"/>
          <w:szCs w:val="24"/>
          <w:u w:val="single"/>
          <w:lang w:eastAsia="zh-CN"/>
        </w:rPr>
        <w:t>ZJLT-GK-2025021</w:t>
      </w:r>
      <w:r>
        <w:rPr>
          <w:rFonts w:hint="eastAsia" w:hAnsi="宋体"/>
          <w:color w:val="auto"/>
          <w:sz w:val="24"/>
          <w:szCs w:val="24"/>
          <w:u w:val="single"/>
        </w:rPr>
        <w:t>）</w:t>
      </w:r>
      <w:r>
        <w:rPr>
          <w:rFonts w:hint="eastAsia" w:hAnsi="宋体"/>
          <w:color w:val="auto"/>
          <w:spacing w:val="6"/>
          <w:sz w:val="24"/>
          <w:szCs w:val="24"/>
        </w:rPr>
        <w:t>政府采购活动，经与本单位法定代表人（负责人）联系确认，现就有关公平竞争事项郑重声明如下：</w:t>
      </w:r>
      <w:r>
        <w:rPr>
          <w:rFonts w:hAnsi="宋体"/>
          <w:color w:val="auto"/>
          <w:spacing w:val="6"/>
          <w:sz w:val="24"/>
          <w:szCs w:val="24"/>
        </w:rPr>
        <w:t xml:space="preserve"> </w:t>
      </w:r>
    </w:p>
    <w:p w14:paraId="702EBE44">
      <w:pPr>
        <w:pStyle w:val="41"/>
        <w:widowControl/>
        <w:numPr>
          <w:ilvl w:val="0"/>
          <w:numId w:val="0"/>
        </w:numPr>
        <w:snapToGrid w:val="0"/>
        <w:spacing w:line="440" w:lineRule="exact"/>
        <w:rPr>
          <w:rFonts w:hint="eastAsia" w:ascii="宋体" w:hAnsi="宋体" w:cs="宋体"/>
          <w:color w:val="auto"/>
          <w:kern w:val="0"/>
          <w:sz w:val="24"/>
          <w:szCs w:val="24"/>
        </w:rPr>
      </w:pPr>
      <w:r>
        <w:rPr>
          <w:rFonts w:hint="eastAsia" w:ascii="宋体" w:hAnsi="宋体" w:cs="宋体"/>
          <w:color w:val="auto"/>
          <w:kern w:val="0"/>
          <w:sz w:val="24"/>
          <w:szCs w:val="24"/>
          <w:lang w:val="en-US" w:eastAsia="zh-CN"/>
        </w:rPr>
        <w:t>一、</w:t>
      </w:r>
      <w:r>
        <w:rPr>
          <w:rFonts w:hint="eastAsia" w:ascii="宋体" w:hAnsi="宋体" w:cs="宋体"/>
          <w:color w:val="auto"/>
          <w:kern w:val="0"/>
          <w:sz w:val="24"/>
          <w:szCs w:val="24"/>
        </w:rPr>
        <w:t>本单位与采购人之间</w:t>
      </w:r>
      <w:r>
        <w:rPr>
          <w:rFonts w:ascii="宋体" w:hAnsi="宋体" w:cs="宋体"/>
          <w:color w:val="auto"/>
          <w:kern w:val="0"/>
          <w:sz w:val="24"/>
          <w:szCs w:val="24"/>
        </w:rPr>
        <w:t xml:space="preserve"> </w:t>
      </w:r>
      <w:r>
        <w:rPr>
          <w:rFonts w:hint="eastAsia" w:ascii="宋体" w:hAnsi="宋体" w:cs="宋体"/>
          <w:color w:val="auto"/>
          <w:kern w:val="0"/>
          <w:sz w:val="24"/>
          <w:szCs w:val="24"/>
        </w:rPr>
        <w:t>□不存在利害关系</w:t>
      </w:r>
      <w:r>
        <w:rPr>
          <w:rFonts w:ascii="宋体" w:hAnsi="宋体" w:cs="宋体"/>
          <w:color w:val="auto"/>
          <w:kern w:val="0"/>
          <w:sz w:val="24"/>
          <w:szCs w:val="24"/>
        </w:rPr>
        <w:t xml:space="preserve"> </w:t>
      </w:r>
      <w:r>
        <w:rPr>
          <w:rFonts w:hint="eastAsia" w:ascii="宋体" w:hAnsi="宋体" w:cs="宋体"/>
          <w:color w:val="auto"/>
          <w:kern w:val="0"/>
          <w:sz w:val="24"/>
          <w:szCs w:val="24"/>
        </w:rPr>
        <w:t>□存在下列利害关系</w:t>
      </w:r>
      <w:r>
        <w:rPr>
          <w:rFonts w:ascii="宋体" w:hAnsi="宋体" w:cs="宋体"/>
          <w:color w:val="auto"/>
          <w:kern w:val="0"/>
          <w:sz w:val="24"/>
          <w:szCs w:val="24"/>
          <w:u w:val="single"/>
        </w:rPr>
        <w:t xml:space="preserve">           </w:t>
      </w:r>
      <w:r>
        <w:rPr>
          <w:rFonts w:hint="eastAsia" w:ascii="宋体" w:hAnsi="宋体" w:cs="宋体"/>
          <w:color w:val="auto"/>
          <w:kern w:val="0"/>
          <w:sz w:val="24"/>
          <w:szCs w:val="24"/>
        </w:rPr>
        <w:t>：</w:t>
      </w:r>
    </w:p>
    <w:p w14:paraId="35E4813E">
      <w:pPr>
        <w:pStyle w:val="41"/>
        <w:widowControl/>
        <w:numPr>
          <w:ilvl w:val="0"/>
          <w:numId w:val="0"/>
        </w:numPr>
        <w:snapToGrid w:val="0"/>
        <w:spacing w:line="440" w:lineRule="exact"/>
        <w:rPr>
          <w:rFonts w:hint="eastAsia" w:ascii="宋体" w:hAnsi="宋体" w:cs="宋体"/>
          <w:color w:val="auto"/>
          <w:kern w:val="0"/>
          <w:sz w:val="24"/>
          <w:szCs w:val="24"/>
        </w:rPr>
      </w:pPr>
      <w:r>
        <w:rPr>
          <w:rFonts w:ascii="宋体" w:hAnsi="宋体" w:cs="宋体"/>
          <w:color w:val="auto"/>
          <w:kern w:val="0"/>
          <w:sz w:val="24"/>
          <w:szCs w:val="24"/>
        </w:rPr>
        <w:t xml:space="preserve"> A.</w:t>
      </w:r>
      <w:r>
        <w:rPr>
          <w:rFonts w:hint="eastAsia" w:ascii="宋体" w:hAnsi="宋体" w:cs="宋体"/>
          <w:color w:val="auto"/>
          <w:kern w:val="0"/>
          <w:sz w:val="24"/>
          <w:szCs w:val="24"/>
        </w:rPr>
        <w:t>投资关系</w:t>
      </w:r>
      <w:r>
        <w:rPr>
          <w:rFonts w:ascii="宋体" w:hAnsi="宋体" w:cs="宋体"/>
          <w:color w:val="auto"/>
          <w:kern w:val="0"/>
          <w:sz w:val="24"/>
          <w:szCs w:val="24"/>
        </w:rPr>
        <w:t xml:space="preserve">    B.</w:t>
      </w:r>
      <w:r>
        <w:rPr>
          <w:rFonts w:hint="eastAsia" w:ascii="宋体" w:hAnsi="宋体" w:cs="宋体"/>
          <w:color w:val="auto"/>
          <w:kern w:val="0"/>
          <w:sz w:val="24"/>
          <w:szCs w:val="24"/>
        </w:rPr>
        <w:t>行政隶属关系</w:t>
      </w:r>
      <w:r>
        <w:rPr>
          <w:rFonts w:ascii="宋体" w:hAnsi="宋体" w:cs="宋体"/>
          <w:color w:val="auto"/>
          <w:kern w:val="0"/>
          <w:sz w:val="24"/>
          <w:szCs w:val="24"/>
        </w:rPr>
        <w:t xml:space="preserve">    C.</w:t>
      </w:r>
      <w:r>
        <w:rPr>
          <w:rFonts w:hint="eastAsia" w:ascii="宋体" w:hAnsi="宋体" w:cs="宋体"/>
          <w:color w:val="auto"/>
          <w:kern w:val="0"/>
          <w:sz w:val="24"/>
          <w:szCs w:val="24"/>
        </w:rPr>
        <w:t>业务指导关系</w:t>
      </w:r>
    </w:p>
    <w:p w14:paraId="3DD0B6A3">
      <w:pPr>
        <w:pStyle w:val="41"/>
        <w:widowControl/>
        <w:numPr>
          <w:ilvl w:val="0"/>
          <w:numId w:val="0"/>
        </w:numPr>
        <w:snapToGrid w:val="0"/>
        <w:spacing w:line="440" w:lineRule="exact"/>
        <w:rPr>
          <w:rFonts w:ascii="宋体" w:hAnsi="宋体" w:cs="Times New Roman"/>
          <w:color w:val="auto"/>
          <w:kern w:val="0"/>
          <w:sz w:val="24"/>
          <w:szCs w:val="24"/>
        </w:rPr>
      </w:pPr>
      <w:r>
        <w:rPr>
          <w:rFonts w:ascii="宋体" w:hAnsi="宋体" w:cs="宋体"/>
          <w:color w:val="auto"/>
          <w:kern w:val="0"/>
          <w:sz w:val="24"/>
          <w:szCs w:val="24"/>
        </w:rPr>
        <w:t>D.</w:t>
      </w:r>
      <w:r>
        <w:rPr>
          <w:rFonts w:hint="eastAsia" w:ascii="宋体" w:hAnsi="宋体" w:cs="宋体"/>
          <w:color w:val="auto"/>
          <w:kern w:val="0"/>
          <w:sz w:val="24"/>
          <w:szCs w:val="24"/>
        </w:rPr>
        <w:t>其他可能</w:t>
      </w:r>
      <w:r>
        <w:rPr>
          <w:rFonts w:hint="eastAsia" w:ascii="宋体" w:hAnsi="宋体" w:cs="宋体"/>
          <w:color w:val="auto"/>
          <w:sz w:val="24"/>
          <w:szCs w:val="24"/>
        </w:rPr>
        <w:t>影响采购公正的</w:t>
      </w:r>
      <w:r>
        <w:rPr>
          <w:rFonts w:hint="eastAsia" w:ascii="宋体" w:hAnsi="宋体" w:cs="宋体"/>
          <w:color w:val="auto"/>
          <w:kern w:val="0"/>
          <w:sz w:val="24"/>
          <w:szCs w:val="24"/>
        </w:rPr>
        <w:t>利害关系（如有，请如实说明）</w:t>
      </w:r>
      <w:r>
        <w:rPr>
          <w:rFonts w:ascii="宋体" w:hAnsi="宋体" w:cs="宋体"/>
          <w:color w:val="auto"/>
          <w:kern w:val="0"/>
          <w:sz w:val="24"/>
          <w:szCs w:val="24"/>
        </w:rPr>
        <w:t xml:space="preserve"> </w:t>
      </w:r>
      <w:r>
        <w:rPr>
          <w:rFonts w:ascii="宋体" w:hAnsi="宋体" w:cs="宋体"/>
          <w:color w:val="auto"/>
          <w:kern w:val="0"/>
          <w:sz w:val="24"/>
          <w:szCs w:val="24"/>
          <w:u w:val="single"/>
        </w:rPr>
        <w:t xml:space="preserve">                </w:t>
      </w:r>
      <w:r>
        <w:rPr>
          <w:rFonts w:hint="eastAsia" w:ascii="宋体" w:hAnsi="宋体" w:cs="宋体"/>
          <w:color w:val="auto"/>
          <w:kern w:val="0"/>
          <w:sz w:val="24"/>
          <w:szCs w:val="24"/>
        </w:rPr>
        <w:t>。</w:t>
      </w:r>
    </w:p>
    <w:p w14:paraId="3C714054">
      <w:pPr>
        <w:pStyle w:val="41"/>
        <w:widowControl/>
        <w:numPr>
          <w:ilvl w:val="0"/>
          <w:numId w:val="0"/>
        </w:numPr>
        <w:snapToGrid w:val="0"/>
        <w:spacing w:line="440" w:lineRule="exact"/>
        <w:rPr>
          <w:rFonts w:hint="eastAsia" w:ascii="宋体" w:hAnsi="宋体" w:cs="宋体"/>
          <w:color w:val="auto"/>
          <w:kern w:val="0"/>
          <w:sz w:val="24"/>
          <w:szCs w:val="24"/>
        </w:rPr>
      </w:pPr>
      <w:r>
        <w:rPr>
          <w:rFonts w:hint="eastAsia" w:ascii="宋体" w:hAnsi="宋体" w:cs="宋体"/>
          <w:color w:val="auto"/>
          <w:kern w:val="0"/>
          <w:sz w:val="24"/>
          <w:szCs w:val="24"/>
          <w:lang w:val="en-US" w:eastAsia="zh-CN"/>
        </w:rPr>
        <w:t>二、</w:t>
      </w:r>
      <w:r>
        <w:rPr>
          <w:rFonts w:hint="eastAsia" w:ascii="宋体" w:hAnsi="宋体" w:cs="宋体"/>
          <w:color w:val="auto"/>
          <w:kern w:val="0"/>
          <w:sz w:val="24"/>
          <w:szCs w:val="24"/>
        </w:rPr>
        <w:t>现已清楚知道参加本项目采购活动的其他所有供应商名称，本单位</w:t>
      </w:r>
      <w:r>
        <w:rPr>
          <w:rFonts w:ascii="宋体" w:hAnsi="宋体" w:cs="宋体"/>
          <w:color w:val="auto"/>
          <w:kern w:val="0"/>
          <w:sz w:val="24"/>
          <w:szCs w:val="24"/>
        </w:rPr>
        <w:t xml:space="preserve"> </w:t>
      </w:r>
      <w:r>
        <w:rPr>
          <w:rFonts w:hint="eastAsia" w:ascii="宋体" w:hAnsi="宋体" w:cs="宋体"/>
          <w:color w:val="auto"/>
          <w:kern w:val="0"/>
          <w:sz w:val="24"/>
          <w:szCs w:val="24"/>
        </w:rPr>
        <w:t>□与其他所有供应商之间均不存在利害关系</w:t>
      </w:r>
      <w:r>
        <w:rPr>
          <w:rFonts w:ascii="宋体" w:hAnsi="宋体" w:cs="宋体"/>
          <w:color w:val="auto"/>
          <w:kern w:val="0"/>
          <w:sz w:val="24"/>
          <w:szCs w:val="24"/>
        </w:rPr>
        <w:t xml:space="preserve"> </w:t>
      </w:r>
      <w:r>
        <w:rPr>
          <w:rFonts w:hint="eastAsia" w:ascii="宋体" w:hAnsi="宋体" w:cs="宋体"/>
          <w:color w:val="auto"/>
          <w:kern w:val="0"/>
          <w:sz w:val="24"/>
          <w:szCs w:val="24"/>
        </w:rPr>
        <w:t>□与</w:t>
      </w:r>
      <w:r>
        <w:rPr>
          <w:rFonts w:ascii="宋体" w:hAnsi="宋体" w:cs="宋体"/>
          <w:color w:val="auto"/>
          <w:kern w:val="0"/>
          <w:sz w:val="24"/>
          <w:szCs w:val="24"/>
        </w:rPr>
        <w:t xml:space="preserve"> </w:t>
      </w:r>
      <w:r>
        <w:rPr>
          <w:rFonts w:ascii="宋体" w:hAnsi="宋体" w:cs="宋体"/>
          <w:color w:val="auto"/>
          <w:kern w:val="0"/>
          <w:sz w:val="24"/>
          <w:szCs w:val="24"/>
          <w:u w:val="single"/>
        </w:rPr>
        <w:t xml:space="preserve">               </w:t>
      </w:r>
      <w:r>
        <w:rPr>
          <w:rFonts w:hint="eastAsia" w:ascii="宋体" w:hAnsi="宋体" w:cs="宋体"/>
          <w:color w:val="auto"/>
          <w:kern w:val="0"/>
          <w:sz w:val="24"/>
          <w:szCs w:val="24"/>
        </w:rPr>
        <w:t>（供应商名称）之间存在下列利害关系</w:t>
      </w:r>
      <w:r>
        <w:rPr>
          <w:rFonts w:ascii="宋体" w:hAnsi="宋体" w:cs="宋体"/>
          <w:color w:val="auto"/>
          <w:kern w:val="0"/>
          <w:sz w:val="24"/>
          <w:szCs w:val="24"/>
          <w:u w:val="single"/>
        </w:rPr>
        <w:t xml:space="preserve">               </w:t>
      </w:r>
      <w:r>
        <w:rPr>
          <w:rFonts w:hint="eastAsia" w:ascii="宋体" w:hAnsi="宋体" w:cs="宋体"/>
          <w:color w:val="auto"/>
          <w:kern w:val="0"/>
          <w:sz w:val="24"/>
          <w:szCs w:val="24"/>
        </w:rPr>
        <w:t>：</w:t>
      </w:r>
    </w:p>
    <w:p w14:paraId="3ED0990F">
      <w:pPr>
        <w:pStyle w:val="41"/>
        <w:widowControl/>
        <w:numPr>
          <w:ilvl w:val="0"/>
          <w:numId w:val="0"/>
        </w:numPr>
        <w:snapToGrid w:val="0"/>
        <w:spacing w:line="440" w:lineRule="exact"/>
        <w:rPr>
          <w:rFonts w:hAnsi="宋体" w:cs="Times New Roman"/>
          <w:color w:val="auto"/>
          <w:kern w:val="0"/>
          <w:sz w:val="24"/>
          <w:szCs w:val="24"/>
        </w:rPr>
      </w:pPr>
      <w:r>
        <w:rPr>
          <w:rFonts w:hAnsi="宋体"/>
          <w:color w:val="auto"/>
          <w:kern w:val="0"/>
          <w:sz w:val="24"/>
          <w:szCs w:val="24"/>
        </w:rPr>
        <w:t>A.</w:t>
      </w:r>
      <w:r>
        <w:rPr>
          <w:rFonts w:hint="eastAsia" w:hAnsi="宋体"/>
          <w:color w:val="auto"/>
          <w:kern w:val="0"/>
          <w:sz w:val="24"/>
          <w:szCs w:val="24"/>
        </w:rPr>
        <w:t>法定代表人或负责人或实际控制人是同一人</w:t>
      </w:r>
    </w:p>
    <w:p w14:paraId="68B4CE19">
      <w:pPr>
        <w:pStyle w:val="49"/>
        <w:widowControl w:val="0"/>
        <w:snapToGrid w:val="0"/>
        <w:spacing w:line="440" w:lineRule="exact"/>
        <w:ind w:left="0" w:leftChars="0" w:firstLine="0" w:firstLineChars="0"/>
        <w:jc w:val="both"/>
        <w:rPr>
          <w:rFonts w:hint="eastAsia" w:hAnsi="宋体"/>
          <w:color w:val="auto"/>
          <w:kern w:val="0"/>
          <w:sz w:val="24"/>
          <w:szCs w:val="24"/>
        </w:rPr>
      </w:pPr>
      <w:r>
        <w:rPr>
          <w:rFonts w:hAnsi="宋体"/>
          <w:color w:val="auto"/>
          <w:kern w:val="0"/>
          <w:sz w:val="24"/>
          <w:szCs w:val="24"/>
        </w:rPr>
        <w:t>B.</w:t>
      </w:r>
      <w:r>
        <w:rPr>
          <w:rFonts w:hint="eastAsia" w:hAnsi="宋体"/>
          <w:color w:val="auto"/>
          <w:kern w:val="0"/>
          <w:sz w:val="24"/>
          <w:szCs w:val="24"/>
        </w:rPr>
        <w:t>法定代表人或负责人或实际控制人是夫妻关系</w:t>
      </w:r>
    </w:p>
    <w:p w14:paraId="00A21E39">
      <w:pPr>
        <w:pStyle w:val="49"/>
        <w:widowControl w:val="0"/>
        <w:snapToGrid w:val="0"/>
        <w:spacing w:line="440" w:lineRule="exact"/>
        <w:ind w:left="0" w:leftChars="0" w:firstLine="0" w:firstLineChars="0"/>
        <w:jc w:val="both"/>
        <w:rPr>
          <w:rFonts w:hint="eastAsia" w:hAnsi="宋体"/>
          <w:color w:val="auto"/>
          <w:kern w:val="0"/>
          <w:sz w:val="24"/>
          <w:szCs w:val="24"/>
        </w:rPr>
      </w:pPr>
      <w:r>
        <w:rPr>
          <w:rFonts w:hAnsi="宋体"/>
          <w:color w:val="auto"/>
          <w:kern w:val="0"/>
          <w:sz w:val="24"/>
          <w:szCs w:val="24"/>
        </w:rPr>
        <w:t>C.</w:t>
      </w:r>
      <w:r>
        <w:rPr>
          <w:rFonts w:hint="eastAsia" w:hAnsi="宋体"/>
          <w:color w:val="auto"/>
          <w:kern w:val="0"/>
          <w:sz w:val="24"/>
          <w:szCs w:val="24"/>
        </w:rPr>
        <w:t>法定代表人或负责人或实际控制人是直系血亲关系</w:t>
      </w:r>
    </w:p>
    <w:p w14:paraId="08E0DB57">
      <w:pPr>
        <w:pStyle w:val="49"/>
        <w:widowControl w:val="0"/>
        <w:snapToGrid w:val="0"/>
        <w:spacing w:line="440" w:lineRule="exact"/>
        <w:ind w:left="0" w:leftChars="0" w:firstLine="0" w:firstLineChars="0"/>
        <w:jc w:val="both"/>
        <w:rPr>
          <w:rFonts w:hAnsi="宋体" w:cs="Times New Roman"/>
          <w:color w:val="auto"/>
          <w:spacing w:val="6"/>
          <w:sz w:val="24"/>
          <w:szCs w:val="24"/>
        </w:rPr>
      </w:pPr>
      <w:r>
        <w:rPr>
          <w:rFonts w:hAnsi="宋体"/>
          <w:color w:val="auto"/>
          <w:kern w:val="0"/>
          <w:sz w:val="24"/>
          <w:szCs w:val="24"/>
        </w:rPr>
        <w:t>D.</w:t>
      </w:r>
      <w:r>
        <w:rPr>
          <w:rFonts w:hint="eastAsia" w:hAnsi="宋体"/>
          <w:color w:val="auto"/>
          <w:kern w:val="0"/>
          <w:sz w:val="24"/>
          <w:szCs w:val="24"/>
        </w:rPr>
        <w:t>法定代表人或负责人或实际控制人存在三代以内旁系血亲关系</w:t>
      </w:r>
    </w:p>
    <w:p w14:paraId="3AEAB724">
      <w:pPr>
        <w:pStyle w:val="49"/>
        <w:widowControl w:val="0"/>
        <w:snapToGrid w:val="0"/>
        <w:spacing w:line="440" w:lineRule="exact"/>
        <w:ind w:left="0" w:leftChars="0" w:firstLine="0" w:firstLineChars="0"/>
        <w:jc w:val="both"/>
        <w:rPr>
          <w:rFonts w:hint="eastAsia" w:hAnsi="宋体"/>
          <w:color w:val="auto"/>
          <w:kern w:val="0"/>
          <w:sz w:val="24"/>
          <w:szCs w:val="24"/>
        </w:rPr>
      </w:pPr>
      <w:r>
        <w:rPr>
          <w:rFonts w:hAnsi="宋体"/>
          <w:color w:val="auto"/>
          <w:kern w:val="0"/>
          <w:sz w:val="24"/>
          <w:szCs w:val="24"/>
        </w:rPr>
        <w:t>E.</w:t>
      </w:r>
      <w:r>
        <w:rPr>
          <w:rFonts w:hint="eastAsia" w:hAnsi="宋体"/>
          <w:color w:val="auto"/>
          <w:kern w:val="0"/>
          <w:sz w:val="24"/>
          <w:szCs w:val="24"/>
        </w:rPr>
        <w:t>法定代表人或负责人或实际控制人存在近姻亲关系</w:t>
      </w:r>
    </w:p>
    <w:p w14:paraId="4FA2779C">
      <w:pPr>
        <w:pStyle w:val="49"/>
        <w:widowControl w:val="0"/>
        <w:snapToGrid w:val="0"/>
        <w:spacing w:line="440" w:lineRule="exact"/>
        <w:ind w:left="0" w:leftChars="0" w:firstLine="0" w:firstLineChars="0"/>
        <w:jc w:val="both"/>
        <w:rPr>
          <w:rFonts w:hint="eastAsia" w:hAnsi="宋体"/>
          <w:color w:val="auto"/>
          <w:kern w:val="0"/>
          <w:sz w:val="24"/>
          <w:szCs w:val="24"/>
        </w:rPr>
      </w:pPr>
      <w:r>
        <w:rPr>
          <w:rFonts w:hAnsi="宋体"/>
          <w:color w:val="auto"/>
          <w:kern w:val="0"/>
          <w:sz w:val="24"/>
          <w:szCs w:val="24"/>
        </w:rPr>
        <w:t>F.</w:t>
      </w:r>
      <w:r>
        <w:rPr>
          <w:rFonts w:hint="eastAsia" w:hAnsi="宋体"/>
          <w:color w:val="auto"/>
          <w:kern w:val="0"/>
          <w:sz w:val="24"/>
          <w:szCs w:val="24"/>
        </w:rPr>
        <w:t>法定代表人或负责人或实际控制人存在股份控制或实际控制关系</w:t>
      </w:r>
    </w:p>
    <w:p w14:paraId="039D6846">
      <w:pPr>
        <w:pStyle w:val="49"/>
        <w:widowControl w:val="0"/>
        <w:snapToGrid w:val="0"/>
        <w:spacing w:line="440" w:lineRule="exact"/>
        <w:ind w:left="0" w:leftChars="0" w:firstLine="0" w:firstLineChars="0"/>
        <w:jc w:val="both"/>
        <w:rPr>
          <w:rFonts w:hint="eastAsia" w:hAnsi="宋体"/>
          <w:color w:val="auto"/>
          <w:kern w:val="0"/>
          <w:sz w:val="24"/>
          <w:szCs w:val="24"/>
        </w:rPr>
      </w:pPr>
      <w:r>
        <w:rPr>
          <w:rFonts w:hAnsi="宋体"/>
          <w:color w:val="auto"/>
          <w:kern w:val="0"/>
          <w:sz w:val="24"/>
          <w:szCs w:val="24"/>
        </w:rPr>
        <w:t>G.</w:t>
      </w:r>
      <w:r>
        <w:rPr>
          <w:rFonts w:hint="eastAsia" w:hAnsi="宋体"/>
          <w:color w:val="auto"/>
          <w:kern w:val="0"/>
          <w:sz w:val="24"/>
          <w:szCs w:val="24"/>
        </w:rPr>
        <w:t>存在共同直接或间接投资设立子公司、联营企业和合营企业情况</w:t>
      </w:r>
    </w:p>
    <w:p w14:paraId="209BD3AF">
      <w:pPr>
        <w:pStyle w:val="49"/>
        <w:widowControl w:val="0"/>
        <w:snapToGrid w:val="0"/>
        <w:spacing w:line="440" w:lineRule="exact"/>
        <w:ind w:left="0" w:leftChars="0" w:firstLine="0" w:firstLineChars="0"/>
        <w:jc w:val="both"/>
        <w:rPr>
          <w:rFonts w:hAnsi="宋体" w:cs="Times New Roman"/>
          <w:color w:val="auto"/>
          <w:sz w:val="24"/>
          <w:szCs w:val="24"/>
        </w:rPr>
      </w:pPr>
      <w:r>
        <w:rPr>
          <w:rFonts w:hAnsi="宋体"/>
          <w:color w:val="auto"/>
          <w:kern w:val="0"/>
          <w:sz w:val="24"/>
          <w:szCs w:val="24"/>
        </w:rPr>
        <w:t>H.</w:t>
      </w:r>
      <w:r>
        <w:rPr>
          <w:rFonts w:hint="eastAsia" w:hAnsi="宋体"/>
          <w:color w:val="auto"/>
          <w:kern w:val="0"/>
          <w:sz w:val="24"/>
          <w:szCs w:val="24"/>
        </w:rPr>
        <w:t>存在分级代理或代销关系、同一生产制造商关系、</w:t>
      </w:r>
      <w:r>
        <w:rPr>
          <w:rFonts w:hint="eastAsia" w:hAnsi="宋体"/>
          <w:color w:val="auto"/>
          <w:sz w:val="24"/>
          <w:szCs w:val="24"/>
        </w:rPr>
        <w:t>管理关系、重要业务（占主营业务收入</w:t>
      </w:r>
      <w:r>
        <w:rPr>
          <w:rFonts w:hAnsi="宋体"/>
          <w:color w:val="auto"/>
          <w:sz w:val="24"/>
          <w:szCs w:val="24"/>
        </w:rPr>
        <w:t>50%</w:t>
      </w:r>
      <w:r>
        <w:rPr>
          <w:rFonts w:hint="eastAsia" w:hAnsi="宋体"/>
          <w:color w:val="auto"/>
          <w:sz w:val="24"/>
          <w:szCs w:val="24"/>
        </w:rPr>
        <w:t>以上）或重要财务往来关系（如融资）等其他实质性控制关系</w:t>
      </w:r>
    </w:p>
    <w:p w14:paraId="77DF235D">
      <w:pPr>
        <w:pStyle w:val="49"/>
        <w:widowControl w:val="0"/>
        <w:snapToGrid w:val="0"/>
        <w:spacing w:line="440" w:lineRule="exact"/>
        <w:ind w:left="0" w:leftChars="0" w:firstLine="0" w:firstLineChars="0"/>
        <w:jc w:val="both"/>
        <w:outlineLvl w:val="0"/>
        <w:rPr>
          <w:rFonts w:hAnsi="宋体" w:cs="Times New Roman"/>
          <w:color w:val="auto"/>
          <w:spacing w:val="6"/>
          <w:sz w:val="24"/>
          <w:szCs w:val="24"/>
        </w:rPr>
      </w:pPr>
      <w:r>
        <w:rPr>
          <w:rFonts w:hAnsi="宋体"/>
          <w:color w:val="auto"/>
          <w:sz w:val="24"/>
          <w:szCs w:val="24"/>
        </w:rPr>
        <w:t xml:space="preserve"> </w:t>
      </w:r>
      <w:bookmarkStart w:id="201" w:name="_Toc21250"/>
      <w:r>
        <w:rPr>
          <w:rFonts w:hAnsi="宋体"/>
          <w:color w:val="auto"/>
          <w:sz w:val="24"/>
          <w:szCs w:val="24"/>
        </w:rPr>
        <w:t>I</w:t>
      </w:r>
      <w:r>
        <w:rPr>
          <w:rFonts w:hAnsi="宋体"/>
          <w:color w:val="auto"/>
          <w:kern w:val="0"/>
          <w:sz w:val="24"/>
          <w:szCs w:val="24"/>
        </w:rPr>
        <w:t>.</w:t>
      </w:r>
      <w:r>
        <w:rPr>
          <w:rFonts w:hint="eastAsia" w:hAnsi="宋体"/>
          <w:color w:val="auto"/>
          <w:sz w:val="24"/>
          <w:szCs w:val="24"/>
        </w:rPr>
        <w:t>其他利害关系情况</w:t>
      </w:r>
      <w:r>
        <w:rPr>
          <w:rFonts w:hAnsi="宋体"/>
          <w:color w:val="auto"/>
          <w:sz w:val="24"/>
          <w:szCs w:val="24"/>
          <w:u w:val="single"/>
        </w:rPr>
        <w:t xml:space="preserve">                              </w:t>
      </w:r>
      <w:r>
        <w:rPr>
          <w:rFonts w:hint="eastAsia" w:hAnsi="宋体"/>
          <w:color w:val="auto"/>
          <w:kern w:val="0"/>
          <w:sz w:val="24"/>
          <w:szCs w:val="24"/>
        </w:rPr>
        <w:t>。</w:t>
      </w:r>
      <w:bookmarkEnd w:id="201"/>
    </w:p>
    <w:p w14:paraId="39809CD5">
      <w:pPr>
        <w:pStyle w:val="41"/>
        <w:widowControl/>
        <w:numPr>
          <w:ilvl w:val="0"/>
          <w:numId w:val="0"/>
        </w:numPr>
        <w:snapToGrid w:val="0"/>
        <w:spacing w:line="440" w:lineRule="exact"/>
        <w:rPr>
          <w:rFonts w:ascii="宋体" w:hAnsi="宋体" w:cs="Times New Roman"/>
          <w:color w:val="auto"/>
          <w:kern w:val="0"/>
          <w:sz w:val="24"/>
          <w:szCs w:val="24"/>
        </w:rPr>
      </w:pPr>
      <w:r>
        <w:rPr>
          <w:rFonts w:hint="eastAsia" w:ascii="宋体" w:hAnsi="宋体" w:cs="宋体"/>
          <w:color w:val="auto"/>
          <w:sz w:val="24"/>
          <w:szCs w:val="24"/>
          <w:lang w:val="en-US" w:eastAsia="zh-CN"/>
        </w:rPr>
        <w:t>三、</w:t>
      </w:r>
      <w:r>
        <w:rPr>
          <w:rFonts w:hint="eastAsia" w:ascii="宋体" w:hAnsi="宋体" w:cs="宋体"/>
          <w:color w:val="auto"/>
          <w:sz w:val="24"/>
          <w:szCs w:val="24"/>
        </w:rPr>
        <w:t>现已清楚知道并</w:t>
      </w:r>
      <w:r>
        <w:rPr>
          <w:rFonts w:hint="eastAsia" w:ascii="宋体" w:hAnsi="宋体" w:cs="宋体"/>
          <w:color w:val="auto"/>
          <w:kern w:val="0"/>
          <w:sz w:val="24"/>
          <w:szCs w:val="24"/>
        </w:rPr>
        <w:t>严格遵守政府采购法律法规和现场纪律。</w:t>
      </w:r>
    </w:p>
    <w:p w14:paraId="7C859E7E">
      <w:pPr>
        <w:pStyle w:val="41"/>
        <w:widowControl/>
        <w:numPr>
          <w:ilvl w:val="0"/>
          <w:numId w:val="0"/>
        </w:numPr>
        <w:snapToGrid w:val="0"/>
        <w:spacing w:line="440" w:lineRule="exact"/>
        <w:rPr>
          <w:rFonts w:hAnsi="宋体"/>
          <w:color w:val="auto"/>
          <w:sz w:val="24"/>
          <w:szCs w:val="24"/>
        </w:rPr>
      </w:pPr>
      <w:r>
        <w:rPr>
          <w:rFonts w:hint="eastAsia" w:ascii="宋体" w:hAnsi="宋体" w:cs="宋体"/>
          <w:color w:val="auto"/>
          <w:kern w:val="0"/>
          <w:sz w:val="24"/>
          <w:szCs w:val="24"/>
          <w:lang w:val="en-US" w:eastAsia="zh-CN"/>
        </w:rPr>
        <w:t>四、</w:t>
      </w:r>
      <w:r>
        <w:rPr>
          <w:rFonts w:hint="eastAsia" w:ascii="宋体" w:hAnsi="宋体" w:cs="宋体"/>
          <w:color w:val="auto"/>
          <w:kern w:val="0"/>
          <w:sz w:val="24"/>
          <w:szCs w:val="24"/>
        </w:rPr>
        <w:t>我发现</w:t>
      </w:r>
      <w:r>
        <w:rPr>
          <w:rFonts w:ascii="宋体" w:hAnsi="宋体" w:cs="宋体"/>
          <w:color w:val="auto"/>
          <w:kern w:val="0"/>
          <w:sz w:val="24"/>
          <w:szCs w:val="24"/>
          <w:u w:val="single"/>
        </w:rPr>
        <w:t xml:space="preserve">                    </w:t>
      </w:r>
      <w:r>
        <w:rPr>
          <w:rFonts w:hint="eastAsia" w:ascii="宋体" w:hAnsi="宋体" w:cs="宋体"/>
          <w:color w:val="auto"/>
          <w:kern w:val="0"/>
          <w:sz w:val="24"/>
          <w:szCs w:val="24"/>
        </w:rPr>
        <w:t>供应商之间存在或可能存在上述第二条第</w:t>
      </w:r>
      <w:r>
        <w:rPr>
          <w:rFonts w:ascii="宋体" w:hAnsi="宋体" w:cs="宋体"/>
          <w:color w:val="auto"/>
          <w:kern w:val="0"/>
          <w:sz w:val="24"/>
          <w:szCs w:val="24"/>
          <w:u w:val="single"/>
        </w:rPr>
        <w:t xml:space="preserve">        </w:t>
      </w:r>
      <w:r>
        <w:rPr>
          <w:rFonts w:hint="eastAsia" w:ascii="宋体" w:hAnsi="宋体" w:cs="宋体"/>
          <w:color w:val="auto"/>
          <w:kern w:val="0"/>
          <w:sz w:val="24"/>
          <w:szCs w:val="24"/>
        </w:rPr>
        <w:t>项利害关系。</w:t>
      </w:r>
    </w:p>
    <w:p w14:paraId="678CAC46">
      <w:pPr>
        <w:pStyle w:val="41"/>
        <w:widowControl/>
        <w:snapToGrid w:val="0"/>
        <w:spacing w:line="440" w:lineRule="exact"/>
        <w:ind w:left="0" w:leftChars="0" w:firstLine="0" w:firstLineChars="0"/>
        <w:rPr>
          <w:rFonts w:hAnsi="宋体"/>
          <w:color w:val="auto"/>
          <w:sz w:val="24"/>
          <w:szCs w:val="24"/>
        </w:rPr>
      </w:pPr>
      <w:r>
        <w:rPr>
          <w:rFonts w:hint="eastAsia" w:hAnsi="宋体"/>
          <w:color w:val="auto"/>
          <w:sz w:val="24"/>
          <w:szCs w:val="24"/>
        </w:rPr>
        <w:t>（供应商代表签名）：</w:t>
      </w:r>
      <w:r>
        <w:rPr>
          <w:rFonts w:hAnsi="宋体"/>
          <w:color w:val="auto"/>
          <w:sz w:val="24"/>
          <w:szCs w:val="24"/>
        </w:rPr>
        <w:t xml:space="preserve">                                </w:t>
      </w:r>
    </w:p>
    <w:p w14:paraId="461CDA41">
      <w:pPr>
        <w:pStyle w:val="49"/>
        <w:widowControl w:val="0"/>
        <w:snapToGrid w:val="0"/>
        <w:spacing w:line="440" w:lineRule="exact"/>
        <w:ind w:firstLine="6000" w:firstLineChars="2500"/>
        <w:jc w:val="both"/>
        <w:rPr>
          <w:rFonts w:hAnsi="宋体"/>
          <w:color w:val="auto"/>
          <w:sz w:val="24"/>
          <w:szCs w:val="24"/>
        </w:rPr>
      </w:pPr>
      <w:r>
        <w:rPr>
          <w:rFonts w:hAnsi="宋体"/>
          <w:color w:val="auto"/>
          <w:sz w:val="24"/>
          <w:szCs w:val="24"/>
        </w:rPr>
        <w:t xml:space="preserve">  </w:t>
      </w:r>
      <w:r>
        <w:rPr>
          <w:rFonts w:hint="eastAsia" w:hAnsi="宋体"/>
          <w:color w:val="auto"/>
          <w:sz w:val="24"/>
          <w:szCs w:val="24"/>
        </w:rPr>
        <w:t>202</w:t>
      </w:r>
      <w:r>
        <w:rPr>
          <w:rFonts w:hint="eastAsia" w:hAnsi="宋体"/>
          <w:color w:val="auto"/>
          <w:sz w:val="24"/>
          <w:szCs w:val="24"/>
          <w:lang w:val="en-US" w:eastAsia="zh-CN"/>
        </w:rPr>
        <w:t>5</w:t>
      </w:r>
      <w:r>
        <w:rPr>
          <w:rFonts w:hint="eastAsia" w:hAnsi="宋体"/>
          <w:color w:val="auto"/>
          <w:sz w:val="24"/>
          <w:szCs w:val="24"/>
        </w:rPr>
        <w:t>年  月  日</w:t>
      </w:r>
    </w:p>
    <w:p w14:paraId="78E00F24">
      <w:pPr>
        <w:pStyle w:val="49"/>
        <w:widowControl w:val="0"/>
        <w:snapToGrid w:val="0"/>
        <w:spacing w:line="440" w:lineRule="exact"/>
        <w:ind w:left="0" w:leftChars="0" w:firstLine="0" w:firstLineChars="0"/>
        <w:rPr>
          <w:rFonts w:hint="eastAsia" w:hAnsi="宋体"/>
          <w:b/>
          <w:bCs/>
          <w:color w:val="auto"/>
          <w:sz w:val="24"/>
          <w:szCs w:val="24"/>
        </w:rPr>
      </w:pPr>
      <w:r>
        <w:rPr>
          <w:rFonts w:hint="eastAsia" w:hAnsi="宋体"/>
          <w:b/>
          <w:bCs/>
          <w:color w:val="auto"/>
          <w:sz w:val="24"/>
          <w:szCs w:val="24"/>
        </w:rPr>
        <w:t>注：</w:t>
      </w:r>
      <w:r>
        <w:rPr>
          <w:rFonts w:hint="eastAsia" w:hAnsi="宋体"/>
          <w:b/>
          <w:bCs/>
          <w:color w:val="auto"/>
          <w:sz w:val="24"/>
          <w:szCs w:val="24"/>
        </w:rPr>
        <w:fldChar w:fldCharType="begin"/>
      </w:r>
      <w:r>
        <w:rPr>
          <w:rFonts w:hint="eastAsia" w:hAnsi="宋体"/>
          <w:b/>
          <w:bCs/>
          <w:color w:val="auto"/>
          <w:sz w:val="24"/>
          <w:szCs w:val="24"/>
        </w:rPr>
        <w:instrText xml:space="preserve"> HYPERLINK "mailto:完成解密后填写本确认书再以扫描件的形式发到邮箱（3421408016@qq.com）内，打印时请删除此项注明。" </w:instrText>
      </w:r>
      <w:r>
        <w:rPr>
          <w:rFonts w:hint="eastAsia" w:hAnsi="宋体"/>
          <w:b/>
          <w:bCs/>
          <w:color w:val="auto"/>
          <w:sz w:val="24"/>
          <w:szCs w:val="24"/>
        </w:rPr>
        <w:fldChar w:fldCharType="separate"/>
      </w:r>
      <w:r>
        <w:rPr>
          <w:rStyle w:val="33"/>
          <w:rFonts w:hint="eastAsia" w:hAnsi="宋体"/>
          <w:b/>
          <w:bCs/>
          <w:sz w:val="24"/>
          <w:szCs w:val="24"/>
        </w:rPr>
        <w:t>完成解密后填写本确认书再以扫描件的形式发到邮箱（</w:t>
      </w:r>
      <w:r>
        <w:rPr>
          <w:rStyle w:val="33"/>
          <w:rFonts w:hint="eastAsia" w:hAnsi="宋体"/>
          <w:b/>
          <w:bCs/>
          <w:sz w:val="24"/>
          <w:szCs w:val="24"/>
          <w:lang w:eastAsia="zh-CN"/>
        </w:rPr>
        <w:t>3421408016@qq.com</w:t>
      </w:r>
      <w:r>
        <w:rPr>
          <w:rStyle w:val="33"/>
          <w:rFonts w:hint="eastAsia" w:hAnsi="宋体"/>
          <w:b/>
          <w:bCs/>
          <w:sz w:val="24"/>
          <w:szCs w:val="24"/>
        </w:rPr>
        <w:t>）内，打印时请删除此项注明。</w:t>
      </w:r>
      <w:r>
        <w:rPr>
          <w:rFonts w:hint="eastAsia" w:hAnsi="宋体"/>
          <w:b/>
          <w:bCs/>
          <w:color w:val="auto"/>
          <w:sz w:val="24"/>
          <w:szCs w:val="24"/>
        </w:rPr>
        <w:fldChar w:fldCharType="end"/>
      </w:r>
    </w:p>
    <w:sectPr>
      <w:pgSz w:w="11906" w:h="16838"/>
      <w:pgMar w:top="1440" w:right="1083" w:bottom="1440" w:left="1083" w:header="851" w:footer="992" w:gutter="0"/>
      <w:cols w:space="0" w:num="1"/>
      <w:docGrid w:type="lines" w:linePitch="32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01EA411-518A-4781-B2D0-68CC4ACA008C}"/>
  </w:font>
  <w:font w:name="黑体">
    <w:panose1 w:val="02010609060101010101"/>
    <w:charset w:val="86"/>
    <w:family w:val="auto"/>
    <w:pitch w:val="default"/>
    <w:sig w:usb0="800002BF" w:usb1="38CF7CFA" w:usb2="00000016" w:usb3="00000000" w:csb0="00040001" w:csb1="00000000"/>
    <w:embedRegular r:id="rId2" w:fontKey="{18821235-7F8C-480E-8693-1CEA75C1FAB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embedRegular r:id="rId3" w:fontKey="{E46C51FB-49DF-4035-8FCB-75673252B773}"/>
  </w:font>
  <w:font w:name="仿宋_GB2312">
    <w:panose1 w:val="02010609030101010101"/>
    <w:charset w:val="86"/>
    <w:family w:val="modern"/>
    <w:pitch w:val="default"/>
    <w:sig w:usb0="00000001" w:usb1="080E0000" w:usb2="00000000" w:usb3="00000000" w:csb0="00040000" w:csb1="00000000"/>
    <w:embedRegular r:id="rId4" w:fontKey="{E6D93668-2F5F-4A4D-9A4C-85BAA488DBAA}"/>
  </w:font>
  <w:font w:name="新宋体">
    <w:panose1 w:val="02010609030101010101"/>
    <w:charset w:val="86"/>
    <w:family w:val="modern"/>
    <w:pitch w:val="default"/>
    <w:sig w:usb0="00000283" w:usb1="288F0000" w:usb2="00000006" w:usb3="00000000" w:csb0="00040001" w:csb1="00000000"/>
    <w:embedRegular r:id="rId5" w:fontKey="{71931247-A50B-4BD3-95FC-6CF888229CE1}"/>
  </w:font>
  <w:font w:name="Tahoma">
    <w:panose1 w:val="020B0604030504040204"/>
    <w:charset w:val="00"/>
    <w:family w:val="swiss"/>
    <w:pitch w:val="default"/>
    <w:sig w:usb0="E1002EFF" w:usb1="C000605B" w:usb2="00000029" w:usb3="00000000" w:csb0="200101FF" w:csb1="20280000"/>
  </w:font>
  <w:font w:name="Helvetica">
    <w:altName w:val="Arial"/>
    <w:panose1 w:val="020B0504020202030204"/>
    <w:charset w:val="00"/>
    <w:family w:val="swiss"/>
    <w:pitch w:val="default"/>
    <w:sig w:usb0="00000000" w:usb1="00000000" w:usb2="00000000" w:usb3="00000000" w:csb0="00000093" w:csb1="00000000"/>
  </w:font>
  <w:font w:name="Segoe UI Emoji">
    <w:panose1 w:val="020B0502040204020203"/>
    <w:charset w:val="00"/>
    <w:family w:val="swiss"/>
    <w:pitch w:val="default"/>
    <w:sig w:usb0="00000001" w:usb1="02000000" w:usb2="00000000" w:usb3="00000000" w:csb0="00000001" w:csb1="00000000"/>
    <w:embedRegular r:id="rId6" w:fontKey="{0F872523-68A9-4053-B85D-F0AE5AAA8D26}"/>
  </w:font>
  <w:font w:name="����">
    <w:altName w:val="微软雅黑"/>
    <w:panose1 w:val="00000000000000000000"/>
    <w:charset w:val="00"/>
    <w:family w:val="roman"/>
    <w:pitch w:val="default"/>
    <w:sig w:usb0="00000000" w:usb1="00000000" w:usb2="00000000" w:usb3="00000000" w:csb0="00040001" w:csb1="00000000"/>
    <w:embedRegular r:id="rId7" w:fontKey="{B8858471-825A-4C35-813D-0F09B49E6328}"/>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2"/>
    <w:family w:val="roman"/>
    <w:pitch w:val="default"/>
    <w:sig w:usb0="00000000" w:usb1="00000000" w:usb2="00000000" w:usb3="00000000" w:csb0="80000000" w:csb1="00000000"/>
    <w:embedRegular r:id="rId8" w:fontKey="{A0223D00-94CA-4449-AE6A-51839106B12A}"/>
  </w:font>
  <w:font w:name="仿宋">
    <w:panose1 w:val="02010609060101010101"/>
    <w:charset w:val="86"/>
    <w:family w:val="modern"/>
    <w:pitch w:val="default"/>
    <w:sig w:usb0="800002BF" w:usb1="38CF7CFA" w:usb2="00000016" w:usb3="00000000" w:csb0="00040001" w:csb1="00000000"/>
    <w:embedRegular r:id="rId9" w:fontKey="{A6048514-FC4C-4539-AD37-8409EAF41644}"/>
  </w:font>
  <w:font w:name="楷体">
    <w:panose1 w:val="02010609060101010101"/>
    <w:charset w:val="86"/>
    <w:family w:val="auto"/>
    <w:pitch w:val="default"/>
    <w:sig w:usb0="800002BF" w:usb1="38CF7CFA" w:usb2="00000016" w:usb3="00000000" w:csb0="00040001" w:csb1="00000000"/>
    <w:embedRegular r:id="rId10" w:fontKey="{380C0A0A-86B0-4BDF-9423-937D206B0939}"/>
  </w:font>
  <w:font w:name="方正小标宋简体">
    <w:panose1 w:val="02000000000000000000"/>
    <w:charset w:val="86"/>
    <w:family w:val="script"/>
    <w:pitch w:val="default"/>
    <w:sig w:usb0="00000001" w:usb1="08000000" w:usb2="00000000" w:usb3="00000000" w:csb0="00040000" w:csb1="00000000"/>
    <w:embedRegular r:id="rId11" w:fontKey="{2EDA7735-F9DC-46EF-B7FD-23D102FE72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A6089">
    <w:pPr>
      <w:pStyle w:val="17"/>
      <w:jc w:val="both"/>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3C0BC01">
                          <w:pPr>
                            <w:pStyle w:val="17"/>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txbxContent>
                    </wps:txbx>
                    <wps:bodyPr wrap="none" lIns="0" tIns="0" rIns="0" bIns="0" upright="1">
                      <a:spAutoFit/>
                    </wps:bodyPr>
                  </wps:wsp>
                </a:graphicData>
              </a:graphic>
            </wp:anchor>
          </w:drawing>
        </mc:Choice>
        <mc:Fallback>
          <w:pict>
            <v:shape id="文本框 3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GRS0GHTAQAApAMAAA4AAAAAAAAAAQAgAAAA&#10;IgEAAGRycy9lMm9Eb2MueG1sUEsFBgAAAAAGAAYAWQEAAGcFAAAAAA==&#10;">
              <v:fill on="f" focussize="0,0"/>
              <v:stroke on="f" weight="1.25pt"/>
              <v:imagedata o:title=""/>
              <o:lock v:ext="edit" aspectratio="f"/>
              <v:textbox inset="0mm,0mm,0mm,0mm" style="mso-fit-shape-to-text:t;">
                <w:txbxContent>
                  <w:p w14:paraId="73C0BC01">
                    <w:pPr>
                      <w:pStyle w:val="17"/>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354E43F5">
      <w:pPr>
        <w:pStyle w:val="20"/>
        <w:rPr>
          <w:rFonts w:hint="default"/>
        </w:rPr>
      </w:pPr>
      <w:r>
        <w:rPr>
          <w:rStyle w:val="35"/>
          <w:rFonts w:hint="eastAsia"/>
          <w:sz w:val="18"/>
        </w:rPr>
        <w:footnoteRef/>
      </w:r>
      <w:r>
        <w:rPr>
          <w:rFonts w:ascii="宋体" w:hAnsi="宋体"/>
          <w:sz w:val="21"/>
        </w:rPr>
        <w:t>从业人员、营业收入、资产总额填报上一年度数据，无上一年度数据的新成立企业可不填报。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3B9DE">
    <w:pPr>
      <w:pStyle w:val="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EB077">
    <w:pPr>
      <w:pStyle w:val="1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030FA7"/>
    <w:multiLevelType w:val="singleLevel"/>
    <w:tmpl w:val="C4030FA7"/>
    <w:lvl w:ilvl="0" w:tentative="0">
      <w:start w:val="1"/>
      <w:numFmt w:val="decimal"/>
      <w:lvlText w:val="%1"/>
      <w:lvlJc w:val="left"/>
      <w:pPr>
        <w:tabs>
          <w:tab w:val="left" w:pos="425"/>
        </w:tabs>
        <w:ind w:left="425" w:hanging="425"/>
      </w:pPr>
      <w:rPr>
        <w:rFonts w:hint="default"/>
      </w:rPr>
    </w:lvl>
  </w:abstractNum>
  <w:abstractNum w:abstractNumId="1">
    <w:nsid w:val="DA4450F9"/>
    <w:multiLevelType w:val="singleLevel"/>
    <w:tmpl w:val="DA4450F9"/>
    <w:lvl w:ilvl="0" w:tentative="0">
      <w:start w:val="1"/>
      <w:numFmt w:val="decimal"/>
      <w:lvlText w:val="%1."/>
      <w:lvlJc w:val="left"/>
      <w:pPr>
        <w:tabs>
          <w:tab w:val="left" w:pos="312"/>
        </w:tabs>
        <w:ind w:left="421" w:firstLine="0"/>
      </w:pPr>
    </w:lvl>
  </w:abstractNum>
  <w:abstractNum w:abstractNumId="2">
    <w:nsid w:val="DA783C29"/>
    <w:multiLevelType w:val="singleLevel"/>
    <w:tmpl w:val="DA783C29"/>
    <w:lvl w:ilvl="0" w:tentative="0">
      <w:start w:val="2"/>
      <w:numFmt w:val="chineseCounting"/>
      <w:suff w:val="space"/>
      <w:lvlText w:val="第%1章"/>
      <w:lvlJc w:val="left"/>
      <w:rPr>
        <w:rFonts w:hint="eastAsia"/>
      </w:rPr>
    </w:lvl>
  </w:abstractNum>
  <w:abstractNum w:abstractNumId="3">
    <w:nsid w:val="01C498A1"/>
    <w:multiLevelType w:val="singleLevel"/>
    <w:tmpl w:val="01C498A1"/>
    <w:lvl w:ilvl="0" w:tentative="0">
      <w:start w:val="1"/>
      <w:numFmt w:val="decimal"/>
      <w:suff w:val="nothing"/>
      <w:lvlText w:val="（%1）"/>
      <w:lvlJc w:val="left"/>
    </w:lvl>
  </w:abstractNum>
  <w:abstractNum w:abstractNumId="4">
    <w:nsid w:val="125E0AA1"/>
    <w:multiLevelType w:val="singleLevel"/>
    <w:tmpl w:val="125E0AA1"/>
    <w:lvl w:ilvl="0" w:tentative="0">
      <w:start w:val="1"/>
      <w:numFmt w:val="decimal"/>
      <w:suff w:val="nothing"/>
      <w:lvlText w:val="%1、"/>
      <w:lvlJc w:val="left"/>
    </w:lvl>
  </w:abstractNum>
  <w:abstractNum w:abstractNumId="5">
    <w:nsid w:val="230BA6D1"/>
    <w:multiLevelType w:val="singleLevel"/>
    <w:tmpl w:val="230BA6D1"/>
    <w:lvl w:ilvl="0" w:tentative="0">
      <w:start w:val="2"/>
      <w:numFmt w:val="decimal"/>
      <w:lvlText w:val="%1."/>
      <w:lvlJc w:val="left"/>
      <w:pPr>
        <w:tabs>
          <w:tab w:val="left" w:pos="312"/>
        </w:tabs>
        <w:ind w:left="420" w:leftChars="0" w:firstLine="0" w:firstLineChars="0"/>
      </w:pPr>
    </w:lvl>
  </w:abstractNum>
  <w:abstractNum w:abstractNumId="6">
    <w:nsid w:val="3FA9E490"/>
    <w:multiLevelType w:val="singleLevel"/>
    <w:tmpl w:val="3FA9E490"/>
    <w:lvl w:ilvl="0" w:tentative="0">
      <w:start w:val="1"/>
      <w:numFmt w:val="decimal"/>
      <w:suff w:val="nothing"/>
      <w:lvlText w:val="%1、"/>
      <w:lvlJc w:val="left"/>
    </w:lvl>
  </w:abstractNum>
  <w:abstractNum w:abstractNumId="7">
    <w:nsid w:val="50A69048"/>
    <w:multiLevelType w:val="singleLevel"/>
    <w:tmpl w:val="50A69048"/>
    <w:lvl w:ilvl="0" w:tentative="0">
      <w:start w:val="3"/>
      <w:numFmt w:val="chineseCounting"/>
      <w:suff w:val="space"/>
      <w:lvlText w:val="第%1章"/>
      <w:lvlJc w:val="left"/>
      <w:rPr>
        <w:rFonts w:hint="eastAsia"/>
      </w:rPr>
    </w:lvl>
  </w:abstractNum>
  <w:abstractNum w:abstractNumId="8">
    <w:nsid w:val="69118F2E"/>
    <w:multiLevelType w:val="singleLevel"/>
    <w:tmpl w:val="69118F2E"/>
    <w:lvl w:ilvl="0" w:tentative="0">
      <w:start w:val="1"/>
      <w:numFmt w:val="decimal"/>
      <w:suff w:val="nothing"/>
      <w:lvlText w:val="%1、"/>
      <w:lvlJc w:val="left"/>
    </w:lvl>
  </w:abstractNum>
  <w:num w:numId="1">
    <w:abstractNumId w:val="2"/>
  </w:num>
  <w:num w:numId="2">
    <w:abstractNumId w:val="0"/>
  </w:num>
  <w:num w:numId="3">
    <w:abstractNumId w:val="4"/>
  </w:num>
  <w:num w:numId="4">
    <w:abstractNumId w:val="1"/>
  </w:num>
  <w:num w:numId="5">
    <w:abstractNumId w:val="6"/>
  </w:num>
  <w:num w:numId="6">
    <w:abstractNumId w:val="3"/>
  </w:num>
  <w:num w:numId="7">
    <w:abstractNumId w:val="7"/>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NotTrackMoves/>
  <w:documentProtection w:enforcement="0"/>
  <w:defaultTabStop w:val="420"/>
  <w:drawingGridVerticalSpacing w:val="162"/>
  <w:displayHorizontalDrawingGridEvery w:val="1"/>
  <w:displayVerticalDrawingGridEvery w:val="1"/>
  <w:noPunctuationKerning w:val="1"/>
  <w:characterSpacingControl w:val="compressPunctuation"/>
  <w:doNotValidateAgainstSchema/>
  <w:doNotDemarcateInvalidXml/>
  <w:hdrShapeDefaults>
    <o:shapelayout v:ext="edit">
      <o:idmap v:ext="edit" data="1"/>
    </o:shapelayout>
  </w:hdrShapeDefaults>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lkYzMxMDJmOGZkYjdhYjQxNzA5ZTg5OTI3YjIzNjUifQ=="/>
  </w:docVars>
  <w:rsids>
    <w:rsidRoot w:val="00172A27"/>
    <w:rsid w:val="00020A18"/>
    <w:rsid w:val="00030B71"/>
    <w:rsid w:val="00047598"/>
    <w:rsid w:val="000767BF"/>
    <w:rsid w:val="0008329C"/>
    <w:rsid w:val="000D2B3B"/>
    <w:rsid w:val="000F215E"/>
    <w:rsid w:val="000F71FD"/>
    <w:rsid w:val="00104F98"/>
    <w:rsid w:val="0014012E"/>
    <w:rsid w:val="00146C54"/>
    <w:rsid w:val="001632CA"/>
    <w:rsid w:val="00172A27"/>
    <w:rsid w:val="001D5684"/>
    <w:rsid w:val="001F0EE1"/>
    <w:rsid w:val="00216FD2"/>
    <w:rsid w:val="00224322"/>
    <w:rsid w:val="0025544A"/>
    <w:rsid w:val="002B36C8"/>
    <w:rsid w:val="002B7F50"/>
    <w:rsid w:val="002E706F"/>
    <w:rsid w:val="003272ED"/>
    <w:rsid w:val="00342A6B"/>
    <w:rsid w:val="00352EAF"/>
    <w:rsid w:val="00395342"/>
    <w:rsid w:val="003C1318"/>
    <w:rsid w:val="003C77E8"/>
    <w:rsid w:val="003F6141"/>
    <w:rsid w:val="00446537"/>
    <w:rsid w:val="00471656"/>
    <w:rsid w:val="004E6F06"/>
    <w:rsid w:val="00511884"/>
    <w:rsid w:val="00552201"/>
    <w:rsid w:val="005831AF"/>
    <w:rsid w:val="005B6370"/>
    <w:rsid w:val="005C7778"/>
    <w:rsid w:val="0060501E"/>
    <w:rsid w:val="00617069"/>
    <w:rsid w:val="006507E3"/>
    <w:rsid w:val="0074620C"/>
    <w:rsid w:val="00775775"/>
    <w:rsid w:val="007A5122"/>
    <w:rsid w:val="007D1890"/>
    <w:rsid w:val="007D73B1"/>
    <w:rsid w:val="00815042"/>
    <w:rsid w:val="0082281E"/>
    <w:rsid w:val="0084193A"/>
    <w:rsid w:val="008514F9"/>
    <w:rsid w:val="00852311"/>
    <w:rsid w:val="00860EC1"/>
    <w:rsid w:val="00895AC0"/>
    <w:rsid w:val="00895CF3"/>
    <w:rsid w:val="008B0F8F"/>
    <w:rsid w:val="008B40FB"/>
    <w:rsid w:val="00910B01"/>
    <w:rsid w:val="00912877"/>
    <w:rsid w:val="0091297F"/>
    <w:rsid w:val="00955438"/>
    <w:rsid w:val="00973DA7"/>
    <w:rsid w:val="009B7DB0"/>
    <w:rsid w:val="009D3EEF"/>
    <w:rsid w:val="009D6FB4"/>
    <w:rsid w:val="009E7445"/>
    <w:rsid w:val="009F2E6D"/>
    <w:rsid w:val="009F3510"/>
    <w:rsid w:val="00A14A6F"/>
    <w:rsid w:val="00A32958"/>
    <w:rsid w:val="00A376FD"/>
    <w:rsid w:val="00A93049"/>
    <w:rsid w:val="00AC44E9"/>
    <w:rsid w:val="00B47A30"/>
    <w:rsid w:val="00B73383"/>
    <w:rsid w:val="00B87236"/>
    <w:rsid w:val="00B95009"/>
    <w:rsid w:val="00B973F5"/>
    <w:rsid w:val="00BB1398"/>
    <w:rsid w:val="00BB7DA6"/>
    <w:rsid w:val="00BC65E2"/>
    <w:rsid w:val="00BF6054"/>
    <w:rsid w:val="00C93A28"/>
    <w:rsid w:val="00CA0C6D"/>
    <w:rsid w:val="00CF4B2D"/>
    <w:rsid w:val="00D02DF1"/>
    <w:rsid w:val="00D0572A"/>
    <w:rsid w:val="00D34FA3"/>
    <w:rsid w:val="00D52A99"/>
    <w:rsid w:val="00DB6E72"/>
    <w:rsid w:val="00E61DEB"/>
    <w:rsid w:val="00E80851"/>
    <w:rsid w:val="00EE7253"/>
    <w:rsid w:val="00EF0B50"/>
    <w:rsid w:val="00EF3422"/>
    <w:rsid w:val="00F354FC"/>
    <w:rsid w:val="00F57102"/>
    <w:rsid w:val="00FC02BF"/>
    <w:rsid w:val="01085B27"/>
    <w:rsid w:val="01116F62"/>
    <w:rsid w:val="01140146"/>
    <w:rsid w:val="0115527F"/>
    <w:rsid w:val="011E271B"/>
    <w:rsid w:val="012158FF"/>
    <w:rsid w:val="01276727"/>
    <w:rsid w:val="01303AC5"/>
    <w:rsid w:val="014178C7"/>
    <w:rsid w:val="01512DEC"/>
    <w:rsid w:val="01565C22"/>
    <w:rsid w:val="016D11AA"/>
    <w:rsid w:val="016F0582"/>
    <w:rsid w:val="0183739B"/>
    <w:rsid w:val="01983295"/>
    <w:rsid w:val="019D69D9"/>
    <w:rsid w:val="01B678EA"/>
    <w:rsid w:val="01C32E50"/>
    <w:rsid w:val="020B6D1B"/>
    <w:rsid w:val="021269E6"/>
    <w:rsid w:val="021A30A1"/>
    <w:rsid w:val="021E7911"/>
    <w:rsid w:val="02257CFA"/>
    <w:rsid w:val="0227178C"/>
    <w:rsid w:val="023B3DE3"/>
    <w:rsid w:val="025657AD"/>
    <w:rsid w:val="02651D9E"/>
    <w:rsid w:val="02700631"/>
    <w:rsid w:val="02780024"/>
    <w:rsid w:val="02867E41"/>
    <w:rsid w:val="02873805"/>
    <w:rsid w:val="02B353FD"/>
    <w:rsid w:val="02CE3596"/>
    <w:rsid w:val="02E0727B"/>
    <w:rsid w:val="02F76051"/>
    <w:rsid w:val="03085B3D"/>
    <w:rsid w:val="0315427F"/>
    <w:rsid w:val="03164F99"/>
    <w:rsid w:val="03183FDB"/>
    <w:rsid w:val="03380F32"/>
    <w:rsid w:val="03483AC2"/>
    <w:rsid w:val="034E3C81"/>
    <w:rsid w:val="0365303C"/>
    <w:rsid w:val="0369379C"/>
    <w:rsid w:val="036D7252"/>
    <w:rsid w:val="03762BF6"/>
    <w:rsid w:val="037A7C08"/>
    <w:rsid w:val="037E5831"/>
    <w:rsid w:val="0381685A"/>
    <w:rsid w:val="039B582A"/>
    <w:rsid w:val="03A367D0"/>
    <w:rsid w:val="03A762C0"/>
    <w:rsid w:val="03B75C87"/>
    <w:rsid w:val="03CB041B"/>
    <w:rsid w:val="03DA48E8"/>
    <w:rsid w:val="03DF4F77"/>
    <w:rsid w:val="03EA08A3"/>
    <w:rsid w:val="03F47021"/>
    <w:rsid w:val="04092DCE"/>
    <w:rsid w:val="040A56B0"/>
    <w:rsid w:val="04117BDE"/>
    <w:rsid w:val="045126D0"/>
    <w:rsid w:val="04515897"/>
    <w:rsid w:val="047B14FB"/>
    <w:rsid w:val="049A4077"/>
    <w:rsid w:val="04A11817"/>
    <w:rsid w:val="04B4200C"/>
    <w:rsid w:val="04B816CC"/>
    <w:rsid w:val="04DB2D4A"/>
    <w:rsid w:val="04DF792A"/>
    <w:rsid w:val="04E607C6"/>
    <w:rsid w:val="05025778"/>
    <w:rsid w:val="05186801"/>
    <w:rsid w:val="052B2F21"/>
    <w:rsid w:val="053973EC"/>
    <w:rsid w:val="05410997"/>
    <w:rsid w:val="05591CE9"/>
    <w:rsid w:val="055A128A"/>
    <w:rsid w:val="055D27D3"/>
    <w:rsid w:val="05655910"/>
    <w:rsid w:val="05754340"/>
    <w:rsid w:val="0584106D"/>
    <w:rsid w:val="0597150F"/>
    <w:rsid w:val="05B214AF"/>
    <w:rsid w:val="05B62666"/>
    <w:rsid w:val="05BE581F"/>
    <w:rsid w:val="05DB66F5"/>
    <w:rsid w:val="05DF255C"/>
    <w:rsid w:val="05E32B58"/>
    <w:rsid w:val="05E732EC"/>
    <w:rsid w:val="05EE71A8"/>
    <w:rsid w:val="05F62914"/>
    <w:rsid w:val="05FC7B65"/>
    <w:rsid w:val="06394170"/>
    <w:rsid w:val="063B3638"/>
    <w:rsid w:val="064F49ED"/>
    <w:rsid w:val="0659637E"/>
    <w:rsid w:val="0684481B"/>
    <w:rsid w:val="069072E5"/>
    <w:rsid w:val="06952273"/>
    <w:rsid w:val="06B968A3"/>
    <w:rsid w:val="06BF7DC5"/>
    <w:rsid w:val="06C4362D"/>
    <w:rsid w:val="06C568D8"/>
    <w:rsid w:val="06DF3FC3"/>
    <w:rsid w:val="07035F04"/>
    <w:rsid w:val="070457D8"/>
    <w:rsid w:val="070D6976"/>
    <w:rsid w:val="073B1B74"/>
    <w:rsid w:val="075722A2"/>
    <w:rsid w:val="075D36A0"/>
    <w:rsid w:val="075E2523"/>
    <w:rsid w:val="078E76EE"/>
    <w:rsid w:val="079A7717"/>
    <w:rsid w:val="079E51D1"/>
    <w:rsid w:val="07B57556"/>
    <w:rsid w:val="07BD7DB6"/>
    <w:rsid w:val="07C5765D"/>
    <w:rsid w:val="07C65BD8"/>
    <w:rsid w:val="07DF1037"/>
    <w:rsid w:val="07E63F17"/>
    <w:rsid w:val="07EA7B88"/>
    <w:rsid w:val="080B7E6A"/>
    <w:rsid w:val="08125861"/>
    <w:rsid w:val="081D1247"/>
    <w:rsid w:val="082500FC"/>
    <w:rsid w:val="082832FF"/>
    <w:rsid w:val="084E7CCC"/>
    <w:rsid w:val="085D4A8A"/>
    <w:rsid w:val="087342D9"/>
    <w:rsid w:val="08877CDC"/>
    <w:rsid w:val="088A67D4"/>
    <w:rsid w:val="08905EB4"/>
    <w:rsid w:val="089D28A9"/>
    <w:rsid w:val="08BB45BC"/>
    <w:rsid w:val="08CD2756"/>
    <w:rsid w:val="08D35DAA"/>
    <w:rsid w:val="08FB78ED"/>
    <w:rsid w:val="09151759"/>
    <w:rsid w:val="09273E88"/>
    <w:rsid w:val="092909BC"/>
    <w:rsid w:val="09393F35"/>
    <w:rsid w:val="093E3C1D"/>
    <w:rsid w:val="094E7BC5"/>
    <w:rsid w:val="09731054"/>
    <w:rsid w:val="09894266"/>
    <w:rsid w:val="099B63EF"/>
    <w:rsid w:val="09C0778A"/>
    <w:rsid w:val="09C120A6"/>
    <w:rsid w:val="09D56313"/>
    <w:rsid w:val="09D72FE0"/>
    <w:rsid w:val="09DD2EF4"/>
    <w:rsid w:val="09E1089C"/>
    <w:rsid w:val="09EF4BB6"/>
    <w:rsid w:val="09F8096C"/>
    <w:rsid w:val="09FC57C8"/>
    <w:rsid w:val="0A222B45"/>
    <w:rsid w:val="0A2646F3"/>
    <w:rsid w:val="0A3463C9"/>
    <w:rsid w:val="0A4038E0"/>
    <w:rsid w:val="0A4A3BB2"/>
    <w:rsid w:val="0A5237DA"/>
    <w:rsid w:val="0A557A10"/>
    <w:rsid w:val="0A5A3A1F"/>
    <w:rsid w:val="0AAF7892"/>
    <w:rsid w:val="0AC37E7A"/>
    <w:rsid w:val="0AD5052F"/>
    <w:rsid w:val="0AE95411"/>
    <w:rsid w:val="0B2428ED"/>
    <w:rsid w:val="0B65076A"/>
    <w:rsid w:val="0B662F05"/>
    <w:rsid w:val="0B7A075E"/>
    <w:rsid w:val="0B944D63"/>
    <w:rsid w:val="0B995089"/>
    <w:rsid w:val="0BAA702F"/>
    <w:rsid w:val="0BC33D9E"/>
    <w:rsid w:val="0BCB286D"/>
    <w:rsid w:val="0BDE5713"/>
    <w:rsid w:val="0BEB4550"/>
    <w:rsid w:val="0BEC2CBA"/>
    <w:rsid w:val="0BF26547"/>
    <w:rsid w:val="0C6A7EA1"/>
    <w:rsid w:val="0C8064A1"/>
    <w:rsid w:val="0C8D3182"/>
    <w:rsid w:val="0CAF4438"/>
    <w:rsid w:val="0CB16402"/>
    <w:rsid w:val="0CC117BB"/>
    <w:rsid w:val="0CC36012"/>
    <w:rsid w:val="0CC42BB0"/>
    <w:rsid w:val="0CE727F6"/>
    <w:rsid w:val="0CF912DF"/>
    <w:rsid w:val="0D110C4F"/>
    <w:rsid w:val="0D2126D0"/>
    <w:rsid w:val="0D2546FA"/>
    <w:rsid w:val="0D2E5018"/>
    <w:rsid w:val="0D32005A"/>
    <w:rsid w:val="0D5631A5"/>
    <w:rsid w:val="0D5C5975"/>
    <w:rsid w:val="0D674D12"/>
    <w:rsid w:val="0D820AF1"/>
    <w:rsid w:val="0DA21130"/>
    <w:rsid w:val="0DD423A8"/>
    <w:rsid w:val="0DEA5BE9"/>
    <w:rsid w:val="0E1A5A3B"/>
    <w:rsid w:val="0E4D1B27"/>
    <w:rsid w:val="0E6E6507"/>
    <w:rsid w:val="0E722040"/>
    <w:rsid w:val="0E8B46C9"/>
    <w:rsid w:val="0EA9647A"/>
    <w:rsid w:val="0EAF2B0E"/>
    <w:rsid w:val="0EBC076E"/>
    <w:rsid w:val="0EC51E1B"/>
    <w:rsid w:val="0ED0786A"/>
    <w:rsid w:val="0EDD34DE"/>
    <w:rsid w:val="0EE708B1"/>
    <w:rsid w:val="0F175CCD"/>
    <w:rsid w:val="0F231D7E"/>
    <w:rsid w:val="0F2C0C63"/>
    <w:rsid w:val="0F324815"/>
    <w:rsid w:val="0F471D99"/>
    <w:rsid w:val="0F505FA2"/>
    <w:rsid w:val="0F543481"/>
    <w:rsid w:val="0F674C3D"/>
    <w:rsid w:val="0F8B058F"/>
    <w:rsid w:val="0F9119CD"/>
    <w:rsid w:val="0FAD1DC8"/>
    <w:rsid w:val="0FB42393"/>
    <w:rsid w:val="0FFB2C33"/>
    <w:rsid w:val="100845EF"/>
    <w:rsid w:val="10153218"/>
    <w:rsid w:val="101D413D"/>
    <w:rsid w:val="10200AD5"/>
    <w:rsid w:val="102962AF"/>
    <w:rsid w:val="10354EE1"/>
    <w:rsid w:val="103B7D7B"/>
    <w:rsid w:val="105B6A7F"/>
    <w:rsid w:val="106D3680"/>
    <w:rsid w:val="109B03CC"/>
    <w:rsid w:val="109F1A01"/>
    <w:rsid w:val="10B12DC4"/>
    <w:rsid w:val="10D821AF"/>
    <w:rsid w:val="10EC2B81"/>
    <w:rsid w:val="110E5BD1"/>
    <w:rsid w:val="11183500"/>
    <w:rsid w:val="114C494B"/>
    <w:rsid w:val="11513D10"/>
    <w:rsid w:val="115B70AB"/>
    <w:rsid w:val="117A279A"/>
    <w:rsid w:val="117D2D56"/>
    <w:rsid w:val="118766D4"/>
    <w:rsid w:val="11BD75F7"/>
    <w:rsid w:val="11C23A8B"/>
    <w:rsid w:val="11C269BB"/>
    <w:rsid w:val="11CD1C03"/>
    <w:rsid w:val="11CF79F7"/>
    <w:rsid w:val="11E50C23"/>
    <w:rsid w:val="11E701D0"/>
    <w:rsid w:val="11F47704"/>
    <w:rsid w:val="122461F8"/>
    <w:rsid w:val="123D49DF"/>
    <w:rsid w:val="125735A8"/>
    <w:rsid w:val="12744159"/>
    <w:rsid w:val="12A43DE9"/>
    <w:rsid w:val="12AF5192"/>
    <w:rsid w:val="12CD73C6"/>
    <w:rsid w:val="12D07AF9"/>
    <w:rsid w:val="12DA1AE3"/>
    <w:rsid w:val="12F7385D"/>
    <w:rsid w:val="12F87FEF"/>
    <w:rsid w:val="12FD5A6C"/>
    <w:rsid w:val="13090F02"/>
    <w:rsid w:val="13144FF5"/>
    <w:rsid w:val="131B45D5"/>
    <w:rsid w:val="13247774"/>
    <w:rsid w:val="132A73D8"/>
    <w:rsid w:val="13541E41"/>
    <w:rsid w:val="13547AE7"/>
    <w:rsid w:val="13611C3D"/>
    <w:rsid w:val="136A6CC5"/>
    <w:rsid w:val="136E2957"/>
    <w:rsid w:val="136F7C45"/>
    <w:rsid w:val="138A5FE6"/>
    <w:rsid w:val="13A248EB"/>
    <w:rsid w:val="13A91D3D"/>
    <w:rsid w:val="13B52C00"/>
    <w:rsid w:val="13D81459"/>
    <w:rsid w:val="13D824C6"/>
    <w:rsid w:val="13DA4490"/>
    <w:rsid w:val="13E92112"/>
    <w:rsid w:val="13EA014B"/>
    <w:rsid w:val="13FA1CE9"/>
    <w:rsid w:val="14047C59"/>
    <w:rsid w:val="140E307F"/>
    <w:rsid w:val="14171850"/>
    <w:rsid w:val="141B3661"/>
    <w:rsid w:val="143F6F73"/>
    <w:rsid w:val="144B7786"/>
    <w:rsid w:val="144E4536"/>
    <w:rsid w:val="144F032D"/>
    <w:rsid w:val="14665D24"/>
    <w:rsid w:val="146F7418"/>
    <w:rsid w:val="1473015F"/>
    <w:rsid w:val="149070A3"/>
    <w:rsid w:val="14A3762E"/>
    <w:rsid w:val="14BC3B96"/>
    <w:rsid w:val="14C32AFF"/>
    <w:rsid w:val="14CA62B3"/>
    <w:rsid w:val="14E03191"/>
    <w:rsid w:val="14F279B7"/>
    <w:rsid w:val="14FB2A5F"/>
    <w:rsid w:val="14FC75BB"/>
    <w:rsid w:val="15062FD8"/>
    <w:rsid w:val="1508527E"/>
    <w:rsid w:val="150A14DA"/>
    <w:rsid w:val="15313E9A"/>
    <w:rsid w:val="154C6CC8"/>
    <w:rsid w:val="155B587D"/>
    <w:rsid w:val="157553B2"/>
    <w:rsid w:val="157C1D04"/>
    <w:rsid w:val="157C67FC"/>
    <w:rsid w:val="15963972"/>
    <w:rsid w:val="15FE555B"/>
    <w:rsid w:val="15FF01DE"/>
    <w:rsid w:val="160752E5"/>
    <w:rsid w:val="162C7F37"/>
    <w:rsid w:val="164E6A70"/>
    <w:rsid w:val="165244D0"/>
    <w:rsid w:val="16551BAC"/>
    <w:rsid w:val="165A3C2E"/>
    <w:rsid w:val="16723142"/>
    <w:rsid w:val="16866470"/>
    <w:rsid w:val="16A037D8"/>
    <w:rsid w:val="16BE1E47"/>
    <w:rsid w:val="16D327B3"/>
    <w:rsid w:val="16DE1BA1"/>
    <w:rsid w:val="16E03488"/>
    <w:rsid w:val="171B790C"/>
    <w:rsid w:val="17421333"/>
    <w:rsid w:val="17422245"/>
    <w:rsid w:val="17441D33"/>
    <w:rsid w:val="17593175"/>
    <w:rsid w:val="175F594F"/>
    <w:rsid w:val="176F293C"/>
    <w:rsid w:val="177721CA"/>
    <w:rsid w:val="177D585E"/>
    <w:rsid w:val="1786302B"/>
    <w:rsid w:val="17902473"/>
    <w:rsid w:val="17B0699C"/>
    <w:rsid w:val="17C52D61"/>
    <w:rsid w:val="17D20F05"/>
    <w:rsid w:val="17F141D6"/>
    <w:rsid w:val="17F442EA"/>
    <w:rsid w:val="181259EF"/>
    <w:rsid w:val="18166C6B"/>
    <w:rsid w:val="18193769"/>
    <w:rsid w:val="181D051D"/>
    <w:rsid w:val="183B7259"/>
    <w:rsid w:val="1855363B"/>
    <w:rsid w:val="185F31B6"/>
    <w:rsid w:val="18731F74"/>
    <w:rsid w:val="187F73B4"/>
    <w:rsid w:val="18A53E46"/>
    <w:rsid w:val="18D845E1"/>
    <w:rsid w:val="18EF453A"/>
    <w:rsid w:val="19013F83"/>
    <w:rsid w:val="19061883"/>
    <w:rsid w:val="19112D1C"/>
    <w:rsid w:val="191C4A9A"/>
    <w:rsid w:val="192E2F24"/>
    <w:rsid w:val="192F2B88"/>
    <w:rsid w:val="19314C24"/>
    <w:rsid w:val="193B7216"/>
    <w:rsid w:val="19567039"/>
    <w:rsid w:val="196636AD"/>
    <w:rsid w:val="196C5B8A"/>
    <w:rsid w:val="19783362"/>
    <w:rsid w:val="19B4762D"/>
    <w:rsid w:val="19D9750D"/>
    <w:rsid w:val="19DB686C"/>
    <w:rsid w:val="19DC4392"/>
    <w:rsid w:val="19DE4D29"/>
    <w:rsid w:val="19DF4927"/>
    <w:rsid w:val="19F90A68"/>
    <w:rsid w:val="1A02029D"/>
    <w:rsid w:val="1A1C6548"/>
    <w:rsid w:val="1A365ACC"/>
    <w:rsid w:val="1A4C59BC"/>
    <w:rsid w:val="1A62782A"/>
    <w:rsid w:val="1A765E6B"/>
    <w:rsid w:val="1A88601E"/>
    <w:rsid w:val="1A8F6899"/>
    <w:rsid w:val="1A9C13A6"/>
    <w:rsid w:val="1AA47997"/>
    <w:rsid w:val="1AA81168"/>
    <w:rsid w:val="1AA90718"/>
    <w:rsid w:val="1AC6751C"/>
    <w:rsid w:val="1AC8570C"/>
    <w:rsid w:val="1ACD0194"/>
    <w:rsid w:val="1AE76D58"/>
    <w:rsid w:val="1AE94FB9"/>
    <w:rsid w:val="1AF75928"/>
    <w:rsid w:val="1AFC5DDB"/>
    <w:rsid w:val="1B2B662E"/>
    <w:rsid w:val="1B55623C"/>
    <w:rsid w:val="1B6A434C"/>
    <w:rsid w:val="1B6F1962"/>
    <w:rsid w:val="1B8946A5"/>
    <w:rsid w:val="1B8B31A3"/>
    <w:rsid w:val="1B945EA9"/>
    <w:rsid w:val="1BA20B52"/>
    <w:rsid w:val="1BC82196"/>
    <w:rsid w:val="1BD13616"/>
    <w:rsid w:val="1BEE6D2B"/>
    <w:rsid w:val="1BFA43E7"/>
    <w:rsid w:val="1C074AA2"/>
    <w:rsid w:val="1C097021"/>
    <w:rsid w:val="1C4E2F00"/>
    <w:rsid w:val="1C80194D"/>
    <w:rsid w:val="1C8323D1"/>
    <w:rsid w:val="1C864BDA"/>
    <w:rsid w:val="1C8D1599"/>
    <w:rsid w:val="1CA301E4"/>
    <w:rsid w:val="1CA92E1C"/>
    <w:rsid w:val="1CBD38FD"/>
    <w:rsid w:val="1CBD7537"/>
    <w:rsid w:val="1CC42904"/>
    <w:rsid w:val="1CD4394D"/>
    <w:rsid w:val="1CD60277"/>
    <w:rsid w:val="1CDD6D9F"/>
    <w:rsid w:val="1CEB3B08"/>
    <w:rsid w:val="1D01571B"/>
    <w:rsid w:val="1D167BBB"/>
    <w:rsid w:val="1D1D7985"/>
    <w:rsid w:val="1D296BEA"/>
    <w:rsid w:val="1D8A6CE7"/>
    <w:rsid w:val="1D992E1D"/>
    <w:rsid w:val="1D9C4010"/>
    <w:rsid w:val="1DA30EAE"/>
    <w:rsid w:val="1DB0201F"/>
    <w:rsid w:val="1DC75FFB"/>
    <w:rsid w:val="1DD67494"/>
    <w:rsid w:val="1DD86E34"/>
    <w:rsid w:val="1DF64031"/>
    <w:rsid w:val="1DFC54A8"/>
    <w:rsid w:val="1DFC7885"/>
    <w:rsid w:val="1E14234D"/>
    <w:rsid w:val="1E37603B"/>
    <w:rsid w:val="1E417712"/>
    <w:rsid w:val="1E60797C"/>
    <w:rsid w:val="1E877C09"/>
    <w:rsid w:val="1E8C0536"/>
    <w:rsid w:val="1E9A18BA"/>
    <w:rsid w:val="1EB1719C"/>
    <w:rsid w:val="1EC43D73"/>
    <w:rsid w:val="1ECC0F61"/>
    <w:rsid w:val="1EF41427"/>
    <w:rsid w:val="1EFF26CA"/>
    <w:rsid w:val="1EFF4DAB"/>
    <w:rsid w:val="1F0E211D"/>
    <w:rsid w:val="1F1B478E"/>
    <w:rsid w:val="1F26169B"/>
    <w:rsid w:val="1F47475D"/>
    <w:rsid w:val="1F640000"/>
    <w:rsid w:val="1F732450"/>
    <w:rsid w:val="1F7A6EF9"/>
    <w:rsid w:val="1F81648C"/>
    <w:rsid w:val="1F985651"/>
    <w:rsid w:val="1FAE5D8D"/>
    <w:rsid w:val="1FCA1F67"/>
    <w:rsid w:val="1FD456DB"/>
    <w:rsid w:val="1FD63B62"/>
    <w:rsid w:val="1FD870AC"/>
    <w:rsid w:val="1FEB7427"/>
    <w:rsid w:val="1FEC0DF3"/>
    <w:rsid w:val="200A2E86"/>
    <w:rsid w:val="201E3957"/>
    <w:rsid w:val="2027280B"/>
    <w:rsid w:val="20391E79"/>
    <w:rsid w:val="203942EC"/>
    <w:rsid w:val="204147CB"/>
    <w:rsid w:val="205630F0"/>
    <w:rsid w:val="206375BB"/>
    <w:rsid w:val="209E103D"/>
    <w:rsid w:val="20A17E70"/>
    <w:rsid w:val="20A7709D"/>
    <w:rsid w:val="20AF5D98"/>
    <w:rsid w:val="20B20E34"/>
    <w:rsid w:val="20B83463"/>
    <w:rsid w:val="20C11D64"/>
    <w:rsid w:val="20D862BB"/>
    <w:rsid w:val="20DA0FFF"/>
    <w:rsid w:val="20F326ED"/>
    <w:rsid w:val="210F3D49"/>
    <w:rsid w:val="211663DC"/>
    <w:rsid w:val="21206477"/>
    <w:rsid w:val="2122605F"/>
    <w:rsid w:val="213E4C9F"/>
    <w:rsid w:val="21626E08"/>
    <w:rsid w:val="216E7102"/>
    <w:rsid w:val="21700CBC"/>
    <w:rsid w:val="21742292"/>
    <w:rsid w:val="217671A6"/>
    <w:rsid w:val="218928E7"/>
    <w:rsid w:val="21A734D8"/>
    <w:rsid w:val="21DA4D44"/>
    <w:rsid w:val="21DF6DEE"/>
    <w:rsid w:val="21EC7417"/>
    <w:rsid w:val="22044B66"/>
    <w:rsid w:val="22161E2A"/>
    <w:rsid w:val="221B370C"/>
    <w:rsid w:val="222F41EB"/>
    <w:rsid w:val="223207B6"/>
    <w:rsid w:val="22370CEE"/>
    <w:rsid w:val="22631AF5"/>
    <w:rsid w:val="227F6529"/>
    <w:rsid w:val="22BD7457"/>
    <w:rsid w:val="22C0188B"/>
    <w:rsid w:val="22E83BD1"/>
    <w:rsid w:val="22F63916"/>
    <w:rsid w:val="22F8166B"/>
    <w:rsid w:val="22FA5637"/>
    <w:rsid w:val="236C49D9"/>
    <w:rsid w:val="23A71B51"/>
    <w:rsid w:val="23CA17F1"/>
    <w:rsid w:val="23ED5B1A"/>
    <w:rsid w:val="23FC3497"/>
    <w:rsid w:val="23FC7B0B"/>
    <w:rsid w:val="24075D60"/>
    <w:rsid w:val="24167BB0"/>
    <w:rsid w:val="242E2AF5"/>
    <w:rsid w:val="242F7EE0"/>
    <w:rsid w:val="24410458"/>
    <w:rsid w:val="244E3AB0"/>
    <w:rsid w:val="244F40DF"/>
    <w:rsid w:val="245378CD"/>
    <w:rsid w:val="245D127D"/>
    <w:rsid w:val="24627B11"/>
    <w:rsid w:val="24655445"/>
    <w:rsid w:val="246B4C91"/>
    <w:rsid w:val="24756E66"/>
    <w:rsid w:val="249F276C"/>
    <w:rsid w:val="24C02092"/>
    <w:rsid w:val="24C36910"/>
    <w:rsid w:val="24C40875"/>
    <w:rsid w:val="24CF6705"/>
    <w:rsid w:val="24D11CBA"/>
    <w:rsid w:val="24F65B33"/>
    <w:rsid w:val="24F66C50"/>
    <w:rsid w:val="24FD3846"/>
    <w:rsid w:val="250D0222"/>
    <w:rsid w:val="25237165"/>
    <w:rsid w:val="252C57A1"/>
    <w:rsid w:val="254B3E79"/>
    <w:rsid w:val="255319AC"/>
    <w:rsid w:val="255A7841"/>
    <w:rsid w:val="255B6AB3"/>
    <w:rsid w:val="25627872"/>
    <w:rsid w:val="256A7C38"/>
    <w:rsid w:val="25754019"/>
    <w:rsid w:val="25806A3A"/>
    <w:rsid w:val="25915CC7"/>
    <w:rsid w:val="25930B29"/>
    <w:rsid w:val="25971605"/>
    <w:rsid w:val="259C3D0D"/>
    <w:rsid w:val="259D70CC"/>
    <w:rsid w:val="25B3069D"/>
    <w:rsid w:val="25CC2FCE"/>
    <w:rsid w:val="25EC667D"/>
    <w:rsid w:val="25FA05EE"/>
    <w:rsid w:val="25FC0AB9"/>
    <w:rsid w:val="26040EF9"/>
    <w:rsid w:val="260907CC"/>
    <w:rsid w:val="260B2287"/>
    <w:rsid w:val="26154EB4"/>
    <w:rsid w:val="26371B51"/>
    <w:rsid w:val="263D6103"/>
    <w:rsid w:val="265B08A2"/>
    <w:rsid w:val="265F14BF"/>
    <w:rsid w:val="267B565F"/>
    <w:rsid w:val="267B6590"/>
    <w:rsid w:val="26964247"/>
    <w:rsid w:val="269875C4"/>
    <w:rsid w:val="269D1E44"/>
    <w:rsid w:val="26A768F9"/>
    <w:rsid w:val="26AD32BB"/>
    <w:rsid w:val="26C132F6"/>
    <w:rsid w:val="26CA64B0"/>
    <w:rsid w:val="26D02A8A"/>
    <w:rsid w:val="26F36550"/>
    <w:rsid w:val="26F46748"/>
    <w:rsid w:val="26FD52BD"/>
    <w:rsid w:val="2700193B"/>
    <w:rsid w:val="271C42F6"/>
    <w:rsid w:val="271F1091"/>
    <w:rsid w:val="272D6CDB"/>
    <w:rsid w:val="272F377A"/>
    <w:rsid w:val="27351CB2"/>
    <w:rsid w:val="273D46C2"/>
    <w:rsid w:val="27483067"/>
    <w:rsid w:val="27532158"/>
    <w:rsid w:val="276E1265"/>
    <w:rsid w:val="277F0620"/>
    <w:rsid w:val="27B23302"/>
    <w:rsid w:val="27BE1230"/>
    <w:rsid w:val="27CE017C"/>
    <w:rsid w:val="281F6636"/>
    <w:rsid w:val="283267E1"/>
    <w:rsid w:val="283716E3"/>
    <w:rsid w:val="283A5862"/>
    <w:rsid w:val="283D06F2"/>
    <w:rsid w:val="284A5E22"/>
    <w:rsid w:val="286B5CC1"/>
    <w:rsid w:val="288D3427"/>
    <w:rsid w:val="289B3763"/>
    <w:rsid w:val="28A368BB"/>
    <w:rsid w:val="28CF3A55"/>
    <w:rsid w:val="28D948BF"/>
    <w:rsid w:val="28F9286B"/>
    <w:rsid w:val="290E59DA"/>
    <w:rsid w:val="29231FDE"/>
    <w:rsid w:val="294253C5"/>
    <w:rsid w:val="294E4ED0"/>
    <w:rsid w:val="296C711A"/>
    <w:rsid w:val="298F1941"/>
    <w:rsid w:val="298F5898"/>
    <w:rsid w:val="29D56AB0"/>
    <w:rsid w:val="29DB6414"/>
    <w:rsid w:val="2A0C072A"/>
    <w:rsid w:val="2A0D0454"/>
    <w:rsid w:val="2A1F1875"/>
    <w:rsid w:val="2A2342F0"/>
    <w:rsid w:val="2AA653F5"/>
    <w:rsid w:val="2ADD7930"/>
    <w:rsid w:val="2AE705C9"/>
    <w:rsid w:val="2AFE23BA"/>
    <w:rsid w:val="2AFE6B29"/>
    <w:rsid w:val="2B29472C"/>
    <w:rsid w:val="2B2A31B0"/>
    <w:rsid w:val="2B2A38E7"/>
    <w:rsid w:val="2B2F7F3D"/>
    <w:rsid w:val="2B345DDC"/>
    <w:rsid w:val="2B3B360F"/>
    <w:rsid w:val="2B473D61"/>
    <w:rsid w:val="2B937D0B"/>
    <w:rsid w:val="2BB8607B"/>
    <w:rsid w:val="2BBE65D0"/>
    <w:rsid w:val="2BC058C2"/>
    <w:rsid w:val="2BCE6B39"/>
    <w:rsid w:val="2BD71DE7"/>
    <w:rsid w:val="2C301588"/>
    <w:rsid w:val="2C477D91"/>
    <w:rsid w:val="2C586B12"/>
    <w:rsid w:val="2C7964C4"/>
    <w:rsid w:val="2C9100BE"/>
    <w:rsid w:val="2CAA2166"/>
    <w:rsid w:val="2CB73169"/>
    <w:rsid w:val="2CB74EC4"/>
    <w:rsid w:val="2CBA1C4C"/>
    <w:rsid w:val="2CBA67B5"/>
    <w:rsid w:val="2CBD0053"/>
    <w:rsid w:val="2CC23330"/>
    <w:rsid w:val="2CEC2306"/>
    <w:rsid w:val="2CFA3776"/>
    <w:rsid w:val="2D0512DF"/>
    <w:rsid w:val="2D0B5263"/>
    <w:rsid w:val="2D0F4BB9"/>
    <w:rsid w:val="2D182C16"/>
    <w:rsid w:val="2D1C121E"/>
    <w:rsid w:val="2D1C299E"/>
    <w:rsid w:val="2D2D342B"/>
    <w:rsid w:val="2D3B5BE3"/>
    <w:rsid w:val="2D40315E"/>
    <w:rsid w:val="2D4B42A2"/>
    <w:rsid w:val="2D7553A7"/>
    <w:rsid w:val="2D8E211C"/>
    <w:rsid w:val="2DA538B1"/>
    <w:rsid w:val="2DAD0C3B"/>
    <w:rsid w:val="2DC31699"/>
    <w:rsid w:val="2DD05575"/>
    <w:rsid w:val="2DE02914"/>
    <w:rsid w:val="2DE1114B"/>
    <w:rsid w:val="2DF04FC7"/>
    <w:rsid w:val="2DFB52D7"/>
    <w:rsid w:val="2DFD4420"/>
    <w:rsid w:val="2E006668"/>
    <w:rsid w:val="2E074233"/>
    <w:rsid w:val="2E4313F5"/>
    <w:rsid w:val="2E497DF1"/>
    <w:rsid w:val="2E5800EC"/>
    <w:rsid w:val="2E675AE9"/>
    <w:rsid w:val="2E951288"/>
    <w:rsid w:val="2EA11B8C"/>
    <w:rsid w:val="2EBB51DC"/>
    <w:rsid w:val="2EEE2746"/>
    <w:rsid w:val="2EF02962"/>
    <w:rsid w:val="2EF40687"/>
    <w:rsid w:val="2EF57F78"/>
    <w:rsid w:val="2EFC30FB"/>
    <w:rsid w:val="2F0B5C61"/>
    <w:rsid w:val="2F137424"/>
    <w:rsid w:val="2F210D6D"/>
    <w:rsid w:val="2F226D91"/>
    <w:rsid w:val="2F2F4352"/>
    <w:rsid w:val="2F320E86"/>
    <w:rsid w:val="2F50655C"/>
    <w:rsid w:val="2F6241ED"/>
    <w:rsid w:val="2F725125"/>
    <w:rsid w:val="2F784DB2"/>
    <w:rsid w:val="2F963509"/>
    <w:rsid w:val="2F9B5627"/>
    <w:rsid w:val="2FA76B4C"/>
    <w:rsid w:val="2FD17CDB"/>
    <w:rsid w:val="30207380"/>
    <w:rsid w:val="302C79CA"/>
    <w:rsid w:val="303F594F"/>
    <w:rsid w:val="304139A7"/>
    <w:rsid w:val="306851A4"/>
    <w:rsid w:val="306A18C0"/>
    <w:rsid w:val="307B3B60"/>
    <w:rsid w:val="308646DC"/>
    <w:rsid w:val="308F6BF5"/>
    <w:rsid w:val="3094583F"/>
    <w:rsid w:val="30A12166"/>
    <w:rsid w:val="30A92536"/>
    <w:rsid w:val="30AF0589"/>
    <w:rsid w:val="30B71989"/>
    <w:rsid w:val="30BC6033"/>
    <w:rsid w:val="30CA4E30"/>
    <w:rsid w:val="30EA2BF2"/>
    <w:rsid w:val="31226F35"/>
    <w:rsid w:val="31241A91"/>
    <w:rsid w:val="31386098"/>
    <w:rsid w:val="313A291A"/>
    <w:rsid w:val="3148438F"/>
    <w:rsid w:val="31492B5B"/>
    <w:rsid w:val="3166515D"/>
    <w:rsid w:val="3172328C"/>
    <w:rsid w:val="317B29B7"/>
    <w:rsid w:val="318E0026"/>
    <w:rsid w:val="31904CBB"/>
    <w:rsid w:val="31A86B50"/>
    <w:rsid w:val="31BE235F"/>
    <w:rsid w:val="31C33D33"/>
    <w:rsid w:val="31C62DE9"/>
    <w:rsid w:val="31EB2517"/>
    <w:rsid w:val="31F84838"/>
    <w:rsid w:val="321604CA"/>
    <w:rsid w:val="3220252C"/>
    <w:rsid w:val="32204F2F"/>
    <w:rsid w:val="32362D7B"/>
    <w:rsid w:val="323B58DF"/>
    <w:rsid w:val="323F1C36"/>
    <w:rsid w:val="32507DBD"/>
    <w:rsid w:val="325D4BD8"/>
    <w:rsid w:val="32617F82"/>
    <w:rsid w:val="326824B3"/>
    <w:rsid w:val="32963820"/>
    <w:rsid w:val="32A87CEA"/>
    <w:rsid w:val="32B55449"/>
    <w:rsid w:val="32E60B60"/>
    <w:rsid w:val="330F03D7"/>
    <w:rsid w:val="332E558E"/>
    <w:rsid w:val="3330157F"/>
    <w:rsid w:val="33455B8E"/>
    <w:rsid w:val="335F4901"/>
    <w:rsid w:val="33870C71"/>
    <w:rsid w:val="338F179B"/>
    <w:rsid w:val="33A31D51"/>
    <w:rsid w:val="33AD11DA"/>
    <w:rsid w:val="33B50B2C"/>
    <w:rsid w:val="33E67E90"/>
    <w:rsid w:val="33E90048"/>
    <w:rsid w:val="34413B35"/>
    <w:rsid w:val="3449571F"/>
    <w:rsid w:val="34561530"/>
    <w:rsid w:val="345871EC"/>
    <w:rsid w:val="345A08F2"/>
    <w:rsid w:val="3465102C"/>
    <w:rsid w:val="34784029"/>
    <w:rsid w:val="34AD7194"/>
    <w:rsid w:val="34C44675"/>
    <w:rsid w:val="34C957E7"/>
    <w:rsid w:val="34E8621F"/>
    <w:rsid w:val="35025C17"/>
    <w:rsid w:val="35141D1E"/>
    <w:rsid w:val="35167730"/>
    <w:rsid w:val="351D3D85"/>
    <w:rsid w:val="352E4264"/>
    <w:rsid w:val="35395502"/>
    <w:rsid w:val="353E4427"/>
    <w:rsid w:val="35683252"/>
    <w:rsid w:val="358B32FA"/>
    <w:rsid w:val="358C24E4"/>
    <w:rsid w:val="35BA2B74"/>
    <w:rsid w:val="35CD7FCE"/>
    <w:rsid w:val="35D72A77"/>
    <w:rsid w:val="35D756EC"/>
    <w:rsid w:val="35DE5918"/>
    <w:rsid w:val="36263D69"/>
    <w:rsid w:val="363225A5"/>
    <w:rsid w:val="364041CF"/>
    <w:rsid w:val="36426BDA"/>
    <w:rsid w:val="36435A38"/>
    <w:rsid w:val="364779C4"/>
    <w:rsid w:val="364C40BF"/>
    <w:rsid w:val="36572AA4"/>
    <w:rsid w:val="368D6CE8"/>
    <w:rsid w:val="368E4F3A"/>
    <w:rsid w:val="36900A8F"/>
    <w:rsid w:val="36DA5CED"/>
    <w:rsid w:val="36F20269"/>
    <w:rsid w:val="36F72AFB"/>
    <w:rsid w:val="36FF744C"/>
    <w:rsid w:val="3702779A"/>
    <w:rsid w:val="371B0FD4"/>
    <w:rsid w:val="371B2869"/>
    <w:rsid w:val="374210C2"/>
    <w:rsid w:val="37421881"/>
    <w:rsid w:val="374D2804"/>
    <w:rsid w:val="37585548"/>
    <w:rsid w:val="375F0F5A"/>
    <w:rsid w:val="376D2502"/>
    <w:rsid w:val="376F5C45"/>
    <w:rsid w:val="37AB564F"/>
    <w:rsid w:val="37CD3840"/>
    <w:rsid w:val="37F06E53"/>
    <w:rsid w:val="38032EF8"/>
    <w:rsid w:val="380C3143"/>
    <w:rsid w:val="3811436B"/>
    <w:rsid w:val="38120E84"/>
    <w:rsid w:val="38184EE4"/>
    <w:rsid w:val="38190834"/>
    <w:rsid w:val="381F7031"/>
    <w:rsid w:val="383111E3"/>
    <w:rsid w:val="385108F4"/>
    <w:rsid w:val="385D0A6F"/>
    <w:rsid w:val="385E26EA"/>
    <w:rsid w:val="386F2B4A"/>
    <w:rsid w:val="387E4575"/>
    <w:rsid w:val="388750AD"/>
    <w:rsid w:val="389A3776"/>
    <w:rsid w:val="389E074E"/>
    <w:rsid w:val="38C2712E"/>
    <w:rsid w:val="38C95885"/>
    <w:rsid w:val="38CB4227"/>
    <w:rsid w:val="38CF4734"/>
    <w:rsid w:val="38F6196D"/>
    <w:rsid w:val="39081AA5"/>
    <w:rsid w:val="39123BB1"/>
    <w:rsid w:val="391B682D"/>
    <w:rsid w:val="39442302"/>
    <w:rsid w:val="395A22DE"/>
    <w:rsid w:val="396E1C6F"/>
    <w:rsid w:val="398561DF"/>
    <w:rsid w:val="398B18B2"/>
    <w:rsid w:val="398D74F1"/>
    <w:rsid w:val="398E6BC8"/>
    <w:rsid w:val="39933350"/>
    <w:rsid w:val="399A53CD"/>
    <w:rsid w:val="39B32F0A"/>
    <w:rsid w:val="39B95EA3"/>
    <w:rsid w:val="39BE5B37"/>
    <w:rsid w:val="39CE726D"/>
    <w:rsid w:val="39FC7BE4"/>
    <w:rsid w:val="3A0E12F6"/>
    <w:rsid w:val="3A150E8C"/>
    <w:rsid w:val="3A1E5D66"/>
    <w:rsid w:val="3A1E65D5"/>
    <w:rsid w:val="3A3A218C"/>
    <w:rsid w:val="3A3F6AEA"/>
    <w:rsid w:val="3A4C6EDA"/>
    <w:rsid w:val="3A5E23D3"/>
    <w:rsid w:val="3A7D07EB"/>
    <w:rsid w:val="3A7E0E22"/>
    <w:rsid w:val="3A836438"/>
    <w:rsid w:val="3A8E184B"/>
    <w:rsid w:val="3A901E68"/>
    <w:rsid w:val="3AB3567E"/>
    <w:rsid w:val="3AD8021C"/>
    <w:rsid w:val="3ADB6274"/>
    <w:rsid w:val="3AE96BE3"/>
    <w:rsid w:val="3B304344"/>
    <w:rsid w:val="3B4E189F"/>
    <w:rsid w:val="3B5F0C53"/>
    <w:rsid w:val="3B871F58"/>
    <w:rsid w:val="3BA945C4"/>
    <w:rsid w:val="3BBA13D1"/>
    <w:rsid w:val="3BBD1E1E"/>
    <w:rsid w:val="3BC94BB0"/>
    <w:rsid w:val="3BEB1F09"/>
    <w:rsid w:val="3BF05A63"/>
    <w:rsid w:val="3BF6136C"/>
    <w:rsid w:val="3C0A35CD"/>
    <w:rsid w:val="3C0E6554"/>
    <w:rsid w:val="3C0F2B69"/>
    <w:rsid w:val="3C2F2BD2"/>
    <w:rsid w:val="3C355C6E"/>
    <w:rsid w:val="3C3A521C"/>
    <w:rsid w:val="3C790C67"/>
    <w:rsid w:val="3CA418A1"/>
    <w:rsid w:val="3CA52FC0"/>
    <w:rsid w:val="3CE77152"/>
    <w:rsid w:val="3D1431BF"/>
    <w:rsid w:val="3D22462E"/>
    <w:rsid w:val="3D3567E2"/>
    <w:rsid w:val="3D3D6563"/>
    <w:rsid w:val="3D472B15"/>
    <w:rsid w:val="3D536596"/>
    <w:rsid w:val="3D5A7364"/>
    <w:rsid w:val="3D6D1FD5"/>
    <w:rsid w:val="3D7A7FC6"/>
    <w:rsid w:val="3D7B2ACB"/>
    <w:rsid w:val="3D840E45"/>
    <w:rsid w:val="3D842A28"/>
    <w:rsid w:val="3D8547E8"/>
    <w:rsid w:val="3D8A664E"/>
    <w:rsid w:val="3D9C5762"/>
    <w:rsid w:val="3DA73750"/>
    <w:rsid w:val="3DAD1DAB"/>
    <w:rsid w:val="3DAF2737"/>
    <w:rsid w:val="3DBA4188"/>
    <w:rsid w:val="3DBD10DF"/>
    <w:rsid w:val="3DD0408A"/>
    <w:rsid w:val="3DD05D5A"/>
    <w:rsid w:val="3DEE1866"/>
    <w:rsid w:val="3E194C24"/>
    <w:rsid w:val="3E2D7760"/>
    <w:rsid w:val="3E2E0DB1"/>
    <w:rsid w:val="3E32588A"/>
    <w:rsid w:val="3E3852D2"/>
    <w:rsid w:val="3E3C1720"/>
    <w:rsid w:val="3E43485C"/>
    <w:rsid w:val="3E554590"/>
    <w:rsid w:val="3E586144"/>
    <w:rsid w:val="3E6C262F"/>
    <w:rsid w:val="3E7D413D"/>
    <w:rsid w:val="3E8C5793"/>
    <w:rsid w:val="3EB53AF7"/>
    <w:rsid w:val="3EC3293B"/>
    <w:rsid w:val="3ECE25F7"/>
    <w:rsid w:val="3EDD0730"/>
    <w:rsid w:val="3EE047D6"/>
    <w:rsid w:val="3EF041EC"/>
    <w:rsid w:val="3F00249A"/>
    <w:rsid w:val="3F027CF9"/>
    <w:rsid w:val="3F03223E"/>
    <w:rsid w:val="3F0A27EB"/>
    <w:rsid w:val="3F3146B5"/>
    <w:rsid w:val="3F496374"/>
    <w:rsid w:val="3F504BCE"/>
    <w:rsid w:val="3F5E240D"/>
    <w:rsid w:val="3F8666AF"/>
    <w:rsid w:val="3F8909C6"/>
    <w:rsid w:val="3F95362A"/>
    <w:rsid w:val="3F964E60"/>
    <w:rsid w:val="3F9F3D14"/>
    <w:rsid w:val="3FA330D9"/>
    <w:rsid w:val="3FCA1F0B"/>
    <w:rsid w:val="3FD56676"/>
    <w:rsid w:val="3FDD65EB"/>
    <w:rsid w:val="3FED2FEE"/>
    <w:rsid w:val="402315F2"/>
    <w:rsid w:val="402A3076"/>
    <w:rsid w:val="40640ABA"/>
    <w:rsid w:val="40734C2D"/>
    <w:rsid w:val="407A02DD"/>
    <w:rsid w:val="40BC08F6"/>
    <w:rsid w:val="40CE366E"/>
    <w:rsid w:val="40E26F98"/>
    <w:rsid w:val="40F32F68"/>
    <w:rsid w:val="40F606B2"/>
    <w:rsid w:val="41203406"/>
    <w:rsid w:val="412151C2"/>
    <w:rsid w:val="41240D7A"/>
    <w:rsid w:val="412A5860"/>
    <w:rsid w:val="413D2771"/>
    <w:rsid w:val="41523008"/>
    <w:rsid w:val="416071C4"/>
    <w:rsid w:val="417D1202"/>
    <w:rsid w:val="418136EC"/>
    <w:rsid w:val="41896292"/>
    <w:rsid w:val="41A67FDD"/>
    <w:rsid w:val="41A94DA2"/>
    <w:rsid w:val="41E37814"/>
    <w:rsid w:val="41EC520B"/>
    <w:rsid w:val="42101652"/>
    <w:rsid w:val="422821A8"/>
    <w:rsid w:val="427373D7"/>
    <w:rsid w:val="42AB32A0"/>
    <w:rsid w:val="42B501A7"/>
    <w:rsid w:val="42B6688B"/>
    <w:rsid w:val="42D737C5"/>
    <w:rsid w:val="42DE49E6"/>
    <w:rsid w:val="42F86C64"/>
    <w:rsid w:val="431241DB"/>
    <w:rsid w:val="431F5E21"/>
    <w:rsid w:val="43393162"/>
    <w:rsid w:val="434774ED"/>
    <w:rsid w:val="43642335"/>
    <w:rsid w:val="43C04259"/>
    <w:rsid w:val="43C57C35"/>
    <w:rsid w:val="43EF4A1A"/>
    <w:rsid w:val="43F12FEC"/>
    <w:rsid w:val="44017938"/>
    <w:rsid w:val="440773D8"/>
    <w:rsid w:val="440B61AF"/>
    <w:rsid w:val="441A605F"/>
    <w:rsid w:val="441C6381"/>
    <w:rsid w:val="44254A04"/>
    <w:rsid w:val="44332C7D"/>
    <w:rsid w:val="44384737"/>
    <w:rsid w:val="445D7628"/>
    <w:rsid w:val="44670B79"/>
    <w:rsid w:val="447F1B4C"/>
    <w:rsid w:val="4489238D"/>
    <w:rsid w:val="44B45CB9"/>
    <w:rsid w:val="44C62A50"/>
    <w:rsid w:val="44CC2A04"/>
    <w:rsid w:val="44CD6220"/>
    <w:rsid w:val="44DB2CD5"/>
    <w:rsid w:val="44DF5CFB"/>
    <w:rsid w:val="45132AAF"/>
    <w:rsid w:val="455E3D2A"/>
    <w:rsid w:val="456F1071"/>
    <w:rsid w:val="45794BDE"/>
    <w:rsid w:val="458B1F8E"/>
    <w:rsid w:val="45913BAE"/>
    <w:rsid w:val="459C299A"/>
    <w:rsid w:val="459E1B67"/>
    <w:rsid w:val="45C3390E"/>
    <w:rsid w:val="45E05087"/>
    <w:rsid w:val="45E5269D"/>
    <w:rsid w:val="45F951D2"/>
    <w:rsid w:val="4628120A"/>
    <w:rsid w:val="462D08CE"/>
    <w:rsid w:val="46960951"/>
    <w:rsid w:val="46CC0B4B"/>
    <w:rsid w:val="46D10B96"/>
    <w:rsid w:val="46D12099"/>
    <w:rsid w:val="46D538AA"/>
    <w:rsid w:val="46DA7D28"/>
    <w:rsid w:val="46DE2657"/>
    <w:rsid w:val="46E2098A"/>
    <w:rsid w:val="46E32B1C"/>
    <w:rsid w:val="46E831FF"/>
    <w:rsid w:val="46EA1427"/>
    <w:rsid w:val="46EB6657"/>
    <w:rsid w:val="470152B5"/>
    <w:rsid w:val="472D16BA"/>
    <w:rsid w:val="47360BFD"/>
    <w:rsid w:val="47460F19"/>
    <w:rsid w:val="474C19FD"/>
    <w:rsid w:val="474D31B4"/>
    <w:rsid w:val="476447B7"/>
    <w:rsid w:val="479C0AC8"/>
    <w:rsid w:val="479E3A26"/>
    <w:rsid w:val="479F5C68"/>
    <w:rsid w:val="47B03BA9"/>
    <w:rsid w:val="47B24801"/>
    <w:rsid w:val="47B27EE7"/>
    <w:rsid w:val="47BE64ED"/>
    <w:rsid w:val="47C013B0"/>
    <w:rsid w:val="47F565AD"/>
    <w:rsid w:val="4808052D"/>
    <w:rsid w:val="48123849"/>
    <w:rsid w:val="481D4885"/>
    <w:rsid w:val="483331BB"/>
    <w:rsid w:val="484C6120"/>
    <w:rsid w:val="48702567"/>
    <w:rsid w:val="48775FDD"/>
    <w:rsid w:val="487B5471"/>
    <w:rsid w:val="488A3088"/>
    <w:rsid w:val="48AB4607"/>
    <w:rsid w:val="48B3589C"/>
    <w:rsid w:val="48C60D29"/>
    <w:rsid w:val="48C76DAE"/>
    <w:rsid w:val="48C87F0E"/>
    <w:rsid w:val="48D44131"/>
    <w:rsid w:val="48F03548"/>
    <w:rsid w:val="48F43B42"/>
    <w:rsid w:val="49226017"/>
    <w:rsid w:val="492405FC"/>
    <w:rsid w:val="49267254"/>
    <w:rsid w:val="493F41BC"/>
    <w:rsid w:val="494E2307"/>
    <w:rsid w:val="495309E8"/>
    <w:rsid w:val="495D5333"/>
    <w:rsid w:val="49611E51"/>
    <w:rsid w:val="496D4E83"/>
    <w:rsid w:val="49725FF6"/>
    <w:rsid w:val="49762087"/>
    <w:rsid w:val="498126DD"/>
    <w:rsid w:val="49B270DC"/>
    <w:rsid w:val="49B900C8"/>
    <w:rsid w:val="49E63467"/>
    <w:rsid w:val="49E94BC3"/>
    <w:rsid w:val="49ED27EE"/>
    <w:rsid w:val="49FC0ACA"/>
    <w:rsid w:val="4A007AA5"/>
    <w:rsid w:val="4A080708"/>
    <w:rsid w:val="4A0C11FC"/>
    <w:rsid w:val="4A143551"/>
    <w:rsid w:val="4A394D65"/>
    <w:rsid w:val="4A3A1243"/>
    <w:rsid w:val="4A4C4A99"/>
    <w:rsid w:val="4A5D0B56"/>
    <w:rsid w:val="4A635E5A"/>
    <w:rsid w:val="4A6A141F"/>
    <w:rsid w:val="4A6C513B"/>
    <w:rsid w:val="4A8835F7"/>
    <w:rsid w:val="4AB61CA3"/>
    <w:rsid w:val="4ACF2AA9"/>
    <w:rsid w:val="4AD538CF"/>
    <w:rsid w:val="4AD854AB"/>
    <w:rsid w:val="4AEB42B2"/>
    <w:rsid w:val="4B31231A"/>
    <w:rsid w:val="4B3316C7"/>
    <w:rsid w:val="4B475260"/>
    <w:rsid w:val="4B711F3D"/>
    <w:rsid w:val="4B7464E2"/>
    <w:rsid w:val="4BC744BC"/>
    <w:rsid w:val="4BE45933"/>
    <w:rsid w:val="4C0B6E28"/>
    <w:rsid w:val="4C26588A"/>
    <w:rsid w:val="4C2D08FA"/>
    <w:rsid w:val="4C2F4672"/>
    <w:rsid w:val="4C465592"/>
    <w:rsid w:val="4C467C13"/>
    <w:rsid w:val="4C4C64EA"/>
    <w:rsid w:val="4C547605"/>
    <w:rsid w:val="4C7B597E"/>
    <w:rsid w:val="4C7F279A"/>
    <w:rsid w:val="4C8976D4"/>
    <w:rsid w:val="4CAD3D8E"/>
    <w:rsid w:val="4CBC66CA"/>
    <w:rsid w:val="4CC02D87"/>
    <w:rsid w:val="4CC13419"/>
    <w:rsid w:val="4CFF2F8E"/>
    <w:rsid w:val="4D0258E3"/>
    <w:rsid w:val="4D297313"/>
    <w:rsid w:val="4D347577"/>
    <w:rsid w:val="4D3A32CE"/>
    <w:rsid w:val="4D537EEC"/>
    <w:rsid w:val="4D720CBA"/>
    <w:rsid w:val="4D7B563C"/>
    <w:rsid w:val="4DA70D89"/>
    <w:rsid w:val="4DBC743D"/>
    <w:rsid w:val="4DCF13D9"/>
    <w:rsid w:val="4DD27D5A"/>
    <w:rsid w:val="4DD454D1"/>
    <w:rsid w:val="4DE374C2"/>
    <w:rsid w:val="4DF94646"/>
    <w:rsid w:val="4DFB1507"/>
    <w:rsid w:val="4E0D09E3"/>
    <w:rsid w:val="4E10260A"/>
    <w:rsid w:val="4E121882"/>
    <w:rsid w:val="4E1D7181"/>
    <w:rsid w:val="4E1E499E"/>
    <w:rsid w:val="4E406939"/>
    <w:rsid w:val="4E413FF4"/>
    <w:rsid w:val="4E5E4D9B"/>
    <w:rsid w:val="4E6928D3"/>
    <w:rsid w:val="4E710F72"/>
    <w:rsid w:val="4E936D6F"/>
    <w:rsid w:val="4EAB0B37"/>
    <w:rsid w:val="4EBB6D1F"/>
    <w:rsid w:val="4EBB70DD"/>
    <w:rsid w:val="4EBC759E"/>
    <w:rsid w:val="4EC217CD"/>
    <w:rsid w:val="4ED60D1A"/>
    <w:rsid w:val="4F0E76AE"/>
    <w:rsid w:val="4F161D18"/>
    <w:rsid w:val="4F277882"/>
    <w:rsid w:val="4F2C3D19"/>
    <w:rsid w:val="4F534F66"/>
    <w:rsid w:val="4F55619D"/>
    <w:rsid w:val="4FA83498"/>
    <w:rsid w:val="4FA91CF4"/>
    <w:rsid w:val="4FB54E8E"/>
    <w:rsid w:val="4FC449F6"/>
    <w:rsid w:val="4FD07F1A"/>
    <w:rsid w:val="4FDF2E8D"/>
    <w:rsid w:val="4FEE214E"/>
    <w:rsid w:val="4FF43C08"/>
    <w:rsid w:val="502130D8"/>
    <w:rsid w:val="502A1CA9"/>
    <w:rsid w:val="5051109B"/>
    <w:rsid w:val="5058622A"/>
    <w:rsid w:val="505E36C5"/>
    <w:rsid w:val="505F0470"/>
    <w:rsid w:val="509278DE"/>
    <w:rsid w:val="50964CC0"/>
    <w:rsid w:val="50AC0FE9"/>
    <w:rsid w:val="50C06161"/>
    <w:rsid w:val="50C21A98"/>
    <w:rsid w:val="50E90560"/>
    <w:rsid w:val="50F70A6B"/>
    <w:rsid w:val="50F814D6"/>
    <w:rsid w:val="51051801"/>
    <w:rsid w:val="5119199D"/>
    <w:rsid w:val="51270A29"/>
    <w:rsid w:val="51305EB2"/>
    <w:rsid w:val="514069D9"/>
    <w:rsid w:val="5145540F"/>
    <w:rsid w:val="514C3315"/>
    <w:rsid w:val="51786AF6"/>
    <w:rsid w:val="519413C5"/>
    <w:rsid w:val="519C4558"/>
    <w:rsid w:val="51B55619"/>
    <w:rsid w:val="51B80C66"/>
    <w:rsid w:val="51C664E2"/>
    <w:rsid w:val="51CE6E35"/>
    <w:rsid w:val="51D43763"/>
    <w:rsid w:val="51DF2696"/>
    <w:rsid w:val="520956F9"/>
    <w:rsid w:val="522F050F"/>
    <w:rsid w:val="5232169D"/>
    <w:rsid w:val="52772C2B"/>
    <w:rsid w:val="52A7330A"/>
    <w:rsid w:val="52C05FBF"/>
    <w:rsid w:val="530603A1"/>
    <w:rsid w:val="53083087"/>
    <w:rsid w:val="530E059C"/>
    <w:rsid w:val="5334256E"/>
    <w:rsid w:val="53387252"/>
    <w:rsid w:val="535B38BF"/>
    <w:rsid w:val="535C236C"/>
    <w:rsid w:val="537A2677"/>
    <w:rsid w:val="537D209B"/>
    <w:rsid w:val="538A0D33"/>
    <w:rsid w:val="539179C0"/>
    <w:rsid w:val="539E25B6"/>
    <w:rsid w:val="539F6C2B"/>
    <w:rsid w:val="53A53B48"/>
    <w:rsid w:val="53B8319F"/>
    <w:rsid w:val="53CE2AD8"/>
    <w:rsid w:val="53CE2FB7"/>
    <w:rsid w:val="53D032A0"/>
    <w:rsid w:val="53D847C0"/>
    <w:rsid w:val="53EE7F3A"/>
    <w:rsid w:val="5415478D"/>
    <w:rsid w:val="541802FB"/>
    <w:rsid w:val="543B310E"/>
    <w:rsid w:val="54554E92"/>
    <w:rsid w:val="54636158"/>
    <w:rsid w:val="546B15C3"/>
    <w:rsid w:val="546D0D9C"/>
    <w:rsid w:val="548230BE"/>
    <w:rsid w:val="548971B1"/>
    <w:rsid w:val="549E23BA"/>
    <w:rsid w:val="54AC438C"/>
    <w:rsid w:val="54C2282D"/>
    <w:rsid w:val="54C90416"/>
    <w:rsid w:val="54EC2DB6"/>
    <w:rsid w:val="55004DFD"/>
    <w:rsid w:val="551E1ADA"/>
    <w:rsid w:val="5531078C"/>
    <w:rsid w:val="5537739B"/>
    <w:rsid w:val="553D1BAE"/>
    <w:rsid w:val="554845EA"/>
    <w:rsid w:val="554E608A"/>
    <w:rsid w:val="555D5DAC"/>
    <w:rsid w:val="5561087C"/>
    <w:rsid w:val="559A7000"/>
    <w:rsid w:val="55B560DD"/>
    <w:rsid w:val="55BF280C"/>
    <w:rsid w:val="55F06C17"/>
    <w:rsid w:val="5605308A"/>
    <w:rsid w:val="56113A87"/>
    <w:rsid w:val="56350A46"/>
    <w:rsid w:val="563F478D"/>
    <w:rsid w:val="56567884"/>
    <w:rsid w:val="565C2507"/>
    <w:rsid w:val="569362AA"/>
    <w:rsid w:val="569972B8"/>
    <w:rsid w:val="56B06FB1"/>
    <w:rsid w:val="56BD159E"/>
    <w:rsid w:val="56C43C09"/>
    <w:rsid w:val="56F375EA"/>
    <w:rsid w:val="56FA587C"/>
    <w:rsid w:val="57353C41"/>
    <w:rsid w:val="57400AB9"/>
    <w:rsid w:val="57475789"/>
    <w:rsid w:val="574F1AEE"/>
    <w:rsid w:val="57783371"/>
    <w:rsid w:val="578810DA"/>
    <w:rsid w:val="579D6934"/>
    <w:rsid w:val="57B41ECF"/>
    <w:rsid w:val="57B95F61"/>
    <w:rsid w:val="57D53DE3"/>
    <w:rsid w:val="57E32834"/>
    <w:rsid w:val="580D1BC9"/>
    <w:rsid w:val="580D26DE"/>
    <w:rsid w:val="580D3184"/>
    <w:rsid w:val="58311496"/>
    <w:rsid w:val="587A3DEE"/>
    <w:rsid w:val="5885697E"/>
    <w:rsid w:val="58A13AA3"/>
    <w:rsid w:val="58A72EF0"/>
    <w:rsid w:val="58D34740"/>
    <w:rsid w:val="58DC0099"/>
    <w:rsid w:val="58E379C5"/>
    <w:rsid w:val="58EB3605"/>
    <w:rsid w:val="58FA1178"/>
    <w:rsid w:val="59015D46"/>
    <w:rsid w:val="590B4B61"/>
    <w:rsid w:val="590D1D3E"/>
    <w:rsid w:val="591F1CA5"/>
    <w:rsid w:val="59316B6C"/>
    <w:rsid w:val="593A620B"/>
    <w:rsid w:val="5943175D"/>
    <w:rsid w:val="59716B4D"/>
    <w:rsid w:val="5974034C"/>
    <w:rsid w:val="599A5D5C"/>
    <w:rsid w:val="599D0EEF"/>
    <w:rsid w:val="59A03742"/>
    <w:rsid w:val="59B259A0"/>
    <w:rsid w:val="59C33199"/>
    <w:rsid w:val="59E4777F"/>
    <w:rsid w:val="5A2C6874"/>
    <w:rsid w:val="5A421A14"/>
    <w:rsid w:val="5A622A8C"/>
    <w:rsid w:val="5A78014E"/>
    <w:rsid w:val="5A7A741D"/>
    <w:rsid w:val="5A9239D4"/>
    <w:rsid w:val="5A96530F"/>
    <w:rsid w:val="5A96692C"/>
    <w:rsid w:val="5A9A6F13"/>
    <w:rsid w:val="5AE62F54"/>
    <w:rsid w:val="5AFD28F5"/>
    <w:rsid w:val="5B03626F"/>
    <w:rsid w:val="5B2743CA"/>
    <w:rsid w:val="5B277369"/>
    <w:rsid w:val="5B372BFB"/>
    <w:rsid w:val="5B587122"/>
    <w:rsid w:val="5B7006C8"/>
    <w:rsid w:val="5B7D2FEF"/>
    <w:rsid w:val="5B7E42FC"/>
    <w:rsid w:val="5BB458F3"/>
    <w:rsid w:val="5BBA55DA"/>
    <w:rsid w:val="5BCA1870"/>
    <w:rsid w:val="5BDD2B45"/>
    <w:rsid w:val="5BEA4202"/>
    <w:rsid w:val="5BF076FD"/>
    <w:rsid w:val="5BF3746A"/>
    <w:rsid w:val="5C1908DF"/>
    <w:rsid w:val="5C2A3D47"/>
    <w:rsid w:val="5C353D98"/>
    <w:rsid w:val="5C3A24C1"/>
    <w:rsid w:val="5C4B74E7"/>
    <w:rsid w:val="5C4C31E1"/>
    <w:rsid w:val="5C5925DD"/>
    <w:rsid w:val="5C6E4D42"/>
    <w:rsid w:val="5CA574D6"/>
    <w:rsid w:val="5CAE3391"/>
    <w:rsid w:val="5CEA0B49"/>
    <w:rsid w:val="5D003511"/>
    <w:rsid w:val="5D1C197C"/>
    <w:rsid w:val="5D1D4073"/>
    <w:rsid w:val="5D1E0A15"/>
    <w:rsid w:val="5D3031BF"/>
    <w:rsid w:val="5D4761E3"/>
    <w:rsid w:val="5D537A94"/>
    <w:rsid w:val="5D55229A"/>
    <w:rsid w:val="5D5932FD"/>
    <w:rsid w:val="5D857C5A"/>
    <w:rsid w:val="5DA94806"/>
    <w:rsid w:val="5DA960F7"/>
    <w:rsid w:val="5DB87E00"/>
    <w:rsid w:val="5DD60DF1"/>
    <w:rsid w:val="5DE664AF"/>
    <w:rsid w:val="5E100706"/>
    <w:rsid w:val="5E1436C8"/>
    <w:rsid w:val="5E2247F3"/>
    <w:rsid w:val="5E322D95"/>
    <w:rsid w:val="5E47553D"/>
    <w:rsid w:val="5EA35706"/>
    <w:rsid w:val="5EAC7F4D"/>
    <w:rsid w:val="5EB735EC"/>
    <w:rsid w:val="5EB80AB4"/>
    <w:rsid w:val="5EEA70AD"/>
    <w:rsid w:val="5EF62DDD"/>
    <w:rsid w:val="5F0B6AB7"/>
    <w:rsid w:val="5F104B12"/>
    <w:rsid w:val="5F124D5E"/>
    <w:rsid w:val="5F190CA3"/>
    <w:rsid w:val="5F277BE4"/>
    <w:rsid w:val="5F2E401C"/>
    <w:rsid w:val="5F381638"/>
    <w:rsid w:val="5F420D99"/>
    <w:rsid w:val="5F4B136B"/>
    <w:rsid w:val="5F5A377D"/>
    <w:rsid w:val="5F731BB4"/>
    <w:rsid w:val="5F77485B"/>
    <w:rsid w:val="5F9469FC"/>
    <w:rsid w:val="5FBA11B0"/>
    <w:rsid w:val="5FCF3BF2"/>
    <w:rsid w:val="5FD41360"/>
    <w:rsid w:val="5FD44EBD"/>
    <w:rsid w:val="5FE32B93"/>
    <w:rsid w:val="5FF73135"/>
    <w:rsid w:val="5FF732A1"/>
    <w:rsid w:val="5FFE462F"/>
    <w:rsid w:val="60143E69"/>
    <w:rsid w:val="60304E5E"/>
    <w:rsid w:val="604A517F"/>
    <w:rsid w:val="60687CFB"/>
    <w:rsid w:val="6072602C"/>
    <w:rsid w:val="60773A41"/>
    <w:rsid w:val="6093187E"/>
    <w:rsid w:val="609A6E5E"/>
    <w:rsid w:val="60A725D1"/>
    <w:rsid w:val="60A7313F"/>
    <w:rsid w:val="60AA0313"/>
    <w:rsid w:val="60B51DE0"/>
    <w:rsid w:val="60D4713E"/>
    <w:rsid w:val="60EC26DA"/>
    <w:rsid w:val="60EE3012"/>
    <w:rsid w:val="60F373C2"/>
    <w:rsid w:val="61042408"/>
    <w:rsid w:val="61043FDD"/>
    <w:rsid w:val="61077514"/>
    <w:rsid w:val="6118702B"/>
    <w:rsid w:val="61212E10"/>
    <w:rsid w:val="612E3045"/>
    <w:rsid w:val="615649E9"/>
    <w:rsid w:val="617836D6"/>
    <w:rsid w:val="618E75B4"/>
    <w:rsid w:val="61B66726"/>
    <w:rsid w:val="61BF394A"/>
    <w:rsid w:val="61CE4992"/>
    <w:rsid w:val="61CF0031"/>
    <w:rsid w:val="61D961BA"/>
    <w:rsid w:val="61DE64C6"/>
    <w:rsid w:val="61DF0A47"/>
    <w:rsid w:val="61E0223F"/>
    <w:rsid w:val="61E25EC7"/>
    <w:rsid w:val="61F3292C"/>
    <w:rsid w:val="61F5736C"/>
    <w:rsid w:val="61FB6A67"/>
    <w:rsid w:val="61FD64B9"/>
    <w:rsid w:val="620D0B5A"/>
    <w:rsid w:val="621544FA"/>
    <w:rsid w:val="622540F5"/>
    <w:rsid w:val="62350AD4"/>
    <w:rsid w:val="6243457B"/>
    <w:rsid w:val="6249103C"/>
    <w:rsid w:val="625B3673"/>
    <w:rsid w:val="625C563D"/>
    <w:rsid w:val="6275561B"/>
    <w:rsid w:val="62847FA6"/>
    <w:rsid w:val="62886C4F"/>
    <w:rsid w:val="62A4723F"/>
    <w:rsid w:val="62B80AC5"/>
    <w:rsid w:val="62BE7506"/>
    <w:rsid w:val="62C00CBC"/>
    <w:rsid w:val="62C16D24"/>
    <w:rsid w:val="62E573E1"/>
    <w:rsid w:val="62E92D1D"/>
    <w:rsid w:val="62EE2771"/>
    <w:rsid w:val="62FC5875"/>
    <w:rsid w:val="62FD3964"/>
    <w:rsid w:val="6320267D"/>
    <w:rsid w:val="632655D5"/>
    <w:rsid w:val="6349734A"/>
    <w:rsid w:val="634E0016"/>
    <w:rsid w:val="634F0EFE"/>
    <w:rsid w:val="638A6BCC"/>
    <w:rsid w:val="63B86CDB"/>
    <w:rsid w:val="63BA2A95"/>
    <w:rsid w:val="63CA68BC"/>
    <w:rsid w:val="640B731B"/>
    <w:rsid w:val="641247FB"/>
    <w:rsid w:val="643155D7"/>
    <w:rsid w:val="64373C6C"/>
    <w:rsid w:val="643C6864"/>
    <w:rsid w:val="644363D5"/>
    <w:rsid w:val="6445534E"/>
    <w:rsid w:val="645A62C2"/>
    <w:rsid w:val="64746C6E"/>
    <w:rsid w:val="64A55606"/>
    <w:rsid w:val="64C172EE"/>
    <w:rsid w:val="64F84CD8"/>
    <w:rsid w:val="650661CD"/>
    <w:rsid w:val="651F674A"/>
    <w:rsid w:val="652060DB"/>
    <w:rsid w:val="652C6F14"/>
    <w:rsid w:val="652C706E"/>
    <w:rsid w:val="652F7039"/>
    <w:rsid w:val="653F0904"/>
    <w:rsid w:val="655D188E"/>
    <w:rsid w:val="65641774"/>
    <w:rsid w:val="658A426F"/>
    <w:rsid w:val="658E1968"/>
    <w:rsid w:val="658E3D60"/>
    <w:rsid w:val="659E5744"/>
    <w:rsid w:val="65A05841"/>
    <w:rsid w:val="65A53714"/>
    <w:rsid w:val="65A80CA8"/>
    <w:rsid w:val="65AE3962"/>
    <w:rsid w:val="65AE7B04"/>
    <w:rsid w:val="65B8195F"/>
    <w:rsid w:val="65C12D12"/>
    <w:rsid w:val="65C3465D"/>
    <w:rsid w:val="65D047D8"/>
    <w:rsid w:val="65DA5CF8"/>
    <w:rsid w:val="6611663A"/>
    <w:rsid w:val="66170653"/>
    <w:rsid w:val="6623094C"/>
    <w:rsid w:val="662D1A16"/>
    <w:rsid w:val="6632338A"/>
    <w:rsid w:val="663E3EC9"/>
    <w:rsid w:val="66421D7B"/>
    <w:rsid w:val="66486604"/>
    <w:rsid w:val="664F4309"/>
    <w:rsid w:val="6650370B"/>
    <w:rsid w:val="66740BCE"/>
    <w:rsid w:val="66904FDD"/>
    <w:rsid w:val="669941AC"/>
    <w:rsid w:val="66B45E9B"/>
    <w:rsid w:val="66BC428C"/>
    <w:rsid w:val="66C53FA5"/>
    <w:rsid w:val="66CA75A2"/>
    <w:rsid w:val="66D439F4"/>
    <w:rsid w:val="66D52386"/>
    <w:rsid w:val="66EC51E2"/>
    <w:rsid w:val="66F11AE8"/>
    <w:rsid w:val="66FC3FF8"/>
    <w:rsid w:val="67077DE5"/>
    <w:rsid w:val="671E3634"/>
    <w:rsid w:val="671E6E81"/>
    <w:rsid w:val="672524A2"/>
    <w:rsid w:val="67492F49"/>
    <w:rsid w:val="675A65EF"/>
    <w:rsid w:val="678307A7"/>
    <w:rsid w:val="67830B47"/>
    <w:rsid w:val="678715CB"/>
    <w:rsid w:val="67887F27"/>
    <w:rsid w:val="678A271B"/>
    <w:rsid w:val="67902011"/>
    <w:rsid w:val="679403C3"/>
    <w:rsid w:val="67AA2FB1"/>
    <w:rsid w:val="67AE5C12"/>
    <w:rsid w:val="67D0240D"/>
    <w:rsid w:val="67D0463A"/>
    <w:rsid w:val="67FC1454"/>
    <w:rsid w:val="6808436D"/>
    <w:rsid w:val="680A1785"/>
    <w:rsid w:val="680D710B"/>
    <w:rsid w:val="681C6479"/>
    <w:rsid w:val="68214A21"/>
    <w:rsid w:val="6828575F"/>
    <w:rsid w:val="682B117C"/>
    <w:rsid w:val="683C6682"/>
    <w:rsid w:val="684626D0"/>
    <w:rsid w:val="68612A41"/>
    <w:rsid w:val="6866786B"/>
    <w:rsid w:val="687522D7"/>
    <w:rsid w:val="687748C0"/>
    <w:rsid w:val="68A8612E"/>
    <w:rsid w:val="68B95313"/>
    <w:rsid w:val="68BE43EC"/>
    <w:rsid w:val="68D53732"/>
    <w:rsid w:val="68EB3277"/>
    <w:rsid w:val="68FB505E"/>
    <w:rsid w:val="69196B15"/>
    <w:rsid w:val="691A4E3E"/>
    <w:rsid w:val="694A61EF"/>
    <w:rsid w:val="695452C0"/>
    <w:rsid w:val="69553B8D"/>
    <w:rsid w:val="696F20FA"/>
    <w:rsid w:val="69B354C7"/>
    <w:rsid w:val="69C61397"/>
    <w:rsid w:val="69D4251F"/>
    <w:rsid w:val="69E55F18"/>
    <w:rsid w:val="69F66377"/>
    <w:rsid w:val="69FA19C4"/>
    <w:rsid w:val="6A141DD1"/>
    <w:rsid w:val="6A162CAB"/>
    <w:rsid w:val="6A2F29BF"/>
    <w:rsid w:val="6A3264C7"/>
    <w:rsid w:val="6A5B5989"/>
    <w:rsid w:val="6A786389"/>
    <w:rsid w:val="6A7A782A"/>
    <w:rsid w:val="6A844405"/>
    <w:rsid w:val="6A905B89"/>
    <w:rsid w:val="6A966348"/>
    <w:rsid w:val="6A974C10"/>
    <w:rsid w:val="6AA036F7"/>
    <w:rsid w:val="6AA05738"/>
    <w:rsid w:val="6AAB53B4"/>
    <w:rsid w:val="6AAB7162"/>
    <w:rsid w:val="6AAC22AA"/>
    <w:rsid w:val="6AEA7C8A"/>
    <w:rsid w:val="6B4C255C"/>
    <w:rsid w:val="6B541A1D"/>
    <w:rsid w:val="6B670466"/>
    <w:rsid w:val="6B7834E8"/>
    <w:rsid w:val="6B8579B3"/>
    <w:rsid w:val="6B915961"/>
    <w:rsid w:val="6B924F89"/>
    <w:rsid w:val="6B994C75"/>
    <w:rsid w:val="6BE7789C"/>
    <w:rsid w:val="6BF9229B"/>
    <w:rsid w:val="6C07486C"/>
    <w:rsid w:val="6C134FBF"/>
    <w:rsid w:val="6C244AC8"/>
    <w:rsid w:val="6C3718DD"/>
    <w:rsid w:val="6C3B6074"/>
    <w:rsid w:val="6C4C5E04"/>
    <w:rsid w:val="6C550A5C"/>
    <w:rsid w:val="6C57134F"/>
    <w:rsid w:val="6C5A4184"/>
    <w:rsid w:val="6C783410"/>
    <w:rsid w:val="6C8835DF"/>
    <w:rsid w:val="6C8E1DB0"/>
    <w:rsid w:val="6C942E12"/>
    <w:rsid w:val="6CA16F18"/>
    <w:rsid w:val="6CA52AB8"/>
    <w:rsid w:val="6CAE2F39"/>
    <w:rsid w:val="6CDA5ADC"/>
    <w:rsid w:val="6CE432DD"/>
    <w:rsid w:val="6CE92885"/>
    <w:rsid w:val="6D0D5EB2"/>
    <w:rsid w:val="6D1511B6"/>
    <w:rsid w:val="6D1B5B49"/>
    <w:rsid w:val="6D242A2F"/>
    <w:rsid w:val="6D30634A"/>
    <w:rsid w:val="6D314CD6"/>
    <w:rsid w:val="6D386A33"/>
    <w:rsid w:val="6D4D672D"/>
    <w:rsid w:val="6D684244"/>
    <w:rsid w:val="6D6F3FED"/>
    <w:rsid w:val="6D77332B"/>
    <w:rsid w:val="6D8258D0"/>
    <w:rsid w:val="6D9D7236"/>
    <w:rsid w:val="6DBC435C"/>
    <w:rsid w:val="6DC3078E"/>
    <w:rsid w:val="6DCC7B1B"/>
    <w:rsid w:val="6DCF3167"/>
    <w:rsid w:val="6DD75847"/>
    <w:rsid w:val="6DD8090F"/>
    <w:rsid w:val="6E0842C1"/>
    <w:rsid w:val="6E097D55"/>
    <w:rsid w:val="6E1E3EDB"/>
    <w:rsid w:val="6E2B153F"/>
    <w:rsid w:val="6E416608"/>
    <w:rsid w:val="6E423F72"/>
    <w:rsid w:val="6E540D08"/>
    <w:rsid w:val="6E552270"/>
    <w:rsid w:val="6E70067F"/>
    <w:rsid w:val="6E75648E"/>
    <w:rsid w:val="6E7D7067"/>
    <w:rsid w:val="6E9D0018"/>
    <w:rsid w:val="6EA46048"/>
    <w:rsid w:val="6EB04D47"/>
    <w:rsid w:val="6EB221E0"/>
    <w:rsid w:val="6EE36ECA"/>
    <w:rsid w:val="6EF25AD3"/>
    <w:rsid w:val="6F0230C8"/>
    <w:rsid w:val="6F1277AF"/>
    <w:rsid w:val="6F4F385D"/>
    <w:rsid w:val="6F585661"/>
    <w:rsid w:val="6F7C64DB"/>
    <w:rsid w:val="6F7E5904"/>
    <w:rsid w:val="6F854425"/>
    <w:rsid w:val="6F865AA7"/>
    <w:rsid w:val="6F8C5938"/>
    <w:rsid w:val="6FAD1E39"/>
    <w:rsid w:val="6FB97C2B"/>
    <w:rsid w:val="6FCA62DC"/>
    <w:rsid w:val="6FCC795E"/>
    <w:rsid w:val="6FCF56A0"/>
    <w:rsid w:val="6FD67088"/>
    <w:rsid w:val="6FE5453E"/>
    <w:rsid w:val="6FF0591F"/>
    <w:rsid w:val="6FF94963"/>
    <w:rsid w:val="6FFD7CFF"/>
    <w:rsid w:val="70051287"/>
    <w:rsid w:val="70217FAD"/>
    <w:rsid w:val="702951B3"/>
    <w:rsid w:val="702C63C5"/>
    <w:rsid w:val="703201EC"/>
    <w:rsid w:val="703B4AE4"/>
    <w:rsid w:val="70457981"/>
    <w:rsid w:val="705032AB"/>
    <w:rsid w:val="705B3F13"/>
    <w:rsid w:val="705F18F5"/>
    <w:rsid w:val="70781894"/>
    <w:rsid w:val="7084648B"/>
    <w:rsid w:val="70917112"/>
    <w:rsid w:val="710650F2"/>
    <w:rsid w:val="710B5494"/>
    <w:rsid w:val="710E21F8"/>
    <w:rsid w:val="7111528C"/>
    <w:rsid w:val="71341C5F"/>
    <w:rsid w:val="71377A0E"/>
    <w:rsid w:val="7139429A"/>
    <w:rsid w:val="71441FE3"/>
    <w:rsid w:val="71522537"/>
    <w:rsid w:val="71557E27"/>
    <w:rsid w:val="715A66C0"/>
    <w:rsid w:val="715C11B6"/>
    <w:rsid w:val="71681B04"/>
    <w:rsid w:val="7169619C"/>
    <w:rsid w:val="71704C61"/>
    <w:rsid w:val="71763060"/>
    <w:rsid w:val="71A62431"/>
    <w:rsid w:val="71B763EC"/>
    <w:rsid w:val="71C64881"/>
    <w:rsid w:val="71CF3736"/>
    <w:rsid w:val="71D055D1"/>
    <w:rsid w:val="71EB746F"/>
    <w:rsid w:val="71F238C8"/>
    <w:rsid w:val="7230229D"/>
    <w:rsid w:val="72391287"/>
    <w:rsid w:val="724203AC"/>
    <w:rsid w:val="724E4FA2"/>
    <w:rsid w:val="725A2814"/>
    <w:rsid w:val="726741A3"/>
    <w:rsid w:val="726A010E"/>
    <w:rsid w:val="7287198D"/>
    <w:rsid w:val="72977EB3"/>
    <w:rsid w:val="729F5B73"/>
    <w:rsid w:val="72A33CBA"/>
    <w:rsid w:val="72B13B4F"/>
    <w:rsid w:val="72B1787C"/>
    <w:rsid w:val="72BA43E6"/>
    <w:rsid w:val="72C2329A"/>
    <w:rsid w:val="72CB65F3"/>
    <w:rsid w:val="72D548A3"/>
    <w:rsid w:val="72D6467B"/>
    <w:rsid w:val="72D8713F"/>
    <w:rsid w:val="72DD2898"/>
    <w:rsid w:val="731824E6"/>
    <w:rsid w:val="733757B2"/>
    <w:rsid w:val="733B34F7"/>
    <w:rsid w:val="733D1410"/>
    <w:rsid w:val="735E459D"/>
    <w:rsid w:val="73726A6F"/>
    <w:rsid w:val="737E0F51"/>
    <w:rsid w:val="738812D9"/>
    <w:rsid w:val="739B2558"/>
    <w:rsid w:val="73A33C22"/>
    <w:rsid w:val="73D56FFD"/>
    <w:rsid w:val="73D62F4B"/>
    <w:rsid w:val="73E53785"/>
    <w:rsid w:val="73F05BE5"/>
    <w:rsid w:val="74047C18"/>
    <w:rsid w:val="740C0C71"/>
    <w:rsid w:val="74123799"/>
    <w:rsid w:val="741A03AB"/>
    <w:rsid w:val="741D2E7E"/>
    <w:rsid w:val="741F7B47"/>
    <w:rsid w:val="7424154F"/>
    <w:rsid w:val="74285B6B"/>
    <w:rsid w:val="74335733"/>
    <w:rsid w:val="743F7244"/>
    <w:rsid w:val="74466440"/>
    <w:rsid w:val="745919DD"/>
    <w:rsid w:val="74701C1A"/>
    <w:rsid w:val="74756912"/>
    <w:rsid w:val="74AA6190"/>
    <w:rsid w:val="74D6471E"/>
    <w:rsid w:val="74D74BBC"/>
    <w:rsid w:val="74DA4663"/>
    <w:rsid w:val="750B376D"/>
    <w:rsid w:val="75100C38"/>
    <w:rsid w:val="75343838"/>
    <w:rsid w:val="75350A53"/>
    <w:rsid w:val="753A2F23"/>
    <w:rsid w:val="75600A51"/>
    <w:rsid w:val="75720FA8"/>
    <w:rsid w:val="75894543"/>
    <w:rsid w:val="759C4277"/>
    <w:rsid w:val="75A86FF9"/>
    <w:rsid w:val="75FB4D1F"/>
    <w:rsid w:val="75FE0A8D"/>
    <w:rsid w:val="760E7A34"/>
    <w:rsid w:val="76176613"/>
    <w:rsid w:val="761821C5"/>
    <w:rsid w:val="76244692"/>
    <w:rsid w:val="762F2292"/>
    <w:rsid w:val="763972B9"/>
    <w:rsid w:val="763E597F"/>
    <w:rsid w:val="76496E17"/>
    <w:rsid w:val="76612301"/>
    <w:rsid w:val="76647E2A"/>
    <w:rsid w:val="76753F57"/>
    <w:rsid w:val="767E1098"/>
    <w:rsid w:val="76A621DF"/>
    <w:rsid w:val="76C67C59"/>
    <w:rsid w:val="76C76D5E"/>
    <w:rsid w:val="76CE3448"/>
    <w:rsid w:val="76D01188"/>
    <w:rsid w:val="76FA1255"/>
    <w:rsid w:val="771C68FB"/>
    <w:rsid w:val="772A24C4"/>
    <w:rsid w:val="773A72C3"/>
    <w:rsid w:val="773E64A6"/>
    <w:rsid w:val="77464500"/>
    <w:rsid w:val="77635C00"/>
    <w:rsid w:val="77866F8C"/>
    <w:rsid w:val="778D1C32"/>
    <w:rsid w:val="779F004E"/>
    <w:rsid w:val="77A553D7"/>
    <w:rsid w:val="77DA2E34"/>
    <w:rsid w:val="780257E9"/>
    <w:rsid w:val="78054120"/>
    <w:rsid w:val="78192D43"/>
    <w:rsid w:val="7835510B"/>
    <w:rsid w:val="783E0BC0"/>
    <w:rsid w:val="78530991"/>
    <w:rsid w:val="7854513A"/>
    <w:rsid w:val="78636166"/>
    <w:rsid w:val="78715547"/>
    <w:rsid w:val="78745037"/>
    <w:rsid w:val="787B157A"/>
    <w:rsid w:val="787C3AB9"/>
    <w:rsid w:val="78801DFB"/>
    <w:rsid w:val="788A2AAC"/>
    <w:rsid w:val="788D60F9"/>
    <w:rsid w:val="789613C3"/>
    <w:rsid w:val="789A04F9"/>
    <w:rsid w:val="78A80DCD"/>
    <w:rsid w:val="78AB066C"/>
    <w:rsid w:val="78B83176"/>
    <w:rsid w:val="78C45F14"/>
    <w:rsid w:val="78CC4E37"/>
    <w:rsid w:val="78D4455D"/>
    <w:rsid w:val="78F42F3A"/>
    <w:rsid w:val="78F55113"/>
    <w:rsid w:val="79085C9E"/>
    <w:rsid w:val="791A3B31"/>
    <w:rsid w:val="791F69FB"/>
    <w:rsid w:val="79392C09"/>
    <w:rsid w:val="79440EAD"/>
    <w:rsid w:val="795B5FB6"/>
    <w:rsid w:val="795D02FA"/>
    <w:rsid w:val="797A450C"/>
    <w:rsid w:val="79A5368F"/>
    <w:rsid w:val="79C50F95"/>
    <w:rsid w:val="79D73ACF"/>
    <w:rsid w:val="79DA711C"/>
    <w:rsid w:val="79E41D48"/>
    <w:rsid w:val="79E8143C"/>
    <w:rsid w:val="7A03546E"/>
    <w:rsid w:val="7A161B9B"/>
    <w:rsid w:val="7A3525A4"/>
    <w:rsid w:val="7A3727C0"/>
    <w:rsid w:val="7A622905"/>
    <w:rsid w:val="7A66785F"/>
    <w:rsid w:val="7A804167"/>
    <w:rsid w:val="7A875793"/>
    <w:rsid w:val="7A8C2559"/>
    <w:rsid w:val="7AA40156"/>
    <w:rsid w:val="7AB15272"/>
    <w:rsid w:val="7AC12D81"/>
    <w:rsid w:val="7AC32C89"/>
    <w:rsid w:val="7AC5017B"/>
    <w:rsid w:val="7AD96CDC"/>
    <w:rsid w:val="7ADD09FF"/>
    <w:rsid w:val="7AFC1FB6"/>
    <w:rsid w:val="7B1125BE"/>
    <w:rsid w:val="7B171F91"/>
    <w:rsid w:val="7B244B34"/>
    <w:rsid w:val="7B29770D"/>
    <w:rsid w:val="7B3810EB"/>
    <w:rsid w:val="7B6554DF"/>
    <w:rsid w:val="7B6649AD"/>
    <w:rsid w:val="7B665696"/>
    <w:rsid w:val="7B6776FA"/>
    <w:rsid w:val="7B705681"/>
    <w:rsid w:val="7B75534E"/>
    <w:rsid w:val="7B780E5A"/>
    <w:rsid w:val="7B7C6D31"/>
    <w:rsid w:val="7B80230E"/>
    <w:rsid w:val="7B806E6E"/>
    <w:rsid w:val="7B8735D8"/>
    <w:rsid w:val="7B917CAE"/>
    <w:rsid w:val="7B9C6D7F"/>
    <w:rsid w:val="7BBB774F"/>
    <w:rsid w:val="7BD930A2"/>
    <w:rsid w:val="7BE349AD"/>
    <w:rsid w:val="7C0A203B"/>
    <w:rsid w:val="7C12717A"/>
    <w:rsid w:val="7C1F1119"/>
    <w:rsid w:val="7C3D1487"/>
    <w:rsid w:val="7C43369E"/>
    <w:rsid w:val="7C800FF7"/>
    <w:rsid w:val="7C864D75"/>
    <w:rsid w:val="7C8A307B"/>
    <w:rsid w:val="7CED016A"/>
    <w:rsid w:val="7CFD1A9F"/>
    <w:rsid w:val="7D0C4957"/>
    <w:rsid w:val="7D2A7A76"/>
    <w:rsid w:val="7D333762"/>
    <w:rsid w:val="7D6A4A50"/>
    <w:rsid w:val="7D934B29"/>
    <w:rsid w:val="7D980F97"/>
    <w:rsid w:val="7DC82B3F"/>
    <w:rsid w:val="7DE02682"/>
    <w:rsid w:val="7DF10ED8"/>
    <w:rsid w:val="7E074B68"/>
    <w:rsid w:val="7E202036"/>
    <w:rsid w:val="7E2C6A84"/>
    <w:rsid w:val="7E314110"/>
    <w:rsid w:val="7E535602"/>
    <w:rsid w:val="7E5366E5"/>
    <w:rsid w:val="7E8759AD"/>
    <w:rsid w:val="7E9E619A"/>
    <w:rsid w:val="7EAC619B"/>
    <w:rsid w:val="7EAD4DFF"/>
    <w:rsid w:val="7EB8307F"/>
    <w:rsid w:val="7EC53A44"/>
    <w:rsid w:val="7ECB5261"/>
    <w:rsid w:val="7ED56104"/>
    <w:rsid w:val="7EE668E6"/>
    <w:rsid w:val="7EEF01B9"/>
    <w:rsid w:val="7EF95DA4"/>
    <w:rsid w:val="7F17671C"/>
    <w:rsid w:val="7F1E5CFC"/>
    <w:rsid w:val="7F3267A9"/>
    <w:rsid w:val="7F6A6118"/>
    <w:rsid w:val="7F8F76E6"/>
    <w:rsid w:val="7FAA7590"/>
    <w:rsid w:val="7FB126CD"/>
    <w:rsid w:val="7FB14DC3"/>
    <w:rsid w:val="7FB52327"/>
    <w:rsid w:val="7FD62842"/>
    <w:rsid w:val="7FE93E6C"/>
    <w:rsid w:val="7FFC4290"/>
    <w:rsid w:val="DABFF4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nhideWhenUsed="0" w:uiPriority="0" w:semiHidden="0" w:name="toc 2"/>
    <w:lsdException w:qFormat="1" w:unhideWhenUsed="0" w:uiPriority="0" w:semiHidden="0" w:name="toc 3"/>
    <w:lsdException w:uiPriority="39" w:name="toc 4"/>
    <w:lsdException w:uiPriority="39" w:name="toc 5"/>
    <w:lsdException w:qFormat="1" w:unhideWhenUsed="0" w:uiPriority="99" w:semiHidden="0" w:name="toc 6"/>
    <w:lsdException w:uiPriority="39" w:name="toc 7"/>
    <w:lsdException w:uiPriority="39" w:name="toc 8"/>
    <w:lsdException w:uiPriority="39" w:name="toc 9"/>
    <w:lsdException w:qFormat="1" w:uiPriority="99" w:semiHidden="0" w:name="Normal Indent"/>
    <w:lsdException w:qFormat="1" w:uiPriority="99" w:semiHidden="0" w:name="footnote text"/>
    <w:lsdException w:qFormat="1"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qFormat="1" w:uiPriority="99" w:semiHidden="0" w:name="toa heading"/>
    <w:lsdException w:uiPriority="99" w:name="List"/>
    <w:lsdException w:uiPriority="99" w:name="List Bullet"/>
    <w:lsdException w:uiPriority="99"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qFormat="1" w:uiPriority="99"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8"/>
    <w:autoRedefine/>
    <w:qFormat/>
    <w:uiPriority w:val="99"/>
    <w:pPr>
      <w:keepNext/>
      <w:jc w:val="center"/>
      <w:outlineLvl w:val="0"/>
    </w:pPr>
    <w:rPr>
      <w:rFonts w:ascii="楷体_GB2312" w:eastAsia="楷体_GB2312"/>
      <w:b/>
      <w:bCs/>
      <w:kern w:val="0"/>
      <w:sz w:val="20"/>
      <w:szCs w:val="20"/>
    </w:rPr>
  </w:style>
  <w:style w:type="paragraph" w:styleId="3">
    <w:name w:val="heading 2"/>
    <w:basedOn w:val="1"/>
    <w:next w:val="1"/>
    <w:autoRedefine/>
    <w:qFormat/>
    <w:uiPriority w:val="9"/>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autoRedefine/>
    <w:qFormat/>
    <w:uiPriority w:val="9"/>
    <w:pPr>
      <w:keepNext/>
      <w:keepLines/>
      <w:spacing w:before="260" w:after="260" w:line="415" w:lineRule="auto"/>
      <w:outlineLvl w:val="2"/>
    </w:pPr>
    <w:rPr>
      <w:b/>
      <w:bCs/>
      <w:sz w:val="32"/>
      <w:szCs w:val="32"/>
    </w:rPr>
  </w:style>
  <w:style w:type="paragraph" w:styleId="5">
    <w:name w:val="heading 4"/>
    <w:basedOn w:val="1"/>
    <w:next w:val="1"/>
    <w:qFormat/>
    <w:uiPriority w:val="9"/>
    <w:pPr>
      <w:keepNext/>
      <w:keepLines/>
      <w:spacing w:before="120" w:after="120"/>
      <w:outlineLvl w:val="3"/>
    </w:pPr>
    <w:rPr>
      <w:rFonts w:ascii="Arial" w:hAnsi="Arial" w:eastAsia="黑体"/>
      <w:b/>
      <w:kern w:val="0"/>
      <w:sz w:val="20"/>
      <w:szCs w:val="20"/>
    </w:rPr>
  </w:style>
  <w:style w:type="paragraph" w:styleId="6">
    <w:name w:val="heading 6"/>
    <w:basedOn w:val="1"/>
    <w:next w:val="1"/>
    <w:autoRedefine/>
    <w:qFormat/>
    <w:uiPriority w:val="0"/>
    <w:pPr>
      <w:keepNext/>
      <w:keepLines/>
      <w:spacing w:line="320" w:lineRule="auto"/>
      <w:outlineLvl w:val="5"/>
    </w:pPr>
    <w:rPr>
      <w:rFonts w:ascii="Arial" w:hAnsi="Arial" w:eastAsia="黑体"/>
      <w:b/>
      <w:bCs/>
      <w:sz w:val="24"/>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next w:val="8"/>
    <w:autoRedefine/>
    <w:unhideWhenUsed/>
    <w:qFormat/>
    <w:uiPriority w:val="99"/>
    <w:pPr>
      <w:adjustRightInd w:val="0"/>
      <w:spacing w:line="312" w:lineRule="atLeast"/>
      <w:ind w:firstLine="420"/>
    </w:pPr>
    <w:rPr>
      <w:rFonts w:ascii="Calibri" w:hAnsi="Calibri" w:cs="黑体"/>
      <w:szCs w:val="22"/>
    </w:rPr>
  </w:style>
  <w:style w:type="paragraph" w:styleId="8">
    <w:name w:val="Body Text Indent"/>
    <w:basedOn w:val="1"/>
    <w:next w:val="7"/>
    <w:autoRedefine/>
    <w:unhideWhenUsed/>
    <w:qFormat/>
    <w:uiPriority w:val="99"/>
    <w:pPr>
      <w:ind w:left="480" w:hanging="480" w:hangingChars="200"/>
    </w:pPr>
    <w:rPr>
      <w:sz w:val="24"/>
    </w:rPr>
  </w:style>
  <w:style w:type="paragraph" w:styleId="9">
    <w:name w:val="toa heading"/>
    <w:basedOn w:val="1"/>
    <w:next w:val="1"/>
    <w:autoRedefine/>
    <w:unhideWhenUsed/>
    <w:qFormat/>
    <w:uiPriority w:val="99"/>
    <w:pPr>
      <w:spacing w:before="120"/>
    </w:pPr>
    <w:rPr>
      <w:rFonts w:ascii="Arial" w:hAnsi="Arial" w:eastAsia="仿宋_GB2312" w:cs="Arial"/>
      <w:b/>
      <w:bCs/>
      <w:color w:val="000000"/>
      <w:kern w:val="0"/>
      <w:sz w:val="24"/>
      <w:szCs w:val="21"/>
    </w:rPr>
  </w:style>
  <w:style w:type="paragraph" w:styleId="10">
    <w:name w:val="annotation text"/>
    <w:basedOn w:val="1"/>
    <w:autoRedefine/>
    <w:unhideWhenUsed/>
    <w:qFormat/>
    <w:uiPriority w:val="99"/>
    <w:pPr>
      <w:jc w:val="left"/>
    </w:pPr>
  </w:style>
  <w:style w:type="paragraph" w:styleId="11">
    <w:name w:val="Body Text"/>
    <w:basedOn w:val="1"/>
    <w:next w:val="1"/>
    <w:autoRedefine/>
    <w:unhideWhenUsed/>
    <w:qFormat/>
    <w:uiPriority w:val="99"/>
    <w:pPr>
      <w:spacing w:after="120"/>
    </w:pPr>
  </w:style>
  <w:style w:type="paragraph" w:styleId="12">
    <w:name w:val="List 2"/>
    <w:basedOn w:val="1"/>
    <w:autoRedefine/>
    <w:unhideWhenUsed/>
    <w:qFormat/>
    <w:uiPriority w:val="99"/>
    <w:pPr>
      <w:ind w:left="100" w:leftChars="200" w:hanging="200" w:hangingChars="200"/>
      <w:contextualSpacing/>
    </w:pPr>
  </w:style>
  <w:style w:type="paragraph" w:styleId="13">
    <w:name w:val="Block Text"/>
    <w:basedOn w:val="1"/>
    <w:autoRedefine/>
    <w:unhideWhenUsed/>
    <w:qFormat/>
    <w:uiPriority w:val="99"/>
    <w:pPr>
      <w:spacing w:after="120"/>
      <w:ind w:left="1440" w:leftChars="700" w:right="1440" w:rightChars="700"/>
    </w:pPr>
  </w:style>
  <w:style w:type="paragraph" w:styleId="14">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15">
    <w:name w:val="Plain Text"/>
    <w:basedOn w:val="1"/>
    <w:next w:val="1"/>
    <w:autoRedefine/>
    <w:unhideWhenUsed/>
    <w:qFormat/>
    <w:uiPriority w:val="99"/>
    <w:pPr>
      <w:widowControl/>
      <w:overflowPunct w:val="0"/>
      <w:autoSpaceDE w:val="0"/>
      <w:autoSpaceDN w:val="0"/>
      <w:adjustRightInd w:val="0"/>
      <w:jc w:val="left"/>
    </w:pPr>
    <w:rPr>
      <w:rFonts w:ascii="宋体" w:hAnsi="Courier New" w:cs="黑体"/>
      <w:szCs w:val="21"/>
    </w:rPr>
  </w:style>
  <w:style w:type="paragraph" w:styleId="16">
    <w:name w:val="Body Text Indent 2"/>
    <w:basedOn w:val="1"/>
    <w:autoRedefine/>
    <w:qFormat/>
    <w:uiPriority w:val="0"/>
    <w:pPr>
      <w:snapToGrid w:val="0"/>
      <w:spacing w:line="400" w:lineRule="exact"/>
      <w:ind w:firstLine="480"/>
    </w:pPr>
    <w:rPr>
      <w:rFonts w:eastAsia="仿宋_GB2312"/>
      <w:sz w:val="24"/>
    </w:rPr>
  </w:style>
  <w:style w:type="paragraph" w:styleId="17">
    <w:name w:val="footer"/>
    <w:basedOn w:val="1"/>
    <w:autoRedefine/>
    <w:qFormat/>
    <w:uiPriority w:val="0"/>
    <w:pPr>
      <w:tabs>
        <w:tab w:val="center" w:pos="4153"/>
        <w:tab w:val="right" w:pos="8306"/>
      </w:tabs>
      <w:snapToGrid w:val="0"/>
      <w:jc w:val="left"/>
    </w:pPr>
    <w:rPr>
      <w:sz w:val="18"/>
    </w:rPr>
  </w:style>
  <w:style w:type="paragraph" w:styleId="1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9">
    <w:name w:val="toc 1"/>
    <w:basedOn w:val="1"/>
    <w:next w:val="1"/>
    <w:autoRedefine/>
    <w:unhideWhenUsed/>
    <w:qFormat/>
    <w:uiPriority w:val="39"/>
    <w:pPr>
      <w:tabs>
        <w:tab w:val="right" w:leader="dot" w:pos="9628"/>
      </w:tabs>
      <w:spacing w:line="480" w:lineRule="auto"/>
    </w:pPr>
    <w:rPr>
      <w:rFonts w:ascii="Arial" w:hAnsi="Arial" w:eastAsia="新宋体" w:cs="Arial"/>
      <w:bCs/>
      <w:sz w:val="24"/>
    </w:rPr>
  </w:style>
  <w:style w:type="paragraph" w:styleId="20">
    <w:name w:val="footnote text"/>
    <w:basedOn w:val="1"/>
    <w:autoRedefine/>
    <w:unhideWhenUsed/>
    <w:qFormat/>
    <w:uiPriority w:val="99"/>
    <w:pPr>
      <w:snapToGrid w:val="0"/>
      <w:jc w:val="left"/>
    </w:pPr>
    <w:rPr>
      <w:rFonts w:hint="eastAsia"/>
      <w:sz w:val="18"/>
    </w:rPr>
  </w:style>
  <w:style w:type="paragraph" w:styleId="21">
    <w:name w:val="toc 6"/>
    <w:basedOn w:val="1"/>
    <w:next w:val="1"/>
    <w:autoRedefine/>
    <w:qFormat/>
    <w:uiPriority w:val="99"/>
    <w:pPr>
      <w:ind w:left="2100" w:leftChars="1000"/>
    </w:pPr>
    <w:rPr>
      <w:rFonts w:ascii="Calibri" w:hAnsi="Calibri"/>
      <w:szCs w:val="22"/>
    </w:rPr>
  </w:style>
  <w:style w:type="paragraph" w:styleId="22">
    <w:name w:val="toc 2"/>
    <w:basedOn w:val="1"/>
    <w:next w:val="1"/>
    <w:autoRedefine/>
    <w:qFormat/>
    <w:uiPriority w:val="0"/>
    <w:pPr>
      <w:ind w:left="420" w:leftChars="200"/>
    </w:pPr>
  </w:style>
  <w:style w:type="paragraph" w:styleId="23">
    <w:name w:val="Normal (Web)"/>
    <w:basedOn w:val="1"/>
    <w:autoRedefine/>
    <w:unhideWhenUsed/>
    <w:qFormat/>
    <w:uiPriority w:val="99"/>
    <w:pPr>
      <w:widowControl/>
      <w:spacing w:beforeAutospacing="1" w:afterAutospacing="1"/>
      <w:jc w:val="left"/>
    </w:pPr>
    <w:rPr>
      <w:rFonts w:ascii="宋体" w:hAnsi="宋体"/>
      <w:kern w:val="0"/>
      <w:sz w:val="24"/>
    </w:rPr>
  </w:style>
  <w:style w:type="paragraph" w:styleId="24">
    <w:name w:val="Title"/>
    <w:basedOn w:val="1"/>
    <w:next w:val="1"/>
    <w:autoRedefine/>
    <w:qFormat/>
    <w:uiPriority w:val="0"/>
    <w:pPr>
      <w:keepNext/>
      <w:keepLines/>
      <w:widowControl/>
      <w:tabs>
        <w:tab w:val="center" w:pos="540"/>
      </w:tabs>
      <w:spacing w:line="360" w:lineRule="auto"/>
      <w:outlineLvl w:val="0"/>
    </w:pPr>
    <w:rPr>
      <w:rFonts w:ascii="Arial" w:hAnsi="Arial" w:cs="Arial"/>
      <w:b/>
      <w:bCs/>
      <w:sz w:val="28"/>
      <w:szCs w:val="32"/>
    </w:rPr>
  </w:style>
  <w:style w:type="paragraph" w:styleId="25">
    <w:name w:val="Body Text First Indent"/>
    <w:basedOn w:val="11"/>
    <w:next w:val="21"/>
    <w:autoRedefine/>
    <w:qFormat/>
    <w:uiPriority w:val="0"/>
    <w:pPr>
      <w:autoSpaceDE w:val="0"/>
      <w:autoSpaceDN w:val="0"/>
      <w:adjustRightInd w:val="0"/>
      <w:ind w:firstLine="420" w:firstLineChars="100"/>
      <w:textAlignment w:val="baseline"/>
    </w:pPr>
    <w:rPr>
      <w:sz w:val="24"/>
      <w:szCs w:val="20"/>
    </w:rPr>
  </w:style>
  <w:style w:type="paragraph" w:styleId="26">
    <w:name w:val="Body Text First Indent 2"/>
    <w:basedOn w:val="8"/>
    <w:next w:val="9"/>
    <w:autoRedefine/>
    <w:unhideWhenUsed/>
    <w:qFormat/>
    <w:uiPriority w:val="99"/>
    <w:pPr>
      <w:spacing w:after="120"/>
      <w:ind w:left="420" w:leftChars="200" w:firstLine="420"/>
    </w:pPr>
    <w:rPr>
      <w:rFonts w:cs="宋体"/>
      <w:sz w:val="21"/>
      <w:szCs w:val="21"/>
    </w:rPr>
  </w:style>
  <w:style w:type="table" w:styleId="28">
    <w:name w:val="Table Grid"/>
    <w:basedOn w:val="27"/>
    <w:autoRedefine/>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autoRedefine/>
    <w:qFormat/>
    <w:uiPriority w:val="22"/>
    <w:rPr>
      <w:b/>
      <w:bCs/>
    </w:rPr>
  </w:style>
  <w:style w:type="character" w:styleId="31">
    <w:name w:val="page number"/>
    <w:basedOn w:val="29"/>
    <w:autoRedefine/>
    <w:unhideWhenUsed/>
    <w:qFormat/>
    <w:uiPriority w:val="99"/>
  </w:style>
  <w:style w:type="character" w:styleId="32">
    <w:name w:val="FollowedHyperlink"/>
    <w:autoRedefine/>
    <w:unhideWhenUsed/>
    <w:qFormat/>
    <w:uiPriority w:val="99"/>
    <w:rPr>
      <w:color w:val="000000"/>
      <w:u w:val="none"/>
    </w:rPr>
  </w:style>
  <w:style w:type="character" w:styleId="33">
    <w:name w:val="Hyperlink"/>
    <w:autoRedefine/>
    <w:unhideWhenUsed/>
    <w:qFormat/>
    <w:uiPriority w:val="99"/>
    <w:rPr>
      <w:color w:val="000000"/>
      <w:sz w:val="20"/>
      <w:szCs w:val="20"/>
      <w:u w:val="none"/>
    </w:rPr>
  </w:style>
  <w:style w:type="character" w:styleId="34">
    <w:name w:val="annotation reference"/>
    <w:autoRedefine/>
    <w:semiHidden/>
    <w:unhideWhenUsed/>
    <w:qFormat/>
    <w:uiPriority w:val="99"/>
    <w:rPr>
      <w:sz w:val="21"/>
      <w:szCs w:val="21"/>
    </w:rPr>
  </w:style>
  <w:style w:type="character" w:styleId="35">
    <w:name w:val="footnote reference"/>
    <w:autoRedefine/>
    <w:unhideWhenUsed/>
    <w:qFormat/>
    <w:uiPriority w:val="99"/>
    <w:rPr>
      <w:rFonts w:hint="default" w:ascii="Times New Roman"/>
      <w:sz w:val="24"/>
      <w:vertAlign w:val="superscript"/>
    </w:rPr>
  </w:style>
  <w:style w:type="paragraph" w:customStyle="1" w:styleId="36">
    <w:name w:val="文章正文"/>
    <w:basedOn w:val="1"/>
    <w:next w:val="37"/>
    <w:qFormat/>
    <w:uiPriority w:val="0"/>
    <w:pPr>
      <w:spacing w:line="360" w:lineRule="auto"/>
      <w:ind w:firstLine="200" w:firstLineChars="200"/>
    </w:pPr>
    <w:rPr>
      <w:rFonts w:cs="宋体"/>
      <w:snapToGrid/>
      <w:sz w:val="24"/>
      <w:szCs w:val="24"/>
    </w:rPr>
  </w:style>
  <w:style w:type="paragraph" w:customStyle="1" w:styleId="37">
    <w:name w:val="公式样式 变量"/>
    <w:qFormat/>
    <w:uiPriority w:val="0"/>
    <w:rPr>
      <w:rFonts w:ascii="Times New Roman" w:hAnsi="Times New Roman" w:eastAsia="宋体" w:cs="Times New Roman"/>
      <w:i/>
      <w:lang w:val="en-US" w:eastAsia="zh-CN" w:bidi="ar-SA"/>
    </w:rPr>
  </w:style>
  <w:style w:type="character" w:customStyle="1" w:styleId="38">
    <w:name w:val="标题 1 字符"/>
    <w:link w:val="2"/>
    <w:autoRedefine/>
    <w:qFormat/>
    <w:locked/>
    <w:uiPriority w:val="99"/>
    <w:rPr>
      <w:rFonts w:ascii="楷体_GB2312" w:eastAsia="楷体_GB2312"/>
      <w:b/>
      <w:bCs/>
    </w:rPr>
  </w:style>
  <w:style w:type="paragraph" w:customStyle="1" w:styleId="39">
    <w:name w:val="!表格正文"/>
    <w:basedOn w:val="1"/>
    <w:link w:val="65"/>
    <w:autoRedefine/>
    <w:qFormat/>
    <w:uiPriority w:val="0"/>
    <w:rPr>
      <w:rFonts w:ascii="Calibri" w:hAnsi="Calibri" w:cs="Calibri"/>
      <w:kern w:val="0"/>
      <w:szCs w:val="21"/>
    </w:rPr>
  </w:style>
  <w:style w:type="paragraph" w:customStyle="1" w:styleId="40">
    <w:name w:val="正文2"/>
    <w:basedOn w:val="1"/>
    <w:autoRedefine/>
    <w:qFormat/>
    <w:uiPriority w:val="0"/>
    <w:pPr>
      <w:spacing w:line="360" w:lineRule="auto"/>
      <w:ind w:firstLine="510" w:firstLineChars="200"/>
    </w:pPr>
    <w:rPr>
      <w:sz w:val="24"/>
      <w:szCs w:val="20"/>
    </w:rPr>
  </w:style>
  <w:style w:type="paragraph" w:customStyle="1" w:styleId="41">
    <w:name w:val="正文1"/>
    <w:basedOn w:val="14"/>
    <w:next w:val="1"/>
    <w:autoRedefine/>
    <w:qFormat/>
    <w:uiPriority w:val="99"/>
    <w:pPr>
      <w:widowControl w:val="0"/>
      <w:jc w:val="both"/>
    </w:pPr>
    <w:rPr>
      <w:rFonts w:ascii="Calibri" w:hAnsi="Calibri" w:eastAsia="宋体" w:cs="Calibri"/>
      <w:kern w:val="2"/>
      <w:sz w:val="21"/>
      <w:szCs w:val="21"/>
      <w:lang w:val="en-US" w:eastAsia="zh-CN" w:bidi="ar-SA"/>
    </w:rPr>
  </w:style>
  <w:style w:type="paragraph" w:customStyle="1" w:styleId="42">
    <w:name w:val="自动更正"/>
    <w:next w:val="43"/>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43">
    <w:name w:val="xl39"/>
    <w:basedOn w:val="1"/>
    <w:next w:val="44"/>
    <w:autoRedefine/>
    <w:qFormat/>
    <w:uiPriority w:val="0"/>
    <w:pPr>
      <w:widowControl/>
      <w:pBdr>
        <w:top w:val="single" w:color="auto" w:sz="4" w:space="0"/>
        <w:bottom w:val="single" w:color="auto" w:sz="4" w:space="0"/>
        <w:right w:val="single" w:color="auto" w:sz="4" w:space="0"/>
      </w:pBdr>
      <w:spacing w:before="100" w:after="100"/>
      <w:jc w:val="left"/>
      <w:textAlignment w:val="center"/>
    </w:pPr>
    <w:rPr>
      <w:kern w:val="0"/>
      <w:szCs w:val="20"/>
    </w:rPr>
  </w:style>
  <w:style w:type="paragraph" w:customStyle="1" w:styleId="44">
    <w:name w:val="分手多日，近况如何？"/>
    <w:next w:val="1"/>
    <w:autoRedefine/>
    <w:qFormat/>
    <w:uiPriority w:val="0"/>
    <w:pPr>
      <w:widowControl w:val="0"/>
      <w:jc w:val="both"/>
    </w:pPr>
    <w:rPr>
      <w:rFonts w:ascii="Calibri" w:hAnsi="Calibri" w:eastAsia="宋体" w:cs="Times New Roman"/>
      <w:sz w:val="21"/>
      <w:lang w:val="en-US" w:eastAsia="zh-CN" w:bidi="ar-SA"/>
    </w:rPr>
  </w:style>
  <w:style w:type="paragraph" w:customStyle="1" w:styleId="45">
    <w:name w:val="Table Paragraph"/>
    <w:basedOn w:val="1"/>
    <w:autoRedefine/>
    <w:qFormat/>
    <w:uiPriority w:val="1"/>
    <w:rPr>
      <w:rFonts w:ascii="宋体" w:hAnsi="宋体" w:cs="宋体"/>
      <w:lang w:val="zh-CN" w:bidi="zh-CN"/>
    </w:rPr>
  </w:style>
  <w:style w:type="paragraph" w:customStyle="1" w:styleId="46">
    <w:name w:val="WPSOffice手动目录 1"/>
    <w:autoRedefine/>
    <w:qFormat/>
    <w:uiPriority w:val="0"/>
    <w:rPr>
      <w:rFonts w:ascii="Times New Roman" w:hAnsi="Times New Roman" w:eastAsia="宋体" w:cs="Times New Roman"/>
      <w:lang w:val="en-US" w:eastAsia="zh-CN" w:bidi="ar-SA"/>
    </w:rPr>
  </w:style>
  <w:style w:type="paragraph" w:customStyle="1" w:styleId="47">
    <w:name w:val="默认段落字体 Para Char Char Char Char Char Char Char Char Char1 Char Char Char Char"/>
    <w:basedOn w:val="1"/>
    <w:autoRedefine/>
    <w:qFormat/>
    <w:uiPriority w:val="0"/>
    <w:rPr>
      <w:rFonts w:ascii="Tahoma" w:hAnsi="Tahoma"/>
      <w:sz w:val="24"/>
      <w:szCs w:val="20"/>
    </w:rPr>
  </w:style>
  <w:style w:type="paragraph" w:customStyle="1" w:styleId="48">
    <w:name w:val="正文_17"/>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9">
    <w:name w:val="纯文本1"/>
    <w:basedOn w:val="41"/>
    <w:autoRedefine/>
    <w:qFormat/>
    <w:uiPriority w:val="99"/>
    <w:pPr>
      <w:widowControl/>
      <w:jc w:val="left"/>
    </w:pPr>
    <w:rPr>
      <w:rFonts w:ascii="宋体" w:hAnsi="Courier New" w:cs="宋体"/>
    </w:rPr>
  </w:style>
  <w:style w:type="paragraph" w:customStyle="1" w:styleId="50">
    <w:name w:val="Default"/>
    <w:next w:val="51"/>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1">
    <w:name w:val="目录 71"/>
    <w:next w:val="1"/>
    <w:autoRedefine/>
    <w:qFormat/>
    <w:uiPriority w:val="0"/>
    <w:pPr>
      <w:wordWrap w:val="0"/>
      <w:ind w:left="2550"/>
      <w:jc w:val="both"/>
    </w:pPr>
    <w:rPr>
      <w:rFonts w:ascii="Calibri" w:hAnsi="Calibri" w:eastAsia="宋体" w:cs="Times New Roman"/>
      <w:sz w:val="21"/>
      <w:szCs w:val="22"/>
      <w:lang w:val="en-US" w:eastAsia="zh-CN" w:bidi="ar-SA"/>
    </w:rPr>
  </w:style>
  <w:style w:type="paragraph" w:customStyle="1" w:styleId="52">
    <w:name w:val="Body Text First Indent 21"/>
    <w:basedOn w:val="53"/>
    <w:autoRedefine/>
    <w:qFormat/>
    <w:uiPriority w:val="0"/>
    <w:pPr>
      <w:ind w:firstLine="420"/>
    </w:pPr>
    <w:rPr>
      <w:rFonts w:cs="宋体"/>
    </w:rPr>
  </w:style>
  <w:style w:type="paragraph" w:customStyle="1" w:styleId="53">
    <w:name w:val="Body Text Indent1"/>
    <w:basedOn w:val="1"/>
    <w:next w:val="1"/>
    <w:autoRedefine/>
    <w:qFormat/>
    <w:uiPriority w:val="0"/>
    <w:pPr>
      <w:ind w:left="420" w:leftChars="200"/>
    </w:pPr>
    <w:rPr>
      <w:color w:val="000000"/>
      <w:szCs w:val="21"/>
    </w:rPr>
  </w:style>
  <w:style w:type="paragraph" w:styleId="54">
    <w:name w:val="List Paragraph"/>
    <w:basedOn w:val="1"/>
    <w:autoRedefine/>
    <w:qFormat/>
    <w:uiPriority w:val="1"/>
    <w:pPr>
      <w:ind w:left="253" w:firstLine="420"/>
    </w:pPr>
    <w:rPr>
      <w:rFonts w:ascii="宋体" w:hAnsi="宋体" w:cs="宋体"/>
      <w:lang w:val="zh-CN" w:bidi="zh-CN"/>
    </w:rPr>
  </w:style>
  <w:style w:type="paragraph" w:customStyle="1" w:styleId="55">
    <w:name w:val="正文段"/>
    <w:basedOn w:val="1"/>
    <w:autoRedefine/>
    <w:qFormat/>
    <w:uiPriority w:val="0"/>
    <w:pPr>
      <w:widowControl/>
      <w:snapToGrid w:val="0"/>
      <w:ind w:firstLine="200" w:firstLineChars="200"/>
    </w:pPr>
    <w:rPr>
      <w:kern w:val="0"/>
      <w:sz w:val="24"/>
      <w:szCs w:val="20"/>
    </w:rPr>
  </w:style>
  <w:style w:type="paragraph" w:customStyle="1" w:styleId="56">
    <w:name w:val="p18"/>
    <w:autoRedefine/>
    <w:qFormat/>
    <w:uiPriority w:val="0"/>
    <w:pPr>
      <w:spacing w:line="748" w:lineRule="atLeast"/>
      <w:ind w:left="-527" w:firstLine="527"/>
    </w:pPr>
    <w:rPr>
      <w:rFonts w:ascii="宋体" w:hAnsi="宋体" w:eastAsia="宋体" w:cs="宋体"/>
      <w:sz w:val="24"/>
      <w:u w:color="000000"/>
      <w:lang w:val="en-US" w:eastAsia="zh-CN" w:bidi="ar-SA"/>
    </w:rPr>
  </w:style>
  <w:style w:type="paragraph" w:customStyle="1" w:styleId="57">
    <w:name w:val="样式1"/>
    <w:basedOn w:val="1"/>
    <w:autoRedefine/>
    <w:qFormat/>
    <w:uiPriority w:val="0"/>
    <w:pPr>
      <w:spacing w:line="360" w:lineRule="exact"/>
      <w:ind w:firstLine="200" w:firstLineChars="200"/>
    </w:pPr>
    <w:rPr>
      <w:rFonts w:ascii="Arial" w:hAnsi="Arial"/>
    </w:rPr>
  </w:style>
  <w:style w:type="paragraph" w:customStyle="1" w:styleId="58">
    <w:name w:val="保留正文"/>
    <w:basedOn w:val="11"/>
    <w:autoRedefine/>
    <w:qFormat/>
    <w:uiPriority w:val="0"/>
    <w:pPr>
      <w:keepNext/>
      <w:spacing w:after="160"/>
    </w:pPr>
  </w:style>
  <w:style w:type="paragraph" w:customStyle="1" w:styleId="59">
    <w:name w:val="Char Char1 Char"/>
    <w:basedOn w:val="1"/>
    <w:autoRedefine/>
    <w:qFormat/>
    <w:uiPriority w:val="0"/>
    <w:rPr>
      <w:rFonts w:ascii="仿宋_GB2312" w:eastAsia="仿宋_GB2312"/>
      <w:b/>
      <w:sz w:val="32"/>
      <w:szCs w:val="32"/>
    </w:rPr>
  </w:style>
  <w:style w:type="paragraph" w:customStyle="1" w:styleId="60">
    <w:name w:val="Fließtext"/>
    <w:basedOn w:val="1"/>
    <w:autoRedefine/>
    <w:qFormat/>
    <w:uiPriority w:val="0"/>
    <w:pPr>
      <w:overflowPunct w:val="0"/>
      <w:autoSpaceDE w:val="0"/>
      <w:autoSpaceDN w:val="0"/>
      <w:adjustRightInd w:val="0"/>
      <w:textAlignment w:val="baseline"/>
    </w:pPr>
    <w:rPr>
      <w:kern w:val="28"/>
      <w:szCs w:val="20"/>
    </w:rPr>
  </w:style>
  <w:style w:type="paragraph" w:customStyle="1" w:styleId="61">
    <w:name w:val="Char Char Char Char Char Char2 Char Char Char Char"/>
    <w:basedOn w:val="1"/>
    <w:autoRedefine/>
    <w:qFormat/>
    <w:uiPriority w:val="0"/>
  </w:style>
  <w:style w:type="paragraph" w:customStyle="1" w:styleId="62">
    <w:name w:val="reader-word-layer reader-word-s1-16"/>
    <w:basedOn w:val="1"/>
    <w:autoRedefine/>
    <w:qFormat/>
    <w:uiPriority w:val="0"/>
    <w:pPr>
      <w:widowControl/>
      <w:spacing w:beforeAutospacing="1" w:afterAutospacing="1"/>
      <w:jc w:val="left"/>
    </w:pPr>
    <w:rPr>
      <w:rFonts w:ascii="宋体" w:hAnsi="宋体" w:cs="宋体"/>
      <w:sz w:val="24"/>
    </w:rPr>
  </w:style>
  <w:style w:type="paragraph" w:customStyle="1" w:styleId="63">
    <w:name w:val="表格内容"/>
    <w:basedOn w:val="1"/>
    <w:autoRedefine/>
    <w:qFormat/>
    <w:uiPriority w:val="2"/>
    <w:pPr>
      <w:widowControl/>
      <w:jc w:val="center"/>
    </w:pPr>
    <w:rPr>
      <w:kern w:val="0"/>
      <w:sz w:val="24"/>
      <w:szCs w:val="28"/>
    </w:rPr>
  </w:style>
  <w:style w:type="paragraph" w:customStyle="1" w:styleId="64">
    <w:name w:val="表格文字"/>
    <w:basedOn w:val="1"/>
    <w:next w:val="11"/>
    <w:autoRedefine/>
    <w:qFormat/>
    <w:uiPriority w:val="0"/>
    <w:pPr>
      <w:adjustRightInd w:val="0"/>
      <w:spacing w:line="420" w:lineRule="atLeast"/>
      <w:jc w:val="left"/>
      <w:textAlignment w:val="baseline"/>
    </w:pPr>
    <w:rPr>
      <w:kern w:val="0"/>
    </w:rPr>
  </w:style>
  <w:style w:type="character" w:customStyle="1" w:styleId="65">
    <w:name w:val="!表格正文 Char Char"/>
    <w:link w:val="39"/>
    <w:autoRedefine/>
    <w:qFormat/>
    <w:uiPriority w:val="0"/>
    <w:rPr>
      <w:rFonts w:ascii="Calibri" w:hAnsi="Calibri" w:eastAsia="宋体" w:cs="Calibri"/>
      <w:sz w:val="21"/>
      <w:szCs w:val="21"/>
      <w:lang w:val="en-US" w:eastAsia="zh-CN" w:bidi="ar-SA"/>
    </w:rPr>
  </w:style>
  <w:style w:type="character" w:customStyle="1" w:styleId="66">
    <w:name w:val="large1"/>
    <w:autoRedefine/>
    <w:qFormat/>
    <w:uiPriority w:val="0"/>
    <w:rPr>
      <w:rFonts w:hint="eastAsia" w:ascii="宋体" w:hAnsi="宋体" w:eastAsia="宋体"/>
      <w:sz w:val="21"/>
      <w:szCs w:val="21"/>
    </w:rPr>
  </w:style>
  <w:style w:type="character" w:customStyle="1" w:styleId="67">
    <w:name w:val="font21"/>
    <w:autoRedefine/>
    <w:qFormat/>
    <w:uiPriority w:val="0"/>
    <w:rPr>
      <w:rFonts w:hint="eastAsia" w:ascii="宋体" w:hAnsi="宋体" w:eastAsia="宋体" w:cs="宋体"/>
      <w:color w:val="000000"/>
      <w:sz w:val="21"/>
      <w:szCs w:val="21"/>
      <w:u w:val="none"/>
    </w:rPr>
  </w:style>
  <w:style w:type="character" w:customStyle="1" w:styleId="68">
    <w:name w:val="font01"/>
    <w:autoRedefine/>
    <w:qFormat/>
    <w:uiPriority w:val="0"/>
    <w:rPr>
      <w:rFonts w:hint="eastAsia" w:ascii="宋体" w:hAnsi="宋体" w:eastAsia="宋体" w:cs="宋体"/>
      <w:color w:val="000000"/>
      <w:sz w:val="22"/>
      <w:szCs w:val="22"/>
      <w:u w:val="none"/>
    </w:rPr>
  </w:style>
  <w:style w:type="character" w:customStyle="1" w:styleId="69">
    <w:name w:val="font31"/>
    <w:autoRedefine/>
    <w:qFormat/>
    <w:uiPriority w:val="0"/>
    <w:rPr>
      <w:rFonts w:hint="eastAsia" w:ascii="宋体" w:hAnsi="宋体" w:eastAsia="宋体" w:cs="宋体"/>
      <w:color w:val="000000"/>
      <w:sz w:val="21"/>
      <w:szCs w:val="21"/>
      <w:u w:val="none"/>
    </w:rPr>
  </w:style>
  <w:style w:type="paragraph" w:customStyle="1" w:styleId="70">
    <w:name w:val="样式 正文首行缩进 2 + Arial"/>
    <w:basedOn w:val="1"/>
    <w:next w:val="1"/>
    <w:autoRedefine/>
    <w:qFormat/>
    <w:uiPriority w:val="0"/>
    <w:pPr>
      <w:spacing w:after="120" w:line="320" w:lineRule="atLeast"/>
      <w:ind w:firstLine="200" w:firstLineChars="200"/>
    </w:pPr>
    <w:rPr>
      <w:rFonts w:ascii="Arial" w:hAnsi="Arial"/>
      <w:kern w:val="0"/>
    </w:rPr>
  </w:style>
  <w:style w:type="paragraph" w:customStyle="1" w:styleId="71">
    <w:name w:val="[Normal]"/>
    <w:basedOn w:val="1"/>
    <w:autoRedefine/>
    <w:qFormat/>
    <w:uiPriority w:val="0"/>
    <w:pPr>
      <w:widowControl/>
      <w:jc w:val="left"/>
    </w:pPr>
    <w:rPr>
      <w:rFonts w:ascii="宋体" w:hAnsi="宋体" w:cs="宋体"/>
      <w:kern w:val="0"/>
      <w:sz w:val="24"/>
      <w:szCs w:val="24"/>
    </w:rPr>
  </w:style>
  <w:style w:type="paragraph" w:customStyle="1" w:styleId="72">
    <w:name w:val="章正文"/>
    <w:basedOn w:val="1"/>
    <w:qFormat/>
    <w:uiPriority w:val="0"/>
    <w:pPr>
      <w:adjustRightInd/>
      <w:spacing w:beforeLines="50" w:after="120" w:line="300" w:lineRule="auto"/>
      <w:ind w:firstLine="480" w:firstLineChars="200"/>
    </w:pPr>
    <w:rPr>
      <w:rFonts w:ascii="Helvetica" w:hAnsi="Helvetica"/>
      <w:kern w:val="0"/>
      <w:sz w:val="24"/>
    </w:rPr>
  </w:style>
  <w:style w:type="table" w:customStyle="1" w:styleId="73">
    <w:name w:val="Table Normal"/>
    <w:unhideWhenUsed/>
    <w:qFormat/>
    <w:uiPriority w:val="0"/>
    <w:pPr>
      <w:widowControl w:val="0"/>
      <w:autoSpaceDE w:val="0"/>
      <w:autoSpaceDN w:val="0"/>
    </w:pPr>
    <w:rPr>
      <w:sz w:val="22"/>
      <w:szCs w:val="22"/>
      <w:lang w:eastAsia="en-US"/>
    </w:rPr>
    <w:tblPr>
      <w:tblCellMar>
        <w:top w:w="0" w:type="dxa"/>
        <w:left w:w="0" w:type="dxa"/>
        <w:bottom w:w="0" w:type="dxa"/>
        <w:right w:w="0" w:type="dxa"/>
      </w:tblCellMar>
    </w:tblPr>
  </w:style>
  <w:style w:type="paragraph" w:customStyle="1" w:styleId="74">
    <w:name w:val="表格"/>
    <w:basedOn w:val="1"/>
    <w:qFormat/>
    <w:uiPriority w:val="0"/>
    <w:pPr>
      <w:shd w:val="clear" w:color="auto" w:fill="auto"/>
      <w:kinsoku/>
      <w:autoSpaceDE/>
      <w:autoSpaceDN/>
      <w:adjustRightInd/>
      <w:spacing w:line="300" w:lineRule="auto"/>
      <w:ind w:firstLine="0" w:firstLineChars="0"/>
      <w:jc w:val="center"/>
      <w:outlineLvl w:val="9"/>
    </w:pPr>
    <w:rPr>
      <w:rFonts w:hint="eastAsia" w:ascii="宋体" w:hAnsi="宋体" w:eastAsia="宋体" w:cs="宋体"/>
      <w:color w:val="auto"/>
      <w:sz w:val="21"/>
      <w:szCs w:val="22"/>
      <w:shd w:val="clear" w:color="auto" w:fill="auto"/>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52</Pages>
  <Words>16784</Words>
  <Characters>18455</Characters>
  <Lines>243</Lines>
  <Paragraphs>68</Paragraphs>
  <TotalTime>19</TotalTime>
  <ScaleCrop>false</ScaleCrop>
  <LinksUpToDate>false</LinksUpToDate>
  <CharactersWithSpaces>18932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2021-02-02T19:05:00Z</dcterms:created>
  <dc:creator>浙江求是工程咨询监理有限公司</dc:creator>
  <cp:lastModifiedBy>Administrator</cp:lastModifiedBy>
  <cp:lastPrinted>2025-07-07T01:06:00Z</cp:lastPrinted>
  <dcterms:modified xsi:type="dcterms:W3CDTF">2025-07-07T04:34:51Z</dcterms:modified>
  <dc:title>常山县地下管线探测项目</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3E18327A3C6D4BE1B5084C1CE870E2E9_13</vt:lpwstr>
  </property>
  <property fmtid="{D5CDD505-2E9C-101B-9397-08002B2CF9AE}" pid="4" name="KSOTemplateDocerSaveRecord">
    <vt:lpwstr>eyJoZGlkIjoiMWY3ZWVhZTNjNTY4ZmQzY2E2OWI1ZDhhMjRlODAwZTQiLCJ1c2VySWQiOiIxOTc5NDQyMzYifQ==</vt:lpwstr>
  </property>
</Properties>
</file>