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58B5E3">
      <w:pPr>
        <w:jc w:val="center"/>
        <w:rPr>
          <w:rFonts w:hint="eastAsia" w:ascii="仿宋" w:hAnsi="仿宋" w:eastAsia="仿宋" w:cs="仿宋"/>
          <w:b/>
          <w:color w:val="auto"/>
          <w:sz w:val="84"/>
          <w:szCs w:val="84"/>
        </w:rPr>
      </w:pPr>
    </w:p>
    <w:p w14:paraId="371F3D80">
      <w:pPr>
        <w:pStyle w:val="62"/>
        <w:jc w:val="center"/>
        <w:rPr>
          <w:rFonts w:hint="eastAsia" w:ascii="仿宋" w:hAnsi="仿宋" w:eastAsia="仿宋" w:cs="仿宋"/>
          <w:color w:val="auto"/>
        </w:rPr>
      </w:pPr>
      <w:r>
        <w:rPr>
          <w:rFonts w:hint="eastAsia" w:ascii="仿宋" w:hAnsi="仿宋" w:eastAsia="仿宋" w:cs="仿宋"/>
          <w:b/>
          <w:bCs/>
          <w:color w:val="auto"/>
          <w:w w:val="90"/>
          <w:sz w:val="44"/>
          <w:szCs w:val="44"/>
          <w:lang w:eastAsia="zh-CN"/>
        </w:rPr>
        <w:t>常山港城区内河道堤岸及河面清洁服务项目</w:t>
      </w:r>
    </w:p>
    <w:p w14:paraId="2F97AA88">
      <w:pPr>
        <w:pStyle w:val="62"/>
        <w:rPr>
          <w:rFonts w:hint="eastAsia" w:ascii="仿宋" w:hAnsi="仿宋" w:eastAsia="仿宋" w:cs="仿宋"/>
          <w:color w:val="auto"/>
        </w:rPr>
      </w:pPr>
    </w:p>
    <w:p w14:paraId="1B20E38B">
      <w:pPr>
        <w:pStyle w:val="62"/>
        <w:rPr>
          <w:rFonts w:hint="eastAsia" w:ascii="仿宋" w:hAnsi="仿宋" w:eastAsia="仿宋" w:cs="仿宋"/>
          <w:color w:val="auto"/>
        </w:rPr>
      </w:pPr>
    </w:p>
    <w:p w14:paraId="15E1A1F6">
      <w:pPr>
        <w:pStyle w:val="62"/>
        <w:rPr>
          <w:rFonts w:hint="eastAsia" w:ascii="仿宋" w:hAnsi="仿宋" w:eastAsia="仿宋" w:cs="仿宋"/>
          <w:color w:val="auto"/>
        </w:rPr>
      </w:pPr>
    </w:p>
    <w:p w14:paraId="2646F519">
      <w:pPr>
        <w:jc w:val="center"/>
        <w:rPr>
          <w:rFonts w:hint="eastAsia" w:ascii="仿宋" w:hAnsi="仿宋" w:eastAsia="仿宋" w:cs="仿宋"/>
          <w:b/>
          <w:color w:val="auto"/>
          <w:sz w:val="84"/>
          <w:szCs w:val="84"/>
        </w:rPr>
      </w:pPr>
    </w:p>
    <w:p w14:paraId="2017F0CF">
      <w:pPr>
        <w:jc w:val="center"/>
        <w:rPr>
          <w:rFonts w:hint="eastAsia" w:ascii="仿宋" w:hAnsi="仿宋" w:eastAsia="仿宋" w:cs="仿宋"/>
          <w:b/>
          <w:color w:val="auto"/>
          <w:sz w:val="84"/>
          <w:szCs w:val="84"/>
        </w:rPr>
      </w:pPr>
      <w:r>
        <w:rPr>
          <w:rFonts w:hint="eastAsia" w:ascii="仿宋" w:hAnsi="仿宋" w:eastAsia="仿宋" w:cs="仿宋"/>
          <w:b/>
          <w:color w:val="auto"/>
          <w:sz w:val="84"/>
          <w:szCs w:val="84"/>
        </w:rPr>
        <w:t>采购文件</w:t>
      </w:r>
    </w:p>
    <w:p w14:paraId="67517628">
      <w:pPr>
        <w:jc w:val="center"/>
        <w:rPr>
          <w:rFonts w:hint="eastAsia" w:ascii="仿宋" w:hAnsi="仿宋" w:eastAsia="仿宋" w:cs="仿宋"/>
          <w:b/>
          <w:color w:val="auto"/>
          <w:sz w:val="18"/>
          <w:szCs w:val="18"/>
        </w:rPr>
      </w:pPr>
    </w:p>
    <w:p w14:paraId="56678614">
      <w:pPr>
        <w:spacing w:line="360" w:lineRule="auto"/>
        <w:jc w:val="center"/>
        <w:rPr>
          <w:rFonts w:hint="eastAsia" w:ascii="仿宋" w:hAnsi="仿宋" w:eastAsia="仿宋" w:cs="仿宋"/>
          <w:color w:val="auto"/>
          <w:sz w:val="36"/>
          <w:szCs w:val="36"/>
          <w:lang w:val="en-US"/>
        </w:rPr>
      </w:pPr>
      <w:r>
        <w:rPr>
          <w:rFonts w:hint="eastAsia" w:ascii="仿宋" w:hAnsi="仿宋" w:eastAsia="仿宋" w:cs="仿宋"/>
          <w:color w:val="auto"/>
          <w:sz w:val="36"/>
          <w:szCs w:val="36"/>
        </w:rPr>
        <w:t>项目编号：</w:t>
      </w:r>
      <w:r>
        <w:rPr>
          <w:rFonts w:hint="eastAsia" w:ascii="仿宋" w:hAnsi="仿宋" w:eastAsia="仿宋" w:cs="仿宋"/>
          <w:color w:val="auto"/>
          <w:sz w:val="36"/>
          <w:szCs w:val="36"/>
          <w:lang w:eastAsia="zh-CN"/>
        </w:rPr>
        <w:t>ZSCG202546-GK32</w:t>
      </w:r>
    </w:p>
    <w:p w14:paraId="57C09FF7">
      <w:pPr>
        <w:tabs>
          <w:tab w:val="left" w:pos="5960"/>
        </w:tabs>
        <w:spacing w:line="360" w:lineRule="auto"/>
        <w:jc w:val="center"/>
        <w:rPr>
          <w:rFonts w:hint="eastAsia" w:ascii="仿宋" w:hAnsi="仿宋" w:eastAsia="仿宋" w:cs="仿宋"/>
          <w:color w:val="auto"/>
          <w:sz w:val="28"/>
          <w:szCs w:val="28"/>
        </w:rPr>
      </w:pPr>
    </w:p>
    <w:p w14:paraId="36EA50A3">
      <w:pPr>
        <w:spacing w:line="360" w:lineRule="auto"/>
        <w:jc w:val="center"/>
        <w:rPr>
          <w:rFonts w:hint="eastAsia" w:ascii="仿宋" w:hAnsi="仿宋" w:eastAsia="仿宋" w:cs="仿宋"/>
          <w:color w:val="auto"/>
          <w:sz w:val="28"/>
          <w:szCs w:val="28"/>
        </w:rPr>
      </w:pPr>
    </w:p>
    <w:p w14:paraId="15AB9C9F">
      <w:pPr>
        <w:spacing w:line="360" w:lineRule="auto"/>
        <w:jc w:val="center"/>
        <w:rPr>
          <w:rFonts w:hint="eastAsia" w:ascii="仿宋" w:hAnsi="仿宋" w:eastAsia="仿宋" w:cs="仿宋"/>
          <w:color w:val="auto"/>
          <w:sz w:val="28"/>
          <w:szCs w:val="28"/>
        </w:rPr>
      </w:pPr>
    </w:p>
    <w:p w14:paraId="1156B654">
      <w:pPr>
        <w:spacing w:line="360" w:lineRule="auto"/>
        <w:jc w:val="center"/>
        <w:rPr>
          <w:rFonts w:hint="eastAsia" w:ascii="仿宋" w:hAnsi="仿宋" w:eastAsia="仿宋" w:cs="仿宋"/>
          <w:color w:val="auto"/>
          <w:sz w:val="28"/>
          <w:szCs w:val="28"/>
        </w:rPr>
      </w:pPr>
    </w:p>
    <w:p w14:paraId="3BA91036">
      <w:pPr>
        <w:spacing w:line="360" w:lineRule="auto"/>
        <w:jc w:val="center"/>
        <w:rPr>
          <w:rFonts w:hint="eastAsia" w:ascii="仿宋" w:hAnsi="仿宋" w:eastAsia="仿宋" w:cs="仿宋"/>
          <w:color w:val="auto"/>
          <w:sz w:val="28"/>
          <w:szCs w:val="28"/>
        </w:rPr>
      </w:pPr>
    </w:p>
    <w:p w14:paraId="37A11238">
      <w:pPr>
        <w:pStyle w:val="18"/>
        <w:rPr>
          <w:rFonts w:hint="eastAsia"/>
        </w:rPr>
      </w:pPr>
    </w:p>
    <w:p w14:paraId="1D094267">
      <w:pPr>
        <w:spacing w:line="360" w:lineRule="auto"/>
        <w:ind w:firstLine="1551" w:firstLineChars="554"/>
        <w:rPr>
          <w:rFonts w:hint="eastAsia" w:ascii="仿宋" w:hAnsi="仿宋" w:eastAsia="仿宋" w:cs="仿宋"/>
          <w:color w:val="auto"/>
          <w:sz w:val="28"/>
          <w:szCs w:val="28"/>
          <w:lang w:eastAsia="zh-CN"/>
        </w:rPr>
      </w:pPr>
      <w:r>
        <w:rPr>
          <w:rFonts w:hint="eastAsia" w:ascii="仿宋" w:hAnsi="仿宋" w:eastAsia="仿宋" w:cs="仿宋"/>
          <w:color w:val="auto"/>
          <w:sz w:val="28"/>
          <w:szCs w:val="28"/>
        </w:rPr>
        <w:t>采购单位：</w:t>
      </w:r>
      <w:r>
        <w:rPr>
          <w:rFonts w:hint="eastAsia" w:ascii="仿宋" w:hAnsi="仿宋" w:eastAsia="仿宋" w:cs="仿宋"/>
          <w:color w:val="auto"/>
          <w:sz w:val="28"/>
          <w:szCs w:val="28"/>
          <w:lang w:eastAsia="zh-CN"/>
        </w:rPr>
        <w:t>常山县林业水利局</w:t>
      </w:r>
    </w:p>
    <w:p w14:paraId="5F34B812">
      <w:pPr>
        <w:spacing w:line="360" w:lineRule="auto"/>
        <w:ind w:firstLine="1551" w:firstLineChars="554"/>
        <w:rPr>
          <w:rFonts w:hint="eastAsia" w:ascii="仿宋" w:hAnsi="仿宋" w:eastAsia="仿宋" w:cs="仿宋"/>
          <w:color w:val="auto"/>
          <w:sz w:val="28"/>
          <w:szCs w:val="28"/>
        </w:rPr>
      </w:pPr>
      <w:r>
        <w:rPr>
          <w:rFonts w:hint="eastAsia" w:ascii="仿宋" w:hAnsi="仿宋" w:eastAsia="仿宋" w:cs="仿宋"/>
          <w:color w:val="auto"/>
          <w:sz w:val="28"/>
          <w:szCs w:val="28"/>
        </w:rPr>
        <w:t>代理机构：浙江哲晟工程项目管理有限公司</w:t>
      </w:r>
    </w:p>
    <w:p w14:paraId="4FF150F8">
      <w:pPr>
        <w:spacing w:line="360" w:lineRule="auto"/>
        <w:jc w:val="center"/>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2025年</w:t>
      </w:r>
      <w:r>
        <w:rPr>
          <w:rFonts w:hint="eastAsia" w:ascii="仿宋" w:hAnsi="仿宋" w:eastAsia="仿宋" w:cs="仿宋"/>
          <w:color w:val="auto"/>
          <w:sz w:val="32"/>
          <w:szCs w:val="32"/>
          <w:lang w:val="en-US" w:eastAsia="zh-CN"/>
        </w:rPr>
        <w:t>07</w:t>
      </w:r>
      <w:r>
        <w:rPr>
          <w:rFonts w:hint="eastAsia" w:ascii="仿宋" w:hAnsi="仿宋" w:eastAsia="仿宋" w:cs="仿宋"/>
          <w:color w:val="auto"/>
          <w:sz w:val="32"/>
          <w:szCs w:val="32"/>
          <w:lang w:eastAsia="zh-CN"/>
        </w:rPr>
        <w:t>月</w:t>
      </w:r>
    </w:p>
    <w:p w14:paraId="02AF6B93">
      <w:pPr>
        <w:jc w:val="center"/>
        <w:rPr>
          <w:rFonts w:hint="eastAsia" w:ascii="仿宋" w:hAnsi="仿宋" w:eastAsia="仿宋" w:cs="仿宋"/>
          <w:bCs/>
          <w:color w:val="auto"/>
          <w:sz w:val="44"/>
          <w:szCs w:val="44"/>
        </w:rPr>
      </w:pPr>
      <w:r>
        <w:rPr>
          <w:rFonts w:hint="eastAsia" w:ascii="仿宋" w:hAnsi="仿宋" w:eastAsia="仿宋" w:cs="仿宋"/>
          <w:bCs/>
          <w:color w:val="auto"/>
          <w:sz w:val="44"/>
          <w:szCs w:val="44"/>
        </w:rPr>
        <w:br w:type="page"/>
      </w:r>
    </w:p>
    <w:p w14:paraId="2D58DF1B">
      <w:pPr>
        <w:pStyle w:val="26"/>
        <w:jc w:val="center"/>
        <w:rPr>
          <w:rFonts w:hint="eastAsia" w:ascii="仿宋" w:hAnsi="仿宋" w:eastAsia="仿宋" w:cs="仿宋"/>
          <w:bCs/>
          <w:color w:val="auto"/>
          <w:sz w:val="44"/>
          <w:szCs w:val="44"/>
        </w:rPr>
      </w:pPr>
      <w:r>
        <w:rPr>
          <w:rFonts w:hint="eastAsia" w:ascii="仿宋" w:hAnsi="仿宋" w:eastAsia="仿宋" w:cs="仿宋"/>
          <w:bCs/>
          <w:color w:val="auto"/>
          <w:sz w:val="44"/>
          <w:szCs w:val="44"/>
        </w:rPr>
        <w:t>目  录</w:t>
      </w:r>
    </w:p>
    <w:p w14:paraId="4C29301B">
      <w:pPr>
        <w:pStyle w:val="26"/>
        <w:spacing w:line="360" w:lineRule="auto"/>
        <w:jc w:val="center"/>
        <w:rPr>
          <w:rFonts w:hint="eastAsia" w:ascii="仿宋" w:hAnsi="仿宋" w:eastAsia="仿宋" w:cs="仿宋"/>
          <w:b/>
          <w:bCs/>
          <w:color w:val="auto"/>
          <w:sz w:val="18"/>
          <w:szCs w:val="18"/>
        </w:rPr>
      </w:pPr>
    </w:p>
    <w:p w14:paraId="18B178E8">
      <w:pPr>
        <w:pStyle w:val="34"/>
        <w:tabs>
          <w:tab w:val="right" w:leader="dot" w:pos="8306"/>
        </w:tabs>
      </w:pPr>
      <w:r>
        <w:rPr>
          <w:rFonts w:hint="eastAsia" w:ascii="仿宋" w:hAnsi="仿宋" w:eastAsia="仿宋" w:cs="仿宋"/>
          <w:color w:val="auto"/>
          <w:sz w:val="18"/>
          <w:szCs w:val="18"/>
        </w:rPr>
        <w:fldChar w:fldCharType="begin"/>
      </w:r>
      <w:r>
        <w:rPr>
          <w:rFonts w:hint="eastAsia" w:ascii="仿宋" w:hAnsi="仿宋" w:eastAsia="仿宋" w:cs="仿宋"/>
          <w:color w:val="auto"/>
          <w:sz w:val="18"/>
          <w:szCs w:val="18"/>
        </w:rPr>
        <w:instrText xml:space="preserve"> TOC \o "1-3" \h \z \u </w:instrText>
      </w:r>
      <w:r>
        <w:rPr>
          <w:rFonts w:hint="eastAsia" w:ascii="仿宋" w:hAnsi="仿宋" w:eastAsia="仿宋" w:cs="仿宋"/>
          <w:color w:val="auto"/>
          <w:sz w:val="18"/>
          <w:szCs w:val="18"/>
        </w:rPr>
        <w:fldChar w:fldCharType="separate"/>
      </w:r>
      <w:r>
        <w:rPr>
          <w:rFonts w:hint="eastAsia" w:ascii="仿宋" w:hAnsi="仿宋" w:eastAsia="仿宋" w:cs="仿宋"/>
          <w:color w:val="auto"/>
          <w:szCs w:val="18"/>
        </w:rPr>
        <w:fldChar w:fldCharType="begin"/>
      </w:r>
      <w:r>
        <w:rPr>
          <w:rFonts w:hint="eastAsia" w:ascii="仿宋" w:hAnsi="仿宋" w:eastAsia="仿宋" w:cs="仿宋"/>
          <w:szCs w:val="18"/>
        </w:rPr>
        <w:instrText xml:space="preserve"> HYPERLINK \l _Toc5712 </w:instrText>
      </w:r>
      <w:r>
        <w:rPr>
          <w:rFonts w:hint="eastAsia" w:ascii="仿宋" w:hAnsi="仿宋" w:eastAsia="仿宋" w:cs="仿宋"/>
          <w:szCs w:val="18"/>
        </w:rPr>
        <w:fldChar w:fldCharType="separate"/>
      </w:r>
      <w:r>
        <w:rPr>
          <w:rFonts w:hint="eastAsia" w:ascii="仿宋" w:hAnsi="仿宋" w:eastAsia="仿宋" w:cs="仿宋"/>
          <w:szCs w:val="30"/>
          <w:lang w:val="zh-CN" w:eastAsia="zh-CN"/>
        </w:rPr>
        <w:t>第一章  招标公告</w:t>
      </w:r>
      <w:r>
        <w:tab/>
      </w:r>
      <w:r>
        <w:fldChar w:fldCharType="begin"/>
      </w:r>
      <w:r>
        <w:instrText xml:space="preserve"> PAGEREF _Toc5712 \h </w:instrText>
      </w:r>
      <w:r>
        <w:fldChar w:fldCharType="separate"/>
      </w:r>
      <w:r>
        <w:t>3</w:t>
      </w:r>
      <w:r>
        <w:fldChar w:fldCharType="end"/>
      </w:r>
      <w:r>
        <w:rPr>
          <w:rFonts w:hint="eastAsia" w:ascii="仿宋" w:hAnsi="仿宋" w:eastAsia="仿宋" w:cs="仿宋"/>
          <w:color w:val="auto"/>
          <w:szCs w:val="18"/>
        </w:rPr>
        <w:fldChar w:fldCharType="end"/>
      </w:r>
    </w:p>
    <w:p w14:paraId="63488867">
      <w:pPr>
        <w:pStyle w:val="34"/>
        <w:tabs>
          <w:tab w:val="right" w:leader="dot" w:pos="8306"/>
        </w:tabs>
      </w:pPr>
      <w:r>
        <w:rPr>
          <w:rFonts w:hint="eastAsia" w:ascii="仿宋" w:hAnsi="仿宋" w:eastAsia="仿宋" w:cs="仿宋"/>
          <w:color w:val="auto"/>
          <w:szCs w:val="18"/>
        </w:rPr>
        <w:fldChar w:fldCharType="begin"/>
      </w:r>
      <w:r>
        <w:rPr>
          <w:rFonts w:hint="eastAsia" w:ascii="仿宋" w:hAnsi="仿宋" w:eastAsia="仿宋" w:cs="仿宋"/>
          <w:szCs w:val="18"/>
        </w:rPr>
        <w:instrText xml:space="preserve"> HYPERLINK \l _Toc19852 </w:instrText>
      </w:r>
      <w:r>
        <w:rPr>
          <w:rFonts w:hint="eastAsia" w:ascii="仿宋" w:hAnsi="仿宋" w:eastAsia="仿宋" w:cs="仿宋"/>
          <w:szCs w:val="18"/>
        </w:rPr>
        <w:fldChar w:fldCharType="separate"/>
      </w:r>
      <w:r>
        <w:rPr>
          <w:rFonts w:hint="eastAsia" w:ascii="仿宋" w:hAnsi="仿宋" w:eastAsia="仿宋" w:cs="仿宋"/>
          <w:szCs w:val="30"/>
          <w:lang w:val="zh-CN" w:eastAsia="zh-CN"/>
        </w:rPr>
        <w:t>第二章  投标人须知</w:t>
      </w:r>
      <w:r>
        <w:tab/>
      </w:r>
      <w:r>
        <w:fldChar w:fldCharType="begin"/>
      </w:r>
      <w:r>
        <w:instrText xml:space="preserve"> PAGEREF _Toc19852 \h </w:instrText>
      </w:r>
      <w:r>
        <w:fldChar w:fldCharType="separate"/>
      </w:r>
      <w:r>
        <w:t>7</w:t>
      </w:r>
      <w:r>
        <w:fldChar w:fldCharType="end"/>
      </w:r>
      <w:r>
        <w:rPr>
          <w:rFonts w:hint="eastAsia" w:ascii="仿宋" w:hAnsi="仿宋" w:eastAsia="仿宋" w:cs="仿宋"/>
          <w:color w:val="auto"/>
          <w:szCs w:val="18"/>
        </w:rPr>
        <w:fldChar w:fldCharType="end"/>
      </w:r>
    </w:p>
    <w:p w14:paraId="26281190">
      <w:pPr>
        <w:pStyle w:val="42"/>
        <w:tabs>
          <w:tab w:val="right" w:leader="dot" w:pos="8306"/>
        </w:tabs>
      </w:pPr>
      <w:r>
        <w:rPr>
          <w:rFonts w:hint="eastAsia" w:ascii="仿宋" w:hAnsi="仿宋" w:eastAsia="仿宋" w:cs="仿宋"/>
          <w:color w:val="auto"/>
          <w:szCs w:val="18"/>
        </w:rPr>
        <w:fldChar w:fldCharType="begin"/>
      </w:r>
      <w:r>
        <w:rPr>
          <w:rFonts w:hint="eastAsia" w:ascii="仿宋" w:hAnsi="仿宋" w:eastAsia="仿宋" w:cs="仿宋"/>
          <w:szCs w:val="18"/>
        </w:rPr>
        <w:instrText xml:space="preserve"> HYPERLINK \l _Toc29180 </w:instrText>
      </w:r>
      <w:r>
        <w:rPr>
          <w:rFonts w:hint="eastAsia" w:ascii="仿宋" w:hAnsi="仿宋" w:eastAsia="仿宋" w:cs="仿宋"/>
          <w:szCs w:val="18"/>
        </w:rPr>
        <w:fldChar w:fldCharType="separate"/>
      </w:r>
      <w:r>
        <w:rPr>
          <w:rFonts w:hint="eastAsia" w:ascii="仿宋" w:hAnsi="仿宋" w:eastAsia="仿宋" w:cs="仿宋"/>
          <w:bCs w:val="0"/>
          <w:szCs w:val="30"/>
          <w:lang w:val="zh-CN"/>
        </w:rPr>
        <w:t>投标人须知前附表</w:t>
      </w:r>
      <w:r>
        <w:tab/>
      </w:r>
      <w:r>
        <w:fldChar w:fldCharType="begin"/>
      </w:r>
      <w:r>
        <w:instrText xml:space="preserve"> PAGEREF _Toc29180 \h </w:instrText>
      </w:r>
      <w:r>
        <w:fldChar w:fldCharType="separate"/>
      </w:r>
      <w:r>
        <w:t>7</w:t>
      </w:r>
      <w:r>
        <w:fldChar w:fldCharType="end"/>
      </w:r>
      <w:r>
        <w:rPr>
          <w:rFonts w:hint="eastAsia" w:ascii="仿宋" w:hAnsi="仿宋" w:eastAsia="仿宋" w:cs="仿宋"/>
          <w:color w:val="auto"/>
          <w:szCs w:val="18"/>
        </w:rPr>
        <w:fldChar w:fldCharType="end"/>
      </w:r>
    </w:p>
    <w:p w14:paraId="7C310DCE">
      <w:pPr>
        <w:pStyle w:val="42"/>
        <w:tabs>
          <w:tab w:val="right" w:leader="dot" w:pos="8306"/>
        </w:tabs>
      </w:pPr>
      <w:r>
        <w:rPr>
          <w:rFonts w:hint="eastAsia" w:ascii="仿宋" w:hAnsi="仿宋" w:eastAsia="仿宋" w:cs="仿宋"/>
          <w:color w:val="auto"/>
          <w:szCs w:val="18"/>
        </w:rPr>
        <w:fldChar w:fldCharType="begin"/>
      </w:r>
      <w:r>
        <w:rPr>
          <w:rFonts w:hint="eastAsia" w:ascii="仿宋" w:hAnsi="仿宋" w:eastAsia="仿宋" w:cs="仿宋"/>
          <w:szCs w:val="18"/>
        </w:rPr>
        <w:instrText xml:space="preserve"> HYPERLINK \l _Toc7215 </w:instrText>
      </w:r>
      <w:r>
        <w:rPr>
          <w:rFonts w:hint="eastAsia" w:ascii="仿宋" w:hAnsi="仿宋" w:eastAsia="仿宋" w:cs="仿宋"/>
          <w:szCs w:val="18"/>
        </w:rPr>
        <w:fldChar w:fldCharType="separate"/>
      </w:r>
      <w:r>
        <w:rPr>
          <w:rFonts w:hint="eastAsia" w:ascii="仿宋" w:hAnsi="仿宋" w:eastAsia="仿宋" w:cs="仿宋"/>
          <w:bCs w:val="0"/>
          <w:szCs w:val="28"/>
          <w:lang w:val="zh-CN"/>
        </w:rPr>
        <w:t>一、综合说明</w:t>
      </w:r>
      <w:r>
        <w:tab/>
      </w:r>
      <w:r>
        <w:fldChar w:fldCharType="begin"/>
      </w:r>
      <w:r>
        <w:instrText xml:space="preserve"> PAGEREF _Toc7215 \h </w:instrText>
      </w:r>
      <w:r>
        <w:fldChar w:fldCharType="separate"/>
      </w:r>
      <w:r>
        <w:t>13</w:t>
      </w:r>
      <w:r>
        <w:fldChar w:fldCharType="end"/>
      </w:r>
      <w:r>
        <w:rPr>
          <w:rFonts w:hint="eastAsia" w:ascii="仿宋" w:hAnsi="仿宋" w:eastAsia="仿宋" w:cs="仿宋"/>
          <w:color w:val="auto"/>
          <w:szCs w:val="18"/>
        </w:rPr>
        <w:fldChar w:fldCharType="end"/>
      </w:r>
    </w:p>
    <w:p w14:paraId="09EFEB0B">
      <w:pPr>
        <w:pStyle w:val="42"/>
        <w:tabs>
          <w:tab w:val="right" w:leader="dot" w:pos="8306"/>
        </w:tabs>
      </w:pPr>
      <w:r>
        <w:rPr>
          <w:rFonts w:hint="eastAsia" w:ascii="仿宋" w:hAnsi="仿宋" w:eastAsia="仿宋" w:cs="仿宋"/>
          <w:color w:val="auto"/>
          <w:szCs w:val="18"/>
        </w:rPr>
        <w:fldChar w:fldCharType="begin"/>
      </w:r>
      <w:r>
        <w:rPr>
          <w:rFonts w:hint="eastAsia" w:ascii="仿宋" w:hAnsi="仿宋" w:eastAsia="仿宋" w:cs="仿宋"/>
          <w:szCs w:val="18"/>
        </w:rPr>
        <w:instrText xml:space="preserve"> HYPERLINK \l _Toc13632 </w:instrText>
      </w:r>
      <w:r>
        <w:rPr>
          <w:rFonts w:hint="eastAsia" w:ascii="仿宋" w:hAnsi="仿宋" w:eastAsia="仿宋" w:cs="仿宋"/>
          <w:szCs w:val="18"/>
        </w:rPr>
        <w:fldChar w:fldCharType="separate"/>
      </w:r>
      <w:r>
        <w:rPr>
          <w:rFonts w:hint="eastAsia" w:ascii="仿宋" w:hAnsi="仿宋" w:eastAsia="仿宋" w:cs="仿宋"/>
          <w:bCs w:val="0"/>
          <w:szCs w:val="28"/>
          <w:lang w:val="zh-CN"/>
        </w:rPr>
        <w:t>二、采购文件</w:t>
      </w:r>
      <w:r>
        <w:tab/>
      </w:r>
      <w:r>
        <w:fldChar w:fldCharType="begin"/>
      </w:r>
      <w:r>
        <w:instrText xml:space="preserve"> PAGEREF _Toc13632 \h </w:instrText>
      </w:r>
      <w:r>
        <w:fldChar w:fldCharType="separate"/>
      </w:r>
      <w:r>
        <w:t>14</w:t>
      </w:r>
      <w:r>
        <w:fldChar w:fldCharType="end"/>
      </w:r>
      <w:r>
        <w:rPr>
          <w:rFonts w:hint="eastAsia" w:ascii="仿宋" w:hAnsi="仿宋" w:eastAsia="仿宋" w:cs="仿宋"/>
          <w:color w:val="auto"/>
          <w:szCs w:val="18"/>
        </w:rPr>
        <w:fldChar w:fldCharType="end"/>
      </w:r>
    </w:p>
    <w:p w14:paraId="13C06F03">
      <w:pPr>
        <w:pStyle w:val="42"/>
        <w:tabs>
          <w:tab w:val="right" w:leader="dot" w:pos="8306"/>
        </w:tabs>
      </w:pPr>
      <w:r>
        <w:rPr>
          <w:rFonts w:hint="eastAsia" w:ascii="仿宋" w:hAnsi="仿宋" w:eastAsia="仿宋" w:cs="仿宋"/>
          <w:color w:val="auto"/>
          <w:szCs w:val="18"/>
        </w:rPr>
        <w:fldChar w:fldCharType="begin"/>
      </w:r>
      <w:r>
        <w:rPr>
          <w:rFonts w:hint="eastAsia" w:ascii="仿宋" w:hAnsi="仿宋" w:eastAsia="仿宋" w:cs="仿宋"/>
          <w:szCs w:val="18"/>
        </w:rPr>
        <w:instrText xml:space="preserve"> HYPERLINK \l _Toc18558 </w:instrText>
      </w:r>
      <w:r>
        <w:rPr>
          <w:rFonts w:hint="eastAsia" w:ascii="仿宋" w:hAnsi="仿宋" w:eastAsia="仿宋" w:cs="仿宋"/>
          <w:szCs w:val="18"/>
        </w:rPr>
        <w:fldChar w:fldCharType="separate"/>
      </w:r>
      <w:r>
        <w:rPr>
          <w:rFonts w:hint="eastAsia" w:ascii="仿宋" w:hAnsi="仿宋" w:eastAsia="仿宋" w:cs="仿宋"/>
          <w:bCs w:val="0"/>
          <w:szCs w:val="28"/>
          <w:lang w:val="zh-CN"/>
        </w:rPr>
        <w:t>三、投标文件</w:t>
      </w:r>
      <w:r>
        <w:tab/>
      </w:r>
      <w:r>
        <w:fldChar w:fldCharType="begin"/>
      </w:r>
      <w:r>
        <w:instrText xml:space="preserve"> PAGEREF _Toc18558 \h </w:instrText>
      </w:r>
      <w:r>
        <w:fldChar w:fldCharType="separate"/>
      </w:r>
      <w:r>
        <w:t>14</w:t>
      </w:r>
      <w:r>
        <w:fldChar w:fldCharType="end"/>
      </w:r>
      <w:r>
        <w:rPr>
          <w:rFonts w:hint="eastAsia" w:ascii="仿宋" w:hAnsi="仿宋" w:eastAsia="仿宋" w:cs="仿宋"/>
          <w:color w:val="auto"/>
          <w:szCs w:val="18"/>
        </w:rPr>
        <w:fldChar w:fldCharType="end"/>
      </w:r>
    </w:p>
    <w:p w14:paraId="7C49DB5B">
      <w:pPr>
        <w:pStyle w:val="42"/>
        <w:tabs>
          <w:tab w:val="right" w:leader="dot" w:pos="8306"/>
        </w:tabs>
      </w:pPr>
      <w:r>
        <w:rPr>
          <w:rFonts w:hint="eastAsia" w:ascii="仿宋" w:hAnsi="仿宋" w:eastAsia="仿宋" w:cs="仿宋"/>
          <w:color w:val="auto"/>
          <w:szCs w:val="18"/>
        </w:rPr>
        <w:fldChar w:fldCharType="begin"/>
      </w:r>
      <w:r>
        <w:rPr>
          <w:rFonts w:hint="eastAsia" w:ascii="仿宋" w:hAnsi="仿宋" w:eastAsia="仿宋" w:cs="仿宋"/>
          <w:szCs w:val="18"/>
        </w:rPr>
        <w:instrText xml:space="preserve"> HYPERLINK \l _Toc17187 </w:instrText>
      </w:r>
      <w:r>
        <w:rPr>
          <w:rFonts w:hint="eastAsia" w:ascii="仿宋" w:hAnsi="仿宋" w:eastAsia="仿宋" w:cs="仿宋"/>
          <w:szCs w:val="18"/>
        </w:rPr>
        <w:fldChar w:fldCharType="separate"/>
      </w:r>
      <w:r>
        <w:rPr>
          <w:rFonts w:hint="eastAsia" w:ascii="仿宋" w:hAnsi="仿宋" w:eastAsia="仿宋" w:cs="仿宋"/>
          <w:bCs w:val="0"/>
          <w:szCs w:val="28"/>
          <w:lang w:val="zh-CN"/>
        </w:rPr>
        <w:t>四、开标</w:t>
      </w:r>
      <w:r>
        <w:tab/>
      </w:r>
      <w:r>
        <w:fldChar w:fldCharType="begin"/>
      </w:r>
      <w:r>
        <w:instrText xml:space="preserve"> PAGEREF _Toc17187 \h </w:instrText>
      </w:r>
      <w:r>
        <w:fldChar w:fldCharType="separate"/>
      </w:r>
      <w:r>
        <w:t>18</w:t>
      </w:r>
      <w:r>
        <w:fldChar w:fldCharType="end"/>
      </w:r>
      <w:r>
        <w:rPr>
          <w:rFonts w:hint="eastAsia" w:ascii="仿宋" w:hAnsi="仿宋" w:eastAsia="仿宋" w:cs="仿宋"/>
          <w:color w:val="auto"/>
          <w:szCs w:val="18"/>
        </w:rPr>
        <w:fldChar w:fldCharType="end"/>
      </w:r>
    </w:p>
    <w:p w14:paraId="1755B1C0">
      <w:pPr>
        <w:pStyle w:val="42"/>
        <w:tabs>
          <w:tab w:val="right" w:leader="dot" w:pos="8306"/>
        </w:tabs>
      </w:pPr>
      <w:r>
        <w:rPr>
          <w:rFonts w:hint="eastAsia" w:ascii="仿宋" w:hAnsi="仿宋" w:eastAsia="仿宋" w:cs="仿宋"/>
          <w:color w:val="auto"/>
          <w:szCs w:val="18"/>
        </w:rPr>
        <w:fldChar w:fldCharType="begin"/>
      </w:r>
      <w:r>
        <w:rPr>
          <w:rFonts w:hint="eastAsia" w:ascii="仿宋" w:hAnsi="仿宋" w:eastAsia="仿宋" w:cs="仿宋"/>
          <w:szCs w:val="18"/>
        </w:rPr>
        <w:instrText xml:space="preserve"> HYPERLINK \l _Toc1798 </w:instrText>
      </w:r>
      <w:r>
        <w:rPr>
          <w:rFonts w:hint="eastAsia" w:ascii="仿宋" w:hAnsi="仿宋" w:eastAsia="仿宋" w:cs="仿宋"/>
          <w:szCs w:val="18"/>
        </w:rPr>
        <w:fldChar w:fldCharType="separate"/>
      </w:r>
      <w:r>
        <w:rPr>
          <w:rFonts w:hint="eastAsia" w:ascii="仿宋" w:hAnsi="仿宋" w:eastAsia="仿宋" w:cs="仿宋"/>
          <w:bCs w:val="0"/>
          <w:szCs w:val="28"/>
          <w:lang w:val="zh-CN"/>
        </w:rPr>
        <w:t>五、评标</w:t>
      </w:r>
      <w:r>
        <w:tab/>
      </w:r>
      <w:r>
        <w:fldChar w:fldCharType="begin"/>
      </w:r>
      <w:r>
        <w:instrText xml:space="preserve"> PAGEREF _Toc1798 \h </w:instrText>
      </w:r>
      <w:r>
        <w:fldChar w:fldCharType="separate"/>
      </w:r>
      <w:r>
        <w:t>19</w:t>
      </w:r>
      <w:r>
        <w:fldChar w:fldCharType="end"/>
      </w:r>
      <w:r>
        <w:rPr>
          <w:rFonts w:hint="eastAsia" w:ascii="仿宋" w:hAnsi="仿宋" w:eastAsia="仿宋" w:cs="仿宋"/>
          <w:color w:val="auto"/>
          <w:szCs w:val="18"/>
        </w:rPr>
        <w:fldChar w:fldCharType="end"/>
      </w:r>
    </w:p>
    <w:p w14:paraId="5F866FFF">
      <w:pPr>
        <w:pStyle w:val="42"/>
        <w:tabs>
          <w:tab w:val="right" w:leader="dot" w:pos="8306"/>
        </w:tabs>
      </w:pPr>
      <w:r>
        <w:rPr>
          <w:rFonts w:hint="eastAsia" w:ascii="仿宋" w:hAnsi="仿宋" w:eastAsia="仿宋" w:cs="仿宋"/>
          <w:color w:val="auto"/>
          <w:szCs w:val="18"/>
        </w:rPr>
        <w:fldChar w:fldCharType="begin"/>
      </w:r>
      <w:r>
        <w:rPr>
          <w:rFonts w:hint="eastAsia" w:ascii="仿宋" w:hAnsi="仿宋" w:eastAsia="仿宋" w:cs="仿宋"/>
          <w:szCs w:val="18"/>
        </w:rPr>
        <w:instrText xml:space="preserve"> HYPERLINK \l _Toc27928 </w:instrText>
      </w:r>
      <w:r>
        <w:rPr>
          <w:rFonts w:hint="eastAsia" w:ascii="仿宋" w:hAnsi="仿宋" w:eastAsia="仿宋" w:cs="仿宋"/>
          <w:szCs w:val="18"/>
        </w:rPr>
        <w:fldChar w:fldCharType="separate"/>
      </w:r>
      <w:r>
        <w:rPr>
          <w:rFonts w:hint="eastAsia" w:ascii="仿宋" w:hAnsi="仿宋" w:eastAsia="仿宋" w:cs="仿宋"/>
          <w:bCs w:val="0"/>
          <w:szCs w:val="28"/>
          <w:lang w:val="zh-CN"/>
        </w:rPr>
        <w:t>六、定标</w:t>
      </w:r>
      <w:r>
        <w:tab/>
      </w:r>
      <w:r>
        <w:fldChar w:fldCharType="begin"/>
      </w:r>
      <w:r>
        <w:instrText xml:space="preserve"> PAGEREF _Toc27928 \h </w:instrText>
      </w:r>
      <w:r>
        <w:fldChar w:fldCharType="separate"/>
      </w:r>
      <w:r>
        <w:t>21</w:t>
      </w:r>
      <w:r>
        <w:fldChar w:fldCharType="end"/>
      </w:r>
      <w:r>
        <w:rPr>
          <w:rFonts w:hint="eastAsia" w:ascii="仿宋" w:hAnsi="仿宋" w:eastAsia="仿宋" w:cs="仿宋"/>
          <w:color w:val="auto"/>
          <w:szCs w:val="18"/>
        </w:rPr>
        <w:fldChar w:fldCharType="end"/>
      </w:r>
    </w:p>
    <w:p w14:paraId="67847000">
      <w:pPr>
        <w:pStyle w:val="42"/>
        <w:tabs>
          <w:tab w:val="right" w:leader="dot" w:pos="8306"/>
        </w:tabs>
      </w:pPr>
      <w:r>
        <w:rPr>
          <w:rFonts w:hint="eastAsia" w:ascii="仿宋" w:hAnsi="仿宋" w:eastAsia="仿宋" w:cs="仿宋"/>
          <w:color w:val="auto"/>
          <w:szCs w:val="18"/>
        </w:rPr>
        <w:fldChar w:fldCharType="begin"/>
      </w:r>
      <w:r>
        <w:rPr>
          <w:rFonts w:hint="eastAsia" w:ascii="仿宋" w:hAnsi="仿宋" w:eastAsia="仿宋" w:cs="仿宋"/>
          <w:szCs w:val="18"/>
        </w:rPr>
        <w:instrText xml:space="preserve"> HYPERLINK \l _Toc32288 </w:instrText>
      </w:r>
      <w:r>
        <w:rPr>
          <w:rFonts w:hint="eastAsia" w:ascii="仿宋" w:hAnsi="仿宋" w:eastAsia="仿宋" w:cs="仿宋"/>
          <w:szCs w:val="18"/>
        </w:rPr>
        <w:fldChar w:fldCharType="separate"/>
      </w:r>
      <w:r>
        <w:rPr>
          <w:rFonts w:hint="eastAsia" w:ascii="仿宋" w:hAnsi="仿宋" w:eastAsia="仿宋" w:cs="仿宋"/>
          <w:bCs w:val="0"/>
          <w:szCs w:val="28"/>
          <w:lang w:val="zh-CN"/>
        </w:rPr>
        <w:t>七、合同授予</w:t>
      </w:r>
      <w:r>
        <w:tab/>
      </w:r>
      <w:r>
        <w:fldChar w:fldCharType="begin"/>
      </w:r>
      <w:r>
        <w:instrText xml:space="preserve"> PAGEREF _Toc32288 \h </w:instrText>
      </w:r>
      <w:r>
        <w:fldChar w:fldCharType="separate"/>
      </w:r>
      <w:r>
        <w:t>22</w:t>
      </w:r>
      <w:r>
        <w:fldChar w:fldCharType="end"/>
      </w:r>
      <w:r>
        <w:rPr>
          <w:rFonts w:hint="eastAsia" w:ascii="仿宋" w:hAnsi="仿宋" w:eastAsia="仿宋" w:cs="仿宋"/>
          <w:color w:val="auto"/>
          <w:szCs w:val="18"/>
        </w:rPr>
        <w:fldChar w:fldCharType="end"/>
      </w:r>
    </w:p>
    <w:p w14:paraId="5F5095EC">
      <w:pPr>
        <w:pStyle w:val="42"/>
        <w:tabs>
          <w:tab w:val="right" w:leader="dot" w:pos="8306"/>
        </w:tabs>
      </w:pPr>
      <w:r>
        <w:rPr>
          <w:rFonts w:hint="eastAsia" w:ascii="仿宋" w:hAnsi="仿宋" w:eastAsia="仿宋" w:cs="仿宋"/>
          <w:color w:val="auto"/>
          <w:szCs w:val="18"/>
        </w:rPr>
        <w:fldChar w:fldCharType="begin"/>
      </w:r>
      <w:r>
        <w:rPr>
          <w:rFonts w:hint="eastAsia" w:ascii="仿宋" w:hAnsi="仿宋" w:eastAsia="仿宋" w:cs="仿宋"/>
          <w:szCs w:val="18"/>
        </w:rPr>
        <w:instrText xml:space="preserve"> HYPERLINK \l _Toc14334 </w:instrText>
      </w:r>
      <w:r>
        <w:rPr>
          <w:rFonts w:hint="eastAsia" w:ascii="仿宋" w:hAnsi="仿宋" w:eastAsia="仿宋" w:cs="仿宋"/>
          <w:szCs w:val="18"/>
        </w:rPr>
        <w:fldChar w:fldCharType="separate"/>
      </w:r>
      <w:r>
        <w:rPr>
          <w:rFonts w:hint="eastAsia" w:ascii="仿宋" w:hAnsi="仿宋" w:eastAsia="仿宋" w:cs="仿宋"/>
          <w:bCs w:val="0"/>
          <w:szCs w:val="28"/>
          <w:lang w:val="zh-CN" w:eastAsia="zh-CN"/>
        </w:rPr>
        <w:t>八</w:t>
      </w:r>
      <w:r>
        <w:rPr>
          <w:rFonts w:hint="eastAsia" w:ascii="仿宋" w:hAnsi="仿宋" w:eastAsia="仿宋" w:cs="仿宋"/>
          <w:bCs w:val="0"/>
          <w:szCs w:val="28"/>
          <w:lang w:val="zh-CN"/>
        </w:rPr>
        <w:t>、政府采购扶持政策说明</w:t>
      </w:r>
      <w:r>
        <w:tab/>
      </w:r>
      <w:r>
        <w:fldChar w:fldCharType="begin"/>
      </w:r>
      <w:r>
        <w:instrText xml:space="preserve"> PAGEREF _Toc14334 \h </w:instrText>
      </w:r>
      <w:r>
        <w:fldChar w:fldCharType="separate"/>
      </w:r>
      <w:r>
        <w:t>22</w:t>
      </w:r>
      <w:r>
        <w:fldChar w:fldCharType="end"/>
      </w:r>
      <w:r>
        <w:rPr>
          <w:rFonts w:hint="eastAsia" w:ascii="仿宋" w:hAnsi="仿宋" w:eastAsia="仿宋" w:cs="仿宋"/>
          <w:color w:val="auto"/>
          <w:szCs w:val="18"/>
        </w:rPr>
        <w:fldChar w:fldCharType="end"/>
      </w:r>
    </w:p>
    <w:p w14:paraId="2A857651">
      <w:pPr>
        <w:pStyle w:val="34"/>
        <w:tabs>
          <w:tab w:val="right" w:leader="dot" w:pos="8306"/>
        </w:tabs>
      </w:pPr>
      <w:r>
        <w:rPr>
          <w:rFonts w:hint="eastAsia" w:ascii="仿宋" w:hAnsi="仿宋" w:eastAsia="仿宋" w:cs="仿宋"/>
          <w:color w:val="auto"/>
          <w:szCs w:val="18"/>
        </w:rPr>
        <w:fldChar w:fldCharType="begin"/>
      </w:r>
      <w:r>
        <w:rPr>
          <w:rFonts w:hint="eastAsia" w:ascii="仿宋" w:hAnsi="仿宋" w:eastAsia="仿宋" w:cs="仿宋"/>
          <w:szCs w:val="18"/>
        </w:rPr>
        <w:instrText xml:space="preserve"> HYPERLINK \l _Toc24432 </w:instrText>
      </w:r>
      <w:r>
        <w:rPr>
          <w:rFonts w:hint="eastAsia" w:ascii="仿宋" w:hAnsi="仿宋" w:eastAsia="仿宋" w:cs="仿宋"/>
          <w:szCs w:val="18"/>
        </w:rPr>
        <w:fldChar w:fldCharType="separate"/>
      </w:r>
      <w:r>
        <w:rPr>
          <w:rFonts w:hint="eastAsia" w:ascii="仿宋" w:hAnsi="仿宋" w:eastAsia="仿宋" w:cs="仿宋"/>
          <w:szCs w:val="32"/>
          <w:highlight w:val="none"/>
          <w:lang w:val="zh-CN" w:eastAsia="zh-CN"/>
        </w:rPr>
        <w:t>第三章</w:t>
      </w:r>
      <w:r>
        <w:rPr>
          <w:rFonts w:hint="eastAsia" w:ascii="仿宋" w:hAnsi="仿宋" w:eastAsia="仿宋" w:cs="仿宋"/>
          <w:szCs w:val="32"/>
          <w:highlight w:val="none"/>
          <w:lang w:val="en-US" w:eastAsia="zh-CN"/>
        </w:rPr>
        <w:t xml:space="preserve"> </w:t>
      </w:r>
      <w:r>
        <w:rPr>
          <w:rFonts w:hint="eastAsia" w:ascii="仿宋" w:hAnsi="仿宋" w:eastAsia="仿宋" w:cs="仿宋"/>
          <w:szCs w:val="32"/>
          <w:highlight w:val="none"/>
          <w:lang w:val="zh-CN" w:eastAsia="zh-CN"/>
        </w:rPr>
        <w:t xml:space="preserve"> 采购内容及要求</w:t>
      </w:r>
      <w:r>
        <w:tab/>
      </w:r>
      <w:r>
        <w:fldChar w:fldCharType="begin"/>
      </w:r>
      <w:r>
        <w:instrText xml:space="preserve"> PAGEREF _Toc24432 \h </w:instrText>
      </w:r>
      <w:r>
        <w:fldChar w:fldCharType="separate"/>
      </w:r>
      <w:r>
        <w:t>31</w:t>
      </w:r>
      <w:r>
        <w:fldChar w:fldCharType="end"/>
      </w:r>
      <w:r>
        <w:rPr>
          <w:rFonts w:hint="eastAsia" w:ascii="仿宋" w:hAnsi="仿宋" w:eastAsia="仿宋" w:cs="仿宋"/>
          <w:color w:val="auto"/>
          <w:szCs w:val="18"/>
        </w:rPr>
        <w:fldChar w:fldCharType="end"/>
      </w:r>
    </w:p>
    <w:p w14:paraId="6599CA0E">
      <w:pPr>
        <w:pStyle w:val="42"/>
        <w:tabs>
          <w:tab w:val="right" w:leader="dot" w:pos="8306"/>
        </w:tabs>
      </w:pPr>
      <w:r>
        <w:rPr>
          <w:rFonts w:hint="eastAsia" w:ascii="仿宋" w:hAnsi="仿宋" w:eastAsia="仿宋" w:cs="仿宋"/>
          <w:color w:val="auto"/>
          <w:szCs w:val="18"/>
        </w:rPr>
        <w:fldChar w:fldCharType="begin"/>
      </w:r>
      <w:r>
        <w:rPr>
          <w:rFonts w:hint="eastAsia" w:ascii="仿宋" w:hAnsi="仿宋" w:eastAsia="仿宋" w:cs="仿宋"/>
          <w:szCs w:val="18"/>
        </w:rPr>
        <w:instrText xml:space="preserve"> HYPERLINK \l _Toc22050 </w:instrText>
      </w:r>
      <w:r>
        <w:rPr>
          <w:rFonts w:hint="eastAsia" w:ascii="仿宋" w:hAnsi="仿宋" w:eastAsia="仿宋" w:cs="仿宋"/>
          <w:szCs w:val="18"/>
        </w:rPr>
        <w:fldChar w:fldCharType="separate"/>
      </w:r>
      <w:r>
        <w:rPr>
          <w:rFonts w:hint="eastAsia" w:ascii="仿宋" w:hAnsi="仿宋" w:eastAsia="仿宋" w:cs="仿宋"/>
          <w:bCs/>
          <w:szCs w:val="28"/>
          <w:lang w:eastAsia="zh-CN"/>
        </w:rPr>
        <w:t>一、</w:t>
      </w:r>
      <w:r>
        <w:rPr>
          <w:rFonts w:hint="eastAsia" w:ascii="仿宋" w:hAnsi="仿宋" w:eastAsia="仿宋" w:cs="仿宋"/>
          <w:bCs/>
          <w:szCs w:val="28"/>
        </w:rPr>
        <w:t>采购内</w:t>
      </w:r>
      <w:r>
        <w:rPr>
          <w:rFonts w:hint="eastAsia" w:ascii="仿宋" w:hAnsi="仿宋" w:eastAsia="仿宋" w:cs="仿宋"/>
          <w:bCs/>
          <w:szCs w:val="28"/>
          <w:highlight w:val="none"/>
        </w:rPr>
        <w:t>容</w:t>
      </w:r>
      <w:r>
        <w:tab/>
      </w:r>
      <w:r>
        <w:fldChar w:fldCharType="begin"/>
      </w:r>
      <w:r>
        <w:instrText xml:space="preserve"> PAGEREF _Toc22050 \h </w:instrText>
      </w:r>
      <w:r>
        <w:fldChar w:fldCharType="separate"/>
      </w:r>
      <w:r>
        <w:t>31</w:t>
      </w:r>
      <w:r>
        <w:fldChar w:fldCharType="end"/>
      </w:r>
      <w:r>
        <w:rPr>
          <w:rFonts w:hint="eastAsia" w:ascii="仿宋" w:hAnsi="仿宋" w:eastAsia="仿宋" w:cs="仿宋"/>
          <w:color w:val="auto"/>
          <w:szCs w:val="18"/>
        </w:rPr>
        <w:fldChar w:fldCharType="end"/>
      </w:r>
    </w:p>
    <w:p w14:paraId="259ECDB7">
      <w:pPr>
        <w:pStyle w:val="42"/>
        <w:tabs>
          <w:tab w:val="right" w:leader="dot" w:pos="8306"/>
        </w:tabs>
      </w:pPr>
      <w:r>
        <w:rPr>
          <w:rFonts w:hint="eastAsia" w:ascii="仿宋" w:hAnsi="仿宋" w:eastAsia="仿宋" w:cs="仿宋"/>
          <w:color w:val="auto"/>
          <w:szCs w:val="18"/>
        </w:rPr>
        <w:fldChar w:fldCharType="begin"/>
      </w:r>
      <w:r>
        <w:rPr>
          <w:rFonts w:hint="eastAsia" w:ascii="仿宋" w:hAnsi="仿宋" w:eastAsia="仿宋" w:cs="仿宋"/>
          <w:szCs w:val="18"/>
        </w:rPr>
        <w:instrText xml:space="preserve"> HYPERLINK \l _Toc9828 </w:instrText>
      </w:r>
      <w:r>
        <w:rPr>
          <w:rFonts w:hint="eastAsia" w:ascii="仿宋" w:hAnsi="仿宋" w:eastAsia="仿宋" w:cs="仿宋"/>
          <w:szCs w:val="18"/>
        </w:rPr>
        <w:fldChar w:fldCharType="separate"/>
      </w:r>
      <w:r>
        <w:rPr>
          <w:rFonts w:hint="eastAsia" w:ascii="仿宋" w:hAnsi="仿宋" w:eastAsia="仿宋" w:cs="仿宋"/>
          <w:bCs/>
          <w:szCs w:val="28"/>
          <w:lang w:eastAsia="zh-CN"/>
        </w:rPr>
        <w:t>二、相关标准</w:t>
      </w:r>
      <w:r>
        <w:tab/>
      </w:r>
      <w:r>
        <w:fldChar w:fldCharType="begin"/>
      </w:r>
      <w:r>
        <w:instrText xml:space="preserve"> PAGEREF _Toc9828 \h </w:instrText>
      </w:r>
      <w:r>
        <w:fldChar w:fldCharType="separate"/>
      </w:r>
      <w:r>
        <w:t>31</w:t>
      </w:r>
      <w:r>
        <w:fldChar w:fldCharType="end"/>
      </w:r>
      <w:r>
        <w:rPr>
          <w:rFonts w:hint="eastAsia" w:ascii="仿宋" w:hAnsi="仿宋" w:eastAsia="仿宋" w:cs="仿宋"/>
          <w:color w:val="auto"/>
          <w:szCs w:val="18"/>
        </w:rPr>
        <w:fldChar w:fldCharType="end"/>
      </w:r>
    </w:p>
    <w:p w14:paraId="0269334F">
      <w:pPr>
        <w:pStyle w:val="42"/>
        <w:tabs>
          <w:tab w:val="right" w:leader="dot" w:pos="8306"/>
        </w:tabs>
      </w:pPr>
      <w:r>
        <w:rPr>
          <w:rFonts w:hint="eastAsia" w:ascii="仿宋" w:hAnsi="仿宋" w:eastAsia="仿宋" w:cs="仿宋"/>
          <w:color w:val="auto"/>
          <w:szCs w:val="18"/>
        </w:rPr>
        <w:fldChar w:fldCharType="begin"/>
      </w:r>
      <w:r>
        <w:rPr>
          <w:rFonts w:hint="eastAsia" w:ascii="仿宋" w:hAnsi="仿宋" w:eastAsia="仿宋" w:cs="仿宋"/>
          <w:szCs w:val="18"/>
        </w:rPr>
        <w:instrText xml:space="preserve"> HYPERLINK \l _Toc26184 </w:instrText>
      </w:r>
      <w:r>
        <w:rPr>
          <w:rFonts w:hint="eastAsia" w:ascii="仿宋" w:hAnsi="仿宋" w:eastAsia="仿宋" w:cs="仿宋"/>
          <w:szCs w:val="18"/>
        </w:rPr>
        <w:fldChar w:fldCharType="separate"/>
      </w:r>
      <w:r>
        <w:rPr>
          <w:rFonts w:hint="eastAsia" w:ascii="仿宋" w:hAnsi="仿宋" w:eastAsia="仿宋" w:cs="仿宋"/>
          <w:bCs/>
          <w:szCs w:val="28"/>
          <w:lang w:val="zh-CN" w:eastAsia="zh-CN"/>
        </w:rPr>
        <w:t>三、保洁考核处罚与奖励</w:t>
      </w:r>
      <w:r>
        <w:tab/>
      </w:r>
      <w:r>
        <w:fldChar w:fldCharType="begin"/>
      </w:r>
      <w:r>
        <w:instrText xml:space="preserve"> PAGEREF _Toc26184 \h </w:instrText>
      </w:r>
      <w:r>
        <w:fldChar w:fldCharType="separate"/>
      </w:r>
      <w:r>
        <w:t>32</w:t>
      </w:r>
      <w:r>
        <w:fldChar w:fldCharType="end"/>
      </w:r>
      <w:r>
        <w:rPr>
          <w:rFonts w:hint="eastAsia" w:ascii="仿宋" w:hAnsi="仿宋" w:eastAsia="仿宋" w:cs="仿宋"/>
          <w:color w:val="auto"/>
          <w:szCs w:val="18"/>
        </w:rPr>
        <w:fldChar w:fldCharType="end"/>
      </w:r>
    </w:p>
    <w:p w14:paraId="0FD848A1">
      <w:pPr>
        <w:pStyle w:val="42"/>
        <w:tabs>
          <w:tab w:val="right" w:leader="dot" w:pos="8306"/>
        </w:tabs>
      </w:pPr>
      <w:r>
        <w:rPr>
          <w:rFonts w:hint="eastAsia" w:ascii="仿宋" w:hAnsi="仿宋" w:eastAsia="仿宋" w:cs="仿宋"/>
          <w:color w:val="auto"/>
          <w:szCs w:val="18"/>
        </w:rPr>
        <w:fldChar w:fldCharType="begin"/>
      </w:r>
      <w:r>
        <w:rPr>
          <w:rFonts w:hint="eastAsia" w:ascii="仿宋" w:hAnsi="仿宋" w:eastAsia="仿宋" w:cs="仿宋"/>
          <w:szCs w:val="18"/>
        </w:rPr>
        <w:instrText xml:space="preserve"> HYPERLINK \l _Toc27538 </w:instrText>
      </w:r>
      <w:r>
        <w:rPr>
          <w:rFonts w:hint="eastAsia" w:ascii="仿宋" w:hAnsi="仿宋" w:eastAsia="仿宋" w:cs="仿宋"/>
          <w:szCs w:val="18"/>
        </w:rPr>
        <w:fldChar w:fldCharType="separate"/>
      </w:r>
      <w:r>
        <w:rPr>
          <w:rFonts w:hint="eastAsia" w:ascii="仿宋" w:hAnsi="仿宋" w:eastAsia="仿宋" w:cs="仿宋"/>
          <w:bCs/>
          <w:szCs w:val="28"/>
          <w:lang w:eastAsia="zh-CN"/>
        </w:rPr>
        <w:t>四、安全责任</w:t>
      </w:r>
      <w:r>
        <w:tab/>
      </w:r>
      <w:r>
        <w:fldChar w:fldCharType="begin"/>
      </w:r>
      <w:r>
        <w:instrText xml:space="preserve"> PAGEREF _Toc27538 \h </w:instrText>
      </w:r>
      <w:r>
        <w:fldChar w:fldCharType="separate"/>
      </w:r>
      <w:r>
        <w:t>32</w:t>
      </w:r>
      <w:r>
        <w:fldChar w:fldCharType="end"/>
      </w:r>
      <w:r>
        <w:rPr>
          <w:rFonts w:hint="eastAsia" w:ascii="仿宋" w:hAnsi="仿宋" w:eastAsia="仿宋" w:cs="仿宋"/>
          <w:color w:val="auto"/>
          <w:szCs w:val="18"/>
        </w:rPr>
        <w:fldChar w:fldCharType="end"/>
      </w:r>
    </w:p>
    <w:p w14:paraId="1F0B9630">
      <w:pPr>
        <w:pStyle w:val="42"/>
        <w:tabs>
          <w:tab w:val="right" w:leader="dot" w:pos="8306"/>
        </w:tabs>
      </w:pPr>
      <w:r>
        <w:rPr>
          <w:rFonts w:hint="eastAsia" w:ascii="仿宋" w:hAnsi="仿宋" w:eastAsia="仿宋" w:cs="仿宋"/>
          <w:color w:val="auto"/>
          <w:szCs w:val="18"/>
        </w:rPr>
        <w:fldChar w:fldCharType="begin"/>
      </w:r>
      <w:r>
        <w:rPr>
          <w:rFonts w:hint="eastAsia" w:ascii="仿宋" w:hAnsi="仿宋" w:eastAsia="仿宋" w:cs="仿宋"/>
          <w:szCs w:val="18"/>
        </w:rPr>
        <w:instrText xml:space="preserve"> HYPERLINK \l _Toc18437 </w:instrText>
      </w:r>
      <w:r>
        <w:rPr>
          <w:rFonts w:hint="eastAsia" w:ascii="仿宋" w:hAnsi="仿宋" w:eastAsia="仿宋" w:cs="仿宋"/>
          <w:szCs w:val="18"/>
        </w:rPr>
        <w:fldChar w:fldCharType="separate"/>
      </w:r>
      <w:r>
        <w:rPr>
          <w:rFonts w:hint="eastAsia" w:ascii="仿宋" w:hAnsi="仿宋" w:eastAsia="仿宋" w:cs="仿宋"/>
          <w:bCs/>
          <w:szCs w:val="28"/>
          <w:lang w:val="zh-CN" w:eastAsia="zh-CN"/>
        </w:rPr>
        <w:t>五、商务条款</w:t>
      </w:r>
      <w:r>
        <w:tab/>
      </w:r>
      <w:r>
        <w:fldChar w:fldCharType="begin"/>
      </w:r>
      <w:r>
        <w:instrText xml:space="preserve"> PAGEREF _Toc18437 \h </w:instrText>
      </w:r>
      <w:r>
        <w:fldChar w:fldCharType="separate"/>
      </w:r>
      <w:r>
        <w:t>33</w:t>
      </w:r>
      <w:r>
        <w:fldChar w:fldCharType="end"/>
      </w:r>
      <w:r>
        <w:rPr>
          <w:rFonts w:hint="eastAsia" w:ascii="仿宋" w:hAnsi="仿宋" w:eastAsia="仿宋" w:cs="仿宋"/>
          <w:color w:val="auto"/>
          <w:szCs w:val="18"/>
        </w:rPr>
        <w:fldChar w:fldCharType="end"/>
      </w:r>
    </w:p>
    <w:p w14:paraId="5708A43B">
      <w:pPr>
        <w:pStyle w:val="34"/>
        <w:tabs>
          <w:tab w:val="right" w:leader="dot" w:pos="8306"/>
        </w:tabs>
      </w:pPr>
      <w:r>
        <w:rPr>
          <w:rFonts w:hint="eastAsia" w:ascii="仿宋" w:hAnsi="仿宋" w:eastAsia="仿宋" w:cs="仿宋"/>
          <w:color w:val="auto"/>
          <w:szCs w:val="18"/>
        </w:rPr>
        <w:fldChar w:fldCharType="begin"/>
      </w:r>
      <w:r>
        <w:rPr>
          <w:rFonts w:hint="eastAsia" w:ascii="仿宋" w:hAnsi="仿宋" w:eastAsia="仿宋" w:cs="仿宋"/>
          <w:szCs w:val="18"/>
        </w:rPr>
        <w:instrText xml:space="preserve"> HYPERLINK \l _Toc31784 </w:instrText>
      </w:r>
      <w:r>
        <w:rPr>
          <w:rFonts w:hint="eastAsia" w:ascii="仿宋" w:hAnsi="仿宋" w:eastAsia="仿宋" w:cs="仿宋"/>
          <w:szCs w:val="18"/>
        </w:rPr>
        <w:fldChar w:fldCharType="separate"/>
      </w:r>
      <w:r>
        <w:rPr>
          <w:rFonts w:hint="eastAsia" w:ascii="仿宋" w:hAnsi="仿宋" w:eastAsia="仿宋" w:cs="仿宋"/>
          <w:szCs w:val="30"/>
          <w:lang w:val="zh-CN" w:eastAsia="zh-CN"/>
        </w:rPr>
        <w:t>第四章  合同文本</w:t>
      </w:r>
      <w:r>
        <w:tab/>
      </w:r>
      <w:r>
        <w:fldChar w:fldCharType="begin"/>
      </w:r>
      <w:r>
        <w:instrText xml:space="preserve"> PAGEREF _Toc31784 \h </w:instrText>
      </w:r>
      <w:r>
        <w:fldChar w:fldCharType="separate"/>
      </w:r>
      <w:r>
        <w:t>34</w:t>
      </w:r>
      <w:r>
        <w:fldChar w:fldCharType="end"/>
      </w:r>
      <w:r>
        <w:rPr>
          <w:rFonts w:hint="eastAsia" w:ascii="仿宋" w:hAnsi="仿宋" w:eastAsia="仿宋" w:cs="仿宋"/>
          <w:color w:val="auto"/>
          <w:szCs w:val="18"/>
        </w:rPr>
        <w:fldChar w:fldCharType="end"/>
      </w:r>
    </w:p>
    <w:p w14:paraId="13BC61D6">
      <w:pPr>
        <w:pStyle w:val="34"/>
        <w:tabs>
          <w:tab w:val="right" w:leader="dot" w:pos="8306"/>
        </w:tabs>
      </w:pPr>
      <w:r>
        <w:rPr>
          <w:rFonts w:hint="eastAsia" w:ascii="仿宋" w:hAnsi="仿宋" w:eastAsia="仿宋" w:cs="仿宋"/>
          <w:color w:val="auto"/>
          <w:szCs w:val="18"/>
        </w:rPr>
        <w:fldChar w:fldCharType="begin"/>
      </w:r>
      <w:r>
        <w:rPr>
          <w:rFonts w:hint="eastAsia" w:ascii="仿宋" w:hAnsi="仿宋" w:eastAsia="仿宋" w:cs="仿宋"/>
          <w:szCs w:val="18"/>
        </w:rPr>
        <w:instrText xml:space="preserve"> HYPERLINK \l _Toc6135 </w:instrText>
      </w:r>
      <w:r>
        <w:rPr>
          <w:rFonts w:hint="eastAsia" w:ascii="仿宋" w:hAnsi="仿宋" w:eastAsia="仿宋" w:cs="仿宋"/>
          <w:szCs w:val="18"/>
        </w:rPr>
        <w:fldChar w:fldCharType="separate"/>
      </w:r>
      <w:r>
        <w:rPr>
          <w:rFonts w:hint="eastAsia" w:ascii="仿宋" w:hAnsi="仿宋" w:eastAsia="仿宋" w:cs="仿宋"/>
          <w:szCs w:val="30"/>
          <w:lang w:val="zh-CN" w:eastAsia="zh-CN"/>
        </w:rPr>
        <w:t>第五章  评标办法及评分标准</w:t>
      </w:r>
      <w:r>
        <w:tab/>
      </w:r>
      <w:r>
        <w:fldChar w:fldCharType="begin"/>
      </w:r>
      <w:r>
        <w:instrText xml:space="preserve"> PAGEREF _Toc6135 \h </w:instrText>
      </w:r>
      <w:r>
        <w:fldChar w:fldCharType="separate"/>
      </w:r>
      <w:r>
        <w:t>42</w:t>
      </w:r>
      <w:r>
        <w:fldChar w:fldCharType="end"/>
      </w:r>
      <w:r>
        <w:rPr>
          <w:rFonts w:hint="eastAsia" w:ascii="仿宋" w:hAnsi="仿宋" w:eastAsia="仿宋" w:cs="仿宋"/>
          <w:color w:val="auto"/>
          <w:szCs w:val="18"/>
        </w:rPr>
        <w:fldChar w:fldCharType="end"/>
      </w:r>
    </w:p>
    <w:p w14:paraId="30EBCBA2">
      <w:pPr>
        <w:pStyle w:val="34"/>
        <w:tabs>
          <w:tab w:val="right" w:leader="dot" w:pos="8306"/>
        </w:tabs>
      </w:pPr>
      <w:r>
        <w:rPr>
          <w:rFonts w:hint="eastAsia" w:ascii="仿宋" w:hAnsi="仿宋" w:eastAsia="仿宋" w:cs="仿宋"/>
          <w:color w:val="auto"/>
          <w:szCs w:val="18"/>
        </w:rPr>
        <w:fldChar w:fldCharType="begin"/>
      </w:r>
      <w:r>
        <w:rPr>
          <w:rFonts w:hint="eastAsia" w:ascii="仿宋" w:hAnsi="仿宋" w:eastAsia="仿宋" w:cs="仿宋"/>
          <w:szCs w:val="18"/>
        </w:rPr>
        <w:instrText xml:space="preserve"> HYPERLINK \l _Toc7634 </w:instrText>
      </w:r>
      <w:r>
        <w:rPr>
          <w:rFonts w:hint="eastAsia" w:ascii="仿宋" w:hAnsi="仿宋" w:eastAsia="仿宋" w:cs="仿宋"/>
          <w:szCs w:val="18"/>
        </w:rPr>
        <w:fldChar w:fldCharType="separate"/>
      </w:r>
      <w:r>
        <w:rPr>
          <w:rFonts w:hint="eastAsia" w:ascii="仿宋" w:hAnsi="仿宋" w:eastAsia="仿宋" w:cs="仿宋"/>
          <w:szCs w:val="30"/>
          <w:lang w:val="zh-CN" w:eastAsia="zh-CN"/>
        </w:rPr>
        <w:t>第六章  投标文件相关格式</w:t>
      </w:r>
      <w:r>
        <w:tab/>
      </w:r>
      <w:r>
        <w:fldChar w:fldCharType="begin"/>
      </w:r>
      <w:r>
        <w:instrText xml:space="preserve"> PAGEREF _Toc7634 \h </w:instrText>
      </w:r>
      <w:r>
        <w:fldChar w:fldCharType="separate"/>
      </w:r>
      <w:r>
        <w:t>45</w:t>
      </w:r>
      <w:r>
        <w:fldChar w:fldCharType="end"/>
      </w:r>
      <w:r>
        <w:rPr>
          <w:rFonts w:hint="eastAsia" w:ascii="仿宋" w:hAnsi="仿宋" w:eastAsia="仿宋" w:cs="仿宋"/>
          <w:color w:val="auto"/>
          <w:szCs w:val="18"/>
        </w:rPr>
        <w:fldChar w:fldCharType="end"/>
      </w:r>
    </w:p>
    <w:p w14:paraId="69D495F1">
      <w:pPr>
        <w:bidi w:val="0"/>
        <w:rPr>
          <w:rFonts w:hint="eastAsia" w:ascii="仿宋" w:hAnsi="仿宋" w:eastAsia="仿宋" w:cs="仿宋"/>
          <w:color w:val="auto"/>
          <w:sz w:val="30"/>
          <w:szCs w:val="30"/>
          <w:lang w:val="zh-CN" w:eastAsia="zh-CN"/>
        </w:rPr>
      </w:pPr>
      <w:r>
        <w:rPr>
          <w:rFonts w:hint="eastAsia" w:ascii="仿宋" w:hAnsi="仿宋" w:eastAsia="仿宋" w:cs="仿宋"/>
          <w:color w:val="auto"/>
          <w:szCs w:val="18"/>
        </w:rPr>
        <w:fldChar w:fldCharType="end"/>
      </w:r>
      <w:bookmarkStart w:id="0" w:name="_Toc544"/>
      <w:r>
        <w:rPr>
          <w:rFonts w:hint="eastAsia" w:ascii="仿宋" w:hAnsi="仿宋" w:eastAsia="仿宋" w:cs="仿宋"/>
          <w:color w:val="auto"/>
          <w:sz w:val="30"/>
          <w:szCs w:val="30"/>
          <w:lang w:val="zh-CN" w:eastAsia="zh-CN"/>
        </w:rPr>
        <w:br w:type="page"/>
      </w:r>
    </w:p>
    <w:p w14:paraId="59889DE3">
      <w:pPr>
        <w:pStyle w:val="47"/>
        <w:spacing w:line="360" w:lineRule="auto"/>
        <w:outlineLvl w:val="0"/>
        <w:rPr>
          <w:rFonts w:hint="eastAsia" w:ascii="仿宋" w:hAnsi="仿宋" w:eastAsia="仿宋" w:cs="仿宋"/>
          <w:color w:val="auto"/>
          <w:sz w:val="30"/>
          <w:szCs w:val="30"/>
          <w:lang w:val="zh-CN" w:eastAsia="zh-CN"/>
        </w:rPr>
      </w:pPr>
      <w:bookmarkStart w:id="1" w:name="_Toc5712"/>
      <w:r>
        <w:rPr>
          <w:rFonts w:hint="eastAsia" w:ascii="仿宋" w:hAnsi="仿宋" w:eastAsia="仿宋" w:cs="仿宋"/>
          <w:color w:val="auto"/>
          <w:sz w:val="30"/>
          <w:szCs w:val="30"/>
          <w:lang w:val="zh-CN" w:eastAsia="zh-CN"/>
        </w:rPr>
        <w:t>第一章  招标公告</w:t>
      </w:r>
      <w:bookmarkEnd w:id="0"/>
      <w:bookmarkEnd w:id="1"/>
    </w:p>
    <w:p w14:paraId="68ADB860">
      <w:pPr>
        <w:keepNext w:val="0"/>
        <w:keepLines w:val="0"/>
        <w:pageBreakBefore w:val="0"/>
        <w:widowControl w:val="0"/>
        <w:pBdr>
          <w:top w:val="single" w:color="auto" w:sz="4" w:space="1"/>
          <w:left w:val="single" w:color="auto" w:sz="4" w:space="4"/>
          <w:bottom w:val="single" w:color="auto" w:sz="4" w:space="0"/>
          <w:right w:val="single" w:color="auto" w:sz="4" w:space="4"/>
          <w:between w:val="single" w:color="auto" w:sz="4" w:space="0"/>
        </w:pBdr>
        <w:kinsoku/>
        <w:overflowPunct/>
        <w:topLinePunct w:val="0"/>
        <w:bidi w:val="0"/>
        <w:snapToGrid/>
        <w:spacing w:line="300" w:lineRule="auto"/>
        <w:rPr>
          <w:rFonts w:hint="eastAsia" w:ascii="仿宋" w:hAnsi="仿宋" w:eastAsia="仿宋" w:cs="仿宋"/>
          <w:color w:val="auto"/>
          <w:szCs w:val="21"/>
        </w:rPr>
      </w:pPr>
      <w:r>
        <w:rPr>
          <w:rFonts w:hint="eastAsia" w:ascii="仿宋" w:hAnsi="仿宋" w:eastAsia="仿宋" w:cs="仿宋"/>
          <w:color w:val="auto"/>
          <w:szCs w:val="21"/>
        </w:rPr>
        <w:t>项目概况</w:t>
      </w:r>
    </w:p>
    <w:p w14:paraId="6FDB6EA3">
      <w:pPr>
        <w:keepNext w:val="0"/>
        <w:keepLines w:val="0"/>
        <w:pageBreakBefore w:val="0"/>
        <w:widowControl w:val="0"/>
        <w:pBdr>
          <w:top w:val="single" w:color="auto" w:sz="4" w:space="1"/>
          <w:left w:val="single" w:color="auto" w:sz="4" w:space="4"/>
          <w:bottom w:val="single" w:color="auto" w:sz="4" w:space="0"/>
          <w:right w:val="single" w:color="auto" w:sz="4" w:space="4"/>
          <w:between w:val="single" w:color="auto" w:sz="4" w:space="0"/>
        </w:pBdr>
        <w:kinsoku/>
        <w:overflowPunct/>
        <w:topLinePunct w:val="0"/>
        <w:bidi w:val="0"/>
        <w:snapToGrid/>
        <w:spacing w:line="300" w:lineRule="auto"/>
        <w:ind w:firstLine="422" w:firstLineChars="200"/>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u w:val="single"/>
          <w:lang w:eastAsia="zh-CN"/>
        </w:rPr>
        <w:t>常山港城区内河道堤岸及河面清洁服务项目</w:t>
      </w:r>
      <w:r>
        <w:rPr>
          <w:rFonts w:hint="eastAsia" w:ascii="仿宋" w:hAnsi="仿宋" w:eastAsia="仿宋" w:cs="仿宋"/>
          <w:color w:val="auto"/>
          <w:szCs w:val="21"/>
          <w:highlight w:val="none"/>
        </w:rPr>
        <w:t>的潜在投标人应在</w:t>
      </w:r>
      <w:r>
        <w:rPr>
          <w:rFonts w:hint="eastAsia" w:ascii="仿宋" w:hAnsi="仿宋" w:eastAsia="仿宋" w:cs="仿宋"/>
          <w:color w:val="auto"/>
          <w:szCs w:val="21"/>
          <w:highlight w:val="none"/>
          <w:u w:val="single"/>
        </w:rPr>
        <w:t>浙江政府采购网（http://zfcg.czt.zj.gov.cn/）</w:t>
      </w:r>
      <w:r>
        <w:rPr>
          <w:rFonts w:hint="eastAsia" w:ascii="仿宋" w:hAnsi="仿宋" w:eastAsia="仿宋" w:cs="仿宋"/>
          <w:color w:val="auto"/>
          <w:szCs w:val="21"/>
          <w:highlight w:val="none"/>
        </w:rPr>
        <w:t>获取采购文件，并于</w:t>
      </w:r>
      <w:r>
        <w:rPr>
          <w:rFonts w:hint="eastAsia" w:ascii="仿宋" w:hAnsi="仿宋" w:eastAsia="仿宋" w:cs="仿宋"/>
          <w:b/>
          <w:color w:val="auto"/>
          <w:szCs w:val="21"/>
          <w:highlight w:val="none"/>
          <w:u w:val="single"/>
          <w:lang w:eastAsia="zh-CN"/>
        </w:rPr>
        <w:t>2025年08月06日09：30</w:t>
      </w:r>
      <w:r>
        <w:rPr>
          <w:rFonts w:hint="eastAsia" w:ascii="仿宋" w:hAnsi="仿宋" w:eastAsia="仿宋" w:cs="仿宋"/>
          <w:bCs/>
          <w:color w:val="auto"/>
          <w:szCs w:val="21"/>
          <w:highlight w:val="none"/>
          <w:u w:val="single"/>
        </w:rPr>
        <w:t>（</w:t>
      </w:r>
      <w:r>
        <w:rPr>
          <w:rFonts w:hint="eastAsia" w:ascii="仿宋" w:hAnsi="仿宋" w:eastAsia="仿宋" w:cs="仿宋"/>
          <w:bCs/>
          <w:color w:val="auto"/>
          <w:szCs w:val="21"/>
          <w:highlight w:val="none"/>
        </w:rPr>
        <w:t>北京时间）前递交（上传）投标文件</w:t>
      </w:r>
      <w:r>
        <w:rPr>
          <w:rFonts w:hint="eastAsia" w:ascii="仿宋" w:hAnsi="仿宋" w:eastAsia="仿宋" w:cs="仿宋"/>
          <w:color w:val="auto"/>
          <w:szCs w:val="21"/>
          <w:highlight w:val="none"/>
        </w:rPr>
        <w:t>。</w:t>
      </w:r>
      <w:bookmarkStart w:id="2" w:name="_Hlk24379207"/>
    </w:p>
    <w:p w14:paraId="078D0BFF">
      <w:pPr>
        <w:keepNext w:val="0"/>
        <w:keepLines w:val="0"/>
        <w:pageBreakBefore w:val="0"/>
        <w:widowControl w:val="0"/>
        <w:kinsoku/>
        <w:overflowPunct/>
        <w:topLinePunct w:val="0"/>
        <w:bidi w:val="0"/>
        <w:snapToGrid/>
        <w:spacing w:line="300" w:lineRule="auto"/>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一、基本情况信息</w:t>
      </w:r>
    </w:p>
    <w:p w14:paraId="1B7B90BE">
      <w:pPr>
        <w:keepNext w:val="0"/>
        <w:keepLines w:val="0"/>
        <w:pageBreakBefore w:val="0"/>
        <w:widowControl w:val="0"/>
        <w:kinsoku/>
        <w:wordWrap/>
        <w:overflowPunct/>
        <w:topLinePunct w:val="0"/>
        <w:bidi w:val="0"/>
        <w:snapToGrid/>
        <w:spacing w:line="300" w:lineRule="auto"/>
        <w:ind w:left="0" w:leftChars="0" w:firstLine="420" w:firstLineChars="200"/>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项目编号：</w:t>
      </w:r>
      <w:r>
        <w:rPr>
          <w:rFonts w:hint="eastAsia" w:ascii="仿宋" w:hAnsi="仿宋" w:eastAsia="仿宋" w:cs="仿宋"/>
          <w:color w:val="auto"/>
          <w:szCs w:val="21"/>
          <w:highlight w:val="none"/>
          <w:lang w:eastAsia="zh-CN"/>
        </w:rPr>
        <w:t>ZSCG202546-GK32</w:t>
      </w:r>
    </w:p>
    <w:p w14:paraId="72948210">
      <w:pPr>
        <w:keepNext w:val="0"/>
        <w:keepLines w:val="0"/>
        <w:pageBreakBefore w:val="0"/>
        <w:widowControl w:val="0"/>
        <w:kinsoku/>
        <w:wordWrap/>
        <w:overflowPunct/>
        <w:topLinePunct w:val="0"/>
        <w:bidi w:val="0"/>
        <w:snapToGrid/>
        <w:spacing w:line="300" w:lineRule="auto"/>
        <w:ind w:left="0" w:leftChars="0" w:firstLine="420" w:firstLineChars="200"/>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项目名称：</w:t>
      </w:r>
      <w:bookmarkEnd w:id="2"/>
      <w:r>
        <w:rPr>
          <w:rFonts w:hint="eastAsia" w:ascii="仿宋" w:hAnsi="仿宋" w:eastAsia="仿宋" w:cs="仿宋"/>
          <w:color w:val="auto"/>
          <w:szCs w:val="21"/>
          <w:highlight w:val="none"/>
          <w:lang w:eastAsia="zh-CN"/>
        </w:rPr>
        <w:t>常山港城区内河道堤岸及河面清洁服务项目</w:t>
      </w:r>
    </w:p>
    <w:p w14:paraId="64A71BF2">
      <w:pPr>
        <w:keepNext w:val="0"/>
        <w:keepLines w:val="0"/>
        <w:pageBreakBefore w:val="0"/>
        <w:widowControl w:val="0"/>
        <w:kinsoku/>
        <w:wordWrap/>
        <w:overflowPunct/>
        <w:topLinePunct w:val="0"/>
        <w:bidi w:val="0"/>
        <w:snapToGrid/>
        <w:spacing w:line="300" w:lineRule="auto"/>
        <w:ind w:left="0" w:leftChars="0" w:firstLine="420" w:firstLineChars="200"/>
        <w:textAlignment w:val="auto"/>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rPr>
        <w:t>预算金额（元）：</w:t>
      </w:r>
      <w:r>
        <w:rPr>
          <w:rFonts w:hint="eastAsia" w:ascii="仿宋" w:hAnsi="仿宋" w:eastAsia="仿宋" w:cs="仿宋"/>
          <w:color w:val="auto"/>
          <w:szCs w:val="21"/>
          <w:highlight w:val="none"/>
          <w:lang w:val="en-US" w:eastAsia="zh-CN"/>
        </w:rPr>
        <w:t>1400000</w:t>
      </w:r>
    </w:p>
    <w:p w14:paraId="763DFBAC">
      <w:pPr>
        <w:keepNext w:val="0"/>
        <w:keepLines w:val="0"/>
        <w:pageBreakBefore w:val="0"/>
        <w:widowControl w:val="0"/>
        <w:kinsoku/>
        <w:wordWrap/>
        <w:overflowPunct/>
        <w:topLinePunct w:val="0"/>
        <w:bidi w:val="0"/>
        <w:snapToGrid/>
        <w:spacing w:line="300" w:lineRule="auto"/>
        <w:ind w:left="0" w:leftChars="0" w:firstLine="420" w:firstLineChars="200"/>
        <w:textAlignment w:val="auto"/>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eastAsia="zh-CN"/>
        </w:rPr>
        <w:t>最高限价</w:t>
      </w:r>
      <w:r>
        <w:rPr>
          <w:rFonts w:hint="eastAsia" w:ascii="仿宋" w:hAnsi="仿宋" w:eastAsia="仿宋" w:cs="仿宋"/>
          <w:color w:val="auto"/>
          <w:szCs w:val="21"/>
          <w:highlight w:val="none"/>
        </w:rPr>
        <w:t>（元）：</w:t>
      </w:r>
      <w:r>
        <w:rPr>
          <w:rFonts w:hint="eastAsia" w:ascii="仿宋" w:hAnsi="仿宋" w:eastAsia="仿宋" w:cs="仿宋"/>
          <w:color w:val="auto"/>
          <w:szCs w:val="21"/>
          <w:highlight w:val="none"/>
          <w:lang w:val="en-US" w:eastAsia="zh-CN"/>
        </w:rPr>
        <w:t>1400000</w:t>
      </w:r>
    </w:p>
    <w:p w14:paraId="52007BA9">
      <w:pPr>
        <w:keepNext w:val="0"/>
        <w:keepLines w:val="0"/>
        <w:pageBreakBefore w:val="0"/>
        <w:widowControl w:val="0"/>
        <w:kinsoku/>
        <w:wordWrap/>
        <w:overflowPunct/>
        <w:topLinePunct w:val="0"/>
        <w:bidi w:val="0"/>
        <w:snapToGrid/>
        <w:spacing w:line="300" w:lineRule="auto"/>
        <w:ind w:left="0" w:leftChars="0" w:firstLine="420" w:firstLineChars="200"/>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采购需求</w:t>
      </w:r>
      <w:r>
        <w:rPr>
          <w:rFonts w:hint="eastAsia" w:ascii="仿宋" w:hAnsi="仿宋" w:eastAsia="仿宋" w:cs="仿宋"/>
          <w:color w:val="auto"/>
          <w:szCs w:val="21"/>
          <w:highlight w:val="none"/>
          <w:lang w:eastAsia="zh-CN"/>
        </w:rPr>
        <w:t>：</w:t>
      </w:r>
    </w:p>
    <w:p w14:paraId="23C0F2F9">
      <w:pPr>
        <w:pStyle w:val="49"/>
        <w:keepNext w:val="0"/>
        <w:keepLines w:val="0"/>
        <w:pageBreakBefore w:val="0"/>
        <w:widowControl w:val="0"/>
        <w:kinsoku/>
        <w:wordWrap/>
        <w:overflowPunct/>
        <w:topLinePunct w:val="0"/>
        <w:bidi w:val="0"/>
        <w:snapToGrid/>
        <w:spacing w:after="0" w:line="300" w:lineRule="auto"/>
        <w:ind w:left="0" w:leftChars="0" w:firstLine="420" w:firstLineChars="200"/>
        <w:textAlignment w:val="auto"/>
        <w:rPr>
          <w:rFonts w:hint="eastAsia" w:ascii="仿宋" w:hAnsi="仿宋" w:eastAsia="仿宋" w:cs="仿宋"/>
          <w:color w:val="auto"/>
          <w:highlight w:val="none"/>
          <w:lang w:eastAsia="zh-CN"/>
        </w:rPr>
      </w:pPr>
    </w:p>
    <w:p w14:paraId="3E81DBE7">
      <w:pPr>
        <w:keepNext w:val="0"/>
        <w:keepLines w:val="0"/>
        <w:pageBreakBefore w:val="0"/>
        <w:widowControl w:val="0"/>
        <w:kinsoku/>
        <w:wordWrap/>
        <w:overflowPunct/>
        <w:topLinePunct w:val="0"/>
        <w:bidi w:val="0"/>
        <w:snapToGrid/>
        <w:spacing w:line="300" w:lineRule="auto"/>
        <w:ind w:left="0" w:leftChars="0" w:firstLine="420" w:firstLineChars="200"/>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标项名称:</w:t>
      </w:r>
      <w:r>
        <w:rPr>
          <w:rFonts w:hint="eastAsia" w:ascii="仿宋" w:hAnsi="仿宋" w:eastAsia="仿宋" w:cs="仿宋"/>
          <w:color w:val="auto"/>
          <w:szCs w:val="21"/>
          <w:highlight w:val="none"/>
          <w:lang w:eastAsia="zh-CN"/>
        </w:rPr>
        <w:t>常山港城区内河道堤岸及河面清洁服务项目</w:t>
      </w:r>
    </w:p>
    <w:p w14:paraId="4B2EDA06">
      <w:pPr>
        <w:keepNext w:val="0"/>
        <w:keepLines w:val="0"/>
        <w:pageBreakBefore w:val="0"/>
        <w:widowControl w:val="0"/>
        <w:kinsoku/>
        <w:wordWrap/>
        <w:overflowPunct/>
        <w:topLinePunct w:val="0"/>
        <w:bidi w:val="0"/>
        <w:snapToGrid/>
        <w:spacing w:line="300" w:lineRule="auto"/>
        <w:ind w:left="0" w:leftChars="0" w:firstLine="420" w:firstLineChars="200"/>
        <w:textAlignment w:val="auto"/>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rPr>
        <w:t>数量:</w:t>
      </w:r>
      <w:r>
        <w:rPr>
          <w:rFonts w:hint="eastAsia" w:ascii="仿宋" w:hAnsi="仿宋" w:eastAsia="仿宋" w:cs="仿宋"/>
          <w:color w:val="auto"/>
          <w:szCs w:val="21"/>
          <w:highlight w:val="none"/>
          <w:lang w:val="en-US" w:eastAsia="zh-CN"/>
        </w:rPr>
        <w:t>1</w:t>
      </w:r>
    </w:p>
    <w:p w14:paraId="3F94E7F1">
      <w:pPr>
        <w:keepNext w:val="0"/>
        <w:keepLines w:val="0"/>
        <w:pageBreakBefore w:val="0"/>
        <w:widowControl w:val="0"/>
        <w:kinsoku/>
        <w:wordWrap/>
        <w:overflowPunct/>
        <w:topLinePunct w:val="0"/>
        <w:bidi w:val="0"/>
        <w:snapToGrid/>
        <w:spacing w:line="300" w:lineRule="auto"/>
        <w:ind w:left="0" w:leftChars="0" w:firstLine="420" w:firstLineChars="200"/>
        <w:textAlignment w:val="auto"/>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rPr>
        <w:t>预算金额（元）:</w:t>
      </w:r>
      <w:r>
        <w:rPr>
          <w:rFonts w:hint="eastAsia" w:ascii="仿宋" w:hAnsi="仿宋" w:eastAsia="仿宋" w:cs="仿宋"/>
          <w:color w:val="auto"/>
          <w:szCs w:val="21"/>
          <w:highlight w:val="none"/>
          <w:lang w:val="en-US" w:eastAsia="zh-CN"/>
        </w:rPr>
        <w:t>1400000</w:t>
      </w:r>
    </w:p>
    <w:p w14:paraId="79707555">
      <w:pPr>
        <w:keepNext w:val="0"/>
        <w:keepLines w:val="0"/>
        <w:pageBreakBefore w:val="0"/>
        <w:widowControl w:val="0"/>
        <w:kinsoku/>
        <w:wordWrap/>
        <w:overflowPunct/>
        <w:topLinePunct w:val="0"/>
        <w:bidi w:val="0"/>
        <w:snapToGrid/>
        <w:spacing w:line="300" w:lineRule="auto"/>
        <w:ind w:left="0" w:leftChars="0" w:firstLine="422" w:firstLineChars="200"/>
        <w:textAlignment w:val="auto"/>
        <w:rPr>
          <w:rFonts w:hint="eastAsia" w:ascii="仿宋" w:hAnsi="仿宋" w:eastAsia="仿宋" w:cs="仿宋"/>
          <w:b/>
          <w:bCs/>
          <w:color w:val="auto"/>
          <w:szCs w:val="21"/>
          <w:highlight w:val="none"/>
          <w:lang w:eastAsia="zh-CN"/>
        </w:rPr>
      </w:pPr>
      <w:r>
        <w:rPr>
          <w:rFonts w:hint="eastAsia" w:ascii="仿宋" w:hAnsi="仿宋" w:eastAsia="仿宋" w:cs="仿宋"/>
          <w:b/>
          <w:bCs/>
          <w:color w:val="auto"/>
          <w:szCs w:val="21"/>
          <w:highlight w:val="none"/>
        </w:rPr>
        <w:t>简要规格描述或项目基本概况介绍、用途：</w:t>
      </w:r>
      <w:r>
        <w:rPr>
          <w:rFonts w:hint="eastAsia" w:ascii="仿宋" w:hAnsi="仿宋" w:eastAsia="仿宋" w:cs="仿宋"/>
          <w:b/>
          <w:bCs/>
          <w:color w:val="auto"/>
          <w:szCs w:val="21"/>
          <w:highlight w:val="none"/>
          <w:lang w:val="en-US" w:eastAsia="zh-CN"/>
        </w:rPr>
        <w:t>详见采购文件第三章采购内容及要求。</w:t>
      </w:r>
    </w:p>
    <w:p w14:paraId="0BF9F9FB">
      <w:pPr>
        <w:keepNext w:val="0"/>
        <w:keepLines w:val="0"/>
        <w:pageBreakBefore w:val="0"/>
        <w:widowControl w:val="0"/>
        <w:kinsoku/>
        <w:wordWrap/>
        <w:overflowPunct/>
        <w:topLinePunct w:val="0"/>
        <w:bidi w:val="0"/>
        <w:snapToGrid/>
        <w:spacing w:line="300" w:lineRule="auto"/>
        <w:ind w:left="0" w:leftChars="0" w:firstLine="420" w:firstLineChars="200"/>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备注：</w:t>
      </w:r>
    </w:p>
    <w:p w14:paraId="3E6A1E7E">
      <w:pPr>
        <w:keepNext w:val="0"/>
        <w:keepLines w:val="0"/>
        <w:pageBreakBefore w:val="0"/>
        <w:widowControl w:val="0"/>
        <w:kinsoku/>
        <w:wordWrap/>
        <w:overflowPunct/>
        <w:topLinePunct w:val="0"/>
        <w:bidi w:val="0"/>
        <w:snapToGrid/>
        <w:spacing w:line="300" w:lineRule="auto"/>
        <w:ind w:left="0" w:leftChars="0" w:firstLine="420" w:firstLineChars="200"/>
        <w:textAlignment w:val="auto"/>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rPr>
        <w:t>合同履约期限：</w:t>
      </w:r>
      <w:r>
        <w:rPr>
          <w:rFonts w:hint="eastAsia" w:ascii="仿宋" w:hAnsi="仿宋" w:eastAsia="仿宋" w:cs="仿宋"/>
          <w:color w:val="auto"/>
          <w:szCs w:val="21"/>
          <w:highlight w:val="none"/>
          <w:lang w:val="en-US" w:eastAsia="zh-CN"/>
        </w:rPr>
        <w:t>2年，具体起止时间以合同约定为准。</w:t>
      </w:r>
    </w:p>
    <w:p w14:paraId="5C90E129">
      <w:pPr>
        <w:keepNext w:val="0"/>
        <w:keepLines w:val="0"/>
        <w:pageBreakBefore w:val="0"/>
        <w:widowControl w:val="0"/>
        <w:kinsoku/>
        <w:wordWrap/>
        <w:overflowPunct/>
        <w:topLinePunct w:val="0"/>
        <w:bidi w:val="0"/>
        <w:snapToGrid/>
        <w:spacing w:line="300" w:lineRule="auto"/>
        <w:ind w:left="0" w:leftChars="0" w:firstLine="420" w:firstLineChars="200"/>
        <w:textAlignment w:val="auto"/>
        <w:rPr>
          <w:rFonts w:hint="eastAsia" w:ascii="仿宋" w:hAnsi="仿宋" w:eastAsia="仿宋" w:cs="仿宋"/>
          <w:b w:val="0"/>
          <w:bCs w:val="0"/>
          <w:color w:val="auto"/>
          <w:szCs w:val="21"/>
          <w:highlight w:val="none"/>
        </w:rPr>
      </w:pPr>
      <w:r>
        <w:rPr>
          <w:rFonts w:hint="eastAsia" w:ascii="仿宋" w:hAnsi="仿宋" w:eastAsia="仿宋" w:cs="仿宋"/>
          <w:b w:val="0"/>
          <w:bCs w:val="0"/>
          <w:color w:val="auto"/>
          <w:szCs w:val="21"/>
          <w:highlight w:val="none"/>
        </w:rPr>
        <w:t>本项目</w:t>
      </w:r>
      <w:r>
        <w:rPr>
          <w:rFonts w:hint="eastAsia" w:ascii="仿宋" w:hAnsi="仿宋" w:eastAsia="仿宋" w:cs="仿宋"/>
          <w:b w:val="0"/>
          <w:bCs w:val="0"/>
          <w:color w:val="auto"/>
          <w:szCs w:val="21"/>
          <w:highlight w:val="none"/>
          <w:lang w:eastAsia="zh-CN"/>
        </w:rPr>
        <w:t>（否）接受</w:t>
      </w:r>
      <w:r>
        <w:rPr>
          <w:rFonts w:hint="eastAsia" w:ascii="仿宋" w:hAnsi="仿宋" w:eastAsia="仿宋" w:cs="仿宋"/>
          <w:b w:val="0"/>
          <w:bCs w:val="0"/>
          <w:color w:val="auto"/>
          <w:szCs w:val="21"/>
          <w:highlight w:val="none"/>
        </w:rPr>
        <w:t>联合体投标。</w:t>
      </w:r>
    </w:p>
    <w:p w14:paraId="312EF38C">
      <w:pPr>
        <w:keepNext w:val="0"/>
        <w:keepLines w:val="0"/>
        <w:pageBreakBefore w:val="0"/>
        <w:widowControl w:val="0"/>
        <w:kinsoku/>
        <w:overflowPunct/>
        <w:topLinePunct w:val="0"/>
        <w:bidi w:val="0"/>
        <w:snapToGrid/>
        <w:spacing w:line="300" w:lineRule="auto"/>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二、</w:t>
      </w:r>
      <w:bookmarkStart w:id="3" w:name="_Toc28359004"/>
      <w:bookmarkStart w:id="4" w:name="_Toc28359081"/>
      <w:r>
        <w:rPr>
          <w:rFonts w:hint="eastAsia" w:ascii="仿宋" w:hAnsi="仿宋" w:eastAsia="仿宋" w:cs="仿宋"/>
          <w:b/>
          <w:bCs/>
          <w:color w:val="auto"/>
          <w:szCs w:val="21"/>
          <w:highlight w:val="none"/>
        </w:rPr>
        <w:t>申请人的资格要求</w:t>
      </w:r>
    </w:p>
    <w:p w14:paraId="5D134937">
      <w:pPr>
        <w:keepNext w:val="0"/>
        <w:keepLines w:val="0"/>
        <w:pageBreakBefore w:val="0"/>
        <w:widowControl w:val="0"/>
        <w:kinsoku/>
        <w:wordWrap w:val="0"/>
        <w:overflowPunct/>
        <w:topLinePunct w:val="0"/>
        <w:bidi w:val="0"/>
        <w:snapToGrid/>
        <w:spacing w:line="30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33BF9147">
      <w:pPr>
        <w:keepNext w:val="0"/>
        <w:keepLines w:val="0"/>
        <w:pageBreakBefore w:val="0"/>
        <w:widowControl w:val="0"/>
        <w:kinsoku/>
        <w:overflowPunct/>
        <w:topLinePunct w:val="0"/>
        <w:bidi w:val="0"/>
        <w:snapToGrid/>
        <w:spacing w:line="300" w:lineRule="auto"/>
        <w:ind w:firstLine="420" w:firstLineChars="200"/>
        <w:rPr>
          <w:rFonts w:hint="eastAsia" w:ascii="仿宋" w:hAnsi="仿宋" w:eastAsia="仿宋" w:cs="仿宋"/>
          <w:b/>
          <w:bCs/>
          <w:color w:val="auto"/>
          <w:szCs w:val="21"/>
          <w:highlight w:val="none"/>
          <w:lang w:val="en-US" w:eastAsia="zh-CN"/>
        </w:rPr>
      </w:pPr>
      <w:r>
        <w:rPr>
          <w:rFonts w:hint="eastAsia" w:ascii="仿宋" w:hAnsi="仿宋" w:eastAsia="仿宋" w:cs="仿宋"/>
          <w:color w:val="auto"/>
          <w:szCs w:val="21"/>
          <w:highlight w:val="none"/>
        </w:rPr>
        <w:t>2.落实政府采购政策需满足的资格要求：</w:t>
      </w:r>
      <w:r>
        <w:rPr>
          <w:rFonts w:hint="eastAsia" w:ascii="仿宋" w:hAnsi="仿宋" w:eastAsia="仿宋" w:cs="仿宋"/>
          <w:b/>
          <w:bCs/>
          <w:color w:val="auto"/>
          <w:szCs w:val="21"/>
          <w:highlight w:val="none"/>
          <w:lang w:eastAsia="zh-CN"/>
        </w:rPr>
        <w:t>专门面向中型</w:t>
      </w:r>
      <w:r>
        <w:rPr>
          <w:rFonts w:hint="eastAsia" w:ascii="仿宋" w:hAnsi="仿宋" w:eastAsia="仿宋" w:cs="仿宋"/>
          <w:b/>
          <w:bCs/>
          <w:color w:val="auto"/>
          <w:szCs w:val="21"/>
          <w:highlight w:val="none"/>
          <w:lang w:val="en-US" w:eastAsia="zh-CN"/>
        </w:rPr>
        <w:t>/</w:t>
      </w:r>
      <w:r>
        <w:rPr>
          <w:rFonts w:hint="eastAsia" w:ascii="仿宋" w:hAnsi="仿宋" w:eastAsia="仿宋" w:cs="仿宋"/>
          <w:b/>
          <w:bCs/>
          <w:color w:val="auto"/>
          <w:szCs w:val="21"/>
          <w:highlight w:val="none"/>
          <w:lang w:eastAsia="zh-CN"/>
        </w:rPr>
        <w:t>小型</w:t>
      </w:r>
      <w:r>
        <w:rPr>
          <w:rFonts w:hint="eastAsia" w:ascii="仿宋" w:hAnsi="仿宋" w:eastAsia="仿宋" w:cs="仿宋"/>
          <w:b/>
          <w:bCs/>
          <w:color w:val="auto"/>
          <w:szCs w:val="21"/>
          <w:highlight w:val="none"/>
          <w:lang w:val="en-US" w:eastAsia="zh-CN"/>
        </w:rPr>
        <w:t>/</w:t>
      </w:r>
      <w:r>
        <w:rPr>
          <w:rFonts w:hint="eastAsia" w:ascii="仿宋" w:hAnsi="仿宋" w:eastAsia="仿宋" w:cs="仿宋"/>
          <w:b/>
          <w:bCs/>
          <w:color w:val="auto"/>
          <w:szCs w:val="21"/>
          <w:highlight w:val="none"/>
          <w:lang w:eastAsia="zh-CN"/>
        </w:rPr>
        <w:t>微型企业采购</w:t>
      </w:r>
      <w:r>
        <w:rPr>
          <w:rFonts w:hint="eastAsia" w:ascii="仿宋" w:hAnsi="仿宋" w:eastAsia="仿宋" w:cs="仿宋"/>
          <w:b/>
          <w:bCs/>
          <w:color w:val="auto"/>
          <w:szCs w:val="21"/>
          <w:highlight w:val="none"/>
          <w:lang w:val="en-US" w:eastAsia="zh-CN"/>
        </w:rPr>
        <w:t>，需提供《中小企业声明函》</w:t>
      </w:r>
      <w:r>
        <w:rPr>
          <w:rFonts w:hint="eastAsia" w:ascii="仿宋" w:hAnsi="仿宋" w:eastAsia="仿宋" w:cs="仿宋"/>
          <w:b/>
          <w:bCs/>
          <w:color w:val="auto"/>
          <w:szCs w:val="21"/>
          <w:highlight w:val="none"/>
          <w:lang w:eastAsia="zh-CN"/>
        </w:rPr>
        <w:t>（监狱企业和残疾人福利性单位视同小型、微型企业）</w:t>
      </w:r>
      <w:r>
        <w:rPr>
          <w:rFonts w:hint="eastAsia" w:ascii="仿宋" w:hAnsi="仿宋" w:eastAsia="仿宋" w:cs="仿宋"/>
          <w:b/>
          <w:bCs/>
          <w:color w:val="auto"/>
          <w:szCs w:val="21"/>
          <w:highlight w:val="none"/>
          <w:lang w:val="en-US" w:eastAsia="zh-CN"/>
        </w:rPr>
        <w:t>。</w:t>
      </w:r>
    </w:p>
    <w:p w14:paraId="6CED8874">
      <w:pPr>
        <w:spacing w:line="360" w:lineRule="auto"/>
        <w:ind w:firstLine="420"/>
        <w:rPr>
          <w:rFonts w:hint="eastAsia" w:ascii="仿宋" w:hAnsi="仿宋" w:eastAsia="仿宋" w:cs="仿宋"/>
          <w:b/>
          <w:bCs/>
          <w:color w:val="auto"/>
          <w:szCs w:val="21"/>
          <w:highlight w:val="none"/>
          <w:lang w:val="zh-CN"/>
        </w:rPr>
      </w:pPr>
      <w:r>
        <w:rPr>
          <w:rFonts w:hint="eastAsia" w:ascii="仿宋" w:hAnsi="仿宋" w:eastAsia="仿宋" w:cs="仿宋"/>
          <w:b w:val="0"/>
          <w:bCs w:val="0"/>
          <w:color w:val="auto"/>
          <w:szCs w:val="21"/>
          <w:highlight w:val="none"/>
        </w:rPr>
        <w:t>3.本项目的特定资格要求：</w:t>
      </w:r>
      <w:bookmarkEnd w:id="3"/>
      <w:bookmarkEnd w:id="4"/>
      <w:r>
        <w:rPr>
          <w:rFonts w:hint="eastAsia" w:ascii="仿宋" w:hAnsi="仿宋" w:eastAsia="仿宋" w:cs="仿宋"/>
          <w:b/>
          <w:bCs/>
          <w:color w:val="auto"/>
          <w:szCs w:val="21"/>
          <w:highlight w:val="none"/>
          <w:lang w:eastAsia="zh-CN"/>
        </w:rPr>
        <w:t>无</w:t>
      </w:r>
      <w:r>
        <w:rPr>
          <w:rFonts w:hint="eastAsia" w:ascii="仿宋" w:hAnsi="仿宋" w:eastAsia="仿宋" w:cs="仿宋"/>
          <w:b/>
          <w:bCs/>
          <w:color w:val="auto"/>
          <w:szCs w:val="21"/>
          <w:highlight w:val="none"/>
          <w:shd w:val="clear" w:color="auto" w:fill="auto"/>
        </w:rPr>
        <w:t>。</w:t>
      </w:r>
    </w:p>
    <w:p w14:paraId="182EBE2D">
      <w:pPr>
        <w:keepNext w:val="0"/>
        <w:keepLines w:val="0"/>
        <w:pageBreakBefore w:val="0"/>
        <w:widowControl w:val="0"/>
        <w:kinsoku/>
        <w:overflowPunct/>
        <w:topLinePunct w:val="0"/>
        <w:bidi w:val="0"/>
        <w:snapToGrid/>
        <w:spacing w:line="300" w:lineRule="auto"/>
        <w:textAlignment w:val="baseline"/>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三、获取采购文件</w:t>
      </w:r>
    </w:p>
    <w:p w14:paraId="255F9DCD">
      <w:pPr>
        <w:keepNext w:val="0"/>
        <w:keepLines w:val="0"/>
        <w:pageBreakBefore w:val="0"/>
        <w:widowControl w:val="0"/>
        <w:kinsoku/>
        <w:overflowPunct/>
        <w:topLinePunct w:val="0"/>
        <w:bidi w:val="0"/>
        <w:snapToGrid/>
        <w:spacing w:line="30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highlight w:val="none"/>
          <w:lang w:val="zh-CN"/>
        </w:rPr>
        <w:t>时间：/至</w:t>
      </w:r>
      <w:r>
        <w:rPr>
          <w:rFonts w:hint="eastAsia" w:ascii="仿宋" w:hAnsi="仿宋" w:eastAsia="仿宋" w:cs="仿宋"/>
          <w:b/>
          <w:color w:val="auto"/>
          <w:szCs w:val="21"/>
          <w:highlight w:val="none"/>
          <w:lang w:val="zh-CN"/>
        </w:rPr>
        <w:t>2025年08月06日09：30</w:t>
      </w:r>
      <w:r>
        <w:rPr>
          <w:rFonts w:hint="eastAsia" w:ascii="仿宋" w:hAnsi="仿宋" w:eastAsia="仿宋" w:cs="仿宋"/>
          <w:color w:val="auto"/>
          <w:szCs w:val="21"/>
          <w:highlight w:val="none"/>
          <w:lang w:val="zh-CN"/>
        </w:rPr>
        <w:t>，每天上午00:00至12:00，下</w:t>
      </w:r>
      <w:r>
        <w:rPr>
          <w:rFonts w:hint="eastAsia" w:ascii="仿宋" w:hAnsi="仿宋" w:eastAsia="仿宋" w:cs="仿宋"/>
          <w:color w:val="auto"/>
          <w:szCs w:val="21"/>
          <w:lang w:val="zh-CN"/>
        </w:rPr>
        <w:t>午12:00至23:59（北京时间），法定节假日均可</w:t>
      </w:r>
      <w:r>
        <w:rPr>
          <w:rFonts w:hint="eastAsia" w:ascii="仿宋" w:hAnsi="仿宋" w:eastAsia="仿宋" w:cs="仿宋"/>
          <w:color w:val="auto"/>
          <w:szCs w:val="21"/>
        </w:rPr>
        <w:t>。</w:t>
      </w:r>
    </w:p>
    <w:p w14:paraId="5CB43FE8">
      <w:pPr>
        <w:keepNext w:val="0"/>
        <w:keepLines w:val="0"/>
        <w:pageBreakBefore w:val="0"/>
        <w:widowControl w:val="0"/>
        <w:kinsoku/>
        <w:overflowPunct/>
        <w:topLinePunct w:val="0"/>
        <w:bidi w:val="0"/>
        <w:snapToGrid/>
        <w:spacing w:line="300" w:lineRule="auto"/>
        <w:ind w:firstLine="420" w:firstLineChars="200"/>
        <w:rPr>
          <w:rFonts w:hint="eastAsia" w:ascii="仿宋" w:hAnsi="仿宋" w:eastAsia="仿宋" w:cs="仿宋"/>
          <w:color w:val="auto"/>
          <w:szCs w:val="21"/>
          <w:lang w:val="zh-CN"/>
        </w:rPr>
      </w:pPr>
      <w:r>
        <w:rPr>
          <w:rFonts w:hint="eastAsia" w:ascii="仿宋" w:hAnsi="仿宋" w:eastAsia="仿宋" w:cs="仿宋"/>
          <w:color w:val="auto"/>
          <w:szCs w:val="21"/>
          <w:lang w:val="zh-CN"/>
        </w:rPr>
        <w:t>地点：政府采购云平台（www.zcygov.cn）</w:t>
      </w:r>
    </w:p>
    <w:p w14:paraId="2EB706A2">
      <w:pPr>
        <w:keepNext w:val="0"/>
        <w:keepLines w:val="0"/>
        <w:pageBreakBefore w:val="0"/>
        <w:widowControl w:val="0"/>
        <w:kinsoku/>
        <w:overflowPunct/>
        <w:topLinePunct w:val="0"/>
        <w:bidi w:val="0"/>
        <w:snapToGrid/>
        <w:spacing w:line="300" w:lineRule="auto"/>
        <w:ind w:firstLine="420" w:firstLineChars="200"/>
        <w:rPr>
          <w:rFonts w:hint="eastAsia" w:ascii="仿宋" w:hAnsi="仿宋" w:eastAsia="仿宋" w:cs="仿宋"/>
          <w:color w:val="auto"/>
          <w:szCs w:val="21"/>
          <w:lang w:val="zh-CN"/>
        </w:rPr>
      </w:pPr>
      <w:r>
        <w:rPr>
          <w:rFonts w:hint="eastAsia" w:ascii="仿宋" w:hAnsi="仿宋" w:eastAsia="仿宋" w:cs="仿宋"/>
          <w:color w:val="auto"/>
          <w:szCs w:val="21"/>
          <w:lang w:val="zh-CN"/>
        </w:rPr>
        <w:t>方式：拟参加本项目采购活动的潜在投标人直接登录“政采云”平台（www.zcygov.cn）或点击浙江政府采购网本项目公告附件“潜在供应商--获取采购文件”链接跳转登录后，在线申请获取采购文件（进入“项目采购”应用，在“获取采购文件”菜单中选择本项目并申请获取采购文件）。仅需浏览采购文件的投标人可点击“游客--浏览采购文件”直接下载采购文件用于浏览。</w:t>
      </w:r>
    </w:p>
    <w:p w14:paraId="3ADBFD2E">
      <w:pPr>
        <w:keepNext w:val="0"/>
        <w:keepLines w:val="0"/>
        <w:pageBreakBefore w:val="0"/>
        <w:widowControl w:val="0"/>
        <w:kinsoku/>
        <w:overflowPunct/>
        <w:topLinePunct w:val="0"/>
        <w:bidi w:val="0"/>
        <w:snapToGrid/>
        <w:spacing w:line="300" w:lineRule="auto"/>
        <w:ind w:firstLine="420" w:firstLineChars="200"/>
        <w:rPr>
          <w:rFonts w:hint="eastAsia" w:ascii="仿宋" w:hAnsi="仿宋" w:eastAsia="仿宋" w:cs="仿宋"/>
          <w:color w:val="auto"/>
          <w:szCs w:val="21"/>
          <w:lang w:val="zh-CN"/>
        </w:rPr>
      </w:pPr>
      <w:r>
        <w:rPr>
          <w:rFonts w:hint="eastAsia" w:ascii="仿宋" w:hAnsi="仿宋" w:eastAsia="仿宋" w:cs="仿宋"/>
          <w:color w:val="auto"/>
          <w:szCs w:val="21"/>
          <w:lang w:val="zh-CN"/>
        </w:rPr>
        <w:t>售价（元）：0</w:t>
      </w:r>
    </w:p>
    <w:p w14:paraId="1F91549D">
      <w:pPr>
        <w:keepNext w:val="0"/>
        <w:keepLines w:val="0"/>
        <w:pageBreakBefore w:val="0"/>
        <w:widowControl w:val="0"/>
        <w:kinsoku/>
        <w:overflowPunct/>
        <w:topLinePunct w:val="0"/>
        <w:bidi w:val="0"/>
        <w:snapToGrid/>
        <w:spacing w:line="300" w:lineRule="auto"/>
        <w:rPr>
          <w:rFonts w:hint="eastAsia" w:ascii="仿宋" w:hAnsi="仿宋" w:eastAsia="仿宋" w:cs="仿宋"/>
          <w:b/>
          <w:bCs/>
          <w:color w:val="auto"/>
          <w:szCs w:val="21"/>
          <w:lang w:val="zh-CN"/>
        </w:rPr>
      </w:pPr>
      <w:r>
        <w:rPr>
          <w:rFonts w:hint="eastAsia" w:ascii="仿宋" w:hAnsi="仿宋" w:eastAsia="仿宋" w:cs="仿宋"/>
          <w:b/>
          <w:bCs/>
          <w:color w:val="auto"/>
          <w:szCs w:val="21"/>
          <w:lang w:val="zh-CN"/>
        </w:rPr>
        <w:t>四、提交投标文件截止时间、开标时间和地点</w:t>
      </w:r>
    </w:p>
    <w:p w14:paraId="07CE2346">
      <w:pPr>
        <w:keepNext w:val="0"/>
        <w:keepLines w:val="0"/>
        <w:pageBreakBefore w:val="0"/>
        <w:widowControl w:val="0"/>
        <w:kinsoku/>
        <w:overflowPunct/>
        <w:topLinePunct w:val="0"/>
        <w:bidi w:val="0"/>
        <w:snapToGrid/>
        <w:spacing w:line="300" w:lineRule="auto"/>
        <w:ind w:firstLine="420" w:firstLineChars="200"/>
        <w:rPr>
          <w:rFonts w:hint="eastAsia" w:ascii="仿宋" w:hAnsi="仿宋" w:eastAsia="仿宋" w:cs="仿宋"/>
          <w:color w:val="auto"/>
          <w:szCs w:val="21"/>
          <w:lang w:val="zh-CN"/>
        </w:rPr>
      </w:pPr>
      <w:r>
        <w:rPr>
          <w:rFonts w:hint="eastAsia" w:ascii="仿宋" w:hAnsi="仿宋" w:eastAsia="仿宋" w:cs="仿宋"/>
          <w:color w:val="auto"/>
          <w:szCs w:val="21"/>
          <w:lang w:val="zh-CN"/>
        </w:rPr>
        <w:t>截止时间</w:t>
      </w:r>
      <w:r>
        <w:rPr>
          <w:rFonts w:hint="eastAsia" w:ascii="仿宋" w:hAnsi="仿宋" w:eastAsia="仿宋" w:cs="仿宋"/>
          <w:b/>
          <w:bCs/>
          <w:color w:val="auto"/>
          <w:szCs w:val="21"/>
          <w:lang w:val="zh-CN"/>
        </w:rPr>
        <w:t>：</w:t>
      </w:r>
      <w:r>
        <w:rPr>
          <w:rFonts w:hint="eastAsia" w:ascii="仿宋" w:hAnsi="仿宋" w:eastAsia="仿宋" w:cs="仿宋"/>
          <w:b/>
          <w:color w:val="auto"/>
          <w:szCs w:val="21"/>
          <w:u w:val="single"/>
          <w:lang w:eastAsia="zh-CN"/>
        </w:rPr>
        <w:t>2025年08月06日09：30</w:t>
      </w:r>
      <w:r>
        <w:rPr>
          <w:rFonts w:hint="eastAsia" w:ascii="仿宋" w:hAnsi="仿宋" w:eastAsia="仿宋" w:cs="仿宋"/>
          <w:b/>
          <w:bCs/>
          <w:color w:val="auto"/>
          <w:szCs w:val="21"/>
          <w:lang w:val="zh-CN"/>
        </w:rPr>
        <w:t>（</w:t>
      </w:r>
      <w:r>
        <w:rPr>
          <w:rFonts w:hint="eastAsia" w:ascii="仿宋" w:hAnsi="仿宋" w:eastAsia="仿宋" w:cs="仿宋"/>
          <w:color w:val="auto"/>
          <w:szCs w:val="21"/>
          <w:lang w:val="zh-CN"/>
        </w:rPr>
        <w:t>北京时间）</w:t>
      </w:r>
    </w:p>
    <w:p w14:paraId="296DA0F1">
      <w:pPr>
        <w:keepNext w:val="0"/>
        <w:keepLines w:val="0"/>
        <w:pageBreakBefore w:val="0"/>
        <w:widowControl w:val="0"/>
        <w:kinsoku/>
        <w:overflowPunct/>
        <w:topLinePunct w:val="0"/>
        <w:bidi w:val="0"/>
        <w:snapToGrid/>
        <w:spacing w:line="300" w:lineRule="auto"/>
        <w:ind w:firstLine="420" w:firstLineChars="200"/>
        <w:rPr>
          <w:rFonts w:hint="eastAsia" w:ascii="仿宋" w:hAnsi="仿宋" w:eastAsia="仿宋" w:cs="仿宋"/>
          <w:color w:val="auto"/>
          <w:szCs w:val="21"/>
          <w:lang w:val="zh-CN"/>
        </w:rPr>
      </w:pPr>
      <w:r>
        <w:rPr>
          <w:rFonts w:hint="eastAsia" w:ascii="仿宋" w:hAnsi="仿宋" w:eastAsia="仿宋" w:cs="仿宋"/>
          <w:color w:val="auto"/>
          <w:szCs w:val="21"/>
          <w:lang w:val="zh-CN"/>
        </w:rPr>
        <w:t>投标地点（网址）：投标人应于提交投标文件截止时间前将电子投标文件上传到“政采云”平台（本项目采用线上投标），逾期未上传的将予以拒收。</w:t>
      </w:r>
    </w:p>
    <w:p w14:paraId="653EAAB3">
      <w:pPr>
        <w:keepNext w:val="0"/>
        <w:keepLines w:val="0"/>
        <w:pageBreakBefore w:val="0"/>
        <w:widowControl w:val="0"/>
        <w:kinsoku/>
        <w:overflowPunct/>
        <w:topLinePunct w:val="0"/>
        <w:bidi w:val="0"/>
        <w:snapToGrid/>
        <w:spacing w:line="300" w:lineRule="auto"/>
        <w:ind w:firstLine="420" w:firstLineChars="200"/>
        <w:rPr>
          <w:rFonts w:hint="eastAsia" w:ascii="仿宋" w:hAnsi="仿宋" w:eastAsia="仿宋" w:cs="仿宋"/>
          <w:b/>
          <w:color w:val="auto"/>
          <w:szCs w:val="21"/>
          <w:lang w:val="zh-CN"/>
        </w:rPr>
      </w:pPr>
      <w:r>
        <w:rPr>
          <w:rFonts w:hint="eastAsia" w:ascii="仿宋" w:hAnsi="仿宋" w:eastAsia="仿宋" w:cs="仿宋"/>
          <w:color w:val="auto"/>
          <w:szCs w:val="21"/>
          <w:lang w:val="zh-CN"/>
        </w:rPr>
        <w:t>开标时间：</w:t>
      </w:r>
      <w:r>
        <w:rPr>
          <w:rFonts w:hint="eastAsia" w:ascii="仿宋" w:hAnsi="仿宋" w:eastAsia="仿宋" w:cs="仿宋"/>
          <w:b/>
          <w:color w:val="auto"/>
          <w:szCs w:val="21"/>
          <w:u w:val="single"/>
          <w:lang w:eastAsia="zh-CN"/>
        </w:rPr>
        <w:t>2025年08月06日09：30</w:t>
      </w:r>
    </w:p>
    <w:p w14:paraId="6186F189">
      <w:pPr>
        <w:keepNext w:val="0"/>
        <w:keepLines w:val="0"/>
        <w:pageBreakBefore w:val="0"/>
        <w:widowControl w:val="0"/>
        <w:kinsoku/>
        <w:overflowPunct/>
        <w:topLinePunct w:val="0"/>
        <w:bidi w:val="0"/>
        <w:snapToGrid/>
        <w:spacing w:line="300" w:lineRule="auto"/>
        <w:ind w:firstLine="420" w:firstLineChars="200"/>
        <w:rPr>
          <w:rFonts w:hint="eastAsia" w:ascii="仿宋" w:hAnsi="仿宋" w:eastAsia="仿宋" w:cs="仿宋"/>
          <w:color w:val="auto"/>
          <w:lang w:val="zh-CN"/>
        </w:rPr>
      </w:pPr>
      <w:r>
        <w:rPr>
          <w:rFonts w:hint="eastAsia" w:ascii="仿宋" w:hAnsi="仿宋" w:eastAsia="仿宋" w:cs="仿宋"/>
          <w:color w:val="auto"/>
          <w:szCs w:val="21"/>
          <w:lang w:val="zh-CN"/>
        </w:rPr>
        <w:t>开标地点（网址）：投标人持与制作本项目电子加密投标文件的同一个CA锁在线登录“政府采购云平台（www.zcygov.cn）”本项目开标大厅等候解密（本项目采用线上开评标</w:t>
      </w:r>
      <w:r>
        <w:rPr>
          <w:rFonts w:hint="eastAsia" w:ascii="仿宋" w:hAnsi="仿宋" w:eastAsia="仿宋" w:cs="仿宋"/>
          <w:color w:val="auto"/>
          <w:szCs w:val="21"/>
        </w:rPr>
        <w:t>,投标人代表无须前往评审现场</w:t>
      </w:r>
      <w:r>
        <w:rPr>
          <w:rFonts w:hint="eastAsia" w:ascii="仿宋" w:hAnsi="仿宋" w:eastAsia="仿宋" w:cs="仿宋"/>
          <w:color w:val="auto"/>
          <w:szCs w:val="21"/>
          <w:lang w:val="zh-CN"/>
        </w:rPr>
        <w:t>）。</w:t>
      </w:r>
    </w:p>
    <w:p w14:paraId="68B98DA8">
      <w:pPr>
        <w:keepNext w:val="0"/>
        <w:keepLines w:val="0"/>
        <w:pageBreakBefore w:val="0"/>
        <w:widowControl w:val="0"/>
        <w:kinsoku/>
        <w:overflowPunct/>
        <w:topLinePunct w:val="0"/>
        <w:bidi w:val="0"/>
        <w:snapToGrid/>
        <w:spacing w:line="300" w:lineRule="auto"/>
        <w:rPr>
          <w:rFonts w:hint="eastAsia" w:ascii="仿宋" w:hAnsi="仿宋" w:eastAsia="仿宋" w:cs="仿宋"/>
          <w:b/>
          <w:bCs/>
          <w:color w:val="auto"/>
          <w:szCs w:val="21"/>
          <w:lang w:val="zh-CN"/>
        </w:rPr>
      </w:pPr>
      <w:r>
        <w:rPr>
          <w:rFonts w:hint="eastAsia" w:ascii="仿宋" w:hAnsi="仿宋" w:eastAsia="仿宋" w:cs="仿宋"/>
          <w:b/>
          <w:bCs/>
          <w:color w:val="auto"/>
          <w:szCs w:val="21"/>
          <w:lang w:val="zh-CN"/>
        </w:rPr>
        <w:t>五、公告期限</w:t>
      </w:r>
    </w:p>
    <w:p w14:paraId="067BA4E8">
      <w:pPr>
        <w:keepNext w:val="0"/>
        <w:keepLines w:val="0"/>
        <w:pageBreakBefore w:val="0"/>
        <w:widowControl w:val="0"/>
        <w:kinsoku/>
        <w:overflowPunct/>
        <w:topLinePunct w:val="0"/>
        <w:bidi w:val="0"/>
        <w:snapToGrid/>
        <w:spacing w:line="300" w:lineRule="auto"/>
        <w:ind w:firstLine="420" w:firstLineChars="200"/>
        <w:rPr>
          <w:rFonts w:hint="eastAsia" w:ascii="仿宋" w:hAnsi="仿宋" w:eastAsia="仿宋" w:cs="仿宋"/>
          <w:color w:val="auto"/>
          <w:szCs w:val="21"/>
          <w:lang w:val="zh-CN"/>
        </w:rPr>
      </w:pPr>
      <w:r>
        <w:rPr>
          <w:rFonts w:hint="eastAsia" w:ascii="仿宋" w:hAnsi="仿宋" w:eastAsia="仿宋" w:cs="仿宋"/>
          <w:color w:val="auto"/>
          <w:szCs w:val="21"/>
          <w:lang w:val="zh-CN"/>
        </w:rPr>
        <w:t>自本公告发布之日起5个工作日。</w:t>
      </w:r>
    </w:p>
    <w:p w14:paraId="438FA4A6">
      <w:pPr>
        <w:keepNext w:val="0"/>
        <w:keepLines w:val="0"/>
        <w:pageBreakBefore w:val="0"/>
        <w:widowControl w:val="0"/>
        <w:kinsoku/>
        <w:overflowPunct/>
        <w:topLinePunct w:val="0"/>
        <w:bidi w:val="0"/>
        <w:snapToGrid/>
        <w:spacing w:line="300" w:lineRule="auto"/>
        <w:rPr>
          <w:rFonts w:hint="eastAsia" w:ascii="仿宋" w:hAnsi="仿宋" w:eastAsia="仿宋" w:cs="仿宋"/>
          <w:b/>
          <w:bCs/>
          <w:color w:val="auto"/>
          <w:szCs w:val="21"/>
          <w:lang w:val="zh-CN"/>
        </w:rPr>
      </w:pPr>
      <w:r>
        <w:rPr>
          <w:rFonts w:hint="eastAsia" w:ascii="仿宋" w:hAnsi="仿宋" w:eastAsia="仿宋" w:cs="仿宋"/>
          <w:b/>
          <w:bCs/>
          <w:color w:val="auto"/>
          <w:szCs w:val="21"/>
        </w:rPr>
        <w:t>六</w:t>
      </w:r>
      <w:r>
        <w:rPr>
          <w:rFonts w:hint="eastAsia" w:ascii="仿宋" w:hAnsi="仿宋" w:eastAsia="仿宋" w:cs="仿宋"/>
          <w:b/>
          <w:bCs/>
          <w:color w:val="auto"/>
          <w:szCs w:val="21"/>
          <w:lang w:val="zh-CN"/>
        </w:rPr>
        <w:t>、其他补充事宜</w:t>
      </w:r>
    </w:p>
    <w:p w14:paraId="23CBD145">
      <w:pPr>
        <w:keepNext w:val="0"/>
        <w:keepLines w:val="0"/>
        <w:pageBreakBefore w:val="0"/>
        <w:widowControl w:val="0"/>
        <w:kinsoku/>
        <w:overflowPunct/>
        <w:topLinePunct w:val="0"/>
        <w:bidi w:val="0"/>
        <w:snapToGrid/>
        <w:spacing w:line="30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568FE9BE">
      <w:pPr>
        <w:keepNext w:val="0"/>
        <w:keepLines w:val="0"/>
        <w:pageBreakBefore w:val="0"/>
        <w:widowControl w:val="0"/>
        <w:kinsoku/>
        <w:overflowPunct/>
        <w:topLinePunct w:val="0"/>
        <w:bidi w:val="0"/>
        <w:snapToGrid/>
        <w:spacing w:line="30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w:t>
      </w:r>
      <w:r>
        <w:rPr>
          <w:rFonts w:hint="eastAsia" w:ascii="仿宋" w:hAnsi="仿宋" w:eastAsia="仿宋" w:cs="仿宋"/>
          <w:color w:val="auto"/>
          <w:szCs w:val="21"/>
          <w:lang w:val="en-US" w:eastAsia="zh-CN"/>
        </w:rPr>
        <w:t>务</w:t>
      </w:r>
      <w:r>
        <w:rPr>
          <w:rFonts w:hint="eastAsia" w:ascii="仿宋" w:hAnsi="仿宋" w:eastAsia="仿宋" w:cs="仿宋"/>
          <w:color w:val="auto"/>
          <w:szCs w:val="21"/>
        </w:rPr>
        <w:t>服务网-政府采购投诉处理-在线办理。</w:t>
      </w:r>
    </w:p>
    <w:p w14:paraId="22D1F6E2">
      <w:pPr>
        <w:keepNext w:val="0"/>
        <w:keepLines w:val="0"/>
        <w:pageBreakBefore w:val="0"/>
        <w:widowControl w:val="0"/>
        <w:kinsoku/>
        <w:overflowPunct/>
        <w:topLinePunct w:val="0"/>
        <w:bidi w:val="0"/>
        <w:snapToGrid/>
        <w:spacing w:line="30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w:t>
      </w:r>
      <w:r>
        <w:rPr>
          <w:rFonts w:hint="eastAsia" w:ascii="仿宋" w:hAnsi="仿宋" w:eastAsia="仿宋" w:cs="仿宋"/>
          <w:b/>
          <w:bCs/>
          <w:color w:val="auto"/>
          <w:szCs w:val="21"/>
        </w:rPr>
        <w:t>质疑函范本、投诉书范本请到浙江政府采购网下载专区下载。</w:t>
      </w:r>
    </w:p>
    <w:p w14:paraId="3D1E0632">
      <w:pPr>
        <w:keepNext w:val="0"/>
        <w:keepLines w:val="0"/>
        <w:pageBreakBefore w:val="0"/>
        <w:widowControl w:val="0"/>
        <w:kinsoku/>
        <w:overflowPunct/>
        <w:topLinePunct w:val="0"/>
        <w:bidi w:val="0"/>
        <w:snapToGrid/>
        <w:spacing w:line="30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lang w:val="en-US" w:eastAsia="zh-CN"/>
        </w:rPr>
        <w:t>4</w:t>
      </w:r>
      <w:r>
        <w:rPr>
          <w:rFonts w:hint="eastAsia" w:ascii="仿宋" w:hAnsi="仿宋" w:eastAsia="仿宋" w:cs="仿宋"/>
          <w:color w:val="auto"/>
          <w:szCs w:val="21"/>
        </w:rPr>
        <w:t>.在线投标（电子交易）说明</w:t>
      </w:r>
    </w:p>
    <w:p w14:paraId="663CB2DB">
      <w:pPr>
        <w:keepNext w:val="0"/>
        <w:keepLines w:val="0"/>
        <w:pageBreakBefore w:val="0"/>
        <w:widowControl w:val="0"/>
        <w:kinsoku/>
        <w:wordWrap w:val="0"/>
        <w:overflowPunct/>
        <w:topLinePunct w:val="0"/>
        <w:bidi w:val="0"/>
        <w:snapToGrid/>
        <w:spacing w:line="300" w:lineRule="auto"/>
        <w:ind w:firstLine="420" w:firstLineChars="200"/>
        <w:rPr>
          <w:rFonts w:hint="eastAsia" w:ascii="仿宋" w:hAnsi="仿宋" w:eastAsia="仿宋" w:cs="仿宋"/>
          <w:b/>
          <w:bCs/>
          <w:color w:val="auto"/>
          <w:szCs w:val="21"/>
          <w:lang w:val="en-US" w:eastAsia="zh-CN"/>
        </w:rPr>
      </w:pPr>
      <w:r>
        <w:rPr>
          <w:rFonts w:hint="eastAsia" w:ascii="仿宋" w:hAnsi="仿宋" w:eastAsia="仿宋" w:cs="仿宋"/>
          <w:color w:val="auto"/>
          <w:szCs w:val="21"/>
          <w:lang w:val="en-US" w:eastAsia="zh-CN"/>
        </w:rPr>
        <w:t>4.1投标人应在投标前完成CA数字证书办理。（办理流程详见</w:t>
      </w:r>
      <w:r>
        <w:rPr>
          <w:rFonts w:hint="eastAsia" w:ascii="仿宋" w:hAnsi="仿宋" w:eastAsia="仿宋" w:cs="仿宋"/>
          <w:color w:val="auto"/>
          <w:szCs w:val="21"/>
          <w:lang w:val="en-US" w:eastAsia="zh-CN"/>
        </w:rPr>
        <w:fldChar w:fldCharType="begin"/>
      </w:r>
      <w:r>
        <w:rPr>
          <w:rFonts w:hint="eastAsia" w:ascii="仿宋" w:hAnsi="仿宋" w:eastAsia="仿宋" w:cs="仿宋"/>
          <w:color w:val="auto"/>
          <w:szCs w:val="21"/>
          <w:lang w:val="en-US" w:eastAsia="zh-CN"/>
        </w:rPr>
        <w:instrText xml:space="preserve"> HYPERLINK "http://zfcg.czt.zj.gov.cn/bidClientTemplate/2019-05-27/12945.html" </w:instrText>
      </w:r>
      <w:r>
        <w:rPr>
          <w:rFonts w:hint="eastAsia" w:ascii="仿宋" w:hAnsi="仿宋" w:eastAsia="仿宋" w:cs="仿宋"/>
          <w:color w:val="auto"/>
          <w:szCs w:val="21"/>
          <w:lang w:val="en-US" w:eastAsia="zh-CN"/>
        </w:rPr>
        <w:fldChar w:fldCharType="separate"/>
      </w:r>
      <w:r>
        <w:rPr>
          <w:rFonts w:hint="eastAsia" w:ascii="仿宋" w:hAnsi="仿宋" w:eastAsia="仿宋" w:cs="仿宋"/>
          <w:color w:val="auto"/>
          <w:szCs w:val="21"/>
          <w:lang w:val="en-US" w:eastAsia="zh-CN"/>
        </w:rPr>
        <w:t>http://zfcg.czt.zj.gov.cn/bidClientTemplate/2019-05-27/12945.html</w:t>
      </w:r>
      <w:r>
        <w:rPr>
          <w:rFonts w:hint="eastAsia" w:ascii="仿宋" w:hAnsi="仿宋" w:eastAsia="仿宋" w:cs="仿宋"/>
          <w:color w:val="auto"/>
          <w:szCs w:val="21"/>
          <w:lang w:val="en-US" w:eastAsia="zh-CN"/>
        </w:rPr>
        <w:fldChar w:fldCharType="end"/>
      </w:r>
      <w:r>
        <w:rPr>
          <w:rFonts w:hint="eastAsia" w:ascii="仿宋" w:hAnsi="仿宋" w:eastAsia="仿宋" w:cs="仿宋"/>
          <w:color w:val="auto"/>
          <w:szCs w:val="21"/>
          <w:lang w:val="en-US" w:eastAsia="zh-CN"/>
        </w:rPr>
        <w:t>，或登录“浙江政府采购网-下载专区-电子投标客户端-CA驱动和申领流程”）。</w:t>
      </w:r>
      <w:r>
        <w:rPr>
          <w:rFonts w:hint="eastAsia" w:ascii="仿宋" w:hAnsi="仿宋" w:eastAsia="仿宋" w:cs="仿宋"/>
          <w:b/>
          <w:bCs/>
          <w:color w:val="auto"/>
          <w:szCs w:val="21"/>
          <w:lang w:val="en-US" w:eastAsia="zh-CN"/>
        </w:rPr>
        <w:t>完成CA数字证书办理预计一周左右，建议各投标人抓紧时间办理。</w:t>
      </w:r>
    </w:p>
    <w:p w14:paraId="6B6DE180">
      <w:pPr>
        <w:keepNext w:val="0"/>
        <w:keepLines w:val="0"/>
        <w:pageBreakBefore w:val="0"/>
        <w:widowControl w:val="0"/>
        <w:kinsoku/>
        <w:wordWrap w:val="0"/>
        <w:overflowPunct/>
        <w:topLinePunct w:val="0"/>
        <w:bidi w:val="0"/>
        <w:snapToGrid/>
        <w:spacing w:line="300" w:lineRule="auto"/>
        <w:ind w:firstLine="420" w:firstLineChars="200"/>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4.2投标人通过“政采云电子交易客户端”制作响应文件。（“政采云电子交易客户端”下载详见</w:t>
      </w:r>
      <w:r>
        <w:rPr>
          <w:rFonts w:hint="eastAsia" w:ascii="仿宋" w:hAnsi="仿宋" w:eastAsia="仿宋" w:cs="仿宋"/>
          <w:color w:val="auto"/>
          <w:szCs w:val="21"/>
          <w:lang w:val="en-US" w:eastAsia="zh-CN"/>
        </w:rPr>
        <w:fldChar w:fldCharType="begin"/>
      </w:r>
      <w:r>
        <w:rPr>
          <w:rFonts w:hint="eastAsia" w:ascii="仿宋" w:hAnsi="仿宋" w:eastAsia="仿宋" w:cs="仿宋"/>
          <w:color w:val="auto"/>
          <w:szCs w:val="21"/>
          <w:lang w:val="en-US" w:eastAsia="zh-CN"/>
        </w:rPr>
        <w:instrText xml:space="preserve"> HYPERLINK "http://zfcg.czt.zj.gov.cn/bidClientTemplate/2019-09-24/12975.html" </w:instrText>
      </w:r>
      <w:r>
        <w:rPr>
          <w:rFonts w:hint="eastAsia" w:ascii="仿宋" w:hAnsi="仿宋" w:eastAsia="仿宋" w:cs="仿宋"/>
          <w:color w:val="auto"/>
          <w:szCs w:val="21"/>
          <w:lang w:val="en-US" w:eastAsia="zh-CN"/>
        </w:rPr>
        <w:fldChar w:fldCharType="separate"/>
      </w:r>
      <w:r>
        <w:rPr>
          <w:rFonts w:hint="eastAsia" w:ascii="仿宋" w:hAnsi="仿宋" w:eastAsia="仿宋" w:cs="仿宋"/>
          <w:color w:val="auto"/>
          <w:szCs w:val="21"/>
          <w:lang w:val="en-US" w:eastAsia="zh-CN"/>
        </w:rPr>
        <w:t>http://zfcg.czt.zj.gov.cn/bidClientTemplate/2019-09-24/12975.html</w:t>
      </w:r>
      <w:r>
        <w:rPr>
          <w:rFonts w:hint="eastAsia" w:ascii="仿宋" w:hAnsi="仿宋" w:eastAsia="仿宋" w:cs="仿宋"/>
          <w:color w:val="auto"/>
          <w:szCs w:val="21"/>
          <w:lang w:val="en-US" w:eastAsia="zh-CN"/>
        </w:rPr>
        <w:fldChar w:fldCharType="end"/>
      </w:r>
      <w:r>
        <w:rPr>
          <w:rFonts w:hint="eastAsia" w:ascii="仿宋" w:hAnsi="仿宋" w:eastAsia="仿宋" w:cs="仿宋"/>
          <w:color w:val="auto"/>
          <w:szCs w:val="21"/>
          <w:lang w:val="en-US" w:eastAsia="zh-CN"/>
        </w:rPr>
        <w:t>或登录“ 浙江政府采购网-下载专区- 电子投标客户端- 政采云电子交易客户端”）。</w:t>
      </w:r>
    </w:p>
    <w:p w14:paraId="2C80BC69">
      <w:pPr>
        <w:keepNext w:val="0"/>
        <w:keepLines w:val="0"/>
        <w:pageBreakBefore w:val="0"/>
        <w:widowControl w:val="0"/>
        <w:kinsoku/>
        <w:wordWrap w:val="0"/>
        <w:overflowPunct/>
        <w:topLinePunct w:val="0"/>
        <w:bidi w:val="0"/>
        <w:snapToGrid/>
        <w:spacing w:line="300" w:lineRule="auto"/>
        <w:ind w:firstLine="420" w:firstLineChars="200"/>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4.3电子投标制作具体流程详见政府采购项目电子交易管理操作指南：【请投标供应商点击链接https://service.zcygov.cn/#/knowLEDges/CW1EtGwBFdiHxlNd6I3m/6IMVAG0BFdiHxlNdQ8Na或登录“政府采购云平台（www.zcygov.cn）”，从首页-服务中心-帮助文档-项目采购-操作流程-电子招投标，查看文档和视频】。投标人在使用系统进行投标的过程中遇到涉及平台使用的任何问题，可致电政府采购云平台技术支持热线咨询，联系方式：95763。</w:t>
      </w:r>
    </w:p>
    <w:p w14:paraId="2DA7890C">
      <w:pPr>
        <w:keepNext w:val="0"/>
        <w:keepLines w:val="0"/>
        <w:pageBreakBefore w:val="0"/>
        <w:widowControl w:val="0"/>
        <w:kinsoku/>
        <w:wordWrap w:val="0"/>
        <w:overflowPunct/>
        <w:topLinePunct w:val="0"/>
        <w:bidi w:val="0"/>
        <w:snapToGrid/>
        <w:spacing w:line="300" w:lineRule="auto"/>
        <w:ind w:firstLine="420" w:firstLineChars="200"/>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4.4本项目投标文件的解密、报价文件确认等所使用的CA必须和制作电子加密投标文件时使用的CA为同一个。为确保网上操作合法、有效和安全，投标人应当在投标截止时间前完成在“政府采购云平台”的身份认证，确保在电子投标过程中能够对相关数据电文进行加密和使用电子签章。</w:t>
      </w:r>
    </w:p>
    <w:p w14:paraId="6B3FB186">
      <w:pPr>
        <w:keepNext w:val="0"/>
        <w:keepLines w:val="0"/>
        <w:pageBreakBefore w:val="0"/>
        <w:widowControl w:val="0"/>
        <w:kinsoku/>
        <w:wordWrap w:val="0"/>
        <w:overflowPunct/>
        <w:topLinePunct w:val="0"/>
        <w:bidi w:val="0"/>
        <w:snapToGrid/>
        <w:spacing w:line="300" w:lineRule="auto"/>
        <w:ind w:firstLine="420" w:firstLineChars="200"/>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4.5本项目采用电子投标，投标人代表无需出席开标现场会议。开标时间前投标人登录“政府采购云平台”进入开标大厅等候开标。</w:t>
      </w:r>
    </w:p>
    <w:p w14:paraId="2047B838">
      <w:pPr>
        <w:keepNext w:val="0"/>
        <w:keepLines w:val="0"/>
        <w:pageBreakBefore w:val="0"/>
        <w:widowControl w:val="0"/>
        <w:kinsoku/>
        <w:wordWrap w:val="0"/>
        <w:overflowPunct/>
        <w:topLinePunct w:val="0"/>
        <w:bidi w:val="0"/>
        <w:snapToGrid/>
        <w:spacing w:line="30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lang w:val="en-US" w:eastAsia="zh-CN"/>
        </w:rPr>
        <w:t>5</w:t>
      </w:r>
      <w:r>
        <w:rPr>
          <w:rFonts w:hint="eastAsia" w:ascii="仿宋" w:hAnsi="仿宋" w:eastAsia="仿宋" w:cs="仿宋"/>
          <w:color w:val="auto"/>
          <w:szCs w:val="21"/>
        </w:rPr>
        <w:t>.政采</w:t>
      </w:r>
      <w:r>
        <w:rPr>
          <w:rFonts w:hint="eastAsia" w:ascii="仿宋" w:hAnsi="仿宋" w:eastAsia="仿宋" w:cs="仿宋"/>
          <w:color w:val="auto"/>
          <w:szCs w:val="21"/>
          <w:lang w:val="zh-CN"/>
        </w:rPr>
        <w:t>贷</w:t>
      </w:r>
    </w:p>
    <w:p w14:paraId="2F5196D5">
      <w:pPr>
        <w:keepNext w:val="0"/>
        <w:keepLines w:val="0"/>
        <w:pageBreakBefore w:val="0"/>
        <w:widowControl w:val="0"/>
        <w:kinsoku/>
        <w:wordWrap w:val="0"/>
        <w:overflowPunct/>
        <w:topLinePunct w:val="0"/>
        <w:bidi w:val="0"/>
        <w:snapToGrid/>
        <w:spacing w:line="300" w:lineRule="auto"/>
        <w:ind w:firstLine="422" w:firstLineChars="200"/>
        <w:rPr>
          <w:rFonts w:hint="eastAsia" w:ascii="仿宋" w:hAnsi="仿宋" w:eastAsia="仿宋" w:cs="仿宋"/>
          <w:color w:val="auto"/>
          <w:szCs w:val="21"/>
          <w:lang w:eastAsia="zh-CN"/>
        </w:rPr>
      </w:pPr>
      <w:r>
        <w:rPr>
          <w:rFonts w:hint="eastAsia" w:ascii="仿宋" w:hAnsi="仿宋" w:eastAsia="仿宋" w:cs="仿宋"/>
          <w:b/>
          <w:bCs/>
          <w:color w:val="auto"/>
          <w:szCs w:val="21"/>
        </w:rPr>
        <w:t>本项目</w:t>
      </w:r>
      <w:r>
        <w:rPr>
          <w:rFonts w:hint="eastAsia" w:ascii="仿宋" w:hAnsi="仿宋" w:eastAsia="仿宋" w:cs="仿宋"/>
          <w:b/>
          <w:bCs/>
          <w:color w:val="auto"/>
          <w:szCs w:val="21"/>
          <w:lang w:eastAsia="zh-CN"/>
        </w:rPr>
        <w:t>中标（成交）人</w:t>
      </w:r>
      <w:r>
        <w:rPr>
          <w:rFonts w:hint="eastAsia" w:ascii="仿宋" w:hAnsi="仿宋" w:eastAsia="仿宋" w:cs="仿宋"/>
          <w:b/>
          <w:bCs/>
          <w:color w:val="auto"/>
          <w:szCs w:val="21"/>
        </w:rPr>
        <w:t>与采购人签订的政府采购合同适用衢州市常山县政府采购贷款政策，简称“政采贷”，具体内容可参阅《常山县“政采贷”办理指引》</w:t>
      </w:r>
      <w:r>
        <w:rPr>
          <w:rFonts w:hint="eastAsia" w:ascii="仿宋" w:hAnsi="仿宋" w:eastAsia="仿宋" w:cs="仿宋"/>
          <w:color w:val="auto"/>
          <w:szCs w:val="21"/>
        </w:rPr>
        <w:t>http://www.zjcs.gov.cn/art/2022/1/10/art_1229091236_4857590.html</w:t>
      </w:r>
      <w:r>
        <w:rPr>
          <w:rFonts w:hint="eastAsia" w:ascii="仿宋" w:hAnsi="仿宋" w:eastAsia="仿宋" w:cs="仿宋"/>
          <w:color w:val="auto"/>
          <w:szCs w:val="21"/>
          <w:lang w:eastAsia="zh-CN"/>
        </w:rPr>
        <w:t>。</w:t>
      </w:r>
    </w:p>
    <w:p w14:paraId="54AEF2B4">
      <w:pPr>
        <w:keepNext w:val="0"/>
        <w:keepLines w:val="0"/>
        <w:pageBreakBefore w:val="0"/>
        <w:widowControl w:val="0"/>
        <w:kinsoku/>
        <w:wordWrap w:val="0"/>
        <w:overflowPunct/>
        <w:topLinePunct w:val="0"/>
        <w:bidi w:val="0"/>
        <w:snapToGrid/>
        <w:spacing w:line="300" w:lineRule="auto"/>
        <w:ind w:firstLine="420" w:firstLineChars="200"/>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6.采购信息发布媒介：浙江政府采购网（http://zfcg.czt.zj.gov.cn/）、常山县政府网（http://www.zjcs.gov.cn/col/col1229635770/index.html）。</w:t>
      </w:r>
    </w:p>
    <w:p w14:paraId="62F428F3">
      <w:pPr>
        <w:keepNext w:val="0"/>
        <w:keepLines w:val="0"/>
        <w:pageBreakBefore w:val="0"/>
        <w:widowControl w:val="0"/>
        <w:kinsoku/>
        <w:overflowPunct/>
        <w:topLinePunct w:val="0"/>
        <w:bidi w:val="0"/>
        <w:snapToGrid/>
        <w:spacing w:line="300" w:lineRule="auto"/>
        <w:rPr>
          <w:rFonts w:hint="eastAsia" w:ascii="仿宋" w:hAnsi="仿宋" w:eastAsia="仿宋" w:cs="仿宋"/>
          <w:b/>
          <w:bCs/>
          <w:color w:val="auto"/>
          <w:szCs w:val="21"/>
          <w:lang w:val="zh-CN"/>
        </w:rPr>
      </w:pPr>
      <w:r>
        <w:rPr>
          <w:rFonts w:hint="eastAsia" w:ascii="仿宋" w:hAnsi="仿宋" w:eastAsia="仿宋" w:cs="仿宋"/>
          <w:b/>
          <w:bCs/>
          <w:color w:val="auto"/>
          <w:szCs w:val="21"/>
          <w:lang w:val="zh-CN"/>
        </w:rPr>
        <w:t>七、对本次招标提出询问、质疑、投诉，请按以下方式联系</w:t>
      </w:r>
    </w:p>
    <w:p w14:paraId="5DF27DD1">
      <w:pPr>
        <w:keepNext w:val="0"/>
        <w:keepLines w:val="0"/>
        <w:pageBreakBefore w:val="0"/>
        <w:widowControl w:val="0"/>
        <w:kinsoku/>
        <w:overflowPunct/>
        <w:topLinePunct w:val="0"/>
        <w:bidi w:val="0"/>
        <w:snapToGrid/>
        <w:spacing w:line="300" w:lineRule="auto"/>
        <w:jc w:val="left"/>
        <w:rPr>
          <w:rFonts w:hint="eastAsia" w:ascii="仿宋" w:hAnsi="仿宋" w:eastAsia="仿宋" w:cs="仿宋"/>
          <w:color w:val="auto"/>
          <w:szCs w:val="21"/>
          <w:highlight w:val="none"/>
        </w:rPr>
      </w:pPr>
      <w:bookmarkStart w:id="5" w:name="_Toc28359009"/>
      <w:bookmarkStart w:id="6" w:name="_Toc28359086"/>
      <w:r>
        <w:rPr>
          <w:rFonts w:hint="eastAsia" w:ascii="仿宋" w:hAnsi="仿宋" w:eastAsia="仿宋" w:cs="仿宋"/>
          <w:color w:val="auto"/>
          <w:szCs w:val="21"/>
        </w:rPr>
        <w:t>1.采购人信息</w:t>
      </w:r>
    </w:p>
    <w:p w14:paraId="0EEE019C">
      <w:pPr>
        <w:spacing w:line="300" w:lineRule="auto"/>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名称：</w:t>
      </w:r>
      <w:r>
        <w:rPr>
          <w:rFonts w:hint="eastAsia" w:ascii="仿宋" w:hAnsi="仿宋" w:eastAsia="仿宋" w:cs="仿宋"/>
          <w:color w:val="auto"/>
          <w:szCs w:val="21"/>
          <w:highlight w:val="none"/>
          <w:lang w:eastAsia="zh-CN"/>
        </w:rPr>
        <w:t>常山县林业水利局</w:t>
      </w:r>
    </w:p>
    <w:p w14:paraId="16B8334F">
      <w:pPr>
        <w:keepNext w:val="0"/>
        <w:keepLines w:val="0"/>
        <w:pageBreakBefore w:val="0"/>
        <w:widowControl w:val="0"/>
        <w:kinsoku/>
        <w:overflowPunct/>
        <w:topLinePunct w:val="0"/>
        <w:bidi w:val="0"/>
        <w:snapToGrid/>
        <w:spacing w:line="300" w:lineRule="auto"/>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地址</w:t>
      </w:r>
      <w:r>
        <w:rPr>
          <w:rFonts w:hint="eastAsia" w:ascii="仿宋" w:hAnsi="仿宋" w:eastAsia="仿宋" w:cs="仿宋"/>
          <w:color w:val="auto"/>
          <w:szCs w:val="21"/>
          <w:highlight w:val="none"/>
          <w:lang w:eastAsia="zh-CN"/>
        </w:rPr>
        <w:t>：浙江省衢州市常山县天马街道文峰东路54号</w:t>
      </w:r>
    </w:p>
    <w:p w14:paraId="08CE17BE">
      <w:pPr>
        <w:keepNext w:val="0"/>
        <w:keepLines w:val="0"/>
        <w:pageBreakBefore w:val="0"/>
        <w:widowControl w:val="0"/>
        <w:kinsoku/>
        <w:overflowPunct/>
        <w:topLinePunct w:val="0"/>
        <w:bidi w:val="0"/>
        <w:snapToGrid/>
        <w:spacing w:line="300" w:lineRule="auto"/>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项目联系人（询问）：詹仲罕</w:t>
      </w:r>
    </w:p>
    <w:p w14:paraId="449A4D93">
      <w:pPr>
        <w:keepNext w:val="0"/>
        <w:keepLines w:val="0"/>
        <w:pageBreakBefore w:val="0"/>
        <w:widowControl w:val="0"/>
        <w:kinsoku/>
        <w:overflowPunct/>
        <w:topLinePunct w:val="0"/>
        <w:bidi w:val="0"/>
        <w:snapToGrid/>
        <w:spacing w:line="300" w:lineRule="auto"/>
        <w:jc w:val="left"/>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rPr>
        <w:t>项目联系方式（询问）：</w:t>
      </w:r>
      <w:r>
        <w:rPr>
          <w:rFonts w:hint="eastAsia" w:ascii="仿宋" w:hAnsi="仿宋" w:eastAsia="仿宋" w:cs="仿宋"/>
          <w:color w:val="auto"/>
          <w:szCs w:val="21"/>
          <w:highlight w:val="none"/>
          <w:lang w:val="en-US" w:eastAsia="zh-CN"/>
        </w:rPr>
        <w:t>18868804968</w:t>
      </w:r>
    </w:p>
    <w:p w14:paraId="0196C194">
      <w:pPr>
        <w:keepNext w:val="0"/>
        <w:keepLines w:val="0"/>
        <w:pageBreakBefore w:val="0"/>
        <w:widowControl w:val="0"/>
        <w:kinsoku/>
        <w:overflowPunct/>
        <w:topLinePunct w:val="0"/>
        <w:bidi w:val="0"/>
        <w:snapToGrid/>
        <w:spacing w:line="300" w:lineRule="auto"/>
        <w:jc w:val="left"/>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rPr>
        <w:t>质疑联系人</w:t>
      </w:r>
      <w:r>
        <w:rPr>
          <w:rFonts w:hint="eastAsia" w:ascii="仿宋" w:hAnsi="仿宋" w:eastAsia="仿宋" w:cs="仿宋"/>
          <w:color w:val="auto"/>
          <w:szCs w:val="21"/>
          <w:highlight w:val="none"/>
          <w:lang w:eastAsia="zh-CN"/>
        </w:rPr>
        <w:t>：李捷杰</w:t>
      </w:r>
    </w:p>
    <w:p w14:paraId="1ABC1AAB">
      <w:pPr>
        <w:keepNext w:val="0"/>
        <w:keepLines w:val="0"/>
        <w:pageBreakBefore w:val="0"/>
        <w:widowControl w:val="0"/>
        <w:kinsoku/>
        <w:overflowPunct/>
        <w:topLinePunct w:val="0"/>
        <w:bidi w:val="0"/>
        <w:snapToGrid/>
        <w:spacing w:line="300" w:lineRule="auto"/>
        <w:jc w:val="left"/>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rPr>
        <w:t>质疑联系方式：</w:t>
      </w:r>
      <w:r>
        <w:rPr>
          <w:rFonts w:hint="eastAsia" w:ascii="仿宋" w:hAnsi="仿宋" w:eastAsia="仿宋" w:cs="仿宋"/>
          <w:color w:val="auto"/>
          <w:szCs w:val="21"/>
          <w:highlight w:val="none"/>
          <w:lang w:val="en-US" w:eastAsia="zh-CN"/>
        </w:rPr>
        <w:t>13757046542</w:t>
      </w:r>
    </w:p>
    <w:p w14:paraId="7004983B">
      <w:pPr>
        <w:keepNext w:val="0"/>
        <w:keepLines w:val="0"/>
        <w:pageBreakBefore w:val="0"/>
        <w:widowControl w:val="0"/>
        <w:kinsoku/>
        <w:overflowPunct/>
        <w:topLinePunct w:val="0"/>
        <w:bidi w:val="0"/>
        <w:snapToGrid/>
        <w:spacing w:line="300" w:lineRule="auto"/>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2.采购代理机构信息</w:t>
      </w:r>
      <w:bookmarkEnd w:id="5"/>
      <w:bookmarkEnd w:id="6"/>
    </w:p>
    <w:p w14:paraId="2AE95553">
      <w:pPr>
        <w:keepNext w:val="0"/>
        <w:keepLines w:val="0"/>
        <w:pageBreakBefore w:val="0"/>
        <w:widowControl w:val="0"/>
        <w:kinsoku/>
        <w:overflowPunct/>
        <w:topLinePunct w:val="0"/>
        <w:bidi w:val="0"/>
        <w:snapToGrid/>
        <w:spacing w:line="300" w:lineRule="auto"/>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rPr>
        <w:t>名 称：</w:t>
      </w:r>
      <w:r>
        <w:rPr>
          <w:rFonts w:hint="eastAsia" w:ascii="仿宋" w:hAnsi="仿宋" w:eastAsia="仿宋" w:cs="仿宋"/>
          <w:color w:val="auto"/>
          <w:szCs w:val="21"/>
          <w:highlight w:val="none"/>
          <w:lang w:val="zh-CN"/>
        </w:rPr>
        <w:t>浙江哲晟工程项目管理有限公司</w:t>
      </w:r>
    </w:p>
    <w:p w14:paraId="40DEC14C">
      <w:pPr>
        <w:keepNext w:val="0"/>
        <w:keepLines w:val="0"/>
        <w:pageBreakBefore w:val="0"/>
        <w:widowControl w:val="0"/>
        <w:kinsoku/>
        <w:overflowPunct/>
        <w:topLinePunct w:val="0"/>
        <w:bidi w:val="0"/>
        <w:snapToGrid/>
        <w:spacing w:line="30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地址：浙江省</w:t>
      </w:r>
      <w:r>
        <w:rPr>
          <w:rFonts w:hint="eastAsia" w:ascii="仿宋" w:hAnsi="仿宋" w:eastAsia="仿宋" w:cs="仿宋"/>
          <w:color w:val="auto"/>
          <w:szCs w:val="21"/>
          <w:highlight w:val="none"/>
          <w:lang w:val="zh-CN"/>
        </w:rPr>
        <w:t>衢州市常山县天马街道定阳南路859幢4</w:t>
      </w:r>
      <w:r>
        <w:rPr>
          <w:rFonts w:hint="eastAsia" w:ascii="仿宋" w:hAnsi="仿宋" w:eastAsia="仿宋" w:cs="仿宋"/>
          <w:color w:val="auto"/>
          <w:szCs w:val="21"/>
          <w:highlight w:val="none"/>
          <w:lang w:val="en-US" w:eastAsia="zh-CN"/>
        </w:rPr>
        <w:t>32</w:t>
      </w:r>
      <w:r>
        <w:rPr>
          <w:rFonts w:hint="eastAsia" w:ascii="仿宋" w:hAnsi="仿宋" w:eastAsia="仿宋" w:cs="仿宋"/>
          <w:color w:val="auto"/>
          <w:szCs w:val="21"/>
          <w:highlight w:val="none"/>
          <w:lang w:val="zh-CN"/>
        </w:rPr>
        <w:t>-43</w:t>
      </w:r>
      <w:r>
        <w:rPr>
          <w:rFonts w:hint="eastAsia" w:ascii="仿宋" w:hAnsi="仿宋" w:eastAsia="仿宋" w:cs="仿宋"/>
          <w:color w:val="auto"/>
          <w:szCs w:val="21"/>
          <w:highlight w:val="none"/>
          <w:lang w:val="en-US" w:eastAsia="zh-CN"/>
        </w:rPr>
        <w:t>5</w:t>
      </w:r>
      <w:r>
        <w:rPr>
          <w:rFonts w:hint="eastAsia" w:ascii="仿宋" w:hAnsi="仿宋" w:eastAsia="仿宋" w:cs="仿宋"/>
          <w:color w:val="auto"/>
          <w:szCs w:val="21"/>
          <w:highlight w:val="none"/>
          <w:lang w:val="zh-CN"/>
        </w:rPr>
        <w:t>室</w:t>
      </w:r>
    </w:p>
    <w:p w14:paraId="5AD717B2">
      <w:pPr>
        <w:keepNext w:val="0"/>
        <w:keepLines w:val="0"/>
        <w:pageBreakBefore w:val="0"/>
        <w:widowControl w:val="0"/>
        <w:kinsoku/>
        <w:overflowPunct/>
        <w:topLinePunct w:val="0"/>
        <w:bidi w:val="0"/>
        <w:snapToGrid/>
        <w:spacing w:line="300" w:lineRule="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项目联系人（询问）：</w:t>
      </w:r>
      <w:r>
        <w:rPr>
          <w:rFonts w:hint="eastAsia" w:ascii="仿宋" w:hAnsi="仿宋" w:eastAsia="仿宋" w:cs="仿宋"/>
          <w:color w:val="auto"/>
          <w:szCs w:val="21"/>
          <w:highlight w:val="none"/>
          <w:lang w:eastAsia="zh-CN"/>
        </w:rPr>
        <w:t>余佳丽</w:t>
      </w:r>
    </w:p>
    <w:p w14:paraId="183EDD85">
      <w:pPr>
        <w:keepNext w:val="0"/>
        <w:keepLines w:val="0"/>
        <w:pageBreakBefore w:val="0"/>
        <w:widowControl w:val="0"/>
        <w:kinsoku/>
        <w:overflowPunct/>
        <w:topLinePunct w:val="0"/>
        <w:bidi w:val="0"/>
        <w:snapToGrid/>
        <w:spacing w:line="300" w:lineRule="auto"/>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rPr>
        <w:t>项目联系方式（询问）：</w:t>
      </w:r>
      <w:bookmarkStart w:id="7" w:name="_Toc28359010"/>
      <w:bookmarkStart w:id="8" w:name="_Toc28359087"/>
      <w:r>
        <w:rPr>
          <w:rFonts w:hint="eastAsia" w:ascii="仿宋" w:hAnsi="仿宋" w:eastAsia="仿宋" w:cs="仿宋"/>
          <w:color w:val="auto"/>
          <w:szCs w:val="21"/>
          <w:highlight w:val="none"/>
        </w:rPr>
        <w:t>13567051997</w:t>
      </w:r>
    </w:p>
    <w:p w14:paraId="1E9A2E47">
      <w:pPr>
        <w:keepNext w:val="0"/>
        <w:keepLines w:val="0"/>
        <w:pageBreakBefore w:val="0"/>
        <w:widowControl w:val="0"/>
        <w:kinsoku/>
        <w:overflowPunct/>
        <w:topLinePunct w:val="0"/>
        <w:bidi w:val="0"/>
        <w:snapToGrid/>
        <w:spacing w:line="300" w:lineRule="auto"/>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质疑联系人：姚剑</w:t>
      </w:r>
    </w:p>
    <w:p w14:paraId="774BBBAD">
      <w:pPr>
        <w:keepNext w:val="0"/>
        <w:keepLines w:val="0"/>
        <w:pageBreakBefore w:val="0"/>
        <w:widowControl w:val="0"/>
        <w:kinsoku/>
        <w:overflowPunct/>
        <w:topLinePunct w:val="0"/>
        <w:bidi w:val="0"/>
        <w:snapToGrid/>
        <w:spacing w:line="300" w:lineRule="auto"/>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zh-CN"/>
        </w:rPr>
        <w:t>质疑联系方式：</w:t>
      </w:r>
      <w:r>
        <w:rPr>
          <w:rFonts w:hint="eastAsia" w:ascii="仿宋" w:hAnsi="仿宋" w:eastAsia="仿宋" w:cs="仿宋"/>
          <w:color w:val="auto"/>
          <w:szCs w:val="21"/>
          <w:highlight w:val="none"/>
        </w:rPr>
        <w:t>13857020755</w:t>
      </w:r>
      <w:bookmarkEnd w:id="7"/>
      <w:bookmarkEnd w:id="8"/>
    </w:p>
    <w:p w14:paraId="6262653E">
      <w:pPr>
        <w:keepNext w:val="0"/>
        <w:keepLines w:val="0"/>
        <w:pageBreakBefore w:val="0"/>
        <w:widowControl w:val="0"/>
        <w:kinsoku/>
        <w:overflowPunct/>
        <w:topLinePunct w:val="0"/>
        <w:bidi w:val="0"/>
        <w:snapToGrid/>
        <w:spacing w:line="300" w:lineRule="auto"/>
        <w:rPr>
          <w:rFonts w:hint="eastAsia" w:ascii="仿宋" w:hAnsi="仿宋" w:eastAsia="仿宋" w:cs="仿宋"/>
          <w:color w:val="auto"/>
          <w:szCs w:val="21"/>
          <w:lang w:val="zh-CN"/>
        </w:rPr>
      </w:pPr>
      <w:r>
        <w:rPr>
          <w:rFonts w:hint="eastAsia" w:ascii="仿宋" w:hAnsi="仿宋" w:eastAsia="仿宋" w:cs="仿宋"/>
          <w:color w:val="auto"/>
          <w:szCs w:val="21"/>
          <w:lang w:val="zh-CN"/>
        </w:rPr>
        <w:t>3.同级政府采购监督管理部门</w:t>
      </w:r>
    </w:p>
    <w:p w14:paraId="2C2CBFED">
      <w:pPr>
        <w:keepNext w:val="0"/>
        <w:keepLines w:val="0"/>
        <w:pageBreakBefore w:val="0"/>
        <w:widowControl w:val="0"/>
        <w:kinsoku/>
        <w:overflowPunct/>
        <w:topLinePunct w:val="0"/>
        <w:bidi w:val="0"/>
        <w:snapToGrid/>
        <w:spacing w:line="300" w:lineRule="auto"/>
        <w:rPr>
          <w:rFonts w:hint="eastAsia" w:ascii="仿宋" w:hAnsi="仿宋" w:eastAsia="仿宋" w:cs="仿宋"/>
          <w:color w:val="auto"/>
          <w:szCs w:val="21"/>
          <w:lang w:val="zh-CN"/>
        </w:rPr>
      </w:pPr>
      <w:r>
        <w:rPr>
          <w:rFonts w:hint="eastAsia" w:ascii="仿宋" w:hAnsi="仿宋" w:eastAsia="仿宋" w:cs="仿宋"/>
          <w:color w:val="auto"/>
          <w:szCs w:val="21"/>
          <w:lang w:val="zh-CN"/>
        </w:rPr>
        <w:t>名称：常山县财政局政府采购监管科</w:t>
      </w:r>
    </w:p>
    <w:p w14:paraId="6FFCA790">
      <w:pPr>
        <w:keepNext w:val="0"/>
        <w:keepLines w:val="0"/>
        <w:pageBreakBefore w:val="0"/>
        <w:widowControl w:val="0"/>
        <w:kinsoku/>
        <w:overflowPunct/>
        <w:topLinePunct w:val="0"/>
        <w:bidi w:val="0"/>
        <w:snapToGrid/>
        <w:spacing w:line="300" w:lineRule="auto"/>
        <w:rPr>
          <w:rFonts w:hint="eastAsia" w:ascii="仿宋" w:hAnsi="仿宋" w:eastAsia="仿宋" w:cs="仿宋"/>
          <w:color w:val="auto"/>
          <w:szCs w:val="21"/>
          <w:lang w:val="zh-CN"/>
        </w:rPr>
      </w:pPr>
      <w:r>
        <w:rPr>
          <w:rFonts w:hint="eastAsia" w:ascii="仿宋" w:hAnsi="仿宋" w:eastAsia="仿宋" w:cs="仿宋"/>
          <w:color w:val="auto"/>
          <w:szCs w:val="21"/>
          <w:lang w:val="zh-CN"/>
        </w:rPr>
        <w:t>地址：浙江省衢州市常山县天马街道定阳北路415号</w:t>
      </w:r>
    </w:p>
    <w:p w14:paraId="4855EA21">
      <w:pPr>
        <w:keepNext w:val="0"/>
        <w:keepLines w:val="0"/>
        <w:pageBreakBefore w:val="0"/>
        <w:widowControl w:val="0"/>
        <w:kinsoku/>
        <w:overflowPunct/>
        <w:topLinePunct w:val="0"/>
        <w:bidi w:val="0"/>
        <w:snapToGrid/>
        <w:spacing w:line="300" w:lineRule="auto"/>
        <w:rPr>
          <w:rFonts w:hint="eastAsia" w:ascii="仿宋" w:hAnsi="仿宋" w:eastAsia="仿宋" w:cs="仿宋"/>
          <w:color w:val="auto"/>
          <w:szCs w:val="21"/>
          <w:lang w:val="zh-CN"/>
        </w:rPr>
      </w:pPr>
      <w:r>
        <w:rPr>
          <w:rFonts w:hint="eastAsia" w:ascii="仿宋" w:hAnsi="仿宋" w:eastAsia="仿宋" w:cs="仿宋"/>
          <w:color w:val="auto"/>
          <w:szCs w:val="21"/>
          <w:lang w:val="zh-CN"/>
        </w:rPr>
        <w:t>联系人：李科长</w:t>
      </w:r>
    </w:p>
    <w:p w14:paraId="688F5B50">
      <w:pPr>
        <w:keepNext w:val="0"/>
        <w:keepLines w:val="0"/>
        <w:pageBreakBefore w:val="0"/>
        <w:widowControl w:val="0"/>
        <w:kinsoku/>
        <w:overflowPunct/>
        <w:topLinePunct w:val="0"/>
        <w:bidi w:val="0"/>
        <w:snapToGrid/>
        <w:spacing w:line="300" w:lineRule="auto"/>
        <w:rPr>
          <w:rFonts w:hint="eastAsia" w:ascii="仿宋" w:hAnsi="仿宋" w:eastAsia="仿宋" w:cs="仿宋"/>
          <w:color w:val="auto"/>
          <w:szCs w:val="21"/>
          <w:lang w:val="zh-CN"/>
        </w:rPr>
      </w:pPr>
      <w:r>
        <w:rPr>
          <w:rFonts w:hint="eastAsia" w:ascii="仿宋" w:hAnsi="仿宋" w:eastAsia="仿宋" w:cs="仿宋"/>
          <w:color w:val="auto"/>
          <w:szCs w:val="21"/>
          <w:lang w:val="zh-CN"/>
        </w:rPr>
        <w:t>监督投诉电话：0570-5015373</w:t>
      </w:r>
    </w:p>
    <w:p w14:paraId="34925A62">
      <w:pPr>
        <w:keepNext w:val="0"/>
        <w:keepLines w:val="0"/>
        <w:pageBreakBefore w:val="0"/>
        <w:widowControl w:val="0"/>
        <w:kinsoku/>
        <w:overflowPunct/>
        <w:topLinePunct w:val="0"/>
        <w:bidi w:val="0"/>
        <w:snapToGrid/>
        <w:spacing w:line="300" w:lineRule="auto"/>
        <w:rPr>
          <w:rFonts w:hint="eastAsia" w:ascii="仿宋" w:hAnsi="仿宋" w:eastAsia="仿宋" w:cs="仿宋"/>
          <w:color w:val="auto"/>
          <w:lang w:val="zh-CN"/>
        </w:rPr>
      </w:pPr>
    </w:p>
    <w:p w14:paraId="1912FFC5">
      <w:pPr>
        <w:keepNext w:val="0"/>
        <w:keepLines w:val="0"/>
        <w:pageBreakBefore w:val="0"/>
        <w:widowControl w:val="0"/>
        <w:kinsoku/>
        <w:overflowPunct/>
        <w:topLinePunct w:val="0"/>
        <w:bidi w:val="0"/>
        <w:snapToGrid/>
        <w:spacing w:line="300" w:lineRule="auto"/>
        <w:ind w:firstLine="420" w:firstLineChars="200"/>
        <w:jc w:val="left"/>
        <w:rPr>
          <w:rFonts w:hint="eastAsia" w:ascii="仿宋" w:hAnsi="仿宋" w:eastAsia="仿宋" w:cs="仿宋"/>
          <w:color w:val="auto"/>
          <w:szCs w:val="21"/>
          <w:lang w:val="zh-CN"/>
        </w:rPr>
      </w:pPr>
      <w:r>
        <w:rPr>
          <w:rFonts w:hint="eastAsia" w:ascii="仿宋" w:hAnsi="仿宋" w:eastAsia="仿宋" w:cs="仿宋"/>
          <w:color w:val="auto"/>
          <w:szCs w:val="21"/>
          <w:lang w:val="zh-CN"/>
        </w:rPr>
        <w:t>若对项目采购电子交易系统操作有疑问，可登录政采云（https://www.zcygov.cn/），点击右侧咨询小采，获取采小蜜智能服务管家帮助，或拨打政采云服务热线400-881-7190获取热线服务帮助。</w:t>
      </w:r>
    </w:p>
    <w:p w14:paraId="1141F60C">
      <w:pPr>
        <w:keepNext w:val="0"/>
        <w:keepLines w:val="0"/>
        <w:pageBreakBefore w:val="0"/>
        <w:widowControl w:val="0"/>
        <w:kinsoku/>
        <w:overflowPunct/>
        <w:topLinePunct w:val="0"/>
        <w:bidi w:val="0"/>
        <w:snapToGrid/>
        <w:spacing w:line="300" w:lineRule="auto"/>
        <w:ind w:firstLine="420" w:firstLineChars="200"/>
        <w:jc w:val="left"/>
        <w:rPr>
          <w:rFonts w:hint="eastAsia" w:ascii="仿宋" w:hAnsi="仿宋" w:eastAsia="仿宋" w:cs="仿宋"/>
          <w:color w:val="auto"/>
          <w:szCs w:val="21"/>
          <w:lang w:val="zh-CN"/>
        </w:rPr>
      </w:pPr>
      <w:r>
        <w:rPr>
          <w:rFonts w:hint="eastAsia" w:ascii="仿宋" w:hAnsi="仿宋" w:eastAsia="仿宋" w:cs="仿宋"/>
          <w:color w:val="auto"/>
          <w:szCs w:val="21"/>
          <w:lang w:val="zh-CN"/>
        </w:rPr>
        <w:t>CA问题联系电话（人工）：汇信CA 400-888-4636；天谷CA 400-087-8198。</w:t>
      </w:r>
    </w:p>
    <w:p w14:paraId="488ACD80">
      <w:pPr>
        <w:pStyle w:val="18"/>
        <w:keepNext w:val="0"/>
        <w:keepLines w:val="0"/>
        <w:pageBreakBefore w:val="0"/>
        <w:widowControl w:val="0"/>
        <w:kinsoku/>
        <w:overflowPunct/>
        <w:topLinePunct w:val="0"/>
        <w:bidi w:val="0"/>
        <w:snapToGrid/>
        <w:spacing w:after="0" w:line="300" w:lineRule="auto"/>
        <w:rPr>
          <w:rFonts w:hint="eastAsia" w:ascii="仿宋" w:hAnsi="仿宋" w:eastAsia="仿宋" w:cs="仿宋"/>
          <w:color w:val="auto"/>
          <w:szCs w:val="21"/>
          <w:lang w:val="zh-CN"/>
        </w:rPr>
      </w:pPr>
    </w:p>
    <w:p w14:paraId="51CFCF27">
      <w:pPr>
        <w:pStyle w:val="19"/>
        <w:keepNext w:val="0"/>
        <w:keepLines w:val="0"/>
        <w:pageBreakBefore w:val="0"/>
        <w:widowControl w:val="0"/>
        <w:kinsoku/>
        <w:overflowPunct/>
        <w:topLinePunct w:val="0"/>
        <w:bidi w:val="0"/>
        <w:snapToGrid/>
        <w:spacing w:after="0" w:line="300" w:lineRule="auto"/>
        <w:ind w:firstLine="31680"/>
        <w:rPr>
          <w:rFonts w:hint="eastAsia" w:ascii="仿宋" w:hAnsi="仿宋" w:eastAsia="仿宋" w:cs="仿宋"/>
          <w:color w:val="auto"/>
          <w:szCs w:val="21"/>
          <w:lang w:val="zh-CN"/>
        </w:rPr>
      </w:pPr>
    </w:p>
    <w:p w14:paraId="39C7AC52">
      <w:pPr>
        <w:pStyle w:val="38"/>
        <w:keepNext w:val="0"/>
        <w:keepLines w:val="0"/>
        <w:pageBreakBefore w:val="0"/>
        <w:widowControl w:val="0"/>
        <w:kinsoku/>
        <w:overflowPunct/>
        <w:topLinePunct w:val="0"/>
        <w:bidi w:val="0"/>
        <w:snapToGrid/>
        <w:spacing w:line="300" w:lineRule="auto"/>
        <w:ind w:left="31680"/>
        <w:jc w:val="right"/>
        <w:rPr>
          <w:rFonts w:hint="eastAsia" w:ascii="仿宋" w:hAnsi="仿宋" w:eastAsia="仿宋" w:cs="仿宋"/>
          <w:color w:val="auto"/>
          <w:szCs w:val="21"/>
          <w:lang w:eastAsia="zh-CN"/>
        </w:rPr>
      </w:pPr>
    </w:p>
    <w:p w14:paraId="0C2BBA44">
      <w:pPr>
        <w:pStyle w:val="38"/>
        <w:keepNext w:val="0"/>
        <w:keepLines w:val="0"/>
        <w:pageBreakBefore w:val="0"/>
        <w:widowControl w:val="0"/>
        <w:kinsoku/>
        <w:overflowPunct/>
        <w:topLinePunct w:val="0"/>
        <w:bidi w:val="0"/>
        <w:snapToGrid/>
        <w:spacing w:line="300" w:lineRule="auto"/>
        <w:ind w:left="31680"/>
        <w:jc w:val="right"/>
        <w:rPr>
          <w:rFonts w:hint="eastAsia" w:ascii="仿宋" w:hAnsi="仿宋" w:eastAsia="仿宋" w:cs="仿宋"/>
          <w:color w:val="auto"/>
          <w:szCs w:val="21"/>
          <w:lang w:eastAsia="zh-CN"/>
        </w:rPr>
      </w:pPr>
      <w:r>
        <w:rPr>
          <w:rFonts w:hint="eastAsia" w:ascii="仿宋" w:hAnsi="仿宋" w:eastAsia="仿宋" w:cs="仿宋"/>
          <w:color w:val="auto"/>
          <w:szCs w:val="21"/>
          <w:lang w:eastAsia="zh-CN"/>
        </w:rPr>
        <w:t>常山县林业水利局</w:t>
      </w:r>
    </w:p>
    <w:p w14:paraId="6C92C0D8">
      <w:pPr>
        <w:pStyle w:val="38"/>
        <w:keepNext w:val="0"/>
        <w:keepLines w:val="0"/>
        <w:pageBreakBefore w:val="0"/>
        <w:widowControl w:val="0"/>
        <w:kinsoku/>
        <w:overflowPunct/>
        <w:topLinePunct w:val="0"/>
        <w:bidi w:val="0"/>
        <w:snapToGrid/>
        <w:spacing w:line="300" w:lineRule="auto"/>
        <w:ind w:left="31680"/>
        <w:jc w:val="right"/>
        <w:rPr>
          <w:rFonts w:hint="eastAsia" w:ascii="仿宋" w:hAnsi="仿宋" w:eastAsia="仿宋" w:cs="仿宋"/>
          <w:color w:val="auto"/>
          <w:szCs w:val="21"/>
          <w:lang w:val="zh-CN"/>
        </w:rPr>
      </w:pPr>
      <w:r>
        <w:rPr>
          <w:rFonts w:hint="eastAsia" w:ascii="仿宋" w:hAnsi="仿宋" w:eastAsia="仿宋" w:cs="仿宋"/>
          <w:color w:val="auto"/>
          <w:szCs w:val="21"/>
          <w:lang w:val="zh-CN"/>
        </w:rPr>
        <w:t>浙江哲晟工程项目管理有限公司</w:t>
      </w:r>
    </w:p>
    <w:p w14:paraId="075215E5">
      <w:pPr>
        <w:pStyle w:val="18"/>
        <w:keepNext w:val="0"/>
        <w:keepLines w:val="0"/>
        <w:pageBreakBefore w:val="0"/>
        <w:widowControl w:val="0"/>
        <w:kinsoku/>
        <w:overflowPunct/>
        <w:topLinePunct w:val="0"/>
        <w:bidi w:val="0"/>
        <w:snapToGrid/>
        <w:spacing w:after="0" w:line="300" w:lineRule="auto"/>
        <w:jc w:val="right"/>
        <w:rPr>
          <w:rFonts w:hint="eastAsia" w:ascii="仿宋" w:hAnsi="仿宋" w:eastAsia="仿宋" w:cs="仿宋"/>
          <w:color w:val="auto"/>
          <w:lang w:eastAsia="zh-CN"/>
        </w:rPr>
        <w:sectPr>
          <w:headerReference r:id="rId5" w:type="default"/>
          <w:footerReference r:id="rId6"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titlePg/>
          <w:rtlGutter w:val="1"/>
          <w:docGrid w:type="lines" w:linePitch="312" w:charSpace="0"/>
        </w:sectPr>
      </w:pPr>
      <w:r>
        <w:rPr>
          <w:rFonts w:hint="eastAsia" w:ascii="仿宋" w:hAnsi="仿宋" w:eastAsia="仿宋" w:cs="仿宋"/>
          <w:color w:val="auto"/>
          <w:szCs w:val="21"/>
          <w:lang w:eastAsia="zh-CN"/>
        </w:rPr>
        <w:t>2025年</w:t>
      </w:r>
      <w:r>
        <w:rPr>
          <w:rFonts w:hint="eastAsia" w:ascii="仿宋" w:hAnsi="仿宋" w:eastAsia="仿宋" w:cs="仿宋"/>
          <w:color w:val="auto"/>
          <w:szCs w:val="21"/>
          <w:lang w:val="en-US" w:eastAsia="zh-CN"/>
        </w:rPr>
        <w:t>07</w:t>
      </w:r>
      <w:r>
        <w:rPr>
          <w:rFonts w:hint="eastAsia" w:ascii="仿宋" w:hAnsi="仿宋" w:eastAsia="仿宋" w:cs="仿宋"/>
          <w:color w:val="auto"/>
          <w:szCs w:val="21"/>
          <w:lang w:eastAsia="zh-CN"/>
        </w:rPr>
        <w:t>月</w:t>
      </w:r>
    </w:p>
    <w:p w14:paraId="20F86B4C">
      <w:pPr>
        <w:pStyle w:val="47"/>
        <w:outlineLvl w:val="0"/>
        <w:rPr>
          <w:rFonts w:hint="eastAsia" w:ascii="仿宋" w:hAnsi="仿宋" w:eastAsia="仿宋" w:cs="仿宋"/>
          <w:b w:val="0"/>
          <w:bCs/>
          <w:color w:val="auto"/>
          <w:sz w:val="30"/>
          <w:szCs w:val="30"/>
          <w:lang w:val="zh-CN" w:eastAsia="zh-CN"/>
        </w:rPr>
      </w:pPr>
      <w:bookmarkStart w:id="9" w:name="_Toc12735"/>
      <w:bookmarkStart w:id="10" w:name="_Toc19852"/>
      <w:r>
        <w:rPr>
          <w:rFonts w:hint="eastAsia" w:ascii="仿宋" w:hAnsi="仿宋" w:eastAsia="仿宋" w:cs="仿宋"/>
          <w:color w:val="auto"/>
          <w:sz w:val="30"/>
          <w:szCs w:val="30"/>
          <w:lang w:val="zh-CN" w:eastAsia="zh-CN"/>
        </w:rPr>
        <w:t>第二章  投标人须知</w:t>
      </w:r>
      <w:bookmarkEnd w:id="9"/>
      <w:bookmarkEnd w:id="10"/>
    </w:p>
    <w:p w14:paraId="5B170D59">
      <w:pPr>
        <w:pStyle w:val="3"/>
        <w:spacing w:before="0" w:after="0" w:line="360" w:lineRule="auto"/>
        <w:jc w:val="center"/>
        <w:rPr>
          <w:rFonts w:hint="eastAsia" w:ascii="仿宋" w:hAnsi="仿宋" w:eastAsia="仿宋" w:cs="仿宋"/>
          <w:color w:val="auto"/>
          <w:sz w:val="18"/>
          <w:szCs w:val="18"/>
        </w:rPr>
      </w:pPr>
      <w:bookmarkStart w:id="11" w:name="_Toc23470"/>
      <w:bookmarkStart w:id="12" w:name="_Toc29180"/>
      <w:r>
        <w:rPr>
          <w:rFonts w:hint="eastAsia" w:ascii="仿宋" w:hAnsi="仿宋" w:eastAsia="仿宋" w:cs="仿宋"/>
          <w:bCs w:val="0"/>
          <w:color w:val="auto"/>
          <w:sz w:val="30"/>
          <w:szCs w:val="30"/>
          <w:lang w:val="zh-CN"/>
        </w:rPr>
        <w:t>投标人须知前附表</w:t>
      </w:r>
      <w:bookmarkEnd w:id="11"/>
      <w:bookmarkEnd w:id="12"/>
    </w:p>
    <w:tbl>
      <w:tblPr>
        <w:tblStyle w:val="50"/>
        <w:tblW w:w="89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9"/>
        <w:gridCol w:w="6961"/>
      </w:tblGrid>
      <w:tr w14:paraId="61198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39" w:type="dxa"/>
            <w:tcBorders>
              <w:top w:val="double" w:color="auto" w:sz="4" w:space="0"/>
              <w:left w:val="double" w:color="auto" w:sz="4" w:space="0"/>
            </w:tcBorders>
            <w:vAlign w:val="center"/>
          </w:tcPr>
          <w:p w14:paraId="23779B8A">
            <w:pPr>
              <w:keepNext w:val="0"/>
              <w:keepLines w:val="0"/>
              <w:pageBreakBefore w:val="0"/>
              <w:kinsoku/>
              <w:overflowPunct/>
              <w:topLinePunct w:val="0"/>
              <w:bidi w:val="0"/>
              <w:adjustRightInd w:val="0"/>
              <w:snapToGrid/>
              <w:spacing w:line="300" w:lineRule="auto"/>
              <w:jc w:val="center"/>
              <w:rPr>
                <w:rFonts w:hint="eastAsia" w:ascii="仿宋" w:hAnsi="仿宋" w:eastAsia="仿宋" w:cs="仿宋"/>
                <w:color w:val="auto"/>
                <w:szCs w:val="21"/>
              </w:rPr>
            </w:pPr>
            <w:r>
              <w:rPr>
                <w:rFonts w:hint="eastAsia" w:ascii="仿宋" w:hAnsi="仿宋" w:eastAsia="仿宋" w:cs="仿宋"/>
                <w:color w:val="auto"/>
                <w:szCs w:val="21"/>
              </w:rPr>
              <w:t>采购项目概况</w:t>
            </w:r>
          </w:p>
        </w:tc>
        <w:tc>
          <w:tcPr>
            <w:tcW w:w="6961" w:type="dxa"/>
            <w:tcBorders>
              <w:top w:val="double" w:color="auto" w:sz="4" w:space="0"/>
              <w:right w:val="double" w:color="auto" w:sz="4" w:space="0"/>
            </w:tcBorders>
            <w:vAlign w:val="center"/>
          </w:tcPr>
          <w:p w14:paraId="2E7D1764">
            <w:pPr>
              <w:pStyle w:val="165"/>
              <w:widowControl/>
              <w:snapToGrid w:val="0"/>
              <w:spacing w:beforeLines="0" w:line="360" w:lineRule="auto"/>
              <w:ind w:left="0" w:leftChars="0" w:firstLine="0" w:firstLineChars="0"/>
              <w:jc w:val="left"/>
              <w:rPr>
                <w:rFonts w:hint="eastAsia" w:ascii="仿宋" w:hAnsi="仿宋" w:eastAsia="仿宋" w:cs="仿宋"/>
                <w:bCs/>
                <w:color w:val="auto"/>
                <w:sz w:val="21"/>
                <w:szCs w:val="21"/>
                <w:lang w:eastAsia="zh-CN"/>
              </w:rPr>
            </w:pPr>
            <w:r>
              <w:rPr>
                <w:rFonts w:hint="eastAsia" w:ascii="仿宋" w:hAnsi="仿宋" w:eastAsia="仿宋" w:cs="仿宋"/>
                <w:bCs/>
                <w:color w:val="auto"/>
                <w:sz w:val="21"/>
                <w:szCs w:val="21"/>
              </w:rPr>
              <w:t>项目名称：</w:t>
            </w:r>
            <w:r>
              <w:rPr>
                <w:rFonts w:hint="eastAsia" w:ascii="仿宋" w:hAnsi="仿宋" w:eastAsia="仿宋" w:cs="仿宋"/>
                <w:bCs/>
                <w:color w:val="auto"/>
                <w:sz w:val="21"/>
                <w:szCs w:val="21"/>
                <w:lang w:eastAsia="zh-CN"/>
              </w:rPr>
              <w:t>常山港城区内河道堤岸及河面清洁服务项目</w:t>
            </w:r>
          </w:p>
          <w:p w14:paraId="0F0F9DB9">
            <w:pPr>
              <w:pStyle w:val="165"/>
              <w:widowControl/>
              <w:snapToGrid w:val="0"/>
              <w:spacing w:beforeLines="0" w:line="360" w:lineRule="auto"/>
              <w:ind w:left="0" w:leftChars="0" w:firstLine="0" w:firstLineChars="0"/>
              <w:jc w:val="left"/>
              <w:rPr>
                <w:rFonts w:hint="eastAsia" w:ascii="仿宋" w:hAnsi="仿宋" w:eastAsia="仿宋" w:cs="仿宋"/>
                <w:b/>
                <w:bCs/>
                <w:color w:val="auto"/>
                <w:kern w:val="2"/>
                <w:sz w:val="21"/>
                <w:szCs w:val="21"/>
                <w:lang w:eastAsia="zh-CN"/>
              </w:rPr>
            </w:pPr>
            <w:r>
              <w:rPr>
                <w:rFonts w:hint="eastAsia" w:ascii="仿宋" w:hAnsi="仿宋" w:eastAsia="仿宋" w:cs="仿宋"/>
                <w:bCs/>
                <w:color w:val="auto"/>
                <w:sz w:val="21"/>
                <w:szCs w:val="21"/>
              </w:rPr>
              <w:t>项目编号：</w:t>
            </w:r>
            <w:r>
              <w:rPr>
                <w:rFonts w:hint="eastAsia" w:ascii="仿宋" w:hAnsi="仿宋" w:eastAsia="仿宋" w:cs="仿宋"/>
                <w:bCs/>
                <w:color w:val="auto"/>
                <w:sz w:val="21"/>
                <w:szCs w:val="21"/>
                <w:lang w:val="zh-CN" w:eastAsia="zh-CN"/>
              </w:rPr>
              <w:t>ZSCG202546-GK32</w:t>
            </w:r>
          </w:p>
        </w:tc>
      </w:tr>
      <w:tr w14:paraId="750B5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939" w:type="dxa"/>
            <w:tcBorders>
              <w:left w:val="double" w:color="auto" w:sz="4" w:space="0"/>
            </w:tcBorders>
            <w:vAlign w:val="center"/>
          </w:tcPr>
          <w:p w14:paraId="1CDA70C0">
            <w:pPr>
              <w:keepNext w:val="0"/>
              <w:keepLines w:val="0"/>
              <w:pageBreakBefore w:val="0"/>
              <w:kinsoku/>
              <w:overflowPunct/>
              <w:topLinePunct w:val="0"/>
              <w:bidi w:val="0"/>
              <w:adjustRightInd w:val="0"/>
              <w:snapToGrid/>
              <w:spacing w:line="300" w:lineRule="auto"/>
              <w:jc w:val="center"/>
              <w:rPr>
                <w:rFonts w:hint="eastAsia" w:ascii="仿宋" w:hAnsi="仿宋" w:eastAsia="仿宋" w:cs="仿宋"/>
                <w:color w:val="auto"/>
                <w:szCs w:val="21"/>
              </w:rPr>
            </w:pPr>
            <w:r>
              <w:rPr>
                <w:rFonts w:hint="eastAsia" w:ascii="仿宋" w:hAnsi="仿宋" w:eastAsia="仿宋" w:cs="仿宋"/>
                <w:color w:val="auto"/>
                <w:szCs w:val="21"/>
              </w:rPr>
              <w:t>采购内容</w:t>
            </w:r>
          </w:p>
        </w:tc>
        <w:tc>
          <w:tcPr>
            <w:tcW w:w="6961" w:type="dxa"/>
            <w:tcBorders>
              <w:right w:val="double" w:color="auto" w:sz="4" w:space="0"/>
            </w:tcBorders>
            <w:vAlign w:val="center"/>
          </w:tcPr>
          <w:p w14:paraId="7300EA50">
            <w:pPr>
              <w:pStyle w:val="46"/>
              <w:keepNext w:val="0"/>
              <w:keepLines w:val="0"/>
              <w:pageBreakBefore w:val="0"/>
              <w:tabs>
                <w:tab w:val="left" w:pos="6930"/>
              </w:tabs>
              <w:kinsoku/>
              <w:overflowPunct/>
              <w:topLinePunct w:val="0"/>
              <w:bidi w:val="0"/>
              <w:snapToGrid/>
              <w:spacing w:beforeAutospacing="0" w:afterAutospacing="0" w:line="300" w:lineRule="auto"/>
              <w:rPr>
                <w:rFonts w:hint="eastAsia" w:ascii="仿宋" w:hAnsi="仿宋" w:eastAsia="仿宋" w:cs="仿宋"/>
                <w:b/>
                <w:bCs/>
                <w:color w:val="auto"/>
                <w:kern w:val="2"/>
                <w:sz w:val="21"/>
                <w:szCs w:val="21"/>
              </w:rPr>
            </w:pPr>
            <w:r>
              <w:rPr>
                <w:rFonts w:hint="eastAsia" w:ascii="仿宋" w:hAnsi="仿宋" w:eastAsia="仿宋" w:cs="仿宋"/>
                <w:bCs/>
                <w:color w:val="auto"/>
                <w:sz w:val="21"/>
                <w:szCs w:val="21"/>
                <w:lang w:eastAsia="zh-CN"/>
              </w:rPr>
              <w:t>常山港城区内河道堤岸及河面清洁服务项目，</w:t>
            </w:r>
            <w:r>
              <w:rPr>
                <w:rFonts w:hint="eastAsia" w:ascii="仿宋" w:hAnsi="仿宋" w:eastAsia="仿宋" w:cs="仿宋"/>
                <w:bCs/>
                <w:color w:val="auto"/>
                <w:sz w:val="21"/>
                <w:szCs w:val="21"/>
              </w:rPr>
              <w:t>具体内容及技术要求详见采购文件第三章</w:t>
            </w:r>
          </w:p>
        </w:tc>
      </w:tr>
      <w:tr w14:paraId="5F457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1939" w:type="dxa"/>
            <w:tcBorders>
              <w:left w:val="double" w:color="auto" w:sz="4" w:space="0"/>
            </w:tcBorders>
            <w:vAlign w:val="center"/>
          </w:tcPr>
          <w:p w14:paraId="2CDF4878">
            <w:pPr>
              <w:keepNext w:val="0"/>
              <w:keepLines w:val="0"/>
              <w:pageBreakBefore w:val="0"/>
              <w:kinsoku/>
              <w:overflowPunct/>
              <w:topLinePunct w:val="0"/>
              <w:bidi w:val="0"/>
              <w:adjustRightInd w:val="0"/>
              <w:snapToGrid/>
              <w:spacing w:line="300" w:lineRule="auto"/>
              <w:jc w:val="center"/>
              <w:rPr>
                <w:rFonts w:hint="eastAsia" w:ascii="仿宋" w:hAnsi="仿宋" w:eastAsia="仿宋" w:cs="仿宋"/>
                <w:color w:val="auto"/>
                <w:szCs w:val="21"/>
                <w:lang w:eastAsia="zh-CN"/>
              </w:rPr>
            </w:pPr>
            <w:r>
              <w:rPr>
                <w:rFonts w:hint="eastAsia" w:ascii="仿宋" w:hAnsi="仿宋" w:eastAsia="仿宋" w:cs="仿宋"/>
                <w:color w:val="auto"/>
                <w:szCs w:val="21"/>
                <w:lang w:eastAsia="zh-CN"/>
              </w:rPr>
              <w:t>预算金额</w:t>
            </w:r>
          </w:p>
          <w:p w14:paraId="35F68B86">
            <w:pPr>
              <w:keepNext w:val="0"/>
              <w:keepLines w:val="0"/>
              <w:pageBreakBefore w:val="0"/>
              <w:kinsoku/>
              <w:overflowPunct/>
              <w:topLinePunct w:val="0"/>
              <w:bidi w:val="0"/>
              <w:adjustRightInd w:val="0"/>
              <w:snapToGrid/>
              <w:spacing w:line="300" w:lineRule="auto"/>
              <w:jc w:val="center"/>
              <w:rPr>
                <w:rFonts w:hint="eastAsia" w:ascii="仿宋" w:hAnsi="仿宋" w:eastAsia="仿宋" w:cs="仿宋"/>
                <w:color w:val="auto"/>
                <w:szCs w:val="21"/>
                <w:lang w:eastAsia="zh-CN"/>
              </w:rPr>
            </w:pPr>
            <w:r>
              <w:rPr>
                <w:rFonts w:hint="eastAsia" w:ascii="仿宋" w:hAnsi="仿宋" w:eastAsia="仿宋" w:cs="仿宋"/>
                <w:color w:val="auto"/>
                <w:szCs w:val="21"/>
                <w:lang w:eastAsia="zh-CN"/>
              </w:rPr>
              <w:t>（最高限价）</w:t>
            </w:r>
          </w:p>
        </w:tc>
        <w:tc>
          <w:tcPr>
            <w:tcW w:w="6961" w:type="dxa"/>
            <w:tcBorders>
              <w:right w:val="double" w:color="auto" w:sz="4" w:space="0"/>
            </w:tcBorders>
            <w:vAlign w:val="center"/>
          </w:tcPr>
          <w:p w14:paraId="095D0743">
            <w:pPr>
              <w:pStyle w:val="165"/>
              <w:widowControl/>
              <w:snapToGrid w:val="0"/>
              <w:spacing w:beforeLines="0" w:line="360" w:lineRule="auto"/>
              <w:ind w:left="0" w:leftChars="0" w:firstLine="0" w:firstLineChars="0"/>
              <w:jc w:val="left"/>
              <w:rPr>
                <w:rFonts w:hint="eastAsia" w:ascii="仿宋" w:hAnsi="仿宋" w:eastAsia="仿宋" w:cs="仿宋"/>
                <w:bCs/>
                <w:color w:val="auto"/>
                <w:sz w:val="21"/>
                <w:szCs w:val="21"/>
              </w:rPr>
            </w:pPr>
            <w:r>
              <w:rPr>
                <w:rFonts w:hint="eastAsia" w:ascii="仿宋" w:hAnsi="仿宋" w:eastAsia="仿宋" w:cs="仿宋"/>
                <w:b/>
                <w:bCs w:val="0"/>
                <w:color w:val="auto"/>
                <w:sz w:val="21"/>
                <w:szCs w:val="21"/>
                <w:highlight w:val="none"/>
                <w:lang w:eastAsia="zh-CN"/>
              </w:rPr>
              <w:t>预算金额（最高限价）：</w:t>
            </w:r>
            <w:r>
              <w:rPr>
                <w:rFonts w:hint="eastAsia" w:ascii="仿宋" w:hAnsi="仿宋" w:eastAsia="仿宋" w:cs="仿宋"/>
                <w:b/>
                <w:bCs w:val="0"/>
                <w:color w:val="auto"/>
                <w:sz w:val="21"/>
                <w:szCs w:val="21"/>
                <w:highlight w:val="none"/>
                <w:lang w:val="en-US" w:eastAsia="zh-CN"/>
              </w:rPr>
              <w:t>1400000元，</w:t>
            </w:r>
            <w:r>
              <w:rPr>
                <w:rFonts w:hint="eastAsia" w:ascii="仿宋" w:hAnsi="仿宋" w:eastAsia="仿宋" w:cs="仿宋"/>
                <w:b/>
                <w:bCs w:val="0"/>
                <w:color w:val="auto"/>
                <w:sz w:val="21"/>
                <w:szCs w:val="21"/>
                <w:highlight w:val="none"/>
                <w:vertAlign w:val="baseline"/>
                <w:lang w:val="en-US" w:eastAsia="zh-CN"/>
              </w:rPr>
              <w:t>投标报价高于相应最高限价的，</w:t>
            </w:r>
            <w:r>
              <w:rPr>
                <w:rFonts w:hint="eastAsia" w:ascii="仿宋" w:hAnsi="仿宋" w:eastAsia="仿宋" w:cs="仿宋"/>
                <w:b/>
                <w:bCs w:val="0"/>
                <w:color w:val="auto"/>
                <w:sz w:val="21"/>
                <w:szCs w:val="21"/>
                <w:highlight w:val="none"/>
              </w:rPr>
              <w:t>按无效投标处理。</w:t>
            </w:r>
          </w:p>
        </w:tc>
      </w:tr>
      <w:tr w14:paraId="4D4B9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1939" w:type="dxa"/>
            <w:tcBorders>
              <w:left w:val="double" w:color="auto" w:sz="4" w:space="0"/>
            </w:tcBorders>
            <w:vAlign w:val="center"/>
          </w:tcPr>
          <w:p w14:paraId="6AC47816">
            <w:pPr>
              <w:keepNext w:val="0"/>
              <w:keepLines w:val="0"/>
              <w:pageBreakBefore w:val="0"/>
              <w:kinsoku/>
              <w:overflowPunct/>
              <w:topLinePunct w:val="0"/>
              <w:bidi w:val="0"/>
              <w:adjustRightInd w:val="0"/>
              <w:snapToGrid/>
              <w:spacing w:line="300" w:lineRule="auto"/>
              <w:jc w:val="center"/>
              <w:rPr>
                <w:rFonts w:hint="eastAsia" w:ascii="仿宋" w:hAnsi="仿宋" w:eastAsia="仿宋" w:cs="仿宋"/>
                <w:color w:val="auto"/>
                <w:szCs w:val="21"/>
                <w:lang w:eastAsia="zh-CN"/>
              </w:rPr>
            </w:pPr>
            <w:r>
              <w:rPr>
                <w:rFonts w:hint="eastAsia" w:ascii="仿宋" w:hAnsi="仿宋" w:eastAsia="仿宋" w:cs="仿宋"/>
                <w:color w:val="auto"/>
                <w:szCs w:val="21"/>
                <w:lang w:eastAsia="zh-CN"/>
              </w:rPr>
              <w:t>服务期限</w:t>
            </w:r>
          </w:p>
        </w:tc>
        <w:tc>
          <w:tcPr>
            <w:tcW w:w="6961" w:type="dxa"/>
            <w:tcBorders>
              <w:right w:val="double" w:color="auto" w:sz="4" w:space="0"/>
            </w:tcBorders>
            <w:vAlign w:val="center"/>
          </w:tcPr>
          <w:p w14:paraId="7E56EB86">
            <w:pPr>
              <w:pStyle w:val="16"/>
              <w:keepNext w:val="0"/>
              <w:keepLines w:val="0"/>
              <w:pageBreakBefore w:val="0"/>
              <w:kinsoku/>
              <w:overflowPunct/>
              <w:topLinePunct w:val="0"/>
              <w:bidi w:val="0"/>
              <w:adjustRightInd w:val="0"/>
              <w:snapToGrid/>
              <w:spacing w:before="0" w:line="300" w:lineRule="auto"/>
              <w:rPr>
                <w:rFonts w:hint="eastAsia" w:ascii="仿宋" w:hAnsi="仿宋" w:eastAsia="仿宋" w:cs="仿宋"/>
                <w:b w:val="0"/>
                <w:bCs w:val="0"/>
                <w:color w:val="auto"/>
                <w:kern w:val="2"/>
                <w:sz w:val="21"/>
              </w:rPr>
            </w:pPr>
            <w:r>
              <w:rPr>
                <w:rFonts w:hint="eastAsia" w:ascii="仿宋" w:hAnsi="仿宋" w:eastAsia="仿宋" w:cs="仿宋"/>
                <w:b w:val="0"/>
                <w:bCs/>
                <w:color w:val="auto"/>
                <w:kern w:val="0"/>
                <w:sz w:val="21"/>
                <w:szCs w:val="21"/>
                <w:lang w:val="en-US" w:eastAsia="zh-CN"/>
              </w:rPr>
              <w:t>2年，具体起止时间以合同约定为准，</w:t>
            </w:r>
            <w:r>
              <w:rPr>
                <w:rFonts w:hint="eastAsia" w:ascii="仿宋" w:hAnsi="仿宋" w:eastAsia="仿宋" w:cs="仿宋"/>
                <w:b w:val="0"/>
                <w:bCs w:val="0"/>
                <w:color w:val="auto"/>
                <w:kern w:val="2"/>
                <w:sz w:val="21"/>
              </w:rPr>
              <w:t>详见采购文件第三章</w:t>
            </w:r>
          </w:p>
        </w:tc>
      </w:tr>
      <w:tr w14:paraId="1C377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939" w:type="dxa"/>
            <w:tcBorders>
              <w:left w:val="double" w:color="auto" w:sz="4" w:space="0"/>
            </w:tcBorders>
            <w:vAlign w:val="center"/>
          </w:tcPr>
          <w:p w14:paraId="62378B3A">
            <w:pPr>
              <w:keepNext w:val="0"/>
              <w:keepLines w:val="0"/>
              <w:pageBreakBefore w:val="0"/>
              <w:kinsoku/>
              <w:overflowPunct/>
              <w:topLinePunct w:val="0"/>
              <w:bidi w:val="0"/>
              <w:adjustRightInd w:val="0"/>
              <w:snapToGrid/>
              <w:spacing w:line="300" w:lineRule="auto"/>
              <w:jc w:val="center"/>
              <w:rPr>
                <w:rFonts w:hint="eastAsia" w:ascii="仿宋" w:hAnsi="仿宋" w:eastAsia="仿宋" w:cs="仿宋"/>
                <w:color w:val="auto"/>
                <w:szCs w:val="21"/>
              </w:rPr>
            </w:pPr>
            <w:r>
              <w:rPr>
                <w:rFonts w:hint="eastAsia" w:ascii="仿宋" w:hAnsi="仿宋" w:eastAsia="仿宋" w:cs="仿宋"/>
                <w:color w:val="auto"/>
                <w:szCs w:val="21"/>
              </w:rPr>
              <w:t>采购方式</w:t>
            </w:r>
          </w:p>
        </w:tc>
        <w:tc>
          <w:tcPr>
            <w:tcW w:w="6961" w:type="dxa"/>
            <w:tcBorders>
              <w:right w:val="double" w:color="auto" w:sz="4" w:space="0"/>
            </w:tcBorders>
            <w:vAlign w:val="center"/>
          </w:tcPr>
          <w:p w14:paraId="1345225E">
            <w:pPr>
              <w:pStyle w:val="16"/>
              <w:keepNext w:val="0"/>
              <w:keepLines w:val="0"/>
              <w:pageBreakBefore w:val="0"/>
              <w:kinsoku/>
              <w:overflowPunct/>
              <w:topLinePunct w:val="0"/>
              <w:bidi w:val="0"/>
              <w:snapToGrid/>
              <w:spacing w:before="0" w:line="300" w:lineRule="auto"/>
              <w:jc w:val="left"/>
              <w:rPr>
                <w:rFonts w:hint="eastAsia" w:ascii="仿宋" w:hAnsi="仿宋" w:eastAsia="仿宋" w:cs="仿宋"/>
                <w:b w:val="0"/>
                <w:bCs w:val="0"/>
                <w:color w:val="auto"/>
                <w:kern w:val="2"/>
                <w:sz w:val="21"/>
              </w:rPr>
            </w:pPr>
            <w:r>
              <w:rPr>
                <w:rFonts w:hint="eastAsia" w:ascii="仿宋" w:hAnsi="仿宋" w:eastAsia="仿宋" w:cs="仿宋"/>
                <w:b w:val="0"/>
                <w:bCs w:val="0"/>
                <w:color w:val="auto"/>
                <w:kern w:val="2"/>
                <w:sz w:val="21"/>
              </w:rPr>
              <w:t>公开招标</w:t>
            </w:r>
          </w:p>
        </w:tc>
      </w:tr>
      <w:tr w14:paraId="0A452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39" w:type="dxa"/>
            <w:tcBorders>
              <w:left w:val="double" w:color="auto" w:sz="4" w:space="0"/>
            </w:tcBorders>
            <w:vAlign w:val="center"/>
          </w:tcPr>
          <w:p w14:paraId="467966E6">
            <w:pPr>
              <w:keepNext w:val="0"/>
              <w:keepLines w:val="0"/>
              <w:pageBreakBefore w:val="0"/>
              <w:kinsoku/>
              <w:overflowPunct/>
              <w:topLinePunct w:val="0"/>
              <w:bidi w:val="0"/>
              <w:adjustRightInd w:val="0"/>
              <w:snapToGrid/>
              <w:spacing w:line="300" w:lineRule="auto"/>
              <w:jc w:val="center"/>
              <w:rPr>
                <w:rFonts w:hint="eastAsia" w:ascii="仿宋" w:hAnsi="仿宋" w:eastAsia="仿宋" w:cs="仿宋"/>
                <w:color w:val="auto"/>
                <w:szCs w:val="21"/>
              </w:rPr>
            </w:pPr>
            <w:r>
              <w:rPr>
                <w:rFonts w:hint="eastAsia" w:ascii="仿宋" w:hAnsi="仿宋" w:eastAsia="仿宋" w:cs="仿宋"/>
                <w:color w:val="auto"/>
                <w:szCs w:val="21"/>
              </w:rPr>
              <w:t>评标办法</w:t>
            </w:r>
          </w:p>
        </w:tc>
        <w:tc>
          <w:tcPr>
            <w:tcW w:w="6961" w:type="dxa"/>
            <w:tcBorders>
              <w:right w:val="double" w:color="auto" w:sz="4" w:space="0"/>
            </w:tcBorders>
            <w:vAlign w:val="center"/>
          </w:tcPr>
          <w:p w14:paraId="7724AA1C">
            <w:pPr>
              <w:pStyle w:val="16"/>
              <w:keepNext w:val="0"/>
              <w:keepLines w:val="0"/>
              <w:pageBreakBefore w:val="0"/>
              <w:kinsoku/>
              <w:overflowPunct/>
              <w:topLinePunct w:val="0"/>
              <w:bidi w:val="0"/>
              <w:snapToGrid/>
              <w:spacing w:before="0" w:line="300" w:lineRule="auto"/>
              <w:jc w:val="left"/>
              <w:rPr>
                <w:rFonts w:hint="eastAsia" w:ascii="仿宋" w:hAnsi="仿宋" w:eastAsia="仿宋" w:cs="仿宋"/>
                <w:b w:val="0"/>
                <w:bCs w:val="0"/>
                <w:color w:val="auto"/>
                <w:kern w:val="2"/>
                <w:sz w:val="21"/>
              </w:rPr>
            </w:pPr>
            <w:r>
              <w:rPr>
                <w:rFonts w:hint="eastAsia" w:ascii="仿宋" w:hAnsi="仿宋" w:eastAsia="仿宋" w:cs="仿宋"/>
                <w:b w:val="0"/>
                <w:bCs w:val="0"/>
                <w:color w:val="auto"/>
                <w:kern w:val="2"/>
                <w:sz w:val="21"/>
              </w:rPr>
              <w:t>综合评分法</w:t>
            </w:r>
          </w:p>
        </w:tc>
      </w:tr>
      <w:tr w14:paraId="33781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939" w:type="dxa"/>
            <w:tcBorders>
              <w:left w:val="double" w:color="auto" w:sz="4" w:space="0"/>
            </w:tcBorders>
            <w:vAlign w:val="center"/>
          </w:tcPr>
          <w:p w14:paraId="22C84432">
            <w:pPr>
              <w:keepNext w:val="0"/>
              <w:keepLines w:val="0"/>
              <w:pageBreakBefore w:val="0"/>
              <w:kinsoku/>
              <w:overflowPunct/>
              <w:topLinePunct w:val="0"/>
              <w:bidi w:val="0"/>
              <w:adjustRightInd w:val="0"/>
              <w:snapToGrid/>
              <w:spacing w:line="300" w:lineRule="auto"/>
              <w:jc w:val="center"/>
              <w:rPr>
                <w:rFonts w:hint="eastAsia" w:ascii="仿宋" w:hAnsi="仿宋" w:eastAsia="仿宋" w:cs="仿宋"/>
                <w:color w:val="auto"/>
                <w:szCs w:val="21"/>
              </w:rPr>
            </w:pPr>
            <w:r>
              <w:rPr>
                <w:rFonts w:hint="eastAsia" w:ascii="仿宋" w:hAnsi="仿宋" w:eastAsia="仿宋" w:cs="仿宋"/>
                <w:color w:val="auto"/>
                <w:szCs w:val="21"/>
              </w:rPr>
              <w:t>投标人资格要求</w:t>
            </w:r>
          </w:p>
        </w:tc>
        <w:tc>
          <w:tcPr>
            <w:tcW w:w="6961" w:type="dxa"/>
            <w:tcBorders>
              <w:right w:val="double" w:color="auto" w:sz="4" w:space="0"/>
            </w:tcBorders>
            <w:vAlign w:val="center"/>
          </w:tcPr>
          <w:p w14:paraId="4A976B25">
            <w:pPr>
              <w:pStyle w:val="16"/>
              <w:keepNext w:val="0"/>
              <w:keepLines w:val="0"/>
              <w:pageBreakBefore w:val="0"/>
              <w:kinsoku/>
              <w:overflowPunct/>
              <w:topLinePunct w:val="0"/>
              <w:bidi w:val="0"/>
              <w:snapToGrid/>
              <w:spacing w:before="0" w:line="300" w:lineRule="auto"/>
              <w:jc w:val="left"/>
              <w:rPr>
                <w:rFonts w:hint="eastAsia" w:ascii="仿宋" w:hAnsi="仿宋" w:eastAsia="仿宋" w:cs="仿宋"/>
                <w:b w:val="0"/>
                <w:bCs w:val="0"/>
                <w:color w:val="auto"/>
                <w:kern w:val="2"/>
                <w:sz w:val="21"/>
              </w:rPr>
            </w:pPr>
            <w:r>
              <w:rPr>
                <w:rFonts w:hint="eastAsia" w:ascii="仿宋" w:hAnsi="仿宋" w:eastAsia="仿宋" w:cs="仿宋"/>
                <w:b w:val="0"/>
                <w:bCs w:val="0"/>
                <w:color w:val="auto"/>
                <w:kern w:val="2"/>
                <w:sz w:val="21"/>
              </w:rPr>
              <w:t>详见招标公告</w:t>
            </w:r>
          </w:p>
        </w:tc>
      </w:tr>
      <w:tr w14:paraId="245A8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39" w:type="dxa"/>
            <w:tcBorders>
              <w:left w:val="double" w:color="auto" w:sz="4" w:space="0"/>
            </w:tcBorders>
            <w:vAlign w:val="center"/>
          </w:tcPr>
          <w:p w14:paraId="65B305A8">
            <w:pPr>
              <w:keepNext w:val="0"/>
              <w:keepLines w:val="0"/>
              <w:pageBreakBefore w:val="0"/>
              <w:kinsoku/>
              <w:overflowPunct/>
              <w:topLinePunct w:val="0"/>
              <w:bidi w:val="0"/>
              <w:adjustRightInd w:val="0"/>
              <w:snapToGrid/>
              <w:spacing w:line="300" w:lineRule="auto"/>
              <w:jc w:val="center"/>
              <w:rPr>
                <w:rFonts w:hint="eastAsia" w:ascii="仿宋" w:hAnsi="仿宋" w:eastAsia="仿宋" w:cs="仿宋"/>
                <w:color w:val="auto"/>
                <w:szCs w:val="21"/>
              </w:rPr>
            </w:pPr>
            <w:r>
              <w:rPr>
                <w:rFonts w:hint="eastAsia" w:ascii="仿宋" w:hAnsi="仿宋" w:eastAsia="仿宋" w:cs="仿宋"/>
                <w:color w:val="auto"/>
                <w:szCs w:val="21"/>
              </w:rPr>
              <w:t>现场踏勘</w:t>
            </w:r>
          </w:p>
        </w:tc>
        <w:tc>
          <w:tcPr>
            <w:tcW w:w="6961" w:type="dxa"/>
            <w:tcBorders>
              <w:right w:val="double" w:color="auto" w:sz="4" w:space="0"/>
            </w:tcBorders>
            <w:vAlign w:val="center"/>
          </w:tcPr>
          <w:p w14:paraId="22B3A779">
            <w:pPr>
              <w:pStyle w:val="16"/>
              <w:keepNext w:val="0"/>
              <w:keepLines w:val="0"/>
              <w:pageBreakBefore w:val="0"/>
              <w:kinsoku/>
              <w:overflowPunct/>
              <w:topLinePunct w:val="0"/>
              <w:bidi w:val="0"/>
              <w:snapToGrid/>
              <w:spacing w:before="0" w:line="300" w:lineRule="auto"/>
              <w:jc w:val="left"/>
              <w:rPr>
                <w:rFonts w:hint="eastAsia" w:ascii="仿宋" w:hAnsi="仿宋" w:eastAsia="仿宋" w:cs="仿宋"/>
                <w:b w:val="0"/>
                <w:bCs w:val="0"/>
                <w:color w:val="auto"/>
                <w:kern w:val="2"/>
                <w:sz w:val="21"/>
              </w:rPr>
            </w:pPr>
            <w:r>
              <w:rPr>
                <w:rFonts w:hint="eastAsia" w:ascii="仿宋" w:hAnsi="仿宋" w:eastAsia="仿宋" w:cs="仿宋"/>
                <w:b w:val="0"/>
                <w:bCs w:val="0"/>
                <w:color w:val="auto"/>
                <w:kern w:val="2"/>
                <w:sz w:val="21"/>
              </w:rPr>
              <w:t>本项目不组织潜在投标人踏勘现场</w:t>
            </w:r>
          </w:p>
        </w:tc>
      </w:tr>
      <w:tr w14:paraId="32D8A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39" w:type="dxa"/>
            <w:tcBorders>
              <w:left w:val="double" w:color="auto" w:sz="4" w:space="0"/>
            </w:tcBorders>
            <w:vAlign w:val="center"/>
          </w:tcPr>
          <w:p w14:paraId="11C03D96">
            <w:pPr>
              <w:keepNext w:val="0"/>
              <w:keepLines w:val="0"/>
              <w:pageBreakBefore w:val="0"/>
              <w:kinsoku/>
              <w:overflowPunct/>
              <w:topLinePunct w:val="0"/>
              <w:bidi w:val="0"/>
              <w:adjustRightInd w:val="0"/>
              <w:snapToGrid/>
              <w:spacing w:line="300" w:lineRule="auto"/>
              <w:jc w:val="center"/>
              <w:rPr>
                <w:rFonts w:hint="eastAsia" w:ascii="仿宋" w:hAnsi="仿宋" w:eastAsia="仿宋" w:cs="仿宋"/>
                <w:color w:val="auto"/>
                <w:szCs w:val="21"/>
              </w:rPr>
            </w:pPr>
            <w:r>
              <w:rPr>
                <w:rFonts w:hint="eastAsia" w:ascii="仿宋" w:hAnsi="仿宋" w:eastAsia="仿宋" w:cs="仿宋"/>
                <w:color w:val="auto"/>
                <w:szCs w:val="21"/>
              </w:rPr>
              <w:t>是否允许递交备选投标方案</w:t>
            </w:r>
          </w:p>
        </w:tc>
        <w:tc>
          <w:tcPr>
            <w:tcW w:w="6961" w:type="dxa"/>
            <w:tcBorders>
              <w:right w:val="double" w:color="auto" w:sz="4" w:space="0"/>
            </w:tcBorders>
            <w:vAlign w:val="center"/>
          </w:tcPr>
          <w:p w14:paraId="0CEE3A75">
            <w:pPr>
              <w:pStyle w:val="101"/>
              <w:keepNext w:val="0"/>
              <w:keepLines w:val="0"/>
              <w:pageBreakBefore w:val="0"/>
              <w:widowControl/>
              <w:kinsoku/>
              <w:overflowPunct/>
              <w:topLinePunct w:val="0"/>
              <w:bidi w:val="0"/>
              <w:snapToGrid/>
              <w:spacing w:before="0" w:line="300" w:lineRule="auto"/>
              <w:rPr>
                <w:rStyle w:val="156"/>
                <w:rFonts w:hint="eastAsia" w:ascii="仿宋" w:hAnsi="仿宋" w:eastAsia="仿宋" w:cs="仿宋"/>
                <w:b w:val="0"/>
                <w:bCs w:val="0"/>
                <w:color w:val="auto"/>
                <w:kern w:val="2"/>
                <w:sz w:val="21"/>
              </w:rPr>
            </w:pPr>
            <w:r>
              <w:rPr>
                <w:rStyle w:val="156"/>
                <w:rFonts w:hint="eastAsia" w:ascii="仿宋" w:hAnsi="仿宋" w:eastAsia="仿宋" w:cs="仿宋"/>
                <w:b w:val="0"/>
                <w:bCs w:val="0"/>
                <w:color w:val="auto"/>
                <w:kern w:val="2"/>
                <w:sz w:val="21"/>
              </w:rPr>
              <w:t>不允许</w:t>
            </w:r>
          </w:p>
        </w:tc>
      </w:tr>
      <w:tr w14:paraId="2BC55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39" w:type="dxa"/>
            <w:tcBorders>
              <w:left w:val="double" w:color="auto" w:sz="4" w:space="0"/>
            </w:tcBorders>
            <w:vAlign w:val="center"/>
          </w:tcPr>
          <w:p w14:paraId="1D0DEDE6">
            <w:pPr>
              <w:keepNext w:val="0"/>
              <w:keepLines w:val="0"/>
              <w:pageBreakBefore w:val="0"/>
              <w:kinsoku/>
              <w:overflowPunct/>
              <w:topLinePunct w:val="0"/>
              <w:bidi w:val="0"/>
              <w:adjustRightInd w:val="0"/>
              <w:snapToGrid/>
              <w:spacing w:line="300" w:lineRule="auto"/>
              <w:jc w:val="center"/>
              <w:rPr>
                <w:rFonts w:hint="eastAsia" w:ascii="仿宋" w:hAnsi="仿宋" w:eastAsia="仿宋" w:cs="仿宋"/>
                <w:color w:val="auto"/>
                <w:szCs w:val="21"/>
              </w:rPr>
            </w:pPr>
            <w:r>
              <w:rPr>
                <w:rFonts w:hint="eastAsia" w:ascii="仿宋" w:hAnsi="仿宋" w:eastAsia="仿宋" w:cs="仿宋"/>
                <w:color w:val="auto"/>
                <w:szCs w:val="21"/>
              </w:rPr>
              <w:t xml:space="preserve">获取采购文件 </w:t>
            </w:r>
          </w:p>
        </w:tc>
        <w:tc>
          <w:tcPr>
            <w:tcW w:w="6961" w:type="dxa"/>
            <w:tcBorders>
              <w:right w:val="double" w:color="auto" w:sz="4" w:space="0"/>
            </w:tcBorders>
            <w:vAlign w:val="center"/>
          </w:tcPr>
          <w:p w14:paraId="2A9D741A">
            <w:pPr>
              <w:pStyle w:val="165"/>
              <w:widowControl/>
              <w:snapToGrid w:val="0"/>
              <w:spacing w:beforeLines="0" w:line="360" w:lineRule="auto"/>
              <w:ind w:left="0" w:leftChars="0" w:firstLine="0" w:firstLineChars="0"/>
              <w:jc w:val="left"/>
              <w:rPr>
                <w:rFonts w:hint="eastAsia" w:ascii="仿宋" w:hAnsi="仿宋" w:eastAsia="仿宋" w:cs="仿宋"/>
                <w:color w:val="auto"/>
                <w:sz w:val="22"/>
                <w:szCs w:val="22"/>
              </w:rPr>
            </w:pPr>
            <w:r>
              <w:rPr>
                <w:rFonts w:hint="eastAsia" w:ascii="仿宋" w:hAnsi="仿宋" w:eastAsia="仿宋" w:cs="仿宋"/>
                <w:color w:val="auto"/>
                <w:sz w:val="21"/>
                <w:szCs w:val="21"/>
              </w:rPr>
              <w:t>1.时间：</w:t>
            </w:r>
            <w:r>
              <w:rPr>
                <w:rFonts w:hint="eastAsia" w:ascii="仿宋" w:hAnsi="仿宋" w:eastAsia="仿宋" w:cs="仿宋"/>
                <w:color w:val="auto"/>
                <w:sz w:val="21"/>
                <w:szCs w:val="21"/>
                <w:u w:val="single"/>
              </w:rPr>
              <w:t>/</w:t>
            </w:r>
            <w:r>
              <w:rPr>
                <w:rFonts w:hint="eastAsia" w:ascii="仿宋" w:hAnsi="仿宋" w:eastAsia="仿宋" w:cs="仿宋"/>
                <w:color w:val="auto"/>
                <w:sz w:val="21"/>
                <w:szCs w:val="21"/>
              </w:rPr>
              <w:t>至</w:t>
            </w:r>
            <w:r>
              <w:rPr>
                <w:rFonts w:hint="eastAsia" w:ascii="仿宋" w:hAnsi="仿宋" w:eastAsia="仿宋" w:cs="仿宋"/>
                <w:b/>
                <w:color w:val="auto"/>
                <w:sz w:val="21"/>
                <w:szCs w:val="21"/>
                <w:u w:val="single"/>
                <w:lang w:eastAsia="zh-CN"/>
              </w:rPr>
              <w:t>2025年</w:t>
            </w:r>
            <w:r>
              <w:rPr>
                <w:rFonts w:hint="eastAsia" w:ascii="仿宋" w:hAnsi="仿宋" w:eastAsia="仿宋" w:cs="仿宋"/>
                <w:b/>
                <w:color w:val="auto"/>
                <w:sz w:val="21"/>
                <w:szCs w:val="21"/>
                <w:u w:val="single"/>
                <w:lang w:val="en-US" w:eastAsia="zh-CN"/>
              </w:rPr>
              <w:t>08</w:t>
            </w:r>
            <w:r>
              <w:rPr>
                <w:rFonts w:hint="eastAsia" w:ascii="仿宋" w:hAnsi="仿宋" w:eastAsia="仿宋" w:cs="仿宋"/>
                <w:b/>
                <w:color w:val="auto"/>
                <w:sz w:val="21"/>
                <w:szCs w:val="21"/>
                <w:u w:val="single"/>
                <w:lang w:eastAsia="zh-CN"/>
              </w:rPr>
              <w:t>月</w:t>
            </w:r>
            <w:r>
              <w:rPr>
                <w:rFonts w:hint="eastAsia" w:ascii="仿宋" w:hAnsi="仿宋" w:eastAsia="仿宋" w:cs="仿宋"/>
                <w:b/>
                <w:color w:val="auto"/>
                <w:sz w:val="21"/>
                <w:szCs w:val="21"/>
                <w:u w:val="single"/>
                <w:lang w:val="en-US" w:eastAsia="zh-CN"/>
              </w:rPr>
              <w:t>06</w:t>
            </w:r>
            <w:r>
              <w:rPr>
                <w:rFonts w:hint="eastAsia" w:ascii="仿宋" w:hAnsi="仿宋" w:eastAsia="仿宋" w:cs="仿宋"/>
                <w:b/>
                <w:color w:val="auto"/>
                <w:sz w:val="21"/>
                <w:szCs w:val="21"/>
                <w:u w:val="single"/>
                <w:lang w:eastAsia="zh-CN"/>
              </w:rPr>
              <w:t>日 09:30</w:t>
            </w:r>
            <w:r>
              <w:rPr>
                <w:rFonts w:hint="eastAsia" w:ascii="仿宋" w:hAnsi="仿宋" w:eastAsia="仿宋" w:cs="仿宋"/>
                <w:color w:val="auto"/>
                <w:sz w:val="21"/>
                <w:szCs w:val="21"/>
              </w:rPr>
              <w:t>，每天上午00:00至12:00，下午12:00至23:59（北京时间），法定节假日均可</w:t>
            </w:r>
            <w:r>
              <w:rPr>
                <w:rFonts w:hint="eastAsia" w:ascii="仿宋" w:hAnsi="仿宋" w:eastAsia="仿宋" w:cs="仿宋"/>
                <w:color w:val="auto"/>
                <w:sz w:val="22"/>
                <w:szCs w:val="22"/>
              </w:rPr>
              <w:t>。</w:t>
            </w:r>
          </w:p>
          <w:p w14:paraId="71E2BB0F">
            <w:pPr>
              <w:pStyle w:val="165"/>
              <w:widowControl/>
              <w:snapToGrid w:val="0"/>
              <w:spacing w:beforeLines="0" w:line="360" w:lineRule="auto"/>
              <w:ind w:left="0" w:leftChars="0" w:firstLine="0" w:firstLineChars="0"/>
              <w:jc w:val="left"/>
              <w:rPr>
                <w:rFonts w:hint="eastAsia" w:ascii="仿宋" w:hAnsi="仿宋" w:eastAsia="仿宋" w:cs="仿宋"/>
                <w:color w:val="auto"/>
                <w:sz w:val="21"/>
                <w:szCs w:val="21"/>
                <w:u w:val="single"/>
              </w:rPr>
            </w:pPr>
            <w:r>
              <w:rPr>
                <w:rFonts w:hint="eastAsia" w:ascii="仿宋" w:hAnsi="仿宋" w:eastAsia="仿宋" w:cs="仿宋"/>
                <w:color w:val="auto"/>
                <w:sz w:val="21"/>
                <w:szCs w:val="21"/>
              </w:rPr>
              <w:t>2.地点：政府采购云平台（www.zcygov.cn）</w:t>
            </w:r>
          </w:p>
          <w:p w14:paraId="0CDFF2AB">
            <w:pPr>
              <w:pStyle w:val="165"/>
              <w:widowControl/>
              <w:snapToGrid w:val="0"/>
              <w:spacing w:beforeLines="0" w:line="360" w:lineRule="auto"/>
              <w:ind w:left="0" w:leftChars="0" w:firstLine="0" w:firstLineChars="0"/>
              <w:jc w:val="left"/>
              <w:rPr>
                <w:rFonts w:hint="eastAsia" w:ascii="仿宋" w:hAnsi="仿宋" w:eastAsia="仿宋" w:cs="仿宋"/>
                <w:color w:val="auto"/>
                <w:kern w:val="2"/>
                <w:sz w:val="21"/>
                <w:szCs w:val="21"/>
              </w:rPr>
            </w:pPr>
            <w:r>
              <w:rPr>
                <w:rFonts w:hint="eastAsia" w:ascii="仿宋" w:hAnsi="仿宋" w:eastAsia="仿宋" w:cs="仿宋"/>
                <w:color w:val="auto"/>
                <w:szCs w:val="21"/>
              </w:rPr>
              <w:t>3.</w:t>
            </w:r>
            <w:r>
              <w:rPr>
                <w:rFonts w:hint="eastAsia" w:ascii="仿宋" w:hAnsi="仿宋" w:eastAsia="仿宋" w:cs="仿宋"/>
                <w:color w:val="auto"/>
                <w:sz w:val="21"/>
                <w:szCs w:val="21"/>
              </w:rPr>
              <w:t>方式：拟参加本项目采购活动的潜在投标人直接登录“政采云”平台（www.zcygov.cn）或点击浙江政府采购网本项目公告附件“潜在供应商--获取采购文件”链接跳转登录后，在线申请获取采购文件（进入“项目采购”应用，在“</w:t>
            </w:r>
            <w:r>
              <w:rPr>
                <w:rFonts w:hint="eastAsia" w:ascii="仿宋" w:hAnsi="仿宋" w:eastAsia="仿宋" w:cs="仿宋"/>
                <w:bCs/>
                <w:color w:val="auto"/>
                <w:sz w:val="21"/>
                <w:szCs w:val="21"/>
              </w:rPr>
              <w:t>获取</w:t>
            </w:r>
            <w:r>
              <w:rPr>
                <w:rFonts w:hint="eastAsia" w:ascii="仿宋" w:hAnsi="仿宋" w:eastAsia="仿宋" w:cs="仿宋"/>
                <w:color w:val="auto"/>
                <w:sz w:val="21"/>
                <w:szCs w:val="21"/>
              </w:rPr>
              <w:t>采购文件”菜单中选择本项目。</w:t>
            </w:r>
          </w:p>
        </w:tc>
      </w:tr>
      <w:tr w14:paraId="5A303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39" w:type="dxa"/>
            <w:tcBorders>
              <w:left w:val="double" w:color="auto" w:sz="4" w:space="0"/>
            </w:tcBorders>
            <w:vAlign w:val="center"/>
          </w:tcPr>
          <w:p w14:paraId="0FDD17DB">
            <w:pPr>
              <w:keepNext w:val="0"/>
              <w:keepLines w:val="0"/>
              <w:pageBreakBefore w:val="0"/>
              <w:kinsoku/>
              <w:overflowPunct/>
              <w:topLinePunct w:val="0"/>
              <w:bidi w:val="0"/>
              <w:adjustRightInd w:val="0"/>
              <w:snapToGrid/>
              <w:spacing w:line="300" w:lineRule="auto"/>
              <w:jc w:val="center"/>
              <w:rPr>
                <w:rFonts w:hint="eastAsia" w:ascii="仿宋" w:hAnsi="仿宋" w:eastAsia="仿宋" w:cs="仿宋"/>
                <w:color w:val="auto"/>
                <w:szCs w:val="21"/>
              </w:rPr>
            </w:pPr>
            <w:r>
              <w:rPr>
                <w:rFonts w:hint="eastAsia" w:ascii="仿宋" w:hAnsi="仿宋" w:eastAsia="仿宋" w:cs="仿宋"/>
                <w:color w:val="auto"/>
                <w:szCs w:val="21"/>
              </w:rPr>
              <w:t>采购文件答疑</w:t>
            </w:r>
          </w:p>
        </w:tc>
        <w:tc>
          <w:tcPr>
            <w:tcW w:w="6961" w:type="dxa"/>
            <w:tcBorders>
              <w:right w:val="double" w:color="auto" w:sz="4" w:space="0"/>
            </w:tcBorders>
            <w:vAlign w:val="center"/>
          </w:tcPr>
          <w:p w14:paraId="488E6AC8">
            <w:pPr>
              <w:pStyle w:val="165"/>
              <w:widowControl/>
              <w:snapToGrid w:val="0"/>
              <w:spacing w:beforeLines="0" w:line="360" w:lineRule="auto"/>
              <w:ind w:left="0" w:leftChars="0" w:firstLine="0" w:firstLineChars="0"/>
              <w:jc w:val="left"/>
              <w:rPr>
                <w:rFonts w:hint="eastAsia" w:ascii="仿宋" w:hAnsi="仿宋" w:eastAsia="仿宋" w:cs="仿宋"/>
                <w:b/>
                <w:bCs w:val="0"/>
                <w:i w:val="0"/>
                <w:caps w:val="0"/>
                <w:color w:val="auto"/>
                <w:spacing w:val="0"/>
                <w:w w:val="100"/>
                <w:sz w:val="21"/>
                <w:szCs w:val="21"/>
              </w:rPr>
            </w:pPr>
            <w:r>
              <w:rPr>
                <w:rFonts w:hint="eastAsia" w:ascii="仿宋" w:hAnsi="仿宋" w:eastAsia="仿宋" w:cs="仿宋"/>
                <w:b w:val="0"/>
                <w:i w:val="0"/>
                <w:caps w:val="0"/>
                <w:color w:val="auto"/>
                <w:spacing w:val="0"/>
                <w:w w:val="100"/>
                <w:sz w:val="21"/>
                <w:szCs w:val="21"/>
                <w:lang w:val="en-US" w:eastAsia="zh-CN"/>
              </w:rPr>
              <w:t>1.</w:t>
            </w:r>
            <w:r>
              <w:rPr>
                <w:rFonts w:hint="eastAsia" w:ascii="仿宋" w:hAnsi="仿宋" w:eastAsia="仿宋" w:cs="仿宋"/>
                <w:b w:val="0"/>
                <w:i w:val="0"/>
                <w:caps w:val="0"/>
                <w:color w:val="auto"/>
                <w:spacing w:val="0"/>
                <w:w w:val="100"/>
                <w:sz w:val="21"/>
                <w:szCs w:val="21"/>
              </w:rPr>
              <w:t>潜</w:t>
            </w:r>
            <w:r>
              <w:rPr>
                <w:rFonts w:hint="eastAsia" w:ascii="仿宋" w:hAnsi="仿宋" w:eastAsia="仿宋" w:cs="仿宋"/>
                <w:bCs/>
                <w:color w:val="auto"/>
                <w:sz w:val="21"/>
                <w:szCs w:val="21"/>
              </w:rPr>
              <w:t>在投标人认为采购文件存在含糊不清、相互矛盾、多种含义以及歧视性条款或违法违规内容</w:t>
            </w:r>
            <w:r>
              <w:rPr>
                <w:rFonts w:hint="eastAsia" w:ascii="仿宋" w:hAnsi="仿宋" w:eastAsia="仿宋" w:cs="仿宋"/>
                <w:bCs/>
                <w:color w:val="auto"/>
                <w:sz w:val="21"/>
                <w:szCs w:val="21"/>
                <w:lang w:eastAsia="zh-CN"/>
              </w:rPr>
              <w:t>，可能损害其合法权益的</w:t>
            </w:r>
            <w:r>
              <w:rPr>
                <w:rFonts w:hint="eastAsia" w:ascii="仿宋" w:hAnsi="仿宋" w:eastAsia="仿宋" w:cs="仿宋"/>
                <w:bCs/>
                <w:color w:val="auto"/>
                <w:sz w:val="21"/>
                <w:szCs w:val="21"/>
              </w:rPr>
              <w:t>，请</w:t>
            </w:r>
            <w:r>
              <w:rPr>
                <w:rFonts w:hint="eastAsia" w:ascii="仿宋" w:hAnsi="仿宋" w:eastAsia="仿宋" w:cs="仿宋"/>
                <w:bCs/>
                <w:color w:val="auto"/>
                <w:sz w:val="21"/>
                <w:szCs w:val="21"/>
                <w:lang w:eastAsia="zh-CN"/>
              </w:rPr>
              <w:t>首先通过电话联系采购人或采购代理机构（联系方式见招标公告）询问。通过询问未能解决问题的，可以</w:t>
            </w:r>
            <w:r>
              <w:rPr>
                <w:rFonts w:hint="eastAsia" w:ascii="仿宋" w:hAnsi="仿宋" w:eastAsia="仿宋" w:cs="仿宋"/>
                <w:color w:val="auto"/>
                <w:szCs w:val="21"/>
              </w:rPr>
              <w:t>自获取采购文件之日（公告期限届满后获取采购文件的，</w:t>
            </w:r>
            <w:r>
              <w:rPr>
                <w:rFonts w:hint="eastAsia" w:ascii="仿宋" w:hAnsi="仿宋" w:eastAsia="仿宋" w:cs="仿宋"/>
                <w:color w:val="auto"/>
                <w:szCs w:val="21"/>
                <w:lang w:eastAsia="zh-CN"/>
              </w:rPr>
              <w:t>自</w:t>
            </w:r>
            <w:r>
              <w:rPr>
                <w:rFonts w:hint="eastAsia" w:ascii="仿宋" w:hAnsi="仿宋" w:eastAsia="仿宋" w:cs="仿宋"/>
                <w:color w:val="auto"/>
                <w:szCs w:val="21"/>
              </w:rPr>
              <w:t>公告期限届满之日）起7个工作日内，</w:t>
            </w:r>
            <w:r>
              <w:rPr>
                <w:rFonts w:hint="eastAsia" w:ascii="仿宋" w:hAnsi="仿宋" w:eastAsia="仿宋" w:cs="仿宋"/>
                <w:b/>
                <w:bCs w:val="0"/>
                <w:color w:val="auto"/>
                <w:sz w:val="21"/>
                <w:szCs w:val="21"/>
                <w:lang w:eastAsia="zh-CN"/>
              </w:rPr>
              <w:t>通过</w:t>
            </w:r>
            <w:r>
              <w:rPr>
                <w:rFonts w:hint="eastAsia" w:ascii="仿宋" w:hAnsi="仿宋" w:eastAsia="仿宋" w:cs="仿宋"/>
                <w:b/>
                <w:bCs w:val="0"/>
                <w:i w:val="0"/>
                <w:caps w:val="0"/>
                <w:color w:val="auto"/>
                <w:spacing w:val="0"/>
                <w:w w:val="100"/>
                <w:sz w:val="21"/>
                <w:szCs w:val="21"/>
                <w:lang w:eastAsia="zh-CN"/>
              </w:rPr>
              <w:t>线下</w:t>
            </w:r>
            <w:r>
              <w:rPr>
                <w:rFonts w:hint="eastAsia" w:ascii="仿宋" w:hAnsi="仿宋" w:eastAsia="仿宋" w:cs="仿宋"/>
                <w:b/>
                <w:bCs w:val="0"/>
                <w:i w:val="0"/>
                <w:caps w:val="0"/>
                <w:color w:val="auto"/>
                <w:spacing w:val="0"/>
                <w:w w:val="100"/>
                <w:sz w:val="21"/>
                <w:szCs w:val="21"/>
              </w:rPr>
              <w:t>邮寄质疑函</w:t>
            </w:r>
            <w:r>
              <w:rPr>
                <w:rFonts w:hint="eastAsia" w:ascii="仿宋" w:hAnsi="仿宋" w:eastAsia="仿宋" w:cs="仿宋"/>
                <w:b/>
                <w:bCs w:val="0"/>
                <w:i w:val="0"/>
                <w:caps w:val="0"/>
                <w:color w:val="auto"/>
                <w:spacing w:val="0"/>
                <w:w w:val="100"/>
                <w:sz w:val="21"/>
                <w:szCs w:val="21"/>
                <w:lang w:eastAsia="zh-CN"/>
              </w:rPr>
              <w:t>的方式</w:t>
            </w:r>
            <w:r>
              <w:rPr>
                <w:rFonts w:hint="eastAsia" w:ascii="仿宋" w:hAnsi="仿宋" w:eastAsia="仿宋" w:cs="仿宋"/>
                <w:b/>
                <w:bCs w:val="0"/>
                <w:color w:val="auto"/>
                <w:sz w:val="21"/>
                <w:szCs w:val="21"/>
                <w:lang w:eastAsia="zh-CN"/>
              </w:rPr>
              <w:t>提出书面质疑，</w:t>
            </w:r>
            <w:r>
              <w:rPr>
                <w:rFonts w:hint="eastAsia" w:ascii="仿宋" w:hAnsi="仿宋" w:eastAsia="仿宋" w:cs="仿宋"/>
                <w:b/>
                <w:bCs w:val="0"/>
                <w:i w:val="0"/>
                <w:caps w:val="0"/>
                <w:color w:val="auto"/>
                <w:spacing w:val="0"/>
                <w:w w:val="100"/>
                <w:sz w:val="21"/>
                <w:szCs w:val="21"/>
                <w:lang w:eastAsia="zh-CN"/>
              </w:rPr>
              <w:t>邮寄信息如下：</w:t>
            </w:r>
            <w:r>
              <w:rPr>
                <w:rFonts w:hint="eastAsia" w:ascii="仿宋" w:hAnsi="仿宋" w:eastAsia="仿宋" w:cs="仿宋"/>
                <w:b/>
                <w:bCs w:val="0"/>
                <w:i w:val="0"/>
                <w:caps w:val="0"/>
                <w:color w:val="auto"/>
                <w:spacing w:val="0"/>
                <w:w w:val="100"/>
                <w:sz w:val="21"/>
                <w:szCs w:val="21"/>
                <w:u w:val="single" w:color="auto"/>
              </w:rPr>
              <w:t>浙江省衢州市常山县天马街道定阳南路859幢4</w:t>
            </w:r>
            <w:r>
              <w:rPr>
                <w:rFonts w:hint="eastAsia" w:ascii="仿宋" w:hAnsi="仿宋" w:eastAsia="仿宋" w:cs="仿宋"/>
                <w:b/>
                <w:bCs w:val="0"/>
                <w:i w:val="0"/>
                <w:caps w:val="0"/>
                <w:color w:val="auto"/>
                <w:spacing w:val="0"/>
                <w:w w:val="100"/>
                <w:sz w:val="21"/>
                <w:szCs w:val="21"/>
                <w:u w:val="single" w:color="auto"/>
                <w:lang w:val="en-US" w:eastAsia="zh-CN"/>
              </w:rPr>
              <w:t>32</w:t>
            </w:r>
            <w:r>
              <w:rPr>
                <w:rFonts w:hint="eastAsia" w:ascii="仿宋" w:hAnsi="仿宋" w:eastAsia="仿宋" w:cs="仿宋"/>
                <w:b/>
                <w:bCs w:val="0"/>
                <w:i w:val="0"/>
                <w:caps w:val="0"/>
                <w:color w:val="auto"/>
                <w:spacing w:val="0"/>
                <w:w w:val="100"/>
                <w:sz w:val="21"/>
                <w:szCs w:val="21"/>
                <w:u w:val="single" w:color="auto"/>
              </w:rPr>
              <w:t>-435室，姚剑</w:t>
            </w:r>
            <w:r>
              <w:rPr>
                <w:rFonts w:hint="eastAsia" w:ascii="仿宋" w:hAnsi="仿宋" w:eastAsia="仿宋" w:cs="仿宋"/>
                <w:b/>
                <w:bCs w:val="0"/>
                <w:i w:val="0"/>
                <w:caps w:val="0"/>
                <w:color w:val="auto"/>
                <w:spacing w:val="0"/>
                <w:w w:val="100"/>
                <w:sz w:val="21"/>
                <w:szCs w:val="21"/>
                <w:u w:val="single" w:color="auto"/>
                <w:lang w:eastAsia="zh-CN"/>
              </w:rPr>
              <w:t>，</w:t>
            </w:r>
            <w:r>
              <w:rPr>
                <w:rFonts w:hint="eastAsia" w:ascii="仿宋" w:hAnsi="仿宋" w:eastAsia="仿宋" w:cs="仿宋"/>
                <w:b/>
                <w:bCs w:val="0"/>
                <w:i w:val="0"/>
                <w:caps w:val="0"/>
                <w:color w:val="auto"/>
                <w:spacing w:val="0"/>
                <w:w w:val="100"/>
                <w:sz w:val="21"/>
                <w:szCs w:val="21"/>
                <w:u w:val="single" w:color="auto"/>
                <w:lang w:val="en-US" w:eastAsia="zh-CN"/>
              </w:rPr>
              <w:t>13857020755</w:t>
            </w:r>
            <w:r>
              <w:rPr>
                <w:rFonts w:hint="eastAsia" w:ascii="仿宋" w:hAnsi="仿宋" w:eastAsia="仿宋" w:cs="仿宋"/>
                <w:b/>
                <w:bCs w:val="0"/>
                <w:i w:val="0"/>
                <w:caps w:val="0"/>
                <w:color w:val="auto"/>
                <w:spacing w:val="0"/>
                <w:w w:val="100"/>
                <w:sz w:val="21"/>
                <w:szCs w:val="21"/>
              </w:rPr>
              <w:t>。</w:t>
            </w:r>
          </w:p>
          <w:p w14:paraId="15DD1C52">
            <w:pPr>
              <w:pStyle w:val="165"/>
              <w:widowControl/>
              <w:snapToGrid w:val="0"/>
              <w:spacing w:beforeLines="0" w:line="360" w:lineRule="auto"/>
              <w:ind w:firstLine="0" w:firstLineChars="0"/>
              <w:jc w:val="left"/>
              <w:rPr>
                <w:rFonts w:hint="eastAsia" w:ascii="仿宋" w:hAnsi="仿宋" w:eastAsia="仿宋" w:cs="仿宋"/>
                <w:color w:val="auto"/>
                <w:szCs w:val="21"/>
                <w:lang w:eastAsia="zh-CN"/>
              </w:rPr>
            </w:pPr>
            <w:r>
              <w:rPr>
                <w:rFonts w:hint="eastAsia" w:ascii="仿宋" w:hAnsi="仿宋" w:eastAsia="仿宋" w:cs="仿宋"/>
                <w:color w:val="auto"/>
                <w:szCs w:val="21"/>
                <w:lang w:val="en-US" w:eastAsia="zh-CN"/>
              </w:rPr>
              <w:t>2.</w:t>
            </w:r>
            <w:r>
              <w:rPr>
                <w:rFonts w:hint="eastAsia" w:ascii="仿宋" w:hAnsi="仿宋" w:eastAsia="仿宋" w:cs="仿宋"/>
                <w:color w:val="auto"/>
                <w:szCs w:val="21"/>
                <w:lang w:eastAsia="zh-CN"/>
              </w:rPr>
              <w:t>除以上方式外，潜在投标人还可以通过“政采云系统”在线提出询问或质疑：</w:t>
            </w:r>
          </w:p>
          <w:p w14:paraId="2630A705">
            <w:pPr>
              <w:pStyle w:val="165"/>
              <w:widowControl/>
              <w:snapToGrid w:val="0"/>
              <w:spacing w:beforeLines="0" w:line="360" w:lineRule="auto"/>
              <w:ind w:left="0" w:leftChars="0" w:firstLine="0" w:firstLineChars="0"/>
              <w:jc w:val="left"/>
              <w:rPr>
                <w:rFonts w:hint="eastAsia" w:ascii="仿宋" w:hAnsi="仿宋" w:eastAsia="仿宋" w:cs="仿宋"/>
                <w:bCs/>
                <w:color w:val="auto"/>
                <w:sz w:val="21"/>
                <w:szCs w:val="21"/>
              </w:rPr>
            </w:pPr>
            <w:r>
              <w:rPr>
                <w:rFonts w:hint="eastAsia" w:ascii="仿宋" w:hAnsi="仿宋" w:eastAsia="仿宋" w:cs="仿宋"/>
                <w:bCs/>
                <w:color w:val="auto"/>
                <w:sz w:val="21"/>
                <w:szCs w:val="21"/>
              </w:rPr>
              <w:t>在线提供询问路径为：政采云-项目采购-询问质疑投诉-询问列表；</w:t>
            </w:r>
          </w:p>
          <w:p w14:paraId="6866F14C">
            <w:pPr>
              <w:pStyle w:val="165"/>
              <w:snapToGrid w:val="0"/>
              <w:spacing w:beforeLines="0" w:line="360" w:lineRule="auto"/>
              <w:ind w:firstLine="0" w:firstLineChars="0"/>
              <w:rPr>
                <w:rFonts w:hint="eastAsia" w:ascii="仿宋" w:hAnsi="仿宋" w:eastAsia="仿宋" w:cs="仿宋"/>
                <w:b w:val="0"/>
                <w:i w:val="0"/>
                <w:caps w:val="0"/>
                <w:color w:val="auto"/>
                <w:spacing w:val="0"/>
                <w:w w:val="100"/>
                <w:sz w:val="21"/>
                <w:szCs w:val="21"/>
              </w:rPr>
            </w:pPr>
            <w:r>
              <w:rPr>
                <w:rFonts w:hint="eastAsia" w:ascii="仿宋" w:hAnsi="仿宋" w:eastAsia="仿宋" w:cs="仿宋"/>
                <w:b w:val="0"/>
                <w:i w:val="0"/>
                <w:caps w:val="0"/>
                <w:color w:val="auto"/>
                <w:spacing w:val="0"/>
                <w:w w:val="100"/>
                <w:sz w:val="21"/>
                <w:szCs w:val="21"/>
              </w:rPr>
              <w:t>在线提起质疑路径为：政采云-项目采购-询问质疑投诉-质疑列表。</w:t>
            </w:r>
          </w:p>
          <w:p w14:paraId="00026EFC">
            <w:pPr>
              <w:pStyle w:val="165"/>
              <w:widowControl/>
              <w:snapToGrid w:val="0"/>
              <w:spacing w:beforeLines="0" w:line="360" w:lineRule="auto"/>
              <w:ind w:left="0" w:leftChars="0" w:firstLine="0" w:firstLineChars="0"/>
              <w:jc w:val="left"/>
              <w:rPr>
                <w:rFonts w:hint="eastAsia" w:ascii="仿宋" w:hAnsi="仿宋" w:eastAsia="仿宋" w:cs="仿宋"/>
                <w:b w:val="0"/>
                <w:i w:val="0"/>
                <w:caps w:val="0"/>
                <w:color w:val="auto"/>
                <w:spacing w:val="0"/>
                <w:w w:val="100"/>
                <w:sz w:val="21"/>
                <w:szCs w:val="21"/>
              </w:rPr>
            </w:pPr>
            <w:r>
              <w:rPr>
                <w:rFonts w:hint="eastAsia" w:ascii="仿宋" w:hAnsi="仿宋" w:eastAsia="仿宋" w:cs="仿宋"/>
                <w:b w:val="0"/>
                <w:i w:val="0"/>
                <w:caps w:val="0"/>
                <w:color w:val="auto"/>
                <w:spacing w:val="0"/>
                <w:w w:val="100"/>
                <w:sz w:val="21"/>
                <w:szCs w:val="21"/>
              </w:rPr>
              <w:t>质疑供应商对在线质疑</w:t>
            </w:r>
            <w:r>
              <w:rPr>
                <w:rFonts w:hint="eastAsia" w:ascii="仿宋" w:hAnsi="仿宋" w:eastAsia="仿宋" w:cs="仿宋"/>
                <w:color w:val="auto"/>
                <w:sz w:val="21"/>
                <w:szCs w:val="21"/>
              </w:rPr>
              <w:t>答复</w:t>
            </w:r>
            <w:r>
              <w:rPr>
                <w:rFonts w:hint="eastAsia" w:ascii="仿宋" w:hAnsi="仿宋" w:eastAsia="仿宋" w:cs="仿宋"/>
                <w:b w:val="0"/>
                <w:i w:val="0"/>
                <w:caps w:val="0"/>
                <w:color w:val="auto"/>
                <w:spacing w:val="0"/>
                <w:w w:val="100"/>
                <w:sz w:val="21"/>
                <w:szCs w:val="21"/>
              </w:rPr>
              <w:t>不满意的，可在线提起投诉，路径为：浙江政</w:t>
            </w:r>
            <w:r>
              <w:rPr>
                <w:rFonts w:hint="eastAsia" w:ascii="仿宋" w:hAnsi="仿宋" w:eastAsia="仿宋" w:cs="仿宋"/>
                <w:b w:val="0"/>
                <w:i w:val="0"/>
                <w:caps w:val="0"/>
                <w:color w:val="auto"/>
                <w:spacing w:val="0"/>
                <w:w w:val="100"/>
                <w:sz w:val="21"/>
                <w:szCs w:val="21"/>
                <w:lang w:val="en-US" w:eastAsia="zh-CN"/>
              </w:rPr>
              <w:t>务</w:t>
            </w:r>
            <w:r>
              <w:rPr>
                <w:rFonts w:hint="eastAsia" w:ascii="仿宋" w:hAnsi="仿宋" w:eastAsia="仿宋" w:cs="仿宋"/>
                <w:b w:val="0"/>
                <w:i w:val="0"/>
                <w:caps w:val="0"/>
                <w:color w:val="auto"/>
                <w:spacing w:val="0"/>
                <w:w w:val="100"/>
                <w:sz w:val="21"/>
                <w:szCs w:val="21"/>
              </w:rPr>
              <w:t>服务网-政府采购投诉处理-在线办理。</w:t>
            </w:r>
          </w:p>
          <w:p w14:paraId="0830A4FA">
            <w:pPr>
              <w:pStyle w:val="165"/>
              <w:widowControl/>
              <w:snapToGrid w:val="0"/>
              <w:spacing w:beforeLines="0" w:line="360" w:lineRule="auto"/>
              <w:ind w:left="0" w:leftChars="0" w:firstLine="0" w:firstLineChars="0"/>
              <w:jc w:val="left"/>
              <w:rPr>
                <w:rFonts w:hint="eastAsia" w:ascii="仿宋" w:hAnsi="仿宋" w:eastAsia="仿宋" w:cs="仿宋"/>
                <w:color w:val="auto"/>
                <w:sz w:val="21"/>
                <w:szCs w:val="21"/>
              </w:rPr>
            </w:pPr>
            <w:r>
              <w:rPr>
                <w:rFonts w:hint="eastAsia" w:ascii="仿宋" w:hAnsi="仿宋" w:eastAsia="仿宋" w:cs="仿宋"/>
                <w:b w:val="0"/>
                <w:i w:val="0"/>
                <w:caps w:val="0"/>
                <w:color w:val="auto"/>
                <w:spacing w:val="0"/>
                <w:w w:val="100"/>
                <w:sz w:val="21"/>
                <w:szCs w:val="21"/>
                <w:lang w:val="en-US" w:eastAsia="zh-CN"/>
              </w:rPr>
              <w:t>3.</w:t>
            </w:r>
            <w:r>
              <w:rPr>
                <w:rFonts w:hint="eastAsia" w:ascii="仿宋" w:hAnsi="仿宋" w:eastAsia="仿宋" w:cs="仿宋"/>
                <w:b w:val="0"/>
                <w:i w:val="0"/>
                <w:caps w:val="0"/>
                <w:color w:val="auto"/>
                <w:spacing w:val="0"/>
                <w:w w:val="100"/>
                <w:sz w:val="21"/>
                <w:szCs w:val="21"/>
              </w:rPr>
              <w:t>质疑的提出与答复均按《政府采购质疑和投诉办法》（财政部令第 94 号）规定执行。针对</w:t>
            </w:r>
            <w:r>
              <w:rPr>
                <w:rFonts w:hint="eastAsia" w:ascii="仿宋" w:hAnsi="仿宋" w:eastAsia="仿宋" w:cs="仿宋"/>
                <w:bCs/>
                <w:color w:val="auto"/>
                <w:sz w:val="21"/>
                <w:szCs w:val="21"/>
              </w:rPr>
              <w:t>同一</w:t>
            </w:r>
            <w:r>
              <w:rPr>
                <w:rFonts w:hint="eastAsia" w:ascii="仿宋" w:hAnsi="仿宋" w:eastAsia="仿宋" w:cs="仿宋"/>
                <w:b w:val="0"/>
                <w:i w:val="0"/>
                <w:caps w:val="0"/>
                <w:color w:val="auto"/>
                <w:spacing w:val="0"/>
                <w:w w:val="100"/>
                <w:sz w:val="21"/>
                <w:szCs w:val="21"/>
              </w:rPr>
              <w:t>采购程序环节的质疑，投标人应在法定期限内一次性提出（即针对同一采购程序环节的质疑采购人或采购代理机构仅受理一次），逾期提出或针对同一采购程序环节多次提出的质疑将不予受理、答复。</w:t>
            </w:r>
          </w:p>
        </w:tc>
      </w:tr>
      <w:tr w14:paraId="6B257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39" w:type="dxa"/>
            <w:tcBorders>
              <w:left w:val="double" w:color="auto" w:sz="4" w:space="0"/>
            </w:tcBorders>
            <w:vAlign w:val="center"/>
          </w:tcPr>
          <w:p w14:paraId="1914001C">
            <w:pPr>
              <w:keepNext w:val="0"/>
              <w:keepLines w:val="0"/>
              <w:pageBreakBefore w:val="0"/>
              <w:kinsoku/>
              <w:overflowPunct/>
              <w:topLinePunct w:val="0"/>
              <w:bidi w:val="0"/>
              <w:adjustRightInd w:val="0"/>
              <w:snapToGrid/>
              <w:spacing w:line="300" w:lineRule="auto"/>
              <w:jc w:val="center"/>
              <w:rPr>
                <w:rFonts w:hint="eastAsia" w:ascii="仿宋" w:hAnsi="仿宋" w:eastAsia="仿宋" w:cs="仿宋"/>
                <w:color w:val="auto"/>
                <w:szCs w:val="21"/>
              </w:rPr>
            </w:pPr>
            <w:r>
              <w:rPr>
                <w:rFonts w:hint="eastAsia" w:ascii="仿宋" w:hAnsi="仿宋" w:eastAsia="仿宋" w:cs="仿宋"/>
                <w:color w:val="auto"/>
                <w:szCs w:val="21"/>
              </w:rPr>
              <w:t>采购文件的澄清与修改</w:t>
            </w:r>
          </w:p>
        </w:tc>
        <w:tc>
          <w:tcPr>
            <w:tcW w:w="6961" w:type="dxa"/>
            <w:tcBorders>
              <w:right w:val="double" w:color="auto" w:sz="4" w:space="0"/>
            </w:tcBorders>
            <w:vAlign w:val="center"/>
          </w:tcPr>
          <w:p w14:paraId="655B8813">
            <w:pPr>
              <w:pStyle w:val="165"/>
              <w:widowControl/>
              <w:snapToGrid w:val="0"/>
              <w:spacing w:beforeLines="0" w:line="360" w:lineRule="auto"/>
              <w:ind w:left="0" w:leftChars="0" w:firstLine="0" w:firstLineChars="0"/>
              <w:jc w:val="left"/>
              <w:rPr>
                <w:rFonts w:hint="eastAsia" w:ascii="仿宋" w:hAnsi="仿宋" w:eastAsia="仿宋" w:cs="仿宋"/>
                <w:color w:val="auto"/>
                <w:sz w:val="21"/>
                <w:szCs w:val="21"/>
              </w:rPr>
            </w:pPr>
            <w:r>
              <w:rPr>
                <w:rFonts w:hint="eastAsia" w:ascii="仿宋" w:hAnsi="仿宋" w:eastAsia="仿宋" w:cs="仿宋"/>
                <w:color w:val="auto"/>
                <w:sz w:val="21"/>
                <w:szCs w:val="21"/>
                <w:lang w:eastAsia="zh-CN"/>
              </w:rPr>
              <w:t>采购人</w:t>
            </w:r>
            <w:r>
              <w:rPr>
                <w:rFonts w:hint="eastAsia" w:ascii="仿宋" w:hAnsi="仿宋" w:eastAsia="仿宋" w:cs="仿宋"/>
                <w:color w:val="auto"/>
                <w:sz w:val="21"/>
                <w:szCs w:val="21"/>
              </w:rPr>
              <w:t>或者采购代理机构可以对已发出的采购文件进行必要的澄清或者修改。澄清或者修改的内容在原公告发布媒体上以补充（更正）公告形式通知所有获取采购文件的潜在投标人。澄清或者修改的内容作为采购文件的补充和组成部分，对所有投标人均有约束力。澄清或者修改的内容可能影响投标文件编制且发出时间距投标截止时间不足 15 日的，将顺延投标截止时间。</w:t>
            </w:r>
          </w:p>
        </w:tc>
      </w:tr>
      <w:tr w14:paraId="7B1A0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39" w:type="dxa"/>
            <w:tcBorders>
              <w:left w:val="double" w:color="auto" w:sz="4" w:space="0"/>
            </w:tcBorders>
            <w:vAlign w:val="center"/>
          </w:tcPr>
          <w:p w14:paraId="45DF90BD">
            <w:pPr>
              <w:keepNext w:val="0"/>
              <w:keepLines w:val="0"/>
              <w:pageBreakBefore w:val="0"/>
              <w:kinsoku/>
              <w:overflowPunct/>
              <w:topLinePunct w:val="0"/>
              <w:bidi w:val="0"/>
              <w:adjustRightInd w:val="0"/>
              <w:snapToGrid/>
              <w:spacing w:line="300" w:lineRule="auto"/>
              <w:jc w:val="center"/>
              <w:rPr>
                <w:rFonts w:hint="eastAsia" w:ascii="仿宋" w:hAnsi="仿宋" w:eastAsia="仿宋" w:cs="仿宋"/>
                <w:color w:val="auto"/>
                <w:szCs w:val="21"/>
              </w:rPr>
            </w:pPr>
            <w:r>
              <w:rPr>
                <w:rFonts w:hint="eastAsia" w:ascii="仿宋" w:hAnsi="仿宋" w:eastAsia="仿宋" w:cs="仿宋"/>
                <w:color w:val="auto"/>
                <w:szCs w:val="21"/>
              </w:rPr>
              <w:t>投标保证金</w:t>
            </w:r>
          </w:p>
        </w:tc>
        <w:tc>
          <w:tcPr>
            <w:tcW w:w="6961" w:type="dxa"/>
            <w:tcBorders>
              <w:right w:val="double" w:color="auto" w:sz="4" w:space="0"/>
            </w:tcBorders>
            <w:vAlign w:val="center"/>
          </w:tcPr>
          <w:p w14:paraId="53C890AD">
            <w:pPr>
              <w:pStyle w:val="165"/>
              <w:widowControl/>
              <w:snapToGrid w:val="0"/>
              <w:spacing w:beforeLines="0" w:line="360" w:lineRule="auto"/>
              <w:ind w:left="0" w:leftChars="0" w:firstLine="0" w:firstLineChars="0"/>
              <w:jc w:val="left"/>
              <w:rPr>
                <w:rFonts w:hint="eastAsia" w:ascii="仿宋" w:hAnsi="仿宋" w:eastAsia="仿宋" w:cs="仿宋"/>
                <w:color w:val="auto"/>
                <w:sz w:val="21"/>
                <w:szCs w:val="21"/>
              </w:rPr>
            </w:pPr>
            <w:r>
              <w:rPr>
                <w:rFonts w:hint="eastAsia" w:ascii="仿宋" w:hAnsi="仿宋" w:eastAsia="仿宋" w:cs="仿宋"/>
                <w:color w:val="auto"/>
                <w:sz w:val="21"/>
                <w:szCs w:val="21"/>
              </w:rPr>
              <w:t>1.根据《浙江省财政厅关于明确政府采购保证金管理工作的通知》（浙财采监〔2019〕5号）规定，本项目无需缴纳投标保证金。</w:t>
            </w:r>
          </w:p>
          <w:p w14:paraId="287355E7">
            <w:pPr>
              <w:pStyle w:val="165"/>
              <w:widowControl/>
              <w:snapToGrid w:val="0"/>
              <w:spacing w:beforeLines="0" w:line="360" w:lineRule="auto"/>
              <w:ind w:left="0" w:leftChars="0" w:firstLine="0" w:firstLineChars="0"/>
              <w:jc w:val="left"/>
              <w:rPr>
                <w:rFonts w:hint="eastAsia" w:ascii="仿宋" w:hAnsi="仿宋" w:eastAsia="仿宋" w:cs="仿宋"/>
                <w:b/>
                <w:color w:val="auto"/>
                <w:sz w:val="21"/>
                <w:szCs w:val="21"/>
              </w:rPr>
            </w:pPr>
            <w:r>
              <w:rPr>
                <w:rFonts w:hint="eastAsia" w:ascii="仿宋" w:hAnsi="仿宋" w:eastAsia="仿宋" w:cs="仿宋"/>
                <w:color w:val="auto"/>
                <w:sz w:val="21"/>
                <w:szCs w:val="21"/>
              </w:rPr>
              <w:t>2.投标人在投标有效期内撤回投标文件或者中标人在法定期限内无正当理由不与</w:t>
            </w:r>
            <w:r>
              <w:rPr>
                <w:rFonts w:hint="eastAsia" w:ascii="仿宋" w:hAnsi="仿宋" w:eastAsia="仿宋" w:cs="仿宋"/>
                <w:color w:val="auto"/>
                <w:sz w:val="21"/>
                <w:szCs w:val="21"/>
                <w:lang w:eastAsia="zh-CN"/>
              </w:rPr>
              <w:t>采购人</w:t>
            </w:r>
            <w:r>
              <w:rPr>
                <w:rFonts w:hint="eastAsia" w:ascii="仿宋" w:hAnsi="仿宋" w:eastAsia="仿宋" w:cs="仿宋"/>
                <w:bCs/>
                <w:color w:val="auto"/>
                <w:sz w:val="21"/>
                <w:szCs w:val="21"/>
              </w:rPr>
              <w:t>签订</w:t>
            </w:r>
            <w:r>
              <w:rPr>
                <w:rFonts w:hint="eastAsia" w:ascii="仿宋" w:hAnsi="仿宋" w:eastAsia="仿宋" w:cs="仿宋"/>
                <w:color w:val="auto"/>
                <w:sz w:val="21"/>
                <w:szCs w:val="21"/>
              </w:rPr>
              <w:t>合同或无法按照投标文件承诺的条件与采购人签订合同的，应当按照本项目采购预算价2%的标准承担因此给</w:t>
            </w:r>
            <w:r>
              <w:rPr>
                <w:rFonts w:hint="eastAsia" w:ascii="仿宋" w:hAnsi="仿宋" w:eastAsia="仿宋" w:cs="仿宋"/>
                <w:color w:val="auto"/>
                <w:sz w:val="21"/>
                <w:szCs w:val="21"/>
                <w:lang w:eastAsia="zh-CN"/>
              </w:rPr>
              <w:t>采购人</w:t>
            </w:r>
            <w:r>
              <w:rPr>
                <w:rFonts w:hint="eastAsia" w:ascii="仿宋" w:hAnsi="仿宋" w:eastAsia="仿宋" w:cs="仿宋"/>
                <w:color w:val="auto"/>
                <w:sz w:val="21"/>
                <w:szCs w:val="21"/>
              </w:rPr>
              <w:t>造成的损失的赔偿责任及相应的法律责任。</w:t>
            </w:r>
          </w:p>
        </w:tc>
      </w:tr>
      <w:tr w14:paraId="781D0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39" w:type="dxa"/>
            <w:tcBorders>
              <w:left w:val="double" w:color="auto" w:sz="4" w:space="0"/>
            </w:tcBorders>
            <w:vAlign w:val="center"/>
          </w:tcPr>
          <w:p w14:paraId="7820A5BE">
            <w:pPr>
              <w:keepNext w:val="0"/>
              <w:keepLines w:val="0"/>
              <w:pageBreakBefore w:val="0"/>
              <w:kinsoku/>
              <w:overflowPunct/>
              <w:topLinePunct w:val="0"/>
              <w:bidi w:val="0"/>
              <w:adjustRightInd w:val="0"/>
              <w:snapToGrid/>
              <w:spacing w:line="300" w:lineRule="auto"/>
              <w:jc w:val="center"/>
              <w:rPr>
                <w:rFonts w:hint="eastAsia" w:ascii="仿宋" w:hAnsi="仿宋" w:eastAsia="仿宋" w:cs="仿宋"/>
                <w:color w:val="auto"/>
                <w:szCs w:val="21"/>
              </w:rPr>
            </w:pPr>
            <w:r>
              <w:rPr>
                <w:rFonts w:hint="eastAsia" w:ascii="仿宋" w:hAnsi="仿宋" w:eastAsia="仿宋" w:cs="仿宋"/>
                <w:color w:val="auto"/>
                <w:szCs w:val="21"/>
                <w:lang w:val="en-US" w:eastAsia="zh-CN"/>
              </w:rPr>
              <w:t>投标有效期</w:t>
            </w:r>
          </w:p>
        </w:tc>
        <w:tc>
          <w:tcPr>
            <w:tcW w:w="6961" w:type="dxa"/>
            <w:tcBorders>
              <w:right w:val="double" w:color="auto" w:sz="4" w:space="0"/>
            </w:tcBorders>
            <w:vAlign w:val="center"/>
          </w:tcPr>
          <w:p w14:paraId="52EB7D24">
            <w:pPr>
              <w:pStyle w:val="46"/>
              <w:keepNext w:val="0"/>
              <w:keepLines w:val="0"/>
              <w:pageBreakBefore w:val="0"/>
              <w:tabs>
                <w:tab w:val="left" w:pos="6930"/>
              </w:tabs>
              <w:kinsoku/>
              <w:overflowPunct/>
              <w:topLinePunct w:val="0"/>
              <w:bidi w:val="0"/>
              <w:snapToGrid/>
              <w:spacing w:beforeAutospacing="0" w:afterAutospacing="0" w:line="300" w:lineRule="auto"/>
              <w:rPr>
                <w:rFonts w:hint="eastAsia" w:ascii="仿宋" w:hAnsi="仿宋" w:eastAsia="仿宋" w:cs="仿宋"/>
                <w:color w:val="auto"/>
                <w:sz w:val="21"/>
                <w:szCs w:val="21"/>
              </w:rPr>
            </w:pPr>
            <w:r>
              <w:rPr>
                <w:rFonts w:hint="eastAsia" w:ascii="仿宋" w:hAnsi="仿宋" w:eastAsia="仿宋" w:cs="仿宋"/>
                <w:color w:val="auto"/>
                <w:sz w:val="21"/>
                <w:szCs w:val="21"/>
              </w:rPr>
              <w:t>投标截止日起 90 日历天</w:t>
            </w:r>
          </w:p>
        </w:tc>
      </w:tr>
      <w:tr w14:paraId="5B1E9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39" w:type="dxa"/>
            <w:tcBorders>
              <w:left w:val="double" w:color="auto" w:sz="4" w:space="0"/>
            </w:tcBorders>
            <w:vAlign w:val="center"/>
          </w:tcPr>
          <w:p w14:paraId="271FA92B">
            <w:pPr>
              <w:keepNext w:val="0"/>
              <w:keepLines w:val="0"/>
              <w:pageBreakBefore w:val="0"/>
              <w:kinsoku/>
              <w:overflowPunct/>
              <w:topLinePunct w:val="0"/>
              <w:bidi w:val="0"/>
              <w:adjustRightInd w:val="0"/>
              <w:snapToGrid/>
              <w:spacing w:line="300" w:lineRule="auto"/>
              <w:jc w:val="center"/>
              <w:rPr>
                <w:rFonts w:hint="eastAsia" w:ascii="仿宋" w:hAnsi="仿宋" w:eastAsia="仿宋" w:cs="仿宋"/>
                <w:color w:val="auto"/>
                <w:szCs w:val="21"/>
              </w:rPr>
            </w:pPr>
            <w:r>
              <w:rPr>
                <w:rFonts w:hint="eastAsia" w:ascii="仿宋" w:hAnsi="仿宋" w:eastAsia="仿宋" w:cs="仿宋"/>
                <w:color w:val="auto"/>
                <w:szCs w:val="21"/>
              </w:rPr>
              <w:t>投标文件形式、组成及制作</w:t>
            </w:r>
          </w:p>
        </w:tc>
        <w:tc>
          <w:tcPr>
            <w:tcW w:w="6961" w:type="dxa"/>
            <w:tcBorders>
              <w:right w:val="double" w:color="auto" w:sz="4" w:space="0"/>
            </w:tcBorders>
            <w:vAlign w:val="center"/>
          </w:tcPr>
          <w:p w14:paraId="72366A31">
            <w:pPr>
              <w:pStyle w:val="165"/>
              <w:widowControl/>
              <w:snapToGrid w:val="0"/>
              <w:spacing w:beforeLines="0" w:line="360" w:lineRule="auto"/>
              <w:ind w:left="0" w:leftChars="0" w:firstLine="0" w:firstLineChars="0"/>
              <w:jc w:val="left"/>
              <w:rPr>
                <w:rFonts w:hint="eastAsia" w:ascii="仿宋" w:hAnsi="仿宋" w:eastAsia="仿宋" w:cs="仿宋"/>
                <w:color w:val="auto"/>
                <w:sz w:val="21"/>
                <w:szCs w:val="21"/>
                <w:lang w:val="zh-CN"/>
              </w:rPr>
            </w:pPr>
            <w:r>
              <w:rPr>
                <w:rFonts w:hint="eastAsia" w:ascii="仿宋" w:hAnsi="仿宋" w:eastAsia="仿宋" w:cs="仿宋"/>
                <w:color w:val="auto"/>
                <w:sz w:val="21"/>
                <w:szCs w:val="21"/>
              </w:rPr>
              <w:t>1.</w:t>
            </w:r>
            <w:r>
              <w:rPr>
                <w:rFonts w:hint="eastAsia" w:ascii="仿宋" w:hAnsi="仿宋" w:eastAsia="仿宋" w:cs="仿宋"/>
                <w:color w:val="auto"/>
                <w:sz w:val="21"/>
                <w:szCs w:val="21"/>
                <w:lang w:val="zh-CN"/>
              </w:rPr>
              <w:t>投标文件的形式：电子投标文件（包括“电子加密投标文件”和“备份投标文件”，在</w:t>
            </w:r>
            <w:r>
              <w:rPr>
                <w:rFonts w:hint="eastAsia" w:ascii="仿宋" w:hAnsi="仿宋" w:eastAsia="仿宋" w:cs="仿宋"/>
                <w:bCs/>
                <w:color w:val="auto"/>
                <w:sz w:val="21"/>
                <w:szCs w:val="21"/>
                <w:lang w:val="zh-CN"/>
              </w:rPr>
              <w:t>投标</w:t>
            </w:r>
            <w:r>
              <w:rPr>
                <w:rFonts w:hint="eastAsia" w:ascii="仿宋" w:hAnsi="仿宋" w:eastAsia="仿宋" w:cs="仿宋"/>
                <w:color w:val="auto"/>
                <w:sz w:val="21"/>
                <w:szCs w:val="21"/>
                <w:lang w:val="zh-CN"/>
              </w:rPr>
              <w:t>文件编制完成后同时生成）；</w:t>
            </w:r>
          </w:p>
          <w:p w14:paraId="4804E9FF">
            <w:pPr>
              <w:pStyle w:val="165"/>
              <w:widowControl/>
              <w:snapToGrid w:val="0"/>
              <w:spacing w:beforeLines="0" w:line="360" w:lineRule="auto"/>
              <w:ind w:left="0" w:leftChars="0" w:firstLine="0" w:firstLineChars="0"/>
              <w:jc w:val="left"/>
              <w:rPr>
                <w:rFonts w:hint="eastAsia" w:ascii="仿宋" w:hAnsi="仿宋" w:eastAsia="仿宋" w:cs="仿宋"/>
                <w:color w:val="auto"/>
                <w:sz w:val="21"/>
                <w:szCs w:val="21"/>
                <w:lang w:val="zh-CN"/>
              </w:rPr>
            </w:pPr>
            <w:r>
              <w:rPr>
                <w:rFonts w:hint="eastAsia" w:ascii="仿宋" w:hAnsi="仿宋" w:eastAsia="仿宋" w:cs="仿宋"/>
                <w:color w:val="auto"/>
                <w:sz w:val="21"/>
                <w:szCs w:val="21"/>
                <w:lang w:val="zh-CN"/>
              </w:rPr>
              <w:t>（1）“电子加密投标</w:t>
            </w:r>
            <w:r>
              <w:rPr>
                <w:rFonts w:hint="eastAsia" w:ascii="仿宋" w:hAnsi="仿宋" w:eastAsia="仿宋" w:cs="仿宋"/>
                <w:bCs/>
                <w:color w:val="auto"/>
                <w:sz w:val="21"/>
                <w:szCs w:val="21"/>
                <w:lang w:val="zh-CN"/>
              </w:rPr>
              <w:t>文件</w:t>
            </w:r>
            <w:r>
              <w:rPr>
                <w:rFonts w:hint="eastAsia" w:ascii="仿宋" w:hAnsi="仿宋" w:eastAsia="仿宋" w:cs="仿宋"/>
                <w:color w:val="auto"/>
                <w:sz w:val="21"/>
                <w:szCs w:val="21"/>
                <w:lang w:val="zh-CN"/>
              </w:rPr>
              <w:t>”是指通过“政采云电子交易客户端”完成投标文件编制后生成并加密的数据电文形式的投标文件。</w:t>
            </w:r>
          </w:p>
          <w:p w14:paraId="1C53A790">
            <w:pPr>
              <w:pStyle w:val="165"/>
              <w:widowControl/>
              <w:snapToGrid w:val="0"/>
              <w:spacing w:beforeLines="0" w:line="360" w:lineRule="auto"/>
              <w:ind w:left="0" w:leftChars="0" w:firstLine="0" w:firstLineChars="0"/>
              <w:jc w:val="left"/>
              <w:rPr>
                <w:rFonts w:hint="eastAsia" w:ascii="仿宋" w:hAnsi="仿宋" w:eastAsia="仿宋" w:cs="仿宋"/>
                <w:color w:val="auto"/>
                <w:sz w:val="21"/>
                <w:szCs w:val="21"/>
                <w:lang w:val="zh-CN"/>
              </w:rPr>
            </w:pPr>
            <w:r>
              <w:rPr>
                <w:rFonts w:hint="eastAsia" w:ascii="仿宋" w:hAnsi="仿宋" w:eastAsia="仿宋" w:cs="仿宋"/>
                <w:color w:val="auto"/>
                <w:sz w:val="21"/>
                <w:szCs w:val="21"/>
                <w:lang w:val="zh-CN"/>
              </w:rPr>
              <w:t>（2）“备份</w:t>
            </w:r>
            <w:r>
              <w:rPr>
                <w:rFonts w:hint="eastAsia" w:ascii="仿宋" w:hAnsi="仿宋" w:eastAsia="仿宋" w:cs="仿宋"/>
                <w:bCs/>
                <w:color w:val="auto"/>
                <w:sz w:val="21"/>
                <w:szCs w:val="21"/>
                <w:lang w:val="zh-CN"/>
              </w:rPr>
              <w:t>投标</w:t>
            </w:r>
            <w:r>
              <w:rPr>
                <w:rFonts w:hint="eastAsia" w:ascii="仿宋" w:hAnsi="仿宋" w:eastAsia="仿宋" w:cs="仿宋"/>
                <w:color w:val="auto"/>
                <w:sz w:val="21"/>
                <w:szCs w:val="21"/>
                <w:lang w:val="zh-CN"/>
              </w:rPr>
              <w:t>文件”是指与“电子加密投标文件”同时生成的数据电文形式的电子文件（备份标书），其他方式编制的备份投标文件视为无效备份投标文件。</w:t>
            </w:r>
          </w:p>
          <w:p w14:paraId="6265A3E3">
            <w:pPr>
              <w:pStyle w:val="165"/>
              <w:widowControl/>
              <w:snapToGrid w:val="0"/>
              <w:spacing w:beforeLines="0" w:line="360" w:lineRule="auto"/>
              <w:ind w:left="0" w:leftChars="0" w:firstLine="0" w:firstLineChars="0"/>
              <w:jc w:val="left"/>
              <w:rPr>
                <w:rFonts w:hint="eastAsia" w:ascii="仿宋" w:hAnsi="仿宋" w:eastAsia="仿宋" w:cs="仿宋"/>
                <w:color w:val="auto"/>
                <w:sz w:val="21"/>
                <w:szCs w:val="21"/>
                <w:lang w:val="zh-CN"/>
              </w:rPr>
            </w:pPr>
            <w:r>
              <w:rPr>
                <w:rFonts w:hint="eastAsia" w:ascii="仿宋" w:hAnsi="仿宋" w:eastAsia="仿宋" w:cs="仿宋"/>
                <w:color w:val="auto"/>
                <w:sz w:val="21"/>
                <w:szCs w:val="21"/>
              </w:rPr>
              <w:t>2.</w:t>
            </w:r>
            <w:r>
              <w:rPr>
                <w:rFonts w:hint="eastAsia" w:ascii="仿宋" w:hAnsi="仿宋" w:eastAsia="仿宋" w:cs="仿宋"/>
                <w:color w:val="auto"/>
                <w:sz w:val="21"/>
                <w:szCs w:val="21"/>
                <w:lang w:val="zh-CN"/>
              </w:rPr>
              <w:t>备份投标文件</w:t>
            </w:r>
            <w:r>
              <w:rPr>
                <w:rFonts w:hint="eastAsia" w:ascii="仿宋" w:hAnsi="仿宋" w:eastAsia="仿宋" w:cs="仿宋"/>
                <w:bCs/>
                <w:color w:val="auto"/>
                <w:sz w:val="21"/>
                <w:szCs w:val="21"/>
                <w:lang w:val="zh-CN"/>
              </w:rPr>
              <w:t>递交</w:t>
            </w:r>
            <w:r>
              <w:rPr>
                <w:rFonts w:hint="eastAsia" w:ascii="仿宋" w:hAnsi="仿宋" w:eastAsia="仿宋" w:cs="仿宋"/>
                <w:color w:val="auto"/>
                <w:sz w:val="21"/>
                <w:szCs w:val="21"/>
                <w:lang w:val="zh-CN"/>
              </w:rPr>
              <w:t>非强制性要求。</w:t>
            </w:r>
          </w:p>
          <w:p w14:paraId="56EEE20C">
            <w:pPr>
              <w:pStyle w:val="165"/>
              <w:widowControl/>
              <w:snapToGrid w:val="0"/>
              <w:spacing w:beforeLines="0" w:line="360" w:lineRule="auto"/>
              <w:ind w:left="0" w:leftChars="0" w:firstLine="0" w:firstLineChars="0"/>
              <w:jc w:val="left"/>
              <w:rPr>
                <w:rFonts w:hint="eastAsia" w:ascii="仿宋" w:hAnsi="仿宋" w:eastAsia="仿宋" w:cs="仿宋"/>
                <w:color w:val="auto"/>
                <w:sz w:val="21"/>
                <w:szCs w:val="21"/>
              </w:rPr>
            </w:pPr>
            <w:r>
              <w:rPr>
                <w:rFonts w:hint="eastAsia" w:ascii="仿宋" w:hAnsi="仿宋" w:eastAsia="仿宋" w:cs="仿宋"/>
                <w:color w:val="auto"/>
                <w:sz w:val="21"/>
                <w:szCs w:val="21"/>
              </w:rPr>
              <w:t>3.投标</w:t>
            </w:r>
            <w:r>
              <w:rPr>
                <w:rFonts w:hint="eastAsia" w:ascii="仿宋" w:hAnsi="仿宋" w:eastAsia="仿宋" w:cs="仿宋"/>
                <w:bCs/>
                <w:color w:val="auto"/>
                <w:sz w:val="21"/>
                <w:szCs w:val="21"/>
              </w:rPr>
              <w:t>文件</w:t>
            </w:r>
            <w:r>
              <w:rPr>
                <w:rFonts w:hint="eastAsia" w:ascii="仿宋" w:hAnsi="仿宋" w:eastAsia="仿宋" w:cs="仿宋"/>
                <w:color w:val="auto"/>
                <w:sz w:val="21"/>
                <w:szCs w:val="21"/>
              </w:rPr>
              <w:t>由资格文件、商务技术文件、报价文件组成；</w:t>
            </w:r>
          </w:p>
          <w:p w14:paraId="68C5EFF9">
            <w:pPr>
              <w:pStyle w:val="165"/>
              <w:widowControl/>
              <w:snapToGrid w:val="0"/>
              <w:spacing w:beforeLines="0" w:line="360" w:lineRule="auto"/>
              <w:ind w:left="0" w:leftChars="0" w:firstLine="0" w:firstLineChars="0"/>
              <w:jc w:val="left"/>
              <w:rPr>
                <w:rFonts w:hint="eastAsia" w:ascii="仿宋" w:hAnsi="仿宋" w:eastAsia="仿宋" w:cs="仿宋"/>
                <w:color w:val="auto"/>
                <w:sz w:val="21"/>
                <w:szCs w:val="21"/>
              </w:rPr>
            </w:pPr>
            <w:r>
              <w:rPr>
                <w:rFonts w:hint="eastAsia" w:ascii="仿宋" w:hAnsi="仿宋" w:eastAsia="仿宋" w:cs="仿宋"/>
                <w:color w:val="auto"/>
                <w:sz w:val="21"/>
                <w:szCs w:val="21"/>
              </w:rPr>
              <w:t>4.电子</w:t>
            </w:r>
            <w:r>
              <w:rPr>
                <w:rFonts w:hint="eastAsia" w:ascii="仿宋" w:hAnsi="仿宋" w:eastAsia="仿宋" w:cs="仿宋"/>
                <w:bCs/>
                <w:color w:val="auto"/>
                <w:sz w:val="21"/>
                <w:szCs w:val="21"/>
              </w:rPr>
              <w:t>加密</w:t>
            </w:r>
            <w:r>
              <w:rPr>
                <w:rFonts w:hint="eastAsia" w:ascii="仿宋" w:hAnsi="仿宋" w:eastAsia="仿宋" w:cs="仿宋"/>
                <w:color w:val="auto"/>
                <w:sz w:val="21"/>
                <w:szCs w:val="21"/>
              </w:rPr>
              <w:t>投标文件制作：应按政采云平台供应商项目采购-电子招投标操作指南（网址：</w:t>
            </w:r>
            <w:r>
              <w:rPr>
                <w:rFonts w:hint="eastAsia" w:ascii="仿宋" w:hAnsi="仿宋" w:eastAsia="仿宋" w:cs="仿宋"/>
                <w:color w:val="auto"/>
              </w:rPr>
              <w:fldChar w:fldCharType="begin"/>
            </w:r>
            <w:r>
              <w:rPr>
                <w:rFonts w:hint="eastAsia" w:ascii="仿宋" w:hAnsi="仿宋" w:eastAsia="仿宋" w:cs="仿宋"/>
                <w:color w:val="auto"/>
              </w:rPr>
              <w:instrText xml:space="preserve"> HYPERLINK "https://help.zcy.gov.cn/web/site_2/2018/12-28/2573.html）及本采购文件要求制作" </w:instrText>
            </w:r>
            <w:r>
              <w:rPr>
                <w:rFonts w:hint="eastAsia" w:ascii="仿宋" w:hAnsi="仿宋" w:eastAsia="仿宋" w:cs="仿宋"/>
                <w:color w:val="auto"/>
              </w:rPr>
              <w:fldChar w:fldCharType="separate"/>
            </w:r>
            <w:r>
              <w:rPr>
                <w:rFonts w:hint="eastAsia" w:ascii="宋体" w:hAnsi="宋体" w:eastAsia="宋体" w:cs="宋体"/>
                <w:b w:val="0"/>
                <w:i w:val="0"/>
                <w:caps w:val="0"/>
                <w:spacing w:val="0"/>
                <w:w w:val="100"/>
                <w:sz w:val="20"/>
                <w:lang w:val="en-US" w:eastAsia="zh-CN"/>
              </w:rPr>
              <w:t>https://service.zcygov.cn/#/knowLEDges/CW1EtGwBFdiHxlNd6I3m/6IMVAG0BFdiHxlNdQ8Na</w:t>
            </w:r>
            <w:r>
              <w:rPr>
                <w:rStyle w:val="57"/>
                <w:rFonts w:hint="eastAsia" w:ascii="仿宋" w:hAnsi="仿宋" w:eastAsia="仿宋" w:cs="仿宋"/>
                <w:color w:val="auto"/>
                <w:sz w:val="21"/>
                <w:szCs w:val="21"/>
                <w:u w:val="none"/>
              </w:rPr>
              <w:t>）及本采购文件要求制作</w:t>
            </w:r>
            <w:r>
              <w:rPr>
                <w:rStyle w:val="57"/>
                <w:rFonts w:hint="eastAsia" w:ascii="仿宋" w:hAnsi="仿宋" w:eastAsia="仿宋" w:cs="仿宋"/>
                <w:color w:val="auto"/>
                <w:sz w:val="21"/>
                <w:szCs w:val="21"/>
                <w:u w:val="none"/>
              </w:rPr>
              <w:fldChar w:fldCharType="end"/>
            </w:r>
            <w:r>
              <w:rPr>
                <w:rFonts w:hint="eastAsia" w:ascii="仿宋" w:hAnsi="仿宋" w:eastAsia="仿宋" w:cs="仿宋"/>
                <w:color w:val="auto"/>
                <w:sz w:val="21"/>
                <w:szCs w:val="21"/>
              </w:rPr>
              <w:t>、加密并递交。</w:t>
            </w:r>
          </w:p>
        </w:tc>
      </w:tr>
      <w:tr w14:paraId="2C67D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39" w:type="dxa"/>
            <w:tcBorders>
              <w:left w:val="double" w:color="auto" w:sz="4" w:space="0"/>
            </w:tcBorders>
            <w:vAlign w:val="center"/>
          </w:tcPr>
          <w:p w14:paraId="4DC6BC9E">
            <w:pPr>
              <w:keepNext w:val="0"/>
              <w:keepLines w:val="0"/>
              <w:pageBreakBefore w:val="0"/>
              <w:kinsoku/>
              <w:overflowPunct/>
              <w:topLinePunct w:val="0"/>
              <w:bidi w:val="0"/>
              <w:adjustRightInd w:val="0"/>
              <w:snapToGrid/>
              <w:spacing w:line="300" w:lineRule="auto"/>
              <w:jc w:val="center"/>
              <w:rPr>
                <w:rFonts w:hint="eastAsia" w:ascii="仿宋" w:hAnsi="仿宋" w:eastAsia="仿宋" w:cs="仿宋"/>
                <w:color w:val="auto"/>
                <w:szCs w:val="21"/>
              </w:rPr>
            </w:pPr>
            <w:r>
              <w:rPr>
                <w:rFonts w:hint="eastAsia" w:ascii="仿宋" w:hAnsi="仿宋" w:eastAsia="仿宋" w:cs="仿宋"/>
                <w:color w:val="auto"/>
                <w:szCs w:val="21"/>
              </w:rPr>
              <w:t>投标文件提交（上传）</w:t>
            </w:r>
          </w:p>
        </w:tc>
        <w:tc>
          <w:tcPr>
            <w:tcW w:w="6961" w:type="dxa"/>
            <w:tcBorders>
              <w:right w:val="double" w:color="auto" w:sz="4" w:space="0"/>
            </w:tcBorders>
            <w:vAlign w:val="center"/>
          </w:tcPr>
          <w:p w14:paraId="2F7C5A57">
            <w:pPr>
              <w:pStyle w:val="165"/>
              <w:widowControl/>
              <w:snapToGrid w:val="0"/>
              <w:spacing w:beforeLines="0" w:line="360" w:lineRule="auto"/>
              <w:ind w:left="0" w:leftChars="0" w:firstLine="0" w:firstLineChars="0"/>
              <w:jc w:val="left"/>
              <w:rPr>
                <w:rFonts w:hint="eastAsia" w:ascii="仿宋" w:hAnsi="仿宋" w:eastAsia="仿宋" w:cs="仿宋"/>
                <w:color w:val="auto"/>
                <w:kern w:val="2"/>
                <w:sz w:val="21"/>
                <w:szCs w:val="21"/>
              </w:rPr>
            </w:pPr>
            <w:r>
              <w:rPr>
                <w:rFonts w:hint="eastAsia" w:ascii="仿宋" w:hAnsi="仿宋" w:eastAsia="仿宋" w:cs="仿宋"/>
                <w:color w:val="auto"/>
                <w:kern w:val="2"/>
                <w:sz w:val="21"/>
                <w:szCs w:val="21"/>
              </w:rPr>
              <w:t>1.</w:t>
            </w:r>
            <w:r>
              <w:rPr>
                <w:rFonts w:hint="eastAsia" w:ascii="仿宋" w:hAnsi="仿宋" w:eastAsia="仿宋" w:cs="仿宋"/>
                <w:color w:val="auto"/>
                <w:kern w:val="2"/>
                <w:sz w:val="21"/>
                <w:szCs w:val="21"/>
                <w:lang w:val="zh-CN"/>
              </w:rPr>
              <w:t>电子加密投标文件</w:t>
            </w:r>
            <w:r>
              <w:rPr>
                <w:rFonts w:hint="eastAsia" w:ascii="仿宋" w:hAnsi="仿宋" w:eastAsia="仿宋" w:cs="仿宋"/>
                <w:color w:val="auto"/>
                <w:kern w:val="2"/>
                <w:sz w:val="21"/>
                <w:szCs w:val="21"/>
              </w:rPr>
              <w:t>递交：投标人应于</w:t>
            </w:r>
            <w:r>
              <w:rPr>
                <w:rFonts w:hint="eastAsia" w:ascii="仿宋" w:hAnsi="仿宋" w:eastAsia="仿宋" w:cs="仿宋"/>
                <w:b/>
                <w:color w:val="auto"/>
                <w:kern w:val="2"/>
                <w:sz w:val="21"/>
                <w:szCs w:val="21"/>
                <w:u w:val="single"/>
                <w:lang w:eastAsia="zh-CN"/>
              </w:rPr>
              <w:t>2025年08月06日09：30</w:t>
            </w:r>
            <w:r>
              <w:rPr>
                <w:rFonts w:hint="eastAsia" w:ascii="仿宋" w:hAnsi="仿宋" w:eastAsia="仿宋" w:cs="仿宋"/>
                <w:color w:val="auto"/>
                <w:kern w:val="2"/>
                <w:sz w:val="21"/>
                <w:szCs w:val="21"/>
              </w:rPr>
              <w:t>（北京时间，下同）前将</w:t>
            </w:r>
            <w:r>
              <w:rPr>
                <w:rFonts w:hint="eastAsia" w:ascii="仿宋" w:hAnsi="仿宋" w:eastAsia="仿宋" w:cs="仿宋"/>
                <w:bCs/>
                <w:color w:val="auto"/>
                <w:sz w:val="21"/>
                <w:szCs w:val="21"/>
              </w:rPr>
              <w:t>电子</w:t>
            </w:r>
            <w:r>
              <w:rPr>
                <w:rFonts w:hint="eastAsia" w:ascii="仿宋" w:hAnsi="仿宋" w:eastAsia="仿宋" w:cs="仿宋"/>
                <w:color w:val="auto"/>
                <w:kern w:val="2"/>
                <w:sz w:val="21"/>
                <w:szCs w:val="21"/>
              </w:rPr>
              <w:t>加密投标文件通过“政采云电子投标客户端”上传至政采云平台，逾期上传的将予以拒收。</w:t>
            </w:r>
          </w:p>
          <w:p w14:paraId="3F10CAC7">
            <w:pPr>
              <w:pStyle w:val="46"/>
              <w:keepNext w:val="0"/>
              <w:keepLines w:val="0"/>
              <w:pageBreakBefore w:val="0"/>
              <w:tabs>
                <w:tab w:val="left" w:pos="6930"/>
              </w:tabs>
              <w:kinsoku/>
              <w:overflowPunct/>
              <w:topLinePunct w:val="0"/>
              <w:bidi w:val="0"/>
              <w:snapToGrid/>
              <w:spacing w:beforeAutospacing="0" w:afterAutospacing="0" w:line="300" w:lineRule="auto"/>
              <w:rPr>
                <w:rFonts w:hint="eastAsia" w:ascii="仿宋" w:hAnsi="仿宋" w:eastAsia="仿宋" w:cs="仿宋"/>
                <w:color w:val="auto"/>
                <w:kern w:val="2"/>
                <w:sz w:val="21"/>
                <w:szCs w:val="21"/>
              </w:rPr>
            </w:pPr>
            <w:r>
              <w:rPr>
                <w:rFonts w:hint="eastAsia" w:ascii="仿宋" w:hAnsi="仿宋" w:eastAsia="仿宋" w:cs="仿宋"/>
                <w:color w:val="auto"/>
                <w:kern w:val="2"/>
                <w:sz w:val="21"/>
                <w:szCs w:val="21"/>
              </w:rPr>
              <w:t>递交地点：“政府采购云平台（www.zcygov.cn）”在线递交（上传）</w:t>
            </w:r>
          </w:p>
          <w:p w14:paraId="6B3301FC">
            <w:pPr>
              <w:pStyle w:val="165"/>
              <w:widowControl/>
              <w:snapToGrid w:val="0"/>
              <w:spacing w:beforeLines="0" w:line="360" w:lineRule="auto"/>
              <w:ind w:left="0" w:leftChars="0" w:firstLine="0" w:firstLineChars="0"/>
              <w:jc w:val="left"/>
              <w:rPr>
                <w:rFonts w:hint="eastAsia" w:ascii="仿宋" w:hAnsi="仿宋" w:eastAsia="仿宋" w:cs="仿宋"/>
                <w:bCs/>
                <w:color w:val="auto"/>
                <w:sz w:val="21"/>
                <w:szCs w:val="21"/>
              </w:rPr>
            </w:pPr>
            <w:r>
              <w:rPr>
                <w:rFonts w:hint="eastAsia" w:ascii="仿宋" w:hAnsi="仿宋" w:eastAsia="仿宋" w:cs="仿宋"/>
                <w:bCs/>
                <w:color w:val="auto"/>
                <w:sz w:val="21"/>
                <w:szCs w:val="21"/>
              </w:rPr>
              <w:fldChar w:fldCharType="begin"/>
            </w:r>
            <w:r>
              <w:rPr>
                <w:rFonts w:hint="eastAsia" w:ascii="仿宋" w:hAnsi="仿宋" w:eastAsia="仿宋" w:cs="仿宋"/>
                <w:bCs/>
                <w:color w:val="auto"/>
                <w:sz w:val="21"/>
                <w:szCs w:val="21"/>
              </w:rPr>
              <w:instrText xml:space="preserve"> HYPERLINK "mailto:2.备份投标文件在开标时间后15分钟内以电子邮件形式递交至采购代理机构邮箱（103874679@qq.com）。" </w:instrText>
            </w:r>
            <w:r>
              <w:rPr>
                <w:rFonts w:hint="eastAsia" w:ascii="仿宋" w:hAnsi="仿宋" w:eastAsia="仿宋" w:cs="仿宋"/>
                <w:bCs/>
                <w:color w:val="auto"/>
                <w:sz w:val="21"/>
                <w:szCs w:val="21"/>
              </w:rPr>
              <w:fldChar w:fldCharType="separate"/>
            </w:r>
            <w:r>
              <w:rPr>
                <w:rFonts w:hint="eastAsia" w:ascii="仿宋" w:hAnsi="仿宋" w:eastAsia="仿宋" w:cs="仿宋"/>
                <w:bCs/>
                <w:color w:val="auto"/>
                <w:sz w:val="21"/>
                <w:szCs w:val="21"/>
              </w:rPr>
              <w:t>2.备份投标文件递交：</w:t>
            </w:r>
          </w:p>
          <w:p w14:paraId="1D47A679">
            <w:pPr>
              <w:pStyle w:val="165"/>
              <w:widowControl/>
              <w:snapToGrid w:val="0"/>
              <w:spacing w:beforeLines="0" w:line="360" w:lineRule="auto"/>
              <w:ind w:left="0" w:leftChars="0" w:firstLine="0" w:firstLineChars="0"/>
              <w:jc w:val="left"/>
              <w:rPr>
                <w:rFonts w:hint="eastAsia" w:ascii="仿宋" w:hAnsi="仿宋" w:eastAsia="仿宋" w:cs="仿宋"/>
                <w:bCs/>
                <w:color w:val="auto"/>
                <w:sz w:val="21"/>
                <w:szCs w:val="21"/>
              </w:rPr>
            </w:pPr>
            <w:r>
              <w:rPr>
                <w:rFonts w:hint="eastAsia" w:ascii="仿宋" w:hAnsi="仿宋" w:eastAsia="仿宋" w:cs="仿宋"/>
                <w:bCs/>
                <w:color w:val="auto"/>
                <w:sz w:val="21"/>
                <w:szCs w:val="21"/>
              </w:rPr>
              <w:t>2.1投标人在“政府采购云平台”完成“电子加密投标文件”的上传递交后，还可以（以电子邮件的形式）在投标截止时间前发送一份加密压缩文件的“备份投标文件”（一份）；</w:t>
            </w:r>
          </w:p>
          <w:p w14:paraId="2DF3347D">
            <w:pPr>
              <w:pStyle w:val="165"/>
              <w:widowControl/>
              <w:snapToGrid w:val="0"/>
              <w:spacing w:beforeLines="0" w:line="360" w:lineRule="auto"/>
              <w:ind w:left="0" w:leftChars="0" w:firstLine="0" w:firstLineChars="0"/>
              <w:jc w:val="left"/>
              <w:rPr>
                <w:rFonts w:hint="eastAsia" w:ascii="仿宋" w:hAnsi="仿宋" w:eastAsia="仿宋" w:cs="仿宋"/>
                <w:bCs/>
                <w:color w:val="auto"/>
                <w:sz w:val="21"/>
                <w:szCs w:val="21"/>
                <w:lang w:val="zh-CN"/>
              </w:rPr>
            </w:pPr>
            <w:r>
              <w:rPr>
                <w:rFonts w:hint="eastAsia" w:ascii="仿宋" w:hAnsi="仿宋" w:eastAsia="仿宋" w:cs="仿宋"/>
                <w:bCs/>
                <w:color w:val="auto"/>
                <w:sz w:val="21"/>
                <w:szCs w:val="21"/>
              </w:rPr>
              <w:t>2.2</w:t>
            </w:r>
            <w:r>
              <w:rPr>
                <w:rFonts w:hint="eastAsia" w:ascii="仿宋" w:hAnsi="仿宋" w:eastAsia="仿宋" w:cs="仿宋"/>
                <w:bCs/>
                <w:color w:val="auto"/>
                <w:sz w:val="21"/>
                <w:szCs w:val="21"/>
                <w:lang w:val="zh-CN"/>
              </w:rPr>
              <w:t>“备份投标文件”以压缩文件形式加密发送至采购代理机构邮箱：</w:t>
            </w:r>
            <w:r>
              <w:rPr>
                <w:rFonts w:hint="eastAsia" w:ascii="仿宋" w:hAnsi="仿宋" w:eastAsia="仿宋" w:cs="仿宋"/>
                <w:bCs/>
                <w:color w:val="auto"/>
                <w:sz w:val="21"/>
                <w:szCs w:val="21"/>
              </w:rPr>
              <w:t>压缩文件命名为</w:t>
            </w:r>
            <w:r>
              <w:rPr>
                <w:rFonts w:hint="eastAsia" w:ascii="仿宋" w:hAnsi="仿宋" w:eastAsia="仿宋" w:cs="仿宋"/>
                <w:bCs/>
                <w:color w:val="auto"/>
                <w:sz w:val="21"/>
                <w:szCs w:val="21"/>
                <w:lang w:val="zh-CN"/>
              </w:rPr>
              <w:t>投标项目编号和投标单位简称。接到在线解密通知后</w:t>
            </w:r>
            <w:r>
              <w:rPr>
                <w:rFonts w:hint="eastAsia" w:ascii="仿宋" w:hAnsi="仿宋" w:eastAsia="仿宋" w:cs="仿宋"/>
                <w:bCs/>
                <w:color w:val="auto"/>
                <w:sz w:val="21"/>
                <w:szCs w:val="21"/>
              </w:rPr>
              <w:t>30分钟</w:t>
            </w:r>
            <w:r>
              <w:rPr>
                <w:rFonts w:hint="eastAsia" w:ascii="仿宋" w:hAnsi="仿宋" w:eastAsia="仿宋" w:cs="仿宋"/>
                <w:bCs/>
                <w:color w:val="auto"/>
                <w:sz w:val="21"/>
                <w:szCs w:val="21"/>
                <w:lang w:val="zh-CN"/>
              </w:rPr>
              <w:t>内发送压缩文件密码至采购代理机构邮箱（邮箱号码：</w:t>
            </w:r>
            <w:r>
              <w:rPr>
                <w:rFonts w:hint="eastAsia" w:ascii="仿宋" w:hAnsi="仿宋" w:eastAsia="仿宋" w:cs="仿宋"/>
                <w:bCs/>
                <w:color w:val="auto"/>
                <w:sz w:val="21"/>
                <w:szCs w:val="21"/>
                <w:lang w:eastAsia="zh-CN"/>
              </w:rPr>
              <w:t>85967191</w:t>
            </w:r>
            <w:r>
              <w:rPr>
                <w:rFonts w:hint="eastAsia" w:ascii="仿宋" w:hAnsi="仿宋" w:eastAsia="仿宋" w:cs="仿宋"/>
                <w:bCs/>
                <w:color w:val="auto"/>
                <w:sz w:val="21"/>
                <w:szCs w:val="21"/>
              </w:rPr>
              <w:t>@qq.com）</w:t>
            </w:r>
            <w:r>
              <w:rPr>
                <w:rFonts w:hint="eastAsia" w:ascii="仿宋" w:hAnsi="仿宋" w:eastAsia="仿宋" w:cs="仿宋"/>
                <w:bCs/>
                <w:color w:val="auto"/>
                <w:sz w:val="21"/>
                <w:szCs w:val="21"/>
                <w:lang w:val="zh-CN"/>
              </w:rPr>
              <w:t>。</w:t>
            </w:r>
          </w:p>
          <w:p w14:paraId="43C5247F">
            <w:pPr>
              <w:pStyle w:val="165"/>
              <w:widowControl/>
              <w:snapToGrid w:val="0"/>
              <w:spacing w:beforeLines="0" w:line="360" w:lineRule="auto"/>
              <w:ind w:left="0" w:leftChars="0" w:firstLine="0" w:firstLineChars="0"/>
              <w:jc w:val="left"/>
              <w:rPr>
                <w:rFonts w:hint="eastAsia" w:ascii="仿宋" w:hAnsi="仿宋" w:eastAsia="仿宋" w:cs="仿宋"/>
                <w:color w:val="auto"/>
                <w:kern w:val="2"/>
                <w:sz w:val="21"/>
                <w:szCs w:val="21"/>
              </w:rPr>
            </w:pPr>
            <w:r>
              <w:rPr>
                <w:rFonts w:hint="eastAsia" w:ascii="仿宋" w:hAnsi="仿宋" w:eastAsia="仿宋" w:cs="仿宋"/>
                <w:bCs/>
                <w:color w:val="auto"/>
                <w:sz w:val="21"/>
                <w:szCs w:val="21"/>
              </w:rPr>
              <w:fldChar w:fldCharType="end"/>
            </w:r>
            <w:r>
              <w:rPr>
                <w:rFonts w:hint="eastAsia" w:ascii="仿宋" w:hAnsi="仿宋" w:eastAsia="仿宋" w:cs="仿宋"/>
                <w:bCs/>
                <w:color w:val="auto"/>
                <w:sz w:val="21"/>
                <w:szCs w:val="21"/>
              </w:rPr>
              <w:t>3.如投标人未在投标截止时间前完成</w:t>
            </w:r>
            <w:r>
              <w:rPr>
                <w:rFonts w:hint="eastAsia" w:ascii="仿宋" w:hAnsi="仿宋" w:eastAsia="仿宋" w:cs="仿宋"/>
                <w:bCs/>
                <w:color w:val="auto"/>
                <w:sz w:val="21"/>
                <w:szCs w:val="21"/>
                <w:lang w:val="zh-CN"/>
              </w:rPr>
              <w:t>电子加密投标文件</w:t>
            </w:r>
            <w:r>
              <w:rPr>
                <w:rFonts w:hint="eastAsia" w:ascii="仿宋" w:hAnsi="仿宋" w:eastAsia="仿宋" w:cs="仿宋"/>
                <w:bCs/>
                <w:color w:val="auto"/>
                <w:sz w:val="21"/>
                <w:szCs w:val="21"/>
              </w:rPr>
              <w:t>传输递交的，其备份投标文件无效。</w:t>
            </w:r>
          </w:p>
        </w:tc>
      </w:tr>
      <w:tr w14:paraId="13A24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39" w:type="dxa"/>
            <w:tcBorders>
              <w:left w:val="double" w:color="auto" w:sz="4" w:space="0"/>
            </w:tcBorders>
            <w:vAlign w:val="center"/>
          </w:tcPr>
          <w:p w14:paraId="08165340">
            <w:pPr>
              <w:keepNext w:val="0"/>
              <w:keepLines w:val="0"/>
              <w:pageBreakBefore w:val="0"/>
              <w:kinsoku/>
              <w:overflowPunct/>
              <w:topLinePunct w:val="0"/>
              <w:bidi w:val="0"/>
              <w:adjustRightInd w:val="0"/>
              <w:snapToGrid/>
              <w:spacing w:line="300" w:lineRule="auto"/>
              <w:jc w:val="center"/>
              <w:rPr>
                <w:rFonts w:hint="eastAsia" w:ascii="仿宋" w:hAnsi="仿宋" w:eastAsia="仿宋" w:cs="仿宋"/>
                <w:color w:val="auto"/>
                <w:szCs w:val="21"/>
              </w:rPr>
            </w:pPr>
            <w:r>
              <w:rPr>
                <w:rFonts w:hint="eastAsia" w:ascii="仿宋" w:hAnsi="仿宋" w:eastAsia="仿宋" w:cs="仿宋"/>
                <w:color w:val="auto"/>
                <w:szCs w:val="21"/>
              </w:rPr>
              <w:t>投标文件的修改（补充）和撤回</w:t>
            </w:r>
          </w:p>
        </w:tc>
        <w:tc>
          <w:tcPr>
            <w:tcW w:w="6961" w:type="dxa"/>
            <w:tcBorders>
              <w:right w:val="double" w:color="auto" w:sz="4" w:space="0"/>
            </w:tcBorders>
            <w:vAlign w:val="center"/>
          </w:tcPr>
          <w:p w14:paraId="41D861F9">
            <w:pPr>
              <w:pStyle w:val="165"/>
              <w:widowControl/>
              <w:snapToGrid w:val="0"/>
              <w:spacing w:beforeLines="0" w:line="360" w:lineRule="auto"/>
              <w:ind w:left="0" w:leftChars="0" w:firstLine="0" w:firstLineChars="0"/>
              <w:jc w:val="left"/>
              <w:rPr>
                <w:rFonts w:hint="eastAsia" w:ascii="仿宋" w:hAnsi="仿宋" w:eastAsia="仿宋" w:cs="仿宋"/>
                <w:color w:val="auto"/>
                <w:kern w:val="2"/>
                <w:sz w:val="21"/>
                <w:szCs w:val="21"/>
              </w:rPr>
            </w:pPr>
            <w:r>
              <w:rPr>
                <w:rFonts w:hint="eastAsia" w:ascii="仿宋" w:hAnsi="仿宋" w:eastAsia="仿宋" w:cs="仿宋"/>
                <w:color w:val="auto"/>
                <w:kern w:val="2"/>
                <w:sz w:val="21"/>
                <w:szCs w:val="21"/>
              </w:rPr>
              <w:t>1.修改（补充）和撤回：</w:t>
            </w:r>
          </w:p>
          <w:p w14:paraId="618E79E8">
            <w:pPr>
              <w:pStyle w:val="165"/>
              <w:widowControl/>
              <w:snapToGrid w:val="0"/>
              <w:spacing w:beforeLines="0" w:line="360" w:lineRule="auto"/>
              <w:ind w:left="0" w:leftChars="0" w:firstLine="0" w:firstLineChars="0"/>
              <w:jc w:val="left"/>
              <w:rPr>
                <w:rFonts w:hint="eastAsia" w:ascii="仿宋" w:hAnsi="仿宋" w:eastAsia="仿宋" w:cs="仿宋"/>
                <w:color w:val="auto"/>
                <w:kern w:val="2"/>
                <w:sz w:val="21"/>
                <w:szCs w:val="21"/>
              </w:rPr>
            </w:pPr>
            <w:r>
              <w:rPr>
                <w:rFonts w:hint="eastAsia" w:ascii="仿宋" w:hAnsi="仿宋" w:eastAsia="仿宋" w:cs="仿宋"/>
                <w:color w:val="auto"/>
                <w:kern w:val="2"/>
                <w:sz w:val="21"/>
                <w:szCs w:val="21"/>
              </w:rPr>
              <w:t>1.1投标截止时间前可以</w:t>
            </w:r>
            <w:r>
              <w:rPr>
                <w:rFonts w:hint="eastAsia" w:ascii="仿宋" w:hAnsi="仿宋" w:eastAsia="仿宋" w:cs="仿宋"/>
                <w:bCs/>
                <w:color w:val="auto"/>
                <w:sz w:val="21"/>
                <w:szCs w:val="21"/>
              </w:rPr>
              <w:t>修改</w:t>
            </w:r>
            <w:r>
              <w:rPr>
                <w:rFonts w:hint="eastAsia" w:ascii="仿宋" w:hAnsi="仿宋" w:eastAsia="仿宋" w:cs="仿宋"/>
                <w:color w:val="auto"/>
                <w:kern w:val="2"/>
                <w:sz w:val="21"/>
                <w:szCs w:val="21"/>
              </w:rPr>
              <w:t>（补充）或撤回电子加密投标文件。补充或者修改电子加密投标文件的，应当先行撤回原文件，补充、修改后重新传输递交。投标截止时间前未完成传输递交的，视为撤回投标文件。</w:t>
            </w:r>
          </w:p>
          <w:p w14:paraId="6AA30632">
            <w:pPr>
              <w:pStyle w:val="165"/>
              <w:widowControl/>
              <w:snapToGrid w:val="0"/>
              <w:spacing w:beforeLines="0" w:line="360" w:lineRule="auto"/>
              <w:ind w:left="0" w:leftChars="0" w:firstLine="0" w:firstLineChars="0"/>
              <w:jc w:val="left"/>
              <w:rPr>
                <w:rFonts w:hint="eastAsia" w:ascii="仿宋" w:hAnsi="仿宋" w:eastAsia="仿宋" w:cs="仿宋"/>
                <w:bCs/>
                <w:color w:val="auto"/>
                <w:sz w:val="21"/>
                <w:szCs w:val="21"/>
              </w:rPr>
            </w:pPr>
            <w:r>
              <w:rPr>
                <w:rFonts w:hint="eastAsia" w:ascii="仿宋" w:hAnsi="仿宋" w:eastAsia="仿宋" w:cs="仿宋"/>
                <w:color w:val="auto"/>
                <w:kern w:val="2"/>
                <w:sz w:val="21"/>
                <w:szCs w:val="21"/>
              </w:rPr>
              <w:t>1.2投标截止时间后，投标人不得修改（补充）或撤回其投标文件。</w:t>
            </w:r>
          </w:p>
        </w:tc>
      </w:tr>
      <w:tr w14:paraId="3823E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39" w:type="dxa"/>
            <w:tcBorders>
              <w:left w:val="double" w:color="auto" w:sz="4" w:space="0"/>
            </w:tcBorders>
            <w:vAlign w:val="center"/>
          </w:tcPr>
          <w:p w14:paraId="405ED126">
            <w:pPr>
              <w:keepNext w:val="0"/>
              <w:keepLines w:val="0"/>
              <w:pageBreakBefore w:val="0"/>
              <w:kinsoku/>
              <w:overflowPunct/>
              <w:topLinePunct w:val="0"/>
              <w:bidi w:val="0"/>
              <w:adjustRightInd w:val="0"/>
              <w:snapToGrid/>
              <w:spacing w:line="300" w:lineRule="auto"/>
              <w:jc w:val="center"/>
              <w:rPr>
                <w:rFonts w:hint="eastAsia" w:ascii="仿宋" w:hAnsi="仿宋" w:eastAsia="仿宋" w:cs="仿宋"/>
                <w:color w:val="auto"/>
                <w:szCs w:val="21"/>
              </w:rPr>
            </w:pPr>
            <w:r>
              <w:rPr>
                <w:rFonts w:hint="eastAsia" w:ascii="仿宋" w:hAnsi="仿宋" w:eastAsia="仿宋" w:cs="仿宋"/>
                <w:color w:val="auto"/>
                <w:szCs w:val="21"/>
              </w:rPr>
              <w:t>开标时间、地点</w:t>
            </w:r>
          </w:p>
          <w:p w14:paraId="12F7E2CA">
            <w:pPr>
              <w:keepNext w:val="0"/>
              <w:keepLines w:val="0"/>
              <w:pageBreakBefore w:val="0"/>
              <w:kinsoku/>
              <w:overflowPunct/>
              <w:topLinePunct w:val="0"/>
              <w:bidi w:val="0"/>
              <w:adjustRightInd w:val="0"/>
              <w:snapToGrid/>
              <w:spacing w:line="300" w:lineRule="auto"/>
              <w:jc w:val="center"/>
              <w:rPr>
                <w:rFonts w:hint="eastAsia" w:ascii="仿宋" w:hAnsi="仿宋" w:eastAsia="仿宋" w:cs="仿宋"/>
                <w:color w:val="auto"/>
                <w:szCs w:val="21"/>
              </w:rPr>
            </w:pPr>
            <w:r>
              <w:rPr>
                <w:rFonts w:hint="eastAsia" w:ascii="仿宋" w:hAnsi="仿宋" w:eastAsia="仿宋" w:cs="仿宋"/>
                <w:color w:val="auto"/>
                <w:szCs w:val="21"/>
              </w:rPr>
              <w:t>及注意事项</w:t>
            </w:r>
          </w:p>
        </w:tc>
        <w:tc>
          <w:tcPr>
            <w:tcW w:w="6961" w:type="dxa"/>
            <w:tcBorders>
              <w:right w:val="double" w:color="auto" w:sz="4" w:space="0"/>
            </w:tcBorders>
            <w:vAlign w:val="center"/>
          </w:tcPr>
          <w:p w14:paraId="7B9E2FDB">
            <w:pPr>
              <w:pStyle w:val="165"/>
              <w:widowControl/>
              <w:snapToGrid w:val="0"/>
              <w:spacing w:beforeLines="0" w:line="360" w:lineRule="auto"/>
              <w:ind w:left="0" w:leftChars="0" w:firstLine="0" w:firstLineChars="0"/>
              <w:jc w:val="left"/>
              <w:rPr>
                <w:rFonts w:hint="eastAsia" w:ascii="仿宋" w:hAnsi="仿宋" w:eastAsia="仿宋" w:cs="仿宋"/>
                <w:color w:val="auto"/>
                <w:szCs w:val="21"/>
              </w:rPr>
            </w:pPr>
            <w:r>
              <w:rPr>
                <w:rFonts w:hint="eastAsia" w:ascii="仿宋" w:hAnsi="仿宋" w:eastAsia="仿宋" w:cs="仿宋"/>
                <w:color w:val="auto"/>
                <w:szCs w:val="21"/>
                <w:lang w:val="zh-CN"/>
              </w:rPr>
              <w:t>开标时间</w:t>
            </w:r>
            <w:r>
              <w:rPr>
                <w:rFonts w:hint="eastAsia" w:ascii="仿宋" w:hAnsi="仿宋" w:eastAsia="仿宋" w:cs="仿宋"/>
                <w:color w:val="auto"/>
                <w:szCs w:val="21"/>
              </w:rPr>
              <w:t>：</w:t>
            </w:r>
            <w:r>
              <w:rPr>
                <w:rFonts w:hint="eastAsia" w:ascii="仿宋" w:hAnsi="仿宋" w:eastAsia="仿宋" w:cs="仿宋"/>
                <w:b/>
                <w:color w:val="auto"/>
                <w:szCs w:val="21"/>
                <w:u w:val="single"/>
                <w:lang w:eastAsia="zh-CN"/>
              </w:rPr>
              <w:t>2025年08月06日09：30</w:t>
            </w:r>
          </w:p>
          <w:p w14:paraId="578B71B8">
            <w:pPr>
              <w:pStyle w:val="165"/>
              <w:widowControl/>
              <w:snapToGrid w:val="0"/>
              <w:spacing w:beforeLines="0" w:line="360" w:lineRule="auto"/>
              <w:ind w:left="0" w:leftChars="0" w:firstLine="0" w:firstLineChars="0"/>
              <w:jc w:val="left"/>
              <w:rPr>
                <w:rFonts w:hint="eastAsia" w:ascii="仿宋" w:hAnsi="仿宋" w:eastAsia="仿宋" w:cs="仿宋"/>
                <w:color w:val="auto"/>
                <w:szCs w:val="21"/>
              </w:rPr>
            </w:pPr>
            <w:r>
              <w:rPr>
                <w:rFonts w:hint="eastAsia" w:ascii="仿宋" w:hAnsi="仿宋" w:eastAsia="仿宋" w:cs="仿宋"/>
                <w:color w:val="auto"/>
                <w:szCs w:val="21"/>
                <w:lang w:val="zh-CN"/>
              </w:rPr>
              <w:t>开标地点</w:t>
            </w:r>
            <w:r>
              <w:rPr>
                <w:rFonts w:hint="eastAsia" w:ascii="仿宋" w:hAnsi="仿宋" w:eastAsia="仿宋" w:cs="仿宋"/>
                <w:color w:val="auto"/>
                <w:szCs w:val="21"/>
              </w:rPr>
              <w:t>：</w:t>
            </w:r>
            <w:r>
              <w:rPr>
                <w:rFonts w:hint="eastAsia" w:ascii="仿宋" w:hAnsi="仿宋" w:eastAsia="仿宋" w:cs="仿宋"/>
                <w:color w:val="auto"/>
                <w:szCs w:val="21"/>
                <w:lang w:val="zh-CN"/>
              </w:rPr>
              <w:t>投标人持与制作本项目电子加密投标文件的同一个</w:t>
            </w:r>
            <w:r>
              <w:rPr>
                <w:rFonts w:hint="eastAsia" w:ascii="仿宋" w:hAnsi="仿宋" w:eastAsia="仿宋" w:cs="仿宋"/>
                <w:color w:val="auto"/>
                <w:szCs w:val="21"/>
              </w:rPr>
              <w:t>CA</w:t>
            </w:r>
            <w:r>
              <w:rPr>
                <w:rFonts w:hint="eastAsia" w:ascii="仿宋" w:hAnsi="仿宋" w:eastAsia="仿宋" w:cs="仿宋"/>
                <w:color w:val="auto"/>
                <w:szCs w:val="21"/>
                <w:lang w:val="zh-CN"/>
              </w:rPr>
              <w:t>锁在线登录</w:t>
            </w:r>
            <w:r>
              <w:rPr>
                <w:rFonts w:hint="eastAsia" w:ascii="仿宋" w:hAnsi="仿宋" w:eastAsia="仿宋" w:cs="仿宋"/>
                <w:color w:val="auto"/>
                <w:szCs w:val="21"/>
              </w:rPr>
              <w:t>“</w:t>
            </w:r>
            <w:r>
              <w:rPr>
                <w:rFonts w:hint="eastAsia" w:ascii="仿宋" w:hAnsi="仿宋" w:eastAsia="仿宋" w:cs="仿宋"/>
                <w:color w:val="auto"/>
                <w:szCs w:val="21"/>
                <w:lang w:val="zh-CN"/>
              </w:rPr>
              <w:t>政府采购云平台</w:t>
            </w:r>
            <w:r>
              <w:rPr>
                <w:rFonts w:hint="eastAsia" w:ascii="仿宋" w:hAnsi="仿宋" w:eastAsia="仿宋" w:cs="仿宋"/>
                <w:color w:val="auto"/>
                <w:szCs w:val="21"/>
              </w:rPr>
              <w:t>（www.zcygov.cn）”</w:t>
            </w:r>
            <w:r>
              <w:rPr>
                <w:rFonts w:hint="eastAsia" w:ascii="仿宋" w:hAnsi="仿宋" w:eastAsia="仿宋" w:cs="仿宋"/>
                <w:color w:val="auto"/>
                <w:szCs w:val="21"/>
                <w:lang w:val="zh-CN"/>
              </w:rPr>
              <w:t>本项目开标大厅等候解密</w:t>
            </w:r>
            <w:r>
              <w:rPr>
                <w:rFonts w:hint="eastAsia" w:ascii="仿宋" w:hAnsi="仿宋" w:eastAsia="仿宋" w:cs="仿宋"/>
                <w:color w:val="auto"/>
                <w:szCs w:val="21"/>
              </w:rPr>
              <w:t>（</w:t>
            </w:r>
            <w:r>
              <w:rPr>
                <w:rFonts w:hint="eastAsia" w:ascii="仿宋" w:hAnsi="仿宋" w:eastAsia="仿宋" w:cs="仿宋"/>
                <w:color w:val="auto"/>
                <w:szCs w:val="21"/>
                <w:lang w:val="zh-CN"/>
              </w:rPr>
              <w:t>本项目采用线上开评标</w:t>
            </w:r>
            <w:r>
              <w:rPr>
                <w:rFonts w:hint="eastAsia" w:ascii="仿宋" w:hAnsi="仿宋" w:eastAsia="仿宋" w:cs="仿宋"/>
                <w:color w:val="auto"/>
                <w:szCs w:val="21"/>
              </w:rPr>
              <w:t>，投标人代表无须前往评审现场）</w:t>
            </w:r>
            <w:r>
              <w:rPr>
                <w:rFonts w:hint="eastAsia" w:ascii="仿宋" w:hAnsi="仿宋" w:eastAsia="仿宋" w:cs="仿宋"/>
                <w:color w:val="auto"/>
                <w:szCs w:val="21"/>
                <w:lang w:val="zh-CN"/>
              </w:rPr>
              <w:t>。</w:t>
            </w:r>
          </w:p>
        </w:tc>
      </w:tr>
      <w:tr w14:paraId="783D1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39" w:type="dxa"/>
            <w:tcBorders>
              <w:left w:val="double" w:color="auto" w:sz="4" w:space="0"/>
            </w:tcBorders>
            <w:vAlign w:val="center"/>
          </w:tcPr>
          <w:p w14:paraId="2028B8F7">
            <w:pPr>
              <w:keepNext w:val="0"/>
              <w:keepLines w:val="0"/>
              <w:pageBreakBefore w:val="0"/>
              <w:kinsoku/>
              <w:overflowPunct/>
              <w:topLinePunct w:val="0"/>
              <w:bidi w:val="0"/>
              <w:adjustRightInd w:val="0"/>
              <w:snapToGrid/>
              <w:spacing w:line="300" w:lineRule="auto"/>
              <w:jc w:val="center"/>
              <w:rPr>
                <w:rFonts w:hint="eastAsia" w:ascii="仿宋" w:hAnsi="仿宋" w:eastAsia="仿宋" w:cs="仿宋"/>
                <w:color w:val="auto"/>
                <w:szCs w:val="21"/>
              </w:rPr>
            </w:pPr>
            <w:r>
              <w:rPr>
                <w:rFonts w:hint="eastAsia" w:ascii="仿宋" w:hAnsi="仿宋" w:eastAsia="仿宋" w:cs="仿宋"/>
                <w:color w:val="auto"/>
                <w:szCs w:val="21"/>
              </w:rPr>
              <w:t>资格审查</w:t>
            </w:r>
          </w:p>
        </w:tc>
        <w:tc>
          <w:tcPr>
            <w:tcW w:w="6961" w:type="dxa"/>
            <w:tcBorders>
              <w:right w:val="double" w:color="auto" w:sz="4" w:space="0"/>
            </w:tcBorders>
            <w:vAlign w:val="center"/>
          </w:tcPr>
          <w:p w14:paraId="149C425C">
            <w:pPr>
              <w:pStyle w:val="165"/>
              <w:widowControl/>
              <w:snapToGrid w:val="0"/>
              <w:spacing w:beforeLines="0" w:line="360" w:lineRule="auto"/>
              <w:ind w:left="0" w:leftChars="0" w:firstLine="0" w:firstLineChars="0"/>
              <w:jc w:val="left"/>
              <w:rPr>
                <w:rFonts w:hint="eastAsia" w:ascii="仿宋" w:hAnsi="仿宋" w:eastAsia="仿宋" w:cs="仿宋"/>
                <w:bCs/>
                <w:color w:val="auto"/>
                <w:sz w:val="21"/>
                <w:szCs w:val="21"/>
              </w:rPr>
            </w:pPr>
            <w:r>
              <w:rPr>
                <w:rFonts w:hint="eastAsia" w:ascii="仿宋" w:hAnsi="仿宋" w:eastAsia="仿宋" w:cs="仿宋"/>
                <w:bCs/>
                <w:color w:val="auto"/>
                <w:sz w:val="21"/>
                <w:szCs w:val="21"/>
              </w:rPr>
              <w:t>开标结束后，采购人或采购代理机构依法对投标人的资格进行审查。审查内容详见采购文件。</w:t>
            </w:r>
          </w:p>
        </w:tc>
      </w:tr>
      <w:tr w14:paraId="276C3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9" w:type="dxa"/>
            <w:tcBorders>
              <w:left w:val="double" w:color="auto" w:sz="4" w:space="0"/>
            </w:tcBorders>
            <w:vAlign w:val="center"/>
          </w:tcPr>
          <w:p w14:paraId="1F611BD2">
            <w:pPr>
              <w:keepNext w:val="0"/>
              <w:keepLines w:val="0"/>
              <w:pageBreakBefore w:val="0"/>
              <w:kinsoku/>
              <w:overflowPunct/>
              <w:topLinePunct w:val="0"/>
              <w:bidi w:val="0"/>
              <w:adjustRightInd w:val="0"/>
              <w:snapToGrid/>
              <w:spacing w:line="300" w:lineRule="auto"/>
              <w:jc w:val="center"/>
              <w:rPr>
                <w:rFonts w:hint="eastAsia" w:ascii="仿宋" w:hAnsi="仿宋" w:eastAsia="仿宋" w:cs="仿宋"/>
                <w:color w:val="auto"/>
                <w:szCs w:val="21"/>
              </w:rPr>
            </w:pPr>
            <w:r>
              <w:rPr>
                <w:rFonts w:hint="eastAsia" w:ascii="仿宋" w:hAnsi="仿宋" w:eastAsia="仿宋" w:cs="仿宋"/>
                <w:color w:val="auto"/>
                <w:szCs w:val="21"/>
              </w:rPr>
              <w:t>评标委员会的组建</w:t>
            </w:r>
          </w:p>
        </w:tc>
        <w:tc>
          <w:tcPr>
            <w:tcW w:w="6961" w:type="dxa"/>
            <w:tcBorders>
              <w:right w:val="double" w:color="auto" w:sz="4" w:space="0"/>
            </w:tcBorders>
            <w:vAlign w:val="center"/>
          </w:tcPr>
          <w:p w14:paraId="0A228276">
            <w:pPr>
              <w:pStyle w:val="165"/>
              <w:widowControl/>
              <w:snapToGrid w:val="0"/>
              <w:spacing w:beforeLines="0" w:line="360" w:lineRule="auto"/>
              <w:ind w:left="0" w:leftChars="0" w:firstLine="0" w:firstLineChars="0"/>
              <w:jc w:val="left"/>
              <w:rPr>
                <w:rFonts w:hint="eastAsia" w:ascii="仿宋" w:hAnsi="仿宋" w:eastAsia="仿宋" w:cs="仿宋"/>
                <w:bCs/>
                <w:color w:val="auto"/>
                <w:sz w:val="21"/>
                <w:szCs w:val="21"/>
              </w:rPr>
            </w:pPr>
            <w:r>
              <w:rPr>
                <w:rFonts w:hint="eastAsia" w:ascii="仿宋" w:hAnsi="仿宋" w:eastAsia="仿宋" w:cs="仿宋"/>
                <w:bCs/>
                <w:color w:val="auto"/>
                <w:sz w:val="21"/>
                <w:szCs w:val="21"/>
              </w:rPr>
              <w:t>采购人依法组建评标委员会，评标委员会</w:t>
            </w:r>
            <w:r>
              <w:rPr>
                <w:rFonts w:hint="eastAsia" w:ascii="仿宋" w:hAnsi="仿宋" w:eastAsia="仿宋" w:cs="仿宋"/>
                <w:bCs/>
                <w:color w:val="auto"/>
                <w:sz w:val="21"/>
                <w:szCs w:val="21"/>
                <w:lang w:eastAsia="zh-CN"/>
              </w:rPr>
              <w:t>共</w:t>
            </w:r>
            <w:r>
              <w:rPr>
                <w:rFonts w:hint="eastAsia" w:ascii="仿宋" w:hAnsi="仿宋" w:eastAsia="仿宋" w:cs="仿宋"/>
                <w:bCs/>
                <w:color w:val="auto"/>
                <w:sz w:val="21"/>
                <w:szCs w:val="21"/>
                <w:lang w:val="en-US" w:eastAsia="zh-CN"/>
              </w:rPr>
              <w:t>5名，</w:t>
            </w:r>
            <w:r>
              <w:rPr>
                <w:rFonts w:hint="eastAsia" w:ascii="仿宋" w:hAnsi="仿宋" w:eastAsia="仿宋" w:cs="仿宋"/>
                <w:bCs/>
                <w:color w:val="auto"/>
                <w:sz w:val="21"/>
                <w:szCs w:val="21"/>
              </w:rPr>
              <w:t>由1名采购人代表及4名技术、经济等方面的评审专家组成；</w:t>
            </w:r>
          </w:p>
          <w:p w14:paraId="4E7AADA5">
            <w:pPr>
              <w:pStyle w:val="165"/>
              <w:widowControl/>
              <w:snapToGrid w:val="0"/>
              <w:spacing w:beforeLines="0" w:line="360" w:lineRule="auto"/>
              <w:ind w:left="0" w:leftChars="0" w:firstLine="0" w:firstLineChars="0"/>
              <w:jc w:val="left"/>
              <w:rPr>
                <w:rFonts w:hint="eastAsia" w:ascii="仿宋" w:hAnsi="仿宋" w:eastAsia="仿宋" w:cs="仿宋"/>
                <w:color w:val="auto"/>
                <w:sz w:val="21"/>
                <w:szCs w:val="21"/>
              </w:rPr>
            </w:pPr>
            <w:r>
              <w:rPr>
                <w:rFonts w:hint="eastAsia" w:ascii="仿宋" w:hAnsi="仿宋" w:eastAsia="仿宋" w:cs="仿宋"/>
                <w:bCs/>
                <w:color w:val="auto"/>
                <w:sz w:val="21"/>
                <w:szCs w:val="21"/>
              </w:rPr>
              <w:t>评审专家确定方式：按政府采购相关规定从专家库中随机抽取。</w:t>
            </w:r>
          </w:p>
        </w:tc>
      </w:tr>
      <w:tr w14:paraId="3DA30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9" w:type="dxa"/>
            <w:tcBorders>
              <w:left w:val="double" w:color="auto" w:sz="4" w:space="0"/>
            </w:tcBorders>
            <w:shd w:val="clear" w:color="auto" w:fill="auto"/>
            <w:vAlign w:val="center"/>
          </w:tcPr>
          <w:p w14:paraId="0C12027F">
            <w:pPr>
              <w:keepNext w:val="0"/>
              <w:keepLines w:val="0"/>
              <w:pageBreakBefore w:val="0"/>
              <w:kinsoku/>
              <w:overflowPunct/>
              <w:topLinePunct w:val="0"/>
              <w:bidi w:val="0"/>
              <w:adjustRightInd w:val="0"/>
              <w:snapToGrid/>
              <w:spacing w:line="300" w:lineRule="auto"/>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Cs w:val="21"/>
              </w:rPr>
              <w:t>采购项目类别</w:t>
            </w:r>
          </w:p>
        </w:tc>
        <w:tc>
          <w:tcPr>
            <w:tcW w:w="6961" w:type="dxa"/>
            <w:tcBorders>
              <w:right w:val="double" w:color="auto" w:sz="4" w:space="0"/>
            </w:tcBorders>
            <w:shd w:val="clear" w:color="auto" w:fill="auto"/>
            <w:vAlign w:val="center"/>
          </w:tcPr>
          <w:p w14:paraId="32E59DA0">
            <w:pPr>
              <w:pStyle w:val="46"/>
              <w:keepNext w:val="0"/>
              <w:keepLines w:val="0"/>
              <w:pageBreakBefore w:val="0"/>
              <w:tabs>
                <w:tab w:val="left" w:pos="6930"/>
              </w:tabs>
              <w:kinsoku/>
              <w:overflowPunct/>
              <w:topLinePunct w:val="0"/>
              <w:bidi w:val="0"/>
              <w:snapToGrid/>
              <w:spacing w:beforeAutospacing="0" w:afterAutospacing="0" w:line="300" w:lineRule="auto"/>
              <w:rPr>
                <w:rFonts w:hint="eastAsia" w:ascii="仿宋" w:hAnsi="仿宋" w:eastAsia="仿宋" w:cs="仿宋"/>
                <w:bCs/>
                <w:color w:val="auto"/>
                <w:kern w:val="0"/>
                <w:sz w:val="21"/>
                <w:szCs w:val="21"/>
                <w:lang w:val="en-US" w:eastAsia="zh-CN" w:bidi="ar-SA"/>
              </w:rPr>
            </w:pPr>
            <w:r>
              <w:rPr>
                <w:rFonts w:hint="eastAsia" w:ascii="仿宋" w:hAnsi="仿宋" w:eastAsia="仿宋" w:cs="仿宋"/>
                <w:bCs/>
                <w:color w:val="auto"/>
                <w:sz w:val="21"/>
                <w:szCs w:val="21"/>
              </w:rPr>
              <w:t>本项目属于</w:t>
            </w:r>
            <w:r>
              <w:rPr>
                <w:rFonts w:hint="eastAsia" w:ascii="仿宋" w:hAnsi="仿宋" w:eastAsia="仿宋" w:cs="仿宋"/>
                <w:b/>
                <w:bCs w:val="0"/>
                <w:color w:val="auto"/>
                <w:sz w:val="21"/>
                <w:szCs w:val="21"/>
                <w:u w:val="single"/>
              </w:rPr>
              <w:t>服务类</w:t>
            </w:r>
            <w:r>
              <w:rPr>
                <w:rFonts w:hint="eastAsia" w:ascii="仿宋" w:hAnsi="仿宋" w:eastAsia="仿宋" w:cs="仿宋"/>
                <w:bCs/>
                <w:color w:val="auto"/>
                <w:sz w:val="21"/>
                <w:szCs w:val="21"/>
              </w:rPr>
              <w:t>采购项目</w:t>
            </w:r>
          </w:p>
        </w:tc>
      </w:tr>
      <w:tr w14:paraId="54743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9" w:type="dxa"/>
            <w:tcBorders>
              <w:left w:val="double" w:color="auto" w:sz="4" w:space="0"/>
            </w:tcBorders>
            <w:shd w:val="clear" w:color="auto" w:fill="auto"/>
            <w:vAlign w:val="center"/>
          </w:tcPr>
          <w:p w14:paraId="022CE2B9">
            <w:pPr>
              <w:keepNext w:val="0"/>
              <w:keepLines w:val="0"/>
              <w:pageBreakBefore w:val="0"/>
              <w:kinsoku/>
              <w:overflowPunct/>
              <w:topLinePunct w:val="0"/>
              <w:bidi w:val="0"/>
              <w:adjustRightInd w:val="0"/>
              <w:snapToGrid/>
              <w:spacing w:line="300" w:lineRule="auto"/>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Cs w:val="21"/>
              </w:rPr>
              <w:t>采购标的及对应的中小企业划型标准所属行业</w:t>
            </w:r>
          </w:p>
        </w:tc>
        <w:tc>
          <w:tcPr>
            <w:tcW w:w="6961" w:type="dxa"/>
            <w:tcBorders>
              <w:right w:val="double" w:color="auto" w:sz="4" w:space="0"/>
            </w:tcBorders>
            <w:shd w:val="clear" w:color="auto" w:fill="auto"/>
            <w:vAlign w:val="center"/>
          </w:tcPr>
          <w:p w14:paraId="0426EEE5">
            <w:pPr>
              <w:pStyle w:val="165"/>
              <w:widowControl/>
              <w:snapToGrid w:val="0"/>
              <w:spacing w:beforeLines="0" w:line="360" w:lineRule="auto"/>
              <w:ind w:left="0" w:leftChars="0" w:firstLine="0" w:firstLineChars="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rPr>
              <w:t>本项目采购标</w:t>
            </w:r>
            <w:r>
              <w:rPr>
                <w:rFonts w:hint="eastAsia" w:ascii="仿宋" w:hAnsi="仿宋" w:eastAsia="仿宋" w:cs="仿宋"/>
                <w:color w:val="auto"/>
                <w:sz w:val="21"/>
                <w:szCs w:val="21"/>
                <w:highlight w:val="none"/>
                <w:lang w:eastAsia="zh-CN"/>
              </w:rPr>
              <w:t>的名称</w:t>
            </w:r>
            <w:r>
              <w:rPr>
                <w:rFonts w:hint="eastAsia" w:ascii="仿宋" w:hAnsi="仿宋" w:eastAsia="仿宋" w:cs="仿宋"/>
                <w:color w:val="auto"/>
                <w:sz w:val="21"/>
                <w:szCs w:val="21"/>
                <w:highlight w:val="none"/>
                <w:u w:val="single"/>
                <w:lang w:val="en-US" w:eastAsia="zh-CN"/>
              </w:rPr>
              <w:t xml:space="preserve"> </w:t>
            </w:r>
            <w:r>
              <w:rPr>
                <w:rFonts w:hint="eastAsia" w:ascii="仿宋" w:hAnsi="仿宋" w:eastAsia="仿宋" w:cs="仿宋"/>
                <w:b/>
                <w:bCs/>
                <w:color w:val="auto"/>
                <w:sz w:val="21"/>
                <w:szCs w:val="21"/>
                <w:highlight w:val="none"/>
                <w:u w:val="single"/>
                <w:lang w:val="en-US" w:eastAsia="zh-CN"/>
              </w:rPr>
              <w:t>常山港城区内河道堤岸及河面清洁服务项目</w:t>
            </w:r>
            <w:r>
              <w:rPr>
                <w:rFonts w:hint="eastAsia" w:ascii="仿宋" w:hAnsi="仿宋" w:eastAsia="仿宋" w:cs="仿宋"/>
                <w:color w:val="auto"/>
                <w:sz w:val="21"/>
                <w:szCs w:val="21"/>
                <w:highlight w:val="none"/>
                <w:u w:val="single"/>
                <w:lang w:val="en-US" w:eastAsia="zh-CN"/>
              </w:rPr>
              <w:t xml:space="preserve"> </w:t>
            </w:r>
            <w:r>
              <w:rPr>
                <w:rFonts w:hint="eastAsia" w:ascii="仿宋" w:hAnsi="仿宋" w:eastAsia="仿宋" w:cs="仿宋"/>
                <w:color w:val="auto"/>
                <w:sz w:val="21"/>
                <w:szCs w:val="21"/>
                <w:highlight w:val="none"/>
                <w:lang w:val="en-US" w:eastAsia="zh-CN"/>
              </w:rPr>
              <w:t>，</w:t>
            </w:r>
            <w:r>
              <w:rPr>
                <w:rFonts w:hint="eastAsia" w:ascii="仿宋" w:hAnsi="仿宋" w:eastAsia="仿宋" w:cs="仿宋"/>
                <w:color w:val="auto"/>
                <w:sz w:val="21"/>
                <w:szCs w:val="21"/>
                <w:highlight w:val="none"/>
              </w:rPr>
              <w:t>内容</w:t>
            </w:r>
            <w:r>
              <w:rPr>
                <w:rFonts w:hint="eastAsia" w:ascii="仿宋" w:hAnsi="仿宋" w:eastAsia="仿宋" w:cs="仿宋"/>
                <w:color w:val="auto"/>
                <w:sz w:val="21"/>
                <w:szCs w:val="21"/>
                <w:highlight w:val="none"/>
                <w:u w:val="single"/>
                <w:lang w:val="en-US" w:eastAsia="zh-CN"/>
              </w:rPr>
              <w:t xml:space="preserve"> </w:t>
            </w:r>
            <w:r>
              <w:rPr>
                <w:rFonts w:hint="eastAsia" w:ascii="仿宋" w:hAnsi="仿宋" w:eastAsia="仿宋" w:cs="仿宋"/>
                <w:b/>
                <w:bCs/>
                <w:color w:val="auto"/>
                <w:sz w:val="21"/>
                <w:szCs w:val="21"/>
                <w:highlight w:val="none"/>
                <w:u w:val="single"/>
                <w:lang w:eastAsia="zh-CN"/>
              </w:rPr>
              <w:t>详见第三章采购内容及要求</w:t>
            </w:r>
            <w:r>
              <w:rPr>
                <w:rFonts w:hint="eastAsia" w:ascii="仿宋" w:hAnsi="仿宋" w:eastAsia="仿宋" w:cs="仿宋"/>
                <w:b w:val="0"/>
                <w:bCs w:val="0"/>
                <w:color w:val="auto"/>
                <w:sz w:val="21"/>
                <w:szCs w:val="21"/>
                <w:highlight w:val="none"/>
                <w:u w:val="single"/>
              </w:rPr>
              <w:t xml:space="preserve"> </w:t>
            </w:r>
            <w:r>
              <w:rPr>
                <w:rFonts w:hint="eastAsia" w:ascii="仿宋" w:hAnsi="仿宋" w:eastAsia="仿宋" w:cs="仿宋"/>
                <w:color w:val="auto"/>
                <w:sz w:val="21"/>
                <w:szCs w:val="21"/>
                <w:highlight w:val="none"/>
              </w:rPr>
              <w:t>。根据《关于印发中小企业划型标准规定的通知》（工信部联企业〔2011〕300号），对应的中小企业划型标准所属行业为：</w:t>
            </w:r>
            <w:r>
              <w:rPr>
                <w:rFonts w:hint="eastAsia" w:ascii="仿宋" w:hAnsi="仿宋" w:eastAsia="仿宋" w:cs="仿宋"/>
                <w:b/>
                <w:bCs/>
                <w:color w:val="auto"/>
                <w:sz w:val="21"/>
                <w:szCs w:val="21"/>
                <w:highlight w:val="none"/>
                <w:u w:val="single"/>
                <w:lang w:eastAsia="zh-CN"/>
              </w:rPr>
              <w:t>其他未列明行业</w:t>
            </w:r>
            <w:r>
              <w:rPr>
                <w:rFonts w:hint="eastAsia" w:ascii="仿宋" w:hAnsi="仿宋" w:eastAsia="仿宋" w:cs="仿宋"/>
                <w:color w:val="auto"/>
                <w:sz w:val="21"/>
                <w:szCs w:val="21"/>
                <w:highlight w:val="none"/>
              </w:rPr>
              <w:t>。</w:t>
            </w:r>
          </w:p>
          <w:p w14:paraId="30A46C18">
            <w:pPr>
              <w:pStyle w:val="165"/>
              <w:widowControl/>
              <w:snapToGrid w:val="0"/>
              <w:spacing w:beforeLines="0" w:line="360" w:lineRule="auto"/>
              <w:ind w:left="0" w:leftChars="0" w:firstLine="0" w:firstLineChars="0"/>
              <w:jc w:val="left"/>
              <w:rPr>
                <w:rFonts w:hint="eastAsia" w:ascii="仿宋" w:hAnsi="仿宋" w:eastAsia="仿宋" w:cs="仿宋"/>
                <w:bCs/>
                <w:color w:val="auto"/>
                <w:kern w:val="2"/>
                <w:sz w:val="21"/>
                <w:szCs w:val="21"/>
                <w:lang w:val="en-US" w:eastAsia="zh-CN" w:bidi="ar-SA"/>
              </w:rPr>
            </w:pPr>
            <w:r>
              <w:rPr>
                <w:rFonts w:hint="eastAsia" w:ascii="仿宋" w:hAnsi="仿宋" w:eastAsia="仿宋" w:cs="仿宋"/>
                <w:color w:val="auto"/>
                <w:sz w:val="21"/>
                <w:szCs w:val="21"/>
                <w:highlight w:val="none"/>
                <w:lang w:eastAsia="zh-CN"/>
              </w:rPr>
              <w:t>投标人必须根据</w:t>
            </w:r>
            <w:r>
              <w:rPr>
                <w:rFonts w:hint="eastAsia" w:ascii="仿宋" w:hAnsi="仿宋" w:eastAsia="仿宋" w:cs="仿宋"/>
                <w:color w:val="auto"/>
                <w:sz w:val="21"/>
                <w:szCs w:val="21"/>
                <w:highlight w:val="none"/>
              </w:rPr>
              <w:t>采购</w:t>
            </w:r>
            <w:r>
              <w:rPr>
                <w:rFonts w:hint="eastAsia" w:ascii="仿宋" w:hAnsi="仿宋" w:eastAsia="仿宋" w:cs="仿宋"/>
                <w:color w:val="auto"/>
                <w:sz w:val="21"/>
                <w:szCs w:val="21"/>
                <w:highlight w:val="none"/>
                <w:lang w:eastAsia="zh-CN"/>
              </w:rPr>
              <w:t>文件明确的所属行业所对应的划型标准判断</w:t>
            </w:r>
            <w:r>
              <w:rPr>
                <w:rFonts w:hint="eastAsia" w:ascii="仿宋" w:hAnsi="仿宋" w:eastAsia="仿宋" w:cs="仿宋"/>
                <w:color w:val="auto"/>
                <w:sz w:val="21"/>
                <w:szCs w:val="21"/>
              </w:rPr>
              <w:t>自身（或所投产品制造商）</w:t>
            </w:r>
            <w:r>
              <w:rPr>
                <w:rFonts w:hint="eastAsia" w:ascii="仿宋" w:hAnsi="仿宋" w:eastAsia="仿宋" w:cs="仿宋"/>
                <w:color w:val="auto"/>
                <w:sz w:val="21"/>
                <w:szCs w:val="21"/>
                <w:lang w:eastAsia="zh-CN"/>
              </w:rPr>
              <w:t>的</w:t>
            </w:r>
            <w:r>
              <w:rPr>
                <w:rFonts w:hint="eastAsia" w:ascii="仿宋" w:hAnsi="仿宋" w:eastAsia="仿宋" w:cs="仿宋"/>
                <w:color w:val="auto"/>
                <w:sz w:val="21"/>
                <w:szCs w:val="21"/>
              </w:rPr>
              <w:t>企业规模类型。</w:t>
            </w:r>
          </w:p>
        </w:tc>
      </w:tr>
      <w:tr w14:paraId="0F913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39" w:type="dxa"/>
            <w:tcBorders>
              <w:left w:val="double" w:color="auto" w:sz="4" w:space="0"/>
            </w:tcBorders>
            <w:vAlign w:val="center"/>
          </w:tcPr>
          <w:p w14:paraId="25D2A334">
            <w:pPr>
              <w:keepNext w:val="0"/>
              <w:keepLines w:val="0"/>
              <w:pageBreakBefore w:val="0"/>
              <w:kinsoku/>
              <w:overflowPunct/>
              <w:topLinePunct w:val="0"/>
              <w:bidi w:val="0"/>
              <w:adjustRightInd w:val="0"/>
              <w:snapToGrid/>
              <w:spacing w:line="300" w:lineRule="auto"/>
              <w:jc w:val="center"/>
              <w:rPr>
                <w:rFonts w:hint="eastAsia" w:ascii="仿宋" w:hAnsi="仿宋" w:eastAsia="仿宋" w:cs="仿宋"/>
                <w:color w:val="auto"/>
                <w:szCs w:val="21"/>
              </w:rPr>
            </w:pPr>
            <w:r>
              <w:rPr>
                <w:rFonts w:hint="eastAsia" w:ascii="仿宋" w:hAnsi="仿宋" w:eastAsia="仿宋" w:cs="仿宋"/>
                <w:color w:val="auto"/>
                <w:szCs w:val="21"/>
              </w:rPr>
              <w:t>需落实的政府采购政策</w:t>
            </w:r>
          </w:p>
        </w:tc>
        <w:tc>
          <w:tcPr>
            <w:tcW w:w="6961" w:type="dxa"/>
            <w:tcBorders>
              <w:right w:val="double" w:color="auto" w:sz="4" w:space="0"/>
            </w:tcBorders>
            <w:vAlign w:val="center"/>
          </w:tcPr>
          <w:p w14:paraId="403E031C">
            <w:pPr>
              <w:pStyle w:val="165"/>
              <w:widowControl/>
              <w:snapToGrid w:val="0"/>
              <w:spacing w:beforeLines="0" w:line="360" w:lineRule="auto"/>
              <w:ind w:left="0" w:leftChars="0" w:firstLine="0" w:firstLineChars="0"/>
              <w:jc w:val="left"/>
              <w:rPr>
                <w:rStyle w:val="156"/>
                <w:rFonts w:hint="eastAsia" w:ascii="仿宋" w:hAnsi="仿宋" w:eastAsia="仿宋" w:cs="仿宋"/>
                <w:color w:val="auto"/>
                <w:sz w:val="21"/>
                <w:szCs w:val="21"/>
              </w:rPr>
            </w:pPr>
            <w:r>
              <w:rPr>
                <w:rStyle w:val="156"/>
                <w:rFonts w:hint="eastAsia" w:ascii="仿宋" w:hAnsi="仿宋" w:eastAsia="仿宋" w:cs="仿宋"/>
                <w:color w:val="auto"/>
                <w:sz w:val="21"/>
                <w:szCs w:val="21"/>
              </w:rPr>
              <w:t>一、政府采购促进中小企业发展扶持政策</w:t>
            </w:r>
          </w:p>
          <w:p w14:paraId="09AC13C3">
            <w:pPr>
              <w:pStyle w:val="165"/>
              <w:widowControl/>
              <w:snapToGrid w:val="0"/>
              <w:spacing w:beforeLines="0" w:line="360" w:lineRule="auto"/>
              <w:ind w:left="0" w:leftChars="0" w:firstLine="0" w:firstLineChars="0"/>
              <w:jc w:val="left"/>
              <w:rPr>
                <w:rStyle w:val="156"/>
                <w:rFonts w:hint="eastAsia" w:ascii="仿宋" w:hAnsi="仿宋" w:eastAsia="仿宋" w:cs="仿宋"/>
                <w:color w:val="auto"/>
                <w:sz w:val="21"/>
                <w:szCs w:val="21"/>
              </w:rPr>
            </w:pPr>
            <w:r>
              <w:rPr>
                <w:rStyle w:val="156"/>
                <w:rFonts w:hint="eastAsia" w:ascii="仿宋" w:hAnsi="仿宋" w:eastAsia="仿宋" w:cs="仿宋"/>
                <w:color w:val="auto"/>
                <w:sz w:val="21"/>
                <w:szCs w:val="21"/>
              </w:rPr>
              <w:t>1.根据《政府采购促进中小企业发展管理办法》(财库【2020】46号)、《财政部、司法部关于政府采购支持监狱企业发展有关问题的通知》（财库【2014】68号)、《关于促进残疾人就业政府采购政策的通知》（财库【2017】141号）及《财政部关于进一步加大政府采购支持中小企业力度的通知》（财库【2022】 19 号)规定，欢迎符合规定的</w:t>
            </w:r>
            <w:r>
              <w:rPr>
                <w:rStyle w:val="156"/>
                <w:rFonts w:hint="eastAsia" w:ascii="仿宋" w:hAnsi="仿宋" w:eastAsia="仿宋" w:cs="仿宋"/>
                <w:color w:val="auto"/>
                <w:sz w:val="21"/>
                <w:szCs w:val="21"/>
                <w:lang w:eastAsia="zh-CN"/>
              </w:rPr>
              <w:t>投标人</w:t>
            </w:r>
            <w:r>
              <w:rPr>
                <w:rStyle w:val="156"/>
                <w:rFonts w:hint="eastAsia" w:ascii="仿宋" w:hAnsi="仿宋" w:eastAsia="仿宋" w:cs="仿宋"/>
                <w:color w:val="auto"/>
                <w:sz w:val="21"/>
                <w:szCs w:val="21"/>
              </w:rPr>
              <w:t>参与本项目采购活动。具体措施/要求如下:</w:t>
            </w:r>
          </w:p>
          <w:p w14:paraId="75EF3E3B">
            <w:pPr>
              <w:pStyle w:val="165"/>
              <w:widowControl/>
              <w:snapToGrid w:val="0"/>
              <w:spacing w:beforeLines="0" w:line="360" w:lineRule="auto"/>
              <w:ind w:left="0" w:leftChars="0" w:firstLine="0" w:firstLineChars="0"/>
              <w:jc w:val="left"/>
              <w:rPr>
                <w:rStyle w:val="156"/>
                <w:rFonts w:hint="eastAsia" w:ascii="仿宋" w:hAnsi="仿宋" w:eastAsia="仿宋" w:cs="仿宋"/>
                <w:b/>
                <w:bCs/>
                <w:color w:val="auto"/>
                <w:sz w:val="21"/>
                <w:szCs w:val="21"/>
              </w:rPr>
            </w:pPr>
            <w:r>
              <w:rPr>
                <w:rStyle w:val="156"/>
                <w:rFonts w:hint="eastAsia" w:ascii="仿宋" w:hAnsi="仿宋" w:eastAsia="仿宋" w:cs="仿宋"/>
                <w:b/>
                <w:bCs/>
                <w:color w:val="auto"/>
                <w:sz w:val="21"/>
                <w:szCs w:val="21"/>
              </w:rPr>
              <w:t>（1）针对预留份额专门面向中小企业采购的项目。货物类项目要求供应商针对本项目提供的产品全部由符合政策要求的中小企业生产且使用该中小企业商号或者注册商标。服务类项目要求服务由中小企业承接，即提供服务的人员为中小企业依照 《中华人民共和国</w:t>
            </w:r>
            <w:r>
              <w:rPr>
                <w:rStyle w:val="156"/>
                <w:rFonts w:hint="eastAsia" w:ascii="仿宋" w:hAnsi="仿宋" w:eastAsia="仿宋" w:cs="仿宋"/>
                <w:b/>
                <w:bCs/>
                <w:color w:val="auto"/>
                <w:sz w:val="21"/>
                <w:szCs w:val="21"/>
                <w:lang w:eastAsia="zh-CN"/>
              </w:rPr>
              <w:t>劳</w:t>
            </w:r>
            <w:r>
              <w:rPr>
                <w:rStyle w:val="156"/>
                <w:rFonts w:hint="eastAsia" w:ascii="仿宋" w:hAnsi="仿宋" w:eastAsia="仿宋" w:cs="仿宋"/>
                <w:b/>
                <w:bCs/>
                <w:color w:val="auto"/>
                <w:sz w:val="21"/>
                <w:szCs w:val="21"/>
              </w:rPr>
              <w:t>动合同法》订立劳动合同的从业人员。工程采购项目要求工程由中小企业承建，即工程施工单位为中小企业。满足前述要求的供应商应当按采购文件要求准确、完整填写并提交《中小企业声明函》（格式见附件），经</w:t>
            </w:r>
            <w:r>
              <w:rPr>
                <w:rStyle w:val="156"/>
                <w:rFonts w:hint="eastAsia" w:ascii="仿宋" w:hAnsi="仿宋" w:eastAsia="仿宋" w:cs="仿宋"/>
                <w:b/>
                <w:bCs/>
                <w:color w:val="auto"/>
                <w:sz w:val="21"/>
                <w:szCs w:val="21"/>
                <w:lang w:eastAsia="zh-CN"/>
              </w:rPr>
              <w:t>评标委员会</w:t>
            </w:r>
            <w:r>
              <w:rPr>
                <w:rStyle w:val="156"/>
                <w:rFonts w:hint="eastAsia" w:ascii="仿宋" w:hAnsi="仿宋" w:eastAsia="仿宋" w:cs="仿宋"/>
                <w:b/>
                <w:bCs/>
                <w:color w:val="auto"/>
                <w:sz w:val="21"/>
                <w:szCs w:val="21"/>
              </w:rPr>
              <w:t>认定不符合第 1条要求，或者填与内容错误、缺漏项的，资格审查不予通过。</w:t>
            </w:r>
          </w:p>
          <w:p w14:paraId="1273A979">
            <w:pPr>
              <w:pStyle w:val="165"/>
              <w:widowControl/>
              <w:snapToGrid w:val="0"/>
              <w:spacing w:beforeLines="0" w:line="360" w:lineRule="auto"/>
              <w:ind w:left="0" w:leftChars="0" w:firstLine="0" w:firstLineChars="0"/>
              <w:jc w:val="left"/>
              <w:rPr>
                <w:rStyle w:val="156"/>
                <w:rFonts w:hint="eastAsia" w:ascii="仿宋" w:hAnsi="仿宋" w:eastAsia="仿宋" w:cs="仿宋"/>
                <w:b/>
                <w:bCs/>
                <w:color w:val="auto"/>
                <w:sz w:val="21"/>
                <w:szCs w:val="21"/>
              </w:rPr>
            </w:pPr>
            <w:r>
              <w:rPr>
                <w:rStyle w:val="156"/>
                <w:rFonts w:hint="eastAsia" w:ascii="仿宋" w:hAnsi="仿宋" w:eastAsia="仿宋" w:cs="仿宋"/>
                <w:b/>
                <w:bCs/>
                <w:color w:val="auto"/>
                <w:sz w:val="21"/>
                <w:szCs w:val="21"/>
              </w:rPr>
              <w:t>（2）针对非预留份额专门面向中小企业采购的项目:</w:t>
            </w:r>
          </w:p>
          <w:p w14:paraId="186CDC84">
            <w:pPr>
              <w:pStyle w:val="165"/>
              <w:widowControl/>
              <w:snapToGrid w:val="0"/>
              <w:spacing w:beforeLines="0" w:line="360" w:lineRule="auto"/>
              <w:ind w:left="0" w:leftChars="0" w:firstLine="0" w:firstLineChars="0"/>
              <w:jc w:val="left"/>
              <w:rPr>
                <w:rStyle w:val="156"/>
                <w:rFonts w:hint="eastAsia" w:ascii="仿宋" w:hAnsi="仿宋" w:eastAsia="仿宋" w:cs="仿宋"/>
                <w:b/>
                <w:bCs/>
                <w:color w:val="auto"/>
                <w:sz w:val="21"/>
                <w:szCs w:val="21"/>
              </w:rPr>
            </w:pPr>
            <w:r>
              <w:rPr>
                <w:rStyle w:val="156"/>
                <w:rFonts w:hint="eastAsia" w:ascii="仿宋" w:hAnsi="仿宋" w:eastAsia="仿宋" w:cs="仿宋"/>
                <w:b/>
                <w:bCs/>
                <w:color w:val="auto"/>
                <w:sz w:val="21"/>
                <w:szCs w:val="21"/>
              </w:rPr>
              <w:t>① 货物类项目供应商针对本项目提供的产品全部由符合政策要求的小微企业生产且使用该小微企业商号或者注册商标，或服务类项目中的服务由小微企业承接，且供应商按采购文件要求准确、完整填写并提交《中小企业声明函》(格式见附件）的，经</w:t>
            </w:r>
            <w:r>
              <w:rPr>
                <w:rStyle w:val="156"/>
                <w:rFonts w:hint="eastAsia" w:ascii="仿宋" w:hAnsi="仿宋" w:eastAsia="仿宋" w:cs="仿宋"/>
                <w:b/>
                <w:bCs/>
                <w:color w:val="auto"/>
                <w:sz w:val="21"/>
                <w:szCs w:val="21"/>
                <w:lang w:eastAsia="zh-CN"/>
              </w:rPr>
              <w:t>评标委员会</w:t>
            </w:r>
            <w:r>
              <w:rPr>
                <w:rStyle w:val="156"/>
                <w:rFonts w:hint="eastAsia" w:ascii="仿宋" w:hAnsi="仿宋" w:eastAsia="仿宋" w:cs="仿宋"/>
                <w:b/>
                <w:bCs/>
                <w:color w:val="auto"/>
                <w:sz w:val="21"/>
                <w:szCs w:val="21"/>
              </w:rPr>
              <w:t>认定后，其报价给予 10%的扣除(工程类项目由小微企业承接的，其报价给予 5%的扣除）。用扣除后的价格参加报价评审。</w:t>
            </w:r>
          </w:p>
          <w:p w14:paraId="5970939D">
            <w:pPr>
              <w:pStyle w:val="165"/>
              <w:widowControl/>
              <w:snapToGrid w:val="0"/>
              <w:spacing w:beforeLines="0" w:line="360" w:lineRule="auto"/>
              <w:ind w:left="0" w:leftChars="0" w:firstLine="0" w:firstLineChars="0"/>
              <w:jc w:val="left"/>
              <w:rPr>
                <w:rStyle w:val="156"/>
                <w:rFonts w:hint="eastAsia" w:ascii="仿宋" w:hAnsi="仿宋" w:eastAsia="仿宋" w:cs="仿宋"/>
                <w:b/>
                <w:bCs/>
                <w:color w:val="auto"/>
                <w:sz w:val="21"/>
                <w:szCs w:val="21"/>
              </w:rPr>
            </w:pPr>
            <w:r>
              <w:rPr>
                <w:rStyle w:val="156"/>
                <w:rFonts w:hint="eastAsia" w:ascii="仿宋" w:hAnsi="仿宋" w:eastAsia="仿宋" w:cs="仿宋"/>
                <w:b/>
                <w:bCs/>
                <w:color w:val="auto"/>
                <w:sz w:val="21"/>
                <w:szCs w:val="21"/>
              </w:rPr>
              <w:t>② 接受大中型企业与小微企业组成联合体或者允许大中型企业向一家或者多家小微企业分包的采购项目，对于联合协议或者分包意向协议约定小微企业的合同份额占到合同总金额 30% 以上，且供应商（联合体）按采购文件要求准确、完整填写并提交《中小企业声明函》（格式见附件）的，经</w:t>
            </w:r>
            <w:r>
              <w:rPr>
                <w:rStyle w:val="156"/>
                <w:rFonts w:hint="eastAsia" w:ascii="仿宋" w:hAnsi="仿宋" w:eastAsia="仿宋" w:cs="仿宋"/>
                <w:b/>
                <w:bCs/>
                <w:color w:val="auto"/>
                <w:sz w:val="21"/>
                <w:szCs w:val="21"/>
                <w:lang w:eastAsia="zh-CN"/>
              </w:rPr>
              <w:t>评标委员会</w:t>
            </w:r>
            <w:r>
              <w:rPr>
                <w:rStyle w:val="156"/>
                <w:rFonts w:hint="eastAsia" w:ascii="仿宋" w:hAnsi="仿宋" w:eastAsia="仿宋" w:cs="仿宋"/>
                <w:b/>
                <w:bCs/>
                <w:color w:val="auto"/>
                <w:sz w:val="21"/>
                <w:szCs w:val="21"/>
              </w:rPr>
              <w:t>认定后，对联合体或者大中型企业的报价给予6%(工程项目为 2%）的扣除。用扣除后的价格参加报价评审。</w:t>
            </w:r>
          </w:p>
          <w:p w14:paraId="2F7A9878">
            <w:pPr>
              <w:pStyle w:val="165"/>
              <w:widowControl/>
              <w:snapToGrid w:val="0"/>
              <w:spacing w:beforeLines="0" w:line="360" w:lineRule="auto"/>
              <w:ind w:left="0" w:leftChars="0" w:firstLine="0" w:firstLineChars="0"/>
              <w:jc w:val="left"/>
              <w:rPr>
                <w:rStyle w:val="156"/>
                <w:rFonts w:hint="eastAsia" w:ascii="仿宋" w:hAnsi="仿宋" w:eastAsia="仿宋" w:cs="仿宋"/>
                <w:color w:val="auto"/>
                <w:sz w:val="21"/>
                <w:szCs w:val="21"/>
              </w:rPr>
            </w:pPr>
            <w:r>
              <w:rPr>
                <w:rStyle w:val="156"/>
                <w:rFonts w:hint="eastAsia" w:ascii="仿宋" w:hAnsi="仿宋" w:eastAsia="仿宋" w:cs="仿宋"/>
                <w:color w:val="auto"/>
                <w:sz w:val="21"/>
                <w:szCs w:val="21"/>
              </w:rPr>
              <w:t>2.依据《政府采购促进中小企业发展管理办法》（财库【2020】46 号)规定享受中小企业扶持政策而中标（成交）获得政府采购合同的小微企业，不得将合同分包给大中型企业。否则按提供虚假材料谋取中标（成交）处理。</w:t>
            </w:r>
          </w:p>
          <w:p w14:paraId="06B4C0A1">
            <w:pPr>
              <w:pStyle w:val="165"/>
              <w:widowControl/>
              <w:snapToGrid w:val="0"/>
              <w:spacing w:beforeLines="0" w:line="360" w:lineRule="auto"/>
              <w:ind w:left="0" w:leftChars="0" w:firstLine="0" w:firstLineChars="0"/>
              <w:jc w:val="left"/>
              <w:rPr>
                <w:rStyle w:val="156"/>
                <w:rFonts w:hint="eastAsia" w:ascii="仿宋" w:hAnsi="仿宋" w:eastAsia="仿宋" w:cs="仿宋"/>
                <w:color w:val="auto"/>
                <w:sz w:val="21"/>
                <w:szCs w:val="21"/>
              </w:rPr>
            </w:pPr>
            <w:r>
              <w:rPr>
                <w:rStyle w:val="156"/>
                <w:rFonts w:hint="eastAsia" w:ascii="仿宋" w:hAnsi="仿宋" w:eastAsia="仿宋" w:cs="仿宋"/>
                <w:color w:val="auto"/>
                <w:sz w:val="21"/>
                <w:szCs w:val="21"/>
              </w:rPr>
              <w:t>3.本采购文件所称</w:t>
            </w:r>
            <w:r>
              <w:rPr>
                <w:rFonts w:hint="eastAsia" w:ascii="仿宋" w:hAnsi="仿宋" w:eastAsia="仿宋" w:cs="仿宋"/>
                <w:bCs/>
                <w:color w:val="auto"/>
                <w:sz w:val="21"/>
                <w:szCs w:val="21"/>
              </w:rPr>
              <w:t>中小企业</w:t>
            </w:r>
            <w:r>
              <w:rPr>
                <w:rStyle w:val="156"/>
                <w:rFonts w:hint="eastAsia" w:ascii="仿宋" w:hAnsi="仿宋" w:eastAsia="仿宋" w:cs="仿宋"/>
                <w:color w:val="auto"/>
                <w:sz w:val="21"/>
                <w:szCs w:val="21"/>
              </w:rPr>
              <w:t>，是指在中华人民共和国境内依法设立，依据国务院批准的</w:t>
            </w:r>
            <w:r>
              <w:rPr>
                <w:rFonts w:hint="eastAsia" w:ascii="仿宋" w:hAnsi="仿宋" w:eastAsia="仿宋" w:cs="仿宋"/>
                <w:bCs/>
                <w:color w:val="auto"/>
                <w:sz w:val="21"/>
                <w:szCs w:val="21"/>
              </w:rPr>
              <w:t>中小企业</w:t>
            </w:r>
            <w:r>
              <w:rPr>
                <w:rStyle w:val="156"/>
                <w:rFonts w:hint="eastAsia" w:ascii="仿宋" w:hAnsi="仿宋" w:eastAsia="仿宋" w:cs="仿宋"/>
                <w:color w:val="auto"/>
                <w:sz w:val="21"/>
                <w:szCs w:val="21"/>
              </w:rPr>
              <w:t>划分标准确定的中型企业、小型企业和微型企业，但与大企业的负责人为同一人，或者与大企业存在直接控股、管理关系的除外。符合小微企业划分标准的个体工商户，视同小微企业。</w:t>
            </w:r>
          </w:p>
          <w:p w14:paraId="1D949C5F">
            <w:pPr>
              <w:pStyle w:val="134"/>
              <w:tabs>
                <w:tab w:val="left" w:pos="6930"/>
              </w:tabs>
              <w:spacing w:before="0" w:beforeAutospacing="0" w:after="0" w:afterAutospacing="0" w:line="300" w:lineRule="auto"/>
              <w:rPr>
                <w:rStyle w:val="156"/>
                <w:rFonts w:hint="eastAsia" w:ascii="仿宋" w:hAnsi="仿宋" w:eastAsia="仿宋" w:cs="仿宋"/>
                <w:color w:val="auto"/>
                <w:sz w:val="21"/>
                <w:szCs w:val="21"/>
              </w:rPr>
            </w:pPr>
            <w:r>
              <w:rPr>
                <w:rStyle w:val="156"/>
                <w:rFonts w:hint="eastAsia" w:ascii="仿宋" w:hAnsi="仿宋" w:eastAsia="仿宋" w:cs="仿宋"/>
                <w:color w:val="auto"/>
                <w:sz w:val="21"/>
                <w:szCs w:val="21"/>
              </w:rPr>
              <w:t>二、政府采购节能环保政策</w:t>
            </w:r>
          </w:p>
          <w:p w14:paraId="2CD689B1">
            <w:pPr>
              <w:pStyle w:val="165"/>
              <w:widowControl/>
              <w:snapToGrid w:val="0"/>
              <w:spacing w:beforeLines="0" w:line="360" w:lineRule="auto"/>
              <w:ind w:left="0" w:leftChars="0" w:firstLine="0" w:firstLineChars="0"/>
              <w:jc w:val="left"/>
              <w:rPr>
                <w:rStyle w:val="156"/>
                <w:rFonts w:hint="eastAsia" w:ascii="仿宋" w:hAnsi="仿宋" w:eastAsia="仿宋" w:cs="仿宋"/>
                <w:color w:val="auto"/>
                <w:sz w:val="21"/>
                <w:szCs w:val="21"/>
              </w:rPr>
            </w:pPr>
            <w:r>
              <w:rPr>
                <w:rStyle w:val="156"/>
                <w:rFonts w:hint="eastAsia" w:ascii="仿宋" w:hAnsi="仿宋" w:eastAsia="仿宋" w:cs="仿宋"/>
                <w:color w:val="auto"/>
                <w:sz w:val="21"/>
                <w:szCs w:val="21"/>
              </w:rPr>
              <w:t>1.根据财政部、发展改革委、生态环境部、市场监管总局《关于调整优化节能产品、环境标志产品政府采购执行机制的通知》（财库〔2019〕9号）文件及“节能产品</w:t>
            </w:r>
            <w:r>
              <w:rPr>
                <w:rFonts w:hint="eastAsia" w:ascii="仿宋" w:hAnsi="仿宋" w:eastAsia="仿宋" w:cs="仿宋"/>
                <w:bCs/>
                <w:color w:val="auto"/>
                <w:sz w:val="21"/>
                <w:szCs w:val="21"/>
              </w:rPr>
              <w:t>政府</w:t>
            </w:r>
            <w:r>
              <w:rPr>
                <w:rStyle w:val="156"/>
                <w:rFonts w:hint="eastAsia" w:ascii="仿宋" w:hAnsi="仿宋" w:eastAsia="仿宋" w:cs="仿宋"/>
                <w:color w:val="auto"/>
                <w:sz w:val="21"/>
                <w:szCs w:val="21"/>
              </w:rPr>
              <w:t>采购品目清单”、“环境标志产品政府采购品目清单”：</w:t>
            </w:r>
          </w:p>
          <w:p w14:paraId="1773DF8A">
            <w:pPr>
              <w:pStyle w:val="165"/>
              <w:widowControl/>
              <w:snapToGrid w:val="0"/>
              <w:spacing w:beforeLines="0" w:line="360" w:lineRule="auto"/>
              <w:ind w:left="0" w:leftChars="0" w:firstLine="0" w:firstLineChars="0"/>
              <w:jc w:val="left"/>
              <w:rPr>
                <w:rStyle w:val="156"/>
                <w:rFonts w:hint="eastAsia" w:ascii="仿宋" w:hAnsi="仿宋" w:eastAsia="仿宋" w:cs="仿宋"/>
                <w:color w:val="auto"/>
                <w:sz w:val="21"/>
                <w:szCs w:val="21"/>
              </w:rPr>
            </w:pPr>
            <w:r>
              <w:rPr>
                <w:rStyle w:val="156"/>
                <w:rFonts w:hint="eastAsia" w:ascii="仿宋" w:hAnsi="仿宋" w:eastAsia="仿宋" w:cs="仿宋"/>
                <w:color w:val="auto"/>
                <w:sz w:val="21"/>
                <w:szCs w:val="21"/>
              </w:rPr>
              <w:t>▲1.1本项目如需</w:t>
            </w:r>
            <w:r>
              <w:rPr>
                <w:rFonts w:hint="eastAsia" w:ascii="仿宋" w:hAnsi="仿宋" w:eastAsia="仿宋" w:cs="仿宋"/>
                <w:bCs/>
                <w:color w:val="auto"/>
                <w:sz w:val="21"/>
                <w:szCs w:val="21"/>
              </w:rPr>
              <w:t>采购</w:t>
            </w:r>
            <w:r>
              <w:rPr>
                <w:rStyle w:val="156"/>
                <w:rFonts w:hint="eastAsia" w:ascii="仿宋" w:hAnsi="仿宋" w:eastAsia="仿宋" w:cs="仿宋"/>
                <w:color w:val="auto"/>
                <w:sz w:val="21"/>
                <w:szCs w:val="21"/>
              </w:rPr>
              <w:t>品目清单中的政府强制采购的节能、环保产品，供应商所投的相应</w:t>
            </w:r>
            <w:r>
              <w:rPr>
                <w:rFonts w:hint="eastAsia" w:ascii="仿宋" w:hAnsi="仿宋" w:eastAsia="仿宋" w:cs="仿宋"/>
                <w:bCs/>
                <w:color w:val="auto"/>
                <w:sz w:val="21"/>
                <w:szCs w:val="21"/>
              </w:rPr>
              <w:t>产品</w:t>
            </w:r>
            <w:r>
              <w:rPr>
                <w:rStyle w:val="156"/>
                <w:rFonts w:hint="eastAsia" w:ascii="仿宋" w:hAnsi="仿宋" w:eastAsia="仿宋" w:cs="仿宋"/>
                <w:color w:val="auto"/>
                <w:sz w:val="21"/>
                <w:szCs w:val="21"/>
              </w:rPr>
              <w:t>须在商务技术文件中提供国家确定的认证机构出具的、处于有效期之内的节能产品、环境标志产品认证证书复印件，否则</w:t>
            </w:r>
            <w:r>
              <w:rPr>
                <w:rStyle w:val="156"/>
                <w:rFonts w:hint="eastAsia" w:ascii="仿宋" w:hAnsi="仿宋" w:eastAsia="仿宋" w:cs="仿宋"/>
                <w:color w:val="auto"/>
                <w:sz w:val="21"/>
                <w:szCs w:val="21"/>
                <w:lang w:eastAsia="zh-CN"/>
              </w:rPr>
              <w:t>按投标</w:t>
            </w:r>
            <w:r>
              <w:rPr>
                <w:rStyle w:val="156"/>
                <w:rFonts w:hint="eastAsia" w:ascii="仿宋" w:hAnsi="仿宋" w:eastAsia="仿宋" w:cs="仿宋"/>
                <w:color w:val="auto"/>
                <w:sz w:val="21"/>
                <w:szCs w:val="21"/>
              </w:rPr>
              <w:t>无效</w:t>
            </w:r>
            <w:r>
              <w:rPr>
                <w:rStyle w:val="156"/>
                <w:rFonts w:hint="eastAsia" w:ascii="仿宋" w:hAnsi="仿宋" w:eastAsia="仿宋" w:cs="仿宋"/>
                <w:color w:val="auto"/>
                <w:sz w:val="21"/>
                <w:szCs w:val="21"/>
                <w:lang w:eastAsia="zh-CN"/>
              </w:rPr>
              <w:t>处理</w:t>
            </w:r>
            <w:r>
              <w:rPr>
                <w:rStyle w:val="156"/>
                <w:rFonts w:hint="eastAsia" w:ascii="仿宋" w:hAnsi="仿宋" w:eastAsia="仿宋" w:cs="仿宋"/>
                <w:color w:val="auto"/>
                <w:sz w:val="21"/>
                <w:szCs w:val="21"/>
              </w:rPr>
              <w:t>。</w:t>
            </w:r>
          </w:p>
          <w:p w14:paraId="33E2A3B1">
            <w:pPr>
              <w:pStyle w:val="165"/>
              <w:widowControl/>
              <w:snapToGrid w:val="0"/>
              <w:spacing w:beforeLines="0" w:line="360" w:lineRule="auto"/>
              <w:ind w:left="0" w:leftChars="0" w:firstLine="0" w:firstLineChars="0"/>
              <w:jc w:val="left"/>
              <w:rPr>
                <w:rStyle w:val="156"/>
                <w:rFonts w:hint="eastAsia" w:ascii="仿宋" w:hAnsi="仿宋" w:eastAsia="仿宋" w:cs="仿宋"/>
                <w:color w:val="auto"/>
                <w:sz w:val="21"/>
                <w:szCs w:val="21"/>
              </w:rPr>
            </w:pPr>
            <w:r>
              <w:rPr>
                <w:rStyle w:val="156"/>
                <w:rFonts w:hint="eastAsia" w:ascii="仿宋" w:hAnsi="仿宋" w:eastAsia="仿宋" w:cs="仿宋"/>
                <w:color w:val="auto"/>
                <w:sz w:val="21"/>
                <w:szCs w:val="21"/>
              </w:rPr>
              <w:t>1.2本项目如需</w:t>
            </w:r>
            <w:r>
              <w:rPr>
                <w:rFonts w:hint="eastAsia" w:ascii="仿宋" w:hAnsi="仿宋" w:eastAsia="仿宋" w:cs="仿宋"/>
                <w:bCs/>
                <w:color w:val="auto"/>
                <w:sz w:val="21"/>
                <w:szCs w:val="21"/>
              </w:rPr>
              <w:t>采购</w:t>
            </w:r>
            <w:r>
              <w:rPr>
                <w:rStyle w:val="156"/>
                <w:rFonts w:hint="eastAsia" w:ascii="仿宋" w:hAnsi="仿宋" w:eastAsia="仿宋" w:cs="仿宋"/>
                <w:color w:val="auto"/>
                <w:sz w:val="21"/>
                <w:szCs w:val="21"/>
              </w:rPr>
              <w:t>品目清单中的政府优先采购的节能、环保产品，供应商所投的相应产品须在商务技术文件中提供国家确定的认证机构出具的、处于有效期之内的节能产品、环境标志产品认证证书复印件，否则不予实施优先采购。</w:t>
            </w:r>
          </w:p>
          <w:p w14:paraId="03FAD9D5">
            <w:pPr>
              <w:pStyle w:val="165"/>
              <w:widowControl/>
              <w:snapToGrid w:val="0"/>
              <w:spacing w:beforeLines="0" w:line="360" w:lineRule="auto"/>
              <w:ind w:left="0" w:leftChars="0" w:firstLine="0" w:firstLineChars="0"/>
              <w:jc w:val="left"/>
              <w:rPr>
                <w:rFonts w:hint="eastAsia" w:ascii="仿宋" w:hAnsi="仿宋" w:eastAsia="仿宋" w:cs="仿宋"/>
                <w:color w:val="auto"/>
                <w:sz w:val="21"/>
                <w:szCs w:val="21"/>
              </w:rPr>
            </w:pPr>
            <w:r>
              <w:rPr>
                <w:rStyle w:val="156"/>
                <w:rFonts w:hint="eastAsia" w:ascii="仿宋" w:hAnsi="仿宋" w:eastAsia="仿宋" w:cs="仿宋"/>
                <w:color w:val="auto"/>
                <w:sz w:val="21"/>
                <w:szCs w:val="21"/>
              </w:rPr>
              <w:t>2.认证机构</w:t>
            </w:r>
            <w:r>
              <w:rPr>
                <w:rFonts w:hint="eastAsia" w:ascii="仿宋" w:hAnsi="仿宋" w:eastAsia="仿宋" w:cs="仿宋"/>
                <w:bCs/>
                <w:color w:val="auto"/>
                <w:sz w:val="21"/>
                <w:szCs w:val="21"/>
              </w:rPr>
              <w:t>范围</w:t>
            </w:r>
            <w:r>
              <w:rPr>
                <w:rStyle w:val="156"/>
                <w:rFonts w:hint="eastAsia" w:ascii="仿宋" w:hAnsi="仿宋" w:eastAsia="仿宋" w:cs="仿宋"/>
                <w:color w:val="auto"/>
                <w:sz w:val="21"/>
                <w:szCs w:val="21"/>
              </w:rPr>
              <w:t>以《市场监管总局关于发布参与实施政府采购节能产品、环境标志产品认证机构名录的公告》中公布的认证机构名录为准。</w:t>
            </w:r>
          </w:p>
        </w:tc>
      </w:tr>
      <w:tr w14:paraId="280DE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39" w:type="dxa"/>
            <w:tcBorders>
              <w:left w:val="double" w:color="auto" w:sz="4" w:space="0"/>
            </w:tcBorders>
            <w:vAlign w:val="center"/>
          </w:tcPr>
          <w:p w14:paraId="2B9C0263">
            <w:pPr>
              <w:keepNext w:val="0"/>
              <w:keepLines w:val="0"/>
              <w:pageBreakBefore w:val="0"/>
              <w:kinsoku/>
              <w:overflowPunct/>
              <w:topLinePunct w:val="0"/>
              <w:bidi w:val="0"/>
              <w:adjustRightInd w:val="0"/>
              <w:snapToGrid/>
              <w:spacing w:line="30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专门面向中小企业预留采购份额情况</w:t>
            </w:r>
          </w:p>
        </w:tc>
        <w:tc>
          <w:tcPr>
            <w:tcW w:w="6961" w:type="dxa"/>
            <w:tcBorders>
              <w:right w:val="double" w:color="auto" w:sz="4" w:space="0"/>
            </w:tcBorders>
            <w:vAlign w:val="center"/>
          </w:tcPr>
          <w:p w14:paraId="0DF36B6C">
            <w:pPr>
              <w:pStyle w:val="165"/>
              <w:widowControl/>
              <w:snapToGrid w:val="0"/>
              <w:spacing w:beforeLines="0" w:line="360" w:lineRule="auto"/>
              <w:ind w:left="0" w:leftChars="0" w:firstLine="0" w:firstLineChars="0"/>
              <w:jc w:val="left"/>
              <w:rPr>
                <w:rFonts w:hint="eastAsia" w:ascii="仿宋" w:hAnsi="仿宋" w:eastAsia="仿宋" w:cs="仿宋"/>
                <w:b/>
                <w:bCs/>
                <w:color w:val="auto"/>
                <w:kern w:val="2"/>
                <w:sz w:val="21"/>
                <w:szCs w:val="21"/>
                <w:highlight w:val="none"/>
              </w:rPr>
            </w:pPr>
            <w:r>
              <w:rPr>
                <w:rFonts w:hint="eastAsia" w:ascii="仿宋" w:hAnsi="仿宋" w:eastAsia="仿宋" w:cs="仿宋"/>
                <w:b/>
                <w:bCs/>
                <w:color w:val="auto"/>
                <w:sz w:val="21"/>
                <w:szCs w:val="21"/>
                <w:highlight w:val="none"/>
              </w:rPr>
              <w:t>本项目</w:t>
            </w:r>
            <w:r>
              <w:rPr>
                <w:rFonts w:hint="eastAsia" w:ascii="仿宋" w:hAnsi="仿宋" w:eastAsia="仿宋" w:cs="仿宋"/>
                <w:b/>
                <w:bCs/>
                <w:color w:val="auto"/>
                <w:sz w:val="21"/>
                <w:szCs w:val="21"/>
                <w:highlight w:val="none"/>
                <w:lang w:eastAsia="zh-CN"/>
              </w:rPr>
              <w:t>【是</w:t>
            </w:r>
            <w:r>
              <w:rPr>
                <w:rFonts w:hint="eastAsia" w:ascii="仿宋" w:hAnsi="仿宋" w:eastAsia="仿宋" w:cs="仿宋"/>
                <w:b w:val="0"/>
                <w:bCs w:val="0"/>
                <w:color w:val="auto"/>
                <w:sz w:val="21"/>
                <w:szCs w:val="21"/>
                <w:highlight w:val="none"/>
                <w:lang w:eastAsia="zh-CN"/>
              </w:rPr>
              <w:t>（</w:t>
            </w:r>
            <w:r>
              <w:rPr>
                <w:rFonts w:hint="eastAsia" w:ascii="仿宋" w:hAnsi="仿宋" w:eastAsia="仿宋" w:cs="仿宋"/>
                <w:b w:val="0"/>
                <w:bCs w:val="0"/>
                <w:color w:val="auto"/>
                <w:sz w:val="21"/>
                <w:szCs w:val="21"/>
                <w:highlight w:val="none"/>
                <w:lang w:val="en-US" w:eastAsia="zh-CN"/>
              </w:rPr>
              <w:t xml:space="preserve"> </w:t>
            </w:r>
            <w:r>
              <w:rPr>
                <w:rFonts w:hint="eastAsia" w:ascii="仿宋" w:hAnsi="仿宋" w:eastAsia="仿宋" w:cs="仿宋"/>
                <w:b w:val="0"/>
                <w:bCs w:val="0"/>
                <w:color w:val="auto"/>
                <w:sz w:val="21"/>
                <w:szCs w:val="21"/>
                <w:highlight w:val="none"/>
                <w:lang w:eastAsia="zh-CN"/>
              </w:rPr>
              <w:t>√</w:t>
            </w:r>
            <w:r>
              <w:rPr>
                <w:rFonts w:hint="eastAsia" w:ascii="仿宋" w:hAnsi="仿宋" w:eastAsia="仿宋" w:cs="仿宋"/>
                <w:b w:val="0"/>
                <w:bCs w:val="0"/>
                <w:color w:val="auto"/>
                <w:sz w:val="21"/>
                <w:szCs w:val="21"/>
                <w:highlight w:val="none"/>
                <w:lang w:val="en-US" w:eastAsia="zh-CN"/>
              </w:rPr>
              <w:t xml:space="preserve"> </w:t>
            </w:r>
            <w:r>
              <w:rPr>
                <w:rFonts w:hint="eastAsia" w:ascii="仿宋" w:hAnsi="仿宋" w:eastAsia="仿宋" w:cs="仿宋"/>
                <w:b w:val="0"/>
                <w:bCs w:val="0"/>
                <w:color w:val="auto"/>
                <w:sz w:val="21"/>
                <w:szCs w:val="21"/>
                <w:highlight w:val="none"/>
                <w:lang w:eastAsia="zh-CN"/>
              </w:rPr>
              <w:t>）</w:t>
            </w:r>
            <w:r>
              <w:rPr>
                <w:rFonts w:hint="eastAsia" w:ascii="仿宋" w:hAnsi="仿宋" w:eastAsia="仿宋" w:cs="仿宋"/>
                <w:b/>
                <w:bCs/>
                <w:color w:val="auto"/>
                <w:sz w:val="21"/>
                <w:szCs w:val="21"/>
                <w:highlight w:val="none"/>
                <w:lang w:eastAsia="zh-CN"/>
              </w:rPr>
              <w:t>否</w:t>
            </w:r>
            <w:r>
              <w:rPr>
                <w:rFonts w:hint="eastAsia" w:ascii="仿宋" w:hAnsi="仿宋" w:eastAsia="仿宋" w:cs="仿宋"/>
                <w:b w:val="0"/>
                <w:bCs w:val="0"/>
                <w:color w:val="auto"/>
                <w:sz w:val="21"/>
                <w:szCs w:val="21"/>
                <w:highlight w:val="none"/>
                <w:lang w:eastAsia="zh-CN"/>
              </w:rPr>
              <w:t>（</w:t>
            </w:r>
            <w:r>
              <w:rPr>
                <w:rFonts w:hint="eastAsia" w:ascii="仿宋" w:hAnsi="仿宋" w:eastAsia="仿宋" w:cs="仿宋"/>
                <w:b w:val="0"/>
                <w:bCs w:val="0"/>
                <w:color w:val="auto"/>
                <w:sz w:val="21"/>
                <w:szCs w:val="21"/>
                <w:highlight w:val="none"/>
                <w:lang w:val="en-US" w:eastAsia="zh-CN"/>
              </w:rPr>
              <w:t xml:space="preserve">  </w:t>
            </w:r>
            <w:r>
              <w:rPr>
                <w:rFonts w:hint="eastAsia" w:ascii="仿宋" w:hAnsi="仿宋" w:eastAsia="仿宋" w:cs="仿宋"/>
                <w:b w:val="0"/>
                <w:bCs w:val="0"/>
                <w:color w:val="auto"/>
                <w:sz w:val="21"/>
                <w:szCs w:val="21"/>
                <w:highlight w:val="none"/>
                <w:lang w:eastAsia="zh-CN"/>
              </w:rPr>
              <w:t>）</w:t>
            </w:r>
            <w:r>
              <w:rPr>
                <w:rFonts w:hint="eastAsia" w:ascii="仿宋" w:hAnsi="仿宋" w:eastAsia="仿宋" w:cs="仿宋"/>
                <w:b/>
                <w:bCs/>
                <w:color w:val="auto"/>
                <w:sz w:val="21"/>
                <w:szCs w:val="21"/>
                <w:highlight w:val="none"/>
                <w:lang w:eastAsia="zh-CN"/>
              </w:rPr>
              <w:t>】</w:t>
            </w:r>
            <w:r>
              <w:rPr>
                <w:rFonts w:hint="eastAsia" w:ascii="仿宋" w:hAnsi="仿宋" w:eastAsia="仿宋" w:cs="仿宋"/>
                <w:b/>
                <w:bCs/>
                <w:color w:val="auto"/>
                <w:sz w:val="21"/>
                <w:szCs w:val="21"/>
                <w:highlight w:val="none"/>
              </w:rPr>
              <w:t>预留（或部分预留）份额专门面向中小企业采购的采购项目。</w:t>
            </w:r>
          </w:p>
        </w:tc>
      </w:tr>
      <w:tr w14:paraId="2178F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39" w:type="dxa"/>
            <w:tcBorders>
              <w:left w:val="double" w:color="auto" w:sz="4" w:space="0"/>
            </w:tcBorders>
            <w:vAlign w:val="center"/>
          </w:tcPr>
          <w:p w14:paraId="7D28AEAC">
            <w:pPr>
              <w:keepNext w:val="0"/>
              <w:keepLines w:val="0"/>
              <w:pageBreakBefore w:val="0"/>
              <w:kinsoku/>
              <w:overflowPunct/>
              <w:topLinePunct w:val="0"/>
              <w:bidi w:val="0"/>
              <w:adjustRightInd w:val="0"/>
              <w:snapToGrid/>
              <w:spacing w:line="300" w:lineRule="auto"/>
              <w:jc w:val="center"/>
              <w:rPr>
                <w:rFonts w:hint="eastAsia" w:ascii="仿宋" w:hAnsi="仿宋" w:eastAsia="仿宋" w:cs="仿宋"/>
                <w:color w:val="auto"/>
                <w:szCs w:val="21"/>
              </w:rPr>
            </w:pPr>
            <w:r>
              <w:rPr>
                <w:rFonts w:hint="eastAsia" w:ascii="仿宋" w:hAnsi="仿宋" w:eastAsia="仿宋" w:cs="仿宋"/>
                <w:color w:val="auto"/>
                <w:szCs w:val="21"/>
              </w:rPr>
              <w:t>联合体投标</w:t>
            </w:r>
          </w:p>
        </w:tc>
        <w:tc>
          <w:tcPr>
            <w:tcW w:w="6961" w:type="dxa"/>
            <w:tcBorders>
              <w:right w:val="double" w:color="auto" w:sz="4" w:space="0"/>
            </w:tcBorders>
            <w:vAlign w:val="center"/>
          </w:tcPr>
          <w:p w14:paraId="4D45B5FA">
            <w:pPr>
              <w:pStyle w:val="165"/>
              <w:widowControl/>
              <w:snapToGrid w:val="0"/>
              <w:spacing w:beforeLines="0" w:line="360" w:lineRule="auto"/>
              <w:ind w:left="0" w:leftChars="0" w:firstLine="0" w:firstLineChars="0"/>
              <w:jc w:val="left"/>
              <w:rPr>
                <w:rFonts w:hint="eastAsia" w:ascii="仿宋" w:hAnsi="仿宋" w:eastAsia="仿宋" w:cs="仿宋"/>
                <w:color w:val="auto"/>
                <w:kern w:val="2"/>
                <w:sz w:val="21"/>
                <w:szCs w:val="21"/>
                <w:highlight w:val="none"/>
                <w:lang w:eastAsia="zh-CN"/>
              </w:rPr>
            </w:pPr>
            <w:r>
              <w:rPr>
                <w:rFonts w:hint="eastAsia" w:ascii="仿宋" w:hAnsi="仿宋" w:eastAsia="仿宋" w:cs="仿宋"/>
                <w:color w:val="auto"/>
                <w:sz w:val="21"/>
                <w:szCs w:val="21"/>
                <w:highlight w:val="none"/>
                <w:lang w:eastAsia="zh-CN"/>
              </w:rPr>
              <w:t>不</w:t>
            </w:r>
            <w:r>
              <w:rPr>
                <w:rFonts w:hint="eastAsia" w:ascii="仿宋" w:hAnsi="仿宋" w:eastAsia="仿宋" w:cs="仿宋"/>
                <w:bCs/>
                <w:color w:val="auto"/>
                <w:sz w:val="21"/>
                <w:szCs w:val="21"/>
                <w:lang w:eastAsia="zh-CN"/>
              </w:rPr>
              <w:t>接受</w:t>
            </w:r>
            <w:r>
              <w:rPr>
                <w:rFonts w:hint="eastAsia" w:ascii="仿宋" w:hAnsi="仿宋" w:eastAsia="仿宋" w:cs="仿宋"/>
                <w:color w:val="auto"/>
                <w:sz w:val="21"/>
                <w:szCs w:val="21"/>
                <w:highlight w:val="none"/>
                <w:lang w:eastAsia="zh-CN"/>
              </w:rPr>
              <w:t>联合体投标。</w:t>
            </w:r>
          </w:p>
        </w:tc>
      </w:tr>
      <w:tr w14:paraId="01B41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1939" w:type="dxa"/>
            <w:tcBorders>
              <w:left w:val="double" w:color="auto" w:sz="4" w:space="0"/>
            </w:tcBorders>
            <w:vAlign w:val="center"/>
          </w:tcPr>
          <w:p w14:paraId="3C5B0040">
            <w:pPr>
              <w:keepNext w:val="0"/>
              <w:keepLines w:val="0"/>
              <w:pageBreakBefore w:val="0"/>
              <w:kinsoku/>
              <w:overflowPunct/>
              <w:topLinePunct w:val="0"/>
              <w:bidi w:val="0"/>
              <w:adjustRightInd w:val="0"/>
              <w:snapToGrid/>
              <w:spacing w:line="300" w:lineRule="auto"/>
              <w:jc w:val="center"/>
              <w:rPr>
                <w:rFonts w:hint="eastAsia" w:ascii="仿宋" w:hAnsi="仿宋" w:eastAsia="仿宋" w:cs="仿宋"/>
                <w:color w:val="auto"/>
                <w:szCs w:val="21"/>
              </w:rPr>
            </w:pPr>
            <w:r>
              <w:rPr>
                <w:rFonts w:hint="eastAsia" w:ascii="仿宋" w:hAnsi="仿宋" w:eastAsia="仿宋" w:cs="仿宋"/>
                <w:color w:val="auto"/>
                <w:szCs w:val="21"/>
              </w:rPr>
              <w:t>转包与分包</w:t>
            </w:r>
          </w:p>
        </w:tc>
        <w:tc>
          <w:tcPr>
            <w:tcW w:w="6961" w:type="dxa"/>
            <w:tcBorders>
              <w:right w:val="double" w:color="auto" w:sz="4" w:space="0"/>
            </w:tcBorders>
            <w:vAlign w:val="center"/>
          </w:tcPr>
          <w:p w14:paraId="6024B704">
            <w:pPr>
              <w:pStyle w:val="165"/>
              <w:widowControl/>
              <w:snapToGrid w:val="0"/>
              <w:spacing w:beforeLines="0" w:line="360" w:lineRule="auto"/>
              <w:ind w:left="0" w:leftChars="0" w:firstLine="0" w:firstLineChars="0"/>
              <w:jc w:val="left"/>
              <w:rPr>
                <w:rFonts w:hint="eastAsia" w:ascii="仿宋" w:hAnsi="仿宋" w:eastAsia="仿宋" w:cs="仿宋"/>
                <w:color w:val="auto"/>
                <w:sz w:val="21"/>
                <w:szCs w:val="21"/>
              </w:rPr>
            </w:pPr>
            <w:r>
              <w:rPr>
                <w:rFonts w:hint="eastAsia" w:ascii="仿宋" w:hAnsi="仿宋" w:eastAsia="仿宋" w:cs="仿宋"/>
                <w:color w:val="auto"/>
                <w:sz w:val="21"/>
                <w:szCs w:val="21"/>
              </w:rPr>
              <w:t>1.本项目不允许转包；</w:t>
            </w:r>
          </w:p>
          <w:p w14:paraId="558D32D6">
            <w:pPr>
              <w:pStyle w:val="165"/>
              <w:widowControl/>
              <w:snapToGrid w:val="0"/>
              <w:spacing w:beforeLines="0" w:line="360" w:lineRule="auto"/>
              <w:ind w:left="0" w:leftChars="0" w:firstLine="0" w:firstLineChars="0"/>
              <w:jc w:val="left"/>
              <w:rPr>
                <w:rFonts w:hint="eastAsia" w:ascii="仿宋" w:hAnsi="仿宋" w:eastAsia="仿宋" w:cs="仿宋"/>
                <w:color w:val="auto"/>
                <w:kern w:val="2"/>
                <w:sz w:val="21"/>
                <w:szCs w:val="21"/>
                <w:lang w:val="en-US" w:eastAsia="zh-CN"/>
              </w:rPr>
            </w:pPr>
            <w:r>
              <w:rPr>
                <w:rFonts w:hint="eastAsia" w:ascii="仿宋" w:hAnsi="仿宋" w:eastAsia="仿宋" w:cs="仿宋"/>
                <w:bCs/>
                <w:color w:val="auto"/>
                <w:sz w:val="21"/>
                <w:szCs w:val="21"/>
              </w:rPr>
              <w:t>2.本项目不允许分包。</w:t>
            </w:r>
          </w:p>
        </w:tc>
      </w:tr>
      <w:tr w14:paraId="4FCFA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39" w:type="dxa"/>
            <w:tcBorders>
              <w:left w:val="double" w:color="auto" w:sz="4" w:space="0"/>
            </w:tcBorders>
            <w:vAlign w:val="center"/>
          </w:tcPr>
          <w:p w14:paraId="3F27617D">
            <w:pPr>
              <w:keepNext w:val="0"/>
              <w:keepLines w:val="0"/>
              <w:pageBreakBefore w:val="0"/>
              <w:kinsoku/>
              <w:overflowPunct/>
              <w:topLinePunct w:val="0"/>
              <w:bidi w:val="0"/>
              <w:adjustRightInd w:val="0"/>
              <w:snapToGrid/>
              <w:spacing w:line="300" w:lineRule="auto"/>
              <w:jc w:val="center"/>
              <w:rPr>
                <w:rFonts w:hint="eastAsia" w:ascii="仿宋" w:hAnsi="仿宋" w:eastAsia="仿宋" w:cs="仿宋"/>
                <w:color w:val="auto"/>
                <w:szCs w:val="21"/>
              </w:rPr>
            </w:pPr>
            <w:r>
              <w:rPr>
                <w:rFonts w:hint="eastAsia" w:ascii="仿宋" w:hAnsi="仿宋" w:eastAsia="仿宋" w:cs="仿宋"/>
                <w:color w:val="auto"/>
                <w:szCs w:val="21"/>
              </w:rPr>
              <w:t>信用查询</w:t>
            </w:r>
          </w:p>
        </w:tc>
        <w:tc>
          <w:tcPr>
            <w:tcW w:w="6961" w:type="dxa"/>
            <w:tcBorders>
              <w:right w:val="double" w:color="auto" w:sz="4" w:space="0"/>
            </w:tcBorders>
            <w:vAlign w:val="center"/>
          </w:tcPr>
          <w:p w14:paraId="5B762DA3">
            <w:pPr>
              <w:pStyle w:val="165"/>
              <w:widowControl/>
              <w:snapToGrid w:val="0"/>
              <w:spacing w:beforeLines="0" w:line="360" w:lineRule="auto"/>
              <w:ind w:left="0" w:leftChars="0" w:firstLine="0" w:firstLineChars="0"/>
              <w:jc w:val="left"/>
              <w:rPr>
                <w:rFonts w:hint="eastAsia" w:ascii="仿宋" w:hAnsi="仿宋" w:eastAsia="仿宋" w:cs="仿宋"/>
                <w:bCs/>
                <w:color w:val="auto"/>
                <w:sz w:val="21"/>
                <w:szCs w:val="21"/>
              </w:rPr>
            </w:pPr>
            <w:r>
              <w:rPr>
                <w:rFonts w:hint="eastAsia" w:ascii="仿宋" w:hAnsi="仿宋" w:eastAsia="仿宋" w:cs="仿宋"/>
                <w:bCs/>
                <w:color w:val="auto"/>
                <w:sz w:val="21"/>
                <w:szCs w:val="21"/>
              </w:rPr>
              <w:t>根据《关于在政府采购活动中查询及使用信用记录有关问题的通知》财库[2016]125号的规定：</w:t>
            </w:r>
          </w:p>
          <w:p w14:paraId="30010B43">
            <w:pPr>
              <w:pStyle w:val="165"/>
              <w:widowControl/>
              <w:snapToGrid w:val="0"/>
              <w:spacing w:beforeLines="0" w:line="360" w:lineRule="auto"/>
              <w:ind w:left="0" w:leftChars="0" w:firstLine="0" w:firstLineChars="0"/>
              <w:jc w:val="left"/>
              <w:rPr>
                <w:rFonts w:hint="eastAsia" w:ascii="仿宋" w:hAnsi="仿宋" w:eastAsia="仿宋" w:cs="仿宋"/>
                <w:bCs/>
                <w:color w:val="auto"/>
                <w:sz w:val="21"/>
                <w:szCs w:val="21"/>
              </w:rPr>
            </w:pPr>
            <w:r>
              <w:rPr>
                <w:rFonts w:hint="eastAsia" w:ascii="仿宋" w:hAnsi="仿宋" w:eastAsia="仿宋" w:cs="仿宋"/>
                <w:bCs/>
                <w:color w:val="auto"/>
                <w:sz w:val="21"/>
                <w:szCs w:val="21"/>
              </w:rPr>
              <w:t>1）采购人或采购代理机构将对本项目投标人的信用记录进行查询。查询渠道为信用中国网站（www.creditchina.gov.cn）、中国政府采购网（www.ccgp.gov.cn）；</w:t>
            </w:r>
          </w:p>
          <w:p w14:paraId="264AC220">
            <w:pPr>
              <w:pStyle w:val="165"/>
              <w:widowControl/>
              <w:snapToGrid w:val="0"/>
              <w:spacing w:beforeLines="0" w:line="360" w:lineRule="auto"/>
              <w:ind w:left="0" w:leftChars="0" w:firstLine="0" w:firstLineChars="0"/>
              <w:jc w:val="left"/>
              <w:rPr>
                <w:rFonts w:hint="eastAsia" w:ascii="仿宋" w:hAnsi="仿宋" w:eastAsia="仿宋" w:cs="仿宋"/>
                <w:bCs/>
                <w:color w:val="auto"/>
                <w:sz w:val="21"/>
                <w:szCs w:val="21"/>
              </w:rPr>
            </w:pPr>
            <w:r>
              <w:rPr>
                <w:rFonts w:hint="eastAsia" w:ascii="仿宋" w:hAnsi="仿宋" w:eastAsia="仿宋" w:cs="仿宋"/>
                <w:bCs/>
                <w:color w:val="auto"/>
                <w:sz w:val="21"/>
                <w:szCs w:val="21"/>
              </w:rPr>
              <w:t>2）截止时点：提交投标文件（响应文件）截止时间前3年内；</w:t>
            </w:r>
          </w:p>
          <w:p w14:paraId="4B5006EE">
            <w:pPr>
              <w:pStyle w:val="165"/>
              <w:widowControl/>
              <w:snapToGrid w:val="0"/>
              <w:spacing w:beforeLines="0" w:line="360" w:lineRule="auto"/>
              <w:ind w:left="0" w:leftChars="0" w:firstLine="0" w:firstLineChars="0"/>
              <w:jc w:val="left"/>
              <w:rPr>
                <w:rFonts w:hint="eastAsia" w:ascii="仿宋" w:hAnsi="仿宋" w:eastAsia="仿宋" w:cs="仿宋"/>
                <w:bCs/>
                <w:color w:val="auto"/>
                <w:sz w:val="21"/>
                <w:szCs w:val="21"/>
                <w:lang w:val="en-US" w:eastAsia="zh-CN"/>
              </w:rPr>
            </w:pPr>
            <w:r>
              <w:rPr>
                <w:rFonts w:hint="eastAsia" w:ascii="仿宋" w:hAnsi="仿宋" w:eastAsia="仿宋" w:cs="仿宋"/>
                <w:bCs/>
                <w:color w:val="auto"/>
                <w:sz w:val="21"/>
                <w:szCs w:val="21"/>
              </w:rPr>
              <w:t>3）查询记录和证据的留存：信用信息查询记录和证据以网页截图等方式留存；</w:t>
            </w:r>
          </w:p>
          <w:p w14:paraId="31E370AB">
            <w:pPr>
              <w:pStyle w:val="165"/>
              <w:widowControl/>
              <w:snapToGrid w:val="0"/>
              <w:spacing w:beforeLines="0" w:line="360" w:lineRule="auto"/>
              <w:ind w:left="0" w:leftChars="0" w:firstLine="0" w:firstLineChars="0"/>
              <w:jc w:val="left"/>
              <w:rPr>
                <w:rFonts w:hint="eastAsia" w:ascii="仿宋" w:hAnsi="仿宋" w:eastAsia="仿宋" w:cs="仿宋"/>
                <w:bCs/>
                <w:color w:val="auto"/>
                <w:sz w:val="21"/>
                <w:szCs w:val="21"/>
              </w:rPr>
            </w:pPr>
            <w:r>
              <w:rPr>
                <w:rFonts w:hint="eastAsia" w:ascii="仿宋" w:hAnsi="仿宋" w:eastAsia="仿宋" w:cs="仿宋"/>
                <w:bCs/>
                <w:color w:val="auto"/>
                <w:sz w:val="21"/>
                <w:szCs w:val="21"/>
              </w:rPr>
              <w:t>4）使用规则：被列入失信被执行人、重大税收违法案件当事人名单、政府采购严重违法失信行为记录名单及其它不符合《中华人民共和国政府采购法》第二十二条规定条件的，其投标文件做无效文件处理；</w:t>
            </w:r>
          </w:p>
          <w:p w14:paraId="49D1DFBB">
            <w:pPr>
              <w:pStyle w:val="165"/>
              <w:widowControl/>
              <w:snapToGrid w:val="0"/>
              <w:spacing w:beforeLines="0" w:line="360" w:lineRule="auto"/>
              <w:ind w:left="0" w:leftChars="0" w:firstLine="0" w:firstLineChars="0"/>
              <w:jc w:val="left"/>
              <w:rPr>
                <w:rFonts w:hint="eastAsia" w:ascii="仿宋" w:hAnsi="仿宋" w:eastAsia="仿宋" w:cs="仿宋"/>
                <w:bCs/>
                <w:color w:val="auto"/>
                <w:sz w:val="21"/>
                <w:szCs w:val="21"/>
              </w:rPr>
            </w:pPr>
            <w:r>
              <w:rPr>
                <w:rFonts w:hint="eastAsia" w:ascii="仿宋" w:hAnsi="仿宋" w:eastAsia="仿宋" w:cs="仿宋"/>
                <w:bCs/>
                <w:color w:val="auto"/>
                <w:sz w:val="21"/>
                <w:szCs w:val="21"/>
              </w:rPr>
              <w:t>5）如允许联合体投标的，联合体成员任意一方存在不良信用记录的，视同联合体存在不良信用记录。</w:t>
            </w:r>
          </w:p>
        </w:tc>
      </w:tr>
      <w:tr w14:paraId="7836F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39" w:type="dxa"/>
            <w:tcBorders>
              <w:left w:val="double" w:color="auto" w:sz="4" w:space="0"/>
            </w:tcBorders>
            <w:vAlign w:val="center"/>
          </w:tcPr>
          <w:p w14:paraId="3C3BEAF6">
            <w:pPr>
              <w:keepNext w:val="0"/>
              <w:keepLines w:val="0"/>
              <w:pageBreakBefore w:val="0"/>
              <w:kinsoku/>
              <w:overflowPunct/>
              <w:topLinePunct w:val="0"/>
              <w:bidi w:val="0"/>
              <w:adjustRightInd w:val="0"/>
              <w:snapToGrid/>
              <w:spacing w:line="300" w:lineRule="auto"/>
              <w:jc w:val="center"/>
              <w:rPr>
                <w:rFonts w:hint="eastAsia" w:ascii="仿宋" w:hAnsi="仿宋" w:eastAsia="仿宋" w:cs="仿宋"/>
                <w:color w:val="auto"/>
                <w:szCs w:val="21"/>
              </w:rPr>
            </w:pPr>
            <w:r>
              <w:rPr>
                <w:rFonts w:hint="eastAsia" w:ascii="仿宋" w:hAnsi="仿宋" w:eastAsia="仿宋" w:cs="仿宋"/>
                <w:color w:val="auto"/>
                <w:szCs w:val="21"/>
              </w:rPr>
              <w:t>中标结果公告方式及期限</w:t>
            </w:r>
          </w:p>
        </w:tc>
        <w:tc>
          <w:tcPr>
            <w:tcW w:w="6961" w:type="dxa"/>
            <w:tcBorders>
              <w:right w:val="double" w:color="auto" w:sz="4" w:space="0"/>
            </w:tcBorders>
            <w:vAlign w:val="center"/>
          </w:tcPr>
          <w:p w14:paraId="1F1E52AC">
            <w:pPr>
              <w:pStyle w:val="165"/>
              <w:widowControl/>
              <w:snapToGrid w:val="0"/>
              <w:spacing w:beforeLines="0" w:line="360" w:lineRule="auto"/>
              <w:ind w:left="0" w:leftChars="0" w:firstLine="0" w:firstLineChars="0"/>
              <w:jc w:val="left"/>
              <w:rPr>
                <w:rFonts w:hint="eastAsia" w:ascii="仿宋" w:hAnsi="仿宋" w:eastAsia="仿宋" w:cs="仿宋"/>
                <w:bCs/>
                <w:color w:val="auto"/>
                <w:sz w:val="21"/>
                <w:szCs w:val="21"/>
              </w:rPr>
            </w:pPr>
            <w:r>
              <w:rPr>
                <w:rFonts w:hint="eastAsia" w:ascii="仿宋" w:hAnsi="仿宋" w:eastAsia="仿宋" w:cs="仿宋"/>
                <w:bCs/>
                <w:color w:val="auto"/>
                <w:sz w:val="21"/>
                <w:szCs w:val="21"/>
              </w:rPr>
              <w:t>在原招标公告发布媒体进行中标结果公告，公告期限为发布之日起至第2个工作日止。</w:t>
            </w:r>
          </w:p>
        </w:tc>
      </w:tr>
      <w:tr w14:paraId="737A9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39" w:type="dxa"/>
            <w:tcBorders>
              <w:left w:val="double" w:color="auto" w:sz="4" w:space="0"/>
            </w:tcBorders>
            <w:vAlign w:val="center"/>
          </w:tcPr>
          <w:p w14:paraId="0F5FA8C3">
            <w:pPr>
              <w:keepNext w:val="0"/>
              <w:keepLines w:val="0"/>
              <w:pageBreakBefore w:val="0"/>
              <w:kinsoku/>
              <w:overflowPunct/>
              <w:topLinePunct w:val="0"/>
              <w:bidi w:val="0"/>
              <w:adjustRightInd w:val="0"/>
              <w:snapToGrid/>
              <w:spacing w:line="300" w:lineRule="auto"/>
              <w:jc w:val="center"/>
              <w:rPr>
                <w:rFonts w:hint="eastAsia" w:ascii="仿宋" w:hAnsi="仿宋" w:eastAsia="仿宋" w:cs="仿宋"/>
                <w:color w:val="auto"/>
                <w:szCs w:val="21"/>
                <w:lang w:val="en-US" w:eastAsia="zh-CN"/>
              </w:rPr>
            </w:pPr>
            <w:r>
              <w:rPr>
                <w:rFonts w:hint="eastAsia" w:ascii="仿宋" w:hAnsi="仿宋" w:eastAsia="仿宋" w:cs="仿宋"/>
                <w:color w:val="auto"/>
                <w:szCs w:val="21"/>
              </w:rPr>
              <w:t>中标候选人数及中标人数</w:t>
            </w:r>
          </w:p>
        </w:tc>
        <w:tc>
          <w:tcPr>
            <w:tcW w:w="6961" w:type="dxa"/>
            <w:tcBorders>
              <w:right w:val="double" w:color="auto" w:sz="4" w:space="0"/>
            </w:tcBorders>
            <w:vAlign w:val="center"/>
          </w:tcPr>
          <w:p w14:paraId="0C19279D">
            <w:pPr>
              <w:pStyle w:val="165"/>
              <w:widowControl/>
              <w:snapToGrid w:val="0"/>
              <w:spacing w:beforeLines="0" w:line="360" w:lineRule="auto"/>
              <w:ind w:left="0" w:leftChars="0" w:firstLine="0" w:firstLineChars="0"/>
              <w:jc w:val="left"/>
              <w:rPr>
                <w:rFonts w:hint="eastAsia" w:ascii="仿宋" w:hAnsi="仿宋" w:eastAsia="仿宋" w:cs="仿宋"/>
                <w:bCs/>
                <w:color w:val="auto"/>
                <w:sz w:val="21"/>
                <w:szCs w:val="21"/>
                <w:lang w:val="en-US" w:eastAsia="zh-CN"/>
              </w:rPr>
            </w:pPr>
            <w:r>
              <w:rPr>
                <w:rFonts w:hint="eastAsia" w:ascii="仿宋" w:hAnsi="仿宋" w:eastAsia="仿宋" w:cs="仿宋"/>
                <w:bCs/>
                <w:color w:val="auto"/>
                <w:sz w:val="21"/>
                <w:szCs w:val="21"/>
              </w:rPr>
              <w:t>本次招标由评标委员会按综合得分由高到低排序推荐3名中标候选人，综合得分最高者为第一中标候选人，以此类推。采购单位根据评标委员会的推荐结果最终确认</w:t>
            </w:r>
            <w:r>
              <w:rPr>
                <w:rFonts w:hint="eastAsia" w:ascii="仿宋" w:hAnsi="仿宋" w:eastAsia="仿宋" w:cs="仿宋"/>
                <w:bCs/>
                <w:color w:val="auto"/>
                <w:sz w:val="21"/>
                <w:szCs w:val="21"/>
                <w:lang w:val="en-US" w:eastAsia="zh-CN"/>
              </w:rPr>
              <w:t>1</w:t>
            </w:r>
            <w:r>
              <w:rPr>
                <w:rFonts w:hint="eastAsia" w:ascii="仿宋" w:hAnsi="仿宋" w:eastAsia="仿宋" w:cs="仿宋"/>
                <w:bCs/>
                <w:color w:val="auto"/>
                <w:sz w:val="21"/>
                <w:szCs w:val="21"/>
              </w:rPr>
              <w:t>名中标人。</w:t>
            </w:r>
          </w:p>
        </w:tc>
      </w:tr>
      <w:tr w14:paraId="21750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39" w:type="dxa"/>
            <w:tcBorders>
              <w:left w:val="double" w:color="auto" w:sz="4" w:space="0"/>
            </w:tcBorders>
            <w:vAlign w:val="center"/>
          </w:tcPr>
          <w:p w14:paraId="64A93040">
            <w:pPr>
              <w:keepNext w:val="0"/>
              <w:keepLines w:val="0"/>
              <w:pageBreakBefore w:val="0"/>
              <w:kinsoku/>
              <w:overflowPunct/>
              <w:topLinePunct w:val="0"/>
              <w:bidi w:val="0"/>
              <w:adjustRightInd w:val="0"/>
              <w:snapToGrid/>
              <w:spacing w:line="300" w:lineRule="auto"/>
              <w:jc w:val="center"/>
              <w:rPr>
                <w:rFonts w:hint="eastAsia" w:ascii="仿宋" w:hAnsi="仿宋" w:eastAsia="仿宋" w:cs="仿宋"/>
                <w:color w:val="auto"/>
                <w:szCs w:val="21"/>
              </w:rPr>
            </w:pPr>
            <w:r>
              <w:rPr>
                <w:rFonts w:hint="eastAsia" w:ascii="仿宋" w:hAnsi="仿宋" w:eastAsia="仿宋" w:cs="仿宋"/>
                <w:color w:val="auto"/>
                <w:szCs w:val="21"/>
              </w:rPr>
              <w:t>签订合同</w:t>
            </w:r>
          </w:p>
        </w:tc>
        <w:tc>
          <w:tcPr>
            <w:tcW w:w="6961" w:type="dxa"/>
            <w:tcBorders>
              <w:right w:val="double" w:color="auto" w:sz="4" w:space="0"/>
            </w:tcBorders>
            <w:vAlign w:val="center"/>
          </w:tcPr>
          <w:p w14:paraId="720D2F18">
            <w:pPr>
              <w:pStyle w:val="165"/>
              <w:widowControl/>
              <w:snapToGrid w:val="0"/>
              <w:spacing w:beforeLines="0" w:line="360" w:lineRule="auto"/>
              <w:ind w:left="0" w:leftChars="0" w:firstLine="0" w:firstLineChars="0"/>
              <w:jc w:val="left"/>
              <w:rPr>
                <w:rFonts w:hint="eastAsia" w:ascii="仿宋" w:hAnsi="仿宋" w:eastAsia="仿宋" w:cs="仿宋"/>
                <w:bCs/>
                <w:color w:val="auto"/>
                <w:sz w:val="21"/>
                <w:szCs w:val="21"/>
              </w:rPr>
            </w:pPr>
            <w:r>
              <w:rPr>
                <w:rFonts w:hint="eastAsia" w:ascii="仿宋" w:hAnsi="仿宋" w:eastAsia="仿宋" w:cs="仿宋"/>
                <w:bCs/>
                <w:color w:val="auto"/>
                <w:sz w:val="21"/>
                <w:szCs w:val="21"/>
              </w:rPr>
              <w:t>采购人与</w:t>
            </w:r>
            <w:r>
              <w:rPr>
                <w:rFonts w:hint="eastAsia" w:ascii="仿宋" w:hAnsi="仿宋" w:eastAsia="仿宋" w:cs="仿宋"/>
                <w:bCs/>
                <w:color w:val="auto"/>
                <w:sz w:val="21"/>
                <w:szCs w:val="21"/>
                <w:lang w:eastAsia="zh-CN"/>
              </w:rPr>
              <w:t>中标人</w:t>
            </w:r>
            <w:r>
              <w:rPr>
                <w:rFonts w:hint="eastAsia" w:ascii="仿宋" w:hAnsi="仿宋" w:eastAsia="仿宋" w:cs="仿宋"/>
                <w:bCs/>
                <w:color w:val="auto"/>
                <w:sz w:val="21"/>
                <w:szCs w:val="21"/>
              </w:rPr>
              <w:t>应当在中标（成交）通知书发出之日起三十日内，按照采购文件确定的事项及投标文件承诺签订政府采购合同。</w:t>
            </w:r>
          </w:p>
        </w:tc>
      </w:tr>
      <w:tr w14:paraId="60C59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39" w:type="dxa"/>
            <w:tcBorders>
              <w:left w:val="double" w:color="auto" w:sz="4" w:space="0"/>
            </w:tcBorders>
            <w:vAlign w:val="center"/>
          </w:tcPr>
          <w:p w14:paraId="34C86298">
            <w:pPr>
              <w:keepNext w:val="0"/>
              <w:keepLines w:val="0"/>
              <w:pageBreakBefore w:val="0"/>
              <w:kinsoku/>
              <w:overflowPunct/>
              <w:topLinePunct w:val="0"/>
              <w:bidi w:val="0"/>
              <w:adjustRightInd w:val="0"/>
              <w:snapToGrid/>
              <w:spacing w:line="30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履约保证金</w:t>
            </w:r>
          </w:p>
        </w:tc>
        <w:tc>
          <w:tcPr>
            <w:tcW w:w="6961" w:type="dxa"/>
            <w:tcBorders>
              <w:right w:val="double" w:color="auto" w:sz="4" w:space="0"/>
            </w:tcBorders>
            <w:vAlign w:val="center"/>
          </w:tcPr>
          <w:p w14:paraId="1940E168">
            <w:pPr>
              <w:keepNext w:val="0"/>
              <w:keepLines w:val="0"/>
              <w:pageBreakBefore w:val="0"/>
              <w:kinsoku/>
              <w:overflowPunct/>
              <w:topLinePunct w:val="0"/>
              <w:bidi w:val="0"/>
              <w:adjustRightInd w:val="0"/>
              <w:snapToGrid/>
              <w:spacing w:line="300" w:lineRule="auto"/>
              <w:jc w:val="left"/>
              <w:rPr>
                <w:rFonts w:hint="eastAsia" w:ascii="仿宋" w:hAnsi="仿宋" w:eastAsia="仿宋" w:cs="仿宋"/>
                <w:bCs/>
                <w:color w:val="auto"/>
                <w:sz w:val="21"/>
                <w:szCs w:val="21"/>
                <w:highlight w:val="none"/>
                <w:lang w:eastAsia="zh-CN"/>
              </w:rPr>
            </w:pPr>
            <w:r>
              <w:rPr>
                <w:rFonts w:hint="eastAsia" w:ascii="仿宋" w:hAnsi="仿宋" w:eastAsia="仿宋" w:cs="仿宋"/>
                <w:bCs/>
                <w:color w:val="auto"/>
                <w:sz w:val="21"/>
                <w:szCs w:val="21"/>
                <w:highlight w:val="none"/>
              </w:rPr>
              <w:t>本项目</w:t>
            </w:r>
            <w:r>
              <w:rPr>
                <w:rFonts w:hint="eastAsia" w:ascii="仿宋" w:hAnsi="仿宋" w:eastAsia="仿宋" w:cs="仿宋"/>
                <w:bCs/>
                <w:color w:val="auto"/>
                <w:sz w:val="21"/>
                <w:szCs w:val="21"/>
                <w:highlight w:val="none"/>
                <w:lang w:eastAsia="zh-CN"/>
              </w:rPr>
              <w:t>无需缴纳</w:t>
            </w:r>
            <w:r>
              <w:rPr>
                <w:rFonts w:hint="eastAsia" w:ascii="仿宋" w:hAnsi="仿宋" w:eastAsia="仿宋" w:cs="仿宋"/>
                <w:bCs/>
                <w:color w:val="auto"/>
                <w:sz w:val="21"/>
                <w:szCs w:val="21"/>
                <w:highlight w:val="none"/>
              </w:rPr>
              <w:t>履约保证金。</w:t>
            </w:r>
          </w:p>
        </w:tc>
      </w:tr>
      <w:tr w14:paraId="098B0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39" w:type="dxa"/>
            <w:tcBorders>
              <w:left w:val="double" w:color="auto" w:sz="4" w:space="0"/>
            </w:tcBorders>
            <w:vAlign w:val="center"/>
          </w:tcPr>
          <w:p w14:paraId="164A3058">
            <w:pPr>
              <w:keepNext w:val="0"/>
              <w:keepLines w:val="0"/>
              <w:pageBreakBefore w:val="0"/>
              <w:kinsoku/>
              <w:overflowPunct/>
              <w:topLinePunct w:val="0"/>
              <w:bidi w:val="0"/>
              <w:adjustRightInd w:val="0"/>
              <w:snapToGrid/>
              <w:spacing w:line="300" w:lineRule="auto"/>
              <w:jc w:val="center"/>
              <w:rPr>
                <w:rFonts w:hint="eastAsia" w:ascii="仿宋" w:hAnsi="仿宋" w:eastAsia="仿宋" w:cs="仿宋"/>
                <w:color w:val="auto"/>
                <w:szCs w:val="21"/>
              </w:rPr>
            </w:pPr>
            <w:r>
              <w:rPr>
                <w:rFonts w:hint="eastAsia" w:ascii="仿宋" w:hAnsi="仿宋" w:eastAsia="仿宋" w:cs="仿宋"/>
                <w:color w:val="auto"/>
                <w:szCs w:val="21"/>
              </w:rPr>
              <w:t>招标公告、答疑澄清公告及中标结果公告发布媒体</w:t>
            </w:r>
          </w:p>
        </w:tc>
        <w:tc>
          <w:tcPr>
            <w:tcW w:w="6961" w:type="dxa"/>
            <w:tcBorders>
              <w:right w:val="double" w:color="auto" w:sz="4" w:space="0"/>
            </w:tcBorders>
            <w:vAlign w:val="center"/>
          </w:tcPr>
          <w:p w14:paraId="0883C877">
            <w:pPr>
              <w:keepNext w:val="0"/>
              <w:keepLines w:val="0"/>
              <w:pageBreakBefore w:val="0"/>
              <w:kinsoku/>
              <w:wordWrap/>
              <w:overflowPunct/>
              <w:topLinePunct w:val="0"/>
              <w:bidi w:val="0"/>
              <w:adjustRightInd/>
              <w:snapToGrid/>
              <w:spacing w:line="360" w:lineRule="auto"/>
              <w:jc w:val="left"/>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浙江政府采购网</w:t>
            </w:r>
            <w:r>
              <w:rPr>
                <w:rFonts w:hint="eastAsia" w:ascii="仿宋" w:hAnsi="仿宋" w:eastAsia="仿宋" w:cs="仿宋"/>
                <w:color w:val="auto"/>
                <w:szCs w:val="21"/>
                <w:highlight w:val="none"/>
                <w:lang w:eastAsia="zh-CN"/>
              </w:rPr>
              <w:fldChar w:fldCharType="begin"/>
            </w:r>
            <w:r>
              <w:rPr>
                <w:rFonts w:hint="eastAsia" w:ascii="仿宋" w:hAnsi="仿宋" w:eastAsia="仿宋" w:cs="仿宋"/>
                <w:color w:val="auto"/>
                <w:szCs w:val="21"/>
                <w:highlight w:val="none"/>
                <w:lang w:eastAsia="zh-CN"/>
              </w:rPr>
              <w:instrText xml:space="preserve"> HYPERLINK "http://www.zjzfcg.gov.cn/new/" </w:instrText>
            </w:r>
            <w:r>
              <w:rPr>
                <w:rFonts w:hint="eastAsia" w:ascii="仿宋" w:hAnsi="仿宋" w:eastAsia="仿宋" w:cs="仿宋"/>
                <w:color w:val="auto"/>
                <w:szCs w:val="21"/>
                <w:highlight w:val="none"/>
                <w:lang w:eastAsia="zh-CN"/>
              </w:rPr>
              <w:fldChar w:fldCharType="separate"/>
            </w:r>
            <w:r>
              <w:rPr>
                <w:rFonts w:hint="eastAsia" w:ascii="仿宋" w:hAnsi="仿宋" w:eastAsia="仿宋" w:cs="仿宋"/>
                <w:color w:val="auto"/>
                <w:szCs w:val="21"/>
                <w:highlight w:val="none"/>
                <w:lang w:eastAsia="zh-CN"/>
              </w:rPr>
              <w:t>http://</w:t>
            </w:r>
            <w:bookmarkStart w:id="13" w:name="_Hlt522530785"/>
            <w:bookmarkStart w:id="14" w:name="_Hlt522530784"/>
            <w:r>
              <w:rPr>
                <w:rFonts w:hint="eastAsia" w:ascii="仿宋" w:hAnsi="仿宋" w:eastAsia="仿宋" w:cs="仿宋"/>
                <w:color w:val="auto"/>
                <w:szCs w:val="21"/>
                <w:highlight w:val="none"/>
                <w:lang w:eastAsia="zh-CN"/>
              </w:rPr>
              <w:t>w</w:t>
            </w:r>
            <w:bookmarkEnd w:id="13"/>
            <w:bookmarkEnd w:id="14"/>
            <w:r>
              <w:rPr>
                <w:rFonts w:hint="eastAsia" w:ascii="仿宋" w:hAnsi="仿宋" w:eastAsia="仿宋" w:cs="仿宋"/>
                <w:color w:val="auto"/>
                <w:szCs w:val="21"/>
                <w:highlight w:val="none"/>
                <w:lang w:eastAsia="zh-CN"/>
              </w:rPr>
              <w:t>ww.zjzfcg.gov.cn/new/</w:t>
            </w:r>
            <w:r>
              <w:rPr>
                <w:rFonts w:hint="eastAsia" w:ascii="仿宋" w:hAnsi="仿宋" w:eastAsia="仿宋" w:cs="仿宋"/>
                <w:color w:val="auto"/>
                <w:szCs w:val="21"/>
                <w:highlight w:val="none"/>
                <w:lang w:eastAsia="zh-CN"/>
              </w:rPr>
              <w:fldChar w:fldCharType="end"/>
            </w:r>
          </w:p>
          <w:p w14:paraId="25B36B2C">
            <w:pPr>
              <w:pStyle w:val="165"/>
              <w:widowControl/>
              <w:snapToGrid w:val="0"/>
              <w:spacing w:beforeLines="0" w:line="360" w:lineRule="auto"/>
              <w:ind w:left="0" w:leftChars="0" w:firstLine="0" w:firstLineChars="0"/>
              <w:jc w:val="left"/>
              <w:rPr>
                <w:rFonts w:hint="eastAsia" w:ascii="仿宋" w:hAnsi="仿宋" w:eastAsia="仿宋" w:cs="仿宋"/>
                <w:color w:val="auto"/>
                <w:sz w:val="21"/>
                <w:szCs w:val="21"/>
              </w:rPr>
            </w:pPr>
            <w:r>
              <w:rPr>
                <w:rFonts w:hint="eastAsia" w:ascii="仿宋" w:hAnsi="仿宋" w:eastAsia="仿宋" w:cs="仿宋"/>
                <w:color w:val="auto"/>
                <w:szCs w:val="21"/>
                <w:highlight w:val="none"/>
                <w:lang w:eastAsia="zh-CN"/>
              </w:rPr>
              <w:t>常山县</w:t>
            </w:r>
            <w:r>
              <w:rPr>
                <w:rFonts w:hint="eastAsia" w:ascii="仿宋" w:hAnsi="仿宋" w:eastAsia="仿宋" w:cs="仿宋"/>
                <w:bCs/>
                <w:color w:val="auto"/>
                <w:sz w:val="21"/>
                <w:szCs w:val="21"/>
                <w:lang w:eastAsia="zh-CN"/>
              </w:rPr>
              <w:t>政府</w:t>
            </w:r>
            <w:r>
              <w:rPr>
                <w:rFonts w:hint="eastAsia" w:ascii="仿宋" w:hAnsi="仿宋" w:eastAsia="仿宋" w:cs="仿宋"/>
                <w:color w:val="auto"/>
                <w:szCs w:val="21"/>
                <w:highlight w:val="none"/>
                <w:lang w:eastAsia="zh-CN"/>
              </w:rPr>
              <w:t>网http://www.zjcs.gov.cn/col/col1229635770/index.html</w:t>
            </w:r>
          </w:p>
        </w:tc>
      </w:tr>
      <w:tr w14:paraId="78AB6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1939" w:type="dxa"/>
            <w:tcBorders>
              <w:left w:val="double" w:color="auto" w:sz="4" w:space="0"/>
            </w:tcBorders>
            <w:vAlign w:val="center"/>
          </w:tcPr>
          <w:p w14:paraId="48F5BE9F">
            <w:pPr>
              <w:keepNext w:val="0"/>
              <w:keepLines w:val="0"/>
              <w:pageBreakBefore w:val="0"/>
              <w:kinsoku/>
              <w:overflowPunct/>
              <w:topLinePunct w:val="0"/>
              <w:bidi w:val="0"/>
              <w:adjustRightInd w:val="0"/>
              <w:snapToGrid/>
              <w:spacing w:line="300" w:lineRule="auto"/>
              <w:jc w:val="center"/>
              <w:rPr>
                <w:rFonts w:hint="eastAsia" w:ascii="仿宋" w:hAnsi="仿宋" w:eastAsia="仿宋" w:cs="仿宋"/>
                <w:color w:val="auto"/>
                <w:szCs w:val="21"/>
              </w:rPr>
            </w:pPr>
            <w:r>
              <w:rPr>
                <w:rFonts w:hint="eastAsia" w:ascii="仿宋" w:hAnsi="仿宋" w:eastAsia="仿宋" w:cs="仿宋"/>
                <w:color w:val="auto"/>
                <w:szCs w:val="21"/>
              </w:rPr>
              <w:t>解释权</w:t>
            </w:r>
          </w:p>
        </w:tc>
        <w:tc>
          <w:tcPr>
            <w:tcW w:w="6961" w:type="dxa"/>
            <w:tcBorders>
              <w:right w:val="double" w:color="auto" w:sz="4" w:space="0"/>
            </w:tcBorders>
            <w:vAlign w:val="center"/>
          </w:tcPr>
          <w:p w14:paraId="2BD623F1">
            <w:pPr>
              <w:pStyle w:val="165"/>
              <w:widowControl/>
              <w:snapToGrid w:val="0"/>
              <w:spacing w:beforeLines="0" w:line="360" w:lineRule="auto"/>
              <w:ind w:left="0" w:leftChars="0" w:firstLine="0" w:firstLineChars="0"/>
              <w:jc w:val="left"/>
              <w:rPr>
                <w:rFonts w:hint="eastAsia" w:ascii="仿宋" w:hAnsi="仿宋" w:eastAsia="仿宋" w:cs="仿宋"/>
                <w:bCs/>
                <w:color w:val="auto"/>
                <w:sz w:val="21"/>
                <w:szCs w:val="21"/>
              </w:rPr>
            </w:pPr>
            <w:r>
              <w:rPr>
                <w:rFonts w:hint="eastAsia" w:ascii="仿宋" w:hAnsi="仿宋" w:eastAsia="仿宋" w:cs="仿宋"/>
                <w:bCs/>
                <w:color w:val="auto"/>
                <w:sz w:val="21"/>
                <w:szCs w:val="21"/>
              </w:rPr>
              <w:t>构成本采购文件的各个组成文件应互为解释，互为说明；如有不明确或不一致的，按以下约定处理：</w:t>
            </w:r>
          </w:p>
          <w:p w14:paraId="20249721">
            <w:pPr>
              <w:pStyle w:val="165"/>
              <w:widowControl/>
              <w:snapToGrid w:val="0"/>
              <w:spacing w:beforeLines="0" w:line="360" w:lineRule="auto"/>
              <w:ind w:left="0" w:leftChars="0" w:firstLine="0" w:firstLineChars="0"/>
              <w:jc w:val="left"/>
              <w:rPr>
                <w:rFonts w:hint="eastAsia" w:ascii="仿宋" w:hAnsi="仿宋" w:eastAsia="仿宋" w:cs="仿宋"/>
                <w:bCs/>
                <w:color w:val="auto"/>
                <w:sz w:val="21"/>
                <w:szCs w:val="21"/>
              </w:rPr>
            </w:pPr>
            <w:r>
              <w:rPr>
                <w:rFonts w:hint="eastAsia" w:ascii="仿宋" w:hAnsi="仿宋" w:eastAsia="仿宋" w:cs="仿宋"/>
                <w:bCs/>
                <w:color w:val="auto"/>
                <w:sz w:val="21"/>
                <w:szCs w:val="21"/>
              </w:rPr>
              <w:t>1.仅适用于招标投标阶段的约定，按招标公告、投标人须知、评标办法、投标文件格式的先后顺序解释；同一文件中就同一事项的约定不一致的，以逻辑顺序在后者为准；同一文件不同版本之间有不一致的，以形成时间在后者为准。</w:t>
            </w:r>
          </w:p>
          <w:p w14:paraId="3F4386C1">
            <w:pPr>
              <w:pStyle w:val="165"/>
              <w:widowControl/>
              <w:snapToGrid w:val="0"/>
              <w:spacing w:beforeLines="0" w:line="360" w:lineRule="auto"/>
              <w:ind w:left="0" w:leftChars="0" w:firstLine="0" w:firstLineChars="0"/>
              <w:jc w:val="left"/>
              <w:rPr>
                <w:rFonts w:hint="eastAsia" w:ascii="仿宋" w:hAnsi="仿宋" w:eastAsia="仿宋" w:cs="仿宋"/>
                <w:bCs/>
                <w:color w:val="auto"/>
                <w:sz w:val="21"/>
                <w:szCs w:val="21"/>
              </w:rPr>
            </w:pPr>
            <w:r>
              <w:rPr>
                <w:rFonts w:hint="eastAsia" w:ascii="仿宋" w:hAnsi="仿宋" w:eastAsia="仿宋" w:cs="仿宋"/>
                <w:bCs/>
                <w:color w:val="auto"/>
                <w:sz w:val="21"/>
                <w:szCs w:val="21"/>
              </w:rPr>
              <w:t>2.构成合同文件组成内容的，以合同文件约定内容为准，且以专用合同条款约定的合同文件优先顺序解释。</w:t>
            </w:r>
          </w:p>
          <w:p w14:paraId="084AD487">
            <w:pPr>
              <w:pStyle w:val="165"/>
              <w:widowControl/>
              <w:snapToGrid w:val="0"/>
              <w:spacing w:beforeLines="0" w:line="360" w:lineRule="auto"/>
              <w:ind w:left="0" w:leftChars="0" w:firstLine="0" w:firstLineChars="0"/>
              <w:jc w:val="left"/>
              <w:rPr>
                <w:rFonts w:hint="eastAsia" w:ascii="仿宋" w:hAnsi="仿宋" w:eastAsia="仿宋" w:cs="仿宋"/>
                <w:b/>
                <w:bCs/>
                <w:color w:val="auto"/>
                <w:kern w:val="2"/>
                <w:sz w:val="21"/>
                <w:szCs w:val="21"/>
              </w:rPr>
            </w:pPr>
            <w:r>
              <w:rPr>
                <w:rFonts w:hint="eastAsia" w:ascii="仿宋" w:hAnsi="仿宋" w:eastAsia="仿宋" w:cs="仿宋"/>
                <w:bCs/>
                <w:color w:val="auto"/>
                <w:sz w:val="21"/>
                <w:szCs w:val="21"/>
              </w:rPr>
              <w:t>3.按前述</w:t>
            </w:r>
            <w:r>
              <w:rPr>
                <w:rFonts w:hint="eastAsia" w:ascii="仿宋" w:hAnsi="仿宋" w:eastAsia="仿宋" w:cs="仿宋"/>
                <w:color w:val="auto"/>
                <w:szCs w:val="21"/>
              </w:rPr>
              <w:t>约定</w:t>
            </w:r>
            <w:r>
              <w:rPr>
                <w:rFonts w:hint="eastAsia" w:ascii="仿宋" w:hAnsi="仿宋" w:eastAsia="仿宋" w:cs="仿宋"/>
                <w:bCs/>
                <w:color w:val="auto"/>
                <w:sz w:val="21"/>
                <w:szCs w:val="21"/>
              </w:rPr>
              <w:t>仍不能形成结论的，由采购人负责解释。</w:t>
            </w:r>
          </w:p>
        </w:tc>
      </w:tr>
      <w:tr w14:paraId="0E2B8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1939" w:type="dxa"/>
            <w:tcBorders>
              <w:left w:val="double" w:color="auto" w:sz="4" w:space="0"/>
            </w:tcBorders>
            <w:vAlign w:val="center"/>
          </w:tcPr>
          <w:p w14:paraId="72F38CF4">
            <w:pPr>
              <w:keepNext w:val="0"/>
              <w:keepLines w:val="0"/>
              <w:pageBreakBefore w:val="0"/>
              <w:kinsoku/>
              <w:overflowPunct/>
              <w:topLinePunct w:val="0"/>
              <w:bidi w:val="0"/>
              <w:adjustRightInd w:val="0"/>
              <w:snapToGrid/>
              <w:spacing w:line="300" w:lineRule="auto"/>
              <w:jc w:val="center"/>
              <w:rPr>
                <w:rFonts w:hint="eastAsia" w:ascii="仿宋" w:hAnsi="仿宋" w:eastAsia="仿宋" w:cs="仿宋"/>
                <w:color w:val="auto"/>
                <w:szCs w:val="21"/>
                <w:lang w:val="en-US" w:eastAsia="zh-CN"/>
              </w:rPr>
            </w:pPr>
            <w:r>
              <w:rPr>
                <w:rFonts w:hint="eastAsia" w:ascii="仿宋" w:hAnsi="仿宋" w:eastAsia="仿宋" w:cs="仿宋"/>
                <w:color w:val="auto"/>
                <w:szCs w:val="21"/>
              </w:rPr>
              <w:t>注意事项</w:t>
            </w:r>
          </w:p>
        </w:tc>
        <w:tc>
          <w:tcPr>
            <w:tcW w:w="6961" w:type="dxa"/>
            <w:tcBorders>
              <w:right w:val="double" w:color="auto" w:sz="4" w:space="0"/>
            </w:tcBorders>
            <w:vAlign w:val="center"/>
          </w:tcPr>
          <w:p w14:paraId="31B9AEB4">
            <w:pPr>
              <w:spacing w:line="360" w:lineRule="exact"/>
              <w:jc w:val="left"/>
              <w:textAlignment w:val="baseline"/>
              <w:rPr>
                <w:rFonts w:hint="eastAsia" w:ascii="仿宋" w:hAnsi="仿宋" w:eastAsia="仿宋" w:cs="仿宋"/>
                <w:b/>
                <w:bCs/>
                <w:color w:val="auto"/>
                <w:kern w:val="2"/>
                <w:sz w:val="20"/>
                <w:szCs w:val="24"/>
                <w:highlight w:val="none"/>
                <w:lang w:val="en-US" w:eastAsia="zh-CN" w:bidi="ar-SA"/>
              </w:rPr>
            </w:pPr>
            <w:r>
              <w:rPr>
                <w:rFonts w:hint="eastAsia" w:ascii="仿宋" w:hAnsi="仿宋" w:eastAsia="仿宋" w:cs="仿宋"/>
                <w:b/>
                <w:bCs/>
                <w:color w:val="auto"/>
                <w:highlight w:val="none"/>
              </w:rPr>
              <w:t>由于本项目为电子标，</w:t>
            </w:r>
            <w:r>
              <w:rPr>
                <w:rFonts w:hint="eastAsia" w:ascii="仿宋" w:hAnsi="仿宋" w:eastAsia="仿宋" w:cs="仿宋"/>
                <w:b/>
                <w:bCs/>
                <w:color w:val="auto"/>
                <w:highlight w:val="none"/>
                <w:lang w:eastAsia="zh-CN"/>
              </w:rPr>
              <w:t>投标人</w:t>
            </w:r>
            <w:r>
              <w:rPr>
                <w:rFonts w:hint="eastAsia" w:ascii="仿宋" w:hAnsi="仿宋" w:eastAsia="仿宋" w:cs="仿宋"/>
                <w:b/>
                <w:bCs/>
                <w:color w:val="auto"/>
                <w:highlight w:val="none"/>
              </w:rPr>
              <w:t>的法定代表人（或其委托代理人）无需出席开标现场会议，均应当准时在线参加</w:t>
            </w:r>
            <w:r>
              <w:rPr>
                <w:rFonts w:hint="eastAsia" w:ascii="仿宋" w:hAnsi="仿宋" w:eastAsia="仿宋" w:cs="仿宋"/>
                <w:b/>
                <w:bCs/>
                <w:color w:val="auto"/>
                <w:highlight w:val="none"/>
                <w:lang w:val="zh-CN"/>
              </w:rPr>
              <w:t>，直至评审结束，且保证采购代理机构能够随时与其代表人取得联系。</w:t>
            </w:r>
          </w:p>
        </w:tc>
      </w:tr>
      <w:tr w14:paraId="2ABF0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1939" w:type="dxa"/>
            <w:tcBorders>
              <w:left w:val="double" w:color="auto" w:sz="4" w:space="0"/>
            </w:tcBorders>
            <w:vAlign w:val="center"/>
          </w:tcPr>
          <w:p w14:paraId="758FBE16">
            <w:pPr>
              <w:keepNext w:val="0"/>
              <w:keepLines w:val="0"/>
              <w:pageBreakBefore w:val="0"/>
              <w:kinsoku/>
              <w:overflowPunct/>
              <w:topLinePunct w:val="0"/>
              <w:bidi w:val="0"/>
              <w:adjustRightInd w:val="0"/>
              <w:snapToGrid/>
              <w:spacing w:line="300" w:lineRule="auto"/>
              <w:jc w:val="center"/>
              <w:rPr>
                <w:rFonts w:hint="eastAsia" w:ascii="仿宋" w:hAnsi="仿宋" w:eastAsia="仿宋" w:cs="仿宋"/>
                <w:color w:val="auto"/>
                <w:szCs w:val="21"/>
                <w:lang w:val="en-US" w:eastAsia="zh-CN"/>
              </w:rPr>
            </w:pPr>
            <w:r>
              <w:rPr>
                <w:rFonts w:hint="eastAsia" w:ascii="仿宋" w:hAnsi="仿宋" w:eastAsia="仿宋" w:cs="仿宋"/>
                <w:color w:val="auto"/>
                <w:szCs w:val="21"/>
              </w:rPr>
              <w:t>服务费</w:t>
            </w:r>
          </w:p>
        </w:tc>
        <w:tc>
          <w:tcPr>
            <w:tcW w:w="6961" w:type="dxa"/>
            <w:tcBorders>
              <w:right w:val="double" w:color="auto" w:sz="4" w:space="0"/>
            </w:tcBorders>
            <w:vAlign w:val="center"/>
          </w:tcPr>
          <w:p w14:paraId="371AA194">
            <w:pPr>
              <w:spacing w:line="360" w:lineRule="exact"/>
              <w:jc w:val="left"/>
              <w:textAlignment w:val="baseline"/>
              <w:rPr>
                <w:rFonts w:hint="eastAsia" w:ascii="仿宋" w:hAnsi="仿宋" w:eastAsia="仿宋" w:cs="仿宋"/>
                <w:b/>
                <w:bCs/>
                <w:color w:val="auto"/>
                <w:highlight w:val="none"/>
              </w:rPr>
            </w:pPr>
            <w:r>
              <w:rPr>
                <w:rFonts w:hint="eastAsia" w:ascii="仿宋" w:hAnsi="仿宋" w:eastAsia="仿宋" w:cs="仿宋"/>
                <w:b/>
                <w:bCs/>
                <w:color w:val="auto"/>
                <w:highlight w:val="none"/>
              </w:rPr>
              <w:t>本项目采购代理服务费参照国家计委关于印发《招标代理服务费管理暂行办法》的通知（计价格【2002】1980号）规定的“</w:t>
            </w:r>
            <w:r>
              <w:rPr>
                <w:rFonts w:hint="eastAsia" w:ascii="仿宋" w:hAnsi="仿宋" w:eastAsia="仿宋" w:cs="仿宋"/>
                <w:b/>
                <w:bCs/>
                <w:color w:val="auto"/>
                <w:highlight w:val="none"/>
                <w:lang w:eastAsia="zh-CN"/>
              </w:rPr>
              <w:t>服务</w:t>
            </w:r>
            <w:r>
              <w:rPr>
                <w:rFonts w:hint="eastAsia" w:ascii="仿宋" w:hAnsi="仿宋" w:eastAsia="仿宋" w:cs="仿宋"/>
                <w:b/>
                <w:bCs/>
                <w:color w:val="auto"/>
                <w:highlight w:val="none"/>
              </w:rPr>
              <w:t>招标”收费标准按差额定率累进法计算，计费基数为成交价；各投标人在投标报价时自行考虑在投标报价中，由中标人在领取中标通知书前一次性支付给代理机构。</w:t>
            </w:r>
          </w:p>
          <w:p w14:paraId="07541469">
            <w:pPr>
              <w:spacing w:line="360" w:lineRule="exact"/>
              <w:jc w:val="center"/>
              <w:textAlignment w:val="baseline"/>
              <w:rPr>
                <w:rFonts w:hint="eastAsia" w:ascii="仿宋" w:hAnsi="仿宋" w:eastAsia="仿宋" w:cs="仿宋"/>
                <w:b/>
                <w:bCs/>
                <w:color w:val="auto"/>
                <w:highlight w:val="none"/>
                <w:lang w:val="en-US" w:eastAsia="zh-CN"/>
              </w:rPr>
            </w:pPr>
            <w:r>
              <w:rPr>
                <w:rFonts w:hint="eastAsia" w:ascii="仿宋" w:hAnsi="仿宋" w:eastAsia="仿宋" w:cs="仿宋"/>
                <w:b/>
                <w:bCs/>
                <w:color w:val="auto"/>
                <w:highlight w:val="none"/>
                <w:lang w:val="en-US" w:eastAsia="zh-CN"/>
              </w:rPr>
              <w:t>《招标代理服务费管理暂行办法》的通知规定的收费标准</w:t>
            </w:r>
          </w:p>
          <w:tbl>
            <w:tblPr>
              <w:tblStyle w:val="50"/>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92"/>
              <w:gridCol w:w="2293"/>
              <w:gridCol w:w="2280"/>
            </w:tblGrid>
            <w:tr w14:paraId="7CBE66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92" w:type="dxa"/>
                  <w:noWrap w:val="0"/>
                  <w:vAlign w:val="top"/>
                </w:tcPr>
                <w:p w14:paraId="55F1E523">
                  <w:pPr>
                    <w:snapToGrid w:val="0"/>
                    <w:spacing w:before="100" w:beforeAutospacing="1" w:after="100" w:afterAutospacing="1" w:line="276" w:lineRule="auto"/>
                    <w:jc w:val="center"/>
                    <w:rPr>
                      <w:rFonts w:hint="eastAsia" w:ascii="仿宋" w:hAnsi="仿宋" w:eastAsia="仿宋" w:cs="仿宋"/>
                      <w:b/>
                      <w:bCs/>
                      <w:color w:val="auto"/>
                      <w:szCs w:val="21"/>
                    </w:rPr>
                  </w:pPr>
                  <w:r>
                    <w:rPr>
                      <w:rFonts w:hint="eastAsia" w:ascii="仿宋" w:hAnsi="仿宋" w:eastAsia="仿宋" w:cs="仿宋"/>
                      <w:b/>
                      <w:bCs/>
                      <w:color w:val="auto"/>
                      <w:szCs w:val="21"/>
                    </w:rPr>
                    <w:t>中标金额（万元）</w:t>
                  </w:r>
                </w:p>
              </w:tc>
              <w:tc>
                <w:tcPr>
                  <w:tcW w:w="2293" w:type="dxa"/>
                  <w:noWrap w:val="0"/>
                  <w:vAlign w:val="top"/>
                </w:tcPr>
                <w:p w14:paraId="76B05F0A">
                  <w:pPr>
                    <w:snapToGrid w:val="0"/>
                    <w:spacing w:before="100" w:beforeAutospacing="1" w:after="100" w:afterAutospacing="1" w:line="276" w:lineRule="auto"/>
                    <w:jc w:val="center"/>
                    <w:rPr>
                      <w:rFonts w:hint="eastAsia" w:ascii="仿宋" w:hAnsi="仿宋" w:eastAsia="仿宋" w:cs="仿宋"/>
                      <w:b/>
                      <w:bCs/>
                      <w:color w:val="auto"/>
                      <w:szCs w:val="21"/>
                    </w:rPr>
                  </w:pPr>
                  <w:r>
                    <w:rPr>
                      <w:rFonts w:hint="eastAsia" w:ascii="仿宋" w:hAnsi="仿宋" w:eastAsia="仿宋" w:cs="仿宋"/>
                      <w:b/>
                      <w:bCs/>
                      <w:color w:val="auto"/>
                      <w:szCs w:val="21"/>
                    </w:rPr>
                    <w:t>货物费率</w:t>
                  </w:r>
                </w:p>
              </w:tc>
              <w:tc>
                <w:tcPr>
                  <w:tcW w:w="2280" w:type="dxa"/>
                  <w:noWrap w:val="0"/>
                  <w:vAlign w:val="top"/>
                </w:tcPr>
                <w:p w14:paraId="6FA18166">
                  <w:pPr>
                    <w:snapToGrid w:val="0"/>
                    <w:spacing w:before="100" w:beforeAutospacing="1" w:after="100" w:afterAutospacing="1" w:line="276" w:lineRule="auto"/>
                    <w:jc w:val="center"/>
                    <w:rPr>
                      <w:rFonts w:hint="eastAsia" w:ascii="仿宋" w:hAnsi="仿宋" w:eastAsia="仿宋" w:cs="仿宋"/>
                      <w:b/>
                      <w:bCs/>
                      <w:color w:val="auto"/>
                      <w:szCs w:val="21"/>
                    </w:rPr>
                  </w:pPr>
                  <w:r>
                    <w:rPr>
                      <w:rFonts w:hint="eastAsia" w:ascii="仿宋" w:hAnsi="仿宋" w:eastAsia="仿宋" w:cs="仿宋"/>
                      <w:b/>
                      <w:bCs/>
                      <w:color w:val="auto"/>
                      <w:szCs w:val="21"/>
                    </w:rPr>
                    <w:t>服务费率</w:t>
                  </w:r>
                </w:p>
              </w:tc>
            </w:tr>
            <w:tr w14:paraId="481028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92" w:type="dxa"/>
                  <w:noWrap w:val="0"/>
                  <w:vAlign w:val="top"/>
                </w:tcPr>
                <w:p w14:paraId="624845A8">
                  <w:pPr>
                    <w:snapToGrid w:val="0"/>
                    <w:spacing w:before="100" w:beforeAutospacing="1" w:after="100" w:afterAutospacing="1" w:line="276" w:lineRule="auto"/>
                    <w:jc w:val="center"/>
                    <w:rPr>
                      <w:rFonts w:hint="eastAsia" w:ascii="仿宋" w:hAnsi="仿宋" w:eastAsia="仿宋" w:cs="仿宋"/>
                      <w:b/>
                      <w:bCs/>
                      <w:color w:val="auto"/>
                      <w:szCs w:val="21"/>
                    </w:rPr>
                  </w:pPr>
                  <w:r>
                    <w:rPr>
                      <w:rFonts w:hint="eastAsia" w:ascii="仿宋" w:hAnsi="仿宋" w:eastAsia="仿宋" w:cs="仿宋"/>
                      <w:b/>
                      <w:bCs/>
                      <w:color w:val="auto"/>
                      <w:szCs w:val="21"/>
                    </w:rPr>
                    <w:t>100以下</w:t>
                  </w:r>
                </w:p>
              </w:tc>
              <w:tc>
                <w:tcPr>
                  <w:tcW w:w="2293" w:type="dxa"/>
                  <w:noWrap w:val="0"/>
                  <w:vAlign w:val="top"/>
                </w:tcPr>
                <w:p w14:paraId="536762D9">
                  <w:pPr>
                    <w:snapToGrid w:val="0"/>
                    <w:spacing w:before="100" w:beforeAutospacing="1" w:after="100" w:afterAutospacing="1" w:line="276" w:lineRule="auto"/>
                    <w:jc w:val="center"/>
                    <w:rPr>
                      <w:rFonts w:hint="eastAsia" w:ascii="仿宋" w:hAnsi="仿宋" w:eastAsia="仿宋" w:cs="仿宋"/>
                      <w:b/>
                      <w:bCs/>
                      <w:color w:val="auto"/>
                      <w:szCs w:val="21"/>
                    </w:rPr>
                  </w:pPr>
                  <w:r>
                    <w:rPr>
                      <w:rFonts w:hint="eastAsia" w:ascii="仿宋" w:hAnsi="仿宋" w:eastAsia="仿宋" w:cs="仿宋"/>
                      <w:b/>
                      <w:bCs/>
                      <w:color w:val="auto"/>
                      <w:szCs w:val="21"/>
                    </w:rPr>
                    <w:t>1.5%</w:t>
                  </w:r>
                </w:p>
              </w:tc>
              <w:tc>
                <w:tcPr>
                  <w:tcW w:w="2280" w:type="dxa"/>
                  <w:noWrap w:val="0"/>
                  <w:vAlign w:val="top"/>
                </w:tcPr>
                <w:p w14:paraId="592A4D08">
                  <w:pPr>
                    <w:snapToGrid w:val="0"/>
                    <w:spacing w:before="100" w:beforeAutospacing="1" w:after="100" w:afterAutospacing="1" w:line="276" w:lineRule="auto"/>
                    <w:jc w:val="center"/>
                    <w:rPr>
                      <w:rFonts w:hint="eastAsia" w:ascii="仿宋" w:hAnsi="仿宋" w:eastAsia="仿宋" w:cs="仿宋"/>
                      <w:b/>
                      <w:bCs/>
                      <w:color w:val="auto"/>
                      <w:szCs w:val="21"/>
                    </w:rPr>
                  </w:pPr>
                  <w:r>
                    <w:rPr>
                      <w:rFonts w:hint="eastAsia" w:ascii="仿宋" w:hAnsi="仿宋" w:eastAsia="仿宋" w:cs="仿宋"/>
                      <w:b/>
                      <w:bCs/>
                      <w:color w:val="auto"/>
                      <w:szCs w:val="21"/>
                    </w:rPr>
                    <w:t>1.5%</w:t>
                  </w:r>
                </w:p>
              </w:tc>
            </w:tr>
            <w:tr w14:paraId="38CD72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92" w:type="dxa"/>
                  <w:noWrap w:val="0"/>
                  <w:vAlign w:val="top"/>
                </w:tcPr>
                <w:p w14:paraId="187C2FB1">
                  <w:pPr>
                    <w:snapToGrid w:val="0"/>
                    <w:spacing w:before="100" w:beforeAutospacing="1" w:after="100" w:afterAutospacing="1" w:line="276" w:lineRule="auto"/>
                    <w:jc w:val="center"/>
                    <w:rPr>
                      <w:rFonts w:hint="eastAsia" w:ascii="仿宋" w:hAnsi="仿宋" w:eastAsia="仿宋" w:cs="仿宋"/>
                      <w:b/>
                      <w:bCs/>
                      <w:color w:val="auto"/>
                      <w:szCs w:val="21"/>
                    </w:rPr>
                  </w:pPr>
                  <w:r>
                    <w:rPr>
                      <w:rFonts w:hint="eastAsia" w:ascii="仿宋" w:hAnsi="仿宋" w:eastAsia="仿宋" w:cs="仿宋"/>
                      <w:b/>
                      <w:bCs/>
                      <w:color w:val="auto"/>
                      <w:szCs w:val="21"/>
                    </w:rPr>
                    <w:t>100-500</w:t>
                  </w:r>
                </w:p>
              </w:tc>
              <w:tc>
                <w:tcPr>
                  <w:tcW w:w="2293" w:type="dxa"/>
                  <w:noWrap w:val="0"/>
                  <w:vAlign w:val="top"/>
                </w:tcPr>
                <w:p w14:paraId="3E505E9C">
                  <w:pPr>
                    <w:snapToGrid w:val="0"/>
                    <w:spacing w:before="100" w:beforeAutospacing="1" w:after="100" w:afterAutospacing="1" w:line="276" w:lineRule="auto"/>
                    <w:jc w:val="center"/>
                    <w:rPr>
                      <w:rFonts w:hint="eastAsia" w:ascii="仿宋" w:hAnsi="仿宋" w:eastAsia="仿宋" w:cs="仿宋"/>
                      <w:b/>
                      <w:bCs/>
                      <w:color w:val="auto"/>
                      <w:szCs w:val="21"/>
                    </w:rPr>
                  </w:pPr>
                  <w:r>
                    <w:rPr>
                      <w:rFonts w:hint="eastAsia" w:ascii="仿宋" w:hAnsi="仿宋" w:eastAsia="仿宋" w:cs="仿宋"/>
                      <w:b/>
                      <w:bCs/>
                      <w:color w:val="auto"/>
                      <w:szCs w:val="21"/>
                    </w:rPr>
                    <w:t>1.1%</w:t>
                  </w:r>
                </w:p>
              </w:tc>
              <w:tc>
                <w:tcPr>
                  <w:tcW w:w="2280" w:type="dxa"/>
                  <w:noWrap w:val="0"/>
                  <w:vAlign w:val="top"/>
                </w:tcPr>
                <w:p w14:paraId="46EE5B1B">
                  <w:pPr>
                    <w:snapToGrid w:val="0"/>
                    <w:spacing w:before="100" w:beforeAutospacing="1" w:after="100" w:afterAutospacing="1" w:line="276" w:lineRule="auto"/>
                    <w:jc w:val="center"/>
                    <w:rPr>
                      <w:rFonts w:hint="eastAsia" w:ascii="仿宋" w:hAnsi="仿宋" w:eastAsia="仿宋" w:cs="仿宋"/>
                      <w:b/>
                      <w:bCs/>
                      <w:color w:val="auto"/>
                      <w:szCs w:val="21"/>
                    </w:rPr>
                  </w:pPr>
                  <w:r>
                    <w:rPr>
                      <w:rFonts w:hint="eastAsia" w:ascii="仿宋" w:hAnsi="仿宋" w:eastAsia="仿宋" w:cs="仿宋"/>
                      <w:b/>
                      <w:bCs/>
                      <w:color w:val="auto"/>
                      <w:szCs w:val="21"/>
                    </w:rPr>
                    <w:t>0.8%</w:t>
                  </w:r>
                </w:p>
              </w:tc>
            </w:tr>
          </w:tbl>
          <w:p w14:paraId="18A63674">
            <w:pPr>
              <w:spacing w:line="360" w:lineRule="exact"/>
              <w:jc w:val="left"/>
              <w:textAlignment w:val="baseline"/>
              <w:rPr>
                <w:rFonts w:hint="eastAsia" w:ascii="仿宋" w:hAnsi="仿宋" w:eastAsia="仿宋" w:cs="仿宋"/>
                <w:b/>
                <w:bCs/>
                <w:color w:val="auto"/>
                <w:kern w:val="0"/>
                <w:sz w:val="21"/>
                <w:szCs w:val="21"/>
                <w:lang w:val="en-US" w:eastAsia="zh-CN" w:bidi="ar-SA"/>
              </w:rPr>
            </w:pPr>
          </w:p>
        </w:tc>
      </w:tr>
    </w:tbl>
    <w:p w14:paraId="2798FFA7">
      <w:pPr>
        <w:rPr>
          <w:rFonts w:hint="eastAsia" w:ascii="仿宋" w:hAnsi="仿宋" w:eastAsia="仿宋" w:cs="仿宋"/>
          <w:bCs w:val="0"/>
          <w:color w:val="auto"/>
          <w:sz w:val="21"/>
          <w:szCs w:val="21"/>
          <w:lang w:val="zh-CN"/>
        </w:rPr>
      </w:pPr>
      <w:bookmarkStart w:id="15" w:name="_Toc13478"/>
    </w:p>
    <w:p w14:paraId="12699E9E">
      <w:pPr>
        <w:rPr>
          <w:rFonts w:hint="eastAsia" w:ascii="仿宋" w:hAnsi="仿宋" w:eastAsia="仿宋" w:cs="仿宋"/>
          <w:bCs w:val="0"/>
          <w:color w:val="auto"/>
          <w:sz w:val="28"/>
          <w:szCs w:val="28"/>
          <w:lang w:val="zh-CN"/>
        </w:rPr>
      </w:pPr>
    </w:p>
    <w:p w14:paraId="3491626E">
      <w:pPr>
        <w:pStyle w:val="3"/>
        <w:spacing w:before="0" w:after="0" w:line="360" w:lineRule="auto"/>
        <w:jc w:val="center"/>
        <w:rPr>
          <w:rFonts w:hint="eastAsia" w:ascii="仿宋" w:hAnsi="仿宋" w:eastAsia="仿宋" w:cs="仿宋"/>
          <w:bCs w:val="0"/>
          <w:color w:val="auto"/>
          <w:sz w:val="28"/>
          <w:szCs w:val="28"/>
          <w:lang w:val="zh-CN"/>
        </w:rPr>
      </w:pPr>
      <w:bookmarkStart w:id="16" w:name="_Toc7215"/>
      <w:r>
        <w:rPr>
          <w:rFonts w:hint="eastAsia" w:ascii="仿宋" w:hAnsi="仿宋" w:eastAsia="仿宋" w:cs="仿宋"/>
          <w:bCs w:val="0"/>
          <w:color w:val="auto"/>
          <w:sz w:val="28"/>
          <w:szCs w:val="28"/>
          <w:lang w:val="zh-CN"/>
        </w:rPr>
        <w:t>一、综合说明</w:t>
      </w:r>
      <w:bookmarkEnd w:id="15"/>
      <w:bookmarkEnd w:id="16"/>
    </w:p>
    <w:p w14:paraId="433790C5">
      <w:pPr>
        <w:pageBreakBefore w:val="0"/>
        <w:kinsoku/>
        <w:topLinePunct w:val="0"/>
        <w:autoSpaceDE w:val="0"/>
        <w:autoSpaceDN w:val="0"/>
        <w:bidi w:val="0"/>
        <w:adjustRightInd w:val="0"/>
        <w:snapToGrid/>
        <w:spacing w:line="300" w:lineRule="auto"/>
        <w:ind w:firstLine="210" w:firstLineChars="100"/>
        <w:jc w:val="left"/>
        <w:rPr>
          <w:rFonts w:hint="eastAsia" w:ascii="仿宋" w:hAnsi="仿宋" w:eastAsia="仿宋" w:cs="仿宋"/>
          <w:b/>
          <w:color w:val="auto"/>
          <w:szCs w:val="21"/>
        </w:rPr>
      </w:pPr>
      <w:r>
        <w:rPr>
          <w:rFonts w:hint="eastAsia" w:ascii="仿宋" w:hAnsi="仿宋" w:eastAsia="仿宋" w:cs="仿宋"/>
          <w:b/>
          <w:color w:val="auto"/>
          <w:szCs w:val="21"/>
          <w:lang w:val="zh-CN"/>
        </w:rPr>
        <w:t>（一）适用范围</w:t>
      </w:r>
    </w:p>
    <w:p w14:paraId="3E7E0E1C">
      <w:pPr>
        <w:pStyle w:val="165"/>
        <w:widowControl/>
        <w:snapToGrid w:val="0"/>
        <w:spacing w:beforeLines="0" w:line="360" w:lineRule="auto"/>
        <w:jc w:val="left"/>
        <w:rPr>
          <w:rFonts w:hint="eastAsia" w:ascii="仿宋" w:hAnsi="仿宋" w:eastAsia="仿宋" w:cs="仿宋"/>
          <w:color w:val="auto"/>
          <w:szCs w:val="21"/>
        </w:rPr>
      </w:pPr>
      <w:r>
        <w:rPr>
          <w:rFonts w:hint="eastAsia" w:ascii="仿宋" w:hAnsi="仿宋" w:eastAsia="仿宋" w:cs="仿宋"/>
          <w:color w:val="auto"/>
          <w:szCs w:val="21"/>
          <w:lang w:val="zh-CN"/>
        </w:rPr>
        <w:t>本采购文件仅适用于</w:t>
      </w:r>
      <w:r>
        <w:rPr>
          <w:rFonts w:hint="eastAsia" w:ascii="仿宋" w:hAnsi="仿宋" w:eastAsia="仿宋" w:cs="仿宋"/>
          <w:color w:val="auto"/>
          <w:szCs w:val="21"/>
        </w:rPr>
        <w:t>本项目招标、投标、评标、定标、验收、合同履约、付款等行为（法律、法规另有规定的，从其规定）。</w:t>
      </w:r>
    </w:p>
    <w:p w14:paraId="69641C16">
      <w:pPr>
        <w:pageBreakBefore w:val="0"/>
        <w:kinsoku/>
        <w:topLinePunct w:val="0"/>
        <w:autoSpaceDE w:val="0"/>
        <w:autoSpaceDN w:val="0"/>
        <w:bidi w:val="0"/>
        <w:adjustRightInd w:val="0"/>
        <w:snapToGrid/>
        <w:spacing w:line="300" w:lineRule="auto"/>
        <w:ind w:firstLine="210" w:firstLineChars="100"/>
        <w:jc w:val="left"/>
        <w:rPr>
          <w:rFonts w:hint="eastAsia" w:ascii="仿宋" w:hAnsi="仿宋" w:eastAsia="仿宋" w:cs="仿宋"/>
          <w:b/>
          <w:color w:val="auto"/>
          <w:szCs w:val="21"/>
          <w:lang w:val="zh-CN"/>
        </w:rPr>
      </w:pPr>
      <w:r>
        <w:rPr>
          <w:rFonts w:hint="eastAsia" w:ascii="仿宋" w:hAnsi="仿宋" w:eastAsia="仿宋" w:cs="仿宋"/>
          <w:b/>
          <w:color w:val="auto"/>
          <w:szCs w:val="21"/>
          <w:lang w:val="zh-CN"/>
        </w:rPr>
        <w:t>（二）定义</w:t>
      </w:r>
    </w:p>
    <w:p w14:paraId="76343455">
      <w:pPr>
        <w:pStyle w:val="165"/>
        <w:widowControl/>
        <w:snapToGrid w:val="0"/>
        <w:spacing w:beforeLines="0" w:line="360" w:lineRule="auto"/>
        <w:jc w:val="left"/>
        <w:rPr>
          <w:rFonts w:hint="eastAsia" w:ascii="仿宋" w:hAnsi="仿宋" w:eastAsia="仿宋" w:cs="仿宋"/>
          <w:color w:val="auto"/>
          <w:szCs w:val="21"/>
        </w:rPr>
      </w:pPr>
      <w:r>
        <w:rPr>
          <w:rFonts w:hint="eastAsia" w:ascii="仿宋" w:hAnsi="仿宋" w:eastAsia="仿宋" w:cs="仿宋"/>
          <w:color w:val="auto"/>
          <w:szCs w:val="21"/>
        </w:rPr>
        <w:t>1.“采购人（单位）”是指依法进行政府采购的“</w:t>
      </w:r>
      <w:r>
        <w:rPr>
          <w:rFonts w:hint="eastAsia" w:ascii="仿宋" w:hAnsi="仿宋" w:eastAsia="仿宋" w:cs="仿宋"/>
          <w:color w:val="auto"/>
          <w:szCs w:val="21"/>
          <w:lang w:eastAsia="zh-CN"/>
        </w:rPr>
        <w:t>常山县林业水利局</w:t>
      </w:r>
      <w:r>
        <w:rPr>
          <w:rFonts w:hint="eastAsia" w:ascii="仿宋" w:hAnsi="仿宋" w:eastAsia="仿宋" w:cs="仿宋"/>
          <w:color w:val="auto"/>
          <w:szCs w:val="21"/>
        </w:rPr>
        <w:t>”；</w:t>
      </w:r>
    </w:p>
    <w:p w14:paraId="5B2639CF">
      <w:pPr>
        <w:pStyle w:val="165"/>
        <w:widowControl/>
        <w:snapToGrid w:val="0"/>
        <w:spacing w:beforeLines="0" w:line="360" w:lineRule="auto"/>
        <w:jc w:val="left"/>
        <w:rPr>
          <w:rFonts w:hint="eastAsia" w:ascii="仿宋" w:hAnsi="仿宋" w:eastAsia="仿宋" w:cs="仿宋"/>
          <w:color w:val="auto"/>
          <w:szCs w:val="21"/>
        </w:rPr>
      </w:pPr>
      <w:r>
        <w:rPr>
          <w:rFonts w:hint="eastAsia" w:ascii="仿宋" w:hAnsi="仿宋" w:eastAsia="仿宋" w:cs="仿宋"/>
          <w:color w:val="auto"/>
          <w:szCs w:val="21"/>
        </w:rPr>
        <w:t>2.“采购代理机构”是指受采购人委托，在委托协议约定范围内依法组织本次招标采购的“浙江哲晟工程项目管理有限公司”；</w:t>
      </w:r>
    </w:p>
    <w:p w14:paraId="07AF8D88">
      <w:pPr>
        <w:pStyle w:val="165"/>
        <w:widowControl/>
        <w:snapToGrid w:val="0"/>
        <w:spacing w:beforeLines="0" w:line="360" w:lineRule="auto"/>
        <w:jc w:val="left"/>
        <w:rPr>
          <w:rFonts w:hint="eastAsia" w:ascii="仿宋" w:hAnsi="仿宋" w:eastAsia="仿宋" w:cs="仿宋"/>
          <w:color w:val="auto"/>
          <w:szCs w:val="21"/>
        </w:rPr>
      </w:pPr>
      <w:r>
        <w:rPr>
          <w:rFonts w:hint="eastAsia" w:ascii="仿宋" w:hAnsi="仿宋" w:eastAsia="仿宋" w:cs="仿宋"/>
          <w:color w:val="auto"/>
          <w:szCs w:val="21"/>
        </w:rPr>
        <w:t>3.“投标人（或投标供应商）”是指向本采购项目提交投标文件的法人、其他组织或自然人；</w:t>
      </w:r>
    </w:p>
    <w:p w14:paraId="623A1CC0">
      <w:pPr>
        <w:pStyle w:val="165"/>
        <w:widowControl/>
        <w:snapToGrid w:val="0"/>
        <w:spacing w:beforeLines="0" w:line="360" w:lineRule="auto"/>
        <w:jc w:val="left"/>
        <w:rPr>
          <w:rFonts w:hint="eastAsia" w:ascii="仿宋" w:hAnsi="仿宋" w:eastAsia="仿宋" w:cs="仿宋"/>
          <w:color w:val="auto"/>
          <w:szCs w:val="21"/>
        </w:rPr>
      </w:pPr>
      <w:r>
        <w:rPr>
          <w:rFonts w:hint="eastAsia" w:ascii="仿宋" w:hAnsi="仿宋" w:eastAsia="仿宋" w:cs="仿宋"/>
          <w:color w:val="auto"/>
          <w:szCs w:val="21"/>
        </w:rPr>
        <w:t>4.“制造商”是指投标产品的制造（生产）企业或对投标产品拥有所有权的单位；</w:t>
      </w:r>
    </w:p>
    <w:p w14:paraId="20B201C8">
      <w:pPr>
        <w:pStyle w:val="165"/>
        <w:widowControl/>
        <w:snapToGrid w:val="0"/>
        <w:spacing w:beforeLines="0" w:line="360" w:lineRule="auto"/>
        <w:jc w:val="left"/>
        <w:rPr>
          <w:rFonts w:hint="eastAsia" w:ascii="仿宋" w:hAnsi="仿宋" w:eastAsia="仿宋" w:cs="仿宋"/>
          <w:color w:val="auto"/>
          <w:szCs w:val="21"/>
        </w:rPr>
      </w:pPr>
      <w:r>
        <w:rPr>
          <w:rFonts w:hint="eastAsia" w:ascii="仿宋" w:hAnsi="仿宋" w:eastAsia="仿宋" w:cs="仿宋"/>
          <w:color w:val="auto"/>
          <w:szCs w:val="21"/>
        </w:rPr>
        <w:t>5.“中标人（或中标供应商）”是指经评审后获得中标和签订合同资格的投标人；</w:t>
      </w:r>
    </w:p>
    <w:p w14:paraId="67443A33">
      <w:pPr>
        <w:pStyle w:val="165"/>
        <w:widowControl/>
        <w:snapToGrid w:val="0"/>
        <w:spacing w:beforeLines="0" w:line="360" w:lineRule="auto"/>
        <w:jc w:val="left"/>
        <w:rPr>
          <w:rFonts w:hint="eastAsia" w:ascii="仿宋" w:hAnsi="仿宋" w:eastAsia="仿宋" w:cs="仿宋"/>
          <w:color w:val="auto"/>
          <w:szCs w:val="21"/>
        </w:rPr>
      </w:pPr>
      <w:r>
        <w:rPr>
          <w:rFonts w:hint="eastAsia" w:ascii="仿宋" w:hAnsi="仿宋" w:eastAsia="仿宋" w:cs="仿宋"/>
          <w:color w:val="auto"/>
          <w:szCs w:val="21"/>
        </w:rPr>
        <w:t>6.“书面形式”包括纸质文件、电子邮件、信函、传真等。</w:t>
      </w:r>
    </w:p>
    <w:p w14:paraId="298474D8">
      <w:pPr>
        <w:pStyle w:val="165"/>
        <w:widowControl/>
        <w:snapToGrid w:val="0"/>
        <w:spacing w:beforeLines="0" w:line="360" w:lineRule="auto"/>
        <w:jc w:val="left"/>
        <w:rPr>
          <w:rFonts w:hint="eastAsia" w:ascii="仿宋" w:hAnsi="仿宋" w:eastAsia="仿宋" w:cs="仿宋"/>
          <w:color w:val="auto"/>
          <w:szCs w:val="21"/>
        </w:rPr>
      </w:pPr>
      <w:r>
        <w:rPr>
          <w:rFonts w:hint="eastAsia" w:ascii="仿宋" w:hAnsi="仿宋" w:eastAsia="仿宋" w:cs="仿宋"/>
          <w:color w:val="auto"/>
          <w:szCs w:val="21"/>
        </w:rPr>
        <w:t>7.“产品（货物）”是指按采购文件要求配置的一切设备、机械、仪器仪表、备品备件、工具、手册及其它有关技术资料和文字材料；</w:t>
      </w:r>
    </w:p>
    <w:p w14:paraId="298365BD">
      <w:pPr>
        <w:pStyle w:val="165"/>
        <w:widowControl/>
        <w:snapToGrid w:val="0"/>
        <w:spacing w:beforeLines="0" w:line="360" w:lineRule="auto"/>
        <w:jc w:val="left"/>
        <w:rPr>
          <w:rFonts w:hint="eastAsia" w:ascii="仿宋" w:hAnsi="仿宋" w:eastAsia="仿宋" w:cs="仿宋"/>
          <w:color w:val="auto"/>
          <w:szCs w:val="21"/>
        </w:rPr>
      </w:pPr>
      <w:r>
        <w:rPr>
          <w:rFonts w:hint="eastAsia" w:ascii="仿宋" w:hAnsi="仿宋" w:eastAsia="仿宋" w:cs="仿宋"/>
          <w:color w:val="auto"/>
          <w:szCs w:val="21"/>
        </w:rPr>
        <w:t>8.“服务”在货物类采购项目中是指采购文件规定供方须承担的货物运输、调试、技术支持、操作使用培训、维修保养服务；在服务类采购项目是指采购采购内容本身及相关的伴随服务；</w:t>
      </w:r>
    </w:p>
    <w:p w14:paraId="2C906972">
      <w:pPr>
        <w:pStyle w:val="165"/>
        <w:widowControl/>
        <w:snapToGrid w:val="0"/>
        <w:spacing w:beforeLines="0" w:line="360" w:lineRule="auto"/>
        <w:jc w:val="left"/>
        <w:rPr>
          <w:rFonts w:hint="eastAsia" w:ascii="仿宋" w:hAnsi="仿宋" w:eastAsia="仿宋" w:cs="仿宋"/>
          <w:color w:val="auto"/>
          <w:szCs w:val="21"/>
        </w:rPr>
      </w:pPr>
      <w:r>
        <w:rPr>
          <w:rFonts w:hint="eastAsia" w:ascii="仿宋" w:hAnsi="仿宋" w:eastAsia="仿宋" w:cs="仿宋"/>
          <w:color w:val="auto"/>
          <w:szCs w:val="21"/>
        </w:rPr>
        <w:t>9.实质性响应：是指投标文件相关内容满足或优于招标（采购）文件规定的内容、条款和要求。</w:t>
      </w:r>
    </w:p>
    <w:p w14:paraId="4C95CF68">
      <w:pPr>
        <w:pStyle w:val="165"/>
        <w:widowControl/>
        <w:snapToGrid w:val="0"/>
        <w:spacing w:beforeLines="0" w:line="360" w:lineRule="auto"/>
        <w:jc w:val="left"/>
        <w:rPr>
          <w:rFonts w:hint="eastAsia" w:ascii="仿宋" w:hAnsi="仿宋" w:eastAsia="仿宋" w:cs="仿宋"/>
          <w:b/>
          <w:bCs/>
          <w:color w:val="auto"/>
          <w:szCs w:val="21"/>
        </w:rPr>
      </w:pPr>
      <w:r>
        <w:rPr>
          <w:rFonts w:hint="eastAsia" w:ascii="仿宋" w:hAnsi="仿宋" w:eastAsia="仿宋" w:cs="仿宋"/>
          <w:b/>
          <w:bCs/>
          <w:color w:val="auto"/>
          <w:szCs w:val="21"/>
        </w:rPr>
        <w:t>10.除另行说明外，采购文件中标注 “▲” 的内容为必须满足的实质性内容或不可负偏离指标，投标人未实质性响应的，按投标无效处理；标注 “★” 表示重点提醒投标人注意该内容。（货物采购项目：采购需求产品名称标注 “★” 并加下划线标明的，表示该产品为项目的核心产品）</w:t>
      </w:r>
    </w:p>
    <w:p w14:paraId="462B92B5">
      <w:pPr>
        <w:pageBreakBefore w:val="0"/>
        <w:kinsoku/>
        <w:topLinePunct w:val="0"/>
        <w:autoSpaceDE w:val="0"/>
        <w:autoSpaceDN w:val="0"/>
        <w:bidi w:val="0"/>
        <w:adjustRightInd w:val="0"/>
        <w:snapToGrid/>
        <w:spacing w:line="300" w:lineRule="auto"/>
        <w:ind w:firstLine="210" w:firstLineChars="100"/>
        <w:jc w:val="left"/>
        <w:rPr>
          <w:rFonts w:hint="eastAsia" w:ascii="仿宋" w:hAnsi="仿宋" w:eastAsia="仿宋" w:cs="仿宋"/>
          <w:b/>
          <w:color w:val="auto"/>
          <w:szCs w:val="21"/>
          <w:lang w:val="zh-CN"/>
        </w:rPr>
      </w:pPr>
      <w:r>
        <w:rPr>
          <w:rFonts w:hint="eastAsia" w:ascii="仿宋" w:hAnsi="仿宋" w:eastAsia="仿宋" w:cs="仿宋"/>
          <w:b/>
          <w:color w:val="auto"/>
          <w:szCs w:val="21"/>
          <w:lang w:val="zh-CN"/>
        </w:rPr>
        <w:t>（三）采购方式</w:t>
      </w:r>
    </w:p>
    <w:p w14:paraId="48CB2B8A">
      <w:pPr>
        <w:pStyle w:val="165"/>
        <w:widowControl/>
        <w:snapToGrid w:val="0"/>
        <w:spacing w:beforeLines="0" w:line="360" w:lineRule="auto"/>
        <w:jc w:val="left"/>
        <w:rPr>
          <w:rFonts w:hint="eastAsia" w:ascii="仿宋" w:hAnsi="仿宋" w:eastAsia="仿宋" w:cs="仿宋"/>
          <w:color w:val="auto"/>
          <w:szCs w:val="21"/>
        </w:rPr>
      </w:pPr>
      <w:r>
        <w:rPr>
          <w:rFonts w:hint="eastAsia" w:ascii="仿宋" w:hAnsi="仿宋" w:eastAsia="仿宋" w:cs="仿宋"/>
          <w:color w:val="auto"/>
          <w:szCs w:val="21"/>
        </w:rPr>
        <w:t>公开招标。</w:t>
      </w:r>
    </w:p>
    <w:p w14:paraId="4EF1C610">
      <w:pPr>
        <w:pageBreakBefore w:val="0"/>
        <w:kinsoku/>
        <w:topLinePunct w:val="0"/>
        <w:autoSpaceDE w:val="0"/>
        <w:autoSpaceDN w:val="0"/>
        <w:bidi w:val="0"/>
        <w:adjustRightInd w:val="0"/>
        <w:snapToGrid/>
        <w:spacing w:line="300" w:lineRule="auto"/>
        <w:ind w:firstLine="210" w:firstLineChars="100"/>
        <w:jc w:val="left"/>
        <w:rPr>
          <w:rFonts w:hint="eastAsia" w:ascii="仿宋" w:hAnsi="仿宋" w:eastAsia="仿宋" w:cs="仿宋"/>
          <w:b/>
          <w:color w:val="auto"/>
          <w:szCs w:val="21"/>
          <w:lang w:val="zh-CN"/>
        </w:rPr>
      </w:pPr>
      <w:r>
        <w:rPr>
          <w:rFonts w:hint="eastAsia" w:ascii="仿宋" w:hAnsi="仿宋" w:eastAsia="仿宋" w:cs="仿宋"/>
          <w:b/>
          <w:color w:val="auto"/>
          <w:szCs w:val="21"/>
          <w:lang w:val="zh-CN"/>
        </w:rPr>
        <w:t>（四）投标委托</w:t>
      </w:r>
    </w:p>
    <w:p w14:paraId="5635F985">
      <w:pPr>
        <w:pStyle w:val="165"/>
        <w:widowControl/>
        <w:snapToGrid w:val="0"/>
        <w:spacing w:beforeLines="0" w:line="360" w:lineRule="auto"/>
        <w:jc w:val="left"/>
        <w:rPr>
          <w:rFonts w:hint="eastAsia" w:ascii="仿宋" w:hAnsi="仿宋" w:eastAsia="仿宋" w:cs="仿宋"/>
          <w:color w:val="auto"/>
          <w:szCs w:val="21"/>
        </w:rPr>
      </w:pPr>
      <w:r>
        <w:rPr>
          <w:rFonts w:hint="eastAsia" w:ascii="仿宋" w:hAnsi="仿宋" w:eastAsia="仿宋" w:cs="仿宋"/>
          <w:color w:val="auto"/>
          <w:szCs w:val="21"/>
        </w:rPr>
        <w:t>如投标人代表是法定代表人</w:t>
      </w:r>
      <w:r>
        <w:rPr>
          <w:rStyle w:val="156"/>
          <w:rFonts w:hint="eastAsia" w:ascii="仿宋" w:hAnsi="仿宋" w:eastAsia="仿宋" w:cs="仿宋"/>
          <w:color w:val="auto"/>
          <w:szCs w:val="21"/>
          <w:lang w:val="zh-CN"/>
        </w:rPr>
        <w:t>（单位负责人）</w:t>
      </w:r>
      <w:r>
        <w:rPr>
          <w:rFonts w:hint="eastAsia" w:ascii="仿宋" w:hAnsi="仿宋" w:eastAsia="仿宋" w:cs="仿宋"/>
          <w:color w:val="auto"/>
          <w:szCs w:val="21"/>
        </w:rPr>
        <w:t>的，资格文件须提供法定代表人</w:t>
      </w:r>
      <w:r>
        <w:rPr>
          <w:rStyle w:val="156"/>
          <w:rFonts w:hint="eastAsia" w:ascii="仿宋" w:hAnsi="仿宋" w:eastAsia="仿宋" w:cs="仿宋"/>
          <w:color w:val="auto"/>
          <w:szCs w:val="21"/>
          <w:lang w:val="zh-CN"/>
        </w:rPr>
        <w:t>（单位负责人）</w:t>
      </w:r>
      <w:r>
        <w:rPr>
          <w:rFonts w:hint="eastAsia" w:ascii="仿宋" w:hAnsi="仿宋" w:eastAsia="仿宋" w:cs="仿宋"/>
          <w:color w:val="auto"/>
          <w:szCs w:val="21"/>
        </w:rPr>
        <w:t>身份证明复印件【格式见</w:t>
      </w:r>
      <w:r>
        <w:rPr>
          <w:rFonts w:hint="eastAsia" w:ascii="仿宋" w:hAnsi="仿宋" w:eastAsia="仿宋" w:cs="仿宋"/>
          <w:color w:val="auto"/>
        </w:rPr>
        <w:fldChar w:fldCharType="begin"/>
      </w:r>
      <w:r>
        <w:rPr>
          <w:rFonts w:hint="eastAsia" w:ascii="仿宋" w:hAnsi="仿宋" w:eastAsia="仿宋" w:cs="仿宋"/>
          <w:color w:val="auto"/>
        </w:rPr>
        <w:instrText xml:space="preserve"> HYPERLINK \l "附件1" </w:instrText>
      </w:r>
      <w:r>
        <w:rPr>
          <w:rFonts w:hint="eastAsia" w:ascii="仿宋" w:hAnsi="仿宋" w:eastAsia="仿宋" w:cs="仿宋"/>
          <w:color w:val="auto"/>
        </w:rPr>
        <w:fldChar w:fldCharType="separate"/>
      </w:r>
      <w:r>
        <w:rPr>
          <w:rStyle w:val="55"/>
          <w:rFonts w:hint="eastAsia" w:ascii="仿宋" w:hAnsi="仿宋" w:eastAsia="仿宋" w:cs="仿宋"/>
          <w:color w:val="auto"/>
          <w:szCs w:val="21"/>
        </w:rPr>
        <w:t>附</w:t>
      </w:r>
      <w:bookmarkStart w:id="17" w:name="_Hlt515886231"/>
      <w:r>
        <w:rPr>
          <w:rStyle w:val="55"/>
          <w:rFonts w:hint="eastAsia" w:ascii="仿宋" w:hAnsi="仿宋" w:eastAsia="仿宋" w:cs="仿宋"/>
          <w:color w:val="auto"/>
          <w:szCs w:val="21"/>
        </w:rPr>
        <w:t>件</w:t>
      </w:r>
      <w:bookmarkEnd w:id="17"/>
      <w:r>
        <w:rPr>
          <w:rStyle w:val="55"/>
          <w:rFonts w:hint="eastAsia" w:ascii="仿宋" w:hAnsi="仿宋" w:eastAsia="仿宋" w:cs="仿宋"/>
          <w:color w:val="auto"/>
          <w:szCs w:val="21"/>
        </w:rPr>
        <w:t>1</w:t>
      </w:r>
      <w:r>
        <w:rPr>
          <w:rStyle w:val="55"/>
          <w:rFonts w:hint="eastAsia" w:ascii="仿宋" w:hAnsi="仿宋" w:eastAsia="仿宋" w:cs="仿宋"/>
          <w:color w:val="auto"/>
          <w:szCs w:val="21"/>
        </w:rPr>
        <w:fldChar w:fldCharType="end"/>
      </w:r>
      <w:r>
        <w:rPr>
          <w:rStyle w:val="55"/>
          <w:rFonts w:hint="eastAsia" w:ascii="仿宋" w:hAnsi="仿宋" w:eastAsia="仿宋" w:cs="仿宋"/>
          <w:color w:val="auto"/>
          <w:szCs w:val="21"/>
          <w:lang w:val="en-US" w:eastAsia="zh-CN"/>
        </w:rPr>
        <w:t>-1</w:t>
      </w:r>
      <w:r>
        <w:rPr>
          <w:rFonts w:hint="eastAsia" w:ascii="仿宋" w:hAnsi="仿宋" w:eastAsia="仿宋" w:cs="仿宋"/>
          <w:color w:val="auto"/>
          <w:szCs w:val="21"/>
        </w:rPr>
        <w:t>】，如投标人代表不是法定代表人</w:t>
      </w:r>
      <w:r>
        <w:rPr>
          <w:rStyle w:val="156"/>
          <w:rFonts w:hint="eastAsia" w:ascii="仿宋" w:hAnsi="仿宋" w:eastAsia="仿宋" w:cs="仿宋"/>
          <w:color w:val="auto"/>
          <w:szCs w:val="21"/>
          <w:lang w:val="zh-CN"/>
        </w:rPr>
        <w:t>（单位负责人）</w:t>
      </w:r>
      <w:r>
        <w:rPr>
          <w:rFonts w:hint="eastAsia" w:ascii="仿宋" w:hAnsi="仿宋" w:eastAsia="仿宋" w:cs="仿宋"/>
          <w:color w:val="auto"/>
          <w:szCs w:val="21"/>
        </w:rPr>
        <w:t>的，资格文件须提供法定代表人</w:t>
      </w:r>
      <w:r>
        <w:rPr>
          <w:rStyle w:val="156"/>
          <w:rFonts w:hint="eastAsia" w:ascii="仿宋" w:hAnsi="仿宋" w:eastAsia="仿宋" w:cs="仿宋"/>
          <w:color w:val="auto"/>
          <w:szCs w:val="21"/>
          <w:lang w:val="zh-CN"/>
        </w:rPr>
        <w:t>（单位负责人）</w:t>
      </w:r>
      <w:r>
        <w:rPr>
          <w:rFonts w:hint="eastAsia" w:ascii="仿宋" w:hAnsi="仿宋" w:eastAsia="仿宋" w:cs="仿宋"/>
          <w:color w:val="auto"/>
          <w:szCs w:val="21"/>
        </w:rPr>
        <w:t>出具的授权委托书复印件【格式见</w:t>
      </w:r>
      <w:r>
        <w:rPr>
          <w:rFonts w:hint="eastAsia" w:ascii="仿宋" w:hAnsi="仿宋" w:eastAsia="仿宋" w:cs="仿宋"/>
          <w:color w:val="auto"/>
        </w:rPr>
        <w:fldChar w:fldCharType="begin"/>
      </w:r>
      <w:r>
        <w:rPr>
          <w:rFonts w:hint="eastAsia" w:ascii="仿宋" w:hAnsi="仿宋" w:eastAsia="仿宋" w:cs="仿宋"/>
          <w:color w:val="auto"/>
        </w:rPr>
        <w:instrText xml:space="preserve"> HYPERLINK \l "法定代表人授权委托书" </w:instrText>
      </w:r>
      <w:r>
        <w:rPr>
          <w:rFonts w:hint="eastAsia" w:ascii="仿宋" w:hAnsi="仿宋" w:eastAsia="仿宋" w:cs="仿宋"/>
          <w:color w:val="auto"/>
        </w:rPr>
        <w:fldChar w:fldCharType="separate"/>
      </w:r>
      <w:r>
        <w:rPr>
          <w:rStyle w:val="55"/>
          <w:rFonts w:hint="eastAsia" w:ascii="仿宋" w:hAnsi="仿宋" w:eastAsia="仿宋" w:cs="仿宋"/>
          <w:color w:val="auto"/>
          <w:szCs w:val="21"/>
        </w:rPr>
        <w:t>附</w:t>
      </w:r>
      <w:bookmarkStart w:id="18" w:name="_Hlt515892856"/>
      <w:r>
        <w:rPr>
          <w:rStyle w:val="55"/>
          <w:rFonts w:hint="eastAsia" w:ascii="仿宋" w:hAnsi="仿宋" w:eastAsia="仿宋" w:cs="仿宋"/>
          <w:color w:val="auto"/>
          <w:szCs w:val="21"/>
        </w:rPr>
        <w:t>件</w:t>
      </w:r>
      <w:bookmarkEnd w:id="18"/>
      <w:r>
        <w:rPr>
          <w:rStyle w:val="55"/>
          <w:rFonts w:hint="eastAsia" w:ascii="仿宋" w:hAnsi="仿宋" w:eastAsia="仿宋" w:cs="仿宋"/>
          <w:color w:val="auto"/>
          <w:szCs w:val="21"/>
        </w:rPr>
        <w:t>1</w:t>
      </w:r>
      <w:bookmarkStart w:id="19" w:name="_Hlt515886192"/>
      <w:r>
        <w:rPr>
          <w:rStyle w:val="55"/>
          <w:rFonts w:hint="eastAsia" w:ascii="仿宋" w:hAnsi="仿宋" w:eastAsia="仿宋" w:cs="仿宋"/>
          <w:color w:val="auto"/>
          <w:szCs w:val="21"/>
        </w:rPr>
        <w:t>-</w:t>
      </w:r>
      <w:bookmarkEnd w:id="19"/>
      <w:r>
        <w:rPr>
          <w:rStyle w:val="55"/>
          <w:rFonts w:hint="eastAsia" w:ascii="仿宋" w:hAnsi="仿宋" w:eastAsia="仿宋" w:cs="仿宋"/>
          <w:color w:val="auto"/>
          <w:szCs w:val="21"/>
        </w:rPr>
        <w:fldChar w:fldCharType="end"/>
      </w:r>
      <w:r>
        <w:rPr>
          <w:rStyle w:val="55"/>
          <w:rFonts w:hint="eastAsia" w:ascii="仿宋" w:hAnsi="仿宋" w:eastAsia="仿宋" w:cs="仿宋"/>
          <w:color w:val="auto"/>
          <w:szCs w:val="21"/>
          <w:lang w:val="en-US" w:eastAsia="zh-CN"/>
        </w:rPr>
        <w:t>2</w:t>
      </w:r>
      <w:r>
        <w:rPr>
          <w:rFonts w:hint="eastAsia" w:ascii="仿宋" w:hAnsi="仿宋" w:eastAsia="仿宋" w:cs="仿宋"/>
          <w:color w:val="auto"/>
          <w:szCs w:val="21"/>
        </w:rPr>
        <w:t>】。</w:t>
      </w:r>
    </w:p>
    <w:p w14:paraId="32F272C8">
      <w:pPr>
        <w:pageBreakBefore w:val="0"/>
        <w:kinsoku/>
        <w:topLinePunct w:val="0"/>
        <w:autoSpaceDE w:val="0"/>
        <w:autoSpaceDN w:val="0"/>
        <w:bidi w:val="0"/>
        <w:adjustRightInd w:val="0"/>
        <w:snapToGrid/>
        <w:spacing w:line="300" w:lineRule="auto"/>
        <w:ind w:firstLine="210" w:firstLineChars="100"/>
        <w:jc w:val="left"/>
        <w:rPr>
          <w:rFonts w:hint="eastAsia" w:ascii="仿宋" w:hAnsi="仿宋" w:eastAsia="仿宋" w:cs="仿宋"/>
          <w:b/>
          <w:color w:val="auto"/>
          <w:szCs w:val="21"/>
          <w:lang w:val="zh-CN"/>
        </w:rPr>
      </w:pPr>
      <w:r>
        <w:rPr>
          <w:rFonts w:hint="eastAsia" w:ascii="仿宋" w:hAnsi="仿宋" w:eastAsia="仿宋" w:cs="仿宋"/>
          <w:b/>
          <w:color w:val="auto"/>
          <w:szCs w:val="21"/>
          <w:lang w:val="zh-CN"/>
        </w:rPr>
        <w:t>（五）投标费用</w:t>
      </w:r>
    </w:p>
    <w:p w14:paraId="53282CF4">
      <w:pPr>
        <w:pStyle w:val="165"/>
        <w:widowControl/>
        <w:snapToGrid w:val="0"/>
        <w:spacing w:beforeLines="0" w:line="360" w:lineRule="auto"/>
        <w:jc w:val="left"/>
        <w:rPr>
          <w:rFonts w:hint="eastAsia" w:ascii="仿宋" w:hAnsi="仿宋" w:eastAsia="仿宋" w:cs="仿宋"/>
          <w:color w:val="auto"/>
          <w:szCs w:val="21"/>
        </w:rPr>
      </w:pPr>
      <w:r>
        <w:rPr>
          <w:rFonts w:hint="eastAsia" w:ascii="仿宋" w:hAnsi="仿宋" w:eastAsia="仿宋" w:cs="仿宋"/>
          <w:color w:val="auto"/>
          <w:szCs w:val="21"/>
        </w:rPr>
        <w:t>不论投标结果如何，投标人均应自行承担所有与投标有关的全部费用。</w:t>
      </w:r>
    </w:p>
    <w:p w14:paraId="79A63B31">
      <w:pPr>
        <w:pageBreakBefore w:val="0"/>
        <w:kinsoku/>
        <w:topLinePunct w:val="0"/>
        <w:autoSpaceDE w:val="0"/>
        <w:autoSpaceDN w:val="0"/>
        <w:bidi w:val="0"/>
        <w:adjustRightInd w:val="0"/>
        <w:snapToGrid/>
        <w:spacing w:line="300" w:lineRule="auto"/>
        <w:ind w:firstLine="210" w:firstLineChars="100"/>
        <w:jc w:val="left"/>
        <w:rPr>
          <w:rFonts w:hint="eastAsia" w:ascii="仿宋" w:hAnsi="仿宋" w:eastAsia="仿宋" w:cs="仿宋"/>
          <w:b/>
          <w:color w:val="auto"/>
          <w:szCs w:val="21"/>
          <w:lang w:val="zh-CN"/>
        </w:rPr>
      </w:pPr>
      <w:r>
        <w:rPr>
          <w:rFonts w:hint="eastAsia" w:ascii="仿宋" w:hAnsi="仿宋" w:eastAsia="仿宋" w:cs="仿宋"/>
          <w:b/>
          <w:color w:val="auto"/>
          <w:szCs w:val="21"/>
          <w:lang w:val="zh-CN"/>
        </w:rPr>
        <w:t>（六）联合体投标</w:t>
      </w:r>
    </w:p>
    <w:p w14:paraId="2998C3DA">
      <w:pPr>
        <w:pStyle w:val="165"/>
        <w:widowControl/>
        <w:snapToGrid w:val="0"/>
        <w:spacing w:beforeLines="0" w:line="360" w:lineRule="auto"/>
        <w:jc w:val="left"/>
        <w:rPr>
          <w:rFonts w:hint="eastAsia" w:ascii="仿宋" w:hAnsi="仿宋" w:eastAsia="仿宋" w:cs="仿宋"/>
          <w:color w:val="auto"/>
          <w:szCs w:val="21"/>
          <w:lang w:eastAsia="zh-CN"/>
        </w:rPr>
      </w:pPr>
      <w:r>
        <w:rPr>
          <w:rFonts w:hint="eastAsia" w:ascii="仿宋" w:hAnsi="仿宋" w:eastAsia="仿宋" w:cs="仿宋"/>
          <w:color w:val="auto"/>
          <w:szCs w:val="21"/>
        </w:rPr>
        <w:t>本项目</w:t>
      </w:r>
      <w:r>
        <w:rPr>
          <w:rFonts w:hint="eastAsia" w:ascii="仿宋" w:hAnsi="仿宋" w:eastAsia="仿宋" w:cs="仿宋"/>
          <w:color w:val="auto"/>
          <w:szCs w:val="21"/>
          <w:lang w:eastAsia="zh-CN"/>
        </w:rPr>
        <w:t>不</w:t>
      </w:r>
      <w:r>
        <w:rPr>
          <w:rFonts w:hint="eastAsia" w:ascii="仿宋" w:hAnsi="仿宋" w:eastAsia="仿宋" w:cs="仿宋"/>
          <w:color w:val="auto"/>
          <w:szCs w:val="21"/>
        </w:rPr>
        <w:t>接受联合体投标</w:t>
      </w:r>
      <w:r>
        <w:rPr>
          <w:rFonts w:hint="eastAsia" w:ascii="仿宋" w:hAnsi="仿宋" w:eastAsia="仿宋" w:cs="仿宋"/>
          <w:color w:val="auto"/>
          <w:szCs w:val="21"/>
          <w:lang w:eastAsia="zh-CN"/>
        </w:rPr>
        <w:t>。</w:t>
      </w:r>
    </w:p>
    <w:p w14:paraId="64E41707">
      <w:pPr>
        <w:pageBreakBefore w:val="0"/>
        <w:kinsoku/>
        <w:topLinePunct w:val="0"/>
        <w:autoSpaceDE w:val="0"/>
        <w:autoSpaceDN w:val="0"/>
        <w:bidi w:val="0"/>
        <w:adjustRightInd w:val="0"/>
        <w:snapToGrid/>
        <w:spacing w:line="300" w:lineRule="auto"/>
        <w:ind w:firstLine="210" w:firstLineChars="100"/>
        <w:jc w:val="left"/>
        <w:rPr>
          <w:rFonts w:hint="eastAsia" w:ascii="仿宋" w:hAnsi="仿宋" w:eastAsia="仿宋" w:cs="仿宋"/>
          <w:b/>
          <w:color w:val="auto"/>
          <w:szCs w:val="21"/>
          <w:lang w:val="zh-CN"/>
        </w:rPr>
      </w:pPr>
      <w:r>
        <w:rPr>
          <w:rFonts w:hint="eastAsia" w:ascii="仿宋" w:hAnsi="仿宋" w:eastAsia="仿宋" w:cs="仿宋"/>
          <w:b/>
          <w:color w:val="auto"/>
          <w:szCs w:val="21"/>
          <w:lang w:val="zh-CN"/>
        </w:rPr>
        <w:t>（七）转包与分包</w:t>
      </w:r>
    </w:p>
    <w:p w14:paraId="2DD8CB28">
      <w:pPr>
        <w:pStyle w:val="165"/>
        <w:widowControl/>
        <w:snapToGrid w:val="0"/>
        <w:spacing w:beforeLines="0" w:line="360" w:lineRule="auto"/>
        <w:jc w:val="left"/>
        <w:rPr>
          <w:rFonts w:hint="eastAsia" w:ascii="仿宋" w:hAnsi="仿宋" w:eastAsia="仿宋" w:cs="仿宋"/>
          <w:color w:val="auto"/>
          <w:kern w:val="0"/>
          <w:szCs w:val="21"/>
        </w:rPr>
      </w:pPr>
      <w:r>
        <w:rPr>
          <w:rFonts w:hint="eastAsia" w:ascii="仿宋" w:hAnsi="仿宋" w:eastAsia="仿宋" w:cs="仿宋"/>
          <w:color w:val="auto"/>
          <w:kern w:val="0"/>
          <w:szCs w:val="21"/>
        </w:rPr>
        <w:t>1.本项目不允许转包。</w:t>
      </w:r>
    </w:p>
    <w:p w14:paraId="47053637">
      <w:pPr>
        <w:pStyle w:val="165"/>
        <w:widowControl/>
        <w:snapToGrid w:val="0"/>
        <w:spacing w:beforeLines="0" w:line="360" w:lineRule="auto"/>
        <w:jc w:val="left"/>
        <w:rPr>
          <w:rFonts w:hint="eastAsia" w:ascii="仿宋" w:hAnsi="仿宋" w:eastAsia="仿宋" w:cs="仿宋"/>
          <w:color w:val="auto"/>
          <w:szCs w:val="21"/>
        </w:rPr>
      </w:pPr>
      <w:r>
        <w:rPr>
          <w:rFonts w:hint="eastAsia" w:ascii="仿宋" w:hAnsi="仿宋" w:eastAsia="仿宋" w:cs="仿宋"/>
          <w:color w:val="auto"/>
          <w:kern w:val="0"/>
          <w:szCs w:val="21"/>
        </w:rPr>
        <w:t>2.本项目不允许</w:t>
      </w:r>
      <w:r>
        <w:rPr>
          <w:rFonts w:hint="eastAsia" w:ascii="仿宋" w:hAnsi="仿宋" w:eastAsia="仿宋" w:cs="仿宋"/>
          <w:b w:val="0"/>
          <w:bCs w:val="0"/>
          <w:color w:val="auto"/>
          <w:kern w:val="0"/>
          <w:szCs w:val="21"/>
        </w:rPr>
        <w:t>分包</w:t>
      </w:r>
      <w:r>
        <w:rPr>
          <w:rFonts w:hint="eastAsia" w:ascii="仿宋" w:hAnsi="仿宋" w:eastAsia="仿宋" w:cs="仿宋"/>
          <w:color w:val="auto"/>
          <w:szCs w:val="21"/>
        </w:rPr>
        <w:t>。</w:t>
      </w:r>
    </w:p>
    <w:p w14:paraId="5C6FBAB2">
      <w:pPr>
        <w:pStyle w:val="3"/>
        <w:spacing w:before="0" w:after="0" w:line="360" w:lineRule="auto"/>
        <w:jc w:val="center"/>
        <w:rPr>
          <w:rFonts w:hint="eastAsia" w:ascii="仿宋" w:hAnsi="仿宋" w:eastAsia="仿宋" w:cs="仿宋"/>
          <w:bCs w:val="0"/>
          <w:color w:val="auto"/>
          <w:sz w:val="28"/>
          <w:szCs w:val="28"/>
          <w:lang w:val="zh-CN"/>
        </w:rPr>
      </w:pPr>
      <w:bookmarkStart w:id="20" w:name="_Toc13632"/>
      <w:bookmarkStart w:id="21" w:name="_Toc25057"/>
      <w:r>
        <w:rPr>
          <w:rFonts w:hint="eastAsia" w:ascii="仿宋" w:hAnsi="仿宋" w:eastAsia="仿宋" w:cs="仿宋"/>
          <w:bCs w:val="0"/>
          <w:color w:val="auto"/>
          <w:sz w:val="28"/>
          <w:szCs w:val="28"/>
          <w:lang w:val="zh-CN"/>
        </w:rPr>
        <w:t>二、采购文件</w:t>
      </w:r>
      <w:bookmarkEnd w:id="20"/>
      <w:bookmarkEnd w:id="21"/>
    </w:p>
    <w:p w14:paraId="72C22C92">
      <w:pPr>
        <w:pageBreakBefore w:val="0"/>
        <w:kinsoku/>
        <w:topLinePunct w:val="0"/>
        <w:autoSpaceDE w:val="0"/>
        <w:autoSpaceDN w:val="0"/>
        <w:bidi w:val="0"/>
        <w:adjustRightInd w:val="0"/>
        <w:snapToGrid/>
        <w:spacing w:line="300" w:lineRule="auto"/>
        <w:ind w:firstLine="210" w:firstLineChars="100"/>
        <w:jc w:val="left"/>
        <w:rPr>
          <w:rFonts w:hint="eastAsia" w:ascii="仿宋" w:hAnsi="仿宋" w:eastAsia="仿宋" w:cs="仿宋"/>
          <w:b/>
          <w:color w:val="auto"/>
          <w:szCs w:val="21"/>
          <w:lang w:val="zh-CN"/>
        </w:rPr>
      </w:pPr>
      <w:r>
        <w:rPr>
          <w:rFonts w:hint="eastAsia" w:ascii="仿宋" w:hAnsi="仿宋" w:eastAsia="仿宋" w:cs="仿宋"/>
          <w:b/>
          <w:color w:val="auto"/>
          <w:szCs w:val="21"/>
          <w:lang w:val="zh-CN"/>
        </w:rPr>
        <w:t>（一）采购文件的构成。本采购文件由以下部份组成：</w:t>
      </w:r>
    </w:p>
    <w:p w14:paraId="7CF02913">
      <w:pPr>
        <w:pStyle w:val="165"/>
        <w:widowControl/>
        <w:snapToGrid w:val="0"/>
        <w:spacing w:beforeLines="0" w:line="360" w:lineRule="auto"/>
        <w:jc w:val="left"/>
        <w:rPr>
          <w:rFonts w:hint="eastAsia" w:ascii="仿宋" w:hAnsi="仿宋" w:eastAsia="仿宋" w:cs="仿宋"/>
          <w:color w:val="auto"/>
          <w:szCs w:val="21"/>
        </w:rPr>
      </w:pPr>
      <w:r>
        <w:rPr>
          <w:rFonts w:hint="eastAsia" w:ascii="仿宋" w:hAnsi="仿宋" w:eastAsia="仿宋" w:cs="仿宋"/>
          <w:color w:val="auto"/>
          <w:szCs w:val="21"/>
        </w:rPr>
        <w:t>1.招标公告</w:t>
      </w:r>
    </w:p>
    <w:p w14:paraId="03596054">
      <w:pPr>
        <w:pStyle w:val="165"/>
        <w:widowControl/>
        <w:snapToGrid w:val="0"/>
        <w:spacing w:beforeLines="0" w:line="360" w:lineRule="auto"/>
        <w:jc w:val="left"/>
        <w:rPr>
          <w:rFonts w:hint="eastAsia" w:ascii="仿宋" w:hAnsi="仿宋" w:eastAsia="仿宋" w:cs="仿宋"/>
          <w:color w:val="auto"/>
          <w:szCs w:val="21"/>
        </w:rPr>
      </w:pPr>
      <w:r>
        <w:rPr>
          <w:rFonts w:hint="eastAsia" w:ascii="仿宋" w:hAnsi="仿宋" w:eastAsia="仿宋" w:cs="仿宋"/>
          <w:color w:val="auto"/>
          <w:szCs w:val="21"/>
        </w:rPr>
        <w:t>2.投标</w:t>
      </w:r>
      <w:r>
        <w:rPr>
          <w:rFonts w:hint="eastAsia" w:ascii="仿宋" w:hAnsi="仿宋" w:eastAsia="仿宋" w:cs="仿宋"/>
          <w:color w:val="auto"/>
          <w:szCs w:val="21"/>
          <w:lang w:eastAsia="zh-CN"/>
        </w:rPr>
        <w:t>人</w:t>
      </w:r>
      <w:r>
        <w:rPr>
          <w:rFonts w:hint="eastAsia" w:ascii="仿宋" w:hAnsi="仿宋" w:eastAsia="仿宋" w:cs="仿宋"/>
          <w:color w:val="auto"/>
          <w:szCs w:val="21"/>
        </w:rPr>
        <w:t>须知</w:t>
      </w:r>
    </w:p>
    <w:p w14:paraId="5FDB4F71">
      <w:pPr>
        <w:pStyle w:val="165"/>
        <w:widowControl/>
        <w:snapToGrid w:val="0"/>
        <w:spacing w:beforeLines="0" w:line="360" w:lineRule="auto"/>
        <w:jc w:val="left"/>
        <w:rPr>
          <w:rFonts w:hint="eastAsia" w:ascii="仿宋" w:hAnsi="仿宋" w:eastAsia="仿宋" w:cs="仿宋"/>
          <w:color w:val="auto"/>
          <w:szCs w:val="21"/>
        </w:rPr>
      </w:pPr>
      <w:r>
        <w:rPr>
          <w:rFonts w:hint="eastAsia" w:ascii="仿宋" w:hAnsi="仿宋" w:eastAsia="仿宋" w:cs="仿宋"/>
          <w:color w:val="auto"/>
          <w:szCs w:val="21"/>
        </w:rPr>
        <w:t>3.采购内容及要求</w:t>
      </w:r>
    </w:p>
    <w:p w14:paraId="60B1FFE7">
      <w:pPr>
        <w:pStyle w:val="165"/>
        <w:widowControl/>
        <w:snapToGrid w:val="0"/>
        <w:spacing w:beforeLines="0" w:line="360" w:lineRule="auto"/>
        <w:jc w:val="left"/>
        <w:rPr>
          <w:rFonts w:hint="eastAsia" w:ascii="仿宋" w:hAnsi="仿宋" w:eastAsia="仿宋" w:cs="仿宋"/>
          <w:color w:val="auto"/>
          <w:szCs w:val="21"/>
          <w:lang w:eastAsia="zh-CN"/>
        </w:rPr>
      </w:pPr>
      <w:r>
        <w:rPr>
          <w:rFonts w:hint="eastAsia" w:ascii="仿宋" w:hAnsi="仿宋" w:eastAsia="仿宋" w:cs="仿宋"/>
          <w:color w:val="auto"/>
          <w:szCs w:val="21"/>
        </w:rPr>
        <w:t>4.合同主要条款</w:t>
      </w:r>
    </w:p>
    <w:p w14:paraId="444108D0">
      <w:pPr>
        <w:pStyle w:val="165"/>
        <w:widowControl/>
        <w:snapToGrid w:val="0"/>
        <w:spacing w:beforeLines="0" w:line="360" w:lineRule="auto"/>
        <w:jc w:val="left"/>
        <w:rPr>
          <w:rFonts w:hint="eastAsia" w:ascii="仿宋" w:hAnsi="仿宋" w:eastAsia="仿宋" w:cs="仿宋"/>
          <w:color w:val="auto"/>
          <w:szCs w:val="21"/>
        </w:rPr>
      </w:pPr>
      <w:r>
        <w:rPr>
          <w:rFonts w:hint="eastAsia" w:ascii="仿宋" w:hAnsi="仿宋" w:eastAsia="仿宋" w:cs="仿宋"/>
          <w:color w:val="auto"/>
          <w:szCs w:val="21"/>
        </w:rPr>
        <w:t>5.评标办法</w:t>
      </w:r>
      <w:r>
        <w:rPr>
          <w:rFonts w:hint="eastAsia" w:ascii="仿宋" w:hAnsi="仿宋" w:eastAsia="仿宋" w:cs="仿宋"/>
          <w:color w:val="auto"/>
          <w:szCs w:val="21"/>
          <w:lang w:eastAsia="zh-CN"/>
        </w:rPr>
        <w:t>及评分标准</w:t>
      </w:r>
    </w:p>
    <w:p w14:paraId="3803351D">
      <w:pPr>
        <w:pStyle w:val="165"/>
        <w:widowControl/>
        <w:snapToGrid w:val="0"/>
        <w:spacing w:beforeLines="0" w:line="360" w:lineRule="auto"/>
        <w:jc w:val="left"/>
        <w:rPr>
          <w:rFonts w:hint="eastAsia" w:ascii="仿宋" w:hAnsi="仿宋" w:eastAsia="仿宋" w:cs="仿宋"/>
          <w:color w:val="auto"/>
          <w:szCs w:val="21"/>
        </w:rPr>
      </w:pPr>
      <w:r>
        <w:rPr>
          <w:rFonts w:hint="eastAsia" w:ascii="仿宋" w:hAnsi="仿宋" w:eastAsia="仿宋" w:cs="仿宋"/>
          <w:color w:val="auto"/>
          <w:szCs w:val="21"/>
        </w:rPr>
        <w:t>6.投标文件格式</w:t>
      </w:r>
    </w:p>
    <w:p w14:paraId="5CF01BEE">
      <w:pPr>
        <w:pStyle w:val="165"/>
        <w:widowControl/>
        <w:snapToGrid w:val="0"/>
        <w:spacing w:beforeLines="0" w:line="360" w:lineRule="auto"/>
        <w:jc w:val="left"/>
        <w:rPr>
          <w:rFonts w:hint="eastAsia" w:ascii="仿宋" w:hAnsi="仿宋" w:eastAsia="仿宋" w:cs="仿宋"/>
          <w:color w:val="auto"/>
          <w:szCs w:val="21"/>
        </w:rPr>
      </w:pPr>
      <w:r>
        <w:rPr>
          <w:rFonts w:hint="eastAsia" w:ascii="仿宋" w:hAnsi="仿宋" w:eastAsia="仿宋" w:cs="仿宋"/>
          <w:color w:val="auto"/>
          <w:szCs w:val="21"/>
        </w:rPr>
        <w:t>7.本项目采购文件的澄清、答复、修改、补充的内容（如有）</w:t>
      </w:r>
    </w:p>
    <w:p w14:paraId="0001020B">
      <w:pPr>
        <w:pageBreakBefore w:val="0"/>
        <w:kinsoku/>
        <w:topLinePunct w:val="0"/>
        <w:autoSpaceDE w:val="0"/>
        <w:autoSpaceDN w:val="0"/>
        <w:bidi w:val="0"/>
        <w:adjustRightInd w:val="0"/>
        <w:snapToGrid/>
        <w:spacing w:line="300" w:lineRule="auto"/>
        <w:ind w:firstLine="210" w:firstLineChars="100"/>
        <w:jc w:val="left"/>
        <w:rPr>
          <w:rFonts w:hint="eastAsia" w:ascii="仿宋" w:hAnsi="仿宋" w:eastAsia="仿宋" w:cs="仿宋"/>
          <w:b/>
          <w:color w:val="auto"/>
          <w:szCs w:val="21"/>
          <w:lang w:val="zh-CN"/>
        </w:rPr>
      </w:pPr>
      <w:r>
        <w:rPr>
          <w:rFonts w:hint="eastAsia" w:ascii="仿宋" w:hAnsi="仿宋" w:eastAsia="仿宋" w:cs="仿宋"/>
          <w:b/>
          <w:color w:val="auto"/>
          <w:szCs w:val="21"/>
          <w:lang w:val="zh-CN"/>
        </w:rPr>
        <w:t>（二）投标人的风险</w:t>
      </w:r>
    </w:p>
    <w:p w14:paraId="47640EF5">
      <w:pPr>
        <w:pStyle w:val="165"/>
        <w:widowControl/>
        <w:snapToGrid w:val="0"/>
        <w:spacing w:beforeLines="0" w:line="360" w:lineRule="auto"/>
        <w:jc w:val="left"/>
        <w:rPr>
          <w:rFonts w:hint="eastAsia" w:ascii="仿宋" w:hAnsi="仿宋" w:eastAsia="仿宋" w:cs="仿宋"/>
          <w:color w:val="auto"/>
          <w:sz w:val="21"/>
          <w:szCs w:val="21"/>
        </w:rPr>
      </w:pPr>
      <w:r>
        <w:rPr>
          <w:rFonts w:hint="eastAsia" w:ascii="仿宋" w:hAnsi="仿宋" w:eastAsia="仿宋" w:cs="仿宋"/>
          <w:color w:val="auto"/>
          <w:sz w:val="21"/>
          <w:szCs w:val="21"/>
        </w:rPr>
        <w:t>潜在投标人获取采购文件后，应仔细检查采购文件的所有内容，如有残缺等问题，应在招标采购文件公告期限满之日起的7个工作日内向采购人或代理机构提出，否则，由此引起的损失由投标人自己承担。投标人同时应认真审阅采购文件中所有的事项、格式、条款和规范要求等，若投标人的投标文件没有按采购文件要求提交全部资料，或投标文件没有对采购文件做出实质性响应，并根据有关条款规定，其风险由投标人自行承担。</w:t>
      </w:r>
    </w:p>
    <w:p w14:paraId="2C5C6079">
      <w:pPr>
        <w:pageBreakBefore w:val="0"/>
        <w:kinsoku/>
        <w:topLinePunct w:val="0"/>
        <w:autoSpaceDE w:val="0"/>
        <w:autoSpaceDN w:val="0"/>
        <w:bidi w:val="0"/>
        <w:adjustRightInd w:val="0"/>
        <w:snapToGrid/>
        <w:spacing w:line="300" w:lineRule="auto"/>
        <w:ind w:firstLine="210" w:firstLineChars="100"/>
        <w:jc w:val="left"/>
        <w:rPr>
          <w:rFonts w:hint="eastAsia" w:ascii="仿宋" w:hAnsi="仿宋" w:eastAsia="仿宋" w:cs="仿宋"/>
          <w:b/>
          <w:color w:val="auto"/>
          <w:szCs w:val="21"/>
        </w:rPr>
      </w:pPr>
      <w:r>
        <w:rPr>
          <w:rFonts w:hint="eastAsia" w:ascii="仿宋" w:hAnsi="仿宋" w:eastAsia="仿宋" w:cs="仿宋"/>
          <w:b/>
          <w:color w:val="auto"/>
          <w:szCs w:val="21"/>
          <w:lang w:val="zh-CN"/>
        </w:rPr>
        <w:t>（三）采购文件的澄清与修改</w:t>
      </w:r>
    </w:p>
    <w:p w14:paraId="0C1FE8FA">
      <w:pPr>
        <w:pStyle w:val="165"/>
        <w:widowControl/>
        <w:snapToGrid w:val="0"/>
        <w:spacing w:beforeLines="0" w:line="360" w:lineRule="auto"/>
        <w:jc w:val="left"/>
        <w:rPr>
          <w:rFonts w:hint="eastAsia" w:ascii="仿宋" w:hAnsi="仿宋" w:eastAsia="仿宋" w:cs="仿宋"/>
          <w:color w:val="auto"/>
          <w:sz w:val="21"/>
          <w:szCs w:val="21"/>
        </w:rPr>
      </w:pPr>
      <w:r>
        <w:rPr>
          <w:rFonts w:hint="eastAsia" w:ascii="仿宋" w:hAnsi="仿宋" w:eastAsia="仿宋" w:cs="仿宋"/>
          <w:color w:val="auto"/>
          <w:sz w:val="21"/>
          <w:szCs w:val="21"/>
        </w:rPr>
        <w:t>1.采购人或者采购代理机构可以对已发出的采购文件进行必要的澄清或者修改。澄清或者修改的内容在原公告发布媒体上以补充（更正）公告形式通知所有获取采购文件的潜在投标人。澄清或者修改的内容作为采购采购文件的补充和组成部分，对所有投标人均有约束力。澄清或者修改的内容可能影响投标文件编制且发出时间距投标截止时间不足15日的，将顺延投标截止时间。</w:t>
      </w:r>
    </w:p>
    <w:p w14:paraId="2B4DE3BF">
      <w:pPr>
        <w:pStyle w:val="165"/>
        <w:widowControl/>
        <w:snapToGrid w:val="0"/>
        <w:spacing w:beforeLines="0" w:line="360" w:lineRule="auto"/>
        <w:jc w:val="left"/>
        <w:rPr>
          <w:rFonts w:hint="eastAsia" w:ascii="仿宋" w:hAnsi="仿宋" w:eastAsia="仿宋" w:cs="仿宋"/>
          <w:color w:val="auto"/>
          <w:sz w:val="21"/>
          <w:szCs w:val="21"/>
        </w:rPr>
      </w:pPr>
      <w:r>
        <w:rPr>
          <w:rFonts w:hint="eastAsia" w:ascii="仿宋" w:hAnsi="仿宋" w:eastAsia="仿宋" w:cs="仿宋"/>
          <w:color w:val="auto"/>
          <w:sz w:val="21"/>
          <w:szCs w:val="21"/>
        </w:rPr>
        <w:t>2.投标人应认真阅读本采购文件，发现其中有误或有不合理要求的，投标人应当自知道或者应当知道其合法权益受到损害之日起七个工作日内提出质疑。对采购公告信息（含投标人资格条件）提出质疑的，质疑期限自采购公告期限届满之日起计算。针对同一采购程序环节的质疑，投标人应在法定期限内一次性提出（即针对同一采购程序环节的质疑采购人或采购代理机构仅受理一次）。</w:t>
      </w:r>
    </w:p>
    <w:p w14:paraId="26B093FB">
      <w:pPr>
        <w:pStyle w:val="165"/>
        <w:widowControl/>
        <w:snapToGrid w:val="0"/>
        <w:spacing w:beforeLines="0" w:line="360" w:lineRule="auto"/>
        <w:jc w:val="left"/>
        <w:rPr>
          <w:rFonts w:hint="eastAsia" w:ascii="仿宋" w:hAnsi="仿宋" w:eastAsia="仿宋" w:cs="仿宋"/>
          <w:color w:val="auto"/>
          <w:sz w:val="21"/>
          <w:szCs w:val="21"/>
        </w:rPr>
      </w:pPr>
      <w:r>
        <w:rPr>
          <w:rFonts w:hint="eastAsia" w:ascii="仿宋" w:hAnsi="仿宋" w:eastAsia="仿宋" w:cs="仿宋"/>
          <w:color w:val="auto"/>
          <w:sz w:val="21"/>
          <w:szCs w:val="21"/>
        </w:rPr>
        <w:t>3.采购文件</w:t>
      </w:r>
      <w:r>
        <w:rPr>
          <w:rFonts w:hint="eastAsia" w:ascii="仿宋" w:hAnsi="仿宋" w:eastAsia="仿宋" w:cs="仿宋"/>
          <w:color w:val="auto"/>
          <w:szCs w:val="21"/>
        </w:rPr>
        <w:t>澄清</w:t>
      </w:r>
      <w:r>
        <w:rPr>
          <w:rFonts w:hint="eastAsia" w:ascii="仿宋" w:hAnsi="仿宋" w:eastAsia="仿宋" w:cs="仿宋"/>
          <w:color w:val="auto"/>
          <w:sz w:val="21"/>
          <w:szCs w:val="21"/>
        </w:rPr>
        <w:t>、答复、修改、补充的内容为采购文件的组成部分。当采购文件与采购文件的答复、澄清、修改、补充通知就同一内容的表述不一致时，以最后发出的书面文件为准。</w:t>
      </w:r>
    </w:p>
    <w:p w14:paraId="1990A8A6">
      <w:pPr>
        <w:pStyle w:val="3"/>
        <w:spacing w:before="0" w:after="0" w:line="360" w:lineRule="auto"/>
        <w:jc w:val="center"/>
        <w:rPr>
          <w:rFonts w:hint="eastAsia" w:ascii="仿宋" w:hAnsi="仿宋" w:eastAsia="仿宋" w:cs="仿宋"/>
          <w:bCs w:val="0"/>
          <w:color w:val="auto"/>
          <w:sz w:val="28"/>
          <w:szCs w:val="28"/>
          <w:lang w:val="zh-CN"/>
        </w:rPr>
      </w:pPr>
      <w:bookmarkStart w:id="22" w:name="_Toc15479"/>
      <w:bookmarkStart w:id="23" w:name="_Toc18558"/>
      <w:bookmarkStart w:id="24" w:name="_Toc4947"/>
      <w:r>
        <w:rPr>
          <w:rFonts w:hint="eastAsia" w:ascii="仿宋" w:hAnsi="仿宋" w:eastAsia="仿宋" w:cs="仿宋"/>
          <w:bCs w:val="0"/>
          <w:color w:val="auto"/>
          <w:sz w:val="28"/>
          <w:szCs w:val="28"/>
          <w:lang w:val="zh-CN"/>
        </w:rPr>
        <w:t>三、投标文件</w:t>
      </w:r>
      <w:bookmarkEnd w:id="22"/>
      <w:bookmarkEnd w:id="23"/>
      <w:bookmarkEnd w:id="24"/>
    </w:p>
    <w:p w14:paraId="3BD915F5">
      <w:pPr>
        <w:pageBreakBefore w:val="0"/>
        <w:kinsoku/>
        <w:topLinePunct w:val="0"/>
        <w:bidi w:val="0"/>
        <w:snapToGrid/>
        <w:spacing w:line="300" w:lineRule="auto"/>
        <w:ind w:firstLine="420" w:firstLineChars="200"/>
        <w:rPr>
          <w:rFonts w:hint="eastAsia" w:ascii="仿宋" w:hAnsi="仿宋" w:eastAsia="仿宋" w:cs="仿宋"/>
          <w:b/>
          <w:color w:val="auto"/>
          <w:szCs w:val="21"/>
          <w:lang w:val="zh-CN"/>
        </w:rPr>
      </w:pPr>
      <w:r>
        <w:rPr>
          <w:rFonts w:hint="eastAsia" w:ascii="仿宋" w:hAnsi="仿宋" w:eastAsia="仿宋" w:cs="仿宋"/>
          <w:b/>
          <w:bCs/>
          <w:color w:val="auto"/>
          <w:szCs w:val="21"/>
        </w:rPr>
        <w:t>（一）</w:t>
      </w:r>
      <w:r>
        <w:rPr>
          <w:rFonts w:hint="eastAsia" w:ascii="仿宋" w:hAnsi="仿宋" w:eastAsia="仿宋" w:cs="仿宋"/>
          <w:b/>
          <w:color w:val="auto"/>
          <w:szCs w:val="21"/>
          <w:lang w:val="zh-CN"/>
        </w:rPr>
        <w:t>投标</w:t>
      </w:r>
      <w:r>
        <w:rPr>
          <w:rStyle w:val="156"/>
          <w:rFonts w:hint="eastAsia" w:ascii="仿宋" w:hAnsi="仿宋" w:eastAsia="仿宋" w:cs="仿宋"/>
          <w:b/>
          <w:color w:val="auto"/>
          <w:szCs w:val="21"/>
          <w:lang w:val="zh-CN"/>
        </w:rPr>
        <w:t>文件</w:t>
      </w:r>
      <w:r>
        <w:rPr>
          <w:rFonts w:hint="eastAsia" w:ascii="仿宋" w:hAnsi="仿宋" w:eastAsia="仿宋" w:cs="仿宋"/>
          <w:b/>
          <w:color w:val="auto"/>
          <w:szCs w:val="21"/>
          <w:lang w:val="zh-CN"/>
        </w:rPr>
        <w:t>的组成</w:t>
      </w:r>
    </w:p>
    <w:p w14:paraId="33DBC3A5">
      <w:pPr>
        <w:pStyle w:val="165"/>
        <w:widowControl/>
        <w:snapToGrid w:val="0"/>
        <w:spacing w:beforeLines="0" w:line="360" w:lineRule="auto"/>
        <w:jc w:val="left"/>
        <w:rPr>
          <w:rFonts w:hint="eastAsia" w:ascii="仿宋" w:hAnsi="仿宋" w:eastAsia="仿宋" w:cs="仿宋"/>
          <w:b/>
          <w:color w:val="auto"/>
          <w:szCs w:val="21"/>
          <w:highlight w:val="yellow"/>
          <w:u w:val="single"/>
          <w:lang w:val="zh-CN"/>
        </w:rPr>
      </w:pPr>
      <w:r>
        <w:rPr>
          <w:rFonts w:hint="eastAsia" w:ascii="仿宋" w:hAnsi="仿宋" w:eastAsia="仿宋" w:cs="仿宋"/>
          <w:b/>
          <w:bCs/>
          <w:color w:val="auto"/>
          <w:szCs w:val="21"/>
          <w:u w:val="single"/>
          <w:lang w:val="zh-CN"/>
        </w:rPr>
        <w:t>★</w:t>
      </w:r>
      <w:r>
        <w:rPr>
          <w:rFonts w:hint="eastAsia" w:ascii="仿宋" w:hAnsi="仿宋" w:eastAsia="仿宋" w:cs="仿宋"/>
          <w:b/>
          <w:color w:val="auto"/>
          <w:szCs w:val="21"/>
          <w:u w:val="single"/>
        </w:rPr>
        <w:t>投标文件由</w:t>
      </w:r>
      <w:r>
        <w:rPr>
          <w:rFonts w:hint="eastAsia" w:ascii="仿宋" w:hAnsi="仿宋" w:eastAsia="仿宋" w:cs="仿宋"/>
          <w:b/>
          <w:bCs/>
          <w:color w:val="auto"/>
          <w:szCs w:val="21"/>
          <w:u w:val="single"/>
          <w:lang w:val="zh-CN"/>
        </w:rPr>
        <w:t>【资格文件】</w:t>
      </w:r>
      <w:r>
        <w:rPr>
          <w:rFonts w:hint="eastAsia" w:ascii="仿宋" w:hAnsi="仿宋" w:eastAsia="仿宋" w:cs="仿宋"/>
          <w:b/>
          <w:color w:val="auto"/>
          <w:szCs w:val="21"/>
          <w:u w:val="single"/>
          <w:lang w:val="zh-CN"/>
        </w:rPr>
        <w:t>、</w:t>
      </w:r>
      <w:r>
        <w:rPr>
          <w:rFonts w:hint="eastAsia" w:ascii="仿宋" w:hAnsi="仿宋" w:eastAsia="仿宋" w:cs="仿宋"/>
          <w:b/>
          <w:bCs/>
          <w:color w:val="auto"/>
          <w:szCs w:val="21"/>
          <w:u w:val="single"/>
          <w:lang w:val="zh-CN"/>
        </w:rPr>
        <w:t>【商务技术文件】、【报价文件】</w:t>
      </w:r>
      <w:r>
        <w:rPr>
          <w:rFonts w:hint="eastAsia" w:ascii="仿宋" w:hAnsi="仿宋" w:eastAsia="仿宋" w:cs="仿宋"/>
          <w:b/>
          <w:color w:val="auto"/>
          <w:szCs w:val="21"/>
          <w:u w:val="single"/>
        </w:rPr>
        <w:t>三个类别组成。</w:t>
      </w:r>
    </w:p>
    <w:p w14:paraId="0A246B64">
      <w:pPr>
        <w:pStyle w:val="165"/>
        <w:widowControl/>
        <w:snapToGrid w:val="0"/>
        <w:spacing w:beforeLines="0" w:line="360" w:lineRule="auto"/>
        <w:jc w:val="left"/>
        <w:rPr>
          <w:rFonts w:hint="eastAsia" w:ascii="仿宋" w:hAnsi="仿宋" w:eastAsia="仿宋" w:cs="仿宋"/>
          <w:color w:val="auto"/>
          <w:szCs w:val="21"/>
          <w:lang w:val="zh-CN"/>
        </w:rPr>
      </w:pPr>
      <w:r>
        <w:rPr>
          <w:rFonts w:hint="eastAsia" w:ascii="宋体" w:hAnsi="宋体" w:eastAsia="宋体" w:cs="宋体"/>
          <w:b/>
          <w:color w:val="auto"/>
          <w:szCs w:val="21"/>
          <w:lang w:val="zh-CN"/>
        </w:rPr>
        <w:t>▲</w:t>
      </w:r>
      <w:r>
        <w:rPr>
          <w:rFonts w:hint="eastAsia" w:ascii="仿宋" w:hAnsi="仿宋" w:eastAsia="仿宋" w:cs="仿宋"/>
          <w:b/>
          <w:color w:val="auto"/>
          <w:szCs w:val="21"/>
          <w:lang w:val="zh-CN"/>
        </w:rPr>
        <w:t>1.【资格文件】：</w:t>
      </w:r>
      <w:r>
        <w:rPr>
          <w:rFonts w:hint="eastAsia" w:ascii="仿宋" w:hAnsi="仿宋" w:eastAsia="仿宋" w:cs="仿宋"/>
          <w:color w:val="auto"/>
          <w:szCs w:val="21"/>
          <w:u w:val="single"/>
          <w:lang w:val="zh-CN"/>
        </w:rPr>
        <w:t>（</w:t>
      </w:r>
      <w:r>
        <w:rPr>
          <w:rFonts w:hint="eastAsia" w:ascii="仿宋" w:hAnsi="仿宋" w:eastAsia="仿宋" w:cs="仿宋"/>
          <w:bCs/>
          <w:color w:val="auto"/>
          <w:szCs w:val="21"/>
          <w:u w:val="single"/>
          <w:lang w:val="zh-CN"/>
        </w:rPr>
        <w:t>包含以下内容</w:t>
      </w:r>
      <w:r>
        <w:rPr>
          <w:rFonts w:hint="eastAsia" w:ascii="仿宋" w:hAnsi="仿宋" w:eastAsia="仿宋" w:cs="仿宋"/>
          <w:color w:val="auto"/>
          <w:szCs w:val="21"/>
          <w:u w:val="single"/>
          <w:lang w:val="zh-CN"/>
        </w:rPr>
        <w:t>）</w:t>
      </w:r>
    </w:p>
    <w:p w14:paraId="64484397">
      <w:pPr>
        <w:pStyle w:val="165"/>
        <w:widowControl/>
        <w:snapToGrid w:val="0"/>
        <w:spacing w:beforeLines="0" w:line="360" w:lineRule="auto"/>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color w:val="auto"/>
          <w:szCs w:val="21"/>
          <w:lang w:val="zh-CN"/>
        </w:rPr>
        <w:t>（1）有效的</w:t>
      </w:r>
      <w:r>
        <w:rPr>
          <w:rFonts w:hint="eastAsia" w:ascii="仿宋" w:hAnsi="仿宋" w:eastAsia="仿宋" w:cs="仿宋"/>
          <w:b w:val="0"/>
          <w:bCs w:val="0"/>
          <w:color w:val="auto"/>
          <w:szCs w:val="21"/>
          <w:lang w:val="zh-CN"/>
        </w:rPr>
        <w:t>营业执照</w:t>
      </w:r>
      <w:r>
        <w:rPr>
          <w:rFonts w:hint="eastAsia" w:ascii="仿宋" w:hAnsi="仿宋" w:eastAsia="仿宋" w:cs="仿宋"/>
          <w:b/>
          <w:bCs/>
          <w:color w:val="auto"/>
          <w:szCs w:val="21"/>
          <w:lang w:val="zh-CN"/>
        </w:rPr>
        <w:t>原件扫描件</w:t>
      </w:r>
      <w:r>
        <w:rPr>
          <w:rFonts w:hint="eastAsia" w:ascii="仿宋" w:hAnsi="仿宋" w:eastAsia="仿宋" w:cs="仿宋"/>
          <w:b w:val="0"/>
          <w:bCs w:val="0"/>
          <w:color w:val="auto"/>
          <w:szCs w:val="21"/>
          <w:highlight w:val="none"/>
          <w:lang w:val="en-US" w:eastAsia="zh-CN"/>
        </w:rPr>
        <w:t>；</w:t>
      </w:r>
    </w:p>
    <w:p w14:paraId="6FB40C64">
      <w:pPr>
        <w:pStyle w:val="165"/>
        <w:widowControl/>
        <w:snapToGrid w:val="0"/>
        <w:spacing w:beforeLines="0" w:line="360" w:lineRule="auto"/>
        <w:jc w:val="left"/>
        <w:rPr>
          <w:rStyle w:val="156"/>
          <w:rFonts w:hint="eastAsia" w:ascii="仿宋" w:hAnsi="仿宋" w:eastAsia="仿宋" w:cs="仿宋"/>
          <w:color w:val="auto"/>
          <w:szCs w:val="21"/>
          <w:lang w:val="zh-CN"/>
        </w:rPr>
      </w:pPr>
      <w:r>
        <w:rPr>
          <w:rFonts w:hint="eastAsia" w:ascii="仿宋" w:hAnsi="仿宋" w:eastAsia="仿宋" w:cs="仿宋"/>
          <w:color w:val="auto"/>
          <w:szCs w:val="21"/>
          <w:highlight w:val="none"/>
          <w:lang w:val="zh-CN"/>
        </w:rPr>
        <w:t>（</w:t>
      </w: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lang w:val="zh-CN"/>
        </w:rPr>
        <w:t>）</w:t>
      </w:r>
      <w:r>
        <w:rPr>
          <w:rStyle w:val="156"/>
          <w:rFonts w:hint="eastAsia" w:ascii="仿宋" w:hAnsi="仿宋" w:eastAsia="仿宋" w:cs="仿宋"/>
          <w:color w:val="auto"/>
          <w:szCs w:val="21"/>
          <w:highlight w:val="none"/>
          <w:lang w:val="zh-CN"/>
        </w:rPr>
        <w:t>法定</w:t>
      </w:r>
      <w:r>
        <w:rPr>
          <w:rFonts w:hint="eastAsia" w:ascii="仿宋" w:hAnsi="仿宋" w:eastAsia="仿宋" w:cs="仿宋"/>
          <w:color w:val="auto"/>
          <w:szCs w:val="21"/>
          <w:lang w:val="zh-CN"/>
        </w:rPr>
        <w:t>代表人</w:t>
      </w:r>
      <w:r>
        <w:rPr>
          <w:rStyle w:val="156"/>
          <w:rFonts w:hint="eastAsia" w:ascii="仿宋" w:hAnsi="仿宋" w:eastAsia="仿宋" w:cs="仿宋"/>
          <w:color w:val="auto"/>
          <w:szCs w:val="21"/>
          <w:highlight w:val="none"/>
          <w:lang w:val="zh-CN"/>
        </w:rPr>
        <w:t>（单位负责人）身份证明【格式见</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"法定代表人身份证明" </w:instrText>
      </w:r>
      <w:r>
        <w:rPr>
          <w:rFonts w:hint="eastAsia" w:ascii="仿宋" w:hAnsi="仿宋" w:eastAsia="仿宋" w:cs="仿宋"/>
          <w:color w:val="auto"/>
          <w:highlight w:val="none"/>
        </w:rPr>
        <w:fldChar w:fldCharType="separate"/>
      </w:r>
      <w:r>
        <w:rPr>
          <w:rStyle w:val="55"/>
          <w:rFonts w:hint="eastAsia" w:ascii="仿宋" w:hAnsi="仿宋" w:eastAsia="仿宋" w:cs="仿宋"/>
          <w:color w:val="auto"/>
          <w:szCs w:val="21"/>
          <w:highlight w:val="none"/>
          <w:lang w:val="zh-CN"/>
        </w:rPr>
        <w:t>附件</w:t>
      </w:r>
      <w:r>
        <w:rPr>
          <w:rStyle w:val="55"/>
          <w:rFonts w:hint="eastAsia" w:ascii="仿宋" w:hAnsi="仿宋" w:eastAsia="仿宋" w:cs="仿宋"/>
          <w:color w:val="auto"/>
          <w:szCs w:val="21"/>
          <w:highlight w:val="none"/>
          <w:lang w:val="en-US" w:eastAsia="zh-CN"/>
        </w:rPr>
        <w:t>1</w:t>
      </w:r>
      <w:r>
        <w:rPr>
          <w:rStyle w:val="55"/>
          <w:rFonts w:hint="eastAsia" w:ascii="仿宋" w:hAnsi="仿宋" w:eastAsia="仿宋" w:cs="仿宋"/>
          <w:color w:val="auto"/>
          <w:szCs w:val="21"/>
          <w:highlight w:val="none"/>
          <w:lang w:val="zh-CN"/>
        </w:rPr>
        <w:t>-1</w:t>
      </w:r>
      <w:r>
        <w:rPr>
          <w:rStyle w:val="57"/>
          <w:rFonts w:hint="eastAsia" w:ascii="仿宋" w:hAnsi="仿宋" w:eastAsia="仿宋" w:cs="仿宋"/>
          <w:color w:val="auto"/>
          <w:szCs w:val="21"/>
          <w:highlight w:val="none"/>
          <w:lang w:val="zh-CN"/>
        </w:rPr>
        <w:fldChar w:fldCharType="end"/>
      </w:r>
      <w:r>
        <w:rPr>
          <w:rStyle w:val="156"/>
          <w:rFonts w:hint="eastAsia" w:ascii="仿宋" w:hAnsi="仿宋" w:eastAsia="仿宋" w:cs="仿宋"/>
          <w:color w:val="auto"/>
          <w:szCs w:val="21"/>
          <w:highlight w:val="none"/>
          <w:lang w:val="zh-CN"/>
        </w:rPr>
        <w:t>】（如投标人代表是法定代表人（单位负责人）的投标人提供）；或法定代表人</w:t>
      </w:r>
      <w:r>
        <w:rPr>
          <w:rStyle w:val="156"/>
          <w:rFonts w:hint="eastAsia" w:ascii="仿宋" w:hAnsi="仿宋" w:eastAsia="仿宋" w:cs="仿宋"/>
          <w:color w:val="auto"/>
          <w:szCs w:val="21"/>
          <w:lang w:val="zh-CN"/>
        </w:rPr>
        <w:t>（单位负责人）授权委托书</w:t>
      </w:r>
      <w:r>
        <w:rPr>
          <w:rStyle w:val="156"/>
          <w:rFonts w:hint="eastAsia" w:ascii="仿宋" w:hAnsi="仿宋" w:eastAsia="仿宋" w:cs="仿宋"/>
          <w:color w:val="auto"/>
          <w:szCs w:val="21"/>
        </w:rPr>
        <w:t>【格式见</w:t>
      </w:r>
      <w:r>
        <w:rPr>
          <w:rFonts w:hint="eastAsia" w:ascii="仿宋" w:hAnsi="仿宋" w:eastAsia="仿宋" w:cs="仿宋"/>
          <w:color w:val="auto"/>
        </w:rPr>
        <w:fldChar w:fldCharType="begin"/>
      </w:r>
      <w:r>
        <w:rPr>
          <w:rFonts w:hint="eastAsia" w:ascii="仿宋" w:hAnsi="仿宋" w:eastAsia="仿宋" w:cs="仿宋"/>
          <w:color w:val="auto"/>
        </w:rPr>
        <w:instrText xml:space="preserve"> HYPERLINK \l "法定代表人授权委托书" </w:instrText>
      </w:r>
      <w:r>
        <w:rPr>
          <w:rFonts w:hint="eastAsia" w:ascii="仿宋" w:hAnsi="仿宋" w:eastAsia="仿宋" w:cs="仿宋"/>
          <w:color w:val="auto"/>
        </w:rPr>
        <w:fldChar w:fldCharType="separate"/>
      </w:r>
      <w:r>
        <w:rPr>
          <w:rStyle w:val="57"/>
          <w:rFonts w:hint="eastAsia" w:ascii="仿宋" w:hAnsi="仿宋" w:eastAsia="仿宋" w:cs="仿宋"/>
          <w:color w:val="auto"/>
          <w:szCs w:val="21"/>
        </w:rPr>
        <w:t>附件</w:t>
      </w:r>
      <w:r>
        <w:rPr>
          <w:rStyle w:val="57"/>
          <w:rFonts w:hint="eastAsia" w:ascii="仿宋" w:hAnsi="仿宋" w:eastAsia="仿宋" w:cs="仿宋"/>
          <w:color w:val="auto"/>
          <w:szCs w:val="21"/>
          <w:lang w:val="en-US" w:eastAsia="zh-CN"/>
        </w:rPr>
        <w:t>1</w:t>
      </w:r>
      <w:r>
        <w:rPr>
          <w:rStyle w:val="57"/>
          <w:rFonts w:hint="eastAsia" w:ascii="仿宋" w:hAnsi="仿宋" w:eastAsia="仿宋" w:cs="仿宋"/>
          <w:color w:val="auto"/>
          <w:szCs w:val="21"/>
        </w:rPr>
        <w:t>-2】</w:t>
      </w:r>
      <w:r>
        <w:rPr>
          <w:rStyle w:val="57"/>
          <w:rFonts w:hint="eastAsia" w:ascii="仿宋" w:hAnsi="仿宋" w:eastAsia="仿宋" w:cs="仿宋"/>
          <w:color w:val="auto"/>
          <w:szCs w:val="21"/>
        </w:rPr>
        <w:fldChar w:fldCharType="end"/>
      </w:r>
      <w:r>
        <w:rPr>
          <w:rStyle w:val="156"/>
          <w:rFonts w:hint="eastAsia" w:ascii="仿宋" w:hAnsi="仿宋" w:eastAsia="仿宋" w:cs="仿宋"/>
          <w:color w:val="auto"/>
          <w:szCs w:val="21"/>
          <w:lang w:val="zh-CN"/>
        </w:rPr>
        <w:t>（如投标人代表是授权代理人的投标人提供，</w:t>
      </w:r>
      <w:r>
        <w:rPr>
          <w:rStyle w:val="156"/>
          <w:rFonts w:hint="eastAsia" w:ascii="仿宋" w:hAnsi="仿宋" w:eastAsia="仿宋" w:cs="仿宋"/>
          <w:color w:val="auto"/>
          <w:szCs w:val="21"/>
        </w:rPr>
        <w:t>法定代表人</w:t>
      </w:r>
      <w:r>
        <w:rPr>
          <w:rStyle w:val="156"/>
          <w:rFonts w:hint="eastAsia" w:ascii="仿宋" w:hAnsi="仿宋" w:eastAsia="仿宋" w:cs="仿宋"/>
          <w:color w:val="auto"/>
          <w:szCs w:val="21"/>
          <w:lang w:val="zh-CN"/>
        </w:rPr>
        <w:t>（单位负责人）</w:t>
      </w:r>
      <w:r>
        <w:rPr>
          <w:rStyle w:val="156"/>
          <w:rFonts w:hint="eastAsia" w:ascii="仿宋" w:hAnsi="仿宋" w:eastAsia="仿宋" w:cs="仿宋"/>
          <w:color w:val="auto"/>
          <w:szCs w:val="21"/>
        </w:rPr>
        <w:t>和授权代表签字或盖章可书面签字或盖章后扫描至电子加密投标文件中上传</w:t>
      </w:r>
      <w:r>
        <w:rPr>
          <w:rStyle w:val="156"/>
          <w:rFonts w:hint="eastAsia" w:ascii="仿宋" w:hAnsi="仿宋" w:eastAsia="仿宋" w:cs="仿宋"/>
          <w:color w:val="auto"/>
          <w:szCs w:val="21"/>
          <w:lang w:val="zh-CN"/>
        </w:rPr>
        <w:t>）；</w:t>
      </w:r>
    </w:p>
    <w:p w14:paraId="242142F2">
      <w:pPr>
        <w:pStyle w:val="165"/>
        <w:widowControl/>
        <w:snapToGrid w:val="0"/>
        <w:spacing w:beforeLines="0" w:line="360" w:lineRule="auto"/>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w:t>
      </w: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lang w:val="zh-CN"/>
        </w:rPr>
        <w:t>）《</w:t>
      </w:r>
      <w:r>
        <w:rPr>
          <w:rFonts w:hint="eastAsia" w:ascii="仿宋" w:hAnsi="仿宋" w:eastAsia="仿宋" w:cs="仿宋"/>
          <w:color w:val="auto"/>
          <w:szCs w:val="21"/>
          <w:lang w:val="zh-CN"/>
        </w:rPr>
        <w:t>中小企业</w:t>
      </w:r>
      <w:r>
        <w:rPr>
          <w:rFonts w:hint="eastAsia" w:ascii="仿宋" w:hAnsi="仿宋" w:eastAsia="仿宋" w:cs="仿宋"/>
          <w:color w:val="auto"/>
          <w:szCs w:val="21"/>
          <w:highlight w:val="none"/>
          <w:lang w:val="zh-CN"/>
        </w:rPr>
        <w:t>声明函》或属于监狱企业或残疾人福利性单位的证明材料【格式见</w:t>
      </w:r>
      <w:r>
        <w:rPr>
          <w:rFonts w:hint="eastAsia" w:ascii="仿宋" w:hAnsi="仿宋" w:eastAsia="仿宋" w:cs="仿宋"/>
          <w:color w:val="auto"/>
          <w:highlight w:val="none"/>
        </w:rPr>
        <w:t>附件</w:t>
      </w:r>
      <w:r>
        <w:rPr>
          <w:rFonts w:hint="eastAsia" w:ascii="仿宋" w:hAnsi="仿宋" w:eastAsia="仿宋" w:cs="仿宋"/>
          <w:color w:val="auto"/>
          <w:szCs w:val="21"/>
          <w:highlight w:val="none"/>
          <w:lang w:val="zh-CN"/>
        </w:rPr>
        <w:t>】；</w:t>
      </w:r>
    </w:p>
    <w:p w14:paraId="0BB75CFB">
      <w:pPr>
        <w:pStyle w:val="165"/>
        <w:widowControl/>
        <w:snapToGrid w:val="0"/>
        <w:spacing w:beforeLines="0" w:line="360" w:lineRule="auto"/>
        <w:jc w:val="left"/>
        <w:rPr>
          <w:rFonts w:hint="eastAsia" w:ascii="仿宋" w:hAnsi="仿宋" w:eastAsia="仿宋" w:cs="仿宋"/>
          <w:color w:val="auto"/>
          <w:szCs w:val="21"/>
          <w:lang w:eastAsia="zh-CN"/>
        </w:rPr>
      </w:pPr>
      <w:r>
        <w:rPr>
          <w:rFonts w:hint="eastAsia" w:ascii="仿宋" w:hAnsi="仿宋" w:eastAsia="仿宋" w:cs="仿宋"/>
          <w:color w:val="auto"/>
          <w:szCs w:val="21"/>
          <w:highlight w:val="none"/>
          <w:lang w:val="zh-CN"/>
        </w:rPr>
        <w:t>（</w:t>
      </w:r>
      <w:r>
        <w:rPr>
          <w:rFonts w:hint="eastAsia" w:ascii="仿宋" w:hAnsi="仿宋" w:eastAsia="仿宋" w:cs="仿宋"/>
          <w:color w:val="auto"/>
          <w:szCs w:val="21"/>
          <w:highlight w:val="none"/>
          <w:lang w:val="en-US" w:eastAsia="zh-CN"/>
        </w:rPr>
        <w:t>4</w:t>
      </w:r>
      <w:r>
        <w:rPr>
          <w:rFonts w:hint="eastAsia" w:ascii="仿宋" w:hAnsi="仿宋" w:eastAsia="仿宋" w:cs="仿宋"/>
          <w:color w:val="auto"/>
          <w:szCs w:val="21"/>
          <w:highlight w:val="none"/>
          <w:lang w:val="zh-CN"/>
        </w:rPr>
        <w:t>）</w:t>
      </w:r>
      <w:r>
        <w:rPr>
          <w:rFonts w:hint="eastAsia" w:ascii="仿宋" w:hAnsi="仿宋" w:eastAsia="仿宋" w:cs="仿宋"/>
          <w:b w:val="0"/>
          <w:bCs w:val="0"/>
          <w:color w:val="auto"/>
          <w:sz w:val="21"/>
          <w:szCs w:val="21"/>
          <w:highlight w:val="none"/>
          <w:lang w:val="en-US" w:eastAsia="zh-CN"/>
        </w:rPr>
        <w:t>符合参与</w:t>
      </w:r>
      <w:r>
        <w:rPr>
          <w:rFonts w:hint="eastAsia" w:ascii="仿宋" w:hAnsi="仿宋" w:eastAsia="仿宋" w:cs="仿宋"/>
          <w:color w:val="auto"/>
          <w:szCs w:val="21"/>
          <w:lang w:val="en-US" w:eastAsia="zh-CN"/>
        </w:rPr>
        <w:t>政府</w:t>
      </w:r>
      <w:r>
        <w:rPr>
          <w:rFonts w:hint="eastAsia" w:ascii="仿宋" w:hAnsi="仿宋" w:eastAsia="仿宋" w:cs="仿宋"/>
          <w:b w:val="0"/>
          <w:bCs w:val="0"/>
          <w:color w:val="auto"/>
          <w:sz w:val="21"/>
          <w:szCs w:val="21"/>
          <w:highlight w:val="none"/>
          <w:lang w:val="en-US" w:eastAsia="zh-CN"/>
        </w:rPr>
        <w:t>采购活动资格条件的承诺函</w:t>
      </w:r>
      <w:r>
        <w:rPr>
          <w:rFonts w:hint="eastAsia" w:ascii="仿宋" w:hAnsi="仿宋" w:eastAsia="仿宋" w:cs="仿宋"/>
          <w:color w:val="auto"/>
          <w:szCs w:val="21"/>
          <w:lang w:val="zh-CN"/>
        </w:rPr>
        <w:t>【格式见</w:t>
      </w:r>
      <w:r>
        <w:rPr>
          <w:rFonts w:hint="eastAsia" w:ascii="仿宋" w:hAnsi="仿宋" w:eastAsia="仿宋" w:cs="仿宋"/>
          <w:color w:val="auto"/>
        </w:rPr>
        <w:t>附件</w:t>
      </w:r>
      <w:r>
        <w:rPr>
          <w:rFonts w:hint="eastAsia" w:ascii="仿宋" w:hAnsi="仿宋" w:eastAsia="仿宋" w:cs="仿宋"/>
          <w:color w:val="auto"/>
          <w:szCs w:val="21"/>
          <w:lang w:val="zh-CN"/>
        </w:rPr>
        <w:t>】</w:t>
      </w:r>
      <w:r>
        <w:rPr>
          <w:rFonts w:hint="eastAsia" w:ascii="仿宋" w:hAnsi="仿宋" w:eastAsia="仿宋" w:cs="仿宋"/>
          <w:color w:val="auto"/>
          <w:szCs w:val="21"/>
          <w:lang w:eastAsia="zh-CN"/>
        </w:rPr>
        <w:t>。</w:t>
      </w:r>
    </w:p>
    <w:p w14:paraId="2B00E424">
      <w:pPr>
        <w:pStyle w:val="165"/>
        <w:widowControl/>
        <w:snapToGrid w:val="0"/>
        <w:spacing w:beforeLines="0" w:line="360" w:lineRule="auto"/>
        <w:jc w:val="left"/>
        <w:rPr>
          <w:rStyle w:val="156"/>
          <w:rFonts w:hint="eastAsia" w:ascii="仿宋" w:hAnsi="仿宋" w:eastAsia="仿宋" w:cs="仿宋"/>
          <w:b/>
          <w:bCs/>
          <w:color w:val="auto"/>
          <w:szCs w:val="21"/>
          <w:u w:val="single"/>
          <w:lang w:val="zh-CN"/>
        </w:rPr>
      </w:pPr>
      <w:r>
        <w:rPr>
          <w:rFonts w:hint="eastAsia" w:ascii="仿宋" w:hAnsi="仿宋" w:eastAsia="仿宋" w:cs="仿宋"/>
          <w:b/>
          <w:bCs/>
          <w:color w:val="auto"/>
          <w:szCs w:val="21"/>
          <w:u w:val="single"/>
          <w:lang w:val="zh-CN"/>
        </w:rPr>
        <w:t>★注：以上内容构成完整的资格文件，</w:t>
      </w:r>
      <w:r>
        <w:rPr>
          <w:rStyle w:val="156"/>
          <w:rFonts w:hint="eastAsia" w:ascii="仿宋" w:hAnsi="仿宋" w:eastAsia="仿宋" w:cs="仿宋"/>
          <w:b/>
          <w:bCs/>
          <w:color w:val="auto"/>
          <w:szCs w:val="21"/>
          <w:u w:val="single"/>
          <w:lang w:val="zh-CN"/>
        </w:rPr>
        <w:t>投标人应当完整提供所有有效证明材料；任何相关证明材料的缺失或无效将导致资格审查结果不合格，按投标无效处理。以上内容中要求提供复印件的，尽量采用相关材料的原件扫描件。</w:t>
      </w:r>
    </w:p>
    <w:p w14:paraId="62FAD9F2">
      <w:pPr>
        <w:pStyle w:val="165"/>
        <w:widowControl/>
        <w:snapToGrid w:val="0"/>
        <w:spacing w:beforeLines="0" w:line="360" w:lineRule="auto"/>
        <w:jc w:val="left"/>
        <w:rPr>
          <w:rFonts w:hint="eastAsia" w:ascii="仿宋" w:hAnsi="仿宋" w:eastAsia="仿宋" w:cs="仿宋"/>
          <w:b/>
          <w:color w:val="auto"/>
          <w:szCs w:val="21"/>
          <w:lang w:val="zh-CN"/>
        </w:rPr>
      </w:pPr>
      <w:r>
        <w:rPr>
          <w:rFonts w:hint="eastAsia" w:ascii="仿宋" w:hAnsi="仿宋" w:eastAsia="仿宋" w:cs="仿宋"/>
          <w:b/>
          <w:color w:val="auto"/>
          <w:szCs w:val="21"/>
          <w:lang w:val="zh-CN"/>
        </w:rPr>
        <w:t>2.【商务技术文件】：</w:t>
      </w:r>
      <w:r>
        <w:rPr>
          <w:rFonts w:hint="eastAsia" w:ascii="仿宋" w:hAnsi="仿宋" w:eastAsia="仿宋" w:cs="仿宋"/>
          <w:color w:val="auto"/>
          <w:szCs w:val="21"/>
          <w:u w:val="single"/>
          <w:lang w:val="zh-CN"/>
        </w:rPr>
        <w:t>（</w:t>
      </w:r>
      <w:r>
        <w:rPr>
          <w:rFonts w:hint="eastAsia" w:ascii="仿宋" w:hAnsi="仿宋" w:eastAsia="仿宋" w:cs="仿宋"/>
          <w:bCs/>
          <w:color w:val="auto"/>
          <w:szCs w:val="21"/>
          <w:u w:val="single"/>
          <w:lang w:val="zh-CN"/>
        </w:rPr>
        <w:t>包含以下内容，</w:t>
      </w:r>
      <w:r>
        <w:rPr>
          <w:rStyle w:val="156"/>
          <w:rFonts w:hint="eastAsia" w:ascii="仿宋" w:hAnsi="仿宋" w:eastAsia="仿宋" w:cs="仿宋"/>
          <w:b/>
          <w:bCs/>
          <w:color w:val="auto"/>
          <w:szCs w:val="21"/>
          <w:u w:val="single"/>
          <w:lang w:val="zh-CN"/>
        </w:rPr>
        <w:t>建议提供“评分因素索引表”</w:t>
      </w:r>
      <w:r>
        <w:rPr>
          <w:rFonts w:hint="eastAsia" w:ascii="仿宋" w:hAnsi="仿宋" w:eastAsia="仿宋" w:cs="仿宋"/>
          <w:color w:val="auto"/>
          <w:szCs w:val="21"/>
          <w:u w:val="single"/>
        </w:rPr>
        <w:t>【格式见</w:t>
      </w:r>
      <w:r>
        <w:rPr>
          <w:rFonts w:hint="eastAsia" w:ascii="仿宋" w:hAnsi="仿宋" w:eastAsia="仿宋" w:cs="仿宋"/>
          <w:color w:val="auto"/>
        </w:rPr>
        <w:fldChar w:fldCharType="begin"/>
      </w:r>
      <w:r>
        <w:rPr>
          <w:rFonts w:hint="eastAsia" w:ascii="仿宋" w:hAnsi="仿宋" w:eastAsia="仿宋" w:cs="仿宋"/>
          <w:color w:val="auto"/>
        </w:rPr>
        <w:instrText xml:space="preserve"> HYPERLINK \l "附件4" </w:instrText>
      </w:r>
      <w:r>
        <w:rPr>
          <w:rFonts w:hint="eastAsia" w:ascii="仿宋" w:hAnsi="仿宋" w:eastAsia="仿宋" w:cs="仿宋"/>
          <w:color w:val="auto"/>
        </w:rPr>
        <w:fldChar w:fldCharType="separate"/>
      </w:r>
      <w:r>
        <w:rPr>
          <w:rStyle w:val="57"/>
          <w:rFonts w:hint="eastAsia" w:ascii="仿宋" w:hAnsi="仿宋" w:eastAsia="仿宋" w:cs="仿宋"/>
          <w:color w:val="auto"/>
          <w:szCs w:val="21"/>
        </w:rPr>
        <w:t>附件】</w:t>
      </w:r>
      <w:r>
        <w:rPr>
          <w:rStyle w:val="57"/>
          <w:rFonts w:hint="eastAsia" w:ascii="仿宋" w:hAnsi="仿宋" w:eastAsia="仿宋" w:cs="仿宋"/>
          <w:color w:val="auto"/>
          <w:szCs w:val="21"/>
        </w:rPr>
        <w:fldChar w:fldCharType="end"/>
      </w:r>
      <w:r>
        <w:rPr>
          <w:rStyle w:val="156"/>
          <w:rFonts w:hint="eastAsia" w:ascii="仿宋" w:hAnsi="仿宋" w:eastAsia="仿宋" w:cs="仿宋"/>
          <w:color w:val="auto"/>
          <w:szCs w:val="21"/>
          <w:u w:val="single"/>
          <w:lang w:val="zh-CN"/>
        </w:rPr>
        <w:t>，表格可放置于封面后一页，标明各项评分因素响应内容的所在页码，以便评审。</w:t>
      </w:r>
    </w:p>
    <w:p w14:paraId="4F112C04">
      <w:pPr>
        <w:pStyle w:val="165"/>
        <w:widowControl/>
        <w:snapToGrid w:val="0"/>
        <w:spacing w:beforeLines="0" w:line="360" w:lineRule="auto"/>
        <w:jc w:val="left"/>
        <w:rPr>
          <w:rFonts w:hint="eastAsia" w:ascii="仿宋" w:hAnsi="仿宋" w:eastAsia="仿宋" w:cs="仿宋"/>
          <w:color w:val="auto"/>
          <w:szCs w:val="21"/>
        </w:rPr>
      </w:pPr>
      <w:r>
        <w:rPr>
          <w:rFonts w:hint="eastAsia" w:ascii="仿宋" w:hAnsi="仿宋" w:eastAsia="仿宋" w:cs="仿宋"/>
          <w:color w:val="auto"/>
          <w:szCs w:val="21"/>
          <w:lang w:val="zh-CN"/>
        </w:rPr>
        <w:t>（1）评分因素索引表</w:t>
      </w:r>
      <w:r>
        <w:rPr>
          <w:rFonts w:hint="eastAsia" w:ascii="仿宋" w:hAnsi="仿宋" w:eastAsia="仿宋" w:cs="仿宋"/>
          <w:color w:val="auto"/>
          <w:szCs w:val="21"/>
        </w:rPr>
        <w:t>【</w:t>
      </w:r>
      <w:r>
        <w:rPr>
          <w:rFonts w:hint="eastAsia" w:ascii="仿宋" w:hAnsi="仿宋" w:eastAsia="仿宋" w:cs="仿宋"/>
          <w:color w:val="auto"/>
          <w:szCs w:val="21"/>
          <w:lang w:val="zh-CN"/>
        </w:rPr>
        <w:t>格式见</w:t>
      </w:r>
      <w:r>
        <w:rPr>
          <w:rFonts w:hint="eastAsia" w:ascii="仿宋" w:hAnsi="仿宋" w:eastAsia="仿宋" w:cs="仿宋"/>
          <w:color w:val="auto"/>
          <w:szCs w:val="21"/>
        </w:rPr>
        <w:t>附件】；</w:t>
      </w:r>
    </w:p>
    <w:p w14:paraId="7011E925">
      <w:pPr>
        <w:pStyle w:val="165"/>
        <w:widowControl/>
        <w:snapToGrid w:val="0"/>
        <w:spacing w:beforeLines="0" w:line="360" w:lineRule="auto"/>
        <w:jc w:val="left"/>
        <w:rPr>
          <w:rFonts w:hint="eastAsia" w:ascii="仿宋" w:hAnsi="仿宋" w:eastAsia="仿宋" w:cs="仿宋"/>
          <w:color w:val="auto"/>
          <w:szCs w:val="21"/>
          <w:lang w:val="zh-CN"/>
        </w:rPr>
      </w:pPr>
      <w:r>
        <w:rPr>
          <w:rFonts w:hint="eastAsia" w:ascii="仿宋" w:hAnsi="仿宋" w:eastAsia="仿宋" w:cs="仿宋"/>
          <w:color w:val="auto"/>
          <w:szCs w:val="21"/>
          <w:lang w:val="zh-CN"/>
        </w:rPr>
        <w:t>（</w:t>
      </w:r>
      <w:r>
        <w:rPr>
          <w:rFonts w:hint="eastAsia" w:ascii="仿宋" w:hAnsi="仿宋" w:eastAsia="仿宋" w:cs="仿宋"/>
          <w:color w:val="auto"/>
          <w:szCs w:val="21"/>
        </w:rPr>
        <w:t>2</w:t>
      </w:r>
      <w:r>
        <w:rPr>
          <w:rFonts w:hint="eastAsia" w:ascii="仿宋" w:hAnsi="仿宋" w:eastAsia="仿宋" w:cs="仿宋"/>
          <w:color w:val="auto"/>
          <w:szCs w:val="21"/>
          <w:lang w:val="zh-CN"/>
        </w:rPr>
        <w:t>）</w:t>
      </w:r>
      <w:r>
        <w:rPr>
          <w:rFonts w:hint="eastAsia" w:ascii="仿宋" w:hAnsi="仿宋" w:eastAsia="仿宋" w:cs="仿宋"/>
          <w:color w:val="auto"/>
          <w:szCs w:val="21"/>
        </w:rPr>
        <w:t>投标人声明书【</w:t>
      </w:r>
      <w:r>
        <w:rPr>
          <w:rFonts w:hint="eastAsia" w:ascii="仿宋" w:hAnsi="仿宋" w:eastAsia="仿宋" w:cs="仿宋"/>
          <w:color w:val="auto"/>
          <w:szCs w:val="21"/>
          <w:lang w:val="zh-CN"/>
        </w:rPr>
        <w:t>格式见</w:t>
      </w:r>
      <w:r>
        <w:rPr>
          <w:rFonts w:hint="eastAsia" w:ascii="仿宋" w:hAnsi="仿宋" w:eastAsia="仿宋" w:cs="仿宋"/>
          <w:color w:val="auto"/>
          <w:szCs w:val="21"/>
        </w:rPr>
        <w:t>附件】；</w:t>
      </w:r>
    </w:p>
    <w:p w14:paraId="50B82B7F">
      <w:pPr>
        <w:pStyle w:val="165"/>
        <w:widowControl/>
        <w:snapToGrid w:val="0"/>
        <w:spacing w:beforeLines="0" w:line="360" w:lineRule="auto"/>
        <w:jc w:val="left"/>
        <w:rPr>
          <w:rFonts w:hint="eastAsia" w:ascii="仿宋" w:hAnsi="仿宋" w:eastAsia="仿宋" w:cs="仿宋"/>
          <w:color w:val="auto"/>
          <w:szCs w:val="21"/>
          <w:lang w:val="zh-CN"/>
        </w:rPr>
      </w:pPr>
      <w:r>
        <w:rPr>
          <w:rFonts w:hint="eastAsia" w:ascii="仿宋" w:hAnsi="仿宋" w:eastAsia="仿宋" w:cs="仿宋"/>
          <w:color w:val="auto"/>
          <w:szCs w:val="21"/>
          <w:lang w:val="zh-CN"/>
        </w:rPr>
        <w:t>（</w:t>
      </w:r>
      <w:r>
        <w:rPr>
          <w:rFonts w:hint="eastAsia" w:ascii="仿宋" w:hAnsi="仿宋" w:eastAsia="仿宋" w:cs="仿宋"/>
          <w:color w:val="auto"/>
          <w:szCs w:val="21"/>
          <w:lang w:val="en-US" w:eastAsia="zh-CN"/>
        </w:rPr>
        <w:t>3</w:t>
      </w:r>
      <w:r>
        <w:rPr>
          <w:rFonts w:hint="eastAsia" w:ascii="仿宋" w:hAnsi="仿宋" w:eastAsia="仿宋" w:cs="仿宋"/>
          <w:color w:val="auto"/>
          <w:szCs w:val="21"/>
          <w:lang w:val="zh-CN"/>
        </w:rPr>
        <w:t>）投标人基本情况表</w:t>
      </w:r>
      <w:r>
        <w:rPr>
          <w:rFonts w:hint="eastAsia" w:ascii="仿宋" w:hAnsi="仿宋" w:eastAsia="仿宋" w:cs="仿宋"/>
          <w:color w:val="auto"/>
          <w:szCs w:val="21"/>
        </w:rPr>
        <w:t>【</w:t>
      </w:r>
      <w:r>
        <w:rPr>
          <w:rFonts w:hint="eastAsia" w:ascii="仿宋" w:hAnsi="仿宋" w:eastAsia="仿宋" w:cs="仿宋"/>
          <w:color w:val="auto"/>
          <w:szCs w:val="21"/>
          <w:lang w:val="zh-CN"/>
        </w:rPr>
        <w:t>格式见</w:t>
      </w:r>
      <w:r>
        <w:rPr>
          <w:rFonts w:hint="eastAsia" w:ascii="仿宋" w:hAnsi="仿宋" w:eastAsia="仿宋" w:cs="仿宋"/>
          <w:color w:val="auto"/>
          <w:szCs w:val="21"/>
        </w:rPr>
        <w:t>附件】；</w:t>
      </w:r>
    </w:p>
    <w:p w14:paraId="1D5D98E7">
      <w:pPr>
        <w:pStyle w:val="165"/>
        <w:widowControl/>
        <w:snapToGrid w:val="0"/>
        <w:spacing w:beforeLines="0" w:line="360" w:lineRule="auto"/>
        <w:jc w:val="left"/>
        <w:rPr>
          <w:rFonts w:hint="eastAsia" w:ascii="仿宋" w:hAnsi="仿宋" w:eastAsia="仿宋" w:cs="仿宋"/>
          <w:color w:val="auto"/>
          <w:szCs w:val="21"/>
          <w:lang w:val="zh-CN"/>
        </w:rPr>
      </w:pPr>
      <w:r>
        <w:rPr>
          <w:rFonts w:hint="eastAsia" w:ascii="仿宋" w:hAnsi="仿宋" w:eastAsia="仿宋" w:cs="仿宋"/>
          <w:color w:val="auto"/>
          <w:szCs w:val="21"/>
          <w:lang w:val="zh-CN"/>
        </w:rPr>
        <w:t>（</w:t>
      </w:r>
      <w:r>
        <w:rPr>
          <w:rFonts w:hint="eastAsia" w:ascii="仿宋" w:hAnsi="仿宋" w:eastAsia="仿宋" w:cs="仿宋"/>
          <w:color w:val="auto"/>
          <w:szCs w:val="21"/>
          <w:lang w:val="en-US" w:eastAsia="zh-CN"/>
        </w:rPr>
        <w:t>4</w:t>
      </w:r>
      <w:r>
        <w:rPr>
          <w:rFonts w:hint="eastAsia" w:ascii="仿宋" w:hAnsi="仿宋" w:eastAsia="仿宋" w:cs="仿宋"/>
          <w:color w:val="auto"/>
          <w:szCs w:val="21"/>
          <w:lang w:val="zh-CN"/>
        </w:rPr>
        <w:t>）项目负责人简历表【格式见</w:t>
      </w:r>
      <w:r>
        <w:rPr>
          <w:rFonts w:hint="eastAsia" w:ascii="仿宋" w:hAnsi="仿宋" w:eastAsia="仿宋" w:cs="仿宋"/>
          <w:color w:val="auto"/>
          <w:szCs w:val="21"/>
        </w:rPr>
        <w:t>附件</w:t>
      </w:r>
      <w:r>
        <w:rPr>
          <w:rFonts w:hint="eastAsia" w:ascii="仿宋" w:hAnsi="仿宋" w:eastAsia="仿宋" w:cs="仿宋"/>
          <w:color w:val="auto"/>
          <w:szCs w:val="21"/>
          <w:lang w:val="zh-CN"/>
        </w:rPr>
        <w:t>】；</w:t>
      </w:r>
    </w:p>
    <w:p w14:paraId="314C6CF5">
      <w:pPr>
        <w:pStyle w:val="165"/>
        <w:widowControl/>
        <w:snapToGrid w:val="0"/>
        <w:spacing w:beforeLines="0" w:line="360" w:lineRule="auto"/>
        <w:jc w:val="left"/>
        <w:rPr>
          <w:rFonts w:hint="eastAsia" w:ascii="仿宋" w:hAnsi="仿宋" w:eastAsia="仿宋" w:cs="仿宋"/>
          <w:color w:val="auto"/>
          <w:szCs w:val="21"/>
        </w:rPr>
      </w:pPr>
      <w:r>
        <w:rPr>
          <w:rFonts w:hint="eastAsia" w:ascii="仿宋" w:hAnsi="仿宋" w:eastAsia="仿宋" w:cs="仿宋"/>
          <w:color w:val="auto"/>
          <w:szCs w:val="21"/>
        </w:rPr>
        <w:t>（</w:t>
      </w:r>
      <w:r>
        <w:rPr>
          <w:rFonts w:hint="eastAsia" w:ascii="仿宋" w:hAnsi="仿宋" w:eastAsia="仿宋" w:cs="仿宋"/>
          <w:color w:val="auto"/>
          <w:szCs w:val="21"/>
          <w:lang w:val="en-US" w:eastAsia="zh-CN"/>
        </w:rPr>
        <w:t>5</w:t>
      </w:r>
      <w:r>
        <w:rPr>
          <w:rFonts w:hint="eastAsia" w:ascii="仿宋" w:hAnsi="仿宋" w:eastAsia="仿宋" w:cs="仿宋"/>
          <w:color w:val="auto"/>
          <w:szCs w:val="21"/>
        </w:rPr>
        <w:t>）项目实施人员一览表</w:t>
      </w:r>
      <w:r>
        <w:rPr>
          <w:rFonts w:hint="eastAsia" w:ascii="仿宋" w:hAnsi="仿宋" w:eastAsia="仿宋" w:cs="仿宋"/>
          <w:color w:val="auto"/>
          <w:szCs w:val="21"/>
          <w:lang w:val="zh-CN"/>
        </w:rPr>
        <w:t>【格式见</w:t>
      </w:r>
      <w:r>
        <w:rPr>
          <w:rFonts w:hint="eastAsia" w:ascii="仿宋" w:hAnsi="仿宋" w:eastAsia="仿宋" w:cs="仿宋"/>
          <w:color w:val="auto"/>
          <w:szCs w:val="21"/>
        </w:rPr>
        <w:t>附件</w:t>
      </w:r>
      <w:r>
        <w:rPr>
          <w:rFonts w:hint="eastAsia" w:ascii="仿宋" w:hAnsi="仿宋" w:eastAsia="仿宋" w:cs="仿宋"/>
          <w:color w:val="auto"/>
          <w:szCs w:val="21"/>
          <w:lang w:val="zh-CN"/>
        </w:rPr>
        <w:t>】；</w:t>
      </w:r>
    </w:p>
    <w:p w14:paraId="14E491B4">
      <w:pPr>
        <w:pStyle w:val="165"/>
        <w:widowControl/>
        <w:snapToGrid w:val="0"/>
        <w:spacing w:beforeLines="0" w:line="360" w:lineRule="auto"/>
        <w:jc w:val="left"/>
        <w:rPr>
          <w:rFonts w:hint="eastAsia" w:ascii="仿宋" w:hAnsi="仿宋" w:eastAsia="仿宋" w:cs="仿宋"/>
          <w:color w:val="auto"/>
          <w:szCs w:val="21"/>
          <w:lang w:val="zh-CN"/>
        </w:rPr>
      </w:pPr>
      <w:r>
        <w:rPr>
          <w:rFonts w:hint="eastAsia" w:ascii="仿宋" w:hAnsi="仿宋" w:eastAsia="仿宋" w:cs="仿宋"/>
          <w:color w:val="auto"/>
          <w:szCs w:val="21"/>
        </w:rPr>
        <w:t>（</w:t>
      </w:r>
      <w:r>
        <w:rPr>
          <w:rFonts w:hint="eastAsia" w:ascii="仿宋" w:hAnsi="仿宋" w:eastAsia="仿宋" w:cs="仿宋"/>
          <w:color w:val="auto"/>
          <w:szCs w:val="21"/>
          <w:lang w:val="en-US" w:eastAsia="zh-CN"/>
        </w:rPr>
        <w:t>6</w:t>
      </w:r>
      <w:r>
        <w:rPr>
          <w:rFonts w:hint="eastAsia" w:ascii="仿宋" w:hAnsi="仿宋" w:eastAsia="仿宋" w:cs="仿宋"/>
          <w:color w:val="auto"/>
          <w:szCs w:val="21"/>
        </w:rPr>
        <w:t>）</w:t>
      </w:r>
      <w:r>
        <w:rPr>
          <w:rFonts w:hint="eastAsia" w:ascii="仿宋" w:hAnsi="仿宋" w:eastAsia="仿宋" w:cs="仿宋"/>
          <w:color w:val="auto"/>
          <w:szCs w:val="21"/>
          <w:lang w:val="zh-CN"/>
        </w:rPr>
        <w:t>拟投入本项目主要设备一览表【格式见</w:t>
      </w:r>
      <w:r>
        <w:rPr>
          <w:rFonts w:hint="eastAsia" w:ascii="仿宋" w:hAnsi="仿宋" w:eastAsia="仿宋" w:cs="仿宋"/>
          <w:color w:val="auto"/>
          <w:szCs w:val="21"/>
        </w:rPr>
        <w:t>附件</w:t>
      </w:r>
      <w:r>
        <w:rPr>
          <w:rFonts w:hint="eastAsia" w:ascii="仿宋" w:hAnsi="仿宋" w:eastAsia="仿宋" w:cs="仿宋"/>
          <w:color w:val="auto"/>
          <w:szCs w:val="21"/>
          <w:lang w:val="zh-CN"/>
        </w:rPr>
        <w:t>】；</w:t>
      </w:r>
    </w:p>
    <w:p w14:paraId="01EA036F">
      <w:pPr>
        <w:pStyle w:val="165"/>
        <w:widowControl/>
        <w:snapToGrid w:val="0"/>
        <w:spacing w:beforeLines="0" w:line="360" w:lineRule="auto"/>
        <w:jc w:val="left"/>
        <w:rPr>
          <w:rFonts w:hint="eastAsia" w:ascii="仿宋" w:hAnsi="仿宋" w:eastAsia="仿宋" w:cs="仿宋"/>
          <w:color w:val="auto"/>
          <w:szCs w:val="21"/>
          <w:lang w:val="zh-CN"/>
        </w:rPr>
      </w:pPr>
      <w:r>
        <w:rPr>
          <w:rFonts w:hint="eastAsia" w:ascii="仿宋" w:hAnsi="仿宋" w:eastAsia="仿宋" w:cs="仿宋"/>
          <w:color w:val="auto"/>
          <w:szCs w:val="21"/>
        </w:rPr>
        <w:t>（</w:t>
      </w:r>
      <w:r>
        <w:rPr>
          <w:rFonts w:hint="eastAsia" w:ascii="仿宋" w:hAnsi="仿宋" w:eastAsia="仿宋" w:cs="仿宋"/>
          <w:color w:val="auto"/>
          <w:szCs w:val="21"/>
          <w:lang w:val="en-US" w:eastAsia="zh-CN"/>
        </w:rPr>
        <w:t>7</w:t>
      </w:r>
      <w:r>
        <w:rPr>
          <w:rFonts w:hint="eastAsia" w:ascii="仿宋" w:hAnsi="仿宋" w:eastAsia="仿宋" w:cs="仿宋"/>
          <w:color w:val="auto"/>
          <w:szCs w:val="21"/>
        </w:rPr>
        <w:t>）</w:t>
      </w:r>
      <w:r>
        <w:rPr>
          <w:rFonts w:hint="eastAsia" w:ascii="仿宋" w:hAnsi="仿宋" w:eastAsia="仿宋" w:cs="仿宋"/>
          <w:color w:val="auto"/>
          <w:szCs w:val="21"/>
          <w:lang w:val="zh-CN"/>
        </w:rPr>
        <w:t>项目业绩一览表【格式见</w:t>
      </w:r>
      <w:r>
        <w:rPr>
          <w:rFonts w:hint="eastAsia" w:ascii="仿宋" w:hAnsi="仿宋" w:eastAsia="仿宋" w:cs="仿宋"/>
          <w:color w:val="auto"/>
          <w:szCs w:val="21"/>
          <w:lang w:eastAsia="zh-CN"/>
        </w:rPr>
        <w:t>附件</w:t>
      </w:r>
      <w:r>
        <w:rPr>
          <w:rFonts w:hint="eastAsia" w:ascii="仿宋" w:hAnsi="仿宋" w:eastAsia="仿宋" w:cs="仿宋"/>
          <w:color w:val="auto"/>
          <w:szCs w:val="21"/>
          <w:lang w:val="zh-CN"/>
        </w:rPr>
        <w:t>】；</w:t>
      </w:r>
    </w:p>
    <w:p w14:paraId="11D80968">
      <w:pPr>
        <w:pStyle w:val="165"/>
        <w:widowControl/>
        <w:snapToGrid w:val="0"/>
        <w:spacing w:beforeLines="0" w:line="360" w:lineRule="auto"/>
        <w:jc w:val="left"/>
        <w:rPr>
          <w:rFonts w:hint="eastAsia" w:ascii="仿宋" w:hAnsi="仿宋" w:eastAsia="仿宋" w:cs="仿宋"/>
          <w:color w:val="auto"/>
          <w:szCs w:val="21"/>
          <w:lang w:val="zh-CN"/>
        </w:rPr>
      </w:pPr>
      <w:r>
        <w:rPr>
          <w:rFonts w:hint="eastAsia" w:ascii="仿宋" w:hAnsi="仿宋" w:eastAsia="仿宋" w:cs="仿宋"/>
          <w:color w:val="auto"/>
          <w:szCs w:val="21"/>
        </w:rPr>
        <w:t>（</w:t>
      </w:r>
      <w:r>
        <w:rPr>
          <w:rFonts w:hint="eastAsia" w:ascii="仿宋" w:hAnsi="仿宋" w:eastAsia="仿宋" w:cs="仿宋"/>
          <w:color w:val="auto"/>
          <w:szCs w:val="21"/>
          <w:lang w:val="en-US" w:eastAsia="zh-CN"/>
        </w:rPr>
        <w:t>8</w:t>
      </w:r>
      <w:r>
        <w:rPr>
          <w:rFonts w:hint="eastAsia" w:ascii="仿宋" w:hAnsi="仿宋" w:eastAsia="仿宋" w:cs="仿宋"/>
          <w:color w:val="auto"/>
          <w:szCs w:val="21"/>
        </w:rPr>
        <w:t>）</w:t>
      </w:r>
      <w:r>
        <w:rPr>
          <w:rFonts w:hint="eastAsia" w:ascii="仿宋" w:hAnsi="仿宋" w:eastAsia="仿宋" w:cs="仿宋"/>
          <w:color w:val="auto"/>
          <w:szCs w:val="21"/>
          <w:lang w:val="zh-CN"/>
        </w:rPr>
        <w:t>对采购文件中商务条款及合同条款的声明</w:t>
      </w:r>
      <w:r>
        <w:rPr>
          <w:rFonts w:hint="eastAsia" w:ascii="仿宋" w:hAnsi="仿宋" w:eastAsia="仿宋" w:cs="仿宋"/>
          <w:color w:val="auto"/>
          <w:szCs w:val="21"/>
        </w:rPr>
        <w:t>【</w:t>
      </w:r>
      <w:r>
        <w:rPr>
          <w:rFonts w:hint="eastAsia" w:ascii="仿宋" w:hAnsi="仿宋" w:eastAsia="仿宋" w:cs="仿宋"/>
          <w:color w:val="auto"/>
          <w:szCs w:val="21"/>
          <w:lang w:val="zh-CN"/>
        </w:rPr>
        <w:t>格式见</w:t>
      </w:r>
      <w:r>
        <w:rPr>
          <w:rFonts w:hint="eastAsia" w:ascii="仿宋" w:hAnsi="仿宋" w:eastAsia="仿宋" w:cs="仿宋"/>
          <w:color w:val="auto"/>
          <w:szCs w:val="21"/>
        </w:rPr>
        <w:t>附件】</w:t>
      </w:r>
      <w:r>
        <w:rPr>
          <w:rFonts w:hint="eastAsia" w:ascii="仿宋" w:hAnsi="仿宋" w:eastAsia="仿宋" w:cs="仿宋"/>
          <w:color w:val="auto"/>
          <w:szCs w:val="21"/>
          <w:lang w:val="zh-CN"/>
        </w:rPr>
        <w:t>；</w:t>
      </w:r>
    </w:p>
    <w:p w14:paraId="0CE54A35">
      <w:pPr>
        <w:pStyle w:val="165"/>
        <w:widowControl/>
        <w:snapToGrid w:val="0"/>
        <w:spacing w:beforeLines="0" w:line="360" w:lineRule="auto"/>
        <w:jc w:val="left"/>
        <w:rPr>
          <w:rFonts w:hint="eastAsia" w:ascii="仿宋" w:hAnsi="仿宋" w:eastAsia="仿宋" w:cs="仿宋"/>
          <w:color w:val="auto"/>
          <w:szCs w:val="21"/>
          <w:lang w:val="zh-CN"/>
        </w:rPr>
      </w:pPr>
      <w:r>
        <w:rPr>
          <w:rFonts w:hint="eastAsia" w:ascii="仿宋" w:hAnsi="仿宋" w:eastAsia="仿宋" w:cs="仿宋"/>
          <w:color w:val="auto"/>
          <w:szCs w:val="21"/>
          <w:lang w:val="zh-CN"/>
        </w:rPr>
        <w:t>（</w:t>
      </w:r>
      <w:r>
        <w:rPr>
          <w:rFonts w:hint="eastAsia" w:ascii="仿宋" w:hAnsi="仿宋" w:eastAsia="仿宋" w:cs="仿宋"/>
          <w:color w:val="auto"/>
          <w:szCs w:val="21"/>
          <w:lang w:val="en-US" w:eastAsia="zh-CN"/>
        </w:rPr>
        <w:t>9</w:t>
      </w:r>
      <w:r>
        <w:rPr>
          <w:rFonts w:hint="eastAsia" w:ascii="仿宋" w:hAnsi="仿宋" w:eastAsia="仿宋" w:cs="仿宋"/>
          <w:color w:val="auto"/>
          <w:szCs w:val="21"/>
          <w:lang w:val="zh-CN"/>
        </w:rPr>
        <w:t>）根据技术资信评分标准，投标人认为需要提供的其他资料或说明。</w:t>
      </w:r>
    </w:p>
    <w:p w14:paraId="2F7052CE">
      <w:pPr>
        <w:pStyle w:val="165"/>
        <w:widowControl/>
        <w:snapToGrid w:val="0"/>
        <w:spacing w:beforeLines="0" w:line="360" w:lineRule="auto"/>
        <w:jc w:val="left"/>
        <w:rPr>
          <w:rFonts w:hint="eastAsia" w:ascii="仿宋" w:hAnsi="仿宋" w:eastAsia="仿宋" w:cs="仿宋"/>
          <w:color w:val="auto"/>
          <w:szCs w:val="21"/>
          <w:highlight w:val="none"/>
          <w:lang w:val="zh-CN"/>
        </w:rPr>
      </w:pPr>
      <w:r>
        <w:rPr>
          <w:rFonts w:hint="eastAsia" w:ascii="仿宋" w:hAnsi="仿宋" w:eastAsia="仿宋" w:cs="仿宋"/>
          <w:b/>
          <w:bCs/>
          <w:color w:val="auto"/>
          <w:szCs w:val="21"/>
          <w:u w:val="single"/>
          <w:lang w:val="zh-CN"/>
        </w:rPr>
        <w:t>★注：以上内容构成完整的商务技术文件，</w:t>
      </w:r>
      <w:r>
        <w:rPr>
          <w:rStyle w:val="156"/>
          <w:rFonts w:hint="eastAsia" w:ascii="仿宋" w:hAnsi="仿宋" w:eastAsia="仿宋" w:cs="仿宋"/>
          <w:b/>
          <w:bCs/>
          <w:color w:val="auto"/>
          <w:szCs w:val="21"/>
          <w:u w:val="single"/>
          <w:lang w:val="zh-CN"/>
        </w:rPr>
        <w:t>投标人应当完整提供所有有效证明材料，任何相关证明材料的缺失或无效将导致技术、资信方面的不利评定。以上内容中要求提供原件扫描件的，投标人必须采用相关材料的原</w:t>
      </w:r>
      <w:r>
        <w:rPr>
          <w:rStyle w:val="156"/>
          <w:rFonts w:hint="eastAsia" w:ascii="仿宋" w:hAnsi="仿宋" w:eastAsia="仿宋" w:cs="仿宋"/>
          <w:b/>
          <w:bCs/>
          <w:color w:val="auto"/>
          <w:szCs w:val="21"/>
          <w:highlight w:val="none"/>
          <w:u w:val="single"/>
          <w:lang w:val="zh-CN"/>
        </w:rPr>
        <w:t>件扫描件（因采用复印件再扫描造成资信技术评分项不得分的，责任自负）。</w:t>
      </w:r>
    </w:p>
    <w:p w14:paraId="7740B5C6">
      <w:pPr>
        <w:pStyle w:val="111"/>
        <w:pageBreakBefore w:val="0"/>
        <w:kinsoku/>
        <w:topLinePunct w:val="0"/>
        <w:bidi w:val="0"/>
        <w:snapToGrid/>
        <w:spacing w:line="300" w:lineRule="auto"/>
        <w:ind w:firstLine="420" w:firstLineChars="200"/>
        <w:rPr>
          <w:rFonts w:hint="eastAsia" w:ascii="仿宋" w:hAnsi="仿宋" w:eastAsia="仿宋" w:cs="仿宋"/>
          <w:color w:val="auto"/>
          <w:szCs w:val="21"/>
          <w:highlight w:val="none"/>
          <w:lang w:val="zh-CN"/>
        </w:rPr>
      </w:pPr>
      <w:r>
        <w:rPr>
          <w:rFonts w:hint="eastAsia" w:ascii="仿宋" w:hAnsi="仿宋" w:eastAsia="仿宋" w:cs="仿宋"/>
          <w:b/>
          <w:bCs/>
          <w:color w:val="auto"/>
          <w:szCs w:val="21"/>
          <w:highlight w:val="none"/>
        </w:rPr>
        <w:t>3</w:t>
      </w:r>
      <w:r>
        <w:rPr>
          <w:rFonts w:hint="eastAsia" w:ascii="仿宋" w:hAnsi="仿宋" w:eastAsia="仿宋" w:cs="仿宋"/>
          <w:b/>
          <w:bCs/>
          <w:color w:val="auto"/>
          <w:szCs w:val="21"/>
          <w:highlight w:val="none"/>
          <w:lang w:val="zh-CN"/>
        </w:rPr>
        <w:t>.【报价文件】</w:t>
      </w:r>
      <w:r>
        <w:rPr>
          <w:rFonts w:hint="eastAsia" w:ascii="仿宋" w:hAnsi="仿宋" w:eastAsia="仿宋" w:cs="仿宋"/>
          <w:color w:val="auto"/>
          <w:szCs w:val="21"/>
          <w:highlight w:val="none"/>
          <w:lang w:val="zh-CN"/>
        </w:rPr>
        <w:t>：</w:t>
      </w:r>
    </w:p>
    <w:p w14:paraId="4C49B852">
      <w:pPr>
        <w:pStyle w:val="165"/>
        <w:widowControl/>
        <w:snapToGrid w:val="0"/>
        <w:spacing w:beforeLines="0" w:line="360" w:lineRule="auto"/>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zh-CN"/>
        </w:rPr>
        <w:t>（1）开标一览表</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zh-CN"/>
        </w:rPr>
        <w:t>格式见</w:t>
      </w:r>
      <w:r>
        <w:rPr>
          <w:rFonts w:hint="eastAsia" w:ascii="仿宋" w:hAnsi="仿宋" w:eastAsia="仿宋" w:cs="仿宋"/>
          <w:color w:val="auto"/>
          <w:highlight w:val="none"/>
        </w:rPr>
        <w:t>附件</w:t>
      </w:r>
      <w:r>
        <w:rPr>
          <w:rFonts w:hint="eastAsia" w:ascii="仿宋" w:hAnsi="仿宋" w:eastAsia="仿宋" w:cs="仿宋"/>
          <w:color w:val="auto"/>
          <w:szCs w:val="21"/>
          <w:highlight w:val="none"/>
        </w:rPr>
        <w:t>】；</w:t>
      </w:r>
    </w:p>
    <w:p w14:paraId="7D920A08">
      <w:pPr>
        <w:pStyle w:val="165"/>
        <w:widowControl/>
        <w:snapToGrid w:val="0"/>
        <w:spacing w:beforeLines="0" w:line="360" w:lineRule="auto"/>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eastAsia="zh-CN"/>
        </w:rPr>
        <w:t>（</w:t>
      </w: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lang w:val="zh-CN" w:eastAsia="zh-CN"/>
        </w:rPr>
        <w:t>）</w:t>
      </w:r>
      <w:r>
        <w:rPr>
          <w:rFonts w:hint="eastAsia" w:ascii="仿宋" w:hAnsi="仿宋" w:eastAsia="仿宋" w:cs="仿宋"/>
          <w:color w:val="auto"/>
          <w:szCs w:val="21"/>
          <w:highlight w:val="none"/>
          <w:lang w:val="zh-CN"/>
        </w:rPr>
        <w:t>投标人认为需要提供的其他文件或说明。</w:t>
      </w:r>
    </w:p>
    <w:p w14:paraId="448E7843">
      <w:pPr>
        <w:pageBreakBefore w:val="0"/>
        <w:kinsoku/>
        <w:topLinePunct w:val="0"/>
        <w:bidi w:val="0"/>
        <w:snapToGrid/>
        <w:spacing w:line="300" w:lineRule="auto"/>
        <w:ind w:firstLine="420" w:firstLineChars="200"/>
        <w:rPr>
          <w:rFonts w:hint="eastAsia" w:ascii="仿宋" w:hAnsi="仿宋" w:eastAsia="仿宋" w:cs="仿宋"/>
          <w:b/>
          <w:color w:val="auto"/>
          <w:szCs w:val="21"/>
          <w:highlight w:val="none"/>
          <w:lang w:val="zh-CN"/>
        </w:rPr>
      </w:pPr>
      <w:r>
        <w:rPr>
          <w:rFonts w:hint="eastAsia" w:ascii="仿宋" w:hAnsi="仿宋" w:eastAsia="仿宋" w:cs="仿宋"/>
          <w:b/>
          <w:color w:val="auto"/>
          <w:szCs w:val="21"/>
          <w:highlight w:val="none"/>
          <w:lang w:val="zh-CN"/>
        </w:rPr>
        <w:t>(二)投标</w:t>
      </w:r>
      <w:r>
        <w:rPr>
          <w:rStyle w:val="156"/>
          <w:rFonts w:hint="eastAsia" w:ascii="仿宋" w:hAnsi="仿宋" w:eastAsia="仿宋" w:cs="仿宋"/>
          <w:b/>
          <w:color w:val="auto"/>
          <w:szCs w:val="21"/>
          <w:highlight w:val="none"/>
          <w:lang w:val="zh-CN"/>
        </w:rPr>
        <w:t>文件</w:t>
      </w:r>
      <w:r>
        <w:rPr>
          <w:rFonts w:hint="eastAsia" w:ascii="仿宋" w:hAnsi="仿宋" w:eastAsia="仿宋" w:cs="仿宋"/>
          <w:b/>
          <w:color w:val="auto"/>
          <w:szCs w:val="21"/>
          <w:highlight w:val="none"/>
          <w:lang w:val="zh-CN"/>
        </w:rPr>
        <w:t>的编制</w:t>
      </w:r>
    </w:p>
    <w:p w14:paraId="17F83664">
      <w:pPr>
        <w:pStyle w:val="165"/>
        <w:widowControl/>
        <w:snapToGrid w:val="0"/>
        <w:spacing w:beforeLines="0" w:line="360" w:lineRule="auto"/>
        <w:jc w:val="left"/>
        <w:rPr>
          <w:rFonts w:hint="eastAsia" w:ascii="仿宋" w:hAnsi="仿宋" w:eastAsia="仿宋" w:cs="仿宋"/>
          <w:color w:val="auto"/>
          <w:szCs w:val="21"/>
        </w:rPr>
      </w:pPr>
      <w:r>
        <w:rPr>
          <w:rFonts w:hint="eastAsia" w:ascii="仿宋" w:hAnsi="仿宋" w:eastAsia="仿宋" w:cs="仿宋"/>
          <w:color w:val="auto"/>
          <w:szCs w:val="21"/>
        </w:rPr>
        <w:t>1.投标人编制的投标文件应包括第（一）款“投标文件的组成”规定的内容，采购文件已提供标准格式的，应当采用采购文件所提供的投标文件全部格式（可以按同样格式扩展）；采购文件未提供标准格式的，由投标人自行编写。【采购文件提供的标准格式见第六章“投标文件格式”】</w:t>
      </w:r>
    </w:p>
    <w:p w14:paraId="5C1B52CE">
      <w:pPr>
        <w:pStyle w:val="165"/>
        <w:widowControl/>
        <w:snapToGrid w:val="0"/>
        <w:spacing w:beforeLines="0" w:line="360" w:lineRule="auto"/>
        <w:jc w:val="left"/>
        <w:rPr>
          <w:rFonts w:hint="eastAsia" w:ascii="仿宋" w:hAnsi="仿宋" w:eastAsia="仿宋" w:cs="仿宋"/>
          <w:color w:val="auto"/>
          <w:szCs w:val="21"/>
        </w:rPr>
      </w:pPr>
      <w:r>
        <w:rPr>
          <w:rFonts w:hint="eastAsia" w:ascii="仿宋" w:hAnsi="仿宋" w:eastAsia="仿宋" w:cs="仿宋"/>
          <w:color w:val="auto"/>
          <w:szCs w:val="21"/>
          <w:lang w:val="en-US"/>
        </w:rPr>
        <w:t>2</w:t>
      </w:r>
      <w:r>
        <w:rPr>
          <w:rFonts w:hint="eastAsia" w:ascii="仿宋" w:hAnsi="仿宋" w:eastAsia="仿宋" w:cs="仿宋"/>
          <w:color w:val="auto"/>
          <w:szCs w:val="21"/>
        </w:rPr>
        <w:t>.投标人应在认真阅读采购文件所有内容的基础上，按照采购文件的要求编制完整的投标文件。投标文件应按照采购文件中规定的统一格式填写：电子加密投标文件按政采云平台供应商项目采购-电子招投标操作指南及本采购文件要求制作、关联定位、加密。</w:t>
      </w:r>
    </w:p>
    <w:p w14:paraId="1E3EB62F">
      <w:pPr>
        <w:pStyle w:val="165"/>
        <w:widowControl/>
        <w:snapToGrid w:val="0"/>
        <w:spacing w:beforeLines="0" w:line="360" w:lineRule="auto"/>
        <w:jc w:val="left"/>
        <w:rPr>
          <w:rFonts w:hint="eastAsia" w:ascii="仿宋" w:hAnsi="仿宋" w:eastAsia="仿宋" w:cs="仿宋"/>
          <w:color w:val="auto"/>
          <w:szCs w:val="21"/>
        </w:rPr>
      </w:pPr>
      <w:r>
        <w:rPr>
          <w:rFonts w:hint="eastAsia" w:ascii="仿宋" w:hAnsi="仿宋" w:eastAsia="仿宋" w:cs="仿宋"/>
          <w:color w:val="auto"/>
          <w:szCs w:val="21"/>
          <w:lang w:val="en-US"/>
        </w:rPr>
        <w:t>3.</w:t>
      </w:r>
      <w:r>
        <w:rPr>
          <w:rFonts w:hint="eastAsia" w:ascii="仿宋" w:hAnsi="仿宋" w:eastAsia="仿宋" w:cs="仿宋"/>
          <w:color w:val="auto"/>
          <w:szCs w:val="21"/>
        </w:rPr>
        <w:t>投标人必须保证投标文件所提供的全部资料真实可靠，并接受对其中任何资料进一步审查的要求。</w:t>
      </w:r>
    </w:p>
    <w:p w14:paraId="4AE2105F">
      <w:pPr>
        <w:pageBreakBefore w:val="0"/>
        <w:kinsoku/>
        <w:topLinePunct w:val="0"/>
        <w:bidi w:val="0"/>
        <w:snapToGrid/>
        <w:spacing w:line="300" w:lineRule="auto"/>
        <w:ind w:firstLine="420" w:firstLineChars="200"/>
        <w:rPr>
          <w:rFonts w:hint="eastAsia" w:ascii="仿宋" w:hAnsi="仿宋" w:eastAsia="仿宋" w:cs="仿宋"/>
          <w:b/>
          <w:color w:val="auto"/>
          <w:szCs w:val="21"/>
          <w:highlight w:val="none"/>
          <w:lang w:val="zh-CN"/>
        </w:rPr>
      </w:pPr>
      <w:r>
        <w:rPr>
          <w:rFonts w:hint="eastAsia" w:ascii="仿宋" w:hAnsi="仿宋" w:eastAsia="仿宋" w:cs="仿宋"/>
          <w:b/>
          <w:color w:val="auto"/>
          <w:szCs w:val="21"/>
          <w:lang w:val="zh-CN"/>
        </w:rPr>
        <w:t>（</w:t>
      </w:r>
      <w:r>
        <w:rPr>
          <w:rFonts w:hint="eastAsia" w:ascii="仿宋" w:hAnsi="仿宋" w:eastAsia="仿宋" w:cs="仿宋"/>
          <w:b/>
          <w:color w:val="auto"/>
          <w:szCs w:val="21"/>
          <w:highlight w:val="none"/>
          <w:lang w:val="zh-CN"/>
        </w:rPr>
        <w:t>三）投标报价</w:t>
      </w:r>
    </w:p>
    <w:p w14:paraId="3B24236A">
      <w:pPr>
        <w:pStyle w:val="165"/>
        <w:widowControl/>
        <w:snapToGrid w:val="0"/>
        <w:spacing w:beforeLines="0" w:line="360" w:lineRule="auto"/>
        <w:jc w:val="left"/>
        <w:rPr>
          <w:rFonts w:hint="eastAsia" w:ascii="仿宋" w:hAnsi="仿宋" w:eastAsia="仿宋" w:cs="仿宋"/>
          <w:b/>
          <w:bCs/>
          <w:color w:val="auto"/>
          <w:szCs w:val="21"/>
          <w:highlight w:val="none"/>
          <w:u w:val="single"/>
          <w:lang w:eastAsia="zh-CN"/>
        </w:rPr>
      </w:pPr>
      <w:r>
        <w:rPr>
          <w:rFonts w:hint="eastAsia" w:ascii="宋体" w:hAnsi="宋体" w:eastAsia="宋体" w:cs="宋体"/>
          <w:b/>
          <w:bCs/>
          <w:color w:val="auto"/>
          <w:szCs w:val="21"/>
          <w:highlight w:val="none"/>
        </w:rPr>
        <w:t>▲</w:t>
      </w:r>
      <w:r>
        <w:rPr>
          <w:rFonts w:hint="eastAsia" w:ascii="仿宋" w:hAnsi="仿宋" w:eastAsia="仿宋" w:cs="仿宋"/>
          <w:b/>
          <w:bCs/>
          <w:color w:val="auto"/>
          <w:szCs w:val="21"/>
          <w:highlight w:val="none"/>
        </w:rPr>
        <w:t>1.</w:t>
      </w:r>
      <w:r>
        <w:rPr>
          <w:rFonts w:hint="eastAsia" w:ascii="仿宋" w:hAnsi="仿宋" w:eastAsia="仿宋" w:cs="仿宋"/>
          <w:b/>
          <w:bCs/>
          <w:color w:val="auto"/>
          <w:szCs w:val="21"/>
          <w:highlight w:val="none"/>
          <w:lang w:eastAsia="zh-CN"/>
        </w:rPr>
        <w:t>本项目</w:t>
      </w:r>
      <w:r>
        <w:rPr>
          <w:rFonts w:hint="eastAsia" w:ascii="仿宋" w:hAnsi="仿宋" w:eastAsia="仿宋" w:cs="仿宋"/>
          <w:b/>
          <w:bCs/>
          <w:color w:val="auto"/>
          <w:sz w:val="21"/>
          <w:szCs w:val="21"/>
          <w:highlight w:val="none"/>
          <w:lang w:eastAsia="zh-CN"/>
        </w:rPr>
        <w:t>预算金额（最高限价）：1400000元，投标报价高于最高限价的，按无效投标处理。</w:t>
      </w:r>
    </w:p>
    <w:p w14:paraId="09F9EE47">
      <w:pPr>
        <w:pStyle w:val="165"/>
        <w:widowControl/>
        <w:snapToGrid w:val="0"/>
        <w:spacing w:beforeLines="0" w:line="360" w:lineRule="auto"/>
        <w:jc w:val="left"/>
        <w:rPr>
          <w:rFonts w:hint="eastAsia" w:ascii="仿宋" w:hAnsi="仿宋" w:eastAsia="仿宋" w:cs="仿宋"/>
          <w:color w:val="auto"/>
          <w:szCs w:val="21"/>
        </w:rPr>
      </w:pPr>
      <w:r>
        <w:rPr>
          <w:rFonts w:hint="eastAsia" w:ascii="仿宋" w:hAnsi="仿宋" w:eastAsia="仿宋" w:cs="仿宋"/>
          <w:color w:val="auto"/>
          <w:szCs w:val="21"/>
          <w:highlight w:val="none"/>
          <w:lang w:val="en-US" w:eastAsia="zh-CN"/>
        </w:rPr>
        <w:t>2.投标报价应是本采购文件确定的采购需求范围内全部工作内容的价格表现。完成本项目采购需求范围内全部工作内容所需支付的一切成本费用、企业应缴纳的税费</w:t>
      </w:r>
      <w:bookmarkStart w:id="67" w:name="_GoBack"/>
      <w:bookmarkEnd w:id="67"/>
      <w:r>
        <w:rPr>
          <w:rFonts w:hint="eastAsia" w:ascii="仿宋" w:hAnsi="仿宋" w:eastAsia="仿宋" w:cs="仿宋"/>
          <w:color w:val="auto"/>
          <w:szCs w:val="21"/>
          <w:highlight w:val="none"/>
          <w:lang w:val="en-US" w:eastAsia="zh-CN"/>
        </w:rPr>
        <w:t>及合理利润等所有采购文件提及的费用，以及诸如项目实施过程中合理存在的风险等采购文件未列明但可能产生额外成本的因素，均应计入投标报价</w:t>
      </w:r>
      <w:r>
        <w:rPr>
          <w:rFonts w:hint="eastAsia" w:ascii="仿宋" w:hAnsi="仿宋" w:eastAsia="仿宋" w:cs="仿宋"/>
          <w:color w:val="auto"/>
          <w:szCs w:val="21"/>
        </w:rPr>
        <w:t>。</w:t>
      </w:r>
    </w:p>
    <w:p w14:paraId="49223FB7">
      <w:pPr>
        <w:pStyle w:val="165"/>
        <w:widowControl/>
        <w:snapToGrid w:val="0"/>
        <w:spacing w:beforeLines="0" w:line="360" w:lineRule="auto"/>
        <w:jc w:val="left"/>
        <w:rPr>
          <w:rFonts w:hint="eastAsia" w:ascii="仿宋" w:hAnsi="仿宋" w:eastAsia="仿宋" w:cs="仿宋"/>
          <w:color w:val="auto"/>
          <w:szCs w:val="21"/>
        </w:rPr>
      </w:pPr>
      <w:r>
        <w:rPr>
          <w:rFonts w:hint="eastAsia" w:ascii="仿宋" w:hAnsi="仿宋" w:eastAsia="仿宋" w:cs="仿宋"/>
          <w:color w:val="auto"/>
          <w:szCs w:val="21"/>
          <w:lang w:val="en-US" w:eastAsia="zh-CN"/>
        </w:rPr>
        <w:t>3.</w:t>
      </w:r>
      <w:r>
        <w:rPr>
          <w:rFonts w:hint="eastAsia" w:ascii="仿宋" w:hAnsi="仿宋" w:eastAsia="仿宋" w:cs="仿宋"/>
          <w:color w:val="auto"/>
          <w:szCs w:val="21"/>
        </w:rPr>
        <w:t>投标报价须以人民币计价，以其它货币报价的投标将不予接受。</w:t>
      </w:r>
    </w:p>
    <w:p w14:paraId="7D3088D9">
      <w:pPr>
        <w:pStyle w:val="165"/>
        <w:widowControl/>
        <w:snapToGrid w:val="0"/>
        <w:spacing w:beforeLines="0" w:line="360" w:lineRule="auto"/>
        <w:jc w:val="left"/>
        <w:rPr>
          <w:rFonts w:hint="eastAsia" w:ascii="仿宋" w:hAnsi="仿宋" w:eastAsia="仿宋" w:cs="仿宋"/>
          <w:color w:val="auto"/>
          <w:szCs w:val="21"/>
        </w:rPr>
      </w:pPr>
      <w:r>
        <w:rPr>
          <w:rFonts w:hint="eastAsia" w:ascii="仿宋" w:hAnsi="仿宋" w:eastAsia="仿宋" w:cs="仿宋"/>
          <w:color w:val="auto"/>
          <w:szCs w:val="21"/>
          <w:lang w:val="en-US" w:eastAsia="zh-CN"/>
        </w:rPr>
        <w:t>4</w:t>
      </w:r>
      <w:r>
        <w:rPr>
          <w:rFonts w:hint="eastAsia" w:ascii="仿宋" w:hAnsi="仿宋" w:eastAsia="仿宋" w:cs="仿宋"/>
          <w:color w:val="auto"/>
          <w:szCs w:val="21"/>
        </w:rPr>
        <w:t>.采购单位不接受任何选择报价，投标单位只允许有一个有效报价。</w:t>
      </w:r>
    </w:p>
    <w:p w14:paraId="6CBB17A2">
      <w:pPr>
        <w:pageBreakBefore w:val="0"/>
        <w:kinsoku/>
        <w:topLinePunct w:val="0"/>
        <w:bidi w:val="0"/>
        <w:snapToGrid/>
        <w:spacing w:line="300" w:lineRule="auto"/>
        <w:ind w:firstLine="420" w:firstLineChars="200"/>
        <w:rPr>
          <w:rFonts w:hint="eastAsia" w:ascii="仿宋" w:hAnsi="仿宋" w:eastAsia="仿宋" w:cs="仿宋"/>
          <w:b/>
          <w:color w:val="auto"/>
          <w:szCs w:val="21"/>
          <w:lang w:val="zh-CN"/>
        </w:rPr>
      </w:pPr>
      <w:r>
        <w:rPr>
          <w:rFonts w:hint="eastAsia" w:ascii="仿宋" w:hAnsi="仿宋" w:eastAsia="仿宋" w:cs="仿宋"/>
          <w:b/>
          <w:color w:val="auto"/>
          <w:szCs w:val="21"/>
          <w:lang w:val="zh-CN"/>
        </w:rPr>
        <w:t>（四）投标文件的有效期</w:t>
      </w:r>
    </w:p>
    <w:p w14:paraId="7590C875">
      <w:pPr>
        <w:pStyle w:val="165"/>
        <w:widowControl/>
        <w:snapToGrid w:val="0"/>
        <w:spacing w:beforeLines="0" w:line="360" w:lineRule="auto"/>
        <w:jc w:val="left"/>
        <w:rPr>
          <w:rFonts w:hint="eastAsia" w:ascii="仿宋" w:hAnsi="仿宋" w:eastAsia="仿宋" w:cs="仿宋"/>
          <w:b/>
          <w:color w:val="auto"/>
          <w:szCs w:val="21"/>
          <w:u w:val="single"/>
        </w:rPr>
      </w:pPr>
      <w:r>
        <w:rPr>
          <w:rFonts w:hint="eastAsia" w:ascii="仿宋" w:hAnsi="仿宋" w:eastAsia="仿宋" w:cs="仿宋"/>
          <w:b/>
          <w:bCs/>
          <w:color w:val="auto"/>
          <w:szCs w:val="21"/>
          <w:u w:val="single"/>
          <w:lang w:val="zh-CN"/>
        </w:rPr>
        <w:t>▲</w:t>
      </w:r>
      <w:r>
        <w:rPr>
          <w:rFonts w:hint="eastAsia" w:ascii="仿宋" w:hAnsi="仿宋" w:eastAsia="仿宋" w:cs="仿宋"/>
          <w:b/>
          <w:color w:val="auto"/>
          <w:szCs w:val="21"/>
          <w:u w:val="single"/>
        </w:rPr>
        <w:t>1.投标文件有效期为自投标截止日起算90天。有效期不足的投标文件将按无效投标处理。</w:t>
      </w:r>
    </w:p>
    <w:p w14:paraId="003EFD36">
      <w:pPr>
        <w:pStyle w:val="165"/>
        <w:widowControl/>
        <w:snapToGrid w:val="0"/>
        <w:spacing w:beforeLines="0" w:line="360" w:lineRule="auto"/>
        <w:jc w:val="left"/>
        <w:rPr>
          <w:rFonts w:hint="eastAsia" w:ascii="仿宋" w:hAnsi="仿宋" w:eastAsia="仿宋" w:cs="仿宋"/>
          <w:color w:val="auto"/>
          <w:szCs w:val="21"/>
        </w:rPr>
      </w:pPr>
      <w:r>
        <w:rPr>
          <w:rFonts w:hint="eastAsia" w:ascii="仿宋" w:hAnsi="仿宋" w:eastAsia="仿宋" w:cs="仿宋"/>
          <w:color w:val="auto"/>
          <w:szCs w:val="21"/>
        </w:rPr>
        <w:t>2.在特殊情况下，采购人可与投标人协商延长投标书的有效期，这种要求和答复均以书面形式进行。</w:t>
      </w:r>
    </w:p>
    <w:p w14:paraId="0163CA2F">
      <w:pPr>
        <w:pStyle w:val="165"/>
        <w:widowControl/>
        <w:snapToGrid w:val="0"/>
        <w:spacing w:beforeLines="0" w:line="360" w:lineRule="auto"/>
        <w:jc w:val="left"/>
        <w:rPr>
          <w:rFonts w:hint="eastAsia" w:ascii="仿宋" w:hAnsi="仿宋" w:eastAsia="仿宋" w:cs="仿宋"/>
          <w:color w:val="auto"/>
          <w:szCs w:val="21"/>
        </w:rPr>
      </w:pPr>
      <w:r>
        <w:rPr>
          <w:rFonts w:hint="eastAsia" w:ascii="仿宋" w:hAnsi="仿宋" w:eastAsia="仿宋" w:cs="仿宋"/>
          <w:color w:val="auto"/>
          <w:szCs w:val="21"/>
        </w:rPr>
        <w:t>3.投标人可拒绝接受延期要求而无需承担责任。同意延长有效期的投标人不能修改投标文件。</w:t>
      </w:r>
    </w:p>
    <w:p w14:paraId="0AFAE18F">
      <w:pPr>
        <w:pStyle w:val="165"/>
        <w:widowControl/>
        <w:snapToGrid w:val="0"/>
        <w:spacing w:beforeLines="0" w:line="360" w:lineRule="auto"/>
        <w:jc w:val="left"/>
        <w:rPr>
          <w:rFonts w:hint="eastAsia" w:ascii="仿宋" w:hAnsi="仿宋" w:eastAsia="仿宋" w:cs="仿宋"/>
          <w:color w:val="auto"/>
          <w:szCs w:val="21"/>
        </w:rPr>
      </w:pPr>
      <w:r>
        <w:rPr>
          <w:rFonts w:hint="eastAsia" w:ascii="仿宋" w:hAnsi="仿宋" w:eastAsia="仿宋" w:cs="仿宋"/>
          <w:color w:val="auto"/>
          <w:szCs w:val="21"/>
        </w:rPr>
        <w:t>4.中标人的投标文件自开标之日起到项目履行完毕止均应保持有效。</w:t>
      </w:r>
    </w:p>
    <w:p w14:paraId="00B61319">
      <w:pPr>
        <w:pageBreakBefore w:val="0"/>
        <w:kinsoku/>
        <w:topLinePunct w:val="0"/>
        <w:bidi w:val="0"/>
        <w:snapToGrid/>
        <w:spacing w:line="300" w:lineRule="auto"/>
        <w:ind w:firstLine="420" w:firstLineChars="200"/>
        <w:rPr>
          <w:rStyle w:val="156"/>
          <w:rFonts w:hint="eastAsia" w:ascii="仿宋" w:hAnsi="仿宋" w:eastAsia="仿宋" w:cs="仿宋"/>
          <w:b/>
          <w:color w:val="auto"/>
          <w:szCs w:val="21"/>
          <w:lang w:val="zh-CN"/>
        </w:rPr>
      </w:pPr>
      <w:r>
        <w:rPr>
          <w:rStyle w:val="156"/>
          <w:rFonts w:hint="eastAsia" w:ascii="仿宋" w:hAnsi="仿宋" w:eastAsia="仿宋" w:cs="仿宋"/>
          <w:b/>
          <w:color w:val="auto"/>
          <w:szCs w:val="21"/>
          <w:lang w:val="zh-CN"/>
        </w:rPr>
        <w:t>（五）投标文件的编制、签署、份数</w:t>
      </w:r>
    </w:p>
    <w:p w14:paraId="0FC93E2E">
      <w:pPr>
        <w:pStyle w:val="165"/>
        <w:widowControl/>
        <w:snapToGrid w:val="0"/>
        <w:spacing w:beforeLines="0" w:line="360" w:lineRule="auto"/>
        <w:jc w:val="left"/>
        <w:rPr>
          <w:rFonts w:hint="eastAsia" w:ascii="仿宋" w:hAnsi="仿宋" w:eastAsia="仿宋" w:cs="仿宋"/>
          <w:color w:val="auto"/>
          <w:szCs w:val="21"/>
        </w:rPr>
      </w:pPr>
      <w:r>
        <w:rPr>
          <w:rFonts w:hint="eastAsia" w:ascii="仿宋" w:hAnsi="仿宋" w:eastAsia="仿宋" w:cs="仿宋"/>
          <w:color w:val="auto"/>
          <w:szCs w:val="21"/>
        </w:rPr>
        <w:t>1.投标文件分别“资格文件”、“商务技术文件”和“报价文件”三个类别。投标人应按政采云平台供应商项目采购-电子招投标操作指南</w:t>
      </w:r>
      <w:r>
        <w:rPr>
          <w:rFonts w:hint="eastAsia" w:ascii="仿宋" w:hAnsi="仿宋" w:eastAsia="仿宋" w:cs="仿宋"/>
          <w:color w:val="auto"/>
          <w:szCs w:val="21"/>
        </w:rPr>
        <w:fldChar w:fldCharType="begin"/>
      </w:r>
      <w:r>
        <w:rPr>
          <w:rFonts w:hint="eastAsia" w:ascii="仿宋" w:hAnsi="仿宋" w:eastAsia="仿宋" w:cs="仿宋"/>
          <w:color w:val="auto"/>
          <w:szCs w:val="21"/>
        </w:rPr>
        <w:instrText xml:space="preserve"> HYPERLINK "https://help.zcy.gov.cn/web/site_2/2018/12-28/2573.html）及本采购文件要求制作" </w:instrText>
      </w:r>
      <w:r>
        <w:rPr>
          <w:rFonts w:hint="eastAsia" w:ascii="仿宋" w:hAnsi="仿宋" w:eastAsia="仿宋" w:cs="仿宋"/>
          <w:color w:val="auto"/>
          <w:szCs w:val="21"/>
        </w:rPr>
        <w:fldChar w:fldCharType="separate"/>
      </w:r>
      <w:r>
        <w:rPr>
          <w:rFonts w:hint="eastAsia" w:ascii="仿宋" w:hAnsi="仿宋" w:eastAsia="仿宋" w:cs="仿宋"/>
          <w:color w:val="auto"/>
          <w:szCs w:val="21"/>
        </w:rPr>
        <w:t>及本采购文件要求制作</w:t>
      </w:r>
      <w:r>
        <w:rPr>
          <w:rFonts w:hint="eastAsia" w:ascii="仿宋" w:hAnsi="仿宋" w:eastAsia="仿宋" w:cs="仿宋"/>
          <w:color w:val="auto"/>
          <w:szCs w:val="21"/>
        </w:rPr>
        <w:fldChar w:fldCharType="end"/>
      </w:r>
      <w:r>
        <w:rPr>
          <w:rFonts w:hint="eastAsia" w:ascii="仿宋" w:hAnsi="仿宋" w:eastAsia="仿宋" w:cs="仿宋"/>
          <w:color w:val="auto"/>
          <w:szCs w:val="21"/>
        </w:rPr>
        <w:t>。</w:t>
      </w:r>
    </w:p>
    <w:p w14:paraId="191DD7CC">
      <w:pPr>
        <w:pStyle w:val="165"/>
        <w:widowControl/>
        <w:snapToGrid w:val="0"/>
        <w:spacing w:beforeLines="0" w:line="360" w:lineRule="auto"/>
        <w:jc w:val="left"/>
        <w:rPr>
          <w:rFonts w:hint="eastAsia" w:ascii="仿宋" w:hAnsi="仿宋" w:eastAsia="仿宋" w:cs="仿宋"/>
          <w:b/>
          <w:bCs/>
          <w:color w:val="auto"/>
          <w:szCs w:val="21"/>
          <w:u w:val="single"/>
        </w:rPr>
      </w:pPr>
      <w:r>
        <w:rPr>
          <w:rFonts w:hint="eastAsia" w:ascii="仿宋" w:hAnsi="仿宋" w:eastAsia="仿宋" w:cs="仿宋"/>
          <w:b/>
          <w:bCs/>
          <w:color w:val="auto"/>
          <w:szCs w:val="21"/>
          <w:u w:val="single"/>
          <w:lang w:val="zh-CN"/>
        </w:rPr>
        <w:t>▲</w:t>
      </w:r>
      <w:r>
        <w:rPr>
          <w:rFonts w:hint="eastAsia" w:ascii="仿宋" w:hAnsi="仿宋" w:eastAsia="仿宋" w:cs="仿宋"/>
          <w:b/>
          <w:bCs/>
          <w:color w:val="auto"/>
          <w:szCs w:val="21"/>
          <w:u w:val="single"/>
        </w:rPr>
        <w:t>2.签</w:t>
      </w:r>
      <w:r>
        <w:rPr>
          <w:rFonts w:hint="eastAsia" w:ascii="仿宋" w:hAnsi="仿宋" w:eastAsia="仿宋" w:cs="仿宋"/>
          <w:b/>
          <w:bCs/>
          <w:color w:val="auto"/>
          <w:szCs w:val="21"/>
          <w:u w:val="single"/>
          <w:lang w:val="zh-CN"/>
        </w:rPr>
        <w:t>署</w:t>
      </w:r>
      <w:r>
        <w:rPr>
          <w:rFonts w:hint="eastAsia" w:ascii="仿宋" w:hAnsi="仿宋" w:eastAsia="仿宋" w:cs="仿宋"/>
          <w:b/>
          <w:bCs/>
          <w:color w:val="auto"/>
          <w:szCs w:val="21"/>
          <w:u w:val="single"/>
        </w:rPr>
        <w:t>：投标文件中所有要求加盖公章的位置均应当采用CA电子签章，</w:t>
      </w:r>
      <w:r>
        <w:rPr>
          <w:rFonts w:hint="eastAsia" w:ascii="仿宋" w:hAnsi="仿宋" w:eastAsia="仿宋" w:cs="仿宋"/>
          <w:b/>
          <w:bCs/>
          <w:color w:val="auto"/>
          <w:szCs w:val="21"/>
          <w:u w:val="single"/>
          <w:lang w:eastAsia="zh-CN"/>
        </w:rPr>
        <w:t>否则按无效投标处理。</w:t>
      </w:r>
      <w:r>
        <w:rPr>
          <w:rFonts w:hint="eastAsia" w:ascii="仿宋" w:hAnsi="仿宋" w:eastAsia="仿宋" w:cs="仿宋"/>
          <w:b/>
          <w:bCs/>
          <w:color w:val="auto"/>
          <w:szCs w:val="21"/>
          <w:u w:val="single"/>
        </w:rPr>
        <w:t>法定代表人</w:t>
      </w:r>
      <w:r>
        <w:rPr>
          <w:rFonts w:hint="eastAsia" w:ascii="仿宋" w:hAnsi="仿宋" w:eastAsia="仿宋" w:cs="仿宋"/>
          <w:b/>
          <w:bCs/>
          <w:color w:val="auto"/>
          <w:szCs w:val="21"/>
          <w:u w:val="single"/>
          <w:lang w:val="zh-CN"/>
        </w:rPr>
        <w:t>（单位负责人）</w:t>
      </w:r>
      <w:r>
        <w:rPr>
          <w:rFonts w:hint="eastAsia" w:ascii="仿宋" w:hAnsi="仿宋" w:eastAsia="仿宋" w:cs="仿宋"/>
          <w:b/>
          <w:bCs/>
          <w:color w:val="auto"/>
          <w:szCs w:val="21"/>
          <w:u w:val="single"/>
        </w:rPr>
        <w:t>和授权代表签字（盖章）可书面签字或盖章后扫描至电子加密投标文件中上传。</w:t>
      </w:r>
    </w:p>
    <w:p w14:paraId="0BC87738">
      <w:pPr>
        <w:pStyle w:val="165"/>
        <w:widowControl/>
        <w:snapToGrid w:val="0"/>
        <w:spacing w:beforeLines="0" w:line="360" w:lineRule="auto"/>
        <w:jc w:val="left"/>
        <w:rPr>
          <w:rFonts w:hint="eastAsia" w:ascii="仿宋" w:hAnsi="仿宋" w:eastAsia="仿宋" w:cs="仿宋"/>
          <w:color w:val="auto"/>
          <w:szCs w:val="21"/>
        </w:rPr>
      </w:pPr>
      <w:r>
        <w:rPr>
          <w:rFonts w:hint="eastAsia" w:ascii="仿宋" w:hAnsi="仿宋" w:eastAsia="仿宋" w:cs="仿宋"/>
          <w:color w:val="auto"/>
          <w:szCs w:val="21"/>
        </w:rPr>
        <w:t>3.份数：</w:t>
      </w:r>
    </w:p>
    <w:p w14:paraId="584DD0E4">
      <w:pPr>
        <w:pStyle w:val="165"/>
        <w:widowControl/>
        <w:snapToGrid w:val="0"/>
        <w:spacing w:beforeLines="0" w:line="360" w:lineRule="auto"/>
        <w:jc w:val="left"/>
        <w:rPr>
          <w:rFonts w:hint="eastAsia" w:ascii="仿宋" w:hAnsi="仿宋" w:eastAsia="仿宋" w:cs="仿宋"/>
          <w:color w:val="auto"/>
          <w:szCs w:val="21"/>
          <w:lang w:val="zh-CN"/>
        </w:rPr>
      </w:pPr>
      <w:r>
        <w:rPr>
          <w:rFonts w:hint="eastAsia" w:ascii="仿宋" w:hAnsi="仿宋" w:eastAsia="仿宋" w:cs="仿宋"/>
          <w:color w:val="auto"/>
          <w:szCs w:val="21"/>
        </w:rPr>
        <w:t>（1）</w:t>
      </w:r>
      <w:r>
        <w:rPr>
          <w:rFonts w:hint="eastAsia" w:ascii="仿宋" w:hAnsi="仿宋" w:eastAsia="仿宋" w:cs="仿宋"/>
          <w:color w:val="auto"/>
          <w:szCs w:val="21"/>
          <w:lang w:val="zh-CN"/>
        </w:rPr>
        <w:t>“电子加密投标文件”：在线上传，递交一份。</w:t>
      </w:r>
    </w:p>
    <w:p w14:paraId="38AFE909">
      <w:pPr>
        <w:pStyle w:val="165"/>
        <w:widowControl/>
        <w:snapToGrid w:val="0"/>
        <w:spacing w:beforeLines="0" w:line="360" w:lineRule="auto"/>
        <w:jc w:val="left"/>
        <w:rPr>
          <w:rStyle w:val="156"/>
          <w:rFonts w:hint="eastAsia" w:ascii="仿宋" w:hAnsi="仿宋" w:eastAsia="仿宋" w:cs="仿宋"/>
          <w:color w:val="auto"/>
          <w:szCs w:val="21"/>
          <w:lang w:val="zh-CN"/>
        </w:rPr>
      </w:pPr>
      <w:r>
        <w:rPr>
          <w:rStyle w:val="156"/>
          <w:rFonts w:hint="eastAsia" w:ascii="仿宋" w:hAnsi="仿宋" w:eastAsia="仿宋" w:cs="仿宋"/>
          <w:color w:val="auto"/>
          <w:szCs w:val="21"/>
          <w:lang w:val="zh-CN"/>
        </w:rPr>
        <w:t>（2）“备份投标文件”：发送一份至邮箱：</w:t>
      </w:r>
      <w:r>
        <w:rPr>
          <w:rFonts w:hint="eastAsia" w:ascii="仿宋" w:hAnsi="仿宋" w:eastAsia="仿宋" w:cs="仿宋"/>
          <w:color w:val="auto"/>
        </w:rPr>
        <w:fldChar w:fldCharType="begin"/>
      </w:r>
      <w:r>
        <w:rPr>
          <w:rFonts w:hint="eastAsia" w:ascii="仿宋" w:hAnsi="仿宋" w:eastAsia="仿宋" w:cs="仿宋"/>
          <w:color w:val="auto"/>
        </w:rPr>
        <w:instrText xml:space="preserve"> HYPERLINK "mailto:1040018418@qq.com，提交时间以接收方邮箱收件箱显示时间为准。" </w:instrText>
      </w:r>
      <w:r>
        <w:rPr>
          <w:rFonts w:hint="eastAsia" w:ascii="仿宋" w:hAnsi="仿宋" w:eastAsia="仿宋" w:cs="仿宋"/>
          <w:color w:val="auto"/>
        </w:rPr>
        <w:fldChar w:fldCharType="separate"/>
      </w:r>
      <w:r>
        <w:rPr>
          <w:rStyle w:val="57"/>
          <w:rFonts w:hint="eastAsia" w:ascii="仿宋" w:hAnsi="仿宋" w:eastAsia="仿宋" w:cs="仿宋"/>
          <w:color w:val="auto"/>
          <w:szCs w:val="21"/>
          <w:lang w:eastAsia="zh-CN"/>
        </w:rPr>
        <w:t>85967191</w:t>
      </w:r>
      <w:r>
        <w:rPr>
          <w:rStyle w:val="57"/>
          <w:rFonts w:hint="eastAsia" w:ascii="仿宋" w:hAnsi="仿宋" w:eastAsia="仿宋" w:cs="仿宋"/>
          <w:color w:val="auto"/>
          <w:szCs w:val="21"/>
        </w:rPr>
        <w:t>@qq.com，提交时间以接收方邮箱收件箱显示时间为准</w:t>
      </w:r>
      <w:r>
        <w:rPr>
          <w:rStyle w:val="57"/>
          <w:rFonts w:hint="eastAsia" w:ascii="仿宋" w:hAnsi="仿宋" w:eastAsia="仿宋" w:cs="仿宋"/>
          <w:color w:val="auto"/>
          <w:szCs w:val="21"/>
          <w:lang w:val="zh-CN"/>
        </w:rPr>
        <w:t>。</w:t>
      </w:r>
      <w:r>
        <w:rPr>
          <w:rStyle w:val="57"/>
          <w:rFonts w:hint="eastAsia" w:ascii="仿宋" w:hAnsi="仿宋" w:eastAsia="仿宋" w:cs="仿宋"/>
          <w:color w:val="auto"/>
          <w:szCs w:val="21"/>
          <w:lang w:val="zh-CN"/>
        </w:rPr>
        <w:fldChar w:fldCharType="end"/>
      </w:r>
    </w:p>
    <w:p w14:paraId="47BC6CE0">
      <w:pPr>
        <w:pStyle w:val="165"/>
        <w:widowControl/>
        <w:snapToGrid w:val="0"/>
        <w:spacing w:beforeLines="0" w:line="360" w:lineRule="auto"/>
        <w:jc w:val="left"/>
        <w:rPr>
          <w:rStyle w:val="156"/>
          <w:rFonts w:hint="eastAsia" w:ascii="仿宋" w:hAnsi="仿宋" w:eastAsia="仿宋" w:cs="仿宋"/>
          <w:b/>
          <w:bCs/>
          <w:color w:val="auto"/>
          <w:szCs w:val="21"/>
          <w:lang w:val="zh-CN"/>
        </w:rPr>
      </w:pPr>
      <w:r>
        <w:rPr>
          <w:rStyle w:val="156"/>
          <w:rFonts w:hint="eastAsia" w:ascii="仿宋" w:hAnsi="仿宋" w:eastAsia="仿宋" w:cs="仿宋"/>
          <w:b/>
          <w:bCs/>
          <w:color w:val="auto"/>
          <w:szCs w:val="21"/>
          <w:lang w:val="zh-CN"/>
        </w:rPr>
        <w:t>（</w:t>
      </w:r>
      <w:r>
        <w:rPr>
          <w:rStyle w:val="156"/>
          <w:rFonts w:hint="eastAsia" w:ascii="仿宋" w:hAnsi="仿宋" w:eastAsia="仿宋" w:cs="仿宋"/>
          <w:b/>
          <w:bCs/>
          <w:color w:val="auto"/>
          <w:szCs w:val="21"/>
        </w:rPr>
        <w:t>3</w:t>
      </w:r>
      <w:r>
        <w:rPr>
          <w:rStyle w:val="156"/>
          <w:rFonts w:hint="eastAsia" w:ascii="仿宋" w:hAnsi="仿宋" w:eastAsia="仿宋" w:cs="仿宋"/>
          <w:b/>
          <w:bCs/>
          <w:color w:val="auto"/>
          <w:szCs w:val="21"/>
          <w:lang w:val="zh-CN"/>
        </w:rPr>
        <w:t>）中标通知书发出后，中标人应当向采购代理机构提供纸质投标文件一式四份，用于采购项目文件存档。</w:t>
      </w:r>
    </w:p>
    <w:p w14:paraId="227A9921">
      <w:pPr>
        <w:pageBreakBefore w:val="0"/>
        <w:kinsoku/>
        <w:topLinePunct w:val="0"/>
        <w:bidi w:val="0"/>
        <w:snapToGrid/>
        <w:spacing w:line="300" w:lineRule="auto"/>
        <w:ind w:firstLine="420" w:firstLineChars="200"/>
        <w:rPr>
          <w:rFonts w:hint="eastAsia" w:ascii="仿宋" w:hAnsi="仿宋" w:eastAsia="仿宋" w:cs="仿宋"/>
          <w:b/>
          <w:bCs/>
          <w:color w:val="auto"/>
          <w:szCs w:val="21"/>
        </w:rPr>
      </w:pPr>
      <w:r>
        <w:rPr>
          <w:rFonts w:hint="eastAsia" w:ascii="仿宋" w:hAnsi="仿宋" w:eastAsia="仿宋" w:cs="仿宋"/>
          <w:b/>
          <w:bCs/>
          <w:color w:val="auto"/>
          <w:szCs w:val="21"/>
        </w:rPr>
        <w:t>（六）投标文件的形式和效力</w:t>
      </w:r>
    </w:p>
    <w:p w14:paraId="229E601D">
      <w:pPr>
        <w:pStyle w:val="20"/>
        <w:pageBreakBefore w:val="0"/>
        <w:kinsoku/>
        <w:topLinePunct w:val="0"/>
        <w:bidi w:val="0"/>
        <w:snapToGrid/>
        <w:spacing w:line="300" w:lineRule="auto"/>
        <w:ind w:firstLine="420" w:firstLineChars="200"/>
        <w:rPr>
          <w:rFonts w:hint="eastAsia" w:ascii="仿宋" w:hAnsi="仿宋" w:eastAsia="仿宋" w:cs="仿宋"/>
          <w:b/>
          <w:bCs/>
          <w:color w:val="auto"/>
          <w:sz w:val="21"/>
          <w:szCs w:val="21"/>
          <w:lang w:val="en-US"/>
        </w:rPr>
      </w:pPr>
      <w:r>
        <w:rPr>
          <w:rFonts w:hint="eastAsia" w:ascii="仿宋" w:hAnsi="仿宋" w:eastAsia="仿宋" w:cs="仿宋"/>
          <w:b/>
          <w:bCs/>
          <w:color w:val="auto"/>
          <w:sz w:val="21"/>
          <w:szCs w:val="21"/>
          <w:lang w:val="en-US"/>
        </w:rPr>
        <w:t>1.</w:t>
      </w:r>
      <w:r>
        <w:rPr>
          <w:rFonts w:hint="eastAsia" w:ascii="仿宋" w:hAnsi="仿宋" w:eastAsia="仿宋" w:cs="仿宋"/>
          <w:b/>
          <w:bCs/>
          <w:color w:val="auto"/>
          <w:sz w:val="21"/>
          <w:szCs w:val="21"/>
        </w:rPr>
        <w:t>投标文件的形式</w:t>
      </w:r>
      <w:r>
        <w:rPr>
          <w:rFonts w:hint="eastAsia" w:ascii="仿宋" w:hAnsi="仿宋" w:eastAsia="仿宋" w:cs="仿宋"/>
          <w:b/>
          <w:bCs/>
          <w:color w:val="auto"/>
          <w:sz w:val="21"/>
          <w:szCs w:val="21"/>
          <w:lang w:val="en-US"/>
        </w:rPr>
        <w:t>：</w:t>
      </w:r>
    </w:p>
    <w:p w14:paraId="08B91B12">
      <w:pPr>
        <w:pStyle w:val="165"/>
        <w:widowControl/>
        <w:snapToGrid w:val="0"/>
        <w:spacing w:beforeLines="0" w:line="360" w:lineRule="auto"/>
        <w:jc w:val="left"/>
        <w:rPr>
          <w:rFonts w:hint="eastAsia" w:ascii="仿宋" w:hAnsi="仿宋" w:eastAsia="仿宋" w:cs="仿宋"/>
          <w:color w:val="auto"/>
          <w:szCs w:val="21"/>
        </w:rPr>
      </w:pPr>
      <w:r>
        <w:rPr>
          <w:rFonts w:hint="eastAsia" w:ascii="仿宋" w:hAnsi="仿宋" w:eastAsia="仿宋" w:cs="仿宋"/>
          <w:color w:val="auto"/>
          <w:szCs w:val="21"/>
        </w:rPr>
        <w:t>电子投标文件（包括“电子加密投标文件”和“备份投标文件”，在投标文件编制完成后同时生成）；</w:t>
      </w:r>
    </w:p>
    <w:p w14:paraId="398C3977">
      <w:pPr>
        <w:pStyle w:val="165"/>
        <w:widowControl/>
        <w:snapToGrid w:val="0"/>
        <w:spacing w:beforeLines="0" w:line="360" w:lineRule="auto"/>
        <w:jc w:val="left"/>
        <w:rPr>
          <w:rFonts w:hint="eastAsia" w:ascii="仿宋" w:hAnsi="仿宋" w:eastAsia="仿宋" w:cs="仿宋"/>
          <w:color w:val="auto"/>
          <w:szCs w:val="21"/>
        </w:rPr>
      </w:pPr>
      <w:r>
        <w:rPr>
          <w:rFonts w:hint="eastAsia" w:ascii="仿宋" w:hAnsi="仿宋" w:eastAsia="仿宋" w:cs="仿宋"/>
          <w:color w:val="auto"/>
          <w:szCs w:val="21"/>
          <w:lang w:val="en-US"/>
        </w:rPr>
        <w:t>1.1</w:t>
      </w:r>
      <w:r>
        <w:rPr>
          <w:rFonts w:hint="eastAsia" w:ascii="仿宋" w:hAnsi="仿宋" w:eastAsia="仿宋" w:cs="仿宋"/>
          <w:color w:val="auto"/>
          <w:szCs w:val="21"/>
        </w:rPr>
        <w:t>“电子加密投标文件”是指通过“政采云电子交易客户端”完成投标文件编制后生成并加密的数据电文形式的投标文件。</w:t>
      </w:r>
    </w:p>
    <w:p w14:paraId="329C268B">
      <w:pPr>
        <w:pStyle w:val="165"/>
        <w:widowControl/>
        <w:snapToGrid w:val="0"/>
        <w:spacing w:beforeLines="0" w:line="360" w:lineRule="auto"/>
        <w:jc w:val="left"/>
        <w:rPr>
          <w:rFonts w:hint="eastAsia" w:ascii="仿宋" w:hAnsi="仿宋" w:eastAsia="仿宋" w:cs="仿宋"/>
          <w:color w:val="auto"/>
          <w:szCs w:val="21"/>
        </w:rPr>
      </w:pPr>
      <w:r>
        <w:rPr>
          <w:rFonts w:hint="eastAsia" w:ascii="仿宋" w:hAnsi="仿宋" w:eastAsia="仿宋" w:cs="仿宋"/>
          <w:color w:val="auto"/>
          <w:szCs w:val="21"/>
          <w:lang w:val="en-US"/>
        </w:rPr>
        <w:t>1.2</w:t>
      </w:r>
      <w:r>
        <w:rPr>
          <w:rFonts w:hint="eastAsia" w:ascii="仿宋" w:hAnsi="仿宋" w:eastAsia="仿宋" w:cs="仿宋"/>
          <w:color w:val="auto"/>
          <w:szCs w:val="21"/>
        </w:rPr>
        <w:t>“备份投标文件”是指与“电子加密投标文件”同时生成的数据电文形式的电子文件（备份标书），其他方式编制的备份投标文件视为无效备份投标文件。</w:t>
      </w:r>
    </w:p>
    <w:p w14:paraId="17874AAF">
      <w:pPr>
        <w:pStyle w:val="20"/>
        <w:pageBreakBefore w:val="0"/>
        <w:kinsoku/>
        <w:topLinePunct w:val="0"/>
        <w:bidi w:val="0"/>
        <w:snapToGrid/>
        <w:spacing w:line="300" w:lineRule="auto"/>
        <w:ind w:firstLine="420" w:firstLineChars="200"/>
        <w:rPr>
          <w:rFonts w:hint="eastAsia" w:ascii="仿宋" w:hAnsi="仿宋" w:eastAsia="仿宋" w:cs="仿宋"/>
          <w:b/>
          <w:bCs/>
          <w:color w:val="auto"/>
          <w:sz w:val="21"/>
          <w:szCs w:val="21"/>
          <w:lang w:val="en-US"/>
        </w:rPr>
      </w:pPr>
      <w:r>
        <w:rPr>
          <w:rFonts w:hint="eastAsia" w:ascii="仿宋" w:hAnsi="仿宋" w:eastAsia="仿宋" w:cs="仿宋"/>
          <w:b/>
          <w:bCs/>
          <w:color w:val="auto"/>
          <w:sz w:val="21"/>
          <w:szCs w:val="21"/>
          <w:lang w:val="en-US"/>
        </w:rPr>
        <w:t>2.</w:t>
      </w:r>
      <w:r>
        <w:rPr>
          <w:rFonts w:hint="eastAsia" w:ascii="仿宋" w:hAnsi="仿宋" w:eastAsia="仿宋" w:cs="仿宋"/>
          <w:b/>
          <w:bCs/>
          <w:color w:val="auto"/>
          <w:sz w:val="21"/>
          <w:szCs w:val="21"/>
        </w:rPr>
        <w:t>投标文件的效力</w:t>
      </w:r>
      <w:r>
        <w:rPr>
          <w:rFonts w:hint="eastAsia" w:ascii="仿宋" w:hAnsi="仿宋" w:eastAsia="仿宋" w:cs="仿宋"/>
          <w:b/>
          <w:bCs/>
          <w:color w:val="auto"/>
          <w:sz w:val="21"/>
          <w:szCs w:val="21"/>
          <w:lang w:val="en-US"/>
        </w:rPr>
        <w:t>:</w:t>
      </w:r>
    </w:p>
    <w:p w14:paraId="0A2958EC">
      <w:pPr>
        <w:pStyle w:val="165"/>
        <w:widowControl/>
        <w:snapToGrid w:val="0"/>
        <w:spacing w:beforeLines="0" w:line="360" w:lineRule="auto"/>
        <w:jc w:val="left"/>
        <w:rPr>
          <w:rFonts w:hint="eastAsia" w:ascii="仿宋" w:hAnsi="仿宋" w:eastAsia="仿宋" w:cs="仿宋"/>
          <w:color w:val="auto"/>
          <w:sz w:val="21"/>
          <w:szCs w:val="21"/>
        </w:rPr>
      </w:pPr>
      <w:r>
        <w:rPr>
          <w:rFonts w:hint="eastAsia" w:ascii="仿宋" w:hAnsi="仿宋" w:eastAsia="仿宋" w:cs="仿宋"/>
          <w:color w:val="auto"/>
          <w:sz w:val="21"/>
          <w:szCs w:val="21"/>
          <w:lang w:val="en-US"/>
        </w:rPr>
        <w:t>2.1</w:t>
      </w:r>
      <w:r>
        <w:rPr>
          <w:rFonts w:hint="eastAsia" w:ascii="仿宋" w:hAnsi="仿宋" w:eastAsia="仿宋" w:cs="仿宋"/>
          <w:color w:val="auto"/>
          <w:sz w:val="21"/>
          <w:szCs w:val="21"/>
        </w:rPr>
        <w:t>投标文件的启用，按先后顺位分别为电子加密投标文件、备份投标文件。</w:t>
      </w:r>
    </w:p>
    <w:p w14:paraId="1DF485B7">
      <w:pPr>
        <w:pStyle w:val="165"/>
        <w:widowControl/>
        <w:snapToGrid w:val="0"/>
        <w:spacing w:beforeLines="0" w:line="360" w:lineRule="auto"/>
        <w:jc w:val="left"/>
        <w:rPr>
          <w:rFonts w:hint="eastAsia" w:ascii="仿宋" w:hAnsi="仿宋" w:eastAsia="仿宋" w:cs="仿宋"/>
          <w:color w:val="auto"/>
          <w:sz w:val="21"/>
          <w:szCs w:val="21"/>
        </w:rPr>
      </w:pPr>
      <w:r>
        <w:rPr>
          <w:rFonts w:hint="eastAsia" w:ascii="仿宋" w:hAnsi="仿宋" w:eastAsia="仿宋" w:cs="仿宋"/>
          <w:color w:val="auto"/>
          <w:sz w:val="21"/>
          <w:szCs w:val="21"/>
          <w:lang w:val="en-US"/>
        </w:rPr>
        <w:t>2.2</w:t>
      </w:r>
      <w:r>
        <w:rPr>
          <w:rFonts w:hint="eastAsia" w:ascii="仿宋" w:hAnsi="仿宋" w:eastAsia="仿宋" w:cs="仿宋"/>
          <w:color w:val="auto"/>
          <w:sz w:val="21"/>
          <w:szCs w:val="21"/>
        </w:rPr>
        <w:t>通过“政府采购云平台”上传递交的“电子加密投标文件”已按时解密的，备份投标文件自动失效。</w:t>
      </w:r>
    </w:p>
    <w:p w14:paraId="214DA51B">
      <w:pPr>
        <w:pStyle w:val="165"/>
        <w:widowControl/>
        <w:snapToGrid w:val="0"/>
        <w:spacing w:beforeLines="0" w:line="360" w:lineRule="auto"/>
        <w:jc w:val="left"/>
        <w:rPr>
          <w:rFonts w:hint="eastAsia" w:ascii="仿宋" w:hAnsi="仿宋" w:eastAsia="仿宋" w:cs="仿宋"/>
          <w:color w:val="auto"/>
          <w:sz w:val="21"/>
          <w:szCs w:val="21"/>
          <w:lang w:val="en-US"/>
        </w:rPr>
      </w:pPr>
      <w:r>
        <w:rPr>
          <w:rFonts w:hint="eastAsia" w:ascii="仿宋" w:hAnsi="仿宋" w:eastAsia="仿宋" w:cs="仿宋"/>
          <w:color w:val="auto"/>
          <w:sz w:val="21"/>
          <w:szCs w:val="21"/>
          <w:lang w:val="en-US"/>
        </w:rPr>
        <w:t>2.3</w:t>
      </w:r>
      <w:r>
        <w:rPr>
          <w:rFonts w:hint="eastAsia" w:ascii="仿宋" w:hAnsi="仿宋" w:eastAsia="仿宋" w:cs="仿宋"/>
          <w:color w:val="auto"/>
          <w:sz w:val="21"/>
          <w:szCs w:val="21"/>
        </w:rPr>
        <w:t>通过“政府采购云平台”上传递交的“电子加密投标文件”无法按时解密，投标人递交了备份投标文件的，以备份投标文件为准；</w:t>
      </w:r>
    </w:p>
    <w:p w14:paraId="5B38B8D9">
      <w:pPr>
        <w:pStyle w:val="165"/>
        <w:widowControl/>
        <w:snapToGrid w:val="0"/>
        <w:spacing w:beforeLines="0" w:line="360" w:lineRule="auto"/>
        <w:jc w:val="left"/>
        <w:rPr>
          <w:rFonts w:hint="eastAsia" w:ascii="仿宋" w:hAnsi="仿宋" w:eastAsia="仿宋" w:cs="仿宋"/>
          <w:b/>
          <w:bCs/>
          <w:color w:val="auto"/>
          <w:sz w:val="21"/>
          <w:szCs w:val="21"/>
          <w:lang w:val="en-US"/>
        </w:rPr>
      </w:pPr>
      <w:r>
        <w:rPr>
          <w:rFonts w:hint="eastAsia" w:ascii="仿宋" w:hAnsi="仿宋" w:eastAsia="仿宋" w:cs="仿宋"/>
          <w:b/>
          <w:bCs/>
          <w:color w:val="auto"/>
          <w:sz w:val="21"/>
          <w:szCs w:val="21"/>
          <w:lang w:val="en-US"/>
        </w:rPr>
        <w:t>2.4</w:t>
      </w:r>
      <w:r>
        <w:rPr>
          <w:rFonts w:hint="eastAsia" w:ascii="仿宋" w:hAnsi="仿宋" w:eastAsia="仿宋" w:cs="仿宋"/>
          <w:b/>
          <w:bCs/>
          <w:color w:val="auto"/>
          <w:sz w:val="21"/>
          <w:szCs w:val="21"/>
          <w:lang w:val="en-US" w:eastAsia="zh-CN"/>
        </w:rPr>
        <w:t xml:space="preserve"> </w:t>
      </w:r>
      <w:r>
        <w:rPr>
          <w:rFonts w:hint="eastAsia" w:ascii="仿宋" w:hAnsi="仿宋" w:eastAsia="仿宋" w:cs="仿宋"/>
          <w:b/>
          <w:bCs/>
          <w:color w:val="auto"/>
          <w:sz w:val="21"/>
          <w:szCs w:val="21"/>
          <w:lang w:val="en-US"/>
        </w:rPr>
        <w:t>电子加密投标文件解密失败且未按要求提交备份投标文件的（或备份投标文件解密失败的），视投标撤回；</w:t>
      </w:r>
    </w:p>
    <w:p w14:paraId="17EA2148">
      <w:pPr>
        <w:pStyle w:val="165"/>
        <w:widowControl/>
        <w:snapToGrid w:val="0"/>
        <w:spacing w:beforeLines="0" w:line="360" w:lineRule="auto"/>
        <w:jc w:val="left"/>
        <w:rPr>
          <w:rFonts w:hint="eastAsia" w:ascii="仿宋" w:hAnsi="仿宋" w:eastAsia="仿宋" w:cs="仿宋"/>
          <w:b/>
          <w:bCs/>
          <w:color w:val="auto"/>
          <w:sz w:val="21"/>
          <w:szCs w:val="21"/>
        </w:rPr>
      </w:pPr>
      <w:r>
        <w:rPr>
          <w:rFonts w:hint="eastAsia" w:ascii="仿宋" w:hAnsi="仿宋" w:eastAsia="仿宋" w:cs="仿宋"/>
          <w:b/>
          <w:bCs/>
          <w:color w:val="auto"/>
          <w:sz w:val="21"/>
          <w:szCs w:val="21"/>
          <w:lang w:val="en-US"/>
        </w:rPr>
        <w:t>▲2.5</w:t>
      </w:r>
      <w:r>
        <w:rPr>
          <w:rFonts w:hint="eastAsia" w:ascii="仿宋" w:hAnsi="仿宋" w:eastAsia="仿宋" w:cs="仿宋"/>
          <w:b/>
          <w:bCs/>
          <w:color w:val="auto"/>
          <w:sz w:val="21"/>
          <w:szCs w:val="21"/>
          <w:lang w:val="en-US" w:eastAsia="zh-CN"/>
        </w:rPr>
        <w:t xml:space="preserve"> </w:t>
      </w:r>
      <w:r>
        <w:rPr>
          <w:rFonts w:hint="eastAsia" w:ascii="仿宋" w:hAnsi="仿宋" w:eastAsia="仿宋" w:cs="仿宋"/>
          <w:b/>
          <w:bCs/>
          <w:color w:val="auto"/>
          <w:sz w:val="21"/>
          <w:szCs w:val="21"/>
        </w:rPr>
        <w:t>投标</w:t>
      </w:r>
      <w:r>
        <w:rPr>
          <w:rFonts w:hint="eastAsia" w:ascii="仿宋" w:hAnsi="仿宋" w:eastAsia="仿宋" w:cs="仿宋"/>
          <w:b/>
          <w:bCs/>
          <w:color w:val="auto"/>
          <w:sz w:val="21"/>
          <w:szCs w:val="21"/>
          <w:lang w:val="en-US"/>
        </w:rPr>
        <w:t>人仅递交备份投标文件，未递交电子加密投标文件的，按无效投标处理。</w:t>
      </w:r>
    </w:p>
    <w:p w14:paraId="0AF3CA69">
      <w:pPr>
        <w:pageBreakBefore w:val="0"/>
        <w:kinsoku/>
        <w:topLinePunct w:val="0"/>
        <w:bidi w:val="0"/>
        <w:snapToGrid/>
        <w:spacing w:line="300" w:lineRule="auto"/>
        <w:ind w:firstLine="420" w:firstLineChars="200"/>
        <w:rPr>
          <w:rFonts w:hint="eastAsia" w:ascii="仿宋" w:hAnsi="仿宋" w:eastAsia="仿宋" w:cs="仿宋"/>
          <w:b/>
          <w:bCs/>
          <w:color w:val="auto"/>
          <w:szCs w:val="21"/>
          <w:lang w:val="zh-CN"/>
        </w:rPr>
      </w:pPr>
      <w:r>
        <w:rPr>
          <w:rFonts w:hint="eastAsia" w:ascii="仿宋" w:hAnsi="仿宋" w:eastAsia="仿宋" w:cs="仿宋"/>
          <w:b/>
          <w:bCs/>
          <w:color w:val="auto"/>
          <w:szCs w:val="21"/>
          <w:lang w:val="zh-CN"/>
        </w:rPr>
        <w:t>（七）投标文件递交、修改（补充）和撤回</w:t>
      </w:r>
    </w:p>
    <w:p w14:paraId="491E36CF">
      <w:pPr>
        <w:pageBreakBefore w:val="0"/>
        <w:widowControl/>
        <w:kinsoku/>
        <w:topLinePunct w:val="0"/>
        <w:bidi w:val="0"/>
        <w:snapToGrid/>
        <w:spacing w:line="300" w:lineRule="auto"/>
        <w:ind w:firstLine="411" w:firstLineChars="196"/>
        <w:rPr>
          <w:rStyle w:val="156"/>
          <w:rFonts w:hint="eastAsia" w:ascii="仿宋" w:hAnsi="仿宋" w:eastAsia="仿宋" w:cs="仿宋"/>
          <w:b/>
          <w:bCs/>
          <w:color w:val="auto"/>
          <w:szCs w:val="21"/>
        </w:rPr>
      </w:pPr>
      <w:r>
        <w:rPr>
          <w:rStyle w:val="156"/>
          <w:rFonts w:hint="eastAsia" w:ascii="仿宋" w:hAnsi="仿宋" w:eastAsia="仿宋" w:cs="仿宋"/>
          <w:b/>
          <w:bCs/>
          <w:color w:val="auto"/>
          <w:szCs w:val="21"/>
        </w:rPr>
        <w:t>1.投标文件</w:t>
      </w:r>
      <w:r>
        <w:rPr>
          <w:rFonts w:hint="eastAsia" w:ascii="仿宋" w:hAnsi="仿宋" w:eastAsia="仿宋" w:cs="仿宋"/>
          <w:b/>
          <w:color w:val="auto"/>
          <w:szCs w:val="21"/>
        </w:rPr>
        <w:t>递交（上传）</w:t>
      </w:r>
    </w:p>
    <w:p w14:paraId="49632762">
      <w:pPr>
        <w:pStyle w:val="165"/>
        <w:widowControl/>
        <w:snapToGrid w:val="0"/>
        <w:spacing w:beforeLines="0" w:line="360" w:lineRule="auto"/>
        <w:jc w:val="left"/>
        <w:rPr>
          <w:rFonts w:hint="eastAsia" w:ascii="仿宋" w:hAnsi="仿宋" w:eastAsia="仿宋" w:cs="仿宋"/>
          <w:color w:val="auto"/>
          <w:kern w:val="0"/>
          <w:szCs w:val="21"/>
        </w:rPr>
      </w:pPr>
      <w:r>
        <w:rPr>
          <w:rFonts w:hint="eastAsia" w:ascii="仿宋" w:hAnsi="仿宋" w:eastAsia="仿宋" w:cs="仿宋"/>
          <w:color w:val="auto"/>
          <w:kern w:val="0"/>
          <w:szCs w:val="21"/>
        </w:rPr>
        <w:t>1.1</w:t>
      </w:r>
      <w:r>
        <w:rPr>
          <w:rFonts w:hint="eastAsia" w:ascii="仿宋" w:hAnsi="仿宋" w:eastAsia="仿宋" w:cs="仿宋"/>
          <w:b/>
          <w:bCs/>
          <w:color w:val="auto"/>
          <w:kern w:val="0"/>
          <w:szCs w:val="21"/>
        </w:rPr>
        <w:t>电子加密投标文件：</w:t>
      </w:r>
      <w:r>
        <w:rPr>
          <w:rFonts w:hint="eastAsia" w:ascii="仿宋" w:hAnsi="仿宋" w:eastAsia="仿宋" w:cs="仿宋"/>
          <w:color w:val="auto"/>
          <w:kern w:val="0"/>
          <w:szCs w:val="21"/>
        </w:rPr>
        <w:t>投标人应当于投标文件提交截止时间前</w:t>
      </w:r>
      <w:r>
        <w:rPr>
          <w:rFonts w:hint="eastAsia" w:ascii="仿宋" w:hAnsi="仿宋" w:eastAsia="仿宋" w:cs="仿宋"/>
          <w:color w:val="auto"/>
          <w:szCs w:val="21"/>
        </w:rPr>
        <w:t>通过“政采云电子投标客户端”上传至政采云平台</w:t>
      </w:r>
      <w:r>
        <w:rPr>
          <w:rFonts w:hint="eastAsia" w:ascii="仿宋" w:hAnsi="仿宋" w:eastAsia="仿宋" w:cs="仿宋"/>
          <w:color w:val="auto"/>
          <w:kern w:val="0"/>
          <w:szCs w:val="21"/>
        </w:rPr>
        <w:t>上</w:t>
      </w:r>
      <w:r>
        <w:rPr>
          <w:rFonts w:hint="eastAsia" w:ascii="仿宋" w:hAnsi="仿宋" w:eastAsia="仿宋" w:cs="仿宋"/>
          <w:b/>
          <w:bCs/>
          <w:color w:val="auto"/>
          <w:kern w:val="0"/>
          <w:szCs w:val="21"/>
        </w:rPr>
        <w:t>。（逾期上传的投标文件将被拒收）</w:t>
      </w:r>
    </w:p>
    <w:p w14:paraId="3E3F28C0">
      <w:pPr>
        <w:pStyle w:val="165"/>
        <w:widowControl/>
        <w:snapToGrid w:val="0"/>
        <w:spacing w:beforeLines="0" w:line="360" w:lineRule="auto"/>
        <w:jc w:val="left"/>
        <w:rPr>
          <w:rFonts w:hint="eastAsia" w:ascii="仿宋" w:hAnsi="仿宋" w:eastAsia="仿宋" w:cs="仿宋"/>
          <w:b/>
          <w:bCs/>
          <w:color w:val="auto"/>
          <w:lang w:val="zh-CN"/>
        </w:rPr>
      </w:pPr>
      <w:r>
        <w:rPr>
          <w:rFonts w:hint="eastAsia" w:ascii="仿宋" w:hAnsi="仿宋" w:eastAsia="仿宋" w:cs="仿宋"/>
          <w:color w:val="auto"/>
          <w:kern w:val="0"/>
          <w:szCs w:val="21"/>
        </w:rPr>
        <w:t>1.2</w:t>
      </w:r>
      <w:r>
        <w:rPr>
          <w:rFonts w:hint="eastAsia" w:ascii="仿宋" w:hAnsi="仿宋" w:eastAsia="仿宋" w:cs="仿宋"/>
          <w:b/>
          <w:bCs/>
          <w:color w:val="auto"/>
          <w:kern w:val="0"/>
          <w:szCs w:val="21"/>
        </w:rPr>
        <w:t>备份投标文件（非强制要求提供）</w:t>
      </w:r>
      <w:r>
        <w:rPr>
          <w:rFonts w:hint="eastAsia" w:ascii="仿宋" w:hAnsi="仿宋" w:eastAsia="仿宋" w:cs="仿宋"/>
          <w:color w:val="auto"/>
          <w:kern w:val="0"/>
          <w:szCs w:val="21"/>
        </w:rPr>
        <w:t>：可在</w:t>
      </w:r>
      <w:r>
        <w:rPr>
          <w:rFonts w:hint="eastAsia" w:ascii="仿宋" w:hAnsi="仿宋" w:eastAsia="仿宋" w:cs="仿宋"/>
          <w:color w:val="auto"/>
        </w:rPr>
        <w:fldChar w:fldCharType="begin"/>
      </w:r>
      <w:r>
        <w:rPr>
          <w:rFonts w:hint="eastAsia" w:ascii="仿宋" w:hAnsi="仿宋" w:eastAsia="仿宋" w:cs="仿宋"/>
          <w:color w:val="auto"/>
        </w:rPr>
        <w:instrText xml:space="preserve"> HYPERLINK "mailto:按政采云平台项目采购-电子招投标操作指南制作备份投标文件（后缀名为.bfbs），在开标时间后15分钟内以电子邮件形式递交至采购代理机构邮箱（103874679@qq.com）。" </w:instrText>
      </w:r>
      <w:r>
        <w:rPr>
          <w:rFonts w:hint="eastAsia" w:ascii="仿宋" w:hAnsi="仿宋" w:eastAsia="仿宋" w:cs="仿宋"/>
          <w:color w:val="auto"/>
        </w:rPr>
        <w:fldChar w:fldCharType="separate"/>
      </w:r>
      <w:r>
        <w:rPr>
          <w:rStyle w:val="57"/>
          <w:rFonts w:hint="eastAsia" w:ascii="仿宋" w:hAnsi="仿宋" w:eastAsia="仿宋" w:cs="仿宋"/>
          <w:color w:val="auto"/>
          <w:kern w:val="0"/>
          <w:szCs w:val="21"/>
          <w:u w:val="none"/>
        </w:rPr>
        <w:t>投标文件提交截止时间前以加密的压缩文件形式（即将压缩文件设置为需要密码才能打开）发送至采购代理机构邮箱</w:t>
      </w:r>
      <w:r>
        <w:rPr>
          <w:rStyle w:val="57"/>
          <w:rFonts w:hint="eastAsia" w:ascii="仿宋" w:hAnsi="仿宋" w:eastAsia="仿宋" w:cs="仿宋"/>
          <w:color w:val="auto"/>
          <w:kern w:val="0"/>
          <w:szCs w:val="21"/>
          <w:u w:val="none"/>
        </w:rPr>
        <w:fldChar w:fldCharType="end"/>
      </w:r>
      <w:r>
        <w:rPr>
          <w:rFonts w:hint="eastAsia" w:ascii="仿宋" w:hAnsi="仿宋" w:eastAsia="仿宋" w:cs="仿宋"/>
          <w:color w:val="auto"/>
          <w:kern w:val="0"/>
          <w:szCs w:val="21"/>
        </w:rPr>
        <w:t>，并在</w:t>
      </w:r>
      <w:r>
        <w:rPr>
          <w:rFonts w:hint="eastAsia" w:ascii="仿宋" w:hAnsi="仿宋" w:eastAsia="仿宋" w:cs="仿宋"/>
          <w:color w:val="auto"/>
          <w:lang w:val="zh-CN"/>
        </w:rPr>
        <w:t>接到在线解密通</w:t>
      </w:r>
      <w:r>
        <w:rPr>
          <w:rFonts w:hint="eastAsia" w:ascii="仿宋" w:hAnsi="仿宋" w:eastAsia="仿宋" w:cs="仿宋"/>
          <w:color w:val="auto"/>
          <w:szCs w:val="21"/>
          <w:lang w:val="zh-CN"/>
        </w:rPr>
        <w:t>知</w:t>
      </w:r>
      <w:r>
        <w:rPr>
          <w:rFonts w:hint="eastAsia" w:ascii="仿宋" w:hAnsi="仿宋" w:eastAsia="仿宋" w:cs="仿宋"/>
          <w:color w:val="auto"/>
          <w:lang w:val="zh-CN"/>
        </w:rPr>
        <w:t>后</w:t>
      </w:r>
      <w:r>
        <w:rPr>
          <w:rFonts w:hint="eastAsia" w:ascii="仿宋" w:hAnsi="仿宋" w:eastAsia="仿宋" w:cs="仿宋"/>
          <w:color w:val="auto"/>
          <w:szCs w:val="21"/>
        </w:rPr>
        <w:t>30</w:t>
      </w:r>
      <w:r>
        <w:rPr>
          <w:rFonts w:hint="eastAsia" w:ascii="仿宋" w:hAnsi="仿宋" w:eastAsia="仿宋" w:cs="仿宋"/>
          <w:color w:val="auto"/>
        </w:rPr>
        <w:t>分钟</w:t>
      </w:r>
      <w:r>
        <w:rPr>
          <w:rFonts w:hint="eastAsia" w:ascii="仿宋" w:hAnsi="仿宋" w:eastAsia="仿宋" w:cs="仿宋"/>
          <w:color w:val="auto"/>
          <w:lang w:val="zh-CN"/>
        </w:rPr>
        <w:t>内发送压缩文件密码至</w:t>
      </w:r>
      <w:r>
        <w:rPr>
          <w:rStyle w:val="57"/>
          <w:rFonts w:hint="eastAsia" w:ascii="仿宋" w:hAnsi="仿宋" w:eastAsia="仿宋" w:cs="仿宋"/>
          <w:color w:val="auto"/>
          <w:kern w:val="0"/>
          <w:szCs w:val="21"/>
          <w:u w:val="none"/>
        </w:rPr>
        <w:t>采购代理机构邮箱（邮箱号码：</w:t>
      </w:r>
      <w:r>
        <w:rPr>
          <w:rFonts w:hint="eastAsia" w:ascii="仿宋" w:hAnsi="仿宋" w:eastAsia="仿宋" w:cs="仿宋"/>
          <w:color w:val="auto"/>
        </w:rPr>
        <w:fldChar w:fldCharType="begin"/>
      </w:r>
      <w:r>
        <w:rPr>
          <w:rFonts w:hint="eastAsia" w:ascii="仿宋" w:hAnsi="仿宋" w:eastAsia="仿宋" w:cs="仿宋"/>
          <w:color w:val="auto"/>
        </w:rPr>
        <w:instrText xml:space="preserve"> HYPERLINK "mailto:103874679@qq.com）。" </w:instrText>
      </w:r>
      <w:r>
        <w:rPr>
          <w:rFonts w:hint="eastAsia" w:ascii="仿宋" w:hAnsi="仿宋" w:eastAsia="仿宋" w:cs="仿宋"/>
          <w:color w:val="auto"/>
        </w:rPr>
        <w:fldChar w:fldCharType="separate"/>
      </w:r>
      <w:r>
        <w:rPr>
          <w:rStyle w:val="57"/>
          <w:rFonts w:hint="eastAsia" w:ascii="仿宋" w:hAnsi="仿宋" w:eastAsia="仿宋" w:cs="仿宋"/>
          <w:color w:val="auto"/>
          <w:u w:val="none"/>
          <w:lang w:eastAsia="zh-CN"/>
        </w:rPr>
        <w:t>85967191</w:t>
      </w:r>
      <w:r>
        <w:rPr>
          <w:rStyle w:val="57"/>
          <w:rFonts w:hint="eastAsia" w:ascii="仿宋" w:hAnsi="仿宋" w:eastAsia="仿宋" w:cs="仿宋"/>
          <w:color w:val="auto"/>
          <w:u w:val="none"/>
        </w:rPr>
        <w:t>@qq.com）</w:t>
      </w:r>
      <w:r>
        <w:rPr>
          <w:rStyle w:val="57"/>
          <w:rFonts w:hint="eastAsia" w:ascii="仿宋" w:hAnsi="仿宋" w:eastAsia="仿宋" w:cs="仿宋"/>
          <w:color w:val="auto"/>
          <w:u w:val="none"/>
        </w:rPr>
        <w:fldChar w:fldCharType="end"/>
      </w:r>
      <w:r>
        <w:rPr>
          <w:rStyle w:val="57"/>
          <w:rFonts w:hint="eastAsia" w:ascii="仿宋" w:hAnsi="仿宋" w:eastAsia="仿宋" w:cs="仿宋"/>
          <w:color w:val="auto"/>
          <w:u w:val="none"/>
          <w:lang w:val="zh-CN"/>
        </w:rPr>
        <w:t>。</w:t>
      </w:r>
      <w:r>
        <w:rPr>
          <w:rFonts w:hint="eastAsia" w:ascii="仿宋" w:hAnsi="仿宋" w:eastAsia="仿宋" w:cs="仿宋"/>
          <w:b/>
          <w:bCs/>
          <w:color w:val="auto"/>
          <w:kern w:val="0"/>
          <w:szCs w:val="21"/>
        </w:rPr>
        <w:t>（逾期提交的备份投标文件将被拒收）</w:t>
      </w:r>
    </w:p>
    <w:p w14:paraId="35259D84">
      <w:pPr>
        <w:pStyle w:val="165"/>
        <w:widowControl/>
        <w:snapToGrid w:val="0"/>
        <w:spacing w:beforeLines="0" w:line="360" w:lineRule="auto"/>
        <w:jc w:val="left"/>
        <w:rPr>
          <w:rFonts w:hint="eastAsia" w:ascii="仿宋" w:hAnsi="仿宋" w:eastAsia="仿宋" w:cs="仿宋"/>
          <w:b/>
          <w:bCs/>
          <w:color w:val="auto"/>
          <w:lang w:val="zh-CN"/>
        </w:rPr>
      </w:pPr>
      <w:r>
        <w:rPr>
          <w:rFonts w:hint="eastAsia" w:ascii="仿宋" w:hAnsi="仿宋" w:eastAsia="仿宋" w:cs="仿宋"/>
          <w:b/>
          <w:bCs/>
          <w:color w:val="auto"/>
          <w:szCs w:val="21"/>
          <w:lang w:val="zh-CN"/>
        </w:rPr>
        <w:t>提示：①为确保采购项目顺利实施，投标人可以按照采购文件要求在投标文件提交截止时间前向采购代理机构</w:t>
      </w:r>
      <w:r>
        <w:rPr>
          <w:rFonts w:hint="eastAsia" w:ascii="仿宋" w:hAnsi="仿宋" w:eastAsia="仿宋" w:cs="仿宋"/>
          <w:b/>
          <w:bCs/>
          <w:color w:val="auto"/>
          <w:szCs w:val="21"/>
        </w:rPr>
        <w:t>提交</w:t>
      </w:r>
      <w:r>
        <w:rPr>
          <w:rFonts w:hint="eastAsia" w:ascii="仿宋" w:hAnsi="仿宋" w:eastAsia="仿宋" w:cs="仿宋"/>
          <w:b/>
          <w:bCs/>
          <w:color w:val="auto"/>
          <w:szCs w:val="21"/>
          <w:lang w:val="zh-CN"/>
        </w:rPr>
        <w:t>备份投标文件，但非强制性要求。如</w:t>
      </w:r>
      <w:r>
        <w:rPr>
          <w:rFonts w:hint="eastAsia" w:ascii="仿宋" w:hAnsi="仿宋" w:eastAsia="仿宋" w:cs="仿宋"/>
          <w:b/>
          <w:bCs/>
          <w:color w:val="auto"/>
          <w:szCs w:val="21"/>
        </w:rPr>
        <w:t>在</w:t>
      </w:r>
      <w:r>
        <w:rPr>
          <w:rFonts w:hint="eastAsia" w:ascii="仿宋" w:hAnsi="仿宋" w:eastAsia="仿宋" w:cs="仿宋"/>
          <w:b/>
          <w:bCs/>
          <w:color w:val="auto"/>
          <w:szCs w:val="21"/>
          <w:lang w:val="zh-CN"/>
        </w:rPr>
        <w:t>投标文件提交截止时间前</w:t>
      </w:r>
      <w:r>
        <w:rPr>
          <w:rFonts w:hint="eastAsia" w:ascii="仿宋" w:hAnsi="仿宋" w:eastAsia="仿宋" w:cs="仿宋"/>
          <w:b/>
          <w:bCs/>
          <w:color w:val="auto"/>
          <w:szCs w:val="21"/>
        </w:rPr>
        <w:t>未提交</w:t>
      </w:r>
      <w:r>
        <w:rPr>
          <w:rFonts w:hint="eastAsia" w:ascii="仿宋" w:hAnsi="仿宋" w:eastAsia="仿宋" w:cs="仿宋"/>
          <w:b/>
          <w:bCs/>
          <w:color w:val="auto"/>
          <w:szCs w:val="21"/>
          <w:lang w:val="zh-CN"/>
        </w:rPr>
        <w:t>备份投标文件，因遇电子加密投标文件解密失败等情况造成投标撤回或无效的，其后果由投标人自行承担。</w:t>
      </w:r>
    </w:p>
    <w:p w14:paraId="7138B8B1">
      <w:pPr>
        <w:pStyle w:val="165"/>
        <w:widowControl/>
        <w:snapToGrid w:val="0"/>
        <w:spacing w:beforeLines="0" w:line="360" w:lineRule="auto"/>
        <w:jc w:val="left"/>
        <w:rPr>
          <w:rFonts w:hint="eastAsia" w:ascii="仿宋" w:hAnsi="仿宋" w:eastAsia="仿宋" w:cs="仿宋"/>
          <w:b/>
          <w:bCs/>
          <w:color w:val="auto"/>
          <w:szCs w:val="21"/>
          <w:lang w:val="zh-CN"/>
        </w:rPr>
      </w:pPr>
      <w:r>
        <w:rPr>
          <w:rFonts w:hint="eastAsia" w:ascii="仿宋" w:hAnsi="仿宋" w:eastAsia="仿宋" w:cs="仿宋"/>
          <w:b/>
          <w:bCs/>
          <w:color w:val="auto"/>
          <w:szCs w:val="21"/>
        </w:rPr>
        <w:t>②</w:t>
      </w:r>
      <w:r>
        <w:rPr>
          <w:rFonts w:hint="eastAsia" w:ascii="仿宋" w:hAnsi="仿宋" w:eastAsia="仿宋" w:cs="仿宋"/>
          <w:b/>
          <w:bCs/>
          <w:color w:val="auto"/>
          <w:szCs w:val="21"/>
          <w:lang w:val="zh-CN"/>
        </w:rPr>
        <w:t>本次采购活动采用电子交易，实行网上交易（非现场方式实施）。投标人代表无需到达现场，但应当准时在线参加开标，直至评审结束，并保证开标、评审过程中采购代理机构能够随时与其代表人取得联系。</w:t>
      </w:r>
    </w:p>
    <w:p w14:paraId="3E654E5E">
      <w:pPr>
        <w:pStyle w:val="165"/>
        <w:widowControl/>
        <w:snapToGrid w:val="0"/>
        <w:spacing w:beforeLines="0" w:line="360" w:lineRule="auto"/>
        <w:jc w:val="left"/>
        <w:rPr>
          <w:rFonts w:hint="eastAsia" w:ascii="仿宋" w:hAnsi="仿宋" w:eastAsia="仿宋" w:cs="仿宋"/>
          <w:color w:val="auto"/>
          <w:szCs w:val="21"/>
        </w:rPr>
      </w:pPr>
      <w:r>
        <w:rPr>
          <w:rFonts w:hint="eastAsia" w:ascii="仿宋" w:hAnsi="仿宋" w:eastAsia="仿宋" w:cs="仿宋"/>
          <w:color w:val="auto"/>
          <w:szCs w:val="21"/>
        </w:rPr>
        <w:t>2.修改（补充）和撤回：</w:t>
      </w:r>
    </w:p>
    <w:p w14:paraId="6A627AE0">
      <w:pPr>
        <w:pStyle w:val="165"/>
        <w:widowControl/>
        <w:snapToGrid w:val="0"/>
        <w:spacing w:beforeLines="0" w:line="360" w:lineRule="auto"/>
        <w:jc w:val="left"/>
        <w:rPr>
          <w:rFonts w:hint="eastAsia" w:ascii="仿宋" w:hAnsi="仿宋" w:eastAsia="仿宋" w:cs="仿宋"/>
          <w:color w:val="auto"/>
          <w:szCs w:val="21"/>
        </w:rPr>
      </w:pPr>
      <w:r>
        <w:rPr>
          <w:rFonts w:hint="eastAsia" w:ascii="仿宋" w:hAnsi="仿宋" w:eastAsia="仿宋" w:cs="仿宋"/>
          <w:color w:val="auto"/>
          <w:szCs w:val="21"/>
        </w:rPr>
        <w:t>2.1投标截止时间前可以补充、修改或撤回投标文件。补充或者修改投标文件的，应当先行撤回原文件，补充、修改后重新提交。投标截止时间前未完成提交的，视为撤回投标文件。</w:t>
      </w:r>
    </w:p>
    <w:p w14:paraId="4DFC251C">
      <w:pPr>
        <w:pStyle w:val="165"/>
        <w:widowControl/>
        <w:snapToGrid w:val="0"/>
        <w:spacing w:beforeLines="0" w:line="360" w:lineRule="auto"/>
        <w:jc w:val="left"/>
        <w:rPr>
          <w:rFonts w:hint="eastAsia" w:ascii="仿宋" w:hAnsi="仿宋" w:eastAsia="仿宋" w:cs="仿宋"/>
          <w:color w:val="auto"/>
          <w:szCs w:val="21"/>
        </w:rPr>
      </w:pPr>
      <w:r>
        <w:rPr>
          <w:rFonts w:hint="eastAsia" w:ascii="仿宋" w:hAnsi="仿宋" w:eastAsia="仿宋" w:cs="仿宋"/>
          <w:color w:val="auto"/>
          <w:szCs w:val="21"/>
        </w:rPr>
        <w:t>2.2投标截止时间后，投标人不得修改（补充）或撤回其投标文件。</w:t>
      </w:r>
    </w:p>
    <w:p w14:paraId="4554C9C1">
      <w:pPr>
        <w:pageBreakBefore w:val="0"/>
        <w:kinsoku/>
        <w:topLinePunct w:val="0"/>
        <w:bidi w:val="0"/>
        <w:snapToGrid/>
        <w:spacing w:line="300" w:lineRule="auto"/>
        <w:ind w:firstLine="420" w:firstLineChars="200"/>
        <w:rPr>
          <w:rFonts w:hint="eastAsia" w:ascii="仿宋" w:hAnsi="仿宋" w:eastAsia="仿宋" w:cs="仿宋"/>
          <w:b/>
          <w:color w:val="auto"/>
          <w:szCs w:val="21"/>
        </w:rPr>
      </w:pPr>
      <w:r>
        <w:rPr>
          <w:rFonts w:hint="eastAsia" w:ascii="仿宋" w:hAnsi="仿宋" w:eastAsia="仿宋" w:cs="仿宋"/>
          <w:b/>
          <w:color w:val="auto"/>
          <w:szCs w:val="21"/>
        </w:rPr>
        <w:t>（八）电子加密</w:t>
      </w:r>
      <w:r>
        <w:rPr>
          <w:rStyle w:val="156"/>
          <w:rFonts w:hint="eastAsia" w:ascii="仿宋" w:hAnsi="仿宋" w:eastAsia="仿宋" w:cs="仿宋"/>
          <w:b/>
          <w:color w:val="auto"/>
          <w:szCs w:val="21"/>
          <w:lang w:val="zh-CN"/>
        </w:rPr>
        <w:t>投标</w:t>
      </w:r>
      <w:r>
        <w:rPr>
          <w:rFonts w:hint="eastAsia" w:ascii="仿宋" w:hAnsi="仿宋" w:eastAsia="仿宋" w:cs="仿宋"/>
          <w:b/>
          <w:color w:val="auto"/>
          <w:szCs w:val="21"/>
        </w:rPr>
        <w:t>文件的解密及异常情况处理</w:t>
      </w:r>
    </w:p>
    <w:p w14:paraId="743BF94B">
      <w:pPr>
        <w:pStyle w:val="165"/>
        <w:widowControl/>
        <w:snapToGrid w:val="0"/>
        <w:spacing w:beforeLines="0" w:line="360" w:lineRule="auto"/>
        <w:jc w:val="left"/>
        <w:rPr>
          <w:rFonts w:hint="eastAsia" w:ascii="仿宋" w:hAnsi="仿宋" w:eastAsia="仿宋" w:cs="仿宋"/>
          <w:color w:val="auto"/>
          <w:szCs w:val="21"/>
        </w:rPr>
      </w:pPr>
      <w:r>
        <w:rPr>
          <w:rFonts w:hint="eastAsia" w:ascii="仿宋" w:hAnsi="仿宋" w:eastAsia="仿宋" w:cs="仿宋"/>
          <w:color w:val="auto"/>
          <w:szCs w:val="21"/>
        </w:rPr>
        <w:t>1.开标后，采购组织机构将向各投标人发出“电子加密投标文件”的解密通知，各投标人代表应当在接到解密通知后30分钟内自行完成“电子加密投标文件”的在线解密。</w:t>
      </w:r>
    </w:p>
    <w:p w14:paraId="5A03331B">
      <w:pPr>
        <w:pStyle w:val="165"/>
        <w:widowControl/>
        <w:snapToGrid w:val="0"/>
        <w:spacing w:beforeLines="0" w:line="360" w:lineRule="auto"/>
        <w:jc w:val="left"/>
        <w:rPr>
          <w:rFonts w:hint="eastAsia" w:ascii="仿宋" w:hAnsi="仿宋" w:eastAsia="仿宋" w:cs="仿宋"/>
          <w:color w:val="auto"/>
          <w:szCs w:val="21"/>
        </w:rPr>
      </w:pPr>
      <w:r>
        <w:rPr>
          <w:rFonts w:hint="eastAsia" w:ascii="仿宋" w:hAnsi="仿宋" w:eastAsia="仿宋" w:cs="仿宋"/>
          <w:color w:val="auto"/>
          <w:szCs w:val="21"/>
        </w:rPr>
        <w:t>2.因网络或者其他问题造成电子加密投标文件在规定时间内无法按时解密的，投标人在投标文件提交截止时间前提交了备份投标文件的，将由采购代理机构按“政府采购云平台”操作规范将备份投标文件上传至“政府采购云平台”，进行本地解密。上传成功后，“电子加密投标文件”自动失效。</w:t>
      </w:r>
    </w:p>
    <w:p w14:paraId="6D381D36">
      <w:pPr>
        <w:pStyle w:val="165"/>
        <w:widowControl/>
        <w:snapToGrid w:val="0"/>
        <w:spacing w:beforeLines="0" w:line="360" w:lineRule="auto"/>
        <w:jc w:val="left"/>
        <w:rPr>
          <w:rFonts w:hint="eastAsia" w:ascii="仿宋" w:hAnsi="仿宋" w:eastAsia="仿宋" w:cs="仿宋"/>
          <w:color w:val="auto"/>
          <w:szCs w:val="21"/>
        </w:rPr>
      </w:pPr>
      <w:r>
        <w:rPr>
          <w:rFonts w:hint="eastAsia" w:ascii="仿宋" w:hAnsi="仿宋" w:eastAsia="仿宋" w:cs="仿宋"/>
          <w:color w:val="auto"/>
          <w:szCs w:val="21"/>
        </w:rPr>
        <w:t>3.投标人未按时解密且未在投标文件提交截止时间前提交备份投标文件的，视为投标文件撤回。</w:t>
      </w:r>
    </w:p>
    <w:p w14:paraId="7EC83B66">
      <w:pPr>
        <w:pStyle w:val="3"/>
        <w:spacing w:before="0" w:after="0" w:line="360" w:lineRule="auto"/>
        <w:jc w:val="center"/>
        <w:rPr>
          <w:rFonts w:hint="eastAsia" w:ascii="仿宋" w:hAnsi="仿宋" w:eastAsia="仿宋" w:cs="仿宋"/>
          <w:bCs w:val="0"/>
          <w:color w:val="auto"/>
          <w:sz w:val="28"/>
          <w:szCs w:val="28"/>
          <w:lang w:val="zh-CN"/>
        </w:rPr>
      </w:pPr>
      <w:bookmarkStart w:id="25" w:name="_Toc15608"/>
      <w:bookmarkStart w:id="26" w:name="_Toc9680"/>
      <w:bookmarkStart w:id="27" w:name="_Toc17187"/>
      <w:r>
        <w:rPr>
          <w:rFonts w:hint="eastAsia" w:ascii="仿宋" w:hAnsi="仿宋" w:eastAsia="仿宋" w:cs="仿宋"/>
          <w:bCs w:val="0"/>
          <w:color w:val="auto"/>
          <w:sz w:val="28"/>
          <w:szCs w:val="28"/>
          <w:lang w:val="zh-CN"/>
        </w:rPr>
        <w:t>四、开标</w:t>
      </w:r>
      <w:bookmarkEnd w:id="25"/>
      <w:bookmarkEnd w:id="26"/>
      <w:bookmarkEnd w:id="27"/>
    </w:p>
    <w:p w14:paraId="719230B0">
      <w:pPr>
        <w:pageBreakBefore w:val="0"/>
        <w:kinsoku/>
        <w:topLinePunct w:val="0"/>
        <w:bidi w:val="0"/>
        <w:snapToGrid/>
        <w:spacing w:line="300" w:lineRule="auto"/>
        <w:ind w:firstLine="420" w:firstLineChars="200"/>
        <w:rPr>
          <w:rFonts w:hint="eastAsia" w:ascii="仿宋" w:hAnsi="仿宋" w:eastAsia="仿宋" w:cs="仿宋"/>
          <w:b/>
          <w:color w:val="auto"/>
          <w:szCs w:val="21"/>
        </w:rPr>
      </w:pPr>
      <w:r>
        <w:rPr>
          <w:rFonts w:hint="eastAsia" w:ascii="仿宋" w:hAnsi="仿宋" w:eastAsia="仿宋" w:cs="仿宋"/>
          <w:b/>
          <w:color w:val="auto"/>
          <w:szCs w:val="21"/>
        </w:rPr>
        <w:t>（一）开标准备</w:t>
      </w:r>
    </w:p>
    <w:p w14:paraId="07E88B14">
      <w:pPr>
        <w:pStyle w:val="165"/>
        <w:widowControl/>
        <w:snapToGrid w:val="0"/>
        <w:spacing w:beforeLines="0" w:line="360" w:lineRule="auto"/>
        <w:jc w:val="left"/>
        <w:rPr>
          <w:rFonts w:hint="eastAsia" w:ascii="仿宋" w:hAnsi="仿宋" w:eastAsia="仿宋" w:cs="仿宋"/>
          <w:color w:val="auto"/>
          <w:szCs w:val="21"/>
          <w:lang w:val="zh-CN"/>
        </w:rPr>
      </w:pPr>
      <w:r>
        <w:rPr>
          <w:rFonts w:hint="eastAsia" w:ascii="仿宋" w:hAnsi="仿宋" w:eastAsia="仿宋" w:cs="仿宋"/>
          <w:color w:val="auto"/>
          <w:szCs w:val="21"/>
          <w:lang w:val="zh-CN"/>
        </w:rPr>
        <w:t>投标人须在开标时间前准备好电脑与制作本项目电子加密投标文件</w:t>
      </w:r>
      <w:r>
        <w:rPr>
          <w:rFonts w:hint="eastAsia" w:ascii="仿宋" w:hAnsi="仿宋" w:eastAsia="仿宋" w:cs="仿宋"/>
          <w:color w:val="auto"/>
          <w:szCs w:val="21"/>
        </w:rPr>
        <w:t>的同一个</w:t>
      </w:r>
      <w:r>
        <w:rPr>
          <w:rFonts w:hint="eastAsia" w:ascii="仿宋" w:hAnsi="仿宋" w:eastAsia="仿宋" w:cs="仿宋"/>
          <w:color w:val="auto"/>
          <w:szCs w:val="21"/>
          <w:lang w:val="zh-CN"/>
        </w:rPr>
        <w:t>CA锁，并打开“政采云电子投标客户端”软件，等待解密通知。</w:t>
      </w:r>
    </w:p>
    <w:p w14:paraId="2DFB2095">
      <w:pPr>
        <w:pageBreakBefore w:val="0"/>
        <w:kinsoku/>
        <w:topLinePunct w:val="0"/>
        <w:bidi w:val="0"/>
        <w:snapToGrid/>
        <w:spacing w:line="300" w:lineRule="auto"/>
        <w:ind w:firstLine="420" w:firstLineChars="200"/>
        <w:rPr>
          <w:rFonts w:hint="eastAsia" w:ascii="仿宋" w:hAnsi="仿宋" w:eastAsia="仿宋" w:cs="仿宋"/>
          <w:b/>
          <w:bCs/>
          <w:color w:val="auto"/>
          <w:szCs w:val="21"/>
        </w:rPr>
      </w:pPr>
      <w:r>
        <w:rPr>
          <w:rFonts w:hint="eastAsia" w:ascii="仿宋" w:hAnsi="仿宋" w:eastAsia="仿宋" w:cs="仿宋"/>
          <w:b/>
          <w:bCs/>
          <w:color w:val="auto"/>
          <w:szCs w:val="21"/>
        </w:rPr>
        <w:t>（二）</w:t>
      </w:r>
      <w:r>
        <w:rPr>
          <w:rStyle w:val="156"/>
          <w:rFonts w:hint="eastAsia" w:ascii="仿宋" w:hAnsi="仿宋" w:eastAsia="仿宋" w:cs="仿宋"/>
          <w:b/>
          <w:color w:val="auto"/>
          <w:szCs w:val="21"/>
          <w:lang w:val="zh-CN"/>
        </w:rPr>
        <w:t>开标</w:t>
      </w:r>
      <w:r>
        <w:rPr>
          <w:rFonts w:hint="eastAsia" w:ascii="仿宋" w:hAnsi="仿宋" w:eastAsia="仿宋" w:cs="仿宋"/>
          <w:b/>
          <w:bCs/>
          <w:color w:val="auto"/>
          <w:szCs w:val="21"/>
        </w:rPr>
        <w:t>程序</w:t>
      </w:r>
    </w:p>
    <w:p w14:paraId="66F1A629">
      <w:pPr>
        <w:pStyle w:val="165"/>
        <w:widowControl/>
        <w:snapToGrid w:val="0"/>
        <w:spacing w:beforeLines="0" w:line="360" w:lineRule="auto"/>
        <w:jc w:val="left"/>
        <w:rPr>
          <w:rFonts w:hint="eastAsia" w:ascii="仿宋" w:hAnsi="仿宋" w:eastAsia="仿宋" w:cs="仿宋"/>
          <w:color w:val="auto"/>
          <w:szCs w:val="21"/>
        </w:rPr>
      </w:pPr>
      <w:r>
        <w:rPr>
          <w:rFonts w:hint="eastAsia" w:ascii="仿宋" w:hAnsi="仿宋" w:eastAsia="仿宋" w:cs="仿宋"/>
          <w:color w:val="auto"/>
          <w:szCs w:val="21"/>
        </w:rPr>
        <w:t>1.向各投标人发出电子加密投标文件【开始解密】通知，由投标人在采购文件规定的时间内自行对投标文件进行解密。在规定的时间内无法完成“电子加密投标文件”解密，如已按规定递交了备份投标文件的，将由采购组织机构按“政府采购云平台”操作规范将备份投标文件上传至“政府采购云平台”，完成解密；</w:t>
      </w:r>
    </w:p>
    <w:p w14:paraId="58D2E584">
      <w:pPr>
        <w:pStyle w:val="165"/>
        <w:widowControl/>
        <w:snapToGrid w:val="0"/>
        <w:spacing w:beforeLines="0" w:line="360" w:lineRule="auto"/>
        <w:jc w:val="left"/>
        <w:rPr>
          <w:rFonts w:hint="eastAsia" w:ascii="仿宋" w:hAnsi="仿宋" w:eastAsia="仿宋" w:cs="仿宋"/>
          <w:color w:val="auto"/>
          <w:szCs w:val="21"/>
        </w:rPr>
      </w:pPr>
      <w:r>
        <w:rPr>
          <w:rFonts w:hint="eastAsia" w:ascii="仿宋" w:hAnsi="仿宋" w:eastAsia="仿宋" w:cs="仿宋"/>
          <w:color w:val="auto"/>
          <w:szCs w:val="21"/>
        </w:rPr>
        <w:t>2.投标文件解密结束，组织投标人签署《政府采购活动现场确认声明书》（格式见第六章附件），声明书扫描件以邮件的形式发送至代理邮箱；</w:t>
      </w:r>
    </w:p>
    <w:p w14:paraId="2F026AAD">
      <w:pPr>
        <w:pStyle w:val="165"/>
        <w:widowControl/>
        <w:snapToGrid w:val="0"/>
        <w:spacing w:beforeLines="0" w:line="360" w:lineRule="auto"/>
        <w:jc w:val="left"/>
        <w:rPr>
          <w:rFonts w:hint="eastAsia" w:ascii="仿宋" w:hAnsi="仿宋" w:eastAsia="仿宋" w:cs="仿宋"/>
          <w:color w:val="auto"/>
          <w:szCs w:val="21"/>
        </w:rPr>
      </w:pPr>
      <w:r>
        <w:rPr>
          <w:rFonts w:hint="eastAsia" w:ascii="仿宋" w:hAnsi="仿宋" w:eastAsia="仿宋" w:cs="仿宋"/>
          <w:color w:val="auto"/>
          <w:szCs w:val="21"/>
        </w:rPr>
        <w:t>3.由采购人代表或代理机构评审资格文件，若资格审查不符合招标采购文件要求，系统上告知其原因并由投标人签章确认。系统上公开投标人资格审查结果，资格审查未获通过的投标人，其商务技术文件及报价文件不进入评审阶段；</w:t>
      </w:r>
    </w:p>
    <w:p w14:paraId="050DF5E6">
      <w:pPr>
        <w:pStyle w:val="165"/>
        <w:widowControl/>
        <w:snapToGrid w:val="0"/>
        <w:spacing w:beforeLines="0" w:line="360" w:lineRule="auto"/>
        <w:jc w:val="left"/>
        <w:rPr>
          <w:rFonts w:hint="eastAsia" w:ascii="仿宋" w:hAnsi="仿宋" w:eastAsia="仿宋" w:cs="仿宋"/>
          <w:color w:val="auto"/>
          <w:szCs w:val="21"/>
        </w:rPr>
      </w:pPr>
      <w:r>
        <w:rPr>
          <w:rFonts w:hint="eastAsia" w:ascii="仿宋" w:hAnsi="仿宋" w:eastAsia="仿宋" w:cs="仿宋"/>
          <w:color w:val="auto"/>
          <w:szCs w:val="21"/>
        </w:rPr>
        <w:t>4.评标委员会对商务技术文件进行评审，评审内容包括符合性审查，技术、商务评估及比较等。商务技术文件符合性审查通过的投标人，进入技术资信评分环节。符合性审查不通过的，系统告知其原因并由投标人签章确认，其商务技术文件及报价文件不再进入评审阶段；</w:t>
      </w:r>
    </w:p>
    <w:p w14:paraId="5AF2EEE4">
      <w:pPr>
        <w:pStyle w:val="165"/>
        <w:widowControl/>
        <w:snapToGrid w:val="0"/>
        <w:spacing w:beforeLines="0" w:line="360" w:lineRule="auto"/>
        <w:jc w:val="left"/>
        <w:rPr>
          <w:rFonts w:hint="eastAsia" w:ascii="仿宋" w:hAnsi="仿宋" w:eastAsia="仿宋" w:cs="仿宋"/>
          <w:color w:val="auto"/>
          <w:szCs w:val="21"/>
        </w:rPr>
      </w:pPr>
      <w:r>
        <w:rPr>
          <w:rFonts w:hint="eastAsia" w:ascii="仿宋" w:hAnsi="仿宋" w:eastAsia="仿宋" w:cs="仿宋"/>
          <w:color w:val="auto"/>
          <w:szCs w:val="21"/>
        </w:rPr>
        <w:t>5.在系统上公开技术商务评审结果，如对技术资信部分评分结果有异议的，投标人应当在结果公布后10分钟内提出；相关异议（如有）将由评标委员会作澄清；</w:t>
      </w:r>
    </w:p>
    <w:p w14:paraId="1243A84A">
      <w:pPr>
        <w:pStyle w:val="165"/>
        <w:widowControl/>
        <w:snapToGrid w:val="0"/>
        <w:spacing w:beforeLines="0" w:line="360" w:lineRule="auto"/>
        <w:jc w:val="left"/>
        <w:rPr>
          <w:rFonts w:hint="eastAsia" w:ascii="仿宋" w:hAnsi="仿宋" w:eastAsia="仿宋" w:cs="仿宋"/>
          <w:color w:val="auto"/>
          <w:szCs w:val="21"/>
        </w:rPr>
      </w:pPr>
      <w:r>
        <w:rPr>
          <w:rFonts w:hint="eastAsia" w:ascii="仿宋" w:hAnsi="仿宋" w:eastAsia="仿宋" w:cs="仿宋"/>
          <w:color w:val="auto"/>
          <w:szCs w:val="21"/>
        </w:rPr>
        <w:t>6.在系统上公开报价情况，投标人在规定时间内在系统上完成报价确认。评标委员会对报价情况进行评审；</w:t>
      </w:r>
    </w:p>
    <w:p w14:paraId="3039D525">
      <w:pPr>
        <w:pStyle w:val="165"/>
        <w:widowControl/>
        <w:snapToGrid w:val="0"/>
        <w:spacing w:beforeLines="0" w:line="360" w:lineRule="auto"/>
        <w:jc w:val="left"/>
        <w:rPr>
          <w:rFonts w:hint="eastAsia" w:ascii="仿宋" w:hAnsi="仿宋" w:eastAsia="仿宋" w:cs="仿宋"/>
          <w:color w:val="auto"/>
          <w:szCs w:val="21"/>
        </w:rPr>
      </w:pPr>
      <w:r>
        <w:rPr>
          <w:rFonts w:hint="eastAsia" w:ascii="仿宋" w:hAnsi="仿宋" w:eastAsia="仿宋" w:cs="仿宋"/>
          <w:color w:val="auto"/>
          <w:szCs w:val="21"/>
        </w:rPr>
        <w:t>7.在系统上公布评审结果；</w:t>
      </w:r>
    </w:p>
    <w:p w14:paraId="18D120DE">
      <w:pPr>
        <w:pStyle w:val="165"/>
        <w:widowControl/>
        <w:snapToGrid w:val="0"/>
        <w:spacing w:beforeLines="0" w:line="360" w:lineRule="auto"/>
        <w:jc w:val="left"/>
        <w:rPr>
          <w:rFonts w:hint="eastAsia" w:ascii="仿宋" w:hAnsi="仿宋" w:eastAsia="仿宋" w:cs="仿宋"/>
          <w:color w:val="auto"/>
          <w:szCs w:val="21"/>
        </w:rPr>
      </w:pPr>
      <w:r>
        <w:rPr>
          <w:rFonts w:hint="eastAsia" w:ascii="仿宋" w:hAnsi="仿宋" w:eastAsia="仿宋" w:cs="仿宋"/>
          <w:color w:val="auto"/>
          <w:szCs w:val="21"/>
        </w:rPr>
        <w:t>8.评标委员会编写并签署评标报告，评标报告应当根据综合得分由高到低列明投标人排名情况，推荐中标候选人；</w:t>
      </w:r>
    </w:p>
    <w:p w14:paraId="40A5FBF7">
      <w:pPr>
        <w:pStyle w:val="165"/>
        <w:widowControl/>
        <w:snapToGrid w:val="0"/>
        <w:spacing w:beforeLines="0" w:line="360" w:lineRule="auto"/>
        <w:jc w:val="left"/>
        <w:rPr>
          <w:rFonts w:hint="eastAsia" w:ascii="仿宋" w:hAnsi="仿宋" w:eastAsia="仿宋" w:cs="仿宋"/>
          <w:color w:val="auto"/>
          <w:szCs w:val="21"/>
        </w:rPr>
      </w:pPr>
      <w:r>
        <w:rPr>
          <w:rFonts w:hint="eastAsia" w:ascii="仿宋" w:hAnsi="仿宋" w:eastAsia="仿宋" w:cs="仿宋"/>
          <w:color w:val="auto"/>
          <w:szCs w:val="21"/>
        </w:rPr>
        <w:t>9.采购代理机构公布最终评审结果并出具开标记录，由主持人、记录人、现场监督员当场签字确认；</w:t>
      </w:r>
    </w:p>
    <w:p w14:paraId="14C348AF">
      <w:pPr>
        <w:pStyle w:val="165"/>
        <w:widowControl/>
        <w:snapToGrid w:val="0"/>
        <w:spacing w:beforeLines="0" w:line="360" w:lineRule="auto"/>
        <w:jc w:val="left"/>
        <w:rPr>
          <w:rFonts w:hint="eastAsia" w:ascii="仿宋" w:hAnsi="仿宋" w:eastAsia="仿宋" w:cs="仿宋"/>
          <w:color w:val="auto"/>
          <w:szCs w:val="21"/>
        </w:rPr>
      </w:pPr>
      <w:r>
        <w:rPr>
          <w:rFonts w:hint="eastAsia" w:ascii="仿宋" w:hAnsi="仿宋" w:eastAsia="仿宋" w:cs="仿宋"/>
          <w:color w:val="auto"/>
          <w:szCs w:val="21"/>
        </w:rPr>
        <w:t>10.开评标会议结束。</w:t>
      </w:r>
    </w:p>
    <w:p w14:paraId="119CB5BB">
      <w:pPr>
        <w:pStyle w:val="165"/>
        <w:widowControl/>
        <w:snapToGrid w:val="0"/>
        <w:spacing w:beforeLines="0" w:line="360" w:lineRule="auto"/>
        <w:jc w:val="left"/>
        <w:rPr>
          <w:rFonts w:hint="eastAsia" w:ascii="仿宋" w:hAnsi="仿宋" w:eastAsia="仿宋" w:cs="仿宋"/>
          <w:b/>
          <w:bCs/>
          <w:color w:val="auto"/>
          <w:szCs w:val="21"/>
        </w:rPr>
      </w:pPr>
      <w:r>
        <w:rPr>
          <w:rFonts w:hint="eastAsia" w:ascii="仿宋" w:hAnsi="仿宋" w:eastAsia="仿宋" w:cs="仿宋"/>
          <w:b/>
          <w:bCs/>
          <w:color w:val="auto"/>
          <w:szCs w:val="21"/>
        </w:rPr>
        <w:t>特别说明：如“政采云”系统对电子化开标及评审程序有调整的，按调整后的程序操作。</w:t>
      </w:r>
    </w:p>
    <w:p w14:paraId="0F9F3E93">
      <w:pPr>
        <w:pStyle w:val="165"/>
        <w:widowControl/>
        <w:snapToGrid w:val="0"/>
        <w:spacing w:beforeLines="0" w:line="360" w:lineRule="auto"/>
        <w:jc w:val="left"/>
        <w:rPr>
          <w:rFonts w:hint="eastAsia" w:ascii="仿宋" w:hAnsi="仿宋" w:eastAsia="仿宋" w:cs="仿宋"/>
          <w:b/>
          <w:bCs/>
          <w:color w:val="auto"/>
          <w:szCs w:val="21"/>
        </w:rPr>
      </w:pPr>
      <w:r>
        <w:rPr>
          <w:rFonts w:hint="eastAsia" w:ascii="仿宋" w:hAnsi="仿宋" w:eastAsia="仿宋" w:cs="仿宋"/>
          <w:b/>
          <w:bCs/>
          <w:color w:val="auto"/>
          <w:szCs w:val="21"/>
        </w:rPr>
        <w:t>注：本项目采用政采云电子招投标开标及评审程序，采购过程中出现以下情形，导致电子交易平台无法正常运行，或者无法保证电子交易的公平、公正和安全时，采购代理机构可中止电子交易活动：</w:t>
      </w:r>
    </w:p>
    <w:p w14:paraId="72431E26">
      <w:pPr>
        <w:pStyle w:val="165"/>
        <w:widowControl/>
        <w:snapToGrid w:val="0"/>
        <w:spacing w:beforeLines="0" w:line="360" w:lineRule="auto"/>
        <w:jc w:val="left"/>
        <w:rPr>
          <w:rFonts w:hint="eastAsia" w:ascii="仿宋" w:hAnsi="仿宋" w:eastAsia="仿宋" w:cs="仿宋"/>
          <w:color w:val="auto"/>
          <w:szCs w:val="21"/>
        </w:rPr>
      </w:pPr>
      <w:r>
        <w:rPr>
          <w:rFonts w:hint="eastAsia" w:ascii="仿宋" w:hAnsi="仿宋" w:eastAsia="仿宋" w:cs="仿宋"/>
          <w:color w:val="auto"/>
          <w:szCs w:val="21"/>
        </w:rPr>
        <w:t xml:space="preserve">（一）电子交易平台发生故障而无法登录访问的； </w:t>
      </w:r>
    </w:p>
    <w:p w14:paraId="2A5D2319">
      <w:pPr>
        <w:pStyle w:val="165"/>
        <w:widowControl/>
        <w:snapToGrid w:val="0"/>
        <w:spacing w:beforeLines="0" w:line="360" w:lineRule="auto"/>
        <w:jc w:val="left"/>
        <w:rPr>
          <w:rFonts w:hint="eastAsia" w:ascii="仿宋" w:hAnsi="仿宋" w:eastAsia="仿宋" w:cs="仿宋"/>
          <w:color w:val="auto"/>
          <w:szCs w:val="21"/>
        </w:rPr>
      </w:pPr>
      <w:r>
        <w:rPr>
          <w:rFonts w:hint="eastAsia" w:ascii="仿宋" w:hAnsi="仿宋" w:eastAsia="仿宋" w:cs="仿宋"/>
          <w:color w:val="auto"/>
          <w:szCs w:val="21"/>
        </w:rPr>
        <w:t>（二）电子交易平台应用或数据库出现错误，不能进行正常操作的；</w:t>
      </w:r>
    </w:p>
    <w:p w14:paraId="45E21A72">
      <w:pPr>
        <w:pStyle w:val="165"/>
        <w:widowControl/>
        <w:snapToGrid w:val="0"/>
        <w:spacing w:beforeLines="0" w:line="360" w:lineRule="auto"/>
        <w:jc w:val="left"/>
        <w:rPr>
          <w:rFonts w:hint="eastAsia" w:ascii="仿宋" w:hAnsi="仿宋" w:eastAsia="仿宋" w:cs="仿宋"/>
          <w:color w:val="auto"/>
          <w:szCs w:val="21"/>
        </w:rPr>
      </w:pPr>
      <w:r>
        <w:rPr>
          <w:rFonts w:hint="eastAsia" w:ascii="仿宋" w:hAnsi="仿宋" w:eastAsia="仿宋" w:cs="仿宋"/>
          <w:color w:val="auto"/>
          <w:szCs w:val="21"/>
        </w:rPr>
        <w:t>（三）电子交易平台发现严重安全漏洞，有潜在泄密危险的；</w:t>
      </w:r>
    </w:p>
    <w:p w14:paraId="700F82B9">
      <w:pPr>
        <w:pStyle w:val="165"/>
        <w:widowControl/>
        <w:snapToGrid w:val="0"/>
        <w:spacing w:beforeLines="0" w:line="360" w:lineRule="auto"/>
        <w:jc w:val="left"/>
        <w:rPr>
          <w:rFonts w:hint="eastAsia" w:ascii="仿宋" w:hAnsi="仿宋" w:eastAsia="仿宋" w:cs="仿宋"/>
          <w:color w:val="auto"/>
          <w:szCs w:val="21"/>
        </w:rPr>
      </w:pPr>
      <w:r>
        <w:rPr>
          <w:rFonts w:hint="eastAsia" w:ascii="仿宋" w:hAnsi="仿宋" w:eastAsia="仿宋" w:cs="仿宋"/>
          <w:color w:val="auto"/>
          <w:szCs w:val="21"/>
        </w:rPr>
        <w:t>（四）病毒发作导致不能进行正常操作的；</w:t>
      </w:r>
    </w:p>
    <w:p w14:paraId="382BD939">
      <w:pPr>
        <w:pStyle w:val="165"/>
        <w:widowControl/>
        <w:snapToGrid w:val="0"/>
        <w:spacing w:beforeLines="0" w:line="360" w:lineRule="auto"/>
        <w:jc w:val="left"/>
        <w:rPr>
          <w:rFonts w:hint="eastAsia" w:ascii="仿宋" w:hAnsi="仿宋" w:eastAsia="仿宋" w:cs="仿宋"/>
          <w:color w:val="auto"/>
          <w:szCs w:val="21"/>
        </w:rPr>
      </w:pPr>
      <w:r>
        <w:rPr>
          <w:rFonts w:hint="eastAsia" w:ascii="仿宋" w:hAnsi="仿宋" w:eastAsia="仿宋" w:cs="仿宋"/>
          <w:color w:val="auto"/>
          <w:szCs w:val="21"/>
        </w:rPr>
        <w:t>（五）其他无法保证电子交易的公平、公正和安全的情况。</w:t>
      </w:r>
    </w:p>
    <w:p w14:paraId="03CFB0F4">
      <w:pPr>
        <w:pStyle w:val="165"/>
        <w:widowControl/>
        <w:snapToGrid w:val="0"/>
        <w:spacing w:beforeLines="0" w:line="360" w:lineRule="auto"/>
        <w:jc w:val="left"/>
        <w:rPr>
          <w:rFonts w:hint="eastAsia" w:ascii="仿宋" w:hAnsi="仿宋" w:eastAsia="仿宋" w:cs="仿宋"/>
          <w:b/>
          <w:color w:val="auto"/>
          <w:szCs w:val="21"/>
        </w:rPr>
      </w:pPr>
      <w:r>
        <w:rPr>
          <w:rFonts w:hint="eastAsia" w:ascii="仿宋" w:hAnsi="仿宋" w:eastAsia="仿宋" w:cs="仿宋"/>
          <w:b/>
          <w:color w:val="auto"/>
          <w:szCs w:val="21"/>
        </w:rPr>
        <w:t>出现前款规定情形，不影响采购公平、公正性的，采购代理机构可以待上述情形消除后继续组织电子交易活动。</w:t>
      </w:r>
    </w:p>
    <w:p w14:paraId="555FA9CD">
      <w:pPr>
        <w:pStyle w:val="3"/>
        <w:pageBreakBefore w:val="0"/>
        <w:kinsoku/>
        <w:topLinePunct w:val="0"/>
        <w:bidi w:val="0"/>
        <w:snapToGrid/>
        <w:spacing w:before="0" w:after="0" w:line="300" w:lineRule="auto"/>
        <w:jc w:val="center"/>
        <w:rPr>
          <w:rFonts w:hint="eastAsia" w:ascii="仿宋" w:hAnsi="仿宋" w:eastAsia="仿宋" w:cs="仿宋"/>
          <w:bCs w:val="0"/>
          <w:color w:val="auto"/>
          <w:sz w:val="21"/>
          <w:szCs w:val="21"/>
          <w:lang w:val="zh-CN"/>
        </w:rPr>
      </w:pPr>
      <w:bookmarkStart w:id="28" w:name="_Toc24232"/>
      <w:bookmarkStart w:id="29" w:name="_Toc1798"/>
      <w:r>
        <w:rPr>
          <w:rFonts w:hint="eastAsia" w:ascii="仿宋" w:hAnsi="仿宋" w:eastAsia="仿宋" w:cs="仿宋"/>
          <w:bCs w:val="0"/>
          <w:color w:val="auto"/>
          <w:sz w:val="28"/>
          <w:szCs w:val="28"/>
          <w:lang w:val="zh-CN"/>
        </w:rPr>
        <w:t>五、评标</w:t>
      </w:r>
      <w:bookmarkEnd w:id="28"/>
      <w:bookmarkEnd w:id="29"/>
    </w:p>
    <w:p w14:paraId="074CA7DC">
      <w:pPr>
        <w:pageBreakBefore w:val="0"/>
        <w:kinsoku/>
        <w:topLinePunct w:val="0"/>
        <w:autoSpaceDE w:val="0"/>
        <w:autoSpaceDN w:val="0"/>
        <w:bidi w:val="0"/>
        <w:adjustRightInd w:val="0"/>
        <w:snapToGrid/>
        <w:spacing w:line="300" w:lineRule="auto"/>
        <w:ind w:firstLine="315" w:firstLineChars="150"/>
        <w:jc w:val="left"/>
        <w:rPr>
          <w:rFonts w:hint="eastAsia" w:ascii="仿宋" w:hAnsi="仿宋" w:eastAsia="仿宋" w:cs="仿宋"/>
          <w:b/>
          <w:color w:val="auto"/>
          <w:szCs w:val="21"/>
          <w:lang w:val="zh-CN"/>
        </w:rPr>
      </w:pPr>
      <w:r>
        <w:rPr>
          <w:rFonts w:hint="eastAsia" w:ascii="仿宋" w:hAnsi="仿宋" w:eastAsia="仿宋" w:cs="仿宋"/>
          <w:b/>
          <w:color w:val="auto"/>
          <w:szCs w:val="21"/>
          <w:lang w:val="zh-CN"/>
        </w:rPr>
        <w:t>（一）组建评标委员会</w:t>
      </w:r>
    </w:p>
    <w:p w14:paraId="7BC52968">
      <w:pPr>
        <w:pStyle w:val="165"/>
        <w:widowControl/>
        <w:snapToGrid w:val="0"/>
        <w:spacing w:beforeLines="0" w:line="360" w:lineRule="auto"/>
        <w:jc w:val="left"/>
        <w:rPr>
          <w:rFonts w:hint="eastAsia" w:ascii="仿宋" w:hAnsi="仿宋" w:eastAsia="仿宋" w:cs="仿宋"/>
          <w:color w:val="auto"/>
          <w:szCs w:val="21"/>
        </w:rPr>
      </w:pPr>
      <w:r>
        <w:rPr>
          <w:rFonts w:hint="eastAsia" w:ascii="仿宋" w:hAnsi="仿宋" w:eastAsia="仿宋" w:cs="仿宋"/>
          <w:color w:val="auto"/>
          <w:szCs w:val="21"/>
        </w:rPr>
        <w:t>评标委员会</w:t>
      </w:r>
      <w:r>
        <w:rPr>
          <w:rFonts w:hint="eastAsia" w:ascii="仿宋" w:hAnsi="仿宋" w:eastAsia="仿宋" w:cs="仿宋"/>
          <w:color w:val="auto"/>
          <w:szCs w:val="21"/>
          <w:lang w:eastAsia="zh-CN"/>
        </w:rPr>
        <w:t>共</w:t>
      </w:r>
      <w:r>
        <w:rPr>
          <w:rFonts w:hint="eastAsia" w:ascii="仿宋" w:hAnsi="仿宋" w:eastAsia="仿宋" w:cs="仿宋"/>
          <w:color w:val="auto"/>
          <w:szCs w:val="21"/>
          <w:lang w:val="en-US" w:eastAsia="zh-CN"/>
        </w:rPr>
        <w:t>5人，</w:t>
      </w:r>
      <w:r>
        <w:rPr>
          <w:rFonts w:hint="eastAsia" w:ascii="仿宋" w:hAnsi="仿宋" w:eastAsia="仿宋" w:cs="仿宋"/>
          <w:color w:val="auto"/>
          <w:szCs w:val="21"/>
        </w:rPr>
        <w:t>由1名采购人代表和4名随机抽取的技术、经济等方面的评审专家组成。评审专家确定方式：按政府采购相关规定从专家库中随机抽取。</w:t>
      </w:r>
    </w:p>
    <w:p w14:paraId="23B1CACB">
      <w:pPr>
        <w:pStyle w:val="26"/>
        <w:pageBreakBefore w:val="0"/>
        <w:kinsoku/>
        <w:topLinePunct w:val="0"/>
        <w:bidi w:val="0"/>
        <w:snapToGrid/>
        <w:spacing w:line="300" w:lineRule="auto"/>
        <w:ind w:firstLine="420" w:firstLineChars="200"/>
        <w:rPr>
          <w:rFonts w:hint="eastAsia" w:ascii="仿宋" w:hAnsi="仿宋" w:eastAsia="仿宋" w:cs="仿宋"/>
          <w:b/>
          <w:color w:val="auto"/>
          <w:szCs w:val="21"/>
          <w:lang w:val="zh-CN"/>
        </w:rPr>
      </w:pPr>
      <w:r>
        <w:rPr>
          <w:rFonts w:hint="eastAsia" w:ascii="仿宋" w:hAnsi="仿宋" w:eastAsia="仿宋" w:cs="仿宋"/>
          <w:b/>
          <w:color w:val="auto"/>
          <w:szCs w:val="21"/>
          <w:lang w:val="zh-CN"/>
        </w:rPr>
        <w:t>（二）评标的方式</w:t>
      </w:r>
    </w:p>
    <w:p w14:paraId="5FFC5C1E">
      <w:pPr>
        <w:pStyle w:val="165"/>
        <w:widowControl/>
        <w:snapToGrid w:val="0"/>
        <w:spacing w:beforeLines="0" w:line="360" w:lineRule="auto"/>
        <w:jc w:val="left"/>
        <w:rPr>
          <w:rFonts w:hint="eastAsia" w:ascii="仿宋" w:hAnsi="仿宋" w:eastAsia="仿宋" w:cs="仿宋"/>
          <w:color w:val="auto"/>
          <w:szCs w:val="21"/>
        </w:rPr>
      </w:pPr>
      <w:r>
        <w:rPr>
          <w:rFonts w:hint="eastAsia" w:ascii="仿宋" w:hAnsi="仿宋" w:eastAsia="仿宋" w:cs="仿宋"/>
          <w:color w:val="auto"/>
          <w:szCs w:val="21"/>
        </w:rPr>
        <w:t>本项目采用不公开方式评标，评标的依据为采购文件和投标文件。</w:t>
      </w:r>
    </w:p>
    <w:p w14:paraId="0356759E">
      <w:pPr>
        <w:pageBreakBefore w:val="0"/>
        <w:kinsoku/>
        <w:topLinePunct w:val="0"/>
        <w:autoSpaceDE w:val="0"/>
        <w:autoSpaceDN w:val="0"/>
        <w:bidi w:val="0"/>
        <w:adjustRightInd w:val="0"/>
        <w:snapToGrid/>
        <w:spacing w:line="300" w:lineRule="auto"/>
        <w:ind w:firstLine="315" w:firstLineChars="150"/>
        <w:jc w:val="left"/>
        <w:rPr>
          <w:rFonts w:hint="eastAsia" w:ascii="仿宋" w:hAnsi="仿宋" w:eastAsia="仿宋" w:cs="仿宋"/>
          <w:b/>
          <w:color w:val="auto"/>
          <w:szCs w:val="21"/>
          <w:lang w:val="zh-CN"/>
        </w:rPr>
      </w:pPr>
      <w:r>
        <w:rPr>
          <w:rFonts w:hint="eastAsia" w:ascii="仿宋" w:hAnsi="仿宋" w:eastAsia="仿宋" w:cs="仿宋"/>
          <w:b/>
          <w:color w:val="auto"/>
          <w:szCs w:val="21"/>
          <w:lang w:val="zh-CN"/>
        </w:rPr>
        <w:t>（三）评标程序</w:t>
      </w:r>
    </w:p>
    <w:p w14:paraId="52F247A7">
      <w:pPr>
        <w:pStyle w:val="165"/>
        <w:widowControl/>
        <w:snapToGrid w:val="0"/>
        <w:spacing w:beforeLines="0" w:line="360" w:lineRule="auto"/>
        <w:jc w:val="left"/>
        <w:rPr>
          <w:rFonts w:hint="eastAsia" w:ascii="仿宋" w:hAnsi="仿宋" w:eastAsia="仿宋" w:cs="仿宋"/>
          <w:color w:val="auto"/>
          <w:szCs w:val="21"/>
        </w:rPr>
      </w:pPr>
      <w:r>
        <w:rPr>
          <w:rFonts w:hint="eastAsia" w:ascii="仿宋" w:hAnsi="仿宋" w:eastAsia="仿宋" w:cs="仿宋"/>
          <w:color w:val="auto"/>
          <w:szCs w:val="21"/>
        </w:rPr>
        <w:t>1.形式审查（符合性审查）</w:t>
      </w:r>
    </w:p>
    <w:p w14:paraId="34350E68">
      <w:pPr>
        <w:pStyle w:val="165"/>
        <w:widowControl/>
        <w:snapToGrid w:val="0"/>
        <w:spacing w:beforeLines="0" w:line="360" w:lineRule="auto"/>
        <w:jc w:val="left"/>
        <w:rPr>
          <w:rFonts w:hint="eastAsia" w:ascii="仿宋" w:hAnsi="仿宋" w:eastAsia="仿宋" w:cs="仿宋"/>
          <w:color w:val="auto"/>
          <w:szCs w:val="21"/>
        </w:rPr>
      </w:pPr>
      <w:r>
        <w:rPr>
          <w:rFonts w:hint="eastAsia" w:ascii="仿宋" w:hAnsi="仿宋" w:eastAsia="仿宋" w:cs="仿宋"/>
          <w:color w:val="auto"/>
          <w:szCs w:val="21"/>
        </w:rPr>
        <w:t>对符合资格条件的投标人的投标文件进行符合性审查，以确定其是否满足采购文件的实质性要求。</w:t>
      </w:r>
    </w:p>
    <w:p w14:paraId="25B0F95D">
      <w:pPr>
        <w:pStyle w:val="165"/>
        <w:widowControl/>
        <w:snapToGrid w:val="0"/>
        <w:spacing w:beforeLines="0" w:line="360" w:lineRule="auto"/>
        <w:jc w:val="left"/>
        <w:rPr>
          <w:rFonts w:hint="eastAsia" w:ascii="仿宋" w:hAnsi="仿宋" w:eastAsia="仿宋" w:cs="仿宋"/>
          <w:color w:val="auto"/>
          <w:szCs w:val="21"/>
        </w:rPr>
      </w:pPr>
      <w:r>
        <w:rPr>
          <w:rFonts w:hint="eastAsia" w:ascii="仿宋" w:hAnsi="仿宋" w:eastAsia="仿宋" w:cs="仿宋"/>
          <w:color w:val="auto"/>
          <w:szCs w:val="21"/>
        </w:rPr>
        <w:t>2.实质审查与比较</w:t>
      </w:r>
    </w:p>
    <w:p w14:paraId="2B6B003F">
      <w:pPr>
        <w:pStyle w:val="165"/>
        <w:widowControl/>
        <w:snapToGrid w:val="0"/>
        <w:spacing w:beforeLines="0" w:line="360" w:lineRule="auto"/>
        <w:jc w:val="left"/>
        <w:rPr>
          <w:rFonts w:hint="eastAsia" w:ascii="仿宋" w:hAnsi="仿宋" w:eastAsia="仿宋" w:cs="仿宋"/>
          <w:color w:val="auto"/>
          <w:szCs w:val="21"/>
        </w:rPr>
      </w:pPr>
      <w:r>
        <w:rPr>
          <w:rFonts w:hint="eastAsia" w:ascii="仿宋" w:hAnsi="仿宋" w:eastAsia="仿宋" w:cs="仿宋"/>
          <w:color w:val="auto"/>
          <w:szCs w:val="21"/>
        </w:rPr>
        <w:t>（1）评标委员会按采购文件中规定的评标方法和标准，对符合性审查合格的投标文件进行商务和技术评估；综合比较与评价。</w:t>
      </w:r>
    </w:p>
    <w:p w14:paraId="1BB5BC5F">
      <w:pPr>
        <w:pStyle w:val="165"/>
        <w:widowControl/>
        <w:snapToGrid w:val="0"/>
        <w:spacing w:beforeLines="0" w:line="360" w:lineRule="auto"/>
        <w:jc w:val="left"/>
        <w:rPr>
          <w:rFonts w:hint="eastAsia" w:ascii="仿宋" w:hAnsi="仿宋" w:eastAsia="仿宋" w:cs="仿宋"/>
          <w:color w:val="auto"/>
          <w:szCs w:val="21"/>
        </w:rPr>
      </w:pPr>
      <w:r>
        <w:rPr>
          <w:rFonts w:hint="eastAsia" w:ascii="仿宋" w:hAnsi="仿宋" w:eastAsia="仿宋" w:cs="仿宋"/>
          <w:color w:val="auto"/>
          <w:szCs w:val="21"/>
        </w:rPr>
        <w:t>（2）评标委员会根据投标人的投标文件进行审查、评判，如有疑问，将对投标人进行询标，投标人需向评标委员会澄清有关问题,并最终以书面形式进行答复。投标人代表拒绝澄清或者澄清的内容改变了投标文件的实质性内容的，评标委员会有权对该投标文件作出不利于投标人的评判。</w:t>
      </w:r>
    </w:p>
    <w:p w14:paraId="3A079101">
      <w:pPr>
        <w:pStyle w:val="165"/>
        <w:widowControl/>
        <w:snapToGrid w:val="0"/>
        <w:spacing w:beforeLines="0" w:line="360" w:lineRule="auto"/>
        <w:jc w:val="left"/>
        <w:rPr>
          <w:rFonts w:hint="eastAsia" w:ascii="仿宋" w:hAnsi="仿宋" w:eastAsia="仿宋" w:cs="仿宋"/>
          <w:color w:val="auto"/>
          <w:szCs w:val="21"/>
        </w:rPr>
      </w:pPr>
      <w:r>
        <w:rPr>
          <w:rFonts w:hint="eastAsia" w:ascii="仿宋" w:hAnsi="仿宋" w:eastAsia="仿宋" w:cs="仿宋"/>
          <w:color w:val="auto"/>
          <w:szCs w:val="21"/>
        </w:rPr>
        <w:t>（3）各投标人的技术资信得分为所有评委的有效评分的算术平均值，由评标委员会指定专人进行计算复核。</w:t>
      </w:r>
    </w:p>
    <w:p w14:paraId="31FA019B">
      <w:pPr>
        <w:pStyle w:val="165"/>
        <w:widowControl/>
        <w:snapToGrid w:val="0"/>
        <w:spacing w:beforeLines="0" w:line="360" w:lineRule="auto"/>
        <w:jc w:val="left"/>
        <w:rPr>
          <w:rFonts w:hint="eastAsia" w:ascii="仿宋" w:hAnsi="仿宋" w:eastAsia="仿宋" w:cs="仿宋"/>
          <w:color w:val="auto"/>
          <w:szCs w:val="21"/>
        </w:rPr>
      </w:pPr>
      <w:r>
        <w:rPr>
          <w:rFonts w:hint="eastAsia" w:ascii="仿宋" w:hAnsi="仿宋" w:eastAsia="仿宋" w:cs="仿宋"/>
          <w:color w:val="auto"/>
          <w:szCs w:val="21"/>
        </w:rPr>
        <w:t>（4）评标委员会根据本项目的评分标准计算各投标人的报价得分。</w:t>
      </w:r>
    </w:p>
    <w:p w14:paraId="5FC50055">
      <w:pPr>
        <w:pStyle w:val="165"/>
        <w:widowControl/>
        <w:snapToGrid w:val="0"/>
        <w:spacing w:beforeLines="0" w:line="360" w:lineRule="auto"/>
        <w:jc w:val="left"/>
        <w:rPr>
          <w:rFonts w:hint="eastAsia" w:ascii="仿宋" w:hAnsi="仿宋" w:eastAsia="仿宋" w:cs="仿宋"/>
          <w:color w:val="auto"/>
          <w:szCs w:val="21"/>
        </w:rPr>
      </w:pPr>
      <w:r>
        <w:rPr>
          <w:rFonts w:hint="eastAsia" w:ascii="仿宋" w:hAnsi="仿宋" w:eastAsia="仿宋" w:cs="仿宋"/>
          <w:color w:val="auto"/>
          <w:szCs w:val="21"/>
        </w:rPr>
        <w:t>（5）评标委员会完成评标后，评委对各部分得分汇总，计算出各投标人综合得分。评标委员会按评标原则起草评标报告并推荐中标候选人。</w:t>
      </w:r>
    </w:p>
    <w:p w14:paraId="3F387E79">
      <w:pPr>
        <w:pageBreakBefore w:val="0"/>
        <w:kinsoku/>
        <w:topLinePunct w:val="0"/>
        <w:autoSpaceDE w:val="0"/>
        <w:autoSpaceDN w:val="0"/>
        <w:bidi w:val="0"/>
        <w:adjustRightInd w:val="0"/>
        <w:snapToGrid/>
        <w:spacing w:line="300" w:lineRule="auto"/>
        <w:ind w:firstLine="315" w:firstLineChars="150"/>
        <w:jc w:val="left"/>
        <w:rPr>
          <w:rFonts w:hint="eastAsia" w:ascii="仿宋" w:hAnsi="仿宋" w:eastAsia="仿宋" w:cs="仿宋"/>
          <w:b/>
          <w:color w:val="auto"/>
          <w:szCs w:val="21"/>
          <w:lang w:val="zh-CN"/>
        </w:rPr>
      </w:pPr>
      <w:r>
        <w:rPr>
          <w:rFonts w:hint="eastAsia" w:ascii="仿宋" w:hAnsi="仿宋" w:eastAsia="仿宋" w:cs="仿宋"/>
          <w:b/>
          <w:color w:val="auto"/>
          <w:szCs w:val="21"/>
          <w:lang w:val="zh-CN"/>
        </w:rPr>
        <w:t>（四）澄清问题的形式</w:t>
      </w:r>
    </w:p>
    <w:p w14:paraId="49560833">
      <w:pPr>
        <w:pStyle w:val="165"/>
        <w:widowControl/>
        <w:snapToGrid w:val="0"/>
        <w:spacing w:beforeLines="0" w:line="360" w:lineRule="auto"/>
        <w:jc w:val="left"/>
        <w:rPr>
          <w:rFonts w:hint="eastAsia" w:ascii="仿宋" w:hAnsi="仿宋" w:eastAsia="仿宋" w:cs="仿宋"/>
          <w:color w:val="auto"/>
          <w:szCs w:val="21"/>
        </w:rPr>
      </w:pPr>
      <w:r>
        <w:rPr>
          <w:rFonts w:hint="eastAsia" w:ascii="仿宋" w:hAnsi="仿宋" w:eastAsia="仿宋" w:cs="仿宋"/>
          <w:color w:val="auto"/>
          <w:szCs w:val="21"/>
        </w:rPr>
        <w:t>对投标文件中含义不明确、同类问题表述不一致或者有明显文字和计算错误的内容，评标委员会可要求投标人作出必要的澄清、说明或者纠正。投标人的澄清、说明或者补正应当采用书面形式，并不得超出投标文件的范围或者改变投标文件的实质性内容。</w:t>
      </w:r>
    </w:p>
    <w:p w14:paraId="419791F8">
      <w:pPr>
        <w:pageBreakBefore w:val="0"/>
        <w:kinsoku/>
        <w:topLinePunct w:val="0"/>
        <w:autoSpaceDE w:val="0"/>
        <w:autoSpaceDN w:val="0"/>
        <w:bidi w:val="0"/>
        <w:adjustRightInd w:val="0"/>
        <w:snapToGrid/>
        <w:spacing w:line="300" w:lineRule="auto"/>
        <w:ind w:firstLine="315" w:firstLineChars="150"/>
        <w:jc w:val="left"/>
        <w:rPr>
          <w:rFonts w:hint="eastAsia" w:ascii="仿宋" w:hAnsi="仿宋" w:eastAsia="仿宋" w:cs="仿宋"/>
          <w:b/>
          <w:color w:val="auto"/>
          <w:szCs w:val="21"/>
          <w:lang w:val="zh-CN"/>
        </w:rPr>
      </w:pPr>
      <w:r>
        <w:rPr>
          <w:rFonts w:hint="eastAsia" w:ascii="仿宋" w:hAnsi="仿宋" w:eastAsia="仿宋" w:cs="仿宋"/>
          <w:b/>
          <w:color w:val="auto"/>
          <w:szCs w:val="21"/>
          <w:lang w:val="zh-CN"/>
        </w:rPr>
        <w:t>（五）错误修正</w:t>
      </w:r>
    </w:p>
    <w:p w14:paraId="60927B9D">
      <w:pPr>
        <w:pStyle w:val="165"/>
        <w:widowControl/>
        <w:snapToGrid w:val="0"/>
        <w:spacing w:beforeLines="0" w:line="360" w:lineRule="auto"/>
        <w:jc w:val="left"/>
        <w:rPr>
          <w:rFonts w:hint="eastAsia" w:ascii="仿宋" w:hAnsi="仿宋" w:eastAsia="仿宋" w:cs="仿宋"/>
          <w:color w:val="auto"/>
          <w:szCs w:val="21"/>
        </w:rPr>
      </w:pPr>
      <w:r>
        <w:rPr>
          <w:rFonts w:hint="eastAsia" w:ascii="仿宋" w:hAnsi="仿宋" w:eastAsia="仿宋" w:cs="仿宋"/>
          <w:color w:val="auto"/>
          <w:szCs w:val="21"/>
        </w:rPr>
        <w:t>投标文件报价出现前后不一致的，按照下列规定修正：</w:t>
      </w:r>
    </w:p>
    <w:p w14:paraId="67714CA7">
      <w:pPr>
        <w:pStyle w:val="165"/>
        <w:widowControl/>
        <w:snapToGrid w:val="0"/>
        <w:spacing w:beforeLines="0" w:line="360" w:lineRule="auto"/>
        <w:jc w:val="left"/>
        <w:rPr>
          <w:rFonts w:hint="eastAsia" w:ascii="仿宋" w:hAnsi="仿宋" w:eastAsia="仿宋" w:cs="仿宋"/>
          <w:color w:val="auto"/>
          <w:szCs w:val="21"/>
        </w:rPr>
      </w:pPr>
      <w:r>
        <w:rPr>
          <w:rFonts w:hint="eastAsia" w:ascii="仿宋" w:hAnsi="仿宋" w:eastAsia="仿宋" w:cs="仿宋"/>
          <w:color w:val="auto"/>
          <w:szCs w:val="21"/>
        </w:rPr>
        <w:t>(1)投标文件中开标一览表(报价表)内容与投标文件中相应内容不一致的，以开标一览表(报价表)为准；</w:t>
      </w:r>
    </w:p>
    <w:p w14:paraId="1695B9FC">
      <w:pPr>
        <w:pStyle w:val="165"/>
        <w:widowControl/>
        <w:snapToGrid w:val="0"/>
        <w:spacing w:beforeLines="0" w:line="360" w:lineRule="auto"/>
        <w:jc w:val="left"/>
        <w:rPr>
          <w:rFonts w:hint="eastAsia" w:ascii="仿宋" w:hAnsi="仿宋" w:eastAsia="仿宋" w:cs="仿宋"/>
          <w:color w:val="auto"/>
          <w:szCs w:val="21"/>
        </w:rPr>
      </w:pPr>
      <w:r>
        <w:rPr>
          <w:rFonts w:hint="eastAsia" w:ascii="仿宋" w:hAnsi="仿宋" w:eastAsia="仿宋" w:cs="仿宋"/>
          <w:color w:val="auto"/>
          <w:szCs w:val="21"/>
        </w:rPr>
        <w:t>(2)大写金额和小写金额不一致的，以大写金额为准；</w:t>
      </w:r>
    </w:p>
    <w:p w14:paraId="4FA31594">
      <w:pPr>
        <w:pStyle w:val="165"/>
        <w:widowControl/>
        <w:snapToGrid w:val="0"/>
        <w:spacing w:beforeLines="0" w:line="360" w:lineRule="auto"/>
        <w:jc w:val="left"/>
        <w:rPr>
          <w:rFonts w:hint="eastAsia" w:ascii="仿宋" w:hAnsi="仿宋" w:eastAsia="仿宋" w:cs="仿宋"/>
          <w:bCs/>
          <w:color w:val="auto"/>
          <w:szCs w:val="21"/>
        </w:rPr>
      </w:pPr>
      <w:r>
        <w:rPr>
          <w:rFonts w:hint="eastAsia" w:ascii="仿宋" w:hAnsi="仿宋" w:eastAsia="仿宋" w:cs="仿宋"/>
          <w:bCs/>
          <w:color w:val="auto"/>
          <w:szCs w:val="21"/>
        </w:rPr>
        <w:t>(3)单价金额小数点或者百分比有明显错位的，以开标一览表的总价为准，并修改单价；</w:t>
      </w:r>
    </w:p>
    <w:p w14:paraId="43B21F5F">
      <w:pPr>
        <w:pStyle w:val="165"/>
        <w:widowControl/>
        <w:snapToGrid w:val="0"/>
        <w:spacing w:beforeLines="0" w:line="360" w:lineRule="auto"/>
        <w:jc w:val="left"/>
        <w:rPr>
          <w:rFonts w:hint="eastAsia" w:ascii="仿宋" w:hAnsi="仿宋" w:eastAsia="仿宋" w:cs="仿宋"/>
          <w:bCs/>
          <w:color w:val="auto"/>
          <w:szCs w:val="21"/>
        </w:rPr>
      </w:pPr>
      <w:r>
        <w:rPr>
          <w:rFonts w:hint="eastAsia" w:ascii="仿宋" w:hAnsi="仿宋" w:eastAsia="仿宋" w:cs="仿宋"/>
          <w:bCs/>
          <w:color w:val="auto"/>
          <w:szCs w:val="21"/>
        </w:rPr>
        <w:t>(4)总价金额与按单价汇总金额不一致的，以单价金额计算结果为准。</w:t>
      </w:r>
    </w:p>
    <w:p w14:paraId="6B4B983E">
      <w:pPr>
        <w:pStyle w:val="165"/>
        <w:widowControl/>
        <w:snapToGrid w:val="0"/>
        <w:spacing w:beforeLines="0" w:line="360" w:lineRule="auto"/>
        <w:jc w:val="left"/>
        <w:rPr>
          <w:rFonts w:hint="eastAsia" w:ascii="仿宋" w:hAnsi="仿宋" w:eastAsia="仿宋" w:cs="仿宋"/>
          <w:bCs/>
          <w:color w:val="auto"/>
          <w:szCs w:val="21"/>
        </w:rPr>
      </w:pPr>
      <w:r>
        <w:rPr>
          <w:rFonts w:hint="eastAsia" w:ascii="仿宋" w:hAnsi="仿宋" w:eastAsia="仿宋" w:cs="仿宋"/>
          <w:bCs/>
          <w:color w:val="auto"/>
          <w:szCs w:val="21"/>
        </w:rPr>
        <w:t>同时出现两种以上不一致的，按照前款规定的顺序修正。修正后的报价按照财政部令第87号《政府采购货物和服务招标投标管理办法》第五十一条第二款的规定经投标人确认后产生约束力，投标人不确认的，其投标无效。</w:t>
      </w:r>
    </w:p>
    <w:p w14:paraId="2104D01D">
      <w:pPr>
        <w:pStyle w:val="165"/>
        <w:widowControl/>
        <w:snapToGrid w:val="0"/>
        <w:spacing w:beforeLines="0" w:line="360" w:lineRule="auto"/>
        <w:jc w:val="left"/>
        <w:rPr>
          <w:rFonts w:hint="eastAsia" w:ascii="仿宋" w:hAnsi="仿宋" w:eastAsia="仿宋" w:cs="仿宋"/>
          <w:b/>
          <w:bCs/>
          <w:color w:val="auto"/>
        </w:rPr>
      </w:pPr>
      <w:r>
        <w:rPr>
          <w:rFonts w:hint="eastAsia" w:ascii="仿宋" w:hAnsi="仿宋" w:eastAsia="仿宋" w:cs="仿宋"/>
          <w:b/>
          <w:bCs/>
          <w:color w:val="auto"/>
          <w:szCs w:val="21"/>
        </w:rPr>
        <w:t>（5）政采云系统中填报的电子数据（例如政采云系统中填报的“开标一览表”</w:t>
      </w:r>
      <w:r>
        <w:rPr>
          <w:rFonts w:hint="eastAsia" w:ascii="仿宋" w:hAnsi="仿宋" w:eastAsia="仿宋" w:cs="仿宋"/>
          <w:b/>
          <w:bCs/>
          <w:color w:val="auto"/>
          <w:szCs w:val="21"/>
          <w:lang w:eastAsia="zh-CN"/>
        </w:rPr>
        <w:t>相关</w:t>
      </w:r>
      <w:r>
        <w:rPr>
          <w:rFonts w:hint="eastAsia" w:ascii="仿宋" w:hAnsi="仿宋" w:eastAsia="仿宋" w:cs="仿宋"/>
          <w:b/>
          <w:bCs/>
          <w:color w:val="auto"/>
          <w:szCs w:val="21"/>
        </w:rPr>
        <w:t>内容）与加密电子投标文件相应内容不一致的，以加密电子投标文件内容为准，但相关法律法规或管理办法有明确规定的，从其规定。</w:t>
      </w:r>
    </w:p>
    <w:p w14:paraId="1A1A3145">
      <w:pPr>
        <w:pageBreakBefore w:val="0"/>
        <w:kinsoku/>
        <w:topLinePunct w:val="0"/>
        <w:autoSpaceDE w:val="0"/>
        <w:autoSpaceDN w:val="0"/>
        <w:bidi w:val="0"/>
        <w:adjustRightInd w:val="0"/>
        <w:snapToGrid/>
        <w:spacing w:line="300" w:lineRule="auto"/>
        <w:ind w:firstLine="315" w:firstLineChars="150"/>
        <w:jc w:val="left"/>
        <w:rPr>
          <w:rFonts w:hint="eastAsia" w:ascii="仿宋" w:hAnsi="仿宋" w:eastAsia="仿宋" w:cs="仿宋"/>
          <w:b/>
          <w:color w:val="auto"/>
          <w:szCs w:val="21"/>
          <w:lang w:val="zh-CN"/>
        </w:rPr>
      </w:pPr>
      <w:r>
        <w:rPr>
          <w:rFonts w:hint="eastAsia" w:ascii="仿宋" w:hAnsi="仿宋" w:eastAsia="仿宋" w:cs="仿宋"/>
          <w:b/>
          <w:color w:val="auto"/>
          <w:szCs w:val="21"/>
          <w:lang w:val="zh-CN"/>
        </w:rPr>
        <w:t>（六）评标原则和评标办法</w:t>
      </w:r>
    </w:p>
    <w:p w14:paraId="16149068">
      <w:pPr>
        <w:pStyle w:val="165"/>
        <w:widowControl/>
        <w:snapToGrid w:val="0"/>
        <w:spacing w:beforeLines="0" w:line="360" w:lineRule="auto"/>
        <w:jc w:val="left"/>
        <w:rPr>
          <w:rFonts w:hint="eastAsia" w:ascii="仿宋" w:hAnsi="仿宋" w:eastAsia="仿宋" w:cs="仿宋"/>
          <w:color w:val="auto"/>
          <w:szCs w:val="21"/>
        </w:rPr>
      </w:pPr>
      <w:r>
        <w:rPr>
          <w:rFonts w:hint="eastAsia" w:ascii="仿宋" w:hAnsi="仿宋" w:eastAsia="仿宋" w:cs="仿宋"/>
          <w:b/>
          <w:color w:val="auto"/>
          <w:szCs w:val="21"/>
        </w:rPr>
        <w:t>1.评标原则。</w:t>
      </w:r>
      <w:r>
        <w:rPr>
          <w:rFonts w:hint="eastAsia" w:ascii="仿宋" w:hAnsi="仿宋" w:eastAsia="仿宋" w:cs="仿宋"/>
          <w:color w:val="auto"/>
          <w:szCs w:val="21"/>
        </w:rPr>
        <w:t>评标委员会必须公平、公正、客观，不带任何倾向性和启发性；不得向外界透露任何与评标有关的内容；任何单位和个人不得干扰、影响评标的正常进行；评标委员会及有关工作人员不得私下与投标人接触。</w:t>
      </w:r>
    </w:p>
    <w:p w14:paraId="45C65745">
      <w:pPr>
        <w:pStyle w:val="165"/>
        <w:widowControl/>
        <w:snapToGrid w:val="0"/>
        <w:spacing w:beforeLines="0" w:line="360" w:lineRule="auto"/>
        <w:jc w:val="left"/>
        <w:rPr>
          <w:rFonts w:hint="eastAsia" w:ascii="仿宋" w:hAnsi="仿宋" w:eastAsia="仿宋" w:cs="仿宋"/>
          <w:color w:val="auto"/>
          <w:szCs w:val="21"/>
        </w:rPr>
      </w:pPr>
      <w:r>
        <w:rPr>
          <w:rFonts w:hint="eastAsia" w:ascii="仿宋" w:hAnsi="仿宋" w:eastAsia="仿宋" w:cs="仿宋"/>
          <w:b/>
          <w:color w:val="auto"/>
          <w:szCs w:val="21"/>
        </w:rPr>
        <w:t>2.评标办法。</w:t>
      </w:r>
      <w:r>
        <w:rPr>
          <w:rFonts w:hint="eastAsia" w:ascii="仿宋" w:hAnsi="仿宋" w:eastAsia="仿宋" w:cs="仿宋"/>
          <w:bCs/>
          <w:color w:val="auto"/>
          <w:szCs w:val="21"/>
        </w:rPr>
        <w:t>综合评分法，</w:t>
      </w:r>
      <w:r>
        <w:rPr>
          <w:rFonts w:hint="eastAsia" w:ascii="仿宋" w:hAnsi="仿宋" w:eastAsia="仿宋" w:cs="仿宋"/>
          <w:color w:val="auto"/>
          <w:szCs w:val="21"/>
        </w:rPr>
        <w:t>具体评标内容及评分标准等详见第五章“评标办法及评分标准”。</w:t>
      </w:r>
    </w:p>
    <w:p w14:paraId="18066B5C">
      <w:pPr>
        <w:pStyle w:val="165"/>
        <w:widowControl/>
        <w:snapToGrid w:val="0"/>
        <w:spacing w:beforeLines="0" w:line="360" w:lineRule="auto"/>
        <w:jc w:val="left"/>
        <w:rPr>
          <w:rFonts w:hint="eastAsia" w:ascii="仿宋" w:hAnsi="仿宋" w:eastAsia="仿宋" w:cs="仿宋"/>
          <w:color w:val="auto"/>
          <w:szCs w:val="21"/>
        </w:rPr>
      </w:pPr>
      <w:r>
        <w:rPr>
          <w:rFonts w:hint="eastAsia" w:ascii="仿宋" w:hAnsi="仿宋" w:eastAsia="仿宋" w:cs="仿宋"/>
          <w:color w:val="auto"/>
          <w:szCs w:val="21"/>
        </w:rPr>
        <w:t>3.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6A9986FD">
      <w:pPr>
        <w:pageBreakBefore w:val="0"/>
        <w:kinsoku/>
        <w:topLinePunct w:val="0"/>
        <w:autoSpaceDE w:val="0"/>
        <w:autoSpaceDN w:val="0"/>
        <w:bidi w:val="0"/>
        <w:adjustRightInd w:val="0"/>
        <w:snapToGrid/>
        <w:spacing w:line="300" w:lineRule="auto"/>
        <w:ind w:firstLine="210" w:firstLineChars="100"/>
        <w:jc w:val="left"/>
        <w:rPr>
          <w:rFonts w:hint="eastAsia" w:ascii="仿宋" w:hAnsi="仿宋" w:eastAsia="仿宋" w:cs="仿宋"/>
          <w:b/>
          <w:color w:val="auto"/>
          <w:szCs w:val="21"/>
          <w:lang w:val="zh-CN"/>
        </w:rPr>
      </w:pPr>
      <w:r>
        <w:rPr>
          <w:rFonts w:hint="eastAsia" w:ascii="仿宋" w:hAnsi="仿宋" w:eastAsia="仿宋" w:cs="仿宋"/>
          <w:b/>
          <w:color w:val="auto"/>
          <w:szCs w:val="21"/>
          <w:lang w:val="zh-CN"/>
        </w:rPr>
        <w:t>（七）投标无效的情形</w:t>
      </w:r>
    </w:p>
    <w:p w14:paraId="1A1CAB65">
      <w:pPr>
        <w:pStyle w:val="165"/>
        <w:widowControl/>
        <w:snapToGrid w:val="0"/>
        <w:spacing w:beforeLines="0" w:line="360" w:lineRule="auto"/>
        <w:jc w:val="left"/>
        <w:rPr>
          <w:rFonts w:hint="eastAsia" w:ascii="仿宋" w:hAnsi="仿宋" w:eastAsia="仿宋" w:cs="仿宋"/>
          <w:color w:val="auto"/>
          <w:szCs w:val="21"/>
        </w:rPr>
      </w:pPr>
      <w:r>
        <w:rPr>
          <w:rFonts w:hint="eastAsia" w:ascii="仿宋" w:hAnsi="仿宋" w:eastAsia="仿宋" w:cs="仿宋"/>
          <w:color w:val="auto"/>
          <w:szCs w:val="21"/>
        </w:rPr>
        <w:t>没有响应采购文件实质性要求的投标将被视为无效投标。投标人不得通过修正或撤消不合要求的偏离从而使其投标成为实质上响应的投标。出现下列情形之一的，经评标委员会认定后按无效投标处理：</w:t>
      </w:r>
    </w:p>
    <w:p w14:paraId="5CD1D61C">
      <w:pPr>
        <w:pStyle w:val="165"/>
        <w:widowControl/>
        <w:snapToGrid w:val="0"/>
        <w:spacing w:beforeLines="0" w:line="360" w:lineRule="auto"/>
        <w:jc w:val="left"/>
        <w:rPr>
          <w:rFonts w:hint="eastAsia" w:ascii="仿宋" w:hAnsi="仿宋" w:eastAsia="仿宋" w:cs="仿宋"/>
          <w:color w:val="auto"/>
          <w:szCs w:val="21"/>
        </w:rPr>
      </w:pPr>
      <w:r>
        <w:rPr>
          <w:rFonts w:hint="eastAsia" w:ascii="仿宋" w:hAnsi="仿宋" w:eastAsia="仿宋" w:cs="仿宋"/>
          <w:color w:val="auto"/>
          <w:szCs w:val="21"/>
        </w:rPr>
        <w:t>1.投标人仅提交备份投标文件，系统未提交电子加密投标文件的；</w:t>
      </w:r>
    </w:p>
    <w:p w14:paraId="1EE25345">
      <w:pPr>
        <w:pStyle w:val="165"/>
        <w:widowControl/>
        <w:snapToGrid w:val="0"/>
        <w:spacing w:beforeLines="0" w:line="360" w:lineRule="auto"/>
        <w:jc w:val="left"/>
        <w:rPr>
          <w:rFonts w:hint="eastAsia" w:ascii="仿宋" w:hAnsi="仿宋" w:eastAsia="仿宋" w:cs="仿宋"/>
          <w:color w:val="auto"/>
          <w:szCs w:val="21"/>
        </w:rPr>
      </w:pPr>
      <w:r>
        <w:rPr>
          <w:rFonts w:hint="eastAsia" w:ascii="仿宋" w:hAnsi="仿宋" w:eastAsia="仿宋" w:cs="仿宋"/>
          <w:color w:val="auto"/>
          <w:szCs w:val="21"/>
        </w:rPr>
        <w:t>2.不符合采购文件载明的资格条件或者资格证明文件提供不完整导致资格审查不合格的；</w:t>
      </w:r>
    </w:p>
    <w:p w14:paraId="678F21D8">
      <w:pPr>
        <w:pStyle w:val="165"/>
        <w:widowControl/>
        <w:snapToGrid w:val="0"/>
        <w:spacing w:beforeLines="0" w:line="360" w:lineRule="auto"/>
        <w:jc w:val="left"/>
        <w:rPr>
          <w:rFonts w:hint="eastAsia" w:ascii="仿宋" w:hAnsi="仿宋" w:eastAsia="仿宋" w:cs="仿宋"/>
          <w:color w:val="auto"/>
          <w:szCs w:val="21"/>
        </w:rPr>
      </w:pPr>
      <w:r>
        <w:rPr>
          <w:rFonts w:hint="eastAsia" w:ascii="仿宋" w:hAnsi="仿宋" w:eastAsia="仿宋" w:cs="仿宋"/>
          <w:color w:val="auto"/>
          <w:szCs w:val="21"/>
        </w:rPr>
        <w:t>3.</w:t>
      </w:r>
      <w:r>
        <w:rPr>
          <w:rFonts w:hint="eastAsia" w:ascii="仿宋" w:hAnsi="仿宋" w:eastAsia="仿宋" w:cs="仿宋"/>
          <w:color w:val="auto"/>
          <w:szCs w:val="21"/>
          <w:lang w:eastAsia="zh-CN"/>
        </w:rPr>
        <w:t>违反或者</w:t>
      </w:r>
      <w:r>
        <w:rPr>
          <w:rFonts w:hint="eastAsia" w:ascii="仿宋" w:hAnsi="仿宋" w:eastAsia="仿宋" w:cs="仿宋"/>
          <w:color w:val="auto"/>
          <w:szCs w:val="21"/>
        </w:rPr>
        <w:t>未实质性响应采购文件中标示“▲”的内容；</w:t>
      </w:r>
    </w:p>
    <w:p w14:paraId="4C93F317">
      <w:pPr>
        <w:pStyle w:val="165"/>
        <w:widowControl/>
        <w:snapToGrid w:val="0"/>
        <w:spacing w:beforeLines="0" w:line="360" w:lineRule="auto"/>
        <w:jc w:val="left"/>
        <w:rPr>
          <w:rFonts w:hint="eastAsia" w:ascii="仿宋" w:hAnsi="仿宋" w:eastAsia="仿宋" w:cs="仿宋"/>
          <w:color w:val="auto"/>
          <w:szCs w:val="21"/>
        </w:rPr>
      </w:pPr>
      <w:r>
        <w:rPr>
          <w:rFonts w:hint="eastAsia" w:ascii="仿宋" w:hAnsi="仿宋" w:eastAsia="仿宋" w:cs="仿宋"/>
          <w:color w:val="auto"/>
          <w:szCs w:val="21"/>
        </w:rPr>
        <w:t>4.交付期限（或服务期限）、支付方式、投标有效期等实质性商务条款不能满足采购文件要求的；</w:t>
      </w:r>
    </w:p>
    <w:p w14:paraId="7FFA9CA2">
      <w:pPr>
        <w:pStyle w:val="165"/>
        <w:widowControl/>
        <w:snapToGrid w:val="0"/>
        <w:spacing w:beforeLines="0" w:line="360" w:lineRule="auto"/>
        <w:jc w:val="left"/>
        <w:rPr>
          <w:rFonts w:hint="eastAsia" w:ascii="仿宋" w:hAnsi="仿宋" w:eastAsia="仿宋" w:cs="仿宋"/>
          <w:color w:val="auto"/>
          <w:szCs w:val="21"/>
        </w:rPr>
      </w:pPr>
      <w:r>
        <w:rPr>
          <w:rFonts w:hint="eastAsia" w:ascii="仿宋" w:hAnsi="仿宋" w:eastAsia="仿宋" w:cs="仿宋"/>
          <w:color w:val="auto"/>
          <w:szCs w:val="21"/>
        </w:rPr>
        <w:t>5.投标报价超出</w:t>
      </w:r>
      <w:r>
        <w:rPr>
          <w:rFonts w:hint="eastAsia" w:ascii="仿宋" w:hAnsi="仿宋" w:eastAsia="仿宋" w:cs="仿宋"/>
          <w:color w:val="auto"/>
          <w:szCs w:val="21"/>
          <w:lang w:eastAsia="zh-CN"/>
        </w:rPr>
        <w:t>最高限价</w:t>
      </w:r>
      <w:r>
        <w:rPr>
          <w:rFonts w:hint="eastAsia" w:ascii="仿宋" w:hAnsi="仿宋" w:eastAsia="仿宋" w:cs="仿宋"/>
          <w:color w:val="auto"/>
          <w:szCs w:val="21"/>
        </w:rPr>
        <w:t>；</w:t>
      </w:r>
    </w:p>
    <w:p w14:paraId="379C30DF">
      <w:pPr>
        <w:pStyle w:val="165"/>
        <w:widowControl/>
        <w:snapToGrid w:val="0"/>
        <w:spacing w:beforeLines="0" w:line="360" w:lineRule="auto"/>
        <w:jc w:val="left"/>
        <w:rPr>
          <w:rFonts w:hint="eastAsia" w:ascii="仿宋" w:hAnsi="仿宋" w:eastAsia="仿宋" w:cs="仿宋"/>
          <w:color w:val="auto"/>
          <w:szCs w:val="21"/>
        </w:rPr>
      </w:pPr>
      <w:r>
        <w:rPr>
          <w:rFonts w:hint="eastAsia" w:ascii="仿宋" w:hAnsi="仿宋" w:eastAsia="仿宋" w:cs="仿宋"/>
          <w:color w:val="auto"/>
          <w:szCs w:val="21"/>
        </w:rPr>
        <w:t>6.投标报价明显低于其他通过符合性审查投标人的报价，且投标人不能证明其报价合理性的；</w:t>
      </w:r>
    </w:p>
    <w:p w14:paraId="3FCB118B">
      <w:pPr>
        <w:pStyle w:val="165"/>
        <w:widowControl/>
        <w:snapToGrid w:val="0"/>
        <w:spacing w:beforeLines="0" w:line="360" w:lineRule="auto"/>
        <w:jc w:val="left"/>
        <w:rPr>
          <w:rFonts w:hint="eastAsia" w:ascii="仿宋" w:hAnsi="仿宋" w:eastAsia="仿宋" w:cs="仿宋"/>
          <w:color w:val="auto"/>
          <w:szCs w:val="21"/>
        </w:rPr>
      </w:pPr>
      <w:r>
        <w:rPr>
          <w:rFonts w:hint="eastAsia" w:ascii="仿宋" w:hAnsi="仿宋" w:eastAsia="仿宋" w:cs="仿宋"/>
          <w:color w:val="auto"/>
          <w:szCs w:val="21"/>
        </w:rPr>
        <w:t>7.投标文件含有采购人不能接受附加条件的；</w:t>
      </w:r>
    </w:p>
    <w:p w14:paraId="6A5C460E">
      <w:pPr>
        <w:pStyle w:val="165"/>
        <w:widowControl/>
        <w:snapToGrid w:val="0"/>
        <w:spacing w:beforeLines="0" w:line="360" w:lineRule="auto"/>
        <w:jc w:val="left"/>
        <w:rPr>
          <w:rFonts w:hint="eastAsia" w:ascii="仿宋" w:hAnsi="仿宋" w:eastAsia="仿宋" w:cs="仿宋"/>
          <w:color w:val="auto"/>
          <w:szCs w:val="21"/>
        </w:rPr>
      </w:pPr>
      <w:r>
        <w:rPr>
          <w:rFonts w:hint="eastAsia" w:ascii="仿宋" w:hAnsi="仿宋" w:eastAsia="仿宋" w:cs="仿宋"/>
          <w:color w:val="auto"/>
          <w:szCs w:val="21"/>
        </w:rPr>
        <w:t>8.参与同一标项的供应商存在以下情形之一且无法合理解释的：（1）不同供应商的电子投标（响应）文件上传计算机的网卡MAC地址或硬盘序列号等硬件信息相同的；（2）上传的电子投标（响应）文件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r>
        <w:rPr>
          <w:rFonts w:hint="eastAsia" w:ascii="仿宋" w:hAnsi="仿宋" w:eastAsia="仿宋" w:cs="仿宋"/>
          <w:color w:val="auto"/>
          <w:szCs w:val="21"/>
          <w:lang w:eastAsia="zh-CN"/>
        </w:rPr>
        <w:t>；</w:t>
      </w:r>
    </w:p>
    <w:p w14:paraId="08562AAA">
      <w:pPr>
        <w:pStyle w:val="165"/>
        <w:widowControl/>
        <w:snapToGrid w:val="0"/>
        <w:spacing w:beforeLines="0" w:line="360" w:lineRule="auto"/>
        <w:jc w:val="left"/>
        <w:rPr>
          <w:rFonts w:hint="eastAsia" w:ascii="仿宋" w:hAnsi="仿宋" w:eastAsia="仿宋" w:cs="仿宋"/>
          <w:color w:val="auto"/>
          <w:szCs w:val="21"/>
        </w:rPr>
      </w:pPr>
      <w:r>
        <w:rPr>
          <w:rFonts w:hint="eastAsia" w:ascii="仿宋" w:hAnsi="仿宋" w:eastAsia="仿宋" w:cs="仿宋"/>
          <w:color w:val="auto"/>
          <w:szCs w:val="21"/>
          <w:lang w:val="en-US" w:eastAsia="zh-CN"/>
        </w:rPr>
        <w:t>9</w:t>
      </w:r>
      <w:r>
        <w:rPr>
          <w:rFonts w:hint="eastAsia" w:ascii="仿宋" w:hAnsi="仿宋" w:eastAsia="仿宋" w:cs="仿宋"/>
          <w:color w:val="auto"/>
          <w:szCs w:val="21"/>
        </w:rPr>
        <w:t>.不符合法律、法规和</w:t>
      </w:r>
      <w:r>
        <w:rPr>
          <w:rFonts w:hint="eastAsia" w:ascii="仿宋" w:hAnsi="仿宋" w:eastAsia="仿宋" w:cs="仿宋"/>
          <w:color w:val="auto"/>
          <w:szCs w:val="21"/>
        </w:rPr>
        <w:fldChar w:fldCharType="begin"/>
      </w:r>
      <w:r>
        <w:rPr>
          <w:rFonts w:hint="eastAsia" w:ascii="仿宋" w:hAnsi="仿宋" w:eastAsia="仿宋" w:cs="仿宋"/>
          <w:color w:val="auto"/>
          <w:szCs w:val="21"/>
        </w:rPr>
        <w:instrText xml:space="preserve"> HYPERLINK "https://www.baidu.com/s?wd=%E6%8B%9B%E6%A0%87%E6%96%87%E4%BB%B6&amp;tn=44039180_cpr&amp;fenlei=mv6quAkxTZn0IZRqIHckPjm4nH00T1YYmW6Yrjm3PHmznyDkmHTd0ZwV5Hcvrjm3rH6sPfKWUMw85HfYnjn4nH6sgvPsT6KdThsqpZwYTjCEQLGCpyw9Uz4Bmy-bIi4WUvYETgN-TLwGUv3ErHfknHDkrH6" \t "_blank" </w:instrText>
      </w:r>
      <w:r>
        <w:rPr>
          <w:rFonts w:hint="eastAsia" w:ascii="仿宋" w:hAnsi="仿宋" w:eastAsia="仿宋" w:cs="仿宋"/>
          <w:color w:val="auto"/>
          <w:szCs w:val="21"/>
        </w:rPr>
        <w:fldChar w:fldCharType="separate"/>
      </w:r>
      <w:r>
        <w:rPr>
          <w:rFonts w:hint="eastAsia" w:ascii="仿宋" w:hAnsi="仿宋" w:eastAsia="仿宋" w:cs="仿宋"/>
          <w:color w:val="auto"/>
          <w:szCs w:val="21"/>
        </w:rPr>
        <w:t>采购文件</w:t>
      </w:r>
      <w:r>
        <w:rPr>
          <w:rFonts w:hint="eastAsia" w:ascii="仿宋" w:hAnsi="仿宋" w:eastAsia="仿宋" w:cs="仿宋"/>
          <w:color w:val="auto"/>
          <w:szCs w:val="21"/>
        </w:rPr>
        <w:fldChar w:fldCharType="end"/>
      </w:r>
      <w:r>
        <w:rPr>
          <w:rFonts w:hint="eastAsia" w:ascii="仿宋" w:hAnsi="仿宋" w:eastAsia="仿宋" w:cs="仿宋"/>
          <w:color w:val="auto"/>
          <w:szCs w:val="21"/>
        </w:rPr>
        <w:t>中规定的其他实质性要求的。</w:t>
      </w:r>
    </w:p>
    <w:p w14:paraId="76510971">
      <w:pPr>
        <w:pageBreakBefore w:val="0"/>
        <w:kinsoku/>
        <w:topLinePunct w:val="0"/>
        <w:autoSpaceDE w:val="0"/>
        <w:autoSpaceDN w:val="0"/>
        <w:bidi w:val="0"/>
        <w:adjustRightInd w:val="0"/>
        <w:snapToGrid/>
        <w:spacing w:line="300" w:lineRule="auto"/>
        <w:ind w:firstLine="315" w:firstLineChars="150"/>
        <w:jc w:val="left"/>
        <w:rPr>
          <w:rFonts w:hint="eastAsia" w:ascii="仿宋" w:hAnsi="仿宋" w:eastAsia="仿宋" w:cs="仿宋"/>
          <w:b/>
          <w:color w:val="auto"/>
          <w:szCs w:val="21"/>
          <w:lang w:val="zh-CN"/>
        </w:rPr>
      </w:pPr>
      <w:r>
        <w:rPr>
          <w:rFonts w:hint="eastAsia" w:ascii="仿宋" w:hAnsi="仿宋" w:eastAsia="仿宋" w:cs="仿宋"/>
          <w:b/>
          <w:color w:val="auto"/>
          <w:szCs w:val="21"/>
          <w:lang w:val="zh-CN"/>
        </w:rPr>
        <w:t>（八）废标的情形</w:t>
      </w:r>
    </w:p>
    <w:p w14:paraId="6D7A0A7C">
      <w:pPr>
        <w:pStyle w:val="165"/>
        <w:widowControl/>
        <w:snapToGrid w:val="0"/>
        <w:spacing w:beforeLines="0" w:line="360" w:lineRule="auto"/>
        <w:jc w:val="left"/>
        <w:rPr>
          <w:rFonts w:hint="eastAsia" w:ascii="仿宋" w:hAnsi="仿宋" w:eastAsia="仿宋" w:cs="仿宋"/>
          <w:color w:val="auto"/>
          <w:szCs w:val="21"/>
        </w:rPr>
      </w:pPr>
      <w:r>
        <w:rPr>
          <w:rFonts w:hint="eastAsia" w:ascii="仿宋" w:hAnsi="仿宋" w:eastAsia="仿宋" w:cs="仿宋"/>
          <w:color w:val="auto"/>
          <w:szCs w:val="21"/>
        </w:rPr>
        <w:t>（1）投标截止时间后或评审期间，参加投标的符合专业条件的投标人或者对采购文件作实质响应的投标人不足三家的；</w:t>
      </w:r>
    </w:p>
    <w:p w14:paraId="4FD435DC">
      <w:pPr>
        <w:pStyle w:val="165"/>
        <w:widowControl/>
        <w:snapToGrid w:val="0"/>
        <w:spacing w:beforeLines="0" w:line="360" w:lineRule="auto"/>
        <w:jc w:val="left"/>
        <w:rPr>
          <w:rFonts w:hint="eastAsia" w:ascii="仿宋" w:hAnsi="仿宋" w:eastAsia="仿宋" w:cs="仿宋"/>
          <w:color w:val="auto"/>
          <w:szCs w:val="21"/>
        </w:rPr>
      </w:pPr>
      <w:r>
        <w:rPr>
          <w:rFonts w:hint="eastAsia" w:ascii="仿宋" w:hAnsi="仿宋" w:eastAsia="仿宋" w:cs="仿宋"/>
          <w:color w:val="auto"/>
          <w:szCs w:val="21"/>
        </w:rPr>
        <w:t>（2）出现影响招标公正的违法、违规行为的；</w:t>
      </w:r>
    </w:p>
    <w:p w14:paraId="215B21A3">
      <w:pPr>
        <w:pStyle w:val="165"/>
        <w:widowControl/>
        <w:snapToGrid w:val="0"/>
        <w:spacing w:beforeLines="0" w:line="360" w:lineRule="auto"/>
        <w:jc w:val="left"/>
        <w:rPr>
          <w:rFonts w:hint="eastAsia" w:ascii="仿宋" w:hAnsi="仿宋" w:eastAsia="仿宋" w:cs="仿宋"/>
          <w:color w:val="auto"/>
          <w:szCs w:val="21"/>
        </w:rPr>
      </w:pPr>
      <w:r>
        <w:rPr>
          <w:rFonts w:hint="eastAsia" w:ascii="仿宋" w:hAnsi="仿宋" w:eastAsia="仿宋" w:cs="仿宋"/>
          <w:color w:val="auto"/>
          <w:szCs w:val="21"/>
        </w:rPr>
        <w:t>（3）投标人的报价均超过了</w:t>
      </w:r>
      <w:r>
        <w:rPr>
          <w:rFonts w:hint="eastAsia" w:ascii="仿宋" w:hAnsi="仿宋" w:eastAsia="仿宋" w:cs="仿宋"/>
          <w:color w:val="auto"/>
          <w:szCs w:val="21"/>
          <w:lang w:eastAsia="zh-CN"/>
        </w:rPr>
        <w:t>最高限价</w:t>
      </w:r>
      <w:r>
        <w:rPr>
          <w:rFonts w:hint="eastAsia" w:ascii="仿宋" w:hAnsi="仿宋" w:eastAsia="仿宋" w:cs="仿宋"/>
          <w:color w:val="auto"/>
          <w:szCs w:val="21"/>
        </w:rPr>
        <w:t>，采购人不能支付的；</w:t>
      </w:r>
    </w:p>
    <w:p w14:paraId="3B9319BE">
      <w:pPr>
        <w:pStyle w:val="165"/>
        <w:widowControl/>
        <w:snapToGrid w:val="0"/>
        <w:spacing w:beforeLines="0" w:line="360" w:lineRule="auto"/>
        <w:jc w:val="left"/>
        <w:rPr>
          <w:rFonts w:hint="eastAsia" w:ascii="仿宋" w:hAnsi="仿宋" w:eastAsia="仿宋" w:cs="仿宋"/>
          <w:color w:val="auto"/>
          <w:szCs w:val="21"/>
        </w:rPr>
      </w:pPr>
      <w:r>
        <w:rPr>
          <w:rFonts w:hint="eastAsia" w:ascii="仿宋" w:hAnsi="仿宋" w:eastAsia="仿宋" w:cs="仿宋"/>
          <w:color w:val="auto"/>
          <w:szCs w:val="21"/>
        </w:rPr>
        <w:t>（4）因重大变故，采购任务取消的。</w:t>
      </w:r>
    </w:p>
    <w:p w14:paraId="58AC68D9">
      <w:pPr>
        <w:pStyle w:val="165"/>
        <w:widowControl/>
        <w:snapToGrid w:val="0"/>
        <w:spacing w:beforeLines="0" w:line="360" w:lineRule="auto"/>
        <w:jc w:val="left"/>
        <w:rPr>
          <w:rFonts w:hint="eastAsia" w:ascii="仿宋" w:hAnsi="仿宋" w:eastAsia="仿宋" w:cs="仿宋"/>
          <w:color w:val="auto"/>
          <w:szCs w:val="21"/>
        </w:rPr>
      </w:pPr>
      <w:r>
        <w:rPr>
          <w:rFonts w:hint="eastAsia" w:ascii="仿宋" w:hAnsi="仿宋" w:eastAsia="仿宋" w:cs="仿宋"/>
          <w:color w:val="auto"/>
          <w:szCs w:val="21"/>
        </w:rPr>
        <w:t>废标后，废标理由将在原招标公告发布媒体上公告通知所有投标人。</w:t>
      </w:r>
    </w:p>
    <w:p w14:paraId="1AF0C014">
      <w:pPr>
        <w:pageBreakBefore w:val="0"/>
        <w:kinsoku/>
        <w:topLinePunct w:val="0"/>
        <w:autoSpaceDE w:val="0"/>
        <w:autoSpaceDN w:val="0"/>
        <w:bidi w:val="0"/>
        <w:adjustRightInd w:val="0"/>
        <w:snapToGrid/>
        <w:spacing w:line="300" w:lineRule="auto"/>
        <w:ind w:firstLine="315" w:firstLineChars="150"/>
        <w:jc w:val="left"/>
        <w:rPr>
          <w:rFonts w:hint="eastAsia" w:ascii="仿宋" w:hAnsi="仿宋" w:eastAsia="仿宋" w:cs="仿宋"/>
          <w:b/>
          <w:color w:val="auto"/>
          <w:szCs w:val="21"/>
          <w:lang w:val="zh-CN"/>
        </w:rPr>
      </w:pPr>
      <w:r>
        <w:rPr>
          <w:rFonts w:hint="eastAsia" w:ascii="仿宋" w:hAnsi="仿宋" w:eastAsia="仿宋" w:cs="仿宋"/>
          <w:b/>
          <w:color w:val="auto"/>
          <w:szCs w:val="21"/>
          <w:lang w:val="zh-CN" w:eastAsia="zh-CN"/>
        </w:rPr>
        <w:t>（</w:t>
      </w:r>
      <w:r>
        <w:rPr>
          <w:rFonts w:hint="eastAsia" w:ascii="仿宋" w:hAnsi="仿宋" w:eastAsia="仿宋" w:cs="仿宋"/>
          <w:b/>
          <w:color w:val="auto"/>
          <w:szCs w:val="21"/>
          <w:lang w:val="en-US" w:eastAsia="zh-CN"/>
        </w:rPr>
        <w:t>九</w:t>
      </w:r>
      <w:r>
        <w:rPr>
          <w:rFonts w:hint="eastAsia" w:ascii="仿宋" w:hAnsi="仿宋" w:eastAsia="仿宋" w:cs="仿宋"/>
          <w:b/>
          <w:color w:val="auto"/>
          <w:szCs w:val="21"/>
          <w:lang w:val="zh-CN" w:eastAsia="zh-CN"/>
        </w:rPr>
        <w:t>）</w:t>
      </w:r>
      <w:r>
        <w:rPr>
          <w:rFonts w:hint="eastAsia" w:ascii="仿宋" w:hAnsi="仿宋" w:eastAsia="仿宋" w:cs="仿宋"/>
          <w:b/>
          <w:color w:val="auto"/>
          <w:szCs w:val="21"/>
          <w:lang w:val="zh-CN"/>
        </w:rPr>
        <w:t>电子加密响应文件的解密及异常情况处理</w:t>
      </w:r>
    </w:p>
    <w:p w14:paraId="2176BB0F">
      <w:pPr>
        <w:pStyle w:val="165"/>
        <w:widowControl/>
        <w:snapToGrid w:val="0"/>
        <w:spacing w:beforeLines="0" w:line="360" w:lineRule="auto"/>
        <w:jc w:val="left"/>
        <w:rPr>
          <w:rFonts w:hint="eastAsia" w:ascii="仿宋" w:hAnsi="仿宋" w:eastAsia="仿宋" w:cs="仿宋"/>
          <w:color w:val="auto"/>
          <w:szCs w:val="21"/>
        </w:rPr>
      </w:pPr>
      <w:r>
        <w:rPr>
          <w:rFonts w:hint="eastAsia" w:ascii="仿宋" w:hAnsi="仿宋" w:eastAsia="仿宋" w:cs="仿宋"/>
          <w:color w:val="auto"/>
          <w:szCs w:val="21"/>
        </w:rPr>
        <w:t>1.</w:t>
      </w:r>
      <w:r>
        <w:rPr>
          <w:rFonts w:hint="eastAsia" w:ascii="仿宋" w:hAnsi="仿宋" w:eastAsia="仿宋" w:cs="仿宋"/>
          <w:color w:val="auto"/>
          <w:szCs w:val="21"/>
          <w:lang w:val="en-US" w:eastAsia="zh-CN"/>
        </w:rPr>
        <w:t>投标</w:t>
      </w:r>
      <w:r>
        <w:rPr>
          <w:rFonts w:hint="eastAsia" w:ascii="仿宋" w:hAnsi="仿宋" w:eastAsia="仿宋" w:cs="仿宋"/>
          <w:color w:val="auto"/>
          <w:szCs w:val="21"/>
        </w:rPr>
        <w:t>截止时间后，采购组织机构将向各</w:t>
      </w:r>
      <w:r>
        <w:rPr>
          <w:rFonts w:hint="eastAsia" w:ascii="仿宋" w:hAnsi="仿宋" w:eastAsia="仿宋" w:cs="仿宋"/>
          <w:color w:val="auto"/>
          <w:szCs w:val="21"/>
          <w:lang w:val="en-US" w:eastAsia="zh-CN"/>
        </w:rPr>
        <w:t>投标人</w:t>
      </w:r>
      <w:r>
        <w:rPr>
          <w:rFonts w:hint="eastAsia" w:ascii="仿宋" w:hAnsi="仿宋" w:eastAsia="仿宋" w:cs="仿宋"/>
          <w:color w:val="auto"/>
          <w:szCs w:val="21"/>
        </w:rPr>
        <w:t>发出“电子加密响应文件”的解密通知，各</w:t>
      </w:r>
      <w:r>
        <w:rPr>
          <w:rFonts w:hint="eastAsia" w:ascii="仿宋" w:hAnsi="仿宋" w:eastAsia="仿宋" w:cs="仿宋"/>
          <w:color w:val="auto"/>
          <w:szCs w:val="21"/>
          <w:lang w:val="en-US" w:eastAsia="zh-CN"/>
        </w:rPr>
        <w:t>投标人</w:t>
      </w:r>
      <w:r>
        <w:rPr>
          <w:rFonts w:hint="eastAsia" w:ascii="仿宋" w:hAnsi="仿宋" w:eastAsia="仿宋" w:cs="仿宋"/>
          <w:color w:val="auto"/>
          <w:szCs w:val="21"/>
        </w:rPr>
        <w:t>代表应当在接到解密通知后30分钟内自行完成“电子加密响应文件”的在线解密。</w:t>
      </w:r>
    </w:p>
    <w:p w14:paraId="33E5DF6E">
      <w:pPr>
        <w:pStyle w:val="165"/>
        <w:widowControl/>
        <w:snapToGrid w:val="0"/>
        <w:spacing w:beforeLines="0" w:line="360" w:lineRule="auto"/>
        <w:jc w:val="left"/>
        <w:rPr>
          <w:rFonts w:hint="eastAsia" w:ascii="仿宋" w:hAnsi="仿宋" w:eastAsia="仿宋" w:cs="仿宋"/>
          <w:color w:val="auto"/>
          <w:szCs w:val="21"/>
        </w:rPr>
      </w:pPr>
      <w:r>
        <w:rPr>
          <w:rFonts w:hint="eastAsia" w:ascii="仿宋" w:hAnsi="仿宋" w:eastAsia="仿宋" w:cs="仿宋"/>
          <w:color w:val="auto"/>
          <w:szCs w:val="21"/>
        </w:rPr>
        <w:t>2.因网络或者其他问题造成电子加密响应文件在规定时间内无法正常解密的，</w:t>
      </w:r>
      <w:r>
        <w:rPr>
          <w:rFonts w:hint="eastAsia" w:ascii="仿宋" w:hAnsi="仿宋" w:eastAsia="仿宋" w:cs="仿宋"/>
          <w:color w:val="auto"/>
          <w:szCs w:val="21"/>
          <w:lang w:val="en-US" w:eastAsia="zh-CN"/>
        </w:rPr>
        <w:t>投标人</w:t>
      </w:r>
      <w:r>
        <w:rPr>
          <w:rFonts w:hint="eastAsia" w:ascii="仿宋" w:hAnsi="仿宋" w:eastAsia="仿宋" w:cs="仿宋"/>
          <w:color w:val="auto"/>
          <w:szCs w:val="21"/>
        </w:rPr>
        <w:t>提供了备份响应文件的，将由采购代理机构按“政府采购云平台”操作规范将备份</w:t>
      </w:r>
      <w:r>
        <w:rPr>
          <w:rFonts w:hint="eastAsia" w:ascii="仿宋" w:hAnsi="仿宋" w:eastAsia="仿宋" w:cs="仿宋"/>
          <w:color w:val="auto"/>
          <w:szCs w:val="21"/>
          <w:lang w:val="en-US" w:eastAsia="zh-CN"/>
        </w:rPr>
        <w:t>投标</w:t>
      </w:r>
      <w:r>
        <w:rPr>
          <w:rFonts w:hint="eastAsia" w:ascii="仿宋" w:hAnsi="仿宋" w:eastAsia="仿宋" w:cs="仿宋"/>
          <w:color w:val="auto"/>
          <w:szCs w:val="21"/>
        </w:rPr>
        <w:t>文件上传至“政府采购云平台”，完成解密。</w:t>
      </w:r>
    </w:p>
    <w:p w14:paraId="2D882BCB">
      <w:pPr>
        <w:pStyle w:val="165"/>
        <w:widowControl/>
        <w:snapToGrid w:val="0"/>
        <w:spacing w:beforeLines="0" w:line="360" w:lineRule="auto"/>
        <w:jc w:val="left"/>
        <w:rPr>
          <w:rFonts w:hint="eastAsia" w:ascii="仿宋" w:hAnsi="仿宋" w:eastAsia="仿宋" w:cs="仿宋"/>
          <w:color w:val="auto"/>
          <w:szCs w:val="21"/>
        </w:rPr>
      </w:pPr>
      <w:r>
        <w:rPr>
          <w:rFonts w:hint="eastAsia" w:ascii="仿宋" w:hAnsi="仿宋" w:eastAsia="仿宋" w:cs="仿宋"/>
          <w:color w:val="auto"/>
          <w:szCs w:val="21"/>
        </w:rPr>
        <w:t>3.</w:t>
      </w:r>
      <w:r>
        <w:rPr>
          <w:rFonts w:hint="eastAsia" w:ascii="仿宋" w:hAnsi="仿宋" w:eastAsia="仿宋" w:cs="仿宋"/>
          <w:color w:val="auto"/>
          <w:szCs w:val="21"/>
          <w:lang w:val="en-US" w:eastAsia="zh-CN"/>
        </w:rPr>
        <w:t>投标人</w:t>
      </w:r>
      <w:r>
        <w:rPr>
          <w:rFonts w:hint="eastAsia" w:ascii="仿宋" w:hAnsi="仿宋" w:eastAsia="仿宋" w:cs="仿宋"/>
          <w:color w:val="auto"/>
          <w:szCs w:val="21"/>
        </w:rPr>
        <w:t>未在规定时间内完成解密且未提供备份</w:t>
      </w:r>
      <w:r>
        <w:rPr>
          <w:rFonts w:hint="eastAsia" w:ascii="仿宋" w:hAnsi="仿宋" w:eastAsia="仿宋" w:cs="仿宋"/>
          <w:color w:val="auto"/>
          <w:szCs w:val="21"/>
          <w:lang w:val="en-US" w:eastAsia="zh-CN"/>
        </w:rPr>
        <w:t>投标</w:t>
      </w:r>
      <w:r>
        <w:rPr>
          <w:rFonts w:hint="eastAsia" w:ascii="仿宋" w:hAnsi="仿宋" w:eastAsia="仿宋" w:cs="仿宋"/>
          <w:color w:val="auto"/>
          <w:szCs w:val="21"/>
        </w:rPr>
        <w:t>文件的，视为</w:t>
      </w:r>
      <w:r>
        <w:rPr>
          <w:rFonts w:hint="eastAsia" w:ascii="仿宋" w:hAnsi="仿宋" w:eastAsia="仿宋" w:cs="仿宋"/>
          <w:color w:val="auto"/>
          <w:szCs w:val="21"/>
          <w:lang w:val="en-US" w:eastAsia="zh-CN"/>
        </w:rPr>
        <w:t>投标人</w:t>
      </w:r>
      <w:r>
        <w:rPr>
          <w:rFonts w:hint="eastAsia" w:ascii="仿宋" w:hAnsi="仿宋" w:eastAsia="仿宋" w:cs="仿宋"/>
          <w:color w:val="auto"/>
          <w:szCs w:val="21"/>
        </w:rPr>
        <w:t>撤回</w:t>
      </w:r>
      <w:r>
        <w:rPr>
          <w:rFonts w:hint="eastAsia" w:ascii="仿宋" w:hAnsi="仿宋" w:eastAsia="仿宋" w:cs="仿宋"/>
          <w:color w:val="auto"/>
          <w:szCs w:val="21"/>
          <w:lang w:val="en-US" w:eastAsia="zh-CN"/>
        </w:rPr>
        <w:t>投标</w:t>
      </w:r>
      <w:r>
        <w:rPr>
          <w:rFonts w:hint="eastAsia" w:ascii="仿宋" w:hAnsi="仿宋" w:eastAsia="仿宋" w:cs="仿宋"/>
          <w:color w:val="auto"/>
          <w:szCs w:val="21"/>
        </w:rPr>
        <w:t>文件。</w:t>
      </w:r>
    </w:p>
    <w:p w14:paraId="01E7FEB0">
      <w:pPr>
        <w:pageBreakBefore w:val="0"/>
        <w:kinsoku/>
        <w:topLinePunct w:val="0"/>
        <w:autoSpaceDE w:val="0"/>
        <w:autoSpaceDN w:val="0"/>
        <w:bidi w:val="0"/>
        <w:adjustRightInd w:val="0"/>
        <w:snapToGrid/>
        <w:spacing w:line="300" w:lineRule="auto"/>
        <w:ind w:firstLine="315" w:firstLineChars="150"/>
        <w:jc w:val="left"/>
        <w:rPr>
          <w:rFonts w:hint="eastAsia" w:ascii="仿宋" w:hAnsi="仿宋" w:eastAsia="仿宋" w:cs="仿宋"/>
          <w:b/>
          <w:color w:val="auto"/>
          <w:szCs w:val="21"/>
          <w:lang w:val="zh-CN" w:eastAsia="zh-CN"/>
        </w:rPr>
      </w:pPr>
      <w:r>
        <w:rPr>
          <w:rFonts w:hint="eastAsia" w:ascii="仿宋" w:hAnsi="仿宋" w:eastAsia="仿宋" w:cs="仿宋"/>
          <w:b/>
          <w:color w:val="auto"/>
          <w:szCs w:val="21"/>
          <w:lang w:val="zh-CN" w:eastAsia="zh-CN"/>
        </w:rPr>
        <w:t>（</w:t>
      </w:r>
      <w:r>
        <w:rPr>
          <w:rFonts w:hint="eastAsia" w:ascii="仿宋" w:hAnsi="仿宋" w:eastAsia="仿宋" w:cs="仿宋"/>
          <w:b/>
          <w:color w:val="auto"/>
          <w:szCs w:val="21"/>
          <w:lang w:val="en-US" w:eastAsia="zh-CN"/>
        </w:rPr>
        <w:t>十</w:t>
      </w:r>
      <w:r>
        <w:rPr>
          <w:rFonts w:hint="eastAsia" w:ascii="仿宋" w:hAnsi="仿宋" w:eastAsia="仿宋" w:cs="仿宋"/>
          <w:b/>
          <w:color w:val="auto"/>
          <w:szCs w:val="21"/>
          <w:lang w:val="zh-CN" w:eastAsia="zh-CN"/>
        </w:rPr>
        <w:t>）特别说明</w:t>
      </w:r>
    </w:p>
    <w:p w14:paraId="19ECD4B5">
      <w:pPr>
        <w:pStyle w:val="165"/>
        <w:widowControl/>
        <w:snapToGrid w:val="0"/>
        <w:spacing w:beforeLines="0" w:line="360" w:lineRule="auto"/>
        <w:jc w:val="left"/>
        <w:rPr>
          <w:rFonts w:hint="eastAsia" w:ascii="仿宋" w:hAnsi="仿宋" w:eastAsia="仿宋" w:cs="仿宋"/>
          <w:color w:val="auto"/>
          <w:szCs w:val="21"/>
        </w:rPr>
      </w:pPr>
      <w:r>
        <w:rPr>
          <w:rFonts w:hint="eastAsia" w:ascii="仿宋" w:hAnsi="仿宋" w:eastAsia="仿宋" w:cs="仿宋"/>
          <w:color w:val="auto"/>
          <w:szCs w:val="21"/>
        </w:rPr>
        <w:t>▲1.</w:t>
      </w:r>
      <w:r>
        <w:rPr>
          <w:rFonts w:hint="eastAsia" w:ascii="仿宋" w:hAnsi="仿宋" w:eastAsia="仿宋" w:cs="仿宋"/>
          <w:color w:val="auto"/>
          <w:szCs w:val="21"/>
          <w:lang w:val="en-US" w:eastAsia="zh-CN"/>
        </w:rPr>
        <w:t>投标人</w:t>
      </w:r>
      <w:r>
        <w:rPr>
          <w:rFonts w:hint="eastAsia" w:ascii="仿宋" w:hAnsi="仿宋" w:eastAsia="仿宋" w:cs="仿宋"/>
          <w:color w:val="auto"/>
          <w:szCs w:val="21"/>
        </w:rPr>
        <w:t>法定代表人或单位负责人为同一人或者存在直接控股、管理关系的不同供应商，不得参加同一合同项下的政府采购活动。违反该款规定的，相关</w:t>
      </w:r>
      <w:r>
        <w:rPr>
          <w:rFonts w:hint="eastAsia" w:ascii="仿宋" w:hAnsi="仿宋" w:eastAsia="仿宋" w:cs="仿宋"/>
          <w:color w:val="auto"/>
          <w:szCs w:val="21"/>
          <w:lang w:val="en-US" w:eastAsia="zh-CN"/>
        </w:rPr>
        <w:t>投标人</w:t>
      </w:r>
      <w:r>
        <w:rPr>
          <w:rFonts w:hint="eastAsia" w:ascii="仿宋" w:hAnsi="仿宋" w:eastAsia="仿宋" w:cs="仿宋"/>
          <w:color w:val="auto"/>
          <w:szCs w:val="21"/>
        </w:rPr>
        <w:t>均无效。</w:t>
      </w:r>
    </w:p>
    <w:p w14:paraId="36469DFA">
      <w:pPr>
        <w:pStyle w:val="165"/>
        <w:widowControl/>
        <w:snapToGrid w:val="0"/>
        <w:spacing w:beforeLines="0" w:line="360" w:lineRule="auto"/>
        <w:jc w:val="left"/>
        <w:rPr>
          <w:rFonts w:hint="eastAsia" w:ascii="仿宋" w:hAnsi="仿宋" w:eastAsia="仿宋" w:cs="仿宋"/>
          <w:color w:val="auto"/>
          <w:szCs w:val="21"/>
        </w:rPr>
      </w:pPr>
      <w:r>
        <w:rPr>
          <w:rFonts w:hint="eastAsia" w:ascii="仿宋" w:hAnsi="仿宋" w:eastAsia="仿宋" w:cs="仿宋"/>
          <w:color w:val="auto"/>
          <w:szCs w:val="21"/>
        </w:rPr>
        <w:t>▲2.有下列情形之一的，视为供应商串通投标，</w:t>
      </w:r>
      <w:r>
        <w:rPr>
          <w:rFonts w:hint="eastAsia" w:ascii="仿宋" w:hAnsi="仿宋" w:eastAsia="仿宋" w:cs="仿宋"/>
          <w:color w:val="auto"/>
          <w:szCs w:val="21"/>
          <w:lang w:eastAsia="zh-CN"/>
        </w:rPr>
        <w:t>相关投标均</w:t>
      </w:r>
      <w:r>
        <w:rPr>
          <w:rFonts w:hint="eastAsia" w:ascii="仿宋" w:hAnsi="仿宋" w:eastAsia="仿宋" w:cs="仿宋"/>
          <w:color w:val="auto"/>
          <w:szCs w:val="21"/>
        </w:rPr>
        <w:t>无效：</w:t>
      </w:r>
    </w:p>
    <w:p w14:paraId="64B0480E">
      <w:pPr>
        <w:pStyle w:val="165"/>
        <w:widowControl/>
        <w:snapToGrid w:val="0"/>
        <w:spacing w:beforeLines="0" w:line="360" w:lineRule="auto"/>
        <w:jc w:val="left"/>
        <w:rPr>
          <w:rFonts w:hint="eastAsia" w:ascii="仿宋" w:hAnsi="仿宋" w:eastAsia="仿宋" w:cs="仿宋"/>
          <w:color w:val="auto"/>
          <w:szCs w:val="21"/>
        </w:rPr>
      </w:pPr>
      <w:r>
        <w:rPr>
          <w:rFonts w:hint="eastAsia" w:ascii="仿宋" w:hAnsi="仿宋" w:eastAsia="仿宋" w:cs="仿宋"/>
          <w:color w:val="auto"/>
          <w:szCs w:val="21"/>
        </w:rPr>
        <w:t>（一）不同</w:t>
      </w:r>
      <w:r>
        <w:rPr>
          <w:rFonts w:hint="eastAsia" w:ascii="仿宋" w:hAnsi="仿宋" w:eastAsia="仿宋" w:cs="仿宋"/>
          <w:color w:val="auto"/>
          <w:szCs w:val="21"/>
          <w:lang w:val="en-US" w:eastAsia="zh-CN"/>
        </w:rPr>
        <w:t>投标人</w:t>
      </w:r>
      <w:r>
        <w:rPr>
          <w:rFonts w:hint="eastAsia" w:ascii="仿宋" w:hAnsi="仿宋" w:eastAsia="仿宋" w:cs="仿宋"/>
          <w:color w:val="auto"/>
          <w:szCs w:val="21"/>
        </w:rPr>
        <w:t>的</w:t>
      </w:r>
      <w:r>
        <w:rPr>
          <w:rFonts w:hint="eastAsia" w:ascii="仿宋" w:hAnsi="仿宋" w:eastAsia="仿宋" w:cs="仿宋"/>
          <w:color w:val="auto"/>
          <w:szCs w:val="21"/>
          <w:lang w:val="en-US" w:eastAsia="zh-CN"/>
        </w:rPr>
        <w:t>投标</w:t>
      </w:r>
      <w:r>
        <w:rPr>
          <w:rFonts w:hint="eastAsia" w:ascii="仿宋" w:hAnsi="仿宋" w:eastAsia="仿宋" w:cs="仿宋"/>
          <w:color w:val="auto"/>
          <w:szCs w:val="21"/>
        </w:rPr>
        <w:t>文件由同一单位或者个人编制；</w:t>
      </w:r>
    </w:p>
    <w:p w14:paraId="3D440691">
      <w:pPr>
        <w:pStyle w:val="165"/>
        <w:widowControl/>
        <w:snapToGrid w:val="0"/>
        <w:spacing w:beforeLines="0" w:line="360" w:lineRule="auto"/>
        <w:jc w:val="left"/>
        <w:rPr>
          <w:rFonts w:hint="eastAsia" w:ascii="仿宋" w:hAnsi="仿宋" w:eastAsia="仿宋" w:cs="仿宋"/>
          <w:color w:val="auto"/>
          <w:szCs w:val="21"/>
        </w:rPr>
      </w:pPr>
      <w:r>
        <w:rPr>
          <w:rFonts w:hint="eastAsia" w:ascii="仿宋" w:hAnsi="仿宋" w:eastAsia="仿宋" w:cs="仿宋"/>
          <w:color w:val="auto"/>
          <w:szCs w:val="21"/>
        </w:rPr>
        <w:t>（二）不同</w:t>
      </w:r>
      <w:r>
        <w:rPr>
          <w:rFonts w:hint="eastAsia" w:ascii="仿宋" w:hAnsi="仿宋" w:eastAsia="仿宋" w:cs="仿宋"/>
          <w:color w:val="auto"/>
          <w:szCs w:val="21"/>
          <w:lang w:val="en-US" w:eastAsia="zh-CN"/>
        </w:rPr>
        <w:t>投标人</w:t>
      </w:r>
      <w:r>
        <w:rPr>
          <w:rFonts w:hint="eastAsia" w:ascii="仿宋" w:hAnsi="仿宋" w:eastAsia="仿宋" w:cs="仿宋"/>
          <w:color w:val="auto"/>
          <w:szCs w:val="21"/>
        </w:rPr>
        <w:t>委托同一单位或者个人办理投标事宜；</w:t>
      </w:r>
    </w:p>
    <w:p w14:paraId="06CE8F19">
      <w:pPr>
        <w:pStyle w:val="165"/>
        <w:widowControl/>
        <w:snapToGrid w:val="0"/>
        <w:spacing w:beforeLines="0" w:line="360" w:lineRule="auto"/>
        <w:jc w:val="left"/>
        <w:rPr>
          <w:rFonts w:hint="eastAsia" w:ascii="仿宋" w:hAnsi="仿宋" w:eastAsia="仿宋" w:cs="仿宋"/>
          <w:color w:val="auto"/>
          <w:szCs w:val="21"/>
        </w:rPr>
      </w:pPr>
      <w:r>
        <w:rPr>
          <w:rFonts w:hint="eastAsia" w:ascii="仿宋" w:hAnsi="仿宋" w:eastAsia="仿宋" w:cs="仿宋"/>
          <w:color w:val="auto"/>
          <w:szCs w:val="21"/>
        </w:rPr>
        <w:t>（三）不同</w:t>
      </w:r>
      <w:r>
        <w:rPr>
          <w:rFonts w:hint="eastAsia" w:ascii="仿宋" w:hAnsi="仿宋" w:eastAsia="仿宋" w:cs="仿宋"/>
          <w:color w:val="auto"/>
          <w:szCs w:val="21"/>
          <w:lang w:val="en-US" w:eastAsia="zh-CN"/>
        </w:rPr>
        <w:t>投标人</w:t>
      </w:r>
      <w:r>
        <w:rPr>
          <w:rFonts w:hint="eastAsia" w:ascii="仿宋" w:hAnsi="仿宋" w:eastAsia="仿宋" w:cs="仿宋"/>
          <w:color w:val="auto"/>
          <w:szCs w:val="21"/>
        </w:rPr>
        <w:t>的</w:t>
      </w:r>
      <w:r>
        <w:rPr>
          <w:rFonts w:hint="eastAsia" w:ascii="仿宋" w:hAnsi="仿宋" w:eastAsia="仿宋" w:cs="仿宋"/>
          <w:color w:val="auto"/>
          <w:szCs w:val="21"/>
          <w:lang w:val="en-US" w:eastAsia="zh-CN"/>
        </w:rPr>
        <w:t>投标</w:t>
      </w:r>
      <w:r>
        <w:rPr>
          <w:rFonts w:hint="eastAsia" w:ascii="仿宋" w:hAnsi="仿宋" w:eastAsia="仿宋" w:cs="仿宋"/>
          <w:color w:val="auto"/>
          <w:szCs w:val="21"/>
        </w:rPr>
        <w:t>文件载明的项目管理成员为同一人；</w:t>
      </w:r>
    </w:p>
    <w:p w14:paraId="22C416C8">
      <w:pPr>
        <w:pStyle w:val="165"/>
        <w:widowControl/>
        <w:snapToGrid w:val="0"/>
        <w:spacing w:beforeLines="0" w:line="360" w:lineRule="auto"/>
        <w:jc w:val="left"/>
        <w:rPr>
          <w:rFonts w:hint="eastAsia" w:ascii="仿宋" w:hAnsi="仿宋" w:eastAsia="仿宋" w:cs="仿宋"/>
          <w:color w:val="auto"/>
          <w:szCs w:val="21"/>
        </w:rPr>
      </w:pPr>
      <w:r>
        <w:rPr>
          <w:rFonts w:hint="eastAsia" w:ascii="仿宋" w:hAnsi="仿宋" w:eastAsia="仿宋" w:cs="仿宋"/>
          <w:color w:val="auto"/>
          <w:szCs w:val="21"/>
        </w:rPr>
        <w:t>（四）不同</w:t>
      </w:r>
      <w:r>
        <w:rPr>
          <w:rFonts w:hint="eastAsia" w:ascii="仿宋" w:hAnsi="仿宋" w:eastAsia="仿宋" w:cs="仿宋"/>
          <w:color w:val="auto"/>
          <w:szCs w:val="21"/>
          <w:lang w:val="en-US" w:eastAsia="zh-CN"/>
        </w:rPr>
        <w:t>投标人</w:t>
      </w:r>
      <w:r>
        <w:rPr>
          <w:rFonts w:hint="eastAsia" w:ascii="仿宋" w:hAnsi="仿宋" w:eastAsia="仿宋" w:cs="仿宋"/>
          <w:color w:val="auto"/>
          <w:szCs w:val="21"/>
        </w:rPr>
        <w:t>的</w:t>
      </w:r>
      <w:r>
        <w:rPr>
          <w:rFonts w:hint="eastAsia" w:ascii="仿宋" w:hAnsi="仿宋" w:eastAsia="仿宋" w:cs="仿宋"/>
          <w:color w:val="auto"/>
          <w:szCs w:val="21"/>
          <w:lang w:val="en-US" w:eastAsia="zh-CN"/>
        </w:rPr>
        <w:t>投标</w:t>
      </w:r>
      <w:r>
        <w:rPr>
          <w:rFonts w:hint="eastAsia" w:ascii="仿宋" w:hAnsi="仿宋" w:eastAsia="仿宋" w:cs="仿宋"/>
          <w:color w:val="auto"/>
          <w:szCs w:val="21"/>
        </w:rPr>
        <w:t>文件异常一致或者</w:t>
      </w:r>
      <w:r>
        <w:rPr>
          <w:rFonts w:hint="eastAsia" w:ascii="仿宋" w:hAnsi="仿宋" w:eastAsia="仿宋" w:cs="仿宋"/>
          <w:color w:val="auto"/>
          <w:szCs w:val="21"/>
          <w:lang w:val="en-US" w:eastAsia="zh-CN"/>
        </w:rPr>
        <w:t>投标</w:t>
      </w:r>
      <w:r>
        <w:rPr>
          <w:rFonts w:hint="eastAsia" w:ascii="仿宋" w:hAnsi="仿宋" w:eastAsia="仿宋" w:cs="仿宋"/>
          <w:color w:val="auto"/>
          <w:szCs w:val="21"/>
        </w:rPr>
        <w:t>报价呈规律性差异；</w:t>
      </w:r>
    </w:p>
    <w:p w14:paraId="562770ED">
      <w:pPr>
        <w:pStyle w:val="165"/>
        <w:widowControl/>
        <w:snapToGrid w:val="0"/>
        <w:spacing w:beforeLines="0" w:line="360" w:lineRule="auto"/>
        <w:jc w:val="left"/>
        <w:rPr>
          <w:rFonts w:hint="eastAsia" w:ascii="仿宋" w:hAnsi="仿宋" w:eastAsia="仿宋" w:cs="仿宋"/>
          <w:color w:val="auto"/>
          <w:szCs w:val="21"/>
        </w:rPr>
      </w:pPr>
      <w:r>
        <w:rPr>
          <w:rFonts w:hint="eastAsia" w:ascii="仿宋" w:hAnsi="仿宋" w:eastAsia="仿宋" w:cs="仿宋"/>
          <w:color w:val="auto"/>
          <w:szCs w:val="21"/>
        </w:rPr>
        <w:t>（五）不同</w:t>
      </w:r>
      <w:r>
        <w:rPr>
          <w:rFonts w:hint="eastAsia" w:ascii="仿宋" w:hAnsi="仿宋" w:eastAsia="仿宋" w:cs="仿宋"/>
          <w:color w:val="auto"/>
          <w:szCs w:val="21"/>
          <w:lang w:val="en-US" w:eastAsia="zh-CN"/>
        </w:rPr>
        <w:t>投标人</w:t>
      </w:r>
      <w:r>
        <w:rPr>
          <w:rFonts w:hint="eastAsia" w:ascii="仿宋" w:hAnsi="仿宋" w:eastAsia="仿宋" w:cs="仿宋"/>
          <w:color w:val="auto"/>
          <w:szCs w:val="21"/>
        </w:rPr>
        <w:t>的</w:t>
      </w:r>
      <w:r>
        <w:rPr>
          <w:rFonts w:hint="eastAsia" w:ascii="仿宋" w:hAnsi="仿宋" w:eastAsia="仿宋" w:cs="仿宋"/>
          <w:color w:val="auto"/>
          <w:szCs w:val="21"/>
          <w:lang w:val="en-US" w:eastAsia="zh-CN"/>
        </w:rPr>
        <w:t>投标</w:t>
      </w:r>
      <w:r>
        <w:rPr>
          <w:rFonts w:hint="eastAsia" w:ascii="仿宋" w:hAnsi="仿宋" w:eastAsia="仿宋" w:cs="仿宋"/>
          <w:color w:val="auto"/>
          <w:szCs w:val="21"/>
        </w:rPr>
        <w:t>文件相互混装；</w:t>
      </w:r>
    </w:p>
    <w:p w14:paraId="1B9194B0">
      <w:pPr>
        <w:pStyle w:val="165"/>
        <w:widowControl/>
        <w:snapToGrid w:val="0"/>
        <w:spacing w:beforeLines="0" w:line="360" w:lineRule="auto"/>
        <w:jc w:val="left"/>
        <w:rPr>
          <w:rFonts w:hint="eastAsia" w:ascii="仿宋" w:hAnsi="仿宋" w:eastAsia="仿宋" w:cs="仿宋"/>
          <w:color w:val="auto"/>
          <w:szCs w:val="21"/>
        </w:rPr>
      </w:pPr>
      <w:r>
        <w:rPr>
          <w:rFonts w:hint="eastAsia" w:ascii="仿宋" w:hAnsi="仿宋" w:eastAsia="仿宋" w:cs="仿宋"/>
          <w:color w:val="auto"/>
          <w:szCs w:val="21"/>
        </w:rPr>
        <w:t>（六）不同</w:t>
      </w:r>
      <w:r>
        <w:rPr>
          <w:rFonts w:hint="eastAsia" w:ascii="仿宋" w:hAnsi="仿宋" w:eastAsia="仿宋" w:cs="仿宋"/>
          <w:color w:val="auto"/>
          <w:szCs w:val="21"/>
          <w:lang w:val="en-US" w:eastAsia="zh-CN"/>
        </w:rPr>
        <w:t>投标人</w:t>
      </w:r>
      <w:r>
        <w:rPr>
          <w:rFonts w:hint="eastAsia" w:ascii="仿宋" w:hAnsi="仿宋" w:eastAsia="仿宋" w:cs="仿宋"/>
          <w:color w:val="auto"/>
          <w:szCs w:val="21"/>
        </w:rPr>
        <w:t>的</w:t>
      </w:r>
      <w:r>
        <w:rPr>
          <w:rFonts w:hint="eastAsia" w:ascii="仿宋" w:hAnsi="仿宋" w:eastAsia="仿宋" w:cs="仿宋"/>
          <w:color w:val="auto"/>
          <w:szCs w:val="21"/>
          <w:lang w:val="en-US" w:eastAsia="zh-CN"/>
        </w:rPr>
        <w:t>投标</w:t>
      </w:r>
      <w:r>
        <w:rPr>
          <w:rFonts w:hint="eastAsia" w:ascii="仿宋" w:hAnsi="仿宋" w:eastAsia="仿宋" w:cs="仿宋"/>
          <w:color w:val="auto"/>
          <w:szCs w:val="21"/>
        </w:rPr>
        <w:t>无效保证金（如要求）从同一单位或者个人的账户转出。</w:t>
      </w:r>
    </w:p>
    <w:p w14:paraId="1EC1F487">
      <w:pPr>
        <w:pStyle w:val="165"/>
        <w:widowControl/>
        <w:snapToGrid w:val="0"/>
        <w:spacing w:beforeLines="0" w:line="360" w:lineRule="auto"/>
        <w:jc w:val="left"/>
        <w:rPr>
          <w:rFonts w:hint="eastAsia" w:ascii="仿宋" w:hAnsi="仿宋" w:eastAsia="仿宋" w:cs="仿宋"/>
          <w:color w:val="auto"/>
          <w:szCs w:val="21"/>
        </w:rPr>
      </w:pPr>
      <w:r>
        <w:rPr>
          <w:rFonts w:hint="eastAsia" w:ascii="仿宋" w:hAnsi="仿宋" w:eastAsia="仿宋" w:cs="仿宋"/>
          <w:color w:val="auto"/>
          <w:szCs w:val="21"/>
        </w:rPr>
        <w:t>▲3.为本采购项目提供整体设计、规范编制或者项目管理、监理、检测等服务的</w:t>
      </w:r>
      <w:r>
        <w:rPr>
          <w:rFonts w:hint="eastAsia" w:ascii="仿宋" w:hAnsi="仿宋" w:eastAsia="仿宋" w:cs="仿宋"/>
          <w:color w:val="auto"/>
          <w:szCs w:val="21"/>
          <w:lang w:val="en-US" w:eastAsia="zh-CN"/>
        </w:rPr>
        <w:t>投标人</w:t>
      </w:r>
      <w:r>
        <w:rPr>
          <w:rFonts w:hint="eastAsia" w:ascii="仿宋" w:hAnsi="仿宋" w:eastAsia="仿宋" w:cs="仿宋"/>
          <w:color w:val="auto"/>
          <w:szCs w:val="21"/>
        </w:rPr>
        <w:t>，不得再参加本次采购活动。</w:t>
      </w:r>
    </w:p>
    <w:p w14:paraId="3B3F4D47">
      <w:pPr>
        <w:pStyle w:val="165"/>
        <w:widowControl/>
        <w:snapToGrid w:val="0"/>
        <w:spacing w:beforeLines="0" w:line="360" w:lineRule="auto"/>
        <w:jc w:val="left"/>
        <w:rPr>
          <w:rFonts w:hint="eastAsia" w:ascii="仿宋" w:hAnsi="仿宋" w:eastAsia="仿宋" w:cs="仿宋"/>
          <w:color w:val="auto"/>
          <w:szCs w:val="21"/>
        </w:rPr>
      </w:pPr>
      <w:r>
        <w:rPr>
          <w:rFonts w:hint="eastAsia" w:ascii="仿宋" w:hAnsi="仿宋" w:eastAsia="仿宋" w:cs="仿宋"/>
          <w:color w:val="auto"/>
          <w:szCs w:val="21"/>
        </w:rPr>
        <w:t>★</w:t>
      </w:r>
      <w:r>
        <w:rPr>
          <w:rFonts w:hint="eastAsia" w:ascii="仿宋" w:hAnsi="仿宋" w:eastAsia="仿宋" w:cs="仿宋"/>
          <w:color w:val="auto"/>
          <w:szCs w:val="21"/>
          <w:lang w:val="en-US" w:eastAsia="zh-CN"/>
        </w:rPr>
        <w:t>4</w:t>
      </w:r>
      <w:r>
        <w:rPr>
          <w:rFonts w:hint="eastAsia" w:ascii="仿宋" w:hAnsi="仿宋" w:eastAsia="仿宋" w:cs="仿宋"/>
          <w:color w:val="auto"/>
          <w:szCs w:val="21"/>
        </w:rPr>
        <w:t>.</w:t>
      </w:r>
      <w:r>
        <w:rPr>
          <w:rFonts w:hint="eastAsia" w:ascii="仿宋" w:hAnsi="仿宋" w:eastAsia="仿宋" w:cs="仿宋"/>
          <w:color w:val="auto"/>
          <w:szCs w:val="21"/>
          <w:lang w:val="en-US" w:eastAsia="zh-CN"/>
        </w:rPr>
        <w:t>投标人</w:t>
      </w:r>
      <w:r>
        <w:rPr>
          <w:rFonts w:hint="eastAsia" w:ascii="仿宋" w:hAnsi="仿宋" w:eastAsia="仿宋" w:cs="仿宋"/>
          <w:color w:val="auto"/>
          <w:szCs w:val="21"/>
        </w:rPr>
        <w:t>应仔细阅读采购文件的所有内容，按照采购文件的要求提交</w:t>
      </w:r>
      <w:r>
        <w:rPr>
          <w:rFonts w:hint="eastAsia" w:ascii="仿宋" w:hAnsi="仿宋" w:eastAsia="仿宋" w:cs="仿宋"/>
          <w:color w:val="auto"/>
          <w:szCs w:val="21"/>
          <w:lang w:val="en-US" w:eastAsia="zh-CN"/>
        </w:rPr>
        <w:t>投标</w:t>
      </w:r>
      <w:r>
        <w:rPr>
          <w:rFonts w:hint="eastAsia" w:ascii="仿宋" w:hAnsi="仿宋" w:eastAsia="仿宋" w:cs="仿宋"/>
          <w:color w:val="auto"/>
          <w:szCs w:val="21"/>
        </w:rPr>
        <w:t>文件，并对所提供的全部资料的真实性承担法律责任。</w:t>
      </w:r>
    </w:p>
    <w:p w14:paraId="4595D4AD">
      <w:pPr>
        <w:pStyle w:val="165"/>
        <w:widowControl/>
        <w:snapToGrid w:val="0"/>
        <w:spacing w:beforeLines="0" w:line="360" w:lineRule="auto"/>
        <w:jc w:val="left"/>
        <w:rPr>
          <w:rFonts w:hint="eastAsia" w:ascii="仿宋" w:hAnsi="仿宋" w:eastAsia="仿宋" w:cs="仿宋"/>
          <w:color w:val="auto"/>
          <w:szCs w:val="21"/>
        </w:rPr>
      </w:pPr>
      <w:r>
        <w:rPr>
          <w:rFonts w:hint="eastAsia" w:ascii="仿宋" w:hAnsi="仿宋" w:eastAsia="仿宋" w:cs="仿宋"/>
          <w:color w:val="auto"/>
          <w:szCs w:val="21"/>
          <w:lang w:val="en-US" w:eastAsia="zh-CN"/>
        </w:rPr>
        <w:t>5</w:t>
      </w:r>
      <w:r>
        <w:rPr>
          <w:rFonts w:hint="eastAsia" w:ascii="仿宋" w:hAnsi="仿宋" w:eastAsia="仿宋" w:cs="仿宋"/>
          <w:color w:val="auto"/>
          <w:szCs w:val="21"/>
        </w:rPr>
        <w:t>.</w:t>
      </w:r>
      <w:r>
        <w:rPr>
          <w:rFonts w:hint="eastAsia" w:ascii="仿宋" w:hAnsi="仿宋" w:eastAsia="仿宋" w:cs="仿宋"/>
          <w:color w:val="auto"/>
          <w:szCs w:val="21"/>
          <w:lang w:val="en-US" w:eastAsia="zh-CN"/>
        </w:rPr>
        <w:t>投标人</w:t>
      </w:r>
      <w:r>
        <w:rPr>
          <w:rFonts w:hint="eastAsia" w:ascii="仿宋" w:hAnsi="仿宋" w:eastAsia="仿宋" w:cs="仿宋"/>
          <w:color w:val="auto"/>
          <w:szCs w:val="21"/>
        </w:rPr>
        <w:t>针对本项目所使用的资格、信誉、荣誉、业绩与企业认证必须为</w:t>
      </w:r>
      <w:r>
        <w:rPr>
          <w:rFonts w:hint="eastAsia" w:ascii="仿宋" w:hAnsi="仿宋" w:eastAsia="仿宋" w:cs="仿宋"/>
          <w:color w:val="auto"/>
          <w:szCs w:val="21"/>
          <w:lang w:val="en-US" w:eastAsia="zh-CN"/>
        </w:rPr>
        <w:t>投标人</w:t>
      </w:r>
      <w:r>
        <w:rPr>
          <w:rFonts w:hint="eastAsia" w:ascii="仿宋" w:hAnsi="仿宋" w:eastAsia="仿宋" w:cs="仿宋"/>
          <w:color w:val="auto"/>
          <w:szCs w:val="21"/>
        </w:rPr>
        <w:t>本单位所拥有，除非</w:t>
      </w:r>
      <w:r>
        <w:rPr>
          <w:rFonts w:hint="eastAsia" w:ascii="仿宋" w:hAnsi="仿宋" w:eastAsia="仿宋" w:cs="仿宋"/>
          <w:color w:val="auto"/>
          <w:szCs w:val="21"/>
          <w:lang w:eastAsia="zh-CN"/>
        </w:rPr>
        <w:t>采购</w:t>
      </w:r>
      <w:r>
        <w:rPr>
          <w:rFonts w:hint="eastAsia" w:ascii="仿宋" w:hAnsi="仿宋" w:eastAsia="仿宋" w:cs="仿宋"/>
          <w:color w:val="auto"/>
          <w:szCs w:val="21"/>
        </w:rPr>
        <w:t>文件有相反的规定。</w:t>
      </w:r>
    </w:p>
    <w:p w14:paraId="389D4576">
      <w:pPr>
        <w:pStyle w:val="165"/>
        <w:widowControl/>
        <w:snapToGrid w:val="0"/>
        <w:spacing w:beforeLines="0" w:line="360" w:lineRule="auto"/>
        <w:jc w:val="left"/>
        <w:rPr>
          <w:rFonts w:hint="eastAsia" w:ascii="仿宋" w:hAnsi="仿宋" w:eastAsia="仿宋" w:cs="仿宋"/>
          <w:color w:val="auto"/>
          <w:szCs w:val="21"/>
          <w:lang w:eastAsia="zh-CN"/>
        </w:rPr>
      </w:pPr>
      <w:r>
        <w:rPr>
          <w:rFonts w:hint="eastAsia" w:ascii="仿宋" w:hAnsi="仿宋" w:eastAsia="仿宋" w:cs="仿宋"/>
          <w:color w:val="auto"/>
          <w:szCs w:val="21"/>
        </w:rPr>
        <w:t>▲</w:t>
      </w:r>
      <w:r>
        <w:rPr>
          <w:rFonts w:hint="eastAsia" w:ascii="仿宋" w:hAnsi="仿宋" w:eastAsia="仿宋" w:cs="仿宋"/>
          <w:color w:val="auto"/>
          <w:szCs w:val="21"/>
          <w:lang w:val="en-US" w:eastAsia="zh-CN"/>
        </w:rPr>
        <w:t>6</w:t>
      </w:r>
      <w:r>
        <w:rPr>
          <w:rFonts w:hint="eastAsia" w:ascii="仿宋" w:hAnsi="仿宋" w:eastAsia="仿宋" w:cs="仿宋"/>
          <w:color w:val="auto"/>
          <w:szCs w:val="21"/>
        </w:rPr>
        <w:t>.</w:t>
      </w:r>
      <w:r>
        <w:rPr>
          <w:rFonts w:hint="eastAsia" w:ascii="仿宋" w:hAnsi="仿宋" w:eastAsia="仿宋" w:cs="仿宋"/>
          <w:color w:val="auto"/>
          <w:szCs w:val="21"/>
          <w:lang w:val="en-US" w:eastAsia="zh-CN"/>
        </w:rPr>
        <w:t>投标人</w:t>
      </w:r>
      <w:r>
        <w:rPr>
          <w:rFonts w:hint="eastAsia" w:ascii="仿宋" w:hAnsi="仿宋" w:eastAsia="仿宋" w:cs="仿宋"/>
          <w:color w:val="auto"/>
          <w:szCs w:val="21"/>
        </w:rPr>
        <w:t>在</w:t>
      </w:r>
      <w:r>
        <w:rPr>
          <w:rFonts w:hint="eastAsia" w:ascii="仿宋" w:hAnsi="仿宋" w:eastAsia="仿宋" w:cs="仿宋"/>
          <w:color w:val="auto"/>
          <w:szCs w:val="21"/>
          <w:lang w:val="en-US" w:eastAsia="zh-CN"/>
        </w:rPr>
        <w:t>采购</w:t>
      </w:r>
      <w:r>
        <w:rPr>
          <w:rFonts w:hint="eastAsia" w:ascii="仿宋" w:hAnsi="仿宋" w:eastAsia="仿宋" w:cs="仿宋"/>
          <w:color w:val="auto"/>
          <w:szCs w:val="21"/>
        </w:rPr>
        <w:t>活动中提供任何虚假材料的，按无效</w:t>
      </w:r>
      <w:r>
        <w:rPr>
          <w:rFonts w:hint="eastAsia" w:ascii="仿宋" w:hAnsi="仿宋" w:eastAsia="仿宋" w:cs="仿宋"/>
          <w:color w:val="auto"/>
          <w:szCs w:val="21"/>
          <w:lang w:val="en-US" w:eastAsia="zh-CN"/>
        </w:rPr>
        <w:t>投标</w:t>
      </w:r>
      <w:r>
        <w:rPr>
          <w:rFonts w:hint="eastAsia" w:ascii="仿宋" w:hAnsi="仿宋" w:eastAsia="仿宋" w:cs="仿宋"/>
          <w:color w:val="auto"/>
          <w:szCs w:val="21"/>
        </w:rPr>
        <w:t>处理，并报监管部门查处；成交后发现的，取消其成交资格。</w:t>
      </w:r>
    </w:p>
    <w:p w14:paraId="3F3E6587">
      <w:pPr>
        <w:rPr>
          <w:rFonts w:hint="eastAsia"/>
        </w:rPr>
      </w:pPr>
    </w:p>
    <w:p w14:paraId="4D79DF67">
      <w:pPr>
        <w:pStyle w:val="3"/>
        <w:spacing w:before="0" w:after="0" w:line="360" w:lineRule="auto"/>
        <w:jc w:val="center"/>
        <w:rPr>
          <w:rFonts w:hint="eastAsia" w:ascii="仿宋" w:hAnsi="仿宋" w:eastAsia="仿宋" w:cs="仿宋"/>
          <w:bCs w:val="0"/>
          <w:color w:val="auto"/>
          <w:sz w:val="28"/>
          <w:szCs w:val="28"/>
          <w:lang w:val="zh-CN"/>
        </w:rPr>
      </w:pPr>
      <w:bookmarkStart w:id="30" w:name="_Toc29931"/>
      <w:bookmarkStart w:id="31" w:name="_Toc27928"/>
      <w:r>
        <w:rPr>
          <w:rFonts w:hint="eastAsia" w:ascii="仿宋" w:hAnsi="仿宋" w:eastAsia="仿宋" w:cs="仿宋"/>
          <w:bCs w:val="0"/>
          <w:color w:val="auto"/>
          <w:sz w:val="28"/>
          <w:szCs w:val="28"/>
          <w:lang w:val="zh-CN"/>
        </w:rPr>
        <w:t>六、定标</w:t>
      </w:r>
      <w:bookmarkEnd w:id="30"/>
      <w:bookmarkEnd w:id="31"/>
    </w:p>
    <w:p w14:paraId="48F54CD2">
      <w:pPr>
        <w:pageBreakBefore w:val="0"/>
        <w:kinsoku/>
        <w:topLinePunct w:val="0"/>
        <w:autoSpaceDE w:val="0"/>
        <w:autoSpaceDN w:val="0"/>
        <w:bidi w:val="0"/>
        <w:adjustRightInd w:val="0"/>
        <w:snapToGrid/>
        <w:spacing w:line="300" w:lineRule="auto"/>
        <w:ind w:firstLine="315" w:firstLineChars="150"/>
        <w:jc w:val="left"/>
        <w:rPr>
          <w:rFonts w:hint="eastAsia" w:ascii="仿宋" w:hAnsi="仿宋" w:eastAsia="仿宋" w:cs="仿宋"/>
          <w:b/>
          <w:color w:val="auto"/>
          <w:szCs w:val="21"/>
          <w:lang w:val="zh-CN"/>
        </w:rPr>
      </w:pPr>
      <w:r>
        <w:rPr>
          <w:rFonts w:hint="eastAsia" w:ascii="仿宋" w:hAnsi="仿宋" w:eastAsia="仿宋" w:cs="仿宋"/>
          <w:b/>
          <w:color w:val="auto"/>
          <w:szCs w:val="21"/>
          <w:lang w:val="zh-CN"/>
        </w:rPr>
        <w:t>（一）确定中标人</w:t>
      </w:r>
    </w:p>
    <w:p w14:paraId="101D158F">
      <w:pPr>
        <w:pStyle w:val="165"/>
        <w:widowControl/>
        <w:snapToGrid w:val="0"/>
        <w:spacing w:beforeLines="0" w:line="360" w:lineRule="auto"/>
        <w:jc w:val="left"/>
        <w:rPr>
          <w:rFonts w:hint="eastAsia" w:ascii="仿宋" w:hAnsi="仿宋" w:eastAsia="仿宋" w:cs="仿宋"/>
          <w:color w:val="auto"/>
          <w:szCs w:val="21"/>
        </w:rPr>
      </w:pPr>
      <w:r>
        <w:rPr>
          <w:rFonts w:hint="eastAsia" w:ascii="仿宋" w:hAnsi="仿宋" w:eastAsia="仿宋" w:cs="仿宋"/>
          <w:color w:val="auto"/>
          <w:szCs w:val="21"/>
        </w:rPr>
        <w:t>1.评标委员会按综合得分由高到低排序推荐</w:t>
      </w:r>
      <w:r>
        <w:rPr>
          <w:rFonts w:hint="eastAsia" w:ascii="仿宋" w:hAnsi="仿宋" w:eastAsia="仿宋" w:cs="仿宋"/>
          <w:color w:val="auto"/>
          <w:szCs w:val="21"/>
          <w:lang w:val="en-US" w:eastAsia="zh-CN"/>
        </w:rPr>
        <w:t>3名</w:t>
      </w:r>
      <w:r>
        <w:rPr>
          <w:rFonts w:hint="eastAsia" w:ascii="仿宋" w:hAnsi="仿宋" w:eastAsia="仿宋" w:cs="仿宋"/>
          <w:color w:val="auto"/>
          <w:szCs w:val="21"/>
        </w:rPr>
        <w:t>中标候选人。采购代理机构在评标结束后2个工作日内将评标报告提交</w:t>
      </w:r>
      <w:r>
        <w:rPr>
          <w:rFonts w:hint="eastAsia" w:ascii="仿宋" w:hAnsi="仿宋" w:eastAsia="仿宋" w:cs="仿宋"/>
          <w:color w:val="auto"/>
          <w:szCs w:val="21"/>
          <w:lang w:eastAsia="zh-CN"/>
        </w:rPr>
        <w:t>采购人</w:t>
      </w:r>
      <w:r>
        <w:rPr>
          <w:rFonts w:hint="eastAsia" w:ascii="仿宋" w:hAnsi="仿宋" w:eastAsia="仿宋" w:cs="仿宋"/>
          <w:color w:val="auto"/>
          <w:szCs w:val="21"/>
        </w:rPr>
        <w:t>依法确认，</w:t>
      </w:r>
      <w:r>
        <w:rPr>
          <w:rFonts w:hint="eastAsia" w:ascii="仿宋" w:hAnsi="仿宋" w:eastAsia="仿宋" w:cs="仿宋"/>
          <w:color w:val="auto"/>
          <w:szCs w:val="21"/>
          <w:lang w:eastAsia="zh-CN"/>
        </w:rPr>
        <w:t>采购人</w:t>
      </w:r>
      <w:r>
        <w:rPr>
          <w:rFonts w:hint="eastAsia" w:ascii="仿宋" w:hAnsi="仿宋" w:eastAsia="仿宋" w:cs="仿宋"/>
          <w:color w:val="auto"/>
          <w:szCs w:val="21"/>
        </w:rPr>
        <w:t>应在收到评标报告后5个工作日内对评标结果进行确认。取得</w:t>
      </w:r>
      <w:r>
        <w:rPr>
          <w:rFonts w:hint="eastAsia" w:ascii="仿宋" w:hAnsi="仿宋" w:eastAsia="仿宋" w:cs="仿宋"/>
          <w:color w:val="auto"/>
          <w:szCs w:val="21"/>
          <w:lang w:eastAsia="zh-CN"/>
        </w:rPr>
        <w:t>采购人</w:t>
      </w:r>
      <w:r>
        <w:rPr>
          <w:rFonts w:hint="eastAsia" w:ascii="仿宋" w:hAnsi="仿宋" w:eastAsia="仿宋" w:cs="仿宋"/>
          <w:color w:val="auto"/>
          <w:szCs w:val="21"/>
        </w:rPr>
        <w:t>书面确认意见后，采购代理机构在招标公告发布媒体上对采购结果进行公告，期限为公告发布之日起至第2个工作日止。同时以书面形式向中标人发出《中标通知书》。</w:t>
      </w:r>
    </w:p>
    <w:p w14:paraId="5E5B6027">
      <w:pPr>
        <w:pStyle w:val="165"/>
        <w:widowControl/>
        <w:snapToGrid w:val="0"/>
        <w:spacing w:beforeLines="0" w:line="360" w:lineRule="auto"/>
        <w:jc w:val="left"/>
        <w:rPr>
          <w:rFonts w:hint="eastAsia" w:ascii="仿宋" w:hAnsi="仿宋" w:eastAsia="仿宋" w:cs="仿宋"/>
          <w:color w:val="auto"/>
          <w:szCs w:val="21"/>
        </w:rPr>
      </w:pPr>
      <w:r>
        <w:rPr>
          <w:rFonts w:hint="eastAsia" w:ascii="仿宋" w:hAnsi="仿宋" w:eastAsia="仿宋" w:cs="仿宋"/>
          <w:color w:val="auto"/>
          <w:szCs w:val="21"/>
        </w:rPr>
        <w:t>2.排名第一的中标候选人出现下列情形之一的，采购人将按照评标报告推荐的中标候选人名单排序，确定下一中标候选人为中标人。如其余中标候选人与采购项目预期（价格、质量等）差距较大，对采购人明显不利的，采购人将重新组织采购。</w:t>
      </w:r>
    </w:p>
    <w:p w14:paraId="1B43F6AA">
      <w:pPr>
        <w:pStyle w:val="165"/>
        <w:widowControl/>
        <w:snapToGrid w:val="0"/>
        <w:spacing w:beforeLines="0" w:line="360" w:lineRule="auto"/>
        <w:jc w:val="left"/>
        <w:rPr>
          <w:rFonts w:hint="eastAsia" w:ascii="仿宋" w:hAnsi="仿宋" w:eastAsia="仿宋" w:cs="仿宋"/>
          <w:color w:val="auto"/>
          <w:szCs w:val="21"/>
        </w:rPr>
      </w:pPr>
      <w:r>
        <w:rPr>
          <w:rFonts w:hint="eastAsia" w:ascii="仿宋" w:hAnsi="仿宋" w:eastAsia="仿宋" w:cs="仿宋"/>
          <w:color w:val="auto"/>
          <w:szCs w:val="21"/>
        </w:rPr>
        <w:t>（1）</w:t>
      </w:r>
      <w:r>
        <w:rPr>
          <w:rFonts w:hint="eastAsia" w:ascii="仿宋" w:hAnsi="仿宋" w:eastAsia="仿宋" w:cs="仿宋"/>
          <w:color w:val="auto"/>
          <w:szCs w:val="21"/>
          <w:lang w:eastAsia="zh-CN"/>
        </w:rPr>
        <w:t>质疑处理结果导致中标结果改变的</w:t>
      </w:r>
      <w:r>
        <w:rPr>
          <w:rFonts w:hint="eastAsia" w:ascii="仿宋" w:hAnsi="仿宋" w:eastAsia="仿宋" w:cs="仿宋"/>
          <w:color w:val="auto"/>
          <w:szCs w:val="21"/>
        </w:rPr>
        <w:t>；</w:t>
      </w:r>
    </w:p>
    <w:p w14:paraId="712712FC">
      <w:pPr>
        <w:pStyle w:val="165"/>
        <w:widowControl/>
        <w:snapToGrid w:val="0"/>
        <w:spacing w:beforeLines="0" w:line="360" w:lineRule="auto"/>
        <w:jc w:val="left"/>
        <w:rPr>
          <w:rFonts w:hint="eastAsia" w:ascii="仿宋" w:hAnsi="仿宋" w:eastAsia="仿宋" w:cs="仿宋"/>
          <w:color w:val="auto"/>
          <w:szCs w:val="21"/>
        </w:rPr>
      </w:pPr>
      <w:r>
        <w:rPr>
          <w:rFonts w:hint="eastAsia" w:ascii="仿宋" w:hAnsi="仿宋" w:eastAsia="仿宋" w:cs="仿宋"/>
          <w:color w:val="auto"/>
          <w:szCs w:val="21"/>
        </w:rPr>
        <w:t>（2）投诉</w:t>
      </w:r>
      <w:r>
        <w:rPr>
          <w:rFonts w:hint="eastAsia" w:ascii="仿宋" w:hAnsi="仿宋" w:eastAsia="仿宋" w:cs="仿宋"/>
          <w:color w:val="auto"/>
          <w:szCs w:val="21"/>
          <w:lang w:eastAsia="zh-CN"/>
        </w:rPr>
        <w:t>处理结果导致中标结果改变</w:t>
      </w:r>
      <w:r>
        <w:rPr>
          <w:rFonts w:hint="eastAsia" w:ascii="仿宋" w:hAnsi="仿宋" w:eastAsia="仿宋" w:cs="仿宋"/>
          <w:color w:val="auto"/>
          <w:szCs w:val="21"/>
        </w:rPr>
        <w:t>的；</w:t>
      </w:r>
    </w:p>
    <w:p w14:paraId="4296B4B7">
      <w:pPr>
        <w:pStyle w:val="165"/>
        <w:widowControl/>
        <w:snapToGrid w:val="0"/>
        <w:spacing w:beforeLines="0" w:line="360" w:lineRule="auto"/>
        <w:jc w:val="left"/>
        <w:rPr>
          <w:rFonts w:hint="eastAsia" w:ascii="仿宋" w:hAnsi="仿宋" w:eastAsia="仿宋" w:cs="仿宋"/>
          <w:color w:val="auto"/>
          <w:szCs w:val="21"/>
        </w:rPr>
      </w:pPr>
      <w:r>
        <w:rPr>
          <w:rFonts w:hint="eastAsia" w:ascii="仿宋" w:hAnsi="仿宋" w:eastAsia="仿宋" w:cs="仿宋"/>
          <w:color w:val="auto"/>
          <w:szCs w:val="21"/>
        </w:rPr>
        <w:t>（3）中标人拒绝与采购人签订合同或无法按照投标文件承诺的条件与采购人签订合同的。</w:t>
      </w:r>
    </w:p>
    <w:p w14:paraId="49F304A2">
      <w:pPr>
        <w:pageBreakBefore w:val="0"/>
        <w:kinsoku/>
        <w:topLinePunct w:val="0"/>
        <w:autoSpaceDE w:val="0"/>
        <w:autoSpaceDN w:val="0"/>
        <w:bidi w:val="0"/>
        <w:adjustRightInd w:val="0"/>
        <w:snapToGrid/>
        <w:spacing w:line="300" w:lineRule="auto"/>
        <w:ind w:firstLine="315" w:firstLineChars="150"/>
        <w:jc w:val="left"/>
        <w:rPr>
          <w:rFonts w:hint="eastAsia" w:ascii="仿宋" w:hAnsi="仿宋" w:eastAsia="仿宋" w:cs="仿宋"/>
          <w:b/>
          <w:color w:val="auto"/>
          <w:szCs w:val="21"/>
        </w:rPr>
      </w:pPr>
      <w:r>
        <w:rPr>
          <w:rFonts w:hint="eastAsia" w:ascii="仿宋" w:hAnsi="仿宋" w:eastAsia="仿宋" w:cs="仿宋"/>
          <w:b/>
          <w:color w:val="auto"/>
          <w:szCs w:val="21"/>
          <w:lang w:val="zh-CN"/>
        </w:rPr>
        <w:t>（二）质疑或投诉</w:t>
      </w:r>
    </w:p>
    <w:p w14:paraId="14520F16">
      <w:pPr>
        <w:pStyle w:val="165"/>
        <w:widowControl/>
        <w:snapToGrid w:val="0"/>
        <w:spacing w:beforeLines="0" w:line="360" w:lineRule="auto"/>
        <w:jc w:val="left"/>
        <w:rPr>
          <w:rFonts w:hint="eastAsia" w:ascii="仿宋" w:hAnsi="仿宋" w:eastAsia="仿宋" w:cs="仿宋"/>
          <w:bCs/>
          <w:color w:val="auto"/>
          <w:kern w:val="0"/>
          <w:szCs w:val="21"/>
        </w:rPr>
      </w:pPr>
      <w:r>
        <w:rPr>
          <w:rFonts w:hint="eastAsia" w:ascii="仿宋" w:hAnsi="仿宋" w:eastAsia="仿宋" w:cs="仿宋"/>
          <w:bCs/>
          <w:color w:val="auto"/>
          <w:kern w:val="0"/>
          <w:szCs w:val="21"/>
        </w:rPr>
        <w:t>1.投标人认为采购文件、采购过程、采购结果使自己的权益受到损害的，可以在知道或者应知其权益受到损害之日起7个工作日内，根据《政府采购质疑和投诉办法》（财政部令第94号）规定以书面形式向采购人或采购代理机构提出质疑，</w:t>
      </w:r>
      <w:r>
        <w:rPr>
          <w:rFonts w:hint="eastAsia" w:ascii="仿宋" w:hAnsi="仿宋" w:eastAsia="仿宋" w:cs="仿宋"/>
          <w:color w:val="auto"/>
          <w:szCs w:val="21"/>
        </w:rPr>
        <w:t>针对同一采购程序环节的质疑，投标人应在法定期限内一次性提出（即针对同一采购程序环节的质疑采购人或采购代理机构仅受理一次），逾期提出或针对同一采购程序环节多次提出的质疑将不予受理、答复。投标人对采购人和采购代理机构的质疑答复不满意或者采购人和采购代理机构未在规定时间内作出答复的，可以在答复期满后十五个工作日内向同级政府采购监管部门投诉。</w:t>
      </w:r>
    </w:p>
    <w:p w14:paraId="23B58AA1">
      <w:pPr>
        <w:pStyle w:val="165"/>
        <w:widowControl/>
        <w:snapToGrid w:val="0"/>
        <w:spacing w:beforeLines="0" w:line="360" w:lineRule="auto"/>
        <w:jc w:val="left"/>
        <w:rPr>
          <w:rFonts w:hint="eastAsia" w:ascii="仿宋" w:hAnsi="仿宋" w:eastAsia="仿宋" w:cs="仿宋"/>
          <w:color w:val="auto"/>
          <w:szCs w:val="21"/>
        </w:rPr>
      </w:pPr>
      <w:r>
        <w:rPr>
          <w:rFonts w:hint="eastAsia" w:ascii="仿宋" w:hAnsi="仿宋" w:eastAsia="仿宋" w:cs="仿宋"/>
          <w:color w:val="auto"/>
          <w:szCs w:val="21"/>
        </w:rPr>
        <w:t>投标人应知其权益受到损害之日，是指：</w:t>
      </w:r>
    </w:p>
    <w:p w14:paraId="3D4BAAB9">
      <w:pPr>
        <w:pStyle w:val="165"/>
        <w:widowControl/>
        <w:snapToGrid w:val="0"/>
        <w:spacing w:beforeLines="0" w:line="360" w:lineRule="auto"/>
        <w:jc w:val="left"/>
        <w:rPr>
          <w:rFonts w:hint="eastAsia" w:ascii="仿宋" w:hAnsi="仿宋" w:eastAsia="仿宋" w:cs="仿宋"/>
          <w:color w:val="auto"/>
          <w:szCs w:val="21"/>
        </w:rPr>
      </w:pPr>
      <w:r>
        <w:rPr>
          <w:rFonts w:hint="eastAsia" w:ascii="仿宋" w:hAnsi="仿宋" w:eastAsia="仿宋" w:cs="仿宋"/>
          <w:color w:val="auto"/>
          <w:szCs w:val="21"/>
        </w:rPr>
        <w:t>（1）对可以质疑的采购文件提出质疑的，为收到采购文件之日或者采购文件公告期限届满之日；</w:t>
      </w:r>
    </w:p>
    <w:p w14:paraId="71EA3492">
      <w:pPr>
        <w:pStyle w:val="165"/>
        <w:widowControl/>
        <w:snapToGrid w:val="0"/>
        <w:spacing w:beforeLines="0" w:line="360" w:lineRule="auto"/>
        <w:jc w:val="left"/>
        <w:rPr>
          <w:rFonts w:hint="eastAsia" w:ascii="仿宋" w:hAnsi="仿宋" w:eastAsia="仿宋" w:cs="仿宋"/>
          <w:color w:val="auto"/>
          <w:szCs w:val="21"/>
        </w:rPr>
      </w:pPr>
      <w:r>
        <w:rPr>
          <w:rFonts w:hint="eastAsia" w:ascii="仿宋" w:hAnsi="仿宋" w:eastAsia="仿宋" w:cs="仿宋"/>
          <w:color w:val="auto"/>
          <w:szCs w:val="21"/>
        </w:rPr>
        <w:t>（2）对采购过程提出质疑的，为各采购程序环节结束之日；</w:t>
      </w:r>
    </w:p>
    <w:p w14:paraId="056BDF28">
      <w:pPr>
        <w:pStyle w:val="165"/>
        <w:widowControl/>
        <w:snapToGrid w:val="0"/>
        <w:spacing w:beforeLines="0" w:line="360" w:lineRule="auto"/>
        <w:jc w:val="left"/>
        <w:rPr>
          <w:rFonts w:hint="eastAsia" w:ascii="仿宋" w:hAnsi="仿宋" w:eastAsia="仿宋" w:cs="仿宋"/>
          <w:color w:val="auto"/>
          <w:szCs w:val="21"/>
        </w:rPr>
      </w:pPr>
      <w:r>
        <w:rPr>
          <w:rFonts w:hint="eastAsia" w:ascii="仿宋" w:hAnsi="仿宋" w:eastAsia="仿宋" w:cs="仿宋"/>
          <w:color w:val="auto"/>
          <w:szCs w:val="21"/>
        </w:rPr>
        <w:t>（3）对采购结果提出质疑的，为中标结果公告期限届满之日。</w:t>
      </w:r>
    </w:p>
    <w:p w14:paraId="361BEE54">
      <w:pPr>
        <w:pStyle w:val="165"/>
        <w:widowControl/>
        <w:snapToGrid w:val="0"/>
        <w:spacing w:beforeLines="0" w:line="360" w:lineRule="auto"/>
        <w:jc w:val="left"/>
        <w:rPr>
          <w:rFonts w:hint="eastAsia" w:ascii="仿宋" w:hAnsi="仿宋" w:eastAsia="仿宋" w:cs="仿宋"/>
          <w:bCs/>
          <w:color w:val="auto"/>
          <w:szCs w:val="21"/>
        </w:rPr>
      </w:pPr>
      <w:r>
        <w:rPr>
          <w:rFonts w:hint="eastAsia" w:ascii="仿宋" w:hAnsi="仿宋" w:eastAsia="仿宋" w:cs="仿宋"/>
          <w:bCs/>
          <w:color w:val="auto"/>
          <w:szCs w:val="21"/>
        </w:rPr>
        <w:t>2.质疑、投诉应当采用书面</w:t>
      </w:r>
      <w:r>
        <w:rPr>
          <w:rFonts w:hint="eastAsia" w:ascii="仿宋" w:hAnsi="仿宋" w:eastAsia="仿宋" w:cs="仿宋"/>
          <w:color w:val="auto"/>
          <w:szCs w:val="21"/>
        </w:rPr>
        <w:t>形式</w:t>
      </w:r>
      <w:r>
        <w:rPr>
          <w:rFonts w:hint="eastAsia" w:ascii="仿宋" w:hAnsi="仿宋" w:eastAsia="仿宋" w:cs="仿宋"/>
          <w:bCs/>
          <w:color w:val="auto"/>
          <w:szCs w:val="21"/>
        </w:rPr>
        <w:t>，质疑函、投诉书格式以财政部制定的范本为准（浙江政府采购网“下载专区”可下载），质疑函、投诉书均应明确阐述采购文件、采购过程或采购结果中使自己权益受到损害的实质性内容，提供相关事实、依据和证据及其来源或线索，便于有关单位调查、答复和处理。</w:t>
      </w:r>
    </w:p>
    <w:p w14:paraId="7C9AF530">
      <w:pPr>
        <w:pStyle w:val="3"/>
        <w:spacing w:before="0" w:after="0" w:line="360" w:lineRule="auto"/>
        <w:jc w:val="center"/>
        <w:rPr>
          <w:rFonts w:hint="eastAsia" w:ascii="仿宋" w:hAnsi="仿宋" w:eastAsia="仿宋" w:cs="仿宋"/>
          <w:bCs w:val="0"/>
          <w:color w:val="auto"/>
          <w:sz w:val="28"/>
          <w:szCs w:val="28"/>
          <w:lang w:val="zh-CN"/>
        </w:rPr>
      </w:pPr>
      <w:bookmarkStart w:id="32" w:name="_Toc20844"/>
      <w:bookmarkStart w:id="33" w:name="_Toc32288"/>
      <w:r>
        <w:rPr>
          <w:rFonts w:hint="eastAsia" w:ascii="仿宋" w:hAnsi="仿宋" w:eastAsia="仿宋" w:cs="仿宋"/>
          <w:bCs w:val="0"/>
          <w:color w:val="auto"/>
          <w:sz w:val="28"/>
          <w:szCs w:val="28"/>
          <w:lang w:val="zh-CN"/>
        </w:rPr>
        <w:t>七、合同授予</w:t>
      </w:r>
      <w:bookmarkEnd w:id="32"/>
      <w:bookmarkEnd w:id="33"/>
    </w:p>
    <w:p w14:paraId="4759A8C5">
      <w:pPr>
        <w:pStyle w:val="165"/>
        <w:widowControl/>
        <w:snapToGrid w:val="0"/>
        <w:spacing w:beforeLines="0" w:line="360" w:lineRule="auto"/>
        <w:jc w:val="left"/>
        <w:rPr>
          <w:rFonts w:hint="eastAsia" w:ascii="仿宋" w:hAnsi="仿宋" w:eastAsia="仿宋" w:cs="仿宋"/>
          <w:color w:val="auto"/>
          <w:szCs w:val="21"/>
        </w:rPr>
      </w:pPr>
      <w:r>
        <w:rPr>
          <w:rFonts w:hint="eastAsia" w:ascii="仿宋" w:hAnsi="仿宋" w:eastAsia="仿宋" w:cs="仿宋"/>
          <w:color w:val="auto"/>
          <w:szCs w:val="21"/>
        </w:rPr>
        <w:t>1.采购人与中标人应当在《中标通知书》发出之日起三十日内签订政府采购合同。同时，采购代理机构对合同内容进行审查，如发现与采购结果和投标承诺内容不一致的，应予以纠正。</w:t>
      </w:r>
    </w:p>
    <w:p w14:paraId="7EEA5539">
      <w:pPr>
        <w:pStyle w:val="165"/>
        <w:widowControl/>
        <w:snapToGrid w:val="0"/>
        <w:spacing w:beforeLines="0" w:line="360" w:lineRule="auto"/>
        <w:jc w:val="left"/>
        <w:rPr>
          <w:rFonts w:hint="eastAsia" w:ascii="仿宋" w:hAnsi="仿宋" w:eastAsia="仿宋" w:cs="仿宋"/>
          <w:color w:val="auto"/>
          <w:szCs w:val="21"/>
        </w:rPr>
      </w:pPr>
      <w:r>
        <w:rPr>
          <w:rFonts w:hint="eastAsia" w:ascii="仿宋" w:hAnsi="仿宋" w:eastAsia="仿宋" w:cs="仿宋"/>
          <w:color w:val="auto"/>
          <w:szCs w:val="21"/>
        </w:rPr>
        <w:t>2.合同履行过程中，采购人需追加与合同标的相同的货物、工程或者服务的，在不改变合同其他条款的前提下，可以与中标人协商签订补充合同，但所有补充合同的采购金额不得超过原合同采购金额的10%。</w:t>
      </w:r>
    </w:p>
    <w:p w14:paraId="1E9B3C5F">
      <w:pPr>
        <w:pStyle w:val="3"/>
        <w:bidi w:val="0"/>
        <w:jc w:val="center"/>
        <w:outlineLvl w:val="1"/>
        <w:rPr>
          <w:rFonts w:hint="eastAsia" w:ascii="仿宋" w:hAnsi="仿宋" w:eastAsia="仿宋" w:cs="仿宋"/>
          <w:color w:val="auto"/>
          <w:sz w:val="28"/>
          <w:szCs w:val="28"/>
        </w:rPr>
      </w:pPr>
      <w:bookmarkStart w:id="34" w:name="_Toc14334"/>
      <w:bookmarkStart w:id="35" w:name="_Toc32478"/>
      <w:bookmarkStart w:id="36" w:name="_Toc442"/>
      <w:r>
        <w:rPr>
          <w:rFonts w:hint="eastAsia" w:ascii="仿宋" w:hAnsi="仿宋" w:eastAsia="仿宋" w:cs="仿宋"/>
          <w:bCs w:val="0"/>
          <w:color w:val="auto"/>
          <w:sz w:val="28"/>
          <w:szCs w:val="28"/>
          <w:lang w:val="zh-CN" w:eastAsia="zh-CN"/>
        </w:rPr>
        <w:t>八</w:t>
      </w:r>
      <w:r>
        <w:rPr>
          <w:rFonts w:hint="eastAsia" w:ascii="仿宋" w:hAnsi="仿宋" w:eastAsia="仿宋" w:cs="仿宋"/>
          <w:bCs w:val="0"/>
          <w:color w:val="auto"/>
          <w:sz w:val="28"/>
          <w:szCs w:val="28"/>
          <w:lang w:val="zh-CN"/>
        </w:rPr>
        <w:t>、政府采购扶持政策说明</w:t>
      </w:r>
      <w:bookmarkEnd w:id="34"/>
      <w:bookmarkEnd w:id="35"/>
    </w:p>
    <w:p w14:paraId="1C2E8A5D">
      <w:pPr>
        <w:pStyle w:val="165"/>
        <w:widowControl/>
        <w:snapToGrid w:val="0"/>
        <w:spacing w:beforeLines="0" w:line="360" w:lineRule="auto"/>
        <w:jc w:val="left"/>
        <w:rPr>
          <w:rFonts w:hint="eastAsia" w:ascii="仿宋" w:hAnsi="仿宋" w:eastAsia="仿宋" w:cs="仿宋"/>
          <w:color w:val="auto"/>
          <w:szCs w:val="21"/>
        </w:rPr>
      </w:pPr>
      <w:r>
        <w:rPr>
          <w:rFonts w:hint="eastAsia" w:ascii="仿宋" w:hAnsi="仿宋" w:eastAsia="仿宋" w:cs="仿宋"/>
          <w:color w:val="auto"/>
          <w:szCs w:val="21"/>
        </w:rPr>
        <w:t>1.根据《政府采购促进中小企业发展管理办法》(财库【2020】46号)、《财政部、司法部关于政府采购支持监狱企业发展有关问题的通知》（财库【2014】68号)、《关于促进残疾人就业政府采购政策的通知》（财库【2017】141号）及《财政部关于进一步加大政府采购支持中小企业力度的通知》（财库【2022】 19 号)规定，欢迎符合规定的</w:t>
      </w:r>
      <w:r>
        <w:rPr>
          <w:rFonts w:hint="eastAsia" w:ascii="仿宋" w:hAnsi="仿宋" w:eastAsia="仿宋" w:cs="仿宋"/>
          <w:color w:val="auto"/>
          <w:szCs w:val="21"/>
          <w:lang w:eastAsia="zh-CN"/>
        </w:rPr>
        <w:t>投标人</w:t>
      </w:r>
      <w:r>
        <w:rPr>
          <w:rFonts w:hint="eastAsia" w:ascii="仿宋" w:hAnsi="仿宋" w:eastAsia="仿宋" w:cs="仿宋"/>
          <w:color w:val="auto"/>
          <w:szCs w:val="21"/>
        </w:rPr>
        <w:t>参与本项目采购活动。具体措施/要求如下:</w:t>
      </w:r>
    </w:p>
    <w:p w14:paraId="3FE7835B">
      <w:pPr>
        <w:pStyle w:val="165"/>
        <w:widowControl/>
        <w:snapToGrid w:val="0"/>
        <w:spacing w:beforeLines="0" w:line="360" w:lineRule="auto"/>
        <w:jc w:val="left"/>
        <w:rPr>
          <w:rFonts w:hint="eastAsia" w:ascii="仿宋" w:hAnsi="仿宋" w:eastAsia="仿宋" w:cs="仿宋"/>
          <w:color w:val="auto"/>
          <w:szCs w:val="21"/>
        </w:rPr>
      </w:pPr>
      <w:r>
        <w:rPr>
          <w:rFonts w:hint="eastAsia" w:ascii="仿宋" w:hAnsi="仿宋" w:eastAsia="仿宋" w:cs="仿宋"/>
          <w:color w:val="auto"/>
          <w:szCs w:val="21"/>
        </w:rPr>
        <w:t>（1）针对预留份额专门面向中小企业采购的项目。货物类项目要求供应商针对本项目提供的产品全部由符合政策要求的中小企业生产且使用该中小企业商号或者注册商标。服务类项目要求服务由中小企业承接，即提供服务的人员为中小企业依照《中华人民共和国</w:t>
      </w:r>
      <w:r>
        <w:rPr>
          <w:rFonts w:hint="eastAsia" w:ascii="仿宋" w:hAnsi="仿宋" w:eastAsia="仿宋" w:cs="仿宋"/>
          <w:color w:val="auto"/>
          <w:szCs w:val="21"/>
          <w:lang w:eastAsia="zh-CN"/>
        </w:rPr>
        <w:t>劳</w:t>
      </w:r>
      <w:r>
        <w:rPr>
          <w:rFonts w:hint="eastAsia" w:ascii="仿宋" w:hAnsi="仿宋" w:eastAsia="仿宋" w:cs="仿宋"/>
          <w:color w:val="auto"/>
          <w:szCs w:val="21"/>
        </w:rPr>
        <w:t>动合同法》订立劳动合同的从业人员。工程采购项目要求工程由中小企业承建，即工程施工单位为中小企业。满足前述要求的供应商应当按采购文件要求准确、完整填写并提交《中小企业声明函》</w:t>
      </w:r>
      <w:r>
        <w:rPr>
          <w:rFonts w:hint="eastAsia" w:ascii="仿宋" w:hAnsi="仿宋" w:eastAsia="仿宋" w:cs="仿宋"/>
          <w:color w:val="auto"/>
          <w:szCs w:val="21"/>
          <w:lang w:eastAsia="zh-CN"/>
        </w:rPr>
        <w:t>【</w:t>
      </w:r>
      <w:r>
        <w:rPr>
          <w:rFonts w:hint="eastAsia" w:ascii="仿宋" w:hAnsi="仿宋" w:eastAsia="仿宋" w:cs="仿宋"/>
          <w:color w:val="auto"/>
          <w:szCs w:val="21"/>
        </w:rPr>
        <w:t>格式见附件</w:t>
      </w:r>
      <w:r>
        <w:rPr>
          <w:rFonts w:hint="eastAsia" w:ascii="仿宋" w:hAnsi="仿宋" w:eastAsia="仿宋" w:cs="仿宋"/>
          <w:color w:val="auto"/>
          <w:szCs w:val="21"/>
          <w:lang w:eastAsia="zh-CN"/>
        </w:rPr>
        <w:t>一】</w:t>
      </w:r>
      <w:r>
        <w:rPr>
          <w:rFonts w:hint="eastAsia" w:ascii="仿宋" w:hAnsi="仿宋" w:eastAsia="仿宋" w:cs="仿宋"/>
          <w:color w:val="auto"/>
          <w:szCs w:val="21"/>
        </w:rPr>
        <w:t>，经</w:t>
      </w:r>
      <w:r>
        <w:rPr>
          <w:rFonts w:hint="eastAsia" w:ascii="仿宋" w:hAnsi="仿宋" w:eastAsia="仿宋" w:cs="仿宋"/>
          <w:color w:val="auto"/>
          <w:szCs w:val="21"/>
          <w:lang w:eastAsia="zh-CN"/>
        </w:rPr>
        <w:t>评标委员会</w:t>
      </w:r>
      <w:r>
        <w:rPr>
          <w:rFonts w:hint="eastAsia" w:ascii="仿宋" w:hAnsi="仿宋" w:eastAsia="仿宋" w:cs="仿宋"/>
          <w:color w:val="auto"/>
          <w:szCs w:val="21"/>
        </w:rPr>
        <w:t>认定不符合第1条要求，或者填与内容错误、缺漏项的，资格审查不予通过。</w:t>
      </w:r>
    </w:p>
    <w:p w14:paraId="6CD4F07F">
      <w:pPr>
        <w:pStyle w:val="165"/>
        <w:widowControl/>
        <w:snapToGrid w:val="0"/>
        <w:spacing w:beforeLines="0" w:line="360" w:lineRule="auto"/>
        <w:jc w:val="left"/>
        <w:rPr>
          <w:rFonts w:hint="eastAsia" w:ascii="仿宋" w:hAnsi="仿宋" w:eastAsia="仿宋" w:cs="仿宋"/>
          <w:color w:val="auto"/>
          <w:szCs w:val="21"/>
        </w:rPr>
      </w:pPr>
      <w:r>
        <w:rPr>
          <w:rFonts w:hint="eastAsia" w:ascii="仿宋" w:hAnsi="仿宋" w:eastAsia="仿宋" w:cs="仿宋"/>
          <w:color w:val="auto"/>
          <w:szCs w:val="21"/>
        </w:rPr>
        <w:t>（2）针对非预留份额专门面向中小企业采购的项目:</w:t>
      </w:r>
    </w:p>
    <w:p w14:paraId="71B6B9D6">
      <w:pPr>
        <w:pStyle w:val="165"/>
        <w:widowControl/>
        <w:snapToGrid w:val="0"/>
        <w:spacing w:beforeLines="0" w:line="360" w:lineRule="auto"/>
        <w:jc w:val="left"/>
        <w:rPr>
          <w:rFonts w:hint="eastAsia" w:ascii="仿宋" w:hAnsi="仿宋" w:eastAsia="仿宋" w:cs="仿宋"/>
          <w:color w:val="auto"/>
          <w:szCs w:val="21"/>
        </w:rPr>
      </w:pPr>
      <w:r>
        <w:rPr>
          <w:rFonts w:hint="eastAsia" w:ascii="仿宋" w:hAnsi="仿宋" w:eastAsia="仿宋" w:cs="仿宋"/>
          <w:color w:val="auto"/>
          <w:szCs w:val="21"/>
        </w:rPr>
        <w:t>① 货物类项目供应商针对本项目提供的产品全部由符合政策要求的小微企业生产且使用该小微企业商号或者注册商标，或服务类项目中的服务由小微企业承接，且供应商按采购文件要求准确、完整填写并提交《中小企业声明函》(格式见附件）的，经</w:t>
      </w:r>
      <w:r>
        <w:rPr>
          <w:rFonts w:hint="eastAsia" w:ascii="仿宋" w:hAnsi="仿宋" w:eastAsia="仿宋" w:cs="仿宋"/>
          <w:color w:val="auto"/>
          <w:szCs w:val="21"/>
          <w:lang w:eastAsia="zh-CN"/>
        </w:rPr>
        <w:t>评标委员会</w:t>
      </w:r>
      <w:r>
        <w:rPr>
          <w:rFonts w:hint="eastAsia" w:ascii="仿宋" w:hAnsi="仿宋" w:eastAsia="仿宋" w:cs="仿宋"/>
          <w:color w:val="auto"/>
          <w:szCs w:val="21"/>
        </w:rPr>
        <w:t>认定后，其报价给予10%的扣除(工程类项目由小微企业承接的，其报价给予5%的扣除）。用扣除后的价格参加报价评审。</w:t>
      </w:r>
    </w:p>
    <w:p w14:paraId="760CA308">
      <w:pPr>
        <w:pStyle w:val="165"/>
        <w:widowControl/>
        <w:snapToGrid w:val="0"/>
        <w:spacing w:beforeLines="0" w:line="360" w:lineRule="auto"/>
        <w:jc w:val="left"/>
        <w:rPr>
          <w:rFonts w:hint="eastAsia" w:ascii="仿宋" w:hAnsi="仿宋" w:eastAsia="仿宋" w:cs="仿宋"/>
          <w:color w:val="auto"/>
          <w:szCs w:val="21"/>
        </w:rPr>
      </w:pPr>
      <w:r>
        <w:rPr>
          <w:rFonts w:hint="eastAsia" w:ascii="仿宋" w:hAnsi="仿宋" w:eastAsia="仿宋" w:cs="仿宋"/>
          <w:color w:val="auto"/>
          <w:szCs w:val="21"/>
        </w:rPr>
        <w:t>② 接受大中型企业与小微企业组成联合体或者允许大中型企业向一家或者多家小微企业分包的采购项目，对于联合协议或者分包意向协议约定小微企业的合同份额占到合同总金额30%以上，且供应商（联合体）按采购文件要求准确、完整填写并提交《中小企业声明函》（格式见附件）的，经</w:t>
      </w:r>
      <w:r>
        <w:rPr>
          <w:rFonts w:hint="eastAsia" w:ascii="仿宋" w:hAnsi="仿宋" w:eastAsia="仿宋" w:cs="仿宋"/>
          <w:color w:val="auto"/>
          <w:szCs w:val="21"/>
          <w:lang w:eastAsia="zh-CN"/>
        </w:rPr>
        <w:t>评标委员会</w:t>
      </w:r>
      <w:r>
        <w:rPr>
          <w:rFonts w:hint="eastAsia" w:ascii="仿宋" w:hAnsi="仿宋" w:eastAsia="仿宋" w:cs="仿宋"/>
          <w:color w:val="auto"/>
          <w:szCs w:val="21"/>
        </w:rPr>
        <w:t>认定后，对联合体或者大中型企业的报价给予6%(工程项目为 2%）的扣除。用扣除后的价格参加报价评审。</w:t>
      </w:r>
    </w:p>
    <w:p w14:paraId="066881FB">
      <w:pPr>
        <w:pStyle w:val="165"/>
        <w:widowControl/>
        <w:snapToGrid w:val="0"/>
        <w:spacing w:beforeLines="0" w:line="360" w:lineRule="auto"/>
        <w:jc w:val="left"/>
        <w:rPr>
          <w:rFonts w:hint="eastAsia" w:ascii="仿宋" w:hAnsi="仿宋" w:eastAsia="仿宋" w:cs="仿宋"/>
          <w:color w:val="auto"/>
          <w:szCs w:val="21"/>
        </w:rPr>
      </w:pPr>
      <w:r>
        <w:rPr>
          <w:rFonts w:hint="eastAsia" w:ascii="仿宋" w:hAnsi="仿宋" w:eastAsia="仿宋" w:cs="仿宋"/>
          <w:color w:val="auto"/>
          <w:szCs w:val="21"/>
        </w:rPr>
        <w:t>2.依据《政府采购促进中小企业发展管理办法》（财库【2020】46 号)规定享受中小企业扶持政策而中标（成交）获得政府采购合同的小微企业，不得将合同分包给大中型企业。否则按提供虚假材料谋取中标（成交）处理。</w:t>
      </w:r>
    </w:p>
    <w:p w14:paraId="27D46F31">
      <w:pPr>
        <w:pStyle w:val="165"/>
        <w:widowControl/>
        <w:snapToGrid w:val="0"/>
        <w:spacing w:beforeLines="0" w:line="360" w:lineRule="auto"/>
        <w:jc w:val="left"/>
        <w:rPr>
          <w:rFonts w:hint="eastAsia" w:ascii="仿宋" w:hAnsi="仿宋" w:eastAsia="仿宋" w:cs="仿宋"/>
          <w:color w:val="auto"/>
          <w:szCs w:val="21"/>
          <w:lang w:val="en-US" w:eastAsia="zh-CN"/>
        </w:rPr>
      </w:pPr>
      <w:r>
        <w:rPr>
          <w:rFonts w:hint="eastAsia" w:ascii="仿宋" w:hAnsi="仿宋" w:eastAsia="仿宋" w:cs="仿宋"/>
          <w:color w:val="auto"/>
          <w:szCs w:val="21"/>
        </w:rPr>
        <w:t>3.本采购文件所称中小企业，是指在中华人民共和国境内依法设立，依据国务院批准的中小企业划分标准确定的中型企业、小型企业和微型企业，但与大企业的负责人为同一人，或者与大企业存在直接控股、管理关系的除外。符合小微企业划分标准的个体工商户，</w:t>
      </w:r>
      <w:r>
        <w:rPr>
          <w:rFonts w:hint="eastAsia" w:ascii="仿宋" w:hAnsi="仿宋" w:eastAsia="仿宋" w:cs="仿宋"/>
          <w:color w:val="auto"/>
          <w:szCs w:val="21"/>
          <w:lang w:eastAsia="zh-CN"/>
        </w:rPr>
        <w:t>以及</w:t>
      </w:r>
      <w:r>
        <w:rPr>
          <w:rFonts w:hint="eastAsia" w:ascii="仿宋" w:hAnsi="仿宋" w:eastAsia="仿宋" w:cs="仿宋"/>
          <w:color w:val="auto"/>
          <w:szCs w:val="21"/>
        </w:rPr>
        <w:t>监狱企业</w:t>
      </w:r>
      <w:r>
        <w:rPr>
          <w:rFonts w:hint="eastAsia" w:ascii="仿宋" w:hAnsi="仿宋" w:eastAsia="仿宋" w:cs="仿宋"/>
          <w:color w:val="auto"/>
          <w:szCs w:val="21"/>
          <w:lang w:eastAsia="zh-CN"/>
        </w:rPr>
        <w:t>和残疾人福利性单位，</w:t>
      </w:r>
      <w:r>
        <w:rPr>
          <w:rFonts w:hint="eastAsia" w:ascii="仿宋" w:hAnsi="仿宋" w:eastAsia="仿宋" w:cs="仿宋"/>
          <w:color w:val="auto"/>
          <w:szCs w:val="21"/>
        </w:rPr>
        <w:t>视同小型、微型企业</w:t>
      </w:r>
    </w:p>
    <w:p w14:paraId="6F2CE628">
      <w:pPr>
        <w:pStyle w:val="165"/>
        <w:widowControl/>
        <w:snapToGrid w:val="0"/>
        <w:spacing w:beforeLines="0" w:line="360" w:lineRule="auto"/>
        <w:jc w:val="left"/>
        <w:rPr>
          <w:rFonts w:hint="eastAsia" w:ascii="仿宋" w:hAnsi="仿宋" w:eastAsia="仿宋" w:cs="仿宋"/>
          <w:color w:val="auto"/>
          <w:szCs w:val="21"/>
        </w:rPr>
      </w:pPr>
      <w:r>
        <w:rPr>
          <w:rFonts w:hint="eastAsia" w:ascii="仿宋" w:hAnsi="仿宋" w:eastAsia="仿宋" w:cs="仿宋"/>
          <w:color w:val="auto"/>
          <w:szCs w:val="21"/>
          <w:lang w:val="en-US" w:eastAsia="zh-CN"/>
        </w:rPr>
        <w:t>4</w:t>
      </w:r>
      <w:r>
        <w:rPr>
          <w:rFonts w:hint="eastAsia" w:ascii="仿宋" w:hAnsi="仿宋" w:eastAsia="仿宋" w:cs="仿宋"/>
          <w:color w:val="auto"/>
          <w:szCs w:val="21"/>
          <w:lang w:eastAsia="zh-CN"/>
        </w:rPr>
        <w:t>.</w:t>
      </w:r>
      <w:r>
        <w:rPr>
          <w:rFonts w:hint="eastAsia" w:ascii="仿宋" w:hAnsi="仿宋" w:eastAsia="仿宋" w:cs="仿宋"/>
          <w:color w:val="auto"/>
          <w:szCs w:val="21"/>
        </w:rPr>
        <w:t>监狱企业应提供以下证明材料：监狱企业参加政府采购活动时，应当提供由省级以上监狱管理局、戒毒管理局(含新疆生产建设兵团)出具的属于监狱企业的证明文件（原件或复印件加盖公章）。</w:t>
      </w:r>
    </w:p>
    <w:p w14:paraId="6D493248">
      <w:pPr>
        <w:pStyle w:val="165"/>
        <w:widowControl/>
        <w:snapToGrid w:val="0"/>
        <w:spacing w:beforeLines="0" w:line="360" w:lineRule="auto"/>
        <w:jc w:val="left"/>
        <w:rPr>
          <w:rFonts w:hint="eastAsia" w:ascii="仿宋" w:hAnsi="仿宋" w:eastAsia="仿宋" w:cs="仿宋"/>
          <w:color w:val="auto"/>
          <w:szCs w:val="21"/>
        </w:rPr>
      </w:pPr>
      <w:r>
        <w:rPr>
          <w:rFonts w:hint="eastAsia" w:ascii="仿宋" w:hAnsi="仿宋" w:eastAsia="仿宋" w:cs="仿宋"/>
          <w:color w:val="auto"/>
          <w:szCs w:val="21"/>
          <w:lang w:val="en-US" w:eastAsia="zh-CN"/>
        </w:rPr>
        <w:t>5</w:t>
      </w:r>
      <w:r>
        <w:rPr>
          <w:rFonts w:hint="eastAsia" w:ascii="仿宋" w:hAnsi="仿宋" w:eastAsia="仿宋" w:cs="仿宋"/>
          <w:color w:val="auto"/>
          <w:szCs w:val="21"/>
          <w:lang w:eastAsia="zh-CN"/>
        </w:rPr>
        <w:t>.</w:t>
      </w:r>
      <w:r>
        <w:rPr>
          <w:rFonts w:hint="eastAsia" w:ascii="仿宋" w:hAnsi="仿宋" w:eastAsia="仿宋" w:cs="仿宋"/>
          <w:color w:val="auto"/>
          <w:szCs w:val="21"/>
        </w:rPr>
        <w:t>残疾人福利性单位应提供以下证明材料：残疾人福利性单位声明函【格式见附件二】</w:t>
      </w:r>
      <w:r>
        <w:rPr>
          <w:rFonts w:hint="eastAsia" w:ascii="仿宋" w:hAnsi="仿宋" w:eastAsia="仿宋" w:cs="仿宋"/>
          <w:color w:val="auto"/>
          <w:szCs w:val="21"/>
          <w:lang w:eastAsia="zh-CN"/>
        </w:rPr>
        <w:t>。</w:t>
      </w:r>
    </w:p>
    <w:p w14:paraId="1A794435">
      <w:pPr>
        <w:rPr>
          <w:rFonts w:hint="eastAsia" w:ascii="仿宋" w:hAnsi="仿宋" w:eastAsia="仿宋" w:cs="仿宋"/>
          <w:color w:val="auto"/>
          <w:sz w:val="24"/>
          <w:szCs w:val="24"/>
        </w:rPr>
      </w:pPr>
      <w:r>
        <w:rPr>
          <w:rFonts w:hint="eastAsia" w:ascii="仿宋" w:hAnsi="仿宋" w:eastAsia="仿宋" w:cs="仿宋"/>
          <w:color w:val="auto"/>
          <w:sz w:val="24"/>
          <w:szCs w:val="24"/>
        </w:rPr>
        <w:br w:type="page"/>
      </w:r>
    </w:p>
    <w:p w14:paraId="6CD1592E">
      <w:pPr>
        <w:spacing w:after="100" w:line="440" w:lineRule="atLeast"/>
        <w:jc w:val="both"/>
        <w:outlineLvl w:val="9"/>
        <w:rPr>
          <w:rFonts w:hint="eastAsia" w:ascii="仿宋" w:hAnsi="仿宋" w:eastAsia="仿宋" w:cs="仿宋"/>
          <w:b/>
          <w:bCs/>
          <w:color w:val="auto"/>
          <w:sz w:val="24"/>
          <w:szCs w:val="24"/>
        </w:rPr>
      </w:pPr>
      <w:r>
        <w:rPr>
          <w:rFonts w:hint="eastAsia" w:ascii="仿宋" w:hAnsi="仿宋" w:eastAsia="仿宋" w:cs="仿宋"/>
          <w:color w:val="auto"/>
          <w:sz w:val="24"/>
          <w:szCs w:val="24"/>
        </w:rPr>
        <w:t>附件一：</w:t>
      </w:r>
    </w:p>
    <w:p w14:paraId="522922CB">
      <w:pPr>
        <w:spacing w:after="100" w:line="360" w:lineRule="auto"/>
        <w:ind w:firstLine="420" w:firstLineChars="200"/>
        <w:jc w:val="center"/>
        <w:rPr>
          <w:rFonts w:hint="eastAsia" w:ascii="仿宋" w:hAnsi="仿宋" w:eastAsia="仿宋" w:cs="仿宋"/>
          <w:b/>
          <w:bCs/>
          <w:color w:val="auto"/>
          <w:szCs w:val="21"/>
        </w:rPr>
      </w:pPr>
      <w:r>
        <w:rPr>
          <w:rFonts w:hint="eastAsia" w:ascii="仿宋" w:hAnsi="仿宋" w:eastAsia="仿宋" w:cs="仿宋"/>
          <w:b/>
          <w:bCs/>
          <w:color w:val="auto"/>
          <w:szCs w:val="21"/>
        </w:rPr>
        <w:t>中小企业声明函</w:t>
      </w:r>
      <w:r>
        <w:rPr>
          <w:rFonts w:hint="eastAsia" w:ascii="仿宋" w:hAnsi="仿宋" w:eastAsia="仿宋" w:cs="仿宋"/>
          <w:b/>
          <w:bCs/>
          <w:color w:val="auto"/>
          <w:sz w:val="24"/>
        </w:rPr>
        <w:t>（</w:t>
      </w:r>
      <w:r>
        <w:rPr>
          <w:rFonts w:hint="eastAsia" w:ascii="仿宋" w:hAnsi="仿宋" w:eastAsia="仿宋" w:cs="仿宋"/>
          <w:b/>
          <w:bCs/>
          <w:color w:val="auto"/>
          <w:szCs w:val="21"/>
        </w:rPr>
        <w:t>服务）</w:t>
      </w:r>
    </w:p>
    <w:p w14:paraId="6C999175">
      <w:pPr>
        <w:pStyle w:val="165"/>
        <w:widowControl/>
        <w:snapToGrid w:val="0"/>
        <w:spacing w:beforeLines="0" w:line="360" w:lineRule="auto"/>
        <w:jc w:val="left"/>
        <w:rPr>
          <w:rFonts w:hint="eastAsia" w:ascii="仿宋" w:hAnsi="仿宋" w:eastAsia="仿宋" w:cs="仿宋"/>
          <w:color w:val="auto"/>
          <w:szCs w:val="21"/>
        </w:rPr>
      </w:pPr>
      <w:r>
        <w:rPr>
          <w:rFonts w:hint="eastAsia" w:ascii="仿宋" w:hAnsi="仿宋" w:eastAsia="仿宋" w:cs="仿宋"/>
          <w:color w:val="auto"/>
          <w:szCs w:val="21"/>
        </w:rPr>
        <w:t>本公司（联合体）郑重声明，根据《政府采购促进中小企业发展管理办法》（财库〔2020）46 号）的规定，本公司（联合体）参加</w:t>
      </w:r>
      <w:r>
        <w:rPr>
          <w:rFonts w:hint="eastAsia" w:ascii="仿宋" w:hAnsi="仿宋" w:eastAsia="仿宋" w:cs="仿宋"/>
          <w:color w:val="auto"/>
          <w:szCs w:val="21"/>
          <w:u w:val="single"/>
        </w:rPr>
        <w:t>（单位名称）</w:t>
      </w:r>
      <w:r>
        <w:rPr>
          <w:rFonts w:hint="eastAsia" w:ascii="仿宋" w:hAnsi="仿宋" w:eastAsia="仿宋" w:cs="仿宋"/>
          <w:color w:val="auto"/>
          <w:szCs w:val="21"/>
        </w:rPr>
        <w:t>的</w:t>
      </w:r>
      <w:r>
        <w:rPr>
          <w:rFonts w:hint="eastAsia" w:ascii="仿宋" w:hAnsi="仿宋" w:eastAsia="仿宋" w:cs="仿宋"/>
          <w:color w:val="auto"/>
          <w:szCs w:val="21"/>
          <w:u w:val="single"/>
        </w:rPr>
        <w:t>（项目名称）</w:t>
      </w:r>
      <w:r>
        <w:rPr>
          <w:rFonts w:hint="eastAsia" w:ascii="仿宋" w:hAnsi="仿宋" w:eastAsia="仿宋" w:cs="仿宋"/>
          <w:color w:val="auto"/>
          <w:szCs w:val="21"/>
        </w:rPr>
        <w:t>采购活动，服务全部由符合政策要求的中小企业承接。相关企业（含联合体中的中小企业、签订分包意向协议的中小企业）的具体情况如下∶</w:t>
      </w:r>
    </w:p>
    <w:p w14:paraId="6F45133B">
      <w:pPr>
        <w:pStyle w:val="165"/>
        <w:widowControl/>
        <w:snapToGrid w:val="0"/>
        <w:spacing w:beforeLines="0" w:line="360" w:lineRule="auto"/>
        <w:jc w:val="left"/>
        <w:rPr>
          <w:rFonts w:hint="eastAsia" w:ascii="仿宋" w:hAnsi="仿宋" w:eastAsia="仿宋" w:cs="仿宋"/>
          <w:color w:val="auto"/>
          <w:szCs w:val="21"/>
        </w:rPr>
      </w:pPr>
      <w:r>
        <w:rPr>
          <w:rFonts w:hint="eastAsia" w:ascii="仿宋" w:hAnsi="仿宋" w:eastAsia="仿宋" w:cs="仿宋"/>
          <w:color w:val="auto"/>
          <w:szCs w:val="21"/>
        </w:rPr>
        <w:t>1</w:t>
      </w:r>
      <w:r>
        <w:rPr>
          <w:rFonts w:hint="eastAsia" w:ascii="仿宋" w:hAnsi="仿宋" w:eastAsia="仿宋" w:cs="仿宋"/>
          <w:color w:val="auto"/>
          <w:szCs w:val="21"/>
          <w:u w:val="single"/>
        </w:rPr>
        <w:t>.</w:t>
      </w:r>
      <w:r>
        <w:rPr>
          <w:rFonts w:hint="eastAsia" w:ascii="仿宋" w:hAnsi="仿宋" w:eastAsia="仿宋" w:cs="仿宋"/>
          <w:b/>
          <w:bCs/>
          <w:color w:val="auto"/>
          <w:szCs w:val="21"/>
          <w:u w:val="single"/>
          <w:lang w:eastAsia="zh-CN"/>
        </w:rPr>
        <w:t>常山港城区内河道堤岸及河面清洁服务项目</w:t>
      </w:r>
      <w:r>
        <w:rPr>
          <w:rFonts w:hint="eastAsia" w:ascii="仿宋" w:hAnsi="仿宋" w:eastAsia="仿宋" w:cs="仿宋"/>
          <w:color w:val="auto"/>
          <w:szCs w:val="21"/>
          <w:highlight w:val="none"/>
          <w:u w:val="single"/>
        </w:rPr>
        <w:t>（标的名称）</w:t>
      </w:r>
      <w:r>
        <w:rPr>
          <w:rFonts w:hint="eastAsia" w:ascii="仿宋" w:hAnsi="仿宋" w:eastAsia="仿宋" w:cs="仿宋"/>
          <w:color w:val="auto"/>
          <w:szCs w:val="21"/>
          <w:highlight w:val="none"/>
        </w:rPr>
        <w:t>，属于</w:t>
      </w:r>
      <w:r>
        <w:rPr>
          <w:rFonts w:hint="eastAsia" w:ascii="仿宋" w:hAnsi="仿宋" w:eastAsia="仿宋" w:cs="仿宋"/>
          <w:b/>
          <w:bCs/>
          <w:color w:val="auto"/>
          <w:sz w:val="21"/>
          <w:szCs w:val="21"/>
          <w:highlight w:val="none"/>
          <w:u w:val="single"/>
          <w:lang w:eastAsia="zh-CN"/>
        </w:rPr>
        <w:t>其他未列明行业</w:t>
      </w:r>
      <w:r>
        <w:rPr>
          <w:rFonts w:hint="eastAsia" w:ascii="仿宋" w:hAnsi="仿宋" w:eastAsia="仿宋" w:cs="仿宋"/>
          <w:color w:val="auto"/>
          <w:szCs w:val="21"/>
          <w:highlight w:val="none"/>
          <w:u w:val="single"/>
        </w:rPr>
        <w:t>（</w:t>
      </w:r>
      <w:r>
        <w:rPr>
          <w:rFonts w:hint="eastAsia" w:ascii="仿宋" w:hAnsi="仿宋" w:eastAsia="仿宋" w:cs="仿宋"/>
          <w:color w:val="auto"/>
          <w:szCs w:val="21"/>
          <w:u w:val="single"/>
        </w:rPr>
        <w:t>采购文件中明确的所属行业）</w:t>
      </w:r>
      <w:r>
        <w:rPr>
          <w:rFonts w:hint="eastAsia" w:ascii="仿宋" w:hAnsi="仿宋" w:eastAsia="仿宋" w:cs="仿宋"/>
          <w:color w:val="auto"/>
          <w:szCs w:val="21"/>
          <w:u w:val="none"/>
          <w:lang w:eastAsia="zh-CN"/>
        </w:rPr>
        <w:t>；</w:t>
      </w:r>
      <w:r>
        <w:rPr>
          <w:rFonts w:hint="eastAsia" w:ascii="仿宋" w:hAnsi="仿宋" w:eastAsia="仿宋" w:cs="仿宋"/>
          <w:color w:val="auto"/>
          <w:szCs w:val="21"/>
          <w:u w:val="none"/>
        </w:rPr>
        <w:t>承接</w:t>
      </w:r>
      <w:r>
        <w:rPr>
          <w:rFonts w:hint="eastAsia" w:ascii="仿宋" w:hAnsi="仿宋" w:eastAsia="仿宋" w:cs="仿宋"/>
          <w:color w:val="auto"/>
          <w:szCs w:val="21"/>
        </w:rPr>
        <w:t>企业为</w:t>
      </w:r>
      <w:r>
        <w:rPr>
          <w:rFonts w:hint="eastAsia" w:ascii="仿宋" w:hAnsi="仿宋" w:eastAsia="仿宋" w:cs="仿宋"/>
          <w:color w:val="auto"/>
          <w:szCs w:val="21"/>
          <w:u w:val="single"/>
          <w:lang w:val="en-US" w:eastAsia="zh-CN"/>
        </w:rPr>
        <w:t xml:space="preserve">  </w:t>
      </w:r>
      <w:r>
        <w:rPr>
          <w:rFonts w:hint="eastAsia" w:ascii="仿宋" w:hAnsi="仿宋" w:eastAsia="仿宋" w:cs="仿宋"/>
          <w:color w:val="auto"/>
          <w:szCs w:val="21"/>
          <w:u w:val="single"/>
        </w:rPr>
        <w:t>（企业名称）</w:t>
      </w:r>
      <w:r>
        <w:rPr>
          <w:rFonts w:hint="eastAsia" w:ascii="仿宋" w:hAnsi="仿宋" w:eastAsia="仿宋" w:cs="仿宋"/>
          <w:color w:val="auto"/>
          <w:szCs w:val="21"/>
        </w:rPr>
        <w:t>，从业人员____人，营业收入为____万元，资产总额为____万元，属于</w:t>
      </w:r>
      <w:r>
        <w:rPr>
          <w:rFonts w:hint="eastAsia" w:ascii="仿宋" w:hAnsi="仿宋" w:eastAsia="仿宋" w:cs="仿宋"/>
          <w:color w:val="auto"/>
          <w:szCs w:val="21"/>
          <w:u w:val="single"/>
        </w:rPr>
        <w:t>（中型企业、小型企业、微型企业）</w:t>
      </w:r>
      <w:r>
        <w:rPr>
          <w:rFonts w:hint="eastAsia" w:ascii="仿宋" w:hAnsi="仿宋" w:eastAsia="仿宋" w:cs="仿宋"/>
          <w:color w:val="auto"/>
          <w:szCs w:val="21"/>
          <w:u w:val="single"/>
          <w:lang w:eastAsia="zh-CN"/>
        </w:rPr>
        <w:t>；</w:t>
      </w:r>
    </w:p>
    <w:p w14:paraId="0CA272B0">
      <w:pPr>
        <w:pStyle w:val="165"/>
        <w:widowControl/>
        <w:snapToGrid w:val="0"/>
        <w:spacing w:beforeLines="0" w:line="360" w:lineRule="auto"/>
        <w:jc w:val="left"/>
        <w:rPr>
          <w:rFonts w:hint="eastAsia" w:ascii="仿宋" w:hAnsi="仿宋" w:eastAsia="仿宋" w:cs="仿宋"/>
          <w:color w:val="auto"/>
          <w:szCs w:val="21"/>
        </w:rPr>
      </w:pPr>
      <w:r>
        <w:rPr>
          <w:rFonts w:hint="eastAsia" w:ascii="仿宋" w:hAnsi="仿宋" w:eastAsia="仿宋" w:cs="仿宋"/>
          <w:color w:val="auto"/>
          <w:szCs w:val="21"/>
        </w:rPr>
        <w:t>2.</w:t>
      </w:r>
      <w:r>
        <w:rPr>
          <w:rFonts w:hint="eastAsia" w:ascii="仿宋" w:hAnsi="仿宋" w:eastAsia="仿宋" w:cs="仿宋"/>
          <w:color w:val="auto"/>
          <w:szCs w:val="21"/>
          <w:u w:val="single"/>
        </w:rPr>
        <w:t>（标的名称）</w:t>
      </w:r>
      <w:r>
        <w:rPr>
          <w:rFonts w:hint="eastAsia" w:ascii="仿宋" w:hAnsi="仿宋" w:eastAsia="仿宋" w:cs="仿宋"/>
          <w:color w:val="auto"/>
          <w:szCs w:val="21"/>
        </w:rPr>
        <w:t>，属于</w:t>
      </w:r>
      <w:r>
        <w:rPr>
          <w:rFonts w:hint="eastAsia" w:ascii="仿宋" w:hAnsi="仿宋" w:eastAsia="仿宋" w:cs="仿宋"/>
          <w:color w:val="auto"/>
          <w:szCs w:val="21"/>
          <w:u w:val="single"/>
        </w:rPr>
        <w:t>（采购文件中明确的所属行业）</w:t>
      </w:r>
      <w:r>
        <w:rPr>
          <w:rFonts w:hint="eastAsia" w:ascii="仿宋" w:hAnsi="仿宋" w:eastAsia="仿宋" w:cs="仿宋"/>
          <w:color w:val="auto"/>
          <w:szCs w:val="21"/>
          <w:u w:val="single"/>
          <w:lang w:eastAsia="zh-CN"/>
        </w:rPr>
        <w:t>；</w:t>
      </w:r>
      <w:r>
        <w:rPr>
          <w:rFonts w:hint="eastAsia" w:ascii="仿宋" w:hAnsi="仿宋" w:eastAsia="仿宋" w:cs="仿宋"/>
          <w:color w:val="auto"/>
          <w:szCs w:val="21"/>
        </w:rPr>
        <w:t>承</w:t>
      </w:r>
      <w:r>
        <w:rPr>
          <w:rFonts w:hint="eastAsia" w:ascii="仿宋" w:hAnsi="仿宋" w:eastAsia="仿宋" w:cs="仿宋"/>
          <w:color w:val="auto"/>
          <w:szCs w:val="21"/>
          <w:lang w:eastAsia="zh-CN"/>
        </w:rPr>
        <w:t>接</w:t>
      </w:r>
      <w:r>
        <w:rPr>
          <w:rFonts w:hint="eastAsia" w:ascii="仿宋" w:hAnsi="仿宋" w:eastAsia="仿宋" w:cs="仿宋"/>
          <w:color w:val="auto"/>
          <w:szCs w:val="21"/>
        </w:rPr>
        <w:t>企业为</w:t>
      </w:r>
      <w:r>
        <w:rPr>
          <w:rFonts w:hint="eastAsia" w:ascii="仿宋" w:hAnsi="仿宋" w:eastAsia="仿宋" w:cs="仿宋"/>
          <w:color w:val="auto"/>
          <w:szCs w:val="21"/>
          <w:u w:val="single"/>
        </w:rPr>
        <w:t>（企业名称）</w:t>
      </w:r>
      <w:r>
        <w:rPr>
          <w:rFonts w:hint="eastAsia" w:ascii="仿宋" w:hAnsi="仿宋" w:eastAsia="仿宋" w:cs="仿宋"/>
          <w:color w:val="auto"/>
          <w:szCs w:val="21"/>
        </w:rPr>
        <w:t>，从业人员___人，营业收入为____万元，资产总额为___万元</w:t>
      </w:r>
      <w:r>
        <w:rPr>
          <w:rStyle w:val="60"/>
          <w:rFonts w:hint="eastAsia" w:ascii="仿宋" w:hAnsi="仿宋" w:eastAsia="仿宋" w:cs="仿宋"/>
          <w:color w:val="auto"/>
        </w:rPr>
        <w:footnoteReference w:id="0"/>
      </w:r>
      <w:r>
        <w:rPr>
          <w:rFonts w:hint="eastAsia" w:ascii="仿宋" w:hAnsi="仿宋" w:eastAsia="仿宋" w:cs="仿宋"/>
          <w:color w:val="auto"/>
          <w:szCs w:val="21"/>
        </w:rPr>
        <w:t>，属于</w:t>
      </w:r>
      <w:r>
        <w:rPr>
          <w:rFonts w:hint="eastAsia" w:ascii="仿宋" w:hAnsi="仿宋" w:eastAsia="仿宋" w:cs="仿宋"/>
          <w:color w:val="auto"/>
          <w:szCs w:val="21"/>
          <w:u w:val="single"/>
        </w:rPr>
        <w:t>（中型企业、小型企业、微型企业）</w:t>
      </w:r>
      <w:r>
        <w:rPr>
          <w:rFonts w:hint="eastAsia" w:ascii="仿宋" w:hAnsi="仿宋" w:eastAsia="仿宋" w:cs="仿宋"/>
          <w:color w:val="auto"/>
          <w:szCs w:val="21"/>
          <w:u w:val="single"/>
          <w:lang w:eastAsia="zh-CN"/>
        </w:rPr>
        <w:t>；</w:t>
      </w:r>
    </w:p>
    <w:p w14:paraId="65089F84">
      <w:pPr>
        <w:pStyle w:val="165"/>
        <w:widowControl/>
        <w:snapToGrid w:val="0"/>
        <w:spacing w:beforeLines="0" w:line="360" w:lineRule="auto"/>
        <w:jc w:val="left"/>
        <w:rPr>
          <w:rFonts w:hint="eastAsia" w:ascii="仿宋" w:hAnsi="仿宋" w:eastAsia="仿宋" w:cs="仿宋"/>
          <w:color w:val="auto"/>
          <w:szCs w:val="21"/>
        </w:rPr>
      </w:pPr>
    </w:p>
    <w:p w14:paraId="2933AF41">
      <w:pPr>
        <w:pStyle w:val="165"/>
        <w:widowControl/>
        <w:snapToGrid w:val="0"/>
        <w:spacing w:beforeLines="0" w:line="360" w:lineRule="auto"/>
        <w:jc w:val="left"/>
        <w:rPr>
          <w:rFonts w:hint="eastAsia" w:ascii="仿宋" w:hAnsi="仿宋" w:eastAsia="仿宋" w:cs="仿宋"/>
          <w:color w:val="auto"/>
          <w:szCs w:val="21"/>
        </w:rPr>
      </w:pPr>
      <w:r>
        <w:rPr>
          <w:rFonts w:hint="eastAsia" w:ascii="仿宋" w:hAnsi="仿宋" w:eastAsia="仿宋" w:cs="仿宋"/>
          <w:color w:val="auto"/>
          <w:szCs w:val="21"/>
        </w:rPr>
        <w:t>以上企业，不属于大企业的分支机构，不存在控股股东为大企业的情形，也不存在与大企业的负责人为同一人的情形。</w:t>
      </w:r>
    </w:p>
    <w:p w14:paraId="44C230F7">
      <w:pPr>
        <w:pStyle w:val="165"/>
        <w:widowControl/>
        <w:snapToGrid w:val="0"/>
        <w:spacing w:beforeLines="0" w:line="360" w:lineRule="auto"/>
        <w:jc w:val="left"/>
        <w:rPr>
          <w:rFonts w:hint="eastAsia" w:ascii="仿宋" w:hAnsi="仿宋" w:eastAsia="仿宋" w:cs="仿宋"/>
          <w:color w:val="auto"/>
          <w:szCs w:val="21"/>
        </w:rPr>
      </w:pPr>
      <w:r>
        <w:rPr>
          <w:rFonts w:hint="eastAsia" w:ascii="仿宋" w:hAnsi="仿宋" w:eastAsia="仿宋" w:cs="仿宋"/>
          <w:color w:val="auto"/>
          <w:szCs w:val="21"/>
        </w:rPr>
        <w:t>本企业对上述声明内容的真实性负责。如有虚假，将依法承担相应责任。</w:t>
      </w:r>
    </w:p>
    <w:p w14:paraId="130E8080">
      <w:pPr>
        <w:spacing w:line="360" w:lineRule="auto"/>
        <w:ind w:firstLine="420" w:firstLineChars="200"/>
        <w:jc w:val="right"/>
        <w:rPr>
          <w:rFonts w:hint="eastAsia" w:ascii="仿宋" w:hAnsi="仿宋" w:eastAsia="仿宋" w:cs="仿宋"/>
          <w:color w:val="auto"/>
          <w:szCs w:val="21"/>
        </w:rPr>
      </w:pPr>
    </w:p>
    <w:p w14:paraId="30F97864">
      <w:pPr>
        <w:spacing w:line="360" w:lineRule="auto"/>
        <w:ind w:firstLine="420" w:firstLineChars="200"/>
        <w:jc w:val="right"/>
        <w:rPr>
          <w:rFonts w:hint="eastAsia" w:ascii="仿宋" w:hAnsi="仿宋" w:eastAsia="仿宋" w:cs="仿宋"/>
          <w:color w:val="auto"/>
          <w:szCs w:val="21"/>
        </w:rPr>
      </w:pPr>
    </w:p>
    <w:p w14:paraId="1911F99A">
      <w:pPr>
        <w:spacing w:line="360" w:lineRule="auto"/>
        <w:ind w:firstLine="420" w:firstLineChars="200"/>
        <w:jc w:val="right"/>
        <w:rPr>
          <w:rFonts w:hint="eastAsia" w:ascii="仿宋" w:hAnsi="仿宋" w:eastAsia="仿宋" w:cs="仿宋"/>
          <w:color w:val="auto"/>
          <w:szCs w:val="21"/>
        </w:rPr>
      </w:pPr>
    </w:p>
    <w:p w14:paraId="49CC3D84">
      <w:pPr>
        <w:spacing w:line="360" w:lineRule="auto"/>
        <w:ind w:firstLine="420" w:firstLineChars="200"/>
        <w:jc w:val="right"/>
        <w:rPr>
          <w:rFonts w:hint="eastAsia" w:ascii="仿宋" w:hAnsi="仿宋" w:eastAsia="仿宋" w:cs="仿宋"/>
          <w:color w:val="auto"/>
          <w:szCs w:val="21"/>
        </w:rPr>
      </w:pPr>
    </w:p>
    <w:p w14:paraId="401A5354">
      <w:pPr>
        <w:spacing w:line="360" w:lineRule="auto"/>
        <w:ind w:firstLine="420" w:firstLineChars="200"/>
        <w:jc w:val="center"/>
        <w:rPr>
          <w:rFonts w:hint="eastAsia" w:ascii="仿宋" w:hAnsi="仿宋" w:eastAsia="仿宋" w:cs="仿宋"/>
          <w:color w:val="auto"/>
          <w:szCs w:val="21"/>
        </w:rPr>
      </w:pPr>
      <w:r>
        <w:rPr>
          <w:rFonts w:hint="eastAsia" w:ascii="仿宋" w:hAnsi="仿宋" w:eastAsia="仿宋" w:cs="仿宋"/>
          <w:color w:val="auto"/>
          <w:szCs w:val="21"/>
        </w:rPr>
        <w:t xml:space="preserve">                             投标人（盖章）∶</w:t>
      </w:r>
    </w:p>
    <w:p w14:paraId="600EE2A3">
      <w:pPr>
        <w:spacing w:line="360" w:lineRule="auto"/>
        <w:ind w:firstLine="4410" w:firstLineChars="2100"/>
        <w:rPr>
          <w:rFonts w:hint="eastAsia" w:ascii="仿宋" w:hAnsi="仿宋" w:eastAsia="仿宋" w:cs="仿宋"/>
          <w:color w:val="auto"/>
          <w:szCs w:val="21"/>
        </w:rPr>
      </w:pPr>
    </w:p>
    <w:p w14:paraId="6D3F2DB6">
      <w:pPr>
        <w:spacing w:line="360" w:lineRule="auto"/>
        <w:ind w:firstLine="5460" w:firstLineChars="2600"/>
        <w:rPr>
          <w:rFonts w:hint="eastAsia" w:ascii="仿宋" w:hAnsi="仿宋" w:eastAsia="仿宋" w:cs="仿宋"/>
          <w:color w:val="auto"/>
          <w:szCs w:val="21"/>
        </w:rPr>
      </w:pPr>
      <w:r>
        <w:rPr>
          <w:rFonts w:hint="eastAsia" w:ascii="仿宋" w:hAnsi="仿宋" w:eastAsia="仿宋" w:cs="仿宋"/>
          <w:color w:val="auto"/>
          <w:szCs w:val="21"/>
        </w:rPr>
        <w:t>日期∶</w:t>
      </w:r>
    </w:p>
    <w:p w14:paraId="5728ABC5">
      <w:pPr>
        <w:spacing w:line="360" w:lineRule="auto"/>
        <w:rPr>
          <w:rFonts w:hint="eastAsia" w:ascii="仿宋" w:hAnsi="仿宋" w:eastAsia="仿宋" w:cs="仿宋"/>
          <w:color w:val="auto"/>
          <w:szCs w:val="21"/>
        </w:rPr>
      </w:pPr>
    </w:p>
    <w:p w14:paraId="36A715C0">
      <w:pPr>
        <w:pStyle w:val="37"/>
        <w:rPr>
          <w:rFonts w:hint="default"/>
          <w:color w:val="auto"/>
        </w:rPr>
      </w:pPr>
      <w:r>
        <w:rPr>
          <w:rFonts w:hint="eastAsia" w:ascii="仿宋" w:hAnsi="仿宋" w:eastAsia="仿宋" w:cs="仿宋"/>
          <w:color w:val="auto"/>
          <w:kern w:val="2"/>
          <w:sz w:val="21"/>
          <w:szCs w:val="21"/>
          <w:lang w:val="en-US" w:eastAsia="zh-CN" w:bidi="ar-SA"/>
        </w:rPr>
        <w:t>从业人员、营业收入、资产总额填报上一年度数据，无上一年度数据的新成立企业可不填报</w:t>
      </w:r>
      <w:r>
        <w:rPr>
          <w:rFonts w:ascii="宋体" w:hAnsi="宋体"/>
          <w:color w:val="auto"/>
          <w:sz w:val="21"/>
        </w:rPr>
        <w:t>。</w:t>
      </w:r>
    </w:p>
    <w:p w14:paraId="33FB2175">
      <w:pPr>
        <w:spacing w:line="360" w:lineRule="auto"/>
        <w:rPr>
          <w:rFonts w:hint="eastAsia" w:ascii="仿宋" w:hAnsi="仿宋" w:eastAsia="仿宋" w:cs="仿宋"/>
          <w:color w:val="auto"/>
          <w:szCs w:val="21"/>
        </w:rPr>
      </w:pPr>
    </w:p>
    <w:p w14:paraId="43250AF6">
      <w:pPr>
        <w:rPr>
          <w:rFonts w:hint="eastAsia" w:ascii="仿宋" w:hAnsi="仿宋" w:eastAsia="仿宋" w:cs="仿宋"/>
          <w:b/>
          <w:bCs/>
          <w:color w:val="auto"/>
          <w:sz w:val="28"/>
          <w:szCs w:val="28"/>
        </w:rPr>
      </w:pPr>
      <w:r>
        <w:rPr>
          <w:rFonts w:hint="eastAsia" w:ascii="仿宋" w:hAnsi="仿宋" w:eastAsia="仿宋" w:cs="仿宋"/>
          <w:b/>
          <w:color w:val="auto"/>
          <w:szCs w:val="21"/>
        </w:rPr>
        <w:br w:type="page"/>
      </w:r>
    </w:p>
    <w:p w14:paraId="633F0D61">
      <w:pPr>
        <w:outlineLvl w:val="9"/>
        <w:rPr>
          <w:rFonts w:hint="eastAsia" w:ascii="仿宋" w:hAnsi="仿宋" w:eastAsia="仿宋" w:cs="仿宋"/>
          <w:color w:val="auto"/>
          <w:sz w:val="24"/>
          <w:szCs w:val="24"/>
        </w:rPr>
      </w:pPr>
      <w:r>
        <w:rPr>
          <w:rFonts w:hint="eastAsia" w:ascii="仿宋" w:hAnsi="仿宋" w:eastAsia="仿宋" w:cs="仿宋"/>
          <w:color w:val="auto"/>
          <w:sz w:val="24"/>
          <w:szCs w:val="24"/>
        </w:rPr>
        <w:t xml:space="preserve">附件二： </w:t>
      </w:r>
    </w:p>
    <w:p w14:paraId="2F4B89EE">
      <w:pPr>
        <w:pStyle w:val="126"/>
        <w:ind w:firstLine="480" w:firstLineChars="200"/>
        <w:jc w:val="center"/>
        <w:outlineLvl w:val="9"/>
        <w:rPr>
          <w:rFonts w:hint="eastAsia" w:ascii="仿宋" w:hAnsi="仿宋" w:eastAsia="仿宋" w:cs="仿宋"/>
          <w:b/>
          <w:color w:val="auto"/>
          <w:sz w:val="24"/>
          <w:szCs w:val="24"/>
          <w:lang w:val="en-GB"/>
        </w:rPr>
      </w:pPr>
      <w:r>
        <w:rPr>
          <w:rFonts w:hint="eastAsia" w:ascii="仿宋" w:hAnsi="仿宋" w:eastAsia="仿宋" w:cs="仿宋"/>
          <w:b/>
          <w:color w:val="auto"/>
          <w:sz w:val="24"/>
          <w:szCs w:val="24"/>
          <w:lang w:val="en-GB"/>
        </w:rPr>
        <w:t>残疾人福利性单位声明函</w:t>
      </w:r>
    </w:p>
    <w:p w14:paraId="04A5FD0F">
      <w:pPr>
        <w:pStyle w:val="126"/>
        <w:jc w:val="center"/>
        <w:rPr>
          <w:rFonts w:hint="eastAsia" w:ascii="仿宋" w:hAnsi="仿宋" w:eastAsia="仿宋" w:cs="仿宋"/>
          <w:b/>
          <w:color w:val="auto"/>
          <w:sz w:val="24"/>
          <w:szCs w:val="24"/>
          <w:lang w:val="en-GB"/>
        </w:rPr>
      </w:pPr>
    </w:p>
    <w:p w14:paraId="7FEF1B64">
      <w:pPr>
        <w:pStyle w:val="165"/>
        <w:widowControl/>
        <w:snapToGrid w:val="0"/>
        <w:spacing w:beforeLines="0" w:line="360" w:lineRule="auto"/>
        <w:jc w:val="left"/>
        <w:rPr>
          <w:rFonts w:hint="eastAsia" w:ascii="仿宋" w:hAnsi="仿宋" w:eastAsia="仿宋" w:cs="仿宋"/>
          <w:color w:val="auto"/>
          <w:sz w:val="21"/>
          <w:szCs w:val="21"/>
        </w:rPr>
      </w:pPr>
      <w:r>
        <w:rPr>
          <w:rFonts w:hint="eastAsia" w:ascii="仿宋" w:hAnsi="仿宋" w:eastAsia="仿宋" w:cs="仿宋"/>
          <w:color w:val="auto"/>
          <w:sz w:val="21"/>
          <w:szCs w:val="21"/>
        </w:rPr>
        <w:t>本单位郑重声明，根据《</w:t>
      </w:r>
      <w:r>
        <w:rPr>
          <w:rFonts w:hint="eastAsia" w:ascii="仿宋" w:hAnsi="仿宋" w:eastAsia="仿宋" w:cs="仿宋"/>
          <w:color w:val="auto"/>
          <w:szCs w:val="21"/>
        </w:rPr>
        <w:t>财政部</w:t>
      </w:r>
      <w:r>
        <w:rPr>
          <w:rFonts w:hint="eastAsia" w:ascii="仿宋" w:hAnsi="仿宋" w:eastAsia="仿宋" w:cs="仿宋"/>
          <w:color w:val="auto"/>
          <w:sz w:val="21"/>
          <w:szCs w:val="21"/>
        </w:rPr>
        <w:t xml:space="preserve"> 民政部 中国残疾人联合会关于促进残疾人就业政府采购政策的通知》（财库[2017]141号）的规定，本单位为符合条件的残疾人福利性单位，且本单位参加</w:t>
      </w:r>
      <w:r>
        <w:rPr>
          <w:rFonts w:hint="eastAsia" w:ascii="仿宋" w:hAnsi="仿宋" w:eastAsia="仿宋" w:cs="仿宋"/>
          <w:color w:val="auto"/>
          <w:sz w:val="21"/>
          <w:szCs w:val="21"/>
          <w:u w:val="single"/>
        </w:rPr>
        <w:t xml:space="preserve"> </w:t>
      </w:r>
      <w:r>
        <w:rPr>
          <w:rFonts w:hint="eastAsia" w:ascii="仿宋" w:hAnsi="仿宋" w:eastAsia="仿宋" w:cs="仿宋"/>
          <w:color w:val="auto"/>
          <w:sz w:val="21"/>
          <w:szCs w:val="21"/>
          <w:u w:val="single"/>
          <w:lang w:eastAsia="zh-CN"/>
        </w:rPr>
        <w:t>（采购单位名称）</w:t>
      </w:r>
      <w:r>
        <w:rPr>
          <w:rFonts w:hint="eastAsia" w:ascii="仿宋" w:hAnsi="仿宋" w:eastAsia="仿宋" w:cs="仿宋"/>
          <w:color w:val="auto"/>
          <w:sz w:val="21"/>
          <w:szCs w:val="21"/>
          <w:u w:val="single"/>
        </w:rPr>
        <w:t xml:space="preserve"> </w:t>
      </w:r>
      <w:r>
        <w:rPr>
          <w:rFonts w:hint="eastAsia" w:ascii="仿宋" w:hAnsi="仿宋" w:eastAsia="仿宋" w:cs="仿宋"/>
          <w:color w:val="auto"/>
          <w:sz w:val="21"/>
          <w:szCs w:val="21"/>
        </w:rPr>
        <w:t>单位的</w:t>
      </w:r>
      <w:r>
        <w:rPr>
          <w:rFonts w:hint="eastAsia" w:ascii="仿宋" w:hAnsi="仿宋" w:eastAsia="仿宋" w:cs="仿宋"/>
          <w:color w:val="auto"/>
          <w:sz w:val="21"/>
          <w:szCs w:val="21"/>
          <w:u w:val="single"/>
        </w:rPr>
        <w:t xml:space="preserve"> </w:t>
      </w:r>
      <w:r>
        <w:rPr>
          <w:rFonts w:hint="eastAsia" w:ascii="仿宋" w:hAnsi="仿宋" w:eastAsia="仿宋" w:cs="仿宋"/>
          <w:color w:val="auto"/>
          <w:sz w:val="21"/>
          <w:szCs w:val="21"/>
          <w:u w:val="single"/>
          <w:lang w:eastAsia="zh-CN"/>
        </w:rPr>
        <w:t>（项目名称）</w:t>
      </w:r>
      <w:r>
        <w:rPr>
          <w:rFonts w:hint="eastAsia" w:ascii="仿宋" w:hAnsi="仿宋" w:eastAsia="仿宋" w:cs="仿宋"/>
          <w:color w:val="auto"/>
          <w:sz w:val="21"/>
          <w:szCs w:val="21"/>
          <w:u w:val="single"/>
        </w:rPr>
        <w:t xml:space="preserve"> </w:t>
      </w:r>
      <w:r>
        <w:rPr>
          <w:rFonts w:hint="eastAsia" w:ascii="仿宋" w:hAnsi="仿宋" w:eastAsia="仿宋" w:cs="仿宋"/>
          <w:color w:val="auto"/>
          <w:sz w:val="21"/>
          <w:szCs w:val="21"/>
        </w:rPr>
        <w:t>项目采购活动提供本单位制造的货物（由本单位提供服务/承担工程），或者提供其他残疾人福利性单位制造的货物（不包括使用非残疾人福利性单位注册商标的货物）。</w:t>
      </w:r>
    </w:p>
    <w:p w14:paraId="1B72945D">
      <w:pPr>
        <w:pStyle w:val="165"/>
        <w:widowControl/>
        <w:snapToGrid w:val="0"/>
        <w:spacing w:beforeLines="0" w:line="360" w:lineRule="auto"/>
        <w:jc w:val="left"/>
        <w:rPr>
          <w:rFonts w:hint="eastAsia" w:ascii="仿宋" w:hAnsi="仿宋" w:eastAsia="仿宋" w:cs="仿宋"/>
          <w:color w:val="auto"/>
          <w:sz w:val="21"/>
          <w:szCs w:val="21"/>
        </w:rPr>
      </w:pPr>
      <w:r>
        <w:rPr>
          <w:rFonts w:hint="eastAsia" w:ascii="仿宋" w:hAnsi="仿宋" w:eastAsia="仿宋" w:cs="仿宋"/>
          <w:color w:val="auto"/>
          <w:sz w:val="21"/>
          <w:szCs w:val="21"/>
        </w:rPr>
        <w:t>本单位对上述声明的真实性</w:t>
      </w:r>
      <w:r>
        <w:rPr>
          <w:rFonts w:hint="eastAsia" w:ascii="仿宋" w:hAnsi="仿宋" w:eastAsia="仿宋" w:cs="仿宋"/>
          <w:color w:val="auto"/>
          <w:szCs w:val="21"/>
        </w:rPr>
        <w:t>负责</w:t>
      </w:r>
      <w:r>
        <w:rPr>
          <w:rFonts w:hint="eastAsia" w:ascii="仿宋" w:hAnsi="仿宋" w:eastAsia="仿宋" w:cs="仿宋"/>
          <w:color w:val="auto"/>
          <w:sz w:val="21"/>
          <w:szCs w:val="21"/>
        </w:rPr>
        <w:t>。如有虚假，将依法承担相应责任。</w:t>
      </w:r>
    </w:p>
    <w:p w14:paraId="33220B14">
      <w:pPr>
        <w:spacing w:line="588" w:lineRule="exact"/>
        <w:ind w:firstLine="444" w:firstLineChars="200"/>
        <w:rPr>
          <w:rFonts w:hint="eastAsia" w:ascii="仿宋" w:hAnsi="仿宋" w:eastAsia="仿宋" w:cs="仿宋"/>
          <w:color w:val="auto"/>
          <w:spacing w:val="6"/>
          <w:sz w:val="21"/>
          <w:szCs w:val="21"/>
        </w:rPr>
      </w:pPr>
    </w:p>
    <w:p w14:paraId="386F179E">
      <w:pPr>
        <w:spacing w:line="588" w:lineRule="exact"/>
        <w:ind w:firstLine="444" w:firstLineChars="200"/>
        <w:rPr>
          <w:rFonts w:hint="eastAsia" w:ascii="仿宋" w:hAnsi="仿宋" w:eastAsia="仿宋" w:cs="仿宋"/>
          <w:color w:val="auto"/>
          <w:spacing w:val="6"/>
          <w:sz w:val="21"/>
          <w:szCs w:val="21"/>
        </w:rPr>
      </w:pPr>
    </w:p>
    <w:p w14:paraId="406C70F2">
      <w:pPr>
        <w:widowControl/>
        <w:spacing w:line="420" w:lineRule="atLeast"/>
        <w:ind w:right="-64" w:firstLine="420" w:firstLineChars="200"/>
        <w:rPr>
          <w:rFonts w:hint="eastAsia" w:ascii="仿宋" w:hAnsi="仿宋" w:eastAsia="仿宋" w:cs="仿宋"/>
          <w:b/>
          <w:bCs/>
          <w:color w:val="auto"/>
          <w:kern w:val="0"/>
          <w:sz w:val="21"/>
          <w:szCs w:val="21"/>
        </w:rPr>
      </w:pPr>
      <w:r>
        <w:rPr>
          <w:rFonts w:hint="eastAsia" w:ascii="仿宋" w:hAnsi="仿宋" w:eastAsia="仿宋" w:cs="仿宋"/>
          <w:b/>
          <w:bCs/>
          <w:color w:val="auto"/>
          <w:kern w:val="0"/>
          <w:sz w:val="21"/>
          <w:szCs w:val="21"/>
        </w:rPr>
        <w:t>投标人：</w:t>
      </w:r>
      <w:r>
        <w:rPr>
          <w:rFonts w:hint="eastAsia" w:ascii="仿宋" w:hAnsi="仿宋" w:eastAsia="仿宋" w:cs="仿宋"/>
          <w:b/>
          <w:bCs/>
          <w:color w:val="auto"/>
          <w:kern w:val="0"/>
          <w:sz w:val="21"/>
          <w:szCs w:val="21"/>
          <w:u w:val="single"/>
        </w:rPr>
        <w:t xml:space="preserve">                      </w:t>
      </w:r>
      <w:r>
        <w:rPr>
          <w:rFonts w:hint="eastAsia" w:ascii="仿宋" w:hAnsi="仿宋" w:eastAsia="仿宋" w:cs="仿宋"/>
          <w:b/>
          <w:bCs/>
          <w:color w:val="auto"/>
          <w:kern w:val="0"/>
          <w:sz w:val="21"/>
          <w:szCs w:val="21"/>
        </w:rPr>
        <w:t>（盖单位章）</w:t>
      </w:r>
    </w:p>
    <w:p w14:paraId="61B4C3E3">
      <w:pPr>
        <w:widowControl/>
        <w:spacing w:line="420" w:lineRule="atLeast"/>
        <w:ind w:right="420"/>
        <w:rPr>
          <w:rFonts w:hint="eastAsia" w:ascii="仿宋" w:hAnsi="仿宋" w:eastAsia="仿宋" w:cs="仿宋"/>
          <w:b/>
          <w:bCs/>
          <w:color w:val="auto"/>
          <w:kern w:val="0"/>
          <w:sz w:val="21"/>
          <w:szCs w:val="21"/>
          <w:u w:val="single"/>
        </w:rPr>
      </w:pPr>
    </w:p>
    <w:p w14:paraId="36301C7A">
      <w:pPr>
        <w:widowControl/>
        <w:spacing w:line="420" w:lineRule="atLeast"/>
        <w:ind w:right="-64" w:firstLine="420" w:firstLineChars="200"/>
        <w:rPr>
          <w:rFonts w:hint="eastAsia" w:ascii="仿宋" w:hAnsi="仿宋" w:eastAsia="仿宋" w:cs="仿宋"/>
          <w:b/>
          <w:bCs/>
          <w:color w:val="auto"/>
          <w:kern w:val="0"/>
          <w:sz w:val="21"/>
          <w:szCs w:val="21"/>
        </w:rPr>
      </w:pPr>
      <w:r>
        <w:rPr>
          <w:rFonts w:hint="eastAsia" w:ascii="仿宋" w:hAnsi="仿宋" w:eastAsia="仿宋" w:cs="仿宋"/>
          <w:b/>
          <w:bCs/>
          <w:color w:val="auto"/>
          <w:kern w:val="0"/>
          <w:sz w:val="21"/>
          <w:szCs w:val="21"/>
        </w:rPr>
        <w:t>日  期：</w:t>
      </w:r>
      <w:r>
        <w:rPr>
          <w:rFonts w:hint="eastAsia" w:ascii="仿宋" w:hAnsi="仿宋" w:eastAsia="仿宋" w:cs="仿宋"/>
          <w:b/>
          <w:bCs/>
          <w:color w:val="auto"/>
          <w:kern w:val="0"/>
          <w:sz w:val="21"/>
          <w:szCs w:val="21"/>
          <w:u w:val="single"/>
        </w:rPr>
        <w:t xml:space="preserve">          </w:t>
      </w:r>
      <w:r>
        <w:rPr>
          <w:rFonts w:hint="eastAsia" w:ascii="仿宋" w:hAnsi="仿宋" w:eastAsia="仿宋" w:cs="仿宋"/>
          <w:b/>
          <w:bCs/>
          <w:color w:val="auto"/>
          <w:kern w:val="0"/>
          <w:sz w:val="21"/>
          <w:szCs w:val="21"/>
        </w:rPr>
        <w:t>年</w:t>
      </w:r>
      <w:r>
        <w:rPr>
          <w:rFonts w:hint="eastAsia" w:ascii="仿宋" w:hAnsi="仿宋" w:eastAsia="仿宋" w:cs="仿宋"/>
          <w:b/>
          <w:bCs/>
          <w:color w:val="auto"/>
          <w:kern w:val="0"/>
          <w:sz w:val="21"/>
          <w:szCs w:val="21"/>
          <w:u w:val="single"/>
        </w:rPr>
        <w:t xml:space="preserve">      </w:t>
      </w:r>
      <w:r>
        <w:rPr>
          <w:rFonts w:hint="eastAsia" w:ascii="仿宋" w:hAnsi="仿宋" w:eastAsia="仿宋" w:cs="仿宋"/>
          <w:b/>
          <w:bCs/>
          <w:color w:val="auto"/>
          <w:kern w:val="0"/>
          <w:sz w:val="21"/>
          <w:szCs w:val="21"/>
        </w:rPr>
        <w:t>月</w:t>
      </w:r>
      <w:r>
        <w:rPr>
          <w:rFonts w:hint="eastAsia" w:ascii="仿宋" w:hAnsi="仿宋" w:eastAsia="仿宋" w:cs="仿宋"/>
          <w:b/>
          <w:bCs/>
          <w:color w:val="auto"/>
          <w:kern w:val="0"/>
          <w:sz w:val="21"/>
          <w:szCs w:val="21"/>
          <w:u w:val="single"/>
        </w:rPr>
        <w:t xml:space="preserve">        </w:t>
      </w:r>
      <w:r>
        <w:rPr>
          <w:rFonts w:hint="eastAsia" w:ascii="仿宋" w:hAnsi="仿宋" w:eastAsia="仿宋" w:cs="仿宋"/>
          <w:b/>
          <w:bCs/>
          <w:color w:val="auto"/>
          <w:kern w:val="0"/>
          <w:sz w:val="21"/>
          <w:szCs w:val="21"/>
        </w:rPr>
        <w:t xml:space="preserve">日 </w:t>
      </w:r>
    </w:p>
    <w:p w14:paraId="78C48100">
      <w:pPr>
        <w:tabs>
          <w:tab w:val="left" w:pos="4860"/>
        </w:tabs>
        <w:spacing w:line="588" w:lineRule="exact"/>
        <w:ind w:right="1560" w:firstLine="420" w:firstLineChars="200"/>
        <w:jc w:val="left"/>
        <w:rPr>
          <w:rFonts w:hint="eastAsia" w:ascii="仿宋" w:hAnsi="仿宋" w:eastAsia="仿宋" w:cs="仿宋"/>
          <w:b/>
          <w:color w:val="auto"/>
          <w:sz w:val="21"/>
          <w:szCs w:val="21"/>
        </w:rPr>
      </w:pPr>
    </w:p>
    <w:p w14:paraId="4137FA0F">
      <w:pPr>
        <w:tabs>
          <w:tab w:val="left" w:pos="4860"/>
        </w:tabs>
        <w:spacing w:line="588" w:lineRule="exact"/>
        <w:ind w:right="1560" w:firstLine="420" w:firstLineChars="200"/>
        <w:jc w:val="left"/>
        <w:rPr>
          <w:rFonts w:hint="eastAsia" w:ascii="仿宋" w:hAnsi="仿宋" w:eastAsia="仿宋" w:cs="仿宋"/>
          <w:b/>
          <w:color w:val="auto"/>
          <w:sz w:val="21"/>
          <w:szCs w:val="21"/>
        </w:rPr>
      </w:pPr>
      <w:r>
        <w:rPr>
          <w:rFonts w:hint="eastAsia" w:ascii="仿宋" w:hAnsi="仿宋" w:eastAsia="仿宋" w:cs="仿宋"/>
          <w:b/>
          <w:color w:val="auto"/>
          <w:sz w:val="21"/>
          <w:szCs w:val="21"/>
        </w:rPr>
        <w:t>备注说明：</w:t>
      </w:r>
    </w:p>
    <w:p w14:paraId="5BA62DF1">
      <w:pPr>
        <w:pStyle w:val="165"/>
        <w:widowControl/>
        <w:snapToGrid w:val="0"/>
        <w:spacing w:beforeLines="0" w:line="360" w:lineRule="auto"/>
        <w:jc w:val="left"/>
        <w:rPr>
          <w:rFonts w:hint="eastAsia" w:ascii="仿宋" w:hAnsi="仿宋" w:eastAsia="仿宋" w:cs="仿宋"/>
          <w:b/>
          <w:color w:val="auto"/>
          <w:sz w:val="21"/>
          <w:szCs w:val="21"/>
        </w:rPr>
      </w:pPr>
      <w:r>
        <w:rPr>
          <w:rFonts w:hint="eastAsia" w:ascii="仿宋" w:hAnsi="仿宋" w:eastAsia="仿宋" w:cs="仿宋"/>
          <w:b/>
          <w:color w:val="auto"/>
          <w:sz w:val="21"/>
          <w:szCs w:val="21"/>
          <w:lang w:eastAsia="zh-CN"/>
        </w:rPr>
        <w:t>1.</w:t>
      </w:r>
      <w:r>
        <w:rPr>
          <w:rFonts w:hint="eastAsia" w:ascii="仿宋" w:hAnsi="仿宋" w:eastAsia="仿宋" w:cs="仿宋"/>
          <w:b/>
          <w:color w:val="auto"/>
          <w:sz w:val="21"/>
          <w:szCs w:val="21"/>
        </w:rPr>
        <w:t>如中标，将在中标公示中将此残疾人福利性单位声明函予以公示，接受社会监督；</w:t>
      </w:r>
    </w:p>
    <w:p w14:paraId="4BC24C37">
      <w:pPr>
        <w:pStyle w:val="165"/>
        <w:widowControl/>
        <w:snapToGrid w:val="0"/>
        <w:spacing w:beforeLines="0" w:line="360" w:lineRule="auto"/>
        <w:jc w:val="left"/>
        <w:rPr>
          <w:rFonts w:hint="eastAsia" w:ascii="仿宋" w:hAnsi="仿宋" w:eastAsia="仿宋" w:cs="仿宋"/>
          <w:color w:val="auto"/>
          <w:spacing w:val="6"/>
          <w:sz w:val="21"/>
          <w:szCs w:val="21"/>
        </w:rPr>
      </w:pPr>
      <w:r>
        <w:rPr>
          <w:rFonts w:hint="eastAsia" w:ascii="仿宋" w:hAnsi="仿宋" w:eastAsia="仿宋" w:cs="仿宋"/>
          <w:b/>
          <w:color w:val="auto"/>
          <w:sz w:val="21"/>
          <w:szCs w:val="21"/>
          <w:lang w:eastAsia="zh-CN"/>
        </w:rPr>
        <w:t>2.</w:t>
      </w:r>
      <w:r>
        <w:rPr>
          <w:rFonts w:hint="eastAsia" w:ascii="仿宋" w:hAnsi="仿宋" w:eastAsia="仿宋" w:cs="仿宋"/>
          <w:b/>
          <w:color w:val="auto"/>
          <w:sz w:val="21"/>
          <w:szCs w:val="21"/>
        </w:rPr>
        <w:t>供应商提供的《残疾人福利性单位声明函》与事实不符的，依照《</w:t>
      </w:r>
      <w:r>
        <w:rPr>
          <w:rFonts w:hint="eastAsia" w:ascii="仿宋" w:hAnsi="仿宋" w:eastAsia="仿宋" w:cs="仿宋"/>
          <w:b/>
          <w:color w:val="auto"/>
          <w:sz w:val="21"/>
          <w:szCs w:val="21"/>
          <w:lang w:val="en-US" w:eastAsia="zh-CN"/>
        </w:rPr>
        <w:t>中华人民共和国</w:t>
      </w:r>
      <w:r>
        <w:rPr>
          <w:rFonts w:hint="eastAsia" w:ascii="仿宋" w:hAnsi="仿宋" w:eastAsia="仿宋" w:cs="仿宋"/>
          <w:b/>
          <w:color w:val="auto"/>
          <w:sz w:val="21"/>
          <w:szCs w:val="21"/>
        </w:rPr>
        <w:t>政府采购法》第七十七条第一款的规定追究法律责任。</w:t>
      </w:r>
    </w:p>
    <w:p w14:paraId="30442E30">
      <w:pPr>
        <w:tabs>
          <w:tab w:val="left" w:pos="4860"/>
        </w:tabs>
        <w:spacing w:line="588" w:lineRule="exact"/>
        <w:ind w:right="-94"/>
        <w:jc w:val="left"/>
        <w:rPr>
          <w:rFonts w:hint="eastAsia" w:ascii="仿宋" w:hAnsi="仿宋" w:eastAsia="仿宋" w:cs="仿宋"/>
          <w:color w:val="auto"/>
          <w:spacing w:val="6"/>
          <w:sz w:val="21"/>
          <w:szCs w:val="21"/>
        </w:rPr>
      </w:pPr>
    </w:p>
    <w:p w14:paraId="4DF1E539">
      <w:pPr>
        <w:pStyle w:val="26"/>
        <w:snapToGrid w:val="0"/>
        <w:spacing w:line="360" w:lineRule="auto"/>
        <w:ind w:firstLine="420" w:firstLineChars="200"/>
        <w:rPr>
          <w:rFonts w:hint="eastAsia" w:ascii="仿宋" w:hAnsi="仿宋" w:eastAsia="仿宋" w:cs="仿宋"/>
          <w:color w:val="auto"/>
          <w:sz w:val="21"/>
          <w:szCs w:val="21"/>
        </w:rPr>
      </w:pPr>
    </w:p>
    <w:p w14:paraId="305D59F3">
      <w:pPr>
        <w:pStyle w:val="26"/>
        <w:snapToGrid w:val="0"/>
        <w:spacing w:line="360" w:lineRule="auto"/>
        <w:ind w:firstLine="420" w:firstLineChars="200"/>
        <w:rPr>
          <w:rFonts w:hint="eastAsia" w:ascii="仿宋" w:hAnsi="仿宋" w:eastAsia="仿宋" w:cs="仿宋"/>
          <w:color w:val="auto"/>
          <w:sz w:val="21"/>
          <w:szCs w:val="21"/>
        </w:rPr>
      </w:pPr>
    </w:p>
    <w:p w14:paraId="63E8DE4D">
      <w:pPr>
        <w:rPr>
          <w:rFonts w:hint="eastAsia" w:ascii="仿宋" w:hAnsi="仿宋" w:eastAsia="仿宋" w:cs="仿宋"/>
          <w:b/>
          <w:color w:val="auto"/>
          <w:szCs w:val="21"/>
        </w:rPr>
      </w:pPr>
      <w:r>
        <w:rPr>
          <w:rFonts w:hint="eastAsia" w:ascii="仿宋" w:hAnsi="仿宋" w:eastAsia="仿宋" w:cs="仿宋"/>
          <w:b/>
          <w:color w:val="auto"/>
          <w:szCs w:val="21"/>
        </w:rPr>
        <w:br w:type="page"/>
      </w:r>
    </w:p>
    <w:p w14:paraId="6B254F7B">
      <w:pPr>
        <w:spacing w:line="360" w:lineRule="auto"/>
        <w:jc w:val="left"/>
        <w:rPr>
          <w:rFonts w:hint="eastAsia" w:ascii="仿宋" w:hAnsi="仿宋" w:eastAsia="仿宋" w:cs="仿宋"/>
          <w:b/>
          <w:color w:val="auto"/>
          <w:szCs w:val="21"/>
          <w:lang w:val="en-US" w:eastAsia="zh-CN"/>
        </w:rPr>
      </w:pPr>
      <w:r>
        <w:rPr>
          <w:rFonts w:hint="eastAsia" w:ascii="仿宋" w:hAnsi="仿宋" w:eastAsia="仿宋" w:cs="仿宋"/>
          <w:b/>
          <w:color w:val="auto"/>
          <w:szCs w:val="21"/>
        </w:rPr>
        <w:t>附件</w:t>
      </w:r>
      <w:r>
        <w:rPr>
          <w:rFonts w:hint="eastAsia" w:ascii="仿宋" w:hAnsi="仿宋" w:eastAsia="仿宋" w:cs="仿宋"/>
          <w:b/>
          <w:color w:val="auto"/>
          <w:szCs w:val="21"/>
          <w:lang w:val="en-US" w:eastAsia="zh-CN"/>
        </w:rPr>
        <w:t>三</w:t>
      </w:r>
    </w:p>
    <w:p w14:paraId="5EE959D6">
      <w:pPr>
        <w:jc w:val="center"/>
        <w:rPr>
          <w:rFonts w:hint="eastAsia" w:ascii="仿宋" w:hAnsi="仿宋" w:eastAsia="仿宋" w:cs="仿宋"/>
          <w:b/>
          <w:bCs/>
          <w:color w:val="auto"/>
          <w:sz w:val="28"/>
          <w:szCs w:val="28"/>
          <w:lang w:eastAsia="zh-CN"/>
        </w:rPr>
      </w:pPr>
    </w:p>
    <w:p w14:paraId="0E90F20C">
      <w:pPr>
        <w:jc w:val="center"/>
        <w:rPr>
          <w:rFonts w:hint="eastAsia" w:ascii="仿宋" w:hAnsi="仿宋" w:eastAsia="仿宋" w:cs="仿宋"/>
          <w:b/>
          <w:bCs/>
          <w:color w:val="auto"/>
          <w:sz w:val="28"/>
          <w:szCs w:val="28"/>
          <w:lang w:eastAsia="zh-CN"/>
        </w:rPr>
      </w:pPr>
      <w:r>
        <w:rPr>
          <w:rFonts w:hint="eastAsia" w:ascii="仿宋" w:hAnsi="仿宋" w:eastAsia="仿宋" w:cs="仿宋"/>
          <w:b/>
          <w:bCs/>
          <w:color w:val="auto"/>
          <w:sz w:val="28"/>
          <w:szCs w:val="28"/>
          <w:lang w:eastAsia="zh-CN"/>
        </w:rPr>
        <w:t>《属于监狱企业的证明文件》</w:t>
      </w:r>
    </w:p>
    <w:p w14:paraId="05CE25EA">
      <w:pPr>
        <w:pStyle w:val="31"/>
        <w:spacing w:line="360" w:lineRule="auto"/>
        <w:ind w:left="0" w:leftChars="0" w:firstLine="0" w:firstLineChars="0"/>
        <w:jc w:val="center"/>
        <w:rPr>
          <w:rFonts w:hint="eastAsia" w:ascii="仿宋" w:hAnsi="仿宋" w:eastAsia="仿宋" w:cs="仿宋"/>
          <w:color w:val="auto"/>
          <w:sz w:val="21"/>
          <w:szCs w:val="21"/>
        </w:rPr>
      </w:pPr>
      <w:r>
        <w:rPr>
          <w:rFonts w:hint="eastAsia" w:ascii="仿宋" w:hAnsi="仿宋" w:eastAsia="仿宋" w:cs="仿宋"/>
          <w:color w:val="auto"/>
          <w:sz w:val="21"/>
          <w:szCs w:val="21"/>
        </w:rPr>
        <w:t>【不属于</w:t>
      </w:r>
      <w:r>
        <w:rPr>
          <w:rFonts w:hint="eastAsia" w:ascii="仿宋" w:hAnsi="仿宋" w:eastAsia="仿宋" w:cs="仿宋"/>
          <w:color w:val="auto"/>
          <w:sz w:val="21"/>
          <w:szCs w:val="21"/>
          <w:lang w:eastAsia="zh-CN"/>
        </w:rPr>
        <w:t>监狱企业的，</w:t>
      </w:r>
      <w:r>
        <w:rPr>
          <w:rFonts w:hint="eastAsia" w:ascii="仿宋" w:hAnsi="仿宋" w:eastAsia="仿宋" w:cs="仿宋"/>
          <w:color w:val="auto"/>
          <w:sz w:val="21"/>
          <w:szCs w:val="21"/>
        </w:rPr>
        <w:t>无需提供】</w:t>
      </w:r>
    </w:p>
    <w:p w14:paraId="4DD6EEE2">
      <w:pPr>
        <w:spacing w:line="360" w:lineRule="auto"/>
        <w:jc w:val="left"/>
        <w:rPr>
          <w:rFonts w:hint="eastAsia" w:ascii="仿宋" w:hAnsi="仿宋" w:eastAsia="仿宋" w:cs="仿宋"/>
          <w:color w:val="auto"/>
          <w:szCs w:val="21"/>
        </w:rPr>
      </w:pPr>
    </w:p>
    <w:p w14:paraId="28FF1A33">
      <w:pPr>
        <w:spacing w:line="360" w:lineRule="auto"/>
        <w:jc w:val="left"/>
        <w:rPr>
          <w:rFonts w:hint="eastAsia" w:ascii="仿宋" w:hAnsi="仿宋" w:eastAsia="仿宋" w:cs="仿宋"/>
          <w:color w:val="auto"/>
          <w:szCs w:val="21"/>
        </w:rPr>
      </w:pPr>
    </w:p>
    <w:p w14:paraId="19940F42">
      <w:pPr>
        <w:spacing w:line="360" w:lineRule="auto"/>
        <w:jc w:val="left"/>
        <w:rPr>
          <w:rFonts w:hint="eastAsia" w:ascii="仿宋" w:hAnsi="仿宋" w:eastAsia="仿宋" w:cs="仿宋"/>
          <w:color w:val="auto"/>
          <w:szCs w:val="21"/>
        </w:rPr>
      </w:pPr>
    </w:p>
    <w:p w14:paraId="0804CEC5">
      <w:pPr>
        <w:spacing w:line="360" w:lineRule="auto"/>
        <w:jc w:val="left"/>
        <w:rPr>
          <w:rFonts w:hint="eastAsia" w:ascii="仿宋" w:hAnsi="仿宋" w:eastAsia="仿宋" w:cs="仿宋"/>
          <w:color w:val="auto"/>
          <w:szCs w:val="21"/>
        </w:rPr>
      </w:pPr>
    </w:p>
    <w:p w14:paraId="3D38AB04">
      <w:pPr>
        <w:spacing w:line="360" w:lineRule="auto"/>
        <w:jc w:val="left"/>
        <w:rPr>
          <w:rFonts w:hint="eastAsia" w:ascii="仿宋" w:hAnsi="仿宋" w:eastAsia="仿宋" w:cs="仿宋"/>
          <w:color w:val="auto"/>
          <w:szCs w:val="21"/>
        </w:rPr>
      </w:pPr>
    </w:p>
    <w:p w14:paraId="791D51E2">
      <w:pPr>
        <w:spacing w:line="360" w:lineRule="auto"/>
        <w:jc w:val="left"/>
        <w:rPr>
          <w:rFonts w:hint="eastAsia" w:ascii="仿宋" w:hAnsi="仿宋" w:eastAsia="仿宋" w:cs="仿宋"/>
          <w:color w:val="auto"/>
          <w:szCs w:val="21"/>
        </w:rPr>
      </w:pPr>
    </w:p>
    <w:p w14:paraId="785FCFFB">
      <w:pPr>
        <w:spacing w:line="360" w:lineRule="auto"/>
        <w:jc w:val="left"/>
        <w:rPr>
          <w:rFonts w:hint="eastAsia" w:ascii="仿宋" w:hAnsi="仿宋" w:eastAsia="仿宋" w:cs="仿宋"/>
          <w:color w:val="auto"/>
          <w:szCs w:val="21"/>
        </w:rPr>
      </w:pPr>
    </w:p>
    <w:p w14:paraId="64F87AEE">
      <w:pPr>
        <w:widowControl/>
        <w:tabs>
          <w:tab w:val="left" w:pos="4860"/>
        </w:tabs>
        <w:ind w:right="-21" w:firstLine="420" w:firstLineChars="200"/>
        <w:jc w:val="left"/>
        <w:rPr>
          <w:rFonts w:hint="eastAsia" w:ascii="仿宋" w:hAnsi="仿宋" w:eastAsia="仿宋" w:cs="仿宋"/>
          <w:b/>
          <w:color w:val="auto"/>
          <w:szCs w:val="21"/>
        </w:rPr>
      </w:pPr>
      <w:r>
        <w:rPr>
          <w:rFonts w:hint="eastAsia" w:ascii="仿宋" w:hAnsi="仿宋" w:eastAsia="仿宋" w:cs="仿宋"/>
          <w:b/>
          <w:color w:val="auto"/>
          <w:szCs w:val="21"/>
        </w:rPr>
        <w:t>说明：</w:t>
      </w:r>
    </w:p>
    <w:p w14:paraId="5A85CBCC">
      <w:pPr>
        <w:widowControl/>
        <w:tabs>
          <w:tab w:val="left" w:pos="4860"/>
        </w:tabs>
        <w:ind w:right="-21" w:firstLine="420" w:firstLineChars="200"/>
        <w:jc w:val="left"/>
        <w:rPr>
          <w:rFonts w:hint="eastAsia" w:ascii="仿宋" w:hAnsi="仿宋" w:eastAsia="仿宋" w:cs="仿宋"/>
          <w:b/>
          <w:color w:val="auto"/>
          <w:szCs w:val="21"/>
          <w:lang w:val="en-US" w:eastAsia="zh-CN"/>
        </w:rPr>
      </w:pPr>
      <w:r>
        <w:rPr>
          <w:rFonts w:hint="eastAsia" w:ascii="仿宋" w:hAnsi="仿宋" w:eastAsia="仿宋" w:cs="仿宋"/>
          <w:b/>
          <w:color w:val="auto"/>
          <w:szCs w:val="21"/>
          <w:lang w:val="en-US" w:eastAsia="zh-CN"/>
        </w:rPr>
        <w:t>1.监狱企业证明文件必须由省级以上监狱管理局、戒毒管理局（含新疆生产建设兵团）出具，否则无效。</w:t>
      </w:r>
    </w:p>
    <w:p w14:paraId="698B9D56">
      <w:pPr>
        <w:widowControl/>
        <w:tabs>
          <w:tab w:val="left" w:pos="4860"/>
        </w:tabs>
        <w:ind w:right="-21" w:firstLine="420" w:firstLineChars="200"/>
        <w:jc w:val="left"/>
        <w:rPr>
          <w:rFonts w:hint="eastAsia" w:ascii="仿宋" w:hAnsi="仿宋" w:eastAsia="仿宋" w:cs="仿宋"/>
          <w:b/>
          <w:color w:val="auto"/>
          <w:szCs w:val="21"/>
          <w:lang w:eastAsia="zh-CN"/>
        </w:rPr>
      </w:pPr>
      <w:r>
        <w:rPr>
          <w:rFonts w:hint="eastAsia" w:ascii="仿宋" w:hAnsi="仿宋" w:eastAsia="仿宋" w:cs="仿宋"/>
          <w:b/>
          <w:color w:val="auto"/>
          <w:szCs w:val="21"/>
          <w:lang w:val="en-US" w:eastAsia="zh-CN"/>
        </w:rPr>
        <w:t>2</w:t>
      </w:r>
      <w:r>
        <w:rPr>
          <w:rFonts w:hint="eastAsia" w:ascii="仿宋" w:hAnsi="仿宋" w:eastAsia="仿宋" w:cs="仿宋"/>
          <w:b/>
          <w:color w:val="auto"/>
          <w:szCs w:val="21"/>
          <w:lang w:eastAsia="zh-CN"/>
        </w:rPr>
        <w:t>.成交供应商的《监狱企业证明文件》将随本项目中标（成交）结果公告一并公示，接受社会监督；</w:t>
      </w:r>
    </w:p>
    <w:p w14:paraId="2A6FD064">
      <w:pPr>
        <w:widowControl/>
        <w:tabs>
          <w:tab w:val="left" w:pos="4860"/>
        </w:tabs>
        <w:ind w:right="-21" w:firstLine="420" w:firstLineChars="200"/>
        <w:jc w:val="left"/>
        <w:rPr>
          <w:rFonts w:hint="eastAsia" w:ascii="仿宋" w:hAnsi="仿宋" w:eastAsia="仿宋" w:cs="仿宋"/>
          <w:b/>
          <w:color w:val="auto"/>
          <w:szCs w:val="21"/>
          <w:lang w:eastAsia="zh-CN"/>
        </w:rPr>
      </w:pPr>
      <w:r>
        <w:rPr>
          <w:rFonts w:hint="eastAsia" w:ascii="仿宋" w:hAnsi="仿宋" w:eastAsia="仿宋" w:cs="仿宋"/>
          <w:b/>
          <w:color w:val="auto"/>
          <w:szCs w:val="21"/>
          <w:lang w:val="en-US" w:eastAsia="zh-CN"/>
        </w:rPr>
        <w:t>3</w:t>
      </w:r>
      <w:r>
        <w:rPr>
          <w:rFonts w:hint="eastAsia" w:ascii="仿宋" w:hAnsi="仿宋" w:eastAsia="仿宋" w:cs="仿宋"/>
          <w:b/>
          <w:color w:val="auto"/>
          <w:szCs w:val="21"/>
          <w:lang w:eastAsia="zh-CN"/>
        </w:rPr>
        <w:t>.供应商提供的《监狱企业证明文件》与事实不符的，依照《</w:t>
      </w:r>
      <w:r>
        <w:rPr>
          <w:rFonts w:hint="eastAsia" w:ascii="仿宋" w:hAnsi="仿宋" w:eastAsia="仿宋" w:cs="仿宋"/>
          <w:b/>
          <w:color w:val="auto"/>
          <w:szCs w:val="21"/>
          <w:lang w:val="en-US" w:eastAsia="zh-CN"/>
        </w:rPr>
        <w:t>中华人民共和国</w:t>
      </w:r>
      <w:r>
        <w:rPr>
          <w:rFonts w:hint="eastAsia" w:ascii="仿宋" w:hAnsi="仿宋" w:eastAsia="仿宋" w:cs="仿宋"/>
          <w:b/>
          <w:color w:val="auto"/>
          <w:szCs w:val="21"/>
          <w:lang w:eastAsia="zh-CN"/>
        </w:rPr>
        <w:t>政府采购法》第七十七条第一款的规定追究法律责任。</w:t>
      </w:r>
    </w:p>
    <w:p w14:paraId="76EFC0A6">
      <w:pPr>
        <w:rPr>
          <w:rFonts w:hint="eastAsia" w:ascii="仿宋" w:hAnsi="仿宋" w:eastAsia="仿宋" w:cs="仿宋"/>
          <w:color w:val="auto"/>
        </w:rPr>
      </w:pPr>
    </w:p>
    <w:p w14:paraId="2BF0544D">
      <w:pPr>
        <w:rPr>
          <w:rFonts w:hint="eastAsia" w:ascii="仿宋" w:hAnsi="仿宋" w:eastAsia="仿宋" w:cs="仿宋"/>
          <w:color w:val="auto"/>
        </w:rPr>
      </w:pPr>
      <w:r>
        <w:rPr>
          <w:rFonts w:hint="eastAsia" w:ascii="仿宋" w:hAnsi="仿宋" w:eastAsia="仿宋" w:cs="仿宋"/>
          <w:color w:val="auto"/>
        </w:rPr>
        <w:br w:type="page"/>
      </w:r>
    </w:p>
    <w:p w14:paraId="11290444">
      <w:pPr>
        <w:jc w:val="center"/>
        <w:outlineLvl w:val="9"/>
        <w:rPr>
          <w:rFonts w:hint="eastAsia" w:ascii="仿宋" w:hAnsi="仿宋" w:eastAsia="仿宋" w:cs="仿宋"/>
          <w:color w:val="auto"/>
        </w:rPr>
      </w:pPr>
      <w:r>
        <w:rPr>
          <w:rFonts w:hint="eastAsia" w:ascii="仿宋" w:hAnsi="仿宋" w:eastAsia="仿宋" w:cs="仿宋"/>
          <w:color w:val="auto"/>
        </w:rPr>
        <w:drawing>
          <wp:inline distT="0" distB="0" distL="114300" distR="114300">
            <wp:extent cx="5595620" cy="7649845"/>
            <wp:effectExtent l="0" t="0" r="5080" b="825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0"/>
                    <a:stretch>
                      <a:fillRect/>
                    </a:stretch>
                  </pic:blipFill>
                  <pic:spPr>
                    <a:xfrm>
                      <a:off x="0" y="0"/>
                      <a:ext cx="5595620" cy="7649845"/>
                    </a:xfrm>
                    <a:prstGeom prst="rect">
                      <a:avLst/>
                    </a:prstGeom>
                    <a:noFill/>
                    <a:ln>
                      <a:noFill/>
                    </a:ln>
                  </pic:spPr>
                </pic:pic>
              </a:graphicData>
            </a:graphic>
          </wp:inline>
        </w:drawing>
      </w:r>
      <w:r>
        <w:rPr>
          <w:rFonts w:hint="eastAsia" w:ascii="仿宋" w:hAnsi="仿宋" w:eastAsia="仿宋" w:cs="仿宋"/>
          <w:color w:val="auto"/>
        </w:rPr>
        <w:drawing>
          <wp:inline distT="0" distB="0" distL="114300" distR="114300">
            <wp:extent cx="5600700" cy="7705725"/>
            <wp:effectExtent l="0" t="0" r="0"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1"/>
                    <a:stretch>
                      <a:fillRect/>
                    </a:stretch>
                  </pic:blipFill>
                  <pic:spPr>
                    <a:xfrm>
                      <a:off x="0" y="0"/>
                      <a:ext cx="5600700" cy="7705725"/>
                    </a:xfrm>
                    <a:prstGeom prst="rect">
                      <a:avLst/>
                    </a:prstGeom>
                    <a:noFill/>
                    <a:ln>
                      <a:noFill/>
                    </a:ln>
                  </pic:spPr>
                </pic:pic>
              </a:graphicData>
            </a:graphic>
          </wp:inline>
        </w:drawing>
      </w:r>
      <w:r>
        <w:rPr>
          <w:rFonts w:hint="eastAsia" w:ascii="仿宋" w:hAnsi="仿宋" w:eastAsia="仿宋" w:cs="仿宋"/>
          <w:color w:val="auto"/>
        </w:rPr>
        <w:drawing>
          <wp:inline distT="0" distB="0" distL="114300" distR="114300">
            <wp:extent cx="5597525" cy="7550785"/>
            <wp:effectExtent l="0" t="0" r="3175" b="1206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2"/>
                    <a:stretch>
                      <a:fillRect/>
                    </a:stretch>
                  </pic:blipFill>
                  <pic:spPr>
                    <a:xfrm>
                      <a:off x="0" y="0"/>
                      <a:ext cx="5597525" cy="7550785"/>
                    </a:xfrm>
                    <a:prstGeom prst="rect">
                      <a:avLst/>
                    </a:prstGeom>
                    <a:noFill/>
                    <a:ln>
                      <a:noFill/>
                    </a:ln>
                  </pic:spPr>
                </pic:pic>
              </a:graphicData>
            </a:graphic>
          </wp:inline>
        </w:drawing>
      </w:r>
      <w:r>
        <w:rPr>
          <w:rFonts w:hint="eastAsia" w:ascii="仿宋" w:hAnsi="仿宋" w:eastAsia="仿宋" w:cs="仿宋"/>
          <w:color w:val="auto"/>
        </w:rPr>
        <w:drawing>
          <wp:inline distT="0" distB="0" distL="114300" distR="114300">
            <wp:extent cx="5595620" cy="7357110"/>
            <wp:effectExtent l="0" t="0" r="5080" b="1524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3"/>
                    <a:stretch>
                      <a:fillRect/>
                    </a:stretch>
                  </pic:blipFill>
                  <pic:spPr>
                    <a:xfrm>
                      <a:off x="0" y="0"/>
                      <a:ext cx="5595620" cy="7357110"/>
                    </a:xfrm>
                    <a:prstGeom prst="rect">
                      <a:avLst/>
                    </a:prstGeom>
                    <a:noFill/>
                    <a:ln>
                      <a:noFill/>
                    </a:ln>
                  </pic:spPr>
                </pic:pic>
              </a:graphicData>
            </a:graphic>
          </wp:inline>
        </w:drawing>
      </w:r>
    </w:p>
    <w:p w14:paraId="7B2D762F">
      <w:pPr>
        <w:rPr>
          <w:rFonts w:hint="eastAsia" w:ascii="仿宋" w:hAnsi="仿宋" w:eastAsia="仿宋" w:cs="仿宋"/>
          <w:color w:val="auto"/>
          <w:sz w:val="24"/>
          <w:szCs w:val="24"/>
        </w:rPr>
      </w:pPr>
      <w:r>
        <w:rPr>
          <w:rFonts w:hint="eastAsia" w:ascii="仿宋" w:hAnsi="仿宋" w:eastAsia="仿宋" w:cs="仿宋"/>
          <w:color w:val="auto"/>
          <w:sz w:val="24"/>
          <w:szCs w:val="24"/>
        </w:rPr>
        <w:br w:type="page"/>
      </w:r>
    </w:p>
    <w:p w14:paraId="3C439805">
      <w:pPr>
        <w:pStyle w:val="47"/>
        <w:outlineLvl w:val="0"/>
        <w:rPr>
          <w:rFonts w:hint="eastAsia" w:ascii="仿宋" w:hAnsi="仿宋" w:eastAsia="仿宋" w:cs="仿宋"/>
          <w:color w:val="auto"/>
          <w:sz w:val="32"/>
          <w:szCs w:val="32"/>
          <w:highlight w:val="none"/>
          <w:lang w:val="zh-CN" w:eastAsia="zh-CN"/>
        </w:rPr>
      </w:pPr>
      <w:bookmarkStart w:id="37" w:name="_Toc29875"/>
      <w:bookmarkStart w:id="38" w:name="_Toc24432"/>
      <w:bookmarkStart w:id="39" w:name="_Toc26746"/>
      <w:bookmarkStart w:id="40" w:name="_Toc2567"/>
      <w:bookmarkStart w:id="41" w:name="_Toc311205918"/>
      <w:r>
        <w:rPr>
          <w:rFonts w:hint="eastAsia" w:ascii="仿宋" w:hAnsi="仿宋" w:eastAsia="仿宋" w:cs="仿宋"/>
          <w:color w:val="auto"/>
          <w:sz w:val="32"/>
          <w:szCs w:val="32"/>
          <w:highlight w:val="none"/>
          <w:lang w:val="zh-CN" w:eastAsia="zh-CN"/>
        </w:rPr>
        <w:t>第三章</w:t>
      </w:r>
      <w:r>
        <w:rPr>
          <w:rFonts w:hint="eastAsia" w:ascii="仿宋" w:hAnsi="仿宋" w:eastAsia="仿宋" w:cs="仿宋"/>
          <w:color w:val="auto"/>
          <w:sz w:val="32"/>
          <w:szCs w:val="32"/>
          <w:highlight w:val="none"/>
          <w:lang w:val="en-US" w:eastAsia="zh-CN"/>
        </w:rPr>
        <w:t xml:space="preserve"> </w:t>
      </w:r>
      <w:r>
        <w:rPr>
          <w:rFonts w:hint="eastAsia" w:ascii="仿宋" w:hAnsi="仿宋" w:eastAsia="仿宋" w:cs="仿宋"/>
          <w:color w:val="auto"/>
          <w:sz w:val="32"/>
          <w:szCs w:val="32"/>
          <w:highlight w:val="none"/>
          <w:lang w:val="zh-CN" w:eastAsia="zh-CN"/>
        </w:rPr>
        <w:t xml:space="preserve"> 采购内容及要求</w:t>
      </w:r>
      <w:bookmarkEnd w:id="37"/>
      <w:bookmarkEnd w:id="38"/>
      <w:bookmarkEnd w:id="39"/>
    </w:p>
    <w:bookmarkEnd w:id="40"/>
    <w:bookmarkEnd w:id="41"/>
    <w:p w14:paraId="1EC0765D">
      <w:pPr>
        <w:pStyle w:val="3"/>
        <w:bidi w:val="0"/>
        <w:rPr>
          <w:rFonts w:hint="eastAsia" w:ascii="仿宋" w:hAnsi="仿宋" w:eastAsia="仿宋" w:cs="仿宋"/>
          <w:b/>
          <w:bCs/>
          <w:sz w:val="28"/>
          <w:szCs w:val="28"/>
          <w:highlight w:val="none"/>
        </w:rPr>
      </w:pPr>
      <w:bookmarkStart w:id="42" w:name="_Toc22050"/>
      <w:bookmarkStart w:id="43" w:name="_Toc157410888"/>
      <w:bookmarkStart w:id="44" w:name="_Toc12360"/>
      <w:bookmarkStart w:id="45" w:name="_Toc7437"/>
      <w:r>
        <w:rPr>
          <w:rFonts w:hint="eastAsia" w:ascii="仿宋" w:hAnsi="仿宋" w:eastAsia="仿宋" w:cs="仿宋"/>
          <w:b/>
          <w:bCs/>
          <w:sz w:val="28"/>
          <w:szCs w:val="28"/>
          <w:lang w:eastAsia="zh-CN"/>
        </w:rPr>
        <w:t>一、</w:t>
      </w:r>
      <w:r>
        <w:rPr>
          <w:rFonts w:hint="eastAsia" w:ascii="仿宋" w:hAnsi="仿宋" w:eastAsia="仿宋" w:cs="仿宋"/>
          <w:b/>
          <w:bCs/>
          <w:sz w:val="28"/>
          <w:szCs w:val="28"/>
        </w:rPr>
        <w:t>采购内</w:t>
      </w:r>
      <w:r>
        <w:rPr>
          <w:rFonts w:hint="eastAsia" w:ascii="仿宋" w:hAnsi="仿宋" w:eastAsia="仿宋" w:cs="仿宋"/>
          <w:b/>
          <w:bCs/>
          <w:sz w:val="28"/>
          <w:szCs w:val="28"/>
          <w:highlight w:val="none"/>
        </w:rPr>
        <w:t>容</w:t>
      </w:r>
      <w:bookmarkEnd w:id="42"/>
    </w:p>
    <w:p w14:paraId="57E8BE7C">
      <w:pPr>
        <w:pStyle w:val="34"/>
        <w:numPr>
          <w:ilvl w:val="0"/>
          <w:numId w:val="0"/>
        </w:numPr>
        <w:ind w:firstLine="420" w:firstLineChars="200"/>
        <w:rPr>
          <w:rFonts w:hint="eastAsia" w:ascii="仿宋" w:hAnsi="仿宋" w:eastAsia="仿宋" w:cs="仿宋"/>
          <w:b/>
          <w:bCs/>
          <w:color w:val="000000"/>
          <w:sz w:val="21"/>
          <w:szCs w:val="21"/>
          <w:highlight w:val="none"/>
          <w:lang w:val="en-US" w:eastAsia="zh-CN"/>
        </w:rPr>
      </w:pPr>
      <w:r>
        <w:rPr>
          <w:rFonts w:hint="eastAsia" w:ascii="仿宋" w:hAnsi="仿宋" w:eastAsia="仿宋" w:cs="仿宋"/>
          <w:b/>
          <w:bCs/>
          <w:color w:val="000000"/>
          <w:sz w:val="21"/>
          <w:szCs w:val="21"/>
          <w:highlight w:val="none"/>
          <w:lang w:val="en-US" w:eastAsia="zh-CN"/>
        </w:rPr>
        <w:t>1、服务范围及服务内容：</w:t>
      </w:r>
    </w:p>
    <w:p w14:paraId="5D12D0B5">
      <w:pPr>
        <w:pStyle w:val="34"/>
        <w:numPr>
          <w:ilvl w:val="0"/>
          <w:numId w:val="0"/>
        </w:numPr>
        <w:ind w:firstLine="420" w:firstLineChars="200"/>
        <w:rPr>
          <w:rFonts w:hint="eastAsia" w:ascii="仿宋" w:hAnsi="仿宋" w:eastAsia="仿宋" w:cs="仿宋"/>
          <w:color w:val="auto"/>
          <w:highlight w:val="none"/>
          <w:lang w:val="en-US" w:eastAsia="zh-CN"/>
        </w:rPr>
      </w:pPr>
      <w:r>
        <w:rPr>
          <w:rFonts w:hint="eastAsia" w:ascii="仿宋" w:hAnsi="仿宋" w:eastAsia="仿宋" w:cs="仿宋"/>
          <w:color w:val="auto"/>
          <w:lang w:val="en-US" w:eastAsia="zh-CN"/>
        </w:rPr>
        <w:t>（1）常山港右岸徐村大桥至</w:t>
      </w:r>
      <w:r>
        <w:rPr>
          <w:rFonts w:hint="eastAsia" w:ascii="仿宋" w:hAnsi="仿宋" w:eastAsia="仿宋" w:cs="仿宋"/>
          <w:color w:val="auto"/>
          <w:highlight w:val="none"/>
          <w:lang w:val="en-US" w:eastAsia="zh-CN"/>
        </w:rPr>
        <w:t>傥溪桥、龙绕溪205国道至傥溪桥左岸、常山港滨江堤人民医院至航电指挥部：堤面保洁、绿化养护。</w:t>
      </w:r>
    </w:p>
    <w:p w14:paraId="280269F9">
      <w:pPr>
        <w:pStyle w:val="34"/>
        <w:numPr>
          <w:ilvl w:val="0"/>
          <w:numId w:val="0"/>
        </w:numPr>
        <w:ind w:firstLine="420" w:firstLineChars="20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（2）滨江堤航电指挥部至富足山大桥，枧头溪出口至常山大桥：游步道、亲水平台、栈道、台阶、栏杆及防护设施保洁。</w:t>
      </w:r>
    </w:p>
    <w:p w14:paraId="4490DCD9">
      <w:pPr>
        <w:ind w:firstLine="420" w:firstLineChars="200"/>
        <w:rPr>
          <w:rFonts w:hint="default"/>
          <w:color w:val="auto"/>
          <w:lang w:val="en-US" w:eastAsia="zh-CN"/>
        </w:rPr>
      </w:pPr>
      <w:r>
        <w:rPr>
          <w:rFonts w:hint="eastAsia" w:ascii="仿宋" w:hAnsi="仿宋" w:eastAsia="仿宋" w:cs="仿宋"/>
          <w:color w:val="auto"/>
          <w:highlight w:val="none"/>
          <w:lang w:val="en-US" w:eastAsia="zh-CN"/>
        </w:rPr>
        <w:t>（3）徐村大桥至天马水电站、龙绕溪205国道到傥溪桥：水面保洁。</w:t>
      </w:r>
    </w:p>
    <w:p w14:paraId="5A80366F">
      <w:pPr>
        <w:pStyle w:val="34"/>
        <w:numPr>
          <w:ilvl w:val="0"/>
          <w:numId w:val="0"/>
        </w:numPr>
        <w:ind w:firstLine="420" w:firstLineChars="200"/>
        <w:rPr>
          <w:rFonts w:hint="eastAsia" w:ascii="仿宋" w:hAnsi="仿宋" w:eastAsia="仿宋" w:cs="仿宋"/>
          <w:b/>
          <w:bCs/>
          <w:color w:val="auto"/>
          <w:sz w:val="21"/>
          <w:szCs w:val="21"/>
          <w:lang w:val="en-US" w:eastAsia="zh-CN"/>
        </w:rPr>
      </w:pPr>
      <w:r>
        <w:rPr>
          <w:rFonts w:hint="eastAsia" w:ascii="仿宋" w:hAnsi="仿宋" w:eastAsia="仿宋" w:cs="仿宋"/>
          <w:b/>
          <w:bCs/>
          <w:color w:val="auto"/>
          <w:sz w:val="21"/>
          <w:szCs w:val="21"/>
          <w:lang w:val="en-US" w:eastAsia="zh-CN"/>
        </w:rPr>
        <w:t>2、</w:t>
      </w:r>
      <w:r>
        <w:rPr>
          <w:rFonts w:hint="eastAsia" w:ascii="仿宋" w:hAnsi="仿宋" w:eastAsia="仿宋" w:cs="仿宋"/>
          <w:b/>
          <w:bCs/>
          <w:color w:val="auto"/>
          <w:sz w:val="21"/>
          <w:szCs w:val="21"/>
          <w:lang w:val="zh-CN" w:eastAsia="zh-CN"/>
        </w:rPr>
        <w:t>保洁设备及人员配备要求：</w:t>
      </w:r>
    </w:p>
    <w:bookmarkEnd w:id="43"/>
    <w:tbl>
      <w:tblPr>
        <w:tblStyle w:val="50"/>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9"/>
        <w:gridCol w:w="1576"/>
        <w:gridCol w:w="1088"/>
        <w:gridCol w:w="1272"/>
        <w:gridCol w:w="4984"/>
      </w:tblGrid>
      <w:tr w14:paraId="66227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749" w:type="dxa"/>
            <w:noWrap w:val="0"/>
            <w:vAlign w:val="center"/>
          </w:tcPr>
          <w:p w14:paraId="67DD53CE">
            <w:pPr>
              <w:autoSpaceDE w:val="0"/>
              <w:autoSpaceDN w:val="0"/>
              <w:adjustRightInd w:val="0"/>
              <w:spacing w:line="360" w:lineRule="auto"/>
              <w:jc w:val="center"/>
              <w:rPr>
                <w:rFonts w:hint="eastAsia" w:ascii="仿宋" w:hAnsi="仿宋" w:eastAsia="仿宋" w:cs="仿宋"/>
                <w:color w:val="auto"/>
                <w:szCs w:val="21"/>
                <w:lang w:val="zh-CN"/>
              </w:rPr>
            </w:pPr>
            <w:r>
              <w:rPr>
                <w:rFonts w:hint="eastAsia" w:ascii="仿宋" w:hAnsi="仿宋" w:eastAsia="仿宋" w:cs="仿宋"/>
                <w:color w:val="auto"/>
                <w:szCs w:val="21"/>
                <w:lang w:val="zh-CN"/>
              </w:rPr>
              <w:t>序号</w:t>
            </w:r>
          </w:p>
        </w:tc>
        <w:tc>
          <w:tcPr>
            <w:tcW w:w="2664" w:type="dxa"/>
            <w:gridSpan w:val="2"/>
            <w:noWrap w:val="0"/>
            <w:vAlign w:val="center"/>
          </w:tcPr>
          <w:p w14:paraId="43FD486D">
            <w:pPr>
              <w:autoSpaceDE w:val="0"/>
              <w:autoSpaceDN w:val="0"/>
              <w:adjustRightInd w:val="0"/>
              <w:spacing w:line="360" w:lineRule="auto"/>
              <w:jc w:val="center"/>
              <w:rPr>
                <w:rFonts w:hint="eastAsia" w:ascii="仿宋" w:hAnsi="仿宋" w:eastAsia="仿宋" w:cs="仿宋"/>
                <w:color w:val="auto"/>
                <w:szCs w:val="21"/>
                <w:lang w:val="zh-CN"/>
              </w:rPr>
            </w:pPr>
            <w:r>
              <w:rPr>
                <w:rFonts w:hint="eastAsia" w:ascii="仿宋" w:hAnsi="仿宋" w:eastAsia="仿宋" w:cs="仿宋"/>
                <w:color w:val="auto"/>
                <w:szCs w:val="21"/>
                <w:lang w:val="zh-CN"/>
              </w:rPr>
              <w:t>名称</w:t>
            </w:r>
          </w:p>
        </w:tc>
        <w:tc>
          <w:tcPr>
            <w:tcW w:w="1272" w:type="dxa"/>
            <w:noWrap w:val="0"/>
            <w:vAlign w:val="center"/>
          </w:tcPr>
          <w:p w14:paraId="6C730C1B">
            <w:pPr>
              <w:autoSpaceDE w:val="0"/>
              <w:autoSpaceDN w:val="0"/>
              <w:adjustRightInd w:val="0"/>
              <w:spacing w:line="360" w:lineRule="auto"/>
              <w:jc w:val="center"/>
              <w:rPr>
                <w:rFonts w:hint="eastAsia" w:ascii="仿宋" w:hAnsi="仿宋" w:eastAsia="仿宋" w:cs="仿宋"/>
                <w:color w:val="auto"/>
                <w:szCs w:val="21"/>
                <w:lang w:val="zh-CN"/>
              </w:rPr>
            </w:pPr>
            <w:r>
              <w:rPr>
                <w:rFonts w:hint="eastAsia" w:ascii="仿宋" w:hAnsi="仿宋" w:eastAsia="仿宋" w:cs="仿宋"/>
                <w:color w:val="auto"/>
                <w:szCs w:val="21"/>
                <w:lang w:val="zh-CN"/>
              </w:rPr>
              <w:t>数量</w:t>
            </w:r>
          </w:p>
        </w:tc>
        <w:tc>
          <w:tcPr>
            <w:tcW w:w="4984" w:type="dxa"/>
            <w:noWrap w:val="0"/>
            <w:vAlign w:val="center"/>
          </w:tcPr>
          <w:p w14:paraId="4C747A31">
            <w:pPr>
              <w:autoSpaceDE w:val="0"/>
              <w:autoSpaceDN w:val="0"/>
              <w:adjustRightInd w:val="0"/>
              <w:spacing w:line="360" w:lineRule="auto"/>
              <w:jc w:val="center"/>
              <w:rPr>
                <w:rFonts w:hint="eastAsia" w:ascii="仿宋" w:hAnsi="仿宋" w:eastAsia="仿宋" w:cs="仿宋"/>
                <w:color w:val="auto"/>
                <w:szCs w:val="21"/>
                <w:lang w:val="zh-CN"/>
              </w:rPr>
            </w:pPr>
            <w:r>
              <w:rPr>
                <w:rFonts w:hint="eastAsia" w:ascii="仿宋" w:hAnsi="仿宋" w:eastAsia="仿宋" w:cs="仿宋"/>
                <w:color w:val="auto"/>
                <w:szCs w:val="21"/>
                <w:lang w:val="zh-CN"/>
              </w:rPr>
              <w:t>要求</w:t>
            </w:r>
          </w:p>
        </w:tc>
      </w:tr>
      <w:tr w14:paraId="0E656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49" w:type="dxa"/>
            <w:noWrap w:val="0"/>
            <w:vAlign w:val="center"/>
          </w:tcPr>
          <w:p w14:paraId="35CC8BD4">
            <w:pPr>
              <w:autoSpaceDE w:val="0"/>
              <w:autoSpaceDN w:val="0"/>
              <w:adjustRightInd w:val="0"/>
              <w:spacing w:line="360" w:lineRule="auto"/>
              <w:jc w:val="center"/>
              <w:rPr>
                <w:rFonts w:hint="eastAsia" w:ascii="仿宋" w:hAnsi="仿宋" w:eastAsia="仿宋" w:cs="仿宋"/>
                <w:color w:val="auto"/>
                <w:szCs w:val="21"/>
                <w:lang w:val="zh-CN" w:eastAsia="zh-CN"/>
              </w:rPr>
            </w:pPr>
            <w:r>
              <w:rPr>
                <w:rFonts w:hint="eastAsia" w:ascii="仿宋" w:hAnsi="仿宋" w:eastAsia="仿宋" w:cs="仿宋"/>
                <w:color w:val="auto"/>
                <w:szCs w:val="21"/>
                <w:lang w:val="en-US" w:eastAsia="zh-CN"/>
              </w:rPr>
              <w:t>1</w:t>
            </w:r>
          </w:p>
        </w:tc>
        <w:tc>
          <w:tcPr>
            <w:tcW w:w="2664" w:type="dxa"/>
            <w:gridSpan w:val="2"/>
            <w:noWrap w:val="0"/>
            <w:vAlign w:val="center"/>
          </w:tcPr>
          <w:p w14:paraId="5730F378">
            <w:pPr>
              <w:autoSpaceDE w:val="0"/>
              <w:autoSpaceDN w:val="0"/>
              <w:adjustRightInd w:val="0"/>
              <w:spacing w:line="360" w:lineRule="auto"/>
              <w:jc w:val="center"/>
              <w:rPr>
                <w:rFonts w:hint="eastAsia" w:ascii="仿宋" w:hAnsi="仿宋" w:eastAsia="仿宋" w:cs="仿宋"/>
                <w:color w:val="auto"/>
                <w:szCs w:val="21"/>
                <w:lang w:val="zh-CN"/>
              </w:rPr>
            </w:pPr>
            <w:r>
              <w:rPr>
                <w:rFonts w:hint="eastAsia" w:ascii="仿宋" w:hAnsi="仿宋" w:eastAsia="仿宋" w:cs="仿宋"/>
                <w:color w:val="auto"/>
                <w:szCs w:val="21"/>
                <w:lang w:val="zh-CN"/>
              </w:rPr>
              <w:t>垃圾车</w:t>
            </w:r>
          </w:p>
        </w:tc>
        <w:tc>
          <w:tcPr>
            <w:tcW w:w="1272" w:type="dxa"/>
            <w:noWrap w:val="0"/>
            <w:vAlign w:val="center"/>
          </w:tcPr>
          <w:p w14:paraId="2A642D56">
            <w:pPr>
              <w:autoSpaceDE w:val="0"/>
              <w:autoSpaceDN w:val="0"/>
              <w:adjustRightInd w:val="0"/>
              <w:spacing w:line="360" w:lineRule="auto"/>
              <w:jc w:val="center"/>
              <w:rPr>
                <w:rFonts w:hint="eastAsia" w:ascii="仿宋" w:hAnsi="仿宋" w:eastAsia="仿宋" w:cs="仿宋"/>
                <w:color w:val="auto"/>
                <w:szCs w:val="21"/>
                <w:lang w:val="zh-CN"/>
              </w:rPr>
            </w:pPr>
            <w:r>
              <w:rPr>
                <w:rFonts w:hint="eastAsia" w:ascii="仿宋" w:hAnsi="仿宋" w:eastAsia="仿宋" w:cs="仿宋"/>
                <w:color w:val="auto"/>
                <w:szCs w:val="21"/>
                <w:lang w:val="zh-CN"/>
              </w:rPr>
              <w:t>1辆及以上</w:t>
            </w:r>
          </w:p>
        </w:tc>
        <w:tc>
          <w:tcPr>
            <w:tcW w:w="4984" w:type="dxa"/>
            <w:noWrap w:val="0"/>
            <w:vAlign w:val="center"/>
          </w:tcPr>
          <w:p w14:paraId="014A7240">
            <w:pPr>
              <w:rPr>
                <w:rFonts w:hint="eastAsia" w:ascii="仿宋" w:hAnsi="仿宋" w:eastAsia="仿宋" w:cs="仿宋"/>
                <w:color w:val="auto"/>
                <w:highlight w:val="none"/>
              </w:rPr>
            </w:pP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1</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中标人</w:t>
            </w:r>
            <w:r>
              <w:rPr>
                <w:rFonts w:hint="eastAsia" w:ascii="仿宋" w:hAnsi="仿宋" w:eastAsia="仿宋" w:cs="仿宋"/>
                <w:color w:val="auto"/>
                <w:highlight w:val="none"/>
                <w:lang w:eastAsia="zh-CN"/>
              </w:rPr>
              <w:t>须</w:t>
            </w:r>
            <w:r>
              <w:rPr>
                <w:rFonts w:hint="eastAsia" w:ascii="仿宋" w:hAnsi="仿宋" w:eastAsia="仿宋" w:cs="仿宋"/>
                <w:color w:val="auto"/>
                <w:highlight w:val="none"/>
              </w:rPr>
              <w:t>自备载重</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2吨</w:t>
            </w:r>
            <w:r>
              <w:rPr>
                <w:rFonts w:hint="eastAsia" w:ascii="仿宋" w:hAnsi="仿宋" w:eastAsia="仿宋" w:cs="仿宋"/>
                <w:color w:val="auto"/>
                <w:highlight w:val="none"/>
                <w:lang w:eastAsia="zh-CN"/>
              </w:rPr>
              <w:t>的</w:t>
            </w:r>
            <w:r>
              <w:rPr>
                <w:rFonts w:hint="eastAsia" w:ascii="仿宋" w:hAnsi="仿宋" w:eastAsia="仿宋" w:cs="仿宋"/>
                <w:color w:val="auto"/>
                <w:highlight w:val="none"/>
              </w:rPr>
              <w:t>垃圾车；</w:t>
            </w:r>
          </w:p>
          <w:p w14:paraId="2B8AA2EF">
            <w:pPr>
              <w:rPr>
                <w:rFonts w:hint="eastAsia" w:ascii="仿宋" w:hAnsi="仿宋" w:eastAsia="仿宋" w:cs="仿宋"/>
                <w:color w:val="auto"/>
                <w:highlight w:val="none"/>
              </w:rPr>
            </w:pPr>
            <w:r>
              <w:rPr>
                <w:rFonts w:hint="eastAsia" w:ascii="仿宋" w:hAnsi="仿宋" w:eastAsia="仿宋" w:cs="仿宋"/>
                <w:color w:val="auto"/>
                <w:highlight w:val="none"/>
              </w:rPr>
              <w:t>（2）垃圾倾倒：运</w:t>
            </w:r>
            <w:r>
              <w:rPr>
                <w:rFonts w:hint="eastAsia" w:ascii="仿宋" w:hAnsi="仿宋" w:eastAsia="仿宋" w:cs="仿宋"/>
                <w:color w:val="auto"/>
                <w:highlight w:val="none"/>
                <w:lang w:eastAsia="zh-CN"/>
              </w:rPr>
              <w:t>送</w:t>
            </w:r>
            <w:r>
              <w:rPr>
                <w:rFonts w:hint="eastAsia" w:ascii="仿宋" w:hAnsi="仿宋" w:eastAsia="仿宋" w:cs="仿宋"/>
                <w:color w:val="auto"/>
                <w:highlight w:val="none"/>
              </w:rPr>
              <w:t>至县垃圾填埋场（</w:t>
            </w:r>
            <w:r>
              <w:rPr>
                <w:rFonts w:hint="eastAsia" w:ascii="仿宋" w:hAnsi="仿宋" w:eastAsia="仿宋" w:cs="仿宋"/>
                <w:strike w:val="0"/>
                <w:dstrike w:val="0"/>
                <w:color w:val="auto"/>
                <w:highlight w:val="none"/>
              </w:rPr>
              <w:t>需</w:t>
            </w:r>
            <w:r>
              <w:rPr>
                <w:rFonts w:hint="eastAsia" w:ascii="仿宋" w:hAnsi="仿宋" w:eastAsia="仿宋" w:cs="仿宋"/>
                <w:color w:val="auto"/>
                <w:szCs w:val="21"/>
                <w:highlight w:val="none"/>
                <w:lang w:val="zh-CN"/>
              </w:rPr>
              <w:t>取回称重回执单</w:t>
            </w:r>
            <w:r>
              <w:rPr>
                <w:rFonts w:hint="eastAsia" w:ascii="仿宋" w:hAnsi="仿宋" w:eastAsia="仿宋" w:cs="仿宋"/>
                <w:color w:val="auto"/>
                <w:highlight w:val="none"/>
              </w:rPr>
              <w:t>），允许短时</w:t>
            </w:r>
            <w:r>
              <w:rPr>
                <w:rFonts w:hint="eastAsia" w:ascii="仿宋" w:hAnsi="仿宋" w:eastAsia="仿宋" w:cs="仿宋"/>
                <w:color w:val="auto"/>
                <w:highlight w:val="none"/>
                <w:lang w:eastAsia="zh-CN"/>
              </w:rPr>
              <w:t>间</w:t>
            </w:r>
            <w:r>
              <w:rPr>
                <w:rFonts w:hint="eastAsia" w:ascii="仿宋" w:hAnsi="仿宋" w:eastAsia="仿宋" w:cs="仿宋"/>
                <w:color w:val="auto"/>
                <w:highlight w:val="none"/>
              </w:rPr>
              <w:t>临时堆放（但必须</w:t>
            </w:r>
            <w:r>
              <w:rPr>
                <w:rFonts w:hint="eastAsia" w:ascii="仿宋" w:hAnsi="仿宋" w:eastAsia="仿宋" w:cs="仿宋"/>
                <w:color w:val="auto"/>
                <w:highlight w:val="none"/>
                <w:lang w:eastAsia="zh-CN"/>
              </w:rPr>
              <w:t>做到</w:t>
            </w:r>
            <w:r>
              <w:rPr>
                <w:rFonts w:hint="eastAsia" w:ascii="仿宋" w:hAnsi="仿宋" w:eastAsia="仿宋" w:cs="仿宋"/>
                <w:color w:val="auto"/>
                <w:highlight w:val="none"/>
              </w:rPr>
              <w:t>日产日清）、集中清运。</w:t>
            </w:r>
          </w:p>
        </w:tc>
      </w:tr>
      <w:tr w14:paraId="072AC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749" w:type="dxa"/>
            <w:vMerge w:val="restart"/>
            <w:noWrap w:val="0"/>
            <w:vAlign w:val="center"/>
          </w:tcPr>
          <w:p w14:paraId="54FFBC14">
            <w:pPr>
              <w:autoSpaceDE w:val="0"/>
              <w:autoSpaceDN w:val="0"/>
              <w:adjustRightInd w:val="0"/>
              <w:spacing w:line="360" w:lineRule="auto"/>
              <w:jc w:val="center"/>
              <w:rPr>
                <w:rFonts w:hint="eastAsia" w:ascii="仿宋" w:hAnsi="仿宋" w:eastAsia="仿宋" w:cs="仿宋"/>
                <w:color w:val="auto"/>
                <w:szCs w:val="21"/>
                <w:lang w:val="zh-CN" w:eastAsia="zh-CN"/>
              </w:rPr>
            </w:pPr>
            <w:r>
              <w:rPr>
                <w:rFonts w:hint="eastAsia" w:ascii="仿宋" w:hAnsi="仿宋" w:eastAsia="仿宋" w:cs="仿宋"/>
                <w:color w:val="auto"/>
                <w:szCs w:val="21"/>
                <w:lang w:val="en-US" w:eastAsia="zh-CN"/>
              </w:rPr>
              <w:t>2</w:t>
            </w:r>
          </w:p>
        </w:tc>
        <w:tc>
          <w:tcPr>
            <w:tcW w:w="1576" w:type="dxa"/>
            <w:vMerge w:val="restart"/>
            <w:noWrap w:val="0"/>
            <w:vAlign w:val="center"/>
          </w:tcPr>
          <w:p w14:paraId="2101C266">
            <w:pPr>
              <w:autoSpaceDE w:val="0"/>
              <w:autoSpaceDN w:val="0"/>
              <w:adjustRightInd w:val="0"/>
              <w:spacing w:line="360" w:lineRule="auto"/>
              <w:jc w:val="center"/>
              <w:rPr>
                <w:rFonts w:hint="eastAsia" w:ascii="仿宋" w:hAnsi="仿宋" w:eastAsia="仿宋" w:cs="仿宋"/>
                <w:color w:val="auto"/>
                <w:szCs w:val="21"/>
                <w:lang w:val="zh-CN"/>
              </w:rPr>
            </w:pPr>
            <w:r>
              <w:rPr>
                <w:rFonts w:hint="eastAsia" w:ascii="仿宋" w:hAnsi="仿宋" w:eastAsia="仿宋" w:cs="仿宋"/>
                <w:color w:val="auto"/>
                <w:szCs w:val="21"/>
                <w:lang w:val="zh-CN"/>
              </w:rPr>
              <w:t>管理员及保洁员工</w:t>
            </w:r>
          </w:p>
        </w:tc>
        <w:tc>
          <w:tcPr>
            <w:tcW w:w="1088" w:type="dxa"/>
            <w:noWrap w:val="0"/>
            <w:vAlign w:val="center"/>
          </w:tcPr>
          <w:p w14:paraId="1B0548B0">
            <w:pPr>
              <w:jc w:val="center"/>
              <w:rPr>
                <w:rFonts w:hint="eastAsia" w:ascii="仿宋" w:hAnsi="仿宋" w:eastAsia="仿宋" w:cs="仿宋"/>
                <w:color w:val="auto"/>
                <w:szCs w:val="21"/>
                <w:lang w:val="zh-CN"/>
              </w:rPr>
            </w:pPr>
            <w:r>
              <w:rPr>
                <w:rFonts w:hint="eastAsia" w:ascii="仿宋" w:hAnsi="仿宋" w:eastAsia="仿宋" w:cs="仿宋"/>
                <w:color w:val="auto"/>
                <w:szCs w:val="21"/>
                <w:lang w:val="zh-CN"/>
              </w:rPr>
              <w:t>管理</w:t>
            </w:r>
          </w:p>
        </w:tc>
        <w:tc>
          <w:tcPr>
            <w:tcW w:w="1272" w:type="dxa"/>
            <w:noWrap w:val="0"/>
            <w:vAlign w:val="center"/>
          </w:tcPr>
          <w:p w14:paraId="52461B97">
            <w:pPr>
              <w:jc w:val="center"/>
              <w:rPr>
                <w:rFonts w:hint="eastAsia" w:ascii="仿宋" w:hAnsi="仿宋" w:eastAsia="仿宋" w:cs="仿宋"/>
                <w:color w:val="auto"/>
                <w:szCs w:val="21"/>
                <w:lang w:val="zh-CN"/>
              </w:rPr>
            </w:pPr>
            <w:r>
              <w:rPr>
                <w:rFonts w:hint="eastAsia" w:ascii="仿宋" w:hAnsi="仿宋" w:eastAsia="仿宋" w:cs="仿宋"/>
                <w:color w:val="auto"/>
                <w:szCs w:val="21"/>
                <w:lang w:val="zh-CN"/>
              </w:rPr>
              <w:t>1人及以上</w:t>
            </w:r>
          </w:p>
        </w:tc>
        <w:tc>
          <w:tcPr>
            <w:tcW w:w="4984" w:type="dxa"/>
            <w:vMerge w:val="restart"/>
            <w:noWrap w:val="0"/>
            <w:vAlign w:val="center"/>
          </w:tcPr>
          <w:p w14:paraId="6CBB0048">
            <w:pPr>
              <w:numPr>
                <w:ilvl w:val="0"/>
                <w:numId w:val="0"/>
              </w:numPr>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1</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不包含垃圾清运车司机</w:t>
            </w:r>
            <w:r>
              <w:rPr>
                <w:rFonts w:hint="eastAsia" w:ascii="仿宋" w:hAnsi="仿宋" w:eastAsia="仿宋" w:cs="仿宋"/>
                <w:color w:val="auto"/>
                <w:highlight w:val="none"/>
                <w:lang w:eastAsia="zh-CN"/>
              </w:rPr>
              <w:t>；</w:t>
            </w:r>
          </w:p>
          <w:p w14:paraId="0E61CE15">
            <w:pPr>
              <w:numPr>
                <w:ilvl w:val="0"/>
                <w:numId w:val="0"/>
              </w:numPr>
              <w:rPr>
                <w:rFonts w:hint="eastAsia" w:ascii="仿宋" w:hAnsi="仿宋" w:eastAsia="仿宋" w:cs="仿宋"/>
                <w:color w:val="auto"/>
                <w:highlight w:val="none"/>
                <w:lang w:eastAsia="zh-CN"/>
              </w:rPr>
            </w:pPr>
            <w:r>
              <w:rPr>
                <w:rFonts w:hint="eastAsia" w:ascii="仿宋" w:hAnsi="仿宋" w:eastAsia="仿宋" w:cs="仿宋"/>
                <w:color w:val="auto"/>
                <w:highlight w:val="none"/>
              </w:rPr>
              <w:t>（2）河面卫生保洁时间：冬春7:30～17:00；夏秋6:30～17:30</w:t>
            </w:r>
            <w:r>
              <w:rPr>
                <w:rFonts w:hint="eastAsia" w:ascii="仿宋" w:hAnsi="仿宋" w:eastAsia="仿宋" w:cs="仿宋"/>
                <w:color w:val="auto"/>
                <w:highlight w:val="none"/>
                <w:lang w:eastAsia="zh-CN"/>
              </w:rPr>
              <w:t>；</w:t>
            </w:r>
          </w:p>
          <w:p w14:paraId="3E02A753">
            <w:pPr>
              <w:numPr>
                <w:ilvl w:val="0"/>
                <w:numId w:val="0"/>
              </w:numPr>
              <w:rPr>
                <w:rFonts w:hint="eastAsia" w:ascii="仿宋" w:hAnsi="仿宋" w:eastAsia="仿宋" w:cs="仿宋"/>
                <w:color w:val="auto"/>
                <w:highlight w:val="none"/>
                <w:lang w:eastAsia="zh-CN"/>
              </w:rPr>
            </w:pPr>
            <w:r>
              <w:rPr>
                <w:rFonts w:hint="eastAsia" w:ascii="仿宋" w:hAnsi="仿宋" w:eastAsia="仿宋" w:cs="仿宋"/>
                <w:color w:val="auto"/>
                <w:highlight w:val="none"/>
              </w:rPr>
              <w:t>（3）</w:t>
            </w:r>
            <w:r>
              <w:rPr>
                <w:rFonts w:hint="eastAsia" w:ascii="仿宋" w:hAnsi="仿宋" w:eastAsia="仿宋" w:cs="仿宋"/>
                <w:color w:val="auto"/>
                <w:highlight w:val="none"/>
                <w:lang w:eastAsia="zh-CN"/>
              </w:rPr>
              <w:t>堤岸</w:t>
            </w:r>
            <w:r>
              <w:rPr>
                <w:rFonts w:hint="eastAsia" w:ascii="仿宋" w:hAnsi="仿宋" w:eastAsia="仿宋" w:cs="仿宋"/>
                <w:color w:val="auto"/>
                <w:highlight w:val="none"/>
              </w:rPr>
              <w:t>卫生保洁时间：冬春7:30～17:00；夏秋6:30～17:30。保洁清扫（1、2、3、4、10、11、12）7个月必须在早上8:30前清扫完毕，（5、6、7、8、9）5个月必须在早上7:00前清扫完毕</w:t>
            </w:r>
            <w:r>
              <w:rPr>
                <w:rFonts w:hint="eastAsia" w:ascii="仿宋" w:hAnsi="仿宋" w:eastAsia="仿宋" w:cs="仿宋"/>
                <w:color w:val="auto"/>
                <w:highlight w:val="none"/>
                <w:lang w:eastAsia="zh-CN"/>
              </w:rPr>
              <w:t>；</w:t>
            </w:r>
          </w:p>
          <w:p w14:paraId="3CDCE346">
            <w:pPr>
              <w:numPr>
                <w:ilvl w:val="0"/>
                <w:numId w:val="0"/>
              </w:numPr>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4</w:t>
            </w:r>
            <w:r>
              <w:rPr>
                <w:rFonts w:hint="eastAsia" w:ascii="仿宋" w:hAnsi="仿宋" w:eastAsia="仿宋" w:cs="仿宋"/>
                <w:color w:val="auto"/>
                <w:highlight w:val="none"/>
                <w:lang w:eastAsia="zh-CN"/>
              </w:rPr>
              <w:t>）草坪及河岸边坡的保洁、养护工作；</w:t>
            </w:r>
          </w:p>
        </w:tc>
      </w:tr>
      <w:tr w14:paraId="64692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749" w:type="dxa"/>
            <w:vMerge w:val="continue"/>
            <w:noWrap w:val="0"/>
            <w:vAlign w:val="center"/>
          </w:tcPr>
          <w:p w14:paraId="15A7B160">
            <w:pPr>
              <w:autoSpaceDE w:val="0"/>
              <w:autoSpaceDN w:val="0"/>
              <w:adjustRightInd w:val="0"/>
              <w:spacing w:line="360" w:lineRule="auto"/>
              <w:jc w:val="center"/>
              <w:rPr>
                <w:rFonts w:hint="eastAsia" w:ascii="仿宋" w:hAnsi="仿宋" w:eastAsia="仿宋" w:cs="仿宋"/>
                <w:color w:val="auto"/>
                <w:szCs w:val="21"/>
                <w:lang w:val="zh-CN"/>
              </w:rPr>
            </w:pPr>
          </w:p>
        </w:tc>
        <w:tc>
          <w:tcPr>
            <w:tcW w:w="1576" w:type="dxa"/>
            <w:vMerge w:val="continue"/>
            <w:noWrap w:val="0"/>
            <w:vAlign w:val="center"/>
          </w:tcPr>
          <w:p w14:paraId="18623514">
            <w:pPr>
              <w:autoSpaceDE w:val="0"/>
              <w:autoSpaceDN w:val="0"/>
              <w:adjustRightInd w:val="0"/>
              <w:spacing w:line="360" w:lineRule="auto"/>
              <w:jc w:val="center"/>
              <w:rPr>
                <w:rFonts w:hint="eastAsia" w:ascii="仿宋" w:hAnsi="仿宋" w:eastAsia="仿宋" w:cs="仿宋"/>
                <w:color w:val="auto"/>
                <w:szCs w:val="21"/>
                <w:lang w:val="zh-CN"/>
              </w:rPr>
            </w:pPr>
          </w:p>
        </w:tc>
        <w:tc>
          <w:tcPr>
            <w:tcW w:w="1088" w:type="dxa"/>
            <w:noWrap w:val="0"/>
            <w:vAlign w:val="center"/>
          </w:tcPr>
          <w:p w14:paraId="2954F264">
            <w:pPr>
              <w:jc w:val="center"/>
              <w:rPr>
                <w:rFonts w:hint="eastAsia" w:ascii="仿宋" w:hAnsi="仿宋" w:eastAsia="仿宋" w:cs="仿宋"/>
                <w:color w:val="auto"/>
                <w:szCs w:val="21"/>
                <w:lang w:val="zh-CN"/>
              </w:rPr>
            </w:pPr>
            <w:r>
              <w:rPr>
                <w:rFonts w:hint="eastAsia" w:ascii="仿宋" w:hAnsi="仿宋" w:eastAsia="仿宋" w:cs="仿宋"/>
                <w:color w:val="auto"/>
                <w:szCs w:val="21"/>
                <w:lang w:val="zh-CN"/>
              </w:rPr>
              <w:t>河面</w:t>
            </w:r>
          </w:p>
        </w:tc>
        <w:tc>
          <w:tcPr>
            <w:tcW w:w="1272" w:type="dxa"/>
            <w:noWrap w:val="0"/>
            <w:vAlign w:val="center"/>
          </w:tcPr>
          <w:p w14:paraId="7AA5DF77">
            <w:pPr>
              <w:jc w:val="center"/>
              <w:rPr>
                <w:rFonts w:hint="eastAsia" w:ascii="仿宋" w:hAnsi="仿宋" w:eastAsia="仿宋" w:cs="仿宋"/>
                <w:color w:val="auto"/>
                <w:szCs w:val="21"/>
                <w:lang w:val="zh-CN"/>
              </w:rPr>
            </w:pPr>
            <w:r>
              <w:rPr>
                <w:rFonts w:hint="eastAsia" w:ascii="仿宋" w:hAnsi="仿宋" w:eastAsia="仿宋" w:cs="仿宋"/>
                <w:color w:val="auto"/>
                <w:szCs w:val="21"/>
                <w:lang w:val="zh-CN"/>
              </w:rPr>
              <w:t>7人及以上</w:t>
            </w:r>
          </w:p>
        </w:tc>
        <w:tc>
          <w:tcPr>
            <w:tcW w:w="4984" w:type="dxa"/>
            <w:vMerge w:val="continue"/>
            <w:noWrap w:val="0"/>
            <w:vAlign w:val="center"/>
          </w:tcPr>
          <w:p w14:paraId="31DA6A96">
            <w:pPr>
              <w:spacing w:line="360" w:lineRule="auto"/>
              <w:jc w:val="left"/>
              <w:rPr>
                <w:rFonts w:hint="eastAsia" w:ascii="仿宋" w:hAnsi="仿宋" w:eastAsia="仿宋" w:cs="仿宋"/>
                <w:color w:val="auto"/>
                <w:szCs w:val="21"/>
                <w:lang w:val="zh-CN"/>
              </w:rPr>
            </w:pPr>
          </w:p>
        </w:tc>
      </w:tr>
      <w:tr w14:paraId="36357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749" w:type="dxa"/>
            <w:vMerge w:val="continue"/>
            <w:noWrap w:val="0"/>
            <w:vAlign w:val="center"/>
          </w:tcPr>
          <w:p w14:paraId="4F103BEE">
            <w:pPr>
              <w:autoSpaceDE w:val="0"/>
              <w:autoSpaceDN w:val="0"/>
              <w:adjustRightInd w:val="0"/>
              <w:spacing w:line="360" w:lineRule="auto"/>
              <w:jc w:val="center"/>
              <w:rPr>
                <w:rFonts w:hint="eastAsia" w:ascii="仿宋" w:hAnsi="仿宋" w:eastAsia="仿宋" w:cs="仿宋"/>
                <w:color w:val="auto"/>
                <w:szCs w:val="21"/>
                <w:lang w:val="zh-CN"/>
              </w:rPr>
            </w:pPr>
          </w:p>
        </w:tc>
        <w:tc>
          <w:tcPr>
            <w:tcW w:w="1576" w:type="dxa"/>
            <w:vMerge w:val="continue"/>
            <w:noWrap w:val="0"/>
            <w:vAlign w:val="center"/>
          </w:tcPr>
          <w:p w14:paraId="6EEED5A7">
            <w:pPr>
              <w:autoSpaceDE w:val="0"/>
              <w:autoSpaceDN w:val="0"/>
              <w:adjustRightInd w:val="0"/>
              <w:spacing w:line="360" w:lineRule="auto"/>
              <w:jc w:val="center"/>
              <w:rPr>
                <w:rFonts w:hint="eastAsia" w:ascii="仿宋" w:hAnsi="仿宋" w:eastAsia="仿宋" w:cs="仿宋"/>
                <w:color w:val="auto"/>
                <w:szCs w:val="21"/>
                <w:lang w:val="zh-CN"/>
              </w:rPr>
            </w:pPr>
          </w:p>
        </w:tc>
        <w:tc>
          <w:tcPr>
            <w:tcW w:w="1088" w:type="dxa"/>
            <w:noWrap w:val="0"/>
            <w:vAlign w:val="center"/>
          </w:tcPr>
          <w:p w14:paraId="2A9E4946">
            <w:pPr>
              <w:jc w:val="center"/>
              <w:rPr>
                <w:rFonts w:hint="eastAsia" w:ascii="仿宋" w:hAnsi="仿宋" w:eastAsia="仿宋" w:cs="仿宋"/>
                <w:color w:val="auto"/>
                <w:szCs w:val="21"/>
                <w:lang w:val="zh-CN"/>
              </w:rPr>
            </w:pPr>
            <w:r>
              <w:rPr>
                <w:rFonts w:hint="eastAsia" w:ascii="仿宋" w:hAnsi="仿宋" w:eastAsia="仿宋" w:cs="仿宋"/>
                <w:color w:val="auto"/>
                <w:szCs w:val="21"/>
                <w:lang w:val="zh-CN"/>
              </w:rPr>
              <w:t>堤岸</w:t>
            </w:r>
          </w:p>
        </w:tc>
        <w:tc>
          <w:tcPr>
            <w:tcW w:w="1272" w:type="dxa"/>
            <w:noWrap w:val="0"/>
            <w:vAlign w:val="center"/>
          </w:tcPr>
          <w:p w14:paraId="3AA38BA8">
            <w:pPr>
              <w:jc w:val="center"/>
              <w:rPr>
                <w:rFonts w:hint="eastAsia" w:ascii="仿宋" w:hAnsi="仿宋" w:eastAsia="仿宋" w:cs="仿宋"/>
                <w:color w:val="auto"/>
                <w:szCs w:val="21"/>
                <w:lang w:val="zh-CN"/>
              </w:rPr>
            </w:pPr>
            <w:r>
              <w:rPr>
                <w:rFonts w:hint="eastAsia" w:ascii="仿宋" w:hAnsi="仿宋" w:eastAsia="仿宋" w:cs="仿宋"/>
                <w:color w:val="auto"/>
                <w:szCs w:val="21"/>
                <w:lang w:val="zh-CN"/>
              </w:rPr>
              <w:t>2人及以上</w:t>
            </w:r>
          </w:p>
        </w:tc>
        <w:tc>
          <w:tcPr>
            <w:tcW w:w="4984" w:type="dxa"/>
            <w:vMerge w:val="continue"/>
            <w:noWrap w:val="0"/>
            <w:vAlign w:val="center"/>
          </w:tcPr>
          <w:p w14:paraId="1647C5FF">
            <w:pPr>
              <w:spacing w:line="360" w:lineRule="auto"/>
              <w:jc w:val="left"/>
              <w:rPr>
                <w:rFonts w:hint="eastAsia" w:ascii="仿宋" w:hAnsi="仿宋" w:eastAsia="仿宋" w:cs="仿宋"/>
                <w:color w:val="auto"/>
                <w:szCs w:val="21"/>
                <w:lang w:val="zh-CN"/>
              </w:rPr>
            </w:pPr>
          </w:p>
        </w:tc>
      </w:tr>
      <w:tr w14:paraId="258A3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749" w:type="dxa"/>
            <w:vMerge w:val="continue"/>
            <w:noWrap w:val="0"/>
            <w:vAlign w:val="center"/>
          </w:tcPr>
          <w:p w14:paraId="737DE45D">
            <w:pPr>
              <w:autoSpaceDE w:val="0"/>
              <w:autoSpaceDN w:val="0"/>
              <w:adjustRightInd w:val="0"/>
              <w:spacing w:line="360" w:lineRule="auto"/>
              <w:jc w:val="center"/>
              <w:rPr>
                <w:rFonts w:hint="eastAsia" w:ascii="仿宋" w:hAnsi="仿宋" w:eastAsia="仿宋" w:cs="仿宋"/>
                <w:color w:val="auto"/>
                <w:szCs w:val="21"/>
                <w:lang w:val="zh-CN"/>
              </w:rPr>
            </w:pPr>
          </w:p>
        </w:tc>
        <w:tc>
          <w:tcPr>
            <w:tcW w:w="1576" w:type="dxa"/>
            <w:vMerge w:val="continue"/>
            <w:noWrap w:val="0"/>
            <w:vAlign w:val="center"/>
          </w:tcPr>
          <w:p w14:paraId="62EA4D4B">
            <w:pPr>
              <w:autoSpaceDE w:val="0"/>
              <w:autoSpaceDN w:val="0"/>
              <w:adjustRightInd w:val="0"/>
              <w:spacing w:line="360" w:lineRule="auto"/>
              <w:jc w:val="center"/>
              <w:rPr>
                <w:rFonts w:hint="eastAsia" w:ascii="仿宋" w:hAnsi="仿宋" w:eastAsia="仿宋" w:cs="仿宋"/>
                <w:color w:val="auto"/>
                <w:szCs w:val="21"/>
                <w:lang w:val="zh-CN"/>
              </w:rPr>
            </w:pPr>
          </w:p>
        </w:tc>
        <w:tc>
          <w:tcPr>
            <w:tcW w:w="1088" w:type="dxa"/>
            <w:noWrap w:val="0"/>
            <w:vAlign w:val="center"/>
          </w:tcPr>
          <w:p w14:paraId="6C705405">
            <w:pPr>
              <w:jc w:val="center"/>
              <w:rPr>
                <w:rFonts w:hint="eastAsia" w:ascii="仿宋" w:hAnsi="仿宋" w:eastAsia="仿宋" w:cs="仿宋"/>
                <w:color w:val="auto"/>
                <w:szCs w:val="21"/>
                <w:lang w:val="zh-CN"/>
              </w:rPr>
            </w:pPr>
            <w:r>
              <w:rPr>
                <w:rFonts w:hint="eastAsia" w:ascii="仿宋" w:hAnsi="仿宋" w:eastAsia="仿宋" w:cs="仿宋"/>
                <w:color w:val="auto"/>
                <w:lang w:val="zh-CN"/>
              </w:rPr>
              <w:t>草坪、河岸边坡</w:t>
            </w:r>
          </w:p>
        </w:tc>
        <w:tc>
          <w:tcPr>
            <w:tcW w:w="1272" w:type="dxa"/>
            <w:noWrap w:val="0"/>
            <w:vAlign w:val="center"/>
          </w:tcPr>
          <w:p w14:paraId="6765318D">
            <w:pPr>
              <w:jc w:val="center"/>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3人及以上</w:t>
            </w:r>
          </w:p>
        </w:tc>
        <w:tc>
          <w:tcPr>
            <w:tcW w:w="4984" w:type="dxa"/>
            <w:vMerge w:val="continue"/>
            <w:noWrap w:val="0"/>
            <w:vAlign w:val="center"/>
          </w:tcPr>
          <w:p w14:paraId="100EE3C5">
            <w:pPr>
              <w:spacing w:line="360" w:lineRule="auto"/>
              <w:jc w:val="left"/>
              <w:rPr>
                <w:rFonts w:hint="eastAsia" w:ascii="仿宋" w:hAnsi="仿宋" w:eastAsia="仿宋" w:cs="仿宋"/>
                <w:color w:val="auto"/>
                <w:szCs w:val="21"/>
                <w:lang w:val="zh-CN"/>
              </w:rPr>
            </w:pPr>
          </w:p>
        </w:tc>
      </w:tr>
      <w:tr w14:paraId="77805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7" w:hRule="atLeast"/>
        </w:trPr>
        <w:tc>
          <w:tcPr>
            <w:tcW w:w="749" w:type="dxa"/>
            <w:noWrap w:val="0"/>
            <w:vAlign w:val="center"/>
          </w:tcPr>
          <w:p w14:paraId="5F622325">
            <w:pPr>
              <w:autoSpaceDE w:val="0"/>
              <w:autoSpaceDN w:val="0"/>
              <w:adjustRightInd w:val="0"/>
              <w:spacing w:line="360" w:lineRule="auto"/>
              <w:jc w:val="center"/>
              <w:rPr>
                <w:rFonts w:hint="eastAsia" w:ascii="仿宋" w:hAnsi="仿宋" w:eastAsia="仿宋" w:cs="仿宋"/>
                <w:color w:val="auto"/>
                <w:szCs w:val="21"/>
                <w:lang w:val="zh-CN" w:eastAsia="zh-CN"/>
              </w:rPr>
            </w:pPr>
            <w:r>
              <w:rPr>
                <w:rFonts w:hint="eastAsia" w:ascii="仿宋" w:hAnsi="仿宋" w:eastAsia="仿宋" w:cs="仿宋"/>
                <w:color w:val="auto"/>
                <w:szCs w:val="21"/>
                <w:lang w:val="en-US" w:eastAsia="zh-CN"/>
              </w:rPr>
              <w:t>3</w:t>
            </w:r>
          </w:p>
        </w:tc>
        <w:tc>
          <w:tcPr>
            <w:tcW w:w="2664" w:type="dxa"/>
            <w:gridSpan w:val="2"/>
            <w:noWrap w:val="0"/>
            <w:vAlign w:val="center"/>
          </w:tcPr>
          <w:p w14:paraId="4E9DD205">
            <w:pPr>
              <w:autoSpaceDE w:val="0"/>
              <w:autoSpaceDN w:val="0"/>
              <w:adjustRightInd w:val="0"/>
              <w:spacing w:line="360" w:lineRule="auto"/>
              <w:jc w:val="center"/>
              <w:rPr>
                <w:rFonts w:hint="eastAsia" w:ascii="仿宋" w:hAnsi="仿宋" w:eastAsia="仿宋" w:cs="仿宋"/>
                <w:color w:val="auto"/>
                <w:szCs w:val="21"/>
                <w:lang w:val="zh-CN"/>
              </w:rPr>
            </w:pPr>
            <w:r>
              <w:rPr>
                <w:rFonts w:hint="eastAsia" w:ascii="仿宋" w:hAnsi="仿宋" w:eastAsia="仿宋" w:cs="仿宋"/>
                <w:color w:val="auto"/>
                <w:szCs w:val="21"/>
                <w:lang w:val="zh-CN"/>
              </w:rPr>
              <w:t>保洁船</w:t>
            </w:r>
          </w:p>
        </w:tc>
        <w:tc>
          <w:tcPr>
            <w:tcW w:w="1272" w:type="dxa"/>
            <w:noWrap w:val="0"/>
            <w:vAlign w:val="center"/>
          </w:tcPr>
          <w:p w14:paraId="751244A9">
            <w:pPr>
              <w:autoSpaceDE w:val="0"/>
              <w:autoSpaceDN w:val="0"/>
              <w:adjustRightInd w:val="0"/>
              <w:spacing w:line="360" w:lineRule="auto"/>
              <w:jc w:val="center"/>
              <w:rPr>
                <w:rFonts w:hint="eastAsia" w:ascii="仿宋" w:hAnsi="仿宋" w:eastAsia="仿宋" w:cs="仿宋"/>
                <w:color w:val="auto"/>
                <w:szCs w:val="21"/>
                <w:lang w:val="zh-CN"/>
              </w:rPr>
            </w:pPr>
            <w:r>
              <w:rPr>
                <w:rFonts w:hint="eastAsia" w:ascii="仿宋" w:hAnsi="仿宋" w:eastAsia="仿宋" w:cs="仿宋"/>
                <w:color w:val="auto"/>
                <w:szCs w:val="21"/>
                <w:lang w:val="zh-CN"/>
              </w:rPr>
              <w:t>4艘</w:t>
            </w:r>
          </w:p>
        </w:tc>
        <w:tc>
          <w:tcPr>
            <w:tcW w:w="4984" w:type="dxa"/>
            <w:noWrap w:val="0"/>
            <w:vAlign w:val="center"/>
          </w:tcPr>
          <w:p w14:paraId="1AFED147">
            <w:pPr>
              <w:numPr>
                <w:ilvl w:val="0"/>
                <w:numId w:val="0"/>
              </w:numPr>
              <w:rPr>
                <w:rFonts w:hint="eastAsia" w:ascii="仿宋" w:hAnsi="仿宋" w:eastAsia="仿宋" w:cs="仿宋"/>
                <w:b/>
                <w:color w:val="auto"/>
                <w:highlight w:val="none"/>
              </w:rPr>
            </w:pPr>
            <w:r>
              <w:rPr>
                <w:rFonts w:hint="eastAsia" w:ascii="仿宋" w:hAnsi="仿宋" w:eastAsia="仿宋" w:cs="仿宋"/>
                <w:b/>
                <w:color w:val="auto"/>
                <w:highlight w:val="none"/>
                <w:lang w:eastAsia="zh-CN"/>
              </w:rPr>
              <w:t>（</w:t>
            </w:r>
            <w:r>
              <w:rPr>
                <w:rFonts w:hint="eastAsia" w:ascii="仿宋" w:hAnsi="仿宋" w:eastAsia="仿宋" w:cs="仿宋"/>
                <w:b/>
                <w:color w:val="auto"/>
                <w:highlight w:val="none"/>
                <w:lang w:val="en-US" w:eastAsia="zh-CN"/>
              </w:rPr>
              <w:t>1</w:t>
            </w:r>
            <w:r>
              <w:rPr>
                <w:rFonts w:hint="eastAsia" w:ascii="仿宋" w:hAnsi="仿宋" w:eastAsia="仿宋" w:cs="仿宋"/>
                <w:b/>
                <w:color w:val="auto"/>
                <w:highlight w:val="none"/>
                <w:lang w:eastAsia="zh-CN"/>
              </w:rPr>
              <w:t>）采购</w:t>
            </w:r>
            <w:r>
              <w:rPr>
                <w:rFonts w:hint="eastAsia" w:ascii="仿宋" w:hAnsi="仿宋" w:eastAsia="仿宋" w:cs="仿宋"/>
                <w:b/>
                <w:color w:val="auto"/>
                <w:highlight w:val="none"/>
              </w:rPr>
              <w:t>人提供一艘自动清漂船，中标人提供日常维护、保养、清洗工作。</w:t>
            </w:r>
          </w:p>
          <w:p w14:paraId="745E3063">
            <w:pPr>
              <w:numPr>
                <w:ilvl w:val="0"/>
                <w:numId w:val="0"/>
              </w:numPr>
              <w:rPr>
                <w:rFonts w:hint="eastAsia" w:ascii="仿宋" w:hAnsi="仿宋" w:eastAsia="仿宋" w:cs="仿宋"/>
                <w:color w:val="auto"/>
                <w:highlight w:val="none"/>
                <w:lang w:val="zh-CN"/>
              </w:rPr>
            </w:pP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2</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中标人提供1艘钢质船、2艘半自动保洁船，规格（净吨位1吨及以上）</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所有船舶必须合法</w:t>
            </w:r>
            <w:r>
              <w:rPr>
                <w:rFonts w:hint="eastAsia" w:ascii="仿宋" w:hAnsi="仿宋" w:eastAsia="仿宋" w:cs="仿宋"/>
                <w:color w:val="auto"/>
                <w:highlight w:val="none"/>
                <w:lang w:eastAsia="zh-CN"/>
              </w:rPr>
              <w:t>；</w:t>
            </w:r>
            <w:r>
              <w:rPr>
                <w:rFonts w:hint="eastAsia" w:ascii="仿宋" w:hAnsi="仿宋" w:eastAsia="仿宋" w:cs="仿宋"/>
                <w:b/>
                <w:bCs/>
                <w:color w:val="auto"/>
                <w:highlight w:val="none"/>
                <w:lang w:eastAsia="zh-CN"/>
              </w:rPr>
              <w:t>租赁合同或购买发票原件扫描件编入商务技术文件中。</w:t>
            </w:r>
          </w:p>
        </w:tc>
      </w:tr>
      <w:tr w14:paraId="5D5AA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749" w:type="dxa"/>
            <w:noWrap w:val="0"/>
            <w:vAlign w:val="center"/>
          </w:tcPr>
          <w:p w14:paraId="2E1DE396">
            <w:pPr>
              <w:autoSpaceDE w:val="0"/>
              <w:autoSpaceDN w:val="0"/>
              <w:adjustRightInd w:val="0"/>
              <w:spacing w:line="360" w:lineRule="auto"/>
              <w:jc w:val="center"/>
              <w:rPr>
                <w:rFonts w:hint="eastAsia" w:ascii="仿宋" w:hAnsi="仿宋" w:eastAsia="仿宋" w:cs="仿宋"/>
                <w:color w:val="auto"/>
                <w:szCs w:val="21"/>
                <w:lang w:val="zh-CN" w:eastAsia="zh-CN"/>
              </w:rPr>
            </w:pPr>
            <w:r>
              <w:rPr>
                <w:rFonts w:hint="eastAsia" w:ascii="仿宋" w:hAnsi="仿宋" w:eastAsia="仿宋" w:cs="仿宋"/>
                <w:color w:val="auto"/>
                <w:szCs w:val="21"/>
                <w:lang w:val="en-US" w:eastAsia="zh-CN"/>
              </w:rPr>
              <w:t>4</w:t>
            </w:r>
          </w:p>
        </w:tc>
        <w:tc>
          <w:tcPr>
            <w:tcW w:w="2664" w:type="dxa"/>
            <w:gridSpan w:val="2"/>
            <w:noWrap w:val="0"/>
            <w:vAlign w:val="center"/>
          </w:tcPr>
          <w:p w14:paraId="726E2412">
            <w:pPr>
              <w:autoSpaceDE w:val="0"/>
              <w:autoSpaceDN w:val="0"/>
              <w:adjustRightInd w:val="0"/>
              <w:spacing w:line="360" w:lineRule="auto"/>
              <w:jc w:val="center"/>
              <w:rPr>
                <w:rFonts w:hint="eastAsia" w:ascii="仿宋" w:hAnsi="仿宋" w:eastAsia="仿宋" w:cs="仿宋"/>
                <w:color w:val="auto"/>
                <w:szCs w:val="21"/>
                <w:lang w:val="zh-CN"/>
              </w:rPr>
            </w:pPr>
            <w:r>
              <w:rPr>
                <w:rFonts w:hint="eastAsia" w:ascii="仿宋" w:hAnsi="仿宋" w:eastAsia="仿宋" w:cs="仿宋"/>
                <w:color w:val="auto"/>
                <w:szCs w:val="21"/>
                <w:lang w:val="zh-CN"/>
              </w:rPr>
              <w:t>保洁工具</w:t>
            </w:r>
          </w:p>
        </w:tc>
        <w:tc>
          <w:tcPr>
            <w:tcW w:w="1272" w:type="dxa"/>
            <w:noWrap w:val="0"/>
            <w:vAlign w:val="center"/>
          </w:tcPr>
          <w:p w14:paraId="2C68228F">
            <w:pPr>
              <w:autoSpaceDE w:val="0"/>
              <w:autoSpaceDN w:val="0"/>
              <w:adjustRightInd w:val="0"/>
              <w:spacing w:line="360" w:lineRule="auto"/>
              <w:jc w:val="center"/>
              <w:rPr>
                <w:rFonts w:hint="eastAsia" w:ascii="仿宋" w:hAnsi="仿宋" w:eastAsia="仿宋" w:cs="仿宋"/>
                <w:color w:val="auto"/>
                <w:szCs w:val="21"/>
                <w:lang w:val="zh-CN"/>
              </w:rPr>
            </w:pPr>
            <w:r>
              <w:rPr>
                <w:rFonts w:hint="eastAsia" w:ascii="仿宋" w:hAnsi="仿宋" w:eastAsia="仿宋" w:cs="仿宋"/>
                <w:color w:val="auto"/>
                <w:szCs w:val="21"/>
                <w:lang w:val="zh-CN"/>
              </w:rPr>
              <w:t>若干</w:t>
            </w:r>
          </w:p>
        </w:tc>
        <w:tc>
          <w:tcPr>
            <w:tcW w:w="4984" w:type="dxa"/>
            <w:noWrap w:val="0"/>
            <w:vAlign w:val="center"/>
          </w:tcPr>
          <w:p w14:paraId="1DD67609">
            <w:pPr>
              <w:spacing w:line="360" w:lineRule="auto"/>
              <w:jc w:val="left"/>
              <w:rPr>
                <w:rFonts w:hint="eastAsia" w:ascii="仿宋" w:hAnsi="仿宋" w:eastAsia="仿宋" w:cs="仿宋"/>
                <w:color w:val="auto"/>
                <w:szCs w:val="21"/>
                <w:lang w:val="zh-CN"/>
              </w:rPr>
            </w:pPr>
            <w:r>
              <w:rPr>
                <w:rFonts w:hint="eastAsia" w:ascii="仿宋" w:hAnsi="仿宋" w:eastAsia="仿宋" w:cs="仿宋"/>
                <w:color w:val="auto"/>
                <w:szCs w:val="21"/>
                <w:lang w:val="zh-CN"/>
              </w:rPr>
              <w:t>中标人按采购人需要配备齐全。</w:t>
            </w:r>
          </w:p>
        </w:tc>
      </w:tr>
    </w:tbl>
    <w:p w14:paraId="4E859BE3">
      <w:pPr>
        <w:pStyle w:val="3"/>
        <w:bidi w:val="0"/>
        <w:rPr>
          <w:rFonts w:hint="eastAsia" w:ascii="仿宋" w:hAnsi="仿宋" w:eastAsia="仿宋" w:cs="仿宋"/>
          <w:b/>
          <w:bCs/>
          <w:color w:val="auto"/>
          <w:sz w:val="28"/>
          <w:szCs w:val="28"/>
          <w:lang w:eastAsia="zh-CN"/>
        </w:rPr>
      </w:pPr>
      <w:bookmarkStart w:id="46" w:name="_Toc9828"/>
      <w:r>
        <w:rPr>
          <w:rFonts w:hint="eastAsia" w:ascii="仿宋" w:hAnsi="仿宋" w:eastAsia="仿宋" w:cs="仿宋"/>
          <w:b/>
          <w:bCs/>
          <w:color w:val="auto"/>
          <w:sz w:val="28"/>
          <w:szCs w:val="28"/>
          <w:lang w:eastAsia="zh-CN"/>
        </w:rPr>
        <w:t>二、相关标准</w:t>
      </w:r>
      <w:bookmarkEnd w:id="46"/>
    </w:p>
    <w:p w14:paraId="30032AD4">
      <w:pPr>
        <w:widowControl/>
        <w:tabs>
          <w:tab w:val="left" w:pos="210"/>
        </w:tabs>
        <w:autoSpaceDE w:val="0"/>
        <w:autoSpaceDN w:val="0"/>
        <w:adjustRightInd w:val="0"/>
        <w:spacing w:line="360" w:lineRule="auto"/>
        <w:ind w:firstLine="420" w:firstLineChars="200"/>
        <w:textAlignment w:val="bottom"/>
        <w:rPr>
          <w:rFonts w:hint="eastAsia" w:ascii="仿宋" w:hAnsi="仿宋" w:eastAsia="仿宋" w:cs="仿宋"/>
          <w:b/>
          <w:bCs/>
          <w:color w:val="auto"/>
          <w:szCs w:val="21"/>
          <w:lang w:val="zh-CN"/>
        </w:rPr>
      </w:pPr>
      <w:r>
        <w:rPr>
          <w:rFonts w:hint="eastAsia" w:ascii="仿宋" w:hAnsi="仿宋" w:eastAsia="仿宋" w:cs="仿宋"/>
          <w:b/>
          <w:bCs/>
          <w:color w:val="auto"/>
          <w:szCs w:val="21"/>
          <w:lang w:val="en-US" w:eastAsia="zh-CN"/>
        </w:rPr>
        <w:t>1、</w:t>
      </w:r>
      <w:r>
        <w:rPr>
          <w:rFonts w:hint="eastAsia" w:ascii="仿宋" w:hAnsi="仿宋" w:eastAsia="仿宋" w:cs="仿宋"/>
          <w:b/>
          <w:bCs/>
          <w:color w:val="auto"/>
          <w:szCs w:val="21"/>
          <w:lang w:val="zh-CN"/>
        </w:rPr>
        <w:t>河面</w:t>
      </w:r>
      <w:r>
        <w:rPr>
          <w:rFonts w:hint="eastAsia" w:ascii="仿宋" w:hAnsi="仿宋" w:eastAsia="仿宋" w:cs="仿宋"/>
          <w:b/>
          <w:bCs/>
          <w:color w:val="auto"/>
          <w:szCs w:val="21"/>
          <w:highlight w:val="none"/>
          <w:lang w:val="zh-CN"/>
        </w:rPr>
        <w:t>长效</w:t>
      </w:r>
      <w:r>
        <w:rPr>
          <w:rFonts w:hint="eastAsia" w:ascii="仿宋" w:hAnsi="仿宋" w:eastAsia="仿宋" w:cs="仿宋"/>
          <w:b/>
          <w:bCs/>
          <w:color w:val="auto"/>
          <w:szCs w:val="21"/>
          <w:lang w:val="zh-CN"/>
        </w:rPr>
        <w:t>保洁标准：</w:t>
      </w:r>
    </w:p>
    <w:p w14:paraId="5E95FFC7">
      <w:pPr>
        <w:pStyle w:val="34"/>
        <w:numPr>
          <w:ilvl w:val="0"/>
          <w:numId w:val="0"/>
        </w:numPr>
        <w:ind w:firstLine="420" w:firstLineChars="200"/>
        <w:rPr>
          <w:rFonts w:hint="eastAsia" w:ascii="仿宋" w:hAnsi="仿宋" w:eastAsia="仿宋" w:cs="仿宋"/>
          <w:color w:val="auto"/>
          <w:szCs w:val="21"/>
          <w:highlight w:val="none"/>
          <w:lang w:val="zh-CN"/>
        </w:rPr>
      </w:pPr>
      <w:r>
        <w:rPr>
          <w:rFonts w:hint="eastAsia" w:ascii="仿宋" w:hAnsi="仿宋" w:eastAsia="仿宋" w:cs="仿宋"/>
          <w:color w:val="auto"/>
          <w:szCs w:val="21"/>
          <w:lang w:val="zh-CN"/>
        </w:rPr>
        <w:t>（1）每天至少确保1条保洁船，保洁员3人及以上、堤岸保洁员2人及以上</w:t>
      </w:r>
      <w:r>
        <w:rPr>
          <w:rFonts w:hint="eastAsia" w:ascii="仿宋" w:hAnsi="仿宋" w:eastAsia="仿宋" w:cs="仿宋"/>
          <w:color w:val="auto"/>
          <w:szCs w:val="21"/>
          <w:highlight w:val="none"/>
          <w:lang w:val="zh-CN"/>
        </w:rPr>
        <w:t>投入作业，根据保洁需求应随时增加保洁力量。如遇特殊情况，必须配合采购人要求，应及时根据现场情况合理安排船舶及保洁人员，具体负责河面漂浮物打捞保洁工作，做到河面可视范围内没有成块杂草或漂浮物，无卫生死角，湖中无明显障碍物；及时清除汛期水淹有堤防的亲水平台所沉积的淤泥和垃圾。具体保洁考核标准参见附件《常山县林业水利局河道保洁项目管理考核办法》。</w:t>
      </w:r>
    </w:p>
    <w:p w14:paraId="229CA9F8">
      <w:pPr>
        <w:pStyle w:val="34"/>
        <w:numPr>
          <w:ilvl w:val="0"/>
          <w:numId w:val="0"/>
        </w:numPr>
        <w:ind w:firstLine="420" w:firstLineChars="200"/>
        <w:rPr>
          <w:rFonts w:hint="eastAsia" w:ascii="仿宋" w:hAnsi="仿宋" w:eastAsia="仿宋" w:cs="仿宋"/>
          <w:color w:val="auto"/>
          <w:szCs w:val="21"/>
          <w:highlight w:val="none"/>
          <w:lang w:val="zh-CN" w:eastAsia="zh-CN"/>
        </w:rPr>
      </w:pPr>
      <w:r>
        <w:rPr>
          <w:rFonts w:hint="eastAsia" w:ascii="仿宋" w:hAnsi="仿宋" w:eastAsia="仿宋" w:cs="仿宋"/>
          <w:color w:val="auto"/>
          <w:szCs w:val="21"/>
          <w:highlight w:val="none"/>
          <w:lang w:val="zh-CN"/>
        </w:rPr>
        <w:t>（2）保洁船在河道中运行要遵守相关规定，具备安全意识。配备的船只、从业人员必须符合国家相关强制性规范，保持保洁船舶处于良好运行状态，并有醒目标志。确保各种打捞工具完好，不影响打捞工作；装卸垃圾时确保人身安全，严禁违章作业。中标人须为本项目符合缴纳社保年龄条件的作业人员缴纳社保，为不符合缴纳社保年龄条件的作业人员</w:t>
      </w:r>
      <w:r>
        <w:rPr>
          <w:rFonts w:hint="eastAsia" w:ascii="仿宋" w:hAnsi="仿宋" w:eastAsia="仿宋" w:cs="仿宋"/>
          <w:color w:val="auto"/>
          <w:highlight w:val="none"/>
          <w:lang w:val="zh-CN" w:eastAsia="zh-CN"/>
        </w:rPr>
        <w:t>购买意外伤害保险及第三者责任险</w:t>
      </w:r>
      <w:r>
        <w:rPr>
          <w:rFonts w:hint="eastAsia" w:ascii="仿宋" w:hAnsi="仿宋" w:eastAsia="仿宋" w:cs="仿宋"/>
          <w:color w:val="auto"/>
          <w:szCs w:val="21"/>
          <w:highlight w:val="none"/>
          <w:lang w:val="zh-CN"/>
        </w:rPr>
        <w:t>，</w:t>
      </w:r>
      <w:r>
        <w:rPr>
          <w:rFonts w:hint="eastAsia" w:ascii="仿宋" w:hAnsi="仿宋" w:eastAsia="仿宋" w:cs="仿宋"/>
          <w:color w:val="auto"/>
          <w:szCs w:val="21"/>
          <w:highlight w:val="none"/>
          <w:lang w:val="zh-CN" w:eastAsia="zh-CN"/>
        </w:rPr>
        <w:t>作业人员在工作时间内发生的任何人身意外伤害、第三者责任事故导致的一切损失均由中标人负责。</w:t>
      </w:r>
    </w:p>
    <w:p w14:paraId="4F47BDD8">
      <w:pPr>
        <w:pStyle w:val="34"/>
        <w:numPr>
          <w:ilvl w:val="0"/>
          <w:numId w:val="0"/>
        </w:numPr>
        <w:ind w:firstLine="420" w:firstLineChars="200"/>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3）河面打捞垃圾等废弃物做到定点倾倒、及时清运，重点区垃圾要求日产日清，集中运往环卫处指定地点倾倒、统一处理。应及时打捞河面动物死尸，及时清运至采购人指定地点，并联系无害化处理单位运往无害化处理厂，并取回称重回执单。建立健全保洁相关情况台账，每月上报采购人存档，对台账数据真实性负法律责任。</w:t>
      </w:r>
    </w:p>
    <w:p w14:paraId="1B05BAD3">
      <w:pPr>
        <w:pStyle w:val="34"/>
        <w:numPr>
          <w:ilvl w:val="0"/>
          <w:numId w:val="0"/>
        </w:numPr>
        <w:ind w:firstLine="420" w:firstLineChars="200"/>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（4）不发生上级领导批评、新闻媒体曝光或群众投诉等造成较大社会影响的事件。如发生上级领导批评、新闻媒体曝光或群众投诉事件，中标人应在12小时内整改完毕并及时向采购人反馈信息。</w:t>
      </w:r>
    </w:p>
    <w:p w14:paraId="5C55E172">
      <w:pPr>
        <w:pStyle w:val="34"/>
        <w:numPr>
          <w:ilvl w:val="0"/>
          <w:numId w:val="0"/>
        </w:numPr>
        <w:ind w:firstLine="420" w:firstLineChars="200"/>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（5）中标人须做到文明保洁，礼貌待人，做好沿河卫生宣传管理工作，维护沿堤安全警示牌和河道管理公告牌；及时举报和制止毁坏水工程设施、树木花草、乱弃垃圾、违章建筑等不良行为。</w:t>
      </w:r>
    </w:p>
    <w:p w14:paraId="6DDA017C">
      <w:pPr>
        <w:pStyle w:val="34"/>
        <w:numPr>
          <w:ilvl w:val="0"/>
          <w:numId w:val="0"/>
        </w:numPr>
        <w:ind w:firstLine="420" w:firstLineChars="200"/>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（6）中标人须做好作业人员水上安全生产教育和管理，遵守水上安全生产的各项规定，作业时一律身着水上救生衣，确保人身安全，做到安全第一。作业人员发生安全意外事故，责任由中标人负责并及时处理。</w:t>
      </w:r>
    </w:p>
    <w:p w14:paraId="54189FF5">
      <w:pPr>
        <w:widowControl/>
        <w:tabs>
          <w:tab w:val="left" w:pos="210"/>
        </w:tabs>
        <w:autoSpaceDE w:val="0"/>
        <w:autoSpaceDN w:val="0"/>
        <w:adjustRightInd w:val="0"/>
        <w:spacing w:line="360" w:lineRule="auto"/>
        <w:ind w:firstLine="420" w:firstLineChars="200"/>
        <w:textAlignment w:val="bottom"/>
        <w:rPr>
          <w:rFonts w:hint="eastAsia" w:ascii="仿宋" w:hAnsi="仿宋" w:eastAsia="仿宋" w:cs="仿宋"/>
          <w:b/>
          <w:bCs/>
          <w:color w:val="auto"/>
          <w:szCs w:val="21"/>
          <w:highlight w:val="none"/>
          <w:lang w:val="zh-CN"/>
        </w:rPr>
      </w:pPr>
      <w:r>
        <w:rPr>
          <w:rFonts w:hint="eastAsia" w:ascii="仿宋" w:hAnsi="仿宋" w:eastAsia="仿宋" w:cs="仿宋"/>
          <w:b/>
          <w:bCs/>
          <w:color w:val="auto"/>
          <w:szCs w:val="21"/>
          <w:highlight w:val="none"/>
          <w:lang w:val="zh-CN"/>
        </w:rPr>
        <w:t>2、堤岸长效保洁标准：</w:t>
      </w:r>
    </w:p>
    <w:p w14:paraId="235F79C1">
      <w:pPr>
        <w:pStyle w:val="34"/>
        <w:numPr>
          <w:ilvl w:val="0"/>
          <w:numId w:val="0"/>
        </w:numPr>
        <w:ind w:firstLine="420" w:firstLineChars="200"/>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（1）每天清扫必须做到亲水平台、护坡、台阶干净，无堆积垃圾、无跳扫漏扫、无烟头纸屑。</w:t>
      </w:r>
    </w:p>
    <w:p w14:paraId="7414E18D">
      <w:pPr>
        <w:pStyle w:val="34"/>
        <w:numPr>
          <w:ilvl w:val="0"/>
          <w:numId w:val="0"/>
        </w:numPr>
        <w:ind w:firstLine="420" w:firstLineChars="200"/>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（2）堤防沿岸不锈钢栏杆做到整洁无污渍，如发现设施有破损的应及时向采购人汇报。</w:t>
      </w:r>
    </w:p>
    <w:p w14:paraId="0A09C903">
      <w:pPr>
        <w:pStyle w:val="34"/>
        <w:numPr>
          <w:ilvl w:val="0"/>
          <w:numId w:val="0"/>
        </w:numPr>
        <w:ind w:firstLine="420" w:firstLineChars="200"/>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（3）清扫产生的灰尘、泥沙不得扫入河面或倒入绿化带。</w:t>
      </w:r>
    </w:p>
    <w:p w14:paraId="7C719B11">
      <w:pPr>
        <w:pStyle w:val="34"/>
        <w:numPr>
          <w:ilvl w:val="0"/>
          <w:numId w:val="0"/>
        </w:numPr>
        <w:ind w:firstLine="420" w:firstLineChars="200"/>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（4）积极完成采购人交办的突击任务或创建任务，不得推诿。</w:t>
      </w:r>
    </w:p>
    <w:p w14:paraId="50E236D1">
      <w:pPr>
        <w:pStyle w:val="34"/>
        <w:numPr>
          <w:ilvl w:val="0"/>
          <w:numId w:val="0"/>
        </w:numPr>
        <w:ind w:firstLine="420" w:firstLineChars="200"/>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（5）重大活动后应清洗相关活动区域。</w:t>
      </w:r>
    </w:p>
    <w:p w14:paraId="5A436700">
      <w:pPr>
        <w:pStyle w:val="3"/>
        <w:bidi w:val="0"/>
        <w:rPr>
          <w:rFonts w:hint="eastAsia" w:ascii="仿宋" w:hAnsi="仿宋" w:eastAsia="仿宋" w:cs="仿宋"/>
          <w:b/>
          <w:bCs/>
          <w:color w:val="auto"/>
          <w:sz w:val="28"/>
          <w:szCs w:val="28"/>
          <w:lang w:val="zh-CN" w:eastAsia="zh-CN"/>
        </w:rPr>
      </w:pPr>
      <w:bookmarkStart w:id="47" w:name="_Toc26184"/>
      <w:r>
        <w:rPr>
          <w:rFonts w:hint="eastAsia" w:ascii="仿宋" w:hAnsi="仿宋" w:eastAsia="仿宋" w:cs="仿宋"/>
          <w:b/>
          <w:bCs/>
          <w:color w:val="auto"/>
          <w:sz w:val="28"/>
          <w:szCs w:val="28"/>
          <w:lang w:val="zh-CN" w:eastAsia="zh-CN"/>
        </w:rPr>
        <w:t>三、保洁考核处罚与奖励</w:t>
      </w:r>
      <w:bookmarkEnd w:id="47"/>
    </w:p>
    <w:p w14:paraId="1DEAF44E">
      <w:pPr>
        <w:pStyle w:val="34"/>
        <w:numPr>
          <w:ilvl w:val="0"/>
          <w:numId w:val="0"/>
        </w:numPr>
        <w:ind w:firstLine="420" w:firstLineChars="200"/>
        <w:rPr>
          <w:rFonts w:hint="eastAsia" w:ascii="仿宋" w:hAnsi="仿宋" w:eastAsia="仿宋" w:cs="仿宋"/>
          <w:color w:val="auto"/>
          <w:szCs w:val="21"/>
          <w:lang w:val="zh-CN" w:eastAsia="zh-CN"/>
        </w:rPr>
      </w:pPr>
      <w:r>
        <w:rPr>
          <w:rFonts w:hint="eastAsia" w:ascii="仿宋" w:hAnsi="仿宋" w:eastAsia="仿宋" w:cs="仿宋"/>
          <w:color w:val="auto"/>
          <w:szCs w:val="21"/>
          <w:lang w:val="zh-CN" w:eastAsia="zh-CN"/>
        </w:rPr>
        <w:t>具体保洁考核标准按照《常山县林业水利局河道保洁项目管理考核办法》执行（详见合同附件）。</w:t>
      </w:r>
    </w:p>
    <w:p w14:paraId="2B4EA80A">
      <w:pPr>
        <w:pStyle w:val="3"/>
        <w:bidi w:val="0"/>
        <w:rPr>
          <w:rFonts w:hint="eastAsia" w:ascii="仿宋" w:hAnsi="仿宋" w:eastAsia="仿宋" w:cs="仿宋"/>
          <w:b/>
          <w:bCs/>
          <w:sz w:val="28"/>
          <w:szCs w:val="28"/>
          <w:lang w:eastAsia="zh-CN"/>
        </w:rPr>
      </w:pPr>
      <w:bookmarkStart w:id="48" w:name="_Toc27538"/>
      <w:r>
        <w:rPr>
          <w:rFonts w:hint="eastAsia" w:ascii="仿宋" w:hAnsi="仿宋" w:eastAsia="仿宋" w:cs="仿宋"/>
          <w:b/>
          <w:bCs/>
          <w:sz w:val="28"/>
          <w:szCs w:val="28"/>
          <w:lang w:eastAsia="zh-CN"/>
        </w:rPr>
        <w:t>四、安全责任</w:t>
      </w:r>
      <w:bookmarkEnd w:id="48"/>
    </w:p>
    <w:p w14:paraId="42886089">
      <w:pPr>
        <w:pStyle w:val="34"/>
        <w:numPr>
          <w:ilvl w:val="0"/>
          <w:numId w:val="0"/>
        </w:numPr>
        <w:ind w:firstLine="420" w:firstLineChars="200"/>
        <w:rPr>
          <w:rFonts w:hint="eastAsia" w:ascii="仿宋" w:hAnsi="仿宋" w:eastAsia="仿宋" w:cs="仿宋"/>
          <w:szCs w:val="21"/>
          <w:lang w:val="zh-CN"/>
        </w:rPr>
      </w:pPr>
      <w:r>
        <w:rPr>
          <w:rFonts w:hint="eastAsia" w:ascii="仿宋" w:hAnsi="仿宋" w:eastAsia="仿宋" w:cs="仿宋"/>
          <w:szCs w:val="21"/>
          <w:lang w:val="zh-CN"/>
        </w:rPr>
        <w:t>1.要求中标人为员工购买人身意外伤害险及第三者责任险（第三者责任险保额不得低于100万元）</w:t>
      </w:r>
      <w:r>
        <w:rPr>
          <w:rFonts w:hint="eastAsia" w:ascii="仿宋" w:hAnsi="仿宋" w:eastAsia="仿宋" w:cs="仿宋"/>
          <w:szCs w:val="21"/>
          <w:lang w:val="zh-CN" w:eastAsia="zh-CN"/>
        </w:rPr>
        <w:t>，</w:t>
      </w:r>
      <w:r>
        <w:rPr>
          <w:rFonts w:hint="eastAsia" w:ascii="仿宋" w:hAnsi="仿宋" w:eastAsia="仿宋" w:cs="仿宋"/>
          <w:szCs w:val="21"/>
          <w:lang w:val="zh-CN"/>
        </w:rPr>
        <w:t>且重视安全工作，保洁人员水上作业时必须佩戴救生器具，并对</w:t>
      </w:r>
      <w:r>
        <w:rPr>
          <w:rFonts w:hint="eastAsia" w:ascii="仿宋" w:hAnsi="仿宋" w:eastAsia="仿宋" w:cs="仿宋"/>
          <w:szCs w:val="21"/>
          <w:lang w:val="zh-CN" w:eastAsia="zh-CN"/>
        </w:rPr>
        <w:t>作业</w:t>
      </w:r>
      <w:r>
        <w:rPr>
          <w:rFonts w:hint="eastAsia" w:ascii="仿宋" w:hAnsi="仿宋" w:eastAsia="仿宋" w:cs="仿宋"/>
          <w:szCs w:val="21"/>
          <w:lang w:val="zh-CN"/>
        </w:rPr>
        <w:t>人员进行安全方面的知识教育，做好安全防范工作。</w:t>
      </w:r>
    </w:p>
    <w:p w14:paraId="740239B4">
      <w:pPr>
        <w:pStyle w:val="34"/>
        <w:numPr>
          <w:ilvl w:val="0"/>
          <w:numId w:val="0"/>
        </w:numPr>
        <w:ind w:firstLine="420" w:firstLineChars="200"/>
        <w:rPr>
          <w:rFonts w:hint="eastAsia" w:ascii="仿宋" w:hAnsi="仿宋" w:eastAsia="仿宋" w:cs="仿宋"/>
          <w:szCs w:val="21"/>
          <w:lang w:val="zh-CN"/>
        </w:rPr>
      </w:pPr>
      <w:r>
        <w:rPr>
          <w:rFonts w:hint="eastAsia" w:ascii="仿宋" w:hAnsi="仿宋" w:eastAsia="仿宋" w:cs="仿宋"/>
          <w:szCs w:val="21"/>
          <w:lang w:val="zh-CN"/>
        </w:rPr>
        <w:t>2.服务期</w:t>
      </w:r>
      <w:r>
        <w:rPr>
          <w:rFonts w:hint="eastAsia" w:ascii="仿宋" w:hAnsi="仿宋" w:eastAsia="仿宋" w:cs="仿宋"/>
          <w:szCs w:val="21"/>
          <w:lang w:val="zh-CN" w:eastAsia="zh-CN"/>
        </w:rPr>
        <w:t>限</w:t>
      </w:r>
      <w:r>
        <w:rPr>
          <w:rFonts w:hint="eastAsia" w:ascii="仿宋" w:hAnsi="仿宋" w:eastAsia="仿宋" w:cs="仿宋"/>
          <w:szCs w:val="21"/>
          <w:lang w:val="zh-CN"/>
        </w:rPr>
        <w:t>内若发生水上作业事故、生产安全责任事故,导致出现人员伤亡或财物损失的,所产生的一切费用及责任均由中标人依法承担，不得以任何理由向采购人追偿。</w:t>
      </w:r>
    </w:p>
    <w:p w14:paraId="66373DF4">
      <w:pPr>
        <w:pStyle w:val="3"/>
        <w:bidi w:val="0"/>
        <w:rPr>
          <w:rFonts w:hint="eastAsia" w:ascii="仿宋" w:hAnsi="仿宋" w:eastAsia="仿宋" w:cs="仿宋"/>
          <w:b/>
          <w:bCs/>
          <w:sz w:val="28"/>
          <w:szCs w:val="28"/>
          <w:lang w:val="zh-CN" w:eastAsia="zh-CN"/>
        </w:rPr>
      </w:pPr>
      <w:bookmarkStart w:id="49" w:name="_Toc18437"/>
      <w:r>
        <w:rPr>
          <w:rFonts w:hint="eastAsia" w:ascii="仿宋" w:hAnsi="仿宋" w:eastAsia="仿宋" w:cs="仿宋"/>
          <w:b/>
          <w:bCs/>
          <w:sz w:val="28"/>
          <w:szCs w:val="28"/>
          <w:lang w:val="zh-CN" w:eastAsia="zh-CN"/>
        </w:rPr>
        <w:t>五、商务条款</w:t>
      </w:r>
      <w:bookmarkEnd w:id="49"/>
    </w:p>
    <w:p w14:paraId="214949F7">
      <w:pPr>
        <w:widowControl/>
        <w:tabs>
          <w:tab w:val="left" w:pos="210"/>
        </w:tabs>
        <w:autoSpaceDE w:val="0"/>
        <w:autoSpaceDN w:val="0"/>
        <w:adjustRightInd w:val="0"/>
        <w:spacing w:line="360" w:lineRule="auto"/>
        <w:ind w:firstLine="420" w:firstLineChars="200"/>
        <w:textAlignment w:val="bottom"/>
        <w:rPr>
          <w:rFonts w:hint="eastAsia" w:ascii="仿宋" w:hAnsi="仿宋" w:eastAsia="仿宋" w:cs="仿宋"/>
          <w:b/>
          <w:bCs/>
          <w:szCs w:val="21"/>
          <w:lang w:val="en-US" w:eastAsia="zh-CN"/>
        </w:rPr>
      </w:pPr>
      <w:r>
        <w:rPr>
          <w:rFonts w:hint="eastAsia" w:ascii="仿宋" w:hAnsi="仿宋" w:eastAsia="仿宋" w:cs="仿宋"/>
          <w:b/>
          <w:bCs/>
          <w:szCs w:val="21"/>
          <w:lang w:val="en-US" w:eastAsia="zh-CN"/>
        </w:rPr>
        <w:t>1.服务期限</w:t>
      </w:r>
    </w:p>
    <w:p w14:paraId="6B0D3C40">
      <w:pPr>
        <w:pStyle w:val="34"/>
        <w:numPr>
          <w:ilvl w:val="0"/>
          <w:numId w:val="0"/>
        </w:numPr>
        <w:ind w:firstLine="420" w:firstLineChars="200"/>
        <w:rPr>
          <w:rFonts w:hint="eastAsia" w:ascii="仿宋" w:hAnsi="仿宋" w:eastAsia="仿宋" w:cs="仿宋"/>
          <w:szCs w:val="21"/>
          <w:lang w:val="en-US" w:eastAsia="zh-CN"/>
        </w:rPr>
      </w:pPr>
      <w:r>
        <w:rPr>
          <w:rFonts w:hint="eastAsia" w:ascii="仿宋" w:hAnsi="仿宋" w:eastAsia="仿宋" w:cs="仿宋"/>
          <w:szCs w:val="21"/>
          <w:lang w:val="en-US" w:eastAsia="zh-CN"/>
        </w:rPr>
        <w:t>两年，具体起止时间以合同约定为准。</w:t>
      </w:r>
    </w:p>
    <w:p w14:paraId="44D988F9">
      <w:pPr>
        <w:widowControl/>
        <w:numPr>
          <w:ilvl w:val="0"/>
          <w:numId w:val="0"/>
        </w:numPr>
        <w:tabs>
          <w:tab w:val="left" w:pos="210"/>
        </w:tabs>
        <w:autoSpaceDE w:val="0"/>
        <w:autoSpaceDN w:val="0"/>
        <w:adjustRightInd w:val="0"/>
        <w:spacing w:line="360" w:lineRule="auto"/>
        <w:ind w:firstLine="420" w:firstLineChars="200"/>
        <w:textAlignment w:val="bottom"/>
        <w:rPr>
          <w:rFonts w:hint="eastAsia" w:ascii="仿宋" w:hAnsi="仿宋" w:eastAsia="仿宋" w:cs="仿宋"/>
          <w:b/>
          <w:bCs/>
          <w:szCs w:val="21"/>
          <w:lang w:val="zh-CN" w:eastAsia="zh-CN"/>
        </w:rPr>
      </w:pPr>
      <w:r>
        <w:rPr>
          <w:rFonts w:hint="eastAsia" w:ascii="仿宋" w:hAnsi="仿宋" w:eastAsia="仿宋" w:cs="仿宋"/>
          <w:b/>
          <w:bCs/>
          <w:szCs w:val="21"/>
          <w:lang w:val="en-US" w:eastAsia="zh-CN"/>
        </w:rPr>
        <w:t>2.</w:t>
      </w:r>
      <w:r>
        <w:rPr>
          <w:rFonts w:hint="eastAsia" w:ascii="仿宋" w:hAnsi="仿宋" w:eastAsia="仿宋" w:cs="仿宋"/>
          <w:b/>
          <w:bCs/>
          <w:szCs w:val="21"/>
          <w:lang w:val="zh-CN" w:eastAsia="zh-CN"/>
        </w:rPr>
        <w:t>付款方式</w:t>
      </w:r>
    </w:p>
    <w:p w14:paraId="30F3DA1E">
      <w:pPr>
        <w:pStyle w:val="34"/>
        <w:numPr>
          <w:ilvl w:val="0"/>
          <w:numId w:val="0"/>
        </w:numPr>
        <w:ind w:firstLine="420" w:firstLineChars="200"/>
        <w:rPr>
          <w:rFonts w:hint="eastAsia" w:ascii="仿宋" w:hAnsi="仿宋" w:eastAsia="仿宋" w:cs="仿宋"/>
          <w:color w:val="auto"/>
          <w:szCs w:val="21"/>
          <w:lang w:val="zh-CN"/>
        </w:rPr>
      </w:pPr>
      <w:r>
        <w:rPr>
          <w:rFonts w:hint="eastAsia" w:ascii="仿宋" w:hAnsi="仿宋" w:eastAsia="仿宋" w:cs="仿宋"/>
          <w:szCs w:val="21"/>
          <w:lang w:val="zh-CN"/>
        </w:rPr>
        <w:t>常山港城区河道堤岸及河面保洁费用按季度支付，分八个季度计算，每季经季度考核后，并根据考核扣分情况及时支付相应</w:t>
      </w:r>
      <w:r>
        <w:rPr>
          <w:rFonts w:hint="eastAsia" w:ascii="仿宋" w:hAnsi="仿宋" w:eastAsia="仿宋" w:cs="仿宋"/>
          <w:color w:val="auto"/>
          <w:szCs w:val="21"/>
          <w:lang w:val="zh-CN"/>
        </w:rPr>
        <w:t>额度的季度保洁费用。</w:t>
      </w:r>
    </w:p>
    <w:p w14:paraId="2AB9376A">
      <w:pPr>
        <w:pStyle w:val="34"/>
        <w:numPr>
          <w:ilvl w:val="0"/>
          <w:numId w:val="0"/>
        </w:numPr>
        <w:ind w:firstLine="420" w:firstLineChars="200"/>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注：中标人须提供正规票据（符合合同甲方财务管理要求）后30日内支付至合同乙方账号。</w:t>
      </w:r>
    </w:p>
    <w:p w14:paraId="3DC1F377">
      <w:pPr>
        <w:pStyle w:val="34"/>
        <w:numPr>
          <w:ilvl w:val="0"/>
          <w:numId w:val="0"/>
        </w:numPr>
        <w:ind w:firstLine="600" w:firstLineChars="200"/>
        <w:rPr>
          <w:rFonts w:hint="eastAsia" w:ascii="仿宋" w:hAnsi="仿宋" w:eastAsia="仿宋" w:cs="仿宋"/>
          <w:color w:val="auto"/>
          <w:sz w:val="30"/>
          <w:szCs w:val="30"/>
          <w:lang w:val="zh-CN" w:eastAsia="zh-CN"/>
        </w:rPr>
      </w:pPr>
      <w:r>
        <w:rPr>
          <w:rFonts w:hint="eastAsia" w:ascii="仿宋" w:hAnsi="仿宋" w:eastAsia="仿宋" w:cs="仿宋"/>
          <w:color w:val="auto"/>
          <w:sz w:val="30"/>
          <w:szCs w:val="30"/>
          <w:lang w:val="zh-CN" w:eastAsia="zh-CN"/>
        </w:rPr>
        <w:br w:type="page"/>
      </w:r>
    </w:p>
    <w:p w14:paraId="39ABD016">
      <w:pPr>
        <w:pStyle w:val="47"/>
        <w:outlineLvl w:val="0"/>
        <w:rPr>
          <w:rFonts w:hint="eastAsia" w:ascii="仿宋" w:hAnsi="仿宋" w:eastAsia="仿宋" w:cs="仿宋"/>
          <w:color w:val="auto"/>
          <w:sz w:val="30"/>
          <w:szCs w:val="30"/>
          <w:lang w:val="zh-CN" w:eastAsia="zh-CN"/>
        </w:rPr>
      </w:pPr>
      <w:bookmarkStart w:id="50" w:name="_Toc31784"/>
      <w:r>
        <w:rPr>
          <w:rFonts w:hint="eastAsia" w:ascii="仿宋" w:hAnsi="仿宋" w:eastAsia="仿宋" w:cs="仿宋"/>
          <w:color w:val="auto"/>
          <w:sz w:val="30"/>
          <w:szCs w:val="30"/>
          <w:lang w:val="zh-CN" w:eastAsia="zh-CN"/>
        </w:rPr>
        <w:t>第四章  合同文本</w:t>
      </w:r>
      <w:bookmarkEnd w:id="44"/>
      <w:bookmarkEnd w:id="45"/>
      <w:bookmarkEnd w:id="50"/>
    </w:p>
    <w:p w14:paraId="3A711A5A">
      <w:pPr>
        <w:pStyle w:val="165"/>
        <w:widowControl/>
        <w:snapToGrid w:val="0"/>
        <w:spacing w:beforeLines="0" w:line="360" w:lineRule="auto"/>
        <w:ind w:left="0" w:leftChars="0" w:firstLine="0" w:firstLineChars="0"/>
        <w:jc w:val="left"/>
        <w:rPr>
          <w:rFonts w:hint="eastAsia" w:ascii="仿宋" w:hAnsi="仿宋" w:eastAsia="仿宋" w:cs="仿宋"/>
          <w:color w:val="auto"/>
          <w:szCs w:val="21"/>
        </w:rPr>
      </w:pPr>
    </w:p>
    <w:p w14:paraId="0C606C2B">
      <w:pPr>
        <w:pStyle w:val="165"/>
        <w:widowControl/>
        <w:snapToGrid w:val="0"/>
        <w:spacing w:beforeLines="0" w:line="360" w:lineRule="auto"/>
        <w:ind w:left="0" w:leftChars="0" w:firstLine="0" w:firstLineChars="0"/>
        <w:jc w:val="left"/>
        <w:rPr>
          <w:rFonts w:hint="eastAsia" w:ascii="仿宋" w:hAnsi="仿宋" w:eastAsia="仿宋" w:cs="仿宋"/>
          <w:color w:val="auto"/>
          <w:szCs w:val="21"/>
        </w:rPr>
      </w:pPr>
      <w:r>
        <w:rPr>
          <w:rFonts w:hint="eastAsia" w:ascii="仿宋" w:hAnsi="仿宋" w:eastAsia="仿宋" w:cs="仿宋"/>
          <w:color w:val="auto"/>
          <w:szCs w:val="21"/>
        </w:rPr>
        <w:t>甲方：（采购人）</w:t>
      </w:r>
    </w:p>
    <w:p w14:paraId="3F6409A3">
      <w:pPr>
        <w:pStyle w:val="165"/>
        <w:widowControl/>
        <w:snapToGrid w:val="0"/>
        <w:spacing w:beforeLines="0" w:line="360" w:lineRule="auto"/>
        <w:ind w:left="0" w:leftChars="0" w:firstLine="0" w:firstLineChars="0"/>
        <w:jc w:val="left"/>
        <w:rPr>
          <w:rFonts w:hint="eastAsia" w:ascii="仿宋" w:hAnsi="仿宋" w:eastAsia="仿宋" w:cs="仿宋"/>
          <w:color w:val="auto"/>
          <w:szCs w:val="21"/>
        </w:rPr>
      </w:pPr>
      <w:r>
        <w:rPr>
          <w:rFonts w:hint="eastAsia" w:ascii="仿宋" w:hAnsi="仿宋" w:eastAsia="仿宋" w:cs="仿宋"/>
          <w:color w:val="auto"/>
          <w:szCs w:val="21"/>
        </w:rPr>
        <w:t>住所：</w:t>
      </w:r>
    </w:p>
    <w:p w14:paraId="2921055E">
      <w:pPr>
        <w:pStyle w:val="165"/>
        <w:widowControl/>
        <w:snapToGrid w:val="0"/>
        <w:spacing w:beforeLines="0" w:line="360" w:lineRule="auto"/>
        <w:ind w:left="0" w:leftChars="0" w:firstLine="0" w:firstLineChars="0"/>
        <w:jc w:val="left"/>
        <w:rPr>
          <w:rFonts w:hint="eastAsia" w:ascii="仿宋" w:hAnsi="仿宋" w:eastAsia="仿宋" w:cs="仿宋"/>
          <w:color w:val="auto"/>
          <w:szCs w:val="21"/>
        </w:rPr>
      </w:pPr>
      <w:r>
        <w:rPr>
          <w:rFonts w:hint="eastAsia" w:ascii="仿宋" w:hAnsi="仿宋" w:eastAsia="仿宋" w:cs="仿宋"/>
          <w:color w:val="auto"/>
          <w:szCs w:val="21"/>
        </w:rPr>
        <w:t>开户银行：</w:t>
      </w:r>
    </w:p>
    <w:p w14:paraId="486DB0D4">
      <w:pPr>
        <w:pStyle w:val="165"/>
        <w:widowControl/>
        <w:snapToGrid w:val="0"/>
        <w:spacing w:beforeLines="0" w:line="360" w:lineRule="auto"/>
        <w:ind w:left="0" w:leftChars="0" w:firstLine="0" w:firstLineChars="0"/>
        <w:jc w:val="left"/>
        <w:rPr>
          <w:rFonts w:hint="eastAsia" w:ascii="仿宋" w:hAnsi="仿宋" w:eastAsia="仿宋" w:cs="仿宋"/>
          <w:color w:val="auto"/>
          <w:szCs w:val="21"/>
        </w:rPr>
      </w:pPr>
      <w:r>
        <w:rPr>
          <w:rFonts w:hint="eastAsia" w:ascii="仿宋" w:hAnsi="仿宋" w:eastAsia="仿宋" w:cs="仿宋"/>
          <w:color w:val="auto"/>
          <w:szCs w:val="21"/>
        </w:rPr>
        <w:t>账号：</w:t>
      </w:r>
    </w:p>
    <w:p w14:paraId="17E74F26">
      <w:pPr>
        <w:pStyle w:val="165"/>
        <w:widowControl/>
        <w:snapToGrid w:val="0"/>
        <w:spacing w:beforeLines="0" w:line="360" w:lineRule="auto"/>
        <w:ind w:left="0" w:leftChars="0" w:firstLine="0" w:firstLineChars="0"/>
        <w:jc w:val="left"/>
        <w:rPr>
          <w:rFonts w:hint="eastAsia" w:ascii="仿宋" w:hAnsi="仿宋" w:eastAsia="仿宋" w:cs="仿宋"/>
          <w:color w:val="auto"/>
          <w:szCs w:val="21"/>
        </w:rPr>
      </w:pPr>
      <w:r>
        <w:rPr>
          <w:rFonts w:hint="eastAsia" w:ascii="仿宋" w:hAnsi="仿宋" w:eastAsia="仿宋" w:cs="仿宋"/>
          <w:color w:val="auto"/>
          <w:szCs w:val="21"/>
        </w:rPr>
        <w:t>联系人：</w:t>
      </w:r>
    </w:p>
    <w:p w14:paraId="2F5E3D68">
      <w:pPr>
        <w:pStyle w:val="165"/>
        <w:widowControl/>
        <w:snapToGrid w:val="0"/>
        <w:spacing w:beforeLines="0" w:line="360" w:lineRule="auto"/>
        <w:ind w:left="0" w:leftChars="0" w:firstLine="0" w:firstLineChars="0"/>
        <w:jc w:val="left"/>
        <w:rPr>
          <w:rFonts w:hint="eastAsia" w:ascii="仿宋" w:hAnsi="仿宋" w:eastAsia="仿宋" w:cs="仿宋"/>
          <w:color w:val="auto"/>
          <w:szCs w:val="21"/>
        </w:rPr>
      </w:pPr>
      <w:r>
        <w:rPr>
          <w:rFonts w:hint="eastAsia" w:ascii="仿宋" w:hAnsi="仿宋" w:eastAsia="仿宋" w:cs="仿宋"/>
          <w:color w:val="auto"/>
          <w:szCs w:val="21"/>
        </w:rPr>
        <w:t>联系电话：</w:t>
      </w:r>
    </w:p>
    <w:p w14:paraId="59ADC831">
      <w:pPr>
        <w:pStyle w:val="18"/>
        <w:rPr>
          <w:rFonts w:hint="eastAsia" w:ascii="仿宋" w:hAnsi="仿宋" w:eastAsia="仿宋" w:cs="仿宋"/>
          <w:color w:val="auto"/>
        </w:rPr>
      </w:pPr>
    </w:p>
    <w:p w14:paraId="1C888DEB">
      <w:pPr>
        <w:pStyle w:val="165"/>
        <w:widowControl/>
        <w:snapToGrid w:val="0"/>
        <w:spacing w:beforeLines="0" w:line="360" w:lineRule="auto"/>
        <w:ind w:left="0" w:leftChars="0" w:firstLine="0" w:firstLineChars="0"/>
        <w:jc w:val="left"/>
        <w:rPr>
          <w:rFonts w:hint="eastAsia" w:ascii="仿宋" w:hAnsi="仿宋" w:eastAsia="仿宋" w:cs="仿宋"/>
          <w:color w:val="auto"/>
          <w:szCs w:val="21"/>
        </w:rPr>
      </w:pPr>
      <w:r>
        <w:rPr>
          <w:rFonts w:hint="eastAsia" w:ascii="仿宋" w:hAnsi="仿宋" w:eastAsia="仿宋" w:cs="仿宋"/>
          <w:color w:val="auto"/>
          <w:szCs w:val="21"/>
        </w:rPr>
        <w:t>乙方：（</w:t>
      </w:r>
      <w:r>
        <w:rPr>
          <w:rFonts w:hint="eastAsia" w:ascii="仿宋" w:hAnsi="仿宋" w:eastAsia="仿宋" w:cs="仿宋"/>
          <w:color w:val="auto"/>
          <w:szCs w:val="21"/>
          <w:lang w:eastAsia="zh-CN"/>
        </w:rPr>
        <w:t>中标人</w:t>
      </w:r>
      <w:r>
        <w:rPr>
          <w:rFonts w:hint="eastAsia" w:ascii="仿宋" w:hAnsi="仿宋" w:eastAsia="仿宋" w:cs="仿宋"/>
          <w:color w:val="auto"/>
          <w:szCs w:val="21"/>
        </w:rPr>
        <w:t>）</w:t>
      </w:r>
    </w:p>
    <w:p w14:paraId="60657972">
      <w:pPr>
        <w:pStyle w:val="165"/>
        <w:widowControl/>
        <w:snapToGrid w:val="0"/>
        <w:spacing w:beforeLines="0" w:line="360" w:lineRule="auto"/>
        <w:ind w:left="0" w:leftChars="0" w:firstLine="0" w:firstLineChars="0"/>
        <w:jc w:val="left"/>
        <w:rPr>
          <w:rFonts w:hint="eastAsia" w:ascii="仿宋" w:hAnsi="仿宋" w:eastAsia="仿宋" w:cs="仿宋"/>
          <w:color w:val="auto"/>
          <w:szCs w:val="21"/>
          <w:lang w:val="zh-CN"/>
        </w:rPr>
      </w:pPr>
      <w:r>
        <w:rPr>
          <w:rFonts w:hint="eastAsia" w:ascii="仿宋" w:hAnsi="仿宋" w:eastAsia="仿宋" w:cs="仿宋"/>
          <w:color w:val="auto"/>
          <w:szCs w:val="21"/>
        </w:rPr>
        <w:t>住所：</w:t>
      </w:r>
    </w:p>
    <w:p w14:paraId="5DCB39A8">
      <w:pPr>
        <w:pStyle w:val="165"/>
        <w:widowControl/>
        <w:snapToGrid w:val="0"/>
        <w:spacing w:beforeLines="0" w:line="360" w:lineRule="auto"/>
        <w:ind w:left="0" w:leftChars="0" w:firstLine="0" w:firstLineChars="0"/>
        <w:jc w:val="left"/>
        <w:rPr>
          <w:rFonts w:hint="eastAsia" w:ascii="仿宋" w:hAnsi="仿宋" w:eastAsia="仿宋" w:cs="仿宋"/>
          <w:color w:val="auto"/>
          <w:szCs w:val="21"/>
        </w:rPr>
      </w:pPr>
      <w:r>
        <w:rPr>
          <w:rFonts w:hint="eastAsia" w:ascii="仿宋" w:hAnsi="仿宋" w:eastAsia="仿宋" w:cs="仿宋"/>
          <w:color w:val="auto"/>
          <w:szCs w:val="21"/>
        </w:rPr>
        <w:t>开户银行：</w:t>
      </w:r>
    </w:p>
    <w:p w14:paraId="4B101A32">
      <w:pPr>
        <w:pStyle w:val="165"/>
        <w:widowControl/>
        <w:snapToGrid w:val="0"/>
        <w:spacing w:beforeLines="0" w:line="360" w:lineRule="auto"/>
        <w:ind w:left="0" w:leftChars="0" w:firstLine="0" w:firstLineChars="0"/>
        <w:jc w:val="left"/>
        <w:rPr>
          <w:rFonts w:hint="eastAsia" w:ascii="仿宋" w:hAnsi="仿宋" w:eastAsia="仿宋" w:cs="仿宋"/>
          <w:color w:val="auto"/>
          <w:szCs w:val="21"/>
        </w:rPr>
      </w:pPr>
      <w:r>
        <w:rPr>
          <w:rFonts w:hint="eastAsia" w:ascii="仿宋" w:hAnsi="仿宋" w:eastAsia="仿宋" w:cs="仿宋"/>
          <w:color w:val="auto"/>
          <w:szCs w:val="21"/>
        </w:rPr>
        <w:t>账号：</w:t>
      </w:r>
    </w:p>
    <w:p w14:paraId="1CEA7F5F">
      <w:pPr>
        <w:pStyle w:val="165"/>
        <w:widowControl/>
        <w:snapToGrid w:val="0"/>
        <w:spacing w:beforeLines="0" w:line="360" w:lineRule="auto"/>
        <w:ind w:left="0" w:leftChars="0" w:firstLine="0" w:firstLineChars="0"/>
        <w:jc w:val="left"/>
        <w:rPr>
          <w:rFonts w:hint="eastAsia" w:ascii="仿宋" w:hAnsi="仿宋" w:eastAsia="仿宋" w:cs="仿宋"/>
          <w:color w:val="auto"/>
          <w:szCs w:val="21"/>
        </w:rPr>
      </w:pPr>
      <w:r>
        <w:rPr>
          <w:rFonts w:hint="eastAsia" w:ascii="仿宋" w:hAnsi="仿宋" w:eastAsia="仿宋" w:cs="仿宋"/>
          <w:color w:val="auto"/>
          <w:szCs w:val="21"/>
        </w:rPr>
        <w:t>联系人：</w:t>
      </w:r>
    </w:p>
    <w:p w14:paraId="2C875F7F">
      <w:pPr>
        <w:pStyle w:val="165"/>
        <w:widowControl/>
        <w:snapToGrid w:val="0"/>
        <w:spacing w:beforeLines="0" w:line="360" w:lineRule="auto"/>
        <w:ind w:left="0" w:leftChars="0" w:firstLine="0" w:firstLineChars="0"/>
        <w:jc w:val="left"/>
        <w:rPr>
          <w:rFonts w:hint="eastAsia" w:ascii="仿宋" w:hAnsi="仿宋" w:eastAsia="仿宋" w:cs="仿宋"/>
          <w:color w:val="auto"/>
          <w:szCs w:val="21"/>
        </w:rPr>
      </w:pPr>
      <w:r>
        <w:rPr>
          <w:rFonts w:hint="eastAsia" w:ascii="仿宋" w:hAnsi="仿宋" w:eastAsia="仿宋" w:cs="仿宋"/>
          <w:color w:val="auto"/>
          <w:szCs w:val="21"/>
        </w:rPr>
        <w:t>联系电话：</w:t>
      </w:r>
    </w:p>
    <w:p w14:paraId="522C258C">
      <w:pPr>
        <w:keepNext w:val="0"/>
        <w:keepLines w:val="0"/>
        <w:pageBreakBefore w:val="0"/>
        <w:widowControl w:val="0"/>
        <w:kinsoku/>
        <w:wordWrap/>
        <w:overflowPunct/>
        <w:topLinePunct w:val="0"/>
        <w:autoSpaceDE/>
        <w:autoSpaceDN/>
        <w:bidi w:val="0"/>
        <w:adjustRightInd/>
        <w:snapToGrid w:val="0"/>
        <w:spacing w:before="100" w:beforeAutospacing="1" w:after="100" w:afterAutospacing="1" w:line="396" w:lineRule="auto"/>
        <w:contextualSpacing/>
        <w:textAlignment w:val="auto"/>
        <w:rPr>
          <w:rFonts w:hint="eastAsia" w:ascii="仿宋" w:hAnsi="仿宋" w:eastAsia="仿宋" w:cs="仿宋"/>
          <w:color w:val="auto"/>
          <w:sz w:val="21"/>
          <w:szCs w:val="21"/>
        </w:rPr>
      </w:pPr>
    </w:p>
    <w:p w14:paraId="1B798645">
      <w:pPr>
        <w:keepNext w:val="0"/>
        <w:keepLines w:val="0"/>
        <w:pageBreakBefore w:val="0"/>
        <w:widowControl w:val="0"/>
        <w:kinsoku/>
        <w:wordWrap/>
        <w:overflowPunct/>
        <w:topLinePunct w:val="0"/>
        <w:autoSpaceDE/>
        <w:autoSpaceDN/>
        <w:bidi w:val="0"/>
        <w:adjustRightInd/>
        <w:snapToGrid w:val="0"/>
        <w:spacing w:before="100" w:beforeAutospacing="1" w:after="100" w:afterAutospacing="1" w:line="396" w:lineRule="auto"/>
        <w:ind w:firstLine="420" w:firstLineChars="200"/>
        <w:contextualSpacing/>
        <w:textAlignment w:val="auto"/>
        <w:rPr>
          <w:rFonts w:hint="eastAsia" w:ascii="仿宋" w:hAnsi="仿宋" w:eastAsia="仿宋" w:cs="仿宋"/>
          <w:color w:val="auto"/>
          <w:szCs w:val="21"/>
        </w:rPr>
      </w:pPr>
      <w:r>
        <w:rPr>
          <w:rFonts w:hint="eastAsia" w:ascii="仿宋" w:hAnsi="仿宋" w:eastAsia="仿宋" w:cs="仿宋"/>
          <w:color w:val="auto"/>
          <w:szCs w:val="21"/>
        </w:rPr>
        <w:t>根据《中华人民共和国政府采购法》《中华人民共和国民法典》和其它相关法律、法规规定，甲方通过</w:t>
      </w:r>
      <w:r>
        <w:rPr>
          <w:rFonts w:hint="eastAsia" w:ascii="仿宋" w:hAnsi="仿宋" w:eastAsia="仿宋" w:cs="仿宋"/>
          <w:color w:val="auto"/>
          <w:szCs w:val="21"/>
          <w:lang w:eastAsia="zh-CN"/>
        </w:rPr>
        <w:t>公开招标</w:t>
      </w:r>
      <w:r>
        <w:rPr>
          <w:rFonts w:hint="eastAsia" w:ascii="仿宋" w:hAnsi="仿宋" w:eastAsia="仿宋" w:cs="仿宋"/>
          <w:color w:val="auto"/>
          <w:szCs w:val="21"/>
        </w:rPr>
        <w:t>方式依法确定乙方为</w:t>
      </w:r>
      <w:r>
        <w:rPr>
          <w:rFonts w:hint="eastAsia" w:ascii="仿宋" w:hAnsi="仿宋" w:eastAsia="仿宋" w:cs="仿宋"/>
          <w:color w:val="auto"/>
          <w:szCs w:val="21"/>
          <w:u w:val="single"/>
        </w:rPr>
        <w:t>（项目名称：）（项目编号：）</w:t>
      </w:r>
      <w:r>
        <w:rPr>
          <w:rFonts w:hint="eastAsia" w:ascii="仿宋" w:hAnsi="仿宋" w:eastAsia="仿宋" w:cs="仿宋"/>
          <w:color w:val="auto"/>
          <w:szCs w:val="21"/>
        </w:rPr>
        <w:t>的</w:t>
      </w:r>
      <w:r>
        <w:rPr>
          <w:rFonts w:hint="eastAsia" w:ascii="仿宋" w:hAnsi="仿宋" w:eastAsia="仿宋" w:cs="仿宋"/>
          <w:color w:val="auto"/>
          <w:szCs w:val="21"/>
          <w:lang w:eastAsia="zh-CN"/>
        </w:rPr>
        <w:t>中标人</w:t>
      </w:r>
      <w:r>
        <w:rPr>
          <w:rFonts w:hint="eastAsia" w:ascii="仿宋" w:hAnsi="仿宋" w:eastAsia="仿宋" w:cs="仿宋"/>
          <w:color w:val="auto"/>
          <w:szCs w:val="21"/>
        </w:rPr>
        <w:t>，经双方协商一致订立本合同，以资共同遵守。</w:t>
      </w:r>
    </w:p>
    <w:p w14:paraId="2FE6B191">
      <w:pPr>
        <w:keepNext w:val="0"/>
        <w:keepLines w:val="0"/>
        <w:pageBreakBefore w:val="0"/>
        <w:widowControl w:val="0"/>
        <w:kinsoku/>
        <w:wordWrap/>
        <w:overflowPunct/>
        <w:topLinePunct w:val="0"/>
        <w:autoSpaceDE/>
        <w:autoSpaceDN/>
        <w:bidi w:val="0"/>
        <w:adjustRightInd/>
        <w:snapToGrid w:val="0"/>
        <w:spacing w:before="100" w:beforeAutospacing="1" w:after="100" w:afterAutospacing="1" w:line="396" w:lineRule="auto"/>
        <w:ind w:firstLine="420" w:firstLineChars="200"/>
        <w:contextualSpacing/>
        <w:textAlignment w:val="auto"/>
        <w:rPr>
          <w:rFonts w:hint="eastAsia" w:ascii="仿宋" w:hAnsi="仿宋" w:eastAsia="仿宋" w:cs="仿宋"/>
          <w:b w:val="0"/>
          <w:bCs/>
          <w:color w:val="auto"/>
          <w:sz w:val="21"/>
          <w:szCs w:val="21"/>
        </w:rPr>
      </w:pPr>
      <w:r>
        <w:rPr>
          <w:rFonts w:hint="eastAsia" w:ascii="仿宋" w:hAnsi="仿宋" w:eastAsia="仿宋" w:cs="仿宋"/>
          <w:b w:val="0"/>
          <w:bCs/>
          <w:color w:val="auto"/>
          <w:sz w:val="21"/>
          <w:szCs w:val="21"/>
        </w:rPr>
        <w:t>下列文件为本合同的组成部分，彼此相互解释，相互补充。组成本合同的多个文件的优先解释顺序如下：</w:t>
      </w:r>
    </w:p>
    <w:p w14:paraId="0812FCA0">
      <w:pPr>
        <w:keepNext w:val="0"/>
        <w:keepLines w:val="0"/>
        <w:pageBreakBefore w:val="0"/>
        <w:widowControl w:val="0"/>
        <w:kinsoku/>
        <w:wordWrap/>
        <w:overflowPunct/>
        <w:topLinePunct w:val="0"/>
        <w:autoSpaceDE/>
        <w:autoSpaceDN/>
        <w:bidi w:val="0"/>
        <w:adjustRightInd/>
        <w:snapToGrid w:val="0"/>
        <w:spacing w:before="100" w:beforeAutospacing="1" w:after="100" w:afterAutospacing="1" w:line="396" w:lineRule="auto"/>
        <w:ind w:firstLine="420" w:firstLineChars="200"/>
        <w:contextualSpacing/>
        <w:textAlignment w:val="auto"/>
        <w:rPr>
          <w:rFonts w:hint="eastAsia" w:ascii="仿宋" w:hAnsi="仿宋" w:eastAsia="仿宋" w:cs="仿宋"/>
          <w:b w:val="0"/>
          <w:bCs/>
          <w:color w:val="auto"/>
          <w:sz w:val="21"/>
          <w:szCs w:val="21"/>
        </w:rPr>
      </w:pPr>
      <w:r>
        <w:rPr>
          <w:rFonts w:hint="eastAsia" w:ascii="仿宋" w:hAnsi="仿宋" w:eastAsia="仿宋" w:cs="仿宋"/>
          <w:b w:val="0"/>
          <w:bCs/>
          <w:color w:val="auto"/>
          <w:sz w:val="21"/>
          <w:szCs w:val="21"/>
        </w:rPr>
        <w:t>1.补充协议（如有）</w:t>
      </w:r>
    </w:p>
    <w:p w14:paraId="18EBB43F">
      <w:pPr>
        <w:keepNext w:val="0"/>
        <w:keepLines w:val="0"/>
        <w:pageBreakBefore w:val="0"/>
        <w:widowControl w:val="0"/>
        <w:kinsoku/>
        <w:wordWrap/>
        <w:overflowPunct/>
        <w:topLinePunct w:val="0"/>
        <w:autoSpaceDE/>
        <w:autoSpaceDN/>
        <w:bidi w:val="0"/>
        <w:adjustRightInd/>
        <w:snapToGrid w:val="0"/>
        <w:spacing w:before="100" w:beforeAutospacing="1" w:after="100" w:afterAutospacing="1" w:line="396" w:lineRule="auto"/>
        <w:ind w:firstLine="420" w:firstLineChars="200"/>
        <w:contextualSpacing/>
        <w:textAlignment w:val="auto"/>
        <w:rPr>
          <w:rFonts w:hint="eastAsia" w:ascii="仿宋" w:hAnsi="仿宋" w:eastAsia="仿宋" w:cs="仿宋"/>
          <w:b w:val="0"/>
          <w:bCs/>
          <w:color w:val="auto"/>
          <w:sz w:val="21"/>
          <w:szCs w:val="21"/>
        </w:rPr>
      </w:pPr>
      <w:r>
        <w:rPr>
          <w:rFonts w:hint="eastAsia" w:ascii="仿宋" w:hAnsi="仿宋" w:eastAsia="仿宋" w:cs="仿宋"/>
          <w:b w:val="0"/>
          <w:bCs/>
          <w:color w:val="auto"/>
          <w:sz w:val="21"/>
          <w:szCs w:val="21"/>
        </w:rPr>
        <w:t>2.本合同书</w:t>
      </w:r>
    </w:p>
    <w:p w14:paraId="2A26E6E4">
      <w:pPr>
        <w:keepNext w:val="0"/>
        <w:keepLines w:val="0"/>
        <w:pageBreakBefore w:val="0"/>
        <w:widowControl w:val="0"/>
        <w:kinsoku/>
        <w:wordWrap/>
        <w:overflowPunct/>
        <w:topLinePunct w:val="0"/>
        <w:autoSpaceDE/>
        <w:autoSpaceDN/>
        <w:bidi w:val="0"/>
        <w:adjustRightInd/>
        <w:snapToGrid w:val="0"/>
        <w:spacing w:before="100" w:beforeAutospacing="1" w:after="100" w:afterAutospacing="1" w:line="396" w:lineRule="auto"/>
        <w:ind w:firstLine="420" w:firstLineChars="200"/>
        <w:contextualSpacing/>
        <w:textAlignment w:val="auto"/>
        <w:rPr>
          <w:rFonts w:hint="eastAsia" w:ascii="仿宋" w:hAnsi="仿宋" w:eastAsia="仿宋" w:cs="仿宋"/>
          <w:b w:val="0"/>
          <w:bCs/>
          <w:color w:val="auto"/>
          <w:sz w:val="21"/>
          <w:szCs w:val="21"/>
        </w:rPr>
      </w:pPr>
      <w:r>
        <w:rPr>
          <w:rFonts w:hint="eastAsia" w:ascii="仿宋" w:hAnsi="仿宋" w:eastAsia="仿宋" w:cs="仿宋"/>
          <w:b w:val="0"/>
          <w:bCs/>
          <w:color w:val="auto"/>
          <w:sz w:val="21"/>
          <w:szCs w:val="21"/>
        </w:rPr>
        <w:t>3.中标（成交）通知书</w:t>
      </w:r>
    </w:p>
    <w:p w14:paraId="1D0D5A17">
      <w:pPr>
        <w:keepNext w:val="0"/>
        <w:keepLines w:val="0"/>
        <w:pageBreakBefore w:val="0"/>
        <w:widowControl w:val="0"/>
        <w:kinsoku/>
        <w:wordWrap/>
        <w:overflowPunct/>
        <w:topLinePunct w:val="0"/>
        <w:autoSpaceDE/>
        <w:autoSpaceDN/>
        <w:bidi w:val="0"/>
        <w:adjustRightInd/>
        <w:snapToGrid w:val="0"/>
        <w:spacing w:before="100" w:beforeAutospacing="1" w:after="100" w:afterAutospacing="1" w:line="396" w:lineRule="auto"/>
        <w:ind w:firstLine="420" w:firstLineChars="200"/>
        <w:contextualSpacing/>
        <w:textAlignment w:val="auto"/>
        <w:rPr>
          <w:rFonts w:hint="eastAsia" w:ascii="仿宋" w:hAnsi="仿宋" w:eastAsia="仿宋" w:cs="仿宋"/>
          <w:b w:val="0"/>
          <w:bCs/>
          <w:color w:val="auto"/>
          <w:sz w:val="21"/>
          <w:szCs w:val="21"/>
        </w:rPr>
      </w:pPr>
      <w:r>
        <w:rPr>
          <w:rFonts w:hint="eastAsia" w:ascii="仿宋" w:hAnsi="仿宋" w:eastAsia="仿宋" w:cs="仿宋"/>
          <w:b w:val="0"/>
          <w:bCs/>
          <w:color w:val="auto"/>
          <w:sz w:val="21"/>
          <w:szCs w:val="21"/>
        </w:rPr>
        <w:t>4.乙方澄清修改文件</w:t>
      </w:r>
    </w:p>
    <w:p w14:paraId="43CD7E4D">
      <w:pPr>
        <w:keepNext w:val="0"/>
        <w:keepLines w:val="0"/>
        <w:pageBreakBefore w:val="0"/>
        <w:widowControl w:val="0"/>
        <w:kinsoku/>
        <w:wordWrap/>
        <w:overflowPunct/>
        <w:topLinePunct w:val="0"/>
        <w:autoSpaceDE/>
        <w:autoSpaceDN/>
        <w:bidi w:val="0"/>
        <w:adjustRightInd/>
        <w:snapToGrid w:val="0"/>
        <w:spacing w:before="100" w:beforeAutospacing="1" w:after="100" w:afterAutospacing="1" w:line="396" w:lineRule="auto"/>
        <w:ind w:firstLine="420" w:firstLineChars="200"/>
        <w:contextualSpacing/>
        <w:textAlignment w:val="auto"/>
        <w:rPr>
          <w:rFonts w:hint="eastAsia" w:ascii="仿宋" w:hAnsi="仿宋" w:eastAsia="仿宋" w:cs="仿宋"/>
          <w:b w:val="0"/>
          <w:bCs/>
          <w:color w:val="auto"/>
          <w:sz w:val="21"/>
          <w:szCs w:val="21"/>
        </w:rPr>
      </w:pPr>
      <w:r>
        <w:rPr>
          <w:rFonts w:hint="eastAsia" w:ascii="仿宋" w:hAnsi="仿宋" w:eastAsia="仿宋" w:cs="仿宋"/>
          <w:b w:val="0"/>
          <w:bCs/>
          <w:color w:val="auto"/>
          <w:sz w:val="21"/>
          <w:szCs w:val="21"/>
        </w:rPr>
        <w:t>5.乙方投标（响应）文件</w:t>
      </w:r>
    </w:p>
    <w:p w14:paraId="245DCAE4">
      <w:pPr>
        <w:keepNext w:val="0"/>
        <w:keepLines w:val="0"/>
        <w:pageBreakBefore w:val="0"/>
        <w:widowControl w:val="0"/>
        <w:kinsoku/>
        <w:wordWrap/>
        <w:overflowPunct/>
        <w:topLinePunct w:val="0"/>
        <w:autoSpaceDE/>
        <w:autoSpaceDN/>
        <w:bidi w:val="0"/>
        <w:adjustRightInd/>
        <w:snapToGrid w:val="0"/>
        <w:spacing w:before="100" w:beforeAutospacing="1" w:after="100" w:afterAutospacing="1" w:line="396" w:lineRule="auto"/>
        <w:ind w:firstLine="420" w:firstLineChars="200"/>
        <w:contextualSpacing/>
        <w:textAlignment w:val="auto"/>
        <w:rPr>
          <w:rFonts w:hint="eastAsia" w:ascii="仿宋" w:hAnsi="仿宋" w:eastAsia="仿宋" w:cs="仿宋"/>
          <w:b w:val="0"/>
          <w:bCs/>
          <w:color w:val="auto"/>
          <w:sz w:val="21"/>
          <w:szCs w:val="21"/>
        </w:rPr>
      </w:pPr>
      <w:r>
        <w:rPr>
          <w:rFonts w:hint="eastAsia" w:ascii="仿宋" w:hAnsi="仿宋" w:eastAsia="仿宋" w:cs="仿宋"/>
          <w:b w:val="0"/>
          <w:bCs/>
          <w:color w:val="auto"/>
          <w:sz w:val="21"/>
          <w:szCs w:val="21"/>
        </w:rPr>
        <w:t>6.采购文件澄清（修改）、更正文件</w:t>
      </w:r>
    </w:p>
    <w:p w14:paraId="69EEA966">
      <w:pPr>
        <w:keepNext w:val="0"/>
        <w:keepLines w:val="0"/>
        <w:pageBreakBefore w:val="0"/>
        <w:widowControl w:val="0"/>
        <w:kinsoku/>
        <w:wordWrap/>
        <w:overflowPunct/>
        <w:topLinePunct w:val="0"/>
        <w:autoSpaceDE/>
        <w:autoSpaceDN/>
        <w:bidi w:val="0"/>
        <w:adjustRightInd/>
        <w:snapToGrid w:val="0"/>
        <w:spacing w:before="100" w:beforeAutospacing="1" w:after="100" w:afterAutospacing="1" w:line="396" w:lineRule="auto"/>
        <w:ind w:firstLine="420" w:firstLineChars="200"/>
        <w:contextualSpacing/>
        <w:textAlignment w:val="auto"/>
        <w:rPr>
          <w:rFonts w:hint="eastAsia" w:ascii="仿宋" w:hAnsi="仿宋" w:eastAsia="仿宋" w:cs="仿宋"/>
          <w:b w:val="0"/>
          <w:bCs/>
          <w:color w:val="auto"/>
          <w:sz w:val="21"/>
          <w:szCs w:val="21"/>
        </w:rPr>
      </w:pPr>
      <w:r>
        <w:rPr>
          <w:rFonts w:hint="eastAsia" w:ascii="仿宋" w:hAnsi="仿宋" w:eastAsia="仿宋" w:cs="仿宋"/>
          <w:b w:val="0"/>
          <w:bCs/>
          <w:color w:val="auto"/>
          <w:sz w:val="21"/>
          <w:szCs w:val="21"/>
        </w:rPr>
        <w:t>7.采购文件</w:t>
      </w:r>
    </w:p>
    <w:p w14:paraId="3B452209">
      <w:pPr>
        <w:keepNext w:val="0"/>
        <w:keepLines w:val="0"/>
        <w:pageBreakBefore w:val="0"/>
        <w:widowControl w:val="0"/>
        <w:numPr>
          <w:ilvl w:val="0"/>
          <w:numId w:val="0"/>
        </w:numPr>
        <w:kinsoku/>
        <w:wordWrap/>
        <w:overflowPunct/>
        <w:topLinePunct w:val="0"/>
        <w:autoSpaceDE/>
        <w:autoSpaceDN/>
        <w:bidi w:val="0"/>
        <w:adjustRightInd/>
        <w:snapToGrid w:val="0"/>
        <w:spacing w:before="100" w:beforeAutospacing="1" w:after="100" w:afterAutospacing="1" w:line="396" w:lineRule="auto"/>
        <w:ind w:firstLine="420" w:firstLineChars="200"/>
        <w:contextualSpacing/>
        <w:textAlignment w:val="auto"/>
        <w:rPr>
          <w:rFonts w:hint="eastAsia" w:ascii="仿宋" w:hAnsi="仿宋" w:eastAsia="仿宋" w:cs="仿宋"/>
          <w:b/>
          <w:color w:val="auto"/>
          <w:sz w:val="21"/>
          <w:szCs w:val="21"/>
          <w:lang w:eastAsia="zh-CN"/>
        </w:rPr>
      </w:pPr>
      <w:r>
        <w:rPr>
          <w:rFonts w:hint="eastAsia" w:ascii="仿宋" w:hAnsi="仿宋" w:eastAsia="仿宋" w:cs="仿宋"/>
          <w:b/>
          <w:color w:val="auto"/>
          <w:sz w:val="21"/>
          <w:szCs w:val="21"/>
          <w:lang w:val="en-US" w:eastAsia="zh-CN"/>
        </w:rPr>
        <w:t xml:space="preserve">第一条  </w:t>
      </w:r>
      <w:r>
        <w:rPr>
          <w:rFonts w:hint="eastAsia" w:ascii="仿宋" w:hAnsi="仿宋" w:eastAsia="仿宋" w:cs="仿宋"/>
          <w:b/>
          <w:color w:val="auto"/>
          <w:sz w:val="21"/>
          <w:szCs w:val="21"/>
        </w:rPr>
        <w:t>服务</w:t>
      </w:r>
      <w:r>
        <w:rPr>
          <w:rFonts w:hint="eastAsia" w:ascii="仿宋" w:hAnsi="仿宋" w:eastAsia="仿宋" w:cs="仿宋"/>
          <w:b/>
          <w:color w:val="auto"/>
          <w:sz w:val="21"/>
          <w:szCs w:val="21"/>
          <w:lang w:eastAsia="zh-CN"/>
        </w:rPr>
        <w:t>内容及要求</w:t>
      </w:r>
    </w:p>
    <w:p w14:paraId="31D853D9">
      <w:pPr>
        <w:keepNext w:val="0"/>
        <w:keepLines w:val="0"/>
        <w:pageBreakBefore w:val="0"/>
        <w:widowControl w:val="0"/>
        <w:numPr>
          <w:ilvl w:val="0"/>
          <w:numId w:val="0"/>
        </w:numPr>
        <w:kinsoku/>
        <w:wordWrap/>
        <w:overflowPunct/>
        <w:topLinePunct w:val="0"/>
        <w:autoSpaceDE/>
        <w:autoSpaceDN/>
        <w:bidi w:val="0"/>
        <w:adjustRightInd/>
        <w:snapToGrid w:val="0"/>
        <w:spacing w:before="100" w:beforeAutospacing="1" w:after="100" w:afterAutospacing="1" w:line="396" w:lineRule="auto"/>
        <w:ind w:firstLine="420" w:firstLineChars="200"/>
        <w:contextualSpacing/>
        <w:textAlignment w:val="auto"/>
        <w:rPr>
          <w:rFonts w:hint="eastAsia" w:ascii="仿宋" w:hAnsi="仿宋" w:eastAsia="仿宋" w:cs="仿宋"/>
          <w:b/>
          <w:bCs/>
          <w:color w:val="auto"/>
          <w:sz w:val="21"/>
          <w:szCs w:val="21"/>
          <w:highlight w:val="none"/>
          <w:lang w:val="en-US" w:eastAsia="zh-CN"/>
        </w:rPr>
      </w:pPr>
      <w:r>
        <w:rPr>
          <w:rFonts w:hint="eastAsia" w:ascii="仿宋" w:hAnsi="仿宋" w:eastAsia="仿宋" w:cs="仿宋"/>
          <w:b/>
          <w:bCs/>
          <w:color w:val="auto"/>
          <w:sz w:val="21"/>
          <w:szCs w:val="21"/>
          <w:highlight w:val="none"/>
          <w:lang w:val="en-US" w:eastAsia="zh-CN"/>
        </w:rPr>
        <w:t>一、服务范围及服务内容：</w:t>
      </w:r>
    </w:p>
    <w:p w14:paraId="58590A9D">
      <w:pPr>
        <w:keepNext w:val="0"/>
        <w:keepLines w:val="0"/>
        <w:pageBreakBefore w:val="0"/>
        <w:widowControl w:val="0"/>
        <w:numPr>
          <w:ilvl w:val="0"/>
          <w:numId w:val="0"/>
        </w:numPr>
        <w:kinsoku/>
        <w:wordWrap/>
        <w:overflowPunct/>
        <w:topLinePunct w:val="0"/>
        <w:autoSpaceDE/>
        <w:autoSpaceDN/>
        <w:bidi w:val="0"/>
        <w:adjustRightInd/>
        <w:snapToGrid w:val="0"/>
        <w:spacing w:before="100" w:beforeAutospacing="1" w:after="100" w:afterAutospacing="1" w:line="396" w:lineRule="auto"/>
        <w:ind w:firstLine="420" w:firstLineChars="200"/>
        <w:contextualSpacing/>
        <w:textAlignment w:val="auto"/>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（1）常山港右岸徐村大桥至傥溪桥、龙绕溪205国道至傥溪桥左岸、常山港滨江堤人民医院至航电指挥部：堤面保洁、绿化养护。</w:t>
      </w:r>
    </w:p>
    <w:p w14:paraId="0B0E6772">
      <w:pPr>
        <w:keepNext w:val="0"/>
        <w:keepLines w:val="0"/>
        <w:pageBreakBefore w:val="0"/>
        <w:widowControl w:val="0"/>
        <w:numPr>
          <w:ilvl w:val="0"/>
          <w:numId w:val="0"/>
        </w:numPr>
        <w:kinsoku/>
        <w:wordWrap/>
        <w:overflowPunct/>
        <w:topLinePunct w:val="0"/>
        <w:autoSpaceDE/>
        <w:autoSpaceDN/>
        <w:bidi w:val="0"/>
        <w:adjustRightInd/>
        <w:snapToGrid w:val="0"/>
        <w:spacing w:before="100" w:beforeAutospacing="1" w:after="100" w:afterAutospacing="1" w:line="396" w:lineRule="auto"/>
        <w:ind w:firstLine="420" w:firstLineChars="200"/>
        <w:contextualSpacing/>
        <w:textAlignment w:val="auto"/>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（2）滨江堤航电指挥部至富足山大桥，枧头溪出口至常山大桥：游步道、亲水平台、栈道、台阶、栏杆及防护设施保洁。</w:t>
      </w:r>
    </w:p>
    <w:p w14:paraId="6958F65F">
      <w:pPr>
        <w:keepNext w:val="0"/>
        <w:keepLines w:val="0"/>
        <w:pageBreakBefore w:val="0"/>
        <w:widowControl w:val="0"/>
        <w:numPr>
          <w:ilvl w:val="0"/>
          <w:numId w:val="0"/>
        </w:numPr>
        <w:kinsoku/>
        <w:wordWrap/>
        <w:overflowPunct/>
        <w:topLinePunct w:val="0"/>
        <w:autoSpaceDE/>
        <w:autoSpaceDN/>
        <w:bidi w:val="0"/>
        <w:adjustRightInd/>
        <w:snapToGrid w:val="0"/>
        <w:spacing w:before="100" w:beforeAutospacing="1" w:after="100" w:afterAutospacing="1" w:line="396" w:lineRule="auto"/>
        <w:ind w:firstLine="420" w:firstLineChars="200"/>
        <w:contextualSpacing/>
        <w:textAlignment w:val="auto"/>
        <w:rPr>
          <w:rFonts w:hint="default" w:ascii="仿宋" w:hAnsi="仿宋" w:eastAsia="仿宋" w:cs="仿宋"/>
          <w:color w:val="auto"/>
          <w:szCs w:val="21"/>
          <w:lang w:val="en-US" w:eastAsia="zh-CN"/>
        </w:rPr>
      </w:pPr>
      <w:r>
        <w:rPr>
          <w:rFonts w:hint="eastAsia" w:ascii="仿宋" w:hAnsi="仿宋" w:eastAsia="仿宋" w:cs="仿宋"/>
          <w:color w:val="auto"/>
          <w:szCs w:val="21"/>
          <w:lang w:val="en-US" w:eastAsia="zh-CN"/>
        </w:rPr>
        <w:t>（3）徐村大桥至天马水电站、龙绕溪205国道到傥溪桥：水面保洁。</w:t>
      </w:r>
    </w:p>
    <w:p w14:paraId="41830840">
      <w:pPr>
        <w:keepNext w:val="0"/>
        <w:keepLines w:val="0"/>
        <w:pageBreakBefore w:val="0"/>
        <w:widowControl w:val="0"/>
        <w:numPr>
          <w:ilvl w:val="0"/>
          <w:numId w:val="0"/>
        </w:numPr>
        <w:kinsoku/>
        <w:wordWrap/>
        <w:overflowPunct/>
        <w:topLinePunct w:val="0"/>
        <w:autoSpaceDE/>
        <w:autoSpaceDN/>
        <w:bidi w:val="0"/>
        <w:adjustRightInd/>
        <w:snapToGrid w:val="0"/>
        <w:spacing w:before="100" w:beforeAutospacing="1" w:after="100" w:afterAutospacing="1" w:line="396" w:lineRule="auto"/>
        <w:ind w:firstLine="420" w:firstLineChars="200"/>
        <w:contextualSpacing/>
        <w:textAlignment w:val="auto"/>
        <w:rPr>
          <w:rFonts w:hint="eastAsia" w:ascii="仿宋" w:hAnsi="仿宋" w:eastAsia="仿宋" w:cs="仿宋"/>
          <w:b/>
          <w:bCs/>
          <w:color w:val="auto"/>
          <w:sz w:val="21"/>
          <w:szCs w:val="21"/>
          <w:highlight w:val="none"/>
          <w:lang w:val="en-US" w:eastAsia="zh-CN"/>
        </w:rPr>
      </w:pPr>
      <w:r>
        <w:rPr>
          <w:rFonts w:hint="eastAsia" w:ascii="仿宋" w:hAnsi="仿宋" w:eastAsia="仿宋" w:cs="仿宋"/>
          <w:b/>
          <w:bCs/>
          <w:color w:val="auto"/>
          <w:sz w:val="21"/>
          <w:szCs w:val="21"/>
          <w:highlight w:val="none"/>
          <w:lang w:val="en-US" w:eastAsia="zh-CN"/>
        </w:rPr>
        <w:t>二、</w:t>
      </w:r>
      <w:r>
        <w:rPr>
          <w:rFonts w:hint="eastAsia" w:ascii="仿宋" w:hAnsi="仿宋" w:eastAsia="仿宋" w:cs="仿宋"/>
          <w:b/>
          <w:bCs/>
          <w:color w:val="auto"/>
          <w:sz w:val="21"/>
          <w:szCs w:val="21"/>
          <w:highlight w:val="none"/>
          <w:lang w:val="zh-CN" w:eastAsia="zh-CN"/>
        </w:rPr>
        <w:t>保洁设备及人员配备</w:t>
      </w:r>
    </w:p>
    <w:p w14:paraId="43296C9A">
      <w:pPr>
        <w:keepNext w:val="0"/>
        <w:keepLines w:val="0"/>
        <w:pageBreakBefore w:val="0"/>
        <w:widowControl w:val="0"/>
        <w:kinsoku/>
        <w:wordWrap/>
        <w:overflowPunct/>
        <w:topLinePunct w:val="0"/>
        <w:autoSpaceDE/>
        <w:autoSpaceDN/>
        <w:bidi w:val="0"/>
        <w:adjustRightInd/>
        <w:snapToGrid w:val="0"/>
        <w:spacing w:before="100" w:beforeAutospacing="1" w:after="100" w:afterAutospacing="1" w:line="396" w:lineRule="auto"/>
        <w:ind w:firstLine="420" w:firstLineChars="200"/>
        <w:contextualSpacing/>
        <w:textAlignment w:val="auto"/>
        <w:rPr>
          <w:rFonts w:hint="eastAsia" w:ascii="仿宋" w:hAnsi="仿宋" w:eastAsia="仿宋" w:cs="仿宋"/>
          <w:b/>
          <w:color w:val="auto"/>
          <w:sz w:val="21"/>
          <w:szCs w:val="21"/>
          <w:highlight w:val="none"/>
          <w:u w:val="single"/>
          <w:lang w:eastAsia="zh-CN"/>
        </w:rPr>
      </w:pPr>
      <w:r>
        <w:rPr>
          <w:rFonts w:hint="eastAsia" w:ascii="仿宋" w:hAnsi="仿宋" w:eastAsia="仿宋" w:cs="仿宋"/>
          <w:b/>
          <w:color w:val="auto"/>
          <w:sz w:val="21"/>
          <w:szCs w:val="21"/>
          <w:highlight w:val="none"/>
          <w:u w:val="single"/>
          <w:lang w:eastAsia="zh-CN"/>
        </w:rPr>
        <w:t>（按中标单位投标文件填写）</w:t>
      </w:r>
    </w:p>
    <w:p w14:paraId="377D5BE4">
      <w:pPr>
        <w:keepNext w:val="0"/>
        <w:keepLines w:val="0"/>
        <w:pageBreakBefore w:val="0"/>
        <w:widowControl w:val="0"/>
        <w:numPr>
          <w:ilvl w:val="0"/>
          <w:numId w:val="0"/>
        </w:numPr>
        <w:kinsoku/>
        <w:wordWrap/>
        <w:overflowPunct/>
        <w:topLinePunct w:val="0"/>
        <w:autoSpaceDE/>
        <w:autoSpaceDN/>
        <w:bidi w:val="0"/>
        <w:adjustRightInd/>
        <w:snapToGrid w:val="0"/>
        <w:spacing w:before="100" w:beforeAutospacing="1" w:after="100" w:afterAutospacing="1" w:line="396" w:lineRule="auto"/>
        <w:ind w:firstLine="420" w:firstLineChars="200"/>
        <w:contextualSpacing/>
        <w:textAlignment w:val="auto"/>
        <w:rPr>
          <w:rFonts w:hint="eastAsia" w:ascii="仿宋" w:hAnsi="仿宋" w:eastAsia="仿宋" w:cs="仿宋"/>
          <w:b/>
          <w:color w:val="auto"/>
          <w:sz w:val="21"/>
          <w:szCs w:val="21"/>
          <w:highlight w:val="none"/>
          <w:lang w:eastAsia="zh-CN"/>
        </w:rPr>
      </w:pPr>
      <w:r>
        <w:rPr>
          <w:rFonts w:hint="eastAsia" w:ascii="仿宋" w:hAnsi="仿宋" w:eastAsia="仿宋" w:cs="仿宋"/>
          <w:b/>
          <w:color w:val="auto"/>
          <w:sz w:val="21"/>
          <w:szCs w:val="21"/>
          <w:highlight w:val="none"/>
          <w:lang w:eastAsia="zh-CN"/>
        </w:rPr>
        <w:t>三、相关标准</w:t>
      </w:r>
    </w:p>
    <w:p w14:paraId="46225959">
      <w:pPr>
        <w:keepNext w:val="0"/>
        <w:keepLines w:val="0"/>
        <w:pageBreakBefore w:val="0"/>
        <w:widowControl w:val="0"/>
        <w:numPr>
          <w:ilvl w:val="0"/>
          <w:numId w:val="0"/>
        </w:numPr>
        <w:kinsoku/>
        <w:wordWrap/>
        <w:overflowPunct/>
        <w:topLinePunct w:val="0"/>
        <w:autoSpaceDE/>
        <w:autoSpaceDN/>
        <w:bidi w:val="0"/>
        <w:adjustRightInd/>
        <w:snapToGrid w:val="0"/>
        <w:spacing w:before="100" w:beforeAutospacing="1" w:after="100" w:afterAutospacing="1" w:line="396" w:lineRule="auto"/>
        <w:ind w:firstLine="420" w:firstLineChars="200"/>
        <w:contextualSpacing/>
        <w:textAlignment w:val="auto"/>
        <w:rPr>
          <w:rFonts w:hint="eastAsia" w:ascii="仿宋" w:hAnsi="仿宋" w:eastAsia="仿宋" w:cs="仿宋"/>
          <w:b/>
          <w:bCs/>
          <w:color w:val="auto"/>
          <w:szCs w:val="21"/>
          <w:lang w:val="zh-CN"/>
        </w:rPr>
      </w:pPr>
      <w:r>
        <w:rPr>
          <w:rFonts w:hint="eastAsia" w:ascii="仿宋" w:hAnsi="仿宋" w:eastAsia="仿宋" w:cs="仿宋"/>
          <w:b/>
          <w:bCs/>
          <w:color w:val="auto"/>
          <w:szCs w:val="21"/>
          <w:lang w:val="en-US" w:eastAsia="zh-CN"/>
        </w:rPr>
        <w:t>1、</w:t>
      </w:r>
      <w:r>
        <w:rPr>
          <w:rFonts w:hint="eastAsia" w:ascii="仿宋" w:hAnsi="仿宋" w:eastAsia="仿宋" w:cs="仿宋"/>
          <w:b/>
          <w:bCs/>
          <w:color w:val="auto"/>
          <w:szCs w:val="21"/>
          <w:lang w:val="zh-CN"/>
        </w:rPr>
        <w:t>河面</w:t>
      </w:r>
      <w:r>
        <w:rPr>
          <w:rFonts w:hint="eastAsia" w:ascii="仿宋" w:hAnsi="仿宋" w:eastAsia="仿宋" w:cs="仿宋"/>
          <w:b/>
          <w:bCs/>
          <w:color w:val="auto"/>
          <w:szCs w:val="21"/>
          <w:highlight w:val="none"/>
          <w:lang w:val="zh-CN"/>
        </w:rPr>
        <w:t>长效</w:t>
      </w:r>
      <w:r>
        <w:rPr>
          <w:rFonts w:hint="eastAsia" w:ascii="仿宋" w:hAnsi="仿宋" w:eastAsia="仿宋" w:cs="仿宋"/>
          <w:b/>
          <w:bCs/>
          <w:color w:val="auto"/>
          <w:szCs w:val="21"/>
          <w:lang w:val="zh-CN"/>
        </w:rPr>
        <w:t>保洁标准：</w:t>
      </w:r>
    </w:p>
    <w:p w14:paraId="15CEA8C5">
      <w:pPr>
        <w:keepNext w:val="0"/>
        <w:keepLines w:val="0"/>
        <w:pageBreakBefore w:val="0"/>
        <w:widowControl w:val="0"/>
        <w:numPr>
          <w:ilvl w:val="0"/>
          <w:numId w:val="0"/>
        </w:numPr>
        <w:kinsoku/>
        <w:wordWrap/>
        <w:overflowPunct/>
        <w:topLinePunct w:val="0"/>
        <w:autoSpaceDE/>
        <w:autoSpaceDN/>
        <w:bidi w:val="0"/>
        <w:adjustRightInd/>
        <w:snapToGrid w:val="0"/>
        <w:spacing w:before="100" w:beforeAutospacing="1" w:after="100" w:afterAutospacing="1" w:line="396" w:lineRule="auto"/>
        <w:ind w:firstLine="420" w:firstLineChars="200"/>
        <w:contextualSpacing/>
        <w:textAlignment w:val="auto"/>
        <w:rPr>
          <w:rFonts w:hint="eastAsia" w:ascii="仿宋" w:hAnsi="仿宋" w:eastAsia="仿宋" w:cs="仿宋"/>
          <w:color w:val="auto"/>
          <w:szCs w:val="21"/>
          <w:lang w:val="zh-CN"/>
        </w:rPr>
      </w:pPr>
      <w:r>
        <w:rPr>
          <w:rFonts w:hint="eastAsia" w:ascii="仿宋" w:hAnsi="仿宋" w:eastAsia="仿宋" w:cs="仿宋"/>
          <w:color w:val="auto"/>
          <w:szCs w:val="21"/>
          <w:lang w:val="zh-CN"/>
        </w:rPr>
        <w:t>（1）每天至少确保1条保洁船，保洁员3人及以上、堤岸保洁员2人及以上投入作业，根据保洁需求应随时增加保洁力量。如遇特殊情况，必须配合采购人要求，应及时根据现场情况合理安排船舶及保洁人员，具体负责河面漂浮物打捞保洁工作，做到河面可视范围内没有成块杂草或漂浮物，无卫生死角，湖中无明显障碍物；及时清除汛期水淹有堤防的亲水平台所沉积的淤泥和垃圾。具体保洁考核标准参见附件《常山县林业水利局河道保洁项目管理考核办法》。</w:t>
      </w:r>
    </w:p>
    <w:p w14:paraId="1E2FE479">
      <w:pPr>
        <w:keepNext w:val="0"/>
        <w:keepLines w:val="0"/>
        <w:pageBreakBefore w:val="0"/>
        <w:widowControl w:val="0"/>
        <w:numPr>
          <w:ilvl w:val="0"/>
          <w:numId w:val="0"/>
        </w:numPr>
        <w:kinsoku/>
        <w:wordWrap/>
        <w:overflowPunct/>
        <w:topLinePunct w:val="0"/>
        <w:autoSpaceDE/>
        <w:autoSpaceDN/>
        <w:bidi w:val="0"/>
        <w:adjustRightInd/>
        <w:snapToGrid w:val="0"/>
        <w:spacing w:before="100" w:beforeAutospacing="1" w:after="100" w:afterAutospacing="1" w:line="396" w:lineRule="auto"/>
        <w:ind w:firstLine="420" w:firstLineChars="200"/>
        <w:contextualSpacing/>
        <w:textAlignment w:val="auto"/>
        <w:rPr>
          <w:rFonts w:hint="eastAsia" w:ascii="仿宋" w:hAnsi="仿宋" w:eastAsia="仿宋" w:cs="仿宋"/>
          <w:color w:val="auto"/>
          <w:szCs w:val="21"/>
          <w:lang w:val="zh-CN" w:eastAsia="zh-CN"/>
        </w:rPr>
      </w:pPr>
      <w:r>
        <w:rPr>
          <w:rFonts w:hint="eastAsia" w:ascii="仿宋" w:hAnsi="仿宋" w:eastAsia="仿宋" w:cs="仿宋"/>
          <w:color w:val="auto"/>
          <w:szCs w:val="21"/>
          <w:lang w:val="zh-CN"/>
        </w:rPr>
        <w:t>（2）保洁船在河道中运行要遵守相关规定，具备安全意识。配备的船只、从业人员必须符合国家相关强制性规范，保持保洁船舶处于良好运行状态，并有醒目标志。确保各种打捞工具完好，不影响打捞工作；装卸垃圾时确保人身安全，严禁违章作业。中标人须为本项目符合缴纳社保年龄条件的作业人员缴纳社保，为不符合缴纳社保年龄条件的作业人员</w:t>
      </w:r>
      <w:r>
        <w:rPr>
          <w:rFonts w:hint="eastAsia" w:ascii="仿宋" w:hAnsi="仿宋" w:eastAsia="仿宋" w:cs="仿宋"/>
          <w:color w:val="auto"/>
          <w:szCs w:val="21"/>
          <w:lang w:val="zh-CN" w:eastAsia="zh-CN"/>
        </w:rPr>
        <w:t>购买意外伤害保险及第三者责任险</w:t>
      </w:r>
      <w:r>
        <w:rPr>
          <w:rFonts w:hint="eastAsia" w:ascii="仿宋" w:hAnsi="仿宋" w:eastAsia="仿宋" w:cs="仿宋"/>
          <w:color w:val="auto"/>
          <w:szCs w:val="21"/>
          <w:lang w:val="zh-CN"/>
        </w:rPr>
        <w:t>，</w:t>
      </w:r>
      <w:r>
        <w:rPr>
          <w:rFonts w:hint="eastAsia" w:ascii="仿宋" w:hAnsi="仿宋" w:eastAsia="仿宋" w:cs="仿宋"/>
          <w:color w:val="auto"/>
          <w:szCs w:val="21"/>
          <w:lang w:val="zh-CN" w:eastAsia="zh-CN"/>
        </w:rPr>
        <w:t>作业人员在工作时间内发生的任何人身意外伤害、第三者责任事故导致的一切损失均由中标人负责。</w:t>
      </w:r>
    </w:p>
    <w:p w14:paraId="2C213ACE">
      <w:pPr>
        <w:keepNext w:val="0"/>
        <w:keepLines w:val="0"/>
        <w:pageBreakBefore w:val="0"/>
        <w:widowControl w:val="0"/>
        <w:numPr>
          <w:ilvl w:val="0"/>
          <w:numId w:val="0"/>
        </w:numPr>
        <w:kinsoku/>
        <w:wordWrap/>
        <w:overflowPunct/>
        <w:topLinePunct w:val="0"/>
        <w:autoSpaceDE/>
        <w:autoSpaceDN/>
        <w:bidi w:val="0"/>
        <w:adjustRightInd/>
        <w:snapToGrid w:val="0"/>
        <w:spacing w:before="100" w:beforeAutospacing="1" w:after="100" w:afterAutospacing="1" w:line="396" w:lineRule="auto"/>
        <w:ind w:firstLine="420" w:firstLineChars="200"/>
        <w:contextualSpacing/>
        <w:textAlignment w:val="auto"/>
        <w:rPr>
          <w:rFonts w:hint="eastAsia" w:ascii="仿宋" w:hAnsi="仿宋" w:eastAsia="仿宋" w:cs="仿宋"/>
          <w:color w:val="auto"/>
          <w:szCs w:val="21"/>
          <w:lang w:val="zh-CN"/>
        </w:rPr>
      </w:pPr>
      <w:r>
        <w:rPr>
          <w:rFonts w:hint="eastAsia" w:ascii="仿宋" w:hAnsi="仿宋" w:eastAsia="仿宋" w:cs="仿宋"/>
          <w:color w:val="auto"/>
          <w:szCs w:val="21"/>
          <w:lang w:val="zh-CN"/>
        </w:rPr>
        <w:t>（3）河面打捞垃圾等废弃物做到定点倾倒、及时清运，重点区垃圾要求日产日清，集中运往环卫处指定地点倾倒、统一处理。应及时打捞河面动物死尸，及时清运至采购人指定地点，并联系无害化处理单位运往无害化处理厂，并取回称重回执单。建立健全保洁相关情况台账，每月上报采购人存档，对台账数据真实性负法律责任。</w:t>
      </w:r>
    </w:p>
    <w:p w14:paraId="65198F13">
      <w:pPr>
        <w:keepNext w:val="0"/>
        <w:keepLines w:val="0"/>
        <w:pageBreakBefore w:val="0"/>
        <w:widowControl w:val="0"/>
        <w:numPr>
          <w:ilvl w:val="0"/>
          <w:numId w:val="0"/>
        </w:numPr>
        <w:kinsoku/>
        <w:wordWrap/>
        <w:overflowPunct/>
        <w:topLinePunct w:val="0"/>
        <w:autoSpaceDE/>
        <w:autoSpaceDN/>
        <w:bidi w:val="0"/>
        <w:adjustRightInd/>
        <w:snapToGrid w:val="0"/>
        <w:spacing w:before="100" w:beforeAutospacing="1" w:after="100" w:afterAutospacing="1" w:line="396" w:lineRule="auto"/>
        <w:ind w:firstLine="420" w:firstLineChars="200"/>
        <w:contextualSpacing/>
        <w:textAlignment w:val="auto"/>
        <w:rPr>
          <w:rFonts w:hint="eastAsia" w:ascii="仿宋" w:hAnsi="仿宋" w:eastAsia="仿宋" w:cs="仿宋"/>
          <w:color w:val="auto"/>
          <w:szCs w:val="21"/>
          <w:lang w:val="zh-CN"/>
        </w:rPr>
      </w:pPr>
      <w:r>
        <w:rPr>
          <w:rFonts w:hint="eastAsia" w:ascii="仿宋" w:hAnsi="仿宋" w:eastAsia="仿宋" w:cs="仿宋"/>
          <w:color w:val="auto"/>
          <w:szCs w:val="21"/>
          <w:lang w:val="zh-CN"/>
        </w:rPr>
        <w:t>（4）不发生上级领导批评、新闻媒体曝光或群众投诉等造成较大社会影响的事件。如发生上级领导批评、新闻媒体曝光或群众投诉事件，中标人应在12小时内整改完毕并及时向采购人反馈信息。</w:t>
      </w:r>
    </w:p>
    <w:p w14:paraId="1EB9B8EF">
      <w:pPr>
        <w:keepNext w:val="0"/>
        <w:keepLines w:val="0"/>
        <w:pageBreakBefore w:val="0"/>
        <w:widowControl w:val="0"/>
        <w:numPr>
          <w:ilvl w:val="0"/>
          <w:numId w:val="0"/>
        </w:numPr>
        <w:kinsoku/>
        <w:wordWrap/>
        <w:overflowPunct/>
        <w:topLinePunct w:val="0"/>
        <w:autoSpaceDE/>
        <w:autoSpaceDN/>
        <w:bidi w:val="0"/>
        <w:adjustRightInd/>
        <w:snapToGrid w:val="0"/>
        <w:spacing w:before="100" w:beforeAutospacing="1" w:after="100" w:afterAutospacing="1" w:line="396" w:lineRule="auto"/>
        <w:ind w:firstLine="420" w:firstLineChars="200"/>
        <w:contextualSpacing/>
        <w:textAlignment w:val="auto"/>
        <w:rPr>
          <w:rFonts w:hint="eastAsia" w:ascii="仿宋" w:hAnsi="仿宋" w:eastAsia="仿宋" w:cs="仿宋"/>
          <w:color w:val="auto"/>
          <w:szCs w:val="21"/>
          <w:lang w:val="zh-CN"/>
        </w:rPr>
      </w:pPr>
      <w:r>
        <w:rPr>
          <w:rFonts w:hint="eastAsia" w:ascii="仿宋" w:hAnsi="仿宋" w:eastAsia="仿宋" w:cs="仿宋"/>
          <w:color w:val="auto"/>
          <w:szCs w:val="21"/>
          <w:lang w:val="zh-CN"/>
        </w:rPr>
        <w:t>（5）中标人须做到文明保洁，礼貌待人，做好沿河卫生宣传管理工作，维护沿堤安全警示牌和河道管理公告牌；及时举报和制止毁坏水工程设施、树木花草、乱弃垃圾、违章建筑等不良行为。</w:t>
      </w:r>
    </w:p>
    <w:p w14:paraId="5D878D47">
      <w:pPr>
        <w:keepNext w:val="0"/>
        <w:keepLines w:val="0"/>
        <w:pageBreakBefore w:val="0"/>
        <w:widowControl w:val="0"/>
        <w:numPr>
          <w:ilvl w:val="0"/>
          <w:numId w:val="0"/>
        </w:numPr>
        <w:kinsoku/>
        <w:wordWrap/>
        <w:overflowPunct/>
        <w:topLinePunct w:val="0"/>
        <w:autoSpaceDE/>
        <w:autoSpaceDN/>
        <w:bidi w:val="0"/>
        <w:adjustRightInd/>
        <w:snapToGrid w:val="0"/>
        <w:spacing w:before="100" w:beforeAutospacing="1" w:after="100" w:afterAutospacing="1" w:line="396" w:lineRule="auto"/>
        <w:ind w:firstLine="420" w:firstLineChars="200"/>
        <w:contextualSpacing/>
        <w:textAlignment w:val="auto"/>
        <w:rPr>
          <w:rFonts w:hint="eastAsia" w:ascii="仿宋" w:hAnsi="仿宋" w:eastAsia="仿宋" w:cs="仿宋"/>
          <w:color w:val="auto"/>
          <w:szCs w:val="21"/>
          <w:lang w:val="zh-CN"/>
        </w:rPr>
      </w:pPr>
      <w:r>
        <w:rPr>
          <w:rFonts w:hint="eastAsia" w:ascii="仿宋" w:hAnsi="仿宋" w:eastAsia="仿宋" w:cs="仿宋"/>
          <w:color w:val="auto"/>
          <w:szCs w:val="21"/>
          <w:lang w:val="zh-CN"/>
        </w:rPr>
        <w:t>（6）中标人须做好作业人员水上安全生产教育和管理，遵守水上安全生产的各项规定，作业时一律身着水上救生衣，确保人身安全，做到安全第一。作业人员发生安全意外事故，责任由中标人负责并及时处理。</w:t>
      </w:r>
    </w:p>
    <w:p w14:paraId="7017A12F">
      <w:pPr>
        <w:keepNext w:val="0"/>
        <w:keepLines w:val="0"/>
        <w:pageBreakBefore w:val="0"/>
        <w:widowControl w:val="0"/>
        <w:kinsoku/>
        <w:wordWrap/>
        <w:overflowPunct/>
        <w:topLinePunct w:val="0"/>
        <w:autoSpaceDE/>
        <w:autoSpaceDN/>
        <w:bidi w:val="0"/>
        <w:adjustRightInd/>
        <w:snapToGrid w:val="0"/>
        <w:spacing w:before="100" w:beforeAutospacing="1" w:after="100" w:afterAutospacing="1" w:line="396" w:lineRule="auto"/>
        <w:ind w:firstLine="420" w:firstLineChars="200"/>
        <w:contextualSpacing/>
        <w:textAlignment w:val="auto"/>
        <w:rPr>
          <w:rFonts w:hint="eastAsia" w:ascii="仿宋" w:hAnsi="仿宋" w:eastAsia="仿宋" w:cs="仿宋"/>
          <w:b/>
          <w:bCs/>
          <w:color w:val="auto"/>
          <w:szCs w:val="21"/>
          <w:lang w:val="zh-CN"/>
        </w:rPr>
      </w:pPr>
      <w:r>
        <w:rPr>
          <w:rFonts w:hint="eastAsia" w:ascii="仿宋" w:hAnsi="仿宋" w:eastAsia="仿宋" w:cs="仿宋"/>
          <w:b/>
          <w:bCs/>
          <w:color w:val="auto"/>
          <w:szCs w:val="21"/>
          <w:lang w:val="zh-CN"/>
        </w:rPr>
        <w:t>2、堤岸长效保洁标准：</w:t>
      </w:r>
    </w:p>
    <w:p w14:paraId="21166900">
      <w:pPr>
        <w:keepNext w:val="0"/>
        <w:keepLines w:val="0"/>
        <w:pageBreakBefore w:val="0"/>
        <w:widowControl w:val="0"/>
        <w:kinsoku/>
        <w:wordWrap/>
        <w:overflowPunct/>
        <w:topLinePunct w:val="0"/>
        <w:autoSpaceDE/>
        <w:autoSpaceDN/>
        <w:bidi w:val="0"/>
        <w:adjustRightInd/>
        <w:snapToGrid w:val="0"/>
        <w:spacing w:before="100" w:beforeAutospacing="1" w:after="100" w:afterAutospacing="1" w:line="396" w:lineRule="auto"/>
        <w:ind w:firstLine="420" w:firstLineChars="200"/>
        <w:contextualSpacing/>
        <w:textAlignment w:val="auto"/>
        <w:rPr>
          <w:rFonts w:hint="eastAsia" w:ascii="仿宋" w:hAnsi="仿宋" w:eastAsia="仿宋" w:cs="仿宋"/>
          <w:color w:val="auto"/>
          <w:szCs w:val="21"/>
          <w:lang w:val="zh-CN"/>
        </w:rPr>
      </w:pPr>
      <w:r>
        <w:rPr>
          <w:rFonts w:hint="eastAsia" w:ascii="仿宋" w:hAnsi="仿宋" w:eastAsia="仿宋" w:cs="仿宋"/>
          <w:color w:val="auto"/>
          <w:szCs w:val="21"/>
          <w:lang w:val="zh-CN"/>
        </w:rPr>
        <w:t>（1）每天清扫必须做到亲水平台、护坡、台阶干净，无堆积垃圾、无跳扫漏扫、无烟头纸屑。</w:t>
      </w:r>
    </w:p>
    <w:p w14:paraId="7673DBFD">
      <w:pPr>
        <w:keepNext w:val="0"/>
        <w:keepLines w:val="0"/>
        <w:pageBreakBefore w:val="0"/>
        <w:widowControl w:val="0"/>
        <w:kinsoku/>
        <w:wordWrap/>
        <w:overflowPunct/>
        <w:topLinePunct w:val="0"/>
        <w:autoSpaceDE/>
        <w:autoSpaceDN/>
        <w:bidi w:val="0"/>
        <w:adjustRightInd/>
        <w:snapToGrid w:val="0"/>
        <w:spacing w:before="100" w:beforeAutospacing="1" w:after="100" w:afterAutospacing="1" w:line="396" w:lineRule="auto"/>
        <w:ind w:firstLine="420" w:firstLineChars="200"/>
        <w:contextualSpacing/>
        <w:textAlignment w:val="auto"/>
        <w:rPr>
          <w:rFonts w:hint="eastAsia" w:ascii="仿宋" w:hAnsi="仿宋" w:eastAsia="仿宋" w:cs="仿宋"/>
          <w:color w:val="auto"/>
          <w:szCs w:val="21"/>
          <w:lang w:val="zh-CN"/>
        </w:rPr>
      </w:pPr>
      <w:r>
        <w:rPr>
          <w:rFonts w:hint="eastAsia" w:ascii="仿宋" w:hAnsi="仿宋" w:eastAsia="仿宋" w:cs="仿宋"/>
          <w:color w:val="auto"/>
          <w:szCs w:val="21"/>
          <w:lang w:val="zh-CN"/>
        </w:rPr>
        <w:t>（2）堤防沿岸不锈钢栏杆做到整洁无污渍，如发现设施有破损的应及时向甲方汇报。</w:t>
      </w:r>
    </w:p>
    <w:p w14:paraId="595A6719">
      <w:pPr>
        <w:keepNext w:val="0"/>
        <w:keepLines w:val="0"/>
        <w:pageBreakBefore w:val="0"/>
        <w:widowControl w:val="0"/>
        <w:kinsoku/>
        <w:wordWrap/>
        <w:overflowPunct/>
        <w:topLinePunct w:val="0"/>
        <w:autoSpaceDE/>
        <w:autoSpaceDN/>
        <w:bidi w:val="0"/>
        <w:adjustRightInd/>
        <w:snapToGrid w:val="0"/>
        <w:spacing w:before="100" w:beforeAutospacing="1" w:after="100" w:afterAutospacing="1" w:line="396" w:lineRule="auto"/>
        <w:ind w:firstLine="420" w:firstLineChars="200"/>
        <w:contextualSpacing/>
        <w:textAlignment w:val="auto"/>
        <w:rPr>
          <w:rFonts w:hint="eastAsia" w:ascii="仿宋" w:hAnsi="仿宋" w:eastAsia="仿宋" w:cs="仿宋"/>
          <w:color w:val="auto"/>
          <w:szCs w:val="21"/>
          <w:lang w:val="zh-CN"/>
        </w:rPr>
      </w:pPr>
      <w:r>
        <w:rPr>
          <w:rFonts w:hint="eastAsia" w:ascii="仿宋" w:hAnsi="仿宋" w:eastAsia="仿宋" w:cs="仿宋"/>
          <w:color w:val="auto"/>
          <w:szCs w:val="21"/>
          <w:lang w:val="zh-CN"/>
        </w:rPr>
        <w:t>（3）清扫产生的灰尘、泥沙不得扫入河面或倒入绿化带。</w:t>
      </w:r>
    </w:p>
    <w:p w14:paraId="1580751F">
      <w:pPr>
        <w:keepNext w:val="0"/>
        <w:keepLines w:val="0"/>
        <w:pageBreakBefore w:val="0"/>
        <w:widowControl w:val="0"/>
        <w:kinsoku/>
        <w:wordWrap/>
        <w:overflowPunct/>
        <w:topLinePunct w:val="0"/>
        <w:autoSpaceDE/>
        <w:autoSpaceDN/>
        <w:bidi w:val="0"/>
        <w:adjustRightInd/>
        <w:snapToGrid w:val="0"/>
        <w:spacing w:before="100" w:beforeAutospacing="1" w:after="100" w:afterAutospacing="1" w:line="396" w:lineRule="auto"/>
        <w:ind w:firstLine="420" w:firstLineChars="200"/>
        <w:contextualSpacing/>
        <w:textAlignment w:val="auto"/>
        <w:rPr>
          <w:rFonts w:hint="eastAsia" w:ascii="仿宋" w:hAnsi="仿宋" w:eastAsia="仿宋" w:cs="仿宋"/>
          <w:color w:val="auto"/>
          <w:szCs w:val="21"/>
          <w:lang w:val="zh-CN"/>
        </w:rPr>
      </w:pPr>
      <w:r>
        <w:rPr>
          <w:rFonts w:hint="eastAsia" w:ascii="仿宋" w:hAnsi="仿宋" w:eastAsia="仿宋" w:cs="仿宋"/>
          <w:color w:val="auto"/>
          <w:szCs w:val="21"/>
          <w:lang w:val="zh-CN"/>
        </w:rPr>
        <w:t>（4）积极完成甲方交办的突击任务或创建任务，不得推诿。</w:t>
      </w:r>
    </w:p>
    <w:p w14:paraId="4D41A96A">
      <w:pPr>
        <w:keepNext w:val="0"/>
        <w:keepLines w:val="0"/>
        <w:pageBreakBefore w:val="0"/>
        <w:widowControl w:val="0"/>
        <w:kinsoku/>
        <w:wordWrap/>
        <w:overflowPunct/>
        <w:topLinePunct w:val="0"/>
        <w:autoSpaceDE/>
        <w:autoSpaceDN/>
        <w:bidi w:val="0"/>
        <w:adjustRightInd/>
        <w:snapToGrid w:val="0"/>
        <w:spacing w:before="100" w:beforeAutospacing="1" w:after="100" w:afterAutospacing="1" w:line="396" w:lineRule="auto"/>
        <w:ind w:firstLine="420" w:firstLineChars="200"/>
        <w:contextualSpacing/>
        <w:textAlignment w:val="auto"/>
        <w:rPr>
          <w:rFonts w:hint="eastAsia" w:ascii="仿宋" w:hAnsi="仿宋" w:eastAsia="仿宋" w:cs="仿宋"/>
          <w:color w:val="auto"/>
          <w:szCs w:val="21"/>
          <w:lang w:val="zh-CN"/>
        </w:rPr>
      </w:pPr>
      <w:r>
        <w:rPr>
          <w:rFonts w:hint="eastAsia" w:ascii="仿宋" w:hAnsi="仿宋" w:eastAsia="仿宋" w:cs="仿宋"/>
          <w:color w:val="auto"/>
          <w:szCs w:val="21"/>
          <w:lang w:val="zh-CN"/>
        </w:rPr>
        <w:t>（5）重大活动后应清洗相关活动区域。</w:t>
      </w:r>
    </w:p>
    <w:p w14:paraId="1D9616D8">
      <w:pPr>
        <w:keepNext w:val="0"/>
        <w:keepLines w:val="0"/>
        <w:pageBreakBefore w:val="0"/>
        <w:widowControl w:val="0"/>
        <w:kinsoku/>
        <w:wordWrap/>
        <w:overflowPunct/>
        <w:topLinePunct w:val="0"/>
        <w:autoSpaceDE/>
        <w:autoSpaceDN/>
        <w:bidi w:val="0"/>
        <w:adjustRightInd/>
        <w:snapToGrid w:val="0"/>
        <w:spacing w:before="100" w:beforeAutospacing="1" w:after="100" w:afterAutospacing="1" w:line="396" w:lineRule="auto"/>
        <w:ind w:firstLine="420" w:firstLineChars="200"/>
        <w:contextualSpacing/>
        <w:textAlignment w:val="auto"/>
        <w:rPr>
          <w:rFonts w:hint="eastAsia" w:ascii="仿宋" w:hAnsi="仿宋" w:eastAsia="仿宋" w:cs="仿宋"/>
          <w:b/>
          <w:color w:val="auto"/>
          <w:sz w:val="21"/>
          <w:szCs w:val="21"/>
          <w:highlight w:val="none"/>
          <w:lang w:eastAsia="zh-CN"/>
        </w:rPr>
      </w:pPr>
      <w:r>
        <w:rPr>
          <w:rFonts w:hint="eastAsia" w:ascii="仿宋" w:hAnsi="仿宋" w:eastAsia="仿宋" w:cs="仿宋"/>
          <w:b/>
          <w:color w:val="auto"/>
          <w:sz w:val="21"/>
          <w:szCs w:val="21"/>
          <w:highlight w:val="none"/>
          <w:lang w:eastAsia="zh-CN"/>
        </w:rPr>
        <w:t>四、安全责任</w:t>
      </w:r>
    </w:p>
    <w:p w14:paraId="58622A69">
      <w:pPr>
        <w:keepNext w:val="0"/>
        <w:keepLines w:val="0"/>
        <w:pageBreakBefore w:val="0"/>
        <w:widowControl w:val="0"/>
        <w:kinsoku/>
        <w:wordWrap/>
        <w:overflowPunct/>
        <w:topLinePunct w:val="0"/>
        <w:autoSpaceDE/>
        <w:autoSpaceDN/>
        <w:bidi w:val="0"/>
        <w:adjustRightInd/>
        <w:snapToGrid w:val="0"/>
        <w:spacing w:before="100" w:beforeAutospacing="1" w:after="100" w:afterAutospacing="1" w:line="396" w:lineRule="auto"/>
        <w:ind w:firstLine="420" w:firstLineChars="200"/>
        <w:contextualSpacing/>
        <w:textAlignment w:val="auto"/>
        <w:rPr>
          <w:rFonts w:hint="eastAsia" w:ascii="仿宋" w:hAnsi="仿宋" w:eastAsia="仿宋" w:cs="仿宋"/>
          <w:b w:val="0"/>
          <w:bCs/>
          <w:color w:val="auto"/>
          <w:sz w:val="21"/>
          <w:szCs w:val="21"/>
          <w:highlight w:val="none"/>
          <w:lang w:val="zh-CN" w:eastAsia="zh-CN"/>
        </w:rPr>
      </w:pPr>
      <w:r>
        <w:rPr>
          <w:rFonts w:hint="eastAsia" w:ascii="仿宋" w:hAnsi="仿宋" w:eastAsia="仿宋" w:cs="仿宋"/>
          <w:b w:val="0"/>
          <w:bCs/>
          <w:color w:val="auto"/>
          <w:sz w:val="21"/>
          <w:szCs w:val="21"/>
          <w:highlight w:val="none"/>
          <w:lang w:val="zh-CN" w:eastAsia="zh-CN"/>
        </w:rPr>
        <w:t>1.要求乙方为员工购买人身意外伤害险及第三者责任险（第三者责任险保额不得低于100万元），且重视安全工作，保洁人员水上作业时必须佩戴救生器具，并对作业人员进行安全方面的知识教育，做好安全防范工作。</w:t>
      </w:r>
    </w:p>
    <w:p w14:paraId="0806C8A7">
      <w:pPr>
        <w:keepNext w:val="0"/>
        <w:keepLines w:val="0"/>
        <w:pageBreakBefore w:val="0"/>
        <w:widowControl w:val="0"/>
        <w:kinsoku/>
        <w:wordWrap/>
        <w:overflowPunct/>
        <w:topLinePunct w:val="0"/>
        <w:autoSpaceDE/>
        <w:autoSpaceDN/>
        <w:bidi w:val="0"/>
        <w:adjustRightInd/>
        <w:snapToGrid w:val="0"/>
        <w:spacing w:before="100" w:beforeAutospacing="1" w:after="100" w:afterAutospacing="1" w:line="396" w:lineRule="auto"/>
        <w:ind w:firstLine="420" w:firstLineChars="200"/>
        <w:contextualSpacing/>
        <w:textAlignment w:val="auto"/>
        <w:rPr>
          <w:rFonts w:hint="eastAsia" w:ascii="仿宋" w:hAnsi="仿宋" w:eastAsia="仿宋" w:cs="仿宋"/>
          <w:b w:val="0"/>
          <w:bCs/>
          <w:color w:val="auto"/>
          <w:sz w:val="21"/>
          <w:szCs w:val="21"/>
          <w:highlight w:val="none"/>
          <w:lang w:val="zh-CN" w:eastAsia="zh-CN"/>
        </w:rPr>
      </w:pPr>
      <w:r>
        <w:rPr>
          <w:rFonts w:hint="eastAsia" w:ascii="仿宋" w:hAnsi="仿宋" w:eastAsia="仿宋" w:cs="仿宋"/>
          <w:b w:val="0"/>
          <w:bCs/>
          <w:color w:val="auto"/>
          <w:sz w:val="21"/>
          <w:szCs w:val="21"/>
          <w:highlight w:val="none"/>
          <w:lang w:val="zh-CN" w:eastAsia="zh-CN"/>
        </w:rPr>
        <w:t>2.服务期限内若发生水上作业事故、生产安全责任事故,导致出现人员伤亡或财物损失的,所产生的一切费用及责任均由乙方依法承担，不得以任何理由向甲方追偿。</w:t>
      </w:r>
    </w:p>
    <w:p w14:paraId="5E4C083B">
      <w:pPr>
        <w:keepNext w:val="0"/>
        <w:keepLines w:val="0"/>
        <w:pageBreakBefore w:val="0"/>
        <w:widowControl w:val="0"/>
        <w:kinsoku/>
        <w:wordWrap/>
        <w:overflowPunct/>
        <w:topLinePunct w:val="0"/>
        <w:autoSpaceDE/>
        <w:autoSpaceDN/>
        <w:bidi w:val="0"/>
        <w:adjustRightInd/>
        <w:snapToGrid w:val="0"/>
        <w:spacing w:before="100" w:beforeAutospacing="1" w:after="100" w:afterAutospacing="1" w:line="396" w:lineRule="auto"/>
        <w:ind w:firstLine="420" w:firstLineChars="200"/>
        <w:contextualSpacing/>
        <w:textAlignment w:val="auto"/>
        <w:rPr>
          <w:rFonts w:hint="default" w:ascii="仿宋" w:hAnsi="仿宋" w:eastAsia="仿宋" w:cs="仿宋"/>
          <w:color w:val="auto"/>
          <w:sz w:val="21"/>
          <w:szCs w:val="21"/>
          <w:highlight w:val="none"/>
          <w:lang w:val="en-US" w:eastAsia="zh-CN"/>
        </w:rPr>
      </w:pPr>
      <w:r>
        <w:rPr>
          <w:rFonts w:hint="eastAsia" w:ascii="仿宋" w:hAnsi="仿宋" w:eastAsia="仿宋" w:cs="仿宋"/>
          <w:b/>
          <w:sz w:val="21"/>
          <w:szCs w:val="21"/>
          <w:highlight w:val="none"/>
          <w:lang w:eastAsia="zh-CN"/>
        </w:rPr>
        <w:t>第二条</w:t>
      </w:r>
      <w:r>
        <w:rPr>
          <w:rFonts w:hint="eastAsia" w:ascii="仿宋" w:hAnsi="仿宋" w:eastAsia="仿宋" w:cs="仿宋"/>
          <w:b/>
          <w:sz w:val="21"/>
          <w:szCs w:val="21"/>
          <w:highlight w:val="none"/>
          <w:lang w:val="en-US" w:eastAsia="zh-CN"/>
        </w:rPr>
        <w:t xml:space="preserve">  </w:t>
      </w:r>
      <w:r>
        <w:rPr>
          <w:rFonts w:hint="eastAsia" w:ascii="仿宋" w:hAnsi="仿宋" w:eastAsia="仿宋" w:cs="仿宋"/>
          <w:b/>
          <w:sz w:val="21"/>
          <w:szCs w:val="21"/>
          <w:highlight w:val="none"/>
        </w:rPr>
        <w:t>服务期限：</w:t>
      </w:r>
      <w:r>
        <w:rPr>
          <w:rFonts w:hint="eastAsia" w:ascii="仿宋" w:hAnsi="仿宋" w:eastAsia="仿宋" w:cs="仿宋"/>
          <w:color w:val="auto"/>
          <w:szCs w:val="21"/>
          <w:highlight w:val="none"/>
          <w:lang w:eastAsia="zh-CN"/>
        </w:rPr>
        <w:t>合同签订之日起</w:t>
      </w:r>
      <w:r>
        <w:rPr>
          <w:rFonts w:hint="eastAsia" w:ascii="仿宋" w:hAnsi="仿宋" w:eastAsia="仿宋" w:cs="仿宋"/>
          <w:color w:val="auto"/>
          <w:szCs w:val="21"/>
          <w:highlight w:val="none"/>
          <w:lang w:val="en-US" w:eastAsia="zh-CN"/>
        </w:rPr>
        <w:t>2年</w:t>
      </w:r>
      <w:r>
        <w:rPr>
          <w:rFonts w:hint="eastAsia" w:ascii="仿宋" w:hAnsi="仿宋" w:eastAsia="仿宋" w:cs="仿宋"/>
          <w:color w:val="auto"/>
          <w:sz w:val="21"/>
          <w:szCs w:val="21"/>
          <w:highlight w:val="none"/>
          <w:lang w:val="en-US" w:eastAsia="zh-CN"/>
        </w:rPr>
        <w:t>，即：</w:t>
      </w:r>
      <w:r>
        <w:rPr>
          <w:rFonts w:hint="eastAsia" w:ascii="仿宋" w:hAnsi="仿宋" w:eastAsia="仿宋" w:cs="仿宋"/>
          <w:color w:val="auto"/>
          <w:sz w:val="21"/>
          <w:szCs w:val="21"/>
          <w:highlight w:val="none"/>
          <w:u w:val="single"/>
          <w:lang w:val="en-US" w:eastAsia="zh-CN"/>
        </w:rPr>
        <w:t xml:space="preserve">      </w:t>
      </w:r>
      <w:r>
        <w:rPr>
          <w:rFonts w:hint="eastAsia" w:ascii="仿宋" w:hAnsi="仿宋" w:eastAsia="仿宋" w:cs="仿宋"/>
          <w:color w:val="auto"/>
          <w:sz w:val="21"/>
          <w:szCs w:val="21"/>
          <w:highlight w:val="none"/>
          <w:lang w:val="en-US" w:eastAsia="zh-CN"/>
        </w:rPr>
        <w:t>年</w:t>
      </w:r>
      <w:r>
        <w:rPr>
          <w:rFonts w:hint="eastAsia" w:ascii="仿宋" w:hAnsi="仿宋" w:eastAsia="仿宋" w:cs="仿宋"/>
          <w:color w:val="auto"/>
          <w:sz w:val="21"/>
          <w:szCs w:val="21"/>
          <w:highlight w:val="none"/>
          <w:u w:val="single"/>
          <w:lang w:val="en-US" w:eastAsia="zh-CN"/>
        </w:rPr>
        <w:t xml:space="preserve">   </w:t>
      </w:r>
      <w:r>
        <w:rPr>
          <w:rFonts w:hint="eastAsia" w:ascii="仿宋" w:hAnsi="仿宋" w:eastAsia="仿宋" w:cs="仿宋"/>
          <w:color w:val="auto"/>
          <w:sz w:val="21"/>
          <w:szCs w:val="21"/>
          <w:highlight w:val="none"/>
          <w:lang w:val="en-US" w:eastAsia="zh-CN"/>
        </w:rPr>
        <w:t>月</w:t>
      </w:r>
      <w:r>
        <w:rPr>
          <w:rFonts w:hint="eastAsia" w:ascii="仿宋" w:hAnsi="仿宋" w:eastAsia="仿宋" w:cs="仿宋"/>
          <w:color w:val="auto"/>
          <w:sz w:val="21"/>
          <w:szCs w:val="21"/>
          <w:highlight w:val="none"/>
          <w:u w:val="single"/>
          <w:lang w:val="en-US" w:eastAsia="zh-CN"/>
        </w:rPr>
        <w:t xml:space="preserve">   </w:t>
      </w:r>
      <w:r>
        <w:rPr>
          <w:rFonts w:hint="eastAsia" w:ascii="仿宋" w:hAnsi="仿宋" w:eastAsia="仿宋" w:cs="仿宋"/>
          <w:color w:val="auto"/>
          <w:sz w:val="21"/>
          <w:szCs w:val="21"/>
          <w:highlight w:val="none"/>
          <w:lang w:val="en-US" w:eastAsia="zh-CN"/>
        </w:rPr>
        <w:t>日至</w:t>
      </w:r>
      <w:r>
        <w:rPr>
          <w:rFonts w:hint="eastAsia" w:ascii="仿宋" w:hAnsi="仿宋" w:eastAsia="仿宋" w:cs="仿宋"/>
          <w:color w:val="auto"/>
          <w:sz w:val="21"/>
          <w:szCs w:val="21"/>
          <w:highlight w:val="none"/>
          <w:u w:val="single"/>
          <w:lang w:val="en-US" w:eastAsia="zh-CN"/>
        </w:rPr>
        <w:t xml:space="preserve">     </w:t>
      </w:r>
      <w:r>
        <w:rPr>
          <w:rFonts w:hint="eastAsia" w:ascii="仿宋" w:hAnsi="仿宋" w:eastAsia="仿宋" w:cs="仿宋"/>
          <w:color w:val="auto"/>
          <w:sz w:val="21"/>
          <w:szCs w:val="21"/>
          <w:highlight w:val="none"/>
          <w:lang w:val="en-US" w:eastAsia="zh-CN"/>
        </w:rPr>
        <w:t>年</w:t>
      </w:r>
      <w:r>
        <w:rPr>
          <w:rFonts w:hint="eastAsia" w:ascii="仿宋" w:hAnsi="仿宋" w:eastAsia="仿宋" w:cs="仿宋"/>
          <w:color w:val="auto"/>
          <w:sz w:val="21"/>
          <w:szCs w:val="21"/>
          <w:highlight w:val="none"/>
          <w:u w:val="single"/>
          <w:lang w:val="en-US" w:eastAsia="zh-CN"/>
        </w:rPr>
        <w:t xml:space="preserve">   </w:t>
      </w:r>
      <w:r>
        <w:rPr>
          <w:rFonts w:hint="eastAsia" w:ascii="仿宋" w:hAnsi="仿宋" w:eastAsia="仿宋" w:cs="仿宋"/>
          <w:color w:val="auto"/>
          <w:sz w:val="21"/>
          <w:szCs w:val="21"/>
          <w:highlight w:val="none"/>
          <w:lang w:val="en-US" w:eastAsia="zh-CN"/>
        </w:rPr>
        <w:t>月</w:t>
      </w:r>
      <w:r>
        <w:rPr>
          <w:rFonts w:hint="eastAsia" w:ascii="仿宋" w:hAnsi="仿宋" w:eastAsia="仿宋" w:cs="仿宋"/>
          <w:color w:val="auto"/>
          <w:sz w:val="21"/>
          <w:szCs w:val="21"/>
          <w:highlight w:val="none"/>
          <w:u w:val="single"/>
          <w:lang w:val="en-US" w:eastAsia="zh-CN"/>
        </w:rPr>
        <w:t xml:space="preserve">   </w:t>
      </w:r>
      <w:r>
        <w:rPr>
          <w:rFonts w:hint="eastAsia" w:ascii="仿宋" w:hAnsi="仿宋" w:eastAsia="仿宋" w:cs="仿宋"/>
          <w:color w:val="auto"/>
          <w:sz w:val="21"/>
          <w:szCs w:val="21"/>
          <w:highlight w:val="none"/>
          <w:lang w:val="en-US" w:eastAsia="zh-CN"/>
        </w:rPr>
        <w:t>日止。</w:t>
      </w:r>
    </w:p>
    <w:p w14:paraId="62A6E9A1">
      <w:pPr>
        <w:keepNext w:val="0"/>
        <w:keepLines w:val="0"/>
        <w:pageBreakBefore w:val="0"/>
        <w:widowControl w:val="0"/>
        <w:numPr>
          <w:ilvl w:val="0"/>
          <w:numId w:val="0"/>
        </w:numPr>
        <w:kinsoku/>
        <w:wordWrap/>
        <w:overflowPunct/>
        <w:topLinePunct w:val="0"/>
        <w:autoSpaceDE/>
        <w:autoSpaceDN/>
        <w:bidi w:val="0"/>
        <w:adjustRightInd/>
        <w:snapToGrid w:val="0"/>
        <w:spacing w:before="100" w:beforeAutospacing="1" w:after="100" w:afterAutospacing="1" w:line="396" w:lineRule="auto"/>
        <w:ind w:firstLine="420" w:firstLineChars="200"/>
        <w:contextualSpacing/>
        <w:textAlignment w:val="auto"/>
        <w:rPr>
          <w:rFonts w:hint="eastAsia" w:ascii="仿宋" w:hAnsi="仿宋" w:eastAsia="仿宋" w:cs="仿宋"/>
          <w:b/>
          <w:color w:val="auto"/>
          <w:sz w:val="21"/>
          <w:szCs w:val="21"/>
          <w:highlight w:val="none"/>
          <w:lang w:val="en-US" w:eastAsia="zh-CN"/>
        </w:rPr>
      </w:pPr>
      <w:r>
        <w:rPr>
          <w:rFonts w:hint="eastAsia" w:ascii="仿宋" w:hAnsi="仿宋" w:eastAsia="仿宋" w:cs="仿宋"/>
          <w:b/>
          <w:color w:val="auto"/>
          <w:sz w:val="21"/>
          <w:szCs w:val="21"/>
          <w:highlight w:val="none"/>
          <w:lang w:val="en-US" w:eastAsia="zh-CN"/>
        </w:rPr>
        <w:t xml:space="preserve">第三条  </w:t>
      </w:r>
      <w:r>
        <w:rPr>
          <w:rFonts w:hint="eastAsia" w:ascii="仿宋" w:hAnsi="仿宋" w:eastAsia="仿宋" w:cs="仿宋"/>
          <w:b/>
          <w:color w:val="auto"/>
          <w:sz w:val="21"/>
          <w:szCs w:val="21"/>
          <w:highlight w:val="none"/>
        </w:rPr>
        <w:t>合同金额</w:t>
      </w:r>
    </w:p>
    <w:p w14:paraId="01E657EA">
      <w:pPr>
        <w:keepNext w:val="0"/>
        <w:keepLines w:val="0"/>
        <w:pageBreakBefore w:val="0"/>
        <w:widowControl w:val="0"/>
        <w:kinsoku/>
        <w:wordWrap/>
        <w:overflowPunct/>
        <w:topLinePunct w:val="0"/>
        <w:autoSpaceDE/>
        <w:autoSpaceDN/>
        <w:bidi w:val="0"/>
        <w:adjustRightInd/>
        <w:snapToGrid w:val="0"/>
        <w:spacing w:before="100" w:beforeAutospacing="1" w:after="100" w:afterAutospacing="1" w:line="396" w:lineRule="auto"/>
        <w:ind w:firstLine="420" w:firstLineChars="200"/>
        <w:contextualSpacing/>
        <w:textAlignment w:val="auto"/>
        <w:rPr>
          <w:rFonts w:hint="eastAsia" w:ascii="仿宋" w:hAnsi="仿宋" w:eastAsia="仿宋" w:cs="仿宋"/>
          <w:color w:val="auto"/>
          <w:sz w:val="21"/>
          <w:szCs w:val="21"/>
          <w:highlight w:val="none"/>
          <w:lang w:eastAsia="zh-CN"/>
        </w:rPr>
      </w:pPr>
      <w:r>
        <w:rPr>
          <w:rFonts w:hint="eastAsia" w:ascii="仿宋" w:hAnsi="仿宋" w:eastAsia="仿宋" w:cs="仿宋"/>
          <w:color w:val="auto"/>
          <w:kern w:val="2"/>
          <w:sz w:val="21"/>
          <w:szCs w:val="21"/>
          <w:highlight w:val="none"/>
          <w:lang w:val="en-US" w:eastAsia="zh-CN" w:bidi="ar-SA"/>
        </w:rPr>
        <w:t>1.合同总金额</w:t>
      </w:r>
      <w:r>
        <w:rPr>
          <w:rFonts w:hint="eastAsia" w:ascii="仿宋" w:hAnsi="仿宋" w:eastAsia="仿宋" w:cs="仿宋"/>
          <w:b w:val="0"/>
          <w:bCs w:val="0"/>
          <w:color w:val="auto"/>
          <w:kern w:val="2"/>
          <w:sz w:val="21"/>
          <w:szCs w:val="21"/>
          <w:highlight w:val="none"/>
          <w:lang w:val="en-US" w:eastAsia="zh-CN" w:bidi="ar-SA"/>
        </w:rPr>
        <w:t>：大写</w:t>
      </w:r>
      <w:r>
        <w:rPr>
          <w:rFonts w:hint="eastAsia" w:ascii="仿宋" w:hAnsi="仿宋" w:eastAsia="仿宋" w:cs="仿宋"/>
          <w:b w:val="0"/>
          <w:bCs w:val="0"/>
          <w:color w:val="auto"/>
          <w:sz w:val="21"/>
          <w:szCs w:val="21"/>
          <w:highlight w:val="none"/>
          <w:u w:val="single"/>
          <w:lang w:val="en-US" w:eastAsia="zh-CN"/>
        </w:rPr>
        <w:t xml:space="preserve">                </w:t>
      </w:r>
      <w:r>
        <w:rPr>
          <w:rFonts w:hint="eastAsia" w:ascii="仿宋" w:hAnsi="仿宋" w:eastAsia="仿宋" w:cs="仿宋"/>
          <w:b w:val="0"/>
          <w:bCs w:val="0"/>
          <w:color w:val="auto"/>
          <w:sz w:val="21"/>
          <w:szCs w:val="21"/>
          <w:highlight w:val="none"/>
          <w:u w:val="none"/>
          <w:lang w:val="en-US" w:eastAsia="zh-CN"/>
        </w:rPr>
        <w:t>元整（小写：</w:t>
      </w:r>
      <w:r>
        <w:rPr>
          <w:rFonts w:hint="eastAsia" w:ascii="仿宋" w:hAnsi="仿宋" w:eastAsia="仿宋" w:cs="仿宋"/>
          <w:b w:val="0"/>
          <w:bCs w:val="0"/>
          <w:color w:val="auto"/>
          <w:sz w:val="21"/>
          <w:szCs w:val="21"/>
          <w:highlight w:val="none"/>
          <w:u w:val="single"/>
          <w:lang w:val="en-US" w:eastAsia="zh-CN"/>
        </w:rPr>
        <w:t xml:space="preserve">           </w:t>
      </w:r>
      <w:r>
        <w:rPr>
          <w:rFonts w:hint="eastAsia" w:ascii="仿宋" w:hAnsi="仿宋" w:eastAsia="仿宋" w:cs="仿宋"/>
          <w:b w:val="0"/>
          <w:bCs w:val="0"/>
          <w:color w:val="auto"/>
          <w:sz w:val="21"/>
          <w:szCs w:val="21"/>
          <w:highlight w:val="none"/>
          <w:u w:val="none"/>
          <w:lang w:val="en-US" w:eastAsia="zh-CN"/>
        </w:rPr>
        <w:t>元）</w:t>
      </w:r>
      <w:r>
        <w:rPr>
          <w:rFonts w:hint="eastAsia" w:ascii="仿宋" w:hAnsi="仿宋" w:eastAsia="仿宋" w:cs="仿宋"/>
          <w:color w:val="auto"/>
          <w:sz w:val="21"/>
          <w:szCs w:val="21"/>
          <w:highlight w:val="none"/>
        </w:rPr>
        <w:t>。</w:t>
      </w:r>
    </w:p>
    <w:p w14:paraId="432C3590">
      <w:pPr>
        <w:keepNext w:val="0"/>
        <w:keepLines w:val="0"/>
        <w:pageBreakBefore w:val="0"/>
        <w:widowControl w:val="0"/>
        <w:kinsoku/>
        <w:wordWrap/>
        <w:overflowPunct/>
        <w:topLinePunct w:val="0"/>
        <w:autoSpaceDE/>
        <w:autoSpaceDN/>
        <w:bidi w:val="0"/>
        <w:adjustRightInd/>
        <w:snapToGrid w:val="0"/>
        <w:spacing w:before="100" w:beforeAutospacing="1" w:after="100" w:afterAutospacing="1" w:line="396" w:lineRule="auto"/>
        <w:ind w:firstLine="420" w:firstLineChars="200"/>
        <w:contextualSpacing/>
        <w:textAlignment w:val="auto"/>
        <w:rPr>
          <w:rFonts w:hint="eastAsia"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2.</w:t>
      </w:r>
      <w:r>
        <w:rPr>
          <w:rFonts w:hint="eastAsia" w:ascii="仿宋" w:hAnsi="仿宋" w:eastAsia="仿宋" w:cs="仿宋"/>
          <w:b w:val="0"/>
          <w:bCs/>
          <w:color w:val="auto"/>
          <w:sz w:val="21"/>
          <w:szCs w:val="21"/>
          <w:highlight w:val="none"/>
          <w:lang w:val="en-US" w:eastAsia="zh-CN"/>
        </w:rPr>
        <w:t>合同</w:t>
      </w:r>
      <w:r>
        <w:rPr>
          <w:rFonts w:hint="eastAsia" w:ascii="仿宋" w:hAnsi="仿宋" w:eastAsia="仿宋" w:cs="仿宋"/>
          <w:b w:val="0"/>
          <w:bCs/>
          <w:color w:val="auto"/>
          <w:sz w:val="21"/>
          <w:szCs w:val="21"/>
          <w:highlight w:val="none"/>
          <w:vertAlign w:val="baseline"/>
          <w:lang w:val="en-US" w:eastAsia="zh-CN"/>
        </w:rPr>
        <w:t>价</w:t>
      </w:r>
      <w:r>
        <w:rPr>
          <w:rFonts w:hint="eastAsia" w:ascii="仿宋" w:hAnsi="仿宋" w:eastAsia="仿宋" w:cs="仿宋"/>
          <w:color w:val="auto"/>
          <w:szCs w:val="21"/>
          <w:highlight w:val="none"/>
        </w:rPr>
        <w:t>包括</w:t>
      </w:r>
      <w:r>
        <w:rPr>
          <w:rFonts w:hint="eastAsia" w:ascii="仿宋" w:hAnsi="仿宋" w:eastAsia="仿宋" w:cs="仿宋"/>
          <w:color w:val="auto"/>
          <w:szCs w:val="21"/>
          <w:highlight w:val="none"/>
          <w:lang w:val="en-US"/>
        </w:rPr>
        <w:t>本采购文件确定的采购需求范围内全部工作内容的价格表现。完成本项目采购需求范围内全部工作内容所需支付的一切成本费用、企业应缴纳的税费及合理利润等所有采购文件提及的费用，以及诸如项目实施过程中合理存在的风险等</w:t>
      </w:r>
      <w:r>
        <w:rPr>
          <w:rFonts w:hint="eastAsia" w:ascii="仿宋" w:hAnsi="仿宋" w:eastAsia="仿宋" w:cs="仿宋"/>
          <w:color w:val="auto"/>
          <w:szCs w:val="21"/>
          <w:highlight w:val="none"/>
        </w:rPr>
        <w:t>各项全部费用</w:t>
      </w:r>
      <w:r>
        <w:rPr>
          <w:rFonts w:hint="eastAsia" w:ascii="仿宋" w:hAnsi="仿宋" w:eastAsia="仿宋" w:cs="仿宋"/>
          <w:b w:val="0"/>
          <w:bCs/>
          <w:color w:val="auto"/>
          <w:sz w:val="21"/>
          <w:szCs w:val="21"/>
          <w:highlight w:val="none"/>
          <w:vertAlign w:val="baseline"/>
          <w:lang w:val="en-US" w:eastAsia="zh-CN"/>
        </w:rPr>
        <w:t>。</w:t>
      </w:r>
    </w:p>
    <w:p w14:paraId="5EF6F40B">
      <w:pPr>
        <w:keepNext w:val="0"/>
        <w:keepLines w:val="0"/>
        <w:pageBreakBefore w:val="0"/>
        <w:widowControl w:val="0"/>
        <w:kinsoku/>
        <w:wordWrap/>
        <w:overflowPunct/>
        <w:topLinePunct w:val="0"/>
        <w:autoSpaceDE/>
        <w:autoSpaceDN/>
        <w:bidi w:val="0"/>
        <w:adjustRightInd/>
        <w:snapToGrid w:val="0"/>
        <w:spacing w:before="100" w:beforeAutospacing="1" w:after="100" w:afterAutospacing="1" w:line="396" w:lineRule="auto"/>
        <w:ind w:firstLine="420" w:firstLineChars="200"/>
        <w:contextualSpacing/>
        <w:textAlignment w:val="auto"/>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3.合同履行过程中，甲方需追加与合同标的相同的服务的，在不改变合同其他条款的前提下，可以与乙方协商签订补充合同，但所有补充合同的采购金额不得超过本合同采购金额的10%。</w:t>
      </w:r>
    </w:p>
    <w:p w14:paraId="0E6490D4">
      <w:pPr>
        <w:keepNext w:val="0"/>
        <w:keepLines w:val="0"/>
        <w:pageBreakBefore w:val="0"/>
        <w:widowControl w:val="0"/>
        <w:kinsoku/>
        <w:wordWrap/>
        <w:overflowPunct/>
        <w:topLinePunct w:val="0"/>
        <w:autoSpaceDE/>
        <w:autoSpaceDN/>
        <w:bidi w:val="0"/>
        <w:adjustRightInd/>
        <w:snapToGrid w:val="0"/>
        <w:spacing w:before="100" w:beforeAutospacing="1" w:after="100" w:afterAutospacing="1" w:line="396" w:lineRule="auto"/>
        <w:ind w:firstLine="420" w:firstLineChars="200"/>
        <w:contextualSpacing/>
        <w:textAlignment w:val="auto"/>
        <w:rPr>
          <w:rFonts w:hint="eastAsia" w:ascii="仿宋" w:hAnsi="仿宋" w:eastAsia="仿宋" w:cs="仿宋"/>
          <w:b/>
          <w:color w:val="auto"/>
          <w:sz w:val="21"/>
          <w:szCs w:val="21"/>
          <w:highlight w:val="none"/>
          <w:lang w:eastAsia="zh-CN"/>
        </w:rPr>
      </w:pPr>
      <w:r>
        <w:rPr>
          <w:rFonts w:hint="eastAsia" w:ascii="仿宋" w:hAnsi="仿宋" w:eastAsia="仿宋" w:cs="仿宋"/>
          <w:b/>
          <w:color w:val="auto"/>
          <w:sz w:val="21"/>
          <w:szCs w:val="21"/>
          <w:highlight w:val="none"/>
          <w:lang w:val="en-US" w:eastAsia="zh-CN"/>
        </w:rPr>
        <w:t>第四条  付款</w:t>
      </w:r>
      <w:r>
        <w:rPr>
          <w:rFonts w:hint="eastAsia" w:ascii="仿宋" w:hAnsi="仿宋" w:eastAsia="仿宋" w:cs="仿宋"/>
          <w:b/>
          <w:bCs w:val="0"/>
          <w:color w:val="auto"/>
          <w:sz w:val="21"/>
          <w:szCs w:val="21"/>
          <w:highlight w:val="none"/>
          <w:lang w:eastAsia="zh-CN"/>
        </w:rPr>
        <w:t>方式</w:t>
      </w:r>
    </w:p>
    <w:p w14:paraId="44F00117">
      <w:pPr>
        <w:adjustRightInd/>
        <w:snapToGrid w:val="0"/>
        <w:spacing w:before="100" w:beforeAutospacing="1" w:after="100" w:afterAutospacing="1" w:line="396" w:lineRule="auto"/>
        <w:ind w:firstLine="420" w:firstLineChars="200"/>
        <w:contextualSpacing/>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常山港城区河道堤岸及河面保洁费用按季度支付，分八个季度计算，每季经季度考核后，并根据考核扣分情况及时支付相应额度的季度保洁费用。</w:t>
      </w:r>
    </w:p>
    <w:p w14:paraId="7673D5BE">
      <w:pPr>
        <w:keepNext w:val="0"/>
        <w:keepLines w:val="0"/>
        <w:pageBreakBefore w:val="0"/>
        <w:widowControl w:val="0"/>
        <w:kinsoku/>
        <w:wordWrap/>
        <w:overflowPunct/>
        <w:topLinePunct w:val="0"/>
        <w:autoSpaceDE/>
        <w:autoSpaceDN/>
        <w:bidi w:val="0"/>
        <w:adjustRightInd/>
        <w:snapToGrid w:val="0"/>
        <w:spacing w:before="100" w:beforeAutospacing="1" w:after="100" w:afterAutospacing="1" w:line="396" w:lineRule="auto"/>
        <w:ind w:firstLine="420" w:firstLineChars="200"/>
        <w:contextualSpacing/>
        <w:textAlignment w:val="auto"/>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注：乙方须提供正规票据（符合合同甲方财务管理要求）后30日内支付至合同乙方账号。</w:t>
      </w:r>
    </w:p>
    <w:p w14:paraId="7D3FAA8B">
      <w:pPr>
        <w:keepNext w:val="0"/>
        <w:keepLines w:val="0"/>
        <w:pageBreakBefore w:val="0"/>
        <w:widowControl w:val="0"/>
        <w:kinsoku/>
        <w:wordWrap/>
        <w:overflowPunct/>
        <w:topLinePunct w:val="0"/>
        <w:autoSpaceDE/>
        <w:autoSpaceDN/>
        <w:bidi w:val="0"/>
        <w:adjustRightInd/>
        <w:snapToGrid w:val="0"/>
        <w:spacing w:before="100" w:beforeAutospacing="1" w:after="100" w:afterAutospacing="1" w:line="396" w:lineRule="auto"/>
        <w:ind w:firstLine="420" w:firstLineChars="200"/>
        <w:contextualSpacing/>
        <w:textAlignment w:val="auto"/>
        <w:rPr>
          <w:rFonts w:hint="eastAsia" w:ascii="仿宋" w:hAnsi="仿宋" w:eastAsia="仿宋" w:cs="仿宋"/>
          <w:b/>
          <w:color w:val="auto"/>
          <w:sz w:val="21"/>
          <w:szCs w:val="21"/>
          <w:highlight w:val="none"/>
          <w:lang w:eastAsia="zh-CN"/>
        </w:rPr>
      </w:pPr>
      <w:r>
        <w:rPr>
          <w:rFonts w:hint="eastAsia" w:ascii="仿宋" w:hAnsi="仿宋" w:eastAsia="仿宋" w:cs="仿宋"/>
          <w:b/>
          <w:color w:val="auto"/>
          <w:sz w:val="21"/>
          <w:szCs w:val="21"/>
          <w:highlight w:val="none"/>
          <w:lang w:val="en-US" w:eastAsia="zh-CN"/>
        </w:rPr>
        <w:t xml:space="preserve">第五条  </w:t>
      </w:r>
      <w:r>
        <w:rPr>
          <w:rFonts w:hint="eastAsia" w:ascii="仿宋" w:hAnsi="仿宋" w:eastAsia="仿宋" w:cs="仿宋"/>
          <w:b/>
          <w:color w:val="auto"/>
          <w:sz w:val="21"/>
          <w:szCs w:val="21"/>
          <w:highlight w:val="none"/>
          <w:lang w:eastAsia="zh-CN"/>
        </w:rPr>
        <w:t>履约保证金</w:t>
      </w:r>
    </w:p>
    <w:p w14:paraId="2EBBDFD0">
      <w:pPr>
        <w:keepNext w:val="0"/>
        <w:keepLines w:val="0"/>
        <w:pageBreakBefore w:val="0"/>
        <w:widowControl w:val="0"/>
        <w:kinsoku/>
        <w:wordWrap/>
        <w:overflowPunct/>
        <w:topLinePunct w:val="0"/>
        <w:autoSpaceDE/>
        <w:autoSpaceDN/>
        <w:bidi w:val="0"/>
        <w:adjustRightInd/>
        <w:snapToGrid w:val="0"/>
        <w:spacing w:before="100" w:beforeAutospacing="1" w:after="100" w:afterAutospacing="1" w:line="396" w:lineRule="auto"/>
        <w:ind w:firstLine="420" w:firstLineChars="200"/>
        <w:contextualSpacing/>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本项目无需缴纳履约保证金</w:t>
      </w:r>
      <w:r>
        <w:rPr>
          <w:rFonts w:hint="eastAsia" w:ascii="仿宋" w:hAnsi="仿宋" w:eastAsia="仿宋" w:cs="仿宋"/>
          <w:color w:val="auto"/>
          <w:szCs w:val="21"/>
          <w:highlight w:val="none"/>
        </w:rPr>
        <w:t>。</w:t>
      </w:r>
    </w:p>
    <w:p w14:paraId="445551A2">
      <w:pPr>
        <w:keepNext w:val="0"/>
        <w:keepLines w:val="0"/>
        <w:pageBreakBefore w:val="0"/>
        <w:widowControl w:val="0"/>
        <w:kinsoku/>
        <w:wordWrap/>
        <w:overflowPunct/>
        <w:topLinePunct w:val="0"/>
        <w:autoSpaceDE/>
        <w:autoSpaceDN/>
        <w:bidi w:val="0"/>
        <w:adjustRightInd/>
        <w:snapToGrid w:val="0"/>
        <w:spacing w:before="100" w:beforeAutospacing="1" w:after="100" w:afterAutospacing="1" w:line="396" w:lineRule="auto"/>
        <w:ind w:firstLine="420" w:firstLineChars="200"/>
        <w:contextualSpacing/>
        <w:textAlignment w:val="auto"/>
        <w:rPr>
          <w:rFonts w:hint="eastAsia" w:ascii="仿宋" w:hAnsi="仿宋" w:eastAsia="仿宋" w:cs="仿宋"/>
          <w:b/>
          <w:color w:val="auto"/>
          <w:sz w:val="21"/>
          <w:szCs w:val="21"/>
          <w:highlight w:val="none"/>
          <w:lang w:val="en-US" w:eastAsia="zh-CN"/>
        </w:rPr>
      </w:pPr>
      <w:r>
        <w:rPr>
          <w:rFonts w:hint="eastAsia" w:ascii="仿宋" w:hAnsi="仿宋" w:eastAsia="仿宋" w:cs="仿宋"/>
          <w:b/>
          <w:color w:val="auto"/>
          <w:sz w:val="21"/>
          <w:szCs w:val="21"/>
          <w:highlight w:val="none"/>
          <w:lang w:val="en-US" w:eastAsia="zh-CN"/>
        </w:rPr>
        <w:t>第六条 保洁考核处罚与奖励具体标准按照《常山县林业水利局河道保洁项目管理考核办法》执行，详见合同附件。</w:t>
      </w:r>
    </w:p>
    <w:p w14:paraId="5B828F06">
      <w:pPr>
        <w:keepNext w:val="0"/>
        <w:keepLines w:val="0"/>
        <w:pageBreakBefore w:val="0"/>
        <w:widowControl w:val="0"/>
        <w:kinsoku/>
        <w:wordWrap/>
        <w:overflowPunct/>
        <w:topLinePunct w:val="0"/>
        <w:autoSpaceDE/>
        <w:autoSpaceDN/>
        <w:bidi w:val="0"/>
        <w:adjustRightInd/>
        <w:snapToGrid w:val="0"/>
        <w:spacing w:before="100" w:beforeAutospacing="1" w:after="100" w:afterAutospacing="1" w:line="396" w:lineRule="auto"/>
        <w:ind w:firstLine="420" w:firstLineChars="200"/>
        <w:contextualSpacing/>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lang w:val="en-US" w:eastAsia="zh-CN"/>
        </w:rPr>
        <w:t xml:space="preserve">第七条  </w:t>
      </w:r>
      <w:r>
        <w:rPr>
          <w:rFonts w:hint="eastAsia" w:ascii="仿宋" w:hAnsi="仿宋" w:eastAsia="仿宋" w:cs="仿宋"/>
          <w:b/>
          <w:color w:val="auto"/>
          <w:sz w:val="21"/>
          <w:szCs w:val="21"/>
          <w:highlight w:val="none"/>
        </w:rPr>
        <w:t>转包或分包</w:t>
      </w:r>
    </w:p>
    <w:p w14:paraId="5F206814">
      <w:pPr>
        <w:keepNext w:val="0"/>
        <w:keepLines w:val="0"/>
        <w:pageBreakBefore w:val="0"/>
        <w:widowControl w:val="0"/>
        <w:kinsoku/>
        <w:wordWrap/>
        <w:overflowPunct/>
        <w:topLinePunct w:val="0"/>
        <w:autoSpaceDE/>
        <w:autoSpaceDN/>
        <w:bidi w:val="0"/>
        <w:adjustRightInd/>
        <w:snapToGrid w:val="0"/>
        <w:spacing w:before="100" w:beforeAutospacing="1" w:after="100" w:afterAutospacing="1" w:line="396" w:lineRule="auto"/>
        <w:ind w:firstLine="420" w:firstLineChars="200"/>
        <w:contextualSpacing/>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1.本合同范围的服务，应由乙方直接</w:t>
      </w:r>
      <w:r>
        <w:rPr>
          <w:rFonts w:hint="eastAsia" w:ascii="仿宋" w:hAnsi="仿宋" w:eastAsia="仿宋" w:cs="仿宋"/>
          <w:color w:val="auto"/>
          <w:sz w:val="21"/>
          <w:szCs w:val="21"/>
          <w:highlight w:val="none"/>
          <w:lang w:eastAsia="zh-CN"/>
        </w:rPr>
        <w:t>提供</w:t>
      </w:r>
      <w:r>
        <w:rPr>
          <w:rFonts w:hint="eastAsia" w:ascii="仿宋" w:hAnsi="仿宋" w:eastAsia="仿宋" w:cs="仿宋"/>
          <w:color w:val="auto"/>
          <w:sz w:val="21"/>
          <w:szCs w:val="21"/>
          <w:highlight w:val="none"/>
        </w:rPr>
        <w:t>，不得转让</w:t>
      </w:r>
      <w:r>
        <w:rPr>
          <w:rFonts w:hint="eastAsia" w:ascii="仿宋" w:hAnsi="仿宋" w:eastAsia="仿宋" w:cs="仿宋"/>
          <w:color w:val="auto"/>
          <w:sz w:val="21"/>
          <w:szCs w:val="21"/>
          <w:highlight w:val="none"/>
          <w:lang w:eastAsia="zh-CN"/>
        </w:rPr>
        <w:t>由</w:t>
      </w:r>
      <w:r>
        <w:rPr>
          <w:rFonts w:hint="eastAsia" w:ascii="仿宋" w:hAnsi="仿宋" w:eastAsia="仿宋" w:cs="仿宋"/>
          <w:color w:val="auto"/>
          <w:sz w:val="21"/>
          <w:szCs w:val="21"/>
          <w:highlight w:val="none"/>
        </w:rPr>
        <w:t>他人</w:t>
      </w:r>
      <w:r>
        <w:rPr>
          <w:rFonts w:hint="eastAsia" w:ascii="仿宋" w:hAnsi="仿宋" w:eastAsia="仿宋" w:cs="仿宋"/>
          <w:color w:val="auto"/>
          <w:sz w:val="21"/>
          <w:szCs w:val="21"/>
          <w:highlight w:val="none"/>
          <w:lang w:eastAsia="zh-CN"/>
        </w:rPr>
        <w:t>提供</w:t>
      </w:r>
      <w:r>
        <w:rPr>
          <w:rFonts w:hint="eastAsia" w:ascii="仿宋" w:hAnsi="仿宋" w:eastAsia="仿宋" w:cs="仿宋"/>
          <w:color w:val="auto"/>
          <w:sz w:val="21"/>
          <w:szCs w:val="21"/>
          <w:highlight w:val="none"/>
        </w:rPr>
        <w:t>；</w:t>
      </w:r>
    </w:p>
    <w:p w14:paraId="065A6B5B">
      <w:pPr>
        <w:keepNext w:val="0"/>
        <w:keepLines w:val="0"/>
        <w:pageBreakBefore w:val="0"/>
        <w:widowControl w:val="0"/>
        <w:kinsoku/>
        <w:wordWrap/>
        <w:overflowPunct/>
        <w:topLinePunct w:val="0"/>
        <w:autoSpaceDE/>
        <w:autoSpaceDN/>
        <w:bidi w:val="0"/>
        <w:adjustRightInd/>
        <w:snapToGrid w:val="0"/>
        <w:spacing w:before="100" w:beforeAutospacing="1" w:after="100" w:afterAutospacing="1" w:line="396" w:lineRule="auto"/>
        <w:ind w:firstLine="420" w:firstLineChars="200"/>
        <w:contextualSpacing/>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2.除非得到甲方的书面同意，乙方不得将本合同范围</w:t>
      </w:r>
      <w:r>
        <w:rPr>
          <w:rFonts w:hint="eastAsia" w:ascii="仿宋" w:hAnsi="仿宋" w:eastAsia="仿宋" w:cs="仿宋"/>
          <w:color w:val="auto"/>
          <w:sz w:val="21"/>
          <w:szCs w:val="21"/>
          <w:highlight w:val="none"/>
          <w:lang w:eastAsia="zh-CN"/>
        </w:rPr>
        <w:t>内</w:t>
      </w:r>
      <w:r>
        <w:rPr>
          <w:rFonts w:hint="eastAsia" w:ascii="仿宋" w:hAnsi="仿宋" w:eastAsia="仿宋" w:cs="仿宋"/>
          <w:color w:val="auto"/>
          <w:sz w:val="21"/>
          <w:szCs w:val="21"/>
          <w:highlight w:val="none"/>
        </w:rPr>
        <w:t>的服务部分分包给他人</w:t>
      </w:r>
      <w:r>
        <w:rPr>
          <w:rFonts w:hint="eastAsia" w:ascii="仿宋" w:hAnsi="仿宋" w:eastAsia="仿宋" w:cs="仿宋"/>
          <w:color w:val="auto"/>
          <w:sz w:val="21"/>
          <w:szCs w:val="21"/>
          <w:highlight w:val="none"/>
          <w:lang w:eastAsia="zh-CN"/>
        </w:rPr>
        <w:t>提供</w:t>
      </w:r>
      <w:r>
        <w:rPr>
          <w:rFonts w:hint="eastAsia" w:ascii="仿宋" w:hAnsi="仿宋" w:eastAsia="仿宋" w:cs="仿宋"/>
          <w:color w:val="auto"/>
          <w:sz w:val="21"/>
          <w:szCs w:val="21"/>
          <w:highlight w:val="none"/>
        </w:rPr>
        <w:t>；</w:t>
      </w:r>
    </w:p>
    <w:p w14:paraId="61D7D6CF">
      <w:pPr>
        <w:keepNext w:val="0"/>
        <w:keepLines w:val="0"/>
        <w:pageBreakBefore w:val="0"/>
        <w:widowControl w:val="0"/>
        <w:kinsoku/>
        <w:wordWrap/>
        <w:overflowPunct/>
        <w:topLinePunct w:val="0"/>
        <w:autoSpaceDE/>
        <w:autoSpaceDN/>
        <w:bidi w:val="0"/>
        <w:adjustRightInd/>
        <w:snapToGrid w:val="0"/>
        <w:spacing w:before="100" w:beforeAutospacing="1" w:after="100" w:afterAutospacing="1" w:line="396" w:lineRule="auto"/>
        <w:ind w:firstLine="420" w:firstLineChars="200"/>
        <w:contextualSpacing/>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3.如有转让和未经甲方同意的分包行为，甲方有权解除合同，</w:t>
      </w:r>
      <w:r>
        <w:rPr>
          <w:rFonts w:hint="eastAsia" w:ascii="仿宋" w:hAnsi="仿宋" w:eastAsia="仿宋" w:cs="仿宋"/>
          <w:color w:val="auto"/>
          <w:sz w:val="21"/>
          <w:szCs w:val="21"/>
          <w:highlight w:val="none"/>
          <w:lang w:val="en-US" w:eastAsia="zh-CN"/>
        </w:rPr>
        <w:t>并</w:t>
      </w:r>
      <w:r>
        <w:rPr>
          <w:rFonts w:hint="eastAsia" w:ascii="仿宋" w:hAnsi="仿宋" w:eastAsia="仿宋" w:cs="仿宋"/>
          <w:color w:val="auto"/>
          <w:sz w:val="21"/>
          <w:szCs w:val="21"/>
          <w:highlight w:val="none"/>
        </w:rPr>
        <w:t>追究乙方的违约责任。</w:t>
      </w:r>
    </w:p>
    <w:p w14:paraId="30AE7FCC">
      <w:pPr>
        <w:keepNext w:val="0"/>
        <w:keepLines w:val="0"/>
        <w:pageBreakBefore w:val="0"/>
        <w:widowControl w:val="0"/>
        <w:kinsoku/>
        <w:wordWrap/>
        <w:overflowPunct/>
        <w:topLinePunct w:val="0"/>
        <w:autoSpaceDE/>
        <w:autoSpaceDN/>
        <w:bidi w:val="0"/>
        <w:adjustRightInd/>
        <w:snapToGrid w:val="0"/>
        <w:spacing w:before="100" w:beforeAutospacing="1" w:after="100" w:afterAutospacing="1" w:line="396" w:lineRule="auto"/>
        <w:ind w:firstLine="420" w:firstLineChars="200"/>
        <w:contextualSpacing/>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lang w:val="en-US" w:eastAsia="zh-CN"/>
        </w:rPr>
        <w:t xml:space="preserve">第八条  </w:t>
      </w:r>
      <w:r>
        <w:rPr>
          <w:rFonts w:hint="eastAsia" w:ascii="仿宋" w:hAnsi="仿宋" w:eastAsia="仿宋" w:cs="仿宋"/>
          <w:b/>
          <w:color w:val="auto"/>
          <w:sz w:val="21"/>
          <w:szCs w:val="21"/>
          <w:highlight w:val="none"/>
        </w:rPr>
        <w:t>税费</w:t>
      </w:r>
    </w:p>
    <w:p w14:paraId="3D9566C3">
      <w:pPr>
        <w:keepNext w:val="0"/>
        <w:keepLines w:val="0"/>
        <w:pageBreakBefore w:val="0"/>
        <w:widowControl w:val="0"/>
        <w:kinsoku/>
        <w:wordWrap/>
        <w:overflowPunct/>
        <w:topLinePunct w:val="0"/>
        <w:autoSpaceDE/>
        <w:autoSpaceDN/>
        <w:bidi w:val="0"/>
        <w:adjustRightInd/>
        <w:snapToGrid w:val="0"/>
        <w:spacing w:before="100" w:beforeAutospacing="1" w:after="100" w:afterAutospacing="1" w:line="396" w:lineRule="auto"/>
        <w:ind w:firstLine="420" w:firstLineChars="200"/>
        <w:contextualSpacing/>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本合同执行中相关的一切税费均由乙方负担。</w:t>
      </w:r>
    </w:p>
    <w:p w14:paraId="59E3FEA6">
      <w:pPr>
        <w:keepNext w:val="0"/>
        <w:keepLines w:val="0"/>
        <w:pageBreakBefore w:val="0"/>
        <w:widowControl w:val="0"/>
        <w:kinsoku/>
        <w:wordWrap/>
        <w:overflowPunct/>
        <w:topLinePunct w:val="0"/>
        <w:autoSpaceDE/>
        <w:autoSpaceDN/>
        <w:bidi w:val="0"/>
        <w:adjustRightInd/>
        <w:snapToGrid w:val="0"/>
        <w:spacing w:before="100" w:beforeAutospacing="1" w:after="100" w:afterAutospacing="1" w:line="396" w:lineRule="auto"/>
        <w:ind w:firstLine="420" w:firstLineChars="200"/>
        <w:contextualSpacing/>
        <w:textAlignment w:val="auto"/>
        <w:rPr>
          <w:rFonts w:hint="eastAsia" w:ascii="仿宋" w:hAnsi="仿宋" w:eastAsia="仿宋" w:cs="仿宋"/>
          <w:b/>
          <w:color w:val="auto"/>
          <w:sz w:val="21"/>
          <w:szCs w:val="21"/>
          <w:highlight w:val="none"/>
          <w:lang w:val="en-US" w:eastAsia="zh-CN"/>
        </w:rPr>
      </w:pPr>
      <w:r>
        <w:rPr>
          <w:rFonts w:hint="eastAsia" w:ascii="仿宋" w:hAnsi="仿宋" w:eastAsia="仿宋" w:cs="仿宋"/>
          <w:b/>
          <w:color w:val="auto"/>
          <w:sz w:val="21"/>
          <w:szCs w:val="21"/>
          <w:highlight w:val="none"/>
          <w:lang w:val="en-US" w:eastAsia="zh-CN"/>
        </w:rPr>
        <w:t>第九条  双方权利和义务</w:t>
      </w:r>
    </w:p>
    <w:p w14:paraId="221A39F9">
      <w:pPr>
        <w:keepNext w:val="0"/>
        <w:keepLines w:val="0"/>
        <w:pageBreakBefore w:val="0"/>
        <w:widowControl w:val="0"/>
        <w:kinsoku/>
        <w:wordWrap/>
        <w:overflowPunct/>
        <w:topLinePunct w:val="0"/>
        <w:autoSpaceDE/>
        <w:autoSpaceDN/>
        <w:bidi w:val="0"/>
        <w:adjustRightInd/>
        <w:snapToGrid w:val="0"/>
        <w:spacing w:before="100" w:beforeAutospacing="1" w:after="100" w:afterAutospacing="1" w:line="396" w:lineRule="auto"/>
        <w:ind w:firstLine="420" w:firstLineChars="200"/>
        <w:contextualSpacing/>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rPr>
        <w:t>乙方须在合同签订后当天完成与上任承包方的业务衔接并立即开展有关工作。否则，甲方有权单方终止合同。</w:t>
      </w:r>
    </w:p>
    <w:p w14:paraId="34734BA1">
      <w:pPr>
        <w:keepNext w:val="0"/>
        <w:keepLines w:val="0"/>
        <w:pageBreakBefore w:val="0"/>
        <w:widowControl w:val="0"/>
        <w:kinsoku/>
        <w:wordWrap/>
        <w:overflowPunct/>
        <w:topLinePunct w:val="0"/>
        <w:autoSpaceDE/>
        <w:autoSpaceDN/>
        <w:bidi w:val="0"/>
        <w:adjustRightInd/>
        <w:snapToGrid w:val="0"/>
        <w:spacing w:before="100" w:beforeAutospacing="1" w:after="100" w:afterAutospacing="1" w:line="396" w:lineRule="auto"/>
        <w:ind w:firstLine="420" w:firstLineChars="200"/>
        <w:contextualSpacing/>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乙方使用的各种专用工具（除</w:t>
      </w:r>
      <w:r>
        <w:rPr>
          <w:rFonts w:hint="eastAsia" w:ascii="仿宋" w:hAnsi="仿宋" w:eastAsia="仿宋" w:cs="仿宋"/>
          <w:color w:val="auto"/>
          <w:sz w:val="21"/>
          <w:szCs w:val="21"/>
          <w:highlight w:val="none"/>
          <w:lang w:eastAsia="zh-CN"/>
        </w:rPr>
        <w:t>甲方提供的自动清漂船外</w:t>
      </w:r>
      <w:r>
        <w:rPr>
          <w:rFonts w:hint="eastAsia" w:ascii="仿宋" w:hAnsi="仿宋" w:eastAsia="仿宋" w:cs="仿宋"/>
          <w:color w:val="auto"/>
          <w:sz w:val="21"/>
          <w:szCs w:val="21"/>
          <w:highlight w:val="none"/>
        </w:rPr>
        <w:t>）属乙方资产，但甲方有权对乙方使用的</w:t>
      </w:r>
      <w:r>
        <w:rPr>
          <w:rFonts w:hint="eastAsia" w:ascii="仿宋" w:hAnsi="仿宋" w:eastAsia="仿宋" w:cs="仿宋"/>
          <w:color w:val="auto"/>
          <w:sz w:val="21"/>
          <w:szCs w:val="21"/>
          <w:highlight w:val="none"/>
          <w:lang w:eastAsia="zh-CN"/>
        </w:rPr>
        <w:t>船只</w:t>
      </w:r>
      <w:r>
        <w:rPr>
          <w:rFonts w:hint="eastAsia" w:ascii="仿宋" w:hAnsi="仿宋" w:eastAsia="仿宋" w:cs="仿宋"/>
          <w:color w:val="auto"/>
          <w:sz w:val="21"/>
          <w:szCs w:val="21"/>
          <w:highlight w:val="none"/>
        </w:rPr>
        <w:t>进行监督考核。</w:t>
      </w:r>
    </w:p>
    <w:p w14:paraId="67E5B946">
      <w:pPr>
        <w:keepNext w:val="0"/>
        <w:keepLines w:val="0"/>
        <w:pageBreakBefore w:val="0"/>
        <w:widowControl w:val="0"/>
        <w:kinsoku/>
        <w:wordWrap/>
        <w:overflowPunct/>
        <w:topLinePunct w:val="0"/>
        <w:autoSpaceDE/>
        <w:autoSpaceDN/>
        <w:bidi w:val="0"/>
        <w:adjustRightInd/>
        <w:snapToGrid w:val="0"/>
        <w:spacing w:before="100" w:beforeAutospacing="1" w:after="100" w:afterAutospacing="1" w:line="396" w:lineRule="auto"/>
        <w:ind w:firstLine="420" w:firstLineChars="200"/>
        <w:contextualSpacing/>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rPr>
        <w:t>乙方必须定期做好</w:t>
      </w:r>
      <w:r>
        <w:rPr>
          <w:rFonts w:hint="eastAsia" w:ascii="仿宋" w:hAnsi="仿宋" w:eastAsia="仿宋" w:cs="仿宋"/>
          <w:color w:val="auto"/>
          <w:sz w:val="21"/>
          <w:szCs w:val="21"/>
          <w:highlight w:val="none"/>
          <w:lang w:eastAsia="zh-CN"/>
        </w:rPr>
        <w:t>作业人员</w:t>
      </w:r>
      <w:r>
        <w:rPr>
          <w:rFonts w:hint="eastAsia" w:ascii="仿宋" w:hAnsi="仿宋" w:eastAsia="仿宋" w:cs="仿宋"/>
          <w:color w:val="auto"/>
          <w:sz w:val="21"/>
          <w:szCs w:val="21"/>
          <w:highlight w:val="none"/>
        </w:rPr>
        <w:t>安全生产轮训及新员工上岗培训，认真按照安全生产规范进行作业。加强其聘用人员劳动安全教育，保证其人身、财产安全，作业时必须穿戴</w:t>
      </w:r>
      <w:r>
        <w:rPr>
          <w:rFonts w:hint="eastAsia" w:ascii="仿宋" w:hAnsi="仿宋" w:eastAsia="仿宋" w:cs="仿宋"/>
          <w:color w:val="auto"/>
          <w:sz w:val="21"/>
          <w:szCs w:val="21"/>
          <w:highlight w:val="none"/>
          <w:lang w:eastAsia="zh-CN"/>
        </w:rPr>
        <w:t>救生衣</w:t>
      </w:r>
      <w:r>
        <w:rPr>
          <w:rFonts w:hint="eastAsia" w:ascii="仿宋" w:hAnsi="仿宋" w:eastAsia="仿宋" w:cs="仿宋"/>
          <w:color w:val="auto"/>
          <w:sz w:val="21"/>
          <w:szCs w:val="21"/>
          <w:highlight w:val="none"/>
        </w:rPr>
        <w:t>。确保安全，如发生安全事故的，责任由乙方自负。</w:t>
      </w:r>
    </w:p>
    <w:p w14:paraId="1F118AEF">
      <w:pPr>
        <w:keepNext w:val="0"/>
        <w:keepLines w:val="0"/>
        <w:pageBreakBefore w:val="0"/>
        <w:widowControl w:val="0"/>
        <w:kinsoku/>
        <w:wordWrap/>
        <w:overflowPunct/>
        <w:topLinePunct w:val="0"/>
        <w:autoSpaceDE/>
        <w:autoSpaceDN/>
        <w:bidi w:val="0"/>
        <w:adjustRightInd/>
        <w:snapToGrid w:val="0"/>
        <w:spacing w:before="100" w:beforeAutospacing="1" w:after="100" w:afterAutospacing="1" w:line="396" w:lineRule="auto"/>
        <w:ind w:firstLine="420" w:firstLineChars="200"/>
        <w:contextualSpacing/>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4.</w:t>
      </w:r>
      <w:r>
        <w:rPr>
          <w:rFonts w:hint="eastAsia" w:ascii="仿宋" w:hAnsi="仿宋" w:eastAsia="仿宋" w:cs="仿宋"/>
          <w:color w:val="auto"/>
          <w:sz w:val="21"/>
          <w:szCs w:val="21"/>
          <w:highlight w:val="none"/>
        </w:rPr>
        <w:t>乙方必须加强</w:t>
      </w:r>
      <w:r>
        <w:rPr>
          <w:rFonts w:hint="eastAsia" w:ascii="仿宋" w:hAnsi="仿宋" w:eastAsia="仿宋" w:cs="仿宋"/>
          <w:color w:val="auto"/>
          <w:sz w:val="21"/>
          <w:szCs w:val="21"/>
          <w:highlight w:val="none"/>
          <w:lang w:eastAsia="zh-CN"/>
        </w:rPr>
        <w:t>作业</w:t>
      </w:r>
      <w:r>
        <w:rPr>
          <w:rFonts w:hint="eastAsia" w:ascii="仿宋" w:hAnsi="仿宋" w:eastAsia="仿宋" w:cs="仿宋"/>
          <w:color w:val="auto"/>
          <w:sz w:val="21"/>
          <w:szCs w:val="21"/>
          <w:highlight w:val="none"/>
        </w:rPr>
        <w:t>人员行业职业道德、人身安全教育，做到文明作业，文明服务。</w:t>
      </w:r>
    </w:p>
    <w:p w14:paraId="1443C73B">
      <w:pPr>
        <w:keepNext w:val="0"/>
        <w:keepLines w:val="0"/>
        <w:pageBreakBefore w:val="0"/>
        <w:widowControl w:val="0"/>
        <w:kinsoku/>
        <w:wordWrap/>
        <w:overflowPunct/>
        <w:topLinePunct w:val="0"/>
        <w:autoSpaceDE/>
        <w:autoSpaceDN/>
        <w:bidi w:val="0"/>
        <w:adjustRightInd/>
        <w:snapToGrid w:val="0"/>
        <w:spacing w:before="100" w:beforeAutospacing="1" w:after="100" w:afterAutospacing="1" w:line="396" w:lineRule="auto"/>
        <w:ind w:firstLine="420" w:firstLineChars="200"/>
        <w:contextualSpacing/>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5.</w:t>
      </w:r>
      <w:r>
        <w:rPr>
          <w:rFonts w:hint="eastAsia" w:ascii="仿宋" w:hAnsi="仿宋" w:eastAsia="仿宋" w:cs="仿宋"/>
          <w:color w:val="auto"/>
          <w:sz w:val="21"/>
          <w:szCs w:val="21"/>
          <w:highlight w:val="none"/>
        </w:rPr>
        <w:t>乙方必须遵纪守法，并对聘用人员加强法律法规教育，如因参与赌博、打架、斗殴或其他违法犯罪的，被公安机关查获的，必须按有关规定处理，情节严重的，乙方必须承担责任并解除</w:t>
      </w:r>
      <w:r>
        <w:rPr>
          <w:rFonts w:hint="eastAsia" w:ascii="仿宋" w:hAnsi="仿宋" w:eastAsia="仿宋" w:cs="仿宋"/>
          <w:color w:val="auto"/>
          <w:sz w:val="21"/>
          <w:szCs w:val="21"/>
          <w:highlight w:val="none"/>
          <w:lang w:eastAsia="zh-CN"/>
        </w:rPr>
        <w:t>作业人</w:t>
      </w:r>
      <w:r>
        <w:rPr>
          <w:rFonts w:hint="eastAsia" w:ascii="仿宋" w:hAnsi="仿宋" w:eastAsia="仿宋" w:cs="仿宋"/>
          <w:color w:val="auto"/>
          <w:sz w:val="21"/>
          <w:szCs w:val="21"/>
          <w:highlight w:val="none"/>
        </w:rPr>
        <w:t>员合同，给予辞退。</w:t>
      </w:r>
    </w:p>
    <w:p w14:paraId="53650875">
      <w:pPr>
        <w:keepNext w:val="0"/>
        <w:keepLines w:val="0"/>
        <w:pageBreakBefore w:val="0"/>
        <w:widowControl w:val="0"/>
        <w:kinsoku/>
        <w:wordWrap/>
        <w:overflowPunct/>
        <w:topLinePunct w:val="0"/>
        <w:autoSpaceDE/>
        <w:autoSpaceDN/>
        <w:bidi w:val="0"/>
        <w:adjustRightInd/>
        <w:snapToGrid w:val="0"/>
        <w:spacing w:before="100" w:beforeAutospacing="1" w:after="100" w:afterAutospacing="1" w:line="396" w:lineRule="auto"/>
        <w:ind w:firstLine="420" w:firstLineChars="200"/>
        <w:contextualSpacing/>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6.</w:t>
      </w:r>
      <w:r>
        <w:rPr>
          <w:rFonts w:hint="eastAsia" w:ascii="仿宋" w:hAnsi="仿宋" w:eastAsia="仿宋" w:cs="仿宋"/>
          <w:color w:val="auto"/>
          <w:sz w:val="21"/>
          <w:szCs w:val="21"/>
          <w:highlight w:val="none"/>
        </w:rPr>
        <w:t>甲方有权依据合同附件中的考核标准</w:t>
      </w:r>
      <w:r>
        <w:rPr>
          <w:rFonts w:hint="eastAsia" w:ascii="仿宋" w:hAnsi="仿宋" w:eastAsia="仿宋" w:cs="仿宋"/>
          <w:color w:val="auto"/>
          <w:sz w:val="21"/>
          <w:szCs w:val="21"/>
          <w:highlight w:val="none"/>
          <w:lang w:eastAsia="zh-CN"/>
        </w:rPr>
        <w:t>《常山县林业水利局河道保洁项目管理考核办法》</w:t>
      </w:r>
      <w:r>
        <w:rPr>
          <w:rFonts w:hint="eastAsia" w:ascii="仿宋" w:hAnsi="仿宋" w:eastAsia="仿宋" w:cs="仿宋"/>
          <w:color w:val="auto"/>
          <w:sz w:val="21"/>
          <w:szCs w:val="21"/>
          <w:highlight w:val="none"/>
        </w:rPr>
        <w:t>对乙方作业情况进行考核，并对乙方所属作业人员的基本工资、岗位津贴、福利待遇、安全培训等落实情况进行检查和监督。如乙方达不到甲方所订的管理考核标准，甲方有权依据考核标准以及考核结果运用的规定对合同价款进行扣减。</w:t>
      </w:r>
    </w:p>
    <w:p w14:paraId="29ED0745">
      <w:pPr>
        <w:keepNext w:val="0"/>
        <w:keepLines w:val="0"/>
        <w:pageBreakBefore w:val="0"/>
        <w:widowControl w:val="0"/>
        <w:kinsoku/>
        <w:wordWrap/>
        <w:overflowPunct/>
        <w:topLinePunct w:val="0"/>
        <w:autoSpaceDE/>
        <w:autoSpaceDN/>
        <w:bidi w:val="0"/>
        <w:adjustRightInd/>
        <w:snapToGrid w:val="0"/>
        <w:spacing w:before="100" w:beforeAutospacing="1" w:after="100" w:afterAutospacing="1" w:line="396" w:lineRule="auto"/>
        <w:ind w:firstLine="420" w:firstLineChars="200"/>
        <w:contextualSpacing/>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7.</w:t>
      </w:r>
      <w:r>
        <w:rPr>
          <w:rFonts w:hint="eastAsia" w:ascii="仿宋" w:hAnsi="仿宋" w:eastAsia="仿宋" w:cs="仿宋"/>
          <w:color w:val="auto"/>
          <w:sz w:val="21"/>
          <w:szCs w:val="21"/>
          <w:highlight w:val="none"/>
        </w:rPr>
        <w:t>乙方必须与本项目作业人员签订书面劳动合同</w:t>
      </w:r>
      <w:r>
        <w:rPr>
          <w:rFonts w:hint="eastAsia" w:ascii="仿宋" w:hAnsi="仿宋" w:eastAsia="仿宋" w:cs="仿宋"/>
          <w:color w:val="auto"/>
          <w:sz w:val="21"/>
          <w:szCs w:val="21"/>
          <w:highlight w:val="none"/>
          <w:lang w:eastAsia="zh-CN"/>
        </w:rPr>
        <w:t>或劳务合同</w:t>
      </w:r>
      <w:r>
        <w:rPr>
          <w:rFonts w:hint="eastAsia" w:ascii="仿宋" w:hAnsi="仿宋" w:eastAsia="仿宋" w:cs="仿宋"/>
          <w:color w:val="auto"/>
          <w:sz w:val="21"/>
          <w:szCs w:val="21"/>
          <w:highlight w:val="none"/>
        </w:rPr>
        <w:t>。</w:t>
      </w:r>
    </w:p>
    <w:p w14:paraId="2DE400D3">
      <w:pPr>
        <w:keepNext w:val="0"/>
        <w:keepLines w:val="0"/>
        <w:pageBreakBefore w:val="0"/>
        <w:widowControl w:val="0"/>
        <w:kinsoku/>
        <w:wordWrap/>
        <w:overflowPunct/>
        <w:topLinePunct w:val="0"/>
        <w:autoSpaceDE/>
        <w:autoSpaceDN/>
        <w:bidi w:val="0"/>
        <w:adjustRightInd/>
        <w:snapToGrid w:val="0"/>
        <w:spacing w:before="100" w:beforeAutospacing="1" w:after="100" w:afterAutospacing="1" w:line="396" w:lineRule="auto"/>
        <w:ind w:firstLine="420" w:firstLineChars="200"/>
        <w:contextualSpacing/>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8.</w:t>
      </w:r>
      <w:r>
        <w:rPr>
          <w:rFonts w:hint="eastAsia" w:ascii="仿宋" w:hAnsi="仿宋" w:eastAsia="仿宋" w:cs="仿宋"/>
          <w:color w:val="auto"/>
          <w:sz w:val="21"/>
          <w:szCs w:val="21"/>
          <w:highlight w:val="none"/>
        </w:rPr>
        <w:t>乙方必须为</w:t>
      </w:r>
      <w:r>
        <w:rPr>
          <w:rFonts w:hint="eastAsia" w:ascii="仿宋" w:hAnsi="仿宋" w:eastAsia="仿宋" w:cs="仿宋"/>
          <w:color w:val="auto"/>
          <w:szCs w:val="21"/>
          <w:lang w:val="zh-CN"/>
        </w:rPr>
        <w:t>本项目符合缴纳社保年龄条件的作业人员缴纳社保，为不符合缴纳社保年龄条件的作业人员</w:t>
      </w:r>
      <w:r>
        <w:rPr>
          <w:rFonts w:hint="eastAsia" w:ascii="仿宋" w:hAnsi="仿宋" w:eastAsia="仿宋" w:cs="仿宋"/>
          <w:color w:val="auto"/>
          <w:lang w:val="zh-CN" w:eastAsia="zh-CN"/>
        </w:rPr>
        <w:t>购买意外伤害保险及第三者责任险</w:t>
      </w:r>
      <w:r>
        <w:rPr>
          <w:rFonts w:hint="eastAsia" w:ascii="仿宋" w:hAnsi="仿宋" w:eastAsia="仿宋" w:cs="仿宋"/>
          <w:color w:val="auto"/>
          <w:szCs w:val="21"/>
          <w:lang w:val="zh-CN"/>
        </w:rPr>
        <w:t>，</w:t>
      </w:r>
      <w:r>
        <w:rPr>
          <w:rFonts w:hint="eastAsia" w:ascii="仿宋" w:hAnsi="仿宋" w:eastAsia="仿宋" w:cs="仿宋"/>
          <w:color w:val="auto"/>
          <w:szCs w:val="21"/>
          <w:lang w:val="zh-CN" w:eastAsia="zh-CN"/>
        </w:rPr>
        <w:t>作业人员在工作时间内发生的任何人身意外伤害、第三者责任事故导致的一切损失均由中标人负责。</w:t>
      </w:r>
    </w:p>
    <w:p w14:paraId="3BA78F50">
      <w:pPr>
        <w:keepNext w:val="0"/>
        <w:keepLines w:val="0"/>
        <w:pageBreakBefore w:val="0"/>
        <w:widowControl w:val="0"/>
        <w:kinsoku/>
        <w:wordWrap/>
        <w:overflowPunct/>
        <w:topLinePunct w:val="0"/>
        <w:autoSpaceDE/>
        <w:autoSpaceDN/>
        <w:bidi w:val="0"/>
        <w:adjustRightInd/>
        <w:snapToGrid w:val="0"/>
        <w:spacing w:before="100" w:beforeAutospacing="1" w:after="100" w:afterAutospacing="1" w:line="396" w:lineRule="auto"/>
        <w:ind w:firstLine="420" w:firstLineChars="200"/>
        <w:contextualSpacing/>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9.</w:t>
      </w:r>
      <w:r>
        <w:rPr>
          <w:rFonts w:hint="eastAsia" w:ascii="仿宋" w:hAnsi="仿宋" w:eastAsia="仿宋" w:cs="仿宋"/>
          <w:color w:val="auto"/>
          <w:sz w:val="21"/>
          <w:szCs w:val="21"/>
          <w:highlight w:val="none"/>
        </w:rPr>
        <w:t>执行《劳动法》、《劳动合同法》有关员工保障的其他规定。</w:t>
      </w:r>
    </w:p>
    <w:p w14:paraId="66CE9AF0">
      <w:pPr>
        <w:keepNext w:val="0"/>
        <w:keepLines w:val="0"/>
        <w:pageBreakBefore w:val="0"/>
        <w:widowControl w:val="0"/>
        <w:kinsoku/>
        <w:wordWrap/>
        <w:overflowPunct/>
        <w:topLinePunct w:val="0"/>
        <w:autoSpaceDE/>
        <w:autoSpaceDN/>
        <w:bidi w:val="0"/>
        <w:adjustRightInd/>
        <w:snapToGrid w:val="0"/>
        <w:spacing w:before="100" w:beforeAutospacing="1" w:after="100" w:afterAutospacing="1" w:line="396" w:lineRule="auto"/>
        <w:ind w:firstLine="420" w:firstLineChars="200"/>
        <w:contextualSpacing/>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10.</w:t>
      </w:r>
      <w:r>
        <w:rPr>
          <w:rFonts w:hint="eastAsia" w:ascii="仿宋" w:hAnsi="仿宋" w:eastAsia="仿宋" w:cs="仿宋"/>
          <w:color w:val="auto"/>
          <w:sz w:val="21"/>
          <w:szCs w:val="21"/>
          <w:highlight w:val="none"/>
        </w:rPr>
        <w:t>乙方在合同履行期间内因管理不善等因素导致不能履行合同相关事项，需要终止合同的，应提前十五天采用书面形式告知甲方，取得甲方书面同意后方可终止，并办理终止合同的相关手续。</w:t>
      </w:r>
    </w:p>
    <w:p w14:paraId="657CB0D8">
      <w:pPr>
        <w:keepNext w:val="0"/>
        <w:keepLines w:val="0"/>
        <w:pageBreakBefore w:val="0"/>
        <w:widowControl w:val="0"/>
        <w:kinsoku/>
        <w:wordWrap/>
        <w:overflowPunct/>
        <w:topLinePunct w:val="0"/>
        <w:autoSpaceDE/>
        <w:autoSpaceDN/>
        <w:bidi w:val="0"/>
        <w:adjustRightInd/>
        <w:snapToGrid w:val="0"/>
        <w:spacing w:before="100" w:beforeAutospacing="1" w:after="100" w:afterAutospacing="1" w:line="396" w:lineRule="auto"/>
        <w:ind w:firstLine="420" w:firstLineChars="200"/>
        <w:contextualSpacing/>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11.</w:t>
      </w:r>
      <w:r>
        <w:rPr>
          <w:rFonts w:hint="eastAsia" w:ascii="仿宋" w:hAnsi="仿宋" w:eastAsia="仿宋" w:cs="仿宋"/>
          <w:color w:val="auto"/>
          <w:sz w:val="21"/>
          <w:szCs w:val="21"/>
          <w:highlight w:val="none"/>
        </w:rPr>
        <w:t>因国家政策调整等非可逆性因素致使双方不能履行合同的，双方无条件解除合同，互不赔偿违约金。</w:t>
      </w:r>
    </w:p>
    <w:p w14:paraId="5E907DC5">
      <w:pPr>
        <w:keepNext w:val="0"/>
        <w:keepLines w:val="0"/>
        <w:pageBreakBefore w:val="0"/>
        <w:widowControl w:val="0"/>
        <w:kinsoku/>
        <w:wordWrap/>
        <w:overflowPunct/>
        <w:topLinePunct w:val="0"/>
        <w:autoSpaceDE/>
        <w:autoSpaceDN/>
        <w:bidi w:val="0"/>
        <w:adjustRightInd/>
        <w:snapToGrid w:val="0"/>
        <w:spacing w:before="100" w:beforeAutospacing="1" w:after="100" w:afterAutospacing="1" w:line="396" w:lineRule="auto"/>
        <w:ind w:firstLine="420" w:firstLineChars="200"/>
        <w:contextualSpacing/>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12.</w:t>
      </w:r>
      <w:r>
        <w:rPr>
          <w:rFonts w:hint="eastAsia" w:ascii="仿宋" w:hAnsi="仿宋" w:eastAsia="仿宋" w:cs="仿宋"/>
          <w:color w:val="auto"/>
          <w:sz w:val="21"/>
          <w:szCs w:val="21"/>
          <w:highlight w:val="none"/>
        </w:rPr>
        <w:t>合同履行期间，乙方应持合法有效的营业执照开展经营活动，如因无照经营造成的有关责任，由乙方自负。</w:t>
      </w:r>
    </w:p>
    <w:p w14:paraId="05AC0143">
      <w:pPr>
        <w:keepNext w:val="0"/>
        <w:keepLines w:val="0"/>
        <w:pageBreakBefore w:val="0"/>
        <w:widowControl w:val="0"/>
        <w:kinsoku/>
        <w:wordWrap/>
        <w:overflowPunct/>
        <w:topLinePunct w:val="0"/>
        <w:autoSpaceDE/>
        <w:autoSpaceDN/>
        <w:bidi w:val="0"/>
        <w:adjustRightInd/>
        <w:snapToGrid w:val="0"/>
        <w:spacing w:before="100" w:beforeAutospacing="1" w:after="100" w:afterAutospacing="1" w:line="396" w:lineRule="auto"/>
        <w:ind w:firstLine="420" w:firstLineChars="200"/>
        <w:contextualSpacing/>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13.</w:t>
      </w:r>
      <w:r>
        <w:rPr>
          <w:rFonts w:hint="eastAsia" w:ascii="仿宋" w:hAnsi="仿宋" w:eastAsia="仿宋" w:cs="仿宋"/>
          <w:color w:val="auto"/>
          <w:sz w:val="21"/>
          <w:szCs w:val="21"/>
          <w:highlight w:val="none"/>
        </w:rPr>
        <w:t>合同签订后，甲、乙双方均应严格履行，如有一方无故变更或解除本合同，违约方需向另一方支付违约金。</w:t>
      </w:r>
    </w:p>
    <w:p w14:paraId="16201D5E">
      <w:pPr>
        <w:keepNext w:val="0"/>
        <w:keepLines w:val="0"/>
        <w:pageBreakBefore w:val="0"/>
        <w:widowControl w:val="0"/>
        <w:kinsoku/>
        <w:wordWrap/>
        <w:overflowPunct/>
        <w:topLinePunct w:val="0"/>
        <w:autoSpaceDE/>
        <w:autoSpaceDN/>
        <w:bidi w:val="0"/>
        <w:adjustRightInd/>
        <w:snapToGrid w:val="0"/>
        <w:spacing w:before="100" w:beforeAutospacing="1" w:after="100" w:afterAutospacing="1" w:line="396" w:lineRule="auto"/>
        <w:ind w:firstLine="420" w:firstLineChars="200"/>
        <w:contextualSpacing/>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14.</w:t>
      </w:r>
      <w:r>
        <w:rPr>
          <w:rFonts w:hint="eastAsia" w:ascii="仿宋" w:hAnsi="仿宋" w:eastAsia="仿宋" w:cs="仿宋"/>
          <w:color w:val="auto"/>
          <w:sz w:val="21"/>
          <w:szCs w:val="21"/>
          <w:highlight w:val="none"/>
        </w:rPr>
        <w:t>合同履行期间，甲方应按时按规定发放服务费，如有逾期，每逾期一天，应按欠付额0</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5‰支付滞纳金。</w:t>
      </w:r>
    </w:p>
    <w:p w14:paraId="1D848D6B">
      <w:pPr>
        <w:keepNext w:val="0"/>
        <w:keepLines w:val="0"/>
        <w:pageBreakBefore w:val="0"/>
        <w:widowControl w:val="0"/>
        <w:kinsoku/>
        <w:wordWrap/>
        <w:overflowPunct/>
        <w:topLinePunct w:val="0"/>
        <w:autoSpaceDE/>
        <w:autoSpaceDN/>
        <w:bidi w:val="0"/>
        <w:adjustRightInd/>
        <w:snapToGrid w:val="0"/>
        <w:spacing w:before="100" w:beforeAutospacing="1" w:after="100" w:afterAutospacing="1" w:line="396" w:lineRule="auto"/>
        <w:ind w:firstLine="420" w:firstLineChars="200"/>
        <w:contextualSpacing/>
        <w:textAlignment w:val="auto"/>
        <w:rPr>
          <w:rFonts w:hint="eastAsia" w:ascii="仿宋" w:hAnsi="仿宋" w:eastAsia="仿宋" w:cs="仿宋"/>
          <w:b/>
          <w:color w:val="auto"/>
          <w:sz w:val="21"/>
          <w:szCs w:val="21"/>
        </w:rPr>
      </w:pPr>
      <w:r>
        <w:rPr>
          <w:rFonts w:hint="eastAsia" w:ascii="仿宋" w:hAnsi="仿宋" w:eastAsia="仿宋" w:cs="仿宋"/>
          <w:b/>
          <w:color w:val="auto"/>
          <w:sz w:val="21"/>
          <w:szCs w:val="21"/>
          <w:lang w:eastAsia="zh-CN"/>
        </w:rPr>
        <w:t>第十条</w:t>
      </w:r>
      <w:r>
        <w:rPr>
          <w:rFonts w:hint="eastAsia" w:ascii="仿宋" w:hAnsi="仿宋" w:eastAsia="仿宋" w:cs="仿宋"/>
          <w:b/>
          <w:color w:val="auto"/>
          <w:sz w:val="21"/>
          <w:szCs w:val="21"/>
          <w:lang w:val="en-US" w:eastAsia="zh-CN"/>
        </w:rPr>
        <w:t xml:space="preserve">  </w:t>
      </w:r>
      <w:r>
        <w:rPr>
          <w:rFonts w:hint="eastAsia" w:ascii="仿宋" w:hAnsi="仿宋" w:eastAsia="仿宋" w:cs="仿宋"/>
          <w:b/>
          <w:color w:val="auto"/>
          <w:sz w:val="21"/>
          <w:szCs w:val="21"/>
        </w:rPr>
        <w:t>不可抗力事件处理</w:t>
      </w:r>
    </w:p>
    <w:p w14:paraId="3E036735">
      <w:pPr>
        <w:keepNext w:val="0"/>
        <w:keepLines w:val="0"/>
        <w:pageBreakBefore w:val="0"/>
        <w:widowControl w:val="0"/>
        <w:kinsoku/>
        <w:wordWrap/>
        <w:overflowPunct/>
        <w:topLinePunct w:val="0"/>
        <w:autoSpaceDE/>
        <w:autoSpaceDN/>
        <w:bidi w:val="0"/>
        <w:adjustRightInd/>
        <w:snapToGrid w:val="0"/>
        <w:spacing w:before="100" w:beforeAutospacing="1" w:after="100" w:afterAutospacing="1" w:line="396" w:lineRule="auto"/>
        <w:ind w:firstLine="420" w:firstLineChars="200"/>
        <w:contextualSpacing/>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1.在合同有效期内，任何一方因不可抗力事件导致不能履行合同，则合同履行期可延长，其延长期与不可抗力影响期相同。</w:t>
      </w:r>
    </w:p>
    <w:p w14:paraId="133BDA22">
      <w:pPr>
        <w:keepNext w:val="0"/>
        <w:keepLines w:val="0"/>
        <w:pageBreakBefore w:val="0"/>
        <w:widowControl w:val="0"/>
        <w:kinsoku/>
        <w:wordWrap/>
        <w:overflowPunct/>
        <w:topLinePunct w:val="0"/>
        <w:autoSpaceDE/>
        <w:autoSpaceDN/>
        <w:bidi w:val="0"/>
        <w:adjustRightInd/>
        <w:snapToGrid w:val="0"/>
        <w:spacing w:before="100" w:beforeAutospacing="1" w:after="100" w:afterAutospacing="1" w:line="396" w:lineRule="auto"/>
        <w:ind w:firstLine="420" w:firstLineChars="200"/>
        <w:contextualSpacing/>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2.不可抗力事件发生后，应立即通知对方，并寄送有关权威机构出具的证明。</w:t>
      </w:r>
    </w:p>
    <w:p w14:paraId="23CB632A">
      <w:pPr>
        <w:keepNext w:val="0"/>
        <w:keepLines w:val="0"/>
        <w:pageBreakBefore w:val="0"/>
        <w:widowControl w:val="0"/>
        <w:kinsoku/>
        <w:wordWrap/>
        <w:overflowPunct/>
        <w:topLinePunct w:val="0"/>
        <w:autoSpaceDE/>
        <w:autoSpaceDN/>
        <w:bidi w:val="0"/>
        <w:adjustRightInd/>
        <w:snapToGrid w:val="0"/>
        <w:spacing w:before="100" w:beforeAutospacing="1" w:after="100" w:afterAutospacing="1" w:line="396" w:lineRule="auto"/>
        <w:ind w:firstLine="420" w:firstLineChars="200"/>
        <w:contextualSpacing/>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3.不可抗力事件延续120天以上，双方应通过友好协商，确定是否继续履行合同。</w:t>
      </w:r>
    </w:p>
    <w:p w14:paraId="784F163F">
      <w:pPr>
        <w:keepNext w:val="0"/>
        <w:keepLines w:val="0"/>
        <w:pageBreakBefore w:val="0"/>
        <w:widowControl w:val="0"/>
        <w:kinsoku/>
        <w:wordWrap/>
        <w:overflowPunct/>
        <w:topLinePunct w:val="0"/>
        <w:autoSpaceDE/>
        <w:autoSpaceDN/>
        <w:bidi w:val="0"/>
        <w:adjustRightInd/>
        <w:snapToGrid w:val="0"/>
        <w:spacing w:before="100" w:beforeAutospacing="1" w:after="100" w:afterAutospacing="1" w:line="396" w:lineRule="auto"/>
        <w:ind w:firstLine="420" w:firstLineChars="200"/>
        <w:contextualSpacing/>
        <w:textAlignment w:val="auto"/>
        <w:rPr>
          <w:rFonts w:hint="eastAsia" w:ascii="仿宋" w:hAnsi="仿宋" w:eastAsia="仿宋" w:cs="仿宋"/>
          <w:b/>
          <w:color w:val="auto"/>
          <w:sz w:val="21"/>
          <w:szCs w:val="21"/>
          <w:lang w:eastAsia="zh-CN"/>
        </w:rPr>
      </w:pPr>
      <w:r>
        <w:rPr>
          <w:rFonts w:hint="eastAsia" w:ascii="仿宋" w:hAnsi="仿宋" w:eastAsia="仿宋" w:cs="仿宋"/>
          <w:b/>
          <w:color w:val="auto"/>
          <w:sz w:val="21"/>
          <w:szCs w:val="21"/>
          <w:lang w:val="en-US" w:eastAsia="zh-CN"/>
        </w:rPr>
        <w:t xml:space="preserve">第十一条 </w:t>
      </w:r>
      <w:r>
        <w:rPr>
          <w:rFonts w:hint="eastAsia" w:ascii="仿宋" w:hAnsi="仿宋" w:eastAsia="仿宋" w:cs="仿宋"/>
          <w:b/>
          <w:color w:val="auto"/>
          <w:sz w:val="21"/>
          <w:szCs w:val="21"/>
          <w:lang w:eastAsia="zh-CN"/>
        </w:rPr>
        <w:t>争议的解决</w:t>
      </w:r>
    </w:p>
    <w:p w14:paraId="41DD23B1">
      <w:pPr>
        <w:keepNext w:val="0"/>
        <w:keepLines w:val="0"/>
        <w:pageBreakBefore w:val="0"/>
        <w:widowControl w:val="0"/>
        <w:kinsoku/>
        <w:wordWrap/>
        <w:overflowPunct/>
        <w:topLinePunct w:val="0"/>
        <w:autoSpaceDE/>
        <w:autoSpaceDN/>
        <w:bidi w:val="0"/>
        <w:adjustRightInd/>
        <w:snapToGrid w:val="0"/>
        <w:spacing w:before="100" w:beforeAutospacing="1" w:after="100" w:afterAutospacing="1" w:line="396" w:lineRule="auto"/>
        <w:ind w:firstLine="420" w:firstLineChars="200"/>
        <w:contextualSpacing/>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rPr>
        <w:t>双方在履行合同过程中产生争议时，应首先通过友好协商解决，协商不成的，可提请同级政府采购监管部门调解</w:t>
      </w:r>
      <w:r>
        <w:rPr>
          <w:rFonts w:hint="eastAsia" w:ascii="仿宋" w:hAnsi="仿宋" w:eastAsia="仿宋" w:cs="仿宋"/>
          <w:color w:val="auto"/>
          <w:sz w:val="21"/>
          <w:szCs w:val="21"/>
          <w:lang w:eastAsia="zh-CN"/>
        </w:rPr>
        <w:t>；调解不成的，可采取以下第</w:t>
      </w:r>
      <w:r>
        <w:rPr>
          <w:rFonts w:hint="eastAsia" w:ascii="仿宋" w:hAnsi="仿宋" w:eastAsia="仿宋" w:cs="仿宋"/>
          <w:color w:val="auto"/>
          <w:sz w:val="21"/>
          <w:szCs w:val="21"/>
          <w:u w:val="single"/>
          <w:lang w:val="en-US" w:eastAsia="zh-CN"/>
        </w:rPr>
        <w:t xml:space="preserve"> （2） </w:t>
      </w:r>
      <w:r>
        <w:rPr>
          <w:rFonts w:hint="eastAsia" w:ascii="仿宋" w:hAnsi="仿宋" w:eastAsia="仿宋" w:cs="仿宋"/>
          <w:color w:val="auto"/>
          <w:sz w:val="21"/>
          <w:szCs w:val="21"/>
          <w:lang w:val="en-US" w:eastAsia="zh-CN"/>
        </w:rPr>
        <w:t>种方式处理。</w:t>
      </w:r>
    </w:p>
    <w:p w14:paraId="23B64058">
      <w:pPr>
        <w:keepNext w:val="0"/>
        <w:keepLines w:val="0"/>
        <w:pageBreakBefore w:val="0"/>
        <w:widowControl w:val="0"/>
        <w:kinsoku/>
        <w:wordWrap/>
        <w:overflowPunct/>
        <w:topLinePunct w:val="0"/>
        <w:autoSpaceDE/>
        <w:autoSpaceDN/>
        <w:bidi w:val="0"/>
        <w:adjustRightInd/>
        <w:snapToGrid w:val="0"/>
        <w:spacing w:before="100" w:beforeAutospacing="1" w:after="100" w:afterAutospacing="1" w:line="396" w:lineRule="auto"/>
        <w:ind w:firstLine="420" w:firstLineChars="200"/>
        <w:contextualSpacing/>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w:t>
      </w:r>
      <w:r>
        <w:rPr>
          <w:rFonts w:hint="eastAsia" w:ascii="仿宋" w:hAnsi="仿宋" w:eastAsia="仿宋" w:cs="仿宋"/>
          <w:color w:val="auto"/>
          <w:sz w:val="21"/>
          <w:szCs w:val="21"/>
          <w:lang w:val="en-US" w:eastAsia="zh-CN"/>
        </w:rPr>
        <w:t>1</w:t>
      </w:r>
      <w:r>
        <w:rPr>
          <w:rFonts w:hint="eastAsia" w:ascii="仿宋" w:hAnsi="仿宋" w:eastAsia="仿宋" w:cs="仿宋"/>
          <w:color w:val="auto"/>
          <w:sz w:val="21"/>
          <w:szCs w:val="21"/>
        </w:rPr>
        <w:t>）通过仲裁方式解决的，约定向衢州仲裁委员会提请仲裁；</w:t>
      </w:r>
    </w:p>
    <w:p w14:paraId="70539B5C">
      <w:pPr>
        <w:keepNext w:val="0"/>
        <w:keepLines w:val="0"/>
        <w:pageBreakBefore w:val="0"/>
        <w:widowControl w:val="0"/>
        <w:kinsoku/>
        <w:wordWrap/>
        <w:overflowPunct/>
        <w:topLinePunct w:val="0"/>
        <w:autoSpaceDE/>
        <w:autoSpaceDN/>
        <w:bidi w:val="0"/>
        <w:adjustRightInd/>
        <w:snapToGrid w:val="0"/>
        <w:spacing w:before="100" w:beforeAutospacing="1" w:after="100" w:afterAutospacing="1" w:line="396" w:lineRule="auto"/>
        <w:ind w:firstLine="420" w:firstLineChars="200"/>
        <w:contextualSpacing/>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（2）通过诉讼方式解决的，约定向常山县人民法院提起诉讼。</w:t>
      </w:r>
    </w:p>
    <w:p w14:paraId="5BD1E461">
      <w:pPr>
        <w:keepNext w:val="0"/>
        <w:keepLines w:val="0"/>
        <w:pageBreakBefore w:val="0"/>
        <w:widowControl w:val="0"/>
        <w:kinsoku/>
        <w:wordWrap/>
        <w:overflowPunct/>
        <w:topLinePunct w:val="0"/>
        <w:autoSpaceDE/>
        <w:autoSpaceDN/>
        <w:bidi w:val="0"/>
        <w:adjustRightInd/>
        <w:snapToGrid w:val="0"/>
        <w:spacing w:before="100" w:beforeAutospacing="1" w:after="100" w:afterAutospacing="1" w:line="396" w:lineRule="auto"/>
        <w:ind w:firstLine="420" w:firstLineChars="200"/>
        <w:contextualSpacing/>
        <w:textAlignment w:val="auto"/>
        <w:rPr>
          <w:rFonts w:hint="eastAsia" w:ascii="仿宋" w:hAnsi="仿宋" w:eastAsia="仿宋" w:cs="仿宋"/>
          <w:b/>
          <w:color w:val="auto"/>
          <w:sz w:val="21"/>
          <w:szCs w:val="21"/>
        </w:rPr>
      </w:pPr>
      <w:r>
        <w:rPr>
          <w:rFonts w:hint="eastAsia" w:ascii="仿宋" w:hAnsi="仿宋" w:eastAsia="仿宋" w:cs="仿宋"/>
          <w:b/>
          <w:color w:val="auto"/>
          <w:sz w:val="21"/>
          <w:szCs w:val="21"/>
          <w:lang w:val="en-US" w:eastAsia="zh-CN"/>
        </w:rPr>
        <w:t xml:space="preserve">第十二条 </w:t>
      </w:r>
      <w:r>
        <w:rPr>
          <w:rFonts w:hint="eastAsia" w:ascii="仿宋" w:hAnsi="仿宋" w:eastAsia="仿宋" w:cs="仿宋"/>
          <w:b/>
          <w:color w:val="auto"/>
          <w:sz w:val="21"/>
          <w:szCs w:val="21"/>
        </w:rPr>
        <w:t>合同生效及其它</w:t>
      </w:r>
    </w:p>
    <w:p w14:paraId="7B84F802">
      <w:pPr>
        <w:keepNext w:val="0"/>
        <w:keepLines w:val="0"/>
        <w:pageBreakBefore w:val="0"/>
        <w:widowControl w:val="0"/>
        <w:kinsoku/>
        <w:wordWrap/>
        <w:overflowPunct/>
        <w:topLinePunct w:val="0"/>
        <w:autoSpaceDE/>
        <w:autoSpaceDN/>
        <w:bidi w:val="0"/>
        <w:adjustRightInd/>
        <w:snapToGrid w:val="0"/>
        <w:spacing w:before="100" w:beforeAutospacing="1" w:after="100" w:afterAutospacing="1" w:line="396" w:lineRule="auto"/>
        <w:ind w:firstLine="420" w:firstLineChars="200"/>
        <w:contextualSpacing/>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1.合同经双方法定代表人或授权代表签字或盖章并加盖单位公章后。</w:t>
      </w:r>
    </w:p>
    <w:p w14:paraId="22940AA1">
      <w:pPr>
        <w:keepNext w:val="0"/>
        <w:keepLines w:val="0"/>
        <w:pageBreakBefore w:val="0"/>
        <w:widowControl w:val="0"/>
        <w:kinsoku/>
        <w:wordWrap/>
        <w:overflowPunct/>
        <w:topLinePunct w:val="0"/>
        <w:autoSpaceDE/>
        <w:autoSpaceDN/>
        <w:bidi w:val="0"/>
        <w:adjustRightInd/>
        <w:snapToGrid w:val="0"/>
        <w:spacing w:before="100" w:beforeAutospacing="1" w:after="100" w:afterAutospacing="1" w:line="396" w:lineRule="auto"/>
        <w:ind w:firstLine="420" w:firstLineChars="200"/>
        <w:contextualSpacing/>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2.合同</w:t>
      </w:r>
      <w:r>
        <w:rPr>
          <w:rFonts w:hint="eastAsia" w:ascii="仿宋" w:hAnsi="仿宋" w:eastAsia="仿宋" w:cs="仿宋"/>
          <w:color w:val="auto"/>
          <w:sz w:val="21"/>
          <w:szCs w:val="21"/>
          <w:lang w:eastAsia="zh-CN"/>
        </w:rPr>
        <w:t>履行过程中</w:t>
      </w:r>
      <w:r>
        <w:rPr>
          <w:rFonts w:hint="eastAsia" w:ascii="仿宋" w:hAnsi="仿宋" w:eastAsia="仿宋" w:cs="仿宋"/>
          <w:color w:val="auto"/>
          <w:sz w:val="21"/>
          <w:szCs w:val="21"/>
          <w:lang w:val="zh-CN" w:eastAsia="zh-Hans"/>
        </w:rPr>
        <w:t>涉及对合同进行修改或补充的，需签订书面补充协议报同级财政部门备案</w:t>
      </w:r>
      <w:r>
        <w:rPr>
          <w:rFonts w:hint="eastAsia" w:ascii="仿宋" w:hAnsi="仿宋" w:eastAsia="仿宋" w:cs="仿宋"/>
          <w:color w:val="auto"/>
          <w:sz w:val="21"/>
          <w:szCs w:val="21"/>
        </w:rPr>
        <w:t>。</w:t>
      </w:r>
    </w:p>
    <w:p w14:paraId="2A88ED4F">
      <w:pPr>
        <w:keepNext w:val="0"/>
        <w:keepLines w:val="0"/>
        <w:pageBreakBefore w:val="0"/>
        <w:widowControl w:val="0"/>
        <w:kinsoku/>
        <w:wordWrap/>
        <w:overflowPunct/>
        <w:topLinePunct w:val="0"/>
        <w:autoSpaceDE/>
        <w:autoSpaceDN/>
        <w:bidi w:val="0"/>
        <w:adjustRightInd/>
        <w:snapToGrid w:val="0"/>
        <w:spacing w:before="100" w:beforeAutospacing="1" w:after="100" w:afterAutospacing="1" w:line="396" w:lineRule="auto"/>
        <w:ind w:firstLine="420" w:firstLineChars="200"/>
        <w:contextualSpacing/>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3.本合同未尽事宜，遵照《</w:t>
      </w:r>
      <w:r>
        <w:rPr>
          <w:rFonts w:hint="eastAsia" w:ascii="仿宋" w:hAnsi="仿宋" w:eastAsia="仿宋" w:cs="仿宋"/>
          <w:color w:val="auto"/>
          <w:sz w:val="21"/>
          <w:szCs w:val="21"/>
          <w:lang w:eastAsia="zh-CN"/>
        </w:rPr>
        <w:t>中华人民共和国民法典</w:t>
      </w:r>
      <w:r>
        <w:rPr>
          <w:rFonts w:hint="eastAsia" w:ascii="仿宋" w:hAnsi="仿宋" w:eastAsia="仿宋" w:cs="仿宋"/>
          <w:color w:val="auto"/>
          <w:sz w:val="21"/>
          <w:szCs w:val="21"/>
        </w:rPr>
        <w:t>》有关条文执行。</w:t>
      </w:r>
    </w:p>
    <w:p w14:paraId="16A2EF1B">
      <w:pPr>
        <w:keepNext w:val="0"/>
        <w:keepLines w:val="0"/>
        <w:pageBreakBefore w:val="0"/>
        <w:widowControl w:val="0"/>
        <w:kinsoku/>
        <w:wordWrap/>
        <w:overflowPunct/>
        <w:topLinePunct w:val="0"/>
        <w:autoSpaceDE/>
        <w:autoSpaceDN/>
        <w:bidi w:val="0"/>
        <w:adjustRightInd/>
        <w:snapToGrid w:val="0"/>
        <w:spacing w:before="100" w:beforeAutospacing="1" w:after="100" w:afterAutospacing="1" w:line="396" w:lineRule="auto"/>
        <w:ind w:firstLine="420" w:firstLineChars="200"/>
        <w:contextualSpacing/>
        <w:textAlignment w:val="auto"/>
        <w:rPr>
          <w:rFonts w:hint="eastAsia" w:ascii="仿宋" w:hAnsi="仿宋" w:eastAsia="仿宋" w:cs="仿宋"/>
          <w:bCs/>
          <w:color w:val="auto"/>
          <w:sz w:val="21"/>
          <w:szCs w:val="21"/>
        </w:rPr>
      </w:pPr>
      <w:r>
        <w:rPr>
          <w:rFonts w:hint="eastAsia" w:ascii="仿宋" w:hAnsi="仿宋" w:eastAsia="仿宋" w:cs="仿宋"/>
          <w:color w:val="auto"/>
          <w:sz w:val="21"/>
          <w:szCs w:val="21"/>
        </w:rPr>
        <w:t>4.本合同正本一式六份，</w:t>
      </w:r>
      <w:r>
        <w:rPr>
          <w:rFonts w:hint="eastAsia" w:ascii="仿宋" w:hAnsi="仿宋" w:eastAsia="仿宋" w:cs="仿宋"/>
          <w:bCs/>
          <w:color w:val="auto"/>
          <w:sz w:val="21"/>
          <w:szCs w:val="21"/>
        </w:rPr>
        <w:t>甲乙双方各执两份，同级财政部门和（采购代理机构）各执一份备案。</w:t>
      </w:r>
    </w:p>
    <w:p w14:paraId="59157DB6">
      <w:pPr>
        <w:keepNext w:val="0"/>
        <w:keepLines w:val="0"/>
        <w:pageBreakBefore w:val="0"/>
        <w:widowControl w:val="0"/>
        <w:kinsoku/>
        <w:wordWrap/>
        <w:overflowPunct/>
        <w:topLinePunct w:val="0"/>
        <w:autoSpaceDE/>
        <w:autoSpaceDN/>
        <w:bidi w:val="0"/>
        <w:adjustRightInd/>
        <w:snapToGrid w:val="0"/>
        <w:spacing w:before="100" w:beforeAutospacing="1" w:after="100" w:afterAutospacing="1" w:line="396" w:lineRule="auto"/>
        <w:ind w:firstLine="420" w:firstLineChars="200"/>
        <w:contextualSpacing/>
        <w:textAlignment w:val="auto"/>
        <w:rPr>
          <w:rFonts w:hint="eastAsia" w:ascii="仿宋" w:hAnsi="仿宋" w:eastAsia="仿宋" w:cs="仿宋"/>
          <w:color w:val="auto"/>
          <w:sz w:val="21"/>
          <w:szCs w:val="21"/>
          <w:lang w:eastAsia="zh-CN"/>
        </w:rPr>
      </w:pPr>
      <w:r>
        <w:rPr>
          <w:rFonts w:hint="eastAsia" w:ascii="仿宋" w:hAnsi="仿宋" w:eastAsia="仿宋" w:cs="仿宋"/>
          <w:color w:val="auto"/>
          <w:sz w:val="21"/>
          <w:szCs w:val="21"/>
          <w:lang w:eastAsia="zh-CN"/>
        </w:rPr>
        <w:t>（以下为签署页无正文）</w:t>
      </w:r>
    </w:p>
    <w:p w14:paraId="72C3C42F">
      <w:pPr>
        <w:rPr>
          <w:rFonts w:hint="eastAsia" w:ascii="仿宋" w:hAnsi="仿宋" w:eastAsia="仿宋" w:cs="仿宋"/>
          <w:color w:val="auto"/>
          <w:sz w:val="21"/>
          <w:szCs w:val="21"/>
        </w:rPr>
      </w:pPr>
    </w:p>
    <w:p w14:paraId="7E856636">
      <w:pPr>
        <w:pStyle w:val="26"/>
        <w:snapToGrid w:val="0"/>
        <w:spacing w:before="120" w:after="120" w:line="360" w:lineRule="auto"/>
        <w:ind w:firstLine="210" w:firstLineChars="100"/>
        <w:rPr>
          <w:rFonts w:hint="eastAsia" w:ascii="仿宋" w:hAnsi="仿宋" w:eastAsia="仿宋" w:cs="仿宋"/>
          <w:color w:val="auto"/>
        </w:rPr>
      </w:pPr>
      <w:r>
        <w:rPr>
          <w:rFonts w:hint="eastAsia" w:ascii="仿宋" w:hAnsi="仿宋" w:eastAsia="仿宋" w:cs="仿宋"/>
          <w:color w:val="auto"/>
        </w:rPr>
        <w:t>甲方（盖章）：                            乙方（盖章）：</w:t>
      </w:r>
    </w:p>
    <w:p w14:paraId="240E477C">
      <w:pPr>
        <w:pStyle w:val="26"/>
        <w:snapToGrid w:val="0"/>
        <w:spacing w:before="120" w:after="120" w:line="360" w:lineRule="auto"/>
        <w:ind w:firstLine="210" w:firstLineChars="100"/>
        <w:rPr>
          <w:rFonts w:hint="eastAsia" w:ascii="仿宋" w:hAnsi="仿宋" w:eastAsia="仿宋" w:cs="仿宋"/>
          <w:color w:val="auto"/>
        </w:rPr>
      </w:pPr>
    </w:p>
    <w:p w14:paraId="13CB648B">
      <w:pPr>
        <w:pStyle w:val="26"/>
        <w:snapToGrid w:val="0"/>
        <w:spacing w:before="120" w:after="120" w:line="360" w:lineRule="auto"/>
        <w:ind w:firstLine="210" w:firstLineChars="100"/>
        <w:rPr>
          <w:rFonts w:hint="eastAsia" w:ascii="仿宋" w:hAnsi="仿宋" w:eastAsia="仿宋" w:cs="仿宋"/>
          <w:color w:val="auto"/>
        </w:rPr>
      </w:pPr>
      <w:r>
        <w:rPr>
          <w:rFonts w:hint="eastAsia" w:ascii="仿宋" w:hAnsi="仿宋" w:eastAsia="仿宋" w:cs="仿宋"/>
          <w:color w:val="auto"/>
        </w:rPr>
        <w:t>法定代表人或</w:t>
      </w:r>
      <w:r>
        <w:rPr>
          <w:rFonts w:hint="eastAsia" w:ascii="仿宋" w:hAnsi="仿宋" w:eastAsia="仿宋" w:cs="仿宋"/>
          <w:color w:val="auto"/>
          <w:lang w:eastAsia="zh-CN"/>
        </w:rPr>
        <w:t>期授权代理人</w:t>
      </w:r>
      <w:r>
        <w:rPr>
          <w:rFonts w:hint="eastAsia" w:ascii="仿宋" w:hAnsi="仿宋" w:eastAsia="仿宋" w:cs="仿宋"/>
          <w:color w:val="auto"/>
        </w:rPr>
        <w:t>（签字）：        法定代表人或</w:t>
      </w:r>
      <w:r>
        <w:rPr>
          <w:rFonts w:hint="eastAsia" w:ascii="仿宋" w:hAnsi="仿宋" w:eastAsia="仿宋" w:cs="仿宋"/>
          <w:color w:val="auto"/>
          <w:lang w:eastAsia="zh-CN"/>
        </w:rPr>
        <w:t>其授权代理人</w:t>
      </w:r>
      <w:r>
        <w:rPr>
          <w:rFonts w:hint="eastAsia" w:ascii="仿宋" w:hAnsi="仿宋" w:eastAsia="仿宋" w:cs="仿宋"/>
          <w:color w:val="auto"/>
        </w:rPr>
        <w:t>（签字）：</w:t>
      </w:r>
    </w:p>
    <w:p w14:paraId="50991A60">
      <w:pPr>
        <w:pStyle w:val="26"/>
        <w:snapToGrid w:val="0"/>
        <w:spacing w:before="120" w:after="120" w:line="360" w:lineRule="auto"/>
        <w:ind w:firstLine="210" w:firstLineChars="100"/>
        <w:rPr>
          <w:rFonts w:hint="eastAsia" w:ascii="仿宋" w:hAnsi="仿宋" w:eastAsia="仿宋" w:cs="仿宋"/>
          <w:color w:val="auto"/>
          <w:lang w:eastAsia="zh-CN"/>
        </w:rPr>
      </w:pPr>
    </w:p>
    <w:p w14:paraId="399FC5E9">
      <w:pPr>
        <w:pStyle w:val="26"/>
        <w:snapToGrid w:val="0"/>
        <w:spacing w:before="120" w:after="120" w:line="360" w:lineRule="auto"/>
        <w:ind w:firstLine="210" w:firstLineChars="100"/>
        <w:rPr>
          <w:rFonts w:hint="default" w:ascii="仿宋" w:hAnsi="仿宋" w:eastAsia="仿宋" w:cs="仿宋"/>
          <w:color w:val="auto"/>
          <w:lang w:val="en-US" w:eastAsia="zh-CN"/>
        </w:rPr>
      </w:pPr>
      <w:r>
        <w:rPr>
          <w:rFonts w:hint="eastAsia" w:ascii="仿宋" w:hAnsi="仿宋" w:eastAsia="仿宋" w:cs="仿宋"/>
          <w:color w:val="auto"/>
          <w:lang w:eastAsia="zh-CN"/>
        </w:rPr>
        <w:t>签订日期：</w:t>
      </w:r>
      <w:r>
        <w:rPr>
          <w:rFonts w:hint="eastAsia" w:ascii="仿宋" w:hAnsi="仿宋" w:eastAsia="仿宋" w:cs="仿宋"/>
          <w:color w:val="auto"/>
          <w:lang w:val="en-US" w:eastAsia="zh-CN"/>
        </w:rPr>
        <w:t xml:space="preserve">                                </w:t>
      </w:r>
      <w:r>
        <w:rPr>
          <w:rFonts w:hint="eastAsia" w:ascii="仿宋" w:hAnsi="仿宋" w:eastAsia="仿宋" w:cs="仿宋"/>
          <w:color w:val="auto"/>
          <w:lang w:eastAsia="zh-CN"/>
        </w:rPr>
        <w:t>签订日期：</w:t>
      </w:r>
    </w:p>
    <w:p w14:paraId="1B99FA89">
      <w:pPr>
        <w:pStyle w:val="26"/>
        <w:snapToGrid w:val="0"/>
        <w:spacing w:before="120" w:after="120" w:line="360" w:lineRule="auto"/>
        <w:ind w:firstLine="210" w:firstLineChars="100"/>
        <w:rPr>
          <w:rFonts w:hint="eastAsia" w:ascii="仿宋" w:hAnsi="仿宋" w:eastAsia="仿宋" w:cs="仿宋"/>
          <w:color w:val="auto"/>
        </w:rPr>
      </w:pPr>
    </w:p>
    <w:p w14:paraId="70EE20E2">
      <w:pPr>
        <w:pStyle w:val="26"/>
        <w:snapToGrid w:val="0"/>
        <w:spacing w:before="120" w:after="120" w:line="360" w:lineRule="auto"/>
        <w:ind w:firstLine="210" w:firstLineChars="100"/>
        <w:rPr>
          <w:rFonts w:hint="eastAsia" w:ascii="仿宋" w:hAnsi="仿宋" w:eastAsia="仿宋" w:cs="仿宋"/>
          <w:color w:val="auto"/>
          <w:lang w:eastAsia="zh-CN"/>
        </w:rPr>
      </w:pPr>
      <w:r>
        <w:rPr>
          <w:rFonts w:hint="eastAsia" w:ascii="仿宋" w:hAnsi="仿宋" w:eastAsia="仿宋" w:cs="仿宋"/>
          <w:color w:val="auto"/>
          <w:lang w:eastAsia="zh-CN"/>
        </w:rPr>
        <w:t>鉴证方（采购代理机构）盖章：</w:t>
      </w:r>
    </w:p>
    <w:p w14:paraId="7AE6DF4C">
      <w:pPr>
        <w:pStyle w:val="26"/>
        <w:snapToGrid w:val="0"/>
        <w:spacing w:before="120" w:after="120" w:line="360" w:lineRule="auto"/>
        <w:ind w:firstLine="210" w:firstLineChars="100"/>
        <w:rPr>
          <w:rFonts w:hint="eastAsia" w:ascii="仿宋" w:hAnsi="仿宋" w:eastAsia="仿宋" w:cs="仿宋"/>
          <w:color w:val="auto"/>
          <w:lang w:eastAsia="zh-CN"/>
        </w:rPr>
      </w:pPr>
      <w:r>
        <w:rPr>
          <w:rFonts w:hint="eastAsia" w:ascii="仿宋" w:hAnsi="仿宋" w:eastAsia="仿宋" w:cs="仿宋"/>
          <w:color w:val="auto"/>
          <w:lang w:eastAsia="zh-CN"/>
        </w:rPr>
        <w:t>经办人（签字）：</w:t>
      </w:r>
    </w:p>
    <w:p w14:paraId="1CE16110">
      <w:pPr>
        <w:pStyle w:val="26"/>
        <w:snapToGrid w:val="0"/>
        <w:spacing w:before="120" w:after="120" w:line="360" w:lineRule="auto"/>
        <w:ind w:firstLine="210" w:firstLineChars="100"/>
        <w:rPr>
          <w:rFonts w:hint="eastAsia" w:ascii="仿宋" w:hAnsi="仿宋" w:eastAsia="仿宋" w:cs="仿宋"/>
          <w:color w:val="auto"/>
          <w:lang w:eastAsia="zh-CN"/>
        </w:rPr>
      </w:pPr>
      <w:r>
        <w:rPr>
          <w:rFonts w:hint="eastAsia" w:ascii="仿宋" w:hAnsi="仿宋" w:eastAsia="仿宋" w:cs="仿宋"/>
          <w:color w:val="auto"/>
          <w:lang w:eastAsia="zh-CN"/>
        </w:rPr>
        <w:t>日期：</w:t>
      </w:r>
    </w:p>
    <w:p w14:paraId="75A006D7">
      <w:pPr>
        <w:pStyle w:val="26"/>
        <w:snapToGrid w:val="0"/>
        <w:spacing w:before="120" w:after="120" w:line="360" w:lineRule="auto"/>
        <w:ind w:firstLine="320" w:firstLineChars="100"/>
        <w:rPr>
          <w:rFonts w:hint="eastAsia" w:ascii="黑体" w:eastAsia="黑体"/>
          <w:color w:val="000000"/>
          <w:sz w:val="32"/>
          <w:szCs w:val="32"/>
        </w:rPr>
      </w:pPr>
      <w:r>
        <w:rPr>
          <w:rFonts w:hint="eastAsia" w:ascii="黑体" w:eastAsia="黑体"/>
          <w:color w:val="000000"/>
          <w:sz w:val="32"/>
          <w:szCs w:val="32"/>
        </w:rPr>
        <w:br w:type="page"/>
      </w:r>
    </w:p>
    <w:p w14:paraId="6181D792">
      <w:pPr>
        <w:snapToGrid w:val="0"/>
        <w:spacing w:line="360" w:lineRule="auto"/>
        <w:jc w:val="left"/>
        <w:rPr>
          <w:rFonts w:hint="eastAsia" w:ascii="仿宋" w:hAnsi="仿宋" w:eastAsia="仿宋" w:cs="仿宋"/>
          <w:b/>
          <w:bCs/>
          <w:color w:val="000000"/>
          <w:sz w:val="21"/>
          <w:szCs w:val="21"/>
          <w:lang w:eastAsia="zh-CN"/>
        </w:rPr>
      </w:pPr>
      <w:r>
        <w:rPr>
          <w:rFonts w:hint="eastAsia" w:ascii="仿宋" w:hAnsi="仿宋" w:eastAsia="仿宋" w:cs="仿宋"/>
          <w:b/>
          <w:bCs/>
          <w:color w:val="000000"/>
          <w:sz w:val="21"/>
          <w:szCs w:val="21"/>
          <w:lang w:eastAsia="zh-CN"/>
        </w:rPr>
        <w:t>附件：</w:t>
      </w:r>
    </w:p>
    <w:p w14:paraId="139B3C95">
      <w:pPr>
        <w:snapToGrid w:val="0"/>
        <w:spacing w:line="360" w:lineRule="auto"/>
        <w:jc w:val="center"/>
        <w:rPr>
          <w:rFonts w:hint="eastAsia" w:ascii="仿宋" w:hAnsi="仿宋" w:eastAsia="仿宋" w:cs="仿宋"/>
          <w:b/>
          <w:bCs/>
          <w:color w:val="000000"/>
          <w:sz w:val="32"/>
          <w:szCs w:val="32"/>
        </w:rPr>
      </w:pPr>
      <w:r>
        <w:rPr>
          <w:rFonts w:hint="eastAsia" w:ascii="仿宋" w:hAnsi="仿宋" w:eastAsia="仿宋" w:cs="仿宋"/>
          <w:b/>
          <w:bCs/>
          <w:color w:val="000000"/>
          <w:sz w:val="32"/>
          <w:szCs w:val="32"/>
        </w:rPr>
        <w:t>常山县林业水利局河道保洁项目管理考核办法</w:t>
      </w:r>
    </w:p>
    <w:p w14:paraId="03D67290">
      <w:pPr>
        <w:snapToGrid w:val="0"/>
        <w:spacing w:line="360" w:lineRule="auto"/>
        <w:jc w:val="center"/>
        <w:rPr>
          <w:rFonts w:hint="eastAsia" w:ascii="仿宋" w:hAnsi="仿宋" w:eastAsia="仿宋" w:cs="仿宋"/>
          <w:b/>
          <w:bCs/>
          <w:color w:val="000000"/>
          <w:sz w:val="32"/>
          <w:szCs w:val="32"/>
        </w:rPr>
      </w:pPr>
      <w:r>
        <w:rPr>
          <w:rFonts w:hint="eastAsia" w:ascii="仿宋" w:hAnsi="仿宋" w:eastAsia="仿宋" w:cs="仿宋"/>
          <w:b/>
          <w:bCs/>
          <w:color w:val="000000"/>
          <w:sz w:val="32"/>
          <w:szCs w:val="32"/>
        </w:rPr>
        <w:t>（满分100</w:t>
      </w:r>
      <w:r>
        <w:rPr>
          <w:rFonts w:hint="eastAsia" w:ascii="仿宋" w:hAnsi="仿宋" w:eastAsia="仿宋" w:cs="仿宋"/>
          <w:b/>
          <w:bCs/>
          <w:color w:val="000000"/>
          <w:sz w:val="32"/>
          <w:szCs w:val="32"/>
          <w:lang w:val="en-US" w:eastAsia="zh-CN"/>
        </w:rPr>
        <w:t>0</w:t>
      </w:r>
      <w:r>
        <w:rPr>
          <w:rFonts w:hint="eastAsia" w:ascii="仿宋" w:hAnsi="仿宋" w:eastAsia="仿宋" w:cs="仿宋"/>
          <w:b/>
          <w:bCs/>
          <w:color w:val="000000"/>
          <w:sz w:val="32"/>
          <w:szCs w:val="32"/>
        </w:rPr>
        <w:t>分）</w:t>
      </w:r>
    </w:p>
    <w:p w14:paraId="6F617667">
      <w:pPr>
        <w:keepNext w:val="0"/>
        <w:keepLines w:val="0"/>
        <w:pageBreakBefore w:val="0"/>
        <w:widowControl w:val="0"/>
        <w:kinsoku/>
        <w:wordWrap/>
        <w:overflowPunct/>
        <w:topLinePunct w:val="0"/>
        <w:autoSpaceDE/>
        <w:autoSpaceDN/>
        <w:bidi w:val="0"/>
        <w:adjustRightInd/>
        <w:snapToGrid w:val="0"/>
        <w:spacing w:before="100" w:beforeAutospacing="1" w:after="100" w:afterAutospacing="1" w:line="396" w:lineRule="auto"/>
        <w:ind w:firstLine="420" w:firstLineChars="200"/>
        <w:contextualSpacing/>
        <w:textAlignment w:val="auto"/>
        <w:rPr>
          <w:rFonts w:hint="eastAsia" w:ascii="仿宋" w:hAnsi="仿宋" w:eastAsia="仿宋" w:cs="仿宋"/>
          <w:color w:val="000000"/>
          <w:szCs w:val="21"/>
          <w:lang w:val="zh-CN"/>
        </w:rPr>
      </w:pPr>
      <w:r>
        <w:rPr>
          <w:rFonts w:hint="eastAsia" w:ascii="仿宋" w:hAnsi="仿宋" w:eastAsia="仿宋" w:cs="仿宋"/>
          <w:color w:val="000000"/>
          <w:szCs w:val="21"/>
          <w:lang w:val="zh-CN"/>
        </w:rPr>
        <w:t>为提升常山港城区景观，进一步加强常山港城区河面及堤岸保洁管理，建立卫生保洁长效管理机制，达到国家水利风景区规范要求，确保常山港城区河面无漂浮垃圾、无杂草、无废弃物、无障碍物、无动物死尸、河岸无垃圾，切实改善水生态环境。实现“水清、河畅、岸绿、景美”的目标。特制定本考核办法。</w:t>
      </w:r>
    </w:p>
    <w:p w14:paraId="7CBC60A3">
      <w:pPr>
        <w:keepNext w:val="0"/>
        <w:keepLines w:val="0"/>
        <w:pageBreakBefore w:val="0"/>
        <w:widowControl w:val="0"/>
        <w:kinsoku/>
        <w:wordWrap/>
        <w:overflowPunct/>
        <w:topLinePunct w:val="0"/>
        <w:autoSpaceDE/>
        <w:autoSpaceDN/>
        <w:bidi w:val="0"/>
        <w:adjustRightInd/>
        <w:snapToGrid w:val="0"/>
        <w:spacing w:before="100" w:beforeAutospacing="1" w:after="100" w:afterAutospacing="1" w:line="396" w:lineRule="auto"/>
        <w:ind w:firstLine="420" w:firstLineChars="200"/>
        <w:contextualSpacing/>
        <w:textAlignment w:val="auto"/>
        <w:rPr>
          <w:rFonts w:hint="eastAsia" w:ascii="仿宋" w:hAnsi="仿宋" w:eastAsia="仿宋" w:cs="仿宋"/>
          <w:b/>
          <w:color w:val="000000"/>
          <w:szCs w:val="21"/>
          <w:lang w:val="zh-CN"/>
        </w:rPr>
      </w:pPr>
      <w:r>
        <w:rPr>
          <w:rFonts w:hint="eastAsia" w:ascii="仿宋" w:hAnsi="仿宋" w:eastAsia="仿宋" w:cs="仿宋"/>
          <w:b/>
          <w:color w:val="000000"/>
          <w:szCs w:val="21"/>
          <w:lang w:val="zh-CN"/>
        </w:rPr>
        <w:t>一、安全生产</w:t>
      </w:r>
    </w:p>
    <w:p w14:paraId="77BB17D3">
      <w:pPr>
        <w:autoSpaceDE w:val="0"/>
        <w:autoSpaceDN w:val="0"/>
        <w:adjustRightInd w:val="0"/>
        <w:spacing w:line="360" w:lineRule="auto"/>
        <w:ind w:firstLine="420" w:firstLineChars="200"/>
        <w:rPr>
          <w:rFonts w:hint="eastAsia" w:ascii="仿宋" w:hAnsi="仿宋" w:eastAsia="仿宋" w:cs="仿宋"/>
          <w:color w:val="000000"/>
          <w:szCs w:val="21"/>
          <w:lang w:val="zh-CN"/>
        </w:rPr>
      </w:pPr>
      <w:r>
        <w:rPr>
          <w:rFonts w:hint="eastAsia" w:ascii="仿宋" w:hAnsi="仿宋" w:eastAsia="仿宋" w:cs="仿宋"/>
          <w:color w:val="000000"/>
          <w:szCs w:val="21"/>
          <w:lang w:val="zh-CN"/>
        </w:rPr>
        <w:t>1、保洁船只必须符合国家相关强制性规范，并悬挂醒目标志,未按规定要求的，每发现一次扣3-5分；</w:t>
      </w:r>
    </w:p>
    <w:p w14:paraId="18D4C703">
      <w:pPr>
        <w:keepNext w:val="0"/>
        <w:keepLines w:val="0"/>
        <w:pageBreakBefore w:val="0"/>
        <w:widowControl w:val="0"/>
        <w:kinsoku/>
        <w:wordWrap/>
        <w:overflowPunct/>
        <w:topLinePunct w:val="0"/>
        <w:autoSpaceDE/>
        <w:autoSpaceDN/>
        <w:bidi w:val="0"/>
        <w:adjustRightInd/>
        <w:snapToGrid w:val="0"/>
        <w:spacing w:before="100" w:beforeAutospacing="1" w:after="100" w:afterAutospacing="1" w:line="396" w:lineRule="auto"/>
        <w:ind w:firstLine="420" w:firstLineChars="200"/>
        <w:contextualSpacing/>
        <w:textAlignment w:val="auto"/>
        <w:rPr>
          <w:rFonts w:hint="eastAsia" w:ascii="仿宋" w:hAnsi="仿宋" w:eastAsia="仿宋" w:cs="仿宋"/>
          <w:color w:val="auto"/>
          <w:szCs w:val="21"/>
          <w:highlight w:val="none"/>
          <w:lang w:val="zh-CN"/>
        </w:rPr>
      </w:pPr>
      <w:r>
        <w:rPr>
          <w:rFonts w:hint="eastAsia" w:ascii="仿宋" w:hAnsi="仿宋" w:eastAsia="仿宋" w:cs="仿宋"/>
          <w:color w:val="000000"/>
          <w:szCs w:val="21"/>
          <w:lang w:val="zh-CN"/>
        </w:rPr>
        <w:t>2、保洁人员应严格遵守水上安全生产规定，严禁酒后上船作业，如发现一次扣10分；上船必须穿戴救生衣，穿着保洁服饰，如发现未穿，每人</w:t>
      </w:r>
      <w:r>
        <w:rPr>
          <w:rFonts w:hint="eastAsia" w:ascii="仿宋" w:hAnsi="仿宋" w:eastAsia="仿宋" w:cs="仿宋"/>
          <w:color w:val="auto"/>
          <w:szCs w:val="21"/>
          <w:highlight w:val="none"/>
          <w:lang w:val="zh-CN"/>
        </w:rPr>
        <w:t>次扣10分。</w:t>
      </w:r>
    </w:p>
    <w:p w14:paraId="35638814">
      <w:pPr>
        <w:keepNext w:val="0"/>
        <w:keepLines w:val="0"/>
        <w:pageBreakBefore w:val="0"/>
        <w:widowControl w:val="0"/>
        <w:kinsoku/>
        <w:wordWrap/>
        <w:overflowPunct/>
        <w:topLinePunct w:val="0"/>
        <w:autoSpaceDE/>
        <w:autoSpaceDN/>
        <w:bidi w:val="0"/>
        <w:adjustRightInd/>
        <w:snapToGrid w:val="0"/>
        <w:spacing w:before="100" w:beforeAutospacing="1" w:after="100" w:afterAutospacing="1" w:line="396" w:lineRule="auto"/>
        <w:ind w:firstLine="420" w:firstLineChars="200"/>
        <w:contextualSpacing/>
        <w:textAlignment w:val="auto"/>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3、乙方必须为从业人员投保人身意外伤害保险及</w:t>
      </w:r>
      <w:r>
        <w:rPr>
          <w:rFonts w:hint="eastAsia" w:ascii="仿宋" w:hAnsi="仿宋" w:eastAsia="仿宋" w:cs="仿宋"/>
          <w:color w:val="auto"/>
          <w:szCs w:val="21"/>
          <w:highlight w:val="none"/>
          <w:lang w:val="zh-CN" w:eastAsia="zh-CN"/>
        </w:rPr>
        <w:t>第三者责任险</w:t>
      </w:r>
      <w:r>
        <w:rPr>
          <w:rFonts w:hint="eastAsia" w:ascii="仿宋" w:hAnsi="仿宋" w:eastAsia="仿宋" w:cs="仿宋"/>
          <w:color w:val="auto"/>
          <w:szCs w:val="21"/>
          <w:highlight w:val="none"/>
          <w:lang w:val="zh-CN"/>
        </w:rPr>
        <w:t>，未投保的, 每发现一人扣10分。</w:t>
      </w:r>
    </w:p>
    <w:p w14:paraId="7D240E7B">
      <w:pPr>
        <w:keepNext w:val="0"/>
        <w:keepLines w:val="0"/>
        <w:pageBreakBefore w:val="0"/>
        <w:widowControl w:val="0"/>
        <w:kinsoku/>
        <w:wordWrap/>
        <w:overflowPunct/>
        <w:topLinePunct w:val="0"/>
        <w:autoSpaceDE/>
        <w:autoSpaceDN/>
        <w:bidi w:val="0"/>
        <w:adjustRightInd/>
        <w:snapToGrid w:val="0"/>
        <w:spacing w:before="100" w:beforeAutospacing="1" w:after="100" w:afterAutospacing="1" w:line="396" w:lineRule="auto"/>
        <w:ind w:firstLine="420" w:firstLineChars="200"/>
        <w:contextualSpacing/>
        <w:textAlignment w:val="auto"/>
        <w:rPr>
          <w:rFonts w:hint="eastAsia" w:ascii="仿宋" w:hAnsi="仿宋" w:eastAsia="仿宋" w:cs="仿宋"/>
          <w:b/>
          <w:color w:val="auto"/>
          <w:szCs w:val="21"/>
          <w:highlight w:val="none"/>
          <w:lang w:val="zh-CN"/>
        </w:rPr>
      </w:pPr>
      <w:r>
        <w:rPr>
          <w:rFonts w:hint="eastAsia" w:ascii="仿宋" w:hAnsi="仿宋" w:eastAsia="仿宋" w:cs="仿宋"/>
          <w:b/>
          <w:color w:val="auto"/>
          <w:szCs w:val="21"/>
          <w:highlight w:val="none"/>
          <w:lang w:val="zh-CN"/>
        </w:rPr>
        <w:t>二、岗位管理</w:t>
      </w:r>
    </w:p>
    <w:p w14:paraId="21D8612F">
      <w:pPr>
        <w:keepNext w:val="0"/>
        <w:keepLines w:val="0"/>
        <w:pageBreakBefore w:val="0"/>
        <w:widowControl w:val="0"/>
        <w:kinsoku/>
        <w:wordWrap/>
        <w:overflowPunct/>
        <w:topLinePunct w:val="0"/>
        <w:autoSpaceDE/>
        <w:autoSpaceDN/>
        <w:bidi w:val="0"/>
        <w:adjustRightInd/>
        <w:snapToGrid w:val="0"/>
        <w:spacing w:before="100" w:beforeAutospacing="1" w:after="100" w:afterAutospacing="1" w:line="396" w:lineRule="auto"/>
        <w:ind w:firstLine="420" w:firstLineChars="200"/>
        <w:contextualSpacing/>
        <w:textAlignment w:val="auto"/>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1、保洁范围内按循环保洁制度执行保洁，未按规定要求，经教育后仍未达到保洁要求的扣1-3分。</w:t>
      </w:r>
    </w:p>
    <w:p w14:paraId="1FA6C193">
      <w:pPr>
        <w:keepNext w:val="0"/>
        <w:keepLines w:val="0"/>
        <w:pageBreakBefore w:val="0"/>
        <w:widowControl w:val="0"/>
        <w:kinsoku/>
        <w:wordWrap/>
        <w:overflowPunct/>
        <w:topLinePunct w:val="0"/>
        <w:autoSpaceDE/>
        <w:autoSpaceDN/>
        <w:bidi w:val="0"/>
        <w:adjustRightInd/>
        <w:snapToGrid w:val="0"/>
        <w:spacing w:before="100" w:beforeAutospacing="1" w:after="100" w:afterAutospacing="1" w:line="396" w:lineRule="auto"/>
        <w:ind w:firstLine="420" w:firstLineChars="200"/>
        <w:contextualSpacing/>
        <w:textAlignment w:val="auto"/>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2、服从安排和调配，如不服从上级统一安排或调配的，每次扣1分；遇重大活动或重要检查，不服从上级统一安排或调配的，每次扣2分。</w:t>
      </w:r>
    </w:p>
    <w:p w14:paraId="4012C6BC">
      <w:pPr>
        <w:keepNext w:val="0"/>
        <w:keepLines w:val="0"/>
        <w:pageBreakBefore w:val="0"/>
        <w:widowControl w:val="0"/>
        <w:kinsoku/>
        <w:wordWrap/>
        <w:overflowPunct/>
        <w:topLinePunct w:val="0"/>
        <w:autoSpaceDE/>
        <w:autoSpaceDN/>
        <w:bidi w:val="0"/>
        <w:adjustRightInd/>
        <w:snapToGrid w:val="0"/>
        <w:spacing w:before="100" w:beforeAutospacing="1" w:after="100" w:afterAutospacing="1" w:line="396" w:lineRule="auto"/>
        <w:ind w:firstLine="420" w:firstLineChars="200"/>
        <w:contextualSpacing/>
        <w:textAlignment w:val="auto"/>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4、发生上级领导批评、新闻媒体曝光或群众投诉举报查实的，每次扣1-4分，接县政府督办单一次扣10分。</w:t>
      </w:r>
    </w:p>
    <w:p w14:paraId="6C54B0EC">
      <w:pPr>
        <w:keepNext w:val="0"/>
        <w:keepLines w:val="0"/>
        <w:pageBreakBefore w:val="0"/>
        <w:widowControl w:val="0"/>
        <w:kinsoku/>
        <w:wordWrap/>
        <w:overflowPunct/>
        <w:topLinePunct w:val="0"/>
        <w:autoSpaceDE/>
        <w:autoSpaceDN/>
        <w:bidi w:val="0"/>
        <w:adjustRightInd/>
        <w:snapToGrid w:val="0"/>
        <w:spacing w:before="100" w:beforeAutospacing="1" w:after="100" w:afterAutospacing="1" w:line="396" w:lineRule="auto"/>
        <w:ind w:firstLine="420" w:firstLineChars="200"/>
        <w:contextualSpacing/>
        <w:textAlignment w:val="auto"/>
        <w:rPr>
          <w:rFonts w:hint="eastAsia" w:ascii="仿宋" w:hAnsi="仿宋" w:eastAsia="仿宋" w:cs="仿宋"/>
          <w:b/>
          <w:color w:val="auto"/>
          <w:szCs w:val="21"/>
          <w:highlight w:val="none"/>
          <w:lang w:val="zh-CN"/>
        </w:rPr>
      </w:pPr>
      <w:r>
        <w:rPr>
          <w:rFonts w:hint="eastAsia" w:ascii="仿宋" w:hAnsi="仿宋" w:eastAsia="仿宋" w:cs="仿宋"/>
          <w:b/>
          <w:color w:val="auto"/>
          <w:szCs w:val="21"/>
          <w:highlight w:val="none"/>
          <w:lang w:val="zh-CN"/>
        </w:rPr>
        <w:t>三、保洁管理</w:t>
      </w:r>
    </w:p>
    <w:p w14:paraId="471FA1DB">
      <w:pPr>
        <w:keepNext w:val="0"/>
        <w:keepLines w:val="0"/>
        <w:pageBreakBefore w:val="0"/>
        <w:widowControl w:val="0"/>
        <w:kinsoku/>
        <w:wordWrap/>
        <w:overflowPunct/>
        <w:topLinePunct w:val="0"/>
        <w:autoSpaceDE/>
        <w:autoSpaceDN/>
        <w:bidi w:val="0"/>
        <w:adjustRightInd/>
        <w:snapToGrid w:val="0"/>
        <w:spacing w:before="100" w:beforeAutospacing="1" w:after="100" w:afterAutospacing="1" w:line="396" w:lineRule="auto"/>
        <w:ind w:firstLine="420" w:firstLineChars="200"/>
        <w:contextualSpacing/>
        <w:textAlignment w:val="auto"/>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保洁管理分为河面保洁考核和堤岸保洁考核两种。</w:t>
      </w:r>
    </w:p>
    <w:p w14:paraId="1BCADE53">
      <w:pPr>
        <w:keepNext w:val="0"/>
        <w:keepLines w:val="0"/>
        <w:pageBreakBefore w:val="0"/>
        <w:widowControl w:val="0"/>
        <w:kinsoku/>
        <w:wordWrap/>
        <w:overflowPunct/>
        <w:topLinePunct w:val="0"/>
        <w:autoSpaceDE/>
        <w:autoSpaceDN/>
        <w:bidi w:val="0"/>
        <w:adjustRightInd/>
        <w:snapToGrid w:val="0"/>
        <w:spacing w:before="100" w:beforeAutospacing="1" w:after="100" w:afterAutospacing="1" w:line="396" w:lineRule="auto"/>
        <w:ind w:firstLine="420" w:firstLineChars="200"/>
        <w:contextualSpacing/>
        <w:textAlignment w:val="auto"/>
        <w:rPr>
          <w:rFonts w:hint="eastAsia" w:ascii="仿宋" w:hAnsi="仿宋" w:eastAsia="仿宋" w:cs="仿宋"/>
          <w:b/>
          <w:color w:val="auto"/>
          <w:szCs w:val="21"/>
          <w:highlight w:val="none"/>
          <w:lang w:val="zh-CN"/>
        </w:rPr>
      </w:pPr>
      <w:r>
        <w:rPr>
          <w:rFonts w:hint="eastAsia" w:ascii="仿宋" w:hAnsi="仿宋" w:eastAsia="仿宋" w:cs="仿宋"/>
          <w:b/>
          <w:color w:val="auto"/>
          <w:szCs w:val="21"/>
          <w:highlight w:val="none"/>
          <w:lang w:val="zh-CN"/>
        </w:rPr>
        <w:t>1、河面保洁考核</w:t>
      </w:r>
      <w:r>
        <w:rPr>
          <w:rFonts w:hint="eastAsia" w:ascii="仿宋" w:hAnsi="仿宋" w:eastAsia="仿宋" w:cs="仿宋"/>
          <w:color w:val="auto"/>
          <w:szCs w:val="21"/>
          <w:highlight w:val="none"/>
          <w:lang w:val="zh-CN"/>
        </w:rPr>
        <w:t>:</w:t>
      </w:r>
    </w:p>
    <w:p w14:paraId="5B8E83F2">
      <w:pPr>
        <w:keepNext w:val="0"/>
        <w:keepLines w:val="0"/>
        <w:pageBreakBefore w:val="0"/>
        <w:widowControl w:val="0"/>
        <w:kinsoku/>
        <w:wordWrap/>
        <w:overflowPunct/>
        <w:topLinePunct w:val="0"/>
        <w:autoSpaceDE/>
        <w:autoSpaceDN/>
        <w:bidi w:val="0"/>
        <w:adjustRightInd/>
        <w:snapToGrid w:val="0"/>
        <w:spacing w:before="100" w:beforeAutospacing="1" w:after="100" w:afterAutospacing="1" w:line="396" w:lineRule="auto"/>
        <w:ind w:firstLine="420" w:firstLineChars="200"/>
        <w:contextualSpacing/>
        <w:textAlignment w:val="auto"/>
        <w:rPr>
          <w:rFonts w:hint="eastAsia" w:ascii="仿宋" w:hAnsi="仿宋" w:eastAsia="仿宋" w:cs="仿宋"/>
          <w:color w:val="auto"/>
          <w:highlight w:val="none"/>
        </w:rPr>
      </w:pPr>
      <w:r>
        <w:rPr>
          <w:rFonts w:hint="eastAsia" w:ascii="仿宋" w:hAnsi="仿宋" w:eastAsia="仿宋" w:cs="仿宋"/>
          <w:color w:val="auto"/>
          <w:highlight w:val="none"/>
          <w:lang w:eastAsia="zh-CN"/>
        </w:rPr>
        <w:t>乙方</w:t>
      </w:r>
      <w:r>
        <w:rPr>
          <w:rFonts w:hint="eastAsia" w:ascii="仿宋" w:hAnsi="仿宋" w:eastAsia="仿宋" w:cs="仿宋"/>
          <w:color w:val="auto"/>
          <w:highlight w:val="none"/>
        </w:rPr>
        <w:t>每天至少确保1条保洁船，配备河面保洁员3人及以上、堤岸保洁员2人及以上</w:t>
      </w:r>
      <w:r>
        <w:rPr>
          <w:rFonts w:hint="eastAsia" w:ascii="仿宋" w:hAnsi="仿宋" w:eastAsia="仿宋" w:cs="仿宋"/>
          <w:color w:val="auto"/>
          <w:highlight w:val="none"/>
          <w:lang w:eastAsia="zh-CN"/>
        </w:rPr>
        <w:t>投入工作</w:t>
      </w:r>
      <w:r>
        <w:rPr>
          <w:rFonts w:hint="eastAsia" w:ascii="仿宋" w:hAnsi="仿宋" w:eastAsia="仿宋" w:cs="仿宋"/>
          <w:color w:val="auto"/>
          <w:highlight w:val="none"/>
        </w:rPr>
        <w:t>，根据保洁需求应随时增加保洁力量。检查无保洁船扣2分；保洁员每次少1人扣1分，少2人扣2分，以此类推。</w:t>
      </w:r>
    </w:p>
    <w:p w14:paraId="434DA776">
      <w:pPr>
        <w:keepNext w:val="0"/>
        <w:keepLines w:val="0"/>
        <w:pageBreakBefore w:val="0"/>
        <w:widowControl w:val="0"/>
        <w:kinsoku/>
        <w:wordWrap/>
        <w:overflowPunct/>
        <w:topLinePunct w:val="0"/>
        <w:autoSpaceDE/>
        <w:autoSpaceDN/>
        <w:bidi w:val="0"/>
        <w:adjustRightInd/>
        <w:snapToGrid w:val="0"/>
        <w:spacing w:before="100" w:beforeAutospacing="1" w:after="100" w:afterAutospacing="1" w:line="396" w:lineRule="auto"/>
        <w:ind w:firstLine="420" w:firstLineChars="200"/>
        <w:contextualSpacing/>
        <w:textAlignment w:val="auto"/>
        <w:rPr>
          <w:rFonts w:hint="eastAsia" w:ascii="仿宋" w:hAnsi="仿宋" w:eastAsia="仿宋" w:cs="仿宋"/>
        </w:rPr>
      </w:pPr>
      <w:r>
        <w:rPr>
          <w:rFonts w:hint="eastAsia" w:ascii="仿宋" w:hAnsi="仿宋" w:eastAsia="仿宋" w:cs="仿宋"/>
          <w:color w:val="auto"/>
          <w:highlight w:val="none"/>
        </w:rPr>
        <w:t>及时清除洪水过后沉积亲水平台和护坡上的淤泥和垃圾。未及时清除的（三天）每发</w:t>
      </w:r>
      <w:r>
        <w:rPr>
          <w:rFonts w:hint="eastAsia" w:ascii="仿宋" w:hAnsi="仿宋" w:eastAsia="仿宋" w:cs="仿宋"/>
        </w:rPr>
        <w:t>现一处扣3分；</w:t>
      </w:r>
    </w:p>
    <w:p w14:paraId="0FA4EA03">
      <w:pPr>
        <w:keepNext w:val="0"/>
        <w:keepLines w:val="0"/>
        <w:pageBreakBefore w:val="0"/>
        <w:widowControl w:val="0"/>
        <w:kinsoku/>
        <w:wordWrap/>
        <w:overflowPunct/>
        <w:topLinePunct w:val="0"/>
        <w:autoSpaceDE/>
        <w:autoSpaceDN/>
        <w:bidi w:val="0"/>
        <w:adjustRightInd/>
        <w:snapToGrid w:val="0"/>
        <w:spacing w:before="100" w:beforeAutospacing="1" w:after="100" w:afterAutospacing="1" w:line="396" w:lineRule="auto"/>
        <w:ind w:firstLine="420" w:firstLineChars="200"/>
        <w:contextualSpacing/>
        <w:textAlignment w:val="auto"/>
        <w:rPr>
          <w:rFonts w:hint="eastAsia" w:ascii="仿宋" w:hAnsi="仿宋" w:eastAsia="仿宋" w:cs="仿宋"/>
        </w:rPr>
      </w:pPr>
      <w:r>
        <w:rPr>
          <w:rFonts w:hint="eastAsia" w:ascii="仿宋" w:hAnsi="仿宋" w:eastAsia="仿宋" w:cs="仿宋"/>
        </w:rPr>
        <w:t>及时打捞动物死尸并按指定地点堆放。检查发现未打捞动物死尸一具扣2分（累加）。</w:t>
      </w:r>
    </w:p>
    <w:p w14:paraId="3515EDB9">
      <w:pPr>
        <w:keepNext w:val="0"/>
        <w:keepLines w:val="0"/>
        <w:pageBreakBefore w:val="0"/>
        <w:widowControl w:val="0"/>
        <w:kinsoku/>
        <w:wordWrap/>
        <w:overflowPunct/>
        <w:topLinePunct w:val="0"/>
        <w:autoSpaceDE/>
        <w:autoSpaceDN/>
        <w:bidi w:val="0"/>
        <w:adjustRightInd/>
        <w:snapToGrid w:val="0"/>
        <w:spacing w:before="100" w:beforeAutospacing="1" w:after="100" w:afterAutospacing="1" w:line="396" w:lineRule="auto"/>
        <w:ind w:firstLine="420" w:firstLineChars="200"/>
        <w:contextualSpacing/>
        <w:textAlignment w:val="auto"/>
        <w:rPr>
          <w:rFonts w:hint="eastAsia" w:ascii="仿宋" w:hAnsi="仿宋" w:eastAsia="仿宋" w:cs="仿宋"/>
          <w:lang w:val="zh-CN"/>
        </w:rPr>
      </w:pPr>
      <w:r>
        <w:rPr>
          <w:rFonts w:hint="eastAsia" w:ascii="仿宋" w:hAnsi="仿宋" w:eastAsia="仿宋" w:cs="仿宋"/>
        </w:rPr>
        <w:t>常山港城区段河道干净无杂草无漂浮废弃物。检查发现有成线条状杂草和漂浮废弃物，未及时打捞的每次扣1-5分；回角处形成集块漂浮垃圾未及时打捞的每次扣1分</w:t>
      </w:r>
      <w:r>
        <w:rPr>
          <w:rFonts w:hint="eastAsia" w:ascii="仿宋" w:hAnsi="仿宋" w:eastAsia="仿宋" w:cs="仿宋"/>
          <w:lang w:val="zh-CN"/>
        </w:rPr>
        <w:t>。</w:t>
      </w:r>
    </w:p>
    <w:p w14:paraId="7A67B36A">
      <w:pPr>
        <w:keepNext w:val="0"/>
        <w:keepLines w:val="0"/>
        <w:pageBreakBefore w:val="0"/>
        <w:widowControl w:val="0"/>
        <w:kinsoku/>
        <w:wordWrap/>
        <w:overflowPunct/>
        <w:topLinePunct w:val="0"/>
        <w:autoSpaceDE/>
        <w:autoSpaceDN/>
        <w:bidi w:val="0"/>
        <w:adjustRightInd/>
        <w:snapToGrid w:val="0"/>
        <w:spacing w:before="100" w:beforeAutospacing="1" w:after="100" w:afterAutospacing="1" w:line="396" w:lineRule="auto"/>
        <w:ind w:firstLine="420" w:firstLineChars="200"/>
        <w:contextualSpacing/>
        <w:textAlignment w:val="auto"/>
        <w:rPr>
          <w:rFonts w:hint="eastAsia" w:ascii="仿宋" w:hAnsi="仿宋" w:eastAsia="仿宋" w:cs="仿宋"/>
        </w:rPr>
      </w:pPr>
      <w:r>
        <w:rPr>
          <w:rFonts w:hint="eastAsia" w:ascii="仿宋" w:hAnsi="仿宋" w:eastAsia="仿宋" w:cs="仿宋"/>
        </w:rPr>
        <w:t>卫生保洁时间为：冬春7:30～17:00；夏秋6:30～17:30</w:t>
      </w:r>
      <w:r>
        <w:rPr>
          <w:rFonts w:hint="eastAsia" w:ascii="仿宋" w:hAnsi="仿宋" w:eastAsia="仿宋" w:cs="仿宋"/>
          <w:strike w:val="0"/>
          <w:dstrike w:val="0"/>
          <w:highlight w:val="none"/>
        </w:rPr>
        <w:t>清扫完毕完成</w:t>
      </w:r>
      <w:r>
        <w:rPr>
          <w:rFonts w:hint="eastAsia" w:ascii="仿宋" w:hAnsi="仿宋" w:eastAsia="仿宋" w:cs="仿宋"/>
        </w:rPr>
        <w:t>。</w:t>
      </w:r>
    </w:p>
    <w:p w14:paraId="7849A6DB">
      <w:pPr>
        <w:keepNext w:val="0"/>
        <w:keepLines w:val="0"/>
        <w:pageBreakBefore w:val="0"/>
        <w:widowControl w:val="0"/>
        <w:kinsoku/>
        <w:wordWrap/>
        <w:overflowPunct/>
        <w:topLinePunct w:val="0"/>
        <w:autoSpaceDE/>
        <w:autoSpaceDN/>
        <w:bidi w:val="0"/>
        <w:adjustRightInd/>
        <w:snapToGrid w:val="0"/>
        <w:spacing w:before="100" w:beforeAutospacing="1" w:after="100" w:afterAutospacing="1" w:line="396" w:lineRule="auto"/>
        <w:ind w:firstLine="420" w:firstLineChars="200"/>
        <w:contextualSpacing/>
        <w:textAlignment w:val="auto"/>
        <w:rPr>
          <w:rFonts w:hint="eastAsia" w:ascii="仿宋" w:hAnsi="仿宋" w:eastAsia="仿宋" w:cs="仿宋"/>
          <w:b/>
          <w:color w:val="000000"/>
          <w:szCs w:val="21"/>
          <w:lang w:val="zh-CN"/>
        </w:rPr>
      </w:pPr>
      <w:r>
        <w:rPr>
          <w:rFonts w:hint="eastAsia" w:ascii="仿宋" w:hAnsi="仿宋" w:eastAsia="仿宋" w:cs="仿宋"/>
          <w:b/>
          <w:color w:val="000000"/>
          <w:szCs w:val="21"/>
          <w:lang w:val="zh-CN"/>
        </w:rPr>
        <w:t>2、堤岸保洁考核</w:t>
      </w:r>
    </w:p>
    <w:p w14:paraId="0217CB8F">
      <w:pPr>
        <w:keepNext w:val="0"/>
        <w:keepLines w:val="0"/>
        <w:pageBreakBefore w:val="0"/>
        <w:widowControl w:val="0"/>
        <w:kinsoku/>
        <w:wordWrap/>
        <w:overflowPunct/>
        <w:topLinePunct w:val="0"/>
        <w:autoSpaceDE/>
        <w:autoSpaceDN/>
        <w:bidi w:val="0"/>
        <w:adjustRightInd/>
        <w:snapToGrid w:val="0"/>
        <w:spacing w:before="100" w:beforeAutospacing="1" w:after="100" w:afterAutospacing="1" w:line="396" w:lineRule="auto"/>
        <w:ind w:firstLine="420" w:firstLineChars="200"/>
        <w:contextualSpacing/>
        <w:textAlignment w:val="auto"/>
        <w:rPr>
          <w:rFonts w:hint="eastAsia" w:ascii="仿宋" w:hAnsi="仿宋" w:eastAsia="仿宋" w:cs="仿宋"/>
          <w:color w:val="000000"/>
          <w:szCs w:val="21"/>
          <w:lang w:val="zh-CN"/>
        </w:rPr>
      </w:pPr>
      <w:r>
        <w:rPr>
          <w:rFonts w:hint="eastAsia" w:ascii="仿宋" w:hAnsi="仿宋" w:eastAsia="仿宋" w:cs="仿宋"/>
          <w:color w:val="000000"/>
          <w:szCs w:val="21"/>
          <w:lang w:val="zh-CN"/>
        </w:rPr>
        <w:t>卫生保洁时间：冬春7:30～17:00；夏秋6:30～17:30。保洁清扫（1、2、3、4、10、11、12）7个月必须在早上8:30前清扫完毕，（5、6、7、8、9）5个月必须在早上7:00前清扫完毕。清扫完毕后必须做到亲水平台、护坡、台阶、堤顶道路干净，无堆积垃圾、无跳扫漏扫、无烟头纸屑。清扫亲水平台、护坡、台阶干净，无堆积垃圾、无跳扫漏扫、无烟头纸屑。经常擦洗堤防沿岸不锈钢栏杆，确保不锈钢栏杆整洁无污渍，如发现设施有破损的应及时汇报。保洁人员不得以倒垃圾为名聚集聊天。清扫产生的灰尘、泥沙不得扫入河面或倒入绿化带。积极完成常山港管理处交办的突击任务或创建任务，不得推诿。重大活动后应清洗相关活动区域。</w:t>
      </w:r>
    </w:p>
    <w:p w14:paraId="56C64613">
      <w:pPr>
        <w:keepNext w:val="0"/>
        <w:keepLines w:val="0"/>
        <w:pageBreakBefore w:val="0"/>
        <w:widowControl w:val="0"/>
        <w:kinsoku/>
        <w:wordWrap/>
        <w:overflowPunct/>
        <w:topLinePunct w:val="0"/>
        <w:autoSpaceDE/>
        <w:autoSpaceDN/>
        <w:bidi w:val="0"/>
        <w:adjustRightInd/>
        <w:snapToGrid w:val="0"/>
        <w:spacing w:before="100" w:beforeAutospacing="1" w:after="100" w:afterAutospacing="1" w:line="396" w:lineRule="auto"/>
        <w:ind w:firstLine="420" w:firstLineChars="200"/>
        <w:contextualSpacing/>
        <w:textAlignment w:val="auto"/>
        <w:rPr>
          <w:rFonts w:hint="eastAsia" w:ascii="仿宋" w:hAnsi="仿宋" w:eastAsia="仿宋" w:cs="仿宋"/>
          <w:color w:val="000000"/>
          <w:szCs w:val="21"/>
        </w:rPr>
      </w:pPr>
      <w:r>
        <w:rPr>
          <w:rFonts w:hint="eastAsia" w:ascii="仿宋" w:hAnsi="仿宋" w:eastAsia="仿宋" w:cs="仿宋"/>
          <w:color w:val="000000"/>
          <w:szCs w:val="21"/>
        </w:rPr>
        <w:t>（1）上班未穿戴统一工作服每次扣0.5分。</w:t>
      </w:r>
    </w:p>
    <w:p w14:paraId="2FBE6D37">
      <w:pPr>
        <w:keepNext w:val="0"/>
        <w:keepLines w:val="0"/>
        <w:pageBreakBefore w:val="0"/>
        <w:widowControl w:val="0"/>
        <w:kinsoku/>
        <w:wordWrap/>
        <w:overflowPunct/>
        <w:topLinePunct w:val="0"/>
        <w:autoSpaceDE/>
        <w:autoSpaceDN/>
        <w:bidi w:val="0"/>
        <w:adjustRightInd/>
        <w:snapToGrid w:val="0"/>
        <w:spacing w:before="100" w:beforeAutospacing="1" w:after="100" w:afterAutospacing="1" w:line="396" w:lineRule="auto"/>
        <w:ind w:firstLine="420" w:firstLineChars="200"/>
        <w:contextualSpacing/>
        <w:textAlignment w:val="auto"/>
        <w:rPr>
          <w:rFonts w:hint="eastAsia" w:ascii="仿宋" w:hAnsi="仿宋" w:eastAsia="仿宋" w:cs="仿宋"/>
          <w:color w:val="000000"/>
          <w:szCs w:val="21"/>
        </w:rPr>
      </w:pPr>
      <w:r>
        <w:rPr>
          <w:rFonts w:hint="eastAsia" w:ascii="仿宋" w:hAnsi="仿宋" w:eastAsia="仿宋" w:cs="仿宋"/>
          <w:color w:val="000000"/>
          <w:szCs w:val="21"/>
        </w:rPr>
        <w:t>（2）亲水平台、护坡、台阶没有清扫干净，有明显垃圾等杂物，每处扣0.2分。</w:t>
      </w:r>
    </w:p>
    <w:p w14:paraId="4682F73A">
      <w:pPr>
        <w:keepNext w:val="0"/>
        <w:keepLines w:val="0"/>
        <w:pageBreakBefore w:val="0"/>
        <w:widowControl w:val="0"/>
        <w:kinsoku/>
        <w:wordWrap/>
        <w:overflowPunct/>
        <w:topLinePunct w:val="0"/>
        <w:autoSpaceDE/>
        <w:autoSpaceDN/>
        <w:bidi w:val="0"/>
        <w:adjustRightInd/>
        <w:snapToGrid w:val="0"/>
        <w:spacing w:before="100" w:beforeAutospacing="1" w:after="100" w:afterAutospacing="1" w:line="396" w:lineRule="auto"/>
        <w:ind w:firstLine="420" w:firstLineChars="200"/>
        <w:contextualSpacing/>
        <w:textAlignment w:val="auto"/>
        <w:rPr>
          <w:rFonts w:hint="eastAsia" w:ascii="仿宋" w:hAnsi="仿宋" w:eastAsia="仿宋" w:cs="仿宋"/>
          <w:color w:val="000000"/>
          <w:szCs w:val="21"/>
        </w:rPr>
      </w:pPr>
      <w:r>
        <w:rPr>
          <w:rFonts w:hint="eastAsia" w:ascii="仿宋" w:hAnsi="仿宋" w:eastAsia="仿宋" w:cs="仿宋"/>
          <w:color w:val="000000"/>
          <w:szCs w:val="21"/>
        </w:rPr>
        <w:t>（3）跳扫、漏扫一次扣0.2分。</w:t>
      </w:r>
    </w:p>
    <w:p w14:paraId="46EC12AE">
      <w:pPr>
        <w:keepNext w:val="0"/>
        <w:keepLines w:val="0"/>
        <w:pageBreakBefore w:val="0"/>
        <w:widowControl w:val="0"/>
        <w:kinsoku/>
        <w:wordWrap/>
        <w:overflowPunct/>
        <w:topLinePunct w:val="0"/>
        <w:autoSpaceDE/>
        <w:autoSpaceDN/>
        <w:bidi w:val="0"/>
        <w:adjustRightInd/>
        <w:snapToGrid w:val="0"/>
        <w:spacing w:before="100" w:beforeAutospacing="1" w:after="100" w:afterAutospacing="1" w:line="396" w:lineRule="auto"/>
        <w:ind w:firstLine="420" w:firstLineChars="200"/>
        <w:contextualSpacing/>
        <w:textAlignment w:val="auto"/>
        <w:rPr>
          <w:rFonts w:hint="eastAsia" w:ascii="仿宋" w:hAnsi="仿宋" w:eastAsia="仿宋" w:cs="仿宋"/>
          <w:color w:val="000000"/>
          <w:szCs w:val="21"/>
        </w:rPr>
      </w:pPr>
      <w:r>
        <w:rPr>
          <w:rFonts w:hint="eastAsia" w:ascii="仿宋" w:hAnsi="仿宋" w:eastAsia="仿宋" w:cs="仿宋"/>
          <w:color w:val="000000"/>
          <w:szCs w:val="21"/>
        </w:rPr>
        <w:t>（4）没按规定要求收集清理垃圾而造成影响，每次扣1分。</w:t>
      </w:r>
    </w:p>
    <w:p w14:paraId="50C9769F">
      <w:pPr>
        <w:keepNext w:val="0"/>
        <w:keepLines w:val="0"/>
        <w:pageBreakBefore w:val="0"/>
        <w:widowControl w:val="0"/>
        <w:kinsoku/>
        <w:wordWrap/>
        <w:overflowPunct/>
        <w:topLinePunct w:val="0"/>
        <w:autoSpaceDE/>
        <w:autoSpaceDN/>
        <w:bidi w:val="0"/>
        <w:adjustRightInd/>
        <w:snapToGrid w:val="0"/>
        <w:spacing w:before="100" w:beforeAutospacing="1" w:after="100" w:afterAutospacing="1" w:line="396" w:lineRule="auto"/>
        <w:ind w:firstLine="420" w:firstLineChars="200"/>
        <w:contextualSpacing/>
        <w:textAlignment w:val="auto"/>
        <w:rPr>
          <w:rFonts w:hint="eastAsia" w:ascii="仿宋" w:hAnsi="仿宋" w:eastAsia="仿宋" w:cs="仿宋"/>
          <w:color w:val="000000"/>
          <w:szCs w:val="21"/>
        </w:rPr>
      </w:pPr>
      <w:r>
        <w:rPr>
          <w:rFonts w:hint="eastAsia" w:ascii="仿宋" w:hAnsi="仿宋" w:eastAsia="仿宋" w:cs="仿宋"/>
          <w:color w:val="000000"/>
          <w:szCs w:val="21"/>
        </w:rPr>
        <w:t>（5）承包方不按规定配备人员，每少1人，每天扣0.5分，依此类推。</w:t>
      </w:r>
    </w:p>
    <w:p w14:paraId="4A0D74C0">
      <w:pPr>
        <w:keepNext w:val="0"/>
        <w:keepLines w:val="0"/>
        <w:pageBreakBefore w:val="0"/>
        <w:widowControl w:val="0"/>
        <w:kinsoku/>
        <w:wordWrap/>
        <w:overflowPunct/>
        <w:topLinePunct w:val="0"/>
        <w:autoSpaceDE/>
        <w:autoSpaceDN/>
        <w:bidi w:val="0"/>
        <w:adjustRightInd/>
        <w:snapToGrid w:val="0"/>
        <w:spacing w:before="100" w:beforeAutospacing="1" w:after="100" w:afterAutospacing="1" w:line="396" w:lineRule="auto"/>
        <w:ind w:firstLine="420" w:firstLineChars="200"/>
        <w:contextualSpacing/>
        <w:textAlignment w:val="auto"/>
        <w:rPr>
          <w:rFonts w:hint="eastAsia" w:ascii="仿宋" w:hAnsi="仿宋" w:eastAsia="仿宋" w:cs="仿宋"/>
          <w:color w:val="000000"/>
          <w:szCs w:val="21"/>
        </w:rPr>
      </w:pPr>
      <w:r>
        <w:rPr>
          <w:rFonts w:hint="eastAsia" w:ascii="仿宋" w:hAnsi="仿宋" w:eastAsia="仿宋" w:cs="仿宋"/>
          <w:color w:val="000000"/>
          <w:szCs w:val="21"/>
        </w:rPr>
        <w:t>（6）没按规定时间清运垃圾或清运不及时每次扣0.3分。</w:t>
      </w:r>
    </w:p>
    <w:p w14:paraId="13B753F0">
      <w:pPr>
        <w:keepNext w:val="0"/>
        <w:keepLines w:val="0"/>
        <w:pageBreakBefore w:val="0"/>
        <w:widowControl w:val="0"/>
        <w:kinsoku/>
        <w:wordWrap/>
        <w:overflowPunct/>
        <w:topLinePunct w:val="0"/>
        <w:autoSpaceDE/>
        <w:autoSpaceDN/>
        <w:bidi w:val="0"/>
        <w:adjustRightInd/>
        <w:snapToGrid w:val="0"/>
        <w:spacing w:before="100" w:beforeAutospacing="1" w:after="100" w:afterAutospacing="1" w:line="396" w:lineRule="auto"/>
        <w:ind w:firstLine="420" w:firstLineChars="200"/>
        <w:contextualSpacing/>
        <w:textAlignment w:val="auto"/>
        <w:rPr>
          <w:rFonts w:hint="eastAsia" w:ascii="仿宋" w:hAnsi="仿宋" w:eastAsia="仿宋" w:cs="仿宋"/>
          <w:color w:val="000000"/>
          <w:szCs w:val="21"/>
        </w:rPr>
      </w:pPr>
      <w:r>
        <w:rPr>
          <w:rFonts w:hint="eastAsia" w:ascii="仿宋" w:hAnsi="仿宋" w:eastAsia="仿宋" w:cs="仿宋"/>
          <w:color w:val="000000"/>
          <w:szCs w:val="21"/>
        </w:rPr>
        <w:t>（7）接投诉电话并查实每次扣1分。</w:t>
      </w:r>
    </w:p>
    <w:p w14:paraId="11A72D54">
      <w:pPr>
        <w:keepNext w:val="0"/>
        <w:keepLines w:val="0"/>
        <w:pageBreakBefore w:val="0"/>
        <w:widowControl w:val="0"/>
        <w:kinsoku/>
        <w:wordWrap/>
        <w:overflowPunct/>
        <w:topLinePunct w:val="0"/>
        <w:autoSpaceDE/>
        <w:autoSpaceDN/>
        <w:bidi w:val="0"/>
        <w:adjustRightInd/>
        <w:snapToGrid w:val="0"/>
        <w:spacing w:before="100" w:beforeAutospacing="1" w:after="100" w:afterAutospacing="1" w:line="396" w:lineRule="auto"/>
        <w:ind w:firstLine="420" w:firstLineChars="200"/>
        <w:contextualSpacing/>
        <w:textAlignment w:val="auto"/>
        <w:rPr>
          <w:rFonts w:hint="eastAsia" w:ascii="仿宋" w:hAnsi="仿宋" w:eastAsia="仿宋" w:cs="仿宋"/>
          <w:color w:val="000000"/>
          <w:szCs w:val="21"/>
        </w:rPr>
      </w:pPr>
      <w:r>
        <w:rPr>
          <w:rFonts w:hint="eastAsia" w:ascii="仿宋" w:hAnsi="仿宋" w:eastAsia="仿宋" w:cs="仿宋"/>
          <w:color w:val="000000"/>
          <w:szCs w:val="21"/>
        </w:rPr>
        <w:t>（8）在本合同辖区内擅自接收单位业务，收取有偿服务费的，按收取费的3-5倍扣罚，并退回一切款项。情况严重的，无条件终止承包合同。</w:t>
      </w:r>
    </w:p>
    <w:p w14:paraId="66360F6C">
      <w:pPr>
        <w:keepNext w:val="0"/>
        <w:keepLines w:val="0"/>
        <w:pageBreakBefore w:val="0"/>
        <w:widowControl w:val="0"/>
        <w:kinsoku/>
        <w:wordWrap/>
        <w:overflowPunct/>
        <w:topLinePunct w:val="0"/>
        <w:autoSpaceDE/>
        <w:autoSpaceDN/>
        <w:bidi w:val="0"/>
        <w:adjustRightInd/>
        <w:snapToGrid w:val="0"/>
        <w:spacing w:before="100" w:beforeAutospacing="1" w:after="100" w:afterAutospacing="1" w:line="396" w:lineRule="auto"/>
        <w:ind w:firstLine="420" w:firstLineChars="200"/>
        <w:contextualSpacing/>
        <w:textAlignment w:val="auto"/>
        <w:rPr>
          <w:rFonts w:hint="eastAsia" w:ascii="仿宋" w:hAnsi="仿宋" w:eastAsia="仿宋" w:cs="仿宋"/>
          <w:color w:val="000000"/>
          <w:szCs w:val="21"/>
        </w:rPr>
      </w:pPr>
      <w:r>
        <w:rPr>
          <w:rFonts w:hint="eastAsia" w:ascii="仿宋" w:hAnsi="仿宋" w:eastAsia="仿宋" w:cs="仿宋"/>
          <w:color w:val="000000"/>
          <w:szCs w:val="21"/>
        </w:rPr>
        <w:t>（9）没按指定地点（垃圾中转站）倾倒垃圾，每次扣1分。</w:t>
      </w:r>
    </w:p>
    <w:p w14:paraId="7F96097A">
      <w:pPr>
        <w:keepNext w:val="0"/>
        <w:keepLines w:val="0"/>
        <w:pageBreakBefore w:val="0"/>
        <w:widowControl w:val="0"/>
        <w:kinsoku/>
        <w:wordWrap/>
        <w:overflowPunct/>
        <w:topLinePunct w:val="0"/>
        <w:autoSpaceDE/>
        <w:autoSpaceDN/>
        <w:bidi w:val="0"/>
        <w:adjustRightInd/>
        <w:snapToGrid w:val="0"/>
        <w:spacing w:before="100" w:beforeAutospacing="1" w:after="100" w:afterAutospacing="1" w:line="396" w:lineRule="auto"/>
        <w:ind w:firstLine="420" w:firstLineChars="200"/>
        <w:contextualSpacing/>
        <w:textAlignment w:val="auto"/>
        <w:rPr>
          <w:rFonts w:hint="eastAsia" w:ascii="仿宋" w:hAnsi="仿宋" w:eastAsia="仿宋" w:cs="仿宋"/>
          <w:color w:val="000000"/>
          <w:szCs w:val="21"/>
        </w:rPr>
      </w:pPr>
      <w:r>
        <w:rPr>
          <w:rFonts w:hint="eastAsia" w:ascii="仿宋" w:hAnsi="仿宋" w:eastAsia="仿宋" w:cs="仿宋"/>
          <w:color w:val="000000"/>
          <w:szCs w:val="21"/>
        </w:rPr>
        <w:t>（10）将泥土、垃圾、铲草扫入河面或倒入绿化带灌木丛、树根部，擅自拍打黄树叶等每次扣1分。</w:t>
      </w:r>
    </w:p>
    <w:p w14:paraId="1D347701">
      <w:pPr>
        <w:keepNext w:val="0"/>
        <w:keepLines w:val="0"/>
        <w:pageBreakBefore w:val="0"/>
        <w:widowControl w:val="0"/>
        <w:kinsoku/>
        <w:wordWrap/>
        <w:overflowPunct/>
        <w:topLinePunct w:val="0"/>
        <w:autoSpaceDE/>
        <w:autoSpaceDN/>
        <w:bidi w:val="0"/>
        <w:adjustRightInd/>
        <w:snapToGrid w:val="0"/>
        <w:spacing w:before="100" w:beforeAutospacing="1" w:after="100" w:afterAutospacing="1" w:line="396" w:lineRule="auto"/>
        <w:ind w:firstLine="420" w:firstLineChars="200"/>
        <w:contextualSpacing/>
        <w:textAlignment w:val="auto"/>
        <w:rPr>
          <w:rFonts w:hint="eastAsia" w:ascii="仿宋" w:hAnsi="仿宋" w:eastAsia="仿宋" w:cs="仿宋"/>
          <w:color w:val="000000"/>
          <w:szCs w:val="21"/>
        </w:rPr>
      </w:pPr>
      <w:r>
        <w:rPr>
          <w:rFonts w:hint="eastAsia" w:ascii="仿宋" w:hAnsi="仿宋" w:eastAsia="仿宋" w:cs="仿宋"/>
          <w:color w:val="000000"/>
          <w:szCs w:val="21"/>
        </w:rPr>
        <w:t>（11）路面堆放垃圾没及时收集3处以上，每处扣0.5分。</w:t>
      </w:r>
    </w:p>
    <w:p w14:paraId="5E232998">
      <w:pPr>
        <w:keepNext w:val="0"/>
        <w:keepLines w:val="0"/>
        <w:pageBreakBefore w:val="0"/>
        <w:widowControl w:val="0"/>
        <w:kinsoku/>
        <w:wordWrap/>
        <w:overflowPunct/>
        <w:topLinePunct w:val="0"/>
        <w:autoSpaceDE/>
        <w:autoSpaceDN/>
        <w:bidi w:val="0"/>
        <w:adjustRightInd/>
        <w:snapToGrid w:val="0"/>
        <w:spacing w:before="100" w:beforeAutospacing="1" w:after="100" w:afterAutospacing="1" w:line="396" w:lineRule="auto"/>
        <w:ind w:firstLine="420" w:firstLineChars="200"/>
        <w:contextualSpacing/>
        <w:textAlignment w:val="auto"/>
        <w:rPr>
          <w:rFonts w:hint="eastAsia" w:ascii="仿宋" w:hAnsi="仿宋" w:eastAsia="仿宋" w:cs="仿宋"/>
          <w:color w:val="000000"/>
          <w:szCs w:val="21"/>
        </w:rPr>
      </w:pPr>
      <w:r>
        <w:rPr>
          <w:rFonts w:hint="eastAsia" w:ascii="仿宋" w:hAnsi="仿宋" w:eastAsia="仿宋" w:cs="仿宋"/>
          <w:color w:val="000000"/>
          <w:szCs w:val="21"/>
        </w:rPr>
        <w:t>（12）工作时间穿拖鞋或光脚、光膀子，每人次扣1分。</w:t>
      </w:r>
    </w:p>
    <w:p w14:paraId="1E6F79AA">
      <w:pPr>
        <w:keepNext w:val="0"/>
        <w:keepLines w:val="0"/>
        <w:pageBreakBefore w:val="0"/>
        <w:widowControl w:val="0"/>
        <w:kinsoku/>
        <w:wordWrap/>
        <w:overflowPunct/>
        <w:topLinePunct w:val="0"/>
        <w:autoSpaceDE/>
        <w:autoSpaceDN/>
        <w:bidi w:val="0"/>
        <w:adjustRightInd/>
        <w:snapToGrid w:val="0"/>
        <w:spacing w:before="100" w:beforeAutospacing="1" w:after="100" w:afterAutospacing="1" w:line="396" w:lineRule="auto"/>
        <w:ind w:firstLine="420" w:firstLineChars="200"/>
        <w:contextualSpacing/>
        <w:textAlignment w:val="auto"/>
        <w:rPr>
          <w:rFonts w:hint="eastAsia" w:ascii="仿宋" w:hAnsi="仿宋" w:eastAsia="仿宋" w:cs="仿宋"/>
          <w:color w:val="000000"/>
          <w:szCs w:val="21"/>
        </w:rPr>
      </w:pPr>
      <w:r>
        <w:rPr>
          <w:rFonts w:hint="eastAsia" w:ascii="仿宋" w:hAnsi="仿宋" w:eastAsia="仿宋" w:cs="仿宋"/>
          <w:color w:val="000000"/>
          <w:szCs w:val="21"/>
        </w:rPr>
        <w:t>（13）保洁管理工作不善，引起市民投诉1次扣2分，媒体曝光1次扣10分。</w:t>
      </w:r>
    </w:p>
    <w:p w14:paraId="4B6829C6">
      <w:pPr>
        <w:keepNext w:val="0"/>
        <w:keepLines w:val="0"/>
        <w:pageBreakBefore w:val="0"/>
        <w:widowControl w:val="0"/>
        <w:kinsoku/>
        <w:wordWrap/>
        <w:overflowPunct/>
        <w:topLinePunct w:val="0"/>
        <w:autoSpaceDE/>
        <w:autoSpaceDN/>
        <w:bidi w:val="0"/>
        <w:adjustRightInd/>
        <w:snapToGrid w:val="0"/>
        <w:spacing w:before="100" w:beforeAutospacing="1" w:after="100" w:afterAutospacing="1" w:line="396" w:lineRule="auto"/>
        <w:ind w:firstLine="420" w:firstLineChars="200"/>
        <w:contextualSpacing/>
        <w:textAlignment w:val="auto"/>
        <w:rPr>
          <w:rFonts w:hint="eastAsia" w:ascii="仿宋" w:hAnsi="仿宋" w:eastAsia="仿宋" w:cs="仿宋"/>
          <w:color w:val="000000"/>
          <w:szCs w:val="21"/>
        </w:rPr>
      </w:pPr>
      <w:r>
        <w:rPr>
          <w:rFonts w:hint="eastAsia" w:ascii="仿宋" w:hAnsi="仿宋" w:eastAsia="仿宋" w:cs="仿宋"/>
          <w:color w:val="000000"/>
          <w:szCs w:val="21"/>
        </w:rPr>
        <w:t>（14）不积极配合水利局组织的突击检查和创建活动的，发现一次扣2分。</w:t>
      </w:r>
    </w:p>
    <w:p w14:paraId="7ECFE8E5">
      <w:pPr>
        <w:keepNext w:val="0"/>
        <w:keepLines w:val="0"/>
        <w:pageBreakBefore w:val="0"/>
        <w:widowControl w:val="0"/>
        <w:kinsoku/>
        <w:wordWrap/>
        <w:overflowPunct/>
        <w:topLinePunct w:val="0"/>
        <w:autoSpaceDE/>
        <w:autoSpaceDN/>
        <w:bidi w:val="0"/>
        <w:adjustRightInd/>
        <w:snapToGrid w:val="0"/>
        <w:spacing w:before="100" w:beforeAutospacing="1" w:after="100" w:afterAutospacing="1" w:line="396" w:lineRule="auto"/>
        <w:ind w:firstLine="420" w:firstLineChars="200"/>
        <w:contextualSpacing/>
        <w:textAlignment w:val="auto"/>
        <w:rPr>
          <w:rFonts w:hint="eastAsia" w:ascii="仿宋" w:hAnsi="仿宋" w:eastAsia="仿宋" w:cs="仿宋"/>
          <w:color w:val="000000"/>
          <w:szCs w:val="21"/>
        </w:rPr>
      </w:pPr>
      <w:r>
        <w:rPr>
          <w:rFonts w:hint="eastAsia" w:ascii="仿宋" w:hAnsi="仿宋" w:eastAsia="仿宋" w:cs="仿宋"/>
          <w:color w:val="000000"/>
          <w:szCs w:val="21"/>
        </w:rPr>
        <w:t>（15）承包方必须为从业人员投保人身意外伤害险，未投保的，每发现一人次扣2分。</w:t>
      </w:r>
    </w:p>
    <w:p w14:paraId="2041A7A4">
      <w:pPr>
        <w:keepNext w:val="0"/>
        <w:keepLines w:val="0"/>
        <w:pageBreakBefore w:val="0"/>
        <w:widowControl w:val="0"/>
        <w:kinsoku/>
        <w:wordWrap/>
        <w:overflowPunct/>
        <w:topLinePunct w:val="0"/>
        <w:autoSpaceDE/>
        <w:autoSpaceDN/>
        <w:bidi w:val="0"/>
        <w:adjustRightInd/>
        <w:snapToGrid w:val="0"/>
        <w:spacing w:before="100" w:beforeAutospacing="1" w:after="100" w:afterAutospacing="1" w:line="396" w:lineRule="auto"/>
        <w:ind w:firstLine="420" w:firstLineChars="200"/>
        <w:contextualSpacing/>
        <w:textAlignment w:val="auto"/>
        <w:rPr>
          <w:rFonts w:hint="eastAsia" w:ascii="仿宋" w:hAnsi="仿宋" w:eastAsia="仿宋" w:cs="仿宋"/>
          <w:b/>
          <w:color w:val="000000"/>
          <w:szCs w:val="21"/>
          <w:lang w:val="zh-CN"/>
        </w:rPr>
      </w:pPr>
      <w:r>
        <w:rPr>
          <w:rFonts w:hint="eastAsia" w:ascii="仿宋" w:hAnsi="仿宋" w:eastAsia="仿宋" w:cs="仿宋"/>
          <w:b/>
          <w:color w:val="000000"/>
          <w:szCs w:val="21"/>
          <w:lang w:val="zh-CN"/>
        </w:rPr>
        <w:t>四、管理制度</w:t>
      </w:r>
    </w:p>
    <w:p w14:paraId="34AF32CF">
      <w:pPr>
        <w:keepNext w:val="0"/>
        <w:keepLines w:val="0"/>
        <w:pageBreakBefore w:val="0"/>
        <w:widowControl w:val="0"/>
        <w:kinsoku/>
        <w:wordWrap/>
        <w:overflowPunct/>
        <w:topLinePunct w:val="0"/>
        <w:autoSpaceDE/>
        <w:autoSpaceDN/>
        <w:bidi w:val="0"/>
        <w:adjustRightInd/>
        <w:snapToGrid w:val="0"/>
        <w:spacing w:before="100" w:beforeAutospacing="1" w:after="100" w:afterAutospacing="1" w:line="396" w:lineRule="auto"/>
        <w:ind w:firstLine="420" w:firstLineChars="200"/>
        <w:contextualSpacing/>
        <w:textAlignment w:val="auto"/>
        <w:rPr>
          <w:rFonts w:hint="eastAsia" w:ascii="仿宋" w:hAnsi="仿宋" w:eastAsia="仿宋" w:cs="仿宋"/>
          <w:color w:val="000000"/>
          <w:szCs w:val="21"/>
          <w:lang w:val="zh-CN"/>
        </w:rPr>
      </w:pPr>
      <w:r>
        <w:rPr>
          <w:rFonts w:hint="eastAsia" w:ascii="仿宋" w:hAnsi="仿宋" w:eastAsia="仿宋" w:cs="仿宋"/>
          <w:color w:val="000000"/>
          <w:szCs w:val="21"/>
          <w:lang w:val="zh-CN"/>
        </w:rPr>
        <w:t>1、河面保洁队伍落实，责任制度落实到位，建立安全生产管理制度，建立保洁管理台帐制度，日常保洁工作正常开展。（1-2分）</w:t>
      </w:r>
    </w:p>
    <w:p w14:paraId="2FE7A7CA">
      <w:pPr>
        <w:keepNext w:val="0"/>
        <w:keepLines w:val="0"/>
        <w:pageBreakBefore w:val="0"/>
        <w:widowControl w:val="0"/>
        <w:kinsoku/>
        <w:wordWrap/>
        <w:overflowPunct/>
        <w:topLinePunct w:val="0"/>
        <w:autoSpaceDE/>
        <w:autoSpaceDN/>
        <w:bidi w:val="0"/>
        <w:adjustRightInd/>
        <w:snapToGrid w:val="0"/>
        <w:spacing w:before="100" w:beforeAutospacing="1" w:after="100" w:afterAutospacing="1" w:line="396" w:lineRule="auto"/>
        <w:ind w:firstLine="420" w:firstLineChars="200"/>
        <w:contextualSpacing/>
        <w:textAlignment w:val="auto"/>
        <w:rPr>
          <w:rFonts w:hint="eastAsia" w:ascii="仿宋" w:hAnsi="仿宋" w:eastAsia="仿宋" w:cs="仿宋"/>
          <w:color w:val="000000"/>
          <w:szCs w:val="21"/>
          <w:lang w:val="zh-CN"/>
        </w:rPr>
      </w:pPr>
      <w:r>
        <w:rPr>
          <w:rFonts w:hint="eastAsia" w:ascii="仿宋" w:hAnsi="仿宋" w:eastAsia="仿宋" w:cs="仿宋"/>
          <w:color w:val="000000"/>
          <w:szCs w:val="21"/>
          <w:lang w:val="zh-CN"/>
        </w:rPr>
        <w:t>2、对每天打捞的垃圾数量、垃圾分类登记清楚，建立月台账制度，对动物死尸数量、重量实行日报制度，对其他垃圾重量实行日报制度（以无害化处理厂和垃圾填埋厂数据为准）。（1-6分）</w:t>
      </w:r>
    </w:p>
    <w:p w14:paraId="6742579B">
      <w:pPr>
        <w:keepNext w:val="0"/>
        <w:keepLines w:val="0"/>
        <w:pageBreakBefore w:val="0"/>
        <w:widowControl w:val="0"/>
        <w:kinsoku/>
        <w:wordWrap/>
        <w:overflowPunct/>
        <w:topLinePunct w:val="0"/>
        <w:autoSpaceDE/>
        <w:autoSpaceDN/>
        <w:bidi w:val="0"/>
        <w:adjustRightInd/>
        <w:snapToGrid w:val="0"/>
        <w:spacing w:before="100" w:beforeAutospacing="1" w:after="100" w:afterAutospacing="1" w:line="396" w:lineRule="auto"/>
        <w:ind w:firstLine="420" w:firstLineChars="200"/>
        <w:contextualSpacing/>
        <w:textAlignment w:val="auto"/>
        <w:rPr>
          <w:rFonts w:hint="eastAsia" w:ascii="仿宋" w:hAnsi="仿宋" w:eastAsia="仿宋" w:cs="仿宋"/>
          <w:color w:val="000000"/>
          <w:szCs w:val="21"/>
          <w:lang w:val="zh-CN"/>
        </w:rPr>
      </w:pPr>
      <w:r>
        <w:rPr>
          <w:rFonts w:hint="eastAsia" w:ascii="仿宋" w:hAnsi="仿宋" w:eastAsia="仿宋" w:cs="仿宋"/>
          <w:color w:val="000000"/>
          <w:szCs w:val="21"/>
          <w:lang w:val="zh-CN"/>
        </w:rPr>
        <w:t>3、无台账记录每项扣1分（台帐包括保洁队伍组织、责任制度、安全生产制度、保洁台账、动物死尸及垃圾清运回执）。台账报送不及时扣1分，未按规定落实的每项扣1分。</w:t>
      </w:r>
    </w:p>
    <w:p w14:paraId="25458685">
      <w:pPr>
        <w:keepNext w:val="0"/>
        <w:keepLines w:val="0"/>
        <w:pageBreakBefore w:val="0"/>
        <w:widowControl w:val="0"/>
        <w:kinsoku/>
        <w:wordWrap/>
        <w:overflowPunct/>
        <w:topLinePunct w:val="0"/>
        <w:autoSpaceDE/>
        <w:autoSpaceDN/>
        <w:bidi w:val="0"/>
        <w:adjustRightInd/>
        <w:snapToGrid w:val="0"/>
        <w:spacing w:before="100" w:beforeAutospacing="1" w:after="100" w:afterAutospacing="1" w:line="396" w:lineRule="auto"/>
        <w:ind w:firstLine="420" w:firstLineChars="200"/>
        <w:contextualSpacing/>
        <w:textAlignment w:val="auto"/>
        <w:rPr>
          <w:rFonts w:hint="eastAsia" w:ascii="仿宋" w:hAnsi="仿宋" w:eastAsia="仿宋" w:cs="仿宋"/>
          <w:b/>
          <w:color w:val="auto"/>
          <w:szCs w:val="21"/>
          <w:highlight w:val="none"/>
          <w:lang w:val="zh-CN"/>
        </w:rPr>
      </w:pPr>
      <w:r>
        <w:rPr>
          <w:rFonts w:hint="eastAsia" w:ascii="仿宋" w:hAnsi="仿宋" w:eastAsia="仿宋" w:cs="仿宋"/>
          <w:b/>
          <w:color w:val="000000"/>
          <w:szCs w:val="21"/>
          <w:lang w:val="zh-CN"/>
        </w:rPr>
        <w:t>五、处</w:t>
      </w:r>
      <w:r>
        <w:rPr>
          <w:rFonts w:hint="eastAsia" w:ascii="仿宋" w:hAnsi="仿宋" w:eastAsia="仿宋" w:cs="仿宋"/>
          <w:b/>
          <w:color w:val="auto"/>
          <w:szCs w:val="21"/>
          <w:highlight w:val="none"/>
          <w:lang w:val="zh-CN"/>
        </w:rPr>
        <w:t>罚与奖励：</w:t>
      </w:r>
    </w:p>
    <w:p w14:paraId="2D419D2C">
      <w:pPr>
        <w:keepNext w:val="0"/>
        <w:keepLines w:val="0"/>
        <w:pageBreakBefore w:val="0"/>
        <w:widowControl w:val="0"/>
        <w:kinsoku/>
        <w:wordWrap/>
        <w:overflowPunct/>
        <w:topLinePunct w:val="0"/>
        <w:autoSpaceDE/>
        <w:autoSpaceDN/>
        <w:bidi w:val="0"/>
        <w:adjustRightInd/>
        <w:snapToGrid w:val="0"/>
        <w:spacing w:before="100" w:beforeAutospacing="1" w:after="100" w:afterAutospacing="1" w:line="396" w:lineRule="auto"/>
        <w:ind w:firstLine="420" w:firstLineChars="200"/>
        <w:contextualSpacing/>
        <w:textAlignment w:val="auto"/>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1、甲方采用不定期对各项保洁工作进行检查。考核以一个月为周期，每月总分为10</w:t>
      </w:r>
      <w:r>
        <w:rPr>
          <w:rFonts w:hint="eastAsia" w:ascii="仿宋" w:hAnsi="仿宋" w:eastAsia="仿宋" w:cs="仿宋"/>
          <w:color w:val="auto"/>
          <w:szCs w:val="21"/>
          <w:highlight w:val="none"/>
          <w:lang w:val="en-US" w:eastAsia="zh-CN"/>
        </w:rPr>
        <w:t>0</w:t>
      </w:r>
      <w:r>
        <w:rPr>
          <w:rFonts w:hint="eastAsia" w:ascii="仿宋" w:hAnsi="仿宋" w:eastAsia="仿宋" w:cs="仿宋"/>
          <w:color w:val="auto"/>
          <w:szCs w:val="21"/>
          <w:highlight w:val="none"/>
          <w:lang w:val="zh-CN"/>
        </w:rPr>
        <w:t>0分，下个月重新记分，每扣1分，处罚金额为中标价÷24÷1000。</w:t>
      </w:r>
    </w:p>
    <w:p w14:paraId="6990483E">
      <w:pPr>
        <w:keepNext w:val="0"/>
        <w:keepLines w:val="0"/>
        <w:pageBreakBefore w:val="0"/>
        <w:widowControl w:val="0"/>
        <w:kinsoku/>
        <w:wordWrap/>
        <w:overflowPunct/>
        <w:topLinePunct w:val="0"/>
        <w:autoSpaceDE/>
        <w:autoSpaceDN/>
        <w:bidi w:val="0"/>
        <w:adjustRightInd/>
        <w:snapToGrid w:val="0"/>
        <w:spacing w:before="100" w:beforeAutospacing="1" w:after="100" w:afterAutospacing="1" w:line="396" w:lineRule="auto"/>
        <w:ind w:firstLine="420" w:firstLineChars="200"/>
        <w:contextualSpacing/>
        <w:textAlignment w:val="auto"/>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2、年度累计三个月单月扣300分及以上的或单月扣分达500分以上的，甲方可单方解除合同，并建议主管部门给予行业通报。则甲方可单方终止合同，并赔偿由此给甲方带来的损失，依次类推。</w:t>
      </w:r>
    </w:p>
    <w:p w14:paraId="1FCEB16D">
      <w:pPr>
        <w:keepNext w:val="0"/>
        <w:keepLines w:val="0"/>
        <w:pageBreakBefore w:val="0"/>
        <w:widowControl w:val="0"/>
        <w:kinsoku/>
        <w:wordWrap/>
        <w:overflowPunct/>
        <w:topLinePunct w:val="0"/>
        <w:autoSpaceDE/>
        <w:autoSpaceDN/>
        <w:bidi w:val="0"/>
        <w:adjustRightInd/>
        <w:snapToGrid w:val="0"/>
        <w:spacing w:before="100" w:beforeAutospacing="1" w:after="100" w:afterAutospacing="1" w:line="396" w:lineRule="auto"/>
        <w:ind w:firstLine="420" w:firstLineChars="200"/>
        <w:contextualSpacing/>
        <w:textAlignment w:val="auto"/>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3、对常山港管理范围内水（渔）事违法行为积极举报并制止，甲方证实后每次加2分；</w:t>
      </w:r>
    </w:p>
    <w:p w14:paraId="204904D0">
      <w:pPr>
        <w:keepNext w:val="0"/>
        <w:keepLines w:val="0"/>
        <w:pageBreakBefore w:val="0"/>
        <w:widowControl w:val="0"/>
        <w:kinsoku/>
        <w:wordWrap/>
        <w:overflowPunct/>
        <w:topLinePunct w:val="0"/>
        <w:autoSpaceDE/>
        <w:autoSpaceDN/>
        <w:bidi w:val="0"/>
        <w:adjustRightInd/>
        <w:snapToGrid w:val="0"/>
        <w:spacing w:before="100" w:beforeAutospacing="1" w:after="100" w:afterAutospacing="1" w:line="396" w:lineRule="auto"/>
        <w:ind w:firstLine="420" w:firstLineChars="200"/>
        <w:contextualSpacing/>
        <w:textAlignment w:val="auto"/>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4、一年内累计两次因保洁不到位被新闻媒体曝光的，取消下一轮的投标资格。</w:t>
      </w:r>
    </w:p>
    <w:p w14:paraId="74F658A8">
      <w:pPr>
        <w:keepNext w:val="0"/>
        <w:keepLines w:val="0"/>
        <w:pageBreakBefore w:val="0"/>
        <w:widowControl w:val="0"/>
        <w:kinsoku/>
        <w:wordWrap/>
        <w:overflowPunct/>
        <w:topLinePunct w:val="0"/>
        <w:autoSpaceDE/>
        <w:autoSpaceDN/>
        <w:bidi w:val="0"/>
        <w:adjustRightInd/>
        <w:snapToGrid w:val="0"/>
        <w:spacing w:before="100" w:beforeAutospacing="1" w:after="100" w:afterAutospacing="1" w:line="396" w:lineRule="auto"/>
        <w:ind w:firstLine="404" w:firstLineChars="200"/>
        <w:contextualSpacing/>
        <w:textAlignment w:val="auto"/>
        <w:rPr>
          <w:rFonts w:hint="eastAsia" w:ascii="仿宋" w:hAnsi="仿宋" w:eastAsia="仿宋" w:cs="仿宋"/>
          <w:color w:val="auto"/>
          <w:spacing w:val="-4"/>
          <w:szCs w:val="21"/>
          <w:highlight w:val="none"/>
          <w:lang w:val="zh-CN"/>
        </w:rPr>
      </w:pPr>
      <w:r>
        <w:rPr>
          <w:rFonts w:hint="eastAsia" w:ascii="仿宋" w:hAnsi="仿宋" w:eastAsia="仿宋" w:cs="仿宋"/>
          <w:color w:val="auto"/>
          <w:spacing w:val="-4"/>
          <w:szCs w:val="21"/>
          <w:highlight w:val="none"/>
          <w:lang w:val="zh-CN"/>
        </w:rPr>
        <w:t>5、</w:t>
      </w:r>
      <w:r>
        <w:rPr>
          <w:rFonts w:hint="eastAsia" w:ascii="仿宋" w:hAnsi="仿宋" w:eastAsia="仿宋" w:cs="仿宋"/>
          <w:color w:val="auto"/>
          <w:szCs w:val="21"/>
          <w:highlight w:val="none"/>
          <w:lang w:val="zh-CN"/>
        </w:rPr>
        <w:t>承包期间出现重大安全责任事故的，取消下一轮的投标资格。</w:t>
      </w:r>
    </w:p>
    <w:p w14:paraId="37FEA850">
      <w:pPr>
        <w:keepNext w:val="0"/>
        <w:keepLines w:val="0"/>
        <w:pageBreakBefore w:val="0"/>
        <w:widowControl w:val="0"/>
        <w:kinsoku/>
        <w:wordWrap/>
        <w:overflowPunct/>
        <w:topLinePunct w:val="0"/>
        <w:autoSpaceDE/>
        <w:autoSpaceDN/>
        <w:bidi w:val="0"/>
        <w:adjustRightInd/>
        <w:snapToGrid w:val="0"/>
        <w:spacing w:before="100" w:beforeAutospacing="1" w:after="100" w:afterAutospacing="1" w:line="396" w:lineRule="auto"/>
        <w:ind w:firstLine="420" w:firstLineChars="200"/>
        <w:contextualSpacing/>
        <w:textAlignment w:val="auto"/>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6、提供虚假资料证书等经核实查证的。</w:t>
      </w:r>
    </w:p>
    <w:p w14:paraId="3EDE68C6">
      <w:pPr>
        <w:keepNext w:val="0"/>
        <w:keepLines w:val="0"/>
        <w:pageBreakBefore w:val="0"/>
        <w:widowControl w:val="0"/>
        <w:kinsoku/>
        <w:wordWrap/>
        <w:overflowPunct/>
        <w:topLinePunct w:val="0"/>
        <w:autoSpaceDE/>
        <w:autoSpaceDN/>
        <w:bidi w:val="0"/>
        <w:adjustRightInd/>
        <w:snapToGrid w:val="0"/>
        <w:spacing w:before="100" w:beforeAutospacing="1" w:after="100" w:afterAutospacing="1" w:line="396" w:lineRule="auto"/>
        <w:ind w:firstLine="420" w:firstLineChars="200"/>
        <w:contextualSpacing/>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zh-CN"/>
        </w:rPr>
        <w:t>本办法最终解释权归</w:t>
      </w:r>
      <w:r>
        <w:rPr>
          <w:rFonts w:hint="eastAsia" w:ascii="仿宋" w:hAnsi="仿宋" w:eastAsia="仿宋" w:cs="仿宋"/>
          <w:color w:val="auto"/>
          <w:szCs w:val="21"/>
          <w:highlight w:val="none"/>
          <w:lang w:val="zh-CN" w:eastAsia="zh-CN"/>
        </w:rPr>
        <w:t>常山县林业水利局</w:t>
      </w:r>
      <w:r>
        <w:rPr>
          <w:rFonts w:hint="eastAsia" w:ascii="仿宋" w:hAnsi="仿宋" w:eastAsia="仿宋" w:cs="仿宋"/>
          <w:color w:val="auto"/>
          <w:szCs w:val="21"/>
          <w:highlight w:val="none"/>
          <w:lang w:val="zh-CN"/>
        </w:rPr>
        <w:t>。</w:t>
      </w:r>
    </w:p>
    <w:p w14:paraId="6A8CF084">
      <w:pPr>
        <w:pStyle w:val="42"/>
        <w:rPr>
          <w:rFonts w:hint="eastAsia"/>
          <w:lang w:eastAsia="zh-CN"/>
        </w:rPr>
      </w:pPr>
    </w:p>
    <w:p w14:paraId="0673BDF3">
      <w:pPr>
        <w:pStyle w:val="47"/>
        <w:spacing w:line="360" w:lineRule="auto"/>
        <w:outlineLvl w:val="0"/>
        <w:rPr>
          <w:rFonts w:hint="eastAsia" w:ascii="仿宋" w:hAnsi="仿宋" w:eastAsia="仿宋" w:cs="仿宋"/>
          <w:color w:val="auto"/>
          <w:sz w:val="18"/>
          <w:szCs w:val="18"/>
          <w:lang w:val="zh-CN" w:eastAsia="zh-CN"/>
        </w:rPr>
      </w:pPr>
      <w:r>
        <w:rPr>
          <w:rFonts w:hint="eastAsia" w:ascii="仿宋" w:hAnsi="仿宋" w:eastAsia="仿宋" w:cs="仿宋"/>
          <w:b w:val="0"/>
          <w:bCs w:val="0"/>
          <w:color w:val="auto"/>
          <w:sz w:val="32"/>
          <w:szCs w:val="32"/>
        </w:rPr>
        <w:br w:type="page"/>
      </w:r>
      <w:bookmarkStart w:id="51" w:name="_Toc6135"/>
      <w:r>
        <w:rPr>
          <w:rFonts w:hint="eastAsia" w:ascii="仿宋" w:hAnsi="仿宋" w:eastAsia="仿宋" w:cs="仿宋"/>
          <w:color w:val="auto"/>
          <w:sz w:val="30"/>
          <w:szCs w:val="30"/>
          <w:lang w:val="zh-CN" w:eastAsia="zh-CN"/>
        </w:rPr>
        <w:t>第五章  评标办法及评分标准</w:t>
      </w:r>
      <w:bookmarkEnd w:id="36"/>
      <w:bookmarkEnd w:id="51"/>
    </w:p>
    <w:p w14:paraId="3FBE58DE">
      <w:pPr>
        <w:keepNext w:val="0"/>
        <w:keepLines w:val="0"/>
        <w:pageBreakBefore w:val="0"/>
        <w:kinsoku/>
        <w:wordWrap/>
        <w:overflowPunct/>
        <w:topLinePunct w:val="0"/>
        <w:bidi w:val="0"/>
        <w:snapToGrid/>
        <w:spacing w:line="300" w:lineRule="auto"/>
        <w:ind w:firstLine="420" w:firstLineChars="200"/>
        <w:rPr>
          <w:rFonts w:hint="eastAsia" w:ascii="仿宋" w:hAnsi="仿宋" w:eastAsia="仿宋" w:cs="仿宋"/>
          <w:b/>
          <w:color w:val="auto"/>
          <w:szCs w:val="21"/>
        </w:rPr>
      </w:pPr>
      <w:r>
        <w:rPr>
          <w:rFonts w:hint="eastAsia" w:ascii="仿宋" w:hAnsi="仿宋" w:eastAsia="仿宋" w:cs="仿宋"/>
          <w:b/>
          <w:color w:val="auto"/>
          <w:szCs w:val="21"/>
        </w:rPr>
        <w:t>一、评标原则</w:t>
      </w:r>
    </w:p>
    <w:p w14:paraId="318AF823">
      <w:pPr>
        <w:pStyle w:val="165"/>
        <w:widowControl/>
        <w:snapToGrid w:val="0"/>
        <w:spacing w:beforeLines="0" w:line="360" w:lineRule="auto"/>
        <w:jc w:val="left"/>
        <w:rPr>
          <w:rFonts w:hint="eastAsia" w:ascii="仿宋" w:hAnsi="仿宋" w:eastAsia="仿宋" w:cs="仿宋"/>
          <w:color w:val="auto"/>
          <w:szCs w:val="21"/>
        </w:rPr>
      </w:pPr>
      <w:r>
        <w:rPr>
          <w:rFonts w:hint="eastAsia" w:ascii="仿宋" w:hAnsi="仿宋" w:eastAsia="仿宋" w:cs="仿宋"/>
          <w:color w:val="auto"/>
          <w:szCs w:val="21"/>
        </w:rPr>
        <w:t>评标工作遵循公平、公正、科学、</w:t>
      </w:r>
      <w:r>
        <w:rPr>
          <w:rFonts w:hint="eastAsia" w:ascii="仿宋" w:hAnsi="仿宋" w:eastAsia="仿宋" w:cs="仿宋"/>
          <w:b w:val="0"/>
          <w:bCs w:val="0"/>
          <w:color w:val="auto"/>
          <w:sz w:val="21"/>
          <w:szCs w:val="21"/>
          <w:highlight w:val="none"/>
          <w:lang w:val="en-US" w:eastAsia="zh-CN"/>
        </w:rPr>
        <w:t>择优</w:t>
      </w:r>
      <w:r>
        <w:rPr>
          <w:rFonts w:hint="eastAsia" w:ascii="仿宋" w:hAnsi="仿宋" w:eastAsia="仿宋" w:cs="仿宋"/>
          <w:color w:val="auto"/>
          <w:szCs w:val="21"/>
        </w:rPr>
        <w:t>原则和诚实、信誉、效率的原则。本着科学、严谨的态度，认真进行评标。择优选用，推进技术进步，确保货物（服务）质量、按期交货（完工），节约投资，最大限度的保护当事人权益。严格按照采购文件的商务、技术要求，对投标文件进行综合评定，提出优选方案，编写评标报告。对落标单位，评标委员会不做任何落标解释。投标人不得以任何方式干扰招投标工作的进行，一经发现其投标文件将被拒绝。</w:t>
      </w:r>
    </w:p>
    <w:p w14:paraId="42CC4030">
      <w:pPr>
        <w:keepNext w:val="0"/>
        <w:keepLines w:val="0"/>
        <w:pageBreakBefore w:val="0"/>
        <w:kinsoku/>
        <w:wordWrap/>
        <w:overflowPunct/>
        <w:topLinePunct w:val="0"/>
        <w:bidi w:val="0"/>
        <w:snapToGrid/>
        <w:spacing w:line="300" w:lineRule="auto"/>
        <w:ind w:firstLine="420" w:firstLineChars="200"/>
        <w:rPr>
          <w:rFonts w:hint="eastAsia" w:ascii="仿宋" w:hAnsi="仿宋" w:eastAsia="仿宋" w:cs="仿宋"/>
          <w:b/>
          <w:color w:val="auto"/>
          <w:szCs w:val="21"/>
        </w:rPr>
      </w:pPr>
      <w:r>
        <w:rPr>
          <w:rFonts w:hint="eastAsia" w:ascii="仿宋" w:hAnsi="仿宋" w:eastAsia="仿宋" w:cs="仿宋"/>
          <w:b/>
          <w:color w:val="auto"/>
          <w:szCs w:val="21"/>
        </w:rPr>
        <w:t>二、评标组织</w:t>
      </w:r>
    </w:p>
    <w:p w14:paraId="26940940">
      <w:pPr>
        <w:pStyle w:val="165"/>
        <w:widowControl/>
        <w:snapToGrid w:val="0"/>
        <w:spacing w:beforeLines="0" w:line="360" w:lineRule="auto"/>
        <w:jc w:val="left"/>
        <w:rPr>
          <w:rFonts w:hint="eastAsia" w:ascii="仿宋" w:hAnsi="仿宋" w:eastAsia="仿宋" w:cs="仿宋"/>
          <w:color w:val="auto"/>
          <w:szCs w:val="21"/>
        </w:rPr>
      </w:pPr>
      <w:r>
        <w:rPr>
          <w:rFonts w:hint="eastAsia" w:ascii="仿宋" w:hAnsi="仿宋" w:eastAsia="仿宋" w:cs="仿宋"/>
          <w:color w:val="auto"/>
          <w:szCs w:val="21"/>
        </w:rPr>
        <w:t>评标委员会</w:t>
      </w:r>
      <w:r>
        <w:rPr>
          <w:rFonts w:hint="eastAsia" w:ascii="仿宋" w:hAnsi="仿宋" w:eastAsia="仿宋" w:cs="仿宋"/>
          <w:color w:val="auto"/>
          <w:szCs w:val="21"/>
          <w:lang w:eastAsia="zh-CN"/>
        </w:rPr>
        <w:t>共</w:t>
      </w:r>
      <w:r>
        <w:rPr>
          <w:rFonts w:hint="eastAsia" w:ascii="仿宋" w:hAnsi="仿宋" w:eastAsia="仿宋" w:cs="仿宋"/>
          <w:color w:val="auto"/>
          <w:szCs w:val="21"/>
          <w:lang w:val="en-US" w:eastAsia="zh-CN"/>
        </w:rPr>
        <w:t>5名，</w:t>
      </w:r>
      <w:r>
        <w:rPr>
          <w:rFonts w:hint="eastAsia" w:ascii="仿宋" w:hAnsi="仿宋" w:eastAsia="仿宋" w:cs="仿宋"/>
          <w:color w:val="auto"/>
          <w:szCs w:val="21"/>
        </w:rPr>
        <w:t>由1名采购人</w:t>
      </w:r>
      <w:r>
        <w:rPr>
          <w:rFonts w:hint="eastAsia" w:ascii="仿宋" w:hAnsi="仿宋" w:eastAsia="仿宋" w:cs="仿宋"/>
          <w:b w:val="0"/>
          <w:bCs w:val="0"/>
          <w:color w:val="auto"/>
          <w:sz w:val="21"/>
          <w:szCs w:val="21"/>
          <w:highlight w:val="none"/>
          <w:lang w:val="en-US" w:eastAsia="zh-CN"/>
        </w:rPr>
        <w:t>代表</w:t>
      </w:r>
      <w:r>
        <w:rPr>
          <w:rFonts w:hint="eastAsia" w:ascii="仿宋" w:hAnsi="仿宋" w:eastAsia="仿宋" w:cs="仿宋"/>
          <w:color w:val="auto"/>
          <w:szCs w:val="21"/>
        </w:rPr>
        <w:t>和4名随机抽取的技术、经济等方面的专家组成。评标委员会负责对投标文件进行审查、质疑、评估和比较。询标（如有）时投标人必须在线或在场，负责解答有关事宜，否则事后不得对采购过程及结果提出异议。</w:t>
      </w:r>
    </w:p>
    <w:p w14:paraId="37784CDB">
      <w:pPr>
        <w:keepNext w:val="0"/>
        <w:keepLines w:val="0"/>
        <w:pageBreakBefore w:val="0"/>
        <w:kinsoku/>
        <w:wordWrap/>
        <w:overflowPunct/>
        <w:topLinePunct w:val="0"/>
        <w:bidi w:val="0"/>
        <w:snapToGrid/>
        <w:spacing w:line="300" w:lineRule="auto"/>
        <w:ind w:firstLine="420" w:firstLineChars="200"/>
        <w:rPr>
          <w:rFonts w:hint="eastAsia" w:ascii="仿宋" w:hAnsi="仿宋" w:eastAsia="仿宋" w:cs="仿宋"/>
          <w:b/>
          <w:color w:val="auto"/>
          <w:szCs w:val="21"/>
        </w:rPr>
      </w:pPr>
      <w:r>
        <w:rPr>
          <w:rFonts w:hint="eastAsia" w:ascii="仿宋" w:hAnsi="仿宋" w:eastAsia="仿宋" w:cs="仿宋"/>
          <w:b/>
          <w:color w:val="auto"/>
          <w:szCs w:val="21"/>
        </w:rPr>
        <w:t>三、评标程序</w:t>
      </w:r>
    </w:p>
    <w:p w14:paraId="6ABB84AC">
      <w:pPr>
        <w:pStyle w:val="165"/>
        <w:widowControl/>
        <w:snapToGrid w:val="0"/>
        <w:spacing w:beforeLines="0" w:line="360" w:lineRule="auto"/>
        <w:jc w:val="left"/>
        <w:rPr>
          <w:rFonts w:hint="eastAsia" w:ascii="仿宋" w:hAnsi="仿宋" w:eastAsia="仿宋" w:cs="仿宋"/>
          <w:color w:val="auto"/>
          <w:szCs w:val="21"/>
        </w:rPr>
      </w:pPr>
      <w:r>
        <w:rPr>
          <w:rFonts w:hint="eastAsia" w:ascii="仿宋" w:hAnsi="仿宋" w:eastAsia="仿宋" w:cs="仿宋"/>
          <w:color w:val="auto"/>
          <w:szCs w:val="21"/>
        </w:rPr>
        <w:t>评标委员会首先对符合资格条件的</w:t>
      </w:r>
      <w:r>
        <w:rPr>
          <w:rFonts w:hint="eastAsia" w:ascii="仿宋" w:hAnsi="仿宋" w:eastAsia="仿宋" w:cs="仿宋"/>
          <w:b w:val="0"/>
          <w:bCs w:val="0"/>
          <w:color w:val="auto"/>
          <w:sz w:val="21"/>
          <w:szCs w:val="21"/>
          <w:highlight w:val="none"/>
          <w:lang w:val="en-US" w:eastAsia="zh-CN"/>
        </w:rPr>
        <w:t>投标</w:t>
      </w:r>
      <w:r>
        <w:rPr>
          <w:rFonts w:hint="eastAsia" w:ascii="仿宋" w:hAnsi="仿宋" w:eastAsia="仿宋" w:cs="仿宋"/>
          <w:color w:val="auto"/>
          <w:szCs w:val="21"/>
        </w:rPr>
        <w:t>人的投标文件进行符合性审查，以确定其是否满足采购文件的实质性要求；然后按采购文件中规定的评标方法和标准，对符合性审查合格的投标文件进行商务和技术评估；综合比较与评价。商务技术文件评审结束后公布投标人技术资信得分情况，之后开报价文件；对报价文件评审后，根据综合评审结果，推荐中标候选人并提交评审报告。</w:t>
      </w:r>
    </w:p>
    <w:p w14:paraId="0908CE7D">
      <w:pPr>
        <w:keepNext w:val="0"/>
        <w:keepLines w:val="0"/>
        <w:pageBreakBefore w:val="0"/>
        <w:kinsoku/>
        <w:wordWrap/>
        <w:overflowPunct/>
        <w:topLinePunct w:val="0"/>
        <w:bidi w:val="0"/>
        <w:snapToGrid/>
        <w:spacing w:line="300" w:lineRule="auto"/>
        <w:ind w:firstLine="420" w:firstLineChars="200"/>
        <w:rPr>
          <w:rFonts w:hint="eastAsia" w:ascii="仿宋" w:hAnsi="仿宋" w:eastAsia="仿宋" w:cs="仿宋"/>
          <w:b/>
          <w:color w:val="auto"/>
          <w:szCs w:val="21"/>
        </w:rPr>
      </w:pPr>
      <w:r>
        <w:rPr>
          <w:rFonts w:hint="eastAsia" w:ascii="仿宋" w:hAnsi="仿宋" w:eastAsia="仿宋" w:cs="仿宋"/>
          <w:b/>
          <w:color w:val="auto"/>
          <w:szCs w:val="21"/>
        </w:rPr>
        <w:t>四、评标办法</w:t>
      </w:r>
    </w:p>
    <w:p w14:paraId="43F88D51">
      <w:pPr>
        <w:pStyle w:val="165"/>
        <w:widowControl/>
        <w:snapToGrid w:val="0"/>
        <w:spacing w:beforeLines="0" w:line="360" w:lineRule="auto"/>
        <w:jc w:val="left"/>
        <w:rPr>
          <w:rFonts w:hint="eastAsia" w:ascii="仿宋" w:hAnsi="仿宋" w:eastAsia="仿宋" w:cs="仿宋"/>
          <w:color w:val="auto"/>
          <w:szCs w:val="21"/>
        </w:rPr>
      </w:pPr>
      <w:r>
        <w:rPr>
          <w:rFonts w:hint="eastAsia" w:ascii="仿宋" w:hAnsi="仿宋" w:eastAsia="仿宋" w:cs="仿宋"/>
          <w:color w:val="auto"/>
          <w:szCs w:val="21"/>
        </w:rPr>
        <w:t>1.本次招标的评标办法采用百分制综合</w:t>
      </w:r>
      <w:r>
        <w:rPr>
          <w:rFonts w:hint="eastAsia" w:ascii="仿宋" w:hAnsi="仿宋" w:eastAsia="仿宋" w:cs="仿宋"/>
          <w:b w:val="0"/>
          <w:bCs w:val="0"/>
          <w:color w:val="auto"/>
          <w:sz w:val="21"/>
          <w:szCs w:val="21"/>
          <w:highlight w:val="none"/>
          <w:lang w:val="en-US" w:eastAsia="zh-CN"/>
        </w:rPr>
        <w:t>评分</w:t>
      </w:r>
      <w:r>
        <w:rPr>
          <w:rFonts w:hint="eastAsia" w:ascii="仿宋" w:hAnsi="仿宋" w:eastAsia="仿宋" w:cs="仿宋"/>
          <w:color w:val="auto"/>
          <w:szCs w:val="21"/>
        </w:rPr>
        <w:t>法。即以投标人完全响应采购文件设定的全部责任条款为前提，由评标委员会按采购文件中规定的各项因素进行综合评审。根据本项目采购文件要求，按照本办法规定的内容和分值设置，根据</w:t>
      </w:r>
      <w:r>
        <w:rPr>
          <w:rFonts w:hint="eastAsia" w:ascii="仿宋" w:hAnsi="仿宋" w:eastAsia="仿宋" w:cs="仿宋"/>
          <w:bCs/>
          <w:color w:val="auto"/>
          <w:kern w:val="0"/>
          <w:szCs w:val="21"/>
        </w:rPr>
        <w:t>综合得分由高到低排序，推荐</w:t>
      </w:r>
      <w:r>
        <w:rPr>
          <w:rFonts w:hint="eastAsia" w:ascii="仿宋" w:hAnsi="仿宋" w:eastAsia="仿宋" w:cs="仿宋"/>
          <w:color w:val="auto"/>
          <w:szCs w:val="21"/>
        </w:rPr>
        <w:t>中标候选人（计算结果保留两位小数，四舍五入）。</w:t>
      </w:r>
    </w:p>
    <w:p w14:paraId="794F65EE">
      <w:pPr>
        <w:pStyle w:val="165"/>
        <w:widowControl/>
        <w:snapToGrid w:val="0"/>
        <w:spacing w:beforeLines="0" w:line="360" w:lineRule="auto"/>
        <w:jc w:val="left"/>
        <w:rPr>
          <w:rFonts w:hint="eastAsia" w:ascii="仿宋" w:hAnsi="仿宋" w:eastAsia="仿宋" w:cs="仿宋"/>
          <w:color w:val="auto"/>
          <w:szCs w:val="21"/>
        </w:rPr>
      </w:pPr>
      <w:r>
        <w:rPr>
          <w:rFonts w:hint="eastAsia" w:ascii="仿宋" w:hAnsi="仿宋" w:eastAsia="仿宋" w:cs="仿宋"/>
          <w:color w:val="auto"/>
          <w:szCs w:val="21"/>
        </w:rPr>
        <w:t>2.技术资信分的评定由各评委成员按评分细则进行评审打分，每人一张评分表，并记名。投标文件各项评分内容由评标委员会成员各自独立评分；评分时保留小数点后1位小数，计算分值时保留小数点后2位小数，由评标委员会当场统一计算。如某张评分表的一个因素项目超过规定的分值范围，则该张评分表无效。评标委员会成员对投标人各项评分合计数的算术平均值为各投标人技术资信得分，分值计算公式为：评标委员会各成员评分合计数/评标委员会组成人数（结果按四舍五入原则保留2位小数）。</w:t>
      </w:r>
    </w:p>
    <w:p w14:paraId="093D96A4">
      <w:pPr>
        <w:numPr>
          <w:ilvl w:val="0"/>
          <w:numId w:val="6"/>
        </w:numPr>
        <w:autoSpaceDE w:val="0"/>
        <w:autoSpaceDN w:val="0"/>
        <w:adjustRightInd w:val="0"/>
        <w:spacing w:line="360" w:lineRule="auto"/>
        <w:rPr>
          <w:rFonts w:hint="eastAsia" w:ascii="仿宋" w:hAnsi="仿宋" w:eastAsia="仿宋" w:cs="仿宋"/>
          <w:b/>
          <w:color w:val="auto"/>
          <w:szCs w:val="21"/>
        </w:rPr>
      </w:pPr>
      <w:bookmarkStart w:id="52" w:name="_Toc19879"/>
      <w:r>
        <w:rPr>
          <w:rFonts w:hint="eastAsia" w:ascii="仿宋" w:hAnsi="仿宋" w:eastAsia="仿宋" w:cs="仿宋"/>
          <w:b/>
          <w:color w:val="auto"/>
          <w:szCs w:val="21"/>
        </w:rPr>
        <w:t>技术资信分评分标准</w:t>
      </w:r>
      <w:r>
        <w:rPr>
          <w:rFonts w:hint="eastAsia" w:ascii="仿宋" w:hAnsi="仿宋" w:eastAsia="仿宋" w:cs="仿宋"/>
          <w:b/>
          <w:color w:val="auto"/>
          <w:szCs w:val="21"/>
          <w:highlight w:val="none"/>
        </w:rPr>
        <w:t>（</w:t>
      </w:r>
      <w:r>
        <w:rPr>
          <w:rFonts w:hint="eastAsia" w:ascii="仿宋" w:hAnsi="仿宋" w:eastAsia="仿宋" w:cs="仿宋"/>
          <w:b/>
          <w:color w:val="auto"/>
          <w:szCs w:val="21"/>
          <w:highlight w:val="none"/>
          <w:lang w:val="en-US" w:eastAsia="zh-CN"/>
        </w:rPr>
        <w:t>80</w:t>
      </w:r>
      <w:r>
        <w:rPr>
          <w:rFonts w:hint="eastAsia" w:ascii="仿宋" w:hAnsi="仿宋" w:eastAsia="仿宋" w:cs="仿宋"/>
          <w:b/>
          <w:color w:val="auto"/>
          <w:szCs w:val="21"/>
          <w:highlight w:val="none"/>
        </w:rPr>
        <w:t>分）</w:t>
      </w:r>
    </w:p>
    <w:tbl>
      <w:tblPr>
        <w:tblStyle w:val="50"/>
        <w:tblW w:w="9498" w:type="dxa"/>
        <w:jc w:val="center"/>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7456"/>
        <w:gridCol w:w="810"/>
      </w:tblGrid>
      <w:tr w14:paraId="1922122B">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460" w:hRule="atLeast"/>
          <w:jc w:val="center"/>
        </w:trPr>
        <w:tc>
          <w:tcPr>
            <w:tcW w:w="1232" w:type="dxa"/>
            <w:tcBorders>
              <w:top w:val="single" w:color="000000" w:sz="8" w:space="0"/>
            </w:tcBorders>
            <w:noWrap w:val="0"/>
            <w:vAlign w:val="center"/>
          </w:tcPr>
          <w:p w14:paraId="14A3AC04">
            <w:pPr>
              <w:jc w:val="center"/>
              <w:rPr>
                <w:rFonts w:hint="eastAsia" w:ascii="仿宋" w:hAnsi="仿宋" w:eastAsia="仿宋" w:cs="仿宋"/>
                <w:b/>
                <w:color w:val="000000"/>
                <w:sz w:val="21"/>
                <w:szCs w:val="21"/>
                <w:highlight w:val="none"/>
              </w:rPr>
            </w:pPr>
            <w:r>
              <w:rPr>
                <w:rFonts w:hint="eastAsia" w:ascii="仿宋" w:hAnsi="仿宋" w:eastAsia="仿宋" w:cs="仿宋"/>
                <w:b/>
                <w:color w:val="000000"/>
                <w:sz w:val="21"/>
                <w:szCs w:val="21"/>
                <w:highlight w:val="none"/>
              </w:rPr>
              <w:t>评分内容</w:t>
            </w:r>
          </w:p>
        </w:tc>
        <w:tc>
          <w:tcPr>
            <w:tcW w:w="7456" w:type="dxa"/>
            <w:tcBorders>
              <w:top w:val="single" w:color="000000" w:sz="8" w:space="0"/>
            </w:tcBorders>
            <w:noWrap w:val="0"/>
            <w:vAlign w:val="top"/>
          </w:tcPr>
          <w:p w14:paraId="2B338F28">
            <w:pPr>
              <w:jc w:val="center"/>
              <w:rPr>
                <w:rFonts w:hint="eastAsia" w:ascii="仿宋" w:hAnsi="仿宋" w:eastAsia="仿宋" w:cs="仿宋"/>
                <w:b/>
                <w:color w:val="000000"/>
                <w:sz w:val="21"/>
                <w:szCs w:val="21"/>
                <w:highlight w:val="none"/>
              </w:rPr>
            </w:pPr>
            <w:r>
              <w:rPr>
                <w:rFonts w:hint="eastAsia" w:ascii="仿宋" w:hAnsi="仿宋" w:eastAsia="仿宋" w:cs="仿宋"/>
                <w:b/>
                <w:color w:val="000000"/>
                <w:sz w:val="21"/>
                <w:szCs w:val="21"/>
                <w:highlight w:val="none"/>
              </w:rPr>
              <w:t>评分标准</w:t>
            </w:r>
          </w:p>
        </w:tc>
        <w:tc>
          <w:tcPr>
            <w:tcW w:w="810" w:type="dxa"/>
            <w:tcBorders>
              <w:top w:val="single" w:color="000000" w:sz="8" w:space="0"/>
            </w:tcBorders>
            <w:noWrap w:val="0"/>
            <w:vAlign w:val="top"/>
          </w:tcPr>
          <w:p w14:paraId="07A7030A">
            <w:pPr>
              <w:jc w:val="center"/>
              <w:rPr>
                <w:rFonts w:hint="eastAsia" w:ascii="仿宋" w:hAnsi="仿宋" w:eastAsia="仿宋" w:cs="仿宋"/>
                <w:b/>
                <w:color w:val="000000"/>
                <w:sz w:val="21"/>
                <w:szCs w:val="21"/>
                <w:highlight w:val="none"/>
              </w:rPr>
            </w:pPr>
            <w:r>
              <w:rPr>
                <w:rFonts w:hint="eastAsia" w:ascii="仿宋" w:hAnsi="仿宋" w:eastAsia="仿宋" w:cs="仿宋"/>
                <w:b/>
                <w:color w:val="000000"/>
                <w:sz w:val="21"/>
                <w:szCs w:val="21"/>
                <w:highlight w:val="none"/>
              </w:rPr>
              <w:t>分值</w:t>
            </w:r>
          </w:p>
        </w:tc>
      </w:tr>
      <w:tr w14:paraId="3DD3C32D">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1553" w:hRule="atLeast"/>
          <w:jc w:val="center"/>
        </w:trPr>
        <w:tc>
          <w:tcPr>
            <w:tcW w:w="1232" w:type="dxa"/>
            <w:noWrap w:val="0"/>
            <w:vAlign w:val="center"/>
          </w:tcPr>
          <w:p w14:paraId="7091AED5">
            <w:pPr>
              <w:pStyle w:val="49"/>
              <w:ind w:left="0" w:leftChars="0" w:firstLine="0" w:firstLineChars="0"/>
              <w:jc w:val="center"/>
              <w:rPr>
                <w:rFonts w:hint="eastAsia" w:ascii="仿宋" w:hAnsi="仿宋" w:eastAsia="仿宋" w:cs="仿宋"/>
                <w:kern w:val="2"/>
                <w:sz w:val="21"/>
                <w:szCs w:val="21"/>
                <w:highlight w:val="none"/>
                <w:lang w:val="zh-CN" w:eastAsia="zh-CN" w:bidi="ar-SA"/>
              </w:rPr>
            </w:pPr>
            <w:r>
              <w:rPr>
                <w:rFonts w:hint="eastAsia" w:ascii="仿宋" w:hAnsi="仿宋" w:eastAsia="仿宋" w:cs="仿宋"/>
                <w:sz w:val="21"/>
                <w:szCs w:val="21"/>
                <w:highlight w:val="none"/>
              </w:rPr>
              <w:t>业绩</w:t>
            </w:r>
          </w:p>
        </w:tc>
        <w:tc>
          <w:tcPr>
            <w:tcW w:w="7456" w:type="dxa"/>
            <w:noWrap w:val="0"/>
            <w:vAlign w:val="center"/>
          </w:tcPr>
          <w:p w14:paraId="7D417490">
            <w:pPr>
              <w:spacing w:line="240" w:lineRule="auto"/>
              <w:jc w:val="left"/>
              <w:rPr>
                <w:rStyle w:val="156"/>
                <w:rFonts w:hint="eastAsia" w:ascii="仿宋" w:hAnsi="仿宋" w:eastAsia="仿宋" w:cs="仿宋"/>
                <w:color w:val="000000"/>
                <w:sz w:val="21"/>
                <w:szCs w:val="21"/>
                <w:highlight w:val="none"/>
              </w:rPr>
            </w:pPr>
            <w:r>
              <w:rPr>
                <w:rStyle w:val="156"/>
                <w:rFonts w:hint="eastAsia" w:ascii="仿宋" w:hAnsi="仿宋" w:eastAsia="仿宋" w:cs="仿宋"/>
                <w:color w:val="000000"/>
                <w:sz w:val="21"/>
                <w:szCs w:val="21"/>
                <w:highlight w:val="none"/>
              </w:rPr>
              <w:t>投标人自</w:t>
            </w:r>
            <w:r>
              <w:rPr>
                <w:rStyle w:val="156"/>
                <w:rFonts w:hint="eastAsia" w:ascii="仿宋" w:hAnsi="仿宋" w:eastAsia="仿宋" w:cs="仿宋"/>
                <w:color w:val="000000"/>
                <w:sz w:val="21"/>
                <w:szCs w:val="21"/>
                <w:highlight w:val="none"/>
                <w:lang w:val="en-US" w:eastAsia="zh-CN"/>
              </w:rPr>
              <w:t>2022</w:t>
            </w:r>
            <w:r>
              <w:rPr>
                <w:rStyle w:val="156"/>
                <w:rFonts w:hint="eastAsia" w:ascii="仿宋" w:hAnsi="仿宋" w:eastAsia="仿宋" w:cs="仿宋"/>
                <w:color w:val="000000"/>
                <w:sz w:val="21"/>
                <w:szCs w:val="21"/>
                <w:highlight w:val="none"/>
              </w:rPr>
              <w:t>年1月1日</w:t>
            </w:r>
            <w:r>
              <w:rPr>
                <w:rStyle w:val="156"/>
                <w:rFonts w:hint="eastAsia" w:ascii="仿宋" w:hAnsi="仿宋" w:eastAsia="仿宋" w:cs="仿宋"/>
                <w:color w:val="000000"/>
                <w:sz w:val="21"/>
                <w:szCs w:val="21"/>
                <w:highlight w:val="none"/>
                <w:lang w:eastAsia="zh-CN"/>
              </w:rPr>
              <w:t>（以合同签订时间为准）</w:t>
            </w:r>
            <w:r>
              <w:rPr>
                <w:rStyle w:val="156"/>
                <w:rFonts w:hint="eastAsia" w:ascii="仿宋" w:hAnsi="仿宋" w:eastAsia="仿宋" w:cs="仿宋"/>
                <w:color w:val="000000"/>
                <w:sz w:val="21"/>
                <w:szCs w:val="21"/>
                <w:highlight w:val="none"/>
              </w:rPr>
              <w:t>以来承揽过类似河道保洁的（塘、湖）且合同签订的委托方为县级部门及以上的，每</w:t>
            </w:r>
            <w:r>
              <w:rPr>
                <w:rStyle w:val="156"/>
                <w:rFonts w:hint="eastAsia" w:ascii="仿宋" w:hAnsi="仿宋" w:eastAsia="仿宋" w:cs="仿宋"/>
                <w:color w:val="000000"/>
                <w:sz w:val="21"/>
                <w:szCs w:val="21"/>
                <w:highlight w:val="none"/>
                <w:lang w:eastAsia="zh-CN"/>
              </w:rPr>
              <w:t>提供一个项目</w:t>
            </w:r>
            <w:r>
              <w:rPr>
                <w:rStyle w:val="156"/>
                <w:rFonts w:hint="eastAsia" w:ascii="仿宋" w:hAnsi="仿宋" w:eastAsia="仿宋" w:cs="仿宋"/>
                <w:color w:val="000000"/>
                <w:sz w:val="21"/>
                <w:szCs w:val="21"/>
                <w:highlight w:val="none"/>
              </w:rPr>
              <w:t>得1分，最高得</w:t>
            </w:r>
            <w:r>
              <w:rPr>
                <w:rStyle w:val="156"/>
                <w:rFonts w:hint="eastAsia" w:ascii="仿宋" w:hAnsi="仿宋" w:eastAsia="仿宋" w:cs="仿宋"/>
                <w:color w:val="000000"/>
                <w:sz w:val="21"/>
                <w:szCs w:val="21"/>
                <w:highlight w:val="none"/>
                <w:lang w:val="en-US" w:eastAsia="zh-CN"/>
              </w:rPr>
              <w:t>2</w:t>
            </w:r>
            <w:r>
              <w:rPr>
                <w:rStyle w:val="156"/>
                <w:rFonts w:hint="eastAsia" w:ascii="仿宋" w:hAnsi="仿宋" w:eastAsia="仿宋" w:cs="仿宋"/>
                <w:color w:val="000000"/>
                <w:sz w:val="21"/>
                <w:szCs w:val="21"/>
                <w:highlight w:val="none"/>
              </w:rPr>
              <w:t>分；</w:t>
            </w:r>
          </w:p>
          <w:p w14:paraId="5CF9DFDC">
            <w:pPr>
              <w:spacing w:line="240" w:lineRule="auto"/>
              <w:jc w:val="left"/>
              <w:rPr>
                <w:rFonts w:hint="eastAsia" w:ascii="仿宋" w:hAnsi="仿宋" w:eastAsia="仿宋" w:cs="仿宋"/>
                <w:color w:val="000000"/>
                <w:kern w:val="2"/>
                <w:sz w:val="21"/>
                <w:szCs w:val="21"/>
                <w:highlight w:val="none"/>
                <w:lang w:val="en-US" w:eastAsia="zh-CN" w:bidi="ar-SA"/>
              </w:rPr>
            </w:pPr>
            <w:r>
              <w:rPr>
                <w:rStyle w:val="156"/>
                <w:rFonts w:hint="eastAsia" w:ascii="仿宋" w:hAnsi="仿宋" w:eastAsia="仿宋" w:cs="仿宋"/>
                <w:b/>
                <w:bCs/>
                <w:color w:val="000000"/>
                <w:kern w:val="2"/>
                <w:sz w:val="21"/>
                <w:szCs w:val="21"/>
                <w:highlight w:val="none"/>
                <w:lang w:val="en-US" w:eastAsia="zh-CN" w:bidi="ar-SA"/>
              </w:rPr>
              <w:t>合同、中标通知书原件扫描件加盖公章编入商务技术文件，否则不得分。</w:t>
            </w:r>
          </w:p>
        </w:tc>
        <w:tc>
          <w:tcPr>
            <w:tcW w:w="810" w:type="dxa"/>
            <w:noWrap w:val="0"/>
            <w:vAlign w:val="center"/>
          </w:tcPr>
          <w:p w14:paraId="52621366">
            <w:pPr>
              <w:jc w:val="center"/>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2</w:t>
            </w:r>
          </w:p>
        </w:tc>
      </w:tr>
      <w:tr w14:paraId="01EE300B">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1683" w:hRule="atLeast"/>
          <w:jc w:val="center"/>
        </w:trPr>
        <w:tc>
          <w:tcPr>
            <w:tcW w:w="1232" w:type="dxa"/>
            <w:noWrap w:val="0"/>
            <w:vAlign w:val="center"/>
          </w:tcPr>
          <w:p w14:paraId="446598C4">
            <w:pPr>
              <w:pStyle w:val="49"/>
              <w:ind w:left="0" w:leftChars="0" w:firstLine="0" w:firstLineChars="0"/>
              <w:jc w:val="center"/>
              <w:rPr>
                <w:rStyle w:val="156"/>
                <w:rFonts w:hint="eastAsia" w:ascii="仿宋" w:hAnsi="仿宋" w:eastAsia="仿宋" w:cs="仿宋"/>
                <w:color w:val="000000"/>
                <w:sz w:val="21"/>
                <w:szCs w:val="21"/>
                <w:highlight w:val="none"/>
                <w:lang w:eastAsia="zh-CN"/>
              </w:rPr>
            </w:pPr>
            <w:r>
              <w:rPr>
                <w:rStyle w:val="156"/>
                <w:rFonts w:hint="eastAsia" w:ascii="仿宋" w:hAnsi="仿宋" w:eastAsia="仿宋" w:cs="仿宋"/>
                <w:color w:val="000000"/>
                <w:sz w:val="21"/>
                <w:szCs w:val="21"/>
                <w:highlight w:val="none"/>
                <w:lang w:eastAsia="zh-CN"/>
              </w:rPr>
              <w:t>综合实力</w:t>
            </w:r>
          </w:p>
        </w:tc>
        <w:tc>
          <w:tcPr>
            <w:tcW w:w="7456" w:type="dxa"/>
            <w:noWrap w:val="0"/>
            <w:vAlign w:val="center"/>
          </w:tcPr>
          <w:p w14:paraId="5E6E01AC">
            <w:pPr>
              <w:spacing w:line="240" w:lineRule="auto"/>
              <w:jc w:val="left"/>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拟派人员中</w:t>
            </w:r>
            <w:r>
              <w:rPr>
                <w:rFonts w:hint="eastAsia" w:ascii="仿宋" w:hAnsi="仿宋" w:eastAsia="仿宋" w:cs="仿宋"/>
                <w:sz w:val="21"/>
                <w:szCs w:val="21"/>
                <w:highlight w:val="none"/>
              </w:rPr>
              <w:t>具有</w:t>
            </w:r>
            <w:r>
              <w:rPr>
                <w:rFonts w:hint="eastAsia" w:ascii="仿宋" w:hAnsi="仿宋" w:eastAsia="仿宋" w:cs="仿宋"/>
                <w:sz w:val="21"/>
                <w:szCs w:val="21"/>
                <w:highlight w:val="none"/>
                <w:lang w:eastAsia="zh-CN"/>
              </w:rPr>
              <w:t>政府部门颁发的</w:t>
            </w:r>
            <w:r>
              <w:rPr>
                <w:rFonts w:hint="eastAsia" w:ascii="仿宋" w:hAnsi="仿宋" w:eastAsia="仿宋" w:cs="仿宋"/>
                <w:sz w:val="21"/>
                <w:szCs w:val="21"/>
                <w:highlight w:val="none"/>
              </w:rPr>
              <w:t>《中华人民共和国内河船舶船员适任证书》</w:t>
            </w:r>
            <w:r>
              <w:rPr>
                <w:rFonts w:hint="eastAsia" w:ascii="仿宋" w:hAnsi="仿宋" w:eastAsia="仿宋" w:cs="仿宋"/>
                <w:sz w:val="21"/>
                <w:szCs w:val="21"/>
                <w:highlight w:val="none"/>
                <w:lang w:eastAsia="zh-CN"/>
              </w:rPr>
              <w:t>从业资历，每提供一个得</w:t>
            </w:r>
            <w:r>
              <w:rPr>
                <w:rFonts w:hint="eastAsia" w:ascii="仿宋" w:hAnsi="仿宋" w:eastAsia="仿宋" w:cs="仿宋"/>
                <w:sz w:val="21"/>
                <w:szCs w:val="21"/>
                <w:highlight w:val="none"/>
                <w:lang w:val="en-US" w:eastAsia="zh-CN"/>
              </w:rPr>
              <w:t>1分，最高得3分。</w:t>
            </w:r>
          </w:p>
          <w:p w14:paraId="6D05344A">
            <w:pPr>
              <w:pStyle w:val="49"/>
              <w:ind w:left="0" w:leftChars="0" w:firstLine="0" w:firstLineChars="0"/>
              <w:rPr>
                <w:rFonts w:hint="eastAsia" w:ascii="仿宋" w:hAnsi="仿宋" w:eastAsia="仿宋" w:cs="仿宋"/>
                <w:sz w:val="21"/>
                <w:szCs w:val="21"/>
                <w:highlight w:val="none"/>
                <w:lang w:val="en-US" w:eastAsia="zh-CN"/>
              </w:rPr>
            </w:pPr>
            <w:r>
              <w:rPr>
                <w:rFonts w:hint="eastAsia" w:ascii="仿宋" w:hAnsi="仿宋" w:eastAsia="仿宋" w:cs="仿宋"/>
                <w:b/>
                <w:bCs/>
                <w:kern w:val="2"/>
                <w:sz w:val="21"/>
                <w:szCs w:val="21"/>
                <w:highlight w:val="none"/>
                <w:lang w:val="en-US" w:eastAsia="zh-CN" w:bidi="ar-SA"/>
              </w:rPr>
              <w:t>证书原件扫描件加盖公章及（2025年4月、5月、6月）投标人为其缴纳社保的有效证明材料（盖有社保部门公章）编入商务技术文件，否则不得分。</w:t>
            </w:r>
          </w:p>
        </w:tc>
        <w:tc>
          <w:tcPr>
            <w:tcW w:w="810" w:type="dxa"/>
            <w:noWrap w:val="0"/>
            <w:vAlign w:val="center"/>
          </w:tcPr>
          <w:p w14:paraId="002BF078">
            <w:pPr>
              <w:jc w:val="center"/>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3</w:t>
            </w:r>
          </w:p>
        </w:tc>
      </w:tr>
      <w:tr w14:paraId="4A0B253A">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2074" w:hRule="atLeast"/>
          <w:jc w:val="center"/>
        </w:trPr>
        <w:tc>
          <w:tcPr>
            <w:tcW w:w="1232" w:type="dxa"/>
            <w:noWrap w:val="0"/>
            <w:vAlign w:val="center"/>
          </w:tcPr>
          <w:p w14:paraId="46422161">
            <w:pPr>
              <w:pStyle w:val="49"/>
              <w:ind w:left="0" w:leftChars="0" w:firstLine="0" w:firstLineChars="0"/>
              <w:jc w:val="center"/>
              <w:rPr>
                <w:rFonts w:hint="eastAsia" w:ascii="仿宋" w:hAnsi="仿宋" w:eastAsia="仿宋" w:cs="仿宋"/>
                <w:b/>
                <w:bCs/>
                <w:kern w:val="2"/>
                <w:sz w:val="21"/>
                <w:szCs w:val="21"/>
                <w:highlight w:val="none"/>
                <w:lang w:val="zh-CN" w:eastAsia="zh-CN" w:bidi="ar-SA"/>
              </w:rPr>
            </w:pPr>
            <w:r>
              <w:rPr>
                <w:rStyle w:val="156"/>
                <w:rFonts w:hint="eastAsia" w:ascii="仿宋" w:hAnsi="仿宋" w:eastAsia="仿宋" w:cs="仿宋"/>
                <w:color w:val="000000"/>
                <w:sz w:val="21"/>
                <w:szCs w:val="21"/>
                <w:highlight w:val="none"/>
                <w:lang w:eastAsia="zh-CN"/>
              </w:rPr>
              <w:t>公司荣誉</w:t>
            </w:r>
          </w:p>
        </w:tc>
        <w:tc>
          <w:tcPr>
            <w:tcW w:w="7456" w:type="dxa"/>
            <w:noWrap w:val="0"/>
            <w:vAlign w:val="center"/>
          </w:tcPr>
          <w:p w14:paraId="3883A1DF">
            <w:pPr>
              <w:spacing w:line="240" w:lineRule="auto"/>
              <w:jc w:val="left"/>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rPr>
              <w:t>①获得县级及以上机关事业单位或新闻媒体</w:t>
            </w:r>
            <w:r>
              <w:rPr>
                <w:rFonts w:hint="eastAsia" w:ascii="仿宋" w:hAnsi="仿宋" w:eastAsia="仿宋" w:cs="仿宋"/>
                <w:sz w:val="21"/>
                <w:szCs w:val="21"/>
                <w:highlight w:val="none"/>
                <w:lang w:eastAsia="zh-CN"/>
              </w:rPr>
              <w:t>关于保洁、养护类</w:t>
            </w:r>
            <w:r>
              <w:rPr>
                <w:rFonts w:hint="eastAsia" w:ascii="仿宋" w:hAnsi="仿宋" w:eastAsia="仿宋" w:cs="仿宋"/>
                <w:sz w:val="21"/>
                <w:szCs w:val="21"/>
                <w:highlight w:val="none"/>
              </w:rPr>
              <w:t>表扬的得1分，每增加1个表扬得</w:t>
            </w:r>
            <w:r>
              <w:rPr>
                <w:rFonts w:hint="eastAsia" w:ascii="仿宋" w:hAnsi="仿宋" w:eastAsia="仿宋" w:cs="仿宋"/>
                <w:sz w:val="21"/>
                <w:szCs w:val="21"/>
                <w:highlight w:val="none"/>
                <w:lang w:val="en-US" w:eastAsia="zh-CN"/>
              </w:rPr>
              <w:t>0.5</w:t>
            </w:r>
            <w:r>
              <w:rPr>
                <w:rFonts w:hint="eastAsia" w:ascii="仿宋" w:hAnsi="仿宋" w:eastAsia="仿宋" w:cs="仿宋"/>
                <w:sz w:val="21"/>
                <w:szCs w:val="21"/>
                <w:highlight w:val="none"/>
              </w:rPr>
              <w:t>分。最高得</w:t>
            </w:r>
            <w:r>
              <w:rPr>
                <w:rFonts w:hint="eastAsia" w:ascii="仿宋" w:hAnsi="仿宋" w:eastAsia="仿宋" w:cs="仿宋"/>
                <w:sz w:val="21"/>
                <w:szCs w:val="21"/>
                <w:highlight w:val="none"/>
                <w:lang w:val="en-US" w:eastAsia="zh-CN"/>
              </w:rPr>
              <w:t>1.5</w:t>
            </w:r>
            <w:r>
              <w:rPr>
                <w:rFonts w:hint="eastAsia" w:ascii="仿宋" w:hAnsi="仿宋" w:eastAsia="仿宋" w:cs="仿宋"/>
                <w:sz w:val="21"/>
                <w:szCs w:val="21"/>
                <w:highlight w:val="none"/>
              </w:rPr>
              <w:t>分</w:t>
            </w:r>
            <w:r>
              <w:rPr>
                <w:rFonts w:hint="eastAsia" w:ascii="仿宋" w:hAnsi="仿宋" w:eastAsia="仿宋" w:cs="仿宋"/>
                <w:sz w:val="21"/>
                <w:szCs w:val="21"/>
                <w:highlight w:val="none"/>
                <w:lang w:eastAsia="zh-CN"/>
              </w:rPr>
              <w:t>。</w:t>
            </w:r>
          </w:p>
          <w:p w14:paraId="14F193B7">
            <w:pPr>
              <w:spacing w:line="240" w:lineRule="auto"/>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②投标人具有有效期内职业健康安全管理体系、质量管理体系、环境管理体系认证证书的，每个得0.5分，最高得1.5分。</w:t>
            </w:r>
          </w:p>
          <w:p w14:paraId="713E78A4">
            <w:pPr>
              <w:spacing w:line="240" w:lineRule="auto"/>
              <w:jc w:val="left"/>
              <w:rPr>
                <w:rFonts w:hint="eastAsia" w:ascii="仿宋" w:hAnsi="仿宋" w:eastAsia="仿宋" w:cs="仿宋"/>
                <w:b/>
                <w:sz w:val="21"/>
                <w:szCs w:val="21"/>
                <w:highlight w:val="none"/>
              </w:rPr>
            </w:pPr>
            <w:r>
              <w:rPr>
                <w:rFonts w:hint="eastAsia" w:ascii="仿宋" w:hAnsi="仿宋" w:eastAsia="仿宋" w:cs="仿宋"/>
                <w:b/>
                <w:sz w:val="21"/>
                <w:szCs w:val="21"/>
                <w:highlight w:val="none"/>
              </w:rPr>
              <w:t>相关证明材料原件扫描件</w:t>
            </w:r>
            <w:r>
              <w:rPr>
                <w:rFonts w:hint="eastAsia" w:ascii="仿宋" w:hAnsi="仿宋" w:eastAsia="仿宋" w:cs="仿宋"/>
                <w:b/>
                <w:sz w:val="21"/>
                <w:szCs w:val="21"/>
                <w:highlight w:val="none"/>
                <w:lang w:eastAsia="zh-CN"/>
              </w:rPr>
              <w:t>加盖公章编入商务技术文件</w:t>
            </w:r>
            <w:r>
              <w:rPr>
                <w:rFonts w:hint="eastAsia" w:ascii="仿宋" w:hAnsi="仿宋" w:eastAsia="仿宋" w:cs="仿宋"/>
                <w:b/>
                <w:sz w:val="21"/>
                <w:szCs w:val="21"/>
                <w:highlight w:val="none"/>
              </w:rPr>
              <w:t>，否则不得分。</w:t>
            </w:r>
          </w:p>
        </w:tc>
        <w:tc>
          <w:tcPr>
            <w:tcW w:w="810" w:type="dxa"/>
            <w:noWrap w:val="0"/>
            <w:vAlign w:val="center"/>
          </w:tcPr>
          <w:p w14:paraId="735173FF">
            <w:pPr>
              <w:jc w:val="center"/>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3</w:t>
            </w:r>
          </w:p>
        </w:tc>
      </w:tr>
      <w:tr w14:paraId="064BF25E">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1933" w:hRule="atLeast"/>
          <w:jc w:val="center"/>
        </w:trPr>
        <w:tc>
          <w:tcPr>
            <w:tcW w:w="1232" w:type="dxa"/>
            <w:noWrap w:val="0"/>
            <w:vAlign w:val="center"/>
          </w:tcPr>
          <w:p w14:paraId="4B729A37">
            <w:pPr>
              <w:pStyle w:val="49"/>
              <w:ind w:left="0" w:leftChars="0" w:firstLine="0" w:firstLineChars="0"/>
              <w:jc w:val="center"/>
              <w:rPr>
                <w:rFonts w:hint="eastAsia" w:ascii="仿宋" w:hAnsi="仿宋" w:eastAsia="仿宋" w:cs="仿宋"/>
                <w:b/>
                <w:sz w:val="21"/>
                <w:szCs w:val="21"/>
                <w:highlight w:val="none"/>
              </w:rPr>
            </w:pPr>
            <w:r>
              <w:rPr>
                <w:rStyle w:val="156"/>
                <w:rFonts w:hint="eastAsia" w:ascii="仿宋" w:hAnsi="仿宋" w:eastAsia="仿宋" w:cs="仿宋"/>
                <w:color w:val="000000"/>
                <w:sz w:val="21"/>
                <w:szCs w:val="21"/>
                <w:highlight w:val="none"/>
                <w:lang w:eastAsia="zh-CN"/>
              </w:rPr>
              <w:t>项目负责人</w:t>
            </w:r>
          </w:p>
        </w:tc>
        <w:tc>
          <w:tcPr>
            <w:tcW w:w="7456" w:type="dxa"/>
            <w:noWrap w:val="0"/>
            <w:vAlign w:val="center"/>
          </w:tcPr>
          <w:p w14:paraId="7BAA2E51">
            <w:pPr>
              <w:spacing w:line="240" w:lineRule="auto"/>
              <w:jc w:val="left"/>
              <w:rPr>
                <w:rStyle w:val="156"/>
                <w:rFonts w:hint="eastAsia" w:ascii="仿宋" w:hAnsi="仿宋" w:eastAsia="仿宋" w:cs="仿宋"/>
                <w:color w:val="000000"/>
                <w:sz w:val="21"/>
                <w:szCs w:val="21"/>
                <w:highlight w:val="none"/>
              </w:rPr>
            </w:pPr>
            <w:r>
              <w:rPr>
                <w:rStyle w:val="156"/>
                <w:rFonts w:hint="eastAsia" w:ascii="仿宋" w:hAnsi="仿宋" w:eastAsia="仿宋" w:cs="仿宋"/>
                <w:color w:val="000000"/>
                <w:sz w:val="21"/>
                <w:szCs w:val="21"/>
                <w:highlight w:val="none"/>
              </w:rPr>
              <w:t>拟派项目负责人</w:t>
            </w:r>
            <w:r>
              <w:rPr>
                <w:rStyle w:val="156"/>
                <w:rFonts w:hint="eastAsia" w:ascii="仿宋" w:hAnsi="仿宋" w:eastAsia="仿宋" w:cs="仿宋"/>
                <w:color w:val="000000"/>
                <w:sz w:val="21"/>
                <w:szCs w:val="21"/>
                <w:highlight w:val="none"/>
                <w:lang w:eastAsia="zh-CN"/>
              </w:rPr>
              <w:t>自</w:t>
            </w:r>
            <w:r>
              <w:rPr>
                <w:rStyle w:val="156"/>
                <w:rFonts w:hint="eastAsia" w:ascii="仿宋" w:hAnsi="仿宋" w:eastAsia="仿宋" w:cs="仿宋"/>
                <w:color w:val="000000"/>
                <w:sz w:val="21"/>
                <w:szCs w:val="21"/>
                <w:highlight w:val="none"/>
                <w:lang w:val="en-US" w:eastAsia="zh-CN"/>
              </w:rPr>
              <w:t>2022年1月1日以来</w:t>
            </w:r>
            <w:r>
              <w:rPr>
                <w:rStyle w:val="156"/>
                <w:rFonts w:hint="eastAsia" w:ascii="仿宋" w:hAnsi="仿宋" w:eastAsia="仿宋" w:cs="仿宋"/>
                <w:color w:val="000000"/>
                <w:sz w:val="21"/>
                <w:szCs w:val="21"/>
                <w:highlight w:val="none"/>
              </w:rPr>
              <w:t>具有类似的项目管理经验的，</w:t>
            </w:r>
            <w:r>
              <w:rPr>
                <w:rStyle w:val="156"/>
                <w:rFonts w:hint="eastAsia" w:ascii="仿宋" w:hAnsi="仿宋" w:eastAsia="仿宋" w:cs="仿宋"/>
                <w:color w:val="000000"/>
                <w:sz w:val="21"/>
                <w:szCs w:val="21"/>
                <w:highlight w:val="none"/>
                <w:lang w:eastAsia="zh-CN"/>
              </w:rPr>
              <w:t>每</w:t>
            </w:r>
            <w:r>
              <w:rPr>
                <w:rStyle w:val="156"/>
                <w:rFonts w:hint="eastAsia" w:ascii="仿宋" w:hAnsi="仿宋" w:eastAsia="仿宋" w:cs="仿宋"/>
                <w:color w:val="000000"/>
                <w:sz w:val="21"/>
                <w:szCs w:val="21"/>
                <w:highlight w:val="none"/>
              </w:rPr>
              <w:t>提供</w:t>
            </w:r>
            <w:r>
              <w:rPr>
                <w:rStyle w:val="156"/>
                <w:rFonts w:hint="eastAsia" w:ascii="仿宋" w:hAnsi="仿宋" w:eastAsia="仿宋" w:cs="仿宋"/>
                <w:color w:val="000000"/>
                <w:sz w:val="21"/>
                <w:szCs w:val="21"/>
                <w:highlight w:val="none"/>
                <w:lang w:eastAsia="zh-CN"/>
              </w:rPr>
              <w:t>一</w:t>
            </w:r>
            <w:r>
              <w:rPr>
                <w:rStyle w:val="156"/>
                <w:rFonts w:hint="eastAsia" w:ascii="仿宋" w:hAnsi="仿宋" w:eastAsia="仿宋" w:cs="仿宋"/>
                <w:color w:val="000000"/>
                <w:sz w:val="21"/>
                <w:szCs w:val="21"/>
                <w:highlight w:val="none"/>
              </w:rPr>
              <w:t>个得1分，最高得2分。</w:t>
            </w:r>
          </w:p>
          <w:p w14:paraId="1B49CD44">
            <w:pPr>
              <w:spacing w:line="240" w:lineRule="auto"/>
              <w:jc w:val="left"/>
              <w:rPr>
                <w:rFonts w:hint="eastAsia" w:ascii="仿宋" w:hAnsi="仿宋" w:eastAsia="仿宋" w:cs="仿宋"/>
                <w:color w:val="000000"/>
                <w:sz w:val="21"/>
                <w:szCs w:val="21"/>
                <w:highlight w:val="none"/>
                <w:lang w:val="en-US" w:eastAsia="zh-CN"/>
              </w:rPr>
            </w:pPr>
            <w:r>
              <w:rPr>
                <w:rStyle w:val="156"/>
                <w:rFonts w:hint="eastAsia" w:ascii="仿宋" w:hAnsi="仿宋" w:eastAsia="仿宋" w:cs="仿宋"/>
                <w:b/>
                <w:color w:val="000000"/>
                <w:sz w:val="21"/>
                <w:szCs w:val="21"/>
                <w:highlight w:val="none"/>
              </w:rPr>
              <w:t>提供类似项目管理的证明材料（业主证明材料）</w:t>
            </w:r>
            <w:r>
              <w:rPr>
                <w:rStyle w:val="156"/>
                <w:rFonts w:hint="eastAsia" w:ascii="仿宋" w:hAnsi="仿宋" w:eastAsia="仿宋" w:cs="仿宋"/>
                <w:b/>
                <w:color w:val="000000"/>
                <w:sz w:val="21"/>
                <w:szCs w:val="21"/>
                <w:highlight w:val="none"/>
                <w:lang w:eastAsia="zh-CN"/>
              </w:rPr>
              <w:t>、</w:t>
            </w:r>
            <w:r>
              <w:rPr>
                <w:rStyle w:val="156"/>
                <w:rFonts w:hint="eastAsia" w:ascii="仿宋" w:hAnsi="仿宋" w:eastAsia="仿宋" w:cs="仿宋"/>
                <w:b/>
                <w:bCs/>
                <w:color w:val="000000"/>
                <w:kern w:val="2"/>
                <w:sz w:val="21"/>
                <w:szCs w:val="21"/>
                <w:highlight w:val="none"/>
                <w:lang w:val="en-US" w:eastAsia="zh-CN" w:bidi="ar-SA"/>
              </w:rPr>
              <w:t>合同原件扫描件及</w:t>
            </w:r>
            <w:r>
              <w:rPr>
                <w:rFonts w:hint="eastAsia" w:ascii="仿宋" w:hAnsi="仿宋" w:eastAsia="仿宋" w:cs="仿宋"/>
                <w:b/>
                <w:bCs/>
                <w:color w:val="000000"/>
                <w:sz w:val="21"/>
                <w:szCs w:val="21"/>
                <w:highlight w:val="none"/>
                <w:lang w:eastAsia="zh-CN"/>
              </w:rPr>
              <w:t>（</w:t>
            </w:r>
            <w:r>
              <w:rPr>
                <w:rFonts w:hint="eastAsia" w:ascii="仿宋" w:hAnsi="仿宋" w:eastAsia="仿宋" w:cs="仿宋"/>
                <w:b/>
                <w:bCs/>
                <w:kern w:val="2"/>
                <w:sz w:val="21"/>
                <w:szCs w:val="21"/>
                <w:highlight w:val="none"/>
                <w:lang w:val="en-US" w:eastAsia="zh-CN" w:bidi="ar-SA"/>
              </w:rPr>
              <w:t>2025年4月、5月、6月</w:t>
            </w:r>
            <w:r>
              <w:rPr>
                <w:rFonts w:hint="eastAsia" w:ascii="仿宋" w:hAnsi="仿宋" w:eastAsia="仿宋" w:cs="仿宋"/>
                <w:b/>
                <w:bCs/>
                <w:color w:val="000000"/>
                <w:sz w:val="21"/>
                <w:szCs w:val="21"/>
                <w:highlight w:val="none"/>
                <w:lang w:eastAsia="zh-CN"/>
              </w:rPr>
              <w:t>）</w:t>
            </w:r>
            <w:r>
              <w:rPr>
                <w:rFonts w:hint="eastAsia" w:ascii="仿宋" w:hAnsi="仿宋" w:eastAsia="仿宋" w:cs="仿宋"/>
                <w:b/>
                <w:bCs/>
                <w:color w:val="000000"/>
                <w:sz w:val="21"/>
                <w:szCs w:val="21"/>
                <w:highlight w:val="none"/>
              </w:rPr>
              <w:t>投标人为其缴纳</w:t>
            </w:r>
            <w:r>
              <w:rPr>
                <w:rFonts w:hint="eastAsia" w:ascii="仿宋" w:hAnsi="仿宋" w:eastAsia="仿宋" w:cs="仿宋"/>
                <w:b/>
                <w:bCs/>
                <w:color w:val="000000"/>
                <w:sz w:val="21"/>
                <w:szCs w:val="21"/>
                <w:highlight w:val="none"/>
                <w:lang w:eastAsia="zh-CN"/>
              </w:rPr>
              <w:t>社保的有效证明材料（盖有社保部门公章）编入商务技术文件，否则不得分。</w:t>
            </w:r>
          </w:p>
        </w:tc>
        <w:tc>
          <w:tcPr>
            <w:tcW w:w="810" w:type="dxa"/>
            <w:noWrap w:val="0"/>
            <w:vAlign w:val="center"/>
          </w:tcPr>
          <w:p w14:paraId="31E076E6">
            <w:pPr>
              <w:jc w:val="center"/>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2</w:t>
            </w:r>
          </w:p>
        </w:tc>
      </w:tr>
      <w:tr w14:paraId="0385B466">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1276" w:hRule="atLeast"/>
          <w:jc w:val="center"/>
        </w:trPr>
        <w:tc>
          <w:tcPr>
            <w:tcW w:w="1232" w:type="dxa"/>
            <w:noWrap w:val="0"/>
            <w:vAlign w:val="center"/>
          </w:tcPr>
          <w:p w14:paraId="574A18D4">
            <w:pPr>
              <w:pStyle w:val="49"/>
              <w:ind w:left="0" w:lef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lang w:eastAsia="zh-CN"/>
              </w:rPr>
              <w:t>对项目现状的分析及对策</w:t>
            </w:r>
          </w:p>
        </w:tc>
        <w:tc>
          <w:tcPr>
            <w:tcW w:w="7456" w:type="dxa"/>
            <w:noWrap w:val="0"/>
            <w:vAlign w:val="center"/>
          </w:tcPr>
          <w:p w14:paraId="6DF0684B">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1.</w:t>
            </w:r>
            <w:r>
              <w:rPr>
                <w:rFonts w:hint="eastAsia" w:ascii="仿宋" w:hAnsi="仿宋" w:eastAsia="仿宋" w:cs="仿宋"/>
                <w:sz w:val="21"/>
                <w:szCs w:val="21"/>
                <w:highlight w:val="none"/>
              </w:rPr>
              <w:t>根据投标人对项目范围内河道的现状（0-</w:t>
            </w:r>
            <w:r>
              <w:rPr>
                <w:rFonts w:hint="eastAsia" w:ascii="仿宋" w:hAnsi="仿宋" w:eastAsia="仿宋" w:cs="仿宋"/>
                <w:sz w:val="21"/>
                <w:szCs w:val="21"/>
                <w:highlight w:val="none"/>
                <w:lang w:val="en-US" w:eastAsia="zh-CN"/>
              </w:rPr>
              <w:t>2</w:t>
            </w:r>
            <w:r>
              <w:rPr>
                <w:rFonts w:hint="eastAsia" w:ascii="仿宋" w:hAnsi="仿宋" w:eastAsia="仿宋" w:cs="仿宋"/>
                <w:sz w:val="21"/>
                <w:szCs w:val="21"/>
                <w:highlight w:val="none"/>
              </w:rPr>
              <w:t>分）、保洁情况（0-</w:t>
            </w:r>
            <w:r>
              <w:rPr>
                <w:rFonts w:hint="eastAsia" w:ascii="仿宋" w:hAnsi="仿宋" w:eastAsia="仿宋" w:cs="仿宋"/>
                <w:sz w:val="21"/>
                <w:szCs w:val="21"/>
                <w:highlight w:val="none"/>
                <w:lang w:val="en-US" w:eastAsia="zh-CN"/>
              </w:rPr>
              <w:t>2</w:t>
            </w:r>
            <w:r>
              <w:rPr>
                <w:rFonts w:hint="eastAsia" w:ascii="仿宋" w:hAnsi="仿宋" w:eastAsia="仿宋" w:cs="仿宋"/>
                <w:sz w:val="21"/>
                <w:szCs w:val="21"/>
                <w:highlight w:val="none"/>
              </w:rPr>
              <w:t>分）、存在的问题（0-</w:t>
            </w:r>
            <w:r>
              <w:rPr>
                <w:rFonts w:hint="eastAsia" w:ascii="仿宋" w:hAnsi="仿宋" w:eastAsia="仿宋" w:cs="仿宋"/>
                <w:sz w:val="21"/>
                <w:szCs w:val="21"/>
                <w:highlight w:val="none"/>
                <w:lang w:val="en-US" w:eastAsia="zh-CN"/>
              </w:rPr>
              <w:t>2</w:t>
            </w:r>
            <w:r>
              <w:rPr>
                <w:rFonts w:hint="eastAsia" w:ascii="仿宋" w:hAnsi="仿宋" w:eastAsia="仿宋" w:cs="仿宋"/>
                <w:sz w:val="21"/>
                <w:szCs w:val="21"/>
                <w:highlight w:val="none"/>
              </w:rPr>
              <w:t>分）和清扫保洁的难点、要点（0-</w:t>
            </w:r>
            <w:r>
              <w:rPr>
                <w:rFonts w:hint="eastAsia" w:ascii="仿宋" w:hAnsi="仿宋" w:eastAsia="仿宋" w:cs="仿宋"/>
                <w:sz w:val="21"/>
                <w:szCs w:val="21"/>
                <w:highlight w:val="none"/>
                <w:lang w:val="en-US" w:eastAsia="zh-CN"/>
              </w:rPr>
              <w:t>2</w:t>
            </w:r>
            <w:r>
              <w:rPr>
                <w:rFonts w:hint="eastAsia" w:ascii="仿宋" w:hAnsi="仿宋" w:eastAsia="仿宋" w:cs="仿宋"/>
                <w:sz w:val="21"/>
                <w:szCs w:val="21"/>
                <w:highlight w:val="none"/>
              </w:rPr>
              <w:t>分）等问题</w:t>
            </w:r>
            <w:r>
              <w:rPr>
                <w:rFonts w:hint="eastAsia" w:ascii="仿宋" w:hAnsi="仿宋" w:eastAsia="仿宋" w:cs="仿宋"/>
                <w:sz w:val="21"/>
                <w:szCs w:val="21"/>
                <w:highlight w:val="none"/>
                <w:lang w:eastAsia="zh-CN"/>
              </w:rPr>
              <w:t>的</w:t>
            </w:r>
            <w:r>
              <w:rPr>
                <w:rFonts w:hint="eastAsia" w:ascii="仿宋" w:hAnsi="仿宋" w:eastAsia="仿宋" w:cs="仿宋"/>
                <w:sz w:val="21"/>
                <w:szCs w:val="21"/>
                <w:highlight w:val="none"/>
              </w:rPr>
              <w:t>调查剖析</w:t>
            </w:r>
            <w:r>
              <w:rPr>
                <w:rFonts w:hint="eastAsia" w:ascii="仿宋" w:hAnsi="仿宋" w:eastAsia="仿宋" w:cs="仿宋"/>
                <w:sz w:val="21"/>
                <w:szCs w:val="21"/>
                <w:highlight w:val="none"/>
                <w:lang w:eastAsia="zh-CN"/>
              </w:rPr>
              <w:t>进行综合评定</w:t>
            </w:r>
            <w:r>
              <w:rPr>
                <w:rFonts w:hint="eastAsia" w:ascii="仿宋" w:hAnsi="仿宋" w:eastAsia="仿宋" w:cs="仿宋"/>
                <w:sz w:val="21"/>
                <w:szCs w:val="21"/>
                <w:highlight w:val="none"/>
              </w:rPr>
              <w:t>。</w:t>
            </w:r>
          </w:p>
          <w:p w14:paraId="7E1E39BE">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2.</w:t>
            </w:r>
            <w:r>
              <w:rPr>
                <w:rFonts w:hint="eastAsia" w:ascii="仿宋" w:hAnsi="仿宋" w:eastAsia="仿宋" w:cs="仿宋"/>
                <w:sz w:val="21"/>
                <w:szCs w:val="21"/>
                <w:highlight w:val="none"/>
              </w:rPr>
              <w:t>根据投标人针对性的提出克服难点和要点技术措施（0-4分）</w:t>
            </w:r>
            <w:r>
              <w:rPr>
                <w:rFonts w:hint="eastAsia" w:ascii="仿宋" w:hAnsi="仿宋" w:eastAsia="仿宋" w:cs="仿宋"/>
                <w:sz w:val="21"/>
                <w:szCs w:val="21"/>
                <w:highlight w:val="none"/>
                <w:lang w:eastAsia="zh-CN"/>
              </w:rPr>
              <w:t>进行综合评定。</w:t>
            </w:r>
          </w:p>
        </w:tc>
        <w:tc>
          <w:tcPr>
            <w:tcW w:w="810" w:type="dxa"/>
            <w:noWrap w:val="0"/>
            <w:vAlign w:val="center"/>
          </w:tcPr>
          <w:p w14:paraId="4402A17A">
            <w:pPr>
              <w:jc w:val="center"/>
              <w:rPr>
                <w:rFonts w:hint="eastAsia" w:ascii="仿宋" w:hAnsi="仿宋" w:eastAsia="仿宋" w:cs="仿宋"/>
                <w:color w:val="000000"/>
                <w:kern w:val="2"/>
                <w:sz w:val="21"/>
                <w:szCs w:val="21"/>
                <w:highlight w:val="none"/>
                <w:lang w:val="en-US" w:eastAsia="zh-CN" w:bidi="ar-SA"/>
              </w:rPr>
            </w:pPr>
            <w:r>
              <w:rPr>
                <w:rFonts w:hint="eastAsia" w:ascii="仿宋" w:hAnsi="仿宋" w:eastAsia="仿宋" w:cs="仿宋"/>
                <w:color w:val="000000"/>
                <w:sz w:val="21"/>
                <w:szCs w:val="21"/>
                <w:highlight w:val="none"/>
                <w:lang w:val="en-US" w:eastAsia="zh-CN"/>
              </w:rPr>
              <w:t>12</w:t>
            </w:r>
          </w:p>
        </w:tc>
      </w:tr>
      <w:tr w14:paraId="5966BC67">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1633" w:hRule="atLeast"/>
          <w:jc w:val="center"/>
        </w:trPr>
        <w:tc>
          <w:tcPr>
            <w:tcW w:w="1232" w:type="dxa"/>
            <w:noWrap w:val="0"/>
            <w:vAlign w:val="center"/>
          </w:tcPr>
          <w:p w14:paraId="7751C095">
            <w:pPr>
              <w:jc w:val="center"/>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eastAsia="zh-CN"/>
              </w:rPr>
              <w:t>项目管理服务组织机构</w:t>
            </w:r>
          </w:p>
        </w:tc>
        <w:tc>
          <w:tcPr>
            <w:tcW w:w="7456" w:type="dxa"/>
            <w:noWrap w:val="0"/>
            <w:vAlign w:val="center"/>
          </w:tcPr>
          <w:p w14:paraId="294F327A">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根据对本项目的管理服务组织机构设置（0-</w:t>
            </w:r>
            <w:r>
              <w:rPr>
                <w:rFonts w:hint="eastAsia" w:ascii="仿宋" w:hAnsi="仿宋" w:eastAsia="仿宋" w:cs="仿宋"/>
                <w:sz w:val="21"/>
                <w:szCs w:val="21"/>
                <w:highlight w:val="none"/>
                <w:lang w:val="en-US" w:eastAsia="zh-CN"/>
              </w:rPr>
              <w:t>2</w:t>
            </w:r>
            <w:r>
              <w:rPr>
                <w:rFonts w:hint="eastAsia" w:ascii="仿宋" w:hAnsi="仿宋" w:eastAsia="仿宋" w:cs="仿宋"/>
                <w:sz w:val="21"/>
                <w:szCs w:val="21"/>
                <w:highlight w:val="none"/>
              </w:rPr>
              <w:t>分）（附组织机构图）、运作流程（0-1分）（附运作流程图）、监督机制（0-1分）、自我约束机制（0-1分）和信息反馈渠道（0-1分）及处理机制（0-1分）以及应对突发事情的响应及处理方案（0-</w:t>
            </w:r>
            <w:r>
              <w:rPr>
                <w:rFonts w:hint="eastAsia" w:ascii="仿宋" w:hAnsi="仿宋" w:eastAsia="仿宋" w:cs="仿宋"/>
                <w:sz w:val="21"/>
                <w:szCs w:val="21"/>
                <w:highlight w:val="none"/>
                <w:lang w:val="en-US" w:eastAsia="zh-CN"/>
              </w:rPr>
              <w:t>3</w:t>
            </w:r>
            <w:r>
              <w:rPr>
                <w:rFonts w:hint="eastAsia" w:ascii="仿宋" w:hAnsi="仿宋" w:eastAsia="仿宋" w:cs="仿宋"/>
                <w:sz w:val="21"/>
                <w:szCs w:val="21"/>
                <w:highlight w:val="none"/>
              </w:rPr>
              <w:t>分）等是否科学、合理、高效打分。</w:t>
            </w:r>
          </w:p>
        </w:tc>
        <w:tc>
          <w:tcPr>
            <w:tcW w:w="810" w:type="dxa"/>
            <w:noWrap w:val="0"/>
            <w:vAlign w:val="center"/>
          </w:tcPr>
          <w:p w14:paraId="49930764">
            <w:pPr>
              <w:jc w:val="center"/>
              <w:rPr>
                <w:rFonts w:hint="eastAsia" w:ascii="仿宋" w:hAnsi="仿宋" w:eastAsia="仿宋" w:cs="仿宋"/>
                <w:color w:val="000000"/>
                <w:kern w:val="2"/>
                <w:sz w:val="21"/>
                <w:szCs w:val="21"/>
                <w:highlight w:val="none"/>
                <w:lang w:val="en-US" w:eastAsia="zh-CN" w:bidi="ar-SA"/>
              </w:rPr>
            </w:pPr>
            <w:r>
              <w:rPr>
                <w:rFonts w:hint="eastAsia" w:ascii="仿宋" w:hAnsi="仿宋" w:eastAsia="仿宋" w:cs="仿宋"/>
                <w:color w:val="000000"/>
                <w:sz w:val="21"/>
                <w:szCs w:val="21"/>
                <w:highlight w:val="none"/>
                <w:lang w:val="en-US" w:eastAsia="zh-CN"/>
              </w:rPr>
              <w:t>10</w:t>
            </w:r>
          </w:p>
        </w:tc>
      </w:tr>
      <w:tr w14:paraId="5B80964B">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1232" w:hRule="atLeast"/>
          <w:jc w:val="center"/>
        </w:trPr>
        <w:tc>
          <w:tcPr>
            <w:tcW w:w="1232" w:type="dxa"/>
            <w:noWrap w:val="0"/>
            <w:vAlign w:val="center"/>
          </w:tcPr>
          <w:p w14:paraId="589F330D">
            <w:pPr>
              <w:jc w:val="center"/>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eastAsia="zh-CN"/>
              </w:rPr>
              <w:t>养护管理措施</w:t>
            </w:r>
          </w:p>
        </w:tc>
        <w:tc>
          <w:tcPr>
            <w:tcW w:w="7456" w:type="dxa"/>
            <w:noWrap w:val="0"/>
            <w:vAlign w:val="center"/>
          </w:tcPr>
          <w:p w14:paraId="5A9B374E">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lang w:eastAsia="zh-CN"/>
              </w:rPr>
              <w:t>根</w:t>
            </w:r>
            <w:r>
              <w:rPr>
                <w:rFonts w:hint="eastAsia" w:ascii="仿宋" w:hAnsi="仿宋" w:eastAsia="仿宋" w:cs="仿宋"/>
                <w:sz w:val="21"/>
                <w:szCs w:val="21"/>
                <w:highlight w:val="none"/>
              </w:rPr>
              <w:t>据投标人提供的针对本项目的养护管理措施（0-</w:t>
            </w:r>
            <w:r>
              <w:rPr>
                <w:rFonts w:hint="eastAsia" w:ascii="仿宋" w:hAnsi="仿宋" w:eastAsia="仿宋" w:cs="仿宋"/>
                <w:sz w:val="21"/>
                <w:szCs w:val="21"/>
                <w:highlight w:val="none"/>
                <w:lang w:val="en-US" w:eastAsia="zh-CN"/>
              </w:rPr>
              <w:t>2</w:t>
            </w:r>
            <w:r>
              <w:rPr>
                <w:rFonts w:hint="eastAsia" w:ascii="仿宋" w:hAnsi="仿宋" w:eastAsia="仿宋" w:cs="仿宋"/>
                <w:sz w:val="21"/>
                <w:szCs w:val="21"/>
                <w:highlight w:val="none"/>
              </w:rPr>
              <w:t>分）及内部考核制度（0-</w:t>
            </w:r>
            <w:r>
              <w:rPr>
                <w:rFonts w:hint="eastAsia" w:ascii="仿宋" w:hAnsi="仿宋" w:eastAsia="仿宋" w:cs="仿宋"/>
                <w:sz w:val="21"/>
                <w:szCs w:val="21"/>
                <w:highlight w:val="none"/>
                <w:lang w:val="en-US" w:eastAsia="zh-CN"/>
              </w:rPr>
              <w:t>2</w:t>
            </w:r>
            <w:r>
              <w:rPr>
                <w:rFonts w:hint="eastAsia" w:ascii="仿宋" w:hAnsi="仿宋" w:eastAsia="仿宋" w:cs="仿宋"/>
                <w:sz w:val="21"/>
                <w:szCs w:val="21"/>
                <w:highlight w:val="none"/>
              </w:rPr>
              <w:t>分）等内容进行综合评</w:t>
            </w:r>
            <w:r>
              <w:rPr>
                <w:rFonts w:hint="eastAsia" w:ascii="仿宋" w:hAnsi="仿宋" w:eastAsia="仿宋" w:cs="仿宋"/>
                <w:sz w:val="21"/>
                <w:szCs w:val="21"/>
                <w:highlight w:val="none"/>
                <w:lang w:eastAsia="zh-CN"/>
              </w:rPr>
              <w:t>定</w:t>
            </w:r>
            <w:r>
              <w:rPr>
                <w:rFonts w:hint="eastAsia" w:ascii="仿宋" w:hAnsi="仿宋" w:eastAsia="仿宋" w:cs="仿宋"/>
                <w:sz w:val="21"/>
                <w:szCs w:val="21"/>
                <w:highlight w:val="none"/>
              </w:rPr>
              <w:t>。</w:t>
            </w:r>
          </w:p>
        </w:tc>
        <w:tc>
          <w:tcPr>
            <w:tcW w:w="810" w:type="dxa"/>
            <w:noWrap w:val="0"/>
            <w:vAlign w:val="center"/>
          </w:tcPr>
          <w:p w14:paraId="1AD445ED">
            <w:pPr>
              <w:jc w:val="center"/>
              <w:rPr>
                <w:rFonts w:hint="eastAsia" w:ascii="仿宋" w:hAnsi="仿宋" w:eastAsia="仿宋" w:cs="仿宋"/>
                <w:color w:val="000000"/>
                <w:kern w:val="2"/>
                <w:sz w:val="21"/>
                <w:szCs w:val="21"/>
                <w:highlight w:val="none"/>
                <w:lang w:val="en-US" w:eastAsia="zh-CN" w:bidi="ar-SA"/>
              </w:rPr>
            </w:pPr>
            <w:r>
              <w:rPr>
                <w:rFonts w:hint="eastAsia" w:ascii="仿宋" w:hAnsi="仿宋" w:eastAsia="仿宋" w:cs="仿宋"/>
                <w:color w:val="000000"/>
                <w:sz w:val="21"/>
                <w:szCs w:val="21"/>
                <w:highlight w:val="none"/>
                <w:lang w:val="en-US" w:eastAsia="zh-CN"/>
              </w:rPr>
              <w:t>4</w:t>
            </w:r>
          </w:p>
        </w:tc>
      </w:tr>
      <w:tr w14:paraId="1EB1CCD4">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1232" w:hRule="atLeast"/>
          <w:jc w:val="center"/>
        </w:trPr>
        <w:tc>
          <w:tcPr>
            <w:tcW w:w="1232" w:type="dxa"/>
            <w:noWrap w:val="0"/>
            <w:vAlign w:val="center"/>
          </w:tcPr>
          <w:p w14:paraId="1A99C728">
            <w:pPr>
              <w:jc w:val="center"/>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eastAsia="zh-CN"/>
              </w:rPr>
              <w:t>安全文明作业方案</w:t>
            </w:r>
          </w:p>
        </w:tc>
        <w:tc>
          <w:tcPr>
            <w:tcW w:w="7456" w:type="dxa"/>
            <w:noWrap w:val="0"/>
            <w:vAlign w:val="center"/>
          </w:tcPr>
          <w:p w14:paraId="3E3F8473">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lang w:eastAsia="zh-CN"/>
              </w:rPr>
              <w:t>根据投标人制定的安全文明作业方案：包含但不限于文明作业保障措施、安全作业保障措施、文明管理保障措施、安全文明作业承诺、安全保证体系等内容进行综合评定（</w:t>
            </w:r>
            <w:r>
              <w:rPr>
                <w:rFonts w:hint="eastAsia" w:ascii="仿宋" w:hAnsi="仿宋" w:eastAsia="仿宋" w:cs="仿宋"/>
                <w:sz w:val="21"/>
                <w:szCs w:val="21"/>
                <w:highlight w:val="none"/>
                <w:lang w:val="en-US" w:eastAsia="zh-CN"/>
              </w:rPr>
              <w:t>0-4分</w:t>
            </w:r>
            <w:r>
              <w:rPr>
                <w:rFonts w:hint="eastAsia" w:ascii="仿宋" w:hAnsi="仿宋" w:eastAsia="仿宋" w:cs="仿宋"/>
                <w:sz w:val="21"/>
                <w:szCs w:val="21"/>
                <w:highlight w:val="none"/>
                <w:lang w:eastAsia="zh-CN"/>
              </w:rPr>
              <w:t>）。</w:t>
            </w:r>
          </w:p>
        </w:tc>
        <w:tc>
          <w:tcPr>
            <w:tcW w:w="810" w:type="dxa"/>
            <w:noWrap w:val="0"/>
            <w:vAlign w:val="center"/>
          </w:tcPr>
          <w:p w14:paraId="3C5863D9">
            <w:pPr>
              <w:pStyle w:val="39"/>
              <w:spacing w:line="360" w:lineRule="exact"/>
              <w:ind w:firstLine="0" w:firstLineChars="0"/>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lang w:val="en-US" w:eastAsia="zh-CN"/>
              </w:rPr>
              <w:t>4</w:t>
            </w:r>
          </w:p>
        </w:tc>
      </w:tr>
      <w:tr w14:paraId="4FA3F2C0">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1232" w:hRule="atLeast"/>
          <w:jc w:val="center"/>
        </w:trPr>
        <w:tc>
          <w:tcPr>
            <w:tcW w:w="1232" w:type="dxa"/>
            <w:noWrap w:val="0"/>
            <w:vAlign w:val="center"/>
          </w:tcPr>
          <w:p w14:paraId="22F3F6BD">
            <w:pPr>
              <w:jc w:val="center"/>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eastAsia="zh-CN"/>
              </w:rPr>
              <w:t>绿化养护方案</w:t>
            </w:r>
          </w:p>
        </w:tc>
        <w:tc>
          <w:tcPr>
            <w:tcW w:w="7456" w:type="dxa"/>
            <w:noWrap w:val="0"/>
            <w:vAlign w:val="center"/>
          </w:tcPr>
          <w:p w14:paraId="264DA5A7">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eastAsia="zh-CN"/>
              </w:rPr>
              <w:t>根据投标人提供的草皮养护方案：包含但不限于全年养护工作计划、清除或修剪方案、养护措施等内容进行综合评定（</w:t>
            </w:r>
            <w:r>
              <w:rPr>
                <w:rFonts w:hint="eastAsia" w:ascii="仿宋" w:hAnsi="仿宋" w:eastAsia="仿宋" w:cs="仿宋"/>
                <w:sz w:val="21"/>
                <w:szCs w:val="21"/>
                <w:highlight w:val="none"/>
                <w:lang w:val="en-US" w:eastAsia="zh-CN"/>
              </w:rPr>
              <w:t>0-3分</w:t>
            </w:r>
            <w:r>
              <w:rPr>
                <w:rFonts w:hint="eastAsia" w:ascii="仿宋" w:hAnsi="仿宋" w:eastAsia="仿宋" w:cs="仿宋"/>
                <w:sz w:val="21"/>
                <w:szCs w:val="21"/>
                <w:highlight w:val="none"/>
                <w:lang w:eastAsia="zh-CN"/>
              </w:rPr>
              <w:t>）。</w:t>
            </w:r>
          </w:p>
        </w:tc>
        <w:tc>
          <w:tcPr>
            <w:tcW w:w="810" w:type="dxa"/>
            <w:noWrap w:val="0"/>
            <w:vAlign w:val="center"/>
          </w:tcPr>
          <w:p w14:paraId="3BC0E1E2">
            <w:pPr>
              <w:pStyle w:val="39"/>
              <w:spacing w:line="360" w:lineRule="exact"/>
              <w:ind w:firstLine="0" w:firstLineChars="0"/>
              <w:jc w:val="center"/>
              <w:rPr>
                <w:rFonts w:hint="default"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3</w:t>
            </w:r>
          </w:p>
        </w:tc>
      </w:tr>
      <w:tr w14:paraId="267ED2D2">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831" w:hRule="atLeast"/>
          <w:jc w:val="center"/>
        </w:trPr>
        <w:tc>
          <w:tcPr>
            <w:tcW w:w="1232" w:type="dxa"/>
            <w:vMerge w:val="restart"/>
            <w:noWrap w:val="0"/>
            <w:vAlign w:val="center"/>
          </w:tcPr>
          <w:p w14:paraId="42AA6AD0">
            <w:pPr>
              <w:spacing w:line="276" w:lineRule="auto"/>
              <w:jc w:val="center"/>
              <w:rPr>
                <w:rFonts w:hint="eastAsia" w:ascii="仿宋" w:hAnsi="仿宋" w:eastAsia="仿宋" w:cs="仿宋"/>
                <w:color w:val="000000"/>
                <w:sz w:val="21"/>
                <w:szCs w:val="21"/>
                <w:highlight w:val="none"/>
                <w:lang w:val="en-US" w:eastAsia="zh-CN"/>
              </w:rPr>
            </w:pPr>
            <w:r>
              <w:rPr>
                <w:rFonts w:hint="eastAsia" w:ascii="仿宋" w:hAnsi="仿宋" w:eastAsia="仿宋" w:cs="仿宋"/>
                <w:sz w:val="21"/>
                <w:szCs w:val="21"/>
                <w:highlight w:val="none"/>
              </w:rPr>
              <w:t>日常保洁方案、应急方案</w:t>
            </w:r>
          </w:p>
        </w:tc>
        <w:tc>
          <w:tcPr>
            <w:tcW w:w="7456" w:type="dxa"/>
            <w:noWrap w:val="0"/>
            <w:vAlign w:val="center"/>
          </w:tcPr>
          <w:p w14:paraId="75626AFE">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000000"/>
                <w:sz w:val="21"/>
                <w:szCs w:val="21"/>
                <w:highlight w:val="none"/>
                <w:lang w:val="en-US" w:eastAsia="zh-CN"/>
              </w:rPr>
            </w:pPr>
            <w:r>
              <w:rPr>
                <w:rFonts w:hint="eastAsia" w:ascii="仿宋" w:hAnsi="仿宋" w:eastAsia="仿宋" w:cs="仿宋"/>
                <w:sz w:val="21"/>
                <w:szCs w:val="21"/>
                <w:highlight w:val="none"/>
              </w:rPr>
              <w:t>①</w:t>
            </w:r>
            <w:r>
              <w:rPr>
                <w:rFonts w:hint="eastAsia" w:ascii="仿宋" w:hAnsi="仿宋" w:eastAsia="仿宋" w:cs="仿宋"/>
                <w:sz w:val="21"/>
                <w:szCs w:val="21"/>
                <w:highlight w:val="none"/>
                <w:lang w:eastAsia="zh-CN"/>
              </w:rPr>
              <w:t>根据投标</w:t>
            </w:r>
            <w:r>
              <w:rPr>
                <w:rFonts w:hint="eastAsia" w:ascii="仿宋" w:hAnsi="仿宋" w:eastAsia="仿宋" w:cs="仿宋"/>
                <w:sz w:val="21"/>
                <w:szCs w:val="21"/>
                <w:highlight w:val="none"/>
              </w:rPr>
              <w:t>制定</w:t>
            </w:r>
            <w:r>
              <w:rPr>
                <w:rFonts w:hint="eastAsia" w:ascii="仿宋" w:hAnsi="仿宋" w:eastAsia="仿宋" w:cs="仿宋"/>
                <w:sz w:val="21"/>
                <w:szCs w:val="21"/>
                <w:highlight w:val="none"/>
                <w:lang w:eastAsia="zh-CN"/>
              </w:rPr>
              <w:t>日常保洁方案：包含但不限于日常巡查方案</w:t>
            </w:r>
            <w:r>
              <w:rPr>
                <w:rFonts w:hint="eastAsia" w:ascii="仿宋" w:hAnsi="仿宋" w:eastAsia="仿宋" w:cs="仿宋"/>
                <w:sz w:val="21"/>
                <w:szCs w:val="21"/>
                <w:highlight w:val="none"/>
              </w:rPr>
              <w:t>（0-2分）</w:t>
            </w:r>
            <w:r>
              <w:rPr>
                <w:rFonts w:hint="eastAsia" w:ascii="仿宋" w:hAnsi="仿宋" w:eastAsia="仿宋" w:cs="仿宋"/>
                <w:sz w:val="21"/>
                <w:szCs w:val="21"/>
                <w:highlight w:val="none"/>
                <w:lang w:eastAsia="zh-CN"/>
              </w:rPr>
              <w:t>、日常清扫服务方案</w:t>
            </w:r>
            <w:r>
              <w:rPr>
                <w:rFonts w:hint="eastAsia" w:ascii="仿宋" w:hAnsi="仿宋" w:eastAsia="仿宋" w:cs="仿宋"/>
                <w:sz w:val="21"/>
                <w:szCs w:val="21"/>
                <w:highlight w:val="none"/>
              </w:rPr>
              <w:t>（0-2分）</w:t>
            </w:r>
            <w:r>
              <w:rPr>
                <w:rFonts w:hint="eastAsia" w:ascii="仿宋" w:hAnsi="仿宋" w:eastAsia="仿宋" w:cs="仿宋"/>
                <w:sz w:val="21"/>
                <w:szCs w:val="21"/>
                <w:highlight w:val="none"/>
                <w:lang w:eastAsia="zh-CN"/>
              </w:rPr>
              <w:t>、环卫保洁方案</w:t>
            </w:r>
            <w:r>
              <w:rPr>
                <w:rFonts w:hint="eastAsia" w:ascii="仿宋" w:hAnsi="仿宋" w:eastAsia="仿宋" w:cs="仿宋"/>
                <w:sz w:val="21"/>
                <w:szCs w:val="21"/>
                <w:highlight w:val="none"/>
              </w:rPr>
              <w:t>（0-2分）</w:t>
            </w:r>
            <w:r>
              <w:rPr>
                <w:rFonts w:hint="eastAsia" w:ascii="仿宋" w:hAnsi="仿宋" w:eastAsia="仿宋" w:cs="仿宋"/>
                <w:sz w:val="21"/>
                <w:szCs w:val="21"/>
                <w:highlight w:val="none"/>
                <w:lang w:eastAsia="zh-CN"/>
              </w:rPr>
              <w:t>、河道保洁作业方案</w:t>
            </w:r>
            <w:r>
              <w:rPr>
                <w:rFonts w:hint="eastAsia" w:ascii="仿宋" w:hAnsi="仿宋" w:eastAsia="仿宋" w:cs="仿宋"/>
                <w:sz w:val="21"/>
                <w:szCs w:val="21"/>
                <w:highlight w:val="none"/>
              </w:rPr>
              <w:t>（0-2分）</w:t>
            </w:r>
            <w:r>
              <w:rPr>
                <w:rFonts w:hint="eastAsia" w:ascii="仿宋" w:hAnsi="仿宋" w:eastAsia="仿宋" w:cs="仿宋"/>
                <w:sz w:val="21"/>
                <w:szCs w:val="21"/>
                <w:highlight w:val="none"/>
                <w:lang w:eastAsia="zh-CN"/>
              </w:rPr>
              <w:t>等内容进行综合评定；</w:t>
            </w:r>
          </w:p>
        </w:tc>
        <w:tc>
          <w:tcPr>
            <w:tcW w:w="810" w:type="dxa"/>
            <w:noWrap w:val="0"/>
            <w:vAlign w:val="center"/>
          </w:tcPr>
          <w:p w14:paraId="05B07FEE">
            <w:pPr>
              <w:jc w:val="center"/>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8</w:t>
            </w:r>
          </w:p>
        </w:tc>
      </w:tr>
      <w:tr w14:paraId="43E8499D">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888" w:hRule="atLeast"/>
          <w:jc w:val="center"/>
        </w:trPr>
        <w:tc>
          <w:tcPr>
            <w:tcW w:w="1232" w:type="dxa"/>
            <w:vMerge w:val="continue"/>
            <w:noWrap w:val="0"/>
            <w:vAlign w:val="center"/>
          </w:tcPr>
          <w:p w14:paraId="51F3CACB">
            <w:pPr>
              <w:jc w:val="center"/>
              <w:rPr>
                <w:rFonts w:hint="eastAsia" w:ascii="仿宋" w:hAnsi="仿宋" w:eastAsia="仿宋" w:cs="仿宋"/>
                <w:color w:val="000000"/>
                <w:sz w:val="21"/>
                <w:szCs w:val="21"/>
                <w:highlight w:val="none"/>
                <w:lang w:val="en-US" w:eastAsia="zh-CN"/>
              </w:rPr>
            </w:pPr>
          </w:p>
        </w:tc>
        <w:tc>
          <w:tcPr>
            <w:tcW w:w="7456" w:type="dxa"/>
            <w:noWrap w:val="0"/>
            <w:vAlign w:val="center"/>
          </w:tcPr>
          <w:p w14:paraId="19081E1C">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000000"/>
                <w:sz w:val="21"/>
                <w:szCs w:val="21"/>
                <w:highlight w:val="none"/>
                <w:lang w:val="en-US" w:eastAsia="zh-CN"/>
              </w:rPr>
            </w:pPr>
            <w:r>
              <w:rPr>
                <w:rFonts w:hint="eastAsia" w:ascii="仿宋" w:hAnsi="仿宋" w:eastAsia="仿宋" w:cs="仿宋"/>
                <w:sz w:val="21"/>
                <w:szCs w:val="21"/>
                <w:highlight w:val="none"/>
              </w:rPr>
              <w:t>②</w:t>
            </w:r>
            <w:r>
              <w:rPr>
                <w:rFonts w:hint="eastAsia" w:ascii="仿宋" w:hAnsi="仿宋" w:eastAsia="仿宋" w:cs="仿宋"/>
                <w:sz w:val="21"/>
                <w:szCs w:val="21"/>
                <w:highlight w:val="none"/>
                <w:lang w:eastAsia="zh-CN"/>
              </w:rPr>
              <w:t>根据投标人</w:t>
            </w:r>
            <w:r>
              <w:rPr>
                <w:rFonts w:hint="eastAsia" w:ascii="仿宋" w:hAnsi="仿宋" w:eastAsia="仿宋" w:cs="仿宋"/>
                <w:sz w:val="21"/>
                <w:szCs w:val="21"/>
                <w:highlight w:val="none"/>
              </w:rPr>
              <w:t>制定应急保洁方案（如保洁区段划分（0-2分），人员安排（0-2分），机动循环保洁（0-2分），值班要求（0-2分））</w:t>
            </w:r>
            <w:r>
              <w:rPr>
                <w:rFonts w:hint="eastAsia" w:ascii="仿宋" w:hAnsi="仿宋" w:eastAsia="仿宋" w:cs="仿宋"/>
                <w:sz w:val="21"/>
                <w:szCs w:val="21"/>
                <w:highlight w:val="none"/>
                <w:lang w:eastAsia="zh-CN"/>
              </w:rPr>
              <w:t>等内容进行综合评定；</w:t>
            </w:r>
          </w:p>
        </w:tc>
        <w:tc>
          <w:tcPr>
            <w:tcW w:w="810" w:type="dxa"/>
            <w:noWrap w:val="0"/>
            <w:vAlign w:val="center"/>
          </w:tcPr>
          <w:p w14:paraId="36EB321E">
            <w:pPr>
              <w:jc w:val="center"/>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8</w:t>
            </w:r>
          </w:p>
        </w:tc>
      </w:tr>
      <w:tr w14:paraId="62FD1BA0">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888" w:hRule="atLeast"/>
          <w:jc w:val="center"/>
        </w:trPr>
        <w:tc>
          <w:tcPr>
            <w:tcW w:w="1232" w:type="dxa"/>
            <w:noWrap w:val="0"/>
            <w:vAlign w:val="center"/>
          </w:tcPr>
          <w:p w14:paraId="057F32CF">
            <w:pPr>
              <w:jc w:val="center"/>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服务质量保障方案</w:t>
            </w:r>
          </w:p>
        </w:tc>
        <w:tc>
          <w:tcPr>
            <w:tcW w:w="7456" w:type="dxa"/>
            <w:noWrap w:val="0"/>
            <w:vAlign w:val="center"/>
          </w:tcPr>
          <w:p w14:paraId="4DDE2E8A">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仿宋" w:hAnsi="仿宋" w:eastAsia="仿宋" w:cs="仿宋"/>
                <w:sz w:val="21"/>
                <w:szCs w:val="21"/>
                <w:highlight w:val="none"/>
                <w:lang w:val="en-US" w:eastAsia="zh-CN"/>
              </w:rPr>
            </w:pPr>
            <w:r>
              <w:rPr>
                <w:rFonts w:hint="eastAsia" w:ascii="仿宋" w:hAnsi="仿宋" w:eastAsia="仿宋" w:cs="仿宋"/>
                <w:sz w:val="21"/>
                <w:szCs w:val="21"/>
                <w:highlight w:val="none"/>
                <w:lang w:eastAsia="zh-CN"/>
              </w:rPr>
              <w:t>根据投标人提供的服务质量保障方案：包含但不限于服务质量保障机制、服务质量保证体系、服务质量承诺、服务质量标准、服务质量保障措施等内容进行综合评定（</w:t>
            </w:r>
            <w:r>
              <w:rPr>
                <w:rFonts w:hint="eastAsia" w:ascii="仿宋" w:hAnsi="仿宋" w:eastAsia="仿宋" w:cs="仿宋"/>
                <w:sz w:val="21"/>
                <w:szCs w:val="21"/>
                <w:highlight w:val="none"/>
                <w:lang w:val="en-US" w:eastAsia="zh-CN"/>
              </w:rPr>
              <w:t>0-5分</w:t>
            </w:r>
            <w:r>
              <w:rPr>
                <w:rFonts w:hint="eastAsia" w:ascii="仿宋" w:hAnsi="仿宋" w:eastAsia="仿宋" w:cs="仿宋"/>
                <w:sz w:val="21"/>
                <w:szCs w:val="21"/>
                <w:highlight w:val="none"/>
                <w:lang w:eastAsia="zh-CN"/>
              </w:rPr>
              <w:t>）。</w:t>
            </w:r>
          </w:p>
        </w:tc>
        <w:tc>
          <w:tcPr>
            <w:tcW w:w="810" w:type="dxa"/>
            <w:noWrap w:val="0"/>
            <w:vAlign w:val="center"/>
          </w:tcPr>
          <w:p w14:paraId="5C39C80C">
            <w:pPr>
              <w:jc w:val="center"/>
              <w:rPr>
                <w:rFonts w:hint="default"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5</w:t>
            </w:r>
          </w:p>
        </w:tc>
      </w:tr>
      <w:tr w14:paraId="6570A5B6">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873" w:hRule="atLeast"/>
          <w:jc w:val="center"/>
        </w:trPr>
        <w:tc>
          <w:tcPr>
            <w:tcW w:w="1232" w:type="dxa"/>
            <w:vMerge w:val="restart"/>
            <w:noWrap w:val="0"/>
            <w:vAlign w:val="center"/>
          </w:tcPr>
          <w:p w14:paraId="33426ADF">
            <w:pPr>
              <w:spacing w:line="276" w:lineRule="auto"/>
              <w:jc w:val="center"/>
              <w:rPr>
                <w:rFonts w:hint="eastAsia" w:ascii="仿宋" w:hAnsi="仿宋" w:eastAsia="仿宋" w:cs="仿宋"/>
                <w:color w:val="000000"/>
                <w:kern w:val="2"/>
                <w:sz w:val="21"/>
                <w:szCs w:val="21"/>
                <w:highlight w:val="none"/>
                <w:lang w:val="en-US" w:eastAsia="zh-CN" w:bidi="ar-SA"/>
              </w:rPr>
            </w:pPr>
            <w:r>
              <w:rPr>
                <w:rFonts w:hint="eastAsia" w:ascii="仿宋" w:hAnsi="仿宋" w:eastAsia="仿宋" w:cs="仿宋"/>
                <w:color w:val="000000"/>
                <w:sz w:val="21"/>
                <w:szCs w:val="21"/>
                <w:highlight w:val="none"/>
              </w:rPr>
              <w:t>打捞上岸垃圾清运措施、动物死尸打捞措施及处理方案</w:t>
            </w:r>
          </w:p>
        </w:tc>
        <w:tc>
          <w:tcPr>
            <w:tcW w:w="7456" w:type="dxa"/>
            <w:noWrap w:val="0"/>
            <w:vAlign w:val="center"/>
          </w:tcPr>
          <w:p w14:paraId="4DE89CCE">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000000"/>
                <w:kern w:val="2"/>
                <w:sz w:val="21"/>
                <w:szCs w:val="21"/>
                <w:highlight w:val="none"/>
                <w:lang w:val="en-US" w:eastAsia="zh-CN" w:bidi="ar-SA"/>
              </w:rPr>
            </w:pPr>
            <w:r>
              <w:rPr>
                <w:rFonts w:hint="eastAsia" w:ascii="仿宋" w:hAnsi="仿宋" w:eastAsia="仿宋" w:cs="仿宋"/>
                <w:color w:val="000000"/>
                <w:sz w:val="21"/>
                <w:szCs w:val="21"/>
                <w:highlight w:val="none"/>
                <w:lang w:eastAsia="zh-CN"/>
              </w:rPr>
              <w:t>根据投标人提供的</w:t>
            </w:r>
            <w:r>
              <w:rPr>
                <w:rFonts w:hint="eastAsia" w:ascii="仿宋" w:hAnsi="仿宋" w:eastAsia="仿宋" w:cs="仿宋"/>
                <w:color w:val="000000"/>
                <w:sz w:val="21"/>
                <w:szCs w:val="21"/>
                <w:highlight w:val="none"/>
              </w:rPr>
              <w:t>垃圾临时堆放地点、转运方法及清运措施：制定的措施科学合理且可行的得</w:t>
            </w:r>
            <w:r>
              <w:rPr>
                <w:rFonts w:hint="eastAsia" w:ascii="仿宋" w:hAnsi="仿宋" w:eastAsia="仿宋" w:cs="仿宋"/>
                <w:color w:val="000000"/>
                <w:sz w:val="21"/>
                <w:szCs w:val="21"/>
                <w:highlight w:val="none"/>
                <w:lang w:val="en-US" w:eastAsia="zh-CN"/>
              </w:rPr>
              <w:t>3</w:t>
            </w:r>
            <w:r>
              <w:rPr>
                <w:rFonts w:hint="eastAsia" w:ascii="仿宋" w:hAnsi="仿宋" w:eastAsia="仿宋" w:cs="仿宋"/>
                <w:color w:val="000000"/>
                <w:sz w:val="21"/>
                <w:szCs w:val="21"/>
                <w:highlight w:val="none"/>
              </w:rPr>
              <w:t>-</w:t>
            </w:r>
            <w:r>
              <w:rPr>
                <w:rFonts w:hint="eastAsia" w:ascii="仿宋" w:hAnsi="仿宋" w:eastAsia="仿宋" w:cs="仿宋"/>
                <w:color w:val="000000"/>
                <w:sz w:val="21"/>
                <w:szCs w:val="21"/>
                <w:highlight w:val="none"/>
                <w:lang w:val="en-US" w:eastAsia="zh-CN"/>
              </w:rPr>
              <w:t>4</w:t>
            </w:r>
            <w:r>
              <w:rPr>
                <w:rFonts w:hint="eastAsia" w:ascii="仿宋" w:hAnsi="仿宋" w:eastAsia="仿宋" w:cs="仿宋"/>
                <w:color w:val="000000"/>
                <w:sz w:val="21"/>
                <w:szCs w:val="21"/>
                <w:highlight w:val="none"/>
              </w:rPr>
              <w:t>分</w:t>
            </w:r>
            <w:r>
              <w:rPr>
                <w:rFonts w:hint="eastAsia" w:ascii="仿宋" w:hAnsi="仿宋" w:eastAsia="仿宋" w:cs="仿宋"/>
                <w:color w:val="000000"/>
                <w:sz w:val="21"/>
                <w:szCs w:val="21"/>
                <w:highlight w:val="none"/>
                <w:lang w:eastAsia="zh-CN"/>
              </w:rPr>
              <w:t>；</w:t>
            </w:r>
            <w:r>
              <w:rPr>
                <w:rFonts w:hint="eastAsia" w:ascii="仿宋" w:hAnsi="仿宋" w:eastAsia="仿宋" w:cs="仿宋"/>
                <w:color w:val="000000"/>
                <w:sz w:val="21"/>
                <w:szCs w:val="21"/>
                <w:highlight w:val="none"/>
              </w:rPr>
              <w:t>措施基本合理，可操作的得</w:t>
            </w:r>
            <w:r>
              <w:rPr>
                <w:rFonts w:hint="eastAsia" w:ascii="仿宋" w:hAnsi="仿宋" w:eastAsia="仿宋" w:cs="仿宋"/>
                <w:color w:val="000000"/>
                <w:sz w:val="21"/>
                <w:szCs w:val="21"/>
                <w:highlight w:val="none"/>
                <w:lang w:val="en-US" w:eastAsia="zh-CN"/>
              </w:rPr>
              <w:t>1</w:t>
            </w:r>
            <w:r>
              <w:rPr>
                <w:rFonts w:hint="eastAsia" w:ascii="仿宋" w:hAnsi="仿宋" w:eastAsia="仿宋" w:cs="仿宋"/>
                <w:color w:val="000000"/>
                <w:sz w:val="21"/>
                <w:szCs w:val="21"/>
                <w:highlight w:val="none"/>
              </w:rPr>
              <w:t>-</w:t>
            </w:r>
            <w:r>
              <w:rPr>
                <w:rFonts w:hint="eastAsia" w:ascii="仿宋" w:hAnsi="仿宋" w:eastAsia="仿宋" w:cs="仿宋"/>
                <w:color w:val="000000"/>
                <w:sz w:val="21"/>
                <w:szCs w:val="21"/>
                <w:highlight w:val="none"/>
                <w:lang w:val="en-US" w:eastAsia="zh-CN"/>
              </w:rPr>
              <w:t>3</w:t>
            </w:r>
            <w:r>
              <w:rPr>
                <w:rFonts w:hint="eastAsia" w:ascii="仿宋" w:hAnsi="仿宋" w:eastAsia="仿宋" w:cs="仿宋"/>
                <w:color w:val="000000"/>
                <w:sz w:val="21"/>
                <w:szCs w:val="21"/>
                <w:highlight w:val="none"/>
              </w:rPr>
              <w:t>分</w:t>
            </w:r>
            <w:r>
              <w:rPr>
                <w:rFonts w:hint="eastAsia" w:ascii="仿宋" w:hAnsi="仿宋" w:eastAsia="仿宋" w:cs="仿宋"/>
                <w:color w:val="000000"/>
                <w:sz w:val="21"/>
                <w:szCs w:val="21"/>
                <w:highlight w:val="none"/>
                <w:lang w:eastAsia="zh-CN"/>
              </w:rPr>
              <w:t>；</w:t>
            </w:r>
            <w:r>
              <w:rPr>
                <w:rFonts w:hint="eastAsia" w:ascii="仿宋" w:hAnsi="仿宋" w:eastAsia="仿宋" w:cs="仿宋"/>
                <w:color w:val="000000"/>
                <w:sz w:val="21"/>
                <w:szCs w:val="21"/>
                <w:highlight w:val="none"/>
              </w:rPr>
              <w:t>措施不严谨或操作性不强的得0-</w:t>
            </w:r>
            <w:r>
              <w:rPr>
                <w:rFonts w:hint="eastAsia" w:ascii="仿宋" w:hAnsi="仿宋" w:eastAsia="仿宋" w:cs="仿宋"/>
                <w:color w:val="000000"/>
                <w:sz w:val="21"/>
                <w:szCs w:val="21"/>
                <w:highlight w:val="none"/>
                <w:lang w:val="en-US" w:eastAsia="zh-CN"/>
              </w:rPr>
              <w:t>1</w:t>
            </w:r>
            <w:r>
              <w:rPr>
                <w:rFonts w:hint="eastAsia" w:ascii="仿宋" w:hAnsi="仿宋" w:eastAsia="仿宋" w:cs="仿宋"/>
                <w:color w:val="000000"/>
                <w:sz w:val="21"/>
                <w:szCs w:val="21"/>
                <w:highlight w:val="none"/>
              </w:rPr>
              <w:t>分。</w:t>
            </w:r>
          </w:p>
        </w:tc>
        <w:tc>
          <w:tcPr>
            <w:tcW w:w="810" w:type="dxa"/>
            <w:noWrap w:val="0"/>
            <w:vAlign w:val="center"/>
          </w:tcPr>
          <w:p w14:paraId="43DF538A">
            <w:pPr>
              <w:jc w:val="center"/>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4</w:t>
            </w:r>
          </w:p>
        </w:tc>
      </w:tr>
      <w:tr w14:paraId="2823E132">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899" w:hRule="atLeast"/>
          <w:jc w:val="center"/>
        </w:trPr>
        <w:tc>
          <w:tcPr>
            <w:tcW w:w="1232" w:type="dxa"/>
            <w:vMerge w:val="continue"/>
            <w:noWrap w:val="0"/>
            <w:vAlign w:val="center"/>
          </w:tcPr>
          <w:p w14:paraId="70C3CCD9">
            <w:pPr>
              <w:jc w:val="center"/>
              <w:rPr>
                <w:rFonts w:hint="eastAsia" w:ascii="仿宋" w:hAnsi="仿宋" w:eastAsia="仿宋" w:cs="仿宋"/>
                <w:color w:val="000000"/>
                <w:sz w:val="21"/>
                <w:szCs w:val="21"/>
                <w:highlight w:val="none"/>
                <w:lang w:val="en-US" w:eastAsia="zh-CN"/>
              </w:rPr>
            </w:pPr>
          </w:p>
        </w:tc>
        <w:tc>
          <w:tcPr>
            <w:tcW w:w="7456" w:type="dxa"/>
            <w:noWrap w:val="0"/>
            <w:vAlign w:val="center"/>
          </w:tcPr>
          <w:p w14:paraId="0930C560">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eastAsia="zh-CN"/>
              </w:rPr>
              <w:t>根据投标人提供的</w:t>
            </w:r>
            <w:r>
              <w:rPr>
                <w:rFonts w:hint="eastAsia" w:ascii="仿宋" w:hAnsi="仿宋" w:eastAsia="仿宋" w:cs="仿宋"/>
                <w:color w:val="000000"/>
                <w:sz w:val="21"/>
                <w:szCs w:val="21"/>
                <w:highlight w:val="none"/>
              </w:rPr>
              <w:t>动物死尸打捞措施及清运处理方案：制定的方案科学合理且可行的得</w:t>
            </w:r>
            <w:r>
              <w:rPr>
                <w:rFonts w:hint="eastAsia" w:ascii="仿宋" w:hAnsi="仿宋" w:eastAsia="仿宋" w:cs="仿宋"/>
                <w:color w:val="000000"/>
                <w:sz w:val="21"/>
                <w:szCs w:val="21"/>
                <w:highlight w:val="none"/>
                <w:lang w:val="en-US" w:eastAsia="zh-CN"/>
              </w:rPr>
              <w:t>3</w:t>
            </w:r>
            <w:r>
              <w:rPr>
                <w:rFonts w:hint="eastAsia" w:ascii="仿宋" w:hAnsi="仿宋" w:eastAsia="仿宋" w:cs="仿宋"/>
                <w:color w:val="000000"/>
                <w:sz w:val="21"/>
                <w:szCs w:val="21"/>
                <w:highlight w:val="none"/>
              </w:rPr>
              <w:t>-</w:t>
            </w:r>
            <w:r>
              <w:rPr>
                <w:rFonts w:hint="eastAsia" w:ascii="仿宋" w:hAnsi="仿宋" w:eastAsia="仿宋" w:cs="仿宋"/>
                <w:color w:val="000000"/>
                <w:sz w:val="21"/>
                <w:szCs w:val="21"/>
                <w:highlight w:val="none"/>
                <w:lang w:val="en-US" w:eastAsia="zh-CN"/>
              </w:rPr>
              <w:t>4</w:t>
            </w:r>
            <w:r>
              <w:rPr>
                <w:rFonts w:hint="eastAsia" w:ascii="仿宋" w:hAnsi="仿宋" w:eastAsia="仿宋" w:cs="仿宋"/>
                <w:color w:val="000000"/>
                <w:sz w:val="21"/>
                <w:szCs w:val="21"/>
                <w:highlight w:val="none"/>
              </w:rPr>
              <w:t>分</w:t>
            </w:r>
            <w:r>
              <w:rPr>
                <w:rFonts w:hint="eastAsia" w:ascii="仿宋" w:hAnsi="仿宋" w:eastAsia="仿宋" w:cs="仿宋"/>
                <w:color w:val="000000"/>
                <w:sz w:val="21"/>
                <w:szCs w:val="21"/>
                <w:highlight w:val="none"/>
                <w:lang w:eastAsia="zh-CN"/>
              </w:rPr>
              <w:t>；</w:t>
            </w:r>
            <w:r>
              <w:rPr>
                <w:rFonts w:hint="eastAsia" w:ascii="仿宋" w:hAnsi="仿宋" w:eastAsia="仿宋" w:cs="仿宋"/>
                <w:color w:val="000000"/>
                <w:sz w:val="21"/>
                <w:szCs w:val="21"/>
                <w:highlight w:val="none"/>
              </w:rPr>
              <w:t>方案基本合理，可操作的得</w:t>
            </w:r>
            <w:r>
              <w:rPr>
                <w:rFonts w:hint="eastAsia" w:ascii="仿宋" w:hAnsi="仿宋" w:eastAsia="仿宋" w:cs="仿宋"/>
                <w:color w:val="000000"/>
                <w:sz w:val="21"/>
                <w:szCs w:val="21"/>
                <w:highlight w:val="none"/>
                <w:lang w:val="en-US" w:eastAsia="zh-CN"/>
              </w:rPr>
              <w:t>1</w:t>
            </w:r>
            <w:r>
              <w:rPr>
                <w:rFonts w:hint="eastAsia" w:ascii="仿宋" w:hAnsi="仿宋" w:eastAsia="仿宋" w:cs="仿宋"/>
                <w:color w:val="000000"/>
                <w:sz w:val="21"/>
                <w:szCs w:val="21"/>
                <w:highlight w:val="none"/>
              </w:rPr>
              <w:t>-</w:t>
            </w:r>
            <w:r>
              <w:rPr>
                <w:rFonts w:hint="eastAsia" w:ascii="仿宋" w:hAnsi="仿宋" w:eastAsia="仿宋" w:cs="仿宋"/>
                <w:color w:val="000000"/>
                <w:sz w:val="21"/>
                <w:szCs w:val="21"/>
                <w:highlight w:val="none"/>
                <w:lang w:val="en-US" w:eastAsia="zh-CN"/>
              </w:rPr>
              <w:t>3</w:t>
            </w:r>
            <w:r>
              <w:rPr>
                <w:rFonts w:hint="eastAsia" w:ascii="仿宋" w:hAnsi="仿宋" w:eastAsia="仿宋" w:cs="仿宋"/>
                <w:color w:val="000000"/>
                <w:sz w:val="21"/>
                <w:szCs w:val="21"/>
                <w:highlight w:val="none"/>
              </w:rPr>
              <w:t>分</w:t>
            </w:r>
            <w:r>
              <w:rPr>
                <w:rFonts w:hint="eastAsia" w:ascii="仿宋" w:hAnsi="仿宋" w:eastAsia="仿宋" w:cs="仿宋"/>
                <w:color w:val="000000"/>
                <w:sz w:val="21"/>
                <w:szCs w:val="21"/>
                <w:highlight w:val="none"/>
                <w:lang w:eastAsia="zh-CN"/>
              </w:rPr>
              <w:t>；</w:t>
            </w:r>
            <w:r>
              <w:rPr>
                <w:rFonts w:hint="eastAsia" w:ascii="仿宋" w:hAnsi="仿宋" w:eastAsia="仿宋" w:cs="仿宋"/>
                <w:color w:val="000000"/>
                <w:sz w:val="21"/>
                <w:szCs w:val="21"/>
                <w:highlight w:val="none"/>
              </w:rPr>
              <w:t>方案不严谨或操作性不强的得0-</w:t>
            </w:r>
            <w:r>
              <w:rPr>
                <w:rFonts w:hint="eastAsia" w:ascii="仿宋" w:hAnsi="仿宋" w:eastAsia="仿宋" w:cs="仿宋"/>
                <w:color w:val="000000"/>
                <w:sz w:val="21"/>
                <w:szCs w:val="21"/>
                <w:highlight w:val="none"/>
                <w:lang w:val="en-US" w:eastAsia="zh-CN"/>
              </w:rPr>
              <w:t>1</w:t>
            </w:r>
            <w:r>
              <w:rPr>
                <w:rFonts w:hint="eastAsia" w:ascii="仿宋" w:hAnsi="仿宋" w:eastAsia="仿宋" w:cs="仿宋"/>
                <w:color w:val="000000"/>
                <w:sz w:val="21"/>
                <w:szCs w:val="21"/>
                <w:highlight w:val="none"/>
              </w:rPr>
              <w:t>分。</w:t>
            </w:r>
          </w:p>
        </w:tc>
        <w:tc>
          <w:tcPr>
            <w:tcW w:w="810" w:type="dxa"/>
            <w:noWrap w:val="0"/>
            <w:vAlign w:val="center"/>
          </w:tcPr>
          <w:p w14:paraId="51AFE6FA">
            <w:pPr>
              <w:jc w:val="center"/>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4</w:t>
            </w:r>
          </w:p>
        </w:tc>
      </w:tr>
      <w:tr w14:paraId="3C00E4B7">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923" w:hRule="atLeast"/>
          <w:jc w:val="center"/>
        </w:trPr>
        <w:tc>
          <w:tcPr>
            <w:tcW w:w="1232" w:type="dxa"/>
            <w:vMerge w:val="continue"/>
            <w:noWrap w:val="0"/>
            <w:vAlign w:val="center"/>
          </w:tcPr>
          <w:p w14:paraId="616DAEE2">
            <w:pPr>
              <w:jc w:val="center"/>
              <w:rPr>
                <w:rFonts w:hint="eastAsia" w:ascii="仿宋" w:hAnsi="仿宋" w:eastAsia="仿宋" w:cs="仿宋"/>
                <w:color w:val="000000"/>
                <w:sz w:val="21"/>
                <w:szCs w:val="21"/>
                <w:highlight w:val="none"/>
                <w:lang w:val="en-US" w:eastAsia="zh-CN"/>
              </w:rPr>
            </w:pPr>
          </w:p>
        </w:tc>
        <w:tc>
          <w:tcPr>
            <w:tcW w:w="7456" w:type="dxa"/>
            <w:noWrap w:val="0"/>
            <w:vAlign w:val="center"/>
          </w:tcPr>
          <w:p w14:paraId="34805E7C">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eastAsia="zh-CN"/>
              </w:rPr>
              <w:t>根据投标人提供的</w:t>
            </w:r>
            <w:r>
              <w:rPr>
                <w:rFonts w:hint="eastAsia" w:ascii="仿宋" w:hAnsi="仿宋" w:eastAsia="仿宋" w:cs="仿宋"/>
                <w:color w:val="000000"/>
                <w:sz w:val="21"/>
                <w:szCs w:val="21"/>
                <w:highlight w:val="none"/>
              </w:rPr>
              <w:t>做好日常保洁管理台帐，垃圾分类登记台帐，动物死尸数量签章，清运填埋台帐（提供空白表即可）</w:t>
            </w:r>
            <w:r>
              <w:rPr>
                <w:rFonts w:hint="eastAsia" w:ascii="仿宋" w:hAnsi="仿宋" w:eastAsia="仿宋" w:cs="仿宋"/>
                <w:color w:val="000000"/>
                <w:sz w:val="21"/>
                <w:szCs w:val="21"/>
                <w:highlight w:val="none"/>
                <w:lang w:eastAsia="zh-CN"/>
              </w:rPr>
              <w:t>进行综合评定（</w:t>
            </w:r>
            <w:r>
              <w:rPr>
                <w:rFonts w:hint="eastAsia" w:ascii="仿宋" w:hAnsi="仿宋" w:eastAsia="仿宋" w:cs="仿宋"/>
                <w:color w:val="000000"/>
                <w:sz w:val="21"/>
                <w:szCs w:val="21"/>
                <w:highlight w:val="none"/>
                <w:lang w:val="en-US" w:eastAsia="zh-CN"/>
              </w:rPr>
              <w:t>0-2分</w:t>
            </w:r>
            <w:r>
              <w:rPr>
                <w:rFonts w:hint="eastAsia" w:ascii="仿宋" w:hAnsi="仿宋" w:eastAsia="仿宋" w:cs="仿宋"/>
                <w:color w:val="000000"/>
                <w:sz w:val="21"/>
                <w:szCs w:val="21"/>
                <w:highlight w:val="none"/>
                <w:lang w:eastAsia="zh-CN"/>
              </w:rPr>
              <w:t>）</w:t>
            </w:r>
            <w:r>
              <w:rPr>
                <w:rFonts w:hint="eastAsia" w:ascii="仿宋" w:hAnsi="仿宋" w:eastAsia="仿宋" w:cs="仿宋"/>
                <w:color w:val="000000"/>
                <w:sz w:val="21"/>
                <w:szCs w:val="21"/>
                <w:highlight w:val="none"/>
              </w:rPr>
              <w:t>。</w:t>
            </w:r>
          </w:p>
        </w:tc>
        <w:tc>
          <w:tcPr>
            <w:tcW w:w="810" w:type="dxa"/>
            <w:noWrap w:val="0"/>
            <w:vAlign w:val="center"/>
          </w:tcPr>
          <w:p w14:paraId="141EC14C">
            <w:pPr>
              <w:jc w:val="center"/>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2</w:t>
            </w:r>
          </w:p>
        </w:tc>
      </w:tr>
      <w:tr w14:paraId="090E4875">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923" w:hRule="atLeast"/>
          <w:jc w:val="center"/>
        </w:trPr>
        <w:tc>
          <w:tcPr>
            <w:tcW w:w="1232" w:type="dxa"/>
            <w:noWrap w:val="0"/>
            <w:vAlign w:val="center"/>
          </w:tcPr>
          <w:p w14:paraId="15530FD9">
            <w:pPr>
              <w:jc w:val="center"/>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人员培训</w:t>
            </w:r>
          </w:p>
        </w:tc>
        <w:tc>
          <w:tcPr>
            <w:tcW w:w="7456" w:type="dxa"/>
            <w:noWrap w:val="0"/>
            <w:vAlign w:val="center"/>
          </w:tcPr>
          <w:p w14:paraId="0F4D4498">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000000"/>
                <w:sz w:val="21"/>
                <w:szCs w:val="21"/>
                <w:highlight w:val="none"/>
                <w:lang w:eastAsia="zh-CN"/>
              </w:rPr>
            </w:pPr>
            <w:r>
              <w:rPr>
                <w:rFonts w:hint="eastAsia" w:ascii="仿宋" w:hAnsi="仿宋" w:eastAsia="仿宋" w:cs="仿宋"/>
                <w:color w:val="000000"/>
                <w:sz w:val="21"/>
                <w:szCs w:val="21"/>
                <w:highlight w:val="none"/>
                <w:lang w:eastAsia="zh-CN"/>
              </w:rPr>
              <w:t>根据投标人针对本项目制定的人员培训方案：包含但不限于培训目标、培训计划、培训方式、培训内容等内容进行综合评定（</w:t>
            </w:r>
            <w:r>
              <w:rPr>
                <w:rFonts w:hint="eastAsia" w:ascii="仿宋" w:hAnsi="仿宋" w:eastAsia="仿宋" w:cs="仿宋"/>
                <w:color w:val="000000"/>
                <w:sz w:val="21"/>
                <w:szCs w:val="21"/>
                <w:highlight w:val="none"/>
                <w:lang w:val="en-US" w:eastAsia="zh-CN"/>
              </w:rPr>
              <w:t>0-2分</w:t>
            </w:r>
            <w:r>
              <w:rPr>
                <w:rFonts w:hint="eastAsia" w:ascii="仿宋" w:hAnsi="仿宋" w:eastAsia="仿宋" w:cs="仿宋"/>
                <w:color w:val="000000"/>
                <w:sz w:val="21"/>
                <w:szCs w:val="21"/>
                <w:highlight w:val="none"/>
                <w:lang w:eastAsia="zh-CN"/>
              </w:rPr>
              <w:t>）。</w:t>
            </w:r>
          </w:p>
        </w:tc>
        <w:tc>
          <w:tcPr>
            <w:tcW w:w="810" w:type="dxa"/>
            <w:noWrap w:val="0"/>
            <w:vAlign w:val="center"/>
          </w:tcPr>
          <w:p w14:paraId="5E81B311">
            <w:pPr>
              <w:jc w:val="center"/>
              <w:rPr>
                <w:rFonts w:hint="default"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2</w:t>
            </w:r>
          </w:p>
        </w:tc>
      </w:tr>
      <w:tr w14:paraId="586F2B38">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1593" w:hRule="atLeast"/>
          <w:jc w:val="center"/>
        </w:trPr>
        <w:tc>
          <w:tcPr>
            <w:tcW w:w="1232" w:type="dxa"/>
            <w:noWrap w:val="0"/>
            <w:vAlign w:val="center"/>
          </w:tcPr>
          <w:p w14:paraId="637F40C3">
            <w:pPr>
              <w:jc w:val="center"/>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rPr>
              <w:t>管理单位反馈问题的处理措施</w:t>
            </w:r>
          </w:p>
        </w:tc>
        <w:tc>
          <w:tcPr>
            <w:tcW w:w="7456" w:type="dxa"/>
            <w:noWrap w:val="0"/>
            <w:vAlign w:val="center"/>
          </w:tcPr>
          <w:p w14:paraId="2F6B71CE">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eastAsia="zh-CN"/>
              </w:rPr>
              <w:t>根据投标人提供的</w:t>
            </w:r>
            <w:r>
              <w:rPr>
                <w:rFonts w:hint="eastAsia" w:ascii="仿宋" w:hAnsi="仿宋" w:eastAsia="仿宋" w:cs="仿宋"/>
                <w:color w:val="000000"/>
                <w:sz w:val="21"/>
                <w:szCs w:val="21"/>
                <w:highlight w:val="none"/>
              </w:rPr>
              <w:t>接到管理单位巡查中发现的问题的处理措施：制定的措施科学合理且可行的得</w:t>
            </w:r>
            <w:r>
              <w:rPr>
                <w:rFonts w:hint="eastAsia" w:ascii="仿宋" w:hAnsi="仿宋" w:eastAsia="仿宋" w:cs="仿宋"/>
                <w:color w:val="000000"/>
                <w:sz w:val="21"/>
                <w:szCs w:val="21"/>
                <w:highlight w:val="none"/>
                <w:lang w:val="en-US" w:eastAsia="zh-CN"/>
              </w:rPr>
              <w:t>1</w:t>
            </w:r>
            <w:r>
              <w:rPr>
                <w:rFonts w:hint="eastAsia" w:ascii="仿宋" w:hAnsi="仿宋" w:eastAsia="仿宋" w:cs="仿宋"/>
                <w:color w:val="000000"/>
                <w:sz w:val="21"/>
                <w:szCs w:val="21"/>
                <w:highlight w:val="none"/>
              </w:rPr>
              <w:t>-</w:t>
            </w:r>
            <w:r>
              <w:rPr>
                <w:rFonts w:hint="eastAsia" w:ascii="仿宋" w:hAnsi="仿宋" w:eastAsia="仿宋" w:cs="仿宋"/>
                <w:color w:val="000000"/>
                <w:sz w:val="21"/>
                <w:szCs w:val="21"/>
                <w:highlight w:val="none"/>
                <w:lang w:val="en-US" w:eastAsia="zh-CN"/>
              </w:rPr>
              <w:t>2</w:t>
            </w:r>
            <w:r>
              <w:rPr>
                <w:rFonts w:hint="eastAsia" w:ascii="仿宋" w:hAnsi="仿宋" w:eastAsia="仿宋" w:cs="仿宋"/>
                <w:color w:val="000000"/>
                <w:sz w:val="21"/>
                <w:szCs w:val="21"/>
                <w:highlight w:val="none"/>
              </w:rPr>
              <w:t>分，措施不严谨或操作性不强的得0-</w:t>
            </w:r>
            <w:r>
              <w:rPr>
                <w:rFonts w:hint="eastAsia" w:ascii="仿宋" w:hAnsi="仿宋" w:eastAsia="仿宋" w:cs="仿宋"/>
                <w:color w:val="000000"/>
                <w:sz w:val="21"/>
                <w:szCs w:val="21"/>
                <w:highlight w:val="none"/>
                <w:lang w:val="en-US" w:eastAsia="zh-CN"/>
              </w:rPr>
              <w:t>1</w:t>
            </w:r>
            <w:r>
              <w:rPr>
                <w:rFonts w:hint="eastAsia" w:ascii="仿宋" w:hAnsi="仿宋" w:eastAsia="仿宋" w:cs="仿宋"/>
                <w:color w:val="000000"/>
                <w:sz w:val="21"/>
                <w:szCs w:val="21"/>
                <w:highlight w:val="none"/>
              </w:rPr>
              <w:t>分。</w:t>
            </w:r>
          </w:p>
        </w:tc>
        <w:tc>
          <w:tcPr>
            <w:tcW w:w="810" w:type="dxa"/>
            <w:noWrap w:val="0"/>
            <w:vAlign w:val="center"/>
          </w:tcPr>
          <w:p w14:paraId="201E9492">
            <w:pPr>
              <w:jc w:val="center"/>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2</w:t>
            </w:r>
          </w:p>
        </w:tc>
      </w:tr>
      <w:tr w14:paraId="63489FC5">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1090" w:hRule="atLeast"/>
          <w:jc w:val="center"/>
        </w:trPr>
        <w:tc>
          <w:tcPr>
            <w:tcW w:w="1232" w:type="dxa"/>
            <w:noWrap w:val="0"/>
            <w:vAlign w:val="center"/>
          </w:tcPr>
          <w:p w14:paraId="2724A04D">
            <w:pPr>
              <w:jc w:val="center"/>
              <w:rPr>
                <w:rFonts w:hint="eastAsia" w:ascii="仿宋" w:hAnsi="仿宋" w:eastAsia="仿宋" w:cs="仿宋"/>
                <w:color w:val="000000"/>
                <w:sz w:val="21"/>
                <w:szCs w:val="21"/>
                <w:highlight w:val="none"/>
                <w:lang w:eastAsia="zh-CN"/>
              </w:rPr>
            </w:pPr>
            <w:r>
              <w:rPr>
                <w:rFonts w:hint="eastAsia" w:ascii="仿宋" w:hAnsi="仿宋" w:eastAsia="仿宋" w:cs="仿宋"/>
                <w:color w:val="000000"/>
                <w:sz w:val="21"/>
                <w:szCs w:val="21"/>
                <w:highlight w:val="none"/>
                <w:lang w:eastAsia="zh-CN"/>
              </w:rPr>
              <w:t>服务承诺及后续服务措施</w:t>
            </w:r>
          </w:p>
        </w:tc>
        <w:tc>
          <w:tcPr>
            <w:tcW w:w="7456" w:type="dxa"/>
            <w:noWrap w:val="0"/>
            <w:vAlign w:val="center"/>
          </w:tcPr>
          <w:p w14:paraId="3800D1F3">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000000"/>
                <w:sz w:val="21"/>
                <w:szCs w:val="21"/>
                <w:highlight w:val="none"/>
                <w:lang w:eastAsia="zh-CN"/>
              </w:rPr>
            </w:pPr>
            <w:r>
              <w:rPr>
                <w:rFonts w:hint="eastAsia" w:ascii="仿宋" w:hAnsi="仿宋" w:eastAsia="仿宋" w:cs="仿宋"/>
                <w:color w:val="000000"/>
                <w:sz w:val="21"/>
                <w:szCs w:val="21"/>
                <w:highlight w:val="none"/>
                <w:lang w:eastAsia="zh-CN"/>
              </w:rPr>
              <w:t>根据投标人针对本项目提供的服务承诺及后续服务措施等内容进行综合评定（</w:t>
            </w:r>
            <w:r>
              <w:rPr>
                <w:rFonts w:hint="eastAsia" w:ascii="仿宋" w:hAnsi="仿宋" w:eastAsia="仿宋" w:cs="仿宋"/>
                <w:color w:val="000000"/>
                <w:sz w:val="21"/>
                <w:szCs w:val="21"/>
                <w:highlight w:val="none"/>
                <w:lang w:val="en-US" w:eastAsia="zh-CN"/>
              </w:rPr>
              <w:t>0-2分</w:t>
            </w:r>
            <w:r>
              <w:rPr>
                <w:rFonts w:hint="eastAsia" w:ascii="仿宋" w:hAnsi="仿宋" w:eastAsia="仿宋" w:cs="仿宋"/>
                <w:color w:val="000000"/>
                <w:sz w:val="21"/>
                <w:szCs w:val="21"/>
                <w:highlight w:val="none"/>
                <w:lang w:eastAsia="zh-CN"/>
              </w:rPr>
              <w:t>）。</w:t>
            </w:r>
          </w:p>
        </w:tc>
        <w:tc>
          <w:tcPr>
            <w:tcW w:w="810" w:type="dxa"/>
            <w:noWrap w:val="0"/>
            <w:vAlign w:val="center"/>
          </w:tcPr>
          <w:p w14:paraId="08C21986">
            <w:pPr>
              <w:jc w:val="center"/>
              <w:rPr>
                <w:rFonts w:hint="default"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2</w:t>
            </w:r>
          </w:p>
        </w:tc>
      </w:tr>
    </w:tbl>
    <w:p w14:paraId="046DE525">
      <w:pPr>
        <w:autoSpaceDE w:val="0"/>
        <w:autoSpaceDN w:val="0"/>
        <w:adjustRightInd w:val="0"/>
        <w:spacing w:line="360" w:lineRule="auto"/>
        <w:ind w:firstLine="420" w:firstLineChars="200"/>
        <w:rPr>
          <w:rFonts w:hint="eastAsia" w:ascii="仿宋" w:hAnsi="仿宋" w:eastAsia="仿宋" w:cs="仿宋"/>
          <w:b/>
          <w:bCs/>
          <w:color w:val="auto"/>
          <w:szCs w:val="21"/>
          <w:highlight w:val="yellow"/>
          <w:lang w:val="zh-CN"/>
        </w:rPr>
      </w:pPr>
      <w:r>
        <w:rPr>
          <w:rFonts w:hint="eastAsia" w:ascii="仿宋" w:hAnsi="仿宋" w:eastAsia="仿宋" w:cs="仿宋"/>
          <w:b/>
          <w:bCs/>
          <w:color w:val="auto"/>
          <w:szCs w:val="21"/>
          <w:lang w:val="zh-CN"/>
        </w:rPr>
        <w:t>（二）</w:t>
      </w:r>
      <w:bookmarkStart w:id="53" w:name="报价评分标准"/>
      <w:r>
        <w:rPr>
          <w:rFonts w:hint="eastAsia" w:ascii="仿宋" w:hAnsi="仿宋" w:eastAsia="仿宋" w:cs="仿宋"/>
          <w:b/>
          <w:bCs/>
          <w:color w:val="auto"/>
          <w:szCs w:val="21"/>
          <w:lang w:val="zh-CN"/>
        </w:rPr>
        <w:t>报价分评分标准</w:t>
      </w:r>
      <w:bookmarkEnd w:id="53"/>
      <w:r>
        <w:rPr>
          <w:rFonts w:hint="eastAsia" w:ascii="仿宋" w:hAnsi="仿宋" w:eastAsia="仿宋" w:cs="仿宋"/>
          <w:b/>
          <w:bCs/>
          <w:color w:val="auto"/>
          <w:szCs w:val="21"/>
          <w:highlight w:val="none"/>
          <w:lang w:val="zh-CN"/>
        </w:rPr>
        <w:t>（满分</w:t>
      </w:r>
      <w:r>
        <w:rPr>
          <w:rFonts w:hint="eastAsia" w:ascii="仿宋" w:hAnsi="仿宋" w:eastAsia="仿宋" w:cs="仿宋"/>
          <w:b/>
          <w:bCs/>
          <w:color w:val="auto"/>
          <w:szCs w:val="21"/>
          <w:highlight w:val="none"/>
          <w:lang w:val="en-US" w:eastAsia="zh-CN"/>
        </w:rPr>
        <w:t>20</w:t>
      </w:r>
      <w:r>
        <w:rPr>
          <w:rFonts w:hint="eastAsia" w:ascii="仿宋" w:hAnsi="仿宋" w:eastAsia="仿宋" w:cs="仿宋"/>
          <w:b/>
          <w:bCs/>
          <w:color w:val="auto"/>
          <w:szCs w:val="21"/>
          <w:highlight w:val="none"/>
        </w:rPr>
        <w:t>分</w:t>
      </w:r>
      <w:r>
        <w:rPr>
          <w:rFonts w:hint="eastAsia" w:ascii="仿宋" w:hAnsi="仿宋" w:eastAsia="仿宋" w:cs="仿宋"/>
          <w:b/>
          <w:bCs/>
          <w:color w:val="auto"/>
          <w:szCs w:val="21"/>
          <w:highlight w:val="none"/>
          <w:lang w:val="zh-CN"/>
        </w:rPr>
        <w:t>）</w:t>
      </w:r>
    </w:p>
    <w:p w14:paraId="049FA69B">
      <w:pPr>
        <w:pStyle w:val="165"/>
        <w:widowControl/>
        <w:snapToGrid w:val="0"/>
        <w:spacing w:beforeLines="0" w:line="360" w:lineRule="auto"/>
        <w:jc w:val="left"/>
        <w:rPr>
          <w:rFonts w:hint="eastAsia" w:ascii="仿宋" w:hAnsi="仿宋" w:eastAsia="仿宋" w:cs="仿宋"/>
          <w:color w:val="auto"/>
          <w:szCs w:val="21"/>
        </w:rPr>
      </w:pPr>
      <w:r>
        <w:rPr>
          <w:rFonts w:hint="eastAsia" w:ascii="仿宋" w:hAnsi="仿宋" w:eastAsia="仿宋" w:cs="仿宋"/>
          <w:color w:val="auto"/>
          <w:szCs w:val="21"/>
        </w:rPr>
        <w:t>1.报价分按低价优先法计算，即满足采购文件要求且投标价格最低的投标报价为评标基准价，其报价分为满分。其他投标人的报价分按照下列公式计算：报价得分=（评标基准价／投标报价）×</w:t>
      </w:r>
      <w:r>
        <w:rPr>
          <w:rFonts w:hint="eastAsia" w:ascii="仿宋" w:hAnsi="仿宋" w:eastAsia="仿宋" w:cs="仿宋"/>
          <w:color w:val="auto"/>
          <w:szCs w:val="21"/>
          <w:highlight w:val="none"/>
          <w:lang w:val="en-US" w:eastAsia="zh-CN"/>
        </w:rPr>
        <w:t>20</w:t>
      </w:r>
      <w:r>
        <w:rPr>
          <w:rFonts w:hint="eastAsia" w:ascii="仿宋" w:hAnsi="仿宋" w:eastAsia="仿宋" w:cs="仿宋"/>
          <w:color w:val="auto"/>
          <w:szCs w:val="21"/>
          <w:highlight w:val="none"/>
        </w:rPr>
        <w:t>%</w:t>
      </w:r>
      <w:r>
        <w:rPr>
          <w:rFonts w:hint="eastAsia" w:ascii="仿宋" w:hAnsi="仿宋" w:eastAsia="仿宋" w:cs="仿宋"/>
          <w:color w:val="auto"/>
          <w:szCs w:val="21"/>
        </w:rPr>
        <w:t>×100，结果四舍五入后保留两位小数。</w:t>
      </w:r>
    </w:p>
    <w:p w14:paraId="348265E5">
      <w:pPr>
        <w:pStyle w:val="165"/>
        <w:widowControl/>
        <w:snapToGrid w:val="0"/>
        <w:spacing w:beforeLines="0" w:line="360" w:lineRule="auto"/>
        <w:jc w:val="left"/>
        <w:rPr>
          <w:rFonts w:hint="eastAsia" w:ascii="仿宋" w:hAnsi="仿宋" w:eastAsia="仿宋" w:cs="仿宋"/>
          <w:b w:val="0"/>
          <w:bCs w:val="0"/>
          <w:color w:val="auto"/>
          <w:szCs w:val="21"/>
        </w:rPr>
      </w:pPr>
      <w:r>
        <w:rPr>
          <w:rFonts w:hint="eastAsia" w:ascii="仿宋" w:hAnsi="仿宋" w:eastAsia="仿宋" w:cs="仿宋"/>
          <w:b w:val="0"/>
          <w:bCs w:val="0"/>
          <w:color w:val="auto"/>
          <w:szCs w:val="21"/>
        </w:rPr>
        <w:t>2.</w:t>
      </w:r>
      <w:r>
        <w:rPr>
          <w:rFonts w:hint="eastAsia" w:ascii="仿宋" w:hAnsi="仿宋" w:eastAsia="仿宋" w:cs="仿宋"/>
          <w:b w:val="0"/>
          <w:bCs w:val="0"/>
          <w:color w:val="auto"/>
          <w:szCs w:val="21"/>
          <w:lang w:eastAsia="zh-CN"/>
        </w:rPr>
        <w:t>评标委员会</w:t>
      </w:r>
      <w:r>
        <w:rPr>
          <w:rFonts w:hint="eastAsia" w:ascii="仿宋" w:hAnsi="仿宋" w:eastAsia="仿宋" w:cs="仿宋"/>
          <w:b w:val="0"/>
          <w:bCs w:val="0"/>
          <w:color w:val="auto"/>
          <w:szCs w:val="21"/>
        </w:rPr>
        <w:t>认为</w:t>
      </w:r>
      <w:r>
        <w:rPr>
          <w:rFonts w:hint="eastAsia" w:ascii="仿宋" w:hAnsi="仿宋" w:eastAsia="仿宋" w:cs="仿宋"/>
          <w:b w:val="0"/>
          <w:bCs w:val="0"/>
          <w:color w:val="auto"/>
          <w:szCs w:val="21"/>
          <w:lang w:eastAsia="zh-CN"/>
        </w:rPr>
        <w:t>投标人</w:t>
      </w:r>
      <w:r>
        <w:rPr>
          <w:rFonts w:hint="eastAsia" w:ascii="仿宋" w:hAnsi="仿宋" w:eastAsia="仿宋" w:cs="仿宋"/>
          <w:b w:val="0"/>
          <w:bCs w:val="0"/>
          <w:color w:val="auto"/>
          <w:szCs w:val="21"/>
        </w:rPr>
        <w:t>的报价明显低于其他通过符合性审查</w:t>
      </w:r>
      <w:r>
        <w:rPr>
          <w:rFonts w:hint="eastAsia" w:ascii="仿宋" w:hAnsi="仿宋" w:eastAsia="仿宋" w:cs="仿宋"/>
          <w:b w:val="0"/>
          <w:bCs w:val="0"/>
          <w:color w:val="auto"/>
          <w:szCs w:val="21"/>
          <w:lang w:eastAsia="zh-CN"/>
        </w:rPr>
        <w:t>投标人</w:t>
      </w:r>
      <w:r>
        <w:rPr>
          <w:rFonts w:hint="eastAsia" w:ascii="仿宋" w:hAnsi="仿宋" w:eastAsia="仿宋" w:cs="仿宋"/>
          <w:b w:val="0"/>
          <w:bCs w:val="0"/>
          <w:color w:val="auto"/>
          <w:szCs w:val="21"/>
        </w:rPr>
        <w:t>的报价，有可能影响产品（服务或工程）质量或者不能诚信履约的，应当要求其在合理的时间内提供书面说明，必要时提交相关证明材料；</w:t>
      </w:r>
      <w:r>
        <w:rPr>
          <w:rFonts w:hint="eastAsia" w:ascii="仿宋" w:hAnsi="仿宋" w:eastAsia="仿宋" w:cs="仿宋"/>
          <w:b w:val="0"/>
          <w:bCs w:val="0"/>
          <w:color w:val="auto"/>
          <w:szCs w:val="21"/>
          <w:lang w:eastAsia="zh-CN"/>
        </w:rPr>
        <w:t>投标人</w:t>
      </w:r>
      <w:r>
        <w:rPr>
          <w:rFonts w:hint="eastAsia" w:ascii="仿宋" w:hAnsi="仿宋" w:eastAsia="仿宋" w:cs="仿宋"/>
          <w:b w:val="0"/>
          <w:bCs w:val="0"/>
          <w:color w:val="auto"/>
          <w:szCs w:val="21"/>
        </w:rPr>
        <w:t>不能证明其报价合理性的，</w:t>
      </w:r>
      <w:r>
        <w:rPr>
          <w:rFonts w:hint="eastAsia" w:ascii="仿宋" w:hAnsi="仿宋" w:eastAsia="仿宋" w:cs="仿宋"/>
          <w:b w:val="0"/>
          <w:bCs w:val="0"/>
          <w:color w:val="auto"/>
          <w:szCs w:val="21"/>
          <w:lang w:eastAsia="zh-CN"/>
        </w:rPr>
        <w:t>评标委员会</w:t>
      </w:r>
      <w:r>
        <w:rPr>
          <w:rFonts w:hint="eastAsia" w:ascii="仿宋" w:hAnsi="仿宋" w:eastAsia="仿宋" w:cs="仿宋"/>
          <w:b w:val="0"/>
          <w:bCs w:val="0"/>
          <w:color w:val="auto"/>
          <w:szCs w:val="21"/>
        </w:rPr>
        <w:t>应当将其作为无效</w:t>
      </w:r>
      <w:r>
        <w:rPr>
          <w:rFonts w:hint="eastAsia" w:ascii="仿宋" w:hAnsi="仿宋" w:eastAsia="仿宋" w:cs="仿宋"/>
          <w:b w:val="0"/>
          <w:bCs w:val="0"/>
          <w:color w:val="auto"/>
          <w:szCs w:val="21"/>
          <w:lang w:eastAsia="zh-CN"/>
        </w:rPr>
        <w:t>投标</w:t>
      </w:r>
      <w:r>
        <w:rPr>
          <w:rFonts w:hint="eastAsia" w:ascii="仿宋" w:hAnsi="仿宋" w:eastAsia="仿宋" w:cs="仿宋"/>
          <w:b w:val="0"/>
          <w:bCs w:val="0"/>
          <w:color w:val="auto"/>
          <w:szCs w:val="21"/>
        </w:rPr>
        <w:t>处理。</w:t>
      </w:r>
    </w:p>
    <w:p w14:paraId="653E70F7">
      <w:pPr>
        <w:keepNext w:val="0"/>
        <w:keepLines w:val="0"/>
        <w:pageBreakBefore w:val="0"/>
        <w:widowControl w:val="0"/>
        <w:kinsoku/>
        <w:wordWrap/>
        <w:overflowPunct/>
        <w:topLinePunct w:val="0"/>
        <w:bidi w:val="0"/>
        <w:snapToGrid/>
        <w:spacing w:line="440" w:lineRule="exact"/>
        <w:ind w:firstLine="420" w:firstLineChars="200"/>
        <w:textAlignment w:val="auto"/>
        <w:rPr>
          <w:rFonts w:hint="eastAsia" w:ascii="仿宋" w:hAnsi="仿宋" w:eastAsia="仿宋" w:cs="仿宋"/>
          <w:b/>
          <w:bCs/>
          <w:color w:val="auto"/>
          <w:szCs w:val="21"/>
        </w:rPr>
      </w:pPr>
      <w:r>
        <w:rPr>
          <w:rFonts w:hint="eastAsia" w:ascii="仿宋" w:hAnsi="仿宋" w:eastAsia="仿宋" w:cs="仿宋"/>
          <w:b/>
          <w:bCs/>
          <w:color w:val="auto"/>
          <w:szCs w:val="21"/>
        </w:rPr>
        <w:t>（</w:t>
      </w:r>
      <w:r>
        <w:rPr>
          <w:rFonts w:hint="eastAsia" w:ascii="仿宋" w:hAnsi="仿宋" w:eastAsia="仿宋" w:cs="仿宋"/>
          <w:b/>
          <w:bCs/>
          <w:color w:val="auto"/>
          <w:szCs w:val="21"/>
          <w:lang w:eastAsia="zh-CN"/>
        </w:rPr>
        <w:t>三</w:t>
      </w:r>
      <w:r>
        <w:rPr>
          <w:rFonts w:hint="eastAsia" w:ascii="仿宋" w:hAnsi="仿宋" w:eastAsia="仿宋" w:cs="仿宋"/>
          <w:b/>
          <w:bCs/>
          <w:color w:val="auto"/>
          <w:szCs w:val="21"/>
        </w:rPr>
        <w:t>）定标</w:t>
      </w:r>
    </w:p>
    <w:p w14:paraId="2E453EC8">
      <w:pPr>
        <w:pStyle w:val="165"/>
        <w:widowControl/>
        <w:snapToGrid w:val="0"/>
        <w:spacing w:beforeLines="0" w:line="360" w:lineRule="auto"/>
        <w:jc w:val="left"/>
        <w:rPr>
          <w:rFonts w:hint="eastAsia" w:ascii="仿宋" w:hAnsi="仿宋" w:eastAsia="仿宋" w:cs="仿宋"/>
          <w:color w:val="auto"/>
          <w:szCs w:val="21"/>
        </w:rPr>
      </w:pPr>
      <w:r>
        <w:rPr>
          <w:rFonts w:hint="eastAsia" w:ascii="仿宋" w:hAnsi="仿宋" w:eastAsia="仿宋" w:cs="仿宋"/>
          <w:color w:val="auto"/>
          <w:szCs w:val="21"/>
        </w:rPr>
        <w:t>1.投标人综合得分由资信技术分、报价分合计组成，满分为100分。</w:t>
      </w:r>
    </w:p>
    <w:p w14:paraId="12EE4A57">
      <w:pPr>
        <w:pStyle w:val="165"/>
        <w:widowControl/>
        <w:snapToGrid w:val="0"/>
        <w:spacing w:beforeLines="0" w:line="360" w:lineRule="auto"/>
        <w:jc w:val="left"/>
        <w:rPr>
          <w:rFonts w:hint="eastAsia" w:ascii="仿宋" w:hAnsi="仿宋" w:eastAsia="仿宋" w:cs="仿宋"/>
          <w:color w:val="auto"/>
          <w:sz w:val="30"/>
          <w:szCs w:val="30"/>
          <w:lang w:val="zh-CN"/>
        </w:rPr>
      </w:pPr>
      <w:r>
        <w:rPr>
          <w:rFonts w:hint="eastAsia" w:ascii="仿宋" w:hAnsi="仿宋" w:eastAsia="仿宋" w:cs="仿宋"/>
          <w:color w:val="auto"/>
          <w:szCs w:val="21"/>
        </w:rPr>
        <w:t>2.评标结果按评审后得分由高到低顺序</w:t>
      </w:r>
      <w:r>
        <w:rPr>
          <w:rFonts w:hint="eastAsia" w:ascii="仿宋" w:hAnsi="仿宋" w:eastAsia="仿宋" w:cs="仿宋"/>
          <w:b w:val="0"/>
          <w:bCs w:val="0"/>
          <w:color w:val="auto"/>
          <w:sz w:val="21"/>
          <w:szCs w:val="21"/>
          <w:highlight w:val="none"/>
          <w:lang w:val="en-US" w:eastAsia="zh-CN"/>
        </w:rPr>
        <w:t>排列</w:t>
      </w:r>
      <w:r>
        <w:rPr>
          <w:rFonts w:hint="eastAsia" w:ascii="仿宋" w:hAnsi="仿宋" w:eastAsia="仿宋" w:cs="仿宋"/>
          <w:color w:val="auto"/>
          <w:szCs w:val="21"/>
        </w:rPr>
        <w:t>。得分相同的，按投标报价由低到高顺序排列。得分</w:t>
      </w:r>
      <w:r>
        <w:rPr>
          <w:rFonts w:hint="eastAsia" w:ascii="仿宋" w:hAnsi="仿宋" w:eastAsia="仿宋" w:cs="仿宋"/>
          <w:color w:val="auto"/>
          <w:szCs w:val="21"/>
          <w:lang w:eastAsia="zh-CN"/>
        </w:rPr>
        <w:t>且</w:t>
      </w:r>
      <w:r>
        <w:rPr>
          <w:rFonts w:hint="eastAsia" w:ascii="仿宋" w:hAnsi="仿宋" w:eastAsia="仿宋" w:cs="仿宋"/>
          <w:color w:val="auto"/>
          <w:szCs w:val="21"/>
        </w:rPr>
        <w:t>投标报价均相同的并列。</w:t>
      </w:r>
      <w:r>
        <w:rPr>
          <w:rFonts w:hint="eastAsia" w:ascii="仿宋" w:hAnsi="仿宋" w:eastAsia="仿宋" w:cs="仿宋"/>
          <w:color w:val="auto"/>
          <w:szCs w:val="21"/>
          <w:lang w:eastAsia="zh-CN"/>
        </w:rPr>
        <w:t>投标文件满足招标文件全部实质性要求，且按照评审因素的量化指标评审得分最高的投标人为排名第一的中标候选人。</w:t>
      </w:r>
      <w:r>
        <w:rPr>
          <w:rFonts w:hint="eastAsia" w:ascii="仿宋" w:hAnsi="仿宋" w:eastAsia="仿宋" w:cs="仿宋"/>
          <w:color w:val="auto"/>
          <w:szCs w:val="21"/>
        </w:rPr>
        <w:t>采购代理机构在评标结束后2个工作日内将评标报告送采购人。采购人应当自收到评标报告之日起5个工作日内，按评标报告推荐的中标候选人确定中标人。中标候选人并列的，由采购人采取随机抽取的方式确定。</w:t>
      </w:r>
      <w:r>
        <w:rPr>
          <w:rFonts w:hint="eastAsia" w:ascii="仿宋" w:hAnsi="仿宋" w:eastAsia="仿宋" w:cs="仿宋"/>
          <w:color w:val="auto"/>
          <w:sz w:val="30"/>
          <w:szCs w:val="30"/>
          <w:lang w:val="zh-CN"/>
        </w:rPr>
        <w:br w:type="page"/>
      </w:r>
    </w:p>
    <w:p w14:paraId="7DA0D550">
      <w:pPr>
        <w:pStyle w:val="47"/>
        <w:spacing w:line="360" w:lineRule="auto"/>
        <w:outlineLvl w:val="0"/>
        <w:rPr>
          <w:rFonts w:hint="eastAsia" w:ascii="仿宋" w:hAnsi="仿宋" w:eastAsia="仿宋" w:cs="仿宋"/>
          <w:color w:val="auto"/>
          <w:sz w:val="30"/>
          <w:szCs w:val="30"/>
          <w:lang w:val="zh-CN" w:eastAsia="zh-CN"/>
        </w:rPr>
      </w:pPr>
      <w:bookmarkStart w:id="54" w:name="_Toc7634"/>
      <w:r>
        <w:rPr>
          <w:rFonts w:hint="eastAsia" w:ascii="仿宋" w:hAnsi="仿宋" w:eastAsia="仿宋" w:cs="仿宋"/>
          <w:color w:val="auto"/>
          <w:sz w:val="30"/>
          <w:szCs w:val="30"/>
          <w:lang w:val="zh-CN" w:eastAsia="zh-CN"/>
        </w:rPr>
        <w:t>第六章  投标文件相关格式</w:t>
      </w:r>
      <w:bookmarkEnd w:id="52"/>
      <w:bookmarkEnd w:id="54"/>
    </w:p>
    <w:p w14:paraId="3DBC78AD">
      <w:pPr>
        <w:snapToGrid w:val="0"/>
        <w:spacing w:after="50"/>
        <w:textAlignment w:val="baseline"/>
        <w:rPr>
          <w:rStyle w:val="156"/>
          <w:rFonts w:hint="eastAsia" w:ascii="仿宋" w:hAnsi="仿宋" w:eastAsia="仿宋" w:cs="仿宋"/>
          <w:b/>
          <w:bCs/>
          <w:color w:val="auto"/>
          <w:sz w:val="32"/>
          <w:szCs w:val="32"/>
        </w:rPr>
      </w:pPr>
      <w:bookmarkStart w:id="55" w:name="附件1"/>
    </w:p>
    <w:p w14:paraId="25177410">
      <w:pPr>
        <w:snapToGrid w:val="0"/>
        <w:spacing w:after="50"/>
        <w:textAlignment w:val="baseline"/>
        <w:rPr>
          <w:rStyle w:val="156"/>
          <w:rFonts w:hint="eastAsia" w:ascii="仿宋" w:hAnsi="仿宋" w:eastAsia="仿宋" w:cs="仿宋"/>
          <w:b/>
          <w:bCs/>
          <w:color w:val="auto"/>
          <w:sz w:val="32"/>
          <w:szCs w:val="32"/>
        </w:rPr>
      </w:pPr>
      <w:r>
        <w:rPr>
          <w:rStyle w:val="156"/>
          <w:rFonts w:hint="eastAsia" w:ascii="仿宋" w:hAnsi="仿宋" w:eastAsia="仿宋" w:cs="仿宋"/>
          <w:b/>
          <w:bCs/>
          <w:color w:val="auto"/>
          <w:sz w:val="32"/>
          <w:szCs w:val="32"/>
        </w:rPr>
        <w:t>投标文件封面样式</w:t>
      </w:r>
    </w:p>
    <w:p w14:paraId="3D263FDD">
      <w:pPr>
        <w:snapToGrid w:val="0"/>
        <w:spacing w:after="50"/>
        <w:jc w:val="center"/>
        <w:textAlignment w:val="baseline"/>
        <w:rPr>
          <w:rStyle w:val="156"/>
          <w:rFonts w:hint="eastAsia" w:ascii="仿宋" w:hAnsi="仿宋" w:eastAsia="仿宋" w:cs="仿宋"/>
          <w:b/>
          <w:color w:val="auto"/>
          <w:sz w:val="52"/>
          <w:szCs w:val="52"/>
        </w:rPr>
      </w:pPr>
    </w:p>
    <w:p w14:paraId="52079D48">
      <w:pPr>
        <w:snapToGrid w:val="0"/>
        <w:spacing w:after="50"/>
        <w:jc w:val="center"/>
        <w:textAlignment w:val="baseline"/>
        <w:rPr>
          <w:rStyle w:val="156"/>
          <w:rFonts w:hint="eastAsia" w:ascii="仿宋" w:hAnsi="仿宋" w:eastAsia="仿宋" w:cs="仿宋"/>
          <w:b/>
          <w:color w:val="auto"/>
          <w:sz w:val="52"/>
          <w:szCs w:val="52"/>
        </w:rPr>
      </w:pPr>
      <w:r>
        <w:rPr>
          <w:rStyle w:val="156"/>
          <w:rFonts w:hint="eastAsia" w:ascii="仿宋" w:hAnsi="仿宋" w:eastAsia="仿宋" w:cs="仿宋"/>
          <w:b/>
          <w:color w:val="auto"/>
          <w:sz w:val="52"/>
          <w:szCs w:val="52"/>
        </w:rPr>
        <w:t>投 标 文 件</w:t>
      </w:r>
    </w:p>
    <w:p w14:paraId="170151C4">
      <w:pPr>
        <w:snapToGrid w:val="0"/>
        <w:spacing w:after="50"/>
        <w:jc w:val="center"/>
        <w:textAlignment w:val="baseline"/>
        <w:rPr>
          <w:rStyle w:val="156"/>
          <w:rFonts w:hint="eastAsia" w:ascii="仿宋" w:hAnsi="仿宋" w:eastAsia="仿宋" w:cs="仿宋"/>
          <w:color w:val="auto"/>
          <w:sz w:val="24"/>
          <w:szCs w:val="20"/>
        </w:rPr>
      </w:pPr>
    </w:p>
    <w:p w14:paraId="5F5E1601">
      <w:pPr>
        <w:snapToGrid w:val="0"/>
        <w:spacing w:after="50"/>
        <w:jc w:val="center"/>
        <w:textAlignment w:val="baseline"/>
        <w:rPr>
          <w:rStyle w:val="156"/>
          <w:rFonts w:hint="eastAsia" w:ascii="仿宋" w:hAnsi="仿宋" w:eastAsia="仿宋" w:cs="仿宋"/>
          <w:b/>
          <w:color w:val="auto"/>
          <w:sz w:val="32"/>
          <w:szCs w:val="32"/>
        </w:rPr>
      </w:pPr>
    </w:p>
    <w:p w14:paraId="36D2FD27">
      <w:pPr>
        <w:snapToGrid w:val="0"/>
        <w:spacing w:after="50"/>
        <w:jc w:val="center"/>
        <w:textAlignment w:val="baseline"/>
        <w:rPr>
          <w:rStyle w:val="156"/>
          <w:rFonts w:hint="eastAsia" w:ascii="仿宋" w:hAnsi="仿宋" w:eastAsia="仿宋" w:cs="仿宋"/>
          <w:b/>
          <w:color w:val="auto"/>
          <w:sz w:val="32"/>
          <w:szCs w:val="32"/>
        </w:rPr>
      </w:pPr>
      <w:r>
        <w:rPr>
          <w:rStyle w:val="156"/>
          <w:rFonts w:hint="eastAsia" w:ascii="仿宋" w:hAnsi="仿宋" w:eastAsia="仿宋" w:cs="仿宋"/>
          <w:b/>
          <w:color w:val="auto"/>
          <w:sz w:val="32"/>
          <w:szCs w:val="32"/>
        </w:rPr>
        <w:t>资格文件/或商务技术文件/或报价文件</w:t>
      </w:r>
    </w:p>
    <w:p w14:paraId="6F45AD4C">
      <w:pPr>
        <w:snapToGrid w:val="0"/>
        <w:spacing w:after="50"/>
        <w:jc w:val="both"/>
        <w:textAlignment w:val="baseline"/>
        <w:rPr>
          <w:rStyle w:val="156"/>
          <w:rFonts w:hint="default" w:ascii="仿宋" w:hAnsi="仿宋" w:eastAsia="仿宋" w:cs="仿宋"/>
          <w:b/>
          <w:color w:val="auto"/>
          <w:sz w:val="32"/>
          <w:szCs w:val="32"/>
          <w:lang w:val="en-US" w:eastAsia="zh-CN"/>
        </w:rPr>
      </w:pPr>
    </w:p>
    <w:p w14:paraId="1EDA64EB">
      <w:pPr>
        <w:snapToGrid w:val="0"/>
        <w:spacing w:after="50"/>
        <w:textAlignment w:val="baseline"/>
        <w:rPr>
          <w:rStyle w:val="156"/>
          <w:rFonts w:hint="eastAsia" w:ascii="仿宋" w:hAnsi="仿宋" w:eastAsia="仿宋" w:cs="仿宋"/>
          <w:color w:val="auto"/>
          <w:sz w:val="32"/>
          <w:szCs w:val="32"/>
        </w:rPr>
      </w:pPr>
    </w:p>
    <w:p w14:paraId="6F4E605B">
      <w:pPr>
        <w:snapToGrid w:val="0"/>
        <w:spacing w:after="50"/>
        <w:textAlignment w:val="baseline"/>
        <w:rPr>
          <w:rStyle w:val="156"/>
          <w:rFonts w:hint="eastAsia" w:ascii="仿宋" w:hAnsi="仿宋" w:eastAsia="仿宋" w:cs="仿宋"/>
          <w:color w:val="auto"/>
          <w:sz w:val="32"/>
          <w:szCs w:val="32"/>
        </w:rPr>
      </w:pPr>
    </w:p>
    <w:p w14:paraId="705927DE">
      <w:pPr>
        <w:snapToGrid w:val="0"/>
        <w:spacing w:after="50"/>
        <w:ind w:left="991" w:leftChars="472"/>
        <w:textAlignment w:val="baseline"/>
        <w:rPr>
          <w:rStyle w:val="156"/>
          <w:rFonts w:hint="eastAsia" w:ascii="仿宋" w:hAnsi="仿宋" w:eastAsia="仿宋" w:cs="仿宋"/>
          <w:color w:val="auto"/>
          <w:sz w:val="28"/>
          <w:szCs w:val="28"/>
          <w:u w:val="single"/>
        </w:rPr>
      </w:pPr>
      <w:r>
        <w:rPr>
          <w:rStyle w:val="156"/>
          <w:rFonts w:hint="eastAsia" w:ascii="仿宋" w:hAnsi="仿宋" w:eastAsia="仿宋" w:cs="仿宋"/>
          <w:color w:val="auto"/>
          <w:sz w:val="28"/>
          <w:szCs w:val="28"/>
        </w:rPr>
        <w:t>项目名称：</w:t>
      </w:r>
      <w:r>
        <w:rPr>
          <w:rStyle w:val="156"/>
          <w:rFonts w:hint="eastAsia" w:ascii="仿宋" w:hAnsi="仿宋" w:eastAsia="仿宋" w:cs="仿宋"/>
          <w:color w:val="auto"/>
          <w:sz w:val="28"/>
          <w:szCs w:val="28"/>
          <w:u w:val="single"/>
        </w:rPr>
        <w:t xml:space="preserve">              </w:t>
      </w:r>
      <w:r>
        <w:rPr>
          <w:rStyle w:val="156"/>
          <w:rFonts w:hint="eastAsia" w:ascii="仿宋" w:hAnsi="仿宋" w:eastAsia="仿宋" w:cs="仿宋"/>
          <w:color w:val="auto"/>
          <w:sz w:val="28"/>
          <w:szCs w:val="28"/>
          <w:u w:val="single"/>
          <w:lang w:val="en-US" w:eastAsia="zh-CN"/>
        </w:rPr>
        <w:t xml:space="preserve">                            </w:t>
      </w:r>
      <w:r>
        <w:rPr>
          <w:rStyle w:val="156"/>
          <w:rFonts w:hint="eastAsia" w:ascii="仿宋" w:hAnsi="仿宋" w:eastAsia="仿宋" w:cs="仿宋"/>
          <w:color w:val="auto"/>
          <w:sz w:val="28"/>
          <w:szCs w:val="28"/>
          <w:u w:val="single"/>
        </w:rPr>
        <w:t xml:space="preserve">     </w:t>
      </w:r>
    </w:p>
    <w:p w14:paraId="68A9420E">
      <w:pPr>
        <w:snapToGrid w:val="0"/>
        <w:spacing w:after="50"/>
        <w:ind w:left="991" w:leftChars="472"/>
        <w:textAlignment w:val="baseline"/>
        <w:rPr>
          <w:rStyle w:val="156"/>
          <w:rFonts w:hint="eastAsia" w:ascii="仿宋" w:hAnsi="仿宋" w:eastAsia="仿宋" w:cs="仿宋"/>
          <w:color w:val="auto"/>
          <w:sz w:val="28"/>
          <w:szCs w:val="28"/>
        </w:rPr>
      </w:pPr>
    </w:p>
    <w:p w14:paraId="7B50799B">
      <w:pPr>
        <w:snapToGrid w:val="0"/>
        <w:spacing w:after="50"/>
        <w:ind w:left="991" w:leftChars="472"/>
        <w:textAlignment w:val="baseline"/>
        <w:rPr>
          <w:rStyle w:val="156"/>
          <w:rFonts w:hint="eastAsia" w:ascii="仿宋" w:hAnsi="仿宋" w:eastAsia="仿宋" w:cs="仿宋"/>
          <w:color w:val="auto"/>
          <w:sz w:val="28"/>
          <w:szCs w:val="28"/>
          <w:u w:val="single"/>
        </w:rPr>
      </w:pPr>
      <w:r>
        <w:rPr>
          <w:rStyle w:val="156"/>
          <w:rFonts w:hint="eastAsia" w:ascii="仿宋" w:hAnsi="仿宋" w:eastAsia="仿宋" w:cs="仿宋"/>
          <w:color w:val="auto"/>
          <w:sz w:val="28"/>
          <w:szCs w:val="28"/>
        </w:rPr>
        <w:t>项目编号：</w:t>
      </w:r>
      <w:r>
        <w:rPr>
          <w:rStyle w:val="156"/>
          <w:rFonts w:hint="eastAsia" w:ascii="仿宋" w:hAnsi="仿宋" w:eastAsia="仿宋" w:cs="仿宋"/>
          <w:color w:val="auto"/>
          <w:sz w:val="28"/>
          <w:szCs w:val="28"/>
          <w:u w:val="single"/>
        </w:rPr>
        <w:t xml:space="preserve">          </w:t>
      </w:r>
      <w:r>
        <w:rPr>
          <w:rStyle w:val="156"/>
          <w:rFonts w:hint="eastAsia" w:ascii="仿宋" w:hAnsi="仿宋" w:eastAsia="仿宋" w:cs="仿宋"/>
          <w:color w:val="auto"/>
          <w:sz w:val="28"/>
          <w:szCs w:val="28"/>
          <w:u w:val="single"/>
          <w:lang w:val="en-US" w:eastAsia="zh-CN"/>
        </w:rPr>
        <w:t xml:space="preserve">                             </w:t>
      </w:r>
      <w:r>
        <w:rPr>
          <w:rStyle w:val="156"/>
          <w:rFonts w:hint="eastAsia" w:ascii="仿宋" w:hAnsi="仿宋" w:eastAsia="仿宋" w:cs="仿宋"/>
          <w:color w:val="auto"/>
          <w:sz w:val="28"/>
          <w:szCs w:val="28"/>
          <w:u w:val="single"/>
        </w:rPr>
        <w:t xml:space="preserve">        </w:t>
      </w:r>
    </w:p>
    <w:p w14:paraId="5C2000EF">
      <w:pPr>
        <w:snapToGrid w:val="0"/>
        <w:spacing w:after="50"/>
        <w:ind w:left="991" w:leftChars="472"/>
        <w:textAlignment w:val="baseline"/>
        <w:rPr>
          <w:rStyle w:val="156"/>
          <w:rFonts w:hint="eastAsia" w:ascii="仿宋" w:hAnsi="仿宋" w:eastAsia="仿宋" w:cs="仿宋"/>
          <w:color w:val="auto"/>
          <w:sz w:val="28"/>
          <w:szCs w:val="28"/>
        </w:rPr>
      </w:pPr>
    </w:p>
    <w:p w14:paraId="7EBFC58A">
      <w:pPr>
        <w:snapToGrid w:val="0"/>
        <w:spacing w:after="50"/>
        <w:ind w:left="991" w:leftChars="472"/>
        <w:textAlignment w:val="baseline"/>
        <w:rPr>
          <w:rStyle w:val="156"/>
          <w:rFonts w:hint="eastAsia" w:ascii="仿宋" w:hAnsi="仿宋" w:eastAsia="仿宋" w:cs="仿宋"/>
          <w:color w:val="auto"/>
          <w:sz w:val="28"/>
          <w:szCs w:val="28"/>
          <w:u w:val="single"/>
        </w:rPr>
      </w:pPr>
      <w:r>
        <w:rPr>
          <w:rStyle w:val="156"/>
          <w:rFonts w:hint="eastAsia" w:ascii="仿宋" w:hAnsi="仿宋" w:eastAsia="仿宋" w:cs="仿宋"/>
          <w:color w:val="auto"/>
          <w:sz w:val="28"/>
          <w:szCs w:val="28"/>
        </w:rPr>
        <w:t>投标人：</w:t>
      </w:r>
      <w:r>
        <w:rPr>
          <w:rStyle w:val="156"/>
          <w:rFonts w:hint="eastAsia" w:ascii="仿宋" w:hAnsi="仿宋" w:eastAsia="仿宋" w:cs="仿宋"/>
          <w:color w:val="auto"/>
          <w:sz w:val="28"/>
          <w:szCs w:val="28"/>
          <w:u w:val="single"/>
        </w:rPr>
        <w:t xml:space="preserve">                    </w:t>
      </w:r>
      <w:r>
        <w:rPr>
          <w:rStyle w:val="156"/>
          <w:rFonts w:hint="eastAsia" w:ascii="仿宋" w:hAnsi="仿宋" w:eastAsia="仿宋" w:cs="仿宋"/>
          <w:color w:val="auto"/>
          <w:sz w:val="28"/>
          <w:szCs w:val="28"/>
          <w:u w:val="single"/>
          <w:lang w:val="en-US" w:eastAsia="zh-CN"/>
        </w:rPr>
        <w:t xml:space="preserve">            </w:t>
      </w:r>
      <w:r>
        <w:rPr>
          <w:rStyle w:val="156"/>
          <w:rFonts w:hint="eastAsia" w:ascii="仿宋" w:hAnsi="仿宋" w:eastAsia="仿宋" w:cs="仿宋"/>
          <w:color w:val="auto"/>
          <w:sz w:val="28"/>
          <w:szCs w:val="28"/>
          <w:u w:val="single"/>
        </w:rPr>
        <w:t xml:space="preserve">   （盖单位公章）</w:t>
      </w:r>
    </w:p>
    <w:p w14:paraId="5DC09109">
      <w:pPr>
        <w:snapToGrid w:val="0"/>
        <w:spacing w:after="50"/>
        <w:ind w:left="991" w:leftChars="472"/>
        <w:textAlignment w:val="baseline"/>
        <w:rPr>
          <w:rStyle w:val="156"/>
          <w:rFonts w:hint="eastAsia" w:ascii="仿宋" w:hAnsi="仿宋" w:eastAsia="仿宋" w:cs="仿宋"/>
          <w:color w:val="auto"/>
          <w:sz w:val="28"/>
          <w:szCs w:val="28"/>
        </w:rPr>
      </w:pPr>
    </w:p>
    <w:p w14:paraId="7BA2C138">
      <w:pPr>
        <w:snapToGrid w:val="0"/>
        <w:spacing w:after="50"/>
        <w:ind w:left="991" w:leftChars="472"/>
        <w:textAlignment w:val="baseline"/>
        <w:rPr>
          <w:rStyle w:val="156"/>
          <w:rFonts w:hint="eastAsia" w:ascii="仿宋" w:hAnsi="仿宋" w:eastAsia="仿宋" w:cs="仿宋"/>
          <w:color w:val="auto"/>
          <w:sz w:val="28"/>
          <w:szCs w:val="28"/>
        </w:rPr>
      </w:pPr>
    </w:p>
    <w:p w14:paraId="12C7D52E">
      <w:pPr>
        <w:snapToGrid w:val="0"/>
        <w:spacing w:after="50"/>
        <w:ind w:left="567" w:leftChars="270"/>
        <w:jc w:val="center"/>
        <w:textAlignment w:val="baseline"/>
        <w:rPr>
          <w:rStyle w:val="156"/>
          <w:rFonts w:hint="eastAsia" w:ascii="仿宋" w:hAnsi="仿宋" w:eastAsia="仿宋" w:cs="仿宋"/>
          <w:color w:val="auto"/>
          <w:sz w:val="28"/>
          <w:szCs w:val="28"/>
        </w:rPr>
      </w:pPr>
    </w:p>
    <w:p w14:paraId="6C5BD271">
      <w:pPr>
        <w:snapToGrid w:val="0"/>
        <w:spacing w:after="50"/>
        <w:ind w:firstLine="980" w:firstLineChars="350"/>
        <w:textAlignment w:val="baseline"/>
        <w:rPr>
          <w:rStyle w:val="156"/>
          <w:rFonts w:hint="eastAsia" w:ascii="仿宋" w:hAnsi="仿宋" w:eastAsia="仿宋" w:cs="仿宋"/>
          <w:color w:val="auto"/>
          <w:sz w:val="28"/>
          <w:szCs w:val="28"/>
        </w:rPr>
      </w:pPr>
      <w:r>
        <w:rPr>
          <w:rStyle w:val="156"/>
          <w:rFonts w:hint="eastAsia" w:ascii="仿宋" w:hAnsi="仿宋" w:eastAsia="仿宋" w:cs="仿宋"/>
          <w:color w:val="auto"/>
          <w:sz w:val="28"/>
          <w:szCs w:val="28"/>
        </w:rPr>
        <w:t>投标人地址：</w:t>
      </w:r>
      <w:r>
        <w:rPr>
          <w:rStyle w:val="156"/>
          <w:rFonts w:hint="eastAsia" w:ascii="仿宋" w:hAnsi="仿宋" w:eastAsia="仿宋" w:cs="仿宋"/>
          <w:color w:val="auto"/>
          <w:sz w:val="28"/>
          <w:szCs w:val="28"/>
          <w:u w:val="single"/>
        </w:rPr>
        <w:t xml:space="preserve">                       </w:t>
      </w:r>
      <w:r>
        <w:rPr>
          <w:rStyle w:val="156"/>
          <w:rFonts w:hint="eastAsia" w:ascii="仿宋" w:hAnsi="仿宋" w:eastAsia="仿宋" w:cs="仿宋"/>
          <w:color w:val="auto"/>
          <w:sz w:val="28"/>
          <w:szCs w:val="28"/>
        </w:rPr>
        <w:t xml:space="preserve">  电话：</w:t>
      </w:r>
      <w:r>
        <w:rPr>
          <w:rStyle w:val="156"/>
          <w:rFonts w:hint="eastAsia" w:ascii="仿宋" w:hAnsi="仿宋" w:eastAsia="仿宋" w:cs="仿宋"/>
          <w:color w:val="auto"/>
          <w:sz w:val="28"/>
          <w:szCs w:val="28"/>
          <w:u w:val="single"/>
        </w:rPr>
        <w:t xml:space="preserve">              </w:t>
      </w:r>
      <w:r>
        <w:rPr>
          <w:rStyle w:val="156"/>
          <w:rFonts w:hint="eastAsia" w:ascii="仿宋" w:hAnsi="仿宋" w:eastAsia="仿宋" w:cs="仿宋"/>
          <w:color w:val="auto"/>
          <w:sz w:val="28"/>
          <w:szCs w:val="28"/>
        </w:rPr>
        <w:t xml:space="preserve"> </w:t>
      </w:r>
    </w:p>
    <w:p w14:paraId="12973814">
      <w:pPr>
        <w:snapToGrid w:val="0"/>
        <w:spacing w:after="50"/>
        <w:textAlignment w:val="baseline"/>
        <w:rPr>
          <w:rStyle w:val="156"/>
          <w:rFonts w:hint="eastAsia" w:ascii="仿宋" w:hAnsi="仿宋" w:eastAsia="仿宋" w:cs="仿宋"/>
          <w:color w:val="auto"/>
          <w:sz w:val="28"/>
          <w:szCs w:val="28"/>
        </w:rPr>
      </w:pPr>
    </w:p>
    <w:p w14:paraId="31F68F06">
      <w:pPr>
        <w:snapToGrid w:val="0"/>
        <w:spacing w:after="50"/>
        <w:ind w:firstLine="980" w:firstLineChars="350"/>
        <w:textAlignment w:val="baseline"/>
        <w:rPr>
          <w:rStyle w:val="156"/>
          <w:rFonts w:hint="eastAsia" w:ascii="仿宋" w:hAnsi="仿宋" w:eastAsia="仿宋" w:cs="仿宋"/>
          <w:b/>
          <w:color w:val="auto"/>
          <w:sz w:val="28"/>
          <w:szCs w:val="28"/>
        </w:rPr>
      </w:pPr>
      <w:r>
        <w:rPr>
          <w:rStyle w:val="156"/>
          <w:rFonts w:hint="eastAsia" w:ascii="仿宋" w:hAnsi="仿宋" w:eastAsia="仿宋" w:cs="仿宋"/>
          <w:color w:val="auto"/>
          <w:sz w:val="28"/>
          <w:szCs w:val="28"/>
        </w:rPr>
        <w:t xml:space="preserve">日期：     年    月   日 </w:t>
      </w:r>
      <w:r>
        <w:rPr>
          <w:rStyle w:val="156"/>
          <w:rFonts w:hint="eastAsia" w:ascii="仿宋" w:hAnsi="仿宋" w:eastAsia="仿宋" w:cs="仿宋"/>
          <w:b/>
          <w:color w:val="auto"/>
          <w:sz w:val="28"/>
          <w:szCs w:val="28"/>
        </w:rPr>
        <w:t xml:space="preserve">       </w:t>
      </w:r>
    </w:p>
    <w:p w14:paraId="70F7B984">
      <w:pPr>
        <w:rPr>
          <w:rFonts w:hint="eastAsia" w:ascii="仿宋" w:hAnsi="仿宋" w:eastAsia="仿宋" w:cs="仿宋"/>
          <w:b/>
          <w:color w:val="auto"/>
          <w:szCs w:val="21"/>
        </w:rPr>
      </w:pPr>
    </w:p>
    <w:p w14:paraId="2949A7B1">
      <w:pPr>
        <w:rPr>
          <w:rFonts w:hint="eastAsia" w:ascii="仿宋" w:hAnsi="仿宋" w:eastAsia="仿宋" w:cs="仿宋"/>
          <w:b/>
          <w:color w:val="auto"/>
          <w:szCs w:val="21"/>
        </w:rPr>
      </w:pPr>
      <w:r>
        <w:rPr>
          <w:rFonts w:hint="eastAsia" w:ascii="仿宋" w:hAnsi="仿宋" w:eastAsia="仿宋" w:cs="仿宋"/>
          <w:b/>
          <w:color w:val="auto"/>
          <w:szCs w:val="21"/>
        </w:rPr>
        <w:br w:type="page"/>
      </w:r>
    </w:p>
    <w:p w14:paraId="60470C98">
      <w:pPr>
        <w:spacing w:line="360" w:lineRule="auto"/>
        <w:jc w:val="left"/>
        <w:rPr>
          <w:rFonts w:hint="eastAsia" w:ascii="仿宋" w:hAnsi="仿宋" w:eastAsia="仿宋" w:cs="仿宋"/>
          <w:b/>
          <w:color w:val="auto"/>
          <w:szCs w:val="21"/>
          <w:lang w:val="en-US" w:eastAsia="zh-CN"/>
        </w:rPr>
      </w:pPr>
      <w:bookmarkStart w:id="56" w:name="法定代表人身份证明"/>
      <w:r>
        <w:rPr>
          <w:rFonts w:hint="eastAsia" w:ascii="仿宋" w:hAnsi="仿宋" w:eastAsia="仿宋" w:cs="仿宋"/>
          <w:b/>
          <w:color w:val="auto"/>
          <w:szCs w:val="21"/>
        </w:rPr>
        <w:t>附件1</w:t>
      </w:r>
      <w:bookmarkEnd w:id="55"/>
      <w:r>
        <w:rPr>
          <w:rFonts w:hint="eastAsia" w:ascii="仿宋" w:hAnsi="仿宋" w:eastAsia="仿宋" w:cs="仿宋"/>
          <w:b/>
          <w:color w:val="auto"/>
          <w:szCs w:val="21"/>
          <w:lang w:val="en-US" w:eastAsia="zh-CN"/>
        </w:rPr>
        <w:t>-1</w:t>
      </w:r>
    </w:p>
    <w:bookmarkEnd w:id="56"/>
    <w:p w14:paraId="2B545A41">
      <w:pPr>
        <w:spacing w:line="360" w:lineRule="auto"/>
        <w:jc w:val="center"/>
        <w:rPr>
          <w:rFonts w:hint="eastAsia" w:ascii="仿宋" w:hAnsi="仿宋" w:eastAsia="仿宋" w:cs="仿宋"/>
          <w:b/>
          <w:bCs/>
          <w:color w:val="auto"/>
          <w:kern w:val="0"/>
          <w:szCs w:val="21"/>
        </w:rPr>
      </w:pPr>
    </w:p>
    <w:p w14:paraId="7980B3CB">
      <w:pPr>
        <w:snapToGrid w:val="0"/>
        <w:spacing w:line="360" w:lineRule="auto"/>
        <w:jc w:val="center"/>
        <w:rPr>
          <w:rFonts w:hint="eastAsia" w:ascii="仿宋" w:hAnsi="仿宋" w:eastAsia="仿宋" w:cs="仿宋"/>
          <w:b/>
          <w:bCs/>
          <w:color w:val="auto"/>
          <w:sz w:val="28"/>
          <w:szCs w:val="28"/>
        </w:rPr>
      </w:pPr>
      <w:r>
        <w:rPr>
          <w:rFonts w:hint="eastAsia" w:ascii="仿宋" w:hAnsi="仿宋" w:eastAsia="仿宋" w:cs="仿宋"/>
          <w:b/>
          <w:bCs/>
          <w:color w:val="auto"/>
          <w:sz w:val="28"/>
          <w:szCs w:val="28"/>
        </w:rPr>
        <w:t>法定代表人（单位负责人）身份证明</w:t>
      </w:r>
    </w:p>
    <w:p w14:paraId="34852F84">
      <w:pPr>
        <w:widowControl/>
        <w:spacing w:line="360" w:lineRule="auto"/>
        <w:jc w:val="center"/>
        <w:rPr>
          <w:rFonts w:hint="eastAsia" w:ascii="仿宋" w:hAnsi="仿宋" w:eastAsia="仿宋" w:cs="仿宋"/>
          <w:b/>
          <w:bCs/>
          <w:color w:val="auto"/>
          <w:kern w:val="0"/>
          <w:szCs w:val="21"/>
        </w:rPr>
      </w:pPr>
      <w:r>
        <w:rPr>
          <w:rFonts w:hint="eastAsia" w:ascii="仿宋" w:hAnsi="仿宋" w:eastAsia="仿宋" w:cs="仿宋"/>
          <w:b/>
          <w:bCs/>
          <w:color w:val="auto"/>
          <w:kern w:val="0"/>
          <w:szCs w:val="21"/>
        </w:rPr>
        <w:t xml:space="preserve"> </w:t>
      </w:r>
    </w:p>
    <w:p w14:paraId="7064D881">
      <w:pPr>
        <w:widowControl/>
        <w:spacing w:line="360" w:lineRule="auto"/>
        <w:ind w:firstLine="480"/>
        <w:jc w:val="left"/>
        <w:rPr>
          <w:rFonts w:hint="eastAsia" w:ascii="仿宋" w:hAnsi="仿宋" w:eastAsia="仿宋" w:cs="仿宋"/>
          <w:color w:val="auto"/>
          <w:kern w:val="0"/>
          <w:szCs w:val="21"/>
        </w:rPr>
      </w:pPr>
      <w:r>
        <w:rPr>
          <w:rFonts w:hint="eastAsia" w:ascii="仿宋" w:hAnsi="仿宋" w:eastAsia="仿宋" w:cs="仿宋"/>
          <w:color w:val="auto"/>
          <w:kern w:val="0"/>
          <w:szCs w:val="21"/>
        </w:rPr>
        <w:t xml:space="preserve"> </w:t>
      </w:r>
    </w:p>
    <w:p w14:paraId="15E9A407">
      <w:pPr>
        <w:widowControl/>
        <w:spacing w:line="360" w:lineRule="auto"/>
        <w:ind w:firstLine="1080"/>
        <w:rPr>
          <w:rFonts w:hint="eastAsia" w:ascii="仿宋" w:hAnsi="仿宋" w:eastAsia="仿宋" w:cs="仿宋"/>
          <w:color w:val="auto"/>
          <w:kern w:val="0"/>
          <w:szCs w:val="21"/>
        </w:rPr>
      </w:pPr>
      <w:r>
        <w:rPr>
          <w:rFonts w:hint="eastAsia" w:ascii="仿宋" w:hAnsi="仿宋" w:eastAsia="仿宋" w:cs="仿宋"/>
          <w:color w:val="auto"/>
          <w:kern w:val="0"/>
          <w:szCs w:val="21"/>
        </w:rPr>
        <w:t>单位名称：</w:t>
      </w:r>
      <w:r>
        <w:rPr>
          <w:rFonts w:hint="eastAsia" w:ascii="仿宋" w:hAnsi="仿宋" w:eastAsia="仿宋" w:cs="仿宋"/>
          <w:color w:val="auto"/>
          <w:kern w:val="0"/>
          <w:szCs w:val="21"/>
          <w:u w:val="single"/>
        </w:rPr>
        <w:t xml:space="preserve">                                               </w:t>
      </w:r>
    </w:p>
    <w:p w14:paraId="09FDB218">
      <w:pPr>
        <w:widowControl/>
        <w:spacing w:line="360" w:lineRule="auto"/>
        <w:ind w:firstLine="1080"/>
        <w:rPr>
          <w:rFonts w:hint="eastAsia" w:ascii="仿宋" w:hAnsi="仿宋" w:eastAsia="仿宋" w:cs="仿宋"/>
          <w:color w:val="auto"/>
          <w:kern w:val="0"/>
          <w:szCs w:val="21"/>
          <w:u w:val="single"/>
        </w:rPr>
      </w:pPr>
      <w:r>
        <w:rPr>
          <w:rFonts w:hint="eastAsia" w:ascii="仿宋" w:hAnsi="仿宋" w:eastAsia="仿宋" w:cs="仿宋"/>
          <w:color w:val="auto"/>
          <w:kern w:val="0"/>
          <w:szCs w:val="21"/>
        </w:rPr>
        <w:t>单位性质：</w:t>
      </w:r>
      <w:r>
        <w:rPr>
          <w:rFonts w:hint="eastAsia" w:ascii="仿宋" w:hAnsi="仿宋" w:eastAsia="仿宋" w:cs="仿宋"/>
          <w:color w:val="auto"/>
          <w:kern w:val="0"/>
          <w:szCs w:val="21"/>
          <w:u w:val="single"/>
        </w:rPr>
        <w:t xml:space="preserve">                                               </w:t>
      </w:r>
    </w:p>
    <w:p w14:paraId="6CBB6655">
      <w:pPr>
        <w:widowControl/>
        <w:spacing w:line="360" w:lineRule="auto"/>
        <w:ind w:firstLine="1080"/>
        <w:rPr>
          <w:rFonts w:hint="eastAsia" w:ascii="仿宋" w:hAnsi="仿宋" w:eastAsia="仿宋" w:cs="仿宋"/>
          <w:color w:val="auto"/>
          <w:kern w:val="0"/>
          <w:szCs w:val="21"/>
          <w:u w:val="single"/>
        </w:rPr>
      </w:pPr>
      <w:r>
        <w:rPr>
          <w:rFonts w:hint="eastAsia" w:ascii="仿宋" w:hAnsi="仿宋" w:eastAsia="仿宋" w:cs="仿宋"/>
          <w:color w:val="auto"/>
          <w:kern w:val="0"/>
          <w:szCs w:val="21"/>
        </w:rPr>
        <w:t>地    址：</w:t>
      </w:r>
      <w:r>
        <w:rPr>
          <w:rFonts w:hint="eastAsia" w:ascii="仿宋" w:hAnsi="仿宋" w:eastAsia="仿宋" w:cs="仿宋"/>
          <w:color w:val="auto"/>
          <w:kern w:val="0"/>
          <w:szCs w:val="21"/>
          <w:u w:val="single"/>
        </w:rPr>
        <w:t xml:space="preserve">                                               </w:t>
      </w:r>
    </w:p>
    <w:p w14:paraId="7EE9045C">
      <w:pPr>
        <w:widowControl/>
        <w:spacing w:line="360" w:lineRule="auto"/>
        <w:ind w:firstLine="1080"/>
        <w:rPr>
          <w:rFonts w:hint="eastAsia" w:ascii="仿宋" w:hAnsi="仿宋" w:eastAsia="仿宋" w:cs="仿宋"/>
          <w:color w:val="auto"/>
          <w:kern w:val="0"/>
          <w:szCs w:val="21"/>
        </w:rPr>
      </w:pPr>
      <w:r>
        <w:rPr>
          <w:rFonts w:hint="eastAsia" w:ascii="仿宋" w:hAnsi="仿宋" w:eastAsia="仿宋" w:cs="仿宋"/>
          <w:color w:val="auto"/>
          <w:kern w:val="0"/>
          <w:szCs w:val="21"/>
        </w:rPr>
        <w:t>成立时间：</w:t>
      </w:r>
      <w:r>
        <w:rPr>
          <w:rFonts w:hint="eastAsia" w:ascii="仿宋" w:hAnsi="仿宋" w:eastAsia="仿宋" w:cs="仿宋"/>
          <w:color w:val="auto"/>
          <w:kern w:val="0"/>
          <w:szCs w:val="21"/>
          <w:u w:val="single"/>
        </w:rPr>
        <w:t xml:space="preserve">             </w:t>
      </w:r>
      <w:r>
        <w:rPr>
          <w:rFonts w:hint="eastAsia" w:ascii="仿宋" w:hAnsi="仿宋" w:eastAsia="仿宋" w:cs="仿宋"/>
          <w:color w:val="auto"/>
          <w:kern w:val="0"/>
          <w:szCs w:val="21"/>
        </w:rPr>
        <w:t>年</w:t>
      </w:r>
      <w:r>
        <w:rPr>
          <w:rFonts w:hint="eastAsia" w:ascii="仿宋" w:hAnsi="仿宋" w:eastAsia="仿宋" w:cs="仿宋"/>
          <w:color w:val="auto"/>
          <w:kern w:val="0"/>
          <w:szCs w:val="21"/>
          <w:u w:val="single"/>
        </w:rPr>
        <w:t xml:space="preserve">               </w:t>
      </w:r>
      <w:r>
        <w:rPr>
          <w:rFonts w:hint="eastAsia" w:ascii="仿宋" w:hAnsi="仿宋" w:eastAsia="仿宋" w:cs="仿宋"/>
          <w:color w:val="auto"/>
          <w:kern w:val="0"/>
          <w:szCs w:val="21"/>
        </w:rPr>
        <w:t>月</w:t>
      </w:r>
      <w:r>
        <w:rPr>
          <w:rFonts w:hint="eastAsia" w:ascii="仿宋" w:hAnsi="仿宋" w:eastAsia="仿宋" w:cs="仿宋"/>
          <w:color w:val="auto"/>
          <w:kern w:val="0"/>
          <w:szCs w:val="21"/>
          <w:u w:val="single"/>
        </w:rPr>
        <w:t xml:space="preserve">               </w:t>
      </w:r>
      <w:r>
        <w:rPr>
          <w:rFonts w:hint="eastAsia" w:ascii="仿宋" w:hAnsi="仿宋" w:eastAsia="仿宋" w:cs="仿宋"/>
          <w:color w:val="auto"/>
          <w:kern w:val="0"/>
          <w:szCs w:val="21"/>
        </w:rPr>
        <w:t>日</w:t>
      </w:r>
    </w:p>
    <w:p w14:paraId="35FCE509">
      <w:pPr>
        <w:widowControl/>
        <w:spacing w:line="360" w:lineRule="auto"/>
        <w:ind w:firstLine="1080"/>
        <w:rPr>
          <w:rFonts w:hint="eastAsia" w:ascii="仿宋" w:hAnsi="仿宋" w:eastAsia="仿宋" w:cs="仿宋"/>
          <w:color w:val="auto"/>
          <w:kern w:val="0"/>
          <w:szCs w:val="21"/>
          <w:u w:val="single"/>
        </w:rPr>
      </w:pPr>
      <w:r>
        <w:rPr>
          <w:rFonts w:hint="eastAsia" w:ascii="仿宋" w:hAnsi="仿宋" w:eastAsia="仿宋" w:cs="仿宋"/>
          <w:color w:val="auto"/>
          <w:kern w:val="0"/>
          <w:szCs w:val="21"/>
        </w:rPr>
        <w:t>经营期限：</w:t>
      </w:r>
      <w:r>
        <w:rPr>
          <w:rFonts w:hint="eastAsia" w:ascii="仿宋" w:hAnsi="仿宋" w:eastAsia="仿宋" w:cs="仿宋"/>
          <w:color w:val="auto"/>
          <w:kern w:val="0"/>
          <w:szCs w:val="21"/>
          <w:u w:val="single"/>
        </w:rPr>
        <w:t xml:space="preserve">                                               </w:t>
      </w:r>
    </w:p>
    <w:p w14:paraId="1DA7F4C7">
      <w:pPr>
        <w:widowControl/>
        <w:spacing w:line="360" w:lineRule="auto"/>
        <w:ind w:firstLine="1080"/>
        <w:rPr>
          <w:rFonts w:hint="eastAsia" w:ascii="仿宋" w:hAnsi="仿宋" w:eastAsia="仿宋" w:cs="仿宋"/>
          <w:color w:val="auto"/>
          <w:kern w:val="0"/>
          <w:szCs w:val="21"/>
          <w:u w:val="single"/>
        </w:rPr>
      </w:pPr>
      <w:r>
        <w:rPr>
          <w:rFonts w:hint="eastAsia" w:ascii="仿宋" w:hAnsi="仿宋" w:eastAsia="仿宋" w:cs="仿宋"/>
          <w:color w:val="auto"/>
          <w:kern w:val="0"/>
          <w:szCs w:val="21"/>
        </w:rPr>
        <w:t>姓    名：</w:t>
      </w:r>
      <w:r>
        <w:rPr>
          <w:rFonts w:hint="eastAsia" w:ascii="仿宋" w:hAnsi="仿宋" w:eastAsia="仿宋" w:cs="仿宋"/>
          <w:color w:val="auto"/>
          <w:kern w:val="0"/>
          <w:szCs w:val="21"/>
          <w:u w:val="single"/>
        </w:rPr>
        <w:t xml:space="preserve">                          </w:t>
      </w:r>
      <w:r>
        <w:rPr>
          <w:rFonts w:hint="eastAsia" w:ascii="仿宋" w:hAnsi="仿宋" w:eastAsia="仿宋" w:cs="仿宋"/>
          <w:color w:val="auto"/>
          <w:kern w:val="0"/>
          <w:szCs w:val="21"/>
        </w:rPr>
        <w:t>性    别：</w:t>
      </w:r>
      <w:r>
        <w:rPr>
          <w:rFonts w:hint="eastAsia" w:ascii="仿宋" w:hAnsi="仿宋" w:eastAsia="仿宋" w:cs="仿宋"/>
          <w:color w:val="auto"/>
          <w:kern w:val="0"/>
          <w:szCs w:val="21"/>
          <w:u w:val="single"/>
        </w:rPr>
        <w:t xml:space="preserve">            </w:t>
      </w:r>
    </w:p>
    <w:p w14:paraId="767BC369">
      <w:pPr>
        <w:widowControl/>
        <w:spacing w:line="360" w:lineRule="auto"/>
        <w:ind w:firstLine="1080"/>
        <w:rPr>
          <w:rFonts w:hint="eastAsia" w:ascii="仿宋" w:hAnsi="仿宋" w:eastAsia="仿宋" w:cs="仿宋"/>
          <w:color w:val="auto"/>
          <w:kern w:val="0"/>
          <w:szCs w:val="21"/>
          <w:u w:val="single"/>
        </w:rPr>
      </w:pPr>
      <w:r>
        <w:rPr>
          <w:rFonts w:hint="eastAsia" w:ascii="仿宋" w:hAnsi="仿宋" w:eastAsia="仿宋" w:cs="仿宋"/>
          <w:color w:val="auto"/>
          <w:kern w:val="0"/>
          <w:szCs w:val="21"/>
        </w:rPr>
        <w:t>年    龄：</w:t>
      </w:r>
      <w:r>
        <w:rPr>
          <w:rFonts w:hint="eastAsia" w:ascii="仿宋" w:hAnsi="仿宋" w:eastAsia="仿宋" w:cs="仿宋"/>
          <w:color w:val="auto"/>
          <w:kern w:val="0"/>
          <w:szCs w:val="21"/>
          <w:u w:val="single"/>
        </w:rPr>
        <w:t xml:space="preserve">                          </w:t>
      </w:r>
      <w:r>
        <w:rPr>
          <w:rFonts w:hint="eastAsia" w:ascii="仿宋" w:hAnsi="仿宋" w:eastAsia="仿宋" w:cs="仿宋"/>
          <w:color w:val="auto"/>
          <w:kern w:val="0"/>
          <w:szCs w:val="21"/>
        </w:rPr>
        <w:t>职    务：</w:t>
      </w:r>
      <w:r>
        <w:rPr>
          <w:rFonts w:hint="eastAsia" w:ascii="仿宋" w:hAnsi="仿宋" w:eastAsia="仿宋" w:cs="仿宋"/>
          <w:color w:val="auto"/>
          <w:kern w:val="0"/>
          <w:szCs w:val="21"/>
          <w:u w:val="single"/>
        </w:rPr>
        <w:t xml:space="preserve">            </w:t>
      </w:r>
    </w:p>
    <w:p w14:paraId="7D6ADEB8">
      <w:pPr>
        <w:widowControl/>
        <w:spacing w:line="360" w:lineRule="auto"/>
        <w:ind w:firstLine="1080"/>
        <w:rPr>
          <w:rFonts w:hint="eastAsia" w:ascii="仿宋" w:hAnsi="仿宋" w:eastAsia="仿宋" w:cs="仿宋"/>
          <w:color w:val="auto"/>
          <w:kern w:val="0"/>
          <w:szCs w:val="21"/>
        </w:rPr>
      </w:pPr>
      <w:r>
        <w:rPr>
          <w:rFonts w:hint="eastAsia" w:ascii="仿宋" w:hAnsi="仿宋" w:eastAsia="仿宋" w:cs="仿宋"/>
          <w:color w:val="auto"/>
          <w:kern w:val="0"/>
          <w:szCs w:val="21"/>
        </w:rPr>
        <w:t>系</w:t>
      </w:r>
      <w:r>
        <w:rPr>
          <w:rFonts w:hint="eastAsia" w:ascii="仿宋" w:hAnsi="仿宋" w:eastAsia="仿宋" w:cs="仿宋"/>
          <w:color w:val="auto"/>
          <w:kern w:val="0"/>
          <w:szCs w:val="21"/>
          <w:u w:val="single"/>
        </w:rPr>
        <w:t xml:space="preserve">                             </w:t>
      </w:r>
      <w:r>
        <w:rPr>
          <w:rFonts w:hint="eastAsia" w:ascii="仿宋" w:hAnsi="仿宋" w:eastAsia="仿宋" w:cs="仿宋"/>
          <w:color w:val="auto"/>
          <w:kern w:val="0"/>
          <w:szCs w:val="21"/>
        </w:rPr>
        <w:t>（投标人名称）的法定代表人</w:t>
      </w:r>
      <w:r>
        <w:rPr>
          <w:rStyle w:val="156"/>
          <w:rFonts w:hint="eastAsia" w:ascii="仿宋" w:hAnsi="仿宋" w:eastAsia="仿宋" w:cs="仿宋"/>
          <w:color w:val="auto"/>
          <w:szCs w:val="21"/>
          <w:lang w:val="zh-CN"/>
        </w:rPr>
        <w:t>（单位负责人）</w:t>
      </w:r>
      <w:r>
        <w:rPr>
          <w:rFonts w:hint="eastAsia" w:ascii="仿宋" w:hAnsi="仿宋" w:eastAsia="仿宋" w:cs="仿宋"/>
          <w:color w:val="auto"/>
          <w:kern w:val="0"/>
          <w:szCs w:val="21"/>
        </w:rPr>
        <w:t>。</w:t>
      </w:r>
    </w:p>
    <w:p w14:paraId="340D2118">
      <w:pPr>
        <w:widowControl/>
        <w:spacing w:line="360" w:lineRule="auto"/>
        <w:ind w:firstLine="1080"/>
        <w:rPr>
          <w:rFonts w:hint="eastAsia" w:ascii="仿宋" w:hAnsi="仿宋" w:eastAsia="仿宋" w:cs="仿宋"/>
          <w:color w:val="auto"/>
          <w:kern w:val="0"/>
          <w:szCs w:val="21"/>
        </w:rPr>
      </w:pPr>
      <w:r>
        <w:rPr>
          <w:rFonts w:hint="eastAsia" w:ascii="仿宋" w:hAnsi="仿宋" w:eastAsia="仿宋" w:cs="仿宋"/>
          <w:color w:val="auto"/>
          <w:kern w:val="0"/>
          <w:szCs w:val="21"/>
        </w:rPr>
        <w:t>特此证明。</w:t>
      </w:r>
    </w:p>
    <w:p w14:paraId="0D458A1E">
      <w:pPr>
        <w:widowControl/>
        <w:spacing w:line="360" w:lineRule="auto"/>
        <w:jc w:val="right"/>
        <w:rPr>
          <w:rFonts w:hint="eastAsia" w:ascii="仿宋" w:hAnsi="仿宋" w:eastAsia="仿宋" w:cs="仿宋"/>
          <w:color w:val="auto"/>
          <w:kern w:val="0"/>
          <w:szCs w:val="21"/>
        </w:rPr>
      </w:pPr>
      <w:r>
        <w:rPr>
          <w:rFonts w:hint="eastAsia" w:ascii="仿宋" w:hAnsi="仿宋" w:eastAsia="仿宋" w:cs="仿宋"/>
          <w:color w:val="auto"/>
          <w:kern w:val="0"/>
          <w:szCs w:val="21"/>
        </w:rPr>
        <w:t xml:space="preserve"> 投标人名称：</w:t>
      </w:r>
      <w:r>
        <w:rPr>
          <w:rFonts w:hint="eastAsia" w:ascii="仿宋" w:hAnsi="仿宋" w:eastAsia="仿宋" w:cs="仿宋"/>
          <w:color w:val="auto"/>
          <w:kern w:val="0"/>
          <w:szCs w:val="21"/>
          <w:u w:val="single"/>
        </w:rPr>
        <w:t xml:space="preserve">                      </w:t>
      </w:r>
      <w:r>
        <w:rPr>
          <w:rFonts w:hint="eastAsia" w:ascii="仿宋" w:hAnsi="仿宋" w:eastAsia="仿宋" w:cs="仿宋"/>
          <w:color w:val="auto"/>
          <w:kern w:val="0"/>
          <w:szCs w:val="21"/>
        </w:rPr>
        <w:t>（盖章）</w:t>
      </w:r>
    </w:p>
    <w:p w14:paraId="1214A0C8">
      <w:pPr>
        <w:widowControl/>
        <w:spacing w:line="360" w:lineRule="auto"/>
        <w:ind w:firstLine="6405" w:firstLineChars="3050"/>
        <w:rPr>
          <w:rFonts w:hint="eastAsia" w:ascii="仿宋" w:hAnsi="仿宋" w:eastAsia="仿宋" w:cs="仿宋"/>
          <w:color w:val="auto"/>
          <w:kern w:val="0"/>
          <w:szCs w:val="21"/>
        </w:rPr>
      </w:pPr>
      <w:r>
        <w:rPr>
          <w:rFonts w:hint="eastAsia" w:ascii="仿宋" w:hAnsi="仿宋" w:eastAsia="仿宋" w:cs="仿宋"/>
          <w:color w:val="auto"/>
          <w:kern w:val="0"/>
          <w:szCs w:val="21"/>
        </w:rPr>
        <w:t>日期：</w:t>
      </w:r>
      <w:r>
        <w:rPr>
          <w:rFonts w:hint="eastAsia" w:ascii="仿宋" w:hAnsi="仿宋" w:eastAsia="仿宋" w:cs="仿宋"/>
          <w:color w:val="auto"/>
          <w:kern w:val="0"/>
          <w:szCs w:val="21"/>
          <w:u w:val="single"/>
        </w:rPr>
        <w:t xml:space="preserve">       </w:t>
      </w:r>
      <w:r>
        <w:rPr>
          <w:rFonts w:hint="eastAsia" w:ascii="仿宋" w:hAnsi="仿宋" w:eastAsia="仿宋" w:cs="仿宋"/>
          <w:color w:val="auto"/>
          <w:kern w:val="0"/>
          <w:szCs w:val="21"/>
        </w:rPr>
        <w:t>年</w:t>
      </w:r>
      <w:r>
        <w:rPr>
          <w:rFonts w:hint="eastAsia" w:ascii="仿宋" w:hAnsi="仿宋" w:eastAsia="仿宋" w:cs="仿宋"/>
          <w:color w:val="auto"/>
          <w:kern w:val="0"/>
          <w:szCs w:val="21"/>
          <w:u w:val="single"/>
        </w:rPr>
        <w:t xml:space="preserve"> </w:t>
      </w:r>
      <w:r>
        <w:rPr>
          <w:rFonts w:hint="eastAsia" w:ascii="仿宋" w:hAnsi="仿宋" w:eastAsia="仿宋" w:cs="仿宋"/>
          <w:color w:val="auto"/>
          <w:kern w:val="0"/>
          <w:szCs w:val="21"/>
          <w:u w:val="single"/>
          <w:lang w:val="en-US" w:eastAsia="zh-CN"/>
        </w:rPr>
        <w:t xml:space="preserve">  </w:t>
      </w:r>
      <w:r>
        <w:rPr>
          <w:rFonts w:hint="eastAsia" w:ascii="仿宋" w:hAnsi="仿宋" w:eastAsia="仿宋" w:cs="仿宋"/>
          <w:color w:val="auto"/>
          <w:kern w:val="0"/>
          <w:szCs w:val="21"/>
          <w:u w:val="single"/>
        </w:rPr>
        <w:t xml:space="preserve">  </w:t>
      </w:r>
      <w:r>
        <w:rPr>
          <w:rFonts w:hint="eastAsia" w:ascii="仿宋" w:hAnsi="仿宋" w:eastAsia="仿宋" w:cs="仿宋"/>
          <w:color w:val="auto"/>
          <w:kern w:val="0"/>
          <w:szCs w:val="21"/>
        </w:rPr>
        <w:t>月</w:t>
      </w:r>
      <w:r>
        <w:rPr>
          <w:rFonts w:hint="eastAsia" w:ascii="仿宋" w:hAnsi="仿宋" w:eastAsia="仿宋" w:cs="仿宋"/>
          <w:color w:val="auto"/>
          <w:kern w:val="0"/>
          <w:szCs w:val="21"/>
          <w:u w:val="single"/>
        </w:rPr>
        <w:t xml:space="preserve">   </w:t>
      </w:r>
      <w:r>
        <w:rPr>
          <w:rFonts w:hint="eastAsia" w:ascii="仿宋" w:hAnsi="仿宋" w:eastAsia="仿宋" w:cs="仿宋"/>
          <w:color w:val="auto"/>
          <w:kern w:val="0"/>
          <w:szCs w:val="21"/>
          <w:u w:val="single"/>
          <w:lang w:val="en-US" w:eastAsia="zh-CN"/>
        </w:rPr>
        <w:t xml:space="preserve">  </w:t>
      </w:r>
      <w:r>
        <w:rPr>
          <w:rFonts w:hint="eastAsia" w:ascii="仿宋" w:hAnsi="仿宋" w:eastAsia="仿宋" w:cs="仿宋"/>
          <w:color w:val="auto"/>
          <w:kern w:val="0"/>
          <w:szCs w:val="21"/>
        </w:rPr>
        <w:t xml:space="preserve">日 </w:t>
      </w:r>
    </w:p>
    <w:p w14:paraId="01AF71E9">
      <w:pPr>
        <w:spacing w:line="360" w:lineRule="auto"/>
        <w:jc w:val="left"/>
        <w:rPr>
          <w:rFonts w:hint="eastAsia" w:ascii="仿宋" w:hAnsi="仿宋" w:eastAsia="仿宋" w:cs="仿宋"/>
          <w:b/>
          <w:bCs/>
          <w:color w:val="auto"/>
          <w:szCs w:val="21"/>
        </w:rPr>
      </w:pPr>
      <w:r>
        <w:rPr>
          <w:rFonts w:hint="eastAsia" w:ascii="仿宋" w:hAnsi="仿宋" w:eastAsia="仿宋" w:cs="仿宋"/>
          <w:color w:val="auto"/>
          <w:sz w:val="21"/>
        </w:rPr>
        <mc:AlternateContent>
          <mc:Choice Requires="wps">
            <w:drawing>
              <wp:anchor distT="0" distB="0" distL="114300" distR="114300" simplePos="0" relativeHeight="251665408" behindDoc="0" locked="0" layoutInCell="1" allowOverlap="1">
                <wp:simplePos x="0" y="0"/>
                <wp:positionH relativeFrom="column">
                  <wp:posOffset>2791460</wp:posOffset>
                </wp:positionH>
                <wp:positionV relativeFrom="paragraph">
                  <wp:posOffset>262890</wp:posOffset>
                </wp:positionV>
                <wp:extent cx="2785745" cy="2868930"/>
                <wp:effectExtent l="4445" t="4445" r="10160" b="22225"/>
                <wp:wrapNone/>
                <wp:docPr id="16" name="矩形 16"/>
                <wp:cNvGraphicFramePr/>
                <a:graphic xmlns:a="http://schemas.openxmlformats.org/drawingml/2006/main">
                  <a:graphicData uri="http://schemas.microsoft.com/office/word/2010/wordprocessingShape">
                    <wps:wsp>
                      <wps:cNvSpPr/>
                      <wps:spPr>
                        <a:xfrm>
                          <a:off x="0" y="0"/>
                          <a:ext cx="2785745" cy="286893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19.8pt;margin-top:20.7pt;height:225.9pt;width:219.35pt;z-index:251665408;v-text-anchor:middle;mso-width-relative:page;mso-height-relative:page;" fillcolor="#FFFFFF [3201]" filled="t" stroked="t" coordsize="21600,21600" o:gfxdata="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CfUuhz2gAAAAoBAAAPAAAAAAAAAAEAIAAAACIAAABkcnMvZG93bnJldi54bWxQ&#10;SwECFAAUAAAACACHTuJAVI5jAmcCAADfBAAADgAAAAAAAAABACAAAAApAQAAZHJzL2Uyb0RvYy54&#10;bWxQSwUGAAAAAAYABgBZAQAAAgYAAAAA&#10;">
                <v:fill on="t" focussize="0,0"/>
                <v:stroke weight="0.25pt" color="#000000 [3213]" joinstyle="round"/>
                <v:imagedata o:title=""/>
                <o:lock v:ext="edit" aspectratio="f"/>
              </v:rect>
            </w:pict>
          </mc:Fallback>
        </mc:AlternateContent>
      </w:r>
      <w:r>
        <w:rPr>
          <w:rFonts w:hint="eastAsia" w:ascii="仿宋" w:hAnsi="仿宋" w:eastAsia="仿宋" w:cs="仿宋"/>
          <w:color w:val="auto"/>
          <w:sz w:val="21"/>
        </w:rPr>
        <mc:AlternateContent>
          <mc:Choice Requires="wps">
            <w:drawing>
              <wp:anchor distT="0" distB="0" distL="114300" distR="114300" simplePos="0" relativeHeight="251663360" behindDoc="0" locked="0" layoutInCell="1" allowOverlap="1">
                <wp:simplePos x="0" y="0"/>
                <wp:positionH relativeFrom="column">
                  <wp:posOffset>-75565</wp:posOffset>
                </wp:positionH>
                <wp:positionV relativeFrom="paragraph">
                  <wp:posOffset>264795</wp:posOffset>
                </wp:positionV>
                <wp:extent cx="2785745" cy="2868930"/>
                <wp:effectExtent l="4445" t="4445" r="10160" b="22225"/>
                <wp:wrapNone/>
                <wp:docPr id="15" name="矩形 15"/>
                <wp:cNvGraphicFramePr/>
                <a:graphic xmlns:a="http://schemas.openxmlformats.org/drawingml/2006/main">
                  <a:graphicData uri="http://schemas.microsoft.com/office/word/2010/wordprocessingShape">
                    <wps:wsp>
                      <wps:cNvSpPr/>
                      <wps:spPr>
                        <a:xfrm>
                          <a:off x="0" y="0"/>
                          <a:ext cx="2785745" cy="286893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5.95pt;margin-top:20.85pt;height:225.9pt;width:219.35pt;z-index:251663360;v-text-anchor:middle;mso-width-relative:page;mso-height-relative:page;" fillcolor="#FFFFFF [3201]" filled="t" stroked="t" coordsize="21600,21600" o:gfxdata="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CKmTHu2wAAAAoBAAAPAAAAAAAAAAEAIAAAACIAAABkcnMvZG93bnJldi54bWxQ&#10;SwECFAAUAAAACACHTuJALscrmmYCAADfBAAADgAAAAAAAAABACAAAAAqAQAAZHJzL2Uyb0RvYy54&#10;bWxQSwUGAAAAAAYABgBZAQAAAgYAAAAA&#10;">
                <v:fill on="t" focussize="0,0"/>
                <v:stroke weight="0.25pt" color="#000000 [3213]" joinstyle="round"/>
                <v:imagedata o:title=""/>
                <o:lock v:ext="edit" aspectratio="f"/>
              </v:rect>
            </w:pict>
          </mc:Fallback>
        </mc:AlternateContent>
      </w:r>
      <w:r>
        <w:rPr>
          <w:rFonts w:hint="eastAsia" w:ascii="仿宋" w:hAnsi="仿宋" w:eastAsia="仿宋" w:cs="仿宋"/>
          <w:b/>
          <w:bCs/>
          <w:color w:val="auto"/>
          <w:szCs w:val="21"/>
        </w:rPr>
        <w:t>附</w:t>
      </w:r>
      <w:r>
        <w:rPr>
          <w:rFonts w:hint="eastAsia" w:ascii="仿宋" w:hAnsi="仿宋" w:eastAsia="仿宋" w:cs="仿宋"/>
          <w:b/>
          <w:color w:val="auto"/>
          <w:szCs w:val="21"/>
        </w:rPr>
        <w:t>法定代表人（单位负责人）身份证复印件</w:t>
      </w:r>
    </w:p>
    <w:p w14:paraId="0CBF71AE">
      <w:pPr>
        <w:spacing w:line="360" w:lineRule="auto"/>
        <w:jc w:val="left"/>
        <w:rPr>
          <w:rFonts w:hint="eastAsia" w:ascii="仿宋" w:hAnsi="仿宋" w:eastAsia="仿宋" w:cs="仿宋"/>
          <w:b/>
          <w:color w:val="auto"/>
          <w:szCs w:val="21"/>
        </w:rPr>
      </w:pPr>
      <w:r>
        <w:rPr>
          <w:rFonts w:hint="eastAsia" w:ascii="仿宋" w:hAnsi="仿宋" w:eastAsia="仿宋" w:cs="仿宋"/>
          <w:b/>
          <w:bCs/>
          <w:color w:val="auto"/>
          <w:szCs w:val="21"/>
        </w:rPr>
        <w:br w:type="page"/>
      </w:r>
      <w:bookmarkStart w:id="57" w:name="法定代表人授权委托书"/>
      <w:r>
        <w:rPr>
          <w:rFonts w:hint="eastAsia" w:ascii="仿宋" w:hAnsi="仿宋" w:eastAsia="仿宋" w:cs="仿宋"/>
          <w:b/>
          <w:color w:val="auto"/>
          <w:szCs w:val="21"/>
        </w:rPr>
        <w:t>附件</w:t>
      </w:r>
      <w:r>
        <w:rPr>
          <w:rFonts w:hint="eastAsia" w:ascii="仿宋" w:hAnsi="仿宋" w:eastAsia="仿宋" w:cs="仿宋"/>
          <w:b/>
          <w:color w:val="auto"/>
          <w:szCs w:val="21"/>
          <w:lang w:val="en-US" w:eastAsia="zh-CN"/>
        </w:rPr>
        <w:t>1</w:t>
      </w:r>
      <w:r>
        <w:rPr>
          <w:rFonts w:hint="eastAsia" w:ascii="仿宋" w:hAnsi="仿宋" w:eastAsia="仿宋" w:cs="仿宋"/>
          <w:b/>
          <w:color w:val="auto"/>
          <w:szCs w:val="21"/>
        </w:rPr>
        <w:t>-2</w:t>
      </w:r>
      <w:bookmarkEnd w:id="57"/>
    </w:p>
    <w:p w14:paraId="74B61CBA">
      <w:pPr>
        <w:spacing w:line="360" w:lineRule="auto"/>
        <w:jc w:val="center"/>
        <w:rPr>
          <w:rFonts w:hint="eastAsia" w:ascii="仿宋" w:hAnsi="仿宋" w:eastAsia="仿宋" w:cs="仿宋"/>
          <w:b/>
          <w:bCs/>
          <w:color w:val="auto"/>
          <w:szCs w:val="21"/>
        </w:rPr>
      </w:pPr>
    </w:p>
    <w:p w14:paraId="15A75F18">
      <w:pPr>
        <w:snapToGrid w:val="0"/>
        <w:spacing w:line="360" w:lineRule="auto"/>
        <w:jc w:val="center"/>
        <w:rPr>
          <w:rFonts w:hint="eastAsia" w:ascii="仿宋" w:hAnsi="仿宋" w:eastAsia="仿宋" w:cs="仿宋"/>
          <w:b/>
          <w:bCs/>
          <w:color w:val="auto"/>
          <w:sz w:val="28"/>
          <w:szCs w:val="28"/>
        </w:rPr>
      </w:pPr>
      <w:r>
        <w:rPr>
          <w:rFonts w:hint="eastAsia" w:ascii="仿宋" w:hAnsi="仿宋" w:eastAsia="仿宋" w:cs="仿宋"/>
          <w:b/>
          <w:bCs/>
          <w:color w:val="auto"/>
          <w:sz w:val="28"/>
          <w:szCs w:val="28"/>
        </w:rPr>
        <w:t>法定代表人（单位负责人）授权委托书</w:t>
      </w:r>
    </w:p>
    <w:p w14:paraId="78378995">
      <w:pPr>
        <w:spacing w:line="360" w:lineRule="auto"/>
        <w:rPr>
          <w:rFonts w:hint="eastAsia" w:ascii="仿宋" w:hAnsi="仿宋" w:eastAsia="仿宋" w:cs="仿宋"/>
          <w:color w:val="auto"/>
          <w:szCs w:val="21"/>
        </w:rPr>
      </w:pPr>
    </w:p>
    <w:p w14:paraId="15C35B0D">
      <w:pPr>
        <w:spacing w:line="360" w:lineRule="auto"/>
        <w:ind w:firstLine="105" w:firstLineChars="50"/>
        <w:rPr>
          <w:rFonts w:hint="eastAsia" w:ascii="仿宋" w:hAnsi="仿宋" w:eastAsia="仿宋" w:cs="仿宋"/>
          <w:color w:val="auto"/>
          <w:szCs w:val="21"/>
        </w:rPr>
      </w:pPr>
      <w:r>
        <w:rPr>
          <w:rFonts w:hint="eastAsia" w:ascii="仿宋" w:hAnsi="仿宋" w:eastAsia="仿宋" w:cs="仿宋"/>
          <w:color w:val="auto"/>
          <w:szCs w:val="21"/>
          <w:u w:val="single"/>
        </w:rPr>
        <w:t xml:space="preserve">（采购代理机构名称） </w:t>
      </w:r>
      <w:r>
        <w:rPr>
          <w:rFonts w:hint="eastAsia" w:ascii="仿宋" w:hAnsi="仿宋" w:eastAsia="仿宋" w:cs="仿宋"/>
          <w:color w:val="auto"/>
          <w:szCs w:val="21"/>
        </w:rPr>
        <w:t>：</w:t>
      </w:r>
    </w:p>
    <w:p w14:paraId="43CF2290">
      <w:pPr>
        <w:spacing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我</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（姓名）系</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（投标人名称）的法定代表人</w:t>
      </w:r>
      <w:r>
        <w:rPr>
          <w:rStyle w:val="156"/>
          <w:rFonts w:hint="eastAsia" w:ascii="仿宋" w:hAnsi="仿宋" w:eastAsia="仿宋" w:cs="仿宋"/>
          <w:color w:val="auto"/>
          <w:szCs w:val="21"/>
          <w:lang w:val="zh-CN"/>
        </w:rPr>
        <w:t>（单位负责人）</w:t>
      </w:r>
      <w:r>
        <w:rPr>
          <w:rFonts w:hint="eastAsia" w:ascii="仿宋" w:hAnsi="仿宋" w:eastAsia="仿宋" w:cs="仿宋"/>
          <w:color w:val="auto"/>
          <w:szCs w:val="21"/>
        </w:rPr>
        <w:t>，现授权委托本单位在职职工</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（姓名）以我方的名义参加贵处组织的</w:t>
      </w:r>
      <w:r>
        <w:rPr>
          <w:rFonts w:hint="eastAsia" w:ascii="仿宋" w:hAnsi="仿宋" w:eastAsia="仿宋" w:cs="仿宋"/>
          <w:color w:val="auto"/>
          <w:szCs w:val="21"/>
          <w:u w:val="single"/>
        </w:rPr>
        <w:t>（项目名称），（项目编号）</w:t>
      </w:r>
      <w:r>
        <w:rPr>
          <w:rFonts w:hint="eastAsia" w:ascii="仿宋" w:hAnsi="仿宋" w:eastAsia="仿宋" w:cs="仿宋"/>
          <w:color w:val="auto"/>
          <w:szCs w:val="21"/>
        </w:rPr>
        <w:t>的投标活动，并代表我方全权办理针对上述项目的投标文件签署、投标、参加开标会议、签约（如我方中标）等具体事务和签署相关文件。</w:t>
      </w:r>
    </w:p>
    <w:p w14:paraId="587A3227">
      <w:pPr>
        <w:spacing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我方对被授权人签名的事项负全部责任。</w:t>
      </w:r>
    </w:p>
    <w:p w14:paraId="475D5D94">
      <w:pPr>
        <w:spacing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在撤销授权的书面通知以前，本授权书一直有效。被授权人在授权书有效期内签署的所有文件不因授权的撤销而失效。被授权人无转委托权，特此委托。</w:t>
      </w:r>
    </w:p>
    <w:p w14:paraId="627A408B">
      <w:pPr>
        <w:spacing w:line="360" w:lineRule="auto"/>
        <w:ind w:firstLine="420" w:firstLineChars="200"/>
        <w:rPr>
          <w:rFonts w:hint="eastAsia" w:ascii="仿宋" w:hAnsi="仿宋" w:eastAsia="仿宋" w:cs="仿宋"/>
          <w:color w:val="auto"/>
          <w:szCs w:val="21"/>
        </w:rPr>
      </w:pPr>
    </w:p>
    <w:p w14:paraId="5762B86F">
      <w:pPr>
        <w:spacing w:line="360" w:lineRule="auto"/>
        <w:rPr>
          <w:rFonts w:hint="eastAsia" w:ascii="仿宋" w:hAnsi="仿宋" w:eastAsia="仿宋" w:cs="仿宋"/>
          <w:color w:val="auto"/>
          <w:szCs w:val="21"/>
          <w:u w:val="single"/>
        </w:rPr>
      </w:pPr>
      <w:r>
        <w:rPr>
          <w:rFonts w:hint="eastAsia" w:ascii="仿宋" w:hAnsi="仿宋" w:eastAsia="仿宋" w:cs="仿宋"/>
          <w:b/>
          <w:bCs/>
          <w:color w:val="auto"/>
          <w:szCs w:val="21"/>
        </w:rPr>
        <w:t>被授权人签字：</w:t>
      </w:r>
      <w:r>
        <w:rPr>
          <w:rFonts w:hint="eastAsia" w:ascii="仿宋" w:hAnsi="仿宋" w:eastAsia="仿宋" w:cs="仿宋"/>
          <w:b/>
          <w:bCs/>
          <w:color w:val="auto"/>
          <w:szCs w:val="21"/>
          <w:u w:val="single"/>
        </w:rPr>
        <w:t xml:space="preserve">            </w:t>
      </w:r>
      <w:r>
        <w:rPr>
          <w:rFonts w:hint="eastAsia" w:ascii="仿宋" w:hAnsi="仿宋" w:eastAsia="仿宋" w:cs="仿宋"/>
          <w:color w:val="auto"/>
          <w:szCs w:val="21"/>
        </w:rPr>
        <w:t xml:space="preserve">   职务：</w:t>
      </w:r>
      <w:r>
        <w:rPr>
          <w:rFonts w:hint="eastAsia" w:ascii="仿宋" w:hAnsi="仿宋" w:eastAsia="仿宋" w:cs="仿宋"/>
          <w:color w:val="auto"/>
          <w:szCs w:val="21"/>
          <w:u w:val="single"/>
        </w:rPr>
        <w:t xml:space="preserve">            </w:t>
      </w:r>
    </w:p>
    <w:p w14:paraId="0D8909D4">
      <w:pPr>
        <w:spacing w:line="360" w:lineRule="auto"/>
        <w:rPr>
          <w:rFonts w:hint="eastAsia" w:ascii="仿宋" w:hAnsi="仿宋" w:eastAsia="仿宋" w:cs="仿宋"/>
          <w:color w:val="auto"/>
          <w:szCs w:val="21"/>
        </w:rPr>
      </w:pPr>
      <w:r>
        <w:rPr>
          <w:rFonts w:hint="eastAsia" w:ascii="仿宋" w:hAnsi="仿宋" w:eastAsia="仿宋" w:cs="仿宋"/>
          <w:color w:val="auto"/>
          <w:szCs w:val="21"/>
        </w:rPr>
        <w:t>被授权人身份证号码：</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 xml:space="preserve"> </w:t>
      </w:r>
    </w:p>
    <w:p w14:paraId="375FA893">
      <w:pPr>
        <w:spacing w:line="360" w:lineRule="auto"/>
        <w:rPr>
          <w:rFonts w:hint="eastAsia" w:ascii="仿宋" w:hAnsi="仿宋" w:eastAsia="仿宋" w:cs="仿宋"/>
          <w:color w:val="auto"/>
          <w:szCs w:val="21"/>
        </w:rPr>
      </w:pPr>
      <w:r>
        <w:rPr>
          <w:rFonts w:hint="eastAsia" w:ascii="仿宋" w:hAnsi="仿宋" w:eastAsia="仿宋" w:cs="仿宋"/>
          <w:color w:val="auto"/>
          <w:szCs w:val="21"/>
        </w:rPr>
        <w:t>联系电话：</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 xml:space="preserve"> 手机：</w:t>
      </w:r>
      <w:r>
        <w:rPr>
          <w:rFonts w:hint="eastAsia" w:ascii="仿宋" w:hAnsi="仿宋" w:eastAsia="仿宋" w:cs="仿宋"/>
          <w:color w:val="auto"/>
          <w:szCs w:val="21"/>
          <w:u w:val="single"/>
        </w:rPr>
        <w:t xml:space="preserve">                   </w:t>
      </w:r>
    </w:p>
    <w:p w14:paraId="2B29182F">
      <w:pPr>
        <w:spacing w:line="360" w:lineRule="auto"/>
        <w:rPr>
          <w:rFonts w:hint="eastAsia" w:ascii="仿宋" w:hAnsi="仿宋" w:eastAsia="仿宋" w:cs="仿宋"/>
          <w:color w:val="auto"/>
          <w:szCs w:val="21"/>
        </w:rPr>
      </w:pPr>
      <w:r>
        <w:rPr>
          <w:rFonts w:hint="eastAsia" w:ascii="仿宋" w:hAnsi="仿宋" w:eastAsia="仿宋" w:cs="仿宋"/>
          <w:color w:val="auto"/>
          <w:szCs w:val="21"/>
        </w:rPr>
        <w:t>投标人名称：</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（盖章）</w:t>
      </w:r>
    </w:p>
    <w:p w14:paraId="2F372E7C">
      <w:pPr>
        <w:spacing w:line="360" w:lineRule="auto"/>
        <w:rPr>
          <w:rFonts w:hint="eastAsia" w:ascii="仿宋" w:hAnsi="仿宋" w:eastAsia="仿宋" w:cs="仿宋"/>
          <w:b/>
          <w:bCs/>
          <w:color w:val="auto"/>
          <w:szCs w:val="21"/>
        </w:rPr>
      </w:pPr>
      <w:r>
        <w:rPr>
          <w:rFonts w:hint="eastAsia" w:ascii="仿宋" w:hAnsi="仿宋" w:eastAsia="仿宋" w:cs="仿宋"/>
          <w:b/>
          <w:bCs/>
          <w:color w:val="auto"/>
          <w:szCs w:val="21"/>
        </w:rPr>
        <w:t>法定代表人</w:t>
      </w:r>
      <w:r>
        <w:rPr>
          <w:rStyle w:val="156"/>
          <w:rFonts w:hint="eastAsia" w:ascii="仿宋" w:hAnsi="仿宋" w:eastAsia="仿宋" w:cs="仿宋"/>
          <w:b/>
          <w:bCs/>
          <w:color w:val="auto"/>
          <w:szCs w:val="21"/>
          <w:lang w:val="zh-CN"/>
        </w:rPr>
        <w:t>（单位负责人）</w:t>
      </w:r>
      <w:r>
        <w:rPr>
          <w:rFonts w:hint="eastAsia" w:ascii="仿宋" w:hAnsi="仿宋" w:eastAsia="仿宋" w:cs="仿宋"/>
          <w:b/>
          <w:bCs/>
          <w:color w:val="auto"/>
          <w:szCs w:val="21"/>
        </w:rPr>
        <w:t>签字：</w:t>
      </w:r>
      <w:r>
        <w:rPr>
          <w:rFonts w:hint="eastAsia" w:ascii="仿宋" w:hAnsi="仿宋" w:eastAsia="仿宋" w:cs="仿宋"/>
          <w:b/>
          <w:bCs/>
          <w:color w:val="auto"/>
          <w:szCs w:val="21"/>
          <w:u w:val="single"/>
        </w:rPr>
        <w:t xml:space="preserve">             </w:t>
      </w:r>
    </w:p>
    <w:p w14:paraId="2A83E93E">
      <w:pPr>
        <w:spacing w:line="360" w:lineRule="auto"/>
        <w:rPr>
          <w:rFonts w:hint="eastAsia" w:ascii="仿宋" w:hAnsi="仿宋" w:eastAsia="仿宋" w:cs="仿宋"/>
          <w:color w:val="auto"/>
          <w:szCs w:val="21"/>
        </w:rPr>
      </w:pPr>
      <w:r>
        <w:rPr>
          <w:rFonts w:hint="eastAsia" w:ascii="仿宋" w:hAnsi="仿宋" w:eastAsia="仿宋" w:cs="仿宋"/>
          <w:color w:val="auto"/>
          <w:szCs w:val="21"/>
        </w:rPr>
        <w:t>日期：    年  月  日</w:t>
      </w:r>
    </w:p>
    <w:p w14:paraId="753C4CBF">
      <w:pPr>
        <w:rPr>
          <w:rFonts w:hint="eastAsia" w:ascii="仿宋" w:hAnsi="仿宋" w:eastAsia="仿宋" w:cs="仿宋"/>
          <w:b/>
          <w:color w:val="auto"/>
          <w:szCs w:val="21"/>
          <w:lang w:eastAsia="zh-CN"/>
        </w:rPr>
      </w:pPr>
      <w:r>
        <w:rPr>
          <w:rFonts w:hint="eastAsia" w:ascii="仿宋" w:hAnsi="仿宋" w:eastAsia="仿宋" w:cs="仿宋"/>
          <w:b/>
          <w:color w:val="auto"/>
          <w:szCs w:val="21"/>
          <w:lang w:eastAsia="zh-CN"/>
        </w:rPr>
        <w:t>所需附件：</w:t>
      </w:r>
      <w:r>
        <w:rPr>
          <w:rFonts w:hint="eastAsia" w:ascii="仿宋" w:hAnsi="仿宋" w:eastAsia="仿宋" w:cs="仿宋"/>
          <w:b/>
          <w:color w:val="auto"/>
          <w:szCs w:val="21"/>
        </w:rPr>
        <w:t>法定代表人（单位负责人）</w:t>
      </w:r>
      <w:r>
        <w:rPr>
          <w:rFonts w:hint="eastAsia" w:ascii="仿宋" w:hAnsi="仿宋" w:eastAsia="仿宋" w:cs="仿宋"/>
          <w:b/>
          <w:color w:val="auto"/>
          <w:szCs w:val="21"/>
          <w:lang w:eastAsia="zh-CN"/>
        </w:rPr>
        <w:t>及授权代理人身份证复印件</w:t>
      </w:r>
    </w:p>
    <w:p w14:paraId="6B99E608">
      <w:pPr>
        <w:rPr>
          <w:rFonts w:hint="eastAsia" w:ascii="仿宋" w:hAnsi="仿宋" w:eastAsia="仿宋" w:cs="仿宋"/>
          <w:b/>
          <w:color w:val="auto"/>
          <w:szCs w:val="21"/>
          <w:lang w:eastAsia="zh-CN"/>
        </w:rPr>
      </w:pPr>
    </w:p>
    <w:p w14:paraId="7730062C">
      <w:pPr>
        <w:rPr>
          <w:rFonts w:hint="eastAsia" w:ascii="仿宋" w:hAnsi="仿宋" w:eastAsia="仿宋" w:cs="仿宋"/>
          <w:b/>
          <w:color w:val="auto"/>
          <w:szCs w:val="21"/>
        </w:rPr>
      </w:pPr>
      <w:r>
        <w:rPr>
          <w:rFonts w:hint="eastAsia" w:ascii="仿宋" w:hAnsi="仿宋" w:eastAsia="仿宋" w:cs="仿宋"/>
          <w:b/>
          <w:color w:val="auto"/>
          <w:szCs w:val="21"/>
        </w:rPr>
        <w:br w:type="page"/>
      </w:r>
    </w:p>
    <w:p w14:paraId="731BA41F">
      <w:pPr>
        <w:pStyle w:val="49"/>
        <w:rPr>
          <w:rFonts w:hint="eastAsia" w:ascii="仿宋" w:hAnsi="仿宋" w:eastAsia="仿宋" w:cs="仿宋"/>
          <w:color w:val="auto"/>
        </w:rPr>
      </w:pPr>
    </w:p>
    <w:p w14:paraId="04E01B00">
      <w:pPr>
        <w:spacing w:line="360" w:lineRule="auto"/>
        <w:jc w:val="left"/>
        <w:rPr>
          <w:rFonts w:hint="eastAsia" w:ascii="仿宋" w:hAnsi="仿宋" w:eastAsia="仿宋" w:cs="仿宋"/>
          <w:b/>
          <w:color w:val="auto"/>
          <w:szCs w:val="21"/>
          <w:lang w:eastAsia="zh-CN"/>
        </w:rPr>
      </w:pPr>
      <w:r>
        <w:rPr>
          <w:rFonts w:hint="eastAsia" w:ascii="仿宋" w:hAnsi="仿宋" w:eastAsia="仿宋" w:cs="仿宋"/>
          <w:b/>
          <w:color w:val="auto"/>
          <w:szCs w:val="21"/>
        </w:rPr>
        <w:t>法定代表人（单位负责人）身份证复印件</w:t>
      </w:r>
    </w:p>
    <w:p w14:paraId="30CDCAB3">
      <w:pPr>
        <w:spacing w:line="360" w:lineRule="auto"/>
        <w:jc w:val="left"/>
        <w:rPr>
          <w:rFonts w:hint="eastAsia" w:ascii="仿宋" w:hAnsi="仿宋" w:eastAsia="仿宋" w:cs="仿宋"/>
          <w:b/>
          <w:color w:val="auto"/>
          <w:szCs w:val="21"/>
          <w:lang w:eastAsia="zh-CN"/>
        </w:rPr>
      </w:pPr>
      <w:r>
        <w:rPr>
          <w:rFonts w:hint="eastAsia" w:ascii="仿宋" w:hAnsi="仿宋" w:eastAsia="仿宋" w:cs="仿宋"/>
          <w:color w:val="auto"/>
          <w:sz w:val="21"/>
        </w:rPr>
        <mc:AlternateContent>
          <mc:Choice Requires="wps">
            <w:drawing>
              <wp:anchor distT="0" distB="0" distL="114300" distR="114300" simplePos="0" relativeHeight="251660288" behindDoc="0" locked="0" layoutInCell="1" allowOverlap="1">
                <wp:simplePos x="0" y="0"/>
                <wp:positionH relativeFrom="column">
                  <wp:posOffset>3148330</wp:posOffset>
                </wp:positionH>
                <wp:positionV relativeFrom="paragraph">
                  <wp:posOffset>71755</wp:posOffset>
                </wp:positionV>
                <wp:extent cx="2988310" cy="3130550"/>
                <wp:effectExtent l="4445" t="5080" r="17145" b="7620"/>
                <wp:wrapNone/>
                <wp:docPr id="12" name="矩形 12"/>
                <wp:cNvGraphicFramePr/>
                <a:graphic xmlns:a="http://schemas.openxmlformats.org/drawingml/2006/main">
                  <a:graphicData uri="http://schemas.microsoft.com/office/word/2010/wordprocessingShape">
                    <wps:wsp>
                      <wps:cNvSpPr/>
                      <wps:spPr>
                        <a:xfrm>
                          <a:off x="0" y="0"/>
                          <a:ext cx="2988310" cy="313055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47.9pt;margin-top:5.65pt;height:246.5pt;width:235.3pt;z-index:251660288;v-text-anchor:middle;mso-width-relative:page;mso-height-relative:page;" fillcolor="#FFFFFF [3201]" filled="t" stroked="t" coordsize="21600,21600" o:gfxdata="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KRowlraAAAACgEAAA8AAAAAAAAAAQAgAAAAIgAAAGRycy9kb3ducmV2LnhtbFBLAQIU&#10;ABQAAAAIAIdO4kCawNlzYwIAAN8EAAAOAAAAAAAAAAEAIAAAACkBAABkcnMvZTJvRG9jLnhtbFBL&#10;BQYAAAAABgAGAFkBAAD+BQAAAAA=&#10;">
                <v:fill on="t" focussize="0,0"/>
                <v:stroke weight="0.25pt" color="#000000 [3213]" joinstyle="round"/>
                <v:imagedata o:title=""/>
                <o:lock v:ext="edit" aspectratio="f"/>
              </v:rect>
            </w:pict>
          </mc:Fallback>
        </mc:AlternateContent>
      </w:r>
      <w:r>
        <w:rPr>
          <w:rFonts w:hint="eastAsia" w:ascii="仿宋" w:hAnsi="仿宋" w:eastAsia="仿宋" w:cs="仿宋"/>
          <w:color w:val="auto"/>
          <w:sz w:val="21"/>
        </w:rPr>
        <mc:AlternateContent>
          <mc:Choice Requires="wps">
            <w:drawing>
              <wp:anchor distT="0" distB="0" distL="114300" distR="114300" simplePos="0" relativeHeight="251659264" behindDoc="0" locked="0" layoutInCell="1" allowOverlap="1">
                <wp:simplePos x="0" y="0"/>
                <wp:positionH relativeFrom="column">
                  <wp:posOffset>31115</wp:posOffset>
                </wp:positionH>
                <wp:positionV relativeFrom="paragraph">
                  <wp:posOffset>61595</wp:posOffset>
                </wp:positionV>
                <wp:extent cx="2988310" cy="3130550"/>
                <wp:effectExtent l="4445" t="5080" r="17145" b="7620"/>
                <wp:wrapNone/>
                <wp:docPr id="4" name="矩形 4"/>
                <wp:cNvGraphicFramePr/>
                <a:graphic xmlns:a="http://schemas.openxmlformats.org/drawingml/2006/main">
                  <a:graphicData uri="http://schemas.microsoft.com/office/word/2010/wordprocessingShape">
                    <wps:wsp>
                      <wps:cNvSpPr/>
                      <wps:spPr>
                        <a:xfrm>
                          <a:off x="798830" y="8623935"/>
                          <a:ext cx="2988310" cy="313055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45pt;margin-top:4.85pt;height:246.5pt;width:235.3pt;z-index:251659264;v-text-anchor:middle;mso-width-relative:page;mso-height-relative:page;" fillcolor="#FFFFFF [3201]" filled="t" stroked="t" coordsize="21600,21600" o:gfxdata="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GTToH/YAAAABwEAAA8AAAAAAAAAAQAgAAAAIgAAAGRycy9kb3ducmV2&#10;LnhtbFBLAQIUABQAAAAIAIdO4kCRuKe4bgIAAOgEAAAOAAAAAAAAAAEAIAAAACcBAABkcnMvZTJv&#10;RG9jLnhtbFBLBQYAAAAABgAGAFkBAAAHBgAAAAA=&#10;">
                <v:fill on="t" focussize="0,0"/>
                <v:stroke weight="0.25pt" color="#000000 [3213]" joinstyle="round"/>
                <v:imagedata o:title=""/>
                <o:lock v:ext="edit" aspectratio="f"/>
              </v:rect>
            </w:pict>
          </mc:Fallback>
        </mc:AlternateContent>
      </w:r>
    </w:p>
    <w:p w14:paraId="095FF6FB">
      <w:pPr>
        <w:spacing w:line="360" w:lineRule="auto"/>
        <w:jc w:val="left"/>
        <w:rPr>
          <w:rFonts w:hint="eastAsia" w:ascii="仿宋" w:hAnsi="仿宋" w:eastAsia="仿宋" w:cs="仿宋"/>
          <w:b/>
          <w:color w:val="auto"/>
          <w:szCs w:val="21"/>
          <w:lang w:eastAsia="zh-CN"/>
        </w:rPr>
      </w:pPr>
    </w:p>
    <w:p w14:paraId="6AB63F01">
      <w:pPr>
        <w:spacing w:line="360" w:lineRule="auto"/>
        <w:jc w:val="left"/>
        <w:rPr>
          <w:rFonts w:hint="eastAsia" w:ascii="仿宋" w:hAnsi="仿宋" w:eastAsia="仿宋" w:cs="仿宋"/>
          <w:b/>
          <w:color w:val="auto"/>
          <w:szCs w:val="21"/>
          <w:lang w:eastAsia="zh-CN"/>
        </w:rPr>
      </w:pPr>
    </w:p>
    <w:p w14:paraId="3D83BA59">
      <w:pPr>
        <w:spacing w:line="360" w:lineRule="auto"/>
        <w:jc w:val="left"/>
        <w:rPr>
          <w:rFonts w:hint="eastAsia" w:ascii="仿宋" w:hAnsi="仿宋" w:eastAsia="仿宋" w:cs="仿宋"/>
          <w:b/>
          <w:color w:val="auto"/>
          <w:szCs w:val="21"/>
          <w:lang w:eastAsia="zh-CN"/>
        </w:rPr>
      </w:pPr>
    </w:p>
    <w:p w14:paraId="35B0C02A">
      <w:pPr>
        <w:spacing w:line="360" w:lineRule="auto"/>
        <w:jc w:val="left"/>
        <w:rPr>
          <w:rFonts w:hint="eastAsia" w:ascii="仿宋" w:hAnsi="仿宋" w:eastAsia="仿宋" w:cs="仿宋"/>
          <w:b/>
          <w:color w:val="auto"/>
          <w:szCs w:val="21"/>
          <w:lang w:eastAsia="zh-CN"/>
        </w:rPr>
      </w:pPr>
    </w:p>
    <w:p w14:paraId="52AACDD5">
      <w:pPr>
        <w:spacing w:line="360" w:lineRule="auto"/>
        <w:jc w:val="left"/>
        <w:rPr>
          <w:rFonts w:hint="eastAsia" w:ascii="仿宋" w:hAnsi="仿宋" w:eastAsia="仿宋" w:cs="仿宋"/>
          <w:b/>
          <w:color w:val="auto"/>
          <w:szCs w:val="21"/>
          <w:lang w:eastAsia="zh-CN"/>
        </w:rPr>
      </w:pPr>
    </w:p>
    <w:p w14:paraId="58A1994B">
      <w:pPr>
        <w:spacing w:line="360" w:lineRule="auto"/>
        <w:jc w:val="left"/>
        <w:rPr>
          <w:rFonts w:hint="eastAsia" w:ascii="仿宋" w:hAnsi="仿宋" w:eastAsia="仿宋" w:cs="仿宋"/>
          <w:b/>
          <w:color w:val="auto"/>
          <w:szCs w:val="21"/>
          <w:lang w:eastAsia="zh-CN"/>
        </w:rPr>
      </w:pPr>
    </w:p>
    <w:p w14:paraId="3A3033A7">
      <w:pPr>
        <w:spacing w:line="360" w:lineRule="auto"/>
        <w:jc w:val="left"/>
        <w:rPr>
          <w:rFonts w:hint="eastAsia" w:ascii="仿宋" w:hAnsi="仿宋" w:eastAsia="仿宋" w:cs="仿宋"/>
          <w:b/>
          <w:color w:val="auto"/>
          <w:szCs w:val="21"/>
          <w:lang w:eastAsia="zh-CN"/>
        </w:rPr>
      </w:pPr>
    </w:p>
    <w:p w14:paraId="2A64DCE3">
      <w:pPr>
        <w:spacing w:line="360" w:lineRule="auto"/>
        <w:jc w:val="left"/>
        <w:rPr>
          <w:rFonts w:hint="eastAsia" w:ascii="仿宋" w:hAnsi="仿宋" w:eastAsia="仿宋" w:cs="仿宋"/>
          <w:b/>
          <w:color w:val="auto"/>
          <w:szCs w:val="21"/>
          <w:lang w:eastAsia="zh-CN"/>
        </w:rPr>
      </w:pPr>
    </w:p>
    <w:p w14:paraId="7C5941C1">
      <w:pPr>
        <w:spacing w:line="360" w:lineRule="auto"/>
        <w:jc w:val="left"/>
        <w:rPr>
          <w:rFonts w:hint="eastAsia" w:ascii="仿宋" w:hAnsi="仿宋" w:eastAsia="仿宋" w:cs="仿宋"/>
          <w:b/>
          <w:color w:val="auto"/>
          <w:szCs w:val="21"/>
          <w:lang w:eastAsia="zh-CN"/>
        </w:rPr>
      </w:pPr>
      <w:r>
        <w:rPr>
          <w:rFonts w:hint="eastAsia" w:ascii="仿宋" w:hAnsi="仿宋" w:eastAsia="仿宋" w:cs="仿宋"/>
          <w:b/>
          <w:color w:val="auto"/>
          <w:szCs w:val="21"/>
        </w:rPr>
        <w:t>授权代理人身份证复印件</w:t>
      </w:r>
    </w:p>
    <w:p w14:paraId="0EC910EF">
      <w:pPr>
        <w:spacing w:line="360" w:lineRule="auto"/>
        <w:jc w:val="left"/>
        <w:rPr>
          <w:rFonts w:hint="eastAsia" w:ascii="仿宋" w:hAnsi="仿宋" w:eastAsia="仿宋" w:cs="仿宋"/>
          <w:b/>
          <w:color w:val="auto"/>
          <w:szCs w:val="21"/>
          <w:lang w:val="en-US" w:eastAsia="zh-CN"/>
        </w:rPr>
      </w:pPr>
      <w:r>
        <w:rPr>
          <w:rFonts w:hint="eastAsia" w:ascii="仿宋" w:hAnsi="仿宋" w:eastAsia="仿宋" w:cs="仿宋"/>
          <w:color w:val="auto"/>
          <w:sz w:val="21"/>
        </w:rPr>
        <mc:AlternateContent>
          <mc:Choice Requires="wps">
            <w:drawing>
              <wp:anchor distT="0" distB="0" distL="114300" distR="114300" simplePos="0" relativeHeight="251662336" behindDoc="0" locked="0" layoutInCell="1" allowOverlap="1">
                <wp:simplePos x="0" y="0"/>
                <wp:positionH relativeFrom="column">
                  <wp:posOffset>3098165</wp:posOffset>
                </wp:positionH>
                <wp:positionV relativeFrom="paragraph">
                  <wp:posOffset>29210</wp:posOffset>
                </wp:positionV>
                <wp:extent cx="2988310" cy="3130550"/>
                <wp:effectExtent l="4445" t="5080" r="17145" b="7620"/>
                <wp:wrapNone/>
                <wp:docPr id="14" name="矩形 14"/>
                <wp:cNvGraphicFramePr/>
                <a:graphic xmlns:a="http://schemas.openxmlformats.org/drawingml/2006/main">
                  <a:graphicData uri="http://schemas.microsoft.com/office/word/2010/wordprocessingShape">
                    <wps:wsp>
                      <wps:cNvSpPr/>
                      <wps:spPr>
                        <a:xfrm>
                          <a:off x="0" y="0"/>
                          <a:ext cx="2988310" cy="313055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43.95pt;margin-top:2.3pt;height:246.5pt;width:235.3pt;z-index:251662336;v-text-anchor:middle;mso-width-relative:page;mso-height-relative:page;" fillcolor="#FFFFFF [3201]" filled="t" stroked="t" coordsize="21600,21600" o:gfxdata="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Ehs9EnaAAAACQEAAA8AAAAAAAAAAQAgAAAAIgAAAGRycy9kb3ducmV2LnhtbFBLAQIU&#10;ABQAAAAIAIdO4kAvVDiYYwIAAN8EAAAOAAAAAAAAAAEAIAAAACkBAABkcnMvZTJvRG9jLnhtbFBL&#10;BQYAAAAABgAGAFkBAAD+BQAAAAA=&#10;">
                <v:fill on="t" focussize="0,0"/>
                <v:stroke weight="0.25pt" color="#000000 [3213]" joinstyle="round"/>
                <v:imagedata o:title=""/>
                <o:lock v:ext="edit" aspectratio="f"/>
              </v:rect>
            </w:pict>
          </mc:Fallback>
        </mc:AlternateContent>
      </w:r>
      <w:r>
        <w:rPr>
          <w:rFonts w:hint="eastAsia" w:ascii="仿宋" w:hAnsi="仿宋" w:eastAsia="仿宋" w:cs="仿宋"/>
          <w:color w:val="auto"/>
          <w:sz w:val="21"/>
        </w:rPr>
        <mc:AlternateContent>
          <mc:Choice Requires="wps">
            <w:drawing>
              <wp:anchor distT="0" distB="0" distL="114300" distR="114300" simplePos="0" relativeHeight="251661312" behindDoc="0" locked="0" layoutInCell="1" allowOverlap="1">
                <wp:simplePos x="0" y="0"/>
                <wp:positionH relativeFrom="column">
                  <wp:posOffset>28575</wp:posOffset>
                </wp:positionH>
                <wp:positionV relativeFrom="paragraph">
                  <wp:posOffset>30480</wp:posOffset>
                </wp:positionV>
                <wp:extent cx="2988310" cy="3130550"/>
                <wp:effectExtent l="4445" t="5080" r="17145" b="7620"/>
                <wp:wrapNone/>
                <wp:docPr id="13" name="矩形 13"/>
                <wp:cNvGraphicFramePr/>
                <a:graphic xmlns:a="http://schemas.openxmlformats.org/drawingml/2006/main">
                  <a:graphicData uri="http://schemas.microsoft.com/office/word/2010/wordprocessingShape">
                    <wps:wsp>
                      <wps:cNvSpPr/>
                      <wps:spPr>
                        <a:xfrm>
                          <a:off x="0" y="0"/>
                          <a:ext cx="2988310" cy="313055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25pt;margin-top:2.4pt;height:246.5pt;width:235.3pt;z-index:251661312;v-text-anchor:middle;mso-width-relative:page;mso-height-relative:page;" fillcolor="#FFFFFF [3201]" filled="t" stroked="t" coordsize="21600,21600" o:gfxdata="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K6VPxfXAAAABwEAAA8AAAAAAAAAAQAgAAAAIgAAAGRycy9kb3ducmV2LnhtbFBLAQIUABQA&#10;AAAIAIdO4kBz+s6yYwIAAN8EAAAOAAAAAAAAAAEAIAAAACYBAABkcnMvZTJvRG9jLnhtbFBLBQYA&#10;AAAABgAGAFkBAAD7BQAAAAA=&#10;">
                <v:fill on="t" focussize="0,0"/>
                <v:stroke weight="0.25pt" color="#000000 [3213]" joinstyle="round"/>
                <v:imagedata o:title=""/>
                <o:lock v:ext="edit" aspectratio="f"/>
              </v:rect>
            </w:pict>
          </mc:Fallback>
        </mc:AlternateContent>
      </w:r>
      <w:r>
        <w:rPr>
          <w:rFonts w:hint="eastAsia" w:ascii="仿宋" w:hAnsi="仿宋" w:eastAsia="仿宋" w:cs="仿宋"/>
          <w:b/>
          <w:color w:val="auto"/>
          <w:szCs w:val="21"/>
        </w:rPr>
        <w:br w:type="page"/>
      </w:r>
      <w:r>
        <w:rPr>
          <w:rFonts w:hint="eastAsia" w:ascii="仿宋" w:hAnsi="仿宋" w:eastAsia="仿宋" w:cs="仿宋"/>
          <w:b/>
          <w:color w:val="auto"/>
          <w:szCs w:val="21"/>
          <w:lang w:eastAsia="zh-CN"/>
        </w:rPr>
        <w:t>附件</w:t>
      </w:r>
      <w:r>
        <w:rPr>
          <w:rFonts w:hint="eastAsia" w:ascii="仿宋" w:hAnsi="仿宋" w:eastAsia="仿宋" w:cs="仿宋"/>
          <w:b/>
          <w:color w:val="auto"/>
          <w:szCs w:val="21"/>
          <w:lang w:val="en-US" w:eastAsia="zh-CN"/>
        </w:rPr>
        <w:t>2</w:t>
      </w:r>
    </w:p>
    <w:p w14:paraId="6AE59AFC">
      <w:pPr>
        <w:spacing w:line="360" w:lineRule="auto"/>
        <w:jc w:val="center"/>
        <w:rPr>
          <w:rFonts w:hint="eastAsia" w:ascii="仿宋" w:hAnsi="仿宋" w:eastAsia="仿宋" w:cs="仿宋"/>
          <w:b/>
          <w:bCs/>
          <w:color w:val="auto"/>
          <w:sz w:val="28"/>
          <w:szCs w:val="28"/>
        </w:rPr>
      </w:pPr>
      <w:r>
        <w:rPr>
          <w:rFonts w:hint="eastAsia" w:ascii="仿宋" w:hAnsi="仿宋" w:eastAsia="仿宋" w:cs="仿宋"/>
          <w:b/>
          <w:bCs/>
          <w:color w:val="auto"/>
          <w:sz w:val="28"/>
          <w:szCs w:val="28"/>
          <w:highlight w:val="none"/>
          <w:lang w:eastAsia="zh-CN"/>
        </w:rPr>
        <w:t>符合参与政府采购活动资格条件的承诺函</w:t>
      </w:r>
    </w:p>
    <w:p w14:paraId="02FB8476">
      <w:pPr>
        <w:spacing w:line="360" w:lineRule="auto"/>
        <w:jc w:val="center"/>
        <w:rPr>
          <w:rFonts w:hint="eastAsia" w:ascii="仿宋" w:hAnsi="仿宋" w:eastAsia="仿宋" w:cs="仿宋"/>
          <w:color w:val="auto"/>
          <w:sz w:val="36"/>
          <w:szCs w:val="36"/>
        </w:rPr>
      </w:pPr>
    </w:p>
    <w:p w14:paraId="698B1027">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仿宋" w:hAnsi="仿宋" w:eastAsia="仿宋" w:cs="仿宋"/>
          <w:color w:val="auto"/>
          <w:szCs w:val="21"/>
          <w:u w:val="single"/>
        </w:rPr>
      </w:pPr>
      <w:r>
        <w:rPr>
          <w:rFonts w:hint="eastAsia" w:ascii="仿宋" w:hAnsi="仿宋" w:eastAsia="仿宋" w:cs="仿宋"/>
          <w:color w:val="auto"/>
          <w:szCs w:val="21"/>
          <w:u w:val="single"/>
          <w:lang w:eastAsia="zh-CN"/>
        </w:rPr>
        <w:t>常山县林业水利局</w:t>
      </w:r>
      <w:r>
        <w:rPr>
          <w:rFonts w:hint="eastAsia" w:ascii="仿宋" w:hAnsi="仿宋" w:eastAsia="仿宋" w:cs="仿宋"/>
          <w:color w:val="auto"/>
          <w:szCs w:val="21"/>
          <w:u w:val="single"/>
        </w:rPr>
        <w:t>：</w:t>
      </w:r>
    </w:p>
    <w:p w14:paraId="2FE2F92F">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仿宋" w:hAnsi="仿宋" w:eastAsia="仿宋" w:cs="仿宋"/>
          <w:color w:val="auto"/>
          <w:szCs w:val="21"/>
        </w:rPr>
      </w:pPr>
      <w:r>
        <w:rPr>
          <w:rFonts w:hint="eastAsia" w:ascii="仿宋" w:hAnsi="仿宋" w:eastAsia="仿宋" w:cs="仿宋"/>
          <w:color w:val="auto"/>
          <w:szCs w:val="21"/>
          <w:u w:val="single"/>
        </w:rPr>
        <w:t>浙江哲晟工程项目管理有限公司：</w:t>
      </w:r>
    </w:p>
    <w:p w14:paraId="5EBB262B">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根据贵方</w:t>
      </w:r>
      <w:r>
        <w:rPr>
          <w:rFonts w:hint="eastAsia" w:ascii="仿宋" w:hAnsi="仿宋" w:eastAsia="仿宋" w:cs="仿宋"/>
          <w:color w:val="auto"/>
          <w:szCs w:val="21"/>
          <w:highlight w:val="none"/>
          <w:u w:val="single"/>
        </w:rPr>
        <w:t>（项目名称）（项目编号</w:t>
      </w:r>
      <w:r>
        <w:rPr>
          <w:rFonts w:hint="eastAsia" w:ascii="仿宋" w:hAnsi="仿宋" w:eastAsia="仿宋" w:cs="仿宋"/>
          <w:color w:val="auto"/>
          <w:szCs w:val="21"/>
          <w:highlight w:val="none"/>
          <w:u w:val="single"/>
          <w:lang w:eastAsia="zh-CN"/>
        </w:rPr>
        <w:t>：</w:t>
      </w:r>
      <w:r>
        <w:rPr>
          <w:rFonts w:hint="eastAsia" w:ascii="仿宋" w:hAnsi="仿宋" w:eastAsia="仿宋" w:cs="仿宋"/>
          <w:color w:val="auto"/>
          <w:szCs w:val="21"/>
          <w:highlight w:val="none"/>
          <w:u w:val="single"/>
        </w:rPr>
        <w:t>）</w:t>
      </w:r>
      <w:r>
        <w:rPr>
          <w:rFonts w:hint="eastAsia" w:ascii="仿宋" w:hAnsi="仿宋" w:eastAsia="仿宋" w:cs="仿宋"/>
          <w:color w:val="auto"/>
          <w:szCs w:val="21"/>
          <w:highlight w:val="none"/>
        </w:rPr>
        <w:t>采购文件要求，我公司在完全理解采购文件技术要求、商务条款及其他内容的基础上，决定</w:t>
      </w:r>
      <w:r>
        <w:rPr>
          <w:rFonts w:hint="eastAsia" w:ascii="仿宋" w:hAnsi="仿宋" w:eastAsia="仿宋" w:cs="仿宋"/>
          <w:color w:val="auto"/>
          <w:szCs w:val="21"/>
          <w:highlight w:val="none"/>
          <w:lang w:eastAsia="zh-CN"/>
        </w:rPr>
        <w:t>参与</w:t>
      </w:r>
      <w:r>
        <w:rPr>
          <w:rFonts w:hint="eastAsia" w:ascii="仿宋" w:hAnsi="仿宋" w:eastAsia="仿宋" w:cs="仿宋"/>
          <w:color w:val="auto"/>
          <w:szCs w:val="21"/>
          <w:highlight w:val="none"/>
        </w:rPr>
        <w:t>该项目的采购活动。并承诺</w:t>
      </w:r>
      <w:r>
        <w:rPr>
          <w:rFonts w:hint="eastAsia" w:ascii="仿宋" w:hAnsi="仿宋" w:eastAsia="仿宋" w:cs="仿宋"/>
          <w:color w:val="auto"/>
          <w:szCs w:val="21"/>
          <w:highlight w:val="none"/>
          <w:lang w:eastAsia="zh-CN"/>
        </w:rPr>
        <w:t>我公司：</w:t>
      </w:r>
    </w:p>
    <w:p w14:paraId="2A78AACE">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（一）具备《中华人民共和国政府采购法》第二十二条第一款规定的条件：</w:t>
      </w:r>
    </w:p>
    <w:p w14:paraId="471EB2C1">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（1）具有独立承担民事责任的能力；</w:t>
      </w:r>
    </w:p>
    <w:p w14:paraId="0EE52B29">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（2）具有良好的商业信誉和健全的财务会计制度； </w:t>
      </w:r>
    </w:p>
    <w:p w14:paraId="0AD597BE">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（3）具有履行合同所必需的设备和专业技术能力；</w:t>
      </w:r>
    </w:p>
    <w:p w14:paraId="3843F78E">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（4）有依法缴纳税收和社会保障资金的良好记录；</w:t>
      </w:r>
    </w:p>
    <w:p w14:paraId="2137CBAD">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（5）参加政府采购活动前三年内，在经营活动中没有重大违法记录；</w:t>
      </w:r>
    </w:p>
    <w:p w14:paraId="7E2E99C6">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（6）具有法律、行政法规规定的其他条件。</w:t>
      </w:r>
    </w:p>
    <w:p w14:paraId="1B25137A">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（二）未被信用中国（www.creditchina.gov.cn)、中国政府采购网（www.ccgp.gov.cn）列入失信被执行人、重大税收违法案件当事人名单、政府采购严重违法失信行为记录名单。</w:t>
      </w:r>
    </w:p>
    <w:p w14:paraId="077C71A3">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（三）不存在以下情况：</w:t>
      </w:r>
    </w:p>
    <w:p w14:paraId="4D0832C7">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（1）单位负责人为同一人或者存在直接控股、管理关系的不同供应商参加同一合同项下的政府采购活动的；</w:t>
      </w:r>
    </w:p>
    <w:p w14:paraId="35498BFB">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（2）为采购项目提供整体设计、规范编制或者项目管理、监理、检测等服务后再参加该采购项目的其他采购活动的。</w:t>
      </w:r>
    </w:p>
    <w:p w14:paraId="333A0874">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我公司对上述承诺的真实性负责，如有虚假，我公司同意按我方提供虚假材料谋取中标（成交）处理，并依法承担相应法律责任。</w:t>
      </w:r>
    </w:p>
    <w:p w14:paraId="198D52F5">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仿宋" w:hAnsi="仿宋" w:eastAsia="仿宋" w:cs="仿宋"/>
          <w:color w:val="auto"/>
          <w:szCs w:val="21"/>
          <w:highlight w:val="none"/>
        </w:rPr>
      </w:pPr>
    </w:p>
    <w:p w14:paraId="7F70BD5A">
      <w:pPr>
        <w:keepNext w:val="0"/>
        <w:keepLines w:val="0"/>
        <w:pageBreakBefore w:val="0"/>
        <w:widowControl w:val="0"/>
        <w:kinsoku/>
        <w:wordWrap/>
        <w:overflowPunct/>
        <w:topLinePunct w:val="0"/>
        <w:autoSpaceDE/>
        <w:autoSpaceDN/>
        <w:bidi w:val="0"/>
        <w:spacing w:line="440" w:lineRule="exact"/>
        <w:jc w:val="left"/>
        <w:textAlignment w:val="auto"/>
        <w:rPr>
          <w:rFonts w:hint="eastAsia" w:ascii="仿宋" w:hAnsi="仿宋" w:eastAsia="仿宋" w:cs="仿宋"/>
          <w:color w:val="auto"/>
          <w:szCs w:val="21"/>
          <w:u w:val="single"/>
        </w:rPr>
      </w:pPr>
      <w:r>
        <w:rPr>
          <w:rFonts w:hint="eastAsia" w:ascii="仿宋" w:hAnsi="仿宋" w:eastAsia="仿宋" w:cs="仿宋"/>
          <w:color w:val="auto"/>
          <w:szCs w:val="21"/>
          <w:lang w:eastAsia="zh-CN"/>
        </w:rPr>
        <w:t>投标人</w:t>
      </w:r>
      <w:r>
        <w:rPr>
          <w:rFonts w:hint="eastAsia" w:ascii="仿宋" w:hAnsi="仿宋" w:eastAsia="仿宋" w:cs="仿宋"/>
          <w:color w:val="auto"/>
          <w:szCs w:val="21"/>
        </w:rPr>
        <w:t xml:space="preserve">名称（盖章）： </w:t>
      </w:r>
      <w:r>
        <w:rPr>
          <w:rFonts w:hint="eastAsia" w:ascii="仿宋" w:hAnsi="仿宋" w:eastAsia="仿宋" w:cs="仿宋"/>
          <w:color w:val="auto"/>
          <w:szCs w:val="21"/>
          <w:u w:val="single"/>
        </w:rPr>
        <w:t xml:space="preserve">            </w:t>
      </w:r>
    </w:p>
    <w:p w14:paraId="12E1AFEF">
      <w:pPr>
        <w:keepNext w:val="0"/>
        <w:keepLines w:val="0"/>
        <w:pageBreakBefore w:val="0"/>
        <w:widowControl w:val="0"/>
        <w:kinsoku/>
        <w:wordWrap/>
        <w:overflowPunct/>
        <w:topLinePunct w:val="0"/>
        <w:autoSpaceDE/>
        <w:autoSpaceDN/>
        <w:bidi w:val="0"/>
        <w:spacing w:line="440" w:lineRule="exact"/>
        <w:textAlignment w:val="auto"/>
        <w:rPr>
          <w:rFonts w:hint="eastAsia" w:ascii="仿宋" w:hAnsi="仿宋" w:eastAsia="仿宋" w:cs="仿宋"/>
          <w:color w:val="auto"/>
          <w:szCs w:val="21"/>
        </w:rPr>
      </w:pPr>
      <w:r>
        <w:rPr>
          <w:rFonts w:hint="eastAsia" w:ascii="仿宋" w:hAnsi="仿宋" w:eastAsia="仿宋" w:cs="仿宋"/>
          <w:color w:val="auto"/>
          <w:szCs w:val="21"/>
        </w:rPr>
        <w:t>日期：    年   月   日</w:t>
      </w:r>
    </w:p>
    <w:p w14:paraId="70A380AB">
      <w:pPr>
        <w:keepNext w:val="0"/>
        <w:keepLines w:val="0"/>
        <w:pageBreakBefore w:val="0"/>
        <w:widowControl w:val="0"/>
        <w:kinsoku/>
        <w:wordWrap/>
        <w:overflowPunct/>
        <w:topLinePunct w:val="0"/>
        <w:autoSpaceDE/>
        <w:autoSpaceDN/>
        <w:bidi w:val="0"/>
        <w:spacing w:line="440" w:lineRule="exact"/>
        <w:textAlignment w:val="auto"/>
        <w:rPr>
          <w:rFonts w:hint="eastAsia" w:ascii="仿宋" w:hAnsi="仿宋" w:eastAsia="仿宋" w:cs="仿宋"/>
          <w:b/>
          <w:color w:val="auto"/>
          <w:szCs w:val="21"/>
        </w:rPr>
      </w:pPr>
      <w:r>
        <w:rPr>
          <w:rFonts w:hint="eastAsia" w:ascii="仿宋" w:hAnsi="仿宋" w:eastAsia="仿宋" w:cs="仿宋"/>
          <w:b/>
          <w:color w:val="auto"/>
          <w:szCs w:val="21"/>
        </w:rPr>
        <w:br w:type="page"/>
      </w:r>
    </w:p>
    <w:p w14:paraId="6B026E97">
      <w:pPr>
        <w:spacing w:line="360" w:lineRule="auto"/>
        <w:jc w:val="left"/>
        <w:rPr>
          <w:rFonts w:hint="eastAsia" w:ascii="仿宋" w:hAnsi="仿宋" w:eastAsia="仿宋" w:cs="仿宋"/>
          <w:b/>
          <w:color w:val="auto"/>
          <w:szCs w:val="21"/>
          <w:lang w:val="en-US" w:eastAsia="zh-CN"/>
        </w:rPr>
      </w:pPr>
      <w:bookmarkStart w:id="58" w:name="附件3"/>
      <w:r>
        <w:rPr>
          <w:rFonts w:hint="eastAsia" w:ascii="仿宋" w:hAnsi="仿宋" w:eastAsia="仿宋" w:cs="仿宋"/>
          <w:b/>
          <w:color w:val="auto"/>
          <w:szCs w:val="21"/>
          <w:lang w:eastAsia="zh-CN"/>
        </w:rPr>
        <w:t>附件</w:t>
      </w:r>
      <w:r>
        <w:rPr>
          <w:rFonts w:hint="eastAsia" w:ascii="仿宋" w:hAnsi="仿宋" w:eastAsia="仿宋" w:cs="仿宋"/>
          <w:b/>
          <w:color w:val="auto"/>
          <w:szCs w:val="21"/>
          <w:lang w:val="en-US" w:eastAsia="zh-CN"/>
        </w:rPr>
        <w:t>3</w:t>
      </w:r>
    </w:p>
    <w:bookmarkEnd w:id="58"/>
    <w:p w14:paraId="616014AB">
      <w:pPr>
        <w:snapToGrid w:val="0"/>
        <w:spacing w:line="360" w:lineRule="auto"/>
        <w:jc w:val="center"/>
        <w:rPr>
          <w:rFonts w:hint="eastAsia" w:ascii="仿宋" w:hAnsi="仿宋" w:eastAsia="仿宋" w:cs="仿宋"/>
          <w:b/>
          <w:bCs/>
          <w:color w:val="auto"/>
          <w:sz w:val="28"/>
          <w:szCs w:val="28"/>
        </w:rPr>
      </w:pPr>
      <w:r>
        <w:rPr>
          <w:rFonts w:hint="eastAsia" w:ascii="仿宋" w:hAnsi="仿宋" w:eastAsia="仿宋" w:cs="仿宋"/>
          <w:b/>
          <w:bCs/>
          <w:color w:val="auto"/>
          <w:sz w:val="28"/>
          <w:szCs w:val="28"/>
        </w:rPr>
        <w:t>评分因素索引表</w:t>
      </w:r>
    </w:p>
    <w:tbl>
      <w:tblPr>
        <w:tblStyle w:val="50"/>
        <w:tblW w:w="9110" w:type="dxa"/>
        <w:jc w:val="center"/>
        <w:tblLayout w:type="fixed"/>
        <w:tblCellMar>
          <w:top w:w="15" w:type="dxa"/>
          <w:left w:w="15" w:type="dxa"/>
          <w:bottom w:w="15" w:type="dxa"/>
          <w:right w:w="15" w:type="dxa"/>
        </w:tblCellMar>
      </w:tblPr>
      <w:tblGrid>
        <w:gridCol w:w="1276"/>
        <w:gridCol w:w="3610"/>
        <w:gridCol w:w="900"/>
        <w:gridCol w:w="913"/>
        <w:gridCol w:w="1225"/>
        <w:gridCol w:w="1186"/>
      </w:tblGrid>
      <w:tr w14:paraId="5ABA1671">
        <w:tblPrEx>
          <w:tblCellMar>
            <w:top w:w="15" w:type="dxa"/>
            <w:left w:w="15" w:type="dxa"/>
            <w:bottom w:w="15" w:type="dxa"/>
            <w:right w:w="15" w:type="dxa"/>
          </w:tblCellMar>
        </w:tblPrEx>
        <w:trPr>
          <w:trHeight w:val="440" w:hRule="atLeast"/>
          <w:jc w:val="center"/>
        </w:trPr>
        <w:tc>
          <w:tcPr>
            <w:tcW w:w="1276" w:type="dxa"/>
            <w:tcBorders>
              <w:top w:val="single" w:color="auto" w:sz="4" w:space="0"/>
              <w:left w:val="single" w:color="auto" w:sz="4" w:space="0"/>
              <w:bottom w:val="single" w:color="auto" w:sz="4" w:space="0"/>
              <w:right w:val="single" w:color="auto" w:sz="4" w:space="0"/>
            </w:tcBorders>
            <w:vAlign w:val="center"/>
          </w:tcPr>
          <w:p w14:paraId="0B96322D">
            <w:pPr>
              <w:widowControl/>
              <w:jc w:val="center"/>
              <w:textAlignment w:val="center"/>
              <w:rPr>
                <w:rFonts w:hint="eastAsia" w:ascii="仿宋" w:hAnsi="仿宋" w:eastAsia="仿宋" w:cs="仿宋"/>
                <w:b/>
                <w:bCs/>
                <w:color w:val="auto"/>
                <w:szCs w:val="21"/>
              </w:rPr>
            </w:pPr>
            <w:r>
              <w:rPr>
                <w:rFonts w:hint="eastAsia" w:ascii="仿宋" w:hAnsi="仿宋" w:eastAsia="仿宋" w:cs="仿宋"/>
                <w:b/>
                <w:bCs/>
                <w:color w:val="auto"/>
                <w:szCs w:val="21"/>
              </w:rPr>
              <w:t>评分项目</w:t>
            </w:r>
          </w:p>
        </w:tc>
        <w:tc>
          <w:tcPr>
            <w:tcW w:w="3610" w:type="dxa"/>
            <w:tcBorders>
              <w:top w:val="single" w:color="auto" w:sz="4" w:space="0"/>
              <w:left w:val="single" w:color="auto" w:sz="4" w:space="0"/>
              <w:bottom w:val="single" w:color="auto" w:sz="4" w:space="0"/>
              <w:right w:val="single" w:color="auto" w:sz="4" w:space="0"/>
            </w:tcBorders>
            <w:vAlign w:val="center"/>
          </w:tcPr>
          <w:p w14:paraId="2873EC4E">
            <w:pPr>
              <w:widowControl/>
              <w:jc w:val="center"/>
              <w:textAlignment w:val="center"/>
              <w:rPr>
                <w:rFonts w:hint="eastAsia" w:ascii="仿宋" w:hAnsi="仿宋" w:eastAsia="仿宋" w:cs="仿宋"/>
                <w:b/>
                <w:bCs/>
                <w:color w:val="auto"/>
                <w:szCs w:val="21"/>
              </w:rPr>
            </w:pPr>
            <w:r>
              <w:rPr>
                <w:rFonts w:hint="eastAsia" w:ascii="仿宋" w:hAnsi="仿宋" w:eastAsia="仿宋" w:cs="仿宋"/>
                <w:b/>
                <w:bCs/>
                <w:color w:val="auto"/>
                <w:szCs w:val="21"/>
              </w:rPr>
              <w:t>评分标准</w:t>
            </w:r>
          </w:p>
        </w:tc>
        <w:tc>
          <w:tcPr>
            <w:tcW w:w="900" w:type="dxa"/>
            <w:tcBorders>
              <w:top w:val="single" w:color="auto" w:sz="4" w:space="0"/>
              <w:left w:val="single" w:color="auto" w:sz="4" w:space="0"/>
              <w:bottom w:val="single" w:color="auto" w:sz="4" w:space="0"/>
              <w:right w:val="single" w:color="auto" w:sz="4" w:space="0"/>
            </w:tcBorders>
            <w:vAlign w:val="center"/>
          </w:tcPr>
          <w:p w14:paraId="6F801E38">
            <w:pPr>
              <w:widowControl/>
              <w:jc w:val="center"/>
              <w:textAlignment w:val="center"/>
              <w:rPr>
                <w:rFonts w:hint="eastAsia" w:ascii="仿宋" w:hAnsi="仿宋" w:eastAsia="仿宋" w:cs="仿宋"/>
                <w:b/>
                <w:bCs/>
                <w:color w:val="auto"/>
                <w:szCs w:val="21"/>
              </w:rPr>
            </w:pPr>
            <w:r>
              <w:rPr>
                <w:rFonts w:hint="eastAsia" w:ascii="仿宋" w:hAnsi="仿宋" w:eastAsia="仿宋" w:cs="仿宋"/>
                <w:b/>
                <w:bCs/>
                <w:color w:val="auto"/>
                <w:szCs w:val="21"/>
              </w:rPr>
              <w:t>分值</w:t>
            </w:r>
          </w:p>
        </w:tc>
        <w:tc>
          <w:tcPr>
            <w:tcW w:w="913" w:type="dxa"/>
            <w:tcBorders>
              <w:top w:val="single" w:color="auto" w:sz="4" w:space="0"/>
              <w:left w:val="single" w:color="auto" w:sz="4" w:space="0"/>
              <w:bottom w:val="single" w:color="auto" w:sz="4" w:space="0"/>
              <w:right w:val="single" w:color="auto" w:sz="4" w:space="0"/>
            </w:tcBorders>
            <w:vAlign w:val="center"/>
          </w:tcPr>
          <w:p w14:paraId="451FD438">
            <w:pPr>
              <w:widowControl/>
              <w:jc w:val="center"/>
              <w:textAlignment w:val="center"/>
              <w:rPr>
                <w:rFonts w:hint="eastAsia" w:ascii="仿宋" w:hAnsi="仿宋" w:eastAsia="仿宋" w:cs="仿宋"/>
                <w:b/>
                <w:bCs/>
                <w:color w:val="auto"/>
                <w:szCs w:val="21"/>
              </w:rPr>
            </w:pPr>
            <w:r>
              <w:rPr>
                <w:rFonts w:hint="eastAsia" w:ascii="仿宋" w:hAnsi="仿宋" w:eastAsia="仿宋" w:cs="仿宋"/>
                <w:b/>
                <w:bCs/>
                <w:color w:val="auto"/>
                <w:szCs w:val="21"/>
              </w:rPr>
              <w:t>自评</w:t>
            </w:r>
          </w:p>
          <w:p w14:paraId="769151B3">
            <w:pPr>
              <w:widowControl/>
              <w:jc w:val="center"/>
              <w:textAlignment w:val="center"/>
              <w:rPr>
                <w:rFonts w:hint="eastAsia" w:ascii="仿宋" w:hAnsi="仿宋" w:eastAsia="仿宋" w:cs="仿宋"/>
                <w:b/>
                <w:bCs/>
                <w:color w:val="auto"/>
                <w:szCs w:val="21"/>
              </w:rPr>
            </w:pPr>
            <w:r>
              <w:rPr>
                <w:rFonts w:hint="eastAsia" w:ascii="仿宋" w:hAnsi="仿宋" w:eastAsia="仿宋" w:cs="仿宋"/>
                <w:b/>
                <w:bCs/>
                <w:color w:val="auto"/>
                <w:szCs w:val="21"/>
              </w:rPr>
              <w:t>分</w:t>
            </w:r>
          </w:p>
        </w:tc>
        <w:tc>
          <w:tcPr>
            <w:tcW w:w="1225" w:type="dxa"/>
            <w:tcBorders>
              <w:top w:val="single" w:color="auto" w:sz="4" w:space="0"/>
              <w:left w:val="single" w:color="auto" w:sz="4" w:space="0"/>
              <w:bottom w:val="single" w:color="auto" w:sz="4" w:space="0"/>
              <w:right w:val="single" w:color="auto" w:sz="4" w:space="0"/>
            </w:tcBorders>
            <w:vAlign w:val="center"/>
          </w:tcPr>
          <w:p w14:paraId="6D639828">
            <w:pPr>
              <w:widowControl/>
              <w:jc w:val="center"/>
              <w:textAlignment w:val="center"/>
              <w:rPr>
                <w:rFonts w:hint="eastAsia" w:ascii="仿宋" w:hAnsi="仿宋" w:eastAsia="仿宋" w:cs="仿宋"/>
                <w:b/>
                <w:bCs/>
                <w:color w:val="auto"/>
                <w:szCs w:val="21"/>
              </w:rPr>
            </w:pPr>
            <w:r>
              <w:rPr>
                <w:rFonts w:hint="eastAsia" w:ascii="仿宋" w:hAnsi="仿宋" w:eastAsia="仿宋" w:cs="仿宋"/>
                <w:b/>
                <w:bCs/>
                <w:color w:val="auto"/>
                <w:szCs w:val="21"/>
              </w:rPr>
              <w:t>得分</w:t>
            </w:r>
          </w:p>
          <w:p w14:paraId="72A00366">
            <w:pPr>
              <w:widowControl/>
              <w:jc w:val="center"/>
              <w:textAlignment w:val="center"/>
              <w:rPr>
                <w:rFonts w:hint="eastAsia" w:ascii="仿宋" w:hAnsi="仿宋" w:eastAsia="仿宋" w:cs="仿宋"/>
                <w:b/>
                <w:bCs/>
                <w:color w:val="auto"/>
                <w:szCs w:val="21"/>
              </w:rPr>
            </w:pPr>
            <w:r>
              <w:rPr>
                <w:rFonts w:hint="eastAsia" w:ascii="仿宋" w:hAnsi="仿宋" w:eastAsia="仿宋" w:cs="仿宋"/>
                <w:b/>
                <w:bCs/>
                <w:color w:val="auto"/>
                <w:szCs w:val="21"/>
              </w:rPr>
              <w:t>依据</w:t>
            </w:r>
          </w:p>
        </w:tc>
        <w:tc>
          <w:tcPr>
            <w:tcW w:w="1186" w:type="dxa"/>
            <w:tcBorders>
              <w:top w:val="single" w:color="auto" w:sz="4" w:space="0"/>
              <w:left w:val="single" w:color="auto" w:sz="4" w:space="0"/>
              <w:bottom w:val="single" w:color="auto" w:sz="4" w:space="0"/>
              <w:right w:val="single" w:color="auto" w:sz="4" w:space="0"/>
            </w:tcBorders>
            <w:vAlign w:val="center"/>
          </w:tcPr>
          <w:p w14:paraId="207C8CE6">
            <w:pPr>
              <w:widowControl/>
              <w:jc w:val="center"/>
              <w:textAlignment w:val="center"/>
              <w:rPr>
                <w:rFonts w:hint="eastAsia" w:ascii="仿宋" w:hAnsi="仿宋" w:eastAsia="仿宋" w:cs="仿宋"/>
                <w:b/>
                <w:bCs/>
                <w:color w:val="auto"/>
                <w:szCs w:val="21"/>
              </w:rPr>
            </w:pPr>
            <w:r>
              <w:rPr>
                <w:rFonts w:hint="eastAsia" w:ascii="仿宋" w:hAnsi="仿宋" w:eastAsia="仿宋" w:cs="仿宋"/>
                <w:b/>
                <w:bCs/>
                <w:color w:val="auto"/>
                <w:szCs w:val="21"/>
              </w:rPr>
              <w:t>对应</w:t>
            </w:r>
          </w:p>
          <w:p w14:paraId="72DEDED1">
            <w:pPr>
              <w:widowControl/>
              <w:jc w:val="center"/>
              <w:textAlignment w:val="center"/>
              <w:rPr>
                <w:rFonts w:hint="eastAsia" w:ascii="仿宋" w:hAnsi="仿宋" w:eastAsia="仿宋" w:cs="仿宋"/>
                <w:b/>
                <w:bCs/>
                <w:color w:val="auto"/>
                <w:szCs w:val="21"/>
              </w:rPr>
            </w:pPr>
            <w:r>
              <w:rPr>
                <w:rFonts w:hint="eastAsia" w:ascii="仿宋" w:hAnsi="仿宋" w:eastAsia="仿宋" w:cs="仿宋"/>
                <w:b/>
                <w:bCs/>
                <w:color w:val="auto"/>
                <w:szCs w:val="21"/>
              </w:rPr>
              <w:t>页码</w:t>
            </w:r>
          </w:p>
        </w:tc>
      </w:tr>
      <w:tr w14:paraId="23BFC7F5">
        <w:tblPrEx>
          <w:tblCellMar>
            <w:top w:w="15" w:type="dxa"/>
            <w:left w:w="15" w:type="dxa"/>
            <w:bottom w:w="15" w:type="dxa"/>
            <w:right w:w="15" w:type="dxa"/>
          </w:tblCellMar>
        </w:tblPrEx>
        <w:trPr>
          <w:trHeight w:val="567" w:hRule="atLeast"/>
          <w:jc w:val="center"/>
        </w:trPr>
        <w:tc>
          <w:tcPr>
            <w:tcW w:w="1276" w:type="dxa"/>
            <w:tcBorders>
              <w:top w:val="single" w:color="auto" w:sz="4" w:space="0"/>
              <w:left w:val="single" w:color="auto" w:sz="4" w:space="0"/>
              <w:bottom w:val="single" w:color="auto" w:sz="4" w:space="0"/>
              <w:right w:val="single" w:color="auto" w:sz="4" w:space="0"/>
            </w:tcBorders>
            <w:vAlign w:val="center"/>
          </w:tcPr>
          <w:p w14:paraId="256253CC">
            <w:pPr>
              <w:widowControl/>
              <w:jc w:val="center"/>
              <w:textAlignment w:val="center"/>
              <w:rPr>
                <w:rFonts w:hint="eastAsia" w:ascii="仿宋" w:hAnsi="仿宋" w:eastAsia="仿宋" w:cs="仿宋"/>
                <w:color w:val="auto"/>
                <w:szCs w:val="21"/>
              </w:rPr>
            </w:pPr>
          </w:p>
        </w:tc>
        <w:tc>
          <w:tcPr>
            <w:tcW w:w="3610" w:type="dxa"/>
            <w:tcBorders>
              <w:top w:val="single" w:color="auto" w:sz="4" w:space="0"/>
              <w:left w:val="single" w:color="auto" w:sz="4" w:space="0"/>
              <w:bottom w:val="single" w:color="auto" w:sz="4" w:space="0"/>
              <w:right w:val="single" w:color="auto" w:sz="4" w:space="0"/>
            </w:tcBorders>
            <w:vAlign w:val="center"/>
          </w:tcPr>
          <w:p w14:paraId="604BE4BB">
            <w:pPr>
              <w:widowControl/>
              <w:jc w:val="left"/>
              <w:textAlignment w:val="center"/>
              <w:rPr>
                <w:rFonts w:hint="eastAsia" w:ascii="仿宋" w:hAnsi="仿宋" w:eastAsia="仿宋" w:cs="仿宋"/>
                <w:color w:val="auto"/>
                <w:szCs w:val="21"/>
              </w:rPr>
            </w:pPr>
          </w:p>
        </w:tc>
        <w:tc>
          <w:tcPr>
            <w:tcW w:w="900" w:type="dxa"/>
            <w:tcBorders>
              <w:top w:val="single" w:color="auto" w:sz="4" w:space="0"/>
              <w:left w:val="single" w:color="auto" w:sz="4" w:space="0"/>
              <w:bottom w:val="single" w:color="auto" w:sz="4" w:space="0"/>
              <w:right w:val="single" w:color="auto" w:sz="4" w:space="0"/>
            </w:tcBorders>
            <w:vAlign w:val="center"/>
          </w:tcPr>
          <w:p w14:paraId="5FCE9648">
            <w:pPr>
              <w:widowControl/>
              <w:jc w:val="center"/>
              <w:rPr>
                <w:rFonts w:hint="eastAsia" w:ascii="仿宋" w:hAnsi="仿宋" w:eastAsia="仿宋" w:cs="仿宋"/>
                <w:color w:val="auto"/>
                <w:szCs w:val="21"/>
              </w:rPr>
            </w:pPr>
          </w:p>
        </w:tc>
        <w:tc>
          <w:tcPr>
            <w:tcW w:w="913" w:type="dxa"/>
            <w:tcBorders>
              <w:top w:val="single" w:color="auto" w:sz="4" w:space="0"/>
              <w:left w:val="single" w:color="auto" w:sz="4" w:space="0"/>
              <w:bottom w:val="single" w:color="auto" w:sz="4" w:space="0"/>
              <w:right w:val="single" w:color="auto" w:sz="4" w:space="0"/>
            </w:tcBorders>
            <w:vAlign w:val="center"/>
          </w:tcPr>
          <w:p w14:paraId="7F45C74E">
            <w:pPr>
              <w:widowControl/>
              <w:jc w:val="center"/>
              <w:rPr>
                <w:rFonts w:hint="eastAsia" w:ascii="仿宋" w:hAnsi="仿宋" w:eastAsia="仿宋" w:cs="仿宋"/>
                <w:color w:val="auto"/>
                <w:szCs w:val="21"/>
              </w:rPr>
            </w:pPr>
          </w:p>
        </w:tc>
        <w:tc>
          <w:tcPr>
            <w:tcW w:w="1225" w:type="dxa"/>
            <w:tcBorders>
              <w:top w:val="single" w:color="auto" w:sz="4" w:space="0"/>
              <w:left w:val="single" w:color="auto" w:sz="4" w:space="0"/>
              <w:bottom w:val="single" w:color="auto" w:sz="4" w:space="0"/>
              <w:right w:val="single" w:color="auto" w:sz="4" w:space="0"/>
            </w:tcBorders>
            <w:vAlign w:val="center"/>
          </w:tcPr>
          <w:p w14:paraId="2DE2F2E7">
            <w:pPr>
              <w:widowControl/>
              <w:jc w:val="center"/>
              <w:rPr>
                <w:rFonts w:hint="eastAsia" w:ascii="仿宋" w:hAnsi="仿宋" w:eastAsia="仿宋" w:cs="仿宋"/>
                <w:color w:val="auto"/>
                <w:szCs w:val="21"/>
              </w:rPr>
            </w:pPr>
          </w:p>
        </w:tc>
        <w:tc>
          <w:tcPr>
            <w:tcW w:w="1186" w:type="dxa"/>
            <w:tcBorders>
              <w:top w:val="single" w:color="auto" w:sz="4" w:space="0"/>
              <w:left w:val="single" w:color="auto" w:sz="4" w:space="0"/>
              <w:bottom w:val="single" w:color="auto" w:sz="4" w:space="0"/>
              <w:right w:val="single" w:color="auto" w:sz="4" w:space="0"/>
            </w:tcBorders>
            <w:vAlign w:val="center"/>
          </w:tcPr>
          <w:p w14:paraId="441E0134">
            <w:pPr>
              <w:widowControl/>
              <w:jc w:val="center"/>
              <w:rPr>
                <w:rFonts w:hint="eastAsia" w:ascii="仿宋" w:hAnsi="仿宋" w:eastAsia="仿宋" w:cs="仿宋"/>
                <w:color w:val="auto"/>
                <w:szCs w:val="21"/>
              </w:rPr>
            </w:pPr>
          </w:p>
        </w:tc>
      </w:tr>
      <w:tr w14:paraId="0BE4D4D2">
        <w:tblPrEx>
          <w:tblCellMar>
            <w:top w:w="15" w:type="dxa"/>
            <w:left w:w="15" w:type="dxa"/>
            <w:bottom w:w="15" w:type="dxa"/>
            <w:right w:w="15" w:type="dxa"/>
          </w:tblCellMar>
        </w:tblPrEx>
        <w:trPr>
          <w:trHeight w:val="567" w:hRule="atLeast"/>
          <w:jc w:val="center"/>
        </w:trPr>
        <w:tc>
          <w:tcPr>
            <w:tcW w:w="1276" w:type="dxa"/>
            <w:tcBorders>
              <w:top w:val="single" w:color="auto" w:sz="4" w:space="0"/>
              <w:left w:val="single" w:color="auto" w:sz="4" w:space="0"/>
              <w:bottom w:val="single" w:color="auto" w:sz="4" w:space="0"/>
              <w:right w:val="single" w:color="auto" w:sz="4" w:space="0"/>
            </w:tcBorders>
            <w:vAlign w:val="center"/>
          </w:tcPr>
          <w:p w14:paraId="6DE87E22">
            <w:pPr>
              <w:widowControl/>
              <w:jc w:val="center"/>
              <w:textAlignment w:val="center"/>
              <w:rPr>
                <w:rFonts w:hint="eastAsia" w:ascii="仿宋" w:hAnsi="仿宋" w:eastAsia="仿宋" w:cs="仿宋"/>
                <w:color w:val="auto"/>
                <w:szCs w:val="21"/>
              </w:rPr>
            </w:pPr>
          </w:p>
        </w:tc>
        <w:tc>
          <w:tcPr>
            <w:tcW w:w="3610" w:type="dxa"/>
            <w:tcBorders>
              <w:top w:val="single" w:color="auto" w:sz="4" w:space="0"/>
              <w:left w:val="single" w:color="auto" w:sz="4" w:space="0"/>
              <w:bottom w:val="single" w:color="auto" w:sz="4" w:space="0"/>
              <w:right w:val="single" w:color="auto" w:sz="4" w:space="0"/>
            </w:tcBorders>
            <w:vAlign w:val="center"/>
          </w:tcPr>
          <w:p w14:paraId="60B385E0">
            <w:pPr>
              <w:widowControl/>
              <w:jc w:val="left"/>
              <w:textAlignment w:val="center"/>
              <w:rPr>
                <w:rFonts w:hint="eastAsia" w:ascii="仿宋" w:hAnsi="仿宋" w:eastAsia="仿宋" w:cs="仿宋"/>
                <w:color w:val="auto"/>
                <w:szCs w:val="21"/>
              </w:rPr>
            </w:pPr>
          </w:p>
        </w:tc>
        <w:tc>
          <w:tcPr>
            <w:tcW w:w="900" w:type="dxa"/>
            <w:tcBorders>
              <w:top w:val="single" w:color="auto" w:sz="4" w:space="0"/>
              <w:left w:val="single" w:color="auto" w:sz="4" w:space="0"/>
              <w:bottom w:val="single" w:color="auto" w:sz="4" w:space="0"/>
              <w:right w:val="single" w:color="auto" w:sz="4" w:space="0"/>
            </w:tcBorders>
            <w:vAlign w:val="center"/>
          </w:tcPr>
          <w:p w14:paraId="40CF7A95">
            <w:pPr>
              <w:widowControl/>
              <w:jc w:val="center"/>
              <w:textAlignment w:val="center"/>
              <w:rPr>
                <w:rFonts w:hint="eastAsia" w:ascii="仿宋" w:hAnsi="仿宋" w:eastAsia="仿宋" w:cs="仿宋"/>
                <w:color w:val="auto"/>
                <w:szCs w:val="21"/>
              </w:rPr>
            </w:pPr>
          </w:p>
        </w:tc>
        <w:tc>
          <w:tcPr>
            <w:tcW w:w="913" w:type="dxa"/>
            <w:tcBorders>
              <w:top w:val="single" w:color="auto" w:sz="4" w:space="0"/>
              <w:left w:val="single" w:color="auto" w:sz="4" w:space="0"/>
              <w:bottom w:val="single" w:color="auto" w:sz="4" w:space="0"/>
              <w:right w:val="single" w:color="auto" w:sz="4" w:space="0"/>
            </w:tcBorders>
            <w:vAlign w:val="center"/>
          </w:tcPr>
          <w:p w14:paraId="3B89E27B">
            <w:pPr>
              <w:widowControl/>
              <w:jc w:val="center"/>
              <w:textAlignment w:val="center"/>
              <w:rPr>
                <w:rFonts w:hint="eastAsia" w:ascii="仿宋" w:hAnsi="仿宋" w:eastAsia="仿宋" w:cs="仿宋"/>
                <w:color w:val="auto"/>
                <w:szCs w:val="21"/>
              </w:rPr>
            </w:pPr>
          </w:p>
        </w:tc>
        <w:tc>
          <w:tcPr>
            <w:tcW w:w="1225" w:type="dxa"/>
            <w:tcBorders>
              <w:top w:val="single" w:color="auto" w:sz="4" w:space="0"/>
              <w:left w:val="single" w:color="auto" w:sz="4" w:space="0"/>
              <w:bottom w:val="single" w:color="auto" w:sz="4" w:space="0"/>
              <w:right w:val="single" w:color="auto" w:sz="4" w:space="0"/>
            </w:tcBorders>
            <w:vAlign w:val="center"/>
          </w:tcPr>
          <w:p w14:paraId="55B02B2C">
            <w:pPr>
              <w:widowControl/>
              <w:jc w:val="center"/>
              <w:textAlignment w:val="center"/>
              <w:rPr>
                <w:rFonts w:hint="eastAsia" w:ascii="仿宋" w:hAnsi="仿宋" w:eastAsia="仿宋" w:cs="仿宋"/>
                <w:color w:val="auto"/>
                <w:szCs w:val="21"/>
              </w:rPr>
            </w:pPr>
          </w:p>
        </w:tc>
        <w:tc>
          <w:tcPr>
            <w:tcW w:w="1186" w:type="dxa"/>
            <w:tcBorders>
              <w:top w:val="single" w:color="auto" w:sz="4" w:space="0"/>
              <w:left w:val="single" w:color="auto" w:sz="4" w:space="0"/>
              <w:bottom w:val="single" w:color="auto" w:sz="4" w:space="0"/>
              <w:right w:val="single" w:color="auto" w:sz="4" w:space="0"/>
            </w:tcBorders>
            <w:vAlign w:val="center"/>
          </w:tcPr>
          <w:p w14:paraId="6564F8E9">
            <w:pPr>
              <w:widowControl/>
              <w:jc w:val="center"/>
              <w:textAlignment w:val="center"/>
              <w:rPr>
                <w:rFonts w:hint="eastAsia" w:ascii="仿宋" w:hAnsi="仿宋" w:eastAsia="仿宋" w:cs="仿宋"/>
                <w:color w:val="auto"/>
                <w:szCs w:val="21"/>
              </w:rPr>
            </w:pPr>
          </w:p>
        </w:tc>
      </w:tr>
      <w:tr w14:paraId="3E26AEEB">
        <w:tblPrEx>
          <w:tblCellMar>
            <w:top w:w="15" w:type="dxa"/>
            <w:left w:w="15" w:type="dxa"/>
            <w:bottom w:w="15" w:type="dxa"/>
            <w:right w:w="15" w:type="dxa"/>
          </w:tblCellMar>
        </w:tblPrEx>
        <w:trPr>
          <w:trHeight w:val="567" w:hRule="atLeast"/>
          <w:jc w:val="center"/>
        </w:trPr>
        <w:tc>
          <w:tcPr>
            <w:tcW w:w="1276" w:type="dxa"/>
            <w:tcBorders>
              <w:top w:val="single" w:color="auto" w:sz="4" w:space="0"/>
              <w:left w:val="single" w:color="auto" w:sz="4" w:space="0"/>
              <w:bottom w:val="single" w:color="auto" w:sz="4" w:space="0"/>
              <w:right w:val="single" w:color="auto" w:sz="4" w:space="0"/>
            </w:tcBorders>
            <w:vAlign w:val="center"/>
          </w:tcPr>
          <w:p w14:paraId="4578ED39">
            <w:pPr>
              <w:widowControl/>
              <w:jc w:val="center"/>
              <w:rPr>
                <w:rFonts w:hint="eastAsia" w:ascii="仿宋" w:hAnsi="仿宋" w:eastAsia="仿宋" w:cs="仿宋"/>
                <w:color w:val="auto"/>
                <w:szCs w:val="21"/>
              </w:rPr>
            </w:pPr>
          </w:p>
        </w:tc>
        <w:tc>
          <w:tcPr>
            <w:tcW w:w="3610" w:type="dxa"/>
            <w:tcBorders>
              <w:top w:val="single" w:color="auto" w:sz="4" w:space="0"/>
              <w:left w:val="single" w:color="auto" w:sz="4" w:space="0"/>
              <w:bottom w:val="single" w:color="auto" w:sz="4" w:space="0"/>
              <w:right w:val="single" w:color="auto" w:sz="4" w:space="0"/>
            </w:tcBorders>
            <w:vAlign w:val="center"/>
          </w:tcPr>
          <w:p w14:paraId="77B397E2">
            <w:pPr>
              <w:widowControl/>
              <w:rPr>
                <w:rFonts w:hint="eastAsia" w:ascii="仿宋" w:hAnsi="仿宋" w:eastAsia="仿宋" w:cs="仿宋"/>
                <w:color w:val="auto"/>
                <w:szCs w:val="21"/>
              </w:rPr>
            </w:pPr>
          </w:p>
        </w:tc>
        <w:tc>
          <w:tcPr>
            <w:tcW w:w="900" w:type="dxa"/>
            <w:tcBorders>
              <w:top w:val="single" w:color="auto" w:sz="4" w:space="0"/>
              <w:left w:val="single" w:color="auto" w:sz="4" w:space="0"/>
              <w:bottom w:val="single" w:color="auto" w:sz="4" w:space="0"/>
              <w:right w:val="single" w:color="auto" w:sz="4" w:space="0"/>
            </w:tcBorders>
            <w:vAlign w:val="center"/>
          </w:tcPr>
          <w:p w14:paraId="18639A66">
            <w:pPr>
              <w:widowControl/>
              <w:jc w:val="center"/>
              <w:textAlignment w:val="center"/>
              <w:rPr>
                <w:rFonts w:hint="eastAsia" w:ascii="仿宋" w:hAnsi="仿宋" w:eastAsia="仿宋" w:cs="仿宋"/>
                <w:color w:val="auto"/>
                <w:szCs w:val="21"/>
              </w:rPr>
            </w:pPr>
          </w:p>
        </w:tc>
        <w:tc>
          <w:tcPr>
            <w:tcW w:w="913" w:type="dxa"/>
            <w:tcBorders>
              <w:top w:val="single" w:color="auto" w:sz="4" w:space="0"/>
              <w:left w:val="single" w:color="auto" w:sz="4" w:space="0"/>
              <w:bottom w:val="single" w:color="auto" w:sz="4" w:space="0"/>
              <w:right w:val="single" w:color="auto" w:sz="4" w:space="0"/>
            </w:tcBorders>
            <w:vAlign w:val="center"/>
          </w:tcPr>
          <w:p w14:paraId="6A30B205">
            <w:pPr>
              <w:widowControl/>
              <w:jc w:val="center"/>
              <w:textAlignment w:val="center"/>
              <w:rPr>
                <w:rFonts w:hint="eastAsia" w:ascii="仿宋" w:hAnsi="仿宋" w:eastAsia="仿宋" w:cs="仿宋"/>
                <w:color w:val="auto"/>
                <w:szCs w:val="21"/>
              </w:rPr>
            </w:pPr>
          </w:p>
        </w:tc>
        <w:tc>
          <w:tcPr>
            <w:tcW w:w="1225" w:type="dxa"/>
            <w:tcBorders>
              <w:top w:val="single" w:color="auto" w:sz="4" w:space="0"/>
              <w:left w:val="single" w:color="auto" w:sz="4" w:space="0"/>
              <w:bottom w:val="single" w:color="auto" w:sz="4" w:space="0"/>
              <w:right w:val="single" w:color="auto" w:sz="4" w:space="0"/>
            </w:tcBorders>
            <w:vAlign w:val="center"/>
          </w:tcPr>
          <w:p w14:paraId="729C06F2">
            <w:pPr>
              <w:widowControl/>
              <w:jc w:val="center"/>
              <w:textAlignment w:val="center"/>
              <w:rPr>
                <w:rFonts w:hint="eastAsia" w:ascii="仿宋" w:hAnsi="仿宋" w:eastAsia="仿宋" w:cs="仿宋"/>
                <w:color w:val="auto"/>
                <w:szCs w:val="21"/>
              </w:rPr>
            </w:pPr>
          </w:p>
        </w:tc>
        <w:tc>
          <w:tcPr>
            <w:tcW w:w="1186" w:type="dxa"/>
            <w:tcBorders>
              <w:top w:val="single" w:color="auto" w:sz="4" w:space="0"/>
              <w:left w:val="single" w:color="auto" w:sz="4" w:space="0"/>
              <w:bottom w:val="single" w:color="auto" w:sz="4" w:space="0"/>
              <w:right w:val="single" w:color="auto" w:sz="4" w:space="0"/>
            </w:tcBorders>
            <w:vAlign w:val="center"/>
          </w:tcPr>
          <w:p w14:paraId="05D505E1">
            <w:pPr>
              <w:widowControl/>
              <w:jc w:val="center"/>
              <w:textAlignment w:val="center"/>
              <w:rPr>
                <w:rFonts w:hint="eastAsia" w:ascii="仿宋" w:hAnsi="仿宋" w:eastAsia="仿宋" w:cs="仿宋"/>
                <w:color w:val="auto"/>
                <w:szCs w:val="21"/>
              </w:rPr>
            </w:pPr>
          </w:p>
        </w:tc>
      </w:tr>
      <w:tr w14:paraId="22D05D33">
        <w:tblPrEx>
          <w:tblCellMar>
            <w:top w:w="15" w:type="dxa"/>
            <w:left w:w="15" w:type="dxa"/>
            <w:bottom w:w="15" w:type="dxa"/>
            <w:right w:w="15" w:type="dxa"/>
          </w:tblCellMar>
        </w:tblPrEx>
        <w:trPr>
          <w:trHeight w:val="567" w:hRule="atLeast"/>
          <w:jc w:val="center"/>
        </w:trPr>
        <w:tc>
          <w:tcPr>
            <w:tcW w:w="1276" w:type="dxa"/>
            <w:tcBorders>
              <w:top w:val="single" w:color="auto" w:sz="4" w:space="0"/>
              <w:left w:val="single" w:color="auto" w:sz="4" w:space="0"/>
              <w:bottom w:val="single" w:color="auto" w:sz="4" w:space="0"/>
              <w:right w:val="single" w:color="auto" w:sz="4" w:space="0"/>
            </w:tcBorders>
            <w:vAlign w:val="center"/>
          </w:tcPr>
          <w:p w14:paraId="193E2966">
            <w:pPr>
              <w:widowControl/>
              <w:jc w:val="center"/>
              <w:rPr>
                <w:rFonts w:hint="eastAsia" w:ascii="仿宋" w:hAnsi="仿宋" w:eastAsia="仿宋" w:cs="仿宋"/>
                <w:color w:val="auto"/>
                <w:szCs w:val="21"/>
              </w:rPr>
            </w:pPr>
          </w:p>
        </w:tc>
        <w:tc>
          <w:tcPr>
            <w:tcW w:w="3610" w:type="dxa"/>
            <w:tcBorders>
              <w:top w:val="single" w:color="auto" w:sz="4" w:space="0"/>
              <w:left w:val="single" w:color="auto" w:sz="4" w:space="0"/>
              <w:bottom w:val="single" w:color="auto" w:sz="4" w:space="0"/>
              <w:right w:val="single" w:color="auto" w:sz="4" w:space="0"/>
            </w:tcBorders>
            <w:vAlign w:val="center"/>
          </w:tcPr>
          <w:p w14:paraId="54A4E9E4">
            <w:pPr>
              <w:widowControl/>
              <w:jc w:val="left"/>
              <w:rPr>
                <w:rFonts w:hint="eastAsia" w:ascii="仿宋" w:hAnsi="仿宋" w:eastAsia="仿宋" w:cs="仿宋"/>
                <w:color w:val="auto"/>
                <w:szCs w:val="21"/>
              </w:rPr>
            </w:pPr>
          </w:p>
        </w:tc>
        <w:tc>
          <w:tcPr>
            <w:tcW w:w="900" w:type="dxa"/>
            <w:tcBorders>
              <w:top w:val="single" w:color="auto" w:sz="4" w:space="0"/>
              <w:left w:val="single" w:color="auto" w:sz="4" w:space="0"/>
              <w:bottom w:val="single" w:color="auto" w:sz="4" w:space="0"/>
              <w:right w:val="single" w:color="auto" w:sz="4" w:space="0"/>
            </w:tcBorders>
            <w:vAlign w:val="center"/>
          </w:tcPr>
          <w:p w14:paraId="274F1D85">
            <w:pPr>
              <w:widowControl/>
              <w:jc w:val="center"/>
              <w:textAlignment w:val="center"/>
              <w:rPr>
                <w:rFonts w:hint="eastAsia" w:ascii="仿宋" w:hAnsi="仿宋" w:eastAsia="仿宋" w:cs="仿宋"/>
                <w:color w:val="auto"/>
                <w:szCs w:val="21"/>
              </w:rPr>
            </w:pPr>
          </w:p>
        </w:tc>
        <w:tc>
          <w:tcPr>
            <w:tcW w:w="913" w:type="dxa"/>
            <w:tcBorders>
              <w:top w:val="single" w:color="auto" w:sz="4" w:space="0"/>
              <w:left w:val="single" w:color="auto" w:sz="4" w:space="0"/>
              <w:bottom w:val="single" w:color="auto" w:sz="4" w:space="0"/>
              <w:right w:val="single" w:color="auto" w:sz="4" w:space="0"/>
            </w:tcBorders>
            <w:vAlign w:val="center"/>
          </w:tcPr>
          <w:p w14:paraId="0295C294">
            <w:pPr>
              <w:widowControl/>
              <w:jc w:val="center"/>
              <w:textAlignment w:val="center"/>
              <w:rPr>
                <w:rFonts w:hint="eastAsia" w:ascii="仿宋" w:hAnsi="仿宋" w:eastAsia="仿宋" w:cs="仿宋"/>
                <w:color w:val="auto"/>
                <w:szCs w:val="21"/>
              </w:rPr>
            </w:pPr>
          </w:p>
        </w:tc>
        <w:tc>
          <w:tcPr>
            <w:tcW w:w="1225" w:type="dxa"/>
            <w:tcBorders>
              <w:top w:val="single" w:color="auto" w:sz="4" w:space="0"/>
              <w:left w:val="single" w:color="auto" w:sz="4" w:space="0"/>
              <w:bottom w:val="single" w:color="auto" w:sz="4" w:space="0"/>
              <w:right w:val="single" w:color="auto" w:sz="4" w:space="0"/>
            </w:tcBorders>
            <w:vAlign w:val="center"/>
          </w:tcPr>
          <w:p w14:paraId="016CF48D">
            <w:pPr>
              <w:widowControl/>
              <w:jc w:val="center"/>
              <w:textAlignment w:val="center"/>
              <w:rPr>
                <w:rFonts w:hint="eastAsia" w:ascii="仿宋" w:hAnsi="仿宋" w:eastAsia="仿宋" w:cs="仿宋"/>
                <w:color w:val="auto"/>
                <w:szCs w:val="21"/>
              </w:rPr>
            </w:pPr>
          </w:p>
        </w:tc>
        <w:tc>
          <w:tcPr>
            <w:tcW w:w="1186" w:type="dxa"/>
            <w:tcBorders>
              <w:top w:val="single" w:color="auto" w:sz="4" w:space="0"/>
              <w:left w:val="single" w:color="auto" w:sz="4" w:space="0"/>
              <w:bottom w:val="single" w:color="auto" w:sz="4" w:space="0"/>
              <w:right w:val="single" w:color="auto" w:sz="4" w:space="0"/>
            </w:tcBorders>
            <w:vAlign w:val="center"/>
          </w:tcPr>
          <w:p w14:paraId="7A0E0D3E">
            <w:pPr>
              <w:widowControl/>
              <w:jc w:val="center"/>
              <w:textAlignment w:val="center"/>
              <w:rPr>
                <w:rFonts w:hint="eastAsia" w:ascii="仿宋" w:hAnsi="仿宋" w:eastAsia="仿宋" w:cs="仿宋"/>
                <w:color w:val="auto"/>
                <w:szCs w:val="21"/>
              </w:rPr>
            </w:pPr>
          </w:p>
        </w:tc>
      </w:tr>
      <w:tr w14:paraId="33083E05">
        <w:tblPrEx>
          <w:tblCellMar>
            <w:top w:w="15" w:type="dxa"/>
            <w:left w:w="15" w:type="dxa"/>
            <w:bottom w:w="15" w:type="dxa"/>
            <w:right w:w="15" w:type="dxa"/>
          </w:tblCellMar>
        </w:tblPrEx>
        <w:trPr>
          <w:trHeight w:val="567" w:hRule="atLeast"/>
          <w:jc w:val="center"/>
        </w:trPr>
        <w:tc>
          <w:tcPr>
            <w:tcW w:w="1276" w:type="dxa"/>
            <w:tcBorders>
              <w:top w:val="single" w:color="auto" w:sz="4" w:space="0"/>
              <w:left w:val="single" w:color="auto" w:sz="4" w:space="0"/>
              <w:bottom w:val="single" w:color="auto" w:sz="4" w:space="0"/>
              <w:right w:val="single" w:color="auto" w:sz="4" w:space="0"/>
            </w:tcBorders>
            <w:vAlign w:val="center"/>
          </w:tcPr>
          <w:p w14:paraId="2F7AC269">
            <w:pPr>
              <w:widowControl/>
              <w:jc w:val="center"/>
              <w:rPr>
                <w:rFonts w:hint="eastAsia" w:ascii="仿宋" w:hAnsi="仿宋" w:eastAsia="仿宋" w:cs="仿宋"/>
                <w:color w:val="auto"/>
                <w:szCs w:val="21"/>
              </w:rPr>
            </w:pPr>
          </w:p>
        </w:tc>
        <w:tc>
          <w:tcPr>
            <w:tcW w:w="3610" w:type="dxa"/>
            <w:tcBorders>
              <w:top w:val="single" w:color="auto" w:sz="4" w:space="0"/>
              <w:left w:val="single" w:color="auto" w:sz="4" w:space="0"/>
              <w:bottom w:val="single" w:color="auto" w:sz="4" w:space="0"/>
              <w:right w:val="single" w:color="auto" w:sz="4" w:space="0"/>
            </w:tcBorders>
            <w:vAlign w:val="center"/>
          </w:tcPr>
          <w:p w14:paraId="02724AB6">
            <w:pPr>
              <w:widowControl/>
              <w:jc w:val="left"/>
              <w:rPr>
                <w:rFonts w:hint="eastAsia" w:ascii="仿宋" w:hAnsi="仿宋" w:eastAsia="仿宋" w:cs="仿宋"/>
                <w:color w:val="auto"/>
                <w:szCs w:val="21"/>
              </w:rPr>
            </w:pPr>
          </w:p>
        </w:tc>
        <w:tc>
          <w:tcPr>
            <w:tcW w:w="900" w:type="dxa"/>
            <w:tcBorders>
              <w:top w:val="single" w:color="auto" w:sz="4" w:space="0"/>
              <w:left w:val="single" w:color="auto" w:sz="4" w:space="0"/>
              <w:bottom w:val="single" w:color="auto" w:sz="4" w:space="0"/>
              <w:right w:val="single" w:color="auto" w:sz="4" w:space="0"/>
            </w:tcBorders>
            <w:vAlign w:val="center"/>
          </w:tcPr>
          <w:p w14:paraId="2F23EDE4">
            <w:pPr>
              <w:widowControl/>
              <w:jc w:val="center"/>
              <w:textAlignment w:val="center"/>
              <w:rPr>
                <w:rFonts w:hint="eastAsia" w:ascii="仿宋" w:hAnsi="仿宋" w:eastAsia="仿宋" w:cs="仿宋"/>
                <w:color w:val="auto"/>
                <w:szCs w:val="21"/>
              </w:rPr>
            </w:pPr>
          </w:p>
        </w:tc>
        <w:tc>
          <w:tcPr>
            <w:tcW w:w="913" w:type="dxa"/>
            <w:tcBorders>
              <w:top w:val="single" w:color="auto" w:sz="4" w:space="0"/>
              <w:left w:val="single" w:color="auto" w:sz="4" w:space="0"/>
              <w:bottom w:val="single" w:color="auto" w:sz="4" w:space="0"/>
              <w:right w:val="single" w:color="auto" w:sz="4" w:space="0"/>
            </w:tcBorders>
            <w:vAlign w:val="center"/>
          </w:tcPr>
          <w:p w14:paraId="2A319053">
            <w:pPr>
              <w:widowControl/>
              <w:jc w:val="center"/>
              <w:textAlignment w:val="center"/>
              <w:rPr>
                <w:rFonts w:hint="eastAsia" w:ascii="仿宋" w:hAnsi="仿宋" w:eastAsia="仿宋" w:cs="仿宋"/>
                <w:color w:val="auto"/>
                <w:szCs w:val="21"/>
              </w:rPr>
            </w:pPr>
          </w:p>
        </w:tc>
        <w:tc>
          <w:tcPr>
            <w:tcW w:w="1225" w:type="dxa"/>
            <w:tcBorders>
              <w:top w:val="single" w:color="auto" w:sz="4" w:space="0"/>
              <w:left w:val="single" w:color="auto" w:sz="4" w:space="0"/>
              <w:bottom w:val="single" w:color="auto" w:sz="4" w:space="0"/>
              <w:right w:val="single" w:color="auto" w:sz="4" w:space="0"/>
            </w:tcBorders>
            <w:vAlign w:val="center"/>
          </w:tcPr>
          <w:p w14:paraId="7F7DA58C">
            <w:pPr>
              <w:widowControl/>
              <w:jc w:val="center"/>
              <w:textAlignment w:val="center"/>
              <w:rPr>
                <w:rFonts w:hint="eastAsia" w:ascii="仿宋" w:hAnsi="仿宋" w:eastAsia="仿宋" w:cs="仿宋"/>
                <w:color w:val="auto"/>
                <w:szCs w:val="21"/>
              </w:rPr>
            </w:pPr>
          </w:p>
        </w:tc>
        <w:tc>
          <w:tcPr>
            <w:tcW w:w="1186" w:type="dxa"/>
            <w:tcBorders>
              <w:top w:val="single" w:color="auto" w:sz="4" w:space="0"/>
              <w:left w:val="single" w:color="auto" w:sz="4" w:space="0"/>
              <w:bottom w:val="single" w:color="auto" w:sz="4" w:space="0"/>
              <w:right w:val="single" w:color="auto" w:sz="4" w:space="0"/>
            </w:tcBorders>
            <w:vAlign w:val="center"/>
          </w:tcPr>
          <w:p w14:paraId="67F2E420">
            <w:pPr>
              <w:widowControl/>
              <w:jc w:val="center"/>
              <w:textAlignment w:val="center"/>
              <w:rPr>
                <w:rFonts w:hint="eastAsia" w:ascii="仿宋" w:hAnsi="仿宋" w:eastAsia="仿宋" w:cs="仿宋"/>
                <w:color w:val="auto"/>
                <w:szCs w:val="21"/>
              </w:rPr>
            </w:pPr>
          </w:p>
        </w:tc>
      </w:tr>
      <w:tr w14:paraId="71BEFC6B">
        <w:tblPrEx>
          <w:tblCellMar>
            <w:top w:w="15" w:type="dxa"/>
            <w:left w:w="15" w:type="dxa"/>
            <w:bottom w:w="15" w:type="dxa"/>
            <w:right w:w="15" w:type="dxa"/>
          </w:tblCellMar>
        </w:tblPrEx>
        <w:trPr>
          <w:trHeight w:val="567" w:hRule="atLeast"/>
          <w:jc w:val="center"/>
        </w:trPr>
        <w:tc>
          <w:tcPr>
            <w:tcW w:w="1276" w:type="dxa"/>
            <w:tcBorders>
              <w:top w:val="single" w:color="auto" w:sz="4" w:space="0"/>
              <w:left w:val="single" w:color="auto" w:sz="4" w:space="0"/>
              <w:bottom w:val="single" w:color="auto" w:sz="4" w:space="0"/>
              <w:right w:val="single" w:color="auto" w:sz="4" w:space="0"/>
            </w:tcBorders>
            <w:vAlign w:val="center"/>
          </w:tcPr>
          <w:p w14:paraId="3285066D">
            <w:pPr>
              <w:widowControl/>
              <w:jc w:val="center"/>
              <w:rPr>
                <w:rFonts w:hint="eastAsia" w:ascii="仿宋" w:hAnsi="仿宋" w:eastAsia="仿宋" w:cs="仿宋"/>
                <w:color w:val="auto"/>
                <w:szCs w:val="21"/>
              </w:rPr>
            </w:pPr>
          </w:p>
        </w:tc>
        <w:tc>
          <w:tcPr>
            <w:tcW w:w="3610" w:type="dxa"/>
            <w:tcBorders>
              <w:top w:val="single" w:color="auto" w:sz="4" w:space="0"/>
              <w:left w:val="single" w:color="auto" w:sz="4" w:space="0"/>
              <w:bottom w:val="single" w:color="auto" w:sz="4" w:space="0"/>
              <w:right w:val="single" w:color="auto" w:sz="4" w:space="0"/>
            </w:tcBorders>
            <w:vAlign w:val="center"/>
          </w:tcPr>
          <w:p w14:paraId="30FDDFBB">
            <w:pPr>
              <w:widowControl/>
              <w:jc w:val="left"/>
              <w:rPr>
                <w:rFonts w:hint="eastAsia" w:ascii="仿宋" w:hAnsi="仿宋" w:eastAsia="仿宋" w:cs="仿宋"/>
                <w:color w:val="auto"/>
                <w:szCs w:val="21"/>
              </w:rPr>
            </w:pPr>
          </w:p>
        </w:tc>
        <w:tc>
          <w:tcPr>
            <w:tcW w:w="900" w:type="dxa"/>
            <w:tcBorders>
              <w:top w:val="single" w:color="auto" w:sz="4" w:space="0"/>
              <w:left w:val="single" w:color="auto" w:sz="4" w:space="0"/>
              <w:bottom w:val="single" w:color="auto" w:sz="4" w:space="0"/>
              <w:right w:val="single" w:color="auto" w:sz="4" w:space="0"/>
            </w:tcBorders>
            <w:vAlign w:val="center"/>
          </w:tcPr>
          <w:p w14:paraId="1E41E11F">
            <w:pPr>
              <w:widowControl/>
              <w:jc w:val="center"/>
              <w:textAlignment w:val="center"/>
              <w:rPr>
                <w:rFonts w:hint="eastAsia" w:ascii="仿宋" w:hAnsi="仿宋" w:eastAsia="仿宋" w:cs="仿宋"/>
                <w:color w:val="auto"/>
                <w:szCs w:val="21"/>
              </w:rPr>
            </w:pPr>
          </w:p>
        </w:tc>
        <w:tc>
          <w:tcPr>
            <w:tcW w:w="913" w:type="dxa"/>
            <w:tcBorders>
              <w:top w:val="single" w:color="auto" w:sz="4" w:space="0"/>
              <w:left w:val="single" w:color="auto" w:sz="4" w:space="0"/>
              <w:bottom w:val="single" w:color="auto" w:sz="4" w:space="0"/>
              <w:right w:val="single" w:color="auto" w:sz="4" w:space="0"/>
            </w:tcBorders>
            <w:vAlign w:val="center"/>
          </w:tcPr>
          <w:p w14:paraId="6B1076A6">
            <w:pPr>
              <w:widowControl/>
              <w:jc w:val="center"/>
              <w:textAlignment w:val="center"/>
              <w:rPr>
                <w:rFonts w:hint="eastAsia" w:ascii="仿宋" w:hAnsi="仿宋" w:eastAsia="仿宋" w:cs="仿宋"/>
                <w:color w:val="auto"/>
                <w:szCs w:val="21"/>
              </w:rPr>
            </w:pPr>
          </w:p>
        </w:tc>
        <w:tc>
          <w:tcPr>
            <w:tcW w:w="1225" w:type="dxa"/>
            <w:tcBorders>
              <w:top w:val="single" w:color="auto" w:sz="4" w:space="0"/>
              <w:left w:val="single" w:color="auto" w:sz="4" w:space="0"/>
              <w:bottom w:val="single" w:color="auto" w:sz="4" w:space="0"/>
              <w:right w:val="single" w:color="auto" w:sz="4" w:space="0"/>
            </w:tcBorders>
            <w:vAlign w:val="center"/>
          </w:tcPr>
          <w:p w14:paraId="34A0D7EA">
            <w:pPr>
              <w:widowControl/>
              <w:jc w:val="center"/>
              <w:textAlignment w:val="center"/>
              <w:rPr>
                <w:rFonts w:hint="eastAsia" w:ascii="仿宋" w:hAnsi="仿宋" w:eastAsia="仿宋" w:cs="仿宋"/>
                <w:color w:val="auto"/>
                <w:szCs w:val="21"/>
              </w:rPr>
            </w:pPr>
          </w:p>
        </w:tc>
        <w:tc>
          <w:tcPr>
            <w:tcW w:w="1186" w:type="dxa"/>
            <w:tcBorders>
              <w:top w:val="single" w:color="auto" w:sz="4" w:space="0"/>
              <w:left w:val="single" w:color="auto" w:sz="4" w:space="0"/>
              <w:bottom w:val="single" w:color="auto" w:sz="4" w:space="0"/>
              <w:right w:val="single" w:color="auto" w:sz="4" w:space="0"/>
            </w:tcBorders>
            <w:vAlign w:val="center"/>
          </w:tcPr>
          <w:p w14:paraId="53C29F34">
            <w:pPr>
              <w:widowControl/>
              <w:jc w:val="center"/>
              <w:textAlignment w:val="center"/>
              <w:rPr>
                <w:rFonts w:hint="eastAsia" w:ascii="仿宋" w:hAnsi="仿宋" w:eastAsia="仿宋" w:cs="仿宋"/>
                <w:color w:val="auto"/>
                <w:szCs w:val="21"/>
              </w:rPr>
            </w:pPr>
          </w:p>
        </w:tc>
      </w:tr>
      <w:tr w14:paraId="180D1795">
        <w:tblPrEx>
          <w:tblCellMar>
            <w:top w:w="15" w:type="dxa"/>
            <w:left w:w="15" w:type="dxa"/>
            <w:bottom w:w="15" w:type="dxa"/>
            <w:right w:w="15" w:type="dxa"/>
          </w:tblCellMar>
        </w:tblPrEx>
        <w:trPr>
          <w:trHeight w:val="567" w:hRule="atLeast"/>
          <w:jc w:val="center"/>
        </w:trPr>
        <w:tc>
          <w:tcPr>
            <w:tcW w:w="1276" w:type="dxa"/>
            <w:tcBorders>
              <w:top w:val="single" w:color="auto" w:sz="4" w:space="0"/>
              <w:left w:val="single" w:color="auto" w:sz="4" w:space="0"/>
              <w:bottom w:val="single" w:color="auto" w:sz="4" w:space="0"/>
              <w:right w:val="single" w:color="auto" w:sz="4" w:space="0"/>
            </w:tcBorders>
            <w:vAlign w:val="center"/>
          </w:tcPr>
          <w:p w14:paraId="3E312FB9">
            <w:pPr>
              <w:widowControl/>
              <w:jc w:val="center"/>
              <w:rPr>
                <w:rFonts w:hint="eastAsia" w:ascii="仿宋" w:hAnsi="仿宋" w:eastAsia="仿宋" w:cs="仿宋"/>
                <w:color w:val="auto"/>
                <w:szCs w:val="21"/>
              </w:rPr>
            </w:pPr>
          </w:p>
        </w:tc>
        <w:tc>
          <w:tcPr>
            <w:tcW w:w="3610" w:type="dxa"/>
            <w:tcBorders>
              <w:top w:val="single" w:color="auto" w:sz="4" w:space="0"/>
              <w:left w:val="single" w:color="auto" w:sz="4" w:space="0"/>
              <w:bottom w:val="single" w:color="auto" w:sz="4" w:space="0"/>
              <w:right w:val="single" w:color="auto" w:sz="4" w:space="0"/>
            </w:tcBorders>
            <w:vAlign w:val="center"/>
          </w:tcPr>
          <w:p w14:paraId="1179E078">
            <w:pPr>
              <w:widowControl/>
              <w:jc w:val="left"/>
              <w:rPr>
                <w:rFonts w:hint="eastAsia" w:ascii="仿宋" w:hAnsi="仿宋" w:eastAsia="仿宋" w:cs="仿宋"/>
                <w:color w:val="auto"/>
                <w:szCs w:val="21"/>
              </w:rPr>
            </w:pPr>
          </w:p>
        </w:tc>
        <w:tc>
          <w:tcPr>
            <w:tcW w:w="900" w:type="dxa"/>
            <w:tcBorders>
              <w:top w:val="single" w:color="auto" w:sz="4" w:space="0"/>
              <w:left w:val="single" w:color="auto" w:sz="4" w:space="0"/>
              <w:bottom w:val="single" w:color="auto" w:sz="4" w:space="0"/>
              <w:right w:val="single" w:color="auto" w:sz="4" w:space="0"/>
            </w:tcBorders>
            <w:vAlign w:val="center"/>
          </w:tcPr>
          <w:p w14:paraId="0D8D1BC2">
            <w:pPr>
              <w:widowControl/>
              <w:jc w:val="center"/>
              <w:textAlignment w:val="center"/>
              <w:rPr>
                <w:rFonts w:hint="eastAsia" w:ascii="仿宋" w:hAnsi="仿宋" w:eastAsia="仿宋" w:cs="仿宋"/>
                <w:color w:val="auto"/>
                <w:szCs w:val="21"/>
              </w:rPr>
            </w:pPr>
          </w:p>
        </w:tc>
        <w:tc>
          <w:tcPr>
            <w:tcW w:w="913" w:type="dxa"/>
            <w:tcBorders>
              <w:top w:val="single" w:color="auto" w:sz="4" w:space="0"/>
              <w:left w:val="single" w:color="auto" w:sz="4" w:space="0"/>
              <w:bottom w:val="single" w:color="auto" w:sz="4" w:space="0"/>
              <w:right w:val="single" w:color="auto" w:sz="4" w:space="0"/>
            </w:tcBorders>
            <w:vAlign w:val="center"/>
          </w:tcPr>
          <w:p w14:paraId="4C63031D">
            <w:pPr>
              <w:widowControl/>
              <w:jc w:val="center"/>
              <w:textAlignment w:val="center"/>
              <w:rPr>
                <w:rFonts w:hint="eastAsia" w:ascii="仿宋" w:hAnsi="仿宋" w:eastAsia="仿宋" w:cs="仿宋"/>
                <w:color w:val="auto"/>
                <w:szCs w:val="21"/>
              </w:rPr>
            </w:pPr>
          </w:p>
        </w:tc>
        <w:tc>
          <w:tcPr>
            <w:tcW w:w="1225" w:type="dxa"/>
            <w:tcBorders>
              <w:top w:val="single" w:color="auto" w:sz="4" w:space="0"/>
              <w:left w:val="single" w:color="auto" w:sz="4" w:space="0"/>
              <w:bottom w:val="single" w:color="auto" w:sz="4" w:space="0"/>
              <w:right w:val="single" w:color="auto" w:sz="4" w:space="0"/>
            </w:tcBorders>
            <w:vAlign w:val="center"/>
          </w:tcPr>
          <w:p w14:paraId="577A0CCB">
            <w:pPr>
              <w:widowControl/>
              <w:jc w:val="center"/>
              <w:textAlignment w:val="center"/>
              <w:rPr>
                <w:rFonts w:hint="eastAsia" w:ascii="仿宋" w:hAnsi="仿宋" w:eastAsia="仿宋" w:cs="仿宋"/>
                <w:color w:val="auto"/>
                <w:szCs w:val="21"/>
              </w:rPr>
            </w:pPr>
          </w:p>
        </w:tc>
        <w:tc>
          <w:tcPr>
            <w:tcW w:w="1186" w:type="dxa"/>
            <w:tcBorders>
              <w:top w:val="single" w:color="auto" w:sz="4" w:space="0"/>
              <w:left w:val="single" w:color="auto" w:sz="4" w:space="0"/>
              <w:bottom w:val="single" w:color="auto" w:sz="4" w:space="0"/>
              <w:right w:val="single" w:color="auto" w:sz="4" w:space="0"/>
            </w:tcBorders>
            <w:vAlign w:val="center"/>
          </w:tcPr>
          <w:p w14:paraId="4C34FE85">
            <w:pPr>
              <w:widowControl/>
              <w:jc w:val="center"/>
              <w:textAlignment w:val="center"/>
              <w:rPr>
                <w:rFonts w:hint="eastAsia" w:ascii="仿宋" w:hAnsi="仿宋" w:eastAsia="仿宋" w:cs="仿宋"/>
                <w:color w:val="auto"/>
                <w:szCs w:val="21"/>
              </w:rPr>
            </w:pPr>
          </w:p>
        </w:tc>
      </w:tr>
      <w:tr w14:paraId="05228D22">
        <w:tblPrEx>
          <w:tblCellMar>
            <w:top w:w="15" w:type="dxa"/>
            <w:left w:w="15" w:type="dxa"/>
            <w:bottom w:w="15" w:type="dxa"/>
            <w:right w:w="15" w:type="dxa"/>
          </w:tblCellMar>
        </w:tblPrEx>
        <w:trPr>
          <w:trHeight w:val="567" w:hRule="atLeast"/>
          <w:jc w:val="center"/>
        </w:trPr>
        <w:tc>
          <w:tcPr>
            <w:tcW w:w="1276" w:type="dxa"/>
            <w:tcBorders>
              <w:top w:val="single" w:color="auto" w:sz="4" w:space="0"/>
              <w:left w:val="single" w:color="auto" w:sz="4" w:space="0"/>
              <w:bottom w:val="single" w:color="auto" w:sz="4" w:space="0"/>
              <w:right w:val="single" w:color="auto" w:sz="4" w:space="0"/>
            </w:tcBorders>
            <w:vAlign w:val="center"/>
          </w:tcPr>
          <w:p w14:paraId="4EDB7911">
            <w:pPr>
              <w:widowControl/>
              <w:jc w:val="center"/>
              <w:rPr>
                <w:rFonts w:hint="eastAsia" w:ascii="仿宋" w:hAnsi="仿宋" w:eastAsia="仿宋" w:cs="仿宋"/>
                <w:color w:val="auto"/>
                <w:szCs w:val="21"/>
              </w:rPr>
            </w:pPr>
          </w:p>
        </w:tc>
        <w:tc>
          <w:tcPr>
            <w:tcW w:w="3610" w:type="dxa"/>
            <w:tcBorders>
              <w:top w:val="single" w:color="auto" w:sz="4" w:space="0"/>
              <w:left w:val="single" w:color="auto" w:sz="4" w:space="0"/>
              <w:bottom w:val="single" w:color="auto" w:sz="4" w:space="0"/>
              <w:right w:val="single" w:color="auto" w:sz="4" w:space="0"/>
            </w:tcBorders>
            <w:vAlign w:val="center"/>
          </w:tcPr>
          <w:p w14:paraId="63960FF1">
            <w:pPr>
              <w:widowControl/>
              <w:jc w:val="left"/>
              <w:rPr>
                <w:rFonts w:hint="eastAsia" w:ascii="仿宋" w:hAnsi="仿宋" w:eastAsia="仿宋" w:cs="仿宋"/>
                <w:color w:val="auto"/>
                <w:szCs w:val="21"/>
              </w:rPr>
            </w:pPr>
          </w:p>
        </w:tc>
        <w:tc>
          <w:tcPr>
            <w:tcW w:w="900" w:type="dxa"/>
            <w:tcBorders>
              <w:top w:val="single" w:color="auto" w:sz="4" w:space="0"/>
              <w:left w:val="single" w:color="auto" w:sz="4" w:space="0"/>
              <w:bottom w:val="single" w:color="auto" w:sz="4" w:space="0"/>
              <w:right w:val="single" w:color="auto" w:sz="4" w:space="0"/>
            </w:tcBorders>
            <w:vAlign w:val="center"/>
          </w:tcPr>
          <w:p w14:paraId="0A1FF4DF">
            <w:pPr>
              <w:widowControl/>
              <w:jc w:val="center"/>
              <w:textAlignment w:val="center"/>
              <w:rPr>
                <w:rFonts w:hint="eastAsia" w:ascii="仿宋" w:hAnsi="仿宋" w:eastAsia="仿宋" w:cs="仿宋"/>
                <w:color w:val="auto"/>
                <w:szCs w:val="21"/>
              </w:rPr>
            </w:pPr>
          </w:p>
        </w:tc>
        <w:tc>
          <w:tcPr>
            <w:tcW w:w="913" w:type="dxa"/>
            <w:tcBorders>
              <w:top w:val="single" w:color="auto" w:sz="4" w:space="0"/>
              <w:left w:val="single" w:color="auto" w:sz="4" w:space="0"/>
              <w:bottom w:val="single" w:color="auto" w:sz="4" w:space="0"/>
              <w:right w:val="single" w:color="auto" w:sz="4" w:space="0"/>
            </w:tcBorders>
            <w:vAlign w:val="center"/>
          </w:tcPr>
          <w:p w14:paraId="40FC2469">
            <w:pPr>
              <w:widowControl/>
              <w:jc w:val="center"/>
              <w:textAlignment w:val="center"/>
              <w:rPr>
                <w:rFonts w:hint="eastAsia" w:ascii="仿宋" w:hAnsi="仿宋" w:eastAsia="仿宋" w:cs="仿宋"/>
                <w:color w:val="auto"/>
                <w:szCs w:val="21"/>
              </w:rPr>
            </w:pPr>
          </w:p>
        </w:tc>
        <w:tc>
          <w:tcPr>
            <w:tcW w:w="1225" w:type="dxa"/>
            <w:tcBorders>
              <w:top w:val="single" w:color="auto" w:sz="4" w:space="0"/>
              <w:left w:val="single" w:color="auto" w:sz="4" w:space="0"/>
              <w:bottom w:val="single" w:color="auto" w:sz="4" w:space="0"/>
              <w:right w:val="single" w:color="auto" w:sz="4" w:space="0"/>
            </w:tcBorders>
            <w:vAlign w:val="center"/>
          </w:tcPr>
          <w:p w14:paraId="2B3AF787">
            <w:pPr>
              <w:widowControl/>
              <w:jc w:val="center"/>
              <w:textAlignment w:val="center"/>
              <w:rPr>
                <w:rFonts w:hint="eastAsia" w:ascii="仿宋" w:hAnsi="仿宋" w:eastAsia="仿宋" w:cs="仿宋"/>
                <w:color w:val="auto"/>
                <w:szCs w:val="21"/>
              </w:rPr>
            </w:pPr>
          </w:p>
        </w:tc>
        <w:tc>
          <w:tcPr>
            <w:tcW w:w="1186" w:type="dxa"/>
            <w:tcBorders>
              <w:top w:val="single" w:color="auto" w:sz="4" w:space="0"/>
              <w:left w:val="single" w:color="auto" w:sz="4" w:space="0"/>
              <w:bottom w:val="single" w:color="auto" w:sz="4" w:space="0"/>
              <w:right w:val="single" w:color="auto" w:sz="4" w:space="0"/>
            </w:tcBorders>
            <w:vAlign w:val="center"/>
          </w:tcPr>
          <w:p w14:paraId="29901F77">
            <w:pPr>
              <w:widowControl/>
              <w:jc w:val="center"/>
              <w:textAlignment w:val="center"/>
              <w:rPr>
                <w:rFonts w:hint="eastAsia" w:ascii="仿宋" w:hAnsi="仿宋" w:eastAsia="仿宋" w:cs="仿宋"/>
                <w:color w:val="auto"/>
                <w:szCs w:val="21"/>
              </w:rPr>
            </w:pPr>
          </w:p>
        </w:tc>
      </w:tr>
      <w:tr w14:paraId="1C3DDAF5">
        <w:tblPrEx>
          <w:tblCellMar>
            <w:top w:w="15" w:type="dxa"/>
            <w:left w:w="15" w:type="dxa"/>
            <w:bottom w:w="15" w:type="dxa"/>
            <w:right w:w="15" w:type="dxa"/>
          </w:tblCellMar>
        </w:tblPrEx>
        <w:trPr>
          <w:trHeight w:val="567" w:hRule="atLeast"/>
          <w:jc w:val="center"/>
        </w:trPr>
        <w:tc>
          <w:tcPr>
            <w:tcW w:w="1276" w:type="dxa"/>
            <w:tcBorders>
              <w:top w:val="single" w:color="auto" w:sz="4" w:space="0"/>
              <w:left w:val="single" w:color="auto" w:sz="4" w:space="0"/>
              <w:bottom w:val="single" w:color="auto" w:sz="4" w:space="0"/>
              <w:right w:val="single" w:color="auto" w:sz="4" w:space="0"/>
            </w:tcBorders>
            <w:vAlign w:val="center"/>
          </w:tcPr>
          <w:p w14:paraId="1E4797BF">
            <w:pPr>
              <w:widowControl/>
              <w:jc w:val="center"/>
              <w:rPr>
                <w:rFonts w:hint="eastAsia" w:ascii="仿宋" w:hAnsi="仿宋" w:eastAsia="仿宋" w:cs="仿宋"/>
                <w:color w:val="auto"/>
                <w:szCs w:val="21"/>
              </w:rPr>
            </w:pPr>
          </w:p>
        </w:tc>
        <w:tc>
          <w:tcPr>
            <w:tcW w:w="3610" w:type="dxa"/>
            <w:tcBorders>
              <w:top w:val="single" w:color="auto" w:sz="4" w:space="0"/>
              <w:left w:val="single" w:color="auto" w:sz="4" w:space="0"/>
              <w:bottom w:val="single" w:color="auto" w:sz="4" w:space="0"/>
              <w:right w:val="single" w:color="auto" w:sz="4" w:space="0"/>
            </w:tcBorders>
            <w:vAlign w:val="center"/>
          </w:tcPr>
          <w:p w14:paraId="2A991AEF">
            <w:pPr>
              <w:widowControl/>
              <w:jc w:val="left"/>
              <w:rPr>
                <w:rFonts w:hint="eastAsia" w:ascii="仿宋" w:hAnsi="仿宋" w:eastAsia="仿宋" w:cs="仿宋"/>
                <w:color w:val="auto"/>
                <w:szCs w:val="21"/>
              </w:rPr>
            </w:pPr>
          </w:p>
        </w:tc>
        <w:tc>
          <w:tcPr>
            <w:tcW w:w="900" w:type="dxa"/>
            <w:tcBorders>
              <w:top w:val="single" w:color="auto" w:sz="4" w:space="0"/>
              <w:left w:val="single" w:color="auto" w:sz="4" w:space="0"/>
              <w:bottom w:val="single" w:color="auto" w:sz="4" w:space="0"/>
              <w:right w:val="single" w:color="auto" w:sz="4" w:space="0"/>
            </w:tcBorders>
            <w:vAlign w:val="center"/>
          </w:tcPr>
          <w:p w14:paraId="7E029198">
            <w:pPr>
              <w:widowControl/>
              <w:jc w:val="center"/>
              <w:textAlignment w:val="center"/>
              <w:rPr>
                <w:rFonts w:hint="eastAsia" w:ascii="仿宋" w:hAnsi="仿宋" w:eastAsia="仿宋" w:cs="仿宋"/>
                <w:color w:val="auto"/>
                <w:szCs w:val="21"/>
              </w:rPr>
            </w:pPr>
          </w:p>
        </w:tc>
        <w:tc>
          <w:tcPr>
            <w:tcW w:w="913" w:type="dxa"/>
            <w:tcBorders>
              <w:top w:val="single" w:color="auto" w:sz="4" w:space="0"/>
              <w:left w:val="single" w:color="auto" w:sz="4" w:space="0"/>
              <w:bottom w:val="single" w:color="auto" w:sz="4" w:space="0"/>
              <w:right w:val="single" w:color="auto" w:sz="4" w:space="0"/>
            </w:tcBorders>
            <w:vAlign w:val="center"/>
          </w:tcPr>
          <w:p w14:paraId="478CCBAC">
            <w:pPr>
              <w:widowControl/>
              <w:jc w:val="center"/>
              <w:textAlignment w:val="center"/>
              <w:rPr>
                <w:rFonts w:hint="eastAsia" w:ascii="仿宋" w:hAnsi="仿宋" w:eastAsia="仿宋" w:cs="仿宋"/>
                <w:color w:val="auto"/>
                <w:szCs w:val="21"/>
              </w:rPr>
            </w:pPr>
          </w:p>
        </w:tc>
        <w:tc>
          <w:tcPr>
            <w:tcW w:w="1225" w:type="dxa"/>
            <w:tcBorders>
              <w:top w:val="single" w:color="auto" w:sz="4" w:space="0"/>
              <w:left w:val="single" w:color="auto" w:sz="4" w:space="0"/>
              <w:bottom w:val="single" w:color="auto" w:sz="4" w:space="0"/>
              <w:right w:val="single" w:color="auto" w:sz="4" w:space="0"/>
            </w:tcBorders>
            <w:vAlign w:val="center"/>
          </w:tcPr>
          <w:p w14:paraId="5C015B3A">
            <w:pPr>
              <w:widowControl/>
              <w:jc w:val="center"/>
              <w:textAlignment w:val="center"/>
              <w:rPr>
                <w:rFonts w:hint="eastAsia" w:ascii="仿宋" w:hAnsi="仿宋" w:eastAsia="仿宋" w:cs="仿宋"/>
                <w:color w:val="auto"/>
                <w:szCs w:val="21"/>
              </w:rPr>
            </w:pPr>
          </w:p>
        </w:tc>
        <w:tc>
          <w:tcPr>
            <w:tcW w:w="1186" w:type="dxa"/>
            <w:tcBorders>
              <w:top w:val="single" w:color="auto" w:sz="4" w:space="0"/>
              <w:left w:val="single" w:color="auto" w:sz="4" w:space="0"/>
              <w:bottom w:val="single" w:color="auto" w:sz="4" w:space="0"/>
              <w:right w:val="single" w:color="auto" w:sz="4" w:space="0"/>
            </w:tcBorders>
            <w:vAlign w:val="center"/>
          </w:tcPr>
          <w:p w14:paraId="78ADEB63">
            <w:pPr>
              <w:widowControl/>
              <w:jc w:val="center"/>
              <w:textAlignment w:val="center"/>
              <w:rPr>
                <w:rFonts w:hint="eastAsia" w:ascii="仿宋" w:hAnsi="仿宋" w:eastAsia="仿宋" w:cs="仿宋"/>
                <w:color w:val="auto"/>
                <w:szCs w:val="21"/>
              </w:rPr>
            </w:pPr>
          </w:p>
        </w:tc>
      </w:tr>
      <w:tr w14:paraId="743C8F50">
        <w:tblPrEx>
          <w:tblCellMar>
            <w:top w:w="15" w:type="dxa"/>
            <w:left w:w="15" w:type="dxa"/>
            <w:bottom w:w="15" w:type="dxa"/>
            <w:right w:w="15" w:type="dxa"/>
          </w:tblCellMar>
        </w:tblPrEx>
        <w:trPr>
          <w:trHeight w:val="567" w:hRule="atLeast"/>
          <w:jc w:val="center"/>
        </w:trPr>
        <w:tc>
          <w:tcPr>
            <w:tcW w:w="1276" w:type="dxa"/>
            <w:tcBorders>
              <w:top w:val="single" w:color="auto" w:sz="4" w:space="0"/>
              <w:left w:val="single" w:color="auto" w:sz="4" w:space="0"/>
              <w:bottom w:val="single" w:color="auto" w:sz="4" w:space="0"/>
              <w:right w:val="single" w:color="auto" w:sz="4" w:space="0"/>
            </w:tcBorders>
            <w:vAlign w:val="center"/>
          </w:tcPr>
          <w:p w14:paraId="1D8E5156">
            <w:pPr>
              <w:widowControl/>
              <w:jc w:val="center"/>
              <w:rPr>
                <w:rFonts w:hint="eastAsia" w:ascii="仿宋" w:hAnsi="仿宋" w:eastAsia="仿宋" w:cs="仿宋"/>
                <w:color w:val="auto"/>
                <w:szCs w:val="21"/>
              </w:rPr>
            </w:pPr>
          </w:p>
        </w:tc>
        <w:tc>
          <w:tcPr>
            <w:tcW w:w="3610" w:type="dxa"/>
            <w:tcBorders>
              <w:top w:val="single" w:color="auto" w:sz="4" w:space="0"/>
              <w:left w:val="single" w:color="auto" w:sz="4" w:space="0"/>
              <w:bottom w:val="single" w:color="auto" w:sz="4" w:space="0"/>
              <w:right w:val="single" w:color="auto" w:sz="4" w:space="0"/>
            </w:tcBorders>
            <w:vAlign w:val="center"/>
          </w:tcPr>
          <w:p w14:paraId="475423D4">
            <w:pPr>
              <w:widowControl/>
              <w:jc w:val="left"/>
              <w:rPr>
                <w:rFonts w:hint="eastAsia" w:ascii="仿宋" w:hAnsi="仿宋" w:eastAsia="仿宋" w:cs="仿宋"/>
                <w:color w:val="auto"/>
                <w:szCs w:val="21"/>
              </w:rPr>
            </w:pPr>
          </w:p>
        </w:tc>
        <w:tc>
          <w:tcPr>
            <w:tcW w:w="900" w:type="dxa"/>
            <w:tcBorders>
              <w:top w:val="single" w:color="auto" w:sz="4" w:space="0"/>
              <w:left w:val="single" w:color="auto" w:sz="4" w:space="0"/>
              <w:bottom w:val="single" w:color="auto" w:sz="4" w:space="0"/>
              <w:right w:val="single" w:color="auto" w:sz="4" w:space="0"/>
            </w:tcBorders>
            <w:vAlign w:val="center"/>
          </w:tcPr>
          <w:p w14:paraId="2FA27D20">
            <w:pPr>
              <w:widowControl/>
              <w:jc w:val="center"/>
              <w:textAlignment w:val="center"/>
              <w:rPr>
                <w:rFonts w:hint="eastAsia" w:ascii="仿宋" w:hAnsi="仿宋" w:eastAsia="仿宋" w:cs="仿宋"/>
                <w:color w:val="auto"/>
                <w:szCs w:val="21"/>
              </w:rPr>
            </w:pPr>
          </w:p>
        </w:tc>
        <w:tc>
          <w:tcPr>
            <w:tcW w:w="913" w:type="dxa"/>
            <w:tcBorders>
              <w:top w:val="single" w:color="auto" w:sz="4" w:space="0"/>
              <w:left w:val="single" w:color="auto" w:sz="4" w:space="0"/>
              <w:bottom w:val="single" w:color="auto" w:sz="4" w:space="0"/>
              <w:right w:val="single" w:color="auto" w:sz="4" w:space="0"/>
            </w:tcBorders>
            <w:vAlign w:val="center"/>
          </w:tcPr>
          <w:p w14:paraId="3CEA84B6">
            <w:pPr>
              <w:widowControl/>
              <w:jc w:val="center"/>
              <w:textAlignment w:val="center"/>
              <w:rPr>
                <w:rFonts w:hint="eastAsia" w:ascii="仿宋" w:hAnsi="仿宋" w:eastAsia="仿宋" w:cs="仿宋"/>
                <w:color w:val="auto"/>
                <w:szCs w:val="21"/>
              </w:rPr>
            </w:pPr>
          </w:p>
        </w:tc>
        <w:tc>
          <w:tcPr>
            <w:tcW w:w="1225" w:type="dxa"/>
            <w:tcBorders>
              <w:top w:val="single" w:color="auto" w:sz="4" w:space="0"/>
              <w:left w:val="single" w:color="auto" w:sz="4" w:space="0"/>
              <w:bottom w:val="single" w:color="auto" w:sz="4" w:space="0"/>
              <w:right w:val="single" w:color="auto" w:sz="4" w:space="0"/>
            </w:tcBorders>
            <w:vAlign w:val="center"/>
          </w:tcPr>
          <w:p w14:paraId="276AE1B8">
            <w:pPr>
              <w:widowControl/>
              <w:jc w:val="center"/>
              <w:textAlignment w:val="center"/>
              <w:rPr>
                <w:rFonts w:hint="eastAsia" w:ascii="仿宋" w:hAnsi="仿宋" w:eastAsia="仿宋" w:cs="仿宋"/>
                <w:color w:val="auto"/>
                <w:szCs w:val="21"/>
              </w:rPr>
            </w:pPr>
          </w:p>
        </w:tc>
        <w:tc>
          <w:tcPr>
            <w:tcW w:w="1186" w:type="dxa"/>
            <w:tcBorders>
              <w:top w:val="single" w:color="auto" w:sz="4" w:space="0"/>
              <w:left w:val="single" w:color="auto" w:sz="4" w:space="0"/>
              <w:bottom w:val="single" w:color="auto" w:sz="4" w:space="0"/>
              <w:right w:val="single" w:color="auto" w:sz="4" w:space="0"/>
            </w:tcBorders>
            <w:vAlign w:val="center"/>
          </w:tcPr>
          <w:p w14:paraId="22224C0F">
            <w:pPr>
              <w:widowControl/>
              <w:jc w:val="center"/>
              <w:textAlignment w:val="center"/>
              <w:rPr>
                <w:rFonts w:hint="eastAsia" w:ascii="仿宋" w:hAnsi="仿宋" w:eastAsia="仿宋" w:cs="仿宋"/>
                <w:color w:val="auto"/>
                <w:szCs w:val="21"/>
              </w:rPr>
            </w:pPr>
          </w:p>
        </w:tc>
      </w:tr>
      <w:tr w14:paraId="0BA9903D">
        <w:tblPrEx>
          <w:tblCellMar>
            <w:top w:w="15" w:type="dxa"/>
            <w:left w:w="15" w:type="dxa"/>
            <w:bottom w:w="15" w:type="dxa"/>
            <w:right w:w="15" w:type="dxa"/>
          </w:tblCellMar>
        </w:tblPrEx>
        <w:trPr>
          <w:trHeight w:val="567" w:hRule="atLeast"/>
          <w:jc w:val="center"/>
        </w:trPr>
        <w:tc>
          <w:tcPr>
            <w:tcW w:w="1276" w:type="dxa"/>
            <w:tcBorders>
              <w:top w:val="single" w:color="auto" w:sz="4" w:space="0"/>
              <w:left w:val="single" w:color="auto" w:sz="4" w:space="0"/>
              <w:bottom w:val="single" w:color="auto" w:sz="4" w:space="0"/>
              <w:right w:val="single" w:color="auto" w:sz="4" w:space="0"/>
            </w:tcBorders>
            <w:vAlign w:val="center"/>
          </w:tcPr>
          <w:p w14:paraId="4E8336E8">
            <w:pPr>
              <w:widowControl/>
              <w:jc w:val="center"/>
              <w:rPr>
                <w:rFonts w:hint="eastAsia" w:ascii="仿宋" w:hAnsi="仿宋" w:eastAsia="仿宋" w:cs="仿宋"/>
                <w:color w:val="auto"/>
                <w:szCs w:val="21"/>
              </w:rPr>
            </w:pPr>
          </w:p>
        </w:tc>
        <w:tc>
          <w:tcPr>
            <w:tcW w:w="3610" w:type="dxa"/>
            <w:tcBorders>
              <w:top w:val="single" w:color="auto" w:sz="4" w:space="0"/>
              <w:left w:val="single" w:color="auto" w:sz="4" w:space="0"/>
              <w:bottom w:val="single" w:color="auto" w:sz="4" w:space="0"/>
              <w:right w:val="single" w:color="auto" w:sz="4" w:space="0"/>
            </w:tcBorders>
            <w:vAlign w:val="center"/>
          </w:tcPr>
          <w:p w14:paraId="664FD7E8">
            <w:pPr>
              <w:widowControl/>
              <w:jc w:val="left"/>
              <w:rPr>
                <w:rFonts w:hint="eastAsia" w:ascii="仿宋" w:hAnsi="仿宋" w:eastAsia="仿宋" w:cs="仿宋"/>
                <w:color w:val="auto"/>
                <w:szCs w:val="21"/>
              </w:rPr>
            </w:pPr>
          </w:p>
        </w:tc>
        <w:tc>
          <w:tcPr>
            <w:tcW w:w="900" w:type="dxa"/>
            <w:tcBorders>
              <w:top w:val="single" w:color="auto" w:sz="4" w:space="0"/>
              <w:left w:val="single" w:color="auto" w:sz="4" w:space="0"/>
              <w:bottom w:val="single" w:color="auto" w:sz="4" w:space="0"/>
              <w:right w:val="single" w:color="auto" w:sz="4" w:space="0"/>
            </w:tcBorders>
            <w:vAlign w:val="center"/>
          </w:tcPr>
          <w:p w14:paraId="69F0903D">
            <w:pPr>
              <w:widowControl/>
              <w:jc w:val="center"/>
              <w:textAlignment w:val="center"/>
              <w:rPr>
                <w:rFonts w:hint="eastAsia" w:ascii="仿宋" w:hAnsi="仿宋" w:eastAsia="仿宋" w:cs="仿宋"/>
                <w:color w:val="auto"/>
                <w:szCs w:val="21"/>
              </w:rPr>
            </w:pPr>
          </w:p>
        </w:tc>
        <w:tc>
          <w:tcPr>
            <w:tcW w:w="913" w:type="dxa"/>
            <w:tcBorders>
              <w:top w:val="single" w:color="auto" w:sz="4" w:space="0"/>
              <w:left w:val="single" w:color="auto" w:sz="4" w:space="0"/>
              <w:bottom w:val="single" w:color="auto" w:sz="4" w:space="0"/>
              <w:right w:val="single" w:color="auto" w:sz="4" w:space="0"/>
            </w:tcBorders>
            <w:vAlign w:val="center"/>
          </w:tcPr>
          <w:p w14:paraId="6D07A2E3">
            <w:pPr>
              <w:widowControl/>
              <w:jc w:val="center"/>
              <w:textAlignment w:val="center"/>
              <w:rPr>
                <w:rFonts w:hint="eastAsia" w:ascii="仿宋" w:hAnsi="仿宋" w:eastAsia="仿宋" w:cs="仿宋"/>
                <w:color w:val="auto"/>
                <w:szCs w:val="21"/>
              </w:rPr>
            </w:pPr>
          </w:p>
        </w:tc>
        <w:tc>
          <w:tcPr>
            <w:tcW w:w="1225" w:type="dxa"/>
            <w:tcBorders>
              <w:top w:val="single" w:color="auto" w:sz="4" w:space="0"/>
              <w:left w:val="single" w:color="auto" w:sz="4" w:space="0"/>
              <w:bottom w:val="single" w:color="auto" w:sz="4" w:space="0"/>
              <w:right w:val="single" w:color="auto" w:sz="4" w:space="0"/>
            </w:tcBorders>
            <w:vAlign w:val="center"/>
          </w:tcPr>
          <w:p w14:paraId="3BA17D76">
            <w:pPr>
              <w:widowControl/>
              <w:jc w:val="center"/>
              <w:textAlignment w:val="center"/>
              <w:rPr>
                <w:rFonts w:hint="eastAsia" w:ascii="仿宋" w:hAnsi="仿宋" w:eastAsia="仿宋" w:cs="仿宋"/>
                <w:color w:val="auto"/>
                <w:szCs w:val="21"/>
              </w:rPr>
            </w:pPr>
          </w:p>
        </w:tc>
        <w:tc>
          <w:tcPr>
            <w:tcW w:w="1186" w:type="dxa"/>
            <w:tcBorders>
              <w:top w:val="single" w:color="auto" w:sz="4" w:space="0"/>
              <w:left w:val="single" w:color="auto" w:sz="4" w:space="0"/>
              <w:bottom w:val="single" w:color="auto" w:sz="4" w:space="0"/>
              <w:right w:val="single" w:color="auto" w:sz="4" w:space="0"/>
            </w:tcBorders>
            <w:vAlign w:val="center"/>
          </w:tcPr>
          <w:p w14:paraId="258BA2B9">
            <w:pPr>
              <w:widowControl/>
              <w:jc w:val="center"/>
              <w:textAlignment w:val="center"/>
              <w:rPr>
                <w:rFonts w:hint="eastAsia" w:ascii="仿宋" w:hAnsi="仿宋" w:eastAsia="仿宋" w:cs="仿宋"/>
                <w:color w:val="auto"/>
                <w:szCs w:val="21"/>
              </w:rPr>
            </w:pPr>
          </w:p>
        </w:tc>
      </w:tr>
    </w:tbl>
    <w:p w14:paraId="6350CD20">
      <w:pPr>
        <w:spacing w:line="360" w:lineRule="auto"/>
        <w:rPr>
          <w:rFonts w:hint="eastAsia" w:ascii="仿宋" w:hAnsi="仿宋" w:eastAsia="仿宋" w:cs="仿宋"/>
          <w:b/>
          <w:bCs/>
          <w:color w:val="auto"/>
          <w:szCs w:val="21"/>
        </w:rPr>
      </w:pPr>
      <w:r>
        <w:rPr>
          <w:rFonts w:hint="eastAsia" w:ascii="仿宋" w:hAnsi="仿宋" w:eastAsia="仿宋" w:cs="仿宋"/>
          <w:b/>
          <w:bCs/>
          <w:color w:val="auto"/>
          <w:szCs w:val="21"/>
        </w:rPr>
        <w:t>注：评</w:t>
      </w:r>
      <w:r>
        <w:rPr>
          <w:rFonts w:hint="eastAsia" w:ascii="仿宋" w:hAnsi="仿宋" w:eastAsia="仿宋" w:cs="仿宋"/>
          <w:b/>
          <w:bCs/>
          <w:color w:val="auto"/>
          <w:szCs w:val="21"/>
          <w:lang w:eastAsia="zh-CN"/>
        </w:rPr>
        <w:t>分</w:t>
      </w:r>
      <w:r>
        <w:rPr>
          <w:rFonts w:hint="eastAsia" w:ascii="仿宋" w:hAnsi="仿宋" w:eastAsia="仿宋" w:cs="仿宋"/>
          <w:b/>
          <w:bCs/>
          <w:color w:val="auto"/>
          <w:szCs w:val="21"/>
        </w:rPr>
        <w:t>项目、评分标准、分值对应“第五章  评标办法及评分标准”技术</w:t>
      </w:r>
      <w:r>
        <w:rPr>
          <w:rFonts w:hint="eastAsia" w:ascii="仿宋" w:hAnsi="仿宋" w:eastAsia="仿宋" w:cs="仿宋"/>
          <w:b/>
          <w:bCs/>
          <w:color w:val="auto"/>
          <w:szCs w:val="21"/>
          <w:lang w:eastAsia="zh-CN"/>
        </w:rPr>
        <w:t>资信</w:t>
      </w:r>
      <w:r>
        <w:rPr>
          <w:rFonts w:hint="eastAsia" w:ascii="仿宋" w:hAnsi="仿宋" w:eastAsia="仿宋" w:cs="仿宋"/>
          <w:b/>
          <w:bCs/>
          <w:color w:val="auto"/>
          <w:szCs w:val="21"/>
        </w:rPr>
        <w:t>分评审内容。</w:t>
      </w:r>
    </w:p>
    <w:p w14:paraId="29441DF2">
      <w:pPr>
        <w:spacing w:line="360" w:lineRule="auto"/>
        <w:ind w:firstLine="4860"/>
        <w:rPr>
          <w:rFonts w:hint="eastAsia" w:ascii="仿宋" w:hAnsi="仿宋" w:eastAsia="仿宋" w:cs="仿宋"/>
          <w:b/>
          <w:bCs/>
          <w:color w:val="auto"/>
          <w:szCs w:val="21"/>
        </w:rPr>
      </w:pPr>
    </w:p>
    <w:p w14:paraId="070DF438">
      <w:pPr>
        <w:spacing w:line="360" w:lineRule="auto"/>
        <w:ind w:firstLine="4860"/>
        <w:rPr>
          <w:rFonts w:hint="eastAsia" w:ascii="仿宋" w:hAnsi="仿宋" w:eastAsia="仿宋" w:cs="仿宋"/>
          <w:b/>
          <w:bCs/>
          <w:color w:val="auto"/>
          <w:szCs w:val="21"/>
        </w:rPr>
      </w:pPr>
    </w:p>
    <w:p w14:paraId="19B21799">
      <w:pPr>
        <w:spacing w:line="360" w:lineRule="auto"/>
        <w:jc w:val="left"/>
        <w:rPr>
          <w:rFonts w:hint="eastAsia" w:ascii="仿宋" w:hAnsi="仿宋" w:eastAsia="仿宋" w:cs="仿宋"/>
          <w:color w:val="auto"/>
          <w:szCs w:val="21"/>
          <w:u w:val="single"/>
        </w:rPr>
      </w:pPr>
      <w:r>
        <w:rPr>
          <w:rFonts w:hint="eastAsia" w:ascii="仿宋" w:hAnsi="仿宋" w:eastAsia="仿宋" w:cs="仿宋"/>
          <w:color w:val="auto"/>
          <w:szCs w:val="21"/>
        </w:rPr>
        <w:t xml:space="preserve">投标人名称（盖章）： </w:t>
      </w:r>
      <w:r>
        <w:rPr>
          <w:rFonts w:hint="eastAsia" w:ascii="仿宋" w:hAnsi="仿宋" w:eastAsia="仿宋" w:cs="仿宋"/>
          <w:color w:val="auto"/>
          <w:szCs w:val="21"/>
          <w:u w:val="single"/>
        </w:rPr>
        <w:t xml:space="preserve">            </w:t>
      </w:r>
    </w:p>
    <w:p w14:paraId="172A9DC3">
      <w:pPr>
        <w:spacing w:line="360" w:lineRule="auto"/>
        <w:rPr>
          <w:rFonts w:hint="eastAsia" w:ascii="仿宋" w:hAnsi="仿宋" w:eastAsia="仿宋" w:cs="仿宋"/>
          <w:color w:val="auto"/>
          <w:szCs w:val="21"/>
          <w:u w:val="single"/>
        </w:rPr>
      </w:pPr>
      <w:r>
        <w:rPr>
          <w:rFonts w:hint="eastAsia" w:ascii="仿宋" w:hAnsi="仿宋" w:eastAsia="仿宋" w:cs="仿宋"/>
          <w:color w:val="auto"/>
          <w:szCs w:val="21"/>
        </w:rPr>
        <w:t>日期：    年   月   日</w:t>
      </w:r>
    </w:p>
    <w:p w14:paraId="79F8159B">
      <w:pPr>
        <w:spacing w:line="360" w:lineRule="auto"/>
        <w:jc w:val="left"/>
        <w:rPr>
          <w:rFonts w:hint="eastAsia" w:ascii="仿宋" w:hAnsi="仿宋" w:eastAsia="仿宋" w:cs="仿宋"/>
          <w:b/>
          <w:color w:val="auto"/>
          <w:szCs w:val="21"/>
          <w:lang w:val="en-US" w:eastAsia="zh-CN"/>
        </w:rPr>
      </w:pPr>
      <w:r>
        <w:rPr>
          <w:rFonts w:hint="eastAsia" w:ascii="仿宋" w:hAnsi="仿宋" w:eastAsia="仿宋" w:cs="仿宋"/>
          <w:b/>
          <w:color w:val="auto"/>
          <w:szCs w:val="21"/>
        </w:rPr>
        <w:br w:type="page"/>
      </w:r>
      <w:bookmarkStart w:id="59" w:name="附件5"/>
      <w:r>
        <w:rPr>
          <w:rFonts w:hint="eastAsia" w:ascii="仿宋" w:hAnsi="仿宋" w:eastAsia="仿宋" w:cs="仿宋"/>
          <w:b/>
          <w:color w:val="auto"/>
          <w:szCs w:val="21"/>
        </w:rPr>
        <w:t>附件</w:t>
      </w:r>
      <w:bookmarkEnd w:id="59"/>
      <w:r>
        <w:rPr>
          <w:rFonts w:hint="eastAsia" w:ascii="仿宋" w:hAnsi="仿宋" w:eastAsia="仿宋" w:cs="仿宋"/>
          <w:b/>
          <w:color w:val="auto"/>
          <w:szCs w:val="21"/>
          <w:lang w:val="en-US" w:eastAsia="zh-CN"/>
        </w:rPr>
        <w:t>4</w:t>
      </w:r>
    </w:p>
    <w:p w14:paraId="3C8C5CED">
      <w:pPr>
        <w:snapToGrid w:val="0"/>
        <w:spacing w:line="360" w:lineRule="auto"/>
        <w:jc w:val="center"/>
        <w:rPr>
          <w:rFonts w:hint="eastAsia" w:ascii="仿宋" w:hAnsi="仿宋" w:eastAsia="仿宋" w:cs="仿宋"/>
          <w:b/>
          <w:bCs/>
          <w:color w:val="auto"/>
          <w:sz w:val="28"/>
          <w:szCs w:val="28"/>
        </w:rPr>
      </w:pPr>
      <w:r>
        <w:rPr>
          <w:rFonts w:hint="eastAsia" w:ascii="仿宋" w:hAnsi="仿宋" w:eastAsia="仿宋" w:cs="仿宋"/>
          <w:b/>
          <w:bCs/>
          <w:color w:val="auto"/>
          <w:sz w:val="28"/>
          <w:szCs w:val="28"/>
        </w:rPr>
        <w:t>投标人声明书</w:t>
      </w:r>
    </w:p>
    <w:p w14:paraId="5ED32E99">
      <w:pPr>
        <w:pStyle w:val="26"/>
        <w:snapToGrid w:val="0"/>
        <w:spacing w:line="360" w:lineRule="auto"/>
        <w:rPr>
          <w:rFonts w:hint="eastAsia" w:ascii="仿宋" w:hAnsi="仿宋" w:eastAsia="仿宋" w:cs="仿宋"/>
          <w:color w:val="auto"/>
          <w:szCs w:val="21"/>
        </w:rPr>
      </w:pPr>
      <w:r>
        <w:rPr>
          <w:rFonts w:hint="eastAsia" w:ascii="仿宋" w:hAnsi="仿宋" w:eastAsia="仿宋" w:cs="仿宋"/>
          <w:color w:val="auto"/>
          <w:szCs w:val="21"/>
          <w:u w:val="single"/>
          <w:lang w:eastAsia="zh-CN"/>
        </w:rPr>
        <w:t>常山县林业水利局</w:t>
      </w:r>
      <w:r>
        <w:rPr>
          <w:rFonts w:hint="eastAsia" w:ascii="仿宋" w:hAnsi="仿宋" w:eastAsia="仿宋" w:cs="仿宋"/>
          <w:color w:val="auto"/>
          <w:szCs w:val="21"/>
        </w:rPr>
        <w:t>：</w:t>
      </w:r>
    </w:p>
    <w:p w14:paraId="33C0E1BA">
      <w:pPr>
        <w:pStyle w:val="26"/>
        <w:snapToGrid w:val="0"/>
        <w:spacing w:line="360" w:lineRule="auto"/>
        <w:rPr>
          <w:rFonts w:hint="eastAsia" w:ascii="仿宋" w:hAnsi="仿宋" w:eastAsia="仿宋" w:cs="仿宋"/>
          <w:color w:val="auto"/>
          <w:szCs w:val="21"/>
        </w:rPr>
      </w:pPr>
      <w:r>
        <w:rPr>
          <w:rFonts w:hint="eastAsia" w:ascii="仿宋" w:hAnsi="仿宋" w:eastAsia="仿宋" w:cs="仿宋"/>
          <w:color w:val="auto"/>
          <w:szCs w:val="21"/>
          <w:u w:val="single"/>
        </w:rPr>
        <w:t>浙江哲晟工程项目管理有限公司</w:t>
      </w:r>
      <w:r>
        <w:rPr>
          <w:rFonts w:hint="eastAsia" w:ascii="仿宋" w:hAnsi="仿宋" w:eastAsia="仿宋" w:cs="仿宋"/>
          <w:color w:val="auto"/>
          <w:szCs w:val="21"/>
        </w:rPr>
        <w:t>：</w:t>
      </w:r>
    </w:p>
    <w:p w14:paraId="12D50BCC">
      <w:pPr>
        <w:pStyle w:val="26"/>
        <w:snapToGrid w:val="0"/>
        <w:spacing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u w:val="single"/>
        </w:rPr>
        <w:t xml:space="preserve">     （投标人全称）      </w:t>
      </w:r>
      <w:r>
        <w:rPr>
          <w:rFonts w:hint="eastAsia" w:ascii="仿宋" w:hAnsi="仿宋" w:eastAsia="仿宋" w:cs="仿宋"/>
          <w:color w:val="auto"/>
          <w:szCs w:val="21"/>
        </w:rPr>
        <w:t>参加贵方组织的</w:t>
      </w:r>
      <w:r>
        <w:rPr>
          <w:rFonts w:hint="eastAsia" w:ascii="仿宋" w:hAnsi="仿宋" w:eastAsia="仿宋" w:cs="仿宋"/>
          <w:color w:val="auto"/>
          <w:szCs w:val="21"/>
          <w:u w:val="single"/>
        </w:rPr>
        <w:t xml:space="preserve">  （项目名称）（项目编号）  </w:t>
      </w:r>
      <w:r>
        <w:rPr>
          <w:rFonts w:hint="eastAsia" w:ascii="仿宋" w:hAnsi="仿宋" w:eastAsia="仿宋" w:cs="仿宋"/>
          <w:color w:val="auto"/>
          <w:szCs w:val="21"/>
        </w:rPr>
        <w:t>的投标活动，为此我方声明如下：</w:t>
      </w:r>
    </w:p>
    <w:p w14:paraId="1BE2DC9D">
      <w:pPr>
        <w:adjustRightInd w:val="0"/>
        <w:snapToGrid w:val="0"/>
        <w:spacing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1.承诺在投标人</w:t>
      </w:r>
      <w:r>
        <w:rPr>
          <w:rFonts w:hint="eastAsia" w:ascii="仿宋" w:hAnsi="仿宋" w:eastAsia="仿宋" w:cs="仿宋"/>
          <w:color w:val="auto"/>
          <w:kern w:val="44"/>
          <w:szCs w:val="21"/>
        </w:rPr>
        <w:t>须知</w:t>
      </w:r>
      <w:r>
        <w:rPr>
          <w:rFonts w:hint="eastAsia" w:ascii="仿宋" w:hAnsi="仿宋" w:eastAsia="仿宋" w:cs="仿宋"/>
          <w:color w:val="auto"/>
          <w:szCs w:val="21"/>
        </w:rPr>
        <w:t>规定的投标截止日起遵守本投标文件中的承诺，且在投标有效期满之前均具有约束力。本投标文件的有效期为自投标截止时间起</w:t>
      </w:r>
      <w:r>
        <w:rPr>
          <w:rFonts w:hint="eastAsia" w:ascii="仿宋" w:hAnsi="仿宋" w:eastAsia="仿宋" w:cs="仿宋"/>
          <w:color w:val="auto"/>
          <w:szCs w:val="21"/>
          <w:u w:val="single"/>
        </w:rPr>
        <w:t>90日历天</w:t>
      </w:r>
      <w:r>
        <w:rPr>
          <w:rFonts w:hint="eastAsia" w:ascii="仿宋" w:hAnsi="仿宋" w:eastAsia="仿宋" w:cs="仿宋"/>
          <w:color w:val="auto"/>
          <w:szCs w:val="21"/>
        </w:rPr>
        <w:t>（自投标截止日起算）。</w:t>
      </w:r>
    </w:p>
    <w:p w14:paraId="27DF2D64">
      <w:pPr>
        <w:adjustRightInd w:val="0"/>
        <w:snapToGrid w:val="0"/>
        <w:spacing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2.承诺已经具备采购文件规定的基本条件及特定条件，并于投标文件中提供了充分的证明材料。</w:t>
      </w:r>
    </w:p>
    <w:p w14:paraId="1AC00A01">
      <w:pPr>
        <w:adjustRightInd w:val="0"/>
        <w:snapToGrid w:val="0"/>
        <w:spacing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3.已详细审核全部采购文件，包括采购文件补充（如果有）、参考资料及有关附件，确认无误。已经了解我方对采购文件、采购过程、采购结果有依法进行询问、质疑、投诉的权利及询问、质疑、投诉的相关渠道和要求。</w:t>
      </w:r>
    </w:p>
    <w:p w14:paraId="6FCDBD16">
      <w:pPr>
        <w:adjustRightInd w:val="0"/>
        <w:snapToGrid w:val="0"/>
        <w:spacing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4.我方在参加本次采购活动之前已经与贵方进行了充分的沟通，完全理解并接受采购文件的各项规定和要求，对采购文件的合理性、合法性不再有异议。</w:t>
      </w:r>
    </w:p>
    <w:p w14:paraId="6ED9CFB6">
      <w:pPr>
        <w:adjustRightInd w:val="0"/>
        <w:snapToGrid w:val="0"/>
        <w:spacing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5.提供</w:t>
      </w:r>
      <w:r>
        <w:rPr>
          <w:rFonts w:hint="eastAsia" w:ascii="仿宋" w:hAnsi="仿宋" w:eastAsia="仿宋" w:cs="仿宋"/>
          <w:color w:val="auto"/>
          <w:kern w:val="44"/>
          <w:szCs w:val="21"/>
        </w:rPr>
        <w:t>投标人须知</w:t>
      </w:r>
      <w:r>
        <w:rPr>
          <w:rFonts w:hint="eastAsia" w:ascii="仿宋" w:hAnsi="仿宋" w:eastAsia="仿宋" w:cs="仿宋"/>
          <w:color w:val="auto"/>
          <w:szCs w:val="21"/>
        </w:rPr>
        <w:t>规定的全部投标文件，包括资格文件、商务技术文件、报价文件。</w:t>
      </w:r>
    </w:p>
    <w:p w14:paraId="656F797B">
      <w:pPr>
        <w:adjustRightInd w:val="0"/>
        <w:snapToGrid w:val="0"/>
        <w:spacing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6.投标报价详见《开标一览表》。</w:t>
      </w:r>
    </w:p>
    <w:p w14:paraId="349A8EA8">
      <w:pPr>
        <w:adjustRightInd w:val="0"/>
        <w:snapToGrid w:val="0"/>
        <w:spacing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7.保证遵守采购文件中的其他有关规定。</w:t>
      </w:r>
    </w:p>
    <w:p w14:paraId="2DE77869">
      <w:pPr>
        <w:adjustRightInd w:val="0"/>
        <w:snapToGrid w:val="0"/>
        <w:spacing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8.完全理解不一定接受最低价中标。</w:t>
      </w:r>
    </w:p>
    <w:p w14:paraId="4E40C197">
      <w:pPr>
        <w:adjustRightInd w:val="0"/>
        <w:snapToGrid w:val="0"/>
        <w:spacing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9.我公司自愿参加本项目的投标，并保证投标文件中所列举的投标报价文件及相关资料和公司基本情况资料是真实的、合法的。愿意向贵方提供任何与该项目投标有关的数据、情况和技术资料。若贵方需要，愿意提供我方做出的一切承诺的证明材料。</w:t>
      </w:r>
    </w:p>
    <w:p w14:paraId="66F59F92">
      <w:pPr>
        <w:adjustRightInd w:val="0"/>
        <w:snapToGrid w:val="0"/>
        <w:spacing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10.保证忠实执行双方所签订的合同，并承担合同规定的责任和义务。</w:t>
      </w:r>
    </w:p>
    <w:p w14:paraId="094103A7">
      <w:pPr>
        <w:adjustRightInd w:val="0"/>
        <w:snapToGrid w:val="0"/>
        <w:spacing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11.我方在投标过程中不存在以下行为：</w:t>
      </w:r>
    </w:p>
    <w:p w14:paraId="23549186">
      <w:pPr>
        <w:widowControl/>
        <w:snapToGrid w:val="0"/>
        <w:spacing w:line="360" w:lineRule="auto"/>
        <w:ind w:firstLine="420" w:firstLineChars="200"/>
        <w:rPr>
          <w:rFonts w:hint="eastAsia" w:ascii="仿宋" w:hAnsi="仿宋" w:eastAsia="仿宋" w:cs="仿宋"/>
          <w:color w:val="auto"/>
          <w:kern w:val="0"/>
          <w:szCs w:val="21"/>
        </w:rPr>
      </w:pPr>
      <w:r>
        <w:rPr>
          <w:rFonts w:hint="eastAsia" w:ascii="仿宋" w:hAnsi="仿宋" w:eastAsia="仿宋" w:cs="仿宋"/>
          <w:color w:val="auto"/>
          <w:kern w:val="0"/>
          <w:szCs w:val="21"/>
        </w:rPr>
        <w:t xml:space="preserve">（1）提供虚假材料谋取中标、成交； </w:t>
      </w:r>
    </w:p>
    <w:p w14:paraId="571817A6">
      <w:pPr>
        <w:widowControl/>
        <w:snapToGrid w:val="0"/>
        <w:spacing w:line="360" w:lineRule="auto"/>
        <w:ind w:firstLine="420" w:firstLineChars="200"/>
        <w:rPr>
          <w:rFonts w:hint="eastAsia" w:ascii="仿宋" w:hAnsi="仿宋" w:eastAsia="仿宋" w:cs="仿宋"/>
          <w:color w:val="auto"/>
          <w:kern w:val="0"/>
          <w:szCs w:val="21"/>
        </w:rPr>
      </w:pPr>
      <w:r>
        <w:rPr>
          <w:rFonts w:hint="eastAsia" w:ascii="仿宋" w:hAnsi="仿宋" w:eastAsia="仿宋" w:cs="仿宋"/>
          <w:color w:val="auto"/>
          <w:kern w:val="0"/>
          <w:szCs w:val="21"/>
        </w:rPr>
        <w:t xml:space="preserve">（2）采取不正当手段诋毁、排挤其他投标人； </w:t>
      </w:r>
    </w:p>
    <w:p w14:paraId="5F6EAD32">
      <w:pPr>
        <w:widowControl/>
        <w:snapToGrid w:val="0"/>
        <w:spacing w:line="360" w:lineRule="auto"/>
        <w:ind w:firstLine="420" w:firstLineChars="200"/>
        <w:rPr>
          <w:rFonts w:hint="eastAsia" w:ascii="仿宋" w:hAnsi="仿宋" w:eastAsia="仿宋" w:cs="仿宋"/>
          <w:color w:val="auto"/>
          <w:kern w:val="0"/>
          <w:szCs w:val="21"/>
        </w:rPr>
      </w:pPr>
      <w:r>
        <w:rPr>
          <w:rFonts w:hint="eastAsia" w:ascii="仿宋" w:hAnsi="仿宋" w:eastAsia="仿宋" w:cs="仿宋"/>
          <w:color w:val="auto"/>
          <w:kern w:val="0"/>
          <w:szCs w:val="21"/>
        </w:rPr>
        <w:t xml:space="preserve">（3）与采购人、其他投标人或者采购代理机构恶意串通； </w:t>
      </w:r>
    </w:p>
    <w:p w14:paraId="089FFA8E">
      <w:pPr>
        <w:widowControl/>
        <w:snapToGrid w:val="0"/>
        <w:spacing w:line="360" w:lineRule="auto"/>
        <w:ind w:firstLine="420" w:firstLineChars="200"/>
        <w:rPr>
          <w:rFonts w:hint="eastAsia" w:ascii="仿宋" w:hAnsi="仿宋" w:eastAsia="仿宋" w:cs="仿宋"/>
          <w:color w:val="auto"/>
          <w:kern w:val="0"/>
          <w:szCs w:val="21"/>
        </w:rPr>
      </w:pPr>
      <w:r>
        <w:rPr>
          <w:rFonts w:hint="eastAsia" w:ascii="仿宋" w:hAnsi="仿宋" w:eastAsia="仿宋" w:cs="仿宋"/>
          <w:color w:val="auto"/>
          <w:kern w:val="0"/>
          <w:szCs w:val="21"/>
        </w:rPr>
        <w:t xml:space="preserve">（4）向采购人、采购代理机构行贿或者提供其他不正当利益； </w:t>
      </w:r>
    </w:p>
    <w:p w14:paraId="0EE6812E">
      <w:pPr>
        <w:widowControl/>
        <w:snapToGrid w:val="0"/>
        <w:spacing w:line="360" w:lineRule="auto"/>
        <w:ind w:firstLine="420" w:firstLineChars="200"/>
        <w:rPr>
          <w:rFonts w:hint="eastAsia" w:ascii="仿宋" w:hAnsi="仿宋" w:eastAsia="仿宋" w:cs="仿宋"/>
          <w:color w:val="auto"/>
          <w:kern w:val="0"/>
          <w:szCs w:val="21"/>
        </w:rPr>
      </w:pPr>
      <w:r>
        <w:rPr>
          <w:rFonts w:hint="eastAsia" w:ascii="仿宋" w:hAnsi="仿宋" w:eastAsia="仿宋" w:cs="仿宋"/>
          <w:color w:val="auto"/>
          <w:kern w:val="0"/>
          <w:szCs w:val="21"/>
        </w:rPr>
        <w:t xml:space="preserve">（5）在招标采购过程中与采购人进行协商谈判； </w:t>
      </w:r>
    </w:p>
    <w:p w14:paraId="275034B3">
      <w:pPr>
        <w:adjustRightInd w:val="0"/>
        <w:snapToGrid w:val="0"/>
        <w:spacing w:line="360" w:lineRule="auto"/>
        <w:ind w:firstLine="420" w:firstLineChars="200"/>
        <w:rPr>
          <w:rFonts w:hint="eastAsia" w:ascii="仿宋" w:hAnsi="仿宋" w:eastAsia="仿宋" w:cs="仿宋"/>
          <w:color w:val="auto"/>
          <w:szCs w:val="21"/>
        </w:rPr>
      </w:pPr>
      <w:r>
        <w:rPr>
          <w:rFonts w:hint="eastAsia" w:ascii="仿宋" w:hAnsi="仿宋" w:eastAsia="仿宋" w:cs="仿宋"/>
          <w:color w:val="auto"/>
          <w:kern w:val="0"/>
          <w:szCs w:val="21"/>
        </w:rPr>
        <w:t>（6）拒绝有关部门监督检查或者提供虚假情况。</w:t>
      </w:r>
    </w:p>
    <w:p w14:paraId="2C847A06">
      <w:pPr>
        <w:adjustRightInd w:val="0"/>
        <w:snapToGrid w:val="0"/>
        <w:spacing w:line="360" w:lineRule="auto"/>
        <w:ind w:firstLine="420" w:firstLineChars="200"/>
        <w:rPr>
          <w:rFonts w:hint="eastAsia" w:ascii="仿宋" w:hAnsi="仿宋" w:eastAsia="仿宋" w:cs="仿宋"/>
          <w:color w:val="auto"/>
          <w:szCs w:val="21"/>
        </w:rPr>
      </w:pPr>
    </w:p>
    <w:p w14:paraId="6E8FDFFE">
      <w:pPr>
        <w:pStyle w:val="26"/>
        <w:snapToGrid w:val="0"/>
        <w:spacing w:line="360" w:lineRule="auto"/>
        <w:ind w:firstLine="480"/>
        <w:rPr>
          <w:rFonts w:hint="eastAsia" w:ascii="仿宋" w:hAnsi="仿宋" w:eastAsia="仿宋" w:cs="仿宋"/>
          <w:color w:val="auto"/>
          <w:szCs w:val="21"/>
          <w:u w:val="single"/>
        </w:rPr>
      </w:pPr>
      <w:r>
        <w:rPr>
          <w:rFonts w:hint="eastAsia" w:ascii="仿宋" w:hAnsi="仿宋" w:eastAsia="仿宋" w:cs="仿宋"/>
          <w:color w:val="auto"/>
          <w:szCs w:val="21"/>
        </w:rPr>
        <w:t>投标人名称（盖章）：</w:t>
      </w:r>
      <w:r>
        <w:rPr>
          <w:rFonts w:hint="eastAsia" w:ascii="仿宋" w:hAnsi="仿宋" w:eastAsia="仿宋" w:cs="仿宋"/>
          <w:color w:val="auto"/>
          <w:szCs w:val="21"/>
          <w:u w:val="single"/>
        </w:rPr>
        <w:t xml:space="preserve">             </w:t>
      </w:r>
    </w:p>
    <w:p w14:paraId="554350A3">
      <w:pPr>
        <w:pStyle w:val="26"/>
        <w:snapToGrid w:val="0"/>
        <w:spacing w:line="360" w:lineRule="auto"/>
        <w:ind w:firstLine="480"/>
        <w:rPr>
          <w:rFonts w:hint="eastAsia" w:ascii="仿宋" w:hAnsi="仿宋" w:eastAsia="仿宋" w:cs="仿宋"/>
          <w:color w:val="auto"/>
          <w:szCs w:val="21"/>
          <w:u w:val="single"/>
        </w:rPr>
      </w:pPr>
      <w:r>
        <w:rPr>
          <w:rFonts w:hint="eastAsia" w:ascii="仿宋" w:hAnsi="仿宋" w:eastAsia="仿宋" w:cs="仿宋"/>
          <w:color w:val="auto"/>
          <w:szCs w:val="21"/>
        </w:rPr>
        <w:t>日期：   年  月  日</w:t>
      </w:r>
    </w:p>
    <w:p w14:paraId="6583C8AD">
      <w:pPr>
        <w:pStyle w:val="26"/>
        <w:snapToGrid w:val="0"/>
        <w:spacing w:line="360" w:lineRule="auto"/>
        <w:ind w:firstLine="480"/>
        <w:rPr>
          <w:rFonts w:hint="eastAsia" w:ascii="仿宋" w:hAnsi="仿宋" w:eastAsia="仿宋" w:cs="仿宋"/>
          <w:color w:val="auto"/>
          <w:szCs w:val="21"/>
          <w:u w:val="single"/>
        </w:rPr>
      </w:pPr>
      <w:r>
        <w:rPr>
          <w:rFonts w:hint="eastAsia" w:ascii="仿宋" w:hAnsi="仿宋" w:eastAsia="仿宋" w:cs="仿宋"/>
          <w:color w:val="auto"/>
          <w:szCs w:val="21"/>
        </w:rPr>
        <w:t>单位地址：</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邮编：</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电话：</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传真：</w:t>
      </w:r>
      <w:r>
        <w:rPr>
          <w:rFonts w:hint="eastAsia" w:ascii="仿宋" w:hAnsi="仿宋" w:eastAsia="仿宋" w:cs="仿宋"/>
          <w:color w:val="auto"/>
          <w:szCs w:val="21"/>
          <w:u w:val="single"/>
        </w:rPr>
        <w:t xml:space="preserve">              </w:t>
      </w:r>
    </w:p>
    <w:p w14:paraId="6B042ADC">
      <w:pPr>
        <w:rPr>
          <w:rFonts w:hint="eastAsia" w:ascii="仿宋" w:hAnsi="仿宋" w:eastAsia="仿宋" w:cs="仿宋"/>
          <w:b/>
          <w:bCs/>
          <w:color w:val="auto"/>
          <w:sz w:val="28"/>
          <w:szCs w:val="28"/>
        </w:rPr>
      </w:pPr>
      <w:r>
        <w:rPr>
          <w:rFonts w:hint="eastAsia" w:ascii="仿宋" w:hAnsi="仿宋" w:eastAsia="仿宋" w:cs="仿宋"/>
          <w:b/>
          <w:bCs/>
          <w:color w:val="auto"/>
          <w:sz w:val="28"/>
          <w:szCs w:val="28"/>
        </w:rPr>
        <w:br w:type="page"/>
      </w:r>
    </w:p>
    <w:p w14:paraId="4BEA257F">
      <w:pPr>
        <w:spacing w:line="360" w:lineRule="auto"/>
        <w:jc w:val="left"/>
        <w:rPr>
          <w:rFonts w:hint="eastAsia" w:ascii="仿宋" w:hAnsi="仿宋" w:eastAsia="仿宋" w:cs="仿宋"/>
          <w:b/>
          <w:color w:val="auto"/>
          <w:szCs w:val="21"/>
          <w:lang w:val="en-US" w:eastAsia="zh-CN"/>
        </w:rPr>
      </w:pPr>
      <w:r>
        <w:rPr>
          <w:rFonts w:hint="eastAsia" w:ascii="仿宋" w:hAnsi="仿宋" w:eastAsia="仿宋" w:cs="仿宋"/>
          <w:b/>
          <w:color w:val="auto"/>
          <w:szCs w:val="21"/>
          <w:lang w:eastAsia="zh-CN"/>
        </w:rPr>
        <w:t>附件</w:t>
      </w:r>
      <w:r>
        <w:rPr>
          <w:rFonts w:hint="eastAsia" w:ascii="仿宋" w:hAnsi="仿宋" w:eastAsia="仿宋" w:cs="仿宋"/>
          <w:b/>
          <w:color w:val="auto"/>
          <w:szCs w:val="21"/>
          <w:lang w:val="en-US" w:eastAsia="zh-CN"/>
        </w:rPr>
        <w:t>5</w:t>
      </w:r>
    </w:p>
    <w:p w14:paraId="26E3BCAB">
      <w:pPr>
        <w:pStyle w:val="49"/>
        <w:rPr>
          <w:rFonts w:hint="eastAsia" w:ascii="仿宋" w:hAnsi="仿宋" w:eastAsia="仿宋" w:cs="仿宋"/>
          <w:color w:val="auto"/>
          <w:lang w:val="en-US" w:eastAsia="zh-CN"/>
        </w:rPr>
      </w:pPr>
    </w:p>
    <w:p w14:paraId="4F766495">
      <w:pPr>
        <w:snapToGrid w:val="0"/>
        <w:spacing w:line="360" w:lineRule="auto"/>
        <w:jc w:val="center"/>
        <w:rPr>
          <w:rFonts w:hint="eastAsia" w:ascii="仿宋" w:hAnsi="仿宋" w:eastAsia="仿宋" w:cs="仿宋"/>
          <w:b/>
          <w:bCs/>
          <w:color w:val="auto"/>
          <w:sz w:val="28"/>
          <w:szCs w:val="28"/>
        </w:rPr>
      </w:pPr>
      <w:r>
        <w:rPr>
          <w:rFonts w:hint="eastAsia" w:ascii="仿宋" w:hAnsi="仿宋" w:eastAsia="仿宋" w:cs="仿宋"/>
          <w:b/>
          <w:bCs/>
          <w:color w:val="auto"/>
          <w:sz w:val="28"/>
          <w:szCs w:val="28"/>
        </w:rPr>
        <w:t>投标人基本情况表</w:t>
      </w:r>
    </w:p>
    <w:tbl>
      <w:tblPr>
        <w:tblStyle w:val="50"/>
        <w:tblW w:w="947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64"/>
        <w:gridCol w:w="1313"/>
        <w:gridCol w:w="1423"/>
        <w:gridCol w:w="1431"/>
        <w:gridCol w:w="1767"/>
        <w:gridCol w:w="308"/>
        <w:gridCol w:w="1571"/>
      </w:tblGrid>
      <w:tr w14:paraId="7BA2F5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664" w:type="dxa"/>
            <w:tcBorders>
              <w:top w:val="single" w:color="auto" w:sz="4" w:space="0"/>
              <w:bottom w:val="single" w:color="auto" w:sz="4" w:space="0"/>
              <w:right w:val="single" w:color="auto" w:sz="4" w:space="0"/>
            </w:tcBorders>
            <w:vAlign w:val="center"/>
          </w:tcPr>
          <w:p w14:paraId="3F45F33B">
            <w:pPr>
              <w:snapToGrid w:val="0"/>
              <w:spacing w:line="360" w:lineRule="auto"/>
              <w:rPr>
                <w:rFonts w:hint="eastAsia" w:ascii="仿宋" w:hAnsi="仿宋" w:eastAsia="仿宋" w:cs="仿宋"/>
                <w:bCs/>
                <w:color w:val="auto"/>
                <w:szCs w:val="21"/>
              </w:rPr>
            </w:pPr>
            <w:r>
              <w:rPr>
                <w:rFonts w:hint="eastAsia" w:ascii="仿宋" w:hAnsi="仿宋" w:eastAsia="仿宋" w:cs="仿宋"/>
                <w:bCs/>
                <w:color w:val="auto"/>
                <w:szCs w:val="21"/>
              </w:rPr>
              <w:t>单位名称</w:t>
            </w:r>
          </w:p>
        </w:tc>
        <w:tc>
          <w:tcPr>
            <w:tcW w:w="7813" w:type="dxa"/>
            <w:gridSpan w:val="6"/>
            <w:tcBorders>
              <w:top w:val="single" w:color="auto" w:sz="4" w:space="0"/>
              <w:left w:val="single" w:color="auto" w:sz="4" w:space="0"/>
              <w:bottom w:val="single" w:color="auto" w:sz="4" w:space="0"/>
            </w:tcBorders>
            <w:vAlign w:val="center"/>
          </w:tcPr>
          <w:p w14:paraId="6D12CB09">
            <w:pPr>
              <w:snapToGrid w:val="0"/>
              <w:spacing w:line="360" w:lineRule="auto"/>
              <w:rPr>
                <w:rFonts w:hint="eastAsia" w:ascii="仿宋" w:hAnsi="仿宋" w:eastAsia="仿宋" w:cs="仿宋"/>
                <w:color w:val="auto"/>
                <w:szCs w:val="21"/>
              </w:rPr>
            </w:pPr>
          </w:p>
        </w:tc>
      </w:tr>
      <w:tr w14:paraId="119DB1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664" w:type="dxa"/>
            <w:tcBorders>
              <w:top w:val="single" w:color="auto" w:sz="4" w:space="0"/>
              <w:bottom w:val="single" w:color="auto" w:sz="4" w:space="0"/>
              <w:right w:val="single" w:color="auto" w:sz="4" w:space="0"/>
            </w:tcBorders>
            <w:vAlign w:val="center"/>
          </w:tcPr>
          <w:p w14:paraId="6FA4F744">
            <w:pPr>
              <w:snapToGrid w:val="0"/>
              <w:spacing w:line="360" w:lineRule="auto"/>
              <w:rPr>
                <w:rFonts w:hint="eastAsia" w:ascii="仿宋" w:hAnsi="仿宋" w:eastAsia="仿宋" w:cs="仿宋"/>
                <w:bCs/>
                <w:color w:val="auto"/>
                <w:szCs w:val="21"/>
              </w:rPr>
            </w:pPr>
            <w:r>
              <w:rPr>
                <w:rFonts w:hint="eastAsia" w:ascii="仿宋" w:hAnsi="仿宋" w:eastAsia="仿宋" w:cs="仿宋"/>
                <w:bCs/>
                <w:color w:val="auto"/>
                <w:szCs w:val="21"/>
              </w:rPr>
              <w:t>法定代表人</w:t>
            </w:r>
            <w:r>
              <w:rPr>
                <w:rStyle w:val="156"/>
                <w:rFonts w:hint="eastAsia" w:ascii="仿宋" w:hAnsi="仿宋" w:eastAsia="仿宋" w:cs="仿宋"/>
                <w:color w:val="auto"/>
                <w:szCs w:val="21"/>
                <w:lang w:val="zh-CN"/>
              </w:rPr>
              <w:t>（单位负责人）</w:t>
            </w:r>
          </w:p>
        </w:tc>
        <w:tc>
          <w:tcPr>
            <w:tcW w:w="1313" w:type="dxa"/>
            <w:tcBorders>
              <w:top w:val="single" w:color="auto" w:sz="4" w:space="0"/>
              <w:left w:val="single" w:color="auto" w:sz="4" w:space="0"/>
              <w:bottom w:val="single" w:color="auto" w:sz="4" w:space="0"/>
              <w:right w:val="single" w:color="auto" w:sz="4" w:space="0"/>
            </w:tcBorders>
            <w:vAlign w:val="center"/>
          </w:tcPr>
          <w:p w14:paraId="0DA00EB1">
            <w:pPr>
              <w:snapToGrid w:val="0"/>
              <w:spacing w:line="360" w:lineRule="auto"/>
              <w:rPr>
                <w:rFonts w:hint="eastAsia" w:ascii="仿宋" w:hAnsi="仿宋" w:eastAsia="仿宋" w:cs="仿宋"/>
                <w:bCs/>
                <w:color w:val="auto"/>
                <w:szCs w:val="21"/>
              </w:rPr>
            </w:pPr>
          </w:p>
        </w:tc>
        <w:tc>
          <w:tcPr>
            <w:tcW w:w="1423" w:type="dxa"/>
            <w:tcBorders>
              <w:top w:val="single" w:color="auto" w:sz="4" w:space="0"/>
              <w:left w:val="single" w:color="auto" w:sz="4" w:space="0"/>
              <w:bottom w:val="single" w:color="auto" w:sz="4" w:space="0"/>
              <w:right w:val="single" w:color="auto" w:sz="4" w:space="0"/>
            </w:tcBorders>
            <w:vAlign w:val="center"/>
          </w:tcPr>
          <w:p w14:paraId="35A2194B">
            <w:pPr>
              <w:snapToGrid w:val="0"/>
              <w:spacing w:line="360" w:lineRule="auto"/>
              <w:rPr>
                <w:rFonts w:hint="eastAsia" w:ascii="仿宋" w:hAnsi="仿宋" w:eastAsia="仿宋" w:cs="仿宋"/>
                <w:bCs/>
                <w:color w:val="auto"/>
                <w:szCs w:val="21"/>
              </w:rPr>
            </w:pPr>
            <w:r>
              <w:rPr>
                <w:rFonts w:hint="eastAsia" w:ascii="仿宋" w:hAnsi="仿宋" w:eastAsia="仿宋" w:cs="仿宋"/>
                <w:bCs/>
                <w:color w:val="auto"/>
                <w:szCs w:val="21"/>
              </w:rPr>
              <w:t>营业执照</w:t>
            </w:r>
          </w:p>
        </w:tc>
        <w:tc>
          <w:tcPr>
            <w:tcW w:w="5077" w:type="dxa"/>
            <w:gridSpan w:val="4"/>
            <w:tcBorders>
              <w:top w:val="single" w:color="auto" w:sz="4" w:space="0"/>
              <w:left w:val="single" w:color="auto" w:sz="4" w:space="0"/>
              <w:bottom w:val="single" w:color="auto" w:sz="4" w:space="0"/>
            </w:tcBorders>
            <w:vAlign w:val="center"/>
          </w:tcPr>
          <w:p w14:paraId="203475D6">
            <w:pPr>
              <w:snapToGrid w:val="0"/>
              <w:spacing w:line="360" w:lineRule="auto"/>
              <w:rPr>
                <w:rFonts w:hint="eastAsia" w:ascii="仿宋" w:hAnsi="仿宋" w:eastAsia="仿宋" w:cs="仿宋"/>
                <w:bCs/>
                <w:color w:val="auto"/>
                <w:szCs w:val="21"/>
              </w:rPr>
            </w:pPr>
            <w:r>
              <w:rPr>
                <w:rFonts w:hint="eastAsia" w:ascii="仿宋" w:hAnsi="仿宋" w:eastAsia="仿宋" w:cs="仿宋"/>
                <w:bCs/>
                <w:color w:val="auto"/>
                <w:szCs w:val="21"/>
              </w:rPr>
              <w:t>编号：</w:t>
            </w:r>
          </w:p>
          <w:p w14:paraId="27FCF4AD">
            <w:pPr>
              <w:snapToGrid w:val="0"/>
              <w:spacing w:line="360" w:lineRule="auto"/>
              <w:rPr>
                <w:rFonts w:hint="eastAsia" w:ascii="仿宋" w:hAnsi="仿宋" w:eastAsia="仿宋" w:cs="仿宋"/>
                <w:bCs/>
                <w:color w:val="auto"/>
                <w:szCs w:val="21"/>
              </w:rPr>
            </w:pPr>
            <w:r>
              <w:rPr>
                <w:rFonts w:hint="eastAsia" w:ascii="仿宋" w:hAnsi="仿宋" w:eastAsia="仿宋" w:cs="仿宋"/>
                <w:bCs/>
                <w:color w:val="auto"/>
                <w:szCs w:val="21"/>
              </w:rPr>
              <w:t>发证机关：</w:t>
            </w:r>
          </w:p>
          <w:p w14:paraId="4A28B4BA">
            <w:pPr>
              <w:snapToGrid w:val="0"/>
              <w:spacing w:line="360" w:lineRule="auto"/>
              <w:rPr>
                <w:rFonts w:hint="eastAsia" w:ascii="仿宋" w:hAnsi="仿宋" w:eastAsia="仿宋" w:cs="仿宋"/>
                <w:bCs/>
                <w:color w:val="auto"/>
                <w:szCs w:val="21"/>
              </w:rPr>
            </w:pPr>
            <w:r>
              <w:rPr>
                <w:rFonts w:hint="eastAsia" w:ascii="仿宋" w:hAnsi="仿宋" w:eastAsia="仿宋" w:cs="仿宋"/>
                <w:bCs/>
                <w:color w:val="auto"/>
                <w:szCs w:val="21"/>
              </w:rPr>
              <w:t>成立时间：</w:t>
            </w:r>
          </w:p>
        </w:tc>
      </w:tr>
      <w:tr w14:paraId="3426CE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664" w:type="dxa"/>
            <w:tcBorders>
              <w:top w:val="single" w:color="auto" w:sz="4" w:space="0"/>
              <w:bottom w:val="single" w:color="auto" w:sz="4" w:space="0"/>
              <w:right w:val="single" w:color="auto" w:sz="4" w:space="0"/>
            </w:tcBorders>
            <w:vAlign w:val="center"/>
          </w:tcPr>
          <w:p w14:paraId="6516E376">
            <w:pPr>
              <w:snapToGrid w:val="0"/>
              <w:spacing w:line="360" w:lineRule="auto"/>
              <w:rPr>
                <w:rFonts w:hint="eastAsia" w:ascii="仿宋" w:hAnsi="仿宋" w:eastAsia="仿宋" w:cs="仿宋"/>
                <w:bCs/>
                <w:color w:val="auto"/>
                <w:szCs w:val="21"/>
              </w:rPr>
            </w:pPr>
            <w:r>
              <w:rPr>
                <w:rFonts w:hint="eastAsia" w:ascii="仿宋" w:hAnsi="仿宋" w:eastAsia="仿宋" w:cs="仿宋"/>
                <w:bCs/>
                <w:color w:val="auto"/>
                <w:szCs w:val="21"/>
              </w:rPr>
              <w:t>现有职工人数</w:t>
            </w:r>
          </w:p>
        </w:tc>
        <w:tc>
          <w:tcPr>
            <w:tcW w:w="1313" w:type="dxa"/>
            <w:tcBorders>
              <w:top w:val="single" w:color="auto" w:sz="4" w:space="0"/>
              <w:left w:val="single" w:color="auto" w:sz="4" w:space="0"/>
              <w:bottom w:val="single" w:color="auto" w:sz="4" w:space="0"/>
              <w:right w:val="single" w:color="auto" w:sz="4" w:space="0"/>
            </w:tcBorders>
            <w:vAlign w:val="center"/>
          </w:tcPr>
          <w:p w14:paraId="3CD676A7">
            <w:pPr>
              <w:snapToGrid w:val="0"/>
              <w:spacing w:line="360" w:lineRule="auto"/>
              <w:rPr>
                <w:rFonts w:hint="eastAsia" w:ascii="仿宋" w:hAnsi="仿宋" w:eastAsia="仿宋" w:cs="仿宋"/>
                <w:bCs/>
                <w:color w:val="auto"/>
                <w:szCs w:val="21"/>
              </w:rPr>
            </w:pPr>
          </w:p>
        </w:tc>
        <w:tc>
          <w:tcPr>
            <w:tcW w:w="1423" w:type="dxa"/>
            <w:tcBorders>
              <w:top w:val="single" w:color="auto" w:sz="4" w:space="0"/>
              <w:left w:val="single" w:color="auto" w:sz="4" w:space="0"/>
              <w:bottom w:val="single" w:color="auto" w:sz="4" w:space="0"/>
              <w:right w:val="single" w:color="auto" w:sz="4" w:space="0"/>
            </w:tcBorders>
            <w:vAlign w:val="center"/>
          </w:tcPr>
          <w:p w14:paraId="4D0B59B7">
            <w:pPr>
              <w:snapToGrid w:val="0"/>
              <w:spacing w:line="360" w:lineRule="auto"/>
              <w:rPr>
                <w:rFonts w:hint="eastAsia" w:ascii="仿宋" w:hAnsi="仿宋" w:eastAsia="仿宋" w:cs="仿宋"/>
                <w:bCs/>
                <w:color w:val="auto"/>
                <w:szCs w:val="21"/>
              </w:rPr>
            </w:pPr>
            <w:r>
              <w:rPr>
                <w:rFonts w:hint="eastAsia" w:ascii="仿宋" w:hAnsi="仿宋" w:eastAsia="仿宋" w:cs="仿宋"/>
                <w:bCs/>
                <w:color w:val="auto"/>
                <w:szCs w:val="21"/>
              </w:rPr>
              <w:t>注册时间</w:t>
            </w:r>
          </w:p>
        </w:tc>
        <w:tc>
          <w:tcPr>
            <w:tcW w:w="1431" w:type="dxa"/>
            <w:tcBorders>
              <w:top w:val="single" w:color="auto" w:sz="4" w:space="0"/>
              <w:left w:val="single" w:color="auto" w:sz="4" w:space="0"/>
              <w:bottom w:val="single" w:color="auto" w:sz="4" w:space="0"/>
              <w:right w:val="single" w:color="auto" w:sz="4" w:space="0"/>
            </w:tcBorders>
            <w:vAlign w:val="center"/>
          </w:tcPr>
          <w:p w14:paraId="366F1C67">
            <w:pPr>
              <w:snapToGrid w:val="0"/>
              <w:spacing w:line="360" w:lineRule="auto"/>
              <w:rPr>
                <w:rFonts w:hint="eastAsia" w:ascii="仿宋" w:hAnsi="仿宋" w:eastAsia="仿宋" w:cs="仿宋"/>
                <w:bCs/>
                <w:color w:val="auto"/>
                <w:szCs w:val="21"/>
              </w:rPr>
            </w:pPr>
          </w:p>
        </w:tc>
        <w:tc>
          <w:tcPr>
            <w:tcW w:w="1767" w:type="dxa"/>
            <w:tcBorders>
              <w:top w:val="single" w:color="auto" w:sz="4" w:space="0"/>
              <w:left w:val="single" w:color="auto" w:sz="4" w:space="0"/>
              <w:bottom w:val="single" w:color="auto" w:sz="4" w:space="0"/>
              <w:right w:val="single" w:color="auto" w:sz="4" w:space="0"/>
            </w:tcBorders>
            <w:vAlign w:val="center"/>
          </w:tcPr>
          <w:p w14:paraId="3215AAC1">
            <w:pPr>
              <w:snapToGrid w:val="0"/>
              <w:spacing w:line="360" w:lineRule="auto"/>
              <w:rPr>
                <w:rFonts w:hint="eastAsia" w:ascii="仿宋" w:hAnsi="仿宋" w:eastAsia="仿宋" w:cs="仿宋"/>
                <w:bCs/>
                <w:color w:val="auto"/>
                <w:szCs w:val="21"/>
              </w:rPr>
            </w:pPr>
            <w:r>
              <w:rPr>
                <w:rFonts w:hint="eastAsia" w:ascii="仿宋" w:hAnsi="仿宋" w:eastAsia="仿宋" w:cs="仿宋"/>
                <w:bCs/>
                <w:color w:val="auto"/>
                <w:szCs w:val="21"/>
              </w:rPr>
              <w:t>注册资金</w:t>
            </w:r>
          </w:p>
        </w:tc>
        <w:tc>
          <w:tcPr>
            <w:tcW w:w="1879" w:type="dxa"/>
            <w:gridSpan w:val="2"/>
            <w:tcBorders>
              <w:top w:val="single" w:color="auto" w:sz="4" w:space="0"/>
              <w:left w:val="single" w:color="auto" w:sz="4" w:space="0"/>
              <w:bottom w:val="single" w:color="auto" w:sz="4" w:space="0"/>
            </w:tcBorders>
            <w:vAlign w:val="center"/>
          </w:tcPr>
          <w:p w14:paraId="6AB2CE4C">
            <w:pPr>
              <w:snapToGrid w:val="0"/>
              <w:spacing w:line="360" w:lineRule="auto"/>
              <w:rPr>
                <w:rFonts w:hint="eastAsia" w:ascii="仿宋" w:hAnsi="仿宋" w:eastAsia="仿宋" w:cs="仿宋"/>
                <w:bCs/>
                <w:color w:val="auto"/>
                <w:szCs w:val="21"/>
              </w:rPr>
            </w:pPr>
            <w:r>
              <w:rPr>
                <w:rFonts w:hint="eastAsia" w:ascii="仿宋" w:hAnsi="仿宋" w:eastAsia="仿宋" w:cs="仿宋"/>
                <w:bCs/>
                <w:color w:val="auto"/>
                <w:szCs w:val="21"/>
              </w:rPr>
              <w:t xml:space="preserve">      万元</w:t>
            </w:r>
          </w:p>
        </w:tc>
      </w:tr>
      <w:tr w14:paraId="25F67A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664" w:type="dxa"/>
            <w:tcBorders>
              <w:top w:val="single" w:color="auto" w:sz="4" w:space="0"/>
              <w:bottom w:val="single" w:color="auto" w:sz="4" w:space="0"/>
              <w:right w:val="single" w:color="auto" w:sz="4" w:space="0"/>
            </w:tcBorders>
            <w:vAlign w:val="center"/>
          </w:tcPr>
          <w:p w14:paraId="2DA9CA9D">
            <w:pPr>
              <w:snapToGrid w:val="0"/>
              <w:spacing w:line="360" w:lineRule="auto"/>
              <w:rPr>
                <w:rFonts w:hint="eastAsia" w:ascii="仿宋" w:hAnsi="仿宋" w:eastAsia="仿宋" w:cs="仿宋"/>
                <w:bCs/>
                <w:color w:val="auto"/>
                <w:szCs w:val="21"/>
              </w:rPr>
            </w:pPr>
            <w:r>
              <w:rPr>
                <w:rFonts w:hint="eastAsia" w:ascii="仿宋" w:hAnsi="仿宋" w:eastAsia="仿宋" w:cs="仿宋"/>
                <w:bCs/>
                <w:color w:val="auto"/>
                <w:szCs w:val="21"/>
              </w:rPr>
              <w:t>地   址</w:t>
            </w:r>
          </w:p>
        </w:tc>
        <w:tc>
          <w:tcPr>
            <w:tcW w:w="7813" w:type="dxa"/>
            <w:gridSpan w:val="6"/>
            <w:tcBorders>
              <w:top w:val="single" w:color="auto" w:sz="4" w:space="0"/>
              <w:left w:val="single" w:color="auto" w:sz="4" w:space="0"/>
              <w:bottom w:val="single" w:color="auto" w:sz="4" w:space="0"/>
            </w:tcBorders>
            <w:vAlign w:val="center"/>
          </w:tcPr>
          <w:p w14:paraId="760A691D">
            <w:pPr>
              <w:snapToGrid w:val="0"/>
              <w:spacing w:line="360" w:lineRule="auto"/>
              <w:rPr>
                <w:rFonts w:hint="eastAsia" w:ascii="仿宋" w:hAnsi="仿宋" w:eastAsia="仿宋" w:cs="仿宋"/>
                <w:bCs/>
                <w:color w:val="auto"/>
                <w:szCs w:val="21"/>
              </w:rPr>
            </w:pPr>
          </w:p>
        </w:tc>
      </w:tr>
      <w:tr w14:paraId="4EC745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664" w:type="dxa"/>
            <w:vMerge w:val="restart"/>
            <w:tcBorders>
              <w:top w:val="single" w:color="auto" w:sz="4" w:space="0"/>
              <w:right w:val="single" w:color="auto" w:sz="4" w:space="0"/>
            </w:tcBorders>
            <w:vAlign w:val="center"/>
          </w:tcPr>
          <w:p w14:paraId="71BD35DC">
            <w:pPr>
              <w:snapToGrid w:val="0"/>
              <w:spacing w:line="360" w:lineRule="auto"/>
              <w:rPr>
                <w:rFonts w:hint="eastAsia" w:ascii="仿宋" w:hAnsi="仿宋" w:eastAsia="仿宋" w:cs="仿宋"/>
                <w:color w:val="auto"/>
                <w:szCs w:val="21"/>
              </w:rPr>
            </w:pPr>
            <w:r>
              <w:rPr>
                <w:rFonts w:hint="eastAsia" w:ascii="仿宋" w:hAnsi="仿宋" w:eastAsia="仿宋" w:cs="仿宋"/>
                <w:color w:val="auto"/>
                <w:szCs w:val="21"/>
              </w:rPr>
              <w:t>所获资质</w:t>
            </w:r>
          </w:p>
          <w:p w14:paraId="4BEC952F">
            <w:pPr>
              <w:snapToGrid w:val="0"/>
              <w:spacing w:line="360" w:lineRule="auto"/>
              <w:rPr>
                <w:rFonts w:hint="eastAsia" w:ascii="仿宋" w:hAnsi="仿宋" w:eastAsia="仿宋" w:cs="仿宋"/>
                <w:color w:val="auto"/>
                <w:szCs w:val="21"/>
              </w:rPr>
            </w:pPr>
            <w:r>
              <w:rPr>
                <w:rFonts w:hint="eastAsia" w:ascii="仿宋" w:hAnsi="仿宋" w:eastAsia="仿宋" w:cs="仿宋"/>
                <w:color w:val="auto"/>
                <w:szCs w:val="21"/>
              </w:rPr>
              <w:t>或认证</w:t>
            </w:r>
          </w:p>
        </w:tc>
        <w:tc>
          <w:tcPr>
            <w:tcW w:w="1313" w:type="dxa"/>
            <w:tcBorders>
              <w:top w:val="single" w:color="auto" w:sz="4" w:space="0"/>
              <w:left w:val="single" w:color="auto" w:sz="4" w:space="0"/>
              <w:bottom w:val="single" w:color="auto" w:sz="4" w:space="0"/>
              <w:right w:val="single" w:color="auto" w:sz="4" w:space="0"/>
            </w:tcBorders>
            <w:vAlign w:val="center"/>
          </w:tcPr>
          <w:p w14:paraId="3A6EA12C">
            <w:pPr>
              <w:snapToGrid w:val="0"/>
              <w:spacing w:line="360" w:lineRule="auto"/>
              <w:rPr>
                <w:rFonts w:hint="eastAsia" w:ascii="仿宋" w:hAnsi="仿宋" w:eastAsia="仿宋" w:cs="仿宋"/>
                <w:bCs/>
                <w:color w:val="auto"/>
                <w:szCs w:val="21"/>
              </w:rPr>
            </w:pPr>
            <w:r>
              <w:rPr>
                <w:rFonts w:hint="eastAsia" w:ascii="仿宋" w:hAnsi="仿宋" w:eastAsia="仿宋" w:cs="仿宋"/>
                <w:bCs/>
                <w:color w:val="auto"/>
                <w:szCs w:val="21"/>
              </w:rPr>
              <w:t>证书或证件名称及等级</w:t>
            </w:r>
          </w:p>
        </w:tc>
        <w:tc>
          <w:tcPr>
            <w:tcW w:w="2854" w:type="dxa"/>
            <w:gridSpan w:val="2"/>
            <w:tcBorders>
              <w:top w:val="single" w:color="auto" w:sz="4" w:space="0"/>
              <w:left w:val="single" w:color="auto" w:sz="4" w:space="0"/>
              <w:bottom w:val="single" w:color="auto" w:sz="4" w:space="0"/>
              <w:right w:val="single" w:color="auto" w:sz="4" w:space="0"/>
            </w:tcBorders>
            <w:vAlign w:val="center"/>
          </w:tcPr>
          <w:p w14:paraId="3B4DABEB">
            <w:pPr>
              <w:snapToGrid w:val="0"/>
              <w:spacing w:line="360" w:lineRule="auto"/>
              <w:rPr>
                <w:rFonts w:hint="eastAsia" w:ascii="仿宋" w:hAnsi="仿宋" w:eastAsia="仿宋" w:cs="仿宋"/>
                <w:bCs/>
                <w:color w:val="auto"/>
                <w:szCs w:val="21"/>
              </w:rPr>
            </w:pPr>
            <w:r>
              <w:rPr>
                <w:rFonts w:hint="eastAsia" w:ascii="仿宋" w:hAnsi="仿宋" w:eastAsia="仿宋" w:cs="仿宋"/>
                <w:bCs/>
                <w:color w:val="auto"/>
                <w:szCs w:val="21"/>
              </w:rPr>
              <w:t>颁发部门</w:t>
            </w:r>
          </w:p>
        </w:tc>
        <w:tc>
          <w:tcPr>
            <w:tcW w:w="2075" w:type="dxa"/>
            <w:gridSpan w:val="2"/>
            <w:tcBorders>
              <w:top w:val="single" w:color="auto" w:sz="4" w:space="0"/>
              <w:left w:val="single" w:color="auto" w:sz="4" w:space="0"/>
              <w:bottom w:val="single" w:color="auto" w:sz="4" w:space="0"/>
              <w:right w:val="single" w:color="auto" w:sz="4" w:space="0"/>
            </w:tcBorders>
            <w:vAlign w:val="center"/>
          </w:tcPr>
          <w:p w14:paraId="20D454FA">
            <w:pPr>
              <w:snapToGrid w:val="0"/>
              <w:spacing w:line="360" w:lineRule="auto"/>
              <w:rPr>
                <w:rFonts w:hint="eastAsia" w:ascii="仿宋" w:hAnsi="仿宋" w:eastAsia="仿宋" w:cs="仿宋"/>
                <w:bCs/>
                <w:color w:val="auto"/>
                <w:szCs w:val="21"/>
              </w:rPr>
            </w:pPr>
            <w:r>
              <w:rPr>
                <w:rFonts w:hint="eastAsia" w:ascii="仿宋" w:hAnsi="仿宋" w:eastAsia="仿宋" w:cs="仿宋"/>
                <w:bCs/>
                <w:color w:val="auto"/>
                <w:szCs w:val="21"/>
              </w:rPr>
              <w:t>颁发时间</w:t>
            </w:r>
          </w:p>
        </w:tc>
        <w:tc>
          <w:tcPr>
            <w:tcW w:w="1571" w:type="dxa"/>
            <w:tcBorders>
              <w:top w:val="single" w:color="auto" w:sz="4" w:space="0"/>
              <w:left w:val="single" w:color="auto" w:sz="4" w:space="0"/>
              <w:bottom w:val="single" w:color="auto" w:sz="4" w:space="0"/>
            </w:tcBorders>
            <w:vAlign w:val="center"/>
          </w:tcPr>
          <w:p w14:paraId="29D5EEA5">
            <w:pPr>
              <w:snapToGrid w:val="0"/>
              <w:spacing w:line="360" w:lineRule="auto"/>
              <w:jc w:val="center"/>
              <w:rPr>
                <w:rFonts w:hint="eastAsia" w:ascii="仿宋" w:hAnsi="仿宋" w:eastAsia="仿宋" w:cs="仿宋"/>
                <w:bCs/>
                <w:color w:val="auto"/>
                <w:szCs w:val="21"/>
              </w:rPr>
            </w:pPr>
            <w:r>
              <w:rPr>
                <w:rFonts w:hint="eastAsia" w:ascii="仿宋" w:hAnsi="仿宋" w:eastAsia="仿宋" w:cs="仿宋"/>
                <w:bCs/>
                <w:color w:val="auto"/>
                <w:szCs w:val="21"/>
              </w:rPr>
              <w:t>有效期</w:t>
            </w:r>
          </w:p>
        </w:tc>
      </w:tr>
      <w:tr w14:paraId="603A4A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664" w:type="dxa"/>
            <w:vMerge w:val="continue"/>
            <w:tcBorders>
              <w:right w:val="single" w:color="auto" w:sz="4" w:space="0"/>
            </w:tcBorders>
            <w:vAlign w:val="center"/>
          </w:tcPr>
          <w:p w14:paraId="205E015D">
            <w:pPr>
              <w:snapToGrid w:val="0"/>
              <w:spacing w:line="360" w:lineRule="auto"/>
              <w:rPr>
                <w:rFonts w:hint="eastAsia" w:ascii="仿宋" w:hAnsi="仿宋" w:eastAsia="仿宋" w:cs="仿宋"/>
                <w:color w:val="auto"/>
                <w:szCs w:val="21"/>
              </w:rPr>
            </w:pPr>
          </w:p>
        </w:tc>
        <w:tc>
          <w:tcPr>
            <w:tcW w:w="1313" w:type="dxa"/>
            <w:tcBorders>
              <w:top w:val="single" w:color="auto" w:sz="4" w:space="0"/>
              <w:left w:val="single" w:color="auto" w:sz="4" w:space="0"/>
              <w:bottom w:val="single" w:color="auto" w:sz="4" w:space="0"/>
              <w:right w:val="single" w:color="auto" w:sz="4" w:space="0"/>
            </w:tcBorders>
            <w:vAlign w:val="center"/>
          </w:tcPr>
          <w:p w14:paraId="6E729F4A">
            <w:pPr>
              <w:snapToGrid w:val="0"/>
              <w:spacing w:line="360" w:lineRule="auto"/>
              <w:rPr>
                <w:rFonts w:hint="eastAsia" w:ascii="仿宋" w:hAnsi="仿宋" w:eastAsia="仿宋" w:cs="仿宋"/>
                <w:color w:val="auto"/>
                <w:szCs w:val="21"/>
                <w:u w:val="single"/>
              </w:rPr>
            </w:pPr>
          </w:p>
        </w:tc>
        <w:tc>
          <w:tcPr>
            <w:tcW w:w="2854" w:type="dxa"/>
            <w:gridSpan w:val="2"/>
            <w:tcBorders>
              <w:top w:val="single" w:color="auto" w:sz="4" w:space="0"/>
              <w:left w:val="single" w:color="auto" w:sz="4" w:space="0"/>
              <w:bottom w:val="single" w:color="auto" w:sz="4" w:space="0"/>
              <w:right w:val="single" w:color="auto" w:sz="4" w:space="0"/>
            </w:tcBorders>
            <w:vAlign w:val="center"/>
          </w:tcPr>
          <w:p w14:paraId="73A4D224">
            <w:pPr>
              <w:snapToGrid w:val="0"/>
              <w:spacing w:line="360" w:lineRule="auto"/>
              <w:rPr>
                <w:rFonts w:hint="eastAsia" w:ascii="仿宋" w:hAnsi="仿宋" w:eastAsia="仿宋" w:cs="仿宋"/>
                <w:color w:val="auto"/>
                <w:szCs w:val="21"/>
                <w:u w:val="single"/>
              </w:rPr>
            </w:pPr>
          </w:p>
        </w:tc>
        <w:tc>
          <w:tcPr>
            <w:tcW w:w="2075" w:type="dxa"/>
            <w:gridSpan w:val="2"/>
            <w:tcBorders>
              <w:top w:val="single" w:color="auto" w:sz="4" w:space="0"/>
              <w:left w:val="single" w:color="auto" w:sz="4" w:space="0"/>
              <w:bottom w:val="single" w:color="auto" w:sz="4" w:space="0"/>
              <w:right w:val="single" w:color="auto" w:sz="4" w:space="0"/>
            </w:tcBorders>
            <w:vAlign w:val="center"/>
          </w:tcPr>
          <w:p w14:paraId="08419E80">
            <w:pPr>
              <w:snapToGrid w:val="0"/>
              <w:spacing w:line="360" w:lineRule="auto"/>
              <w:rPr>
                <w:rFonts w:hint="eastAsia" w:ascii="仿宋" w:hAnsi="仿宋" w:eastAsia="仿宋" w:cs="仿宋"/>
                <w:color w:val="auto"/>
                <w:szCs w:val="21"/>
                <w:u w:val="single"/>
              </w:rPr>
            </w:pPr>
          </w:p>
        </w:tc>
        <w:tc>
          <w:tcPr>
            <w:tcW w:w="1571" w:type="dxa"/>
            <w:tcBorders>
              <w:top w:val="single" w:color="auto" w:sz="4" w:space="0"/>
              <w:left w:val="single" w:color="auto" w:sz="4" w:space="0"/>
              <w:bottom w:val="single" w:color="auto" w:sz="4" w:space="0"/>
            </w:tcBorders>
            <w:vAlign w:val="center"/>
          </w:tcPr>
          <w:p w14:paraId="10881A14">
            <w:pPr>
              <w:snapToGrid w:val="0"/>
              <w:spacing w:line="360" w:lineRule="auto"/>
              <w:jc w:val="center"/>
              <w:rPr>
                <w:rFonts w:hint="eastAsia" w:ascii="仿宋" w:hAnsi="仿宋" w:eastAsia="仿宋" w:cs="仿宋"/>
                <w:color w:val="auto"/>
                <w:szCs w:val="21"/>
                <w:u w:val="single"/>
              </w:rPr>
            </w:pPr>
          </w:p>
        </w:tc>
      </w:tr>
      <w:tr w14:paraId="56BD46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664" w:type="dxa"/>
            <w:vMerge w:val="continue"/>
            <w:tcBorders>
              <w:right w:val="single" w:color="auto" w:sz="4" w:space="0"/>
            </w:tcBorders>
            <w:vAlign w:val="center"/>
          </w:tcPr>
          <w:p w14:paraId="4FD23CDB">
            <w:pPr>
              <w:snapToGrid w:val="0"/>
              <w:spacing w:line="360" w:lineRule="auto"/>
              <w:rPr>
                <w:rFonts w:hint="eastAsia" w:ascii="仿宋" w:hAnsi="仿宋" w:eastAsia="仿宋" w:cs="仿宋"/>
                <w:color w:val="auto"/>
                <w:szCs w:val="21"/>
              </w:rPr>
            </w:pPr>
          </w:p>
        </w:tc>
        <w:tc>
          <w:tcPr>
            <w:tcW w:w="1313" w:type="dxa"/>
            <w:tcBorders>
              <w:top w:val="single" w:color="auto" w:sz="4" w:space="0"/>
              <w:left w:val="single" w:color="auto" w:sz="4" w:space="0"/>
              <w:bottom w:val="single" w:color="auto" w:sz="4" w:space="0"/>
              <w:right w:val="single" w:color="auto" w:sz="4" w:space="0"/>
            </w:tcBorders>
            <w:vAlign w:val="center"/>
          </w:tcPr>
          <w:p w14:paraId="27CEBF2A">
            <w:pPr>
              <w:snapToGrid w:val="0"/>
              <w:spacing w:line="360" w:lineRule="auto"/>
              <w:rPr>
                <w:rFonts w:hint="eastAsia" w:ascii="仿宋" w:hAnsi="仿宋" w:eastAsia="仿宋" w:cs="仿宋"/>
                <w:color w:val="auto"/>
                <w:szCs w:val="21"/>
                <w:u w:val="single"/>
              </w:rPr>
            </w:pPr>
          </w:p>
        </w:tc>
        <w:tc>
          <w:tcPr>
            <w:tcW w:w="2854" w:type="dxa"/>
            <w:gridSpan w:val="2"/>
            <w:tcBorders>
              <w:top w:val="single" w:color="auto" w:sz="4" w:space="0"/>
              <w:left w:val="single" w:color="auto" w:sz="4" w:space="0"/>
              <w:bottom w:val="single" w:color="auto" w:sz="4" w:space="0"/>
              <w:right w:val="single" w:color="auto" w:sz="4" w:space="0"/>
            </w:tcBorders>
            <w:vAlign w:val="center"/>
          </w:tcPr>
          <w:p w14:paraId="596CE2CA">
            <w:pPr>
              <w:snapToGrid w:val="0"/>
              <w:spacing w:line="360" w:lineRule="auto"/>
              <w:rPr>
                <w:rFonts w:hint="eastAsia" w:ascii="仿宋" w:hAnsi="仿宋" w:eastAsia="仿宋" w:cs="仿宋"/>
                <w:color w:val="auto"/>
                <w:szCs w:val="21"/>
                <w:u w:val="single"/>
              </w:rPr>
            </w:pPr>
          </w:p>
        </w:tc>
        <w:tc>
          <w:tcPr>
            <w:tcW w:w="2075" w:type="dxa"/>
            <w:gridSpan w:val="2"/>
            <w:tcBorders>
              <w:top w:val="single" w:color="auto" w:sz="4" w:space="0"/>
              <w:left w:val="single" w:color="auto" w:sz="4" w:space="0"/>
              <w:bottom w:val="single" w:color="auto" w:sz="4" w:space="0"/>
              <w:right w:val="single" w:color="auto" w:sz="4" w:space="0"/>
            </w:tcBorders>
            <w:vAlign w:val="center"/>
          </w:tcPr>
          <w:p w14:paraId="473CA733">
            <w:pPr>
              <w:snapToGrid w:val="0"/>
              <w:spacing w:line="360" w:lineRule="auto"/>
              <w:rPr>
                <w:rFonts w:hint="eastAsia" w:ascii="仿宋" w:hAnsi="仿宋" w:eastAsia="仿宋" w:cs="仿宋"/>
                <w:color w:val="auto"/>
                <w:szCs w:val="21"/>
                <w:u w:val="single"/>
              </w:rPr>
            </w:pPr>
          </w:p>
        </w:tc>
        <w:tc>
          <w:tcPr>
            <w:tcW w:w="1571" w:type="dxa"/>
            <w:tcBorders>
              <w:top w:val="single" w:color="auto" w:sz="4" w:space="0"/>
              <w:left w:val="single" w:color="auto" w:sz="4" w:space="0"/>
              <w:bottom w:val="single" w:color="auto" w:sz="4" w:space="0"/>
            </w:tcBorders>
            <w:vAlign w:val="center"/>
          </w:tcPr>
          <w:p w14:paraId="4DC85F7B">
            <w:pPr>
              <w:snapToGrid w:val="0"/>
              <w:spacing w:line="360" w:lineRule="auto"/>
              <w:jc w:val="center"/>
              <w:rPr>
                <w:rFonts w:hint="eastAsia" w:ascii="仿宋" w:hAnsi="仿宋" w:eastAsia="仿宋" w:cs="仿宋"/>
                <w:color w:val="auto"/>
                <w:szCs w:val="21"/>
                <w:u w:val="single"/>
              </w:rPr>
            </w:pPr>
          </w:p>
        </w:tc>
      </w:tr>
      <w:tr w14:paraId="503911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664" w:type="dxa"/>
            <w:vMerge w:val="restart"/>
            <w:tcBorders>
              <w:top w:val="single" w:color="auto" w:sz="4" w:space="0"/>
              <w:right w:val="single" w:color="auto" w:sz="4" w:space="0"/>
            </w:tcBorders>
            <w:vAlign w:val="center"/>
          </w:tcPr>
          <w:p w14:paraId="2194C8C3">
            <w:pPr>
              <w:snapToGrid w:val="0"/>
              <w:spacing w:line="360" w:lineRule="auto"/>
              <w:rPr>
                <w:rFonts w:hint="eastAsia" w:ascii="仿宋" w:hAnsi="仿宋" w:eastAsia="仿宋" w:cs="仿宋"/>
                <w:color w:val="auto"/>
                <w:szCs w:val="21"/>
              </w:rPr>
            </w:pPr>
            <w:r>
              <w:rPr>
                <w:rFonts w:hint="eastAsia" w:ascii="仿宋" w:hAnsi="仿宋" w:eastAsia="仿宋" w:cs="仿宋"/>
                <w:bCs/>
                <w:color w:val="auto"/>
                <w:szCs w:val="21"/>
              </w:rPr>
              <w:t>所获荣誉</w:t>
            </w:r>
          </w:p>
        </w:tc>
        <w:tc>
          <w:tcPr>
            <w:tcW w:w="1313" w:type="dxa"/>
            <w:tcBorders>
              <w:top w:val="single" w:color="auto" w:sz="4" w:space="0"/>
              <w:left w:val="single" w:color="auto" w:sz="4" w:space="0"/>
              <w:bottom w:val="single" w:color="auto" w:sz="4" w:space="0"/>
              <w:right w:val="single" w:color="auto" w:sz="4" w:space="0"/>
            </w:tcBorders>
            <w:vAlign w:val="center"/>
          </w:tcPr>
          <w:p w14:paraId="535C661A">
            <w:pPr>
              <w:snapToGrid w:val="0"/>
              <w:spacing w:line="360" w:lineRule="auto"/>
              <w:rPr>
                <w:rFonts w:hint="eastAsia" w:ascii="仿宋" w:hAnsi="仿宋" w:eastAsia="仿宋" w:cs="仿宋"/>
                <w:bCs/>
                <w:color w:val="auto"/>
                <w:szCs w:val="21"/>
              </w:rPr>
            </w:pPr>
            <w:r>
              <w:rPr>
                <w:rFonts w:hint="eastAsia" w:ascii="仿宋" w:hAnsi="仿宋" w:eastAsia="仿宋" w:cs="仿宋"/>
                <w:bCs/>
                <w:color w:val="auto"/>
                <w:szCs w:val="21"/>
              </w:rPr>
              <w:t>荣誉名称</w:t>
            </w:r>
          </w:p>
        </w:tc>
        <w:tc>
          <w:tcPr>
            <w:tcW w:w="2854" w:type="dxa"/>
            <w:gridSpan w:val="2"/>
            <w:tcBorders>
              <w:top w:val="single" w:color="auto" w:sz="4" w:space="0"/>
              <w:left w:val="single" w:color="auto" w:sz="4" w:space="0"/>
              <w:bottom w:val="single" w:color="auto" w:sz="4" w:space="0"/>
              <w:right w:val="single" w:color="auto" w:sz="4" w:space="0"/>
            </w:tcBorders>
            <w:vAlign w:val="center"/>
          </w:tcPr>
          <w:p w14:paraId="18EF430E">
            <w:pPr>
              <w:snapToGrid w:val="0"/>
              <w:spacing w:line="360" w:lineRule="auto"/>
              <w:rPr>
                <w:rFonts w:hint="eastAsia" w:ascii="仿宋" w:hAnsi="仿宋" w:eastAsia="仿宋" w:cs="仿宋"/>
                <w:bCs/>
                <w:color w:val="auto"/>
                <w:szCs w:val="21"/>
              </w:rPr>
            </w:pPr>
            <w:r>
              <w:rPr>
                <w:rFonts w:hint="eastAsia" w:ascii="仿宋" w:hAnsi="仿宋" w:eastAsia="仿宋" w:cs="仿宋"/>
                <w:bCs/>
                <w:color w:val="auto"/>
                <w:szCs w:val="21"/>
              </w:rPr>
              <w:t>颁发部门</w:t>
            </w:r>
          </w:p>
        </w:tc>
        <w:tc>
          <w:tcPr>
            <w:tcW w:w="2075" w:type="dxa"/>
            <w:gridSpan w:val="2"/>
            <w:tcBorders>
              <w:top w:val="single" w:color="auto" w:sz="4" w:space="0"/>
              <w:left w:val="single" w:color="auto" w:sz="4" w:space="0"/>
              <w:bottom w:val="single" w:color="auto" w:sz="4" w:space="0"/>
              <w:right w:val="single" w:color="auto" w:sz="4" w:space="0"/>
            </w:tcBorders>
            <w:vAlign w:val="center"/>
          </w:tcPr>
          <w:p w14:paraId="55068F40">
            <w:pPr>
              <w:snapToGrid w:val="0"/>
              <w:spacing w:line="360" w:lineRule="auto"/>
              <w:rPr>
                <w:rFonts w:hint="eastAsia" w:ascii="仿宋" w:hAnsi="仿宋" w:eastAsia="仿宋" w:cs="仿宋"/>
                <w:bCs/>
                <w:color w:val="auto"/>
                <w:szCs w:val="21"/>
              </w:rPr>
            </w:pPr>
            <w:r>
              <w:rPr>
                <w:rFonts w:hint="eastAsia" w:ascii="仿宋" w:hAnsi="仿宋" w:eastAsia="仿宋" w:cs="仿宋"/>
                <w:bCs/>
                <w:color w:val="auto"/>
                <w:szCs w:val="21"/>
              </w:rPr>
              <w:t>颁发时间</w:t>
            </w:r>
          </w:p>
        </w:tc>
        <w:tc>
          <w:tcPr>
            <w:tcW w:w="1571" w:type="dxa"/>
            <w:tcBorders>
              <w:top w:val="single" w:color="auto" w:sz="4" w:space="0"/>
              <w:left w:val="single" w:color="auto" w:sz="4" w:space="0"/>
              <w:bottom w:val="single" w:color="auto" w:sz="4" w:space="0"/>
            </w:tcBorders>
            <w:vAlign w:val="center"/>
          </w:tcPr>
          <w:p w14:paraId="22A6F696">
            <w:pPr>
              <w:snapToGrid w:val="0"/>
              <w:spacing w:line="360" w:lineRule="auto"/>
              <w:jc w:val="center"/>
              <w:rPr>
                <w:rFonts w:hint="eastAsia" w:ascii="仿宋" w:hAnsi="仿宋" w:eastAsia="仿宋" w:cs="仿宋"/>
                <w:bCs/>
                <w:color w:val="auto"/>
                <w:szCs w:val="21"/>
              </w:rPr>
            </w:pPr>
            <w:r>
              <w:rPr>
                <w:rFonts w:hint="eastAsia" w:ascii="仿宋" w:hAnsi="仿宋" w:eastAsia="仿宋" w:cs="仿宋"/>
                <w:bCs/>
                <w:color w:val="auto"/>
                <w:szCs w:val="21"/>
              </w:rPr>
              <w:t>有效期</w:t>
            </w:r>
          </w:p>
        </w:tc>
      </w:tr>
      <w:tr w14:paraId="6774B8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664" w:type="dxa"/>
            <w:vMerge w:val="continue"/>
            <w:tcBorders>
              <w:right w:val="single" w:color="auto" w:sz="4" w:space="0"/>
            </w:tcBorders>
            <w:vAlign w:val="center"/>
          </w:tcPr>
          <w:p w14:paraId="2382A661">
            <w:pPr>
              <w:snapToGrid w:val="0"/>
              <w:spacing w:line="360" w:lineRule="auto"/>
              <w:rPr>
                <w:rFonts w:hint="eastAsia" w:ascii="仿宋" w:hAnsi="仿宋" w:eastAsia="仿宋" w:cs="仿宋"/>
                <w:color w:val="auto"/>
                <w:szCs w:val="21"/>
              </w:rPr>
            </w:pPr>
          </w:p>
        </w:tc>
        <w:tc>
          <w:tcPr>
            <w:tcW w:w="1313" w:type="dxa"/>
            <w:tcBorders>
              <w:top w:val="single" w:color="auto" w:sz="4" w:space="0"/>
              <w:left w:val="single" w:color="auto" w:sz="4" w:space="0"/>
              <w:bottom w:val="single" w:color="auto" w:sz="4" w:space="0"/>
              <w:right w:val="single" w:color="auto" w:sz="4" w:space="0"/>
            </w:tcBorders>
            <w:vAlign w:val="center"/>
          </w:tcPr>
          <w:p w14:paraId="3EE1B807">
            <w:pPr>
              <w:snapToGrid w:val="0"/>
              <w:spacing w:line="360" w:lineRule="auto"/>
              <w:rPr>
                <w:rFonts w:hint="eastAsia" w:ascii="仿宋" w:hAnsi="仿宋" w:eastAsia="仿宋" w:cs="仿宋"/>
                <w:color w:val="auto"/>
                <w:szCs w:val="21"/>
                <w:u w:val="single"/>
              </w:rPr>
            </w:pPr>
          </w:p>
        </w:tc>
        <w:tc>
          <w:tcPr>
            <w:tcW w:w="2854" w:type="dxa"/>
            <w:gridSpan w:val="2"/>
            <w:tcBorders>
              <w:top w:val="single" w:color="auto" w:sz="4" w:space="0"/>
              <w:left w:val="single" w:color="auto" w:sz="4" w:space="0"/>
              <w:bottom w:val="single" w:color="auto" w:sz="4" w:space="0"/>
              <w:right w:val="single" w:color="auto" w:sz="4" w:space="0"/>
            </w:tcBorders>
            <w:vAlign w:val="center"/>
          </w:tcPr>
          <w:p w14:paraId="42E83FD8">
            <w:pPr>
              <w:snapToGrid w:val="0"/>
              <w:spacing w:line="360" w:lineRule="auto"/>
              <w:rPr>
                <w:rFonts w:hint="eastAsia" w:ascii="仿宋" w:hAnsi="仿宋" w:eastAsia="仿宋" w:cs="仿宋"/>
                <w:color w:val="auto"/>
                <w:szCs w:val="21"/>
                <w:u w:val="single"/>
              </w:rPr>
            </w:pPr>
          </w:p>
        </w:tc>
        <w:tc>
          <w:tcPr>
            <w:tcW w:w="2075" w:type="dxa"/>
            <w:gridSpan w:val="2"/>
            <w:tcBorders>
              <w:top w:val="single" w:color="auto" w:sz="4" w:space="0"/>
              <w:left w:val="single" w:color="auto" w:sz="4" w:space="0"/>
              <w:bottom w:val="single" w:color="auto" w:sz="4" w:space="0"/>
              <w:right w:val="single" w:color="auto" w:sz="4" w:space="0"/>
            </w:tcBorders>
            <w:vAlign w:val="center"/>
          </w:tcPr>
          <w:p w14:paraId="1CE3AE42">
            <w:pPr>
              <w:snapToGrid w:val="0"/>
              <w:spacing w:line="360" w:lineRule="auto"/>
              <w:rPr>
                <w:rFonts w:hint="eastAsia" w:ascii="仿宋" w:hAnsi="仿宋" w:eastAsia="仿宋" w:cs="仿宋"/>
                <w:color w:val="auto"/>
                <w:szCs w:val="21"/>
                <w:u w:val="single"/>
              </w:rPr>
            </w:pPr>
          </w:p>
        </w:tc>
        <w:tc>
          <w:tcPr>
            <w:tcW w:w="1571" w:type="dxa"/>
            <w:tcBorders>
              <w:top w:val="single" w:color="auto" w:sz="4" w:space="0"/>
              <w:left w:val="single" w:color="auto" w:sz="4" w:space="0"/>
              <w:bottom w:val="single" w:color="auto" w:sz="4" w:space="0"/>
            </w:tcBorders>
            <w:vAlign w:val="center"/>
          </w:tcPr>
          <w:p w14:paraId="198CF14E">
            <w:pPr>
              <w:snapToGrid w:val="0"/>
              <w:spacing w:line="360" w:lineRule="auto"/>
              <w:rPr>
                <w:rFonts w:hint="eastAsia" w:ascii="仿宋" w:hAnsi="仿宋" w:eastAsia="仿宋" w:cs="仿宋"/>
                <w:color w:val="auto"/>
                <w:szCs w:val="21"/>
                <w:u w:val="single"/>
              </w:rPr>
            </w:pPr>
          </w:p>
        </w:tc>
      </w:tr>
      <w:tr w14:paraId="76D6B8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664" w:type="dxa"/>
            <w:vMerge w:val="continue"/>
            <w:tcBorders>
              <w:right w:val="single" w:color="auto" w:sz="4" w:space="0"/>
            </w:tcBorders>
            <w:vAlign w:val="center"/>
          </w:tcPr>
          <w:p w14:paraId="213C66C6">
            <w:pPr>
              <w:snapToGrid w:val="0"/>
              <w:spacing w:line="360" w:lineRule="auto"/>
              <w:rPr>
                <w:rFonts w:hint="eastAsia" w:ascii="仿宋" w:hAnsi="仿宋" w:eastAsia="仿宋" w:cs="仿宋"/>
                <w:color w:val="auto"/>
                <w:szCs w:val="21"/>
              </w:rPr>
            </w:pPr>
          </w:p>
        </w:tc>
        <w:tc>
          <w:tcPr>
            <w:tcW w:w="1313" w:type="dxa"/>
            <w:tcBorders>
              <w:top w:val="single" w:color="auto" w:sz="4" w:space="0"/>
              <w:left w:val="single" w:color="auto" w:sz="4" w:space="0"/>
              <w:bottom w:val="single" w:color="auto" w:sz="4" w:space="0"/>
              <w:right w:val="single" w:color="auto" w:sz="4" w:space="0"/>
            </w:tcBorders>
            <w:vAlign w:val="center"/>
          </w:tcPr>
          <w:p w14:paraId="1F9FB954">
            <w:pPr>
              <w:snapToGrid w:val="0"/>
              <w:spacing w:line="360" w:lineRule="auto"/>
              <w:rPr>
                <w:rFonts w:hint="eastAsia" w:ascii="仿宋" w:hAnsi="仿宋" w:eastAsia="仿宋" w:cs="仿宋"/>
                <w:color w:val="auto"/>
                <w:szCs w:val="21"/>
                <w:u w:val="single"/>
              </w:rPr>
            </w:pPr>
          </w:p>
        </w:tc>
        <w:tc>
          <w:tcPr>
            <w:tcW w:w="2854" w:type="dxa"/>
            <w:gridSpan w:val="2"/>
            <w:tcBorders>
              <w:top w:val="single" w:color="auto" w:sz="4" w:space="0"/>
              <w:left w:val="single" w:color="auto" w:sz="4" w:space="0"/>
              <w:bottom w:val="single" w:color="auto" w:sz="4" w:space="0"/>
              <w:right w:val="single" w:color="auto" w:sz="4" w:space="0"/>
            </w:tcBorders>
            <w:vAlign w:val="center"/>
          </w:tcPr>
          <w:p w14:paraId="7DBFCCA6">
            <w:pPr>
              <w:snapToGrid w:val="0"/>
              <w:spacing w:line="360" w:lineRule="auto"/>
              <w:rPr>
                <w:rFonts w:hint="eastAsia" w:ascii="仿宋" w:hAnsi="仿宋" w:eastAsia="仿宋" w:cs="仿宋"/>
                <w:color w:val="auto"/>
                <w:szCs w:val="21"/>
                <w:u w:val="single"/>
              </w:rPr>
            </w:pPr>
          </w:p>
        </w:tc>
        <w:tc>
          <w:tcPr>
            <w:tcW w:w="2075" w:type="dxa"/>
            <w:gridSpan w:val="2"/>
            <w:tcBorders>
              <w:top w:val="single" w:color="auto" w:sz="4" w:space="0"/>
              <w:left w:val="single" w:color="auto" w:sz="4" w:space="0"/>
              <w:bottom w:val="single" w:color="auto" w:sz="4" w:space="0"/>
              <w:right w:val="single" w:color="auto" w:sz="4" w:space="0"/>
            </w:tcBorders>
            <w:vAlign w:val="center"/>
          </w:tcPr>
          <w:p w14:paraId="446F4A3C">
            <w:pPr>
              <w:snapToGrid w:val="0"/>
              <w:spacing w:line="360" w:lineRule="auto"/>
              <w:rPr>
                <w:rFonts w:hint="eastAsia" w:ascii="仿宋" w:hAnsi="仿宋" w:eastAsia="仿宋" w:cs="仿宋"/>
                <w:color w:val="auto"/>
                <w:szCs w:val="21"/>
                <w:u w:val="single"/>
              </w:rPr>
            </w:pPr>
          </w:p>
        </w:tc>
        <w:tc>
          <w:tcPr>
            <w:tcW w:w="1571" w:type="dxa"/>
            <w:tcBorders>
              <w:top w:val="single" w:color="auto" w:sz="4" w:space="0"/>
              <w:left w:val="single" w:color="auto" w:sz="4" w:space="0"/>
              <w:bottom w:val="single" w:color="auto" w:sz="4" w:space="0"/>
            </w:tcBorders>
            <w:vAlign w:val="center"/>
          </w:tcPr>
          <w:p w14:paraId="3CA5EB8D">
            <w:pPr>
              <w:snapToGrid w:val="0"/>
              <w:spacing w:line="360" w:lineRule="auto"/>
              <w:rPr>
                <w:rFonts w:hint="eastAsia" w:ascii="仿宋" w:hAnsi="仿宋" w:eastAsia="仿宋" w:cs="仿宋"/>
                <w:color w:val="auto"/>
                <w:szCs w:val="21"/>
                <w:u w:val="single"/>
              </w:rPr>
            </w:pPr>
          </w:p>
        </w:tc>
      </w:tr>
      <w:tr w14:paraId="13872F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6" w:hRule="atLeast"/>
          <w:jc w:val="center"/>
        </w:trPr>
        <w:tc>
          <w:tcPr>
            <w:tcW w:w="1664" w:type="dxa"/>
            <w:tcBorders>
              <w:top w:val="single" w:color="auto" w:sz="4" w:space="0"/>
              <w:bottom w:val="single" w:color="auto" w:sz="4" w:space="0"/>
              <w:right w:val="single" w:color="auto" w:sz="4" w:space="0"/>
            </w:tcBorders>
            <w:vAlign w:val="center"/>
          </w:tcPr>
          <w:p w14:paraId="679957AF">
            <w:pPr>
              <w:snapToGrid w:val="0"/>
              <w:spacing w:line="360" w:lineRule="auto"/>
              <w:rPr>
                <w:rFonts w:hint="eastAsia" w:ascii="仿宋" w:hAnsi="仿宋" w:eastAsia="仿宋" w:cs="仿宋"/>
                <w:bCs/>
                <w:color w:val="auto"/>
                <w:szCs w:val="21"/>
              </w:rPr>
            </w:pPr>
            <w:r>
              <w:rPr>
                <w:rFonts w:hint="eastAsia" w:ascii="仿宋" w:hAnsi="仿宋" w:eastAsia="仿宋" w:cs="仿宋"/>
                <w:color w:val="auto"/>
                <w:szCs w:val="21"/>
              </w:rPr>
              <w:t>经营范围</w:t>
            </w:r>
          </w:p>
        </w:tc>
        <w:tc>
          <w:tcPr>
            <w:tcW w:w="7813" w:type="dxa"/>
            <w:gridSpan w:val="6"/>
            <w:tcBorders>
              <w:top w:val="single" w:color="auto" w:sz="4" w:space="0"/>
              <w:left w:val="single" w:color="auto" w:sz="4" w:space="0"/>
              <w:bottom w:val="single" w:color="auto" w:sz="4" w:space="0"/>
            </w:tcBorders>
            <w:vAlign w:val="center"/>
          </w:tcPr>
          <w:p w14:paraId="1D135AD0">
            <w:pPr>
              <w:snapToGrid w:val="0"/>
              <w:spacing w:line="360" w:lineRule="auto"/>
              <w:rPr>
                <w:rFonts w:hint="eastAsia" w:ascii="仿宋" w:hAnsi="仿宋" w:eastAsia="仿宋" w:cs="仿宋"/>
                <w:color w:val="auto"/>
              </w:rPr>
            </w:pPr>
          </w:p>
        </w:tc>
      </w:tr>
      <w:tr w14:paraId="059530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6" w:hRule="atLeast"/>
          <w:jc w:val="center"/>
        </w:trPr>
        <w:tc>
          <w:tcPr>
            <w:tcW w:w="1664" w:type="dxa"/>
            <w:tcBorders>
              <w:top w:val="single" w:color="auto" w:sz="4" w:space="0"/>
              <w:bottom w:val="single" w:color="auto" w:sz="4" w:space="0"/>
              <w:right w:val="single" w:color="auto" w:sz="4" w:space="0"/>
            </w:tcBorders>
            <w:vAlign w:val="center"/>
          </w:tcPr>
          <w:p w14:paraId="2A9D976D">
            <w:pPr>
              <w:snapToGrid w:val="0"/>
              <w:spacing w:line="360" w:lineRule="auto"/>
              <w:rPr>
                <w:rFonts w:hint="eastAsia" w:ascii="仿宋" w:hAnsi="仿宋" w:eastAsia="仿宋" w:cs="仿宋"/>
                <w:bCs/>
                <w:color w:val="auto"/>
                <w:szCs w:val="21"/>
              </w:rPr>
            </w:pPr>
            <w:r>
              <w:rPr>
                <w:rFonts w:hint="eastAsia" w:ascii="仿宋" w:hAnsi="仿宋" w:eastAsia="仿宋" w:cs="仿宋"/>
                <w:bCs/>
                <w:color w:val="auto"/>
                <w:szCs w:val="21"/>
              </w:rPr>
              <w:t>其他</w:t>
            </w:r>
          </w:p>
        </w:tc>
        <w:tc>
          <w:tcPr>
            <w:tcW w:w="7813" w:type="dxa"/>
            <w:gridSpan w:val="6"/>
            <w:tcBorders>
              <w:top w:val="single" w:color="auto" w:sz="4" w:space="0"/>
              <w:left w:val="single" w:color="auto" w:sz="4" w:space="0"/>
              <w:bottom w:val="single" w:color="auto" w:sz="4" w:space="0"/>
            </w:tcBorders>
            <w:vAlign w:val="center"/>
          </w:tcPr>
          <w:p w14:paraId="47B4415C">
            <w:pPr>
              <w:snapToGrid w:val="0"/>
              <w:spacing w:line="360" w:lineRule="auto"/>
              <w:rPr>
                <w:rFonts w:hint="eastAsia" w:ascii="仿宋" w:hAnsi="仿宋" w:eastAsia="仿宋" w:cs="仿宋"/>
                <w:bCs/>
                <w:color w:val="auto"/>
                <w:szCs w:val="21"/>
              </w:rPr>
            </w:pPr>
          </w:p>
        </w:tc>
      </w:tr>
    </w:tbl>
    <w:p w14:paraId="18B9F6B0">
      <w:pPr>
        <w:spacing w:line="360" w:lineRule="auto"/>
        <w:jc w:val="left"/>
        <w:rPr>
          <w:rFonts w:hint="eastAsia" w:ascii="仿宋" w:hAnsi="仿宋" w:eastAsia="仿宋" w:cs="仿宋"/>
          <w:b/>
          <w:color w:val="auto"/>
          <w:szCs w:val="21"/>
        </w:rPr>
      </w:pPr>
    </w:p>
    <w:p w14:paraId="43E824C8">
      <w:pPr>
        <w:spacing w:line="360" w:lineRule="auto"/>
        <w:jc w:val="left"/>
        <w:rPr>
          <w:rFonts w:hint="eastAsia" w:ascii="仿宋" w:hAnsi="仿宋" w:eastAsia="仿宋" w:cs="仿宋"/>
          <w:color w:val="auto"/>
          <w:szCs w:val="21"/>
          <w:u w:val="single"/>
        </w:rPr>
      </w:pPr>
      <w:r>
        <w:rPr>
          <w:rFonts w:hint="eastAsia" w:ascii="仿宋" w:hAnsi="仿宋" w:eastAsia="仿宋" w:cs="仿宋"/>
          <w:color w:val="auto"/>
          <w:szCs w:val="21"/>
        </w:rPr>
        <w:t xml:space="preserve">投标人名称（盖章）： </w:t>
      </w:r>
      <w:r>
        <w:rPr>
          <w:rFonts w:hint="eastAsia" w:ascii="仿宋" w:hAnsi="仿宋" w:eastAsia="仿宋" w:cs="仿宋"/>
          <w:color w:val="auto"/>
          <w:szCs w:val="21"/>
          <w:u w:val="single"/>
        </w:rPr>
        <w:t xml:space="preserve">            </w:t>
      </w:r>
    </w:p>
    <w:p w14:paraId="5658A973">
      <w:pPr>
        <w:spacing w:line="360" w:lineRule="auto"/>
        <w:jc w:val="left"/>
        <w:rPr>
          <w:rFonts w:hint="eastAsia" w:ascii="仿宋" w:hAnsi="仿宋" w:eastAsia="仿宋" w:cs="仿宋"/>
          <w:color w:val="auto"/>
          <w:szCs w:val="21"/>
        </w:rPr>
      </w:pPr>
      <w:r>
        <w:rPr>
          <w:rFonts w:hint="eastAsia" w:ascii="仿宋" w:hAnsi="仿宋" w:eastAsia="仿宋" w:cs="仿宋"/>
          <w:color w:val="auto"/>
          <w:szCs w:val="21"/>
        </w:rPr>
        <w:t>日期：   年  月  日</w:t>
      </w:r>
    </w:p>
    <w:p w14:paraId="34E4A7B7">
      <w:pPr>
        <w:spacing w:line="360" w:lineRule="auto"/>
        <w:rPr>
          <w:rFonts w:hint="eastAsia" w:ascii="仿宋" w:hAnsi="仿宋" w:eastAsia="仿宋" w:cs="仿宋"/>
          <w:b/>
          <w:color w:val="auto"/>
          <w:szCs w:val="21"/>
          <w:lang w:val="en-US" w:eastAsia="zh-CN"/>
        </w:rPr>
      </w:pPr>
      <w:r>
        <w:rPr>
          <w:rFonts w:hint="eastAsia" w:ascii="仿宋" w:hAnsi="仿宋" w:eastAsia="仿宋" w:cs="仿宋"/>
          <w:b/>
          <w:color w:val="auto"/>
          <w:szCs w:val="21"/>
        </w:rPr>
        <w:br w:type="page"/>
      </w:r>
      <w:bookmarkStart w:id="60" w:name="附件7"/>
      <w:r>
        <w:rPr>
          <w:rFonts w:hint="eastAsia" w:ascii="仿宋" w:hAnsi="仿宋" w:eastAsia="仿宋" w:cs="仿宋"/>
          <w:b/>
          <w:color w:val="auto"/>
          <w:szCs w:val="21"/>
        </w:rPr>
        <w:t>附件</w:t>
      </w:r>
      <w:bookmarkEnd w:id="60"/>
      <w:r>
        <w:rPr>
          <w:rFonts w:hint="eastAsia" w:ascii="仿宋" w:hAnsi="仿宋" w:eastAsia="仿宋" w:cs="仿宋"/>
          <w:b/>
          <w:color w:val="auto"/>
          <w:szCs w:val="21"/>
          <w:lang w:val="en-US" w:eastAsia="zh-CN"/>
        </w:rPr>
        <w:t>6</w:t>
      </w:r>
    </w:p>
    <w:p w14:paraId="66F19F15">
      <w:pPr>
        <w:spacing w:line="600" w:lineRule="exact"/>
        <w:jc w:val="center"/>
        <w:rPr>
          <w:rFonts w:hint="eastAsia" w:ascii="仿宋" w:hAnsi="仿宋" w:eastAsia="仿宋" w:cs="仿宋"/>
          <w:b/>
          <w:color w:val="auto"/>
          <w:sz w:val="28"/>
          <w:szCs w:val="28"/>
        </w:rPr>
      </w:pPr>
      <w:bookmarkStart w:id="61" w:name="_Toc509828031"/>
      <w:bookmarkStart w:id="62" w:name="_Toc508004258"/>
      <w:r>
        <w:rPr>
          <w:rFonts w:hint="eastAsia" w:ascii="仿宋" w:hAnsi="仿宋" w:eastAsia="仿宋" w:cs="仿宋"/>
          <w:b/>
          <w:color w:val="auto"/>
          <w:sz w:val="28"/>
          <w:szCs w:val="28"/>
          <w:lang w:eastAsia="zh-CN"/>
        </w:rPr>
        <w:t>拟派</w:t>
      </w:r>
      <w:r>
        <w:rPr>
          <w:rFonts w:hint="eastAsia" w:ascii="仿宋" w:hAnsi="仿宋" w:eastAsia="仿宋" w:cs="仿宋"/>
          <w:b/>
          <w:color w:val="auto"/>
          <w:sz w:val="28"/>
          <w:szCs w:val="28"/>
        </w:rPr>
        <w:t>项目负责人简历表</w:t>
      </w:r>
    </w:p>
    <w:p w14:paraId="4912482F">
      <w:pPr>
        <w:spacing w:line="500" w:lineRule="exact"/>
        <w:rPr>
          <w:rFonts w:hint="eastAsia" w:ascii="仿宋" w:hAnsi="仿宋" w:eastAsia="仿宋" w:cs="仿宋"/>
          <w:b/>
          <w:bCs/>
          <w:color w:val="auto"/>
          <w:sz w:val="28"/>
          <w:szCs w:val="28"/>
        </w:rPr>
      </w:pPr>
      <w:r>
        <w:rPr>
          <w:rFonts w:hint="eastAsia" w:ascii="仿宋" w:hAnsi="仿宋" w:eastAsia="仿宋" w:cs="仿宋"/>
          <w:color w:val="auto"/>
          <w:highlight w:val="none"/>
        </w:rPr>
        <w:t>项目名称</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 xml:space="preserve">        项目编号：</w:t>
      </w:r>
      <w:r>
        <w:rPr>
          <w:rFonts w:hint="eastAsia" w:ascii="仿宋" w:hAnsi="仿宋" w:eastAsia="仿宋" w:cs="仿宋"/>
          <w:color w:val="auto"/>
          <w:szCs w:val="21"/>
          <w:u w:val="single"/>
        </w:rPr>
        <w:t xml:space="preserve">                  </w:t>
      </w:r>
    </w:p>
    <w:tbl>
      <w:tblPr>
        <w:tblStyle w:val="50"/>
        <w:tblW w:w="89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9"/>
        <w:gridCol w:w="179"/>
        <w:gridCol w:w="1615"/>
        <w:gridCol w:w="10"/>
        <w:gridCol w:w="1093"/>
        <w:gridCol w:w="342"/>
        <w:gridCol w:w="893"/>
        <w:gridCol w:w="6"/>
        <w:gridCol w:w="1524"/>
        <w:gridCol w:w="273"/>
        <w:gridCol w:w="1870"/>
      </w:tblGrid>
      <w:tr w14:paraId="33D64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1189" w:type="dxa"/>
            <w:vAlign w:val="center"/>
          </w:tcPr>
          <w:p w14:paraId="788D35DB">
            <w:pPr>
              <w:jc w:val="center"/>
              <w:rPr>
                <w:rFonts w:hint="eastAsia" w:ascii="仿宋" w:hAnsi="仿宋" w:eastAsia="仿宋" w:cs="仿宋"/>
                <w:color w:val="auto"/>
                <w:szCs w:val="21"/>
              </w:rPr>
            </w:pPr>
            <w:r>
              <w:rPr>
                <w:rFonts w:hint="eastAsia" w:ascii="仿宋" w:hAnsi="仿宋" w:eastAsia="仿宋" w:cs="仿宋"/>
                <w:color w:val="auto"/>
                <w:szCs w:val="21"/>
              </w:rPr>
              <w:t>姓名</w:t>
            </w:r>
          </w:p>
        </w:tc>
        <w:tc>
          <w:tcPr>
            <w:tcW w:w="1804" w:type="dxa"/>
            <w:gridSpan w:val="3"/>
            <w:vAlign w:val="center"/>
          </w:tcPr>
          <w:p w14:paraId="6097BAE8">
            <w:pPr>
              <w:jc w:val="center"/>
              <w:rPr>
                <w:rFonts w:hint="eastAsia" w:ascii="仿宋" w:hAnsi="仿宋" w:eastAsia="仿宋" w:cs="仿宋"/>
                <w:color w:val="auto"/>
                <w:szCs w:val="21"/>
              </w:rPr>
            </w:pPr>
          </w:p>
        </w:tc>
        <w:tc>
          <w:tcPr>
            <w:tcW w:w="1093" w:type="dxa"/>
            <w:vAlign w:val="center"/>
          </w:tcPr>
          <w:p w14:paraId="13DD73E7">
            <w:pPr>
              <w:jc w:val="center"/>
              <w:rPr>
                <w:rFonts w:hint="eastAsia" w:ascii="仿宋" w:hAnsi="仿宋" w:eastAsia="仿宋" w:cs="仿宋"/>
                <w:color w:val="auto"/>
                <w:szCs w:val="21"/>
              </w:rPr>
            </w:pPr>
            <w:r>
              <w:rPr>
                <w:rFonts w:hint="eastAsia" w:ascii="仿宋" w:hAnsi="仿宋" w:eastAsia="仿宋" w:cs="仿宋"/>
                <w:color w:val="auto"/>
                <w:szCs w:val="21"/>
              </w:rPr>
              <w:t>年龄</w:t>
            </w:r>
          </w:p>
        </w:tc>
        <w:tc>
          <w:tcPr>
            <w:tcW w:w="1241" w:type="dxa"/>
            <w:gridSpan w:val="3"/>
            <w:vAlign w:val="center"/>
          </w:tcPr>
          <w:p w14:paraId="3163EE07">
            <w:pPr>
              <w:jc w:val="center"/>
              <w:rPr>
                <w:rFonts w:hint="eastAsia" w:ascii="仿宋" w:hAnsi="仿宋" w:eastAsia="仿宋" w:cs="仿宋"/>
                <w:color w:val="auto"/>
                <w:szCs w:val="21"/>
              </w:rPr>
            </w:pPr>
          </w:p>
        </w:tc>
        <w:tc>
          <w:tcPr>
            <w:tcW w:w="1524" w:type="dxa"/>
            <w:vAlign w:val="center"/>
          </w:tcPr>
          <w:p w14:paraId="7AB44298">
            <w:pPr>
              <w:jc w:val="center"/>
              <w:rPr>
                <w:rFonts w:hint="eastAsia" w:ascii="仿宋" w:hAnsi="仿宋" w:eastAsia="仿宋" w:cs="仿宋"/>
                <w:color w:val="auto"/>
                <w:szCs w:val="21"/>
              </w:rPr>
            </w:pPr>
            <w:r>
              <w:rPr>
                <w:rFonts w:hint="eastAsia" w:ascii="仿宋" w:hAnsi="仿宋" w:eastAsia="仿宋" w:cs="仿宋"/>
                <w:color w:val="auto"/>
                <w:szCs w:val="21"/>
              </w:rPr>
              <w:t>身份证号</w:t>
            </w:r>
          </w:p>
        </w:tc>
        <w:tc>
          <w:tcPr>
            <w:tcW w:w="2143" w:type="dxa"/>
            <w:gridSpan w:val="2"/>
            <w:vAlign w:val="center"/>
          </w:tcPr>
          <w:p w14:paraId="17DCA6B3">
            <w:pPr>
              <w:jc w:val="center"/>
              <w:rPr>
                <w:rFonts w:hint="eastAsia" w:ascii="仿宋" w:hAnsi="仿宋" w:eastAsia="仿宋" w:cs="仿宋"/>
                <w:color w:val="auto"/>
                <w:szCs w:val="21"/>
              </w:rPr>
            </w:pPr>
          </w:p>
        </w:tc>
      </w:tr>
      <w:tr w14:paraId="3A3AD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1189" w:type="dxa"/>
            <w:vAlign w:val="center"/>
          </w:tcPr>
          <w:p w14:paraId="4CEFABB3">
            <w:pPr>
              <w:jc w:val="center"/>
              <w:rPr>
                <w:rFonts w:hint="eastAsia" w:ascii="仿宋" w:hAnsi="仿宋" w:eastAsia="仿宋" w:cs="仿宋"/>
                <w:color w:val="auto"/>
                <w:szCs w:val="21"/>
              </w:rPr>
            </w:pPr>
            <w:r>
              <w:rPr>
                <w:rFonts w:hint="eastAsia" w:ascii="仿宋" w:hAnsi="仿宋" w:eastAsia="仿宋" w:cs="仿宋"/>
                <w:color w:val="auto"/>
                <w:szCs w:val="21"/>
              </w:rPr>
              <w:t>学历/专业</w:t>
            </w:r>
          </w:p>
        </w:tc>
        <w:tc>
          <w:tcPr>
            <w:tcW w:w="1804" w:type="dxa"/>
            <w:gridSpan w:val="3"/>
            <w:vAlign w:val="center"/>
          </w:tcPr>
          <w:p w14:paraId="16822604">
            <w:pPr>
              <w:jc w:val="center"/>
              <w:rPr>
                <w:rFonts w:hint="eastAsia" w:ascii="仿宋" w:hAnsi="仿宋" w:eastAsia="仿宋" w:cs="仿宋"/>
                <w:color w:val="auto"/>
                <w:szCs w:val="21"/>
              </w:rPr>
            </w:pPr>
          </w:p>
        </w:tc>
        <w:tc>
          <w:tcPr>
            <w:tcW w:w="1093" w:type="dxa"/>
            <w:vAlign w:val="center"/>
          </w:tcPr>
          <w:p w14:paraId="3EAA6933">
            <w:pPr>
              <w:jc w:val="center"/>
              <w:rPr>
                <w:rFonts w:hint="eastAsia" w:ascii="仿宋" w:hAnsi="仿宋" w:eastAsia="仿宋" w:cs="仿宋"/>
                <w:color w:val="auto"/>
                <w:szCs w:val="21"/>
              </w:rPr>
            </w:pPr>
            <w:r>
              <w:rPr>
                <w:rFonts w:hint="eastAsia" w:ascii="仿宋" w:hAnsi="仿宋" w:eastAsia="仿宋" w:cs="仿宋"/>
                <w:color w:val="auto"/>
                <w:szCs w:val="21"/>
              </w:rPr>
              <w:t>职务</w:t>
            </w:r>
          </w:p>
        </w:tc>
        <w:tc>
          <w:tcPr>
            <w:tcW w:w="1241" w:type="dxa"/>
            <w:gridSpan w:val="3"/>
            <w:vAlign w:val="center"/>
          </w:tcPr>
          <w:p w14:paraId="4BA3E9C8">
            <w:pPr>
              <w:jc w:val="center"/>
              <w:rPr>
                <w:rFonts w:hint="eastAsia" w:ascii="仿宋" w:hAnsi="仿宋" w:eastAsia="仿宋" w:cs="仿宋"/>
                <w:color w:val="auto"/>
                <w:szCs w:val="21"/>
              </w:rPr>
            </w:pPr>
          </w:p>
        </w:tc>
        <w:tc>
          <w:tcPr>
            <w:tcW w:w="1524" w:type="dxa"/>
            <w:vAlign w:val="center"/>
          </w:tcPr>
          <w:p w14:paraId="6B0E3F87">
            <w:pPr>
              <w:jc w:val="center"/>
              <w:rPr>
                <w:rFonts w:hint="eastAsia" w:ascii="仿宋" w:hAnsi="仿宋" w:eastAsia="仿宋" w:cs="仿宋"/>
                <w:color w:val="auto"/>
                <w:szCs w:val="21"/>
              </w:rPr>
            </w:pPr>
            <w:r>
              <w:rPr>
                <w:rFonts w:hint="eastAsia" w:ascii="仿宋" w:hAnsi="仿宋" w:eastAsia="仿宋" w:cs="仿宋"/>
                <w:color w:val="auto"/>
                <w:szCs w:val="21"/>
              </w:rPr>
              <w:t>拟在本项目</w:t>
            </w:r>
          </w:p>
          <w:p w14:paraId="747EA96C">
            <w:pPr>
              <w:jc w:val="center"/>
              <w:rPr>
                <w:rFonts w:hint="eastAsia" w:ascii="仿宋" w:hAnsi="仿宋" w:eastAsia="仿宋" w:cs="仿宋"/>
                <w:color w:val="auto"/>
                <w:szCs w:val="21"/>
              </w:rPr>
            </w:pPr>
            <w:r>
              <w:rPr>
                <w:rFonts w:hint="eastAsia" w:ascii="仿宋" w:hAnsi="仿宋" w:eastAsia="仿宋" w:cs="仿宋"/>
                <w:color w:val="auto"/>
                <w:szCs w:val="21"/>
              </w:rPr>
              <w:t>担任职务</w:t>
            </w:r>
          </w:p>
        </w:tc>
        <w:tc>
          <w:tcPr>
            <w:tcW w:w="2143" w:type="dxa"/>
            <w:gridSpan w:val="2"/>
            <w:vAlign w:val="center"/>
          </w:tcPr>
          <w:p w14:paraId="4002E26C">
            <w:pPr>
              <w:jc w:val="center"/>
              <w:rPr>
                <w:rFonts w:hint="eastAsia" w:ascii="仿宋" w:hAnsi="仿宋" w:eastAsia="仿宋" w:cs="仿宋"/>
                <w:color w:val="auto"/>
                <w:szCs w:val="21"/>
              </w:rPr>
            </w:pPr>
          </w:p>
        </w:tc>
      </w:tr>
      <w:tr w14:paraId="67C06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1189" w:type="dxa"/>
            <w:vAlign w:val="center"/>
          </w:tcPr>
          <w:p w14:paraId="2F1057B9">
            <w:pPr>
              <w:jc w:val="center"/>
              <w:rPr>
                <w:rFonts w:hint="eastAsia" w:ascii="仿宋" w:hAnsi="仿宋" w:eastAsia="仿宋" w:cs="仿宋"/>
                <w:color w:val="auto"/>
                <w:szCs w:val="21"/>
              </w:rPr>
            </w:pPr>
            <w:r>
              <w:rPr>
                <w:rFonts w:hint="eastAsia" w:ascii="仿宋" w:hAnsi="仿宋" w:eastAsia="仿宋" w:cs="仿宋"/>
                <w:color w:val="auto"/>
                <w:szCs w:val="21"/>
              </w:rPr>
              <w:t>资格/职称</w:t>
            </w:r>
          </w:p>
        </w:tc>
        <w:tc>
          <w:tcPr>
            <w:tcW w:w="1794" w:type="dxa"/>
            <w:gridSpan w:val="2"/>
            <w:vAlign w:val="center"/>
          </w:tcPr>
          <w:p w14:paraId="74A53D20">
            <w:pPr>
              <w:jc w:val="center"/>
              <w:rPr>
                <w:rFonts w:hint="eastAsia" w:ascii="仿宋" w:hAnsi="仿宋" w:eastAsia="仿宋" w:cs="仿宋"/>
                <w:color w:val="auto"/>
                <w:szCs w:val="21"/>
              </w:rPr>
            </w:pPr>
          </w:p>
        </w:tc>
        <w:tc>
          <w:tcPr>
            <w:tcW w:w="2338" w:type="dxa"/>
            <w:gridSpan w:val="4"/>
            <w:vAlign w:val="center"/>
          </w:tcPr>
          <w:p w14:paraId="4F23508E">
            <w:pPr>
              <w:jc w:val="center"/>
              <w:rPr>
                <w:rFonts w:hint="eastAsia" w:ascii="仿宋" w:hAnsi="仿宋" w:eastAsia="仿宋" w:cs="仿宋"/>
                <w:color w:val="auto"/>
                <w:szCs w:val="21"/>
              </w:rPr>
            </w:pPr>
            <w:r>
              <w:rPr>
                <w:rFonts w:hint="eastAsia" w:ascii="仿宋" w:hAnsi="仿宋" w:eastAsia="仿宋" w:cs="仿宋"/>
                <w:color w:val="auto"/>
                <w:szCs w:val="21"/>
              </w:rPr>
              <w:t>资格/职称证书编号</w:t>
            </w:r>
          </w:p>
        </w:tc>
        <w:tc>
          <w:tcPr>
            <w:tcW w:w="3673" w:type="dxa"/>
            <w:gridSpan w:val="4"/>
            <w:vAlign w:val="center"/>
          </w:tcPr>
          <w:p w14:paraId="77E11785">
            <w:pPr>
              <w:jc w:val="center"/>
              <w:rPr>
                <w:rFonts w:hint="eastAsia" w:ascii="仿宋" w:hAnsi="仿宋" w:eastAsia="仿宋" w:cs="仿宋"/>
                <w:color w:val="auto"/>
                <w:szCs w:val="21"/>
              </w:rPr>
            </w:pPr>
          </w:p>
        </w:tc>
      </w:tr>
      <w:tr w14:paraId="0F5AB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7" w:hRule="atLeast"/>
          <w:jc w:val="center"/>
        </w:trPr>
        <w:tc>
          <w:tcPr>
            <w:tcW w:w="8994" w:type="dxa"/>
            <w:gridSpan w:val="11"/>
          </w:tcPr>
          <w:p w14:paraId="493FCA66">
            <w:pPr>
              <w:rPr>
                <w:rFonts w:hint="eastAsia" w:ascii="仿宋" w:hAnsi="仿宋" w:eastAsia="仿宋" w:cs="仿宋"/>
                <w:color w:val="auto"/>
                <w:szCs w:val="21"/>
              </w:rPr>
            </w:pPr>
            <w:r>
              <w:rPr>
                <w:rFonts w:hint="eastAsia" w:ascii="仿宋" w:hAnsi="仿宋" w:eastAsia="仿宋" w:cs="仿宋"/>
                <w:color w:val="auto"/>
                <w:szCs w:val="21"/>
              </w:rPr>
              <w:t>主要工作经历：</w:t>
            </w:r>
          </w:p>
        </w:tc>
      </w:tr>
      <w:tr w14:paraId="608FA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gridSpan w:val="2"/>
            <w:vAlign w:val="center"/>
          </w:tcPr>
          <w:p w14:paraId="1FEA6911">
            <w:pPr>
              <w:jc w:val="center"/>
              <w:rPr>
                <w:rFonts w:hint="eastAsia" w:ascii="仿宋" w:hAnsi="仿宋" w:eastAsia="仿宋" w:cs="仿宋"/>
                <w:color w:val="auto"/>
                <w:szCs w:val="21"/>
              </w:rPr>
            </w:pPr>
            <w:r>
              <w:rPr>
                <w:rFonts w:hint="eastAsia" w:ascii="仿宋" w:hAnsi="仿宋" w:eastAsia="仿宋" w:cs="仿宋"/>
                <w:color w:val="auto"/>
                <w:szCs w:val="21"/>
              </w:rPr>
              <w:t>序号</w:t>
            </w:r>
          </w:p>
        </w:tc>
        <w:tc>
          <w:tcPr>
            <w:tcW w:w="1625" w:type="dxa"/>
            <w:gridSpan w:val="2"/>
            <w:vAlign w:val="center"/>
          </w:tcPr>
          <w:p w14:paraId="0A581EB0">
            <w:pPr>
              <w:jc w:val="center"/>
              <w:rPr>
                <w:rFonts w:hint="eastAsia" w:ascii="仿宋" w:hAnsi="仿宋" w:eastAsia="仿宋" w:cs="仿宋"/>
                <w:color w:val="auto"/>
                <w:szCs w:val="21"/>
              </w:rPr>
            </w:pPr>
            <w:r>
              <w:rPr>
                <w:rFonts w:hint="eastAsia" w:ascii="仿宋" w:hAnsi="仿宋" w:eastAsia="仿宋" w:cs="仿宋"/>
                <w:color w:val="auto"/>
                <w:szCs w:val="21"/>
              </w:rPr>
              <w:t>主持（或参与）过的同类项目名称及规模</w:t>
            </w:r>
          </w:p>
        </w:tc>
        <w:tc>
          <w:tcPr>
            <w:tcW w:w="1435" w:type="dxa"/>
            <w:gridSpan w:val="2"/>
            <w:vAlign w:val="center"/>
          </w:tcPr>
          <w:p w14:paraId="74202C4E">
            <w:pPr>
              <w:jc w:val="center"/>
              <w:rPr>
                <w:rFonts w:hint="eastAsia" w:ascii="仿宋" w:hAnsi="仿宋" w:eastAsia="仿宋" w:cs="仿宋"/>
                <w:color w:val="auto"/>
                <w:szCs w:val="21"/>
              </w:rPr>
            </w:pPr>
            <w:r>
              <w:rPr>
                <w:rFonts w:hint="eastAsia" w:ascii="仿宋" w:hAnsi="仿宋" w:eastAsia="仿宋" w:cs="仿宋"/>
                <w:color w:val="auto"/>
                <w:szCs w:val="21"/>
              </w:rPr>
              <w:t>该项目中任职/岗位</w:t>
            </w:r>
          </w:p>
        </w:tc>
        <w:tc>
          <w:tcPr>
            <w:tcW w:w="2696" w:type="dxa"/>
            <w:gridSpan w:val="4"/>
            <w:vAlign w:val="center"/>
          </w:tcPr>
          <w:p w14:paraId="63D3CF48">
            <w:pPr>
              <w:jc w:val="center"/>
              <w:rPr>
                <w:rFonts w:hint="eastAsia" w:ascii="仿宋" w:hAnsi="仿宋" w:eastAsia="仿宋" w:cs="仿宋"/>
                <w:color w:val="auto"/>
                <w:szCs w:val="21"/>
              </w:rPr>
            </w:pPr>
            <w:r>
              <w:rPr>
                <w:rFonts w:hint="eastAsia" w:ascii="仿宋" w:hAnsi="仿宋" w:eastAsia="仿宋" w:cs="仿宋"/>
                <w:color w:val="auto"/>
                <w:szCs w:val="21"/>
              </w:rPr>
              <w:t>委托单位及联系人、联系电话</w:t>
            </w:r>
          </w:p>
        </w:tc>
        <w:tc>
          <w:tcPr>
            <w:tcW w:w="1870" w:type="dxa"/>
            <w:vAlign w:val="center"/>
          </w:tcPr>
          <w:p w14:paraId="1149CA97">
            <w:pPr>
              <w:jc w:val="center"/>
              <w:rPr>
                <w:rFonts w:hint="eastAsia" w:ascii="仿宋" w:hAnsi="仿宋" w:eastAsia="仿宋" w:cs="仿宋"/>
                <w:color w:val="auto"/>
                <w:szCs w:val="21"/>
              </w:rPr>
            </w:pPr>
            <w:r>
              <w:rPr>
                <w:rFonts w:hint="eastAsia" w:ascii="仿宋" w:hAnsi="仿宋" w:eastAsia="仿宋" w:cs="仿宋"/>
                <w:color w:val="auto"/>
                <w:szCs w:val="21"/>
              </w:rPr>
              <w:t>备注</w:t>
            </w:r>
          </w:p>
        </w:tc>
      </w:tr>
      <w:tr w14:paraId="22EBC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8" w:type="dxa"/>
            <w:gridSpan w:val="2"/>
            <w:vAlign w:val="center"/>
          </w:tcPr>
          <w:p w14:paraId="7E16308D">
            <w:pPr>
              <w:jc w:val="center"/>
              <w:rPr>
                <w:rFonts w:hint="eastAsia" w:ascii="仿宋" w:hAnsi="仿宋" w:eastAsia="仿宋" w:cs="仿宋"/>
                <w:color w:val="auto"/>
                <w:szCs w:val="21"/>
              </w:rPr>
            </w:pPr>
          </w:p>
        </w:tc>
        <w:tc>
          <w:tcPr>
            <w:tcW w:w="1625" w:type="dxa"/>
            <w:gridSpan w:val="2"/>
            <w:vAlign w:val="center"/>
          </w:tcPr>
          <w:p w14:paraId="5FA7719A">
            <w:pPr>
              <w:jc w:val="center"/>
              <w:rPr>
                <w:rFonts w:hint="eastAsia" w:ascii="仿宋" w:hAnsi="仿宋" w:eastAsia="仿宋" w:cs="仿宋"/>
                <w:color w:val="auto"/>
                <w:szCs w:val="21"/>
              </w:rPr>
            </w:pPr>
          </w:p>
        </w:tc>
        <w:tc>
          <w:tcPr>
            <w:tcW w:w="1435" w:type="dxa"/>
            <w:gridSpan w:val="2"/>
            <w:vAlign w:val="center"/>
          </w:tcPr>
          <w:p w14:paraId="41AF3AEF">
            <w:pPr>
              <w:jc w:val="center"/>
              <w:rPr>
                <w:rFonts w:hint="eastAsia" w:ascii="仿宋" w:hAnsi="仿宋" w:eastAsia="仿宋" w:cs="仿宋"/>
                <w:color w:val="auto"/>
                <w:szCs w:val="21"/>
              </w:rPr>
            </w:pPr>
          </w:p>
        </w:tc>
        <w:tc>
          <w:tcPr>
            <w:tcW w:w="2696" w:type="dxa"/>
            <w:gridSpan w:val="4"/>
            <w:vAlign w:val="center"/>
          </w:tcPr>
          <w:p w14:paraId="06D62F34">
            <w:pPr>
              <w:jc w:val="center"/>
              <w:rPr>
                <w:rFonts w:hint="eastAsia" w:ascii="仿宋" w:hAnsi="仿宋" w:eastAsia="仿宋" w:cs="仿宋"/>
                <w:color w:val="auto"/>
                <w:szCs w:val="21"/>
              </w:rPr>
            </w:pPr>
          </w:p>
        </w:tc>
        <w:tc>
          <w:tcPr>
            <w:tcW w:w="1870" w:type="dxa"/>
            <w:vAlign w:val="center"/>
          </w:tcPr>
          <w:p w14:paraId="5471CF46">
            <w:pPr>
              <w:jc w:val="center"/>
              <w:rPr>
                <w:rFonts w:hint="eastAsia" w:ascii="仿宋" w:hAnsi="仿宋" w:eastAsia="仿宋" w:cs="仿宋"/>
                <w:color w:val="auto"/>
                <w:szCs w:val="21"/>
              </w:rPr>
            </w:pPr>
          </w:p>
        </w:tc>
      </w:tr>
      <w:tr w14:paraId="0C18B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8" w:type="dxa"/>
            <w:gridSpan w:val="2"/>
            <w:vAlign w:val="center"/>
          </w:tcPr>
          <w:p w14:paraId="246EFC35">
            <w:pPr>
              <w:jc w:val="center"/>
              <w:rPr>
                <w:rFonts w:hint="eastAsia" w:ascii="仿宋" w:hAnsi="仿宋" w:eastAsia="仿宋" w:cs="仿宋"/>
                <w:color w:val="auto"/>
                <w:szCs w:val="21"/>
              </w:rPr>
            </w:pPr>
          </w:p>
        </w:tc>
        <w:tc>
          <w:tcPr>
            <w:tcW w:w="1625" w:type="dxa"/>
            <w:gridSpan w:val="2"/>
            <w:vAlign w:val="center"/>
          </w:tcPr>
          <w:p w14:paraId="0A95E8BA">
            <w:pPr>
              <w:jc w:val="center"/>
              <w:rPr>
                <w:rFonts w:hint="eastAsia" w:ascii="仿宋" w:hAnsi="仿宋" w:eastAsia="仿宋" w:cs="仿宋"/>
                <w:color w:val="auto"/>
                <w:szCs w:val="21"/>
              </w:rPr>
            </w:pPr>
          </w:p>
        </w:tc>
        <w:tc>
          <w:tcPr>
            <w:tcW w:w="1435" w:type="dxa"/>
            <w:gridSpan w:val="2"/>
            <w:vAlign w:val="center"/>
          </w:tcPr>
          <w:p w14:paraId="58ACE7AC">
            <w:pPr>
              <w:jc w:val="center"/>
              <w:rPr>
                <w:rFonts w:hint="eastAsia" w:ascii="仿宋" w:hAnsi="仿宋" w:eastAsia="仿宋" w:cs="仿宋"/>
                <w:color w:val="auto"/>
                <w:szCs w:val="21"/>
              </w:rPr>
            </w:pPr>
          </w:p>
        </w:tc>
        <w:tc>
          <w:tcPr>
            <w:tcW w:w="2696" w:type="dxa"/>
            <w:gridSpan w:val="4"/>
            <w:vAlign w:val="center"/>
          </w:tcPr>
          <w:p w14:paraId="751A08D3">
            <w:pPr>
              <w:jc w:val="center"/>
              <w:rPr>
                <w:rFonts w:hint="eastAsia" w:ascii="仿宋" w:hAnsi="仿宋" w:eastAsia="仿宋" w:cs="仿宋"/>
                <w:color w:val="auto"/>
                <w:szCs w:val="21"/>
              </w:rPr>
            </w:pPr>
          </w:p>
        </w:tc>
        <w:tc>
          <w:tcPr>
            <w:tcW w:w="1870" w:type="dxa"/>
            <w:vAlign w:val="center"/>
          </w:tcPr>
          <w:p w14:paraId="049BE553">
            <w:pPr>
              <w:jc w:val="center"/>
              <w:rPr>
                <w:rFonts w:hint="eastAsia" w:ascii="仿宋" w:hAnsi="仿宋" w:eastAsia="仿宋" w:cs="仿宋"/>
                <w:color w:val="auto"/>
                <w:szCs w:val="21"/>
              </w:rPr>
            </w:pPr>
          </w:p>
        </w:tc>
      </w:tr>
      <w:tr w14:paraId="39F6A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8" w:type="dxa"/>
            <w:gridSpan w:val="2"/>
            <w:vAlign w:val="center"/>
          </w:tcPr>
          <w:p w14:paraId="10ECA6DB">
            <w:pPr>
              <w:jc w:val="center"/>
              <w:rPr>
                <w:rFonts w:hint="eastAsia" w:ascii="仿宋" w:hAnsi="仿宋" w:eastAsia="仿宋" w:cs="仿宋"/>
                <w:color w:val="auto"/>
                <w:szCs w:val="21"/>
              </w:rPr>
            </w:pPr>
          </w:p>
        </w:tc>
        <w:tc>
          <w:tcPr>
            <w:tcW w:w="1625" w:type="dxa"/>
            <w:gridSpan w:val="2"/>
            <w:vAlign w:val="center"/>
          </w:tcPr>
          <w:p w14:paraId="14CFCE7B">
            <w:pPr>
              <w:jc w:val="center"/>
              <w:rPr>
                <w:rFonts w:hint="eastAsia" w:ascii="仿宋" w:hAnsi="仿宋" w:eastAsia="仿宋" w:cs="仿宋"/>
                <w:color w:val="auto"/>
                <w:szCs w:val="21"/>
              </w:rPr>
            </w:pPr>
          </w:p>
        </w:tc>
        <w:tc>
          <w:tcPr>
            <w:tcW w:w="1435" w:type="dxa"/>
            <w:gridSpan w:val="2"/>
            <w:vAlign w:val="center"/>
          </w:tcPr>
          <w:p w14:paraId="7ADBD610">
            <w:pPr>
              <w:jc w:val="center"/>
              <w:rPr>
                <w:rFonts w:hint="eastAsia" w:ascii="仿宋" w:hAnsi="仿宋" w:eastAsia="仿宋" w:cs="仿宋"/>
                <w:color w:val="auto"/>
                <w:szCs w:val="21"/>
              </w:rPr>
            </w:pPr>
          </w:p>
        </w:tc>
        <w:tc>
          <w:tcPr>
            <w:tcW w:w="2696" w:type="dxa"/>
            <w:gridSpan w:val="4"/>
            <w:vAlign w:val="center"/>
          </w:tcPr>
          <w:p w14:paraId="2E0D5E08">
            <w:pPr>
              <w:jc w:val="center"/>
              <w:rPr>
                <w:rFonts w:hint="eastAsia" w:ascii="仿宋" w:hAnsi="仿宋" w:eastAsia="仿宋" w:cs="仿宋"/>
                <w:color w:val="auto"/>
                <w:szCs w:val="21"/>
              </w:rPr>
            </w:pPr>
          </w:p>
        </w:tc>
        <w:tc>
          <w:tcPr>
            <w:tcW w:w="1870" w:type="dxa"/>
            <w:vAlign w:val="center"/>
          </w:tcPr>
          <w:p w14:paraId="19A9136F">
            <w:pPr>
              <w:jc w:val="center"/>
              <w:rPr>
                <w:rFonts w:hint="eastAsia" w:ascii="仿宋" w:hAnsi="仿宋" w:eastAsia="仿宋" w:cs="仿宋"/>
                <w:color w:val="auto"/>
                <w:szCs w:val="21"/>
              </w:rPr>
            </w:pPr>
          </w:p>
        </w:tc>
      </w:tr>
    </w:tbl>
    <w:p w14:paraId="04AB543F">
      <w:pPr>
        <w:ind w:firstLine="420" w:firstLineChars="200"/>
        <w:rPr>
          <w:rFonts w:hint="eastAsia" w:ascii="仿宋" w:hAnsi="仿宋" w:eastAsia="仿宋" w:cs="仿宋"/>
          <w:b/>
          <w:color w:val="auto"/>
          <w:szCs w:val="21"/>
        </w:rPr>
      </w:pPr>
    </w:p>
    <w:p w14:paraId="04C75DDD">
      <w:pPr>
        <w:spacing w:line="400" w:lineRule="exact"/>
        <w:rPr>
          <w:rFonts w:hint="eastAsia" w:ascii="仿宋" w:hAnsi="仿宋" w:eastAsia="仿宋" w:cs="仿宋"/>
          <w:color w:val="auto"/>
          <w:szCs w:val="21"/>
        </w:rPr>
      </w:pPr>
      <w:r>
        <w:rPr>
          <w:rFonts w:hint="eastAsia" w:ascii="仿宋" w:hAnsi="仿宋" w:eastAsia="仿宋" w:cs="仿宋"/>
          <w:b/>
          <w:color w:val="auto"/>
          <w:szCs w:val="21"/>
        </w:rPr>
        <w:t>注：列入本表人员需提供的证明材料以资信技术评分标准要求为准</w:t>
      </w:r>
      <w:r>
        <w:rPr>
          <w:rFonts w:hint="eastAsia" w:ascii="仿宋" w:hAnsi="仿宋" w:eastAsia="仿宋" w:cs="仿宋"/>
          <w:b/>
          <w:color w:val="auto"/>
          <w:szCs w:val="21"/>
          <w:lang w:eastAsia="zh-CN"/>
        </w:rPr>
        <w:t>（如有）</w:t>
      </w:r>
      <w:r>
        <w:rPr>
          <w:rFonts w:hint="eastAsia" w:ascii="仿宋" w:hAnsi="仿宋" w:eastAsia="仿宋" w:cs="仿宋"/>
          <w:b/>
          <w:color w:val="auto"/>
        </w:rPr>
        <w:t>。</w:t>
      </w:r>
    </w:p>
    <w:p w14:paraId="5A42BAD8">
      <w:pPr>
        <w:pStyle w:val="26"/>
        <w:rPr>
          <w:rFonts w:hint="eastAsia" w:ascii="仿宋" w:hAnsi="仿宋" w:eastAsia="仿宋" w:cs="仿宋"/>
          <w:color w:val="auto"/>
          <w:szCs w:val="21"/>
        </w:rPr>
      </w:pPr>
    </w:p>
    <w:p w14:paraId="37E95F1F">
      <w:pPr>
        <w:pStyle w:val="26"/>
        <w:rPr>
          <w:rFonts w:hint="eastAsia" w:ascii="仿宋" w:hAnsi="仿宋" w:eastAsia="仿宋" w:cs="仿宋"/>
          <w:color w:val="auto"/>
          <w:szCs w:val="21"/>
        </w:rPr>
      </w:pPr>
      <w:r>
        <w:rPr>
          <w:rFonts w:hint="eastAsia" w:ascii="仿宋" w:hAnsi="仿宋" w:eastAsia="仿宋" w:cs="仿宋"/>
          <w:color w:val="auto"/>
          <w:szCs w:val="21"/>
        </w:rPr>
        <w:t>投标人名称（盖章） ：</w:t>
      </w:r>
      <w:r>
        <w:rPr>
          <w:rFonts w:hint="eastAsia" w:ascii="仿宋" w:hAnsi="仿宋" w:eastAsia="仿宋" w:cs="仿宋"/>
          <w:color w:val="auto"/>
          <w:szCs w:val="21"/>
          <w:u w:val="single"/>
        </w:rPr>
        <w:t xml:space="preserve">                               </w:t>
      </w:r>
    </w:p>
    <w:p w14:paraId="02F031E5">
      <w:pPr>
        <w:pStyle w:val="26"/>
        <w:rPr>
          <w:rFonts w:hint="eastAsia" w:ascii="仿宋" w:hAnsi="仿宋" w:eastAsia="仿宋" w:cs="仿宋"/>
          <w:color w:val="auto"/>
          <w:szCs w:val="21"/>
        </w:rPr>
      </w:pPr>
    </w:p>
    <w:p w14:paraId="6025E7F8">
      <w:pPr>
        <w:pStyle w:val="26"/>
        <w:rPr>
          <w:rFonts w:hint="eastAsia" w:ascii="仿宋" w:hAnsi="仿宋" w:eastAsia="仿宋" w:cs="仿宋"/>
          <w:color w:val="auto"/>
          <w:szCs w:val="21"/>
        </w:rPr>
      </w:pPr>
    </w:p>
    <w:p w14:paraId="09B684A0">
      <w:pPr>
        <w:pStyle w:val="26"/>
        <w:rPr>
          <w:rFonts w:hint="eastAsia" w:ascii="仿宋" w:hAnsi="仿宋" w:eastAsia="仿宋" w:cs="仿宋"/>
          <w:color w:val="auto"/>
          <w:szCs w:val="21"/>
        </w:rPr>
      </w:pPr>
      <w:r>
        <w:rPr>
          <w:rFonts w:hint="eastAsia" w:ascii="仿宋" w:hAnsi="仿宋" w:eastAsia="仿宋" w:cs="仿宋"/>
          <w:color w:val="auto"/>
          <w:szCs w:val="21"/>
        </w:rPr>
        <w:t>日期：   年   月   日</w:t>
      </w:r>
    </w:p>
    <w:p w14:paraId="1B47C352">
      <w:pPr>
        <w:pStyle w:val="42"/>
        <w:rPr>
          <w:rFonts w:hint="eastAsia" w:ascii="仿宋" w:hAnsi="仿宋" w:eastAsia="仿宋" w:cs="仿宋"/>
          <w:color w:val="auto"/>
          <w:szCs w:val="21"/>
        </w:rPr>
      </w:pPr>
    </w:p>
    <w:p w14:paraId="5DB384AB">
      <w:pPr>
        <w:rPr>
          <w:rFonts w:hint="eastAsia"/>
        </w:rPr>
      </w:pPr>
      <w:r>
        <w:rPr>
          <w:rFonts w:hint="eastAsia"/>
        </w:rPr>
        <w:br w:type="page"/>
      </w:r>
    </w:p>
    <w:p w14:paraId="05772609">
      <w:pPr>
        <w:spacing w:line="600" w:lineRule="exact"/>
        <w:jc w:val="left"/>
        <w:rPr>
          <w:rFonts w:hint="eastAsia" w:ascii="仿宋" w:hAnsi="仿宋" w:eastAsia="仿宋" w:cs="仿宋"/>
          <w:b/>
          <w:color w:val="auto"/>
          <w:szCs w:val="21"/>
          <w:lang w:val="en-US" w:eastAsia="zh-CN"/>
        </w:rPr>
      </w:pPr>
      <w:r>
        <w:rPr>
          <w:rFonts w:hint="eastAsia" w:ascii="仿宋" w:hAnsi="仿宋" w:eastAsia="仿宋" w:cs="仿宋"/>
          <w:b/>
          <w:color w:val="auto"/>
          <w:szCs w:val="21"/>
        </w:rPr>
        <w:t>附件</w:t>
      </w:r>
      <w:r>
        <w:rPr>
          <w:rFonts w:hint="eastAsia" w:ascii="仿宋" w:hAnsi="仿宋" w:eastAsia="仿宋" w:cs="仿宋"/>
          <w:b/>
          <w:color w:val="auto"/>
          <w:szCs w:val="21"/>
          <w:lang w:val="en-US" w:eastAsia="zh-CN"/>
        </w:rPr>
        <w:t>7</w:t>
      </w:r>
    </w:p>
    <w:p w14:paraId="2635EA89">
      <w:pPr>
        <w:spacing w:line="600" w:lineRule="exact"/>
        <w:jc w:val="center"/>
        <w:rPr>
          <w:rFonts w:hint="eastAsia" w:ascii="仿宋" w:hAnsi="仿宋" w:eastAsia="仿宋" w:cs="仿宋"/>
          <w:b/>
          <w:sz w:val="28"/>
          <w:szCs w:val="28"/>
        </w:rPr>
      </w:pPr>
      <w:r>
        <w:rPr>
          <w:rFonts w:hint="eastAsia" w:ascii="仿宋" w:hAnsi="仿宋" w:eastAsia="仿宋" w:cs="仿宋"/>
          <w:b/>
          <w:sz w:val="28"/>
          <w:szCs w:val="28"/>
        </w:rPr>
        <w:t>项目实施人员一览表</w:t>
      </w: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
        <w:gridCol w:w="1320"/>
        <w:gridCol w:w="1510"/>
        <w:gridCol w:w="1884"/>
        <w:gridCol w:w="1884"/>
        <w:gridCol w:w="1882"/>
      </w:tblGrid>
      <w:tr w14:paraId="10178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756" w:type="dxa"/>
            <w:noWrap w:val="0"/>
            <w:vAlign w:val="center"/>
          </w:tcPr>
          <w:p w14:paraId="60480DF0">
            <w:pPr>
              <w:pStyle w:val="26"/>
              <w:jc w:val="center"/>
              <w:rPr>
                <w:rFonts w:hint="eastAsia" w:ascii="仿宋" w:hAnsi="仿宋" w:eastAsia="仿宋" w:cs="仿宋"/>
                <w:szCs w:val="21"/>
                <w:lang w:val="en-US" w:eastAsia="zh-CN"/>
              </w:rPr>
            </w:pPr>
            <w:r>
              <w:rPr>
                <w:rFonts w:hint="eastAsia" w:ascii="仿宋" w:hAnsi="仿宋" w:eastAsia="仿宋" w:cs="仿宋"/>
                <w:szCs w:val="21"/>
                <w:lang w:val="en-US" w:eastAsia="zh-CN"/>
              </w:rPr>
              <w:t>序号</w:t>
            </w:r>
          </w:p>
        </w:tc>
        <w:tc>
          <w:tcPr>
            <w:tcW w:w="1320" w:type="dxa"/>
            <w:noWrap w:val="0"/>
            <w:vAlign w:val="center"/>
          </w:tcPr>
          <w:p w14:paraId="76883BD5">
            <w:pPr>
              <w:pStyle w:val="26"/>
              <w:jc w:val="center"/>
              <w:rPr>
                <w:rFonts w:hint="eastAsia" w:ascii="仿宋" w:hAnsi="仿宋" w:eastAsia="仿宋" w:cs="仿宋"/>
                <w:szCs w:val="21"/>
                <w:lang w:val="en-US" w:eastAsia="zh-CN"/>
              </w:rPr>
            </w:pPr>
            <w:r>
              <w:rPr>
                <w:rFonts w:hint="eastAsia" w:ascii="仿宋" w:hAnsi="仿宋" w:eastAsia="仿宋" w:cs="仿宋"/>
                <w:szCs w:val="21"/>
                <w:lang w:val="en-US" w:eastAsia="zh-CN"/>
              </w:rPr>
              <w:t>姓名</w:t>
            </w:r>
          </w:p>
        </w:tc>
        <w:tc>
          <w:tcPr>
            <w:tcW w:w="1510" w:type="dxa"/>
            <w:noWrap w:val="0"/>
            <w:vAlign w:val="center"/>
          </w:tcPr>
          <w:p w14:paraId="30ADC752">
            <w:pPr>
              <w:pStyle w:val="26"/>
              <w:jc w:val="center"/>
              <w:rPr>
                <w:rFonts w:hint="eastAsia" w:ascii="仿宋" w:hAnsi="仿宋" w:eastAsia="仿宋" w:cs="仿宋"/>
                <w:szCs w:val="21"/>
                <w:lang w:val="en-US" w:eastAsia="zh-CN"/>
              </w:rPr>
            </w:pPr>
            <w:r>
              <w:rPr>
                <w:rFonts w:hint="eastAsia" w:ascii="仿宋" w:hAnsi="仿宋" w:eastAsia="仿宋" w:cs="仿宋"/>
                <w:szCs w:val="21"/>
                <w:lang w:val="en-US" w:eastAsia="zh-CN"/>
              </w:rPr>
              <w:t>学历/专业</w:t>
            </w:r>
          </w:p>
        </w:tc>
        <w:tc>
          <w:tcPr>
            <w:tcW w:w="1884" w:type="dxa"/>
            <w:noWrap w:val="0"/>
            <w:vAlign w:val="center"/>
          </w:tcPr>
          <w:p w14:paraId="6C00F16D">
            <w:pPr>
              <w:pStyle w:val="26"/>
              <w:jc w:val="center"/>
              <w:rPr>
                <w:rFonts w:hint="eastAsia" w:ascii="仿宋" w:hAnsi="仿宋" w:eastAsia="仿宋" w:cs="仿宋"/>
                <w:szCs w:val="21"/>
                <w:lang w:val="en-US" w:eastAsia="zh-CN"/>
              </w:rPr>
            </w:pPr>
            <w:r>
              <w:rPr>
                <w:rFonts w:hint="eastAsia" w:ascii="仿宋" w:hAnsi="仿宋" w:eastAsia="仿宋" w:cs="仿宋"/>
                <w:szCs w:val="21"/>
              </w:rPr>
              <w:t>职业资格/职称</w:t>
            </w:r>
          </w:p>
        </w:tc>
        <w:tc>
          <w:tcPr>
            <w:tcW w:w="1884" w:type="dxa"/>
            <w:noWrap w:val="0"/>
            <w:vAlign w:val="center"/>
          </w:tcPr>
          <w:p w14:paraId="04C24D83">
            <w:pPr>
              <w:jc w:val="center"/>
              <w:rPr>
                <w:rFonts w:hint="eastAsia" w:ascii="仿宋" w:hAnsi="仿宋" w:eastAsia="仿宋" w:cs="仿宋"/>
                <w:szCs w:val="21"/>
              </w:rPr>
            </w:pPr>
            <w:r>
              <w:rPr>
                <w:rFonts w:hint="eastAsia" w:ascii="仿宋" w:hAnsi="仿宋" w:eastAsia="仿宋" w:cs="仿宋"/>
                <w:szCs w:val="21"/>
              </w:rPr>
              <w:t>主要工作经历及年限</w:t>
            </w:r>
          </w:p>
        </w:tc>
        <w:tc>
          <w:tcPr>
            <w:tcW w:w="1882" w:type="dxa"/>
            <w:noWrap w:val="0"/>
            <w:vAlign w:val="center"/>
          </w:tcPr>
          <w:p w14:paraId="1D77B845">
            <w:pPr>
              <w:jc w:val="center"/>
              <w:rPr>
                <w:rFonts w:hint="eastAsia" w:ascii="仿宋" w:hAnsi="仿宋" w:eastAsia="仿宋" w:cs="仿宋"/>
                <w:szCs w:val="21"/>
              </w:rPr>
            </w:pPr>
            <w:r>
              <w:rPr>
                <w:rFonts w:hint="eastAsia" w:ascii="仿宋" w:hAnsi="仿宋" w:eastAsia="仿宋" w:cs="仿宋"/>
                <w:szCs w:val="21"/>
              </w:rPr>
              <w:t>本项目拟任岗位</w:t>
            </w:r>
          </w:p>
        </w:tc>
      </w:tr>
      <w:tr w14:paraId="570CD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756" w:type="dxa"/>
            <w:noWrap w:val="0"/>
            <w:vAlign w:val="center"/>
          </w:tcPr>
          <w:p w14:paraId="10FBD8DE">
            <w:pPr>
              <w:jc w:val="center"/>
              <w:rPr>
                <w:rFonts w:hint="eastAsia" w:ascii="仿宋" w:hAnsi="仿宋" w:eastAsia="仿宋" w:cs="仿宋"/>
                <w:szCs w:val="21"/>
              </w:rPr>
            </w:pPr>
          </w:p>
        </w:tc>
        <w:tc>
          <w:tcPr>
            <w:tcW w:w="1320" w:type="dxa"/>
            <w:noWrap w:val="0"/>
            <w:vAlign w:val="center"/>
          </w:tcPr>
          <w:p w14:paraId="744EC60C">
            <w:pPr>
              <w:jc w:val="center"/>
              <w:rPr>
                <w:rFonts w:hint="eastAsia" w:ascii="仿宋" w:hAnsi="仿宋" w:eastAsia="仿宋" w:cs="仿宋"/>
                <w:szCs w:val="21"/>
              </w:rPr>
            </w:pPr>
          </w:p>
        </w:tc>
        <w:tc>
          <w:tcPr>
            <w:tcW w:w="1510" w:type="dxa"/>
            <w:noWrap w:val="0"/>
            <w:vAlign w:val="center"/>
          </w:tcPr>
          <w:p w14:paraId="090C7643">
            <w:pPr>
              <w:jc w:val="center"/>
              <w:rPr>
                <w:rFonts w:hint="eastAsia" w:ascii="仿宋" w:hAnsi="仿宋" w:eastAsia="仿宋" w:cs="仿宋"/>
                <w:szCs w:val="21"/>
              </w:rPr>
            </w:pPr>
          </w:p>
        </w:tc>
        <w:tc>
          <w:tcPr>
            <w:tcW w:w="1884" w:type="dxa"/>
            <w:noWrap w:val="0"/>
            <w:vAlign w:val="center"/>
          </w:tcPr>
          <w:p w14:paraId="10D2026E">
            <w:pPr>
              <w:jc w:val="center"/>
              <w:rPr>
                <w:rFonts w:hint="eastAsia" w:ascii="仿宋" w:hAnsi="仿宋" w:eastAsia="仿宋" w:cs="仿宋"/>
                <w:szCs w:val="21"/>
              </w:rPr>
            </w:pPr>
          </w:p>
        </w:tc>
        <w:tc>
          <w:tcPr>
            <w:tcW w:w="1884" w:type="dxa"/>
            <w:noWrap w:val="0"/>
            <w:vAlign w:val="center"/>
          </w:tcPr>
          <w:p w14:paraId="47F6503B">
            <w:pPr>
              <w:jc w:val="center"/>
              <w:rPr>
                <w:rFonts w:hint="eastAsia" w:ascii="仿宋" w:hAnsi="仿宋" w:eastAsia="仿宋" w:cs="仿宋"/>
                <w:szCs w:val="21"/>
              </w:rPr>
            </w:pPr>
          </w:p>
        </w:tc>
        <w:tc>
          <w:tcPr>
            <w:tcW w:w="1882" w:type="dxa"/>
            <w:noWrap w:val="0"/>
            <w:vAlign w:val="center"/>
          </w:tcPr>
          <w:p w14:paraId="2640F0B2">
            <w:pPr>
              <w:jc w:val="center"/>
              <w:rPr>
                <w:rFonts w:hint="eastAsia" w:ascii="仿宋" w:hAnsi="仿宋" w:eastAsia="仿宋" w:cs="仿宋"/>
                <w:szCs w:val="21"/>
              </w:rPr>
            </w:pPr>
          </w:p>
        </w:tc>
      </w:tr>
      <w:tr w14:paraId="4580D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756" w:type="dxa"/>
            <w:noWrap w:val="0"/>
            <w:vAlign w:val="center"/>
          </w:tcPr>
          <w:p w14:paraId="6E825E42">
            <w:pPr>
              <w:jc w:val="center"/>
              <w:rPr>
                <w:rFonts w:hint="eastAsia" w:ascii="仿宋" w:hAnsi="仿宋" w:eastAsia="仿宋" w:cs="仿宋"/>
                <w:szCs w:val="21"/>
              </w:rPr>
            </w:pPr>
          </w:p>
        </w:tc>
        <w:tc>
          <w:tcPr>
            <w:tcW w:w="1320" w:type="dxa"/>
            <w:noWrap w:val="0"/>
            <w:vAlign w:val="center"/>
          </w:tcPr>
          <w:p w14:paraId="56557A8F">
            <w:pPr>
              <w:jc w:val="center"/>
              <w:rPr>
                <w:rFonts w:hint="eastAsia" w:ascii="仿宋" w:hAnsi="仿宋" w:eastAsia="仿宋" w:cs="仿宋"/>
                <w:szCs w:val="21"/>
              </w:rPr>
            </w:pPr>
          </w:p>
        </w:tc>
        <w:tc>
          <w:tcPr>
            <w:tcW w:w="1510" w:type="dxa"/>
            <w:noWrap w:val="0"/>
            <w:vAlign w:val="center"/>
          </w:tcPr>
          <w:p w14:paraId="0B2E561F">
            <w:pPr>
              <w:jc w:val="center"/>
              <w:rPr>
                <w:rFonts w:hint="eastAsia" w:ascii="仿宋" w:hAnsi="仿宋" w:eastAsia="仿宋" w:cs="仿宋"/>
                <w:szCs w:val="21"/>
              </w:rPr>
            </w:pPr>
          </w:p>
        </w:tc>
        <w:tc>
          <w:tcPr>
            <w:tcW w:w="1884" w:type="dxa"/>
            <w:noWrap w:val="0"/>
            <w:vAlign w:val="center"/>
          </w:tcPr>
          <w:p w14:paraId="6E4F858F">
            <w:pPr>
              <w:jc w:val="center"/>
              <w:rPr>
                <w:rFonts w:hint="eastAsia" w:ascii="仿宋" w:hAnsi="仿宋" w:eastAsia="仿宋" w:cs="仿宋"/>
                <w:szCs w:val="21"/>
              </w:rPr>
            </w:pPr>
          </w:p>
        </w:tc>
        <w:tc>
          <w:tcPr>
            <w:tcW w:w="1884" w:type="dxa"/>
            <w:noWrap w:val="0"/>
            <w:vAlign w:val="center"/>
          </w:tcPr>
          <w:p w14:paraId="12002336">
            <w:pPr>
              <w:jc w:val="center"/>
              <w:rPr>
                <w:rFonts w:hint="eastAsia" w:ascii="仿宋" w:hAnsi="仿宋" w:eastAsia="仿宋" w:cs="仿宋"/>
                <w:szCs w:val="21"/>
              </w:rPr>
            </w:pPr>
          </w:p>
        </w:tc>
        <w:tc>
          <w:tcPr>
            <w:tcW w:w="1882" w:type="dxa"/>
            <w:noWrap w:val="0"/>
            <w:vAlign w:val="center"/>
          </w:tcPr>
          <w:p w14:paraId="3A41746B">
            <w:pPr>
              <w:jc w:val="center"/>
              <w:rPr>
                <w:rFonts w:hint="eastAsia" w:ascii="仿宋" w:hAnsi="仿宋" w:eastAsia="仿宋" w:cs="仿宋"/>
                <w:szCs w:val="21"/>
              </w:rPr>
            </w:pPr>
          </w:p>
        </w:tc>
      </w:tr>
      <w:tr w14:paraId="637D4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756" w:type="dxa"/>
            <w:noWrap w:val="0"/>
            <w:vAlign w:val="center"/>
          </w:tcPr>
          <w:p w14:paraId="090F7C57">
            <w:pPr>
              <w:jc w:val="center"/>
              <w:rPr>
                <w:rFonts w:hint="eastAsia" w:ascii="仿宋" w:hAnsi="仿宋" w:eastAsia="仿宋" w:cs="仿宋"/>
                <w:szCs w:val="21"/>
              </w:rPr>
            </w:pPr>
          </w:p>
        </w:tc>
        <w:tc>
          <w:tcPr>
            <w:tcW w:w="1320" w:type="dxa"/>
            <w:noWrap w:val="0"/>
            <w:vAlign w:val="center"/>
          </w:tcPr>
          <w:p w14:paraId="4FB49278">
            <w:pPr>
              <w:jc w:val="center"/>
              <w:rPr>
                <w:rFonts w:hint="eastAsia" w:ascii="仿宋" w:hAnsi="仿宋" w:eastAsia="仿宋" w:cs="仿宋"/>
                <w:szCs w:val="21"/>
              </w:rPr>
            </w:pPr>
          </w:p>
        </w:tc>
        <w:tc>
          <w:tcPr>
            <w:tcW w:w="1510" w:type="dxa"/>
            <w:noWrap w:val="0"/>
            <w:vAlign w:val="center"/>
          </w:tcPr>
          <w:p w14:paraId="4C540751">
            <w:pPr>
              <w:jc w:val="center"/>
              <w:rPr>
                <w:rFonts w:hint="eastAsia" w:ascii="仿宋" w:hAnsi="仿宋" w:eastAsia="仿宋" w:cs="仿宋"/>
                <w:szCs w:val="21"/>
              </w:rPr>
            </w:pPr>
          </w:p>
        </w:tc>
        <w:tc>
          <w:tcPr>
            <w:tcW w:w="1884" w:type="dxa"/>
            <w:noWrap w:val="0"/>
            <w:vAlign w:val="center"/>
          </w:tcPr>
          <w:p w14:paraId="227626ED">
            <w:pPr>
              <w:jc w:val="center"/>
              <w:rPr>
                <w:rFonts w:hint="eastAsia" w:ascii="仿宋" w:hAnsi="仿宋" w:eastAsia="仿宋" w:cs="仿宋"/>
                <w:szCs w:val="21"/>
              </w:rPr>
            </w:pPr>
          </w:p>
        </w:tc>
        <w:tc>
          <w:tcPr>
            <w:tcW w:w="1884" w:type="dxa"/>
            <w:noWrap w:val="0"/>
            <w:vAlign w:val="center"/>
          </w:tcPr>
          <w:p w14:paraId="3D66B7FB">
            <w:pPr>
              <w:jc w:val="center"/>
              <w:rPr>
                <w:rFonts w:hint="eastAsia" w:ascii="仿宋" w:hAnsi="仿宋" w:eastAsia="仿宋" w:cs="仿宋"/>
                <w:szCs w:val="21"/>
              </w:rPr>
            </w:pPr>
          </w:p>
        </w:tc>
        <w:tc>
          <w:tcPr>
            <w:tcW w:w="1882" w:type="dxa"/>
            <w:noWrap w:val="0"/>
            <w:vAlign w:val="center"/>
          </w:tcPr>
          <w:p w14:paraId="7BFE6854">
            <w:pPr>
              <w:jc w:val="center"/>
              <w:rPr>
                <w:rFonts w:hint="eastAsia" w:ascii="仿宋" w:hAnsi="仿宋" w:eastAsia="仿宋" w:cs="仿宋"/>
                <w:szCs w:val="21"/>
              </w:rPr>
            </w:pPr>
          </w:p>
        </w:tc>
      </w:tr>
      <w:tr w14:paraId="7946E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756" w:type="dxa"/>
            <w:noWrap w:val="0"/>
            <w:vAlign w:val="center"/>
          </w:tcPr>
          <w:p w14:paraId="6662E22A">
            <w:pPr>
              <w:jc w:val="center"/>
              <w:rPr>
                <w:rFonts w:hint="eastAsia" w:ascii="仿宋" w:hAnsi="仿宋" w:eastAsia="仿宋" w:cs="仿宋"/>
                <w:szCs w:val="21"/>
              </w:rPr>
            </w:pPr>
          </w:p>
        </w:tc>
        <w:tc>
          <w:tcPr>
            <w:tcW w:w="1320" w:type="dxa"/>
            <w:noWrap w:val="0"/>
            <w:vAlign w:val="center"/>
          </w:tcPr>
          <w:p w14:paraId="55039D7D">
            <w:pPr>
              <w:jc w:val="center"/>
              <w:rPr>
                <w:rFonts w:hint="eastAsia" w:ascii="仿宋" w:hAnsi="仿宋" w:eastAsia="仿宋" w:cs="仿宋"/>
                <w:szCs w:val="21"/>
              </w:rPr>
            </w:pPr>
          </w:p>
        </w:tc>
        <w:tc>
          <w:tcPr>
            <w:tcW w:w="1510" w:type="dxa"/>
            <w:noWrap w:val="0"/>
            <w:vAlign w:val="center"/>
          </w:tcPr>
          <w:p w14:paraId="02A605B9">
            <w:pPr>
              <w:jc w:val="center"/>
              <w:rPr>
                <w:rFonts w:hint="eastAsia" w:ascii="仿宋" w:hAnsi="仿宋" w:eastAsia="仿宋" w:cs="仿宋"/>
                <w:szCs w:val="21"/>
              </w:rPr>
            </w:pPr>
          </w:p>
        </w:tc>
        <w:tc>
          <w:tcPr>
            <w:tcW w:w="1884" w:type="dxa"/>
            <w:noWrap w:val="0"/>
            <w:vAlign w:val="center"/>
          </w:tcPr>
          <w:p w14:paraId="094E4585">
            <w:pPr>
              <w:jc w:val="center"/>
              <w:rPr>
                <w:rFonts w:hint="eastAsia" w:ascii="仿宋" w:hAnsi="仿宋" w:eastAsia="仿宋" w:cs="仿宋"/>
                <w:szCs w:val="21"/>
              </w:rPr>
            </w:pPr>
          </w:p>
        </w:tc>
        <w:tc>
          <w:tcPr>
            <w:tcW w:w="1884" w:type="dxa"/>
            <w:noWrap w:val="0"/>
            <w:vAlign w:val="center"/>
          </w:tcPr>
          <w:p w14:paraId="49C3AAAE">
            <w:pPr>
              <w:jc w:val="center"/>
              <w:rPr>
                <w:rFonts w:hint="eastAsia" w:ascii="仿宋" w:hAnsi="仿宋" w:eastAsia="仿宋" w:cs="仿宋"/>
                <w:szCs w:val="21"/>
              </w:rPr>
            </w:pPr>
          </w:p>
        </w:tc>
        <w:tc>
          <w:tcPr>
            <w:tcW w:w="1882" w:type="dxa"/>
            <w:noWrap w:val="0"/>
            <w:vAlign w:val="center"/>
          </w:tcPr>
          <w:p w14:paraId="13BFD5EC">
            <w:pPr>
              <w:jc w:val="center"/>
              <w:rPr>
                <w:rFonts w:hint="eastAsia" w:ascii="仿宋" w:hAnsi="仿宋" w:eastAsia="仿宋" w:cs="仿宋"/>
                <w:szCs w:val="21"/>
              </w:rPr>
            </w:pPr>
          </w:p>
        </w:tc>
      </w:tr>
      <w:tr w14:paraId="3243A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756" w:type="dxa"/>
            <w:noWrap w:val="0"/>
            <w:vAlign w:val="center"/>
          </w:tcPr>
          <w:p w14:paraId="025905B0">
            <w:pPr>
              <w:jc w:val="center"/>
              <w:rPr>
                <w:rFonts w:hint="eastAsia" w:ascii="仿宋" w:hAnsi="仿宋" w:eastAsia="仿宋" w:cs="仿宋"/>
                <w:szCs w:val="21"/>
              </w:rPr>
            </w:pPr>
          </w:p>
        </w:tc>
        <w:tc>
          <w:tcPr>
            <w:tcW w:w="1320" w:type="dxa"/>
            <w:noWrap w:val="0"/>
            <w:vAlign w:val="center"/>
          </w:tcPr>
          <w:p w14:paraId="4E77756B">
            <w:pPr>
              <w:jc w:val="center"/>
              <w:rPr>
                <w:rFonts w:hint="eastAsia" w:ascii="仿宋" w:hAnsi="仿宋" w:eastAsia="仿宋" w:cs="仿宋"/>
                <w:szCs w:val="21"/>
              </w:rPr>
            </w:pPr>
          </w:p>
        </w:tc>
        <w:tc>
          <w:tcPr>
            <w:tcW w:w="1510" w:type="dxa"/>
            <w:noWrap w:val="0"/>
            <w:vAlign w:val="center"/>
          </w:tcPr>
          <w:p w14:paraId="79971202">
            <w:pPr>
              <w:jc w:val="center"/>
              <w:rPr>
                <w:rFonts w:hint="eastAsia" w:ascii="仿宋" w:hAnsi="仿宋" w:eastAsia="仿宋" w:cs="仿宋"/>
                <w:szCs w:val="21"/>
              </w:rPr>
            </w:pPr>
          </w:p>
        </w:tc>
        <w:tc>
          <w:tcPr>
            <w:tcW w:w="1884" w:type="dxa"/>
            <w:noWrap w:val="0"/>
            <w:vAlign w:val="center"/>
          </w:tcPr>
          <w:p w14:paraId="6F630087">
            <w:pPr>
              <w:jc w:val="center"/>
              <w:rPr>
                <w:rFonts w:hint="eastAsia" w:ascii="仿宋" w:hAnsi="仿宋" w:eastAsia="仿宋" w:cs="仿宋"/>
                <w:szCs w:val="21"/>
              </w:rPr>
            </w:pPr>
          </w:p>
        </w:tc>
        <w:tc>
          <w:tcPr>
            <w:tcW w:w="1884" w:type="dxa"/>
            <w:noWrap w:val="0"/>
            <w:vAlign w:val="center"/>
          </w:tcPr>
          <w:p w14:paraId="0597B2A2">
            <w:pPr>
              <w:jc w:val="center"/>
              <w:rPr>
                <w:rFonts w:hint="eastAsia" w:ascii="仿宋" w:hAnsi="仿宋" w:eastAsia="仿宋" w:cs="仿宋"/>
                <w:szCs w:val="21"/>
              </w:rPr>
            </w:pPr>
          </w:p>
        </w:tc>
        <w:tc>
          <w:tcPr>
            <w:tcW w:w="1882" w:type="dxa"/>
            <w:noWrap w:val="0"/>
            <w:vAlign w:val="center"/>
          </w:tcPr>
          <w:p w14:paraId="65B27DEB">
            <w:pPr>
              <w:jc w:val="center"/>
              <w:rPr>
                <w:rFonts w:hint="eastAsia" w:ascii="仿宋" w:hAnsi="仿宋" w:eastAsia="仿宋" w:cs="仿宋"/>
                <w:szCs w:val="21"/>
              </w:rPr>
            </w:pPr>
          </w:p>
        </w:tc>
      </w:tr>
      <w:tr w14:paraId="0F289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756" w:type="dxa"/>
            <w:noWrap w:val="0"/>
            <w:vAlign w:val="center"/>
          </w:tcPr>
          <w:p w14:paraId="0F9DE8DA">
            <w:pPr>
              <w:jc w:val="center"/>
              <w:rPr>
                <w:rFonts w:hint="eastAsia" w:ascii="仿宋" w:hAnsi="仿宋" w:eastAsia="仿宋" w:cs="仿宋"/>
                <w:szCs w:val="21"/>
              </w:rPr>
            </w:pPr>
          </w:p>
        </w:tc>
        <w:tc>
          <w:tcPr>
            <w:tcW w:w="1320" w:type="dxa"/>
            <w:noWrap w:val="0"/>
            <w:vAlign w:val="center"/>
          </w:tcPr>
          <w:p w14:paraId="368F8C9E">
            <w:pPr>
              <w:jc w:val="center"/>
              <w:rPr>
                <w:rFonts w:hint="eastAsia" w:ascii="仿宋" w:hAnsi="仿宋" w:eastAsia="仿宋" w:cs="仿宋"/>
                <w:szCs w:val="21"/>
              </w:rPr>
            </w:pPr>
          </w:p>
        </w:tc>
        <w:tc>
          <w:tcPr>
            <w:tcW w:w="1510" w:type="dxa"/>
            <w:noWrap w:val="0"/>
            <w:vAlign w:val="center"/>
          </w:tcPr>
          <w:p w14:paraId="10E868A4">
            <w:pPr>
              <w:jc w:val="center"/>
              <w:rPr>
                <w:rFonts w:hint="eastAsia" w:ascii="仿宋" w:hAnsi="仿宋" w:eastAsia="仿宋" w:cs="仿宋"/>
                <w:szCs w:val="21"/>
              </w:rPr>
            </w:pPr>
          </w:p>
        </w:tc>
        <w:tc>
          <w:tcPr>
            <w:tcW w:w="1884" w:type="dxa"/>
            <w:noWrap w:val="0"/>
            <w:vAlign w:val="center"/>
          </w:tcPr>
          <w:p w14:paraId="4B551EAD">
            <w:pPr>
              <w:jc w:val="center"/>
              <w:rPr>
                <w:rFonts w:hint="eastAsia" w:ascii="仿宋" w:hAnsi="仿宋" w:eastAsia="仿宋" w:cs="仿宋"/>
                <w:szCs w:val="21"/>
              </w:rPr>
            </w:pPr>
          </w:p>
        </w:tc>
        <w:tc>
          <w:tcPr>
            <w:tcW w:w="1884" w:type="dxa"/>
            <w:noWrap w:val="0"/>
            <w:vAlign w:val="center"/>
          </w:tcPr>
          <w:p w14:paraId="46320E25">
            <w:pPr>
              <w:jc w:val="center"/>
              <w:rPr>
                <w:rFonts w:hint="eastAsia" w:ascii="仿宋" w:hAnsi="仿宋" w:eastAsia="仿宋" w:cs="仿宋"/>
                <w:szCs w:val="21"/>
              </w:rPr>
            </w:pPr>
          </w:p>
        </w:tc>
        <w:tc>
          <w:tcPr>
            <w:tcW w:w="1882" w:type="dxa"/>
            <w:noWrap w:val="0"/>
            <w:vAlign w:val="center"/>
          </w:tcPr>
          <w:p w14:paraId="2A20236B">
            <w:pPr>
              <w:jc w:val="center"/>
              <w:rPr>
                <w:rFonts w:hint="eastAsia" w:ascii="仿宋" w:hAnsi="仿宋" w:eastAsia="仿宋" w:cs="仿宋"/>
                <w:szCs w:val="21"/>
              </w:rPr>
            </w:pPr>
          </w:p>
        </w:tc>
      </w:tr>
    </w:tbl>
    <w:p w14:paraId="2BBD4342">
      <w:pPr>
        <w:spacing w:line="360" w:lineRule="auto"/>
        <w:ind w:firstLine="420" w:firstLineChars="200"/>
        <w:rPr>
          <w:rFonts w:hint="eastAsia" w:ascii="仿宋" w:hAnsi="仿宋" w:eastAsia="仿宋" w:cs="仿宋"/>
          <w:szCs w:val="21"/>
        </w:rPr>
      </w:pPr>
      <w:r>
        <w:rPr>
          <w:rFonts w:hint="eastAsia" w:ascii="仿宋" w:hAnsi="仿宋" w:eastAsia="仿宋" w:cs="仿宋"/>
          <w:b/>
          <w:szCs w:val="21"/>
        </w:rPr>
        <w:t>注：列入本表人员需附</w:t>
      </w:r>
      <w:r>
        <w:rPr>
          <w:rFonts w:hint="eastAsia" w:ascii="仿宋" w:hAnsi="仿宋" w:eastAsia="仿宋" w:cs="仿宋"/>
          <w:b/>
          <w:szCs w:val="21"/>
          <w:lang w:val="en-US" w:eastAsia="zh-CN"/>
        </w:rPr>
        <w:t>提供证书扫描件加盖公章及2025年4月、5月、6月投标人为其缴纳社保的有效证明材料(盖有社保部门公章)</w:t>
      </w:r>
      <w:r>
        <w:rPr>
          <w:rFonts w:hint="eastAsia" w:ascii="仿宋" w:hAnsi="仿宋" w:eastAsia="仿宋" w:cs="仿宋"/>
          <w:b/>
          <w:szCs w:val="21"/>
          <w:lang w:eastAsia="zh-CN"/>
        </w:rPr>
        <w:t>，具体详见第五章评分标准</w:t>
      </w:r>
      <w:r>
        <w:rPr>
          <w:rFonts w:hint="eastAsia" w:ascii="仿宋" w:hAnsi="仿宋" w:eastAsia="仿宋" w:cs="仿宋"/>
          <w:b/>
          <w:szCs w:val="21"/>
        </w:rPr>
        <w:t>。</w:t>
      </w:r>
    </w:p>
    <w:p w14:paraId="3772EC58">
      <w:pPr>
        <w:pStyle w:val="26"/>
        <w:ind w:firstLine="420" w:firstLineChars="200"/>
        <w:rPr>
          <w:rFonts w:hAnsi="宋体"/>
          <w:szCs w:val="21"/>
        </w:rPr>
      </w:pPr>
    </w:p>
    <w:p w14:paraId="4812C2AB">
      <w:pPr>
        <w:pStyle w:val="26"/>
        <w:rPr>
          <w:rFonts w:hint="eastAsia" w:ascii="仿宋" w:hAnsi="仿宋" w:eastAsia="仿宋" w:cs="仿宋"/>
          <w:color w:val="auto"/>
          <w:szCs w:val="21"/>
        </w:rPr>
      </w:pPr>
      <w:r>
        <w:rPr>
          <w:rFonts w:hint="eastAsia" w:ascii="仿宋" w:hAnsi="仿宋" w:eastAsia="仿宋" w:cs="仿宋"/>
          <w:color w:val="auto"/>
          <w:szCs w:val="21"/>
        </w:rPr>
        <w:t>投标人名称（盖章） ：</w:t>
      </w:r>
      <w:r>
        <w:rPr>
          <w:rFonts w:hint="eastAsia" w:ascii="仿宋" w:hAnsi="仿宋" w:eastAsia="仿宋" w:cs="仿宋"/>
          <w:color w:val="auto"/>
          <w:szCs w:val="21"/>
          <w:u w:val="single"/>
        </w:rPr>
        <w:t xml:space="preserve">                               </w:t>
      </w:r>
    </w:p>
    <w:p w14:paraId="0ED62B03">
      <w:pPr>
        <w:pStyle w:val="26"/>
        <w:rPr>
          <w:rFonts w:hint="eastAsia" w:ascii="仿宋" w:hAnsi="仿宋" w:eastAsia="仿宋" w:cs="仿宋"/>
          <w:color w:val="auto"/>
          <w:szCs w:val="21"/>
        </w:rPr>
      </w:pPr>
    </w:p>
    <w:p w14:paraId="4D4F2258">
      <w:pPr>
        <w:pStyle w:val="26"/>
        <w:rPr>
          <w:rFonts w:hint="eastAsia" w:ascii="仿宋" w:hAnsi="仿宋" w:eastAsia="仿宋" w:cs="仿宋"/>
          <w:color w:val="auto"/>
          <w:szCs w:val="21"/>
        </w:rPr>
      </w:pPr>
    </w:p>
    <w:p w14:paraId="365DAB02">
      <w:pPr>
        <w:pStyle w:val="26"/>
        <w:rPr>
          <w:rFonts w:hint="eastAsia" w:ascii="仿宋" w:hAnsi="仿宋" w:eastAsia="仿宋" w:cs="仿宋"/>
          <w:color w:val="auto"/>
          <w:szCs w:val="21"/>
        </w:rPr>
      </w:pPr>
      <w:r>
        <w:rPr>
          <w:rFonts w:hint="eastAsia" w:ascii="仿宋" w:hAnsi="仿宋" w:eastAsia="仿宋" w:cs="仿宋"/>
          <w:color w:val="auto"/>
          <w:szCs w:val="21"/>
        </w:rPr>
        <w:t>日期：   年   月   日</w:t>
      </w:r>
    </w:p>
    <w:p w14:paraId="5C512C31">
      <w:pPr>
        <w:rPr>
          <w:rFonts w:hint="eastAsia" w:ascii="宋体" w:hAnsi="宋体" w:eastAsia="宋体" w:cs="宋体"/>
          <w:b/>
          <w:szCs w:val="21"/>
          <w:lang w:eastAsia="zh-CN"/>
        </w:rPr>
      </w:pPr>
      <w:r>
        <w:rPr>
          <w:rFonts w:hint="eastAsia" w:ascii="宋体" w:hAnsi="宋体" w:eastAsia="宋体" w:cs="宋体"/>
          <w:b/>
          <w:szCs w:val="21"/>
          <w:lang w:eastAsia="zh-CN"/>
        </w:rPr>
        <w:br w:type="page"/>
      </w:r>
    </w:p>
    <w:p w14:paraId="7A0CA042">
      <w:pPr>
        <w:spacing w:line="500" w:lineRule="exact"/>
        <w:jc w:val="both"/>
        <w:rPr>
          <w:rFonts w:hint="eastAsia" w:ascii="仿宋" w:hAnsi="仿宋" w:eastAsia="仿宋" w:cs="仿宋"/>
          <w:b/>
          <w:szCs w:val="21"/>
          <w:lang w:val="en-US" w:eastAsia="zh-CN"/>
        </w:rPr>
      </w:pPr>
      <w:r>
        <w:rPr>
          <w:rFonts w:hint="eastAsia" w:ascii="仿宋" w:hAnsi="仿宋" w:eastAsia="仿宋" w:cs="仿宋"/>
          <w:b/>
          <w:szCs w:val="21"/>
          <w:lang w:eastAsia="zh-CN"/>
        </w:rPr>
        <w:t>附件</w:t>
      </w:r>
      <w:r>
        <w:rPr>
          <w:rFonts w:hint="eastAsia" w:ascii="仿宋" w:hAnsi="仿宋" w:eastAsia="仿宋" w:cs="仿宋"/>
          <w:b/>
          <w:szCs w:val="21"/>
          <w:lang w:val="en-US" w:eastAsia="zh-CN"/>
        </w:rPr>
        <w:t>8</w:t>
      </w:r>
    </w:p>
    <w:p w14:paraId="04C0B795">
      <w:pPr>
        <w:spacing w:line="500" w:lineRule="exact"/>
        <w:jc w:val="both"/>
        <w:rPr>
          <w:rFonts w:hint="eastAsia" w:ascii="宋体" w:hAnsi="宋体" w:eastAsia="宋体" w:cs="宋体"/>
          <w:b/>
          <w:szCs w:val="21"/>
          <w:lang w:val="en-US" w:eastAsia="zh-CN"/>
        </w:rPr>
      </w:pPr>
    </w:p>
    <w:p w14:paraId="6AEC4DF8">
      <w:pPr>
        <w:spacing w:line="500" w:lineRule="exact"/>
        <w:jc w:val="center"/>
        <w:rPr>
          <w:rFonts w:hint="eastAsia" w:ascii="仿宋" w:hAnsi="仿宋" w:eastAsia="仿宋" w:cs="仿宋"/>
          <w:b/>
          <w:bCs/>
          <w:sz w:val="28"/>
          <w:szCs w:val="28"/>
        </w:rPr>
      </w:pPr>
      <w:r>
        <w:rPr>
          <w:rFonts w:hint="eastAsia" w:ascii="仿宋" w:hAnsi="仿宋" w:eastAsia="仿宋" w:cs="仿宋"/>
          <w:b/>
          <w:bCs/>
          <w:sz w:val="28"/>
          <w:szCs w:val="28"/>
        </w:rPr>
        <w:t>拟投入本项目主要设备一览表</w:t>
      </w:r>
    </w:p>
    <w:p w14:paraId="5835918A">
      <w:pPr>
        <w:pStyle w:val="67"/>
        <w:rPr>
          <w:rFonts w:hint="eastAsia" w:ascii="仿宋" w:hAnsi="仿宋" w:eastAsia="仿宋" w:cs="仿宋"/>
        </w:rPr>
      </w:pPr>
    </w:p>
    <w:p w14:paraId="5CD55B79">
      <w:pPr>
        <w:snapToGrid w:val="0"/>
        <w:spacing w:line="300" w:lineRule="auto"/>
        <w:ind w:firstLine="630" w:firstLineChars="300"/>
        <w:rPr>
          <w:rFonts w:hint="eastAsia" w:ascii="仿宋" w:hAnsi="仿宋" w:eastAsia="仿宋" w:cs="仿宋"/>
          <w:u w:val="single"/>
        </w:rPr>
      </w:pPr>
      <w:r>
        <w:rPr>
          <w:rFonts w:hint="eastAsia" w:ascii="仿宋" w:hAnsi="仿宋" w:eastAsia="仿宋" w:cs="仿宋"/>
        </w:rPr>
        <w:t>项目名称：</w:t>
      </w:r>
      <w:r>
        <w:rPr>
          <w:rFonts w:hint="eastAsia" w:ascii="仿宋" w:hAnsi="仿宋" w:eastAsia="仿宋" w:cs="仿宋"/>
          <w:u w:val="single"/>
        </w:rPr>
        <w:t xml:space="preserve">                            </w:t>
      </w:r>
      <w:r>
        <w:rPr>
          <w:rFonts w:hint="eastAsia" w:ascii="仿宋" w:hAnsi="仿宋" w:eastAsia="仿宋" w:cs="仿宋"/>
        </w:rPr>
        <w:t xml:space="preserve">                 项目编号：</w:t>
      </w:r>
      <w:r>
        <w:rPr>
          <w:rFonts w:hint="eastAsia" w:ascii="仿宋" w:hAnsi="仿宋" w:eastAsia="仿宋" w:cs="仿宋"/>
          <w:u w:val="single"/>
        </w:rPr>
        <w:t xml:space="preserve">                 </w:t>
      </w: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4"/>
        <w:gridCol w:w="2537"/>
        <w:gridCol w:w="1244"/>
        <w:gridCol w:w="2169"/>
        <w:gridCol w:w="2168"/>
      </w:tblGrid>
      <w:tr w14:paraId="1454A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jc w:val="center"/>
        </w:trPr>
        <w:tc>
          <w:tcPr>
            <w:tcW w:w="1784" w:type="dxa"/>
            <w:noWrap w:val="0"/>
            <w:vAlign w:val="top"/>
          </w:tcPr>
          <w:p w14:paraId="486B13C1">
            <w:pPr>
              <w:spacing w:before="120" w:after="156" w:line="360" w:lineRule="auto"/>
              <w:jc w:val="center"/>
              <w:rPr>
                <w:rFonts w:hint="eastAsia" w:ascii="仿宋" w:hAnsi="仿宋" w:eastAsia="仿宋" w:cs="仿宋"/>
                <w:szCs w:val="21"/>
              </w:rPr>
            </w:pPr>
            <w:r>
              <w:rPr>
                <w:rFonts w:hint="eastAsia" w:ascii="仿宋" w:hAnsi="仿宋" w:eastAsia="仿宋" w:cs="仿宋"/>
                <w:szCs w:val="21"/>
              </w:rPr>
              <w:t>序号</w:t>
            </w:r>
          </w:p>
        </w:tc>
        <w:tc>
          <w:tcPr>
            <w:tcW w:w="2537" w:type="dxa"/>
            <w:noWrap w:val="0"/>
            <w:vAlign w:val="top"/>
          </w:tcPr>
          <w:p w14:paraId="76D56EBB">
            <w:pPr>
              <w:spacing w:before="120" w:after="156" w:line="360" w:lineRule="auto"/>
              <w:jc w:val="center"/>
              <w:rPr>
                <w:rFonts w:hint="eastAsia" w:ascii="仿宋" w:hAnsi="仿宋" w:eastAsia="仿宋" w:cs="仿宋"/>
                <w:szCs w:val="21"/>
              </w:rPr>
            </w:pPr>
            <w:r>
              <w:rPr>
                <w:rFonts w:hint="eastAsia" w:ascii="仿宋" w:hAnsi="仿宋" w:eastAsia="仿宋" w:cs="仿宋"/>
                <w:szCs w:val="21"/>
              </w:rPr>
              <w:t>设备名称</w:t>
            </w:r>
          </w:p>
        </w:tc>
        <w:tc>
          <w:tcPr>
            <w:tcW w:w="1244" w:type="dxa"/>
            <w:noWrap w:val="0"/>
            <w:vAlign w:val="top"/>
          </w:tcPr>
          <w:p w14:paraId="6FECE074">
            <w:pPr>
              <w:spacing w:before="120" w:after="156" w:line="360" w:lineRule="auto"/>
              <w:jc w:val="center"/>
              <w:rPr>
                <w:rFonts w:hint="eastAsia" w:ascii="仿宋" w:hAnsi="仿宋" w:eastAsia="仿宋" w:cs="仿宋"/>
                <w:szCs w:val="21"/>
              </w:rPr>
            </w:pPr>
            <w:r>
              <w:rPr>
                <w:rFonts w:hint="eastAsia" w:ascii="仿宋" w:hAnsi="仿宋" w:eastAsia="仿宋" w:cs="仿宋"/>
                <w:szCs w:val="21"/>
              </w:rPr>
              <w:t>型号</w:t>
            </w:r>
          </w:p>
        </w:tc>
        <w:tc>
          <w:tcPr>
            <w:tcW w:w="2169" w:type="dxa"/>
            <w:noWrap w:val="0"/>
            <w:vAlign w:val="top"/>
          </w:tcPr>
          <w:p w14:paraId="3AE95E47">
            <w:pPr>
              <w:spacing w:before="120" w:after="156" w:line="360" w:lineRule="auto"/>
              <w:jc w:val="center"/>
              <w:rPr>
                <w:rFonts w:hint="eastAsia" w:ascii="仿宋" w:hAnsi="仿宋" w:eastAsia="仿宋" w:cs="仿宋"/>
                <w:szCs w:val="21"/>
              </w:rPr>
            </w:pPr>
            <w:r>
              <w:rPr>
                <w:rFonts w:hint="eastAsia" w:ascii="仿宋" w:hAnsi="仿宋" w:eastAsia="仿宋" w:cs="仿宋"/>
                <w:szCs w:val="21"/>
              </w:rPr>
              <w:t>数量</w:t>
            </w:r>
          </w:p>
        </w:tc>
        <w:tc>
          <w:tcPr>
            <w:tcW w:w="2168" w:type="dxa"/>
            <w:noWrap w:val="0"/>
            <w:vAlign w:val="top"/>
          </w:tcPr>
          <w:p w14:paraId="3ACD7250">
            <w:pPr>
              <w:spacing w:before="120" w:after="156" w:line="360" w:lineRule="auto"/>
              <w:jc w:val="center"/>
              <w:rPr>
                <w:rFonts w:hint="eastAsia" w:ascii="仿宋" w:hAnsi="仿宋" w:eastAsia="仿宋" w:cs="仿宋"/>
                <w:szCs w:val="21"/>
              </w:rPr>
            </w:pPr>
            <w:r>
              <w:rPr>
                <w:rFonts w:hint="eastAsia" w:ascii="仿宋" w:hAnsi="仿宋" w:eastAsia="仿宋" w:cs="仿宋"/>
                <w:szCs w:val="21"/>
              </w:rPr>
              <w:t>备注（自有或租赁）</w:t>
            </w:r>
          </w:p>
        </w:tc>
      </w:tr>
      <w:tr w14:paraId="011CC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jc w:val="center"/>
        </w:trPr>
        <w:tc>
          <w:tcPr>
            <w:tcW w:w="1784" w:type="dxa"/>
            <w:noWrap w:val="0"/>
            <w:vAlign w:val="top"/>
          </w:tcPr>
          <w:p w14:paraId="0306431C">
            <w:pPr>
              <w:adjustRightInd w:val="0"/>
              <w:snapToGrid w:val="0"/>
              <w:spacing w:line="400" w:lineRule="atLeast"/>
              <w:jc w:val="center"/>
              <w:rPr>
                <w:rFonts w:hint="eastAsia" w:ascii="宋体" w:hAnsi="宋体" w:eastAsia="宋体" w:cs="宋体"/>
                <w:color w:val="000000"/>
                <w:szCs w:val="21"/>
              </w:rPr>
            </w:pPr>
          </w:p>
        </w:tc>
        <w:tc>
          <w:tcPr>
            <w:tcW w:w="2537" w:type="dxa"/>
            <w:noWrap w:val="0"/>
            <w:vAlign w:val="top"/>
          </w:tcPr>
          <w:p w14:paraId="3E1263B3">
            <w:pPr>
              <w:adjustRightInd w:val="0"/>
              <w:snapToGrid w:val="0"/>
              <w:spacing w:line="400" w:lineRule="atLeast"/>
              <w:jc w:val="center"/>
              <w:rPr>
                <w:rFonts w:hint="eastAsia" w:ascii="宋体" w:hAnsi="宋体" w:eastAsia="宋体" w:cs="宋体"/>
                <w:color w:val="000000"/>
                <w:szCs w:val="21"/>
              </w:rPr>
            </w:pPr>
          </w:p>
        </w:tc>
        <w:tc>
          <w:tcPr>
            <w:tcW w:w="1244" w:type="dxa"/>
            <w:noWrap w:val="0"/>
            <w:vAlign w:val="top"/>
          </w:tcPr>
          <w:p w14:paraId="6C1974F1">
            <w:pPr>
              <w:adjustRightInd w:val="0"/>
              <w:snapToGrid w:val="0"/>
              <w:spacing w:line="400" w:lineRule="atLeast"/>
              <w:jc w:val="center"/>
              <w:rPr>
                <w:rFonts w:hint="eastAsia" w:ascii="宋体" w:hAnsi="宋体" w:eastAsia="宋体" w:cs="宋体"/>
                <w:color w:val="000000"/>
                <w:szCs w:val="21"/>
              </w:rPr>
            </w:pPr>
          </w:p>
        </w:tc>
        <w:tc>
          <w:tcPr>
            <w:tcW w:w="2169" w:type="dxa"/>
            <w:noWrap w:val="0"/>
            <w:vAlign w:val="top"/>
          </w:tcPr>
          <w:p w14:paraId="6F916B66">
            <w:pPr>
              <w:adjustRightInd w:val="0"/>
              <w:snapToGrid w:val="0"/>
              <w:spacing w:line="400" w:lineRule="atLeast"/>
              <w:jc w:val="center"/>
              <w:rPr>
                <w:rFonts w:hint="eastAsia" w:ascii="宋体" w:hAnsi="宋体" w:eastAsia="宋体" w:cs="宋体"/>
                <w:color w:val="000000"/>
                <w:szCs w:val="21"/>
              </w:rPr>
            </w:pPr>
          </w:p>
        </w:tc>
        <w:tc>
          <w:tcPr>
            <w:tcW w:w="2168" w:type="dxa"/>
            <w:noWrap w:val="0"/>
            <w:vAlign w:val="top"/>
          </w:tcPr>
          <w:p w14:paraId="42FE6278">
            <w:pPr>
              <w:adjustRightInd w:val="0"/>
              <w:snapToGrid w:val="0"/>
              <w:spacing w:line="400" w:lineRule="atLeast"/>
              <w:jc w:val="center"/>
              <w:rPr>
                <w:rFonts w:hint="eastAsia" w:ascii="宋体" w:hAnsi="宋体" w:eastAsia="宋体" w:cs="宋体"/>
                <w:color w:val="000000"/>
                <w:szCs w:val="21"/>
              </w:rPr>
            </w:pPr>
          </w:p>
        </w:tc>
      </w:tr>
      <w:tr w14:paraId="3FE7C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jc w:val="center"/>
        </w:trPr>
        <w:tc>
          <w:tcPr>
            <w:tcW w:w="1784" w:type="dxa"/>
            <w:noWrap w:val="0"/>
            <w:vAlign w:val="top"/>
          </w:tcPr>
          <w:p w14:paraId="0ACFB46A">
            <w:pPr>
              <w:adjustRightInd w:val="0"/>
              <w:snapToGrid w:val="0"/>
              <w:spacing w:line="400" w:lineRule="atLeast"/>
              <w:jc w:val="center"/>
              <w:rPr>
                <w:rFonts w:hint="eastAsia" w:ascii="宋体" w:hAnsi="宋体" w:eastAsia="宋体" w:cs="宋体"/>
                <w:color w:val="000000"/>
                <w:sz w:val="24"/>
              </w:rPr>
            </w:pPr>
          </w:p>
        </w:tc>
        <w:tc>
          <w:tcPr>
            <w:tcW w:w="2537" w:type="dxa"/>
            <w:noWrap w:val="0"/>
            <w:vAlign w:val="top"/>
          </w:tcPr>
          <w:p w14:paraId="600716DA">
            <w:pPr>
              <w:adjustRightInd w:val="0"/>
              <w:snapToGrid w:val="0"/>
              <w:spacing w:line="400" w:lineRule="atLeast"/>
              <w:jc w:val="center"/>
              <w:rPr>
                <w:rFonts w:hint="eastAsia" w:ascii="宋体" w:hAnsi="宋体" w:eastAsia="宋体" w:cs="宋体"/>
                <w:color w:val="000000"/>
                <w:sz w:val="24"/>
              </w:rPr>
            </w:pPr>
          </w:p>
        </w:tc>
        <w:tc>
          <w:tcPr>
            <w:tcW w:w="1244" w:type="dxa"/>
            <w:noWrap w:val="0"/>
            <w:vAlign w:val="top"/>
          </w:tcPr>
          <w:p w14:paraId="169AF429">
            <w:pPr>
              <w:adjustRightInd w:val="0"/>
              <w:snapToGrid w:val="0"/>
              <w:spacing w:line="400" w:lineRule="atLeast"/>
              <w:jc w:val="center"/>
              <w:rPr>
                <w:rFonts w:hint="eastAsia" w:ascii="宋体" w:hAnsi="宋体" w:eastAsia="宋体" w:cs="宋体"/>
                <w:color w:val="000000"/>
                <w:sz w:val="24"/>
              </w:rPr>
            </w:pPr>
          </w:p>
        </w:tc>
        <w:tc>
          <w:tcPr>
            <w:tcW w:w="2169" w:type="dxa"/>
            <w:noWrap w:val="0"/>
            <w:vAlign w:val="top"/>
          </w:tcPr>
          <w:p w14:paraId="2AA9C66B">
            <w:pPr>
              <w:adjustRightInd w:val="0"/>
              <w:snapToGrid w:val="0"/>
              <w:spacing w:line="400" w:lineRule="atLeast"/>
              <w:jc w:val="center"/>
              <w:rPr>
                <w:rFonts w:hint="eastAsia" w:ascii="宋体" w:hAnsi="宋体" w:eastAsia="宋体" w:cs="宋体"/>
                <w:color w:val="000000"/>
                <w:sz w:val="24"/>
              </w:rPr>
            </w:pPr>
          </w:p>
        </w:tc>
        <w:tc>
          <w:tcPr>
            <w:tcW w:w="2168" w:type="dxa"/>
            <w:noWrap w:val="0"/>
            <w:vAlign w:val="top"/>
          </w:tcPr>
          <w:p w14:paraId="3628452B">
            <w:pPr>
              <w:adjustRightInd w:val="0"/>
              <w:snapToGrid w:val="0"/>
              <w:spacing w:line="400" w:lineRule="atLeast"/>
              <w:jc w:val="center"/>
              <w:rPr>
                <w:rFonts w:hint="eastAsia" w:ascii="宋体" w:hAnsi="宋体" w:eastAsia="宋体" w:cs="宋体"/>
                <w:color w:val="000000"/>
                <w:sz w:val="24"/>
              </w:rPr>
            </w:pPr>
          </w:p>
        </w:tc>
      </w:tr>
      <w:tr w14:paraId="0B41A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jc w:val="center"/>
        </w:trPr>
        <w:tc>
          <w:tcPr>
            <w:tcW w:w="1784" w:type="dxa"/>
            <w:noWrap w:val="0"/>
            <w:vAlign w:val="top"/>
          </w:tcPr>
          <w:p w14:paraId="36B531C2">
            <w:pPr>
              <w:adjustRightInd w:val="0"/>
              <w:snapToGrid w:val="0"/>
              <w:spacing w:line="400" w:lineRule="atLeast"/>
              <w:jc w:val="center"/>
              <w:rPr>
                <w:rFonts w:hint="eastAsia" w:ascii="宋体" w:hAnsi="宋体" w:eastAsia="宋体" w:cs="宋体"/>
                <w:color w:val="000000"/>
                <w:sz w:val="24"/>
              </w:rPr>
            </w:pPr>
          </w:p>
        </w:tc>
        <w:tc>
          <w:tcPr>
            <w:tcW w:w="2537" w:type="dxa"/>
            <w:noWrap w:val="0"/>
            <w:vAlign w:val="top"/>
          </w:tcPr>
          <w:p w14:paraId="0D114E36">
            <w:pPr>
              <w:adjustRightInd w:val="0"/>
              <w:snapToGrid w:val="0"/>
              <w:spacing w:line="400" w:lineRule="atLeast"/>
              <w:jc w:val="center"/>
              <w:rPr>
                <w:rFonts w:hint="eastAsia" w:ascii="宋体" w:hAnsi="宋体" w:eastAsia="宋体" w:cs="宋体"/>
                <w:color w:val="000000"/>
                <w:sz w:val="24"/>
              </w:rPr>
            </w:pPr>
          </w:p>
        </w:tc>
        <w:tc>
          <w:tcPr>
            <w:tcW w:w="1244" w:type="dxa"/>
            <w:noWrap w:val="0"/>
            <w:vAlign w:val="top"/>
          </w:tcPr>
          <w:p w14:paraId="06030C5F">
            <w:pPr>
              <w:adjustRightInd w:val="0"/>
              <w:snapToGrid w:val="0"/>
              <w:spacing w:line="400" w:lineRule="atLeast"/>
              <w:jc w:val="center"/>
              <w:rPr>
                <w:rFonts w:hint="eastAsia" w:ascii="宋体" w:hAnsi="宋体" w:eastAsia="宋体" w:cs="宋体"/>
                <w:color w:val="000000"/>
                <w:sz w:val="24"/>
              </w:rPr>
            </w:pPr>
          </w:p>
        </w:tc>
        <w:tc>
          <w:tcPr>
            <w:tcW w:w="2169" w:type="dxa"/>
            <w:noWrap w:val="0"/>
            <w:vAlign w:val="top"/>
          </w:tcPr>
          <w:p w14:paraId="42094C99">
            <w:pPr>
              <w:adjustRightInd w:val="0"/>
              <w:snapToGrid w:val="0"/>
              <w:spacing w:line="400" w:lineRule="atLeast"/>
              <w:jc w:val="center"/>
              <w:rPr>
                <w:rFonts w:hint="eastAsia" w:ascii="宋体" w:hAnsi="宋体" w:eastAsia="宋体" w:cs="宋体"/>
                <w:color w:val="000000"/>
                <w:sz w:val="24"/>
              </w:rPr>
            </w:pPr>
          </w:p>
        </w:tc>
        <w:tc>
          <w:tcPr>
            <w:tcW w:w="2168" w:type="dxa"/>
            <w:noWrap w:val="0"/>
            <w:vAlign w:val="top"/>
          </w:tcPr>
          <w:p w14:paraId="78F19C19">
            <w:pPr>
              <w:adjustRightInd w:val="0"/>
              <w:snapToGrid w:val="0"/>
              <w:spacing w:line="400" w:lineRule="atLeast"/>
              <w:jc w:val="center"/>
              <w:rPr>
                <w:rFonts w:hint="eastAsia" w:ascii="宋体" w:hAnsi="宋体" w:eastAsia="宋体" w:cs="宋体"/>
                <w:color w:val="000000"/>
                <w:sz w:val="24"/>
              </w:rPr>
            </w:pPr>
          </w:p>
        </w:tc>
      </w:tr>
      <w:tr w14:paraId="5F790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jc w:val="center"/>
        </w:trPr>
        <w:tc>
          <w:tcPr>
            <w:tcW w:w="1784" w:type="dxa"/>
            <w:noWrap w:val="0"/>
            <w:vAlign w:val="top"/>
          </w:tcPr>
          <w:p w14:paraId="14DD024D">
            <w:pPr>
              <w:adjustRightInd w:val="0"/>
              <w:snapToGrid w:val="0"/>
              <w:spacing w:line="400" w:lineRule="atLeast"/>
              <w:jc w:val="center"/>
              <w:rPr>
                <w:rFonts w:hint="eastAsia" w:ascii="宋体" w:hAnsi="宋体" w:eastAsia="宋体" w:cs="宋体"/>
                <w:color w:val="000000"/>
                <w:sz w:val="24"/>
              </w:rPr>
            </w:pPr>
          </w:p>
        </w:tc>
        <w:tc>
          <w:tcPr>
            <w:tcW w:w="2537" w:type="dxa"/>
            <w:noWrap w:val="0"/>
            <w:vAlign w:val="top"/>
          </w:tcPr>
          <w:p w14:paraId="5ED8B7CE">
            <w:pPr>
              <w:adjustRightInd w:val="0"/>
              <w:snapToGrid w:val="0"/>
              <w:spacing w:line="400" w:lineRule="atLeast"/>
              <w:jc w:val="center"/>
              <w:rPr>
                <w:rFonts w:hint="eastAsia" w:ascii="宋体" w:hAnsi="宋体" w:eastAsia="宋体" w:cs="宋体"/>
                <w:color w:val="000000"/>
                <w:sz w:val="24"/>
              </w:rPr>
            </w:pPr>
          </w:p>
        </w:tc>
        <w:tc>
          <w:tcPr>
            <w:tcW w:w="1244" w:type="dxa"/>
            <w:noWrap w:val="0"/>
            <w:vAlign w:val="top"/>
          </w:tcPr>
          <w:p w14:paraId="36DDFC61">
            <w:pPr>
              <w:adjustRightInd w:val="0"/>
              <w:snapToGrid w:val="0"/>
              <w:spacing w:line="400" w:lineRule="atLeast"/>
              <w:jc w:val="center"/>
              <w:rPr>
                <w:rFonts w:hint="eastAsia" w:ascii="宋体" w:hAnsi="宋体" w:eastAsia="宋体" w:cs="宋体"/>
                <w:color w:val="000000"/>
                <w:sz w:val="24"/>
              </w:rPr>
            </w:pPr>
          </w:p>
        </w:tc>
        <w:tc>
          <w:tcPr>
            <w:tcW w:w="2169" w:type="dxa"/>
            <w:noWrap w:val="0"/>
            <w:vAlign w:val="top"/>
          </w:tcPr>
          <w:p w14:paraId="0C7B03DA">
            <w:pPr>
              <w:adjustRightInd w:val="0"/>
              <w:snapToGrid w:val="0"/>
              <w:spacing w:line="400" w:lineRule="atLeast"/>
              <w:jc w:val="center"/>
              <w:rPr>
                <w:rFonts w:hint="eastAsia" w:ascii="宋体" w:hAnsi="宋体" w:eastAsia="宋体" w:cs="宋体"/>
                <w:color w:val="000000"/>
                <w:sz w:val="24"/>
              </w:rPr>
            </w:pPr>
          </w:p>
        </w:tc>
        <w:tc>
          <w:tcPr>
            <w:tcW w:w="2168" w:type="dxa"/>
            <w:noWrap w:val="0"/>
            <w:vAlign w:val="top"/>
          </w:tcPr>
          <w:p w14:paraId="7969F6FD">
            <w:pPr>
              <w:adjustRightInd w:val="0"/>
              <w:snapToGrid w:val="0"/>
              <w:spacing w:line="400" w:lineRule="atLeast"/>
              <w:jc w:val="center"/>
              <w:rPr>
                <w:rFonts w:hint="eastAsia" w:ascii="宋体" w:hAnsi="宋体" w:eastAsia="宋体" w:cs="宋体"/>
                <w:color w:val="000000"/>
                <w:sz w:val="24"/>
              </w:rPr>
            </w:pPr>
          </w:p>
        </w:tc>
      </w:tr>
      <w:tr w14:paraId="25F5A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jc w:val="center"/>
        </w:trPr>
        <w:tc>
          <w:tcPr>
            <w:tcW w:w="1784" w:type="dxa"/>
            <w:noWrap w:val="0"/>
            <w:vAlign w:val="top"/>
          </w:tcPr>
          <w:p w14:paraId="21F214BD">
            <w:pPr>
              <w:adjustRightInd w:val="0"/>
              <w:snapToGrid w:val="0"/>
              <w:spacing w:line="400" w:lineRule="atLeast"/>
              <w:jc w:val="center"/>
              <w:rPr>
                <w:rFonts w:hint="eastAsia" w:ascii="宋体" w:hAnsi="宋体" w:eastAsia="宋体" w:cs="宋体"/>
                <w:color w:val="000000"/>
                <w:sz w:val="24"/>
              </w:rPr>
            </w:pPr>
          </w:p>
        </w:tc>
        <w:tc>
          <w:tcPr>
            <w:tcW w:w="2537" w:type="dxa"/>
            <w:noWrap w:val="0"/>
            <w:vAlign w:val="top"/>
          </w:tcPr>
          <w:p w14:paraId="0C4EFD17">
            <w:pPr>
              <w:adjustRightInd w:val="0"/>
              <w:snapToGrid w:val="0"/>
              <w:spacing w:line="400" w:lineRule="atLeast"/>
              <w:jc w:val="center"/>
              <w:rPr>
                <w:rFonts w:hint="eastAsia" w:ascii="宋体" w:hAnsi="宋体" w:eastAsia="宋体" w:cs="宋体"/>
                <w:color w:val="000000"/>
                <w:sz w:val="24"/>
              </w:rPr>
            </w:pPr>
          </w:p>
        </w:tc>
        <w:tc>
          <w:tcPr>
            <w:tcW w:w="1244" w:type="dxa"/>
            <w:noWrap w:val="0"/>
            <w:vAlign w:val="top"/>
          </w:tcPr>
          <w:p w14:paraId="5A48ABB2">
            <w:pPr>
              <w:adjustRightInd w:val="0"/>
              <w:snapToGrid w:val="0"/>
              <w:spacing w:line="400" w:lineRule="atLeast"/>
              <w:jc w:val="center"/>
              <w:rPr>
                <w:rFonts w:hint="eastAsia" w:ascii="宋体" w:hAnsi="宋体" w:eastAsia="宋体" w:cs="宋体"/>
                <w:color w:val="000000"/>
                <w:sz w:val="24"/>
              </w:rPr>
            </w:pPr>
          </w:p>
        </w:tc>
        <w:tc>
          <w:tcPr>
            <w:tcW w:w="2169" w:type="dxa"/>
            <w:noWrap w:val="0"/>
            <w:vAlign w:val="top"/>
          </w:tcPr>
          <w:p w14:paraId="1C73465C">
            <w:pPr>
              <w:adjustRightInd w:val="0"/>
              <w:snapToGrid w:val="0"/>
              <w:spacing w:line="400" w:lineRule="atLeast"/>
              <w:jc w:val="center"/>
              <w:rPr>
                <w:rFonts w:hint="eastAsia" w:ascii="宋体" w:hAnsi="宋体" w:eastAsia="宋体" w:cs="宋体"/>
                <w:color w:val="000000"/>
                <w:sz w:val="24"/>
              </w:rPr>
            </w:pPr>
          </w:p>
        </w:tc>
        <w:tc>
          <w:tcPr>
            <w:tcW w:w="2168" w:type="dxa"/>
            <w:noWrap w:val="0"/>
            <w:vAlign w:val="top"/>
          </w:tcPr>
          <w:p w14:paraId="3A6A5084">
            <w:pPr>
              <w:adjustRightInd w:val="0"/>
              <w:snapToGrid w:val="0"/>
              <w:spacing w:line="400" w:lineRule="atLeast"/>
              <w:jc w:val="center"/>
              <w:rPr>
                <w:rFonts w:hint="eastAsia" w:ascii="宋体" w:hAnsi="宋体" w:eastAsia="宋体" w:cs="宋体"/>
                <w:color w:val="000000"/>
                <w:sz w:val="24"/>
              </w:rPr>
            </w:pPr>
          </w:p>
        </w:tc>
      </w:tr>
      <w:tr w14:paraId="29EE0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jc w:val="center"/>
        </w:trPr>
        <w:tc>
          <w:tcPr>
            <w:tcW w:w="1784" w:type="dxa"/>
            <w:noWrap w:val="0"/>
            <w:vAlign w:val="top"/>
          </w:tcPr>
          <w:p w14:paraId="1C60A0BE">
            <w:pPr>
              <w:adjustRightInd w:val="0"/>
              <w:snapToGrid w:val="0"/>
              <w:spacing w:line="400" w:lineRule="atLeast"/>
              <w:jc w:val="center"/>
              <w:rPr>
                <w:rFonts w:hint="eastAsia" w:ascii="宋体" w:hAnsi="宋体" w:eastAsia="宋体" w:cs="宋体"/>
                <w:color w:val="000000"/>
                <w:sz w:val="24"/>
              </w:rPr>
            </w:pPr>
          </w:p>
        </w:tc>
        <w:tc>
          <w:tcPr>
            <w:tcW w:w="2537" w:type="dxa"/>
            <w:noWrap w:val="0"/>
            <w:vAlign w:val="top"/>
          </w:tcPr>
          <w:p w14:paraId="27BB4961">
            <w:pPr>
              <w:adjustRightInd w:val="0"/>
              <w:snapToGrid w:val="0"/>
              <w:spacing w:line="400" w:lineRule="atLeast"/>
              <w:jc w:val="center"/>
              <w:rPr>
                <w:rFonts w:hint="eastAsia" w:ascii="宋体" w:hAnsi="宋体" w:eastAsia="宋体" w:cs="宋体"/>
                <w:color w:val="000000"/>
                <w:sz w:val="24"/>
              </w:rPr>
            </w:pPr>
          </w:p>
        </w:tc>
        <w:tc>
          <w:tcPr>
            <w:tcW w:w="1244" w:type="dxa"/>
            <w:noWrap w:val="0"/>
            <w:vAlign w:val="top"/>
          </w:tcPr>
          <w:p w14:paraId="1A5D8CDC">
            <w:pPr>
              <w:adjustRightInd w:val="0"/>
              <w:snapToGrid w:val="0"/>
              <w:spacing w:line="400" w:lineRule="atLeast"/>
              <w:jc w:val="center"/>
              <w:rPr>
                <w:rFonts w:hint="eastAsia" w:ascii="宋体" w:hAnsi="宋体" w:eastAsia="宋体" w:cs="宋体"/>
                <w:color w:val="000000"/>
                <w:sz w:val="24"/>
              </w:rPr>
            </w:pPr>
          </w:p>
        </w:tc>
        <w:tc>
          <w:tcPr>
            <w:tcW w:w="2169" w:type="dxa"/>
            <w:noWrap w:val="0"/>
            <w:vAlign w:val="top"/>
          </w:tcPr>
          <w:p w14:paraId="78B28A38">
            <w:pPr>
              <w:adjustRightInd w:val="0"/>
              <w:snapToGrid w:val="0"/>
              <w:spacing w:line="400" w:lineRule="atLeast"/>
              <w:jc w:val="center"/>
              <w:rPr>
                <w:rFonts w:hint="eastAsia" w:ascii="宋体" w:hAnsi="宋体" w:eastAsia="宋体" w:cs="宋体"/>
                <w:color w:val="000000"/>
                <w:sz w:val="24"/>
              </w:rPr>
            </w:pPr>
          </w:p>
        </w:tc>
        <w:tc>
          <w:tcPr>
            <w:tcW w:w="2168" w:type="dxa"/>
            <w:noWrap w:val="0"/>
            <w:vAlign w:val="top"/>
          </w:tcPr>
          <w:p w14:paraId="775D7F85">
            <w:pPr>
              <w:adjustRightInd w:val="0"/>
              <w:snapToGrid w:val="0"/>
              <w:spacing w:line="400" w:lineRule="atLeast"/>
              <w:jc w:val="center"/>
              <w:rPr>
                <w:rFonts w:hint="eastAsia" w:ascii="宋体" w:hAnsi="宋体" w:eastAsia="宋体" w:cs="宋体"/>
                <w:color w:val="000000"/>
                <w:sz w:val="24"/>
              </w:rPr>
            </w:pPr>
          </w:p>
        </w:tc>
      </w:tr>
      <w:tr w14:paraId="6E5F3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jc w:val="center"/>
        </w:trPr>
        <w:tc>
          <w:tcPr>
            <w:tcW w:w="1784" w:type="dxa"/>
            <w:noWrap w:val="0"/>
            <w:vAlign w:val="top"/>
          </w:tcPr>
          <w:p w14:paraId="4A867050">
            <w:pPr>
              <w:adjustRightInd w:val="0"/>
              <w:snapToGrid w:val="0"/>
              <w:spacing w:line="400" w:lineRule="atLeast"/>
              <w:jc w:val="center"/>
              <w:rPr>
                <w:rFonts w:hint="eastAsia" w:ascii="宋体" w:hAnsi="宋体" w:eastAsia="宋体" w:cs="宋体"/>
                <w:color w:val="000000"/>
                <w:sz w:val="24"/>
              </w:rPr>
            </w:pPr>
          </w:p>
        </w:tc>
        <w:tc>
          <w:tcPr>
            <w:tcW w:w="2537" w:type="dxa"/>
            <w:noWrap w:val="0"/>
            <w:vAlign w:val="top"/>
          </w:tcPr>
          <w:p w14:paraId="40AF3B70">
            <w:pPr>
              <w:adjustRightInd w:val="0"/>
              <w:snapToGrid w:val="0"/>
              <w:spacing w:line="400" w:lineRule="atLeast"/>
              <w:jc w:val="center"/>
              <w:rPr>
                <w:rFonts w:hint="eastAsia" w:ascii="宋体" w:hAnsi="宋体" w:eastAsia="宋体" w:cs="宋体"/>
                <w:color w:val="000000"/>
                <w:sz w:val="24"/>
              </w:rPr>
            </w:pPr>
          </w:p>
        </w:tc>
        <w:tc>
          <w:tcPr>
            <w:tcW w:w="1244" w:type="dxa"/>
            <w:noWrap w:val="0"/>
            <w:vAlign w:val="top"/>
          </w:tcPr>
          <w:p w14:paraId="6FF5CDB0">
            <w:pPr>
              <w:adjustRightInd w:val="0"/>
              <w:snapToGrid w:val="0"/>
              <w:spacing w:line="400" w:lineRule="atLeast"/>
              <w:jc w:val="center"/>
              <w:rPr>
                <w:rFonts w:hint="eastAsia" w:ascii="宋体" w:hAnsi="宋体" w:eastAsia="宋体" w:cs="宋体"/>
                <w:color w:val="000000"/>
                <w:sz w:val="24"/>
              </w:rPr>
            </w:pPr>
          </w:p>
        </w:tc>
        <w:tc>
          <w:tcPr>
            <w:tcW w:w="2169" w:type="dxa"/>
            <w:noWrap w:val="0"/>
            <w:vAlign w:val="top"/>
          </w:tcPr>
          <w:p w14:paraId="52549D74">
            <w:pPr>
              <w:adjustRightInd w:val="0"/>
              <w:snapToGrid w:val="0"/>
              <w:spacing w:line="400" w:lineRule="atLeast"/>
              <w:jc w:val="center"/>
              <w:rPr>
                <w:rFonts w:hint="eastAsia" w:ascii="宋体" w:hAnsi="宋体" w:eastAsia="宋体" w:cs="宋体"/>
                <w:color w:val="000000"/>
                <w:sz w:val="24"/>
              </w:rPr>
            </w:pPr>
          </w:p>
        </w:tc>
        <w:tc>
          <w:tcPr>
            <w:tcW w:w="2168" w:type="dxa"/>
            <w:noWrap w:val="0"/>
            <w:vAlign w:val="top"/>
          </w:tcPr>
          <w:p w14:paraId="6A355794">
            <w:pPr>
              <w:adjustRightInd w:val="0"/>
              <w:snapToGrid w:val="0"/>
              <w:spacing w:line="400" w:lineRule="atLeast"/>
              <w:jc w:val="center"/>
              <w:rPr>
                <w:rFonts w:hint="eastAsia" w:ascii="宋体" w:hAnsi="宋体" w:eastAsia="宋体" w:cs="宋体"/>
                <w:color w:val="000000"/>
                <w:sz w:val="24"/>
              </w:rPr>
            </w:pPr>
          </w:p>
        </w:tc>
      </w:tr>
      <w:tr w14:paraId="54D7D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jc w:val="center"/>
        </w:trPr>
        <w:tc>
          <w:tcPr>
            <w:tcW w:w="1784" w:type="dxa"/>
            <w:noWrap w:val="0"/>
            <w:vAlign w:val="top"/>
          </w:tcPr>
          <w:p w14:paraId="1576B0C4">
            <w:pPr>
              <w:adjustRightInd w:val="0"/>
              <w:snapToGrid w:val="0"/>
              <w:spacing w:line="400" w:lineRule="atLeast"/>
              <w:jc w:val="center"/>
              <w:rPr>
                <w:rFonts w:hint="eastAsia" w:ascii="宋体" w:hAnsi="宋体" w:eastAsia="宋体" w:cs="宋体"/>
                <w:color w:val="000000"/>
                <w:sz w:val="24"/>
              </w:rPr>
            </w:pPr>
          </w:p>
        </w:tc>
        <w:tc>
          <w:tcPr>
            <w:tcW w:w="2537" w:type="dxa"/>
            <w:noWrap w:val="0"/>
            <w:vAlign w:val="top"/>
          </w:tcPr>
          <w:p w14:paraId="142EED86">
            <w:pPr>
              <w:adjustRightInd w:val="0"/>
              <w:snapToGrid w:val="0"/>
              <w:spacing w:line="400" w:lineRule="atLeast"/>
              <w:jc w:val="center"/>
              <w:rPr>
                <w:rFonts w:hint="eastAsia" w:ascii="宋体" w:hAnsi="宋体" w:eastAsia="宋体" w:cs="宋体"/>
                <w:color w:val="000000"/>
                <w:sz w:val="24"/>
              </w:rPr>
            </w:pPr>
          </w:p>
        </w:tc>
        <w:tc>
          <w:tcPr>
            <w:tcW w:w="1244" w:type="dxa"/>
            <w:noWrap w:val="0"/>
            <w:vAlign w:val="top"/>
          </w:tcPr>
          <w:p w14:paraId="5F3ABE47">
            <w:pPr>
              <w:adjustRightInd w:val="0"/>
              <w:snapToGrid w:val="0"/>
              <w:spacing w:line="400" w:lineRule="atLeast"/>
              <w:jc w:val="center"/>
              <w:rPr>
                <w:rFonts w:hint="eastAsia" w:ascii="宋体" w:hAnsi="宋体" w:eastAsia="宋体" w:cs="宋体"/>
                <w:color w:val="000000"/>
                <w:sz w:val="24"/>
              </w:rPr>
            </w:pPr>
          </w:p>
        </w:tc>
        <w:tc>
          <w:tcPr>
            <w:tcW w:w="2169" w:type="dxa"/>
            <w:noWrap w:val="0"/>
            <w:vAlign w:val="top"/>
          </w:tcPr>
          <w:p w14:paraId="059A8ECB">
            <w:pPr>
              <w:adjustRightInd w:val="0"/>
              <w:snapToGrid w:val="0"/>
              <w:spacing w:line="400" w:lineRule="atLeast"/>
              <w:jc w:val="center"/>
              <w:rPr>
                <w:rFonts w:hint="eastAsia" w:ascii="宋体" w:hAnsi="宋体" w:eastAsia="宋体" w:cs="宋体"/>
                <w:color w:val="000000"/>
                <w:sz w:val="24"/>
              </w:rPr>
            </w:pPr>
          </w:p>
        </w:tc>
        <w:tc>
          <w:tcPr>
            <w:tcW w:w="2168" w:type="dxa"/>
            <w:noWrap w:val="0"/>
            <w:vAlign w:val="top"/>
          </w:tcPr>
          <w:p w14:paraId="1C108146">
            <w:pPr>
              <w:adjustRightInd w:val="0"/>
              <w:snapToGrid w:val="0"/>
              <w:spacing w:line="400" w:lineRule="atLeast"/>
              <w:jc w:val="center"/>
              <w:rPr>
                <w:rFonts w:hint="eastAsia" w:ascii="宋体" w:hAnsi="宋体" w:eastAsia="宋体" w:cs="宋体"/>
                <w:color w:val="000000"/>
                <w:sz w:val="24"/>
              </w:rPr>
            </w:pPr>
          </w:p>
        </w:tc>
      </w:tr>
      <w:tr w14:paraId="29460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jc w:val="center"/>
        </w:trPr>
        <w:tc>
          <w:tcPr>
            <w:tcW w:w="1784" w:type="dxa"/>
            <w:noWrap w:val="0"/>
            <w:vAlign w:val="top"/>
          </w:tcPr>
          <w:p w14:paraId="26537146">
            <w:pPr>
              <w:adjustRightInd w:val="0"/>
              <w:snapToGrid w:val="0"/>
              <w:spacing w:line="400" w:lineRule="atLeast"/>
              <w:jc w:val="center"/>
              <w:rPr>
                <w:rFonts w:hint="eastAsia" w:ascii="宋体" w:hAnsi="宋体" w:eastAsia="宋体" w:cs="宋体"/>
                <w:color w:val="000000"/>
                <w:sz w:val="24"/>
              </w:rPr>
            </w:pPr>
          </w:p>
        </w:tc>
        <w:tc>
          <w:tcPr>
            <w:tcW w:w="2537" w:type="dxa"/>
            <w:noWrap w:val="0"/>
            <w:vAlign w:val="top"/>
          </w:tcPr>
          <w:p w14:paraId="05007D93">
            <w:pPr>
              <w:adjustRightInd w:val="0"/>
              <w:snapToGrid w:val="0"/>
              <w:spacing w:line="400" w:lineRule="atLeast"/>
              <w:jc w:val="center"/>
              <w:rPr>
                <w:rFonts w:hint="eastAsia" w:ascii="宋体" w:hAnsi="宋体" w:eastAsia="宋体" w:cs="宋体"/>
                <w:color w:val="000000"/>
                <w:sz w:val="24"/>
              </w:rPr>
            </w:pPr>
          </w:p>
        </w:tc>
        <w:tc>
          <w:tcPr>
            <w:tcW w:w="1244" w:type="dxa"/>
            <w:noWrap w:val="0"/>
            <w:vAlign w:val="top"/>
          </w:tcPr>
          <w:p w14:paraId="122D2254">
            <w:pPr>
              <w:adjustRightInd w:val="0"/>
              <w:snapToGrid w:val="0"/>
              <w:spacing w:line="400" w:lineRule="atLeast"/>
              <w:jc w:val="center"/>
              <w:rPr>
                <w:rFonts w:hint="eastAsia" w:ascii="宋体" w:hAnsi="宋体" w:eastAsia="宋体" w:cs="宋体"/>
                <w:color w:val="000000"/>
                <w:sz w:val="24"/>
              </w:rPr>
            </w:pPr>
          </w:p>
        </w:tc>
        <w:tc>
          <w:tcPr>
            <w:tcW w:w="2169" w:type="dxa"/>
            <w:noWrap w:val="0"/>
            <w:vAlign w:val="top"/>
          </w:tcPr>
          <w:p w14:paraId="3915B3A9">
            <w:pPr>
              <w:adjustRightInd w:val="0"/>
              <w:snapToGrid w:val="0"/>
              <w:spacing w:line="400" w:lineRule="atLeast"/>
              <w:jc w:val="center"/>
              <w:rPr>
                <w:rFonts w:hint="eastAsia" w:ascii="宋体" w:hAnsi="宋体" w:eastAsia="宋体" w:cs="宋体"/>
                <w:color w:val="000000"/>
                <w:sz w:val="24"/>
              </w:rPr>
            </w:pPr>
          </w:p>
        </w:tc>
        <w:tc>
          <w:tcPr>
            <w:tcW w:w="2168" w:type="dxa"/>
            <w:noWrap w:val="0"/>
            <w:vAlign w:val="top"/>
          </w:tcPr>
          <w:p w14:paraId="367F892F">
            <w:pPr>
              <w:adjustRightInd w:val="0"/>
              <w:snapToGrid w:val="0"/>
              <w:spacing w:line="400" w:lineRule="atLeast"/>
              <w:jc w:val="center"/>
              <w:rPr>
                <w:rFonts w:hint="eastAsia" w:ascii="宋体" w:hAnsi="宋体" w:eastAsia="宋体" w:cs="宋体"/>
                <w:color w:val="000000"/>
                <w:sz w:val="24"/>
              </w:rPr>
            </w:pPr>
          </w:p>
        </w:tc>
      </w:tr>
      <w:tr w14:paraId="49442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jc w:val="center"/>
        </w:trPr>
        <w:tc>
          <w:tcPr>
            <w:tcW w:w="1784" w:type="dxa"/>
            <w:noWrap w:val="0"/>
            <w:vAlign w:val="top"/>
          </w:tcPr>
          <w:p w14:paraId="60E1B233">
            <w:pPr>
              <w:adjustRightInd w:val="0"/>
              <w:snapToGrid w:val="0"/>
              <w:spacing w:line="400" w:lineRule="atLeast"/>
              <w:jc w:val="center"/>
              <w:rPr>
                <w:rFonts w:hint="eastAsia" w:ascii="宋体" w:hAnsi="宋体" w:eastAsia="宋体" w:cs="宋体"/>
                <w:color w:val="000000"/>
                <w:sz w:val="24"/>
              </w:rPr>
            </w:pPr>
          </w:p>
        </w:tc>
        <w:tc>
          <w:tcPr>
            <w:tcW w:w="2537" w:type="dxa"/>
            <w:noWrap w:val="0"/>
            <w:vAlign w:val="top"/>
          </w:tcPr>
          <w:p w14:paraId="1F27247B">
            <w:pPr>
              <w:adjustRightInd w:val="0"/>
              <w:snapToGrid w:val="0"/>
              <w:spacing w:line="400" w:lineRule="atLeast"/>
              <w:jc w:val="center"/>
              <w:rPr>
                <w:rFonts w:hint="eastAsia" w:ascii="宋体" w:hAnsi="宋体" w:eastAsia="宋体" w:cs="宋体"/>
                <w:color w:val="000000"/>
                <w:sz w:val="24"/>
              </w:rPr>
            </w:pPr>
          </w:p>
        </w:tc>
        <w:tc>
          <w:tcPr>
            <w:tcW w:w="1244" w:type="dxa"/>
            <w:noWrap w:val="0"/>
            <w:vAlign w:val="top"/>
          </w:tcPr>
          <w:p w14:paraId="1C791C85">
            <w:pPr>
              <w:adjustRightInd w:val="0"/>
              <w:snapToGrid w:val="0"/>
              <w:spacing w:line="400" w:lineRule="atLeast"/>
              <w:jc w:val="center"/>
              <w:rPr>
                <w:rFonts w:hint="eastAsia" w:ascii="宋体" w:hAnsi="宋体" w:eastAsia="宋体" w:cs="宋体"/>
                <w:color w:val="000000"/>
                <w:sz w:val="24"/>
              </w:rPr>
            </w:pPr>
          </w:p>
        </w:tc>
        <w:tc>
          <w:tcPr>
            <w:tcW w:w="2169" w:type="dxa"/>
            <w:noWrap w:val="0"/>
            <w:vAlign w:val="top"/>
          </w:tcPr>
          <w:p w14:paraId="272D3AAB">
            <w:pPr>
              <w:adjustRightInd w:val="0"/>
              <w:snapToGrid w:val="0"/>
              <w:spacing w:line="400" w:lineRule="atLeast"/>
              <w:jc w:val="center"/>
              <w:rPr>
                <w:rFonts w:hint="eastAsia" w:ascii="宋体" w:hAnsi="宋体" w:eastAsia="宋体" w:cs="宋体"/>
                <w:color w:val="000000"/>
                <w:sz w:val="24"/>
              </w:rPr>
            </w:pPr>
          </w:p>
        </w:tc>
        <w:tc>
          <w:tcPr>
            <w:tcW w:w="2168" w:type="dxa"/>
            <w:noWrap w:val="0"/>
            <w:vAlign w:val="top"/>
          </w:tcPr>
          <w:p w14:paraId="70FDA071">
            <w:pPr>
              <w:adjustRightInd w:val="0"/>
              <w:snapToGrid w:val="0"/>
              <w:spacing w:line="400" w:lineRule="atLeast"/>
              <w:jc w:val="center"/>
              <w:rPr>
                <w:rFonts w:hint="eastAsia" w:ascii="宋体" w:hAnsi="宋体" w:eastAsia="宋体" w:cs="宋体"/>
                <w:color w:val="000000"/>
                <w:sz w:val="24"/>
              </w:rPr>
            </w:pPr>
          </w:p>
        </w:tc>
      </w:tr>
      <w:tr w14:paraId="280C2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jc w:val="center"/>
        </w:trPr>
        <w:tc>
          <w:tcPr>
            <w:tcW w:w="1784" w:type="dxa"/>
            <w:noWrap w:val="0"/>
            <w:vAlign w:val="top"/>
          </w:tcPr>
          <w:p w14:paraId="05F05EB0">
            <w:pPr>
              <w:adjustRightInd w:val="0"/>
              <w:snapToGrid w:val="0"/>
              <w:spacing w:line="400" w:lineRule="atLeast"/>
              <w:jc w:val="center"/>
              <w:rPr>
                <w:rFonts w:hint="eastAsia" w:ascii="宋体" w:hAnsi="宋体" w:eastAsia="宋体" w:cs="宋体"/>
                <w:color w:val="000000"/>
                <w:sz w:val="24"/>
              </w:rPr>
            </w:pPr>
          </w:p>
        </w:tc>
        <w:tc>
          <w:tcPr>
            <w:tcW w:w="2537" w:type="dxa"/>
            <w:noWrap w:val="0"/>
            <w:vAlign w:val="top"/>
          </w:tcPr>
          <w:p w14:paraId="7C71198C">
            <w:pPr>
              <w:adjustRightInd w:val="0"/>
              <w:snapToGrid w:val="0"/>
              <w:spacing w:line="400" w:lineRule="atLeast"/>
              <w:jc w:val="center"/>
              <w:rPr>
                <w:rFonts w:hint="eastAsia" w:ascii="宋体" w:hAnsi="宋体" w:eastAsia="宋体" w:cs="宋体"/>
                <w:color w:val="000000"/>
                <w:sz w:val="24"/>
              </w:rPr>
            </w:pPr>
          </w:p>
        </w:tc>
        <w:tc>
          <w:tcPr>
            <w:tcW w:w="1244" w:type="dxa"/>
            <w:noWrap w:val="0"/>
            <w:vAlign w:val="top"/>
          </w:tcPr>
          <w:p w14:paraId="7C2415B3">
            <w:pPr>
              <w:adjustRightInd w:val="0"/>
              <w:snapToGrid w:val="0"/>
              <w:spacing w:line="400" w:lineRule="atLeast"/>
              <w:jc w:val="center"/>
              <w:rPr>
                <w:rFonts w:hint="eastAsia" w:ascii="宋体" w:hAnsi="宋体" w:eastAsia="宋体" w:cs="宋体"/>
                <w:color w:val="000000"/>
                <w:sz w:val="24"/>
              </w:rPr>
            </w:pPr>
          </w:p>
        </w:tc>
        <w:tc>
          <w:tcPr>
            <w:tcW w:w="2169" w:type="dxa"/>
            <w:noWrap w:val="0"/>
            <w:vAlign w:val="top"/>
          </w:tcPr>
          <w:p w14:paraId="4564303A">
            <w:pPr>
              <w:adjustRightInd w:val="0"/>
              <w:snapToGrid w:val="0"/>
              <w:spacing w:line="400" w:lineRule="atLeast"/>
              <w:jc w:val="center"/>
              <w:rPr>
                <w:rFonts w:hint="eastAsia" w:ascii="宋体" w:hAnsi="宋体" w:eastAsia="宋体" w:cs="宋体"/>
                <w:color w:val="000000"/>
                <w:sz w:val="24"/>
              </w:rPr>
            </w:pPr>
          </w:p>
        </w:tc>
        <w:tc>
          <w:tcPr>
            <w:tcW w:w="2168" w:type="dxa"/>
            <w:noWrap w:val="0"/>
            <w:vAlign w:val="top"/>
          </w:tcPr>
          <w:p w14:paraId="353C7DC0">
            <w:pPr>
              <w:adjustRightInd w:val="0"/>
              <w:snapToGrid w:val="0"/>
              <w:spacing w:line="400" w:lineRule="atLeast"/>
              <w:jc w:val="center"/>
              <w:rPr>
                <w:rFonts w:hint="eastAsia" w:ascii="宋体" w:hAnsi="宋体" w:eastAsia="宋体" w:cs="宋体"/>
                <w:color w:val="000000"/>
                <w:sz w:val="24"/>
              </w:rPr>
            </w:pPr>
          </w:p>
        </w:tc>
      </w:tr>
    </w:tbl>
    <w:p w14:paraId="345C57E7">
      <w:pPr>
        <w:adjustRightInd w:val="0"/>
        <w:snapToGrid w:val="0"/>
        <w:spacing w:line="400" w:lineRule="atLeast"/>
        <w:rPr>
          <w:rFonts w:hint="eastAsia" w:ascii="仿宋" w:hAnsi="仿宋" w:eastAsia="仿宋" w:cs="仿宋"/>
          <w:lang w:eastAsia="zh-CN"/>
        </w:rPr>
      </w:pPr>
      <w:r>
        <w:rPr>
          <w:rFonts w:hint="eastAsia" w:ascii="仿宋" w:hAnsi="仿宋" w:eastAsia="仿宋" w:cs="仿宋"/>
          <w:szCs w:val="21"/>
        </w:rPr>
        <w:t>注：投标人可按上述的格式自行编制，须随表提交相应的购买发票</w:t>
      </w:r>
      <w:r>
        <w:rPr>
          <w:rFonts w:hint="eastAsia" w:ascii="仿宋" w:hAnsi="仿宋" w:eastAsia="仿宋" w:cs="仿宋"/>
          <w:szCs w:val="21"/>
          <w:lang w:eastAsia="zh-CN"/>
        </w:rPr>
        <w:t>原件扫描件</w:t>
      </w:r>
      <w:r>
        <w:rPr>
          <w:rFonts w:hint="eastAsia" w:ascii="仿宋" w:hAnsi="仿宋" w:eastAsia="仿宋" w:cs="仿宋"/>
          <w:szCs w:val="21"/>
        </w:rPr>
        <w:t>或者租赁合同</w:t>
      </w:r>
      <w:r>
        <w:rPr>
          <w:rFonts w:hint="eastAsia" w:ascii="仿宋" w:hAnsi="仿宋" w:eastAsia="仿宋" w:cs="仿宋"/>
          <w:szCs w:val="21"/>
          <w:lang w:eastAsia="zh-CN"/>
        </w:rPr>
        <w:t>。</w:t>
      </w:r>
    </w:p>
    <w:p w14:paraId="116857FA">
      <w:pPr>
        <w:adjustRightInd w:val="0"/>
        <w:snapToGrid w:val="0"/>
        <w:spacing w:line="400" w:lineRule="atLeast"/>
        <w:rPr>
          <w:rFonts w:hint="eastAsia" w:ascii="仿宋" w:hAnsi="仿宋" w:eastAsia="仿宋" w:cs="仿宋"/>
          <w:b/>
          <w:color w:val="000000"/>
          <w:szCs w:val="21"/>
        </w:rPr>
      </w:pPr>
    </w:p>
    <w:p w14:paraId="1CE52D16">
      <w:pPr>
        <w:pStyle w:val="34"/>
        <w:rPr>
          <w:rFonts w:hint="eastAsia"/>
        </w:rPr>
      </w:pPr>
    </w:p>
    <w:p w14:paraId="7A12E53E">
      <w:pPr>
        <w:pStyle w:val="26"/>
        <w:rPr>
          <w:rFonts w:hint="eastAsia" w:ascii="仿宋" w:hAnsi="仿宋" w:eastAsia="仿宋" w:cs="仿宋"/>
          <w:color w:val="auto"/>
          <w:szCs w:val="21"/>
        </w:rPr>
      </w:pPr>
      <w:r>
        <w:rPr>
          <w:rFonts w:hint="eastAsia" w:ascii="仿宋" w:hAnsi="仿宋" w:eastAsia="仿宋" w:cs="仿宋"/>
          <w:color w:val="auto"/>
          <w:szCs w:val="21"/>
        </w:rPr>
        <w:t>投标人名称（盖章） ：</w:t>
      </w:r>
      <w:r>
        <w:rPr>
          <w:rFonts w:hint="eastAsia" w:ascii="仿宋" w:hAnsi="仿宋" w:eastAsia="仿宋" w:cs="仿宋"/>
          <w:color w:val="auto"/>
          <w:szCs w:val="21"/>
          <w:u w:val="single"/>
        </w:rPr>
        <w:t xml:space="preserve">                               </w:t>
      </w:r>
    </w:p>
    <w:p w14:paraId="5E9F2E92">
      <w:pPr>
        <w:pStyle w:val="26"/>
        <w:rPr>
          <w:rFonts w:hint="eastAsia" w:ascii="仿宋" w:hAnsi="仿宋" w:eastAsia="仿宋" w:cs="仿宋"/>
          <w:color w:val="auto"/>
          <w:szCs w:val="21"/>
        </w:rPr>
      </w:pPr>
    </w:p>
    <w:p w14:paraId="55B02FCF">
      <w:pPr>
        <w:pStyle w:val="26"/>
        <w:rPr>
          <w:rFonts w:hint="eastAsia" w:ascii="仿宋" w:hAnsi="仿宋" w:eastAsia="仿宋" w:cs="仿宋"/>
          <w:color w:val="auto"/>
          <w:szCs w:val="21"/>
        </w:rPr>
      </w:pPr>
    </w:p>
    <w:p w14:paraId="2F938018">
      <w:pPr>
        <w:pStyle w:val="26"/>
        <w:rPr>
          <w:rFonts w:hint="eastAsia" w:ascii="仿宋" w:hAnsi="仿宋" w:eastAsia="仿宋" w:cs="仿宋"/>
          <w:color w:val="auto"/>
          <w:szCs w:val="21"/>
        </w:rPr>
      </w:pPr>
      <w:r>
        <w:rPr>
          <w:rFonts w:hint="eastAsia" w:ascii="仿宋" w:hAnsi="仿宋" w:eastAsia="仿宋" w:cs="仿宋"/>
          <w:color w:val="auto"/>
          <w:szCs w:val="21"/>
        </w:rPr>
        <w:t>日期：   年   月   日</w:t>
      </w:r>
    </w:p>
    <w:p w14:paraId="138E3B7E">
      <w:pPr>
        <w:rPr>
          <w:rFonts w:hint="eastAsia" w:ascii="仿宋" w:hAnsi="仿宋" w:eastAsia="仿宋" w:cs="仿宋"/>
          <w:b/>
          <w:szCs w:val="21"/>
        </w:rPr>
      </w:pPr>
    </w:p>
    <w:bookmarkEnd w:id="61"/>
    <w:bookmarkEnd w:id="62"/>
    <w:p w14:paraId="7AF3C1C9">
      <w:pPr>
        <w:rPr>
          <w:rFonts w:hint="eastAsia" w:ascii="仿宋" w:hAnsi="仿宋" w:eastAsia="仿宋" w:cs="仿宋"/>
          <w:b/>
          <w:color w:val="auto"/>
          <w:szCs w:val="21"/>
        </w:rPr>
      </w:pPr>
      <w:r>
        <w:rPr>
          <w:rFonts w:hint="eastAsia" w:ascii="仿宋" w:hAnsi="仿宋" w:eastAsia="仿宋" w:cs="仿宋"/>
          <w:b/>
          <w:color w:val="auto"/>
          <w:szCs w:val="21"/>
        </w:rPr>
        <w:br w:type="page"/>
      </w:r>
      <w:bookmarkStart w:id="63" w:name="附件8"/>
    </w:p>
    <w:p w14:paraId="62B94F11">
      <w:pPr>
        <w:adjustRightInd w:val="0"/>
        <w:snapToGrid w:val="0"/>
        <w:spacing w:line="300" w:lineRule="auto"/>
        <w:rPr>
          <w:rFonts w:hint="eastAsia" w:ascii="仿宋" w:hAnsi="仿宋" w:eastAsia="仿宋" w:cs="仿宋"/>
          <w:b/>
          <w:strike w:val="0"/>
          <w:dstrike/>
          <w:color w:val="auto"/>
          <w:sz w:val="24"/>
          <w:lang w:val="en-US" w:eastAsia="zh-CN"/>
        </w:rPr>
      </w:pPr>
      <w:r>
        <w:rPr>
          <w:rFonts w:hint="eastAsia" w:ascii="仿宋" w:hAnsi="仿宋" w:eastAsia="仿宋" w:cs="仿宋"/>
          <w:b/>
          <w:color w:val="auto"/>
          <w:szCs w:val="21"/>
        </w:rPr>
        <w:t>附件</w:t>
      </w:r>
      <w:r>
        <w:rPr>
          <w:rFonts w:hint="eastAsia" w:ascii="仿宋" w:hAnsi="仿宋" w:eastAsia="仿宋" w:cs="仿宋"/>
          <w:b/>
          <w:color w:val="auto"/>
          <w:szCs w:val="21"/>
          <w:lang w:val="en-US" w:eastAsia="zh-CN"/>
        </w:rPr>
        <w:t>9</w:t>
      </w:r>
    </w:p>
    <w:bookmarkEnd w:id="63"/>
    <w:p w14:paraId="003ED656">
      <w:pPr>
        <w:spacing w:line="460" w:lineRule="exact"/>
        <w:outlineLvl w:val="9"/>
        <w:rPr>
          <w:rFonts w:hint="eastAsia" w:ascii="仿宋" w:hAnsi="仿宋" w:eastAsia="仿宋" w:cs="仿宋"/>
          <w:b/>
          <w:bCs/>
          <w:color w:val="auto"/>
          <w:kern w:val="0"/>
          <w:sz w:val="30"/>
          <w:szCs w:val="30"/>
          <w:lang w:eastAsia="zh-CN"/>
        </w:rPr>
      </w:pPr>
    </w:p>
    <w:p w14:paraId="7A6DEEF8">
      <w:pPr>
        <w:spacing w:line="500" w:lineRule="exact"/>
        <w:jc w:val="center"/>
        <w:rPr>
          <w:rFonts w:hint="eastAsia" w:ascii="仿宋" w:hAnsi="仿宋" w:eastAsia="仿宋" w:cs="仿宋"/>
          <w:b/>
          <w:bCs/>
          <w:color w:val="auto"/>
          <w:sz w:val="28"/>
          <w:szCs w:val="28"/>
        </w:rPr>
      </w:pPr>
      <w:r>
        <w:rPr>
          <w:rFonts w:hint="eastAsia" w:ascii="仿宋" w:hAnsi="仿宋" w:eastAsia="仿宋" w:cs="仿宋"/>
          <w:b/>
          <w:bCs/>
          <w:color w:val="auto"/>
          <w:sz w:val="28"/>
          <w:szCs w:val="28"/>
        </w:rPr>
        <w:t>项目业绩一览表</w:t>
      </w:r>
    </w:p>
    <w:p w14:paraId="1F450B86">
      <w:pPr>
        <w:spacing w:line="600" w:lineRule="exact"/>
        <w:ind w:firstLine="525" w:firstLineChars="250"/>
        <w:rPr>
          <w:rFonts w:hint="eastAsia" w:ascii="仿宋" w:hAnsi="仿宋" w:eastAsia="仿宋" w:cs="仿宋"/>
          <w:b/>
          <w:color w:val="auto"/>
          <w:sz w:val="32"/>
          <w:szCs w:val="32"/>
        </w:rPr>
      </w:pPr>
      <w:r>
        <w:rPr>
          <w:rFonts w:hint="eastAsia" w:ascii="仿宋" w:hAnsi="仿宋" w:eastAsia="仿宋" w:cs="仿宋"/>
          <w:color w:val="auto"/>
          <w:highlight w:val="none"/>
        </w:rPr>
        <w:t>项目名称</w:t>
      </w:r>
      <w:r>
        <w:rPr>
          <w:rFonts w:hint="eastAsia" w:ascii="仿宋" w:hAnsi="仿宋" w:eastAsia="仿宋" w:cs="仿宋"/>
          <w:color w:val="auto"/>
          <w:u w:val="single"/>
        </w:rPr>
        <w:t xml:space="preserve">                         </w:t>
      </w:r>
      <w:r>
        <w:rPr>
          <w:rFonts w:hint="eastAsia" w:ascii="仿宋" w:hAnsi="仿宋" w:eastAsia="仿宋" w:cs="仿宋"/>
          <w:color w:val="auto"/>
        </w:rPr>
        <w:t xml:space="preserve">                 项目编号：</w:t>
      </w:r>
      <w:r>
        <w:rPr>
          <w:rFonts w:hint="eastAsia" w:ascii="仿宋" w:hAnsi="仿宋" w:eastAsia="仿宋" w:cs="仿宋"/>
          <w:color w:val="auto"/>
          <w:u w:val="single"/>
        </w:rPr>
        <w:t xml:space="preserve">                     </w:t>
      </w:r>
    </w:p>
    <w:tbl>
      <w:tblPr>
        <w:tblStyle w:val="50"/>
        <w:tblW w:w="91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
        <w:gridCol w:w="2452"/>
        <w:gridCol w:w="1942"/>
        <w:gridCol w:w="1263"/>
        <w:gridCol w:w="2605"/>
      </w:tblGrid>
      <w:tr w14:paraId="40C49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935" w:type="dxa"/>
            <w:vAlign w:val="center"/>
          </w:tcPr>
          <w:p w14:paraId="6DCE68FD">
            <w:pPr>
              <w:ind w:left="560" w:hanging="560"/>
              <w:jc w:val="center"/>
              <w:rPr>
                <w:rFonts w:hint="eastAsia" w:ascii="仿宋" w:hAnsi="仿宋" w:eastAsia="仿宋" w:cs="仿宋"/>
                <w:color w:val="auto"/>
                <w:szCs w:val="21"/>
              </w:rPr>
            </w:pPr>
            <w:r>
              <w:rPr>
                <w:rFonts w:hint="eastAsia" w:ascii="仿宋" w:hAnsi="仿宋" w:eastAsia="仿宋" w:cs="仿宋"/>
                <w:color w:val="auto"/>
                <w:szCs w:val="21"/>
              </w:rPr>
              <w:t>序 号</w:t>
            </w:r>
          </w:p>
        </w:tc>
        <w:tc>
          <w:tcPr>
            <w:tcW w:w="2452" w:type="dxa"/>
            <w:vAlign w:val="center"/>
          </w:tcPr>
          <w:p w14:paraId="7AAD936E">
            <w:pPr>
              <w:ind w:left="560" w:hanging="560"/>
              <w:jc w:val="center"/>
              <w:rPr>
                <w:rFonts w:hint="eastAsia" w:ascii="仿宋" w:hAnsi="仿宋" w:eastAsia="仿宋" w:cs="仿宋"/>
                <w:color w:val="auto"/>
                <w:szCs w:val="21"/>
              </w:rPr>
            </w:pPr>
            <w:r>
              <w:rPr>
                <w:rFonts w:hint="eastAsia" w:ascii="仿宋" w:hAnsi="仿宋" w:eastAsia="仿宋" w:cs="仿宋"/>
                <w:color w:val="auto"/>
                <w:szCs w:val="21"/>
              </w:rPr>
              <w:t>项目名称</w:t>
            </w:r>
          </w:p>
        </w:tc>
        <w:tc>
          <w:tcPr>
            <w:tcW w:w="1942" w:type="dxa"/>
            <w:vAlign w:val="center"/>
          </w:tcPr>
          <w:p w14:paraId="7C426A20">
            <w:pPr>
              <w:ind w:left="560" w:hanging="560"/>
              <w:jc w:val="center"/>
              <w:rPr>
                <w:rFonts w:hint="eastAsia" w:ascii="仿宋" w:hAnsi="仿宋" w:eastAsia="仿宋" w:cs="仿宋"/>
                <w:color w:val="auto"/>
                <w:szCs w:val="21"/>
              </w:rPr>
            </w:pPr>
            <w:r>
              <w:rPr>
                <w:rFonts w:hint="eastAsia" w:ascii="仿宋" w:hAnsi="仿宋" w:eastAsia="仿宋" w:cs="仿宋"/>
                <w:color w:val="auto"/>
                <w:szCs w:val="21"/>
              </w:rPr>
              <w:t>合同金额（万元）</w:t>
            </w:r>
          </w:p>
        </w:tc>
        <w:tc>
          <w:tcPr>
            <w:tcW w:w="1263" w:type="dxa"/>
            <w:vAlign w:val="center"/>
          </w:tcPr>
          <w:p w14:paraId="5E63052D">
            <w:pPr>
              <w:ind w:left="560" w:hanging="560"/>
              <w:jc w:val="center"/>
              <w:rPr>
                <w:rFonts w:hint="eastAsia" w:ascii="仿宋" w:hAnsi="仿宋" w:eastAsia="仿宋" w:cs="仿宋"/>
                <w:color w:val="auto"/>
                <w:szCs w:val="21"/>
              </w:rPr>
            </w:pPr>
            <w:r>
              <w:rPr>
                <w:rFonts w:hint="eastAsia" w:ascii="仿宋" w:hAnsi="仿宋" w:eastAsia="仿宋" w:cs="仿宋"/>
                <w:color w:val="auto"/>
                <w:szCs w:val="21"/>
              </w:rPr>
              <w:t>实施时间</w:t>
            </w:r>
          </w:p>
        </w:tc>
        <w:tc>
          <w:tcPr>
            <w:tcW w:w="2605" w:type="dxa"/>
            <w:vAlign w:val="center"/>
          </w:tcPr>
          <w:p w14:paraId="3B6AFFB6">
            <w:pPr>
              <w:ind w:left="560" w:hanging="560"/>
              <w:jc w:val="center"/>
              <w:rPr>
                <w:rFonts w:hint="eastAsia" w:ascii="仿宋" w:hAnsi="仿宋" w:eastAsia="仿宋" w:cs="仿宋"/>
                <w:color w:val="auto"/>
                <w:szCs w:val="21"/>
              </w:rPr>
            </w:pPr>
            <w:r>
              <w:rPr>
                <w:rFonts w:hint="eastAsia" w:ascii="仿宋" w:hAnsi="仿宋" w:eastAsia="仿宋" w:cs="仿宋"/>
                <w:color w:val="auto"/>
                <w:szCs w:val="21"/>
              </w:rPr>
              <w:t>委托单位/联系电话</w:t>
            </w:r>
          </w:p>
        </w:tc>
      </w:tr>
      <w:tr w14:paraId="78AFD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935" w:type="dxa"/>
            <w:vAlign w:val="center"/>
          </w:tcPr>
          <w:p w14:paraId="71ADA919">
            <w:pPr>
              <w:ind w:left="560" w:hanging="560"/>
              <w:jc w:val="center"/>
              <w:rPr>
                <w:rFonts w:hint="eastAsia" w:ascii="仿宋" w:hAnsi="仿宋" w:eastAsia="仿宋" w:cs="仿宋"/>
                <w:color w:val="auto"/>
                <w:szCs w:val="21"/>
              </w:rPr>
            </w:pPr>
          </w:p>
        </w:tc>
        <w:tc>
          <w:tcPr>
            <w:tcW w:w="2452" w:type="dxa"/>
            <w:vAlign w:val="center"/>
          </w:tcPr>
          <w:p w14:paraId="7A35F5FF">
            <w:pPr>
              <w:ind w:left="560" w:hanging="560"/>
              <w:jc w:val="center"/>
              <w:rPr>
                <w:rFonts w:hint="eastAsia" w:ascii="仿宋" w:hAnsi="仿宋" w:eastAsia="仿宋" w:cs="仿宋"/>
                <w:color w:val="auto"/>
                <w:szCs w:val="21"/>
              </w:rPr>
            </w:pPr>
          </w:p>
        </w:tc>
        <w:tc>
          <w:tcPr>
            <w:tcW w:w="1942" w:type="dxa"/>
            <w:vAlign w:val="center"/>
          </w:tcPr>
          <w:p w14:paraId="2FB14A7F">
            <w:pPr>
              <w:ind w:left="560" w:hanging="560"/>
              <w:jc w:val="center"/>
              <w:rPr>
                <w:rFonts w:hint="eastAsia" w:ascii="仿宋" w:hAnsi="仿宋" w:eastAsia="仿宋" w:cs="仿宋"/>
                <w:color w:val="auto"/>
                <w:szCs w:val="21"/>
              </w:rPr>
            </w:pPr>
          </w:p>
        </w:tc>
        <w:tc>
          <w:tcPr>
            <w:tcW w:w="1263" w:type="dxa"/>
            <w:vAlign w:val="center"/>
          </w:tcPr>
          <w:p w14:paraId="14F39B3B">
            <w:pPr>
              <w:ind w:left="560" w:hanging="560"/>
              <w:jc w:val="center"/>
              <w:rPr>
                <w:rFonts w:hint="eastAsia" w:ascii="仿宋" w:hAnsi="仿宋" w:eastAsia="仿宋" w:cs="仿宋"/>
                <w:color w:val="auto"/>
                <w:szCs w:val="21"/>
              </w:rPr>
            </w:pPr>
          </w:p>
        </w:tc>
        <w:tc>
          <w:tcPr>
            <w:tcW w:w="2605" w:type="dxa"/>
            <w:vAlign w:val="center"/>
          </w:tcPr>
          <w:p w14:paraId="04DF0D58">
            <w:pPr>
              <w:ind w:left="560" w:hanging="560"/>
              <w:jc w:val="center"/>
              <w:rPr>
                <w:rFonts w:hint="eastAsia" w:ascii="仿宋" w:hAnsi="仿宋" w:eastAsia="仿宋" w:cs="仿宋"/>
                <w:color w:val="auto"/>
                <w:szCs w:val="21"/>
              </w:rPr>
            </w:pPr>
          </w:p>
        </w:tc>
      </w:tr>
      <w:tr w14:paraId="2F970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935" w:type="dxa"/>
            <w:vAlign w:val="center"/>
          </w:tcPr>
          <w:p w14:paraId="5CC6EA4F">
            <w:pPr>
              <w:ind w:left="560" w:hanging="560"/>
              <w:jc w:val="center"/>
              <w:rPr>
                <w:rFonts w:hint="eastAsia" w:ascii="仿宋" w:hAnsi="仿宋" w:eastAsia="仿宋" w:cs="仿宋"/>
                <w:color w:val="auto"/>
                <w:szCs w:val="21"/>
              </w:rPr>
            </w:pPr>
          </w:p>
        </w:tc>
        <w:tc>
          <w:tcPr>
            <w:tcW w:w="2452" w:type="dxa"/>
            <w:vAlign w:val="center"/>
          </w:tcPr>
          <w:p w14:paraId="6BA97CA8">
            <w:pPr>
              <w:ind w:left="560" w:hanging="560"/>
              <w:jc w:val="center"/>
              <w:rPr>
                <w:rFonts w:hint="eastAsia" w:ascii="仿宋" w:hAnsi="仿宋" w:eastAsia="仿宋" w:cs="仿宋"/>
                <w:color w:val="auto"/>
                <w:szCs w:val="21"/>
              </w:rPr>
            </w:pPr>
          </w:p>
        </w:tc>
        <w:tc>
          <w:tcPr>
            <w:tcW w:w="1942" w:type="dxa"/>
            <w:vAlign w:val="center"/>
          </w:tcPr>
          <w:p w14:paraId="01BF331A">
            <w:pPr>
              <w:ind w:left="560" w:hanging="560"/>
              <w:jc w:val="center"/>
              <w:rPr>
                <w:rFonts w:hint="eastAsia" w:ascii="仿宋" w:hAnsi="仿宋" w:eastAsia="仿宋" w:cs="仿宋"/>
                <w:color w:val="auto"/>
                <w:szCs w:val="21"/>
              </w:rPr>
            </w:pPr>
          </w:p>
        </w:tc>
        <w:tc>
          <w:tcPr>
            <w:tcW w:w="1263" w:type="dxa"/>
            <w:vAlign w:val="center"/>
          </w:tcPr>
          <w:p w14:paraId="7E5E0129">
            <w:pPr>
              <w:ind w:left="560" w:hanging="560"/>
              <w:jc w:val="center"/>
              <w:rPr>
                <w:rFonts w:hint="eastAsia" w:ascii="仿宋" w:hAnsi="仿宋" w:eastAsia="仿宋" w:cs="仿宋"/>
                <w:color w:val="auto"/>
                <w:szCs w:val="21"/>
              </w:rPr>
            </w:pPr>
          </w:p>
        </w:tc>
        <w:tc>
          <w:tcPr>
            <w:tcW w:w="2605" w:type="dxa"/>
            <w:vAlign w:val="center"/>
          </w:tcPr>
          <w:p w14:paraId="2AFCB118">
            <w:pPr>
              <w:ind w:left="560" w:hanging="560"/>
              <w:jc w:val="center"/>
              <w:rPr>
                <w:rFonts w:hint="eastAsia" w:ascii="仿宋" w:hAnsi="仿宋" w:eastAsia="仿宋" w:cs="仿宋"/>
                <w:color w:val="auto"/>
                <w:szCs w:val="21"/>
              </w:rPr>
            </w:pPr>
          </w:p>
        </w:tc>
      </w:tr>
      <w:tr w14:paraId="7553A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935" w:type="dxa"/>
            <w:vAlign w:val="center"/>
          </w:tcPr>
          <w:p w14:paraId="40670C7F">
            <w:pPr>
              <w:ind w:left="560" w:hanging="560"/>
              <w:jc w:val="center"/>
              <w:rPr>
                <w:rFonts w:hint="eastAsia" w:ascii="仿宋" w:hAnsi="仿宋" w:eastAsia="仿宋" w:cs="仿宋"/>
                <w:color w:val="auto"/>
                <w:szCs w:val="21"/>
              </w:rPr>
            </w:pPr>
          </w:p>
        </w:tc>
        <w:tc>
          <w:tcPr>
            <w:tcW w:w="2452" w:type="dxa"/>
            <w:vAlign w:val="center"/>
          </w:tcPr>
          <w:p w14:paraId="499FCB92">
            <w:pPr>
              <w:ind w:left="560" w:hanging="560"/>
              <w:jc w:val="center"/>
              <w:rPr>
                <w:rFonts w:hint="eastAsia" w:ascii="仿宋" w:hAnsi="仿宋" w:eastAsia="仿宋" w:cs="仿宋"/>
                <w:color w:val="auto"/>
                <w:szCs w:val="21"/>
              </w:rPr>
            </w:pPr>
          </w:p>
        </w:tc>
        <w:tc>
          <w:tcPr>
            <w:tcW w:w="1942" w:type="dxa"/>
            <w:vAlign w:val="center"/>
          </w:tcPr>
          <w:p w14:paraId="5B8C792C">
            <w:pPr>
              <w:ind w:left="560" w:hanging="560"/>
              <w:jc w:val="center"/>
              <w:rPr>
                <w:rFonts w:hint="eastAsia" w:ascii="仿宋" w:hAnsi="仿宋" w:eastAsia="仿宋" w:cs="仿宋"/>
                <w:color w:val="auto"/>
                <w:szCs w:val="21"/>
              </w:rPr>
            </w:pPr>
          </w:p>
        </w:tc>
        <w:tc>
          <w:tcPr>
            <w:tcW w:w="1263" w:type="dxa"/>
            <w:vAlign w:val="center"/>
          </w:tcPr>
          <w:p w14:paraId="27A72DC2">
            <w:pPr>
              <w:ind w:left="560" w:hanging="560"/>
              <w:jc w:val="center"/>
              <w:rPr>
                <w:rFonts w:hint="eastAsia" w:ascii="仿宋" w:hAnsi="仿宋" w:eastAsia="仿宋" w:cs="仿宋"/>
                <w:color w:val="auto"/>
                <w:szCs w:val="21"/>
              </w:rPr>
            </w:pPr>
          </w:p>
        </w:tc>
        <w:tc>
          <w:tcPr>
            <w:tcW w:w="2605" w:type="dxa"/>
            <w:vAlign w:val="center"/>
          </w:tcPr>
          <w:p w14:paraId="11138FF9">
            <w:pPr>
              <w:ind w:left="560" w:hanging="560"/>
              <w:jc w:val="center"/>
              <w:rPr>
                <w:rFonts w:hint="eastAsia" w:ascii="仿宋" w:hAnsi="仿宋" w:eastAsia="仿宋" w:cs="仿宋"/>
                <w:color w:val="auto"/>
                <w:szCs w:val="21"/>
              </w:rPr>
            </w:pPr>
          </w:p>
        </w:tc>
      </w:tr>
      <w:tr w14:paraId="6B014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935" w:type="dxa"/>
            <w:vAlign w:val="center"/>
          </w:tcPr>
          <w:p w14:paraId="27349326">
            <w:pPr>
              <w:ind w:left="560" w:hanging="560"/>
              <w:jc w:val="center"/>
              <w:rPr>
                <w:rFonts w:hint="eastAsia" w:ascii="仿宋" w:hAnsi="仿宋" w:eastAsia="仿宋" w:cs="仿宋"/>
                <w:color w:val="auto"/>
                <w:szCs w:val="21"/>
              </w:rPr>
            </w:pPr>
          </w:p>
        </w:tc>
        <w:tc>
          <w:tcPr>
            <w:tcW w:w="2452" w:type="dxa"/>
            <w:vAlign w:val="center"/>
          </w:tcPr>
          <w:p w14:paraId="7BB24A98">
            <w:pPr>
              <w:ind w:left="560" w:hanging="560"/>
              <w:jc w:val="center"/>
              <w:rPr>
                <w:rFonts w:hint="eastAsia" w:ascii="仿宋" w:hAnsi="仿宋" w:eastAsia="仿宋" w:cs="仿宋"/>
                <w:color w:val="auto"/>
                <w:szCs w:val="21"/>
              </w:rPr>
            </w:pPr>
          </w:p>
        </w:tc>
        <w:tc>
          <w:tcPr>
            <w:tcW w:w="1942" w:type="dxa"/>
            <w:vAlign w:val="center"/>
          </w:tcPr>
          <w:p w14:paraId="12AA60CA">
            <w:pPr>
              <w:ind w:left="560" w:hanging="560"/>
              <w:jc w:val="center"/>
              <w:rPr>
                <w:rFonts w:hint="eastAsia" w:ascii="仿宋" w:hAnsi="仿宋" w:eastAsia="仿宋" w:cs="仿宋"/>
                <w:color w:val="auto"/>
                <w:szCs w:val="21"/>
              </w:rPr>
            </w:pPr>
          </w:p>
        </w:tc>
        <w:tc>
          <w:tcPr>
            <w:tcW w:w="1263" w:type="dxa"/>
            <w:vAlign w:val="center"/>
          </w:tcPr>
          <w:p w14:paraId="546870D1">
            <w:pPr>
              <w:ind w:left="560" w:hanging="560"/>
              <w:jc w:val="center"/>
              <w:rPr>
                <w:rFonts w:hint="eastAsia" w:ascii="仿宋" w:hAnsi="仿宋" w:eastAsia="仿宋" w:cs="仿宋"/>
                <w:color w:val="auto"/>
                <w:szCs w:val="21"/>
              </w:rPr>
            </w:pPr>
          </w:p>
        </w:tc>
        <w:tc>
          <w:tcPr>
            <w:tcW w:w="2605" w:type="dxa"/>
            <w:vAlign w:val="center"/>
          </w:tcPr>
          <w:p w14:paraId="50A286FC">
            <w:pPr>
              <w:ind w:left="560" w:hanging="560"/>
              <w:jc w:val="center"/>
              <w:rPr>
                <w:rFonts w:hint="eastAsia" w:ascii="仿宋" w:hAnsi="仿宋" w:eastAsia="仿宋" w:cs="仿宋"/>
                <w:color w:val="auto"/>
                <w:szCs w:val="21"/>
              </w:rPr>
            </w:pPr>
          </w:p>
        </w:tc>
      </w:tr>
      <w:tr w14:paraId="3D763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935" w:type="dxa"/>
            <w:vAlign w:val="center"/>
          </w:tcPr>
          <w:p w14:paraId="57571790">
            <w:pPr>
              <w:ind w:left="560" w:hanging="560"/>
              <w:jc w:val="center"/>
              <w:rPr>
                <w:rFonts w:hint="eastAsia" w:ascii="仿宋" w:hAnsi="仿宋" w:eastAsia="仿宋" w:cs="仿宋"/>
                <w:color w:val="auto"/>
                <w:szCs w:val="21"/>
              </w:rPr>
            </w:pPr>
          </w:p>
        </w:tc>
        <w:tc>
          <w:tcPr>
            <w:tcW w:w="2452" w:type="dxa"/>
            <w:vAlign w:val="center"/>
          </w:tcPr>
          <w:p w14:paraId="0D676167">
            <w:pPr>
              <w:ind w:left="560" w:hanging="560"/>
              <w:jc w:val="center"/>
              <w:rPr>
                <w:rFonts w:hint="eastAsia" w:ascii="仿宋" w:hAnsi="仿宋" w:eastAsia="仿宋" w:cs="仿宋"/>
                <w:color w:val="auto"/>
                <w:szCs w:val="21"/>
              </w:rPr>
            </w:pPr>
          </w:p>
        </w:tc>
        <w:tc>
          <w:tcPr>
            <w:tcW w:w="1942" w:type="dxa"/>
            <w:vAlign w:val="center"/>
          </w:tcPr>
          <w:p w14:paraId="74B6D3C6">
            <w:pPr>
              <w:ind w:left="560" w:hanging="560"/>
              <w:jc w:val="center"/>
              <w:rPr>
                <w:rFonts w:hint="eastAsia" w:ascii="仿宋" w:hAnsi="仿宋" w:eastAsia="仿宋" w:cs="仿宋"/>
                <w:color w:val="auto"/>
                <w:szCs w:val="21"/>
              </w:rPr>
            </w:pPr>
          </w:p>
        </w:tc>
        <w:tc>
          <w:tcPr>
            <w:tcW w:w="1263" w:type="dxa"/>
            <w:vAlign w:val="center"/>
          </w:tcPr>
          <w:p w14:paraId="35EDA5D5">
            <w:pPr>
              <w:ind w:left="560" w:hanging="560"/>
              <w:jc w:val="center"/>
              <w:rPr>
                <w:rFonts w:hint="eastAsia" w:ascii="仿宋" w:hAnsi="仿宋" w:eastAsia="仿宋" w:cs="仿宋"/>
                <w:color w:val="auto"/>
                <w:szCs w:val="21"/>
              </w:rPr>
            </w:pPr>
          </w:p>
        </w:tc>
        <w:tc>
          <w:tcPr>
            <w:tcW w:w="2605" w:type="dxa"/>
            <w:vAlign w:val="center"/>
          </w:tcPr>
          <w:p w14:paraId="49D10B68">
            <w:pPr>
              <w:ind w:left="560" w:hanging="560"/>
              <w:jc w:val="center"/>
              <w:rPr>
                <w:rFonts w:hint="eastAsia" w:ascii="仿宋" w:hAnsi="仿宋" w:eastAsia="仿宋" w:cs="仿宋"/>
                <w:color w:val="auto"/>
                <w:szCs w:val="21"/>
              </w:rPr>
            </w:pPr>
          </w:p>
        </w:tc>
      </w:tr>
      <w:tr w14:paraId="3B269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935" w:type="dxa"/>
            <w:vAlign w:val="center"/>
          </w:tcPr>
          <w:p w14:paraId="67C3E8CA">
            <w:pPr>
              <w:ind w:left="560" w:hanging="560"/>
              <w:jc w:val="center"/>
              <w:rPr>
                <w:rFonts w:hint="eastAsia" w:ascii="仿宋" w:hAnsi="仿宋" w:eastAsia="仿宋" w:cs="仿宋"/>
                <w:color w:val="auto"/>
                <w:szCs w:val="21"/>
              </w:rPr>
            </w:pPr>
          </w:p>
        </w:tc>
        <w:tc>
          <w:tcPr>
            <w:tcW w:w="2452" w:type="dxa"/>
            <w:vAlign w:val="center"/>
          </w:tcPr>
          <w:p w14:paraId="58051A41">
            <w:pPr>
              <w:ind w:left="560" w:hanging="560"/>
              <w:jc w:val="center"/>
              <w:rPr>
                <w:rFonts w:hint="eastAsia" w:ascii="仿宋" w:hAnsi="仿宋" w:eastAsia="仿宋" w:cs="仿宋"/>
                <w:color w:val="auto"/>
                <w:szCs w:val="21"/>
              </w:rPr>
            </w:pPr>
          </w:p>
        </w:tc>
        <w:tc>
          <w:tcPr>
            <w:tcW w:w="1942" w:type="dxa"/>
            <w:vAlign w:val="center"/>
          </w:tcPr>
          <w:p w14:paraId="6756FEB1">
            <w:pPr>
              <w:ind w:left="560" w:hanging="560"/>
              <w:jc w:val="center"/>
              <w:rPr>
                <w:rFonts w:hint="eastAsia" w:ascii="仿宋" w:hAnsi="仿宋" w:eastAsia="仿宋" w:cs="仿宋"/>
                <w:color w:val="auto"/>
                <w:szCs w:val="21"/>
              </w:rPr>
            </w:pPr>
          </w:p>
        </w:tc>
        <w:tc>
          <w:tcPr>
            <w:tcW w:w="1263" w:type="dxa"/>
            <w:vAlign w:val="center"/>
          </w:tcPr>
          <w:p w14:paraId="78B4C752">
            <w:pPr>
              <w:ind w:left="560" w:hanging="560"/>
              <w:jc w:val="center"/>
              <w:rPr>
                <w:rFonts w:hint="eastAsia" w:ascii="仿宋" w:hAnsi="仿宋" w:eastAsia="仿宋" w:cs="仿宋"/>
                <w:color w:val="auto"/>
                <w:szCs w:val="21"/>
              </w:rPr>
            </w:pPr>
          </w:p>
        </w:tc>
        <w:tc>
          <w:tcPr>
            <w:tcW w:w="2605" w:type="dxa"/>
            <w:vAlign w:val="center"/>
          </w:tcPr>
          <w:p w14:paraId="0D7BC16D">
            <w:pPr>
              <w:ind w:left="560" w:hanging="560"/>
              <w:jc w:val="center"/>
              <w:rPr>
                <w:rFonts w:hint="eastAsia" w:ascii="仿宋" w:hAnsi="仿宋" w:eastAsia="仿宋" w:cs="仿宋"/>
                <w:color w:val="auto"/>
                <w:szCs w:val="21"/>
              </w:rPr>
            </w:pPr>
          </w:p>
        </w:tc>
      </w:tr>
      <w:tr w14:paraId="26AEE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935" w:type="dxa"/>
            <w:vAlign w:val="center"/>
          </w:tcPr>
          <w:p w14:paraId="59532BE8">
            <w:pPr>
              <w:ind w:left="560" w:hanging="560"/>
              <w:jc w:val="center"/>
              <w:rPr>
                <w:rFonts w:hint="eastAsia" w:ascii="仿宋" w:hAnsi="仿宋" w:eastAsia="仿宋" w:cs="仿宋"/>
                <w:color w:val="auto"/>
                <w:szCs w:val="21"/>
              </w:rPr>
            </w:pPr>
          </w:p>
        </w:tc>
        <w:tc>
          <w:tcPr>
            <w:tcW w:w="2452" w:type="dxa"/>
            <w:vAlign w:val="center"/>
          </w:tcPr>
          <w:p w14:paraId="1C9EB34C">
            <w:pPr>
              <w:ind w:left="560" w:hanging="560"/>
              <w:jc w:val="center"/>
              <w:rPr>
                <w:rFonts w:hint="eastAsia" w:ascii="仿宋" w:hAnsi="仿宋" w:eastAsia="仿宋" w:cs="仿宋"/>
                <w:color w:val="auto"/>
                <w:szCs w:val="21"/>
              </w:rPr>
            </w:pPr>
          </w:p>
        </w:tc>
        <w:tc>
          <w:tcPr>
            <w:tcW w:w="1942" w:type="dxa"/>
            <w:vAlign w:val="center"/>
          </w:tcPr>
          <w:p w14:paraId="31C8566D">
            <w:pPr>
              <w:ind w:left="560" w:hanging="560"/>
              <w:jc w:val="center"/>
              <w:rPr>
                <w:rFonts w:hint="eastAsia" w:ascii="仿宋" w:hAnsi="仿宋" w:eastAsia="仿宋" w:cs="仿宋"/>
                <w:color w:val="auto"/>
                <w:szCs w:val="21"/>
              </w:rPr>
            </w:pPr>
          </w:p>
        </w:tc>
        <w:tc>
          <w:tcPr>
            <w:tcW w:w="1263" w:type="dxa"/>
            <w:vAlign w:val="center"/>
          </w:tcPr>
          <w:p w14:paraId="15739115">
            <w:pPr>
              <w:ind w:left="560" w:hanging="560"/>
              <w:jc w:val="center"/>
              <w:rPr>
                <w:rFonts w:hint="eastAsia" w:ascii="仿宋" w:hAnsi="仿宋" w:eastAsia="仿宋" w:cs="仿宋"/>
                <w:color w:val="auto"/>
                <w:szCs w:val="21"/>
              </w:rPr>
            </w:pPr>
          </w:p>
        </w:tc>
        <w:tc>
          <w:tcPr>
            <w:tcW w:w="2605" w:type="dxa"/>
            <w:vAlign w:val="center"/>
          </w:tcPr>
          <w:p w14:paraId="3E382FD0">
            <w:pPr>
              <w:ind w:left="560" w:hanging="560"/>
              <w:jc w:val="center"/>
              <w:rPr>
                <w:rFonts w:hint="eastAsia" w:ascii="仿宋" w:hAnsi="仿宋" w:eastAsia="仿宋" w:cs="仿宋"/>
                <w:color w:val="auto"/>
                <w:szCs w:val="21"/>
              </w:rPr>
            </w:pPr>
          </w:p>
        </w:tc>
      </w:tr>
      <w:tr w14:paraId="25A0F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935" w:type="dxa"/>
            <w:vAlign w:val="center"/>
          </w:tcPr>
          <w:p w14:paraId="1B41AA05">
            <w:pPr>
              <w:ind w:left="560" w:hanging="560"/>
              <w:jc w:val="center"/>
              <w:rPr>
                <w:rFonts w:hint="eastAsia" w:ascii="仿宋" w:hAnsi="仿宋" w:eastAsia="仿宋" w:cs="仿宋"/>
                <w:color w:val="auto"/>
                <w:szCs w:val="21"/>
              </w:rPr>
            </w:pPr>
          </w:p>
        </w:tc>
        <w:tc>
          <w:tcPr>
            <w:tcW w:w="2452" w:type="dxa"/>
            <w:vAlign w:val="center"/>
          </w:tcPr>
          <w:p w14:paraId="1CC6F6F8">
            <w:pPr>
              <w:ind w:left="560" w:hanging="560"/>
              <w:jc w:val="center"/>
              <w:rPr>
                <w:rFonts w:hint="eastAsia" w:ascii="仿宋" w:hAnsi="仿宋" w:eastAsia="仿宋" w:cs="仿宋"/>
                <w:color w:val="auto"/>
                <w:szCs w:val="21"/>
              </w:rPr>
            </w:pPr>
          </w:p>
        </w:tc>
        <w:tc>
          <w:tcPr>
            <w:tcW w:w="1942" w:type="dxa"/>
            <w:vAlign w:val="center"/>
          </w:tcPr>
          <w:p w14:paraId="0A5BABC6">
            <w:pPr>
              <w:ind w:left="560" w:hanging="560"/>
              <w:jc w:val="center"/>
              <w:rPr>
                <w:rFonts w:hint="eastAsia" w:ascii="仿宋" w:hAnsi="仿宋" w:eastAsia="仿宋" w:cs="仿宋"/>
                <w:color w:val="auto"/>
                <w:szCs w:val="21"/>
              </w:rPr>
            </w:pPr>
          </w:p>
        </w:tc>
        <w:tc>
          <w:tcPr>
            <w:tcW w:w="1263" w:type="dxa"/>
            <w:vAlign w:val="center"/>
          </w:tcPr>
          <w:p w14:paraId="3CE9C0C1">
            <w:pPr>
              <w:ind w:left="560" w:hanging="560"/>
              <w:jc w:val="center"/>
              <w:rPr>
                <w:rFonts w:hint="eastAsia" w:ascii="仿宋" w:hAnsi="仿宋" w:eastAsia="仿宋" w:cs="仿宋"/>
                <w:color w:val="auto"/>
                <w:szCs w:val="21"/>
              </w:rPr>
            </w:pPr>
          </w:p>
        </w:tc>
        <w:tc>
          <w:tcPr>
            <w:tcW w:w="2605" w:type="dxa"/>
            <w:vAlign w:val="center"/>
          </w:tcPr>
          <w:p w14:paraId="11E864E2">
            <w:pPr>
              <w:ind w:left="560" w:hanging="560"/>
              <w:jc w:val="center"/>
              <w:rPr>
                <w:rFonts w:hint="eastAsia" w:ascii="仿宋" w:hAnsi="仿宋" w:eastAsia="仿宋" w:cs="仿宋"/>
                <w:color w:val="auto"/>
                <w:szCs w:val="21"/>
              </w:rPr>
            </w:pPr>
          </w:p>
        </w:tc>
      </w:tr>
      <w:tr w14:paraId="152C8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935" w:type="dxa"/>
            <w:vAlign w:val="center"/>
          </w:tcPr>
          <w:p w14:paraId="080F79E1">
            <w:pPr>
              <w:ind w:left="560" w:hanging="560"/>
              <w:jc w:val="center"/>
              <w:rPr>
                <w:rFonts w:hint="eastAsia" w:ascii="仿宋" w:hAnsi="仿宋" w:eastAsia="仿宋" w:cs="仿宋"/>
                <w:color w:val="auto"/>
                <w:szCs w:val="21"/>
              </w:rPr>
            </w:pPr>
          </w:p>
        </w:tc>
        <w:tc>
          <w:tcPr>
            <w:tcW w:w="2452" w:type="dxa"/>
            <w:vAlign w:val="center"/>
          </w:tcPr>
          <w:p w14:paraId="35423E8A">
            <w:pPr>
              <w:ind w:left="560" w:hanging="560"/>
              <w:jc w:val="center"/>
              <w:rPr>
                <w:rFonts w:hint="eastAsia" w:ascii="仿宋" w:hAnsi="仿宋" w:eastAsia="仿宋" w:cs="仿宋"/>
                <w:color w:val="auto"/>
                <w:szCs w:val="21"/>
              </w:rPr>
            </w:pPr>
          </w:p>
        </w:tc>
        <w:tc>
          <w:tcPr>
            <w:tcW w:w="1942" w:type="dxa"/>
            <w:vAlign w:val="center"/>
          </w:tcPr>
          <w:p w14:paraId="273C888E">
            <w:pPr>
              <w:ind w:left="560" w:hanging="560"/>
              <w:jc w:val="center"/>
              <w:rPr>
                <w:rFonts w:hint="eastAsia" w:ascii="仿宋" w:hAnsi="仿宋" w:eastAsia="仿宋" w:cs="仿宋"/>
                <w:color w:val="auto"/>
                <w:szCs w:val="21"/>
              </w:rPr>
            </w:pPr>
          </w:p>
        </w:tc>
        <w:tc>
          <w:tcPr>
            <w:tcW w:w="1263" w:type="dxa"/>
            <w:vAlign w:val="center"/>
          </w:tcPr>
          <w:p w14:paraId="0A6A7803">
            <w:pPr>
              <w:ind w:left="560" w:hanging="560"/>
              <w:jc w:val="center"/>
              <w:rPr>
                <w:rFonts w:hint="eastAsia" w:ascii="仿宋" w:hAnsi="仿宋" w:eastAsia="仿宋" w:cs="仿宋"/>
                <w:color w:val="auto"/>
                <w:szCs w:val="21"/>
              </w:rPr>
            </w:pPr>
          </w:p>
        </w:tc>
        <w:tc>
          <w:tcPr>
            <w:tcW w:w="2605" w:type="dxa"/>
            <w:vAlign w:val="center"/>
          </w:tcPr>
          <w:p w14:paraId="2B8FB78D">
            <w:pPr>
              <w:ind w:left="560" w:hanging="560"/>
              <w:jc w:val="center"/>
              <w:rPr>
                <w:rFonts w:hint="eastAsia" w:ascii="仿宋" w:hAnsi="仿宋" w:eastAsia="仿宋" w:cs="仿宋"/>
                <w:color w:val="auto"/>
                <w:szCs w:val="21"/>
              </w:rPr>
            </w:pPr>
          </w:p>
        </w:tc>
      </w:tr>
    </w:tbl>
    <w:p w14:paraId="596A76E0">
      <w:pPr>
        <w:spacing w:line="400" w:lineRule="exact"/>
        <w:rPr>
          <w:rFonts w:hint="eastAsia" w:ascii="仿宋" w:hAnsi="仿宋" w:eastAsia="仿宋" w:cs="仿宋"/>
          <w:color w:val="auto"/>
          <w:szCs w:val="21"/>
        </w:rPr>
      </w:pPr>
      <w:r>
        <w:rPr>
          <w:rFonts w:hint="eastAsia" w:ascii="仿宋" w:hAnsi="仿宋" w:eastAsia="仿宋" w:cs="仿宋"/>
          <w:b/>
          <w:color w:val="auto"/>
          <w:szCs w:val="21"/>
          <w:lang w:eastAsia="zh-CN"/>
        </w:rPr>
        <w:t>注</w:t>
      </w:r>
      <w:r>
        <w:rPr>
          <w:rFonts w:hint="eastAsia" w:ascii="仿宋" w:hAnsi="仿宋" w:eastAsia="仿宋" w:cs="仿宋"/>
          <w:b/>
          <w:color w:val="auto"/>
          <w:szCs w:val="21"/>
        </w:rPr>
        <w:t>：项目实施时间以合同签订时间为准，本表需附</w:t>
      </w:r>
      <w:r>
        <w:rPr>
          <w:rFonts w:hint="eastAsia" w:ascii="仿宋" w:hAnsi="仿宋" w:eastAsia="仿宋" w:cs="仿宋"/>
          <w:b/>
          <w:color w:val="auto"/>
          <w:szCs w:val="21"/>
          <w:lang w:eastAsia="zh-CN"/>
        </w:rPr>
        <w:t>的</w:t>
      </w:r>
      <w:r>
        <w:rPr>
          <w:rFonts w:hint="eastAsia" w:ascii="仿宋" w:hAnsi="仿宋" w:eastAsia="仿宋" w:cs="仿宋"/>
          <w:b/>
          <w:color w:val="auto"/>
          <w:szCs w:val="21"/>
        </w:rPr>
        <w:t>业绩证明材料以资信技术评分标准要求为准</w:t>
      </w:r>
      <w:r>
        <w:rPr>
          <w:rFonts w:hint="eastAsia" w:ascii="仿宋" w:hAnsi="仿宋" w:eastAsia="仿宋" w:cs="仿宋"/>
          <w:b/>
          <w:color w:val="auto"/>
          <w:szCs w:val="21"/>
          <w:lang w:eastAsia="zh-CN"/>
        </w:rPr>
        <w:t>（如有）</w:t>
      </w:r>
      <w:r>
        <w:rPr>
          <w:rFonts w:hint="eastAsia" w:ascii="仿宋" w:hAnsi="仿宋" w:eastAsia="仿宋" w:cs="仿宋"/>
          <w:b/>
          <w:color w:val="auto"/>
        </w:rPr>
        <w:t>。</w:t>
      </w:r>
    </w:p>
    <w:p w14:paraId="78FA4E8C">
      <w:pPr>
        <w:pStyle w:val="26"/>
        <w:rPr>
          <w:rFonts w:hint="eastAsia" w:ascii="仿宋" w:hAnsi="仿宋" w:eastAsia="仿宋" w:cs="仿宋"/>
          <w:color w:val="auto"/>
          <w:szCs w:val="21"/>
        </w:rPr>
      </w:pPr>
    </w:p>
    <w:p w14:paraId="56BF516C">
      <w:pPr>
        <w:pStyle w:val="26"/>
        <w:rPr>
          <w:rFonts w:hint="eastAsia" w:ascii="仿宋" w:hAnsi="仿宋" w:eastAsia="仿宋" w:cs="仿宋"/>
          <w:color w:val="auto"/>
          <w:szCs w:val="21"/>
        </w:rPr>
      </w:pPr>
    </w:p>
    <w:p w14:paraId="109CFD70">
      <w:pPr>
        <w:pStyle w:val="26"/>
        <w:rPr>
          <w:rFonts w:hint="eastAsia" w:ascii="仿宋" w:hAnsi="仿宋" w:eastAsia="仿宋" w:cs="仿宋"/>
          <w:color w:val="auto"/>
          <w:szCs w:val="21"/>
        </w:rPr>
      </w:pPr>
    </w:p>
    <w:p w14:paraId="70D30600">
      <w:pPr>
        <w:pStyle w:val="26"/>
        <w:rPr>
          <w:rFonts w:hint="eastAsia" w:ascii="仿宋" w:hAnsi="仿宋" w:eastAsia="仿宋" w:cs="仿宋"/>
          <w:color w:val="auto"/>
          <w:szCs w:val="21"/>
          <w:u w:val="single"/>
        </w:rPr>
      </w:pPr>
      <w:r>
        <w:rPr>
          <w:rFonts w:hint="eastAsia" w:ascii="仿宋" w:hAnsi="仿宋" w:eastAsia="仿宋" w:cs="仿宋"/>
          <w:color w:val="auto"/>
          <w:szCs w:val="21"/>
        </w:rPr>
        <w:t>投标人名称（盖章） ：</w:t>
      </w:r>
      <w:r>
        <w:rPr>
          <w:rFonts w:hint="eastAsia" w:ascii="仿宋" w:hAnsi="仿宋" w:eastAsia="仿宋" w:cs="仿宋"/>
          <w:color w:val="auto"/>
          <w:szCs w:val="21"/>
          <w:u w:val="single"/>
        </w:rPr>
        <w:t xml:space="preserve">                  </w:t>
      </w:r>
    </w:p>
    <w:p w14:paraId="1557E1B1">
      <w:pPr>
        <w:pStyle w:val="26"/>
        <w:rPr>
          <w:rFonts w:hint="eastAsia" w:ascii="仿宋" w:hAnsi="仿宋" w:eastAsia="仿宋" w:cs="仿宋"/>
          <w:color w:val="auto"/>
          <w:szCs w:val="21"/>
          <w:u w:val="single"/>
        </w:rPr>
      </w:pPr>
    </w:p>
    <w:p w14:paraId="21A5B799">
      <w:pPr>
        <w:snapToGrid w:val="0"/>
        <w:spacing w:beforeLines="50" w:after="50" w:line="360" w:lineRule="auto"/>
        <w:rPr>
          <w:rFonts w:hint="eastAsia" w:ascii="仿宋" w:hAnsi="仿宋" w:eastAsia="仿宋" w:cs="仿宋"/>
          <w:b/>
          <w:color w:val="auto"/>
          <w:sz w:val="24"/>
        </w:rPr>
      </w:pPr>
      <w:r>
        <w:rPr>
          <w:rFonts w:hint="eastAsia" w:ascii="仿宋" w:hAnsi="仿宋" w:eastAsia="仿宋" w:cs="仿宋"/>
          <w:color w:val="auto"/>
          <w:szCs w:val="21"/>
        </w:rPr>
        <w:t>日期：   年   月   日</w:t>
      </w:r>
    </w:p>
    <w:p w14:paraId="1A66C86F">
      <w:pPr>
        <w:rPr>
          <w:rFonts w:hint="eastAsia" w:ascii="宋体" w:hAnsi="宋体" w:eastAsia="宋体" w:cs="宋体"/>
          <w:b/>
          <w:color w:val="auto"/>
          <w:szCs w:val="21"/>
        </w:rPr>
      </w:pPr>
      <w:r>
        <w:rPr>
          <w:rFonts w:hint="eastAsia" w:ascii="宋体" w:hAnsi="宋体" w:eastAsia="宋体" w:cs="宋体"/>
          <w:b/>
          <w:color w:val="auto"/>
          <w:szCs w:val="21"/>
        </w:rPr>
        <w:br w:type="page"/>
      </w:r>
    </w:p>
    <w:p w14:paraId="26C76C55">
      <w:pPr>
        <w:spacing w:line="460" w:lineRule="exact"/>
        <w:outlineLvl w:val="9"/>
        <w:rPr>
          <w:rFonts w:hint="default" w:ascii="仿宋" w:hAnsi="仿宋" w:eastAsia="仿宋" w:cs="仿宋"/>
          <w:b/>
          <w:bCs/>
          <w:color w:val="auto"/>
          <w:kern w:val="0"/>
          <w:sz w:val="30"/>
          <w:szCs w:val="30"/>
          <w:lang w:val="en-US" w:eastAsia="zh-CN"/>
        </w:rPr>
      </w:pPr>
      <w:r>
        <w:rPr>
          <w:rFonts w:hint="eastAsia" w:ascii="仿宋" w:hAnsi="仿宋" w:eastAsia="仿宋" w:cs="仿宋"/>
          <w:b/>
          <w:bCs/>
          <w:color w:val="auto"/>
          <w:kern w:val="0"/>
          <w:sz w:val="24"/>
          <w:szCs w:val="24"/>
          <w:lang w:val="en-US" w:eastAsia="zh-CN"/>
        </w:rPr>
        <w:t>附件</w:t>
      </w:r>
      <w:bookmarkStart w:id="64" w:name="附件9"/>
      <w:r>
        <w:rPr>
          <w:rFonts w:hint="eastAsia" w:ascii="仿宋" w:hAnsi="仿宋" w:eastAsia="仿宋" w:cs="仿宋"/>
          <w:b/>
          <w:bCs/>
          <w:color w:val="auto"/>
          <w:kern w:val="0"/>
          <w:sz w:val="24"/>
          <w:szCs w:val="24"/>
          <w:lang w:val="en-US" w:eastAsia="zh-CN"/>
        </w:rPr>
        <w:t>10</w:t>
      </w:r>
    </w:p>
    <w:bookmarkEnd w:id="64"/>
    <w:p w14:paraId="70DE0610">
      <w:pPr>
        <w:snapToGrid w:val="0"/>
        <w:spacing w:line="360" w:lineRule="auto"/>
        <w:jc w:val="center"/>
        <w:rPr>
          <w:rFonts w:hint="eastAsia" w:ascii="仿宋" w:hAnsi="仿宋" w:eastAsia="仿宋" w:cs="仿宋"/>
          <w:b/>
          <w:bCs/>
          <w:color w:val="auto"/>
          <w:sz w:val="28"/>
          <w:szCs w:val="28"/>
        </w:rPr>
      </w:pPr>
      <w:r>
        <w:rPr>
          <w:rFonts w:hint="eastAsia" w:ascii="仿宋" w:hAnsi="仿宋" w:eastAsia="仿宋" w:cs="仿宋"/>
          <w:b/>
          <w:bCs/>
          <w:color w:val="auto"/>
          <w:sz w:val="28"/>
          <w:szCs w:val="28"/>
        </w:rPr>
        <w:t>对采购文件中</w:t>
      </w:r>
      <w:r>
        <w:rPr>
          <w:rFonts w:hint="eastAsia" w:ascii="仿宋" w:hAnsi="仿宋" w:eastAsia="仿宋" w:cs="仿宋"/>
          <w:b/>
          <w:bCs/>
          <w:color w:val="auto"/>
          <w:sz w:val="28"/>
          <w:szCs w:val="28"/>
          <w:lang w:eastAsia="zh-CN"/>
        </w:rPr>
        <w:t>技术、</w:t>
      </w:r>
      <w:r>
        <w:rPr>
          <w:rFonts w:hint="eastAsia" w:ascii="仿宋" w:hAnsi="仿宋" w:eastAsia="仿宋" w:cs="仿宋"/>
          <w:b/>
          <w:bCs/>
          <w:color w:val="auto"/>
          <w:sz w:val="28"/>
          <w:szCs w:val="28"/>
        </w:rPr>
        <w:t>商务条款及合同条款的声明</w:t>
      </w:r>
    </w:p>
    <w:p w14:paraId="4B6233B9">
      <w:pPr>
        <w:spacing w:line="360" w:lineRule="auto"/>
        <w:rPr>
          <w:rFonts w:hint="eastAsia" w:ascii="仿宋" w:hAnsi="仿宋" w:eastAsia="仿宋" w:cs="仿宋"/>
          <w:color w:val="auto"/>
          <w:szCs w:val="21"/>
        </w:rPr>
      </w:pPr>
    </w:p>
    <w:p w14:paraId="6A605B72">
      <w:pPr>
        <w:pStyle w:val="26"/>
        <w:snapToGrid w:val="0"/>
        <w:spacing w:line="360" w:lineRule="auto"/>
        <w:rPr>
          <w:rFonts w:hint="eastAsia" w:ascii="仿宋" w:hAnsi="仿宋" w:eastAsia="仿宋" w:cs="仿宋"/>
          <w:color w:val="auto"/>
          <w:szCs w:val="21"/>
        </w:rPr>
      </w:pPr>
      <w:r>
        <w:rPr>
          <w:rFonts w:hint="eastAsia" w:ascii="仿宋" w:hAnsi="仿宋" w:eastAsia="仿宋" w:cs="仿宋"/>
          <w:color w:val="auto"/>
          <w:szCs w:val="21"/>
          <w:u w:val="single"/>
          <w:lang w:eastAsia="zh-CN"/>
        </w:rPr>
        <w:t>常山县林业水利局</w:t>
      </w:r>
      <w:r>
        <w:rPr>
          <w:rFonts w:hint="eastAsia" w:ascii="仿宋" w:hAnsi="仿宋" w:eastAsia="仿宋" w:cs="仿宋"/>
          <w:color w:val="auto"/>
          <w:szCs w:val="21"/>
        </w:rPr>
        <w:t>：</w:t>
      </w:r>
    </w:p>
    <w:p w14:paraId="5BE7D0D1">
      <w:pPr>
        <w:pStyle w:val="26"/>
        <w:snapToGrid w:val="0"/>
        <w:spacing w:line="360" w:lineRule="auto"/>
        <w:rPr>
          <w:rFonts w:hint="eastAsia" w:ascii="仿宋" w:hAnsi="仿宋" w:eastAsia="仿宋" w:cs="仿宋"/>
          <w:color w:val="auto"/>
          <w:szCs w:val="21"/>
        </w:rPr>
      </w:pPr>
      <w:r>
        <w:rPr>
          <w:rFonts w:hint="eastAsia" w:ascii="仿宋" w:hAnsi="仿宋" w:eastAsia="仿宋" w:cs="仿宋"/>
          <w:color w:val="auto"/>
          <w:szCs w:val="21"/>
          <w:u w:val="single"/>
        </w:rPr>
        <w:t>浙江哲晟工程项目管理有限公司</w:t>
      </w:r>
      <w:r>
        <w:rPr>
          <w:rFonts w:hint="eastAsia" w:ascii="仿宋" w:hAnsi="仿宋" w:eastAsia="仿宋" w:cs="仿宋"/>
          <w:color w:val="auto"/>
          <w:szCs w:val="21"/>
        </w:rPr>
        <w:t>：</w:t>
      </w:r>
    </w:p>
    <w:p w14:paraId="36AD9E6B">
      <w:pPr>
        <w:spacing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u w:val="single"/>
        </w:rPr>
        <w:t xml:space="preserve">     （投标人全称）      </w:t>
      </w:r>
      <w:r>
        <w:rPr>
          <w:rFonts w:hint="eastAsia" w:ascii="仿宋" w:hAnsi="仿宋" w:eastAsia="仿宋" w:cs="仿宋"/>
          <w:color w:val="auto"/>
          <w:szCs w:val="21"/>
        </w:rPr>
        <w:t>参加贵方组织的</w:t>
      </w:r>
      <w:r>
        <w:rPr>
          <w:rFonts w:hint="eastAsia" w:ascii="仿宋" w:hAnsi="仿宋" w:eastAsia="仿宋" w:cs="仿宋"/>
          <w:color w:val="auto"/>
          <w:szCs w:val="21"/>
          <w:u w:val="single"/>
        </w:rPr>
        <w:t xml:space="preserve">  （项目名称）（项目编号）  </w:t>
      </w:r>
      <w:r>
        <w:rPr>
          <w:rFonts w:hint="eastAsia" w:ascii="仿宋" w:hAnsi="仿宋" w:eastAsia="仿宋" w:cs="仿宋"/>
          <w:color w:val="auto"/>
          <w:szCs w:val="21"/>
        </w:rPr>
        <w:t>的投标活动，为此我方声明如下：</w:t>
      </w:r>
    </w:p>
    <w:p w14:paraId="326C9E4B">
      <w:pPr>
        <w:spacing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1.我方接受采购文件中所有</w:t>
      </w:r>
      <w:r>
        <w:rPr>
          <w:rFonts w:hint="eastAsia" w:ascii="仿宋" w:hAnsi="仿宋" w:eastAsia="仿宋" w:cs="仿宋"/>
          <w:color w:val="auto"/>
          <w:szCs w:val="21"/>
          <w:lang w:eastAsia="zh-CN"/>
        </w:rPr>
        <w:t>技术、</w:t>
      </w:r>
      <w:r>
        <w:rPr>
          <w:rFonts w:hint="eastAsia" w:ascii="仿宋" w:hAnsi="仿宋" w:eastAsia="仿宋" w:cs="仿宋"/>
          <w:color w:val="auto"/>
          <w:szCs w:val="21"/>
        </w:rPr>
        <w:t>商务条款及合同条款（     ）</w:t>
      </w:r>
    </w:p>
    <w:p w14:paraId="5AD6151A">
      <w:pPr>
        <w:spacing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2.采购文件中以下</w:t>
      </w:r>
      <w:r>
        <w:rPr>
          <w:rFonts w:hint="eastAsia" w:ascii="仿宋" w:hAnsi="仿宋" w:eastAsia="仿宋" w:cs="仿宋"/>
          <w:color w:val="auto"/>
          <w:szCs w:val="21"/>
          <w:lang w:eastAsia="zh-CN"/>
        </w:rPr>
        <w:t>技术、</w:t>
      </w:r>
      <w:r>
        <w:rPr>
          <w:rFonts w:hint="eastAsia" w:ascii="仿宋" w:hAnsi="仿宋" w:eastAsia="仿宋" w:cs="仿宋"/>
          <w:color w:val="auto"/>
          <w:szCs w:val="21"/>
        </w:rPr>
        <w:t>商务条款或合同条款，我方无法满足/接受（     ）</w:t>
      </w:r>
    </w:p>
    <w:p w14:paraId="64510402">
      <w:pPr>
        <w:spacing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2.1</w:t>
      </w:r>
    </w:p>
    <w:p w14:paraId="595C6713">
      <w:pPr>
        <w:spacing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w:t>
      </w:r>
    </w:p>
    <w:p w14:paraId="4DB80A54">
      <w:pPr>
        <w:spacing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3.对于无法满足/接受的</w:t>
      </w:r>
      <w:r>
        <w:rPr>
          <w:rFonts w:hint="eastAsia" w:ascii="仿宋" w:hAnsi="仿宋" w:eastAsia="仿宋" w:cs="仿宋"/>
          <w:color w:val="auto"/>
          <w:szCs w:val="21"/>
          <w:lang w:eastAsia="zh-CN"/>
        </w:rPr>
        <w:t>技术、</w:t>
      </w:r>
      <w:r>
        <w:rPr>
          <w:rFonts w:hint="eastAsia" w:ascii="仿宋" w:hAnsi="仿宋" w:eastAsia="仿宋" w:cs="仿宋"/>
          <w:color w:val="auto"/>
          <w:szCs w:val="21"/>
        </w:rPr>
        <w:t>商务条款或合同条款，我方采用的解决方案如下：</w:t>
      </w:r>
    </w:p>
    <w:p w14:paraId="64F86B83">
      <w:pPr>
        <w:spacing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3.1</w:t>
      </w:r>
    </w:p>
    <w:p w14:paraId="7B164908">
      <w:pPr>
        <w:spacing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w:t>
      </w:r>
    </w:p>
    <w:p w14:paraId="181020A8">
      <w:pPr>
        <w:spacing w:line="360" w:lineRule="auto"/>
        <w:rPr>
          <w:rFonts w:hint="eastAsia" w:ascii="仿宋" w:hAnsi="仿宋" w:eastAsia="仿宋" w:cs="仿宋"/>
          <w:color w:val="auto"/>
          <w:szCs w:val="21"/>
        </w:rPr>
      </w:pPr>
    </w:p>
    <w:p w14:paraId="43A1E505">
      <w:pPr>
        <w:spacing w:line="360" w:lineRule="auto"/>
        <w:rPr>
          <w:rFonts w:hint="eastAsia" w:ascii="仿宋" w:hAnsi="仿宋" w:eastAsia="仿宋" w:cs="仿宋"/>
          <w:b/>
          <w:color w:val="auto"/>
          <w:szCs w:val="21"/>
        </w:rPr>
      </w:pPr>
      <w:r>
        <w:rPr>
          <w:rFonts w:hint="eastAsia" w:ascii="仿宋" w:hAnsi="仿宋" w:eastAsia="仿宋" w:cs="仿宋"/>
          <w:b/>
          <w:color w:val="auto"/>
          <w:szCs w:val="21"/>
        </w:rPr>
        <w:t>填写说明：</w:t>
      </w:r>
    </w:p>
    <w:p w14:paraId="5F2469D7">
      <w:pPr>
        <w:spacing w:line="360" w:lineRule="auto"/>
        <w:ind w:firstLine="420" w:firstLineChars="200"/>
        <w:rPr>
          <w:rFonts w:hint="eastAsia" w:ascii="仿宋" w:hAnsi="仿宋" w:eastAsia="仿宋" w:cs="仿宋"/>
          <w:b/>
          <w:color w:val="auto"/>
          <w:szCs w:val="21"/>
          <w:lang w:eastAsia="zh-CN"/>
        </w:rPr>
      </w:pPr>
      <w:r>
        <w:rPr>
          <w:rFonts w:hint="eastAsia" w:ascii="仿宋" w:hAnsi="仿宋" w:eastAsia="仿宋" w:cs="仿宋"/>
          <w:b/>
          <w:color w:val="auto"/>
          <w:szCs w:val="21"/>
        </w:rPr>
        <w:t>1.投标人接受采购文件所有技术、商务条款及合同条款的请在第1项后的括号内</w:t>
      </w:r>
      <w:r>
        <w:rPr>
          <w:rFonts w:hint="eastAsia" w:ascii="仿宋" w:hAnsi="仿宋" w:eastAsia="仿宋" w:cs="仿宋"/>
          <w:b/>
          <w:color w:val="auto"/>
          <w:szCs w:val="21"/>
          <w:lang w:val="en-GB"/>
        </w:rPr>
        <w:t>打“√”</w:t>
      </w:r>
      <w:r>
        <w:rPr>
          <w:rFonts w:hint="eastAsia" w:ascii="仿宋" w:hAnsi="仿宋" w:eastAsia="仿宋" w:cs="仿宋"/>
          <w:b/>
          <w:color w:val="auto"/>
          <w:szCs w:val="21"/>
        </w:rPr>
        <w:t>；投标人对采购文件中某项技术、商务条款或合同条款有不同意见的，请在第2项后的括号内</w:t>
      </w:r>
      <w:r>
        <w:rPr>
          <w:rFonts w:hint="eastAsia" w:ascii="仿宋" w:hAnsi="仿宋" w:eastAsia="仿宋" w:cs="仿宋"/>
          <w:b/>
          <w:color w:val="auto"/>
          <w:szCs w:val="21"/>
          <w:lang w:val="en-GB"/>
        </w:rPr>
        <w:t>打“√”，</w:t>
      </w:r>
      <w:r>
        <w:rPr>
          <w:rFonts w:hint="eastAsia" w:ascii="仿宋" w:hAnsi="仿宋" w:eastAsia="仿宋" w:cs="仿宋"/>
          <w:b/>
          <w:color w:val="auto"/>
          <w:szCs w:val="21"/>
        </w:rPr>
        <w:t>并一一列明具体内容及自身主张。</w:t>
      </w:r>
      <w:r>
        <w:rPr>
          <w:rFonts w:hint="eastAsia" w:ascii="仿宋" w:hAnsi="仿宋" w:eastAsia="仿宋" w:cs="仿宋"/>
          <w:b/>
          <w:color w:val="auto"/>
          <w:szCs w:val="21"/>
          <w:lang w:eastAsia="zh-CN"/>
        </w:rPr>
        <w:t>（第</w:t>
      </w:r>
      <w:r>
        <w:rPr>
          <w:rFonts w:hint="eastAsia" w:ascii="仿宋" w:hAnsi="仿宋" w:eastAsia="仿宋" w:cs="仿宋"/>
          <w:b/>
          <w:color w:val="auto"/>
          <w:szCs w:val="21"/>
          <w:lang w:val="en-US" w:eastAsia="zh-CN"/>
        </w:rPr>
        <w:t>1项和第2项只须选择其中一项</w:t>
      </w:r>
      <w:r>
        <w:rPr>
          <w:rFonts w:hint="eastAsia" w:ascii="仿宋" w:hAnsi="仿宋" w:eastAsia="仿宋" w:cs="仿宋"/>
          <w:b/>
          <w:color w:val="auto"/>
          <w:szCs w:val="21"/>
          <w:lang w:eastAsia="zh-CN"/>
        </w:rPr>
        <w:t>）。</w:t>
      </w:r>
    </w:p>
    <w:p w14:paraId="6607174B">
      <w:pPr>
        <w:spacing w:line="360" w:lineRule="auto"/>
        <w:ind w:firstLine="420" w:firstLineChars="200"/>
        <w:rPr>
          <w:rFonts w:hint="eastAsia" w:ascii="仿宋" w:hAnsi="仿宋" w:eastAsia="仿宋" w:cs="仿宋"/>
          <w:b/>
          <w:color w:val="auto"/>
          <w:szCs w:val="21"/>
        </w:rPr>
      </w:pPr>
      <w:r>
        <w:rPr>
          <w:rFonts w:hint="eastAsia" w:ascii="仿宋" w:hAnsi="仿宋" w:eastAsia="仿宋" w:cs="仿宋"/>
          <w:b/>
          <w:color w:val="auto"/>
          <w:szCs w:val="21"/>
        </w:rPr>
        <w:t>2.投标文件中虽提供了本声明但未按上述要求明确声明的，视为投标人接受采购文件所有技术、商务条款及合同条款。</w:t>
      </w:r>
    </w:p>
    <w:p w14:paraId="5D419D8C">
      <w:pPr>
        <w:spacing w:line="360" w:lineRule="auto"/>
        <w:rPr>
          <w:rFonts w:hint="eastAsia" w:ascii="仿宋" w:hAnsi="仿宋" w:eastAsia="仿宋" w:cs="仿宋"/>
          <w:color w:val="auto"/>
          <w:szCs w:val="21"/>
        </w:rPr>
      </w:pPr>
    </w:p>
    <w:p w14:paraId="3D58BB37">
      <w:pPr>
        <w:pStyle w:val="26"/>
        <w:spacing w:line="360" w:lineRule="auto"/>
        <w:rPr>
          <w:rFonts w:hint="eastAsia" w:ascii="仿宋" w:hAnsi="仿宋" w:eastAsia="仿宋" w:cs="仿宋"/>
          <w:color w:val="auto"/>
          <w:szCs w:val="21"/>
        </w:rPr>
      </w:pPr>
      <w:r>
        <w:rPr>
          <w:rFonts w:hint="eastAsia" w:ascii="仿宋" w:hAnsi="仿宋" w:eastAsia="仿宋" w:cs="仿宋"/>
          <w:color w:val="auto"/>
          <w:szCs w:val="21"/>
        </w:rPr>
        <w:t>投标人名称（盖章） ：</w:t>
      </w:r>
      <w:r>
        <w:rPr>
          <w:rFonts w:hint="eastAsia" w:ascii="仿宋" w:hAnsi="仿宋" w:eastAsia="仿宋" w:cs="仿宋"/>
          <w:color w:val="auto"/>
          <w:szCs w:val="21"/>
          <w:u w:val="single"/>
        </w:rPr>
        <w:t xml:space="preserve">                   </w:t>
      </w:r>
    </w:p>
    <w:p w14:paraId="35D3293E">
      <w:pPr>
        <w:pStyle w:val="26"/>
        <w:spacing w:line="360" w:lineRule="auto"/>
        <w:rPr>
          <w:rFonts w:hint="eastAsia" w:ascii="仿宋" w:hAnsi="仿宋" w:eastAsia="仿宋" w:cs="仿宋"/>
          <w:b/>
          <w:color w:val="auto"/>
          <w:szCs w:val="21"/>
        </w:rPr>
      </w:pPr>
      <w:r>
        <w:rPr>
          <w:rFonts w:hint="eastAsia" w:ascii="仿宋" w:hAnsi="仿宋" w:eastAsia="仿宋" w:cs="仿宋"/>
          <w:color w:val="auto"/>
          <w:szCs w:val="21"/>
        </w:rPr>
        <w:t>日期：   年   月   日</w:t>
      </w:r>
    </w:p>
    <w:p w14:paraId="19C51793">
      <w:pPr>
        <w:spacing w:line="360" w:lineRule="auto"/>
        <w:jc w:val="left"/>
        <w:rPr>
          <w:rFonts w:hint="default" w:ascii="仿宋" w:hAnsi="仿宋" w:eastAsia="仿宋" w:cs="仿宋"/>
          <w:b/>
          <w:color w:val="auto"/>
          <w:szCs w:val="21"/>
          <w:lang w:val="en-US" w:eastAsia="zh-CN"/>
        </w:rPr>
      </w:pPr>
      <w:r>
        <w:rPr>
          <w:rFonts w:hint="eastAsia" w:ascii="仿宋" w:hAnsi="仿宋" w:eastAsia="仿宋" w:cs="仿宋"/>
          <w:b/>
          <w:bCs/>
          <w:color w:val="auto"/>
          <w:szCs w:val="21"/>
        </w:rPr>
        <w:br w:type="page"/>
      </w:r>
      <w:bookmarkStart w:id="65" w:name="附件10"/>
      <w:bookmarkStart w:id="66" w:name="附件13"/>
      <w:r>
        <w:rPr>
          <w:rFonts w:hint="eastAsia" w:ascii="仿宋" w:hAnsi="仿宋" w:eastAsia="仿宋" w:cs="仿宋"/>
          <w:b/>
          <w:color w:val="auto"/>
          <w:szCs w:val="21"/>
        </w:rPr>
        <w:t>附件</w:t>
      </w:r>
      <w:bookmarkEnd w:id="65"/>
      <w:bookmarkEnd w:id="66"/>
      <w:r>
        <w:rPr>
          <w:rFonts w:hint="eastAsia" w:ascii="仿宋" w:hAnsi="仿宋" w:eastAsia="仿宋" w:cs="仿宋"/>
          <w:b/>
          <w:color w:val="auto"/>
          <w:szCs w:val="21"/>
          <w:lang w:val="en-US" w:eastAsia="zh-CN"/>
        </w:rPr>
        <w:t>11</w:t>
      </w:r>
    </w:p>
    <w:p w14:paraId="0535E0FD">
      <w:pPr>
        <w:spacing w:line="500" w:lineRule="exact"/>
        <w:jc w:val="center"/>
        <w:rPr>
          <w:rFonts w:hint="eastAsia" w:ascii="仿宋" w:hAnsi="仿宋" w:eastAsia="仿宋" w:cs="仿宋"/>
          <w:b/>
          <w:color w:val="auto"/>
          <w:sz w:val="24"/>
        </w:rPr>
      </w:pPr>
      <w:r>
        <w:rPr>
          <w:rFonts w:hint="eastAsia" w:ascii="仿宋" w:hAnsi="仿宋" w:eastAsia="仿宋" w:cs="仿宋"/>
          <w:b/>
          <w:color w:val="auto"/>
          <w:sz w:val="28"/>
          <w:szCs w:val="28"/>
        </w:rPr>
        <w:t>开标一览表</w:t>
      </w:r>
    </w:p>
    <w:p w14:paraId="77D79F49">
      <w:pPr>
        <w:jc w:val="center"/>
        <w:rPr>
          <w:rFonts w:hint="eastAsia" w:ascii="仿宋" w:hAnsi="仿宋" w:eastAsia="仿宋" w:cs="仿宋"/>
          <w:b/>
          <w:bCs/>
          <w:color w:val="auto"/>
          <w:szCs w:val="21"/>
        </w:rPr>
      </w:pPr>
    </w:p>
    <w:p w14:paraId="5A9902F7">
      <w:pPr>
        <w:autoSpaceDE w:val="0"/>
        <w:autoSpaceDN w:val="0"/>
        <w:spacing w:line="360" w:lineRule="auto"/>
        <w:ind w:firstLine="210" w:firstLineChars="100"/>
        <w:rPr>
          <w:rFonts w:hint="eastAsia" w:ascii="仿宋" w:hAnsi="仿宋" w:eastAsia="仿宋" w:cs="仿宋"/>
          <w:color w:val="auto"/>
          <w:szCs w:val="21"/>
          <w:u w:val="single"/>
          <w:lang w:val="zh-CN"/>
        </w:rPr>
      </w:pPr>
      <w:r>
        <w:rPr>
          <w:rFonts w:hint="eastAsia" w:ascii="仿宋" w:hAnsi="仿宋" w:eastAsia="仿宋" w:cs="仿宋"/>
          <w:color w:val="auto"/>
          <w:highlight w:val="none"/>
        </w:rPr>
        <w:t>项目名称</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u w:val="single"/>
          <w:lang w:val="en-US" w:eastAsia="zh-CN"/>
        </w:rPr>
        <w:t xml:space="preserve">                              </w:t>
      </w:r>
      <w:r>
        <w:rPr>
          <w:rFonts w:hint="eastAsia" w:ascii="仿宋" w:hAnsi="仿宋" w:eastAsia="仿宋" w:cs="仿宋"/>
          <w:color w:val="auto"/>
          <w:highlight w:val="none"/>
          <w:u w:val="single"/>
          <w:lang w:val="en-US" w:eastAsia="zh-CN"/>
        </w:rPr>
        <w:t xml:space="preserve">  </w:t>
      </w:r>
      <w:r>
        <w:rPr>
          <w:rFonts w:hint="eastAsia" w:ascii="仿宋" w:hAnsi="仿宋" w:eastAsia="仿宋" w:cs="仿宋"/>
          <w:color w:val="auto"/>
          <w:highlight w:val="none"/>
          <w:u w:val="none"/>
          <w:lang w:val="en-US" w:eastAsia="zh-CN"/>
        </w:rPr>
        <w:t xml:space="preserve">     </w:t>
      </w:r>
      <w:r>
        <w:rPr>
          <w:rFonts w:hint="eastAsia" w:ascii="仿宋" w:hAnsi="仿宋" w:eastAsia="仿宋" w:cs="仿宋"/>
          <w:color w:val="auto"/>
          <w:highlight w:val="none"/>
        </w:rPr>
        <w:t>项目编号：</w:t>
      </w:r>
      <w:r>
        <w:rPr>
          <w:rFonts w:hint="eastAsia" w:ascii="仿宋" w:hAnsi="仿宋" w:eastAsia="仿宋" w:cs="仿宋"/>
          <w:color w:val="auto"/>
          <w:szCs w:val="21"/>
          <w:highlight w:val="none"/>
          <w:u w:val="single"/>
          <w:lang w:val="en-US" w:eastAsia="zh-CN"/>
        </w:rPr>
        <w:t xml:space="preserve">               </w:t>
      </w:r>
      <w:r>
        <w:rPr>
          <w:rFonts w:hint="eastAsia" w:ascii="仿宋" w:hAnsi="仿宋" w:eastAsia="仿宋" w:cs="仿宋"/>
          <w:color w:val="auto"/>
          <w:highlight w:val="none"/>
          <w:u w:val="single"/>
        </w:rPr>
        <w:t xml:space="preserve"> </w:t>
      </w:r>
    </w:p>
    <w:tbl>
      <w:tblPr>
        <w:tblStyle w:val="50"/>
        <w:tblW w:w="968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9"/>
        <w:gridCol w:w="2520"/>
        <w:gridCol w:w="6457"/>
      </w:tblGrid>
      <w:tr w14:paraId="06BD17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2"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5109E019">
            <w:pPr>
              <w:pStyle w:val="26"/>
              <w:keepNext w:val="0"/>
              <w:keepLines w:val="0"/>
              <w:pageBreakBefore w:val="0"/>
              <w:widowControl/>
              <w:kinsoku/>
              <w:wordWrap/>
              <w:overflowPunct w:val="0"/>
              <w:topLinePunct w:val="0"/>
              <w:autoSpaceDE w:val="0"/>
              <w:autoSpaceDN w:val="0"/>
              <w:bidi w:val="0"/>
              <w:adjustRightInd w:val="0"/>
              <w:snapToGrid/>
              <w:spacing w:line="360" w:lineRule="auto"/>
              <w:jc w:val="center"/>
              <w:textAlignment w:val="baseline"/>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序号</w:t>
            </w:r>
          </w:p>
        </w:tc>
        <w:tc>
          <w:tcPr>
            <w:tcW w:w="2520" w:type="dxa"/>
            <w:tcBorders>
              <w:top w:val="single" w:color="auto" w:sz="4" w:space="0"/>
              <w:left w:val="single" w:color="auto" w:sz="4" w:space="0"/>
              <w:bottom w:val="single" w:color="auto" w:sz="4" w:space="0"/>
              <w:right w:val="single" w:color="auto" w:sz="4" w:space="0"/>
            </w:tcBorders>
            <w:noWrap w:val="0"/>
            <w:vAlign w:val="center"/>
          </w:tcPr>
          <w:p w14:paraId="0ED768D2">
            <w:pPr>
              <w:pStyle w:val="26"/>
              <w:keepNext w:val="0"/>
              <w:keepLines w:val="0"/>
              <w:pageBreakBefore w:val="0"/>
              <w:widowControl/>
              <w:kinsoku/>
              <w:wordWrap/>
              <w:overflowPunct w:val="0"/>
              <w:topLinePunct w:val="0"/>
              <w:autoSpaceDE w:val="0"/>
              <w:autoSpaceDN w:val="0"/>
              <w:bidi w:val="0"/>
              <w:adjustRightInd w:val="0"/>
              <w:snapToGrid/>
              <w:spacing w:line="360" w:lineRule="auto"/>
              <w:jc w:val="center"/>
              <w:textAlignment w:val="baseline"/>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名称</w:t>
            </w:r>
          </w:p>
        </w:tc>
        <w:tc>
          <w:tcPr>
            <w:tcW w:w="6457" w:type="dxa"/>
            <w:tcBorders>
              <w:top w:val="single" w:color="auto" w:sz="4" w:space="0"/>
              <w:left w:val="single" w:color="auto" w:sz="4" w:space="0"/>
              <w:bottom w:val="single" w:color="auto" w:sz="4" w:space="0"/>
              <w:right w:val="single" w:color="auto" w:sz="8" w:space="0"/>
            </w:tcBorders>
            <w:noWrap w:val="0"/>
            <w:vAlign w:val="center"/>
          </w:tcPr>
          <w:p w14:paraId="5A409B1C">
            <w:pPr>
              <w:pStyle w:val="26"/>
              <w:keepNext w:val="0"/>
              <w:keepLines w:val="0"/>
              <w:pageBreakBefore w:val="0"/>
              <w:widowControl/>
              <w:kinsoku/>
              <w:wordWrap/>
              <w:overflowPunct w:val="0"/>
              <w:topLinePunct w:val="0"/>
              <w:autoSpaceDE w:val="0"/>
              <w:autoSpaceDN w:val="0"/>
              <w:bidi w:val="0"/>
              <w:adjustRightInd w:val="0"/>
              <w:snapToGrid/>
              <w:spacing w:line="360" w:lineRule="auto"/>
              <w:jc w:val="center"/>
              <w:textAlignment w:val="baseline"/>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内容</w:t>
            </w:r>
          </w:p>
        </w:tc>
      </w:tr>
      <w:tr w14:paraId="18A8E9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6"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652F5A07">
            <w:pPr>
              <w:pStyle w:val="26"/>
              <w:keepNext w:val="0"/>
              <w:keepLines w:val="0"/>
              <w:pageBreakBefore w:val="0"/>
              <w:widowControl/>
              <w:kinsoku/>
              <w:wordWrap/>
              <w:overflowPunct w:val="0"/>
              <w:topLinePunct w:val="0"/>
              <w:autoSpaceDE w:val="0"/>
              <w:autoSpaceDN w:val="0"/>
              <w:bidi w:val="0"/>
              <w:adjustRightInd w:val="0"/>
              <w:snapToGrid/>
              <w:spacing w:line="360" w:lineRule="auto"/>
              <w:jc w:val="center"/>
              <w:textAlignment w:val="baseline"/>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一</w:t>
            </w:r>
          </w:p>
        </w:tc>
        <w:tc>
          <w:tcPr>
            <w:tcW w:w="2520" w:type="dxa"/>
            <w:tcBorders>
              <w:top w:val="single" w:color="auto" w:sz="4" w:space="0"/>
              <w:left w:val="single" w:color="auto" w:sz="4" w:space="0"/>
              <w:bottom w:val="single" w:color="auto" w:sz="4" w:space="0"/>
              <w:right w:val="single" w:color="auto" w:sz="4" w:space="0"/>
            </w:tcBorders>
            <w:noWrap w:val="0"/>
            <w:vAlign w:val="center"/>
          </w:tcPr>
          <w:p w14:paraId="4E06144E">
            <w:pPr>
              <w:pStyle w:val="26"/>
              <w:jc w:val="center"/>
              <w:rPr>
                <w:rFonts w:hint="default" w:ascii="仿宋" w:hAnsi="仿宋" w:eastAsia="仿宋" w:cs="仿宋"/>
                <w:color w:val="auto"/>
                <w:sz w:val="21"/>
                <w:szCs w:val="21"/>
                <w:lang w:val="en-US" w:eastAsia="zh-CN"/>
              </w:rPr>
            </w:pPr>
            <w:r>
              <w:rPr>
                <w:rFonts w:hint="eastAsia" w:ascii="仿宋" w:hAnsi="仿宋" w:eastAsia="仿宋" w:cs="仿宋"/>
                <w:color w:val="auto"/>
                <w:szCs w:val="21"/>
                <w:highlight w:val="none"/>
                <w:lang w:eastAsia="zh-CN"/>
              </w:rPr>
              <w:t>投标</w:t>
            </w:r>
            <w:r>
              <w:rPr>
                <w:rFonts w:hint="eastAsia" w:ascii="仿宋" w:hAnsi="仿宋" w:eastAsia="仿宋" w:cs="仿宋"/>
                <w:color w:val="auto"/>
                <w:szCs w:val="21"/>
                <w:highlight w:val="none"/>
                <w:lang w:val="en-US" w:eastAsia="zh-CN"/>
              </w:rPr>
              <w:t>总价</w:t>
            </w:r>
          </w:p>
        </w:tc>
        <w:tc>
          <w:tcPr>
            <w:tcW w:w="6457" w:type="dxa"/>
            <w:tcBorders>
              <w:top w:val="single" w:color="auto" w:sz="4" w:space="0"/>
              <w:left w:val="single" w:color="auto" w:sz="4" w:space="0"/>
              <w:bottom w:val="single" w:color="auto" w:sz="4" w:space="0"/>
              <w:right w:val="single" w:color="auto" w:sz="4" w:space="0"/>
            </w:tcBorders>
            <w:noWrap w:val="0"/>
            <w:vAlign w:val="center"/>
          </w:tcPr>
          <w:p w14:paraId="72895FF6">
            <w:pPr>
              <w:pStyle w:val="26"/>
              <w:jc w:val="left"/>
              <w:rPr>
                <w:rFonts w:hint="eastAsia" w:ascii="仿宋" w:hAnsi="仿宋" w:eastAsia="仿宋" w:cs="仿宋"/>
                <w:color w:val="auto"/>
                <w:sz w:val="21"/>
                <w:szCs w:val="21"/>
                <w:lang w:val="en-US" w:eastAsia="zh-CN"/>
              </w:rPr>
            </w:pPr>
            <w:r>
              <w:rPr>
                <w:rFonts w:hint="eastAsia" w:ascii="仿宋" w:hAnsi="仿宋" w:eastAsia="仿宋" w:cs="仿宋"/>
                <w:color w:val="auto"/>
                <w:szCs w:val="21"/>
                <w:highlight w:val="none"/>
                <w:u w:val="none"/>
                <w:lang w:eastAsia="zh-CN"/>
              </w:rPr>
              <w:t>大写：</w:t>
            </w:r>
            <w:r>
              <w:rPr>
                <w:rFonts w:hint="eastAsia" w:ascii="仿宋" w:hAnsi="仿宋" w:eastAsia="仿宋" w:cs="仿宋"/>
                <w:color w:val="auto"/>
                <w:szCs w:val="21"/>
                <w:highlight w:val="none"/>
                <w:u w:val="single"/>
                <w:lang w:val="en-US" w:eastAsia="zh-CN"/>
              </w:rPr>
              <w:t xml:space="preserve">           </w:t>
            </w:r>
            <w:r>
              <w:rPr>
                <w:rFonts w:hint="eastAsia" w:ascii="仿宋" w:hAnsi="仿宋" w:eastAsia="仿宋" w:cs="仿宋"/>
                <w:color w:val="auto"/>
                <w:szCs w:val="21"/>
                <w:highlight w:val="none"/>
                <w:u w:val="none"/>
                <w:lang w:eastAsia="zh-CN"/>
              </w:rPr>
              <w:t>元（小写：</w:t>
            </w:r>
            <w:r>
              <w:rPr>
                <w:rFonts w:hint="eastAsia" w:ascii="仿宋" w:hAnsi="仿宋" w:eastAsia="仿宋" w:cs="仿宋"/>
                <w:color w:val="auto"/>
                <w:szCs w:val="21"/>
                <w:highlight w:val="none"/>
                <w:u w:val="single"/>
                <w:lang w:val="en-US" w:eastAsia="zh-CN"/>
              </w:rPr>
              <w:t xml:space="preserve">          </w:t>
            </w:r>
            <w:r>
              <w:rPr>
                <w:rFonts w:hint="eastAsia" w:ascii="仿宋" w:hAnsi="仿宋" w:eastAsia="仿宋" w:cs="仿宋"/>
                <w:color w:val="auto"/>
                <w:szCs w:val="21"/>
                <w:highlight w:val="none"/>
                <w:u w:val="none"/>
                <w:lang w:val="en-US" w:eastAsia="zh-CN"/>
              </w:rPr>
              <w:t>元</w:t>
            </w:r>
            <w:r>
              <w:rPr>
                <w:rFonts w:hint="eastAsia" w:ascii="仿宋" w:hAnsi="仿宋" w:eastAsia="仿宋" w:cs="仿宋"/>
                <w:color w:val="auto"/>
                <w:szCs w:val="21"/>
                <w:highlight w:val="none"/>
                <w:u w:val="none"/>
                <w:lang w:eastAsia="zh-CN"/>
              </w:rPr>
              <w:t>）</w:t>
            </w:r>
          </w:p>
        </w:tc>
      </w:tr>
      <w:tr w14:paraId="18714B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35FB2BB8">
            <w:pPr>
              <w:pStyle w:val="26"/>
              <w:keepNext w:val="0"/>
              <w:keepLines w:val="0"/>
              <w:pageBreakBefore w:val="0"/>
              <w:widowControl/>
              <w:kinsoku/>
              <w:wordWrap/>
              <w:overflowPunct w:val="0"/>
              <w:topLinePunct w:val="0"/>
              <w:autoSpaceDE w:val="0"/>
              <w:autoSpaceDN w:val="0"/>
              <w:bidi w:val="0"/>
              <w:adjustRightInd w:val="0"/>
              <w:snapToGrid/>
              <w:spacing w:line="360" w:lineRule="auto"/>
              <w:jc w:val="center"/>
              <w:textAlignment w:val="baseline"/>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二</w:t>
            </w:r>
          </w:p>
        </w:tc>
        <w:tc>
          <w:tcPr>
            <w:tcW w:w="2520" w:type="dxa"/>
            <w:tcBorders>
              <w:top w:val="single" w:color="auto" w:sz="4" w:space="0"/>
              <w:left w:val="single" w:color="auto" w:sz="4" w:space="0"/>
              <w:bottom w:val="single" w:color="auto" w:sz="4" w:space="0"/>
              <w:right w:val="single" w:color="auto" w:sz="4" w:space="0"/>
            </w:tcBorders>
            <w:noWrap w:val="0"/>
            <w:vAlign w:val="center"/>
          </w:tcPr>
          <w:p w14:paraId="1A4E54D9">
            <w:pPr>
              <w:pStyle w:val="26"/>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服务期限</w:t>
            </w:r>
          </w:p>
        </w:tc>
        <w:tc>
          <w:tcPr>
            <w:tcW w:w="6457" w:type="dxa"/>
            <w:tcBorders>
              <w:top w:val="single" w:color="auto" w:sz="4" w:space="0"/>
              <w:left w:val="single" w:color="auto" w:sz="4" w:space="0"/>
              <w:bottom w:val="single" w:color="auto" w:sz="4" w:space="0"/>
              <w:right w:val="single" w:color="auto" w:sz="8" w:space="0"/>
            </w:tcBorders>
            <w:noWrap w:val="0"/>
            <w:vAlign w:val="center"/>
          </w:tcPr>
          <w:p w14:paraId="0BD9A1B8">
            <w:pPr>
              <w:pStyle w:val="26"/>
              <w:jc w:val="both"/>
              <w:rPr>
                <w:rFonts w:hint="default" w:ascii="仿宋" w:hAnsi="仿宋" w:eastAsia="仿宋" w:cs="仿宋"/>
                <w:color w:val="auto"/>
                <w:sz w:val="21"/>
                <w:szCs w:val="21"/>
                <w:u w:val="none"/>
                <w:lang w:val="en-US" w:eastAsia="zh-CN"/>
              </w:rPr>
            </w:pPr>
            <w:r>
              <w:rPr>
                <w:rFonts w:hint="eastAsia" w:ascii="仿宋" w:hAnsi="仿宋" w:eastAsia="仿宋" w:cs="仿宋"/>
                <w:color w:val="auto"/>
                <w:szCs w:val="21"/>
                <w:highlight w:val="none"/>
                <w:lang w:val="en-US" w:eastAsia="zh-CN"/>
              </w:rPr>
              <w:t>两年，</w:t>
            </w:r>
            <w:r>
              <w:rPr>
                <w:rFonts w:hint="eastAsia" w:ascii="仿宋" w:hAnsi="仿宋" w:eastAsia="仿宋" w:cs="仿宋"/>
                <w:color w:val="auto"/>
                <w:szCs w:val="21"/>
                <w:highlight w:val="none"/>
                <w:lang w:eastAsia="zh-CN"/>
              </w:rPr>
              <w:t>具体起止时间以合同约定为准。</w:t>
            </w:r>
          </w:p>
        </w:tc>
      </w:tr>
      <w:tr w14:paraId="11C9E5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2DDA0390">
            <w:pPr>
              <w:pStyle w:val="26"/>
              <w:keepNext w:val="0"/>
              <w:keepLines w:val="0"/>
              <w:pageBreakBefore w:val="0"/>
              <w:widowControl/>
              <w:kinsoku/>
              <w:wordWrap/>
              <w:overflowPunct w:val="0"/>
              <w:topLinePunct w:val="0"/>
              <w:autoSpaceDE w:val="0"/>
              <w:autoSpaceDN w:val="0"/>
              <w:bidi w:val="0"/>
              <w:adjustRightInd w:val="0"/>
              <w:snapToGrid/>
              <w:spacing w:line="360" w:lineRule="auto"/>
              <w:jc w:val="center"/>
              <w:textAlignment w:val="baseline"/>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三</w:t>
            </w:r>
          </w:p>
        </w:tc>
        <w:tc>
          <w:tcPr>
            <w:tcW w:w="2520" w:type="dxa"/>
            <w:tcBorders>
              <w:top w:val="single" w:color="auto" w:sz="4" w:space="0"/>
              <w:left w:val="single" w:color="auto" w:sz="4" w:space="0"/>
              <w:bottom w:val="single" w:color="auto" w:sz="4" w:space="0"/>
              <w:right w:val="single" w:color="auto" w:sz="4" w:space="0"/>
            </w:tcBorders>
            <w:noWrap w:val="0"/>
            <w:vAlign w:val="center"/>
          </w:tcPr>
          <w:p w14:paraId="0FE3D15A">
            <w:pPr>
              <w:pStyle w:val="26"/>
              <w:jc w:val="center"/>
              <w:rPr>
                <w:rFonts w:hint="eastAsia" w:ascii="仿宋" w:hAnsi="仿宋" w:eastAsia="仿宋" w:cs="仿宋"/>
                <w:color w:val="auto"/>
                <w:sz w:val="21"/>
                <w:szCs w:val="21"/>
                <w:lang w:val="en-US" w:eastAsia="zh-CN"/>
              </w:rPr>
            </w:pPr>
            <w:r>
              <w:rPr>
                <w:rFonts w:hint="eastAsia" w:ascii="仿宋" w:hAnsi="仿宋" w:eastAsia="仿宋" w:cs="仿宋"/>
                <w:color w:val="auto"/>
                <w:szCs w:val="21"/>
                <w:highlight w:val="none"/>
                <w:lang w:eastAsia="zh-CN"/>
              </w:rPr>
              <w:t>项目负责人</w:t>
            </w:r>
          </w:p>
        </w:tc>
        <w:tc>
          <w:tcPr>
            <w:tcW w:w="6457" w:type="dxa"/>
            <w:tcBorders>
              <w:top w:val="single" w:color="auto" w:sz="4" w:space="0"/>
              <w:left w:val="single" w:color="auto" w:sz="4" w:space="0"/>
              <w:bottom w:val="single" w:color="auto" w:sz="4" w:space="0"/>
              <w:right w:val="single" w:color="auto" w:sz="8" w:space="0"/>
            </w:tcBorders>
            <w:noWrap w:val="0"/>
            <w:vAlign w:val="center"/>
          </w:tcPr>
          <w:p w14:paraId="5105F4E4">
            <w:pPr>
              <w:pStyle w:val="26"/>
              <w:jc w:val="both"/>
              <w:rPr>
                <w:rFonts w:hint="default" w:ascii="仿宋" w:hAnsi="仿宋" w:eastAsia="仿宋" w:cs="仿宋"/>
                <w:color w:val="auto"/>
                <w:sz w:val="21"/>
                <w:szCs w:val="21"/>
                <w:u w:val="single"/>
                <w:lang w:val="en-US" w:eastAsia="zh-CN"/>
              </w:rPr>
            </w:pPr>
            <w:r>
              <w:rPr>
                <w:rFonts w:hint="eastAsia" w:ascii="仿宋" w:hAnsi="仿宋" w:eastAsia="仿宋" w:cs="仿宋"/>
                <w:color w:val="auto"/>
                <w:sz w:val="21"/>
                <w:szCs w:val="21"/>
                <w:u w:val="none"/>
                <w:lang w:val="en-US" w:eastAsia="zh-CN"/>
              </w:rPr>
              <w:t>姓名：</w:t>
            </w:r>
            <w:r>
              <w:rPr>
                <w:rFonts w:hint="eastAsia" w:ascii="仿宋" w:hAnsi="仿宋" w:eastAsia="仿宋" w:cs="仿宋"/>
                <w:color w:val="auto"/>
                <w:sz w:val="21"/>
                <w:szCs w:val="21"/>
                <w:u w:val="single"/>
                <w:lang w:val="en-US" w:eastAsia="zh-CN"/>
              </w:rPr>
              <w:t xml:space="preserve">           </w:t>
            </w:r>
            <w:r>
              <w:rPr>
                <w:rFonts w:hint="eastAsia" w:ascii="仿宋" w:hAnsi="仿宋" w:eastAsia="仿宋" w:cs="仿宋"/>
                <w:color w:val="auto"/>
                <w:sz w:val="21"/>
                <w:szCs w:val="21"/>
                <w:u w:val="none"/>
                <w:lang w:val="en-US" w:eastAsia="zh-CN"/>
              </w:rPr>
              <w:t xml:space="preserve">   身份证号码：</w:t>
            </w:r>
            <w:r>
              <w:rPr>
                <w:rFonts w:hint="eastAsia" w:ascii="仿宋" w:hAnsi="仿宋" w:eastAsia="仿宋" w:cs="仿宋"/>
                <w:color w:val="auto"/>
                <w:sz w:val="21"/>
                <w:szCs w:val="21"/>
                <w:u w:val="single"/>
                <w:lang w:val="en-US" w:eastAsia="zh-CN"/>
              </w:rPr>
              <w:t xml:space="preserve">                </w:t>
            </w:r>
          </w:p>
        </w:tc>
      </w:tr>
      <w:tr w14:paraId="096D26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3229" w:type="dxa"/>
            <w:gridSpan w:val="2"/>
            <w:tcBorders>
              <w:top w:val="single" w:color="auto" w:sz="4" w:space="0"/>
              <w:left w:val="single" w:color="auto" w:sz="4" w:space="0"/>
              <w:bottom w:val="single" w:color="auto" w:sz="4" w:space="0"/>
              <w:right w:val="single" w:color="auto" w:sz="4" w:space="0"/>
            </w:tcBorders>
            <w:noWrap w:val="0"/>
            <w:vAlign w:val="center"/>
          </w:tcPr>
          <w:p w14:paraId="45A870F4">
            <w:pPr>
              <w:pStyle w:val="26"/>
              <w:spacing w:line="240" w:lineRule="auto"/>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szCs w:val="21"/>
                <w:highlight w:val="none"/>
              </w:rPr>
              <w:t>备注</w:t>
            </w:r>
          </w:p>
        </w:tc>
        <w:tc>
          <w:tcPr>
            <w:tcW w:w="6457" w:type="dxa"/>
            <w:tcBorders>
              <w:top w:val="single" w:color="auto" w:sz="4" w:space="0"/>
              <w:left w:val="single" w:color="auto" w:sz="4" w:space="0"/>
              <w:bottom w:val="single" w:color="auto" w:sz="4" w:space="0"/>
              <w:right w:val="single" w:color="auto" w:sz="8" w:space="0"/>
            </w:tcBorders>
            <w:noWrap w:val="0"/>
            <w:vAlign w:val="center"/>
          </w:tcPr>
          <w:p w14:paraId="775A95AD">
            <w:pPr>
              <w:pStyle w:val="26"/>
              <w:numPr>
                <w:ilvl w:val="-1"/>
                <w:numId w:val="0"/>
              </w:numPr>
              <w:spacing w:line="240" w:lineRule="auto"/>
              <w:ind w:left="0" w:leftChars="0" w:firstLine="0" w:firstLineChars="0"/>
              <w:jc w:val="left"/>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szCs w:val="21"/>
                <w:highlight w:val="none"/>
              </w:rPr>
              <w:t>上述投标报价是</w:t>
            </w:r>
            <w:r>
              <w:rPr>
                <w:rFonts w:hint="eastAsia" w:ascii="仿宋" w:hAnsi="仿宋" w:eastAsia="仿宋" w:cs="仿宋"/>
                <w:color w:val="auto"/>
                <w:szCs w:val="21"/>
                <w:highlight w:val="none"/>
                <w:lang w:val="en-US" w:eastAsia="zh-CN"/>
              </w:rPr>
              <w:t>本采购文件确定的采购需求范围内全部工作内容的价格表现。完成本项目采购需求范围内全部工作内容所需支付的一切成本费用、企业应缴纳的税费及合理利润等所有采购文件提及的费用，以及诸如项目实施过程中合理存在的风险等</w:t>
            </w:r>
            <w:r>
              <w:rPr>
                <w:rFonts w:hint="eastAsia" w:ascii="仿宋" w:hAnsi="仿宋" w:eastAsia="仿宋" w:cs="仿宋"/>
                <w:color w:val="auto"/>
                <w:szCs w:val="21"/>
              </w:rPr>
              <w:t>各项全部费用</w:t>
            </w:r>
            <w:r>
              <w:rPr>
                <w:rFonts w:hint="eastAsia" w:ascii="仿宋" w:hAnsi="仿宋" w:eastAsia="仿宋" w:cs="仿宋"/>
                <w:color w:val="auto"/>
                <w:szCs w:val="21"/>
                <w:lang w:eastAsia="zh-CN"/>
              </w:rPr>
              <w:t>均已计入投标报价</w:t>
            </w:r>
            <w:r>
              <w:rPr>
                <w:rFonts w:hint="eastAsia" w:ascii="仿宋" w:hAnsi="仿宋" w:eastAsia="仿宋" w:cs="仿宋"/>
                <w:color w:val="auto"/>
                <w:szCs w:val="21"/>
              </w:rPr>
              <w:t>。</w:t>
            </w:r>
          </w:p>
        </w:tc>
      </w:tr>
    </w:tbl>
    <w:p w14:paraId="76A4243E">
      <w:pPr>
        <w:pStyle w:val="34"/>
        <w:rPr>
          <w:rFonts w:hint="eastAsia" w:ascii="仿宋" w:hAnsi="仿宋" w:eastAsia="仿宋" w:cs="仿宋"/>
          <w:color w:val="auto"/>
          <w:lang w:val="zh-CN"/>
        </w:rPr>
      </w:pPr>
    </w:p>
    <w:p w14:paraId="471411A2">
      <w:pPr>
        <w:snapToGrid w:val="0"/>
        <w:jc w:val="left"/>
        <w:rPr>
          <w:rFonts w:hint="eastAsia" w:ascii="仿宋" w:hAnsi="仿宋" w:eastAsia="仿宋" w:cs="仿宋"/>
          <w:color w:val="auto"/>
          <w:szCs w:val="21"/>
        </w:rPr>
      </w:pPr>
    </w:p>
    <w:p w14:paraId="0C8FB496">
      <w:pPr>
        <w:spacing w:line="360" w:lineRule="auto"/>
        <w:jc w:val="left"/>
        <w:rPr>
          <w:rFonts w:hint="eastAsia" w:ascii="仿宋" w:hAnsi="仿宋" w:eastAsia="仿宋" w:cs="仿宋"/>
          <w:color w:val="auto"/>
          <w:szCs w:val="21"/>
          <w:u w:val="single"/>
        </w:rPr>
      </w:pPr>
      <w:r>
        <w:rPr>
          <w:rFonts w:hint="eastAsia" w:ascii="仿宋" w:hAnsi="仿宋" w:eastAsia="仿宋" w:cs="仿宋"/>
          <w:color w:val="auto"/>
          <w:szCs w:val="21"/>
        </w:rPr>
        <w:t xml:space="preserve">投标人名称（盖章）： </w:t>
      </w:r>
      <w:r>
        <w:rPr>
          <w:rFonts w:hint="eastAsia" w:ascii="仿宋" w:hAnsi="仿宋" w:eastAsia="仿宋" w:cs="仿宋"/>
          <w:color w:val="auto"/>
          <w:szCs w:val="21"/>
          <w:u w:val="single"/>
        </w:rPr>
        <w:t xml:space="preserve">            </w:t>
      </w:r>
    </w:p>
    <w:p w14:paraId="4441CC01">
      <w:pPr>
        <w:snapToGrid w:val="0"/>
        <w:spacing w:beforeLines="50" w:after="50" w:line="360" w:lineRule="auto"/>
        <w:rPr>
          <w:rFonts w:hint="eastAsia" w:ascii="仿宋" w:hAnsi="仿宋" w:eastAsia="仿宋" w:cs="仿宋"/>
          <w:color w:val="auto"/>
          <w:szCs w:val="21"/>
        </w:rPr>
      </w:pPr>
      <w:r>
        <w:rPr>
          <w:rFonts w:hint="eastAsia" w:ascii="仿宋" w:hAnsi="仿宋" w:eastAsia="仿宋" w:cs="仿宋"/>
          <w:color w:val="auto"/>
          <w:szCs w:val="21"/>
        </w:rPr>
        <w:t>日期：    年   月   日</w:t>
      </w:r>
    </w:p>
    <w:p w14:paraId="3FAFEC06">
      <w:pPr>
        <w:pStyle w:val="62"/>
        <w:rPr>
          <w:rFonts w:hint="eastAsia" w:ascii="仿宋" w:hAnsi="仿宋" w:eastAsia="仿宋" w:cs="仿宋"/>
          <w:color w:val="auto"/>
          <w:szCs w:val="21"/>
        </w:rPr>
      </w:pPr>
    </w:p>
    <w:p w14:paraId="62467B0D">
      <w:pPr>
        <w:pStyle w:val="66"/>
        <w:rPr>
          <w:rFonts w:hint="eastAsia" w:ascii="仿宋" w:hAnsi="仿宋" w:eastAsia="仿宋" w:cs="仿宋"/>
          <w:color w:val="auto"/>
          <w:szCs w:val="21"/>
        </w:rPr>
      </w:pPr>
    </w:p>
    <w:p w14:paraId="3D7A9B12">
      <w:pPr>
        <w:rPr>
          <w:rFonts w:hint="eastAsia" w:ascii="仿宋" w:hAnsi="仿宋" w:eastAsia="仿宋" w:cs="仿宋"/>
          <w:color w:val="auto"/>
          <w:szCs w:val="21"/>
        </w:rPr>
      </w:pPr>
    </w:p>
    <w:p w14:paraId="7678F1C5">
      <w:pPr>
        <w:pStyle w:val="62"/>
        <w:rPr>
          <w:rFonts w:hint="eastAsia" w:ascii="仿宋" w:hAnsi="仿宋" w:eastAsia="仿宋" w:cs="仿宋"/>
          <w:color w:val="auto"/>
          <w:szCs w:val="21"/>
        </w:rPr>
      </w:pPr>
    </w:p>
    <w:p w14:paraId="171F9028">
      <w:pPr>
        <w:rPr>
          <w:rFonts w:hint="eastAsia" w:ascii="仿宋" w:hAnsi="仿宋" w:eastAsia="仿宋" w:cs="仿宋"/>
          <w:b/>
          <w:color w:val="auto"/>
          <w:szCs w:val="21"/>
        </w:rPr>
      </w:pPr>
      <w:r>
        <w:rPr>
          <w:rFonts w:hint="eastAsia" w:ascii="仿宋" w:hAnsi="仿宋" w:eastAsia="仿宋" w:cs="仿宋"/>
          <w:b/>
          <w:color w:val="auto"/>
          <w:szCs w:val="21"/>
        </w:rPr>
        <w:br w:type="page"/>
      </w:r>
    </w:p>
    <w:p w14:paraId="3479BEE6">
      <w:pPr>
        <w:jc w:val="center"/>
        <w:rPr>
          <w:rFonts w:hint="eastAsia" w:ascii="仿宋" w:hAnsi="仿宋" w:eastAsia="仿宋" w:cs="仿宋"/>
          <w:b/>
          <w:bCs/>
          <w:color w:val="auto"/>
          <w:sz w:val="28"/>
          <w:szCs w:val="28"/>
        </w:rPr>
      </w:pPr>
      <w:r>
        <w:rPr>
          <w:rFonts w:hint="eastAsia" w:ascii="仿宋" w:hAnsi="仿宋" w:eastAsia="仿宋" w:cs="仿宋"/>
          <w:b/>
          <w:bCs/>
          <w:color w:val="auto"/>
          <w:sz w:val="28"/>
          <w:szCs w:val="28"/>
        </w:rPr>
        <w:t>政府采购活动现场确认声明书</w:t>
      </w:r>
    </w:p>
    <w:p w14:paraId="2905C0F6">
      <w:pPr>
        <w:rPr>
          <w:rFonts w:hint="eastAsia" w:ascii="仿宋" w:hAnsi="仿宋" w:eastAsia="仿宋" w:cs="仿宋"/>
          <w:color w:val="auto"/>
          <w:szCs w:val="21"/>
          <w:u w:val="single"/>
        </w:rPr>
      </w:pPr>
    </w:p>
    <w:p w14:paraId="29308987">
      <w:pPr>
        <w:keepNext w:val="0"/>
        <w:keepLines w:val="0"/>
        <w:pageBreakBefore w:val="0"/>
        <w:kinsoku/>
        <w:wordWrap/>
        <w:overflowPunct/>
        <w:topLinePunct w:val="0"/>
        <w:autoSpaceDE/>
        <w:autoSpaceDN/>
        <w:bidi w:val="0"/>
        <w:spacing w:line="440" w:lineRule="exact"/>
        <w:textAlignment w:val="auto"/>
        <w:rPr>
          <w:rFonts w:hint="eastAsia" w:ascii="仿宋" w:hAnsi="仿宋" w:eastAsia="仿宋" w:cs="仿宋"/>
          <w:color w:val="auto"/>
          <w:szCs w:val="21"/>
          <w:u w:val="single"/>
        </w:rPr>
      </w:pPr>
      <w:r>
        <w:rPr>
          <w:rFonts w:hint="eastAsia" w:ascii="仿宋" w:hAnsi="仿宋" w:eastAsia="仿宋" w:cs="仿宋"/>
          <w:color w:val="auto"/>
          <w:szCs w:val="21"/>
          <w:u w:val="single"/>
        </w:rPr>
        <w:t>浙江哲晟工程项目管理有限公司：</w:t>
      </w:r>
    </w:p>
    <w:p w14:paraId="4D92C551">
      <w:pPr>
        <w:keepNext w:val="0"/>
        <w:keepLines w:val="0"/>
        <w:pageBreakBefore w:val="0"/>
        <w:kinsoku/>
        <w:wordWrap/>
        <w:overflowPunct/>
        <w:topLinePunct w:val="0"/>
        <w:autoSpaceDE/>
        <w:autoSpaceDN/>
        <w:bidi w:val="0"/>
        <w:adjustRightInd w:val="0"/>
        <w:spacing w:line="440" w:lineRule="exact"/>
        <w:ind w:firstLine="444" w:firstLineChars="200"/>
        <w:textAlignment w:val="auto"/>
        <w:rPr>
          <w:rFonts w:hint="eastAsia" w:ascii="仿宋" w:hAnsi="仿宋" w:eastAsia="仿宋" w:cs="仿宋"/>
          <w:color w:val="auto"/>
          <w:spacing w:val="6"/>
          <w:szCs w:val="21"/>
        </w:rPr>
      </w:pPr>
      <w:r>
        <w:rPr>
          <w:rFonts w:hint="eastAsia" w:ascii="仿宋" w:hAnsi="仿宋" w:eastAsia="仿宋" w:cs="仿宋"/>
          <w:color w:val="auto"/>
          <w:spacing w:val="6"/>
          <w:szCs w:val="21"/>
        </w:rPr>
        <w:t>本人（</w:t>
      </w:r>
      <w:r>
        <w:rPr>
          <w:rFonts w:hint="eastAsia" w:ascii="仿宋" w:hAnsi="仿宋" w:eastAsia="仿宋" w:cs="仿宋"/>
          <w:color w:val="auto"/>
          <w:spacing w:val="6"/>
          <w:szCs w:val="21"/>
          <w:u w:val="single"/>
        </w:rPr>
        <w:t xml:space="preserve">授权代表姓名       </w:t>
      </w:r>
      <w:r>
        <w:rPr>
          <w:rFonts w:hint="eastAsia" w:ascii="仿宋" w:hAnsi="仿宋" w:eastAsia="仿宋" w:cs="仿宋"/>
          <w:color w:val="auto"/>
          <w:spacing w:val="6"/>
          <w:szCs w:val="21"/>
        </w:rPr>
        <w:t>），经由（</w:t>
      </w:r>
      <w:r>
        <w:rPr>
          <w:rFonts w:hint="eastAsia" w:ascii="仿宋" w:hAnsi="仿宋" w:eastAsia="仿宋" w:cs="仿宋"/>
          <w:color w:val="auto"/>
          <w:spacing w:val="6"/>
          <w:szCs w:val="21"/>
          <w:u w:val="single"/>
        </w:rPr>
        <w:t xml:space="preserve">单位名称       </w:t>
      </w:r>
      <w:r>
        <w:rPr>
          <w:rFonts w:hint="eastAsia" w:ascii="仿宋" w:hAnsi="仿宋" w:eastAsia="仿宋" w:cs="仿宋"/>
          <w:color w:val="auto"/>
          <w:spacing w:val="6"/>
          <w:szCs w:val="21"/>
        </w:rPr>
        <w:t>）【</w:t>
      </w:r>
      <w:r>
        <w:rPr>
          <w:rFonts w:hint="eastAsia" w:ascii="仿宋" w:hAnsi="仿宋" w:eastAsia="仿宋" w:cs="仿宋"/>
          <w:color w:val="auto"/>
          <w:spacing w:val="6"/>
          <w:szCs w:val="21"/>
          <w:u w:val="single"/>
        </w:rPr>
        <w:t>法定代表人（单位负责人）姓名     】</w:t>
      </w:r>
      <w:r>
        <w:rPr>
          <w:rFonts w:hint="eastAsia" w:ascii="仿宋" w:hAnsi="仿宋" w:eastAsia="仿宋" w:cs="仿宋"/>
          <w:color w:val="auto"/>
          <w:spacing w:val="6"/>
          <w:szCs w:val="21"/>
        </w:rPr>
        <w:t>合法授权参加</w:t>
      </w:r>
      <w:r>
        <w:rPr>
          <w:rFonts w:hint="eastAsia" w:ascii="仿宋" w:hAnsi="仿宋" w:eastAsia="仿宋" w:cs="仿宋"/>
          <w:color w:val="auto"/>
          <w:szCs w:val="21"/>
          <w:u w:val="single"/>
        </w:rPr>
        <w:t xml:space="preserve"> 项目名称                 </w:t>
      </w:r>
      <w:r>
        <w:rPr>
          <w:rFonts w:hint="eastAsia" w:ascii="仿宋" w:hAnsi="仿宋" w:eastAsia="仿宋" w:cs="仿宋"/>
          <w:color w:val="auto"/>
          <w:spacing w:val="6"/>
          <w:szCs w:val="21"/>
          <w:u w:val="single"/>
        </w:rPr>
        <w:t>（编号：   ）</w:t>
      </w:r>
      <w:r>
        <w:rPr>
          <w:rFonts w:hint="eastAsia" w:ascii="仿宋" w:hAnsi="仿宋" w:eastAsia="仿宋" w:cs="仿宋"/>
          <w:color w:val="auto"/>
          <w:spacing w:val="6"/>
          <w:szCs w:val="21"/>
        </w:rPr>
        <w:t>政府采购活动，经与本单位法人代表（负责人）联系确认，现就有关公平竞争</w:t>
      </w:r>
      <w:r>
        <w:rPr>
          <w:rFonts w:hint="eastAsia" w:ascii="仿宋" w:hAnsi="仿宋" w:eastAsia="仿宋" w:cs="仿宋"/>
          <w:color w:val="auto"/>
          <w:szCs w:val="21"/>
        </w:rPr>
        <w:t>事项</w:t>
      </w:r>
      <w:r>
        <w:rPr>
          <w:rFonts w:hint="eastAsia" w:ascii="仿宋" w:hAnsi="仿宋" w:eastAsia="仿宋" w:cs="仿宋"/>
          <w:color w:val="auto"/>
          <w:spacing w:val="6"/>
          <w:szCs w:val="21"/>
        </w:rPr>
        <w:t>郑重声明如下：</w:t>
      </w:r>
    </w:p>
    <w:p w14:paraId="256668B0">
      <w:pPr>
        <w:keepNext w:val="0"/>
        <w:keepLines w:val="0"/>
        <w:pageBreakBefore w:val="0"/>
        <w:kinsoku/>
        <w:wordWrap/>
        <w:overflowPunct/>
        <w:topLinePunct w:val="0"/>
        <w:autoSpaceDE/>
        <w:autoSpaceDN/>
        <w:bidi w:val="0"/>
        <w:spacing w:line="440" w:lineRule="exact"/>
        <w:ind w:firstLine="420" w:firstLineChars="200"/>
        <w:textAlignment w:val="auto"/>
        <w:rPr>
          <w:rFonts w:hint="eastAsia" w:ascii="仿宋" w:hAnsi="仿宋" w:eastAsia="仿宋" w:cs="仿宋"/>
          <w:color w:val="auto"/>
          <w:kern w:val="0"/>
          <w:szCs w:val="21"/>
          <w:u w:val="single"/>
        </w:rPr>
      </w:pPr>
      <w:r>
        <w:rPr>
          <w:rFonts w:hint="eastAsia" w:ascii="仿宋" w:hAnsi="仿宋" w:eastAsia="仿宋" w:cs="仿宋"/>
          <w:color w:val="auto"/>
          <w:kern w:val="0"/>
          <w:szCs w:val="21"/>
        </w:rPr>
        <w:t>一、本单位与采购人之间</w:t>
      </w:r>
      <w:r>
        <w:rPr>
          <w:rFonts w:hint="eastAsia" w:ascii="仿宋" w:hAnsi="仿宋" w:eastAsia="仿宋" w:cs="仿宋"/>
          <w:color w:val="auto"/>
          <w:kern w:val="0"/>
          <w:szCs w:val="20"/>
        </w:rPr>
        <w:sym w:font="Wingdings" w:char="F0A8"/>
      </w:r>
      <w:r>
        <w:rPr>
          <w:rFonts w:hint="eastAsia" w:ascii="仿宋" w:hAnsi="仿宋" w:eastAsia="仿宋" w:cs="仿宋"/>
          <w:color w:val="auto"/>
          <w:kern w:val="0"/>
          <w:szCs w:val="21"/>
        </w:rPr>
        <w:t>不存在利害关系</w:t>
      </w:r>
      <w:r>
        <w:rPr>
          <w:rFonts w:hint="eastAsia" w:ascii="仿宋" w:hAnsi="仿宋" w:eastAsia="仿宋" w:cs="仿宋"/>
          <w:color w:val="auto"/>
          <w:kern w:val="0"/>
          <w:szCs w:val="20"/>
        </w:rPr>
        <w:sym w:font="Wingdings" w:char="F0A8"/>
      </w:r>
      <w:r>
        <w:rPr>
          <w:rFonts w:hint="eastAsia" w:ascii="仿宋" w:hAnsi="仿宋" w:eastAsia="仿宋" w:cs="仿宋"/>
          <w:color w:val="auto"/>
          <w:kern w:val="0"/>
          <w:szCs w:val="21"/>
        </w:rPr>
        <w:t>存在下列利害关系：</w:t>
      </w:r>
      <w:r>
        <w:rPr>
          <w:rFonts w:hint="eastAsia" w:ascii="仿宋" w:hAnsi="仿宋" w:eastAsia="仿宋" w:cs="仿宋"/>
          <w:color w:val="auto"/>
          <w:kern w:val="0"/>
          <w:szCs w:val="21"/>
          <w:u w:val="single"/>
        </w:rPr>
        <w:t xml:space="preserve">         </w:t>
      </w:r>
    </w:p>
    <w:p w14:paraId="3EF69E01">
      <w:pPr>
        <w:keepNext w:val="0"/>
        <w:keepLines w:val="0"/>
        <w:pageBreakBefore w:val="0"/>
        <w:kinsoku/>
        <w:wordWrap/>
        <w:overflowPunct/>
        <w:topLinePunct w:val="0"/>
        <w:autoSpaceDE/>
        <w:autoSpaceDN/>
        <w:bidi w:val="0"/>
        <w:spacing w:line="440" w:lineRule="exact"/>
        <w:ind w:firstLine="420" w:firstLineChars="200"/>
        <w:textAlignment w:val="auto"/>
        <w:rPr>
          <w:rFonts w:hint="eastAsia" w:ascii="仿宋" w:hAnsi="仿宋" w:eastAsia="仿宋" w:cs="仿宋"/>
          <w:color w:val="auto"/>
          <w:kern w:val="0"/>
          <w:szCs w:val="21"/>
        </w:rPr>
      </w:pPr>
      <w:r>
        <w:rPr>
          <w:rFonts w:hint="eastAsia" w:ascii="仿宋" w:hAnsi="仿宋" w:eastAsia="仿宋" w:cs="仿宋"/>
          <w:color w:val="auto"/>
          <w:kern w:val="0"/>
          <w:szCs w:val="21"/>
        </w:rPr>
        <w:t>A.投资关系    B.行政隶属关系    C.业务指导关系</w:t>
      </w:r>
    </w:p>
    <w:p w14:paraId="21DE36A1">
      <w:pPr>
        <w:keepNext w:val="0"/>
        <w:keepLines w:val="0"/>
        <w:pageBreakBefore w:val="0"/>
        <w:kinsoku/>
        <w:wordWrap/>
        <w:overflowPunct/>
        <w:topLinePunct w:val="0"/>
        <w:autoSpaceDE/>
        <w:autoSpaceDN/>
        <w:bidi w:val="0"/>
        <w:spacing w:line="440" w:lineRule="exact"/>
        <w:ind w:firstLine="420" w:firstLineChars="200"/>
        <w:textAlignment w:val="auto"/>
        <w:rPr>
          <w:rFonts w:hint="eastAsia" w:ascii="仿宋" w:hAnsi="仿宋" w:eastAsia="仿宋" w:cs="仿宋"/>
          <w:color w:val="auto"/>
          <w:kern w:val="0"/>
          <w:szCs w:val="21"/>
        </w:rPr>
      </w:pPr>
      <w:r>
        <w:rPr>
          <w:rFonts w:hint="eastAsia" w:ascii="仿宋" w:hAnsi="仿宋" w:eastAsia="仿宋" w:cs="仿宋"/>
          <w:color w:val="auto"/>
          <w:kern w:val="0"/>
          <w:szCs w:val="21"/>
        </w:rPr>
        <w:t>D.其他可能</w:t>
      </w:r>
      <w:r>
        <w:rPr>
          <w:rFonts w:hint="eastAsia" w:ascii="仿宋" w:hAnsi="仿宋" w:eastAsia="仿宋" w:cs="仿宋"/>
          <w:color w:val="auto"/>
          <w:szCs w:val="21"/>
        </w:rPr>
        <w:t>影响采购公正的</w:t>
      </w:r>
      <w:r>
        <w:rPr>
          <w:rFonts w:hint="eastAsia" w:ascii="仿宋" w:hAnsi="仿宋" w:eastAsia="仿宋" w:cs="仿宋"/>
          <w:color w:val="auto"/>
          <w:kern w:val="0"/>
          <w:szCs w:val="21"/>
        </w:rPr>
        <w:t>利害关系</w:t>
      </w:r>
      <w:r>
        <w:rPr>
          <w:rFonts w:hint="eastAsia" w:ascii="仿宋" w:hAnsi="仿宋" w:eastAsia="仿宋" w:cs="仿宋"/>
          <w:color w:val="auto"/>
          <w:kern w:val="0"/>
          <w:szCs w:val="21"/>
          <w:u w:val="single"/>
        </w:rPr>
        <w:t>（如有，请如实说明）</w:t>
      </w:r>
      <w:r>
        <w:rPr>
          <w:rFonts w:hint="eastAsia" w:ascii="仿宋" w:hAnsi="仿宋" w:eastAsia="仿宋" w:cs="仿宋"/>
          <w:color w:val="auto"/>
          <w:kern w:val="0"/>
          <w:szCs w:val="21"/>
        </w:rPr>
        <w:t>。</w:t>
      </w:r>
    </w:p>
    <w:p w14:paraId="4C9B3638">
      <w:pPr>
        <w:keepNext w:val="0"/>
        <w:keepLines w:val="0"/>
        <w:pageBreakBefore w:val="0"/>
        <w:kinsoku/>
        <w:wordWrap/>
        <w:overflowPunct/>
        <w:topLinePunct w:val="0"/>
        <w:autoSpaceDE/>
        <w:autoSpaceDN/>
        <w:bidi w:val="0"/>
        <w:spacing w:line="440" w:lineRule="exact"/>
        <w:ind w:firstLine="420" w:firstLineChars="200"/>
        <w:textAlignment w:val="auto"/>
        <w:rPr>
          <w:rFonts w:hint="eastAsia" w:ascii="仿宋" w:hAnsi="仿宋" w:eastAsia="仿宋" w:cs="仿宋"/>
          <w:color w:val="auto"/>
          <w:kern w:val="0"/>
          <w:szCs w:val="21"/>
        </w:rPr>
      </w:pPr>
      <w:r>
        <w:rPr>
          <w:rFonts w:hint="eastAsia" w:ascii="仿宋" w:hAnsi="仿宋" w:eastAsia="仿宋" w:cs="仿宋"/>
          <w:color w:val="auto"/>
          <w:kern w:val="0"/>
          <w:szCs w:val="21"/>
        </w:rPr>
        <w:t>二、现已清楚知道参加本项目采购活动的其他所有投标人名称，本单位□与其他</w:t>
      </w:r>
      <w:r>
        <w:rPr>
          <w:rFonts w:hint="eastAsia" w:ascii="仿宋" w:hAnsi="仿宋" w:eastAsia="仿宋" w:cs="仿宋"/>
          <w:color w:val="auto"/>
          <w:szCs w:val="21"/>
        </w:rPr>
        <w:t>所有</w:t>
      </w:r>
      <w:r>
        <w:rPr>
          <w:rFonts w:hint="eastAsia" w:ascii="仿宋" w:hAnsi="仿宋" w:eastAsia="仿宋" w:cs="仿宋"/>
          <w:color w:val="auto"/>
          <w:kern w:val="0"/>
          <w:szCs w:val="21"/>
        </w:rPr>
        <w:t>投标人之间均不存在利害关系□与</w:t>
      </w:r>
      <w:r>
        <w:rPr>
          <w:rFonts w:hint="eastAsia" w:ascii="仿宋" w:hAnsi="仿宋" w:eastAsia="仿宋" w:cs="仿宋"/>
          <w:color w:val="auto"/>
          <w:kern w:val="0"/>
          <w:szCs w:val="21"/>
          <w:u w:val="single"/>
          <w:lang w:val="en-US" w:eastAsia="zh-CN"/>
        </w:rPr>
        <w:t xml:space="preserve">             </w:t>
      </w:r>
      <w:r>
        <w:rPr>
          <w:rFonts w:hint="eastAsia" w:ascii="仿宋" w:hAnsi="仿宋" w:eastAsia="仿宋" w:cs="仿宋"/>
          <w:color w:val="auto"/>
          <w:kern w:val="0"/>
          <w:szCs w:val="21"/>
        </w:rPr>
        <w:t>（投标人名称）之间存在下列利害</w:t>
      </w:r>
      <w:r>
        <w:rPr>
          <w:rFonts w:hint="eastAsia" w:ascii="仿宋" w:hAnsi="仿宋" w:eastAsia="仿宋" w:cs="仿宋"/>
          <w:color w:val="auto"/>
          <w:szCs w:val="21"/>
        </w:rPr>
        <w:t>关系：</w:t>
      </w:r>
      <w:r>
        <w:rPr>
          <w:rFonts w:hint="eastAsia" w:ascii="仿宋" w:hAnsi="仿宋" w:eastAsia="仿宋" w:cs="仿宋"/>
          <w:color w:val="auto"/>
          <w:kern w:val="0"/>
          <w:szCs w:val="21"/>
          <w:u w:val="single"/>
        </w:rPr>
        <w:t xml:space="preserve">         </w:t>
      </w:r>
      <w:r>
        <w:rPr>
          <w:rFonts w:hint="eastAsia" w:ascii="仿宋" w:hAnsi="仿宋" w:eastAsia="仿宋" w:cs="仿宋"/>
          <w:color w:val="auto"/>
          <w:kern w:val="0"/>
          <w:szCs w:val="21"/>
        </w:rPr>
        <w:t>：</w:t>
      </w:r>
    </w:p>
    <w:p w14:paraId="3194DE35">
      <w:pPr>
        <w:keepNext w:val="0"/>
        <w:keepLines w:val="0"/>
        <w:pageBreakBefore w:val="0"/>
        <w:kinsoku/>
        <w:wordWrap/>
        <w:overflowPunct/>
        <w:topLinePunct w:val="0"/>
        <w:autoSpaceDE/>
        <w:autoSpaceDN/>
        <w:bidi w:val="0"/>
        <w:spacing w:line="440" w:lineRule="exact"/>
        <w:ind w:firstLine="420" w:firstLineChars="200"/>
        <w:textAlignment w:val="auto"/>
        <w:rPr>
          <w:rFonts w:hint="eastAsia" w:ascii="仿宋" w:hAnsi="仿宋" w:eastAsia="仿宋" w:cs="仿宋"/>
          <w:color w:val="auto"/>
          <w:kern w:val="0"/>
          <w:szCs w:val="21"/>
        </w:rPr>
      </w:pPr>
      <w:r>
        <w:rPr>
          <w:rFonts w:hint="eastAsia" w:ascii="仿宋" w:hAnsi="仿宋" w:eastAsia="仿宋" w:cs="仿宋"/>
          <w:color w:val="auto"/>
          <w:kern w:val="0"/>
          <w:szCs w:val="21"/>
        </w:rPr>
        <w:t xml:space="preserve">  A.法定代表人或负责人或实际控制人是同一人</w:t>
      </w:r>
    </w:p>
    <w:p w14:paraId="37C1DE44">
      <w:pPr>
        <w:keepNext w:val="0"/>
        <w:keepLines w:val="0"/>
        <w:pageBreakBefore w:val="0"/>
        <w:kinsoku/>
        <w:wordWrap/>
        <w:overflowPunct/>
        <w:topLinePunct w:val="0"/>
        <w:autoSpaceDE/>
        <w:autoSpaceDN/>
        <w:bidi w:val="0"/>
        <w:spacing w:line="440" w:lineRule="exact"/>
        <w:ind w:firstLine="420" w:firstLineChars="200"/>
        <w:textAlignment w:val="auto"/>
        <w:rPr>
          <w:rFonts w:hint="eastAsia" w:ascii="仿宋" w:hAnsi="仿宋" w:eastAsia="仿宋" w:cs="仿宋"/>
          <w:color w:val="auto"/>
          <w:spacing w:val="6"/>
          <w:szCs w:val="21"/>
        </w:rPr>
      </w:pPr>
      <w:r>
        <w:rPr>
          <w:rFonts w:hint="eastAsia" w:ascii="仿宋" w:hAnsi="仿宋" w:eastAsia="仿宋" w:cs="仿宋"/>
          <w:color w:val="auto"/>
          <w:kern w:val="0"/>
          <w:szCs w:val="21"/>
        </w:rPr>
        <w:t xml:space="preserve">  B.法定代表人或负责人或实际控制人是夫妻关系</w:t>
      </w:r>
    </w:p>
    <w:p w14:paraId="41A096E2">
      <w:pPr>
        <w:keepNext w:val="0"/>
        <w:keepLines w:val="0"/>
        <w:pageBreakBefore w:val="0"/>
        <w:kinsoku/>
        <w:wordWrap/>
        <w:overflowPunct/>
        <w:topLinePunct w:val="0"/>
        <w:autoSpaceDE/>
        <w:autoSpaceDN/>
        <w:bidi w:val="0"/>
        <w:spacing w:line="440" w:lineRule="exact"/>
        <w:ind w:firstLine="420" w:firstLineChars="200"/>
        <w:textAlignment w:val="auto"/>
        <w:rPr>
          <w:rFonts w:hint="eastAsia" w:ascii="仿宋" w:hAnsi="仿宋" w:eastAsia="仿宋" w:cs="仿宋"/>
          <w:color w:val="auto"/>
          <w:spacing w:val="6"/>
          <w:szCs w:val="21"/>
        </w:rPr>
      </w:pPr>
      <w:r>
        <w:rPr>
          <w:rFonts w:hint="eastAsia" w:ascii="仿宋" w:hAnsi="仿宋" w:eastAsia="仿宋" w:cs="仿宋"/>
          <w:color w:val="auto"/>
          <w:kern w:val="0"/>
          <w:szCs w:val="21"/>
        </w:rPr>
        <w:t xml:space="preserve">  C.法定代表人或负责人或实际控制人是直系血亲关系</w:t>
      </w:r>
    </w:p>
    <w:p w14:paraId="6A163837">
      <w:pPr>
        <w:keepNext w:val="0"/>
        <w:keepLines w:val="0"/>
        <w:pageBreakBefore w:val="0"/>
        <w:kinsoku/>
        <w:wordWrap/>
        <w:overflowPunct/>
        <w:topLinePunct w:val="0"/>
        <w:autoSpaceDE/>
        <w:autoSpaceDN/>
        <w:bidi w:val="0"/>
        <w:spacing w:line="440" w:lineRule="exact"/>
        <w:ind w:firstLine="420" w:firstLineChars="200"/>
        <w:textAlignment w:val="auto"/>
        <w:rPr>
          <w:rFonts w:hint="eastAsia" w:ascii="仿宋" w:hAnsi="仿宋" w:eastAsia="仿宋" w:cs="仿宋"/>
          <w:color w:val="auto"/>
          <w:spacing w:val="6"/>
          <w:szCs w:val="21"/>
        </w:rPr>
      </w:pPr>
      <w:r>
        <w:rPr>
          <w:rFonts w:hint="eastAsia" w:ascii="仿宋" w:hAnsi="仿宋" w:eastAsia="仿宋" w:cs="仿宋"/>
          <w:color w:val="auto"/>
          <w:kern w:val="0"/>
          <w:szCs w:val="21"/>
        </w:rPr>
        <w:t xml:space="preserve">  D.法定代表人或负责人或实际控制人存在三代以内旁系血亲关系</w:t>
      </w:r>
    </w:p>
    <w:p w14:paraId="0DD46D7D">
      <w:pPr>
        <w:keepNext w:val="0"/>
        <w:keepLines w:val="0"/>
        <w:pageBreakBefore w:val="0"/>
        <w:kinsoku/>
        <w:wordWrap/>
        <w:overflowPunct/>
        <w:topLinePunct w:val="0"/>
        <w:autoSpaceDE/>
        <w:autoSpaceDN/>
        <w:bidi w:val="0"/>
        <w:spacing w:line="440" w:lineRule="exact"/>
        <w:ind w:firstLine="420" w:firstLineChars="200"/>
        <w:textAlignment w:val="auto"/>
        <w:rPr>
          <w:rFonts w:hint="eastAsia" w:ascii="仿宋" w:hAnsi="仿宋" w:eastAsia="仿宋" w:cs="仿宋"/>
          <w:color w:val="auto"/>
          <w:kern w:val="0"/>
          <w:szCs w:val="21"/>
        </w:rPr>
      </w:pPr>
      <w:r>
        <w:rPr>
          <w:rFonts w:hint="eastAsia" w:ascii="仿宋" w:hAnsi="仿宋" w:eastAsia="仿宋" w:cs="仿宋"/>
          <w:color w:val="auto"/>
          <w:kern w:val="0"/>
          <w:szCs w:val="21"/>
        </w:rPr>
        <w:t xml:space="preserve">  E.法定代表人或负责人或实际控制人存在近姻亲关系</w:t>
      </w:r>
    </w:p>
    <w:p w14:paraId="1024B2A0">
      <w:pPr>
        <w:keepNext w:val="0"/>
        <w:keepLines w:val="0"/>
        <w:pageBreakBefore w:val="0"/>
        <w:kinsoku/>
        <w:wordWrap/>
        <w:overflowPunct/>
        <w:topLinePunct w:val="0"/>
        <w:autoSpaceDE/>
        <w:autoSpaceDN/>
        <w:bidi w:val="0"/>
        <w:spacing w:line="440" w:lineRule="exact"/>
        <w:ind w:firstLine="420" w:firstLineChars="200"/>
        <w:textAlignment w:val="auto"/>
        <w:rPr>
          <w:rFonts w:hint="eastAsia" w:ascii="仿宋" w:hAnsi="仿宋" w:eastAsia="仿宋" w:cs="仿宋"/>
          <w:color w:val="auto"/>
          <w:szCs w:val="21"/>
        </w:rPr>
      </w:pPr>
      <w:r>
        <w:rPr>
          <w:rFonts w:hint="eastAsia" w:ascii="仿宋" w:hAnsi="仿宋" w:eastAsia="仿宋" w:cs="仿宋"/>
          <w:color w:val="auto"/>
          <w:kern w:val="0"/>
          <w:szCs w:val="21"/>
        </w:rPr>
        <w:t xml:space="preserve">  F.法定代表人或负责人或实际控制人存在股份控制或实际控制关系</w:t>
      </w:r>
    </w:p>
    <w:p w14:paraId="73F501EB">
      <w:pPr>
        <w:keepNext w:val="0"/>
        <w:keepLines w:val="0"/>
        <w:pageBreakBefore w:val="0"/>
        <w:kinsoku/>
        <w:wordWrap/>
        <w:overflowPunct/>
        <w:topLinePunct w:val="0"/>
        <w:autoSpaceDE/>
        <w:autoSpaceDN/>
        <w:bidi w:val="0"/>
        <w:spacing w:line="440" w:lineRule="exact"/>
        <w:ind w:firstLine="420" w:firstLineChars="200"/>
        <w:textAlignment w:val="auto"/>
        <w:rPr>
          <w:rFonts w:hint="eastAsia" w:ascii="仿宋" w:hAnsi="仿宋" w:eastAsia="仿宋" w:cs="仿宋"/>
          <w:color w:val="auto"/>
          <w:kern w:val="0"/>
          <w:szCs w:val="21"/>
        </w:rPr>
      </w:pPr>
      <w:r>
        <w:rPr>
          <w:rFonts w:hint="eastAsia" w:ascii="仿宋" w:hAnsi="仿宋" w:eastAsia="仿宋" w:cs="仿宋"/>
          <w:color w:val="auto"/>
          <w:szCs w:val="21"/>
        </w:rPr>
        <w:t xml:space="preserve">  </w:t>
      </w:r>
      <w:r>
        <w:rPr>
          <w:rFonts w:hint="eastAsia" w:ascii="仿宋" w:hAnsi="仿宋" w:eastAsia="仿宋" w:cs="仿宋"/>
          <w:color w:val="auto"/>
          <w:kern w:val="0"/>
          <w:szCs w:val="21"/>
        </w:rPr>
        <w:t>G.存在共同直接或间接投资设立子公司、联营企业和合营企业情况</w:t>
      </w:r>
    </w:p>
    <w:p w14:paraId="0AE2E450">
      <w:pPr>
        <w:keepNext w:val="0"/>
        <w:keepLines w:val="0"/>
        <w:pageBreakBefore w:val="0"/>
        <w:kinsoku/>
        <w:wordWrap/>
        <w:overflowPunct/>
        <w:topLinePunct w:val="0"/>
        <w:autoSpaceDE/>
        <w:autoSpaceDN/>
        <w:bidi w:val="0"/>
        <w:spacing w:line="440" w:lineRule="exact"/>
        <w:ind w:firstLine="420" w:firstLineChars="200"/>
        <w:textAlignment w:val="auto"/>
        <w:rPr>
          <w:rFonts w:hint="eastAsia" w:ascii="仿宋" w:hAnsi="仿宋" w:eastAsia="仿宋" w:cs="仿宋"/>
          <w:color w:val="auto"/>
          <w:szCs w:val="21"/>
        </w:rPr>
      </w:pPr>
      <w:r>
        <w:rPr>
          <w:rFonts w:hint="eastAsia" w:ascii="仿宋" w:hAnsi="仿宋" w:eastAsia="仿宋" w:cs="仿宋"/>
          <w:color w:val="auto"/>
          <w:kern w:val="0"/>
          <w:szCs w:val="21"/>
        </w:rPr>
        <w:t xml:space="preserve">  H.存在分级代理或代销关系、同一生产制造商关系、</w:t>
      </w:r>
      <w:r>
        <w:rPr>
          <w:rFonts w:hint="eastAsia" w:ascii="仿宋" w:hAnsi="仿宋" w:eastAsia="仿宋" w:cs="仿宋"/>
          <w:color w:val="auto"/>
          <w:szCs w:val="21"/>
        </w:rPr>
        <w:t>管理关系、重要业务（占主营业务收入50%以上）或重要财务往来关系（如融资）等其他实质性控制关系</w:t>
      </w:r>
    </w:p>
    <w:p w14:paraId="2DB1B5E7">
      <w:pPr>
        <w:keepNext w:val="0"/>
        <w:keepLines w:val="0"/>
        <w:pageBreakBefore w:val="0"/>
        <w:kinsoku/>
        <w:wordWrap/>
        <w:overflowPunct/>
        <w:topLinePunct w:val="0"/>
        <w:autoSpaceDE/>
        <w:autoSpaceDN/>
        <w:bidi w:val="0"/>
        <w:spacing w:line="440" w:lineRule="exact"/>
        <w:ind w:firstLine="420" w:firstLineChars="200"/>
        <w:textAlignment w:val="auto"/>
        <w:rPr>
          <w:rFonts w:hint="eastAsia" w:ascii="仿宋" w:hAnsi="仿宋" w:eastAsia="仿宋" w:cs="仿宋"/>
          <w:color w:val="auto"/>
          <w:spacing w:val="6"/>
          <w:szCs w:val="21"/>
        </w:rPr>
      </w:pPr>
      <w:r>
        <w:rPr>
          <w:rFonts w:hint="eastAsia" w:ascii="仿宋" w:hAnsi="仿宋" w:eastAsia="仿宋" w:cs="仿宋"/>
          <w:color w:val="auto"/>
          <w:szCs w:val="21"/>
        </w:rPr>
        <w:t xml:space="preserve">  I</w:t>
      </w:r>
      <w:r>
        <w:rPr>
          <w:rFonts w:hint="eastAsia" w:ascii="仿宋" w:hAnsi="仿宋" w:eastAsia="仿宋" w:cs="仿宋"/>
          <w:color w:val="auto"/>
          <w:kern w:val="0"/>
          <w:szCs w:val="21"/>
        </w:rPr>
        <w:t>.</w:t>
      </w:r>
      <w:r>
        <w:rPr>
          <w:rFonts w:hint="eastAsia" w:ascii="仿宋" w:hAnsi="仿宋" w:eastAsia="仿宋" w:cs="仿宋"/>
          <w:color w:val="auto"/>
          <w:szCs w:val="21"/>
        </w:rPr>
        <w:t>其他利害关系情况：</w:t>
      </w:r>
      <w:r>
        <w:rPr>
          <w:rFonts w:hint="eastAsia" w:ascii="仿宋" w:hAnsi="仿宋" w:eastAsia="仿宋" w:cs="仿宋"/>
          <w:color w:val="auto"/>
          <w:szCs w:val="21"/>
          <w:u w:val="single"/>
        </w:rPr>
        <w:t xml:space="preserve">                  </w:t>
      </w:r>
      <w:r>
        <w:rPr>
          <w:rFonts w:hint="eastAsia" w:ascii="仿宋" w:hAnsi="仿宋" w:eastAsia="仿宋" w:cs="仿宋"/>
          <w:color w:val="auto"/>
          <w:kern w:val="0"/>
          <w:szCs w:val="21"/>
        </w:rPr>
        <w:t>。</w:t>
      </w:r>
    </w:p>
    <w:p w14:paraId="17126DDA">
      <w:pPr>
        <w:keepNext w:val="0"/>
        <w:keepLines w:val="0"/>
        <w:pageBreakBefore w:val="0"/>
        <w:kinsoku/>
        <w:wordWrap/>
        <w:overflowPunct/>
        <w:topLinePunct w:val="0"/>
        <w:autoSpaceDE/>
        <w:autoSpaceDN/>
        <w:bidi w:val="0"/>
        <w:spacing w:line="440" w:lineRule="exact"/>
        <w:ind w:firstLine="420" w:firstLineChars="200"/>
        <w:textAlignment w:val="auto"/>
        <w:rPr>
          <w:rFonts w:hint="eastAsia" w:ascii="仿宋" w:hAnsi="仿宋" w:eastAsia="仿宋" w:cs="仿宋"/>
          <w:color w:val="auto"/>
          <w:kern w:val="0"/>
          <w:szCs w:val="21"/>
        </w:rPr>
      </w:pPr>
      <w:r>
        <w:rPr>
          <w:rFonts w:hint="eastAsia" w:ascii="仿宋" w:hAnsi="仿宋" w:eastAsia="仿宋" w:cs="仿宋"/>
          <w:color w:val="auto"/>
          <w:szCs w:val="21"/>
        </w:rPr>
        <w:t>三、现已清楚知道并</w:t>
      </w:r>
      <w:r>
        <w:rPr>
          <w:rFonts w:hint="eastAsia" w:ascii="仿宋" w:hAnsi="仿宋" w:eastAsia="仿宋" w:cs="仿宋"/>
          <w:color w:val="auto"/>
          <w:kern w:val="0"/>
          <w:szCs w:val="21"/>
        </w:rPr>
        <w:t>严格遵守政府采购法律法规和现场纪律。</w:t>
      </w:r>
    </w:p>
    <w:p w14:paraId="2204133B">
      <w:pPr>
        <w:keepNext w:val="0"/>
        <w:keepLines w:val="0"/>
        <w:pageBreakBefore w:val="0"/>
        <w:kinsoku/>
        <w:wordWrap/>
        <w:overflowPunct/>
        <w:topLinePunct w:val="0"/>
        <w:autoSpaceDE/>
        <w:autoSpaceDN/>
        <w:bidi w:val="0"/>
        <w:spacing w:line="440" w:lineRule="exact"/>
        <w:ind w:firstLine="420" w:firstLineChars="200"/>
        <w:textAlignment w:val="auto"/>
        <w:rPr>
          <w:rFonts w:hint="eastAsia" w:ascii="仿宋" w:hAnsi="仿宋" w:eastAsia="仿宋" w:cs="仿宋"/>
          <w:color w:val="auto"/>
          <w:kern w:val="0"/>
          <w:szCs w:val="21"/>
        </w:rPr>
      </w:pPr>
      <w:r>
        <w:rPr>
          <w:rFonts w:hint="eastAsia" w:ascii="仿宋" w:hAnsi="仿宋" w:eastAsia="仿宋" w:cs="仿宋"/>
          <w:color w:val="auto"/>
          <w:kern w:val="0"/>
          <w:szCs w:val="21"/>
        </w:rPr>
        <w:t>四、我发现</w:t>
      </w:r>
      <w:r>
        <w:rPr>
          <w:rFonts w:hint="eastAsia" w:ascii="仿宋" w:hAnsi="仿宋" w:eastAsia="仿宋" w:cs="仿宋"/>
          <w:color w:val="auto"/>
          <w:kern w:val="0"/>
          <w:szCs w:val="21"/>
          <w:u w:val="single"/>
          <w:lang w:val="en-US" w:eastAsia="zh-CN"/>
        </w:rPr>
        <w:t xml:space="preserve">                 </w:t>
      </w:r>
      <w:r>
        <w:rPr>
          <w:rFonts w:hint="eastAsia" w:ascii="仿宋" w:hAnsi="仿宋" w:eastAsia="仿宋" w:cs="仿宋"/>
          <w:color w:val="auto"/>
          <w:kern w:val="0"/>
          <w:szCs w:val="21"/>
        </w:rPr>
        <w:t>投标人之间存在或可能存在上述第二条第</w:t>
      </w:r>
      <w:r>
        <w:rPr>
          <w:rFonts w:hint="eastAsia" w:ascii="仿宋" w:hAnsi="仿宋" w:eastAsia="仿宋" w:cs="仿宋"/>
          <w:color w:val="auto"/>
          <w:kern w:val="0"/>
          <w:szCs w:val="21"/>
          <w:u w:val="single"/>
        </w:rPr>
        <w:t xml:space="preserve">          </w:t>
      </w:r>
      <w:r>
        <w:rPr>
          <w:rFonts w:hint="eastAsia" w:ascii="仿宋" w:hAnsi="仿宋" w:eastAsia="仿宋" w:cs="仿宋"/>
          <w:color w:val="auto"/>
          <w:kern w:val="0"/>
          <w:szCs w:val="21"/>
        </w:rPr>
        <w:t>项利害关系。</w:t>
      </w:r>
    </w:p>
    <w:p w14:paraId="662B4A79">
      <w:pPr>
        <w:pStyle w:val="170"/>
        <w:keepNext w:val="0"/>
        <w:keepLines w:val="0"/>
        <w:pageBreakBefore w:val="0"/>
        <w:widowControl/>
        <w:kinsoku/>
        <w:wordWrap/>
        <w:overflowPunct/>
        <w:topLinePunct w:val="0"/>
        <w:autoSpaceDE/>
        <w:autoSpaceDN/>
        <w:bidi w:val="0"/>
        <w:snapToGrid w:val="0"/>
        <w:spacing w:line="440" w:lineRule="exact"/>
        <w:textAlignment w:val="auto"/>
        <w:rPr>
          <w:rFonts w:hint="eastAsia" w:ascii="仿宋" w:hAnsi="仿宋" w:eastAsia="仿宋" w:cs="仿宋"/>
          <w:color w:val="auto"/>
        </w:rPr>
      </w:pPr>
    </w:p>
    <w:p w14:paraId="5A4F6829">
      <w:pPr>
        <w:pStyle w:val="170"/>
        <w:keepNext w:val="0"/>
        <w:keepLines w:val="0"/>
        <w:pageBreakBefore w:val="0"/>
        <w:widowControl/>
        <w:kinsoku/>
        <w:wordWrap/>
        <w:overflowPunct/>
        <w:topLinePunct w:val="0"/>
        <w:autoSpaceDE/>
        <w:autoSpaceDN/>
        <w:bidi w:val="0"/>
        <w:snapToGrid w:val="0"/>
        <w:spacing w:line="440" w:lineRule="exact"/>
        <w:textAlignment w:val="auto"/>
        <w:rPr>
          <w:rFonts w:hint="eastAsia" w:ascii="仿宋" w:hAnsi="仿宋" w:eastAsia="仿宋" w:cs="仿宋"/>
          <w:color w:val="auto"/>
          <w:sz w:val="24"/>
          <w:szCs w:val="24"/>
        </w:rPr>
      </w:pPr>
    </w:p>
    <w:p w14:paraId="6EE760FA">
      <w:pPr>
        <w:keepNext w:val="0"/>
        <w:keepLines w:val="0"/>
        <w:pageBreakBefore w:val="0"/>
        <w:kinsoku/>
        <w:wordWrap/>
        <w:overflowPunct/>
        <w:topLinePunct w:val="0"/>
        <w:autoSpaceDE/>
        <w:autoSpaceDN/>
        <w:bidi w:val="0"/>
        <w:spacing w:line="440" w:lineRule="exact"/>
        <w:jc w:val="center"/>
        <w:textAlignment w:val="auto"/>
        <w:rPr>
          <w:rFonts w:hint="eastAsia" w:ascii="仿宋" w:hAnsi="仿宋" w:eastAsia="仿宋" w:cs="仿宋"/>
          <w:color w:val="auto"/>
          <w:kern w:val="0"/>
          <w:szCs w:val="21"/>
        </w:rPr>
      </w:pPr>
      <w:r>
        <w:rPr>
          <w:rFonts w:hint="eastAsia" w:ascii="仿宋" w:hAnsi="仿宋" w:eastAsia="仿宋" w:cs="仿宋"/>
          <w:color w:val="auto"/>
          <w:sz w:val="24"/>
        </w:rPr>
        <w:t xml:space="preserve">                        </w:t>
      </w:r>
      <w:r>
        <w:rPr>
          <w:rFonts w:hint="eastAsia" w:ascii="仿宋" w:hAnsi="仿宋" w:eastAsia="仿宋" w:cs="仿宋"/>
          <w:color w:val="auto"/>
          <w:kern w:val="0"/>
          <w:szCs w:val="21"/>
        </w:rPr>
        <w:t>投标人代表签名：</w:t>
      </w:r>
    </w:p>
    <w:p w14:paraId="6A56D59C">
      <w:pPr>
        <w:keepNext w:val="0"/>
        <w:keepLines w:val="0"/>
        <w:pageBreakBefore w:val="0"/>
        <w:kinsoku/>
        <w:wordWrap/>
        <w:overflowPunct/>
        <w:topLinePunct w:val="0"/>
        <w:autoSpaceDE/>
        <w:autoSpaceDN/>
        <w:bidi w:val="0"/>
        <w:spacing w:line="440" w:lineRule="exact"/>
        <w:jc w:val="center"/>
        <w:textAlignment w:val="auto"/>
        <w:rPr>
          <w:rFonts w:hint="eastAsia" w:ascii="仿宋" w:hAnsi="仿宋" w:eastAsia="仿宋" w:cs="仿宋"/>
          <w:color w:val="auto"/>
          <w:sz w:val="24"/>
        </w:rPr>
      </w:pPr>
      <w:r>
        <w:rPr>
          <w:rFonts w:hint="eastAsia" w:ascii="仿宋" w:hAnsi="仿宋" w:eastAsia="仿宋" w:cs="仿宋"/>
          <w:color w:val="auto"/>
          <w:kern w:val="0"/>
          <w:szCs w:val="21"/>
        </w:rPr>
        <w:t xml:space="preserve">                             </w:t>
      </w:r>
      <w:r>
        <w:rPr>
          <w:rFonts w:hint="eastAsia" w:ascii="仿宋" w:hAnsi="仿宋" w:eastAsia="仿宋" w:cs="仿宋"/>
          <w:color w:val="auto"/>
          <w:kern w:val="0"/>
          <w:szCs w:val="21"/>
          <w:lang w:val="en-US" w:eastAsia="zh-CN"/>
        </w:rPr>
        <w:t xml:space="preserve"> </w:t>
      </w:r>
      <w:r>
        <w:rPr>
          <w:rFonts w:hint="eastAsia" w:ascii="仿宋" w:hAnsi="仿宋" w:eastAsia="仿宋" w:cs="仿宋"/>
          <w:color w:val="auto"/>
          <w:kern w:val="0"/>
          <w:szCs w:val="21"/>
        </w:rPr>
        <w:t>年  月   日</w:t>
      </w:r>
    </w:p>
    <w:p w14:paraId="5C03AE81">
      <w:pPr>
        <w:pStyle w:val="169"/>
        <w:widowControl w:val="0"/>
        <w:snapToGrid w:val="0"/>
        <w:spacing w:line="440" w:lineRule="exact"/>
        <w:ind w:firstLine="420" w:firstLineChars="200"/>
        <w:jc w:val="both"/>
        <w:rPr>
          <w:rFonts w:hint="eastAsia" w:ascii="仿宋" w:hAnsi="仿宋" w:eastAsia="仿宋" w:cs="仿宋"/>
          <w:b/>
          <w:bCs/>
          <w:color w:val="auto"/>
        </w:rPr>
      </w:pPr>
    </w:p>
    <w:p w14:paraId="20071E33">
      <w:pPr>
        <w:pStyle w:val="169"/>
        <w:widowControl w:val="0"/>
        <w:snapToGrid w:val="0"/>
        <w:spacing w:line="440" w:lineRule="exact"/>
        <w:ind w:firstLine="420" w:firstLineChars="200"/>
        <w:jc w:val="both"/>
        <w:rPr>
          <w:rFonts w:hint="eastAsia" w:ascii="仿宋" w:hAnsi="仿宋" w:eastAsia="仿宋" w:cs="仿宋"/>
          <w:color w:val="auto"/>
        </w:rPr>
      </w:pPr>
      <w:r>
        <w:rPr>
          <w:rFonts w:hint="eastAsia" w:ascii="仿宋" w:hAnsi="仿宋" w:eastAsia="仿宋" w:cs="仿宋"/>
          <w:b/>
          <w:bCs/>
          <w:color w:val="auto"/>
        </w:rPr>
        <w:t>说明：本声明书待投标文件完成解密后由法定代表人（单位负责人）或授权代理人进行填写，并以扫描件形式回传至代理机构邮箱</w:t>
      </w:r>
      <w:r>
        <w:rPr>
          <w:rFonts w:hint="eastAsia" w:ascii="仿宋" w:hAnsi="仿宋" w:eastAsia="仿宋" w:cs="仿宋"/>
          <w:b/>
          <w:bCs/>
          <w:color w:val="auto"/>
          <w:lang w:eastAsia="zh-CN"/>
        </w:rPr>
        <w:t>85967191</w:t>
      </w:r>
      <w:r>
        <w:rPr>
          <w:rFonts w:hint="eastAsia" w:ascii="仿宋" w:hAnsi="仿宋" w:eastAsia="仿宋" w:cs="仿宋"/>
          <w:b/>
          <w:bCs/>
          <w:color w:val="auto"/>
        </w:rPr>
        <w:t>@qq.com。</w:t>
      </w:r>
    </w:p>
    <w:sectPr>
      <w:footerReference r:id="rId8" w:type="first"/>
      <w:footerReference r:id="rId7" w:type="default"/>
      <w:pgSz w:w="11907" w:h="16840"/>
      <w:pgMar w:top="1559" w:right="1134" w:bottom="1134" w:left="1134" w:header="720" w:footer="873" w:gutter="0"/>
      <w:pgBorders>
        <w:top w:val="none" w:sz="0" w:space="0"/>
        <w:left w:val="none" w:sz="0" w:space="0"/>
        <w:bottom w:val="none" w:sz="0" w:space="0"/>
        <w:right w:val="none" w:sz="0" w:space="0"/>
      </w:pgBorders>
      <w:pgNumType w:fmt="decimal"/>
      <w:cols w:space="720" w:num="1"/>
      <w:titlePg/>
      <w:docGrid w:type="linesAndChars" w:linePitch="38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Helvetica">
    <w:panose1 w:val="020B0604020202020204"/>
    <w:charset w:val="00"/>
    <w:family w:val="swiss"/>
    <w:pitch w:val="default"/>
    <w:sig w:usb0="00000000" w:usb1="00000000" w:usb2="00000000" w:usb3="00000000" w:csb0="00000000"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Calibri Light">
    <w:panose1 w:val="020F0302020204030204"/>
    <w:charset w:val="00"/>
    <w:family w:val="swiss"/>
    <w:pitch w:val="default"/>
    <w:sig w:usb0="A00002EF" w:usb1="4000207B" w:usb2="00000000" w:usb3="00000000" w:csb0="2000019F" w:csb1="00000000"/>
  </w:font>
  <w:font w:name="Arial Unicode MS">
    <w:altName w:val="宋体"/>
    <w:panose1 w:val="020B0604020202020204"/>
    <w:charset w:val="86"/>
    <w:family w:val="roman"/>
    <w:pitch w:val="default"/>
    <w:sig w:usb0="00000000" w:usb1="00000000" w:usb2="0000003F" w:usb3="00000000" w:csb0="603F01FF" w:csb1="FFFF0000"/>
  </w:font>
  <w:font w:name="FuturaA Bk BT">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66F3B9">
    <w:pPr>
      <w:pStyle w:val="32"/>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5DDD2D">
                          <w:pPr>
                            <w:pStyle w:val="32"/>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435DDD2D">
                    <w:pPr>
                      <w:pStyle w:val="32"/>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AC5E31">
    <w:pPr>
      <w:pStyle w:val="32"/>
      <w:ind w:right="360"/>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430602AF">
                          <w:pPr>
                            <w:pStyle w:val="32"/>
                          </w:pPr>
                          <w:r>
                            <w:fldChar w:fldCharType="begin"/>
                          </w:r>
                          <w:r>
                            <w:instrText xml:space="preserve"> PAGE  \* MERGEFORMAT </w:instrText>
                          </w:r>
                          <w:r>
                            <w:fldChar w:fldCharType="separate"/>
                          </w:r>
                          <w:r>
                            <w:t>58</w:t>
                          </w:r>
                          <w:r>
                            <w:fldChar w:fldCharType="end"/>
                          </w:r>
                        </w:p>
                      </w:txbxContent>
                    </wps:txbx>
                    <wps:bodyPr vert="horz" wrap="none" lIns="0" tIns="0" rIns="0" bIns="0" anchor="t">
                      <a:spAutoFit/>
                    </wps:bodyPr>
                  </wps:wsp>
                </a:graphicData>
              </a:graphic>
            </wp:anchor>
          </w:drawing>
        </mc:Choice>
        <mc:Fallback>
          <w:pict>
            <v:shape id="文本框 1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M6pebnPAAAABQEAAA8AAAAAAAAAAQAgAAAAIgAAAGRy&#10;cy9kb3ducmV2LnhtbFBLAQIUABQAAAAIAIdO4kCNE2H51QEAALUDAAAOAAAAAAAAAAEAIAAAAB4B&#10;AABkcnMvZTJvRG9jLnhtbFBLBQYAAAAABgAGAFkBAABlBQAAAAA=&#10;">
              <v:fill on="f" focussize="0,0"/>
              <v:stroke on="f"/>
              <v:imagedata o:title=""/>
              <o:lock v:ext="edit" aspectratio="f"/>
              <v:textbox inset="0mm,0mm,0mm,0mm" style="mso-fit-shape-to-text:t;">
                <w:txbxContent>
                  <w:p w14:paraId="430602AF">
                    <w:pPr>
                      <w:pStyle w:val="32"/>
                    </w:pPr>
                    <w:r>
                      <w:fldChar w:fldCharType="begin"/>
                    </w:r>
                    <w:r>
                      <w:instrText xml:space="preserve"> PAGE  \* MERGEFORMAT </w:instrText>
                    </w:r>
                    <w:r>
                      <w:fldChar w:fldCharType="separate"/>
                    </w:r>
                    <w:r>
                      <w:t>58</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0FDD2F">
    <w:pPr>
      <w:pStyle w:val="32"/>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7F8BA111">
                          <w:pPr>
                            <w:pStyle w:val="32"/>
                          </w:pPr>
                          <w:r>
                            <w:fldChar w:fldCharType="begin"/>
                          </w:r>
                          <w:r>
                            <w:instrText xml:space="preserve"> PAGE  \* MERGEFORMAT </w:instrText>
                          </w:r>
                          <w:r>
                            <w:fldChar w:fldCharType="separate"/>
                          </w:r>
                          <w:r>
                            <w:t>62</w:t>
                          </w:r>
                          <w:r>
                            <w:fldChar w:fldCharType="end"/>
                          </w:r>
                        </w:p>
                      </w:txbxContent>
                    </wps:txbx>
                    <wps:bodyPr vert="horz" wrap="none" lIns="0" tIns="0" rIns="0" bIns="0" anchor="t">
                      <a:spAutoFit/>
                    </wps:bodyPr>
                  </wps:wsp>
                </a:graphicData>
              </a:graphic>
            </wp:anchor>
          </w:drawing>
        </mc:Choice>
        <mc:Fallback>
          <w:pict>
            <v:shape id="文本框 127"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OqXm5zwAAAAUBAAAPAAAAAAAAAAEAIAAAACIAAABk&#10;cnMvZG93bnJldi54bWxQSwECFAAUAAAACACHTuJAcVfLHNYBAAC1AwAADgAAAAAAAAABACAAAAAe&#10;AQAAZHJzL2Uyb0RvYy54bWxQSwUGAAAAAAYABgBZAQAAZgUAAAAA&#10;">
              <v:fill on="f" focussize="0,0"/>
              <v:stroke on="f"/>
              <v:imagedata o:title=""/>
              <o:lock v:ext="edit" aspectratio="f"/>
              <v:textbox inset="0mm,0mm,0mm,0mm" style="mso-fit-shape-to-text:t;">
                <w:txbxContent>
                  <w:p w14:paraId="7F8BA111">
                    <w:pPr>
                      <w:pStyle w:val="32"/>
                    </w:pPr>
                    <w:r>
                      <w:fldChar w:fldCharType="begin"/>
                    </w:r>
                    <w:r>
                      <w:instrText xml:space="preserve"> PAGE  \* MERGEFORMAT </w:instrText>
                    </w:r>
                    <w:r>
                      <w:fldChar w:fldCharType="separate"/>
                    </w:r>
                    <w:r>
                      <w:t>62</w:t>
                    </w:r>
                    <w:r>
                      <w:fldChar w:fldCharType="end"/>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332712C"/>
                      </w:txbxContent>
                    </wps:txbx>
                    <wps:bodyPr wrap="none" lIns="0" tIns="0" rIns="0" bIns="0">
                      <a:spAutoFit/>
                    </wps:bodyPr>
                  </wps:wsp>
                </a:graphicData>
              </a:graphic>
            </wp:anchor>
          </w:drawing>
        </mc:Choice>
        <mc:Fallback>
          <w:pict>
            <v:shape id="文本框 14"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ov58cBAACcAwAADgAAAAAAAAABACAAAAAeAQAAZHJzL2Uyb0RvYy54&#10;bWxQSwUGAAAAAAYABgBZAQAAVwUAAAAA&#10;">
              <v:fill on="f" focussize="0,0"/>
              <v:stroke on="f"/>
              <v:imagedata o:title=""/>
              <o:lock v:ext="edit" aspectratio="f"/>
              <v:textbox inset="0mm,0mm,0mm,0mm" style="mso-fit-shape-to-text:t;">
                <w:txbxContent>
                  <w:p w14:paraId="1332712C"/>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footnote>
  <w:footnote w:type="continuationSeparator" w:id="3">
    <w:p/>
  </w:footnote>
  <w:footnote w:id="0">
    <w:p w14:paraId="3174637E">
      <w:pPr>
        <w:bidi w:val="0"/>
        <w:rPr>
          <w:rFonts w:hint="default"/>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057D1F">
    <w:pPr>
      <w:pStyle w:val="3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8"/>
    <w:multiLevelType w:val="singleLevel"/>
    <w:tmpl w:val="FFFFFF88"/>
    <w:lvl w:ilvl="0" w:tentative="0">
      <w:start w:val="1"/>
      <w:numFmt w:val="decimal"/>
      <w:pStyle w:val="12"/>
      <w:lvlText w:val="%1."/>
      <w:lvlJc w:val="left"/>
      <w:pPr>
        <w:tabs>
          <w:tab w:val="left" w:pos="360"/>
        </w:tabs>
        <w:ind w:left="360" w:hanging="360"/>
      </w:pPr>
      <w:rPr>
        <w:rFonts w:cs="Times New Roman"/>
      </w:rPr>
    </w:lvl>
  </w:abstractNum>
  <w:abstractNum w:abstractNumId="1">
    <w:nsid w:val="074054F6"/>
    <w:multiLevelType w:val="multilevel"/>
    <w:tmpl w:val="074054F6"/>
    <w:lvl w:ilvl="0" w:tentative="0">
      <w:start w:val="1"/>
      <w:numFmt w:val="decimal"/>
      <w:pStyle w:val="99"/>
      <w:lvlText w:val="第%1章"/>
      <w:lvlJc w:val="left"/>
      <w:pPr>
        <w:tabs>
          <w:tab w:val="left" w:pos="432"/>
        </w:tabs>
        <w:ind w:left="432" w:hanging="432"/>
      </w:pPr>
      <w:rPr>
        <w:rFonts w:hint="eastAsia" w:cs="Times New Roman"/>
      </w:rPr>
    </w:lvl>
    <w:lvl w:ilvl="1" w:tentative="0">
      <w:start w:val="1"/>
      <w:numFmt w:val="decimal"/>
      <w:lvlText w:val="%1.%2"/>
      <w:lvlJc w:val="left"/>
      <w:pPr>
        <w:tabs>
          <w:tab w:val="left" w:pos="576"/>
        </w:tabs>
        <w:ind w:left="576" w:hanging="576"/>
      </w:pPr>
      <w:rPr>
        <w:rFonts w:hint="eastAsia" w:cs="Times New Roman"/>
      </w:rPr>
    </w:lvl>
    <w:lvl w:ilvl="2" w:tentative="0">
      <w:start w:val="1"/>
      <w:numFmt w:val="decimal"/>
      <w:lvlText w:val="%1.%2.%3"/>
      <w:lvlJc w:val="left"/>
      <w:pPr>
        <w:tabs>
          <w:tab w:val="left" w:pos="720"/>
        </w:tabs>
        <w:ind w:left="720" w:hanging="720"/>
      </w:pPr>
      <w:rPr>
        <w:rFonts w:hint="eastAsia" w:cs="Times New Roman"/>
      </w:rPr>
    </w:lvl>
    <w:lvl w:ilvl="3" w:tentative="0">
      <w:start w:val="1"/>
      <w:numFmt w:val="decimal"/>
      <w:lvlText w:val="%1.%2.%3.%4"/>
      <w:lvlJc w:val="left"/>
      <w:pPr>
        <w:tabs>
          <w:tab w:val="left" w:pos="864"/>
        </w:tabs>
        <w:ind w:left="864" w:hanging="864"/>
      </w:pPr>
      <w:rPr>
        <w:rFonts w:hint="eastAsia" w:cs="Times New Roman"/>
      </w:rPr>
    </w:lvl>
    <w:lvl w:ilvl="4" w:tentative="0">
      <w:start w:val="1"/>
      <w:numFmt w:val="decimal"/>
      <w:lvlText w:val="%1.%2.%3.%4.%5"/>
      <w:lvlJc w:val="left"/>
      <w:pPr>
        <w:tabs>
          <w:tab w:val="left" w:pos="1008"/>
        </w:tabs>
        <w:ind w:left="1008" w:hanging="1008"/>
      </w:pPr>
      <w:rPr>
        <w:rFonts w:hint="eastAsia" w:cs="Times New Roman"/>
      </w:rPr>
    </w:lvl>
    <w:lvl w:ilvl="5" w:tentative="0">
      <w:start w:val="1"/>
      <w:numFmt w:val="decimal"/>
      <w:lvlText w:val="%1.%2.%3.%4.%5.%6"/>
      <w:lvlJc w:val="left"/>
      <w:pPr>
        <w:tabs>
          <w:tab w:val="left" w:pos="1152"/>
        </w:tabs>
        <w:ind w:left="1152" w:hanging="1152"/>
      </w:pPr>
      <w:rPr>
        <w:rFonts w:hint="eastAsia" w:cs="Times New Roman"/>
      </w:rPr>
    </w:lvl>
    <w:lvl w:ilvl="6" w:tentative="0">
      <w:start w:val="1"/>
      <w:numFmt w:val="decimal"/>
      <w:lvlText w:val="%1.%2.%3.%4.%5.%6.%7"/>
      <w:lvlJc w:val="left"/>
      <w:pPr>
        <w:tabs>
          <w:tab w:val="left" w:pos="1296"/>
        </w:tabs>
        <w:ind w:left="1296" w:hanging="1296"/>
      </w:pPr>
      <w:rPr>
        <w:rFonts w:hint="eastAsia" w:cs="Times New Roman"/>
      </w:rPr>
    </w:lvl>
    <w:lvl w:ilvl="7" w:tentative="0">
      <w:start w:val="1"/>
      <w:numFmt w:val="decimal"/>
      <w:lvlText w:val="%1.%2.%3.%4.%5.%6.%7.%8"/>
      <w:lvlJc w:val="left"/>
      <w:pPr>
        <w:tabs>
          <w:tab w:val="left" w:pos="1440"/>
        </w:tabs>
        <w:ind w:left="1440" w:hanging="1440"/>
      </w:pPr>
      <w:rPr>
        <w:rFonts w:hint="eastAsia" w:cs="Times New Roman"/>
      </w:rPr>
    </w:lvl>
    <w:lvl w:ilvl="8" w:tentative="0">
      <w:start w:val="1"/>
      <w:numFmt w:val="decimal"/>
      <w:lvlText w:val="%1.%2.%3.%4.%5.%6.%7.%8.%9"/>
      <w:lvlJc w:val="left"/>
      <w:pPr>
        <w:tabs>
          <w:tab w:val="left" w:pos="1584"/>
        </w:tabs>
        <w:ind w:left="1584" w:hanging="1584"/>
      </w:pPr>
      <w:rPr>
        <w:rFonts w:hint="eastAsia" w:cs="Times New Roman"/>
      </w:rPr>
    </w:lvl>
  </w:abstractNum>
  <w:abstractNum w:abstractNumId="2">
    <w:nsid w:val="2A8F7113"/>
    <w:multiLevelType w:val="multilevel"/>
    <w:tmpl w:val="2A8F7113"/>
    <w:lvl w:ilvl="0" w:tentative="0">
      <w:start w:val="1"/>
      <w:numFmt w:val="upperLetter"/>
      <w:suff w:val="space"/>
      <w:lvlText w:val="%1"/>
      <w:lvlJc w:val="left"/>
      <w:pPr>
        <w:ind w:left="623" w:hanging="425"/>
      </w:pPr>
      <w:rPr>
        <w:rFonts w:hint="eastAsia"/>
      </w:rPr>
    </w:lvl>
    <w:lvl w:ilvl="1" w:tentative="0">
      <w:start w:val="1"/>
      <w:numFmt w:val="decimal"/>
      <w:pStyle w:val="185"/>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3">
    <w:nsid w:val="3AD53FB9"/>
    <w:multiLevelType w:val="multilevel"/>
    <w:tmpl w:val="3AD53FB9"/>
    <w:lvl w:ilvl="0" w:tentative="0">
      <w:start w:val="1"/>
      <w:numFmt w:val="japaneseCounting"/>
      <w:pStyle w:val="21"/>
      <w:lvlText w:val="%1、"/>
      <w:lvlJc w:val="left"/>
      <w:pPr>
        <w:tabs>
          <w:tab w:val="left" w:pos="645"/>
        </w:tabs>
        <w:ind w:left="645" w:hanging="645"/>
      </w:pPr>
      <w:rPr>
        <w:rFonts w:hint="eastAsia" w:cs="Times New Roman"/>
      </w:rPr>
    </w:lvl>
    <w:lvl w:ilvl="1" w:tentative="0">
      <w:start w:val="1"/>
      <w:numFmt w:val="lowerLetter"/>
      <w:lvlText w:val="%2)"/>
      <w:lvlJc w:val="left"/>
      <w:pPr>
        <w:tabs>
          <w:tab w:val="left" w:pos="840"/>
        </w:tabs>
        <w:ind w:left="840" w:hanging="420"/>
      </w:pPr>
      <w:rPr>
        <w:rFonts w:hint="eastAsia" w:cs="Times New Roman"/>
      </w:rPr>
    </w:lvl>
    <w:lvl w:ilvl="2" w:tentative="0">
      <w:start w:val="1"/>
      <w:numFmt w:val="decimal"/>
      <w:lvlText w:val="%3)"/>
      <w:lvlJc w:val="left"/>
      <w:pPr>
        <w:tabs>
          <w:tab w:val="left" w:pos="1260"/>
        </w:tabs>
        <w:ind w:left="1260" w:hanging="420"/>
      </w:pPr>
      <w:rPr>
        <w:rFonts w:hint="eastAsia" w:cs="Times New Roman"/>
      </w:rPr>
    </w:lvl>
    <w:lvl w:ilvl="3" w:tentative="0">
      <w:start w:val="1"/>
      <w:numFmt w:val="decimal"/>
      <w:lvlText w:val="%4、"/>
      <w:lvlJc w:val="left"/>
      <w:pPr>
        <w:tabs>
          <w:tab w:val="left" w:pos="1620"/>
        </w:tabs>
        <w:ind w:left="1620" w:hanging="360"/>
      </w:pPr>
      <w:rPr>
        <w:rFonts w:hint="default"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4">
    <w:nsid w:val="48A18537"/>
    <w:multiLevelType w:val="singleLevel"/>
    <w:tmpl w:val="48A18537"/>
    <w:lvl w:ilvl="0" w:tentative="0">
      <w:start w:val="1"/>
      <w:numFmt w:val="chineseCounting"/>
      <w:suff w:val="nothing"/>
      <w:lvlText w:val="（%1）"/>
      <w:lvlJc w:val="left"/>
      <w:rPr>
        <w:rFonts w:hint="eastAsia"/>
      </w:rPr>
    </w:lvl>
  </w:abstractNum>
  <w:abstractNum w:abstractNumId="5">
    <w:nsid w:val="657D3FBC"/>
    <w:multiLevelType w:val="multilevel"/>
    <w:tmpl w:val="657D3FBC"/>
    <w:lvl w:ilvl="0" w:tentative="0">
      <w:start w:val="1"/>
      <w:numFmt w:val="upperLetter"/>
      <w:pStyle w:val="183"/>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num w:numId="1">
    <w:abstractNumId w:val="0"/>
  </w:num>
  <w:num w:numId="2">
    <w:abstractNumId w:val="3"/>
  </w:num>
  <w:num w:numId="3">
    <w:abstractNumId w:val="1"/>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720"/>
  <w:drawingGridHorizontalSpacing w:val="105"/>
  <w:drawingGridVerticalSpacing w:val="190"/>
  <w:displayHorizontalDrawingGridEvery w:val="1"/>
  <w:displayVerticalDrawingGridEvery w:val="1"/>
  <w:doNotShadeFormData w:val="1"/>
  <w:noPunctuationKerning w:val="1"/>
  <w:characterSpacingControl w:val="compressPunctuation"/>
  <w:noLineBreaksAfter w:lang="zh-CN" w:val="$([{£¥·‘“〈《「『【〔〖〝﹙﹛﹝＄（．［｛￡￥"/>
  <w:noLineBreaksBefore w:lang="zh-CN" w:val="!%),.:;&gt;?]}¢¨°·ˇˉ―‖’”…‰′″›℃∶、。〃〉》」』】〕〗〞︶︺︾﹀﹄﹚﹜﹞！＂％＇），．：；？］｀｜｝～￠"/>
  <w:doNotValidateAgainstSchema/>
  <w:doNotDemarcateInvalidXml/>
  <w:footnotePr>
    <w:footnote w:id="2"/>
    <w:footnote w:id="3"/>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1NmRjZmFmM2M0NjE0MDRjYzM1Y2NlNmFmMjg3ODcifQ=="/>
  </w:docVars>
  <w:rsids>
    <w:rsidRoot w:val="00172A27"/>
    <w:rsid w:val="0000118F"/>
    <w:rsid w:val="0000131B"/>
    <w:rsid w:val="0000265F"/>
    <w:rsid w:val="0000266B"/>
    <w:rsid w:val="00004B3C"/>
    <w:rsid w:val="00005398"/>
    <w:rsid w:val="000055E5"/>
    <w:rsid w:val="00005AFF"/>
    <w:rsid w:val="000064DE"/>
    <w:rsid w:val="000069A9"/>
    <w:rsid w:val="00007E2C"/>
    <w:rsid w:val="00007FF1"/>
    <w:rsid w:val="000100CA"/>
    <w:rsid w:val="00010E74"/>
    <w:rsid w:val="00012117"/>
    <w:rsid w:val="00012619"/>
    <w:rsid w:val="00012A5F"/>
    <w:rsid w:val="00012DA5"/>
    <w:rsid w:val="000131B5"/>
    <w:rsid w:val="0001361A"/>
    <w:rsid w:val="0001379A"/>
    <w:rsid w:val="00013A90"/>
    <w:rsid w:val="00014BA2"/>
    <w:rsid w:val="00015191"/>
    <w:rsid w:val="00016C14"/>
    <w:rsid w:val="00017931"/>
    <w:rsid w:val="00017A10"/>
    <w:rsid w:val="00020DC2"/>
    <w:rsid w:val="00021639"/>
    <w:rsid w:val="00021E60"/>
    <w:rsid w:val="000221B7"/>
    <w:rsid w:val="00022598"/>
    <w:rsid w:val="00022694"/>
    <w:rsid w:val="00023679"/>
    <w:rsid w:val="00024E05"/>
    <w:rsid w:val="000260DE"/>
    <w:rsid w:val="00026AFE"/>
    <w:rsid w:val="00026EEB"/>
    <w:rsid w:val="000277EC"/>
    <w:rsid w:val="00030A19"/>
    <w:rsid w:val="00030A81"/>
    <w:rsid w:val="000311ED"/>
    <w:rsid w:val="000312D1"/>
    <w:rsid w:val="000321F7"/>
    <w:rsid w:val="00033E70"/>
    <w:rsid w:val="00033F90"/>
    <w:rsid w:val="000343A9"/>
    <w:rsid w:val="00034F25"/>
    <w:rsid w:val="000357DF"/>
    <w:rsid w:val="0003599E"/>
    <w:rsid w:val="00036D0E"/>
    <w:rsid w:val="00036FB2"/>
    <w:rsid w:val="00037ADD"/>
    <w:rsid w:val="00040FDE"/>
    <w:rsid w:val="00041095"/>
    <w:rsid w:val="000412CA"/>
    <w:rsid w:val="0004138D"/>
    <w:rsid w:val="0004151D"/>
    <w:rsid w:val="00041571"/>
    <w:rsid w:val="00044228"/>
    <w:rsid w:val="00044717"/>
    <w:rsid w:val="0004481A"/>
    <w:rsid w:val="0004568F"/>
    <w:rsid w:val="00045B56"/>
    <w:rsid w:val="00046335"/>
    <w:rsid w:val="00046418"/>
    <w:rsid w:val="00046E9A"/>
    <w:rsid w:val="00047193"/>
    <w:rsid w:val="000476C5"/>
    <w:rsid w:val="0004778B"/>
    <w:rsid w:val="0004783D"/>
    <w:rsid w:val="0005075F"/>
    <w:rsid w:val="00051250"/>
    <w:rsid w:val="0005496A"/>
    <w:rsid w:val="00054C9A"/>
    <w:rsid w:val="00055B16"/>
    <w:rsid w:val="00057762"/>
    <w:rsid w:val="000579D2"/>
    <w:rsid w:val="00060840"/>
    <w:rsid w:val="00060D76"/>
    <w:rsid w:val="00060F44"/>
    <w:rsid w:val="00061A75"/>
    <w:rsid w:val="00061AE0"/>
    <w:rsid w:val="00062756"/>
    <w:rsid w:val="000627E8"/>
    <w:rsid w:val="00063240"/>
    <w:rsid w:val="00063467"/>
    <w:rsid w:val="00063B53"/>
    <w:rsid w:val="00063DA0"/>
    <w:rsid w:val="00063EC8"/>
    <w:rsid w:val="00063FCF"/>
    <w:rsid w:val="000641F7"/>
    <w:rsid w:val="0006599D"/>
    <w:rsid w:val="00065A81"/>
    <w:rsid w:val="00066BB2"/>
    <w:rsid w:val="00066C23"/>
    <w:rsid w:val="00067323"/>
    <w:rsid w:val="00067BC5"/>
    <w:rsid w:val="00067E4D"/>
    <w:rsid w:val="000701BD"/>
    <w:rsid w:val="00070531"/>
    <w:rsid w:val="00071417"/>
    <w:rsid w:val="000715DB"/>
    <w:rsid w:val="0007163A"/>
    <w:rsid w:val="0007244E"/>
    <w:rsid w:val="000727A8"/>
    <w:rsid w:val="0007304B"/>
    <w:rsid w:val="000741D4"/>
    <w:rsid w:val="0007444D"/>
    <w:rsid w:val="00074EF3"/>
    <w:rsid w:val="00075390"/>
    <w:rsid w:val="00075E6B"/>
    <w:rsid w:val="000769F0"/>
    <w:rsid w:val="0007732C"/>
    <w:rsid w:val="0007749C"/>
    <w:rsid w:val="00077F01"/>
    <w:rsid w:val="000800D6"/>
    <w:rsid w:val="000806CE"/>
    <w:rsid w:val="00081DA2"/>
    <w:rsid w:val="00082446"/>
    <w:rsid w:val="000825A0"/>
    <w:rsid w:val="00082B43"/>
    <w:rsid w:val="000835EA"/>
    <w:rsid w:val="000836B1"/>
    <w:rsid w:val="00083EA0"/>
    <w:rsid w:val="0008498F"/>
    <w:rsid w:val="00084B77"/>
    <w:rsid w:val="000855B0"/>
    <w:rsid w:val="000857FD"/>
    <w:rsid w:val="000872F7"/>
    <w:rsid w:val="00091CEA"/>
    <w:rsid w:val="00091E5F"/>
    <w:rsid w:val="00092055"/>
    <w:rsid w:val="00093590"/>
    <w:rsid w:val="00093E28"/>
    <w:rsid w:val="00094C54"/>
    <w:rsid w:val="00095A1F"/>
    <w:rsid w:val="000976A9"/>
    <w:rsid w:val="00097E62"/>
    <w:rsid w:val="000A0125"/>
    <w:rsid w:val="000A0223"/>
    <w:rsid w:val="000A06A4"/>
    <w:rsid w:val="000A0D8B"/>
    <w:rsid w:val="000A139D"/>
    <w:rsid w:val="000A1D6C"/>
    <w:rsid w:val="000A1F4C"/>
    <w:rsid w:val="000A48B6"/>
    <w:rsid w:val="000A4F3D"/>
    <w:rsid w:val="000A782A"/>
    <w:rsid w:val="000A7893"/>
    <w:rsid w:val="000A7C99"/>
    <w:rsid w:val="000B03FE"/>
    <w:rsid w:val="000B06DB"/>
    <w:rsid w:val="000B072A"/>
    <w:rsid w:val="000B0782"/>
    <w:rsid w:val="000B0B92"/>
    <w:rsid w:val="000B0FD8"/>
    <w:rsid w:val="000B11D4"/>
    <w:rsid w:val="000B1D1C"/>
    <w:rsid w:val="000B2298"/>
    <w:rsid w:val="000B263D"/>
    <w:rsid w:val="000B39E2"/>
    <w:rsid w:val="000B41B8"/>
    <w:rsid w:val="000B5089"/>
    <w:rsid w:val="000B54C3"/>
    <w:rsid w:val="000B5D08"/>
    <w:rsid w:val="000B61DF"/>
    <w:rsid w:val="000B634D"/>
    <w:rsid w:val="000B66C0"/>
    <w:rsid w:val="000B7482"/>
    <w:rsid w:val="000B7A6E"/>
    <w:rsid w:val="000C1AFA"/>
    <w:rsid w:val="000C1DB6"/>
    <w:rsid w:val="000C28E3"/>
    <w:rsid w:val="000C3E1E"/>
    <w:rsid w:val="000C42BE"/>
    <w:rsid w:val="000C431F"/>
    <w:rsid w:val="000C4C20"/>
    <w:rsid w:val="000C509F"/>
    <w:rsid w:val="000C54EC"/>
    <w:rsid w:val="000C5BF5"/>
    <w:rsid w:val="000C6E5C"/>
    <w:rsid w:val="000C78AB"/>
    <w:rsid w:val="000C7C02"/>
    <w:rsid w:val="000D00C6"/>
    <w:rsid w:val="000D0226"/>
    <w:rsid w:val="000D29FA"/>
    <w:rsid w:val="000D3B49"/>
    <w:rsid w:val="000D4159"/>
    <w:rsid w:val="000D5C9E"/>
    <w:rsid w:val="000D63D5"/>
    <w:rsid w:val="000D64BB"/>
    <w:rsid w:val="000D6579"/>
    <w:rsid w:val="000D67B7"/>
    <w:rsid w:val="000E00DB"/>
    <w:rsid w:val="000E015F"/>
    <w:rsid w:val="000E04D7"/>
    <w:rsid w:val="000E0B92"/>
    <w:rsid w:val="000E1E91"/>
    <w:rsid w:val="000E22CB"/>
    <w:rsid w:val="000E2D28"/>
    <w:rsid w:val="000E3654"/>
    <w:rsid w:val="000E49C5"/>
    <w:rsid w:val="000E54C6"/>
    <w:rsid w:val="000E5631"/>
    <w:rsid w:val="000E5BC1"/>
    <w:rsid w:val="000E6043"/>
    <w:rsid w:val="000F1172"/>
    <w:rsid w:val="000F1925"/>
    <w:rsid w:val="000F1D98"/>
    <w:rsid w:val="000F1EDC"/>
    <w:rsid w:val="000F2861"/>
    <w:rsid w:val="000F2A08"/>
    <w:rsid w:val="000F3242"/>
    <w:rsid w:val="000F366D"/>
    <w:rsid w:val="000F530A"/>
    <w:rsid w:val="000F681E"/>
    <w:rsid w:val="000F6D20"/>
    <w:rsid w:val="000F6EE9"/>
    <w:rsid w:val="000F7B28"/>
    <w:rsid w:val="00101145"/>
    <w:rsid w:val="00103270"/>
    <w:rsid w:val="00103C12"/>
    <w:rsid w:val="00105271"/>
    <w:rsid w:val="00105499"/>
    <w:rsid w:val="001070F4"/>
    <w:rsid w:val="001071B6"/>
    <w:rsid w:val="001077EF"/>
    <w:rsid w:val="00107CB0"/>
    <w:rsid w:val="00110342"/>
    <w:rsid w:val="00110424"/>
    <w:rsid w:val="00110C74"/>
    <w:rsid w:val="00110CD0"/>
    <w:rsid w:val="00110FB4"/>
    <w:rsid w:val="0011139A"/>
    <w:rsid w:val="001114DF"/>
    <w:rsid w:val="001115DE"/>
    <w:rsid w:val="001116D1"/>
    <w:rsid w:val="00111CB8"/>
    <w:rsid w:val="00111E0E"/>
    <w:rsid w:val="001124DD"/>
    <w:rsid w:val="0011265C"/>
    <w:rsid w:val="00112FF3"/>
    <w:rsid w:val="001133F2"/>
    <w:rsid w:val="001138AB"/>
    <w:rsid w:val="0011432B"/>
    <w:rsid w:val="00114873"/>
    <w:rsid w:val="00115C42"/>
    <w:rsid w:val="001163B4"/>
    <w:rsid w:val="00116B3C"/>
    <w:rsid w:val="001219E7"/>
    <w:rsid w:val="00121CBE"/>
    <w:rsid w:val="00121D52"/>
    <w:rsid w:val="00123030"/>
    <w:rsid w:val="00123E43"/>
    <w:rsid w:val="001246B1"/>
    <w:rsid w:val="00125C64"/>
    <w:rsid w:val="001263DE"/>
    <w:rsid w:val="00126457"/>
    <w:rsid w:val="00126C21"/>
    <w:rsid w:val="001276FA"/>
    <w:rsid w:val="00127B32"/>
    <w:rsid w:val="00127B57"/>
    <w:rsid w:val="00127FE3"/>
    <w:rsid w:val="00130DE5"/>
    <w:rsid w:val="00131405"/>
    <w:rsid w:val="00131D90"/>
    <w:rsid w:val="00132560"/>
    <w:rsid w:val="0013334D"/>
    <w:rsid w:val="0013565B"/>
    <w:rsid w:val="00135BAE"/>
    <w:rsid w:val="00137033"/>
    <w:rsid w:val="0013766D"/>
    <w:rsid w:val="0013798B"/>
    <w:rsid w:val="00137AA6"/>
    <w:rsid w:val="001408BB"/>
    <w:rsid w:val="00140A0E"/>
    <w:rsid w:val="00140A31"/>
    <w:rsid w:val="00140E38"/>
    <w:rsid w:val="00141286"/>
    <w:rsid w:val="001414B9"/>
    <w:rsid w:val="0014160B"/>
    <w:rsid w:val="0014167A"/>
    <w:rsid w:val="00141BF4"/>
    <w:rsid w:val="00142ABE"/>
    <w:rsid w:val="00143039"/>
    <w:rsid w:val="001433B0"/>
    <w:rsid w:val="00143E5C"/>
    <w:rsid w:val="00145219"/>
    <w:rsid w:val="00145749"/>
    <w:rsid w:val="001463C8"/>
    <w:rsid w:val="0014643A"/>
    <w:rsid w:val="001500CB"/>
    <w:rsid w:val="001501A7"/>
    <w:rsid w:val="0015111A"/>
    <w:rsid w:val="00152DE6"/>
    <w:rsid w:val="00152E80"/>
    <w:rsid w:val="00153424"/>
    <w:rsid w:val="001549A4"/>
    <w:rsid w:val="00154AF6"/>
    <w:rsid w:val="00155045"/>
    <w:rsid w:val="0015594E"/>
    <w:rsid w:val="00155F4C"/>
    <w:rsid w:val="00156B22"/>
    <w:rsid w:val="001613DB"/>
    <w:rsid w:val="001617F8"/>
    <w:rsid w:val="00162388"/>
    <w:rsid w:val="00162C0A"/>
    <w:rsid w:val="001633B8"/>
    <w:rsid w:val="00163F4F"/>
    <w:rsid w:val="00164215"/>
    <w:rsid w:val="00164BE2"/>
    <w:rsid w:val="0016579C"/>
    <w:rsid w:val="001658B2"/>
    <w:rsid w:val="00165DBB"/>
    <w:rsid w:val="00165DBF"/>
    <w:rsid w:val="001672B9"/>
    <w:rsid w:val="0016730D"/>
    <w:rsid w:val="0016737D"/>
    <w:rsid w:val="00167D01"/>
    <w:rsid w:val="00170701"/>
    <w:rsid w:val="00170877"/>
    <w:rsid w:val="00172A27"/>
    <w:rsid w:val="00173679"/>
    <w:rsid w:val="00173E32"/>
    <w:rsid w:val="00173E51"/>
    <w:rsid w:val="00174BFE"/>
    <w:rsid w:val="00175AA2"/>
    <w:rsid w:val="00175AE8"/>
    <w:rsid w:val="00175C70"/>
    <w:rsid w:val="00176D72"/>
    <w:rsid w:val="0018067C"/>
    <w:rsid w:val="00180C0A"/>
    <w:rsid w:val="00180F33"/>
    <w:rsid w:val="001814F9"/>
    <w:rsid w:val="00181B6A"/>
    <w:rsid w:val="00182B3D"/>
    <w:rsid w:val="0018335E"/>
    <w:rsid w:val="00183AB1"/>
    <w:rsid w:val="00184424"/>
    <w:rsid w:val="001849F1"/>
    <w:rsid w:val="0018582C"/>
    <w:rsid w:val="00186DA3"/>
    <w:rsid w:val="00186E0D"/>
    <w:rsid w:val="001904F9"/>
    <w:rsid w:val="0019054E"/>
    <w:rsid w:val="0019185A"/>
    <w:rsid w:val="0019241A"/>
    <w:rsid w:val="001929B4"/>
    <w:rsid w:val="00193D4A"/>
    <w:rsid w:val="00194120"/>
    <w:rsid w:val="001945BA"/>
    <w:rsid w:val="00195DE2"/>
    <w:rsid w:val="0019635C"/>
    <w:rsid w:val="00196409"/>
    <w:rsid w:val="001976E5"/>
    <w:rsid w:val="001A171B"/>
    <w:rsid w:val="001A1C85"/>
    <w:rsid w:val="001A1D71"/>
    <w:rsid w:val="001A3104"/>
    <w:rsid w:val="001A3E1E"/>
    <w:rsid w:val="001A3E4D"/>
    <w:rsid w:val="001A3F49"/>
    <w:rsid w:val="001A68E7"/>
    <w:rsid w:val="001A7AA3"/>
    <w:rsid w:val="001A7E8C"/>
    <w:rsid w:val="001B122A"/>
    <w:rsid w:val="001B1434"/>
    <w:rsid w:val="001B1BD9"/>
    <w:rsid w:val="001B2184"/>
    <w:rsid w:val="001B2970"/>
    <w:rsid w:val="001B3338"/>
    <w:rsid w:val="001B64EE"/>
    <w:rsid w:val="001B69D1"/>
    <w:rsid w:val="001C0195"/>
    <w:rsid w:val="001C0AF0"/>
    <w:rsid w:val="001C12A2"/>
    <w:rsid w:val="001C1532"/>
    <w:rsid w:val="001C278E"/>
    <w:rsid w:val="001C35B5"/>
    <w:rsid w:val="001C35C8"/>
    <w:rsid w:val="001C372E"/>
    <w:rsid w:val="001C4BF9"/>
    <w:rsid w:val="001C4E8C"/>
    <w:rsid w:val="001C5326"/>
    <w:rsid w:val="001C5663"/>
    <w:rsid w:val="001C5BA9"/>
    <w:rsid w:val="001C7961"/>
    <w:rsid w:val="001C7A5E"/>
    <w:rsid w:val="001C7A81"/>
    <w:rsid w:val="001D1628"/>
    <w:rsid w:val="001D18EA"/>
    <w:rsid w:val="001D1B2A"/>
    <w:rsid w:val="001D28BC"/>
    <w:rsid w:val="001D30D4"/>
    <w:rsid w:val="001D417C"/>
    <w:rsid w:val="001D421B"/>
    <w:rsid w:val="001D4293"/>
    <w:rsid w:val="001D4B5D"/>
    <w:rsid w:val="001D5BD2"/>
    <w:rsid w:val="001D5C9A"/>
    <w:rsid w:val="001D5FB3"/>
    <w:rsid w:val="001D61E7"/>
    <w:rsid w:val="001D61EB"/>
    <w:rsid w:val="001D6228"/>
    <w:rsid w:val="001D75D9"/>
    <w:rsid w:val="001D7932"/>
    <w:rsid w:val="001D7CC7"/>
    <w:rsid w:val="001E0092"/>
    <w:rsid w:val="001E0403"/>
    <w:rsid w:val="001E0512"/>
    <w:rsid w:val="001E0AAF"/>
    <w:rsid w:val="001E116C"/>
    <w:rsid w:val="001E3102"/>
    <w:rsid w:val="001E3261"/>
    <w:rsid w:val="001E3A52"/>
    <w:rsid w:val="001E4912"/>
    <w:rsid w:val="001F21A5"/>
    <w:rsid w:val="001F3337"/>
    <w:rsid w:val="001F3C40"/>
    <w:rsid w:val="001F4519"/>
    <w:rsid w:val="001F6B24"/>
    <w:rsid w:val="001F6BB0"/>
    <w:rsid w:val="001F7152"/>
    <w:rsid w:val="00200361"/>
    <w:rsid w:val="00200E9F"/>
    <w:rsid w:val="00202D86"/>
    <w:rsid w:val="00202ED4"/>
    <w:rsid w:val="002031AE"/>
    <w:rsid w:val="00203213"/>
    <w:rsid w:val="00203D79"/>
    <w:rsid w:val="002054FE"/>
    <w:rsid w:val="00205D6C"/>
    <w:rsid w:val="00205F18"/>
    <w:rsid w:val="002060F5"/>
    <w:rsid w:val="0020629D"/>
    <w:rsid w:val="00207E80"/>
    <w:rsid w:val="002110D2"/>
    <w:rsid w:val="0021110E"/>
    <w:rsid w:val="002114E0"/>
    <w:rsid w:val="00211C3B"/>
    <w:rsid w:val="002138C7"/>
    <w:rsid w:val="0021395E"/>
    <w:rsid w:val="00214DB0"/>
    <w:rsid w:val="002153B0"/>
    <w:rsid w:val="00217F05"/>
    <w:rsid w:val="002212A4"/>
    <w:rsid w:val="00221881"/>
    <w:rsid w:val="002224A3"/>
    <w:rsid w:val="0022278B"/>
    <w:rsid w:val="00223291"/>
    <w:rsid w:val="002234B3"/>
    <w:rsid w:val="00223ECB"/>
    <w:rsid w:val="00223FE6"/>
    <w:rsid w:val="002242CD"/>
    <w:rsid w:val="00224F5D"/>
    <w:rsid w:val="00225450"/>
    <w:rsid w:val="0022589D"/>
    <w:rsid w:val="00225BDF"/>
    <w:rsid w:val="00226CB4"/>
    <w:rsid w:val="00227266"/>
    <w:rsid w:val="0023015B"/>
    <w:rsid w:val="00231920"/>
    <w:rsid w:val="00231CB8"/>
    <w:rsid w:val="00232A8E"/>
    <w:rsid w:val="00233D71"/>
    <w:rsid w:val="002342A0"/>
    <w:rsid w:val="0023486D"/>
    <w:rsid w:val="00234AD2"/>
    <w:rsid w:val="00234F8C"/>
    <w:rsid w:val="0023588C"/>
    <w:rsid w:val="0023598A"/>
    <w:rsid w:val="00235D27"/>
    <w:rsid w:val="0023714B"/>
    <w:rsid w:val="002371F4"/>
    <w:rsid w:val="0023725D"/>
    <w:rsid w:val="002375EC"/>
    <w:rsid w:val="00240AE8"/>
    <w:rsid w:val="0024157B"/>
    <w:rsid w:val="002419B7"/>
    <w:rsid w:val="002419C6"/>
    <w:rsid w:val="00242116"/>
    <w:rsid w:val="00242519"/>
    <w:rsid w:val="002431D0"/>
    <w:rsid w:val="002435B2"/>
    <w:rsid w:val="00243DD8"/>
    <w:rsid w:val="00243DE4"/>
    <w:rsid w:val="0024428A"/>
    <w:rsid w:val="00244929"/>
    <w:rsid w:val="00244D70"/>
    <w:rsid w:val="0024532A"/>
    <w:rsid w:val="002454BD"/>
    <w:rsid w:val="002463AB"/>
    <w:rsid w:val="00246B12"/>
    <w:rsid w:val="00246E4A"/>
    <w:rsid w:val="00246F91"/>
    <w:rsid w:val="00251069"/>
    <w:rsid w:val="00251877"/>
    <w:rsid w:val="002528D9"/>
    <w:rsid w:val="00255344"/>
    <w:rsid w:val="00255F17"/>
    <w:rsid w:val="00256396"/>
    <w:rsid w:val="002563FD"/>
    <w:rsid w:val="00256519"/>
    <w:rsid w:val="0025695A"/>
    <w:rsid w:val="00256B8A"/>
    <w:rsid w:val="002577BB"/>
    <w:rsid w:val="002609AB"/>
    <w:rsid w:val="002612E7"/>
    <w:rsid w:val="00262A83"/>
    <w:rsid w:val="00262C6A"/>
    <w:rsid w:val="0026381A"/>
    <w:rsid w:val="0026453F"/>
    <w:rsid w:val="00264A4A"/>
    <w:rsid w:val="00265209"/>
    <w:rsid w:val="00265383"/>
    <w:rsid w:val="00265AB8"/>
    <w:rsid w:val="00265B87"/>
    <w:rsid w:val="00265E97"/>
    <w:rsid w:val="002667CB"/>
    <w:rsid w:val="00267282"/>
    <w:rsid w:val="00270744"/>
    <w:rsid w:val="002711BC"/>
    <w:rsid w:val="0027189E"/>
    <w:rsid w:val="00272B19"/>
    <w:rsid w:val="0027378E"/>
    <w:rsid w:val="0027382D"/>
    <w:rsid w:val="0027388E"/>
    <w:rsid w:val="00274F30"/>
    <w:rsid w:val="00275872"/>
    <w:rsid w:val="002758B4"/>
    <w:rsid w:val="002763A9"/>
    <w:rsid w:val="002767CF"/>
    <w:rsid w:val="00276EE9"/>
    <w:rsid w:val="002774AA"/>
    <w:rsid w:val="00277C05"/>
    <w:rsid w:val="002801E1"/>
    <w:rsid w:val="0028129C"/>
    <w:rsid w:val="002821F4"/>
    <w:rsid w:val="0028310C"/>
    <w:rsid w:val="00283176"/>
    <w:rsid w:val="00283293"/>
    <w:rsid w:val="002846AA"/>
    <w:rsid w:val="00284B22"/>
    <w:rsid w:val="00286B48"/>
    <w:rsid w:val="00286C88"/>
    <w:rsid w:val="002873C0"/>
    <w:rsid w:val="002919B7"/>
    <w:rsid w:val="002928A8"/>
    <w:rsid w:val="0029343E"/>
    <w:rsid w:val="00293D82"/>
    <w:rsid w:val="00294770"/>
    <w:rsid w:val="0029495F"/>
    <w:rsid w:val="00297B7E"/>
    <w:rsid w:val="002A0124"/>
    <w:rsid w:val="002A2D42"/>
    <w:rsid w:val="002A32AC"/>
    <w:rsid w:val="002A3691"/>
    <w:rsid w:val="002A3EAC"/>
    <w:rsid w:val="002A468D"/>
    <w:rsid w:val="002A4867"/>
    <w:rsid w:val="002A4DA2"/>
    <w:rsid w:val="002A5901"/>
    <w:rsid w:val="002A5DF0"/>
    <w:rsid w:val="002A7D7A"/>
    <w:rsid w:val="002B145A"/>
    <w:rsid w:val="002B1D0C"/>
    <w:rsid w:val="002B1DF2"/>
    <w:rsid w:val="002B47AB"/>
    <w:rsid w:val="002B53E0"/>
    <w:rsid w:val="002B5852"/>
    <w:rsid w:val="002B5F86"/>
    <w:rsid w:val="002B625D"/>
    <w:rsid w:val="002C1380"/>
    <w:rsid w:val="002C17CA"/>
    <w:rsid w:val="002C1849"/>
    <w:rsid w:val="002C1D89"/>
    <w:rsid w:val="002C2266"/>
    <w:rsid w:val="002C2591"/>
    <w:rsid w:val="002C3B7D"/>
    <w:rsid w:val="002C43C4"/>
    <w:rsid w:val="002C5273"/>
    <w:rsid w:val="002C5B8A"/>
    <w:rsid w:val="002C6399"/>
    <w:rsid w:val="002C6C73"/>
    <w:rsid w:val="002C765E"/>
    <w:rsid w:val="002C77C7"/>
    <w:rsid w:val="002D1071"/>
    <w:rsid w:val="002D18BC"/>
    <w:rsid w:val="002D1958"/>
    <w:rsid w:val="002D1F1B"/>
    <w:rsid w:val="002D2714"/>
    <w:rsid w:val="002D2CDE"/>
    <w:rsid w:val="002D32F1"/>
    <w:rsid w:val="002D42DD"/>
    <w:rsid w:val="002D51B0"/>
    <w:rsid w:val="002D55CB"/>
    <w:rsid w:val="002D5CF2"/>
    <w:rsid w:val="002D6573"/>
    <w:rsid w:val="002D6862"/>
    <w:rsid w:val="002D6BD8"/>
    <w:rsid w:val="002D6C2D"/>
    <w:rsid w:val="002D790F"/>
    <w:rsid w:val="002E01F0"/>
    <w:rsid w:val="002E0354"/>
    <w:rsid w:val="002E33D7"/>
    <w:rsid w:val="002E470C"/>
    <w:rsid w:val="002E4EC8"/>
    <w:rsid w:val="002E6B38"/>
    <w:rsid w:val="002E6BA0"/>
    <w:rsid w:val="002E7AF1"/>
    <w:rsid w:val="002E7C56"/>
    <w:rsid w:val="002F0432"/>
    <w:rsid w:val="002F0FDD"/>
    <w:rsid w:val="002F1446"/>
    <w:rsid w:val="002F2B2B"/>
    <w:rsid w:val="002F4103"/>
    <w:rsid w:val="002F4B0F"/>
    <w:rsid w:val="002F4BFE"/>
    <w:rsid w:val="002F60AB"/>
    <w:rsid w:val="002F6D03"/>
    <w:rsid w:val="002F75D6"/>
    <w:rsid w:val="003005F6"/>
    <w:rsid w:val="003013C6"/>
    <w:rsid w:val="003027C5"/>
    <w:rsid w:val="00302955"/>
    <w:rsid w:val="0030358B"/>
    <w:rsid w:val="003041F1"/>
    <w:rsid w:val="0030500E"/>
    <w:rsid w:val="00305161"/>
    <w:rsid w:val="003066E8"/>
    <w:rsid w:val="003076E8"/>
    <w:rsid w:val="00310706"/>
    <w:rsid w:val="003109DC"/>
    <w:rsid w:val="003116DB"/>
    <w:rsid w:val="00311E74"/>
    <w:rsid w:val="003126C8"/>
    <w:rsid w:val="003128B2"/>
    <w:rsid w:val="00313703"/>
    <w:rsid w:val="00313C6D"/>
    <w:rsid w:val="00314003"/>
    <w:rsid w:val="00314253"/>
    <w:rsid w:val="00314AA6"/>
    <w:rsid w:val="00314CB3"/>
    <w:rsid w:val="00315149"/>
    <w:rsid w:val="0031549E"/>
    <w:rsid w:val="00315846"/>
    <w:rsid w:val="003164FD"/>
    <w:rsid w:val="00316A45"/>
    <w:rsid w:val="00316C25"/>
    <w:rsid w:val="00317354"/>
    <w:rsid w:val="003216A9"/>
    <w:rsid w:val="00321D54"/>
    <w:rsid w:val="00321E1B"/>
    <w:rsid w:val="0032210C"/>
    <w:rsid w:val="00324993"/>
    <w:rsid w:val="00325256"/>
    <w:rsid w:val="00325334"/>
    <w:rsid w:val="00325A35"/>
    <w:rsid w:val="00327EDB"/>
    <w:rsid w:val="00330129"/>
    <w:rsid w:val="0033049D"/>
    <w:rsid w:val="00331500"/>
    <w:rsid w:val="00334874"/>
    <w:rsid w:val="003348DA"/>
    <w:rsid w:val="00334D63"/>
    <w:rsid w:val="0033580E"/>
    <w:rsid w:val="0033595E"/>
    <w:rsid w:val="00336522"/>
    <w:rsid w:val="003404AA"/>
    <w:rsid w:val="0034059B"/>
    <w:rsid w:val="0034087F"/>
    <w:rsid w:val="0034202A"/>
    <w:rsid w:val="00342BC1"/>
    <w:rsid w:val="00342EAF"/>
    <w:rsid w:val="0034331D"/>
    <w:rsid w:val="00343FFE"/>
    <w:rsid w:val="0034447A"/>
    <w:rsid w:val="0034458C"/>
    <w:rsid w:val="00345497"/>
    <w:rsid w:val="00346348"/>
    <w:rsid w:val="00346C1B"/>
    <w:rsid w:val="00346ECE"/>
    <w:rsid w:val="00347581"/>
    <w:rsid w:val="00352139"/>
    <w:rsid w:val="003525C8"/>
    <w:rsid w:val="0035274F"/>
    <w:rsid w:val="0035278F"/>
    <w:rsid w:val="003535DF"/>
    <w:rsid w:val="00354715"/>
    <w:rsid w:val="0035616C"/>
    <w:rsid w:val="00356EB8"/>
    <w:rsid w:val="003571F0"/>
    <w:rsid w:val="00357C9D"/>
    <w:rsid w:val="00357EF4"/>
    <w:rsid w:val="003603C9"/>
    <w:rsid w:val="00360414"/>
    <w:rsid w:val="00360C57"/>
    <w:rsid w:val="0036174B"/>
    <w:rsid w:val="00362523"/>
    <w:rsid w:val="003625DF"/>
    <w:rsid w:val="003633D8"/>
    <w:rsid w:val="003636AF"/>
    <w:rsid w:val="0036579D"/>
    <w:rsid w:val="00366399"/>
    <w:rsid w:val="00366E5C"/>
    <w:rsid w:val="00367D8D"/>
    <w:rsid w:val="00367F84"/>
    <w:rsid w:val="00370158"/>
    <w:rsid w:val="00370E9C"/>
    <w:rsid w:val="00371C44"/>
    <w:rsid w:val="0037252A"/>
    <w:rsid w:val="00372E0F"/>
    <w:rsid w:val="00373030"/>
    <w:rsid w:val="00373C1A"/>
    <w:rsid w:val="0037501A"/>
    <w:rsid w:val="00375116"/>
    <w:rsid w:val="00375CA8"/>
    <w:rsid w:val="00376E2A"/>
    <w:rsid w:val="003776C3"/>
    <w:rsid w:val="00377958"/>
    <w:rsid w:val="0038163A"/>
    <w:rsid w:val="00382041"/>
    <w:rsid w:val="00382527"/>
    <w:rsid w:val="0038262F"/>
    <w:rsid w:val="0038317D"/>
    <w:rsid w:val="003831D7"/>
    <w:rsid w:val="0038327D"/>
    <w:rsid w:val="00383ADC"/>
    <w:rsid w:val="0038411B"/>
    <w:rsid w:val="00384DF4"/>
    <w:rsid w:val="003859C1"/>
    <w:rsid w:val="00385A46"/>
    <w:rsid w:val="003860F4"/>
    <w:rsid w:val="00386B46"/>
    <w:rsid w:val="00386DBD"/>
    <w:rsid w:val="00390C19"/>
    <w:rsid w:val="0039111C"/>
    <w:rsid w:val="003914FF"/>
    <w:rsid w:val="00391590"/>
    <w:rsid w:val="00392FC6"/>
    <w:rsid w:val="00393C30"/>
    <w:rsid w:val="00394755"/>
    <w:rsid w:val="00394F8A"/>
    <w:rsid w:val="00395128"/>
    <w:rsid w:val="00396E34"/>
    <w:rsid w:val="00396F7E"/>
    <w:rsid w:val="003A00CD"/>
    <w:rsid w:val="003A1E91"/>
    <w:rsid w:val="003A2B1A"/>
    <w:rsid w:val="003A2F32"/>
    <w:rsid w:val="003A49C2"/>
    <w:rsid w:val="003A5060"/>
    <w:rsid w:val="003A5ABA"/>
    <w:rsid w:val="003A5C2B"/>
    <w:rsid w:val="003A6C3F"/>
    <w:rsid w:val="003B0630"/>
    <w:rsid w:val="003B08C9"/>
    <w:rsid w:val="003B1511"/>
    <w:rsid w:val="003B1A68"/>
    <w:rsid w:val="003B1E8D"/>
    <w:rsid w:val="003B1EE4"/>
    <w:rsid w:val="003B22EB"/>
    <w:rsid w:val="003B25DB"/>
    <w:rsid w:val="003B3060"/>
    <w:rsid w:val="003B325D"/>
    <w:rsid w:val="003B406E"/>
    <w:rsid w:val="003B5A96"/>
    <w:rsid w:val="003B787A"/>
    <w:rsid w:val="003C11C9"/>
    <w:rsid w:val="003C1927"/>
    <w:rsid w:val="003C1D6B"/>
    <w:rsid w:val="003C203D"/>
    <w:rsid w:val="003C2E1C"/>
    <w:rsid w:val="003C300D"/>
    <w:rsid w:val="003C3746"/>
    <w:rsid w:val="003C3FE5"/>
    <w:rsid w:val="003C419F"/>
    <w:rsid w:val="003C48D4"/>
    <w:rsid w:val="003C51F7"/>
    <w:rsid w:val="003C5AC2"/>
    <w:rsid w:val="003C5C3B"/>
    <w:rsid w:val="003C6624"/>
    <w:rsid w:val="003C66CD"/>
    <w:rsid w:val="003C71D8"/>
    <w:rsid w:val="003C7341"/>
    <w:rsid w:val="003C7BFF"/>
    <w:rsid w:val="003D16F6"/>
    <w:rsid w:val="003D2188"/>
    <w:rsid w:val="003D2D1E"/>
    <w:rsid w:val="003D54AB"/>
    <w:rsid w:val="003D5F71"/>
    <w:rsid w:val="003D655A"/>
    <w:rsid w:val="003D7A9C"/>
    <w:rsid w:val="003D7AC0"/>
    <w:rsid w:val="003D7BC5"/>
    <w:rsid w:val="003D7BC9"/>
    <w:rsid w:val="003E0C74"/>
    <w:rsid w:val="003E11D1"/>
    <w:rsid w:val="003E159C"/>
    <w:rsid w:val="003E1664"/>
    <w:rsid w:val="003E35B9"/>
    <w:rsid w:val="003E4853"/>
    <w:rsid w:val="003E5577"/>
    <w:rsid w:val="003E68C2"/>
    <w:rsid w:val="003E6FE6"/>
    <w:rsid w:val="003F15BF"/>
    <w:rsid w:val="003F1E7B"/>
    <w:rsid w:val="003F2008"/>
    <w:rsid w:val="003F2774"/>
    <w:rsid w:val="003F2B3C"/>
    <w:rsid w:val="003F2E8A"/>
    <w:rsid w:val="003F350B"/>
    <w:rsid w:val="003F3A38"/>
    <w:rsid w:val="003F3E6B"/>
    <w:rsid w:val="003F3E9B"/>
    <w:rsid w:val="003F49F1"/>
    <w:rsid w:val="003F50C1"/>
    <w:rsid w:val="003F5713"/>
    <w:rsid w:val="003F5983"/>
    <w:rsid w:val="003F5DB2"/>
    <w:rsid w:val="003F6BAF"/>
    <w:rsid w:val="003F6FE7"/>
    <w:rsid w:val="003F71FF"/>
    <w:rsid w:val="0040042F"/>
    <w:rsid w:val="00400E83"/>
    <w:rsid w:val="0040125E"/>
    <w:rsid w:val="004024CB"/>
    <w:rsid w:val="004027A2"/>
    <w:rsid w:val="0040305C"/>
    <w:rsid w:val="00404ACC"/>
    <w:rsid w:val="00404F5C"/>
    <w:rsid w:val="0040722B"/>
    <w:rsid w:val="00411F3C"/>
    <w:rsid w:val="004124BF"/>
    <w:rsid w:val="004141A7"/>
    <w:rsid w:val="00414FF3"/>
    <w:rsid w:val="00415C21"/>
    <w:rsid w:val="00416E36"/>
    <w:rsid w:val="0041784F"/>
    <w:rsid w:val="004200AE"/>
    <w:rsid w:val="00420112"/>
    <w:rsid w:val="004206AB"/>
    <w:rsid w:val="00420C84"/>
    <w:rsid w:val="0042155C"/>
    <w:rsid w:val="0042205C"/>
    <w:rsid w:val="00423149"/>
    <w:rsid w:val="00423C8B"/>
    <w:rsid w:val="00423E66"/>
    <w:rsid w:val="00424E41"/>
    <w:rsid w:val="00424E95"/>
    <w:rsid w:val="00425140"/>
    <w:rsid w:val="00426439"/>
    <w:rsid w:val="004265AD"/>
    <w:rsid w:val="00426944"/>
    <w:rsid w:val="004301C6"/>
    <w:rsid w:val="00430BEF"/>
    <w:rsid w:val="00430DA7"/>
    <w:rsid w:val="004313B9"/>
    <w:rsid w:val="00431B21"/>
    <w:rsid w:val="00432AA2"/>
    <w:rsid w:val="004331B0"/>
    <w:rsid w:val="004331D9"/>
    <w:rsid w:val="0043334D"/>
    <w:rsid w:val="004341AC"/>
    <w:rsid w:val="00434283"/>
    <w:rsid w:val="004345F3"/>
    <w:rsid w:val="0043572F"/>
    <w:rsid w:val="0043616C"/>
    <w:rsid w:val="004367D7"/>
    <w:rsid w:val="00437403"/>
    <w:rsid w:val="0044176B"/>
    <w:rsid w:val="00441F4B"/>
    <w:rsid w:val="004428CB"/>
    <w:rsid w:val="004428E0"/>
    <w:rsid w:val="00442C2F"/>
    <w:rsid w:val="00444265"/>
    <w:rsid w:val="00444577"/>
    <w:rsid w:val="00444E27"/>
    <w:rsid w:val="0044521A"/>
    <w:rsid w:val="0044522B"/>
    <w:rsid w:val="00445A7B"/>
    <w:rsid w:val="00447E3B"/>
    <w:rsid w:val="00450399"/>
    <w:rsid w:val="00450A22"/>
    <w:rsid w:val="00451066"/>
    <w:rsid w:val="00451524"/>
    <w:rsid w:val="00451739"/>
    <w:rsid w:val="0045243D"/>
    <w:rsid w:val="00452552"/>
    <w:rsid w:val="00452C22"/>
    <w:rsid w:val="00452CED"/>
    <w:rsid w:val="00453027"/>
    <w:rsid w:val="00453048"/>
    <w:rsid w:val="00454460"/>
    <w:rsid w:val="0045487B"/>
    <w:rsid w:val="004549F3"/>
    <w:rsid w:val="004551B4"/>
    <w:rsid w:val="00455351"/>
    <w:rsid w:val="0045595F"/>
    <w:rsid w:val="00455CF6"/>
    <w:rsid w:val="00456473"/>
    <w:rsid w:val="004578E2"/>
    <w:rsid w:val="0046055E"/>
    <w:rsid w:val="0046215F"/>
    <w:rsid w:val="004628D4"/>
    <w:rsid w:val="004643B9"/>
    <w:rsid w:val="00464DC4"/>
    <w:rsid w:val="00464EBE"/>
    <w:rsid w:val="00465503"/>
    <w:rsid w:val="004657FA"/>
    <w:rsid w:val="00465A20"/>
    <w:rsid w:val="004660B9"/>
    <w:rsid w:val="0046644D"/>
    <w:rsid w:val="00467916"/>
    <w:rsid w:val="004679D6"/>
    <w:rsid w:val="00467E5C"/>
    <w:rsid w:val="00471027"/>
    <w:rsid w:val="004724DC"/>
    <w:rsid w:val="00472F03"/>
    <w:rsid w:val="004732BD"/>
    <w:rsid w:val="00474226"/>
    <w:rsid w:val="0047614F"/>
    <w:rsid w:val="00477096"/>
    <w:rsid w:val="00477301"/>
    <w:rsid w:val="00477587"/>
    <w:rsid w:val="00477FC8"/>
    <w:rsid w:val="00480F86"/>
    <w:rsid w:val="004812F7"/>
    <w:rsid w:val="00482E8A"/>
    <w:rsid w:val="00485989"/>
    <w:rsid w:val="004878BE"/>
    <w:rsid w:val="0049005A"/>
    <w:rsid w:val="00490E83"/>
    <w:rsid w:val="0049266E"/>
    <w:rsid w:val="00492F0D"/>
    <w:rsid w:val="00492FFD"/>
    <w:rsid w:val="004931C2"/>
    <w:rsid w:val="00493CA7"/>
    <w:rsid w:val="004940D2"/>
    <w:rsid w:val="00496451"/>
    <w:rsid w:val="00496AE1"/>
    <w:rsid w:val="00496EB8"/>
    <w:rsid w:val="004973A7"/>
    <w:rsid w:val="00497598"/>
    <w:rsid w:val="00497B25"/>
    <w:rsid w:val="004A013A"/>
    <w:rsid w:val="004A05B1"/>
    <w:rsid w:val="004A05F2"/>
    <w:rsid w:val="004A0A6B"/>
    <w:rsid w:val="004A1C3B"/>
    <w:rsid w:val="004A1E7B"/>
    <w:rsid w:val="004A2141"/>
    <w:rsid w:val="004A2187"/>
    <w:rsid w:val="004A248F"/>
    <w:rsid w:val="004A2A0E"/>
    <w:rsid w:val="004A3DB0"/>
    <w:rsid w:val="004A42F4"/>
    <w:rsid w:val="004A46C8"/>
    <w:rsid w:val="004A5C85"/>
    <w:rsid w:val="004A5EDE"/>
    <w:rsid w:val="004A649A"/>
    <w:rsid w:val="004A673B"/>
    <w:rsid w:val="004A6A91"/>
    <w:rsid w:val="004A7217"/>
    <w:rsid w:val="004B0816"/>
    <w:rsid w:val="004B100A"/>
    <w:rsid w:val="004B1D71"/>
    <w:rsid w:val="004B2B54"/>
    <w:rsid w:val="004B3339"/>
    <w:rsid w:val="004B3424"/>
    <w:rsid w:val="004B3521"/>
    <w:rsid w:val="004B3839"/>
    <w:rsid w:val="004B3CC9"/>
    <w:rsid w:val="004B422D"/>
    <w:rsid w:val="004B4522"/>
    <w:rsid w:val="004B4836"/>
    <w:rsid w:val="004B5FA3"/>
    <w:rsid w:val="004B6D95"/>
    <w:rsid w:val="004B6E16"/>
    <w:rsid w:val="004B79D8"/>
    <w:rsid w:val="004C09FC"/>
    <w:rsid w:val="004C0DAE"/>
    <w:rsid w:val="004C13A3"/>
    <w:rsid w:val="004C1412"/>
    <w:rsid w:val="004C1D5E"/>
    <w:rsid w:val="004C2065"/>
    <w:rsid w:val="004C375C"/>
    <w:rsid w:val="004C43FF"/>
    <w:rsid w:val="004C46A8"/>
    <w:rsid w:val="004C6785"/>
    <w:rsid w:val="004C6900"/>
    <w:rsid w:val="004D1012"/>
    <w:rsid w:val="004D222E"/>
    <w:rsid w:val="004D232A"/>
    <w:rsid w:val="004D2BFE"/>
    <w:rsid w:val="004D2FC7"/>
    <w:rsid w:val="004D314A"/>
    <w:rsid w:val="004D3354"/>
    <w:rsid w:val="004D3767"/>
    <w:rsid w:val="004D3AA2"/>
    <w:rsid w:val="004D4B98"/>
    <w:rsid w:val="004D4CB4"/>
    <w:rsid w:val="004D4E05"/>
    <w:rsid w:val="004D556D"/>
    <w:rsid w:val="004D5A28"/>
    <w:rsid w:val="004D5AD4"/>
    <w:rsid w:val="004D783C"/>
    <w:rsid w:val="004E02AA"/>
    <w:rsid w:val="004E260B"/>
    <w:rsid w:val="004E2611"/>
    <w:rsid w:val="004E2ADA"/>
    <w:rsid w:val="004E3CB6"/>
    <w:rsid w:val="004E441D"/>
    <w:rsid w:val="004E46DD"/>
    <w:rsid w:val="004E49FD"/>
    <w:rsid w:val="004E55A7"/>
    <w:rsid w:val="004E5886"/>
    <w:rsid w:val="004E6AF2"/>
    <w:rsid w:val="004E6F80"/>
    <w:rsid w:val="004E77E0"/>
    <w:rsid w:val="004E7843"/>
    <w:rsid w:val="004F0DBD"/>
    <w:rsid w:val="004F0F3D"/>
    <w:rsid w:val="004F1022"/>
    <w:rsid w:val="004F37C3"/>
    <w:rsid w:val="004F42CA"/>
    <w:rsid w:val="004F4F78"/>
    <w:rsid w:val="004F5029"/>
    <w:rsid w:val="004F5BE0"/>
    <w:rsid w:val="004F60D5"/>
    <w:rsid w:val="004F780B"/>
    <w:rsid w:val="004F7992"/>
    <w:rsid w:val="004F79D4"/>
    <w:rsid w:val="004F7B61"/>
    <w:rsid w:val="00500DC4"/>
    <w:rsid w:val="00500E36"/>
    <w:rsid w:val="00501AFE"/>
    <w:rsid w:val="00502DCE"/>
    <w:rsid w:val="00503636"/>
    <w:rsid w:val="00504789"/>
    <w:rsid w:val="00504856"/>
    <w:rsid w:val="0050557B"/>
    <w:rsid w:val="005055CE"/>
    <w:rsid w:val="00506C3C"/>
    <w:rsid w:val="00506C57"/>
    <w:rsid w:val="0050704C"/>
    <w:rsid w:val="005073CC"/>
    <w:rsid w:val="00507D69"/>
    <w:rsid w:val="00510880"/>
    <w:rsid w:val="00510B03"/>
    <w:rsid w:val="00511E1C"/>
    <w:rsid w:val="00512F1A"/>
    <w:rsid w:val="005133EE"/>
    <w:rsid w:val="00513DC7"/>
    <w:rsid w:val="005143AA"/>
    <w:rsid w:val="005159EC"/>
    <w:rsid w:val="00515B1E"/>
    <w:rsid w:val="005167A7"/>
    <w:rsid w:val="005175EA"/>
    <w:rsid w:val="005179D1"/>
    <w:rsid w:val="0052027C"/>
    <w:rsid w:val="00520F7A"/>
    <w:rsid w:val="00522600"/>
    <w:rsid w:val="00522CA2"/>
    <w:rsid w:val="00522E17"/>
    <w:rsid w:val="00523072"/>
    <w:rsid w:val="005234E7"/>
    <w:rsid w:val="00523F54"/>
    <w:rsid w:val="00525540"/>
    <w:rsid w:val="00527A80"/>
    <w:rsid w:val="00527AAD"/>
    <w:rsid w:val="0053036A"/>
    <w:rsid w:val="005308CB"/>
    <w:rsid w:val="00530AF2"/>
    <w:rsid w:val="00532BAD"/>
    <w:rsid w:val="0053523A"/>
    <w:rsid w:val="005354DF"/>
    <w:rsid w:val="00535558"/>
    <w:rsid w:val="005355A0"/>
    <w:rsid w:val="005364A9"/>
    <w:rsid w:val="00537EBB"/>
    <w:rsid w:val="00537EDD"/>
    <w:rsid w:val="005406BF"/>
    <w:rsid w:val="0054089B"/>
    <w:rsid w:val="005421FF"/>
    <w:rsid w:val="005435C5"/>
    <w:rsid w:val="00543B69"/>
    <w:rsid w:val="00543D06"/>
    <w:rsid w:val="0054426C"/>
    <w:rsid w:val="00545177"/>
    <w:rsid w:val="0054535B"/>
    <w:rsid w:val="00545AC1"/>
    <w:rsid w:val="0054605A"/>
    <w:rsid w:val="0054617C"/>
    <w:rsid w:val="00547175"/>
    <w:rsid w:val="0054740C"/>
    <w:rsid w:val="005477E7"/>
    <w:rsid w:val="0054792E"/>
    <w:rsid w:val="00550C21"/>
    <w:rsid w:val="005515B7"/>
    <w:rsid w:val="0055194A"/>
    <w:rsid w:val="00551A44"/>
    <w:rsid w:val="00553752"/>
    <w:rsid w:val="00554D30"/>
    <w:rsid w:val="00555E2D"/>
    <w:rsid w:val="005563F7"/>
    <w:rsid w:val="00556C68"/>
    <w:rsid w:val="00556D08"/>
    <w:rsid w:val="00557B0A"/>
    <w:rsid w:val="00561048"/>
    <w:rsid w:val="005610A9"/>
    <w:rsid w:val="00561203"/>
    <w:rsid w:val="00561ED2"/>
    <w:rsid w:val="00561F29"/>
    <w:rsid w:val="00561F54"/>
    <w:rsid w:val="00562277"/>
    <w:rsid w:val="0056241B"/>
    <w:rsid w:val="005632DA"/>
    <w:rsid w:val="005639FB"/>
    <w:rsid w:val="00565312"/>
    <w:rsid w:val="00565E65"/>
    <w:rsid w:val="00567971"/>
    <w:rsid w:val="005711B0"/>
    <w:rsid w:val="00571C48"/>
    <w:rsid w:val="00571D92"/>
    <w:rsid w:val="005722E1"/>
    <w:rsid w:val="00572A0E"/>
    <w:rsid w:val="00572DD6"/>
    <w:rsid w:val="00572FEC"/>
    <w:rsid w:val="005733F2"/>
    <w:rsid w:val="00574DFD"/>
    <w:rsid w:val="005752A1"/>
    <w:rsid w:val="005763B7"/>
    <w:rsid w:val="00576A2E"/>
    <w:rsid w:val="00577F52"/>
    <w:rsid w:val="00577FC2"/>
    <w:rsid w:val="0058045E"/>
    <w:rsid w:val="005815B8"/>
    <w:rsid w:val="00581699"/>
    <w:rsid w:val="00581D6A"/>
    <w:rsid w:val="00582188"/>
    <w:rsid w:val="005826E4"/>
    <w:rsid w:val="005827E0"/>
    <w:rsid w:val="00583568"/>
    <w:rsid w:val="00585DBC"/>
    <w:rsid w:val="0058623D"/>
    <w:rsid w:val="005862D6"/>
    <w:rsid w:val="005869C9"/>
    <w:rsid w:val="00586BCF"/>
    <w:rsid w:val="00586DD7"/>
    <w:rsid w:val="00587CA1"/>
    <w:rsid w:val="00587CFB"/>
    <w:rsid w:val="00587DD6"/>
    <w:rsid w:val="005909A4"/>
    <w:rsid w:val="00590C16"/>
    <w:rsid w:val="005913D1"/>
    <w:rsid w:val="00591CBD"/>
    <w:rsid w:val="00592FB6"/>
    <w:rsid w:val="00593443"/>
    <w:rsid w:val="00593725"/>
    <w:rsid w:val="00595275"/>
    <w:rsid w:val="005959E6"/>
    <w:rsid w:val="005975A0"/>
    <w:rsid w:val="00597944"/>
    <w:rsid w:val="005A1109"/>
    <w:rsid w:val="005A2D77"/>
    <w:rsid w:val="005A3527"/>
    <w:rsid w:val="005A3574"/>
    <w:rsid w:val="005A43EB"/>
    <w:rsid w:val="005A5120"/>
    <w:rsid w:val="005A58FB"/>
    <w:rsid w:val="005A5E27"/>
    <w:rsid w:val="005A63C6"/>
    <w:rsid w:val="005A6668"/>
    <w:rsid w:val="005A66DF"/>
    <w:rsid w:val="005A7EA9"/>
    <w:rsid w:val="005B0412"/>
    <w:rsid w:val="005B044E"/>
    <w:rsid w:val="005B0AB0"/>
    <w:rsid w:val="005B1029"/>
    <w:rsid w:val="005B1740"/>
    <w:rsid w:val="005B1BD4"/>
    <w:rsid w:val="005B1CDF"/>
    <w:rsid w:val="005B1F31"/>
    <w:rsid w:val="005B311B"/>
    <w:rsid w:val="005B3430"/>
    <w:rsid w:val="005B411B"/>
    <w:rsid w:val="005B47B5"/>
    <w:rsid w:val="005B4D47"/>
    <w:rsid w:val="005B4D8E"/>
    <w:rsid w:val="005B5323"/>
    <w:rsid w:val="005B6BC7"/>
    <w:rsid w:val="005B7A5C"/>
    <w:rsid w:val="005B7E8F"/>
    <w:rsid w:val="005C1238"/>
    <w:rsid w:val="005C1BC8"/>
    <w:rsid w:val="005C20C7"/>
    <w:rsid w:val="005C2330"/>
    <w:rsid w:val="005C2A8C"/>
    <w:rsid w:val="005C2F98"/>
    <w:rsid w:val="005C47F8"/>
    <w:rsid w:val="005C52B7"/>
    <w:rsid w:val="005C5C81"/>
    <w:rsid w:val="005C5FF2"/>
    <w:rsid w:val="005C6E4F"/>
    <w:rsid w:val="005C7212"/>
    <w:rsid w:val="005D053D"/>
    <w:rsid w:val="005D0D38"/>
    <w:rsid w:val="005D0DED"/>
    <w:rsid w:val="005D126C"/>
    <w:rsid w:val="005D1895"/>
    <w:rsid w:val="005D36AB"/>
    <w:rsid w:val="005D36D4"/>
    <w:rsid w:val="005D37D4"/>
    <w:rsid w:val="005D4303"/>
    <w:rsid w:val="005D4A7D"/>
    <w:rsid w:val="005D4BA9"/>
    <w:rsid w:val="005D5CBC"/>
    <w:rsid w:val="005D5DC8"/>
    <w:rsid w:val="005D5F1B"/>
    <w:rsid w:val="005D68CD"/>
    <w:rsid w:val="005D7C9B"/>
    <w:rsid w:val="005D7D0F"/>
    <w:rsid w:val="005E1596"/>
    <w:rsid w:val="005E161E"/>
    <w:rsid w:val="005E16CC"/>
    <w:rsid w:val="005E20C6"/>
    <w:rsid w:val="005E2F2A"/>
    <w:rsid w:val="005E3CBA"/>
    <w:rsid w:val="005E5534"/>
    <w:rsid w:val="005E6234"/>
    <w:rsid w:val="005E709F"/>
    <w:rsid w:val="005F0459"/>
    <w:rsid w:val="005F24E4"/>
    <w:rsid w:val="005F2549"/>
    <w:rsid w:val="005F29F5"/>
    <w:rsid w:val="005F2B31"/>
    <w:rsid w:val="005F2D72"/>
    <w:rsid w:val="005F3AAC"/>
    <w:rsid w:val="005F3E28"/>
    <w:rsid w:val="005F3F29"/>
    <w:rsid w:val="005F41F5"/>
    <w:rsid w:val="005F48A7"/>
    <w:rsid w:val="005F48E4"/>
    <w:rsid w:val="005F5783"/>
    <w:rsid w:val="005F601A"/>
    <w:rsid w:val="005F60CC"/>
    <w:rsid w:val="005F7318"/>
    <w:rsid w:val="005F7CD7"/>
    <w:rsid w:val="00600D60"/>
    <w:rsid w:val="00601C26"/>
    <w:rsid w:val="00601FF5"/>
    <w:rsid w:val="006026C3"/>
    <w:rsid w:val="006029E9"/>
    <w:rsid w:val="006031FD"/>
    <w:rsid w:val="006034F9"/>
    <w:rsid w:val="006037E6"/>
    <w:rsid w:val="00603DAD"/>
    <w:rsid w:val="006050B7"/>
    <w:rsid w:val="006060C8"/>
    <w:rsid w:val="006062DE"/>
    <w:rsid w:val="00607198"/>
    <w:rsid w:val="00611845"/>
    <w:rsid w:val="00611BB6"/>
    <w:rsid w:val="0061267F"/>
    <w:rsid w:val="0061293E"/>
    <w:rsid w:val="006154D9"/>
    <w:rsid w:val="0061772A"/>
    <w:rsid w:val="00620A23"/>
    <w:rsid w:val="00620B9B"/>
    <w:rsid w:val="00620D9A"/>
    <w:rsid w:val="006212A5"/>
    <w:rsid w:val="00621953"/>
    <w:rsid w:val="00621B5D"/>
    <w:rsid w:val="00622ADA"/>
    <w:rsid w:val="00624AA5"/>
    <w:rsid w:val="006263F5"/>
    <w:rsid w:val="00626AE5"/>
    <w:rsid w:val="00627723"/>
    <w:rsid w:val="00630737"/>
    <w:rsid w:val="00630EC9"/>
    <w:rsid w:val="006312F1"/>
    <w:rsid w:val="00632201"/>
    <w:rsid w:val="00632246"/>
    <w:rsid w:val="006327C8"/>
    <w:rsid w:val="006327EA"/>
    <w:rsid w:val="00632CF6"/>
    <w:rsid w:val="00632DE2"/>
    <w:rsid w:val="006333C8"/>
    <w:rsid w:val="006339F5"/>
    <w:rsid w:val="00633C7D"/>
    <w:rsid w:val="0063426B"/>
    <w:rsid w:val="00634EDD"/>
    <w:rsid w:val="006354D2"/>
    <w:rsid w:val="00636B39"/>
    <w:rsid w:val="00637223"/>
    <w:rsid w:val="006372BC"/>
    <w:rsid w:val="00640F7C"/>
    <w:rsid w:val="006410BE"/>
    <w:rsid w:val="006429AC"/>
    <w:rsid w:val="00643BA2"/>
    <w:rsid w:val="0064402E"/>
    <w:rsid w:val="00644707"/>
    <w:rsid w:val="00644D87"/>
    <w:rsid w:val="00646C6E"/>
    <w:rsid w:val="00647155"/>
    <w:rsid w:val="00647ED3"/>
    <w:rsid w:val="00647F5B"/>
    <w:rsid w:val="00650F9D"/>
    <w:rsid w:val="0065183A"/>
    <w:rsid w:val="00651F28"/>
    <w:rsid w:val="00651F7E"/>
    <w:rsid w:val="00652873"/>
    <w:rsid w:val="00652BFE"/>
    <w:rsid w:val="00652FAC"/>
    <w:rsid w:val="00654A5D"/>
    <w:rsid w:val="00654EF3"/>
    <w:rsid w:val="00655A97"/>
    <w:rsid w:val="00660895"/>
    <w:rsid w:val="00660C45"/>
    <w:rsid w:val="006618D6"/>
    <w:rsid w:val="00661902"/>
    <w:rsid w:val="00661955"/>
    <w:rsid w:val="00665D04"/>
    <w:rsid w:val="0066679D"/>
    <w:rsid w:val="0066771E"/>
    <w:rsid w:val="006702A4"/>
    <w:rsid w:val="006708E2"/>
    <w:rsid w:val="00671EF4"/>
    <w:rsid w:val="00671F03"/>
    <w:rsid w:val="0067212D"/>
    <w:rsid w:val="006723AE"/>
    <w:rsid w:val="006727AE"/>
    <w:rsid w:val="0067295F"/>
    <w:rsid w:val="00673167"/>
    <w:rsid w:val="006739B8"/>
    <w:rsid w:val="006740EA"/>
    <w:rsid w:val="00674D27"/>
    <w:rsid w:val="00675367"/>
    <w:rsid w:val="006759F5"/>
    <w:rsid w:val="0067660C"/>
    <w:rsid w:val="006773BA"/>
    <w:rsid w:val="0067747C"/>
    <w:rsid w:val="0068004A"/>
    <w:rsid w:val="006812ED"/>
    <w:rsid w:val="00684288"/>
    <w:rsid w:val="006843DA"/>
    <w:rsid w:val="00684799"/>
    <w:rsid w:val="006849D1"/>
    <w:rsid w:val="00685500"/>
    <w:rsid w:val="006861C0"/>
    <w:rsid w:val="00686AB5"/>
    <w:rsid w:val="00687BF8"/>
    <w:rsid w:val="00687E50"/>
    <w:rsid w:val="006908AC"/>
    <w:rsid w:val="006919E7"/>
    <w:rsid w:val="00691B16"/>
    <w:rsid w:val="00692304"/>
    <w:rsid w:val="00693182"/>
    <w:rsid w:val="0069356B"/>
    <w:rsid w:val="00694535"/>
    <w:rsid w:val="00694871"/>
    <w:rsid w:val="0069517D"/>
    <w:rsid w:val="0069587E"/>
    <w:rsid w:val="0069643A"/>
    <w:rsid w:val="00696DE7"/>
    <w:rsid w:val="00697232"/>
    <w:rsid w:val="00697C02"/>
    <w:rsid w:val="006A0C28"/>
    <w:rsid w:val="006A0FDF"/>
    <w:rsid w:val="006A100F"/>
    <w:rsid w:val="006A13AC"/>
    <w:rsid w:val="006A17F7"/>
    <w:rsid w:val="006A1847"/>
    <w:rsid w:val="006A1BD1"/>
    <w:rsid w:val="006A2876"/>
    <w:rsid w:val="006A42CB"/>
    <w:rsid w:val="006A4DF4"/>
    <w:rsid w:val="006A5E4F"/>
    <w:rsid w:val="006A5FED"/>
    <w:rsid w:val="006A64BA"/>
    <w:rsid w:val="006A7AD9"/>
    <w:rsid w:val="006A7FE3"/>
    <w:rsid w:val="006B08F0"/>
    <w:rsid w:val="006B0D82"/>
    <w:rsid w:val="006B0F30"/>
    <w:rsid w:val="006B1926"/>
    <w:rsid w:val="006B2DFF"/>
    <w:rsid w:val="006B2E56"/>
    <w:rsid w:val="006B3B8F"/>
    <w:rsid w:val="006B46FC"/>
    <w:rsid w:val="006B495C"/>
    <w:rsid w:val="006B4BF8"/>
    <w:rsid w:val="006B4D70"/>
    <w:rsid w:val="006B6238"/>
    <w:rsid w:val="006B6BE8"/>
    <w:rsid w:val="006B6D2F"/>
    <w:rsid w:val="006B6F75"/>
    <w:rsid w:val="006B7076"/>
    <w:rsid w:val="006B7085"/>
    <w:rsid w:val="006B784D"/>
    <w:rsid w:val="006B7ADB"/>
    <w:rsid w:val="006C0561"/>
    <w:rsid w:val="006C2738"/>
    <w:rsid w:val="006C3B7E"/>
    <w:rsid w:val="006C4A36"/>
    <w:rsid w:val="006C50FD"/>
    <w:rsid w:val="006C51E5"/>
    <w:rsid w:val="006C5941"/>
    <w:rsid w:val="006C6EFB"/>
    <w:rsid w:val="006C72D2"/>
    <w:rsid w:val="006C774F"/>
    <w:rsid w:val="006D0E04"/>
    <w:rsid w:val="006D0F7F"/>
    <w:rsid w:val="006D1911"/>
    <w:rsid w:val="006D3E8F"/>
    <w:rsid w:val="006D4744"/>
    <w:rsid w:val="006D4B60"/>
    <w:rsid w:val="006D7D1F"/>
    <w:rsid w:val="006E1516"/>
    <w:rsid w:val="006E2137"/>
    <w:rsid w:val="006E28A4"/>
    <w:rsid w:val="006E32E7"/>
    <w:rsid w:val="006E3754"/>
    <w:rsid w:val="006E38D2"/>
    <w:rsid w:val="006E4391"/>
    <w:rsid w:val="006E483E"/>
    <w:rsid w:val="006E51D3"/>
    <w:rsid w:val="006E722F"/>
    <w:rsid w:val="006E72AD"/>
    <w:rsid w:val="006F061E"/>
    <w:rsid w:val="006F0ED3"/>
    <w:rsid w:val="006F24B7"/>
    <w:rsid w:val="006F342C"/>
    <w:rsid w:val="006F40ED"/>
    <w:rsid w:val="006F4116"/>
    <w:rsid w:val="006F50B1"/>
    <w:rsid w:val="006F531C"/>
    <w:rsid w:val="006F5E7C"/>
    <w:rsid w:val="006F60BF"/>
    <w:rsid w:val="006F67A5"/>
    <w:rsid w:val="006F6A67"/>
    <w:rsid w:val="006F6D15"/>
    <w:rsid w:val="006F748A"/>
    <w:rsid w:val="00700614"/>
    <w:rsid w:val="00700676"/>
    <w:rsid w:val="00700785"/>
    <w:rsid w:val="00700AB7"/>
    <w:rsid w:val="00700DA8"/>
    <w:rsid w:val="00702340"/>
    <w:rsid w:val="00703688"/>
    <w:rsid w:val="00703958"/>
    <w:rsid w:val="00703FD8"/>
    <w:rsid w:val="007052E8"/>
    <w:rsid w:val="00706838"/>
    <w:rsid w:val="0070689A"/>
    <w:rsid w:val="007072F9"/>
    <w:rsid w:val="00707D9B"/>
    <w:rsid w:val="00710C36"/>
    <w:rsid w:val="007110AA"/>
    <w:rsid w:val="0071178F"/>
    <w:rsid w:val="00711B38"/>
    <w:rsid w:val="00711EE9"/>
    <w:rsid w:val="00712A10"/>
    <w:rsid w:val="00713895"/>
    <w:rsid w:val="00714339"/>
    <w:rsid w:val="007143BF"/>
    <w:rsid w:val="007147DA"/>
    <w:rsid w:val="00714F50"/>
    <w:rsid w:val="0071512B"/>
    <w:rsid w:val="0071566A"/>
    <w:rsid w:val="00715A81"/>
    <w:rsid w:val="007170CF"/>
    <w:rsid w:val="00717391"/>
    <w:rsid w:val="00717828"/>
    <w:rsid w:val="00717A1D"/>
    <w:rsid w:val="00717EAA"/>
    <w:rsid w:val="00720AA5"/>
    <w:rsid w:val="007217D9"/>
    <w:rsid w:val="00721FEA"/>
    <w:rsid w:val="00724752"/>
    <w:rsid w:val="007256DA"/>
    <w:rsid w:val="00725D7F"/>
    <w:rsid w:val="007262F8"/>
    <w:rsid w:val="00726503"/>
    <w:rsid w:val="00726745"/>
    <w:rsid w:val="00727AB3"/>
    <w:rsid w:val="00727D08"/>
    <w:rsid w:val="007303D8"/>
    <w:rsid w:val="00730C1F"/>
    <w:rsid w:val="0073108B"/>
    <w:rsid w:val="0073153F"/>
    <w:rsid w:val="007315B7"/>
    <w:rsid w:val="007323A1"/>
    <w:rsid w:val="0073267E"/>
    <w:rsid w:val="00733204"/>
    <w:rsid w:val="00733561"/>
    <w:rsid w:val="00734030"/>
    <w:rsid w:val="0073458B"/>
    <w:rsid w:val="00734BE1"/>
    <w:rsid w:val="007356B1"/>
    <w:rsid w:val="00736ABA"/>
    <w:rsid w:val="00737131"/>
    <w:rsid w:val="00737921"/>
    <w:rsid w:val="00737A76"/>
    <w:rsid w:val="00737F1D"/>
    <w:rsid w:val="007402C9"/>
    <w:rsid w:val="007407D3"/>
    <w:rsid w:val="00740E76"/>
    <w:rsid w:val="00740F0E"/>
    <w:rsid w:val="007418E0"/>
    <w:rsid w:val="00742B1C"/>
    <w:rsid w:val="00742E3C"/>
    <w:rsid w:val="0074378F"/>
    <w:rsid w:val="0074390B"/>
    <w:rsid w:val="00744443"/>
    <w:rsid w:val="007444E5"/>
    <w:rsid w:val="007445C9"/>
    <w:rsid w:val="00745376"/>
    <w:rsid w:val="00745651"/>
    <w:rsid w:val="00746F99"/>
    <w:rsid w:val="0074781D"/>
    <w:rsid w:val="00747AF1"/>
    <w:rsid w:val="00747B80"/>
    <w:rsid w:val="00750776"/>
    <w:rsid w:val="007538A6"/>
    <w:rsid w:val="00753DDF"/>
    <w:rsid w:val="00754D6F"/>
    <w:rsid w:val="007555CA"/>
    <w:rsid w:val="00756187"/>
    <w:rsid w:val="00756323"/>
    <w:rsid w:val="007576DC"/>
    <w:rsid w:val="00761E95"/>
    <w:rsid w:val="007641AD"/>
    <w:rsid w:val="00764FAE"/>
    <w:rsid w:val="007658AD"/>
    <w:rsid w:val="00766F3C"/>
    <w:rsid w:val="00767F2B"/>
    <w:rsid w:val="007700C4"/>
    <w:rsid w:val="00771218"/>
    <w:rsid w:val="00771FCA"/>
    <w:rsid w:val="00772D76"/>
    <w:rsid w:val="00772F3B"/>
    <w:rsid w:val="00773828"/>
    <w:rsid w:val="00773C9A"/>
    <w:rsid w:val="00774204"/>
    <w:rsid w:val="0077498E"/>
    <w:rsid w:val="007752E7"/>
    <w:rsid w:val="00776E51"/>
    <w:rsid w:val="00777869"/>
    <w:rsid w:val="00777963"/>
    <w:rsid w:val="00777C32"/>
    <w:rsid w:val="00777FE8"/>
    <w:rsid w:val="00781477"/>
    <w:rsid w:val="0078160A"/>
    <w:rsid w:val="00782381"/>
    <w:rsid w:val="00782AEF"/>
    <w:rsid w:val="00782C97"/>
    <w:rsid w:val="00783EC9"/>
    <w:rsid w:val="007844E5"/>
    <w:rsid w:val="0078494C"/>
    <w:rsid w:val="0078550F"/>
    <w:rsid w:val="00786448"/>
    <w:rsid w:val="00786647"/>
    <w:rsid w:val="007867A7"/>
    <w:rsid w:val="00787142"/>
    <w:rsid w:val="00787B69"/>
    <w:rsid w:val="00791BA1"/>
    <w:rsid w:val="00792A25"/>
    <w:rsid w:val="00793406"/>
    <w:rsid w:val="007940A9"/>
    <w:rsid w:val="007942D5"/>
    <w:rsid w:val="00794410"/>
    <w:rsid w:val="00794A6C"/>
    <w:rsid w:val="00795E1C"/>
    <w:rsid w:val="00796C68"/>
    <w:rsid w:val="00797580"/>
    <w:rsid w:val="007A0522"/>
    <w:rsid w:val="007A164F"/>
    <w:rsid w:val="007A24BC"/>
    <w:rsid w:val="007A277C"/>
    <w:rsid w:val="007A2C39"/>
    <w:rsid w:val="007A2CB9"/>
    <w:rsid w:val="007A301F"/>
    <w:rsid w:val="007A3E2E"/>
    <w:rsid w:val="007A4184"/>
    <w:rsid w:val="007A5CA5"/>
    <w:rsid w:val="007A651D"/>
    <w:rsid w:val="007B1807"/>
    <w:rsid w:val="007B2D29"/>
    <w:rsid w:val="007B43D8"/>
    <w:rsid w:val="007B4CD2"/>
    <w:rsid w:val="007B4DB6"/>
    <w:rsid w:val="007B53BE"/>
    <w:rsid w:val="007B5A32"/>
    <w:rsid w:val="007B6485"/>
    <w:rsid w:val="007B6FA6"/>
    <w:rsid w:val="007B78F2"/>
    <w:rsid w:val="007C0267"/>
    <w:rsid w:val="007C03B8"/>
    <w:rsid w:val="007C078B"/>
    <w:rsid w:val="007C0C58"/>
    <w:rsid w:val="007C0D5F"/>
    <w:rsid w:val="007C1E8A"/>
    <w:rsid w:val="007C2C05"/>
    <w:rsid w:val="007C6C6D"/>
    <w:rsid w:val="007C6FD1"/>
    <w:rsid w:val="007C735D"/>
    <w:rsid w:val="007C7878"/>
    <w:rsid w:val="007D0988"/>
    <w:rsid w:val="007D17A9"/>
    <w:rsid w:val="007D19BD"/>
    <w:rsid w:val="007D1E47"/>
    <w:rsid w:val="007D3E6B"/>
    <w:rsid w:val="007D3FE0"/>
    <w:rsid w:val="007D4915"/>
    <w:rsid w:val="007D4A27"/>
    <w:rsid w:val="007D52C8"/>
    <w:rsid w:val="007D57BD"/>
    <w:rsid w:val="007D62DF"/>
    <w:rsid w:val="007D630F"/>
    <w:rsid w:val="007D6563"/>
    <w:rsid w:val="007D6EA9"/>
    <w:rsid w:val="007D702F"/>
    <w:rsid w:val="007D72E6"/>
    <w:rsid w:val="007E08C8"/>
    <w:rsid w:val="007E1571"/>
    <w:rsid w:val="007E3B64"/>
    <w:rsid w:val="007E3BB2"/>
    <w:rsid w:val="007E672B"/>
    <w:rsid w:val="007E7675"/>
    <w:rsid w:val="007E7F58"/>
    <w:rsid w:val="007F03F3"/>
    <w:rsid w:val="007F16A1"/>
    <w:rsid w:val="007F1A4C"/>
    <w:rsid w:val="007F1F6A"/>
    <w:rsid w:val="007F2651"/>
    <w:rsid w:val="007F2734"/>
    <w:rsid w:val="007F34AA"/>
    <w:rsid w:val="007F46BE"/>
    <w:rsid w:val="007F6797"/>
    <w:rsid w:val="007F6DBF"/>
    <w:rsid w:val="007F70AA"/>
    <w:rsid w:val="00800EF6"/>
    <w:rsid w:val="008015A1"/>
    <w:rsid w:val="008017F7"/>
    <w:rsid w:val="008043CA"/>
    <w:rsid w:val="00804572"/>
    <w:rsid w:val="00804AFA"/>
    <w:rsid w:val="00804DA0"/>
    <w:rsid w:val="008052CE"/>
    <w:rsid w:val="00805F5B"/>
    <w:rsid w:val="008060A7"/>
    <w:rsid w:val="00806962"/>
    <w:rsid w:val="0080750D"/>
    <w:rsid w:val="0080773A"/>
    <w:rsid w:val="00807C6D"/>
    <w:rsid w:val="008118B3"/>
    <w:rsid w:val="00812822"/>
    <w:rsid w:val="00812D51"/>
    <w:rsid w:val="0081446F"/>
    <w:rsid w:val="00814B3D"/>
    <w:rsid w:val="008152C6"/>
    <w:rsid w:val="00815735"/>
    <w:rsid w:val="008161C4"/>
    <w:rsid w:val="008162B1"/>
    <w:rsid w:val="008169E8"/>
    <w:rsid w:val="008176D8"/>
    <w:rsid w:val="00817C48"/>
    <w:rsid w:val="008204A5"/>
    <w:rsid w:val="00820F90"/>
    <w:rsid w:val="00821262"/>
    <w:rsid w:val="008213EB"/>
    <w:rsid w:val="00822435"/>
    <w:rsid w:val="00822AC4"/>
    <w:rsid w:val="008235FD"/>
    <w:rsid w:val="00823F61"/>
    <w:rsid w:val="00824513"/>
    <w:rsid w:val="00824EE8"/>
    <w:rsid w:val="0082582F"/>
    <w:rsid w:val="00825C00"/>
    <w:rsid w:val="00825E3B"/>
    <w:rsid w:val="00825F88"/>
    <w:rsid w:val="008261CB"/>
    <w:rsid w:val="00826904"/>
    <w:rsid w:val="0082690E"/>
    <w:rsid w:val="00827CBA"/>
    <w:rsid w:val="00830272"/>
    <w:rsid w:val="0083075B"/>
    <w:rsid w:val="008308C6"/>
    <w:rsid w:val="0083091B"/>
    <w:rsid w:val="00830B35"/>
    <w:rsid w:val="00831471"/>
    <w:rsid w:val="00832031"/>
    <w:rsid w:val="008321C1"/>
    <w:rsid w:val="00832EE9"/>
    <w:rsid w:val="00833B75"/>
    <w:rsid w:val="00834441"/>
    <w:rsid w:val="00834769"/>
    <w:rsid w:val="0083479A"/>
    <w:rsid w:val="00835179"/>
    <w:rsid w:val="008358E4"/>
    <w:rsid w:val="008358E8"/>
    <w:rsid w:val="00835B28"/>
    <w:rsid w:val="00836DE8"/>
    <w:rsid w:val="00836ECE"/>
    <w:rsid w:val="008371C6"/>
    <w:rsid w:val="008378F6"/>
    <w:rsid w:val="00837D6B"/>
    <w:rsid w:val="00837DC0"/>
    <w:rsid w:val="00840831"/>
    <w:rsid w:val="00840AD1"/>
    <w:rsid w:val="00840FE2"/>
    <w:rsid w:val="00841A80"/>
    <w:rsid w:val="00841DCF"/>
    <w:rsid w:val="00842B87"/>
    <w:rsid w:val="0084344E"/>
    <w:rsid w:val="008438AD"/>
    <w:rsid w:val="00844537"/>
    <w:rsid w:val="00844AC5"/>
    <w:rsid w:val="00844B55"/>
    <w:rsid w:val="00845621"/>
    <w:rsid w:val="0084572B"/>
    <w:rsid w:val="0084595B"/>
    <w:rsid w:val="00845AFF"/>
    <w:rsid w:val="008462C1"/>
    <w:rsid w:val="008500B7"/>
    <w:rsid w:val="00850752"/>
    <w:rsid w:val="00851304"/>
    <w:rsid w:val="00851441"/>
    <w:rsid w:val="0085144B"/>
    <w:rsid w:val="00851BDA"/>
    <w:rsid w:val="00851BE9"/>
    <w:rsid w:val="00853A8D"/>
    <w:rsid w:val="00853EDC"/>
    <w:rsid w:val="008561C5"/>
    <w:rsid w:val="0086154A"/>
    <w:rsid w:val="008618A0"/>
    <w:rsid w:val="00861C27"/>
    <w:rsid w:val="00861EF2"/>
    <w:rsid w:val="008625DC"/>
    <w:rsid w:val="008627BE"/>
    <w:rsid w:val="00862912"/>
    <w:rsid w:val="00862C73"/>
    <w:rsid w:val="00863574"/>
    <w:rsid w:val="00863D5F"/>
    <w:rsid w:val="008640B4"/>
    <w:rsid w:val="0086484C"/>
    <w:rsid w:val="00865193"/>
    <w:rsid w:val="008652A3"/>
    <w:rsid w:val="008654F4"/>
    <w:rsid w:val="008660D5"/>
    <w:rsid w:val="008673FD"/>
    <w:rsid w:val="00867E87"/>
    <w:rsid w:val="008700E6"/>
    <w:rsid w:val="0087077B"/>
    <w:rsid w:val="00870EEC"/>
    <w:rsid w:val="0087289D"/>
    <w:rsid w:val="008730CE"/>
    <w:rsid w:val="00874EEA"/>
    <w:rsid w:val="0087549F"/>
    <w:rsid w:val="008764B9"/>
    <w:rsid w:val="00876F47"/>
    <w:rsid w:val="008771D4"/>
    <w:rsid w:val="008773AA"/>
    <w:rsid w:val="008779B1"/>
    <w:rsid w:val="00877DD8"/>
    <w:rsid w:val="008803CB"/>
    <w:rsid w:val="00880B81"/>
    <w:rsid w:val="00880EAE"/>
    <w:rsid w:val="008815C0"/>
    <w:rsid w:val="00882CF0"/>
    <w:rsid w:val="00883141"/>
    <w:rsid w:val="00883177"/>
    <w:rsid w:val="0088465E"/>
    <w:rsid w:val="00885339"/>
    <w:rsid w:val="00885619"/>
    <w:rsid w:val="00885F1D"/>
    <w:rsid w:val="0088651C"/>
    <w:rsid w:val="008868CC"/>
    <w:rsid w:val="008871B6"/>
    <w:rsid w:val="00887DCF"/>
    <w:rsid w:val="00887E4B"/>
    <w:rsid w:val="008910EB"/>
    <w:rsid w:val="0089183B"/>
    <w:rsid w:val="00891D9A"/>
    <w:rsid w:val="00892165"/>
    <w:rsid w:val="0089309E"/>
    <w:rsid w:val="0089323A"/>
    <w:rsid w:val="008934E7"/>
    <w:rsid w:val="00893885"/>
    <w:rsid w:val="00893ED2"/>
    <w:rsid w:val="0089405A"/>
    <w:rsid w:val="008944E5"/>
    <w:rsid w:val="00895F40"/>
    <w:rsid w:val="00896A41"/>
    <w:rsid w:val="0089797D"/>
    <w:rsid w:val="00897FC6"/>
    <w:rsid w:val="008A04BA"/>
    <w:rsid w:val="008A097D"/>
    <w:rsid w:val="008A1A7A"/>
    <w:rsid w:val="008A2EF3"/>
    <w:rsid w:val="008A323F"/>
    <w:rsid w:val="008A3769"/>
    <w:rsid w:val="008A3BB5"/>
    <w:rsid w:val="008A43AE"/>
    <w:rsid w:val="008A623A"/>
    <w:rsid w:val="008A625B"/>
    <w:rsid w:val="008A759D"/>
    <w:rsid w:val="008B099B"/>
    <w:rsid w:val="008B22DB"/>
    <w:rsid w:val="008B257F"/>
    <w:rsid w:val="008B4A37"/>
    <w:rsid w:val="008B5E4C"/>
    <w:rsid w:val="008B6C88"/>
    <w:rsid w:val="008B6FB7"/>
    <w:rsid w:val="008B7B53"/>
    <w:rsid w:val="008C18F6"/>
    <w:rsid w:val="008C1E10"/>
    <w:rsid w:val="008C266E"/>
    <w:rsid w:val="008C3948"/>
    <w:rsid w:val="008C3B5E"/>
    <w:rsid w:val="008C4035"/>
    <w:rsid w:val="008C4FD7"/>
    <w:rsid w:val="008C5A44"/>
    <w:rsid w:val="008C6900"/>
    <w:rsid w:val="008C7342"/>
    <w:rsid w:val="008C7990"/>
    <w:rsid w:val="008C7AD9"/>
    <w:rsid w:val="008D023A"/>
    <w:rsid w:val="008D16D1"/>
    <w:rsid w:val="008D1F13"/>
    <w:rsid w:val="008D238A"/>
    <w:rsid w:val="008D2C8B"/>
    <w:rsid w:val="008D2D3A"/>
    <w:rsid w:val="008D2DE4"/>
    <w:rsid w:val="008D31EC"/>
    <w:rsid w:val="008D3243"/>
    <w:rsid w:val="008D3C9A"/>
    <w:rsid w:val="008D54C2"/>
    <w:rsid w:val="008D555B"/>
    <w:rsid w:val="008D5D87"/>
    <w:rsid w:val="008D7323"/>
    <w:rsid w:val="008E076C"/>
    <w:rsid w:val="008E0B0D"/>
    <w:rsid w:val="008E119F"/>
    <w:rsid w:val="008E12CE"/>
    <w:rsid w:val="008E13B4"/>
    <w:rsid w:val="008E17DE"/>
    <w:rsid w:val="008E1852"/>
    <w:rsid w:val="008E2A9F"/>
    <w:rsid w:val="008E357B"/>
    <w:rsid w:val="008E3794"/>
    <w:rsid w:val="008E4C8F"/>
    <w:rsid w:val="008E5BCB"/>
    <w:rsid w:val="008E6611"/>
    <w:rsid w:val="008E6D43"/>
    <w:rsid w:val="008F0375"/>
    <w:rsid w:val="008F07F6"/>
    <w:rsid w:val="008F0A87"/>
    <w:rsid w:val="008F1E44"/>
    <w:rsid w:val="008F24F8"/>
    <w:rsid w:val="008F2CAB"/>
    <w:rsid w:val="008F3050"/>
    <w:rsid w:val="008F325D"/>
    <w:rsid w:val="008F3F48"/>
    <w:rsid w:val="008F41D5"/>
    <w:rsid w:val="008F4276"/>
    <w:rsid w:val="008F4426"/>
    <w:rsid w:val="008F45B3"/>
    <w:rsid w:val="008F4F1E"/>
    <w:rsid w:val="008F7196"/>
    <w:rsid w:val="0090089E"/>
    <w:rsid w:val="00900DA8"/>
    <w:rsid w:val="00901F26"/>
    <w:rsid w:val="00903045"/>
    <w:rsid w:val="009034AE"/>
    <w:rsid w:val="009038CF"/>
    <w:rsid w:val="009040FB"/>
    <w:rsid w:val="00905089"/>
    <w:rsid w:val="00905177"/>
    <w:rsid w:val="0090534B"/>
    <w:rsid w:val="0090568A"/>
    <w:rsid w:val="00905816"/>
    <w:rsid w:val="009058C3"/>
    <w:rsid w:val="00905C01"/>
    <w:rsid w:val="00906753"/>
    <w:rsid w:val="00906764"/>
    <w:rsid w:val="0090688C"/>
    <w:rsid w:val="00906B52"/>
    <w:rsid w:val="00907656"/>
    <w:rsid w:val="00907F06"/>
    <w:rsid w:val="00911417"/>
    <w:rsid w:val="00911940"/>
    <w:rsid w:val="00914147"/>
    <w:rsid w:val="00914384"/>
    <w:rsid w:val="00915309"/>
    <w:rsid w:val="009158D5"/>
    <w:rsid w:val="0091592D"/>
    <w:rsid w:val="00915CBE"/>
    <w:rsid w:val="00916736"/>
    <w:rsid w:val="00917298"/>
    <w:rsid w:val="009172EC"/>
    <w:rsid w:val="00917452"/>
    <w:rsid w:val="00917908"/>
    <w:rsid w:val="00917923"/>
    <w:rsid w:val="00917A83"/>
    <w:rsid w:val="00917E45"/>
    <w:rsid w:val="00920025"/>
    <w:rsid w:val="00921251"/>
    <w:rsid w:val="00921395"/>
    <w:rsid w:val="009213D6"/>
    <w:rsid w:val="009214BC"/>
    <w:rsid w:val="0092153C"/>
    <w:rsid w:val="0092178B"/>
    <w:rsid w:val="00921BF6"/>
    <w:rsid w:val="00921E81"/>
    <w:rsid w:val="00921E8E"/>
    <w:rsid w:val="00922592"/>
    <w:rsid w:val="00922EF4"/>
    <w:rsid w:val="00923192"/>
    <w:rsid w:val="009236C0"/>
    <w:rsid w:val="00924041"/>
    <w:rsid w:val="0092432B"/>
    <w:rsid w:val="009244D3"/>
    <w:rsid w:val="00924889"/>
    <w:rsid w:val="00924BF6"/>
    <w:rsid w:val="009254E2"/>
    <w:rsid w:val="00925770"/>
    <w:rsid w:val="00925AC8"/>
    <w:rsid w:val="0092769B"/>
    <w:rsid w:val="00927A34"/>
    <w:rsid w:val="00930121"/>
    <w:rsid w:val="0093116C"/>
    <w:rsid w:val="009322F4"/>
    <w:rsid w:val="009334A7"/>
    <w:rsid w:val="00933A6B"/>
    <w:rsid w:val="00934125"/>
    <w:rsid w:val="009341CB"/>
    <w:rsid w:val="009343AA"/>
    <w:rsid w:val="00934588"/>
    <w:rsid w:val="009347BA"/>
    <w:rsid w:val="00935F6C"/>
    <w:rsid w:val="009376D8"/>
    <w:rsid w:val="009377E2"/>
    <w:rsid w:val="00937E7A"/>
    <w:rsid w:val="00941355"/>
    <w:rsid w:val="00941E83"/>
    <w:rsid w:val="00942044"/>
    <w:rsid w:val="00942CD4"/>
    <w:rsid w:val="009430C5"/>
    <w:rsid w:val="0094588E"/>
    <w:rsid w:val="00945C3C"/>
    <w:rsid w:val="009465F7"/>
    <w:rsid w:val="00946891"/>
    <w:rsid w:val="00946EAC"/>
    <w:rsid w:val="00947021"/>
    <w:rsid w:val="00947C7C"/>
    <w:rsid w:val="00951066"/>
    <w:rsid w:val="00954AE8"/>
    <w:rsid w:val="00954C02"/>
    <w:rsid w:val="009552E0"/>
    <w:rsid w:val="00955433"/>
    <w:rsid w:val="009555B3"/>
    <w:rsid w:val="0095570D"/>
    <w:rsid w:val="0095730A"/>
    <w:rsid w:val="00957E17"/>
    <w:rsid w:val="00960187"/>
    <w:rsid w:val="00960C32"/>
    <w:rsid w:val="0096160C"/>
    <w:rsid w:val="00961C91"/>
    <w:rsid w:val="00962563"/>
    <w:rsid w:val="009648C6"/>
    <w:rsid w:val="00966579"/>
    <w:rsid w:val="0096753C"/>
    <w:rsid w:val="0097028B"/>
    <w:rsid w:val="009708BB"/>
    <w:rsid w:val="009724F9"/>
    <w:rsid w:val="00972A4F"/>
    <w:rsid w:val="00972CA8"/>
    <w:rsid w:val="00976468"/>
    <w:rsid w:val="009768BB"/>
    <w:rsid w:val="00976BBC"/>
    <w:rsid w:val="00976F4F"/>
    <w:rsid w:val="00977B0E"/>
    <w:rsid w:val="00980056"/>
    <w:rsid w:val="00980E69"/>
    <w:rsid w:val="0098100B"/>
    <w:rsid w:val="009828C1"/>
    <w:rsid w:val="00982B80"/>
    <w:rsid w:val="009836C1"/>
    <w:rsid w:val="00983AF2"/>
    <w:rsid w:val="00983E3A"/>
    <w:rsid w:val="00983F65"/>
    <w:rsid w:val="00984393"/>
    <w:rsid w:val="00985A5C"/>
    <w:rsid w:val="00986282"/>
    <w:rsid w:val="009863C0"/>
    <w:rsid w:val="009875C3"/>
    <w:rsid w:val="00987676"/>
    <w:rsid w:val="00987754"/>
    <w:rsid w:val="00987834"/>
    <w:rsid w:val="00987D37"/>
    <w:rsid w:val="00990DA2"/>
    <w:rsid w:val="009915A1"/>
    <w:rsid w:val="0099277B"/>
    <w:rsid w:val="009927C7"/>
    <w:rsid w:val="009955BF"/>
    <w:rsid w:val="00995619"/>
    <w:rsid w:val="00995831"/>
    <w:rsid w:val="009959FE"/>
    <w:rsid w:val="00995FCD"/>
    <w:rsid w:val="00996079"/>
    <w:rsid w:val="009962D3"/>
    <w:rsid w:val="00997E44"/>
    <w:rsid w:val="00997F87"/>
    <w:rsid w:val="009A07EF"/>
    <w:rsid w:val="009A095B"/>
    <w:rsid w:val="009A1131"/>
    <w:rsid w:val="009A2736"/>
    <w:rsid w:val="009A2C51"/>
    <w:rsid w:val="009A319A"/>
    <w:rsid w:val="009A4EF2"/>
    <w:rsid w:val="009A530C"/>
    <w:rsid w:val="009A56BF"/>
    <w:rsid w:val="009A5806"/>
    <w:rsid w:val="009A638D"/>
    <w:rsid w:val="009A6794"/>
    <w:rsid w:val="009A6A3D"/>
    <w:rsid w:val="009A6DFB"/>
    <w:rsid w:val="009A7037"/>
    <w:rsid w:val="009A7CA4"/>
    <w:rsid w:val="009B0647"/>
    <w:rsid w:val="009B33FF"/>
    <w:rsid w:val="009B34D1"/>
    <w:rsid w:val="009B4A9A"/>
    <w:rsid w:val="009B4D50"/>
    <w:rsid w:val="009B7341"/>
    <w:rsid w:val="009B7345"/>
    <w:rsid w:val="009B7361"/>
    <w:rsid w:val="009B7DA0"/>
    <w:rsid w:val="009C0806"/>
    <w:rsid w:val="009C08D6"/>
    <w:rsid w:val="009C11C7"/>
    <w:rsid w:val="009C1861"/>
    <w:rsid w:val="009C1D8F"/>
    <w:rsid w:val="009C1DA9"/>
    <w:rsid w:val="009C2A84"/>
    <w:rsid w:val="009C385F"/>
    <w:rsid w:val="009C4987"/>
    <w:rsid w:val="009C5711"/>
    <w:rsid w:val="009C5724"/>
    <w:rsid w:val="009C64C0"/>
    <w:rsid w:val="009C69C8"/>
    <w:rsid w:val="009C70AF"/>
    <w:rsid w:val="009C729A"/>
    <w:rsid w:val="009C7B7D"/>
    <w:rsid w:val="009C7BED"/>
    <w:rsid w:val="009C7FF0"/>
    <w:rsid w:val="009D04A0"/>
    <w:rsid w:val="009D0B7C"/>
    <w:rsid w:val="009D0BE9"/>
    <w:rsid w:val="009D1D8A"/>
    <w:rsid w:val="009D203A"/>
    <w:rsid w:val="009D24ED"/>
    <w:rsid w:val="009D3133"/>
    <w:rsid w:val="009D41B1"/>
    <w:rsid w:val="009D4C08"/>
    <w:rsid w:val="009D4D13"/>
    <w:rsid w:val="009D50B6"/>
    <w:rsid w:val="009D5FCE"/>
    <w:rsid w:val="009D79A1"/>
    <w:rsid w:val="009D7EE2"/>
    <w:rsid w:val="009E00D2"/>
    <w:rsid w:val="009E015E"/>
    <w:rsid w:val="009E1989"/>
    <w:rsid w:val="009E1D5D"/>
    <w:rsid w:val="009E3139"/>
    <w:rsid w:val="009E31DA"/>
    <w:rsid w:val="009E3219"/>
    <w:rsid w:val="009E3692"/>
    <w:rsid w:val="009E387D"/>
    <w:rsid w:val="009E46F4"/>
    <w:rsid w:val="009E4741"/>
    <w:rsid w:val="009E561A"/>
    <w:rsid w:val="009E57B0"/>
    <w:rsid w:val="009E687C"/>
    <w:rsid w:val="009E69E1"/>
    <w:rsid w:val="009E71CD"/>
    <w:rsid w:val="009E72FD"/>
    <w:rsid w:val="009E7698"/>
    <w:rsid w:val="009F043A"/>
    <w:rsid w:val="009F04A9"/>
    <w:rsid w:val="009F0DA0"/>
    <w:rsid w:val="009F3F2C"/>
    <w:rsid w:val="009F4593"/>
    <w:rsid w:val="009F4669"/>
    <w:rsid w:val="009F48C1"/>
    <w:rsid w:val="009F52D2"/>
    <w:rsid w:val="009F581B"/>
    <w:rsid w:val="009F5DD6"/>
    <w:rsid w:val="009F6887"/>
    <w:rsid w:val="009F76E8"/>
    <w:rsid w:val="009F7BB2"/>
    <w:rsid w:val="00A0210B"/>
    <w:rsid w:val="00A02A37"/>
    <w:rsid w:val="00A02A90"/>
    <w:rsid w:val="00A02B36"/>
    <w:rsid w:val="00A03B9D"/>
    <w:rsid w:val="00A03C1B"/>
    <w:rsid w:val="00A03D04"/>
    <w:rsid w:val="00A03DBE"/>
    <w:rsid w:val="00A040DC"/>
    <w:rsid w:val="00A04109"/>
    <w:rsid w:val="00A041B1"/>
    <w:rsid w:val="00A049BA"/>
    <w:rsid w:val="00A04A3F"/>
    <w:rsid w:val="00A0588B"/>
    <w:rsid w:val="00A0639E"/>
    <w:rsid w:val="00A06A57"/>
    <w:rsid w:val="00A072BC"/>
    <w:rsid w:val="00A106B6"/>
    <w:rsid w:val="00A10D52"/>
    <w:rsid w:val="00A112F3"/>
    <w:rsid w:val="00A11572"/>
    <w:rsid w:val="00A118C9"/>
    <w:rsid w:val="00A11A45"/>
    <w:rsid w:val="00A11EC7"/>
    <w:rsid w:val="00A12A54"/>
    <w:rsid w:val="00A12E83"/>
    <w:rsid w:val="00A14F67"/>
    <w:rsid w:val="00A15562"/>
    <w:rsid w:val="00A15A5E"/>
    <w:rsid w:val="00A15A8D"/>
    <w:rsid w:val="00A16B3D"/>
    <w:rsid w:val="00A1725D"/>
    <w:rsid w:val="00A172C6"/>
    <w:rsid w:val="00A20091"/>
    <w:rsid w:val="00A202B4"/>
    <w:rsid w:val="00A20F1A"/>
    <w:rsid w:val="00A20FD0"/>
    <w:rsid w:val="00A21612"/>
    <w:rsid w:val="00A216E5"/>
    <w:rsid w:val="00A227C7"/>
    <w:rsid w:val="00A22D18"/>
    <w:rsid w:val="00A23BE6"/>
    <w:rsid w:val="00A257CC"/>
    <w:rsid w:val="00A259F3"/>
    <w:rsid w:val="00A264C1"/>
    <w:rsid w:val="00A26812"/>
    <w:rsid w:val="00A275EF"/>
    <w:rsid w:val="00A279FC"/>
    <w:rsid w:val="00A30BBD"/>
    <w:rsid w:val="00A31486"/>
    <w:rsid w:val="00A32089"/>
    <w:rsid w:val="00A32F80"/>
    <w:rsid w:val="00A33368"/>
    <w:rsid w:val="00A33481"/>
    <w:rsid w:val="00A33ABD"/>
    <w:rsid w:val="00A33B35"/>
    <w:rsid w:val="00A34C24"/>
    <w:rsid w:val="00A35AA2"/>
    <w:rsid w:val="00A35C10"/>
    <w:rsid w:val="00A35C65"/>
    <w:rsid w:val="00A35DF3"/>
    <w:rsid w:val="00A36363"/>
    <w:rsid w:val="00A36B2F"/>
    <w:rsid w:val="00A373A4"/>
    <w:rsid w:val="00A37AB1"/>
    <w:rsid w:val="00A40843"/>
    <w:rsid w:val="00A40BCD"/>
    <w:rsid w:val="00A40C56"/>
    <w:rsid w:val="00A41DCA"/>
    <w:rsid w:val="00A43277"/>
    <w:rsid w:val="00A433D1"/>
    <w:rsid w:val="00A44DCA"/>
    <w:rsid w:val="00A44E63"/>
    <w:rsid w:val="00A4512E"/>
    <w:rsid w:val="00A4524B"/>
    <w:rsid w:val="00A46387"/>
    <w:rsid w:val="00A4697D"/>
    <w:rsid w:val="00A46B3C"/>
    <w:rsid w:val="00A46FA5"/>
    <w:rsid w:val="00A47AE7"/>
    <w:rsid w:val="00A513E5"/>
    <w:rsid w:val="00A51C73"/>
    <w:rsid w:val="00A5425C"/>
    <w:rsid w:val="00A54E26"/>
    <w:rsid w:val="00A5582A"/>
    <w:rsid w:val="00A559FC"/>
    <w:rsid w:val="00A55F71"/>
    <w:rsid w:val="00A562BE"/>
    <w:rsid w:val="00A56DF1"/>
    <w:rsid w:val="00A56E1A"/>
    <w:rsid w:val="00A60CF0"/>
    <w:rsid w:val="00A616CA"/>
    <w:rsid w:val="00A62277"/>
    <w:rsid w:val="00A63430"/>
    <w:rsid w:val="00A655A7"/>
    <w:rsid w:val="00A675D5"/>
    <w:rsid w:val="00A71D68"/>
    <w:rsid w:val="00A71F1A"/>
    <w:rsid w:val="00A720FA"/>
    <w:rsid w:val="00A726B6"/>
    <w:rsid w:val="00A72A1C"/>
    <w:rsid w:val="00A72A4B"/>
    <w:rsid w:val="00A72A53"/>
    <w:rsid w:val="00A72B20"/>
    <w:rsid w:val="00A72CB4"/>
    <w:rsid w:val="00A73453"/>
    <w:rsid w:val="00A735F7"/>
    <w:rsid w:val="00A77B2C"/>
    <w:rsid w:val="00A80ACB"/>
    <w:rsid w:val="00A80CE6"/>
    <w:rsid w:val="00A82B42"/>
    <w:rsid w:val="00A8336C"/>
    <w:rsid w:val="00A8374C"/>
    <w:rsid w:val="00A83B77"/>
    <w:rsid w:val="00A84685"/>
    <w:rsid w:val="00A84D35"/>
    <w:rsid w:val="00A854A2"/>
    <w:rsid w:val="00A854FD"/>
    <w:rsid w:val="00A85C80"/>
    <w:rsid w:val="00A85DA1"/>
    <w:rsid w:val="00A86BE7"/>
    <w:rsid w:val="00A86CB8"/>
    <w:rsid w:val="00A90017"/>
    <w:rsid w:val="00A917B3"/>
    <w:rsid w:val="00A9388B"/>
    <w:rsid w:val="00A93AB8"/>
    <w:rsid w:val="00A94316"/>
    <w:rsid w:val="00A94F07"/>
    <w:rsid w:val="00A95136"/>
    <w:rsid w:val="00A9600B"/>
    <w:rsid w:val="00A9657B"/>
    <w:rsid w:val="00A97872"/>
    <w:rsid w:val="00AA15D9"/>
    <w:rsid w:val="00AA1BA7"/>
    <w:rsid w:val="00AA2223"/>
    <w:rsid w:val="00AA2849"/>
    <w:rsid w:val="00AA3328"/>
    <w:rsid w:val="00AA4668"/>
    <w:rsid w:val="00AA5344"/>
    <w:rsid w:val="00AA55B2"/>
    <w:rsid w:val="00AA79AE"/>
    <w:rsid w:val="00AB09E1"/>
    <w:rsid w:val="00AB0D54"/>
    <w:rsid w:val="00AB0FB1"/>
    <w:rsid w:val="00AB1884"/>
    <w:rsid w:val="00AB1C64"/>
    <w:rsid w:val="00AB315D"/>
    <w:rsid w:val="00AB3C6B"/>
    <w:rsid w:val="00AB3CF9"/>
    <w:rsid w:val="00AB40AE"/>
    <w:rsid w:val="00AB4569"/>
    <w:rsid w:val="00AB4DF9"/>
    <w:rsid w:val="00AB59BD"/>
    <w:rsid w:val="00AB61F2"/>
    <w:rsid w:val="00AB72AD"/>
    <w:rsid w:val="00AB735F"/>
    <w:rsid w:val="00AB7ADD"/>
    <w:rsid w:val="00AC2552"/>
    <w:rsid w:val="00AC26BC"/>
    <w:rsid w:val="00AC3316"/>
    <w:rsid w:val="00AC4835"/>
    <w:rsid w:val="00AC4A10"/>
    <w:rsid w:val="00AC55C8"/>
    <w:rsid w:val="00AC584D"/>
    <w:rsid w:val="00AC6E1B"/>
    <w:rsid w:val="00AD08EE"/>
    <w:rsid w:val="00AD14F6"/>
    <w:rsid w:val="00AD15CF"/>
    <w:rsid w:val="00AD33B4"/>
    <w:rsid w:val="00AD3722"/>
    <w:rsid w:val="00AD4289"/>
    <w:rsid w:val="00AD4AB3"/>
    <w:rsid w:val="00AD4CCF"/>
    <w:rsid w:val="00AD5668"/>
    <w:rsid w:val="00AD5D2A"/>
    <w:rsid w:val="00AD6A9F"/>
    <w:rsid w:val="00AD70B6"/>
    <w:rsid w:val="00AD7508"/>
    <w:rsid w:val="00AE0499"/>
    <w:rsid w:val="00AE0647"/>
    <w:rsid w:val="00AE0AE2"/>
    <w:rsid w:val="00AE0BB1"/>
    <w:rsid w:val="00AE1052"/>
    <w:rsid w:val="00AE1395"/>
    <w:rsid w:val="00AE2E93"/>
    <w:rsid w:val="00AE3CFF"/>
    <w:rsid w:val="00AE45C9"/>
    <w:rsid w:val="00AE4C91"/>
    <w:rsid w:val="00AE5DEE"/>
    <w:rsid w:val="00AE5E54"/>
    <w:rsid w:val="00AE71D8"/>
    <w:rsid w:val="00AE7347"/>
    <w:rsid w:val="00AE760B"/>
    <w:rsid w:val="00AE7CE0"/>
    <w:rsid w:val="00AE7F98"/>
    <w:rsid w:val="00AF03D9"/>
    <w:rsid w:val="00AF0B01"/>
    <w:rsid w:val="00AF0FA9"/>
    <w:rsid w:val="00AF2BEB"/>
    <w:rsid w:val="00AF2C65"/>
    <w:rsid w:val="00AF2C72"/>
    <w:rsid w:val="00AF33E7"/>
    <w:rsid w:val="00AF378A"/>
    <w:rsid w:val="00AF5DC8"/>
    <w:rsid w:val="00AF62C7"/>
    <w:rsid w:val="00AF668E"/>
    <w:rsid w:val="00AF6C26"/>
    <w:rsid w:val="00AF76C4"/>
    <w:rsid w:val="00B00943"/>
    <w:rsid w:val="00B02E76"/>
    <w:rsid w:val="00B04214"/>
    <w:rsid w:val="00B04902"/>
    <w:rsid w:val="00B04BBF"/>
    <w:rsid w:val="00B04EA2"/>
    <w:rsid w:val="00B050D1"/>
    <w:rsid w:val="00B059AC"/>
    <w:rsid w:val="00B05D9F"/>
    <w:rsid w:val="00B06370"/>
    <w:rsid w:val="00B06448"/>
    <w:rsid w:val="00B06BB3"/>
    <w:rsid w:val="00B07E1C"/>
    <w:rsid w:val="00B1022F"/>
    <w:rsid w:val="00B10758"/>
    <w:rsid w:val="00B10DF5"/>
    <w:rsid w:val="00B110C4"/>
    <w:rsid w:val="00B12C46"/>
    <w:rsid w:val="00B13070"/>
    <w:rsid w:val="00B13743"/>
    <w:rsid w:val="00B13AEA"/>
    <w:rsid w:val="00B14C5B"/>
    <w:rsid w:val="00B15149"/>
    <w:rsid w:val="00B1649D"/>
    <w:rsid w:val="00B1748F"/>
    <w:rsid w:val="00B201F5"/>
    <w:rsid w:val="00B20F25"/>
    <w:rsid w:val="00B215F3"/>
    <w:rsid w:val="00B21BB5"/>
    <w:rsid w:val="00B21DB9"/>
    <w:rsid w:val="00B223AD"/>
    <w:rsid w:val="00B23154"/>
    <w:rsid w:val="00B241F0"/>
    <w:rsid w:val="00B24AE3"/>
    <w:rsid w:val="00B25018"/>
    <w:rsid w:val="00B25C43"/>
    <w:rsid w:val="00B25CBF"/>
    <w:rsid w:val="00B260AE"/>
    <w:rsid w:val="00B26D3C"/>
    <w:rsid w:val="00B26F76"/>
    <w:rsid w:val="00B27140"/>
    <w:rsid w:val="00B27277"/>
    <w:rsid w:val="00B275C1"/>
    <w:rsid w:val="00B27798"/>
    <w:rsid w:val="00B27B62"/>
    <w:rsid w:val="00B30626"/>
    <w:rsid w:val="00B32114"/>
    <w:rsid w:val="00B326AB"/>
    <w:rsid w:val="00B33562"/>
    <w:rsid w:val="00B34264"/>
    <w:rsid w:val="00B3474B"/>
    <w:rsid w:val="00B365D5"/>
    <w:rsid w:val="00B40444"/>
    <w:rsid w:val="00B4123E"/>
    <w:rsid w:val="00B416DA"/>
    <w:rsid w:val="00B4240B"/>
    <w:rsid w:val="00B42AA3"/>
    <w:rsid w:val="00B42DF0"/>
    <w:rsid w:val="00B42E56"/>
    <w:rsid w:val="00B42E7C"/>
    <w:rsid w:val="00B447F0"/>
    <w:rsid w:val="00B46997"/>
    <w:rsid w:val="00B46D9F"/>
    <w:rsid w:val="00B476F1"/>
    <w:rsid w:val="00B47E55"/>
    <w:rsid w:val="00B52C17"/>
    <w:rsid w:val="00B53628"/>
    <w:rsid w:val="00B544A0"/>
    <w:rsid w:val="00B55971"/>
    <w:rsid w:val="00B55D54"/>
    <w:rsid w:val="00B55FF8"/>
    <w:rsid w:val="00B5613E"/>
    <w:rsid w:val="00B57507"/>
    <w:rsid w:val="00B6068A"/>
    <w:rsid w:val="00B61438"/>
    <w:rsid w:val="00B63C43"/>
    <w:rsid w:val="00B64069"/>
    <w:rsid w:val="00B659A3"/>
    <w:rsid w:val="00B65EDE"/>
    <w:rsid w:val="00B6612C"/>
    <w:rsid w:val="00B67481"/>
    <w:rsid w:val="00B71A33"/>
    <w:rsid w:val="00B73A6E"/>
    <w:rsid w:val="00B7405B"/>
    <w:rsid w:val="00B74A36"/>
    <w:rsid w:val="00B74ABD"/>
    <w:rsid w:val="00B74E9E"/>
    <w:rsid w:val="00B753BB"/>
    <w:rsid w:val="00B7587B"/>
    <w:rsid w:val="00B75C3E"/>
    <w:rsid w:val="00B800C3"/>
    <w:rsid w:val="00B80A4D"/>
    <w:rsid w:val="00B812A2"/>
    <w:rsid w:val="00B82177"/>
    <w:rsid w:val="00B82CC1"/>
    <w:rsid w:val="00B83035"/>
    <w:rsid w:val="00B832D3"/>
    <w:rsid w:val="00B841C8"/>
    <w:rsid w:val="00B84B9B"/>
    <w:rsid w:val="00B8638A"/>
    <w:rsid w:val="00B86D68"/>
    <w:rsid w:val="00B877CF"/>
    <w:rsid w:val="00B87E85"/>
    <w:rsid w:val="00B906FA"/>
    <w:rsid w:val="00B90D3D"/>
    <w:rsid w:val="00B9174B"/>
    <w:rsid w:val="00B9187D"/>
    <w:rsid w:val="00B91C1A"/>
    <w:rsid w:val="00B921BE"/>
    <w:rsid w:val="00B92907"/>
    <w:rsid w:val="00B93DB1"/>
    <w:rsid w:val="00B94692"/>
    <w:rsid w:val="00B949AF"/>
    <w:rsid w:val="00B9529A"/>
    <w:rsid w:val="00B95BFA"/>
    <w:rsid w:val="00B97CF3"/>
    <w:rsid w:val="00BA052A"/>
    <w:rsid w:val="00BA072D"/>
    <w:rsid w:val="00BA07FD"/>
    <w:rsid w:val="00BA0F89"/>
    <w:rsid w:val="00BA12BE"/>
    <w:rsid w:val="00BA1388"/>
    <w:rsid w:val="00BA39C6"/>
    <w:rsid w:val="00BA4803"/>
    <w:rsid w:val="00BA513D"/>
    <w:rsid w:val="00BA5327"/>
    <w:rsid w:val="00BA55C8"/>
    <w:rsid w:val="00BA5654"/>
    <w:rsid w:val="00BA56EC"/>
    <w:rsid w:val="00BA6D88"/>
    <w:rsid w:val="00BA7546"/>
    <w:rsid w:val="00BA7D9F"/>
    <w:rsid w:val="00BB0F99"/>
    <w:rsid w:val="00BB1F26"/>
    <w:rsid w:val="00BB1F28"/>
    <w:rsid w:val="00BB24A1"/>
    <w:rsid w:val="00BB3254"/>
    <w:rsid w:val="00BB34C1"/>
    <w:rsid w:val="00BB3956"/>
    <w:rsid w:val="00BB5501"/>
    <w:rsid w:val="00BB5D3D"/>
    <w:rsid w:val="00BB65C7"/>
    <w:rsid w:val="00BB6796"/>
    <w:rsid w:val="00BB6B83"/>
    <w:rsid w:val="00BB727E"/>
    <w:rsid w:val="00BB7656"/>
    <w:rsid w:val="00BC129C"/>
    <w:rsid w:val="00BC141A"/>
    <w:rsid w:val="00BC18B8"/>
    <w:rsid w:val="00BC1CE2"/>
    <w:rsid w:val="00BC24C9"/>
    <w:rsid w:val="00BC2A7C"/>
    <w:rsid w:val="00BC475E"/>
    <w:rsid w:val="00BC6C4E"/>
    <w:rsid w:val="00BC7429"/>
    <w:rsid w:val="00BC7CD2"/>
    <w:rsid w:val="00BD0378"/>
    <w:rsid w:val="00BD18E0"/>
    <w:rsid w:val="00BD3227"/>
    <w:rsid w:val="00BD39F1"/>
    <w:rsid w:val="00BD4A63"/>
    <w:rsid w:val="00BD5855"/>
    <w:rsid w:val="00BD5DFB"/>
    <w:rsid w:val="00BD5F78"/>
    <w:rsid w:val="00BD6BBE"/>
    <w:rsid w:val="00BD7877"/>
    <w:rsid w:val="00BE0CF6"/>
    <w:rsid w:val="00BE2F95"/>
    <w:rsid w:val="00BE2FD3"/>
    <w:rsid w:val="00BE31E6"/>
    <w:rsid w:val="00BE3D43"/>
    <w:rsid w:val="00BE3ED7"/>
    <w:rsid w:val="00BE4289"/>
    <w:rsid w:val="00BE4AD7"/>
    <w:rsid w:val="00BE5575"/>
    <w:rsid w:val="00BE5800"/>
    <w:rsid w:val="00BE7083"/>
    <w:rsid w:val="00BE72B2"/>
    <w:rsid w:val="00BE79EF"/>
    <w:rsid w:val="00BE7DE7"/>
    <w:rsid w:val="00BF0106"/>
    <w:rsid w:val="00BF0650"/>
    <w:rsid w:val="00BF1342"/>
    <w:rsid w:val="00BF188F"/>
    <w:rsid w:val="00BF1F2A"/>
    <w:rsid w:val="00BF241C"/>
    <w:rsid w:val="00BF258F"/>
    <w:rsid w:val="00BF5A35"/>
    <w:rsid w:val="00BF5B3B"/>
    <w:rsid w:val="00BF6920"/>
    <w:rsid w:val="00BF74C6"/>
    <w:rsid w:val="00BF7E74"/>
    <w:rsid w:val="00BF7F6A"/>
    <w:rsid w:val="00C00F52"/>
    <w:rsid w:val="00C01087"/>
    <w:rsid w:val="00C019FE"/>
    <w:rsid w:val="00C01CF2"/>
    <w:rsid w:val="00C01E72"/>
    <w:rsid w:val="00C01F77"/>
    <w:rsid w:val="00C02745"/>
    <w:rsid w:val="00C02802"/>
    <w:rsid w:val="00C02B19"/>
    <w:rsid w:val="00C02CE5"/>
    <w:rsid w:val="00C04318"/>
    <w:rsid w:val="00C04542"/>
    <w:rsid w:val="00C04C7B"/>
    <w:rsid w:val="00C04F01"/>
    <w:rsid w:val="00C04FB7"/>
    <w:rsid w:val="00C055CC"/>
    <w:rsid w:val="00C059AE"/>
    <w:rsid w:val="00C05C32"/>
    <w:rsid w:val="00C05F01"/>
    <w:rsid w:val="00C060E5"/>
    <w:rsid w:val="00C07296"/>
    <w:rsid w:val="00C104F4"/>
    <w:rsid w:val="00C10FB4"/>
    <w:rsid w:val="00C11060"/>
    <w:rsid w:val="00C11070"/>
    <w:rsid w:val="00C11836"/>
    <w:rsid w:val="00C11D5D"/>
    <w:rsid w:val="00C11EE5"/>
    <w:rsid w:val="00C123E8"/>
    <w:rsid w:val="00C12572"/>
    <w:rsid w:val="00C12D63"/>
    <w:rsid w:val="00C1491D"/>
    <w:rsid w:val="00C15388"/>
    <w:rsid w:val="00C15392"/>
    <w:rsid w:val="00C1563F"/>
    <w:rsid w:val="00C15C4A"/>
    <w:rsid w:val="00C16A63"/>
    <w:rsid w:val="00C173D0"/>
    <w:rsid w:val="00C1777D"/>
    <w:rsid w:val="00C17E47"/>
    <w:rsid w:val="00C200CD"/>
    <w:rsid w:val="00C20116"/>
    <w:rsid w:val="00C20FB9"/>
    <w:rsid w:val="00C218FF"/>
    <w:rsid w:val="00C21D53"/>
    <w:rsid w:val="00C21E38"/>
    <w:rsid w:val="00C22475"/>
    <w:rsid w:val="00C2365E"/>
    <w:rsid w:val="00C2393F"/>
    <w:rsid w:val="00C23CC4"/>
    <w:rsid w:val="00C25179"/>
    <w:rsid w:val="00C25602"/>
    <w:rsid w:val="00C2727D"/>
    <w:rsid w:val="00C27FB6"/>
    <w:rsid w:val="00C305F8"/>
    <w:rsid w:val="00C31632"/>
    <w:rsid w:val="00C31F30"/>
    <w:rsid w:val="00C32229"/>
    <w:rsid w:val="00C33235"/>
    <w:rsid w:val="00C334C0"/>
    <w:rsid w:val="00C339D0"/>
    <w:rsid w:val="00C33C48"/>
    <w:rsid w:val="00C33EC7"/>
    <w:rsid w:val="00C34AA1"/>
    <w:rsid w:val="00C359C8"/>
    <w:rsid w:val="00C36395"/>
    <w:rsid w:val="00C3673B"/>
    <w:rsid w:val="00C36AFD"/>
    <w:rsid w:val="00C401E4"/>
    <w:rsid w:val="00C40B05"/>
    <w:rsid w:val="00C4514E"/>
    <w:rsid w:val="00C45266"/>
    <w:rsid w:val="00C45787"/>
    <w:rsid w:val="00C4581A"/>
    <w:rsid w:val="00C463A7"/>
    <w:rsid w:val="00C473A4"/>
    <w:rsid w:val="00C50156"/>
    <w:rsid w:val="00C506BE"/>
    <w:rsid w:val="00C506C0"/>
    <w:rsid w:val="00C506D2"/>
    <w:rsid w:val="00C51F2D"/>
    <w:rsid w:val="00C524B2"/>
    <w:rsid w:val="00C52BE8"/>
    <w:rsid w:val="00C53721"/>
    <w:rsid w:val="00C53B41"/>
    <w:rsid w:val="00C540E7"/>
    <w:rsid w:val="00C54CE6"/>
    <w:rsid w:val="00C55416"/>
    <w:rsid w:val="00C565FC"/>
    <w:rsid w:val="00C57A89"/>
    <w:rsid w:val="00C60282"/>
    <w:rsid w:val="00C6106B"/>
    <w:rsid w:val="00C62969"/>
    <w:rsid w:val="00C6359F"/>
    <w:rsid w:val="00C63F82"/>
    <w:rsid w:val="00C64047"/>
    <w:rsid w:val="00C6489A"/>
    <w:rsid w:val="00C6551E"/>
    <w:rsid w:val="00C65EBB"/>
    <w:rsid w:val="00C65EC5"/>
    <w:rsid w:val="00C6697E"/>
    <w:rsid w:val="00C66A26"/>
    <w:rsid w:val="00C67A61"/>
    <w:rsid w:val="00C703BA"/>
    <w:rsid w:val="00C70544"/>
    <w:rsid w:val="00C72081"/>
    <w:rsid w:val="00C727A6"/>
    <w:rsid w:val="00C728CC"/>
    <w:rsid w:val="00C72A92"/>
    <w:rsid w:val="00C73F08"/>
    <w:rsid w:val="00C74014"/>
    <w:rsid w:val="00C74614"/>
    <w:rsid w:val="00C76B1A"/>
    <w:rsid w:val="00C77507"/>
    <w:rsid w:val="00C77B97"/>
    <w:rsid w:val="00C809D4"/>
    <w:rsid w:val="00C80C5D"/>
    <w:rsid w:val="00C814C1"/>
    <w:rsid w:val="00C82F19"/>
    <w:rsid w:val="00C8489A"/>
    <w:rsid w:val="00C855A6"/>
    <w:rsid w:val="00C85778"/>
    <w:rsid w:val="00C858F7"/>
    <w:rsid w:val="00C85CB6"/>
    <w:rsid w:val="00C86D60"/>
    <w:rsid w:val="00C876B8"/>
    <w:rsid w:val="00C87C0F"/>
    <w:rsid w:val="00C87DD9"/>
    <w:rsid w:val="00C87F3A"/>
    <w:rsid w:val="00C90B83"/>
    <w:rsid w:val="00C90C69"/>
    <w:rsid w:val="00C93211"/>
    <w:rsid w:val="00C938F1"/>
    <w:rsid w:val="00C947E4"/>
    <w:rsid w:val="00C94C5B"/>
    <w:rsid w:val="00C9527A"/>
    <w:rsid w:val="00C95485"/>
    <w:rsid w:val="00C95B88"/>
    <w:rsid w:val="00C9664D"/>
    <w:rsid w:val="00C96DBB"/>
    <w:rsid w:val="00C96F1B"/>
    <w:rsid w:val="00C97481"/>
    <w:rsid w:val="00CA0F0F"/>
    <w:rsid w:val="00CA22AE"/>
    <w:rsid w:val="00CA2E34"/>
    <w:rsid w:val="00CA2EC7"/>
    <w:rsid w:val="00CA3836"/>
    <w:rsid w:val="00CA3C69"/>
    <w:rsid w:val="00CA41EC"/>
    <w:rsid w:val="00CA4299"/>
    <w:rsid w:val="00CA531C"/>
    <w:rsid w:val="00CA59AC"/>
    <w:rsid w:val="00CA7888"/>
    <w:rsid w:val="00CA79CD"/>
    <w:rsid w:val="00CB1B95"/>
    <w:rsid w:val="00CB374C"/>
    <w:rsid w:val="00CB3800"/>
    <w:rsid w:val="00CB3A33"/>
    <w:rsid w:val="00CB4BFA"/>
    <w:rsid w:val="00CB5577"/>
    <w:rsid w:val="00CB6478"/>
    <w:rsid w:val="00CC193C"/>
    <w:rsid w:val="00CC1B28"/>
    <w:rsid w:val="00CC1BDB"/>
    <w:rsid w:val="00CC2484"/>
    <w:rsid w:val="00CC4481"/>
    <w:rsid w:val="00CC4C76"/>
    <w:rsid w:val="00CC4E40"/>
    <w:rsid w:val="00CC5543"/>
    <w:rsid w:val="00CC673F"/>
    <w:rsid w:val="00CC6E94"/>
    <w:rsid w:val="00CC7531"/>
    <w:rsid w:val="00CC7723"/>
    <w:rsid w:val="00CC7FDD"/>
    <w:rsid w:val="00CD0420"/>
    <w:rsid w:val="00CD05BB"/>
    <w:rsid w:val="00CD05E6"/>
    <w:rsid w:val="00CD2718"/>
    <w:rsid w:val="00CD2856"/>
    <w:rsid w:val="00CD2E14"/>
    <w:rsid w:val="00CD345F"/>
    <w:rsid w:val="00CD3FC4"/>
    <w:rsid w:val="00CD478D"/>
    <w:rsid w:val="00CD505E"/>
    <w:rsid w:val="00CD5568"/>
    <w:rsid w:val="00CD5BC8"/>
    <w:rsid w:val="00CD5C9B"/>
    <w:rsid w:val="00CD5DCF"/>
    <w:rsid w:val="00CD5E73"/>
    <w:rsid w:val="00CD5E8F"/>
    <w:rsid w:val="00CD66EC"/>
    <w:rsid w:val="00CD7BB8"/>
    <w:rsid w:val="00CE0994"/>
    <w:rsid w:val="00CE0B4E"/>
    <w:rsid w:val="00CE1B7E"/>
    <w:rsid w:val="00CE20A2"/>
    <w:rsid w:val="00CE2C9F"/>
    <w:rsid w:val="00CE35B1"/>
    <w:rsid w:val="00CE3EDE"/>
    <w:rsid w:val="00CE469B"/>
    <w:rsid w:val="00CE4D1C"/>
    <w:rsid w:val="00CE5BD4"/>
    <w:rsid w:val="00CE7244"/>
    <w:rsid w:val="00CE73DA"/>
    <w:rsid w:val="00CE75FD"/>
    <w:rsid w:val="00CE7BEF"/>
    <w:rsid w:val="00CE7EB5"/>
    <w:rsid w:val="00CE7F00"/>
    <w:rsid w:val="00CF064B"/>
    <w:rsid w:val="00CF15D2"/>
    <w:rsid w:val="00CF1B87"/>
    <w:rsid w:val="00CF2E6A"/>
    <w:rsid w:val="00CF3AE3"/>
    <w:rsid w:val="00CF3F80"/>
    <w:rsid w:val="00CF4A36"/>
    <w:rsid w:val="00CF5AF4"/>
    <w:rsid w:val="00CF5EEC"/>
    <w:rsid w:val="00CF635E"/>
    <w:rsid w:val="00CF7915"/>
    <w:rsid w:val="00D006D8"/>
    <w:rsid w:val="00D0142F"/>
    <w:rsid w:val="00D01842"/>
    <w:rsid w:val="00D01AC2"/>
    <w:rsid w:val="00D01FBA"/>
    <w:rsid w:val="00D04CFC"/>
    <w:rsid w:val="00D057A6"/>
    <w:rsid w:val="00D059B8"/>
    <w:rsid w:val="00D05F2E"/>
    <w:rsid w:val="00D07409"/>
    <w:rsid w:val="00D10623"/>
    <w:rsid w:val="00D11266"/>
    <w:rsid w:val="00D112FE"/>
    <w:rsid w:val="00D11848"/>
    <w:rsid w:val="00D11A88"/>
    <w:rsid w:val="00D13C20"/>
    <w:rsid w:val="00D1515E"/>
    <w:rsid w:val="00D15CA6"/>
    <w:rsid w:val="00D16712"/>
    <w:rsid w:val="00D1698F"/>
    <w:rsid w:val="00D16F77"/>
    <w:rsid w:val="00D172E6"/>
    <w:rsid w:val="00D17555"/>
    <w:rsid w:val="00D17666"/>
    <w:rsid w:val="00D177F6"/>
    <w:rsid w:val="00D178F6"/>
    <w:rsid w:val="00D17ACC"/>
    <w:rsid w:val="00D20581"/>
    <w:rsid w:val="00D20EE8"/>
    <w:rsid w:val="00D21103"/>
    <w:rsid w:val="00D211E3"/>
    <w:rsid w:val="00D22320"/>
    <w:rsid w:val="00D2330D"/>
    <w:rsid w:val="00D23C53"/>
    <w:rsid w:val="00D23DB5"/>
    <w:rsid w:val="00D23EC5"/>
    <w:rsid w:val="00D25138"/>
    <w:rsid w:val="00D26D3A"/>
    <w:rsid w:val="00D27589"/>
    <w:rsid w:val="00D279D1"/>
    <w:rsid w:val="00D27F2E"/>
    <w:rsid w:val="00D30883"/>
    <w:rsid w:val="00D30903"/>
    <w:rsid w:val="00D31798"/>
    <w:rsid w:val="00D319DA"/>
    <w:rsid w:val="00D31A95"/>
    <w:rsid w:val="00D33286"/>
    <w:rsid w:val="00D33595"/>
    <w:rsid w:val="00D33B0B"/>
    <w:rsid w:val="00D3450B"/>
    <w:rsid w:val="00D34769"/>
    <w:rsid w:val="00D361EF"/>
    <w:rsid w:val="00D36648"/>
    <w:rsid w:val="00D367FC"/>
    <w:rsid w:val="00D36BE9"/>
    <w:rsid w:val="00D36F3C"/>
    <w:rsid w:val="00D37DEA"/>
    <w:rsid w:val="00D4034B"/>
    <w:rsid w:val="00D406D9"/>
    <w:rsid w:val="00D4076D"/>
    <w:rsid w:val="00D4094F"/>
    <w:rsid w:val="00D40EA8"/>
    <w:rsid w:val="00D422A4"/>
    <w:rsid w:val="00D42472"/>
    <w:rsid w:val="00D43624"/>
    <w:rsid w:val="00D43C2B"/>
    <w:rsid w:val="00D454B8"/>
    <w:rsid w:val="00D46E6B"/>
    <w:rsid w:val="00D47301"/>
    <w:rsid w:val="00D47B44"/>
    <w:rsid w:val="00D47F89"/>
    <w:rsid w:val="00D51D76"/>
    <w:rsid w:val="00D53208"/>
    <w:rsid w:val="00D53909"/>
    <w:rsid w:val="00D54D58"/>
    <w:rsid w:val="00D55446"/>
    <w:rsid w:val="00D559AF"/>
    <w:rsid w:val="00D57081"/>
    <w:rsid w:val="00D57CAD"/>
    <w:rsid w:val="00D57CB5"/>
    <w:rsid w:val="00D57CFD"/>
    <w:rsid w:val="00D60233"/>
    <w:rsid w:val="00D605B7"/>
    <w:rsid w:val="00D6088E"/>
    <w:rsid w:val="00D60CFC"/>
    <w:rsid w:val="00D60F8C"/>
    <w:rsid w:val="00D61944"/>
    <w:rsid w:val="00D61E03"/>
    <w:rsid w:val="00D62C72"/>
    <w:rsid w:val="00D63B26"/>
    <w:rsid w:val="00D63F1C"/>
    <w:rsid w:val="00D65861"/>
    <w:rsid w:val="00D6658E"/>
    <w:rsid w:val="00D66EE8"/>
    <w:rsid w:val="00D675CD"/>
    <w:rsid w:val="00D67C0D"/>
    <w:rsid w:val="00D7051C"/>
    <w:rsid w:val="00D70C26"/>
    <w:rsid w:val="00D70D21"/>
    <w:rsid w:val="00D71A2C"/>
    <w:rsid w:val="00D74462"/>
    <w:rsid w:val="00D750E5"/>
    <w:rsid w:val="00D7566A"/>
    <w:rsid w:val="00D7598A"/>
    <w:rsid w:val="00D75AD7"/>
    <w:rsid w:val="00D75E27"/>
    <w:rsid w:val="00D76118"/>
    <w:rsid w:val="00D7670E"/>
    <w:rsid w:val="00D76916"/>
    <w:rsid w:val="00D774A4"/>
    <w:rsid w:val="00D77BF7"/>
    <w:rsid w:val="00D8000A"/>
    <w:rsid w:val="00D8007D"/>
    <w:rsid w:val="00D80672"/>
    <w:rsid w:val="00D809E0"/>
    <w:rsid w:val="00D80D22"/>
    <w:rsid w:val="00D81DBA"/>
    <w:rsid w:val="00D82736"/>
    <w:rsid w:val="00D83967"/>
    <w:rsid w:val="00D83AAA"/>
    <w:rsid w:val="00D841C6"/>
    <w:rsid w:val="00D8452A"/>
    <w:rsid w:val="00D854CB"/>
    <w:rsid w:val="00D85867"/>
    <w:rsid w:val="00D86358"/>
    <w:rsid w:val="00D9177D"/>
    <w:rsid w:val="00D91952"/>
    <w:rsid w:val="00D932B4"/>
    <w:rsid w:val="00D941EE"/>
    <w:rsid w:val="00D949E2"/>
    <w:rsid w:val="00D94B64"/>
    <w:rsid w:val="00D953F2"/>
    <w:rsid w:val="00D95592"/>
    <w:rsid w:val="00D9566A"/>
    <w:rsid w:val="00DA0AE5"/>
    <w:rsid w:val="00DA2515"/>
    <w:rsid w:val="00DA3EE3"/>
    <w:rsid w:val="00DA3F5A"/>
    <w:rsid w:val="00DA4304"/>
    <w:rsid w:val="00DA5376"/>
    <w:rsid w:val="00DA60C2"/>
    <w:rsid w:val="00DA6D02"/>
    <w:rsid w:val="00DA6DF7"/>
    <w:rsid w:val="00DA738C"/>
    <w:rsid w:val="00DA7D60"/>
    <w:rsid w:val="00DB106F"/>
    <w:rsid w:val="00DB11E0"/>
    <w:rsid w:val="00DB1805"/>
    <w:rsid w:val="00DB2288"/>
    <w:rsid w:val="00DB2A38"/>
    <w:rsid w:val="00DB2E06"/>
    <w:rsid w:val="00DB3F24"/>
    <w:rsid w:val="00DB411E"/>
    <w:rsid w:val="00DB4CFD"/>
    <w:rsid w:val="00DB5707"/>
    <w:rsid w:val="00DB5756"/>
    <w:rsid w:val="00DB60CA"/>
    <w:rsid w:val="00DB626F"/>
    <w:rsid w:val="00DB7E36"/>
    <w:rsid w:val="00DC0C52"/>
    <w:rsid w:val="00DC14EA"/>
    <w:rsid w:val="00DC1A1E"/>
    <w:rsid w:val="00DC248C"/>
    <w:rsid w:val="00DC2B55"/>
    <w:rsid w:val="00DC32D1"/>
    <w:rsid w:val="00DC3422"/>
    <w:rsid w:val="00DC3832"/>
    <w:rsid w:val="00DC40A4"/>
    <w:rsid w:val="00DC4ECF"/>
    <w:rsid w:val="00DC56EE"/>
    <w:rsid w:val="00DC5832"/>
    <w:rsid w:val="00DC5A5D"/>
    <w:rsid w:val="00DD052D"/>
    <w:rsid w:val="00DD0882"/>
    <w:rsid w:val="00DD0B66"/>
    <w:rsid w:val="00DD253A"/>
    <w:rsid w:val="00DD2714"/>
    <w:rsid w:val="00DD2CA4"/>
    <w:rsid w:val="00DD2DAE"/>
    <w:rsid w:val="00DD4DF2"/>
    <w:rsid w:val="00DD52FC"/>
    <w:rsid w:val="00DD589A"/>
    <w:rsid w:val="00DD6C1A"/>
    <w:rsid w:val="00DD7022"/>
    <w:rsid w:val="00DD75D2"/>
    <w:rsid w:val="00DD7CAC"/>
    <w:rsid w:val="00DE0F16"/>
    <w:rsid w:val="00DE2F54"/>
    <w:rsid w:val="00DE33F6"/>
    <w:rsid w:val="00DE5BE1"/>
    <w:rsid w:val="00DE6810"/>
    <w:rsid w:val="00DE6AF7"/>
    <w:rsid w:val="00DE6CE0"/>
    <w:rsid w:val="00DE7058"/>
    <w:rsid w:val="00DE76DF"/>
    <w:rsid w:val="00DF0CEB"/>
    <w:rsid w:val="00DF19E9"/>
    <w:rsid w:val="00DF205F"/>
    <w:rsid w:val="00DF2241"/>
    <w:rsid w:val="00DF2399"/>
    <w:rsid w:val="00DF34F1"/>
    <w:rsid w:val="00DF3678"/>
    <w:rsid w:val="00DF428E"/>
    <w:rsid w:val="00DF4409"/>
    <w:rsid w:val="00DF710E"/>
    <w:rsid w:val="00DF7242"/>
    <w:rsid w:val="00DF755B"/>
    <w:rsid w:val="00DF7A80"/>
    <w:rsid w:val="00E0015B"/>
    <w:rsid w:val="00E0129B"/>
    <w:rsid w:val="00E02C0D"/>
    <w:rsid w:val="00E02C9C"/>
    <w:rsid w:val="00E031E0"/>
    <w:rsid w:val="00E032D8"/>
    <w:rsid w:val="00E036CE"/>
    <w:rsid w:val="00E037EE"/>
    <w:rsid w:val="00E0380B"/>
    <w:rsid w:val="00E0561F"/>
    <w:rsid w:val="00E05A08"/>
    <w:rsid w:val="00E05AA2"/>
    <w:rsid w:val="00E05D83"/>
    <w:rsid w:val="00E0641B"/>
    <w:rsid w:val="00E0645B"/>
    <w:rsid w:val="00E064CC"/>
    <w:rsid w:val="00E06815"/>
    <w:rsid w:val="00E06E4F"/>
    <w:rsid w:val="00E07468"/>
    <w:rsid w:val="00E07484"/>
    <w:rsid w:val="00E07DB9"/>
    <w:rsid w:val="00E07DC4"/>
    <w:rsid w:val="00E10FB0"/>
    <w:rsid w:val="00E11AA8"/>
    <w:rsid w:val="00E11B1A"/>
    <w:rsid w:val="00E11DF7"/>
    <w:rsid w:val="00E1227D"/>
    <w:rsid w:val="00E129E9"/>
    <w:rsid w:val="00E12D63"/>
    <w:rsid w:val="00E13385"/>
    <w:rsid w:val="00E1357B"/>
    <w:rsid w:val="00E1362D"/>
    <w:rsid w:val="00E15936"/>
    <w:rsid w:val="00E15C25"/>
    <w:rsid w:val="00E15EF2"/>
    <w:rsid w:val="00E16128"/>
    <w:rsid w:val="00E17522"/>
    <w:rsid w:val="00E17848"/>
    <w:rsid w:val="00E20671"/>
    <w:rsid w:val="00E20C4E"/>
    <w:rsid w:val="00E20D58"/>
    <w:rsid w:val="00E2246B"/>
    <w:rsid w:val="00E22DE7"/>
    <w:rsid w:val="00E230CF"/>
    <w:rsid w:val="00E2446B"/>
    <w:rsid w:val="00E247A0"/>
    <w:rsid w:val="00E24B47"/>
    <w:rsid w:val="00E25E80"/>
    <w:rsid w:val="00E2605E"/>
    <w:rsid w:val="00E260E9"/>
    <w:rsid w:val="00E2647C"/>
    <w:rsid w:val="00E26C13"/>
    <w:rsid w:val="00E274CB"/>
    <w:rsid w:val="00E305B3"/>
    <w:rsid w:val="00E307A5"/>
    <w:rsid w:val="00E3141E"/>
    <w:rsid w:val="00E322F0"/>
    <w:rsid w:val="00E32F56"/>
    <w:rsid w:val="00E3342B"/>
    <w:rsid w:val="00E33CA3"/>
    <w:rsid w:val="00E344A7"/>
    <w:rsid w:val="00E3508E"/>
    <w:rsid w:val="00E36046"/>
    <w:rsid w:val="00E3653C"/>
    <w:rsid w:val="00E36592"/>
    <w:rsid w:val="00E3687D"/>
    <w:rsid w:val="00E41AAE"/>
    <w:rsid w:val="00E42AAB"/>
    <w:rsid w:val="00E43BC8"/>
    <w:rsid w:val="00E43DCF"/>
    <w:rsid w:val="00E44EDE"/>
    <w:rsid w:val="00E45C0D"/>
    <w:rsid w:val="00E46A75"/>
    <w:rsid w:val="00E47875"/>
    <w:rsid w:val="00E4792B"/>
    <w:rsid w:val="00E47E8B"/>
    <w:rsid w:val="00E50049"/>
    <w:rsid w:val="00E51048"/>
    <w:rsid w:val="00E525CD"/>
    <w:rsid w:val="00E5351A"/>
    <w:rsid w:val="00E53762"/>
    <w:rsid w:val="00E538DF"/>
    <w:rsid w:val="00E53EDB"/>
    <w:rsid w:val="00E53F40"/>
    <w:rsid w:val="00E54100"/>
    <w:rsid w:val="00E542D4"/>
    <w:rsid w:val="00E54BF7"/>
    <w:rsid w:val="00E55369"/>
    <w:rsid w:val="00E5589F"/>
    <w:rsid w:val="00E55A17"/>
    <w:rsid w:val="00E55D12"/>
    <w:rsid w:val="00E5620D"/>
    <w:rsid w:val="00E56D4C"/>
    <w:rsid w:val="00E6029C"/>
    <w:rsid w:val="00E606AD"/>
    <w:rsid w:val="00E61A0A"/>
    <w:rsid w:val="00E61B7F"/>
    <w:rsid w:val="00E6234E"/>
    <w:rsid w:val="00E63C6C"/>
    <w:rsid w:val="00E64301"/>
    <w:rsid w:val="00E65DBF"/>
    <w:rsid w:val="00E666F9"/>
    <w:rsid w:val="00E66741"/>
    <w:rsid w:val="00E66812"/>
    <w:rsid w:val="00E67577"/>
    <w:rsid w:val="00E67D74"/>
    <w:rsid w:val="00E70E1E"/>
    <w:rsid w:val="00E72169"/>
    <w:rsid w:val="00E72F52"/>
    <w:rsid w:val="00E7399C"/>
    <w:rsid w:val="00E73CD3"/>
    <w:rsid w:val="00E746DC"/>
    <w:rsid w:val="00E757AD"/>
    <w:rsid w:val="00E766B3"/>
    <w:rsid w:val="00E77248"/>
    <w:rsid w:val="00E77B2D"/>
    <w:rsid w:val="00E801FC"/>
    <w:rsid w:val="00E8059C"/>
    <w:rsid w:val="00E80F08"/>
    <w:rsid w:val="00E8288C"/>
    <w:rsid w:val="00E82A5F"/>
    <w:rsid w:val="00E832B0"/>
    <w:rsid w:val="00E83429"/>
    <w:rsid w:val="00E841CD"/>
    <w:rsid w:val="00E8490F"/>
    <w:rsid w:val="00E84F37"/>
    <w:rsid w:val="00E852BF"/>
    <w:rsid w:val="00E86A09"/>
    <w:rsid w:val="00E913E8"/>
    <w:rsid w:val="00E91683"/>
    <w:rsid w:val="00E92152"/>
    <w:rsid w:val="00E92C31"/>
    <w:rsid w:val="00E92E14"/>
    <w:rsid w:val="00E946BA"/>
    <w:rsid w:val="00E94C0B"/>
    <w:rsid w:val="00E95305"/>
    <w:rsid w:val="00E95BA7"/>
    <w:rsid w:val="00E95E20"/>
    <w:rsid w:val="00E968C5"/>
    <w:rsid w:val="00E97151"/>
    <w:rsid w:val="00EA097A"/>
    <w:rsid w:val="00EA346E"/>
    <w:rsid w:val="00EA42A8"/>
    <w:rsid w:val="00EA4734"/>
    <w:rsid w:val="00EA4AFB"/>
    <w:rsid w:val="00EA523A"/>
    <w:rsid w:val="00EA63AB"/>
    <w:rsid w:val="00EA64BD"/>
    <w:rsid w:val="00EA6551"/>
    <w:rsid w:val="00EA6795"/>
    <w:rsid w:val="00EA7370"/>
    <w:rsid w:val="00EA7979"/>
    <w:rsid w:val="00EB0C5D"/>
    <w:rsid w:val="00EB0E5C"/>
    <w:rsid w:val="00EB1ECF"/>
    <w:rsid w:val="00EB2001"/>
    <w:rsid w:val="00EB2CBD"/>
    <w:rsid w:val="00EB2D2F"/>
    <w:rsid w:val="00EB2F31"/>
    <w:rsid w:val="00EB3017"/>
    <w:rsid w:val="00EB333C"/>
    <w:rsid w:val="00EB3749"/>
    <w:rsid w:val="00EB388D"/>
    <w:rsid w:val="00EB4411"/>
    <w:rsid w:val="00EB55D3"/>
    <w:rsid w:val="00EB5C47"/>
    <w:rsid w:val="00EB6937"/>
    <w:rsid w:val="00EC01C4"/>
    <w:rsid w:val="00EC15BA"/>
    <w:rsid w:val="00EC1E5C"/>
    <w:rsid w:val="00EC2127"/>
    <w:rsid w:val="00EC40B7"/>
    <w:rsid w:val="00EC4F2A"/>
    <w:rsid w:val="00EC63DD"/>
    <w:rsid w:val="00EC6835"/>
    <w:rsid w:val="00EC6AB3"/>
    <w:rsid w:val="00EC6C2E"/>
    <w:rsid w:val="00ED128A"/>
    <w:rsid w:val="00ED1710"/>
    <w:rsid w:val="00ED1797"/>
    <w:rsid w:val="00ED22FA"/>
    <w:rsid w:val="00ED2579"/>
    <w:rsid w:val="00ED34CA"/>
    <w:rsid w:val="00ED44AF"/>
    <w:rsid w:val="00ED44D2"/>
    <w:rsid w:val="00ED49D7"/>
    <w:rsid w:val="00ED4BA1"/>
    <w:rsid w:val="00ED5100"/>
    <w:rsid w:val="00ED5553"/>
    <w:rsid w:val="00ED6EAE"/>
    <w:rsid w:val="00ED6F2A"/>
    <w:rsid w:val="00ED736A"/>
    <w:rsid w:val="00EE0EE5"/>
    <w:rsid w:val="00EE2C27"/>
    <w:rsid w:val="00EE362F"/>
    <w:rsid w:val="00EE3906"/>
    <w:rsid w:val="00EE3AB8"/>
    <w:rsid w:val="00EE3B2D"/>
    <w:rsid w:val="00EE484A"/>
    <w:rsid w:val="00EE4990"/>
    <w:rsid w:val="00EE4CD6"/>
    <w:rsid w:val="00EE5349"/>
    <w:rsid w:val="00EE5FF1"/>
    <w:rsid w:val="00EF02F7"/>
    <w:rsid w:val="00EF0396"/>
    <w:rsid w:val="00EF0931"/>
    <w:rsid w:val="00EF138A"/>
    <w:rsid w:val="00EF18ED"/>
    <w:rsid w:val="00EF1DEC"/>
    <w:rsid w:val="00EF2BEF"/>
    <w:rsid w:val="00EF30DB"/>
    <w:rsid w:val="00EF3599"/>
    <w:rsid w:val="00EF3972"/>
    <w:rsid w:val="00EF4EC9"/>
    <w:rsid w:val="00EF4F0D"/>
    <w:rsid w:val="00EF53CD"/>
    <w:rsid w:val="00EF5667"/>
    <w:rsid w:val="00EF57A8"/>
    <w:rsid w:val="00EF582A"/>
    <w:rsid w:val="00EF5988"/>
    <w:rsid w:val="00EF626B"/>
    <w:rsid w:val="00EF65C3"/>
    <w:rsid w:val="00EF7BF7"/>
    <w:rsid w:val="00F00F20"/>
    <w:rsid w:val="00F01C7A"/>
    <w:rsid w:val="00F0297A"/>
    <w:rsid w:val="00F034D3"/>
    <w:rsid w:val="00F049E8"/>
    <w:rsid w:val="00F04C5C"/>
    <w:rsid w:val="00F04E3B"/>
    <w:rsid w:val="00F05157"/>
    <w:rsid w:val="00F055D5"/>
    <w:rsid w:val="00F062DC"/>
    <w:rsid w:val="00F06CE9"/>
    <w:rsid w:val="00F07774"/>
    <w:rsid w:val="00F07D2D"/>
    <w:rsid w:val="00F07EB2"/>
    <w:rsid w:val="00F10E1E"/>
    <w:rsid w:val="00F11445"/>
    <w:rsid w:val="00F11540"/>
    <w:rsid w:val="00F12070"/>
    <w:rsid w:val="00F131BE"/>
    <w:rsid w:val="00F13B8F"/>
    <w:rsid w:val="00F142EB"/>
    <w:rsid w:val="00F144CD"/>
    <w:rsid w:val="00F14A24"/>
    <w:rsid w:val="00F14ACB"/>
    <w:rsid w:val="00F14CC2"/>
    <w:rsid w:val="00F14FF3"/>
    <w:rsid w:val="00F1512C"/>
    <w:rsid w:val="00F158F7"/>
    <w:rsid w:val="00F159C3"/>
    <w:rsid w:val="00F15E1A"/>
    <w:rsid w:val="00F16E5B"/>
    <w:rsid w:val="00F17C68"/>
    <w:rsid w:val="00F17D15"/>
    <w:rsid w:val="00F20FCA"/>
    <w:rsid w:val="00F213E0"/>
    <w:rsid w:val="00F216F8"/>
    <w:rsid w:val="00F2198C"/>
    <w:rsid w:val="00F21C56"/>
    <w:rsid w:val="00F2297B"/>
    <w:rsid w:val="00F22B77"/>
    <w:rsid w:val="00F23C56"/>
    <w:rsid w:val="00F23EED"/>
    <w:rsid w:val="00F241F8"/>
    <w:rsid w:val="00F247A6"/>
    <w:rsid w:val="00F25431"/>
    <w:rsid w:val="00F26DE2"/>
    <w:rsid w:val="00F27161"/>
    <w:rsid w:val="00F308BE"/>
    <w:rsid w:val="00F31996"/>
    <w:rsid w:val="00F31BB0"/>
    <w:rsid w:val="00F31F92"/>
    <w:rsid w:val="00F32FA6"/>
    <w:rsid w:val="00F33A02"/>
    <w:rsid w:val="00F3413B"/>
    <w:rsid w:val="00F34F46"/>
    <w:rsid w:val="00F355E9"/>
    <w:rsid w:val="00F35681"/>
    <w:rsid w:val="00F36944"/>
    <w:rsid w:val="00F36A22"/>
    <w:rsid w:val="00F36B37"/>
    <w:rsid w:val="00F371F2"/>
    <w:rsid w:val="00F37487"/>
    <w:rsid w:val="00F3748A"/>
    <w:rsid w:val="00F37AF9"/>
    <w:rsid w:val="00F408C4"/>
    <w:rsid w:val="00F40BD5"/>
    <w:rsid w:val="00F41509"/>
    <w:rsid w:val="00F41F59"/>
    <w:rsid w:val="00F430EC"/>
    <w:rsid w:val="00F44872"/>
    <w:rsid w:val="00F44F3C"/>
    <w:rsid w:val="00F4522B"/>
    <w:rsid w:val="00F45E3E"/>
    <w:rsid w:val="00F46D7C"/>
    <w:rsid w:val="00F47D1D"/>
    <w:rsid w:val="00F5009F"/>
    <w:rsid w:val="00F50653"/>
    <w:rsid w:val="00F51D0F"/>
    <w:rsid w:val="00F51DD4"/>
    <w:rsid w:val="00F52133"/>
    <w:rsid w:val="00F5224E"/>
    <w:rsid w:val="00F528E7"/>
    <w:rsid w:val="00F539BF"/>
    <w:rsid w:val="00F53D22"/>
    <w:rsid w:val="00F54184"/>
    <w:rsid w:val="00F55611"/>
    <w:rsid w:val="00F558BC"/>
    <w:rsid w:val="00F5768A"/>
    <w:rsid w:val="00F57F73"/>
    <w:rsid w:val="00F60960"/>
    <w:rsid w:val="00F60BF8"/>
    <w:rsid w:val="00F61953"/>
    <w:rsid w:val="00F6447F"/>
    <w:rsid w:val="00F64B81"/>
    <w:rsid w:val="00F65B35"/>
    <w:rsid w:val="00F65E16"/>
    <w:rsid w:val="00F669D4"/>
    <w:rsid w:val="00F66D1D"/>
    <w:rsid w:val="00F6752C"/>
    <w:rsid w:val="00F6755A"/>
    <w:rsid w:val="00F6755F"/>
    <w:rsid w:val="00F701EC"/>
    <w:rsid w:val="00F7041E"/>
    <w:rsid w:val="00F70596"/>
    <w:rsid w:val="00F707F7"/>
    <w:rsid w:val="00F71936"/>
    <w:rsid w:val="00F71A0D"/>
    <w:rsid w:val="00F71EAD"/>
    <w:rsid w:val="00F71F39"/>
    <w:rsid w:val="00F722CC"/>
    <w:rsid w:val="00F723CC"/>
    <w:rsid w:val="00F7244A"/>
    <w:rsid w:val="00F7273F"/>
    <w:rsid w:val="00F72ACF"/>
    <w:rsid w:val="00F733D0"/>
    <w:rsid w:val="00F7362A"/>
    <w:rsid w:val="00F74B50"/>
    <w:rsid w:val="00F75ABD"/>
    <w:rsid w:val="00F76156"/>
    <w:rsid w:val="00F7739C"/>
    <w:rsid w:val="00F777E4"/>
    <w:rsid w:val="00F7794A"/>
    <w:rsid w:val="00F80069"/>
    <w:rsid w:val="00F80403"/>
    <w:rsid w:val="00F805F4"/>
    <w:rsid w:val="00F80C3F"/>
    <w:rsid w:val="00F81026"/>
    <w:rsid w:val="00F824A6"/>
    <w:rsid w:val="00F836D1"/>
    <w:rsid w:val="00F839FD"/>
    <w:rsid w:val="00F83ACF"/>
    <w:rsid w:val="00F843E7"/>
    <w:rsid w:val="00F8496D"/>
    <w:rsid w:val="00F84C30"/>
    <w:rsid w:val="00F84D1D"/>
    <w:rsid w:val="00F861DB"/>
    <w:rsid w:val="00F86411"/>
    <w:rsid w:val="00F865CB"/>
    <w:rsid w:val="00F87C95"/>
    <w:rsid w:val="00F87DE6"/>
    <w:rsid w:val="00F90315"/>
    <w:rsid w:val="00F90986"/>
    <w:rsid w:val="00F90C82"/>
    <w:rsid w:val="00F91580"/>
    <w:rsid w:val="00F922B8"/>
    <w:rsid w:val="00F92EFA"/>
    <w:rsid w:val="00F93864"/>
    <w:rsid w:val="00F93973"/>
    <w:rsid w:val="00F9418D"/>
    <w:rsid w:val="00F94F59"/>
    <w:rsid w:val="00F956EE"/>
    <w:rsid w:val="00F968FA"/>
    <w:rsid w:val="00F9693B"/>
    <w:rsid w:val="00F96A89"/>
    <w:rsid w:val="00F96FF2"/>
    <w:rsid w:val="00F97548"/>
    <w:rsid w:val="00FA0D1C"/>
    <w:rsid w:val="00FA1987"/>
    <w:rsid w:val="00FA2492"/>
    <w:rsid w:val="00FA474C"/>
    <w:rsid w:val="00FA5181"/>
    <w:rsid w:val="00FA6A08"/>
    <w:rsid w:val="00FA6CF2"/>
    <w:rsid w:val="00FA76A9"/>
    <w:rsid w:val="00FA77C2"/>
    <w:rsid w:val="00FB33CD"/>
    <w:rsid w:val="00FB3B90"/>
    <w:rsid w:val="00FB4822"/>
    <w:rsid w:val="00FB4D9D"/>
    <w:rsid w:val="00FB55C9"/>
    <w:rsid w:val="00FB56A3"/>
    <w:rsid w:val="00FB5CD0"/>
    <w:rsid w:val="00FB602B"/>
    <w:rsid w:val="00FB61C4"/>
    <w:rsid w:val="00FB70AB"/>
    <w:rsid w:val="00FC0A43"/>
    <w:rsid w:val="00FC0B02"/>
    <w:rsid w:val="00FC128B"/>
    <w:rsid w:val="00FC1A36"/>
    <w:rsid w:val="00FC1C8B"/>
    <w:rsid w:val="00FC1CBB"/>
    <w:rsid w:val="00FC1E7B"/>
    <w:rsid w:val="00FC2012"/>
    <w:rsid w:val="00FC27F0"/>
    <w:rsid w:val="00FC2F71"/>
    <w:rsid w:val="00FC37A5"/>
    <w:rsid w:val="00FC3F25"/>
    <w:rsid w:val="00FC4AC6"/>
    <w:rsid w:val="00FC524D"/>
    <w:rsid w:val="00FC58B6"/>
    <w:rsid w:val="00FC673F"/>
    <w:rsid w:val="00FC73C8"/>
    <w:rsid w:val="00FC7CB2"/>
    <w:rsid w:val="00FC7EB7"/>
    <w:rsid w:val="00FD07DD"/>
    <w:rsid w:val="00FD2407"/>
    <w:rsid w:val="00FD2F5B"/>
    <w:rsid w:val="00FD3F53"/>
    <w:rsid w:val="00FD4750"/>
    <w:rsid w:val="00FD4C19"/>
    <w:rsid w:val="00FD58FF"/>
    <w:rsid w:val="00FD5D02"/>
    <w:rsid w:val="00FD5E30"/>
    <w:rsid w:val="00FD6468"/>
    <w:rsid w:val="00FD69F3"/>
    <w:rsid w:val="00FD705D"/>
    <w:rsid w:val="00FD76DE"/>
    <w:rsid w:val="00FD7C8E"/>
    <w:rsid w:val="00FE1F61"/>
    <w:rsid w:val="00FE2FAC"/>
    <w:rsid w:val="00FE3BB6"/>
    <w:rsid w:val="00FE42A9"/>
    <w:rsid w:val="00FE4663"/>
    <w:rsid w:val="00FE501E"/>
    <w:rsid w:val="00FE5926"/>
    <w:rsid w:val="00FE594A"/>
    <w:rsid w:val="00FE5B54"/>
    <w:rsid w:val="00FE61D8"/>
    <w:rsid w:val="00FE6DD5"/>
    <w:rsid w:val="00FF0EEB"/>
    <w:rsid w:val="00FF17C8"/>
    <w:rsid w:val="00FF23AF"/>
    <w:rsid w:val="00FF2DA4"/>
    <w:rsid w:val="00FF2FB3"/>
    <w:rsid w:val="00FF39D1"/>
    <w:rsid w:val="00FF47D2"/>
    <w:rsid w:val="00FF5699"/>
    <w:rsid w:val="00FF60EB"/>
    <w:rsid w:val="00FF6661"/>
    <w:rsid w:val="00FF6B9A"/>
    <w:rsid w:val="00FF776F"/>
    <w:rsid w:val="011D744C"/>
    <w:rsid w:val="012F0E69"/>
    <w:rsid w:val="015E412C"/>
    <w:rsid w:val="018B3CAA"/>
    <w:rsid w:val="019B53E2"/>
    <w:rsid w:val="01B76D15"/>
    <w:rsid w:val="01C56403"/>
    <w:rsid w:val="01EA3F31"/>
    <w:rsid w:val="01FB7BD7"/>
    <w:rsid w:val="02125A08"/>
    <w:rsid w:val="022B186B"/>
    <w:rsid w:val="024127C1"/>
    <w:rsid w:val="02514203"/>
    <w:rsid w:val="0266522E"/>
    <w:rsid w:val="0270194F"/>
    <w:rsid w:val="028F215D"/>
    <w:rsid w:val="02A457E9"/>
    <w:rsid w:val="02DB2E53"/>
    <w:rsid w:val="031A20AA"/>
    <w:rsid w:val="03210BD6"/>
    <w:rsid w:val="033045D8"/>
    <w:rsid w:val="034A1325"/>
    <w:rsid w:val="034E0CAA"/>
    <w:rsid w:val="035909ED"/>
    <w:rsid w:val="037A778D"/>
    <w:rsid w:val="03997164"/>
    <w:rsid w:val="03B50FFB"/>
    <w:rsid w:val="03C07A23"/>
    <w:rsid w:val="03DE4D56"/>
    <w:rsid w:val="03E23E2C"/>
    <w:rsid w:val="03E33050"/>
    <w:rsid w:val="04323031"/>
    <w:rsid w:val="04440F93"/>
    <w:rsid w:val="0454678E"/>
    <w:rsid w:val="046D37E4"/>
    <w:rsid w:val="047B6068"/>
    <w:rsid w:val="0495202A"/>
    <w:rsid w:val="04D04AD7"/>
    <w:rsid w:val="04E51BFB"/>
    <w:rsid w:val="050049D8"/>
    <w:rsid w:val="054C3FBD"/>
    <w:rsid w:val="05521178"/>
    <w:rsid w:val="05664D58"/>
    <w:rsid w:val="0572376D"/>
    <w:rsid w:val="058E2B31"/>
    <w:rsid w:val="05907B18"/>
    <w:rsid w:val="05967C03"/>
    <w:rsid w:val="05B27134"/>
    <w:rsid w:val="05E15256"/>
    <w:rsid w:val="05F67E49"/>
    <w:rsid w:val="0603356B"/>
    <w:rsid w:val="060671E1"/>
    <w:rsid w:val="064F779E"/>
    <w:rsid w:val="06582E5C"/>
    <w:rsid w:val="065E4B6F"/>
    <w:rsid w:val="065E6F72"/>
    <w:rsid w:val="066A43D0"/>
    <w:rsid w:val="066B65CA"/>
    <w:rsid w:val="0674734F"/>
    <w:rsid w:val="06853E3F"/>
    <w:rsid w:val="068A3BAA"/>
    <w:rsid w:val="069F0452"/>
    <w:rsid w:val="06A71D44"/>
    <w:rsid w:val="06B12214"/>
    <w:rsid w:val="06B531C2"/>
    <w:rsid w:val="06CE1DB6"/>
    <w:rsid w:val="06D32109"/>
    <w:rsid w:val="06ED7FB7"/>
    <w:rsid w:val="06FB172C"/>
    <w:rsid w:val="070D4316"/>
    <w:rsid w:val="071C3B51"/>
    <w:rsid w:val="07264F74"/>
    <w:rsid w:val="07295210"/>
    <w:rsid w:val="073215C2"/>
    <w:rsid w:val="0755380C"/>
    <w:rsid w:val="075E29F3"/>
    <w:rsid w:val="07714110"/>
    <w:rsid w:val="07750484"/>
    <w:rsid w:val="077873C4"/>
    <w:rsid w:val="077F47E3"/>
    <w:rsid w:val="07AA0C70"/>
    <w:rsid w:val="07AB3337"/>
    <w:rsid w:val="07E4436E"/>
    <w:rsid w:val="07ED5474"/>
    <w:rsid w:val="07F536F1"/>
    <w:rsid w:val="07FF2981"/>
    <w:rsid w:val="0800706A"/>
    <w:rsid w:val="0810059D"/>
    <w:rsid w:val="08162FD5"/>
    <w:rsid w:val="08234E0E"/>
    <w:rsid w:val="082F4984"/>
    <w:rsid w:val="084E74CE"/>
    <w:rsid w:val="086C49E6"/>
    <w:rsid w:val="086C6FB9"/>
    <w:rsid w:val="0886282F"/>
    <w:rsid w:val="08894ED9"/>
    <w:rsid w:val="088A55DF"/>
    <w:rsid w:val="089908D3"/>
    <w:rsid w:val="08BC35C8"/>
    <w:rsid w:val="08DC78CB"/>
    <w:rsid w:val="08E20AE0"/>
    <w:rsid w:val="090F6999"/>
    <w:rsid w:val="091B542C"/>
    <w:rsid w:val="092410FB"/>
    <w:rsid w:val="09321FE6"/>
    <w:rsid w:val="0937304E"/>
    <w:rsid w:val="09456988"/>
    <w:rsid w:val="095F4820"/>
    <w:rsid w:val="09740CDE"/>
    <w:rsid w:val="097B624E"/>
    <w:rsid w:val="099839DF"/>
    <w:rsid w:val="09AD45AC"/>
    <w:rsid w:val="09C1650E"/>
    <w:rsid w:val="09C42C64"/>
    <w:rsid w:val="09DE5F16"/>
    <w:rsid w:val="09DF7FF5"/>
    <w:rsid w:val="09E0392D"/>
    <w:rsid w:val="09E047A1"/>
    <w:rsid w:val="09EA5159"/>
    <w:rsid w:val="09F17BB5"/>
    <w:rsid w:val="0A013E4A"/>
    <w:rsid w:val="0A0A0711"/>
    <w:rsid w:val="0A43774B"/>
    <w:rsid w:val="0A454A85"/>
    <w:rsid w:val="0A515D78"/>
    <w:rsid w:val="0A5A5D3B"/>
    <w:rsid w:val="0A5E157A"/>
    <w:rsid w:val="0A6007BF"/>
    <w:rsid w:val="0A7D5FCD"/>
    <w:rsid w:val="0A7E2B58"/>
    <w:rsid w:val="0AA410AA"/>
    <w:rsid w:val="0AD40B4F"/>
    <w:rsid w:val="0AD73550"/>
    <w:rsid w:val="0AD86900"/>
    <w:rsid w:val="0AEF192B"/>
    <w:rsid w:val="0AF72B19"/>
    <w:rsid w:val="0B026810"/>
    <w:rsid w:val="0B04560E"/>
    <w:rsid w:val="0B14515C"/>
    <w:rsid w:val="0B334F90"/>
    <w:rsid w:val="0B690814"/>
    <w:rsid w:val="0B91609B"/>
    <w:rsid w:val="0BBF78B9"/>
    <w:rsid w:val="0BCA1AA8"/>
    <w:rsid w:val="0BEE0A4E"/>
    <w:rsid w:val="0C0D7A72"/>
    <w:rsid w:val="0C526795"/>
    <w:rsid w:val="0C5C0564"/>
    <w:rsid w:val="0C730F17"/>
    <w:rsid w:val="0C785F3B"/>
    <w:rsid w:val="0C7A165E"/>
    <w:rsid w:val="0C93056E"/>
    <w:rsid w:val="0C94597C"/>
    <w:rsid w:val="0C960E1D"/>
    <w:rsid w:val="0C9948C2"/>
    <w:rsid w:val="0CF23CC3"/>
    <w:rsid w:val="0CF523B7"/>
    <w:rsid w:val="0D1E7242"/>
    <w:rsid w:val="0D284668"/>
    <w:rsid w:val="0D71543A"/>
    <w:rsid w:val="0D7F04AA"/>
    <w:rsid w:val="0D824766"/>
    <w:rsid w:val="0D8779C8"/>
    <w:rsid w:val="0D8E269D"/>
    <w:rsid w:val="0D96490B"/>
    <w:rsid w:val="0D9D7EE8"/>
    <w:rsid w:val="0DD236A8"/>
    <w:rsid w:val="0DED167A"/>
    <w:rsid w:val="0DF1662D"/>
    <w:rsid w:val="0DFF5AB4"/>
    <w:rsid w:val="0E0D2516"/>
    <w:rsid w:val="0E167919"/>
    <w:rsid w:val="0E183276"/>
    <w:rsid w:val="0E1B5E19"/>
    <w:rsid w:val="0E2135AD"/>
    <w:rsid w:val="0E38483E"/>
    <w:rsid w:val="0E386D5A"/>
    <w:rsid w:val="0E795509"/>
    <w:rsid w:val="0E7A0DF2"/>
    <w:rsid w:val="0E8E4A0B"/>
    <w:rsid w:val="0EBC2DB2"/>
    <w:rsid w:val="0ED010D9"/>
    <w:rsid w:val="0ED76C70"/>
    <w:rsid w:val="0F3417C0"/>
    <w:rsid w:val="0F3E48AF"/>
    <w:rsid w:val="0F555417"/>
    <w:rsid w:val="0F7C7DE9"/>
    <w:rsid w:val="0F971E76"/>
    <w:rsid w:val="0F9F0271"/>
    <w:rsid w:val="0FBE754C"/>
    <w:rsid w:val="0FEB5787"/>
    <w:rsid w:val="10046EF4"/>
    <w:rsid w:val="10113E0E"/>
    <w:rsid w:val="10144242"/>
    <w:rsid w:val="101A482D"/>
    <w:rsid w:val="1041081F"/>
    <w:rsid w:val="10453089"/>
    <w:rsid w:val="10503419"/>
    <w:rsid w:val="105D363C"/>
    <w:rsid w:val="106A4C12"/>
    <w:rsid w:val="10714D99"/>
    <w:rsid w:val="10BF48D9"/>
    <w:rsid w:val="10D05581"/>
    <w:rsid w:val="10D4033B"/>
    <w:rsid w:val="10E43A7A"/>
    <w:rsid w:val="10EC3B63"/>
    <w:rsid w:val="10F1029B"/>
    <w:rsid w:val="10F74EDF"/>
    <w:rsid w:val="10F7680C"/>
    <w:rsid w:val="11045532"/>
    <w:rsid w:val="11227967"/>
    <w:rsid w:val="112B33BC"/>
    <w:rsid w:val="1133055D"/>
    <w:rsid w:val="1139662E"/>
    <w:rsid w:val="113F7303"/>
    <w:rsid w:val="11433B21"/>
    <w:rsid w:val="11484367"/>
    <w:rsid w:val="115066AB"/>
    <w:rsid w:val="116657E5"/>
    <w:rsid w:val="116F6F4B"/>
    <w:rsid w:val="117552D5"/>
    <w:rsid w:val="11906EAD"/>
    <w:rsid w:val="119B4F8B"/>
    <w:rsid w:val="11AF596D"/>
    <w:rsid w:val="11B147AE"/>
    <w:rsid w:val="11BB3097"/>
    <w:rsid w:val="11C107D0"/>
    <w:rsid w:val="11C750E8"/>
    <w:rsid w:val="11C846E8"/>
    <w:rsid w:val="11CF246F"/>
    <w:rsid w:val="11E20D73"/>
    <w:rsid w:val="11E46F01"/>
    <w:rsid w:val="11EC7579"/>
    <w:rsid w:val="11FF2E1B"/>
    <w:rsid w:val="123267B2"/>
    <w:rsid w:val="124667A7"/>
    <w:rsid w:val="125C74A3"/>
    <w:rsid w:val="126256AD"/>
    <w:rsid w:val="12630F5D"/>
    <w:rsid w:val="126331E8"/>
    <w:rsid w:val="126E14BA"/>
    <w:rsid w:val="126E6CC8"/>
    <w:rsid w:val="12980F35"/>
    <w:rsid w:val="12995DEC"/>
    <w:rsid w:val="12A32349"/>
    <w:rsid w:val="12B60FEF"/>
    <w:rsid w:val="12E40720"/>
    <w:rsid w:val="131D21D2"/>
    <w:rsid w:val="133960B7"/>
    <w:rsid w:val="1351271B"/>
    <w:rsid w:val="13C0485F"/>
    <w:rsid w:val="140B5E88"/>
    <w:rsid w:val="14135229"/>
    <w:rsid w:val="141A2EFD"/>
    <w:rsid w:val="142163F0"/>
    <w:rsid w:val="14300745"/>
    <w:rsid w:val="145E7EE6"/>
    <w:rsid w:val="14701CEE"/>
    <w:rsid w:val="14731CF5"/>
    <w:rsid w:val="14777C7D"/>
    <w:rsid w:val="14795603"/>
    <w:rsid w:val="14942125"/>
    <w:rsid w:val="14BB38FA"/>
    <w:rsid w:val="14C113B7"/>
    <w:rsid w:val="14C71A31"/>
    <w:rsid w:val="14EB3843"/>
    <w:rsid w:val="14EF7FEB"/>
    <w:rsid w:val="14FC21E4"/>
    <w:rsid w:val="155E2934"/>
    <w:rsid w:val="15612848"/>
    <w:rsid w:val="15982810"/>
    <w:rsid w:val="15B87E6E"/>
    <w:rsid w:val="15D84F6E"/>
    <w:rsid w:val="15DC619D"/>
    <w:rsid w:val="15EC5358"/>
    <w:rsid w:val="16111A2A"/>
    <w:rsid w:val="161724E9"/>
    <w:rsid w:val="163D4DD4"/>
    <w:rsid w:val="164F3F04"/>
    <w:rsid w:val="165023F8"/>
    <w:rsid w:val="165C1EF1"/>
    <w:rsid w:val="168802AF"/>
    <w:rsid w:val="16A26C9F"/>
    <w:rsid w:val="16B856F3"/>
    <w:rsid w:val="16C62058"/>
    <w:rsid w:val="16E836BE"/>
    <w:rsid w:val="16FE7976"/>
    <w:rsid w:val="17052913"/>
    <w:rsid w:val="172B6F43"/>
    <w:rsid w:val="173F5237"/>
    <w:rsid w:val="17433667"/>
    <w:rsid w:val="179B0263"/>
    <w:rsid w:val="17A12B47"/>
    <w:rsid w:val="17A414EC"/>
    <w:rsid w:val="17B27947"/>
    <w:rsid w:val="17C359F3"/>
    <w:rsid w:val="17CB6DA8"/>
    <w:rsid w:val="18023FB5"/>
    <w:rsid w:val="18024AAC"/>
    <w:rsid w:val="18112C37"/>
    <w:rsid w:val="181B5D21"/>
    <w:rsid w:val="182E01D0"/>
    <w:rsid w:val="18374D92"/>
    <w:rsid w:val="1844584F"/>
    <w:rsid w:val="184606CA"/>
    <w:rsid w:val="18505648"/>
    <w:rsid w:val="18521A94"/>
    <w:rsid w:val="185C5843"/>
    <w:rsid w:val="187C2D78"/>
    <w:rsid w:val="189832D7"/>
    <w:rsid w:val="18B178A3"/>
    <w:rsid w:val="18B47393"/>
    <w:rsid w:val="18BC07C0"/>
    <w:rsid w:val="18BD3686"/>
    <w:rsid w:val="18D14AA7"/>
    <w:rsid w:val="18DA2785"/>
    <w:rsid w:val="18DF2857"/>
    <w:rsid w:val="19071F23"/>
    <w:rsid w:val="192F176F"/>
    <w:rsid w:val="19622608"/>
    <w:rsid w:val="196F269F"/>
    <w:rsid w:val="19720CC7"/>
    <w:rsid w:val="19793E7D"/>
    <w:rsid w:val="19973E6A"/>
    <w:rsid w:val="19A570BC"/>
    <w:rsid w:val="19C5464F"/>
    <w:rsid w:val="19D337FA"/>
    <w:rsid w:val="19E219A9"/>
    <w:rsid w:val="19F426F3"/>
    <w:rsid w:val="1A0C317A"/>
    <w:rsid w:val="1A10235E"/>
    <w:rsid w:val="1A274D62"/>
    <w:rsid w:val="1A382B06"/>
    <w:rsid w:val="1A5048AB"/>
    <w:rsid w:val="1A544F1A"/>
    <w:rsid w:val="1A627FEB"/>
    <w:rsid w:val="1A915C64"/>
    <w:rsid w:val="1A936D1C"/>
    <w:rsid w:val="1A9453CF"/>
    <w:rsid w:val="1AD3307F"/>
    <w:rsid w:val="1AE3628B"/>
    <w:rsid w:val="1AEA7CEF"/>
    <w:rsid w:val="1B043B6E"/>
    <w:rsid w:val="1B3E4BFD"/>
    <w:rsid w:val="1B5464C8"/>
    <w:rsid w:val="1B9861DA"/>
    <w:rsid w:val="1BA703ED"/>
    <w:rsid w:val="1BCC6D75"/>
    <w:rsid w:val="1BD86F88"/>
    <w:rsid w:val="1BEE0967"/>
    <w:rsid w:val="1BEF4D56"/>
    <w:rsid w:val="1C117199"/>
    <w:rsid w:val="1C2B6391"/>
    <w:rsid w:val="1C5B63E3"/>
    <w:rsid w:val="1C7F3E11"/>
    <w:rsid w:val="1CB032ED"/>
    <w:rsid w:val="1CCB2938"/>
    <w:rsid w:val="1D1D0F4A"/>
    <w:rsid w:val="1D234FD5"/>
    <w:rsid w:val="1D2B0D74"/>
    <w:rsid w:val="1D2D3883"/>
    <w:rsid w:val="1D2F0F6C"/>
    <w:rsid w:val="1D6E14BA"/>
    <w:rsid w:val="1D942437"/>
    <w:rsid w:val="1D9C6312"/>
    <w:rsid w:val="1DF43315"/>
    <w:rsid w:val="1E1808C4"/>
    <w:rsid w:val="1E2B4E0B"/>
    <w:rsid w:val="1E445D11"/>
    <w:rsid w:val="1E4C2F1E"/>
    <w:rsid w:val="1E966E5D"/>
    <w:rsid w:val="1EB4020A"/>
    <w:rsid w:val="1ECC2C4D"/>
    <w:rsid w:val="1ED305A9"/>
    <w:rsid w:val="1EE41ED9"/>
    <w:rsid w:val="1F204F59"/>
    <w:rsid w:val="1F2C1ABD"/>
    <w:rsid w:val="1F315886"/>
    <w:rsid w:val="1F3B6EAC"/>
    <w:rsid w:val="1F517962"/>
    <w:rsid w:val="1F520932"/>
    <w:rsid w:val="1F600144"/>
    <w:rsid w:val="1F722C02"/>
    <w:rsid w:val="1F9D6372"/>
    <w:rsid w:val="1FAF0B2F"/>
    <w:rsid w:val="1FC16504"/>
    <w:rsid w:val="1FD1628A"/>
    <w:rsid w:val="1FE5239F"/>
    <w:rsid w:val="1FFA3545"/>
    <w:rsid w:val="1FFF75F7"/>
    <w:rsid w:val="201136D5"/>
    <w:rsid w:val="20175B6F"/>
    <w:rsid w:val="202B1BD0"/>
    <w:rsid w:val="2040618D"/>
    <w:rsid w:val="205437DE"/>
    <w:rsid w:val="20633AD1"/>
    <w:rsid w:val="20674ED5"/>
    <w:rsid w:val="206D7C90"/>
    <w:rsid w:val="2098516E"/>
    <w:rsid w:val="20A4065D"/>
    <w:rsid w:val="20B1100F"/>
    <w:rsid w:val="20CE3C39"/>
    <w:rsid w:val="20D35A62"/>
    <w:rsid w:val="20D44DBD"/>
    <w:rsid w:val="20D64209"/>
    <w:rsid w:val="20D94333"/>
    <w:rsid w:val="20DB35B3"/>
    <w:rsid w:val="21050A18"/>
    <w:rsid w:val="2105716B"/>
    <w:rsid w:val="210A1993"/>
    <w:rsid w:val="21415F3F"/>
    <w:rsid w:val="21B80CDF"/>
    <w:rsid w:val="21C647DB"/>
    <w:rsid w:val="21CC40F8"/>
    <w:rsid w:val="21D8747B"/>
    <w:rsid w:val="21E449BB"/>
    <w:rsid w:val="22110B61"/>
    <w:rsid w:val="2228368C"/>
    <w:rsid w:val="22315D28"/>
    <w:rsid w:val="223B7839"/>
    <w:rsid w:val="225B2505"/>
    <w:rsid w:val="226552D9"/>
    <w:rsid w:val="22675C42"/>
    <w:rsid w:val="229E055F"/>
    <w:rsid w:val="22B673B0"/>
    <w:rsid w:val="22E67131"/>
    <w:rsid w:val="230F5FE9"/>
    <w:rsid w:val="23227E2F"/>
    <w:rsid w:val="236D4085"/>
    <w:rsid w:val="2381093C"/>
    <w:rsid w:val="238F6E21"/>
    <w:rsid w:val="23C80C2D"/>
    <w:rsid w:val="23FF5791"/>
    <w:rsid w:val="240E0FBB"/>
    <w:rsid w:val="24153247"/>
    <w:rsid w:val="241A6D8B"/>
    <w:rsid w:val="241C7455"/>
    <w:rsid w:val="24263513"/>
    <w:rsid w:val="244070AC"/>
    <w:rsid w:val="24414C83"/>
    <w:rsid w:val="247A0268"/>
    <w:rsid w:val="248B0818"/>
    <w:rsid w:val="24B30B11"/>
    <w:rsid w:val="24CC1AB2"/>
    <w:rsid w:val="25085527"/>
    <w:rsid w:val="25483B94"/>
    <w:rsid w:val="25693ABA"/>
    <w:rsid w:val="257567C2"/>
    <w:rsid w:val="25795970"/>
    <w:rsid w:val="259A0420"/>
    <w:rsid w:val="25B37F23"/>
    <w:rsid w:val="25C35F96"/>
    <w:rsid w:val="25E16AEE"/>
    <w:rsid w:val="25E554EB"/>
    <w:rsid w:val="26617217"/>
    <w:rsid w:val="26707009"/>
    <w:rsid w:val="269B5B75"/>
    <w:rsid w:val="26B67BCF"/>
    <w:rsid w:val="26CC349E"/>
    <w:rsid w:val="27023D11"/>
    <w:rsid w:val="27212E83"/>
    <w:rsid w:val="272178F2"/>
    <w:rsid w:val="2729082D"/>
    <w:rsid w:val="27317C8F"/>
    <w:rsid w:val="273A1C27"/>
    <w:rsid w:val="274A5031"/>
    <w:rsid w:val="275716D5"/>
    <w:rsid w:val="27600B49"/>
    <w:rsid w:val="277536F1"/>
    <w:rsid w:val="277B0260"/>
    <w:rsid w:val="27970106"/>
    <w:rsid w:val="27BB57AB"/>
    <w:rsid w:val="27BD1A3F"/>
    <w:rsid w:val="280436FE"/>
    <w:rsid w:val="28084136"/>
    <w:rsid w:val="280B1C9E"/>
    <w:rsid w:val="280D3E40"/>
    <w:rsid w:val="280F56F8"/>
    <w:rsid w:val="28133FBD"/>
    <w:rsid w:val="281B425C"/>
    <w:rsid w:val="28431753"/>
    <w:rsid w:val="287D0233"/>
    <w:rsid w:val="28BB73E8"/>
    <w:rsid w:val="28E07D0E"/>
    <w:rsid w:val="28F77234"/>
    <w:rsid w:val="28FC4B48"/>
    <w:rsid w:val="290F0187"/>
    <w:rsid w:val="29184983"/>
    <w:rsid w:val="291B5010"/>
    <w:rsid w:val="29420AB5"/>
    <w:rsid w:val="297C3715"/>
    <w:rsid w:val="299E7A8B"/>
    <w:rsid w:val="29B536C8"/>
    <w:rsid w:val="29B714DE"/>
    <w:rsid w:val="29B779BC"/>
    <w:rsid w:val="29D6693C"/>
    <w:rsid w:val="29DD7CF6"/>
    <w:rsid w:val="29EF5FB9"/>
    <w:rsid w:val="29F07095"/>
    <w:rsid w:val="2A02786B"/>
    <w:rsid w:val="2A1C5C6C"/>
    <w:rsid w:val="2A2B114A"/>
    <w:rsid w:val="2A2F4FD0"/>
    <w:rsid w:val="2A7048A4"/>
    <w:rsid w:val="2A8D6472"/>
    <w:rsid w:val="2AB11F6F"/>
    <w:rsid w:val="2AC57581"/>
    <w:rsid w:val="2B323D9D"/>
    <w:rsid w:val="2B3F6A00"/>
    <w:rsid w:val="2B4052D2"/>
    <w:rsid w:val="2B4C082D"/>
    <w:rsid w:val="2B545F55"/>
    <w:rsid w:val="2B5B36D7"/>
    <w:rsid w:val="2B6E600A"/>
    <w:rsid w:val="2B7C6ACE"/>
    <w:rsid w:val="2B950B97"/>
    <w:rsid w:val="2BA31887"/>
    <w:rsid w:val="2BAE2033"/>
    <w:rsid w:val="2BBE3EB9"/>
    <w:rsid w:val="2BC63D79"/>
    <w:rsid w:val="2BD37594"/>
    <w:rsid w:val="2BEF6CCF"/>
    <w:rsid w:val="2BF415C8"/>
    <w:rsid w:val="2BFB552F"/>
    <w:rsid w:val="2C035205"/>
    <w:rsid w:val="2C073062"/>
    <w:rsid w:val="2C227056"/>
    <w:rsid w:val="2C331974"/>
    <w:rsid w:val="2C4E4319"/>
    <w:rsid w:val="2C552AB9"/>
    <w:rsid w:val="2C5743EE"/>
    <w:rsid w:val="2C6D0D71"/>
    <w:rsid w:val="2C7F7539"/>
    <w:rsid w:val="2C83397D"/>
    <w:rsid w:val="2C9A140D"/>
    <w:rsid w:val="2CCB7CDD"/>
    <w:rsid w:val="2CD818F0"/>
    <w:rsid w:val="2CE72A34"/>
    <w:rsid w:val="2CF9196E"/>
    <w:rsid w:val="2CFE11F9"/>
    <w:rsid w:val="2CFE61DB"/>
    <w:rsid w:val="2D062DE0"/>
    <w:rsid w:val="2D0A1BB7"/>
    <w:rsid w:val="2D2F228C"/>
    <w:rsid w:val="2D3869C4"/>
    <w:rsid w:val="2D3D1A9B"/>
    <w:rsid w:val="2D7626DC"/>
    <w:rsid w:val="2D7F090C"/>
    <w:rsid w:val="2D8040D2"/>
    <w:rsid w:val="2DBF1532"/>
    <w:rsid w:val="2E0314A0"/>
    <w:rsid w:val="2E1B0A5F"/>
    <w:rsid w:val="2E343612"/>
    <w:rsid w:val="2E4E58B4"/>
    <w:rsid w:val="2E535BC0"/>
    <w:rsid w:val="2E9757EF"/>
    <w:rsid w:val="2EC525A4"/>
    <w:rsid w:val="2EDF7BFA"/>
    <w:rsid w:val="2EE2588A"/>
    <w:rsid w:val="2F1A6C10"/>
    <w:rsid w:val="2F4E169E"/>
    <w:rsid w:val="2F6534D3"/>
    <w:rsid w:val="2F7E3D4F"/>
    <w:rsid w:val="2F846120"/>
    <w:rsid w:val="2F893830"/>
    <w:rsid w:val="2F9C2CB6"/>
    <w:rsid w:val="2F9F19F8"/>
    <w:rsid w:val="2FA84CDD"/>
    <w:rsid w:val="2FAA663A"/>
    <w:rsid w:val="2FF7577C"/>
    <w:rsid w:val="2FFF2114"/>
    <w:rsid w:val="300539D1"/>
    <w:rsid w:val="300D3893"/>
    <w:rsid w:val="308D2B0C"/>
    <w:rsid w:val="30907AF5"/>
    <w:rsid w:val="30981975"/>
    <w:rsid w:val="30A35EA8"/>
    <w:rsid w:val="30C917DF"/>
    <w:rsid w:val="30D51BC1"/>
    <w:rsid w:val="30DF4169"/>
    <w:rsid w:val="30E411B5"/>
    <w:rsid w:val="30EC2FA5"/>
    <w:rsid w:val="3126266B"/>
    <w:rsid w:val="314015A9"/>
    <w:rsid w:val="3145341E"/>
    <w:rsid w:val="31552F50"/>
    <w:rsid w:val="3179076E"/>
    <w:rsid w:val="31810B77"/>
    <w:rsid w:val="31855E0B"/>
    <w:rsid w:val="31920EFC"/>
    <w:rsid w:val="319A049C"/>
    <w:rsid w:val="319C7230"/>
    <w:rsid w:val="31BA1815"/>
    <w:rsid w:val="31C73F59"/>
    <w:rsid w:val="31DB1A1A"/>
    <w:rsid w:val="31EB68B6"/>
    <w:rsid w:val="31F44517"/>
    <w:rsid w:val="31FE6851"/>
    <w:rsid w:val="323C7E2E"/>
    <w:rsid w:val="32506CAB"/>
    <w:rsid w:val="326C1463"/>
    <w:rsid w:val="329E7E50"/>
    <w:rsid w:val="32BF25FD"/>
    <w:rsid w:val="32C0143F"/>
    <w:rsid w:val="32F167C7"/>
    <w:rsid w:val="32FC5CCE"/>
    <w:rsid w:val="330B3655"/>
    <w:rsid w:val="3329219E"/>
    <w:rsid w:val="333135EC"/>
    <w:rsid w:val="33363115"/>
    <w:rsid w:val="333665FA"/>
    <w:rsid w:val="33512537"/>
    <w:rsid w:val="336F600A"/>
    <w:rsid w:val="33E4399E"/>
    <w:rsid w:val="34363061"/>
    <w:rsid w:val="345468FB"/>
    <w:rsid w:val="347D15AF"/>
    <w:rsid w:val="34A7478F"/>
    <w:rsid w:val="34DB1D47"/>
    <w:rsid w:val="350C6ABA"/>
    <w:rsid w:val="352913ED"/>
    <w:rsid w:val="352A5FFC"/>
    <w:rsid w:val="357C688C"/>
    <w:rsid w:val="359A01EC"/>
    <w:rsid w:val="35A00960"/>
    <w:rsid w:val="35B81727"/>
    <w:rsid w:val="35CE598D"/>
    <w:rsid w:val="35E13790"/>
    <w:rsid w:val="35E46951"/>
    <w:rsid w:val="36246441"/>
    <w:rsid w:val="363273FF"/>
    <w:rsid w:val="36551B2F"/>
    <w:rsid w:val="36A33276"/>
    <w:rsid w:val="36A4242D"/>
    <w:rsid w:val="36F34222"/>
    <w:rsid w:val="36FB5017"/>
    <w:rsid w:val="37163F2A"/>
    <w:rsid w:val="37164ED9"/>
    <w:rsid w:val="371915B9"/>
    <w:rsid w:val="37230CA3"/>
    <w:rsid w:val="373023EF"/>
    <w:rsid w:val="373839EC"/>
    <w:rsid w:val="373F8B24"/>
    <w:rsid w:val="374B76A1"/>
    <w:rsid w:val="374D5F1F"/>
    <w:rsid w:val="37984D2F"/>
    <w:rsid w:val="37BB497D"/>
    <w:rsid w:val="37CC7095"/>
    <w:rsid w:val="38080D1C"/>
    <w:rsid w:val="3809239F"/>
    <w:rsid w:val="381315C9"/>
    <w:rsid w:val="38182E86"/>
    <w:rsid w:val="38232647"/>
    <w:rsid w:val="383662D1"/>
    <w:rsid w:val="38465D41"/>
    <w:rsid w:val="384B0CE3"/>
    <w:rsid w:val="384C3239"/>
    <w:rsid w:val="388A10B7"/>
    <w:rsid w:val="389D5DB7"/>
    <w:rsid w:val="38A96FC0"/>
    <w:rsid w:val="38AF1198"/>
    <w:rsid w:val="38CA0584"/>
    <w:rsid w:val="38D1110E"/>
    <w:rsid w:val="38DB13BE"/>
    <w:rsid w:val="38E2646B"/>
    <w:rsid w:val="38ED2888"/>
    <w:rsid w:val="39385D00"/>
    <w:rsid w:val="394A0237"/>
    <w:rsid w:val="395158E2"/>
    <w:rsid w:val="39543CF0"/>
    <w:rsid w:val="399767F1"/>
    <w:rsid w:val="39A71EAF"/>
    <w:rsid w:val="39B44035"/>
    <w:rsid w:val="39BF5D4C"/>
    <w:rsid w:val="39C66925"/>
    <w:rsid w:val="39F24A12"/>
    <w:rsid w:val="39FE076C"/>
    <w:rsid w:val="3A231E3E"/>
    <w:rsid w:val="3A277BA7"/>
    <w:rsid w:val="3A3921A1"/>
    <w:rsid w:val="3A54717D"/>
    <w:rsid w:val="3A5F30A6"/>
    <w:rsid w:val="3A6209CB"/>
    <w:rsid w:val="3A6E51E3"/>
    <w:rsid w:val="3A8B1490"/>
    <w:rsid w:val="3AA537DE"/>
    <w:rsid w:val="3AB33DBD"/>
    <w:rsid w:val="3ABC0F05"/>
    <w:rsid w:val="3ADF5ED8"/>
    <w:rsid w:val="3AEA56D6"/>
    <w:rsid w:val="3AEB2693"/>
    <w:rsid w:val="3AF57817"/>
    <w:rsid w:val="3B3816C5"/>
    <w:rsid w:val="3B4C52CD"/>
    <w:rsid w:val="3B931C5A"/>
    <w:rsid w:val="3BB2253B"/>
    <w:rsid w:val="3BC106CC"/>
    <w:rsid w:val="3BD44C9D"/>
    <w:rsid w:val="3BF47CE7"/>
    <w:rsid w:val="3C0435A9"/>
    <w:rsid w:val="3C345F42"/>
    <w:rsid w:val="3C4C7B64"/>
    <w:rsid w:val="3C8164BB"/>
    <w:rsid w:val="3C83355C"/>
    <w:rsid w:val="3C922B13"/>
    <w:rsid w:val="3CB72F42"/>
    <w:rsid w:val="3CD606C0"/>
    <w:rsid w:val="3CDC6DC1"/>
    <w:rsid w:val="3D00156E"/>
    <w:rsid w:val="3D071E53"/>
    <w:rsid w:val="3D151282"/>
    <w:rsid w:val="3D197528"/>
    <w:rsid w:val="3D566D29"/>
    <w:rsid w:val="3DB0225A"/>
    <w:rsid w:val="3DBF1439"/>
    <w:rsid w:val="3E1C7535"/>
    <w:rsid w:val="3E26584F"/>
    <w:rsid w:val="3E345007"/>
    <w:rsid w:val="3E512329"/>
    <w:rsid w:val="3E647D69"/>
    <w:rsid w:val="3E6C78E8"/>
    <w:rsid w:val="3E7B701C"/>
    <w:rsid w:val="3E971A8E"/>
    <w:rsid w:val="3E9E7CE5"/>
    <w:rsid w:val="3EAC1789"/>
    <w:rsid w:val="3EB341C4"/>
    <w:rsid w:val="3EEF393B"/>
    <w:rsid w:val="3EF24959"/>
    <w:rsid w:val="3EFD0EAF"/>
    <w:rsid w:val="3F216B3C"/>
    <w:rsid w:val="3F2A42C8"/>
    <w:rsid w:val="3F397A0D"/>
    <w:rsid w:val="3F4334D7"/>
    <w:rsid w:val="3F4A16E1"/>
    <w:rsid w:val="3F4C1D75"/>
    <w:rsid w:val="3F516295"/>
    <w:rsid w:val="3F5767D5"/>
    <w:rsid w:val="3F5C71C5"/>
    <w:rsid w:val="3F6D14E7"/>
    <w:rsid w:val="3F784A86"/>
    <w:rsid w:val="3F9535BE"/>
    <w:rsid w:val="3FBA2950"/>
    <w:rsid w:val="3FC37B4E"/>
    <w:rsid w:val="3FC9238C"/>
    <w:rsid w:val="3FCE7F54"/>
    <w:rsid w:val="3FCF38A8"/>
    <w:rsid w:val="401E1F67"/>
    <w:rsid w:val="40233E6E"/>
    <w:rsid w:val="405D04D0"/>
    <w:rsid w:val="4065043E"/>
    <w:rsid w:val="40713BA8"/>
    <w:rsid w:val="407422FD"/>
    <w:rsid w:val="40C11CED"/>
    <w:rsid w:val="40C12702"/>
    <w:rsid w:val="40D16E06"/>
    <w:rsid w:val="40E55594"/>
    <w:rsid w:val="40F40848"/>
    <w:rsid w:val="410725CE"/>
    <w:rsid w:val="41474370"/>
    <w:rsid w:val="41515612"/>
    <w:rsid w:val="41584E59"/>
    <w:rsid w:val="41596B94"/>
    <w:rsid w:val="41691983"/>
    <w:rsid w:val="416D4E1E"/>
    <w:rsid w:val="418278A7"/>
    <w:rsid w:val="41B71B80"/>
    <w:rsid w:val="420165A1"/>
    <w:rsid w:val="4248494D"/>
    <w:rsid w:val="42494C67"/>
    <w:rsid w:val="424A7B08"/>
    <w:rsid w:val="42542B8B"/>
    <w:rsid w:val="42855177"/>
    <w:rsid w:val="42AB316E"/>
    <w:rsid w:val="42DE6D0E"/>
    <w:rsid w:val="42F22F9C"/>
    <w:rsid w:val="42FB1918"/>
    <w:rsid w:val="43166AC4"/>
    <w:rsid w:val="433A51B1"/>
    <w:rsid w:val="433B675C"/>
    <w:rsid w:val="434325DF"/>
    <w:rsid w:val="43550696"/>
    <w:rsid w:val="436D380C"/>
    <w:rsid w:val="43893875"/>
    <w:rsid w:val="43AD144E"/>
    <w:rsid w:val="43B064C8"/>
    <w:rsid w:val="43BE2DB3"/>
    <w:rsid w:val="43C47B2B"/>
    <w:rsid w:val="43D00E94"/>
    <w:rsid w:val="43F46FBB"/>
    <w:rsid w:val="43FA3F7A"/>
    <w:rsid w:val="44430DFB"/>
    <w:rsid w:val="444733CE"/>
    <w:rsid w:val="444D2221"/>
    <w:rsid w:val="44524C64"/>
    <w:rsid w:val="44552B67"/>
    <w:rsid w:val="445B4CCB"/>
    <w:rsid w:val="446D62DA"/>
    <w:rsid w:val="44715490"/>
    <w:rsid w:val="447845A7"/>
    <w:rsid w:val="44861923"/>
    <w:rsid w:val="448B3924"/>
    <w:rsid w:val="44937BC0"/>
    <w:rsid w:val="449E6138"/>
    <w:rsid w:val="44A544FE"/>
    <w:rsid w:val="44B13799"/>
    <w:rsid w:val="44D81F83"/>
    <w:rsid w:val="44F968D4"/>
    <w:rsid w:val="45034F75"/>
    <w:rsid w:val="45231D87"/>
    <w:rsid w:val="452737A7"/>
    <w:rsid w:val="454C1D00"/>
    <w:rsid w:val="45755D71"/>
    <w:rsid w:val="45796AF8"/>
    <w:rsid w:val="45822CF4"/>
    <w:rsid w:val="45A93758"/>
    <w:rsid w:val="45C52C8F"/>
    <w:rsid w:val="46045CB7"/>
    <w:rsid w:val="461A5741"/>
    <w:rsid w:val="464D790E"/>
    <w:rsid w:val="46765126"/>
    <w:rsid w:val="467F6AE0"/>
    <w:rsid w:val="46924FD2"/>
    <w:rsid w:val="469D5B62"/>
    <w:rsid w:val="46B76087"/>
    <w:rsid w:val="46C04305"/>
    <w:rsid w:val="46C23F6B"/>
    <w:rsid w:val="46CE47B1"/>
    <w:rsid w:val="46D83629"/>
    <w:rsid w:val="46DA6E11"/>
    <w:rsid w:val="46DC5C5E"/>
    <w:rsid w:val="46E772DE"/>
    <w:rsid w:val="46F92D76"/>
    <w:rsid w:val="46FE6B86"/>
    <w:rsid w:val="47013413"/>
    <w:rsid w:val="473B29C5"/>
    <w:rsid w:val="474F1D66"/>
    <w:rsid w:val="47510E74"/>
    <w:rsid w:val="476935E1"/>
    <w:rsid w:val="4780724A"/>
    <w:rsid w:val="4788395D"/>
    <w:rsid w:val="479A6BAF"/>
    <w:rsid w:val="47C02BF3"/>
    <w:rsid w:val="47C32139"/>
    <w:rsid w:val="48017788"/>
    <w:rsid w:val="48110B42"/>
    <w:rsid w:val="481F614F"/>
    <w:rsid w:val="482024F8"/>
    <w:rsid w:val="48305339"/>
    <w:rsid w:val="483272FC"/>
    <w:rsid w:val="48376728"/>
    <w:rsid w:val="484330FC"/>
    <w:rsid w:val="484A483F"/>
    <w:rsid w:val="48625C6C"/>
    <w:rsid w:val="48631C94"/>
    <w:rsid w:val="48772186"/>
    <w:rsid w:val="48982C0C"/>
    <w:rsid w:val="48AA6B87"/>
    <w:rsid w:val="48DA453B"/>
    <w:rsid w:val="48DB1B35"/>
    <w:rsid w:val="48ED4702"/>
    <w:rsid w:val="49080BD1"/>
    <w:rsid w:val="49274E10"/>
    <w:rsid w:val="49577CCE"/>
    <w:rsid w:val="49A118D7"/>
    <w:rsid w:val="49AB30E4"/>
    <w:rsid w:val="49DE7063"/>
    <w:rsid w:val="49ED7AC2"/>
    <w:rsid w:val="4A110B73"/>
    <w:rsid w:val="4A15637F"/>
    <w:rsid w:val="4A234100"/>
    <w:rsid w:val="4A2F3CA0"/>
    <w:rsid w:val="4A6022F2"/>
    <w:rsid w:val="4A6F6491"/>
    <w:rsid w:val="4A771113"/>
    <w:rsid w:val="4A87259E"/>
    <w:rsid w:val="4A9D0EC8"/>
    <w:rsid w:val="4AA3011A"/>
    <w:rsid w:val="4AA357E0"/>
    <w:rsid w:val="4AC51068"/>
    <w:rsid w:val="4B242851"/>
    <w:rsid w:val="4B450F17"/>
    <w:rsid w:val="4B61517D"/>
    <w:rsid w:val="4B72254A"/>
    <w:rsid w:val="4BA426B2"/>
    <w:rsid w:val="4BA50E98"/>
    <w:rsid w:val="4BA5312B"/>
    <w:rsid w:val="4BD244CB"/>
    <w:rsid w:val="4BD31BC4"/>
    <w:rsid w:val="4BF104D0"/>
    <w:rsid w:val="4BF201E8"/>
    <w:rsid w:val="4BF41590"/>
    <w:rsid w:val="4BF41A4D"/>
    <w:rsid w:val="4C125D83"/>
    <w:rsid w:val="4C14125F"/>
    <w:rsid w:val="4C2140BB"/>
    <w:rsid w:val="4C2622F5"/>
    <w:rsid w:val="4C455F96"/>
    <w:rsid w:val="4C6307DE"/>
    <w:rsid w:val="4C693D2A"/>
    <w:rsid w:val="4C7779D5"/>
    <w:rsid w:val="4CAC181F"/>
    <w:rsid w:val="4CD6169B"/>
    <w:rsid w:val="4CE51F37"/>
    <w:rsid w:val="4CEB5609"/>
    <w:rsid w:val="4CF85F78"/>
    <w:rsid w:val="4D6F3B24"/>
    <w:rsid w:val="4D856C7B"/>
    <w:rsid w:val="4DA848C6"/>
    <w:rsid w:val="4DBC0187"/>
    <w:rsid w:val="4E3414D6"/>
    <w:rsid w:val="4E4D619A"/>
    <w:rsid w:val="4E5E2C6F"/>
    <w:rsid w:val="4E60645C"/>
    <w:rsid w:val="4E652B2A"/>
    <w:rsid w:val="4E75520E"/>
    <w:rsid w:val="4E8629AB"/>
    <w:rsid w:val="4E890D12"/>
    <w:rsid w:val="4E8E53A2"/>
    <w:rsid w:val="4EA10B50"/>
    <w:rsid w:val="4EB22784"/>
    <w:rsid w:val="4EC75355"/>
    <w:rsid w:val="4ECB1670"/>
    <w:rsid w:val="4EF05F03"/>
    <w:rsid w:val="4EF47F58"/>
    <w:rsid w:val="4F0E37D8"/>
    <w:rsid w:val="4F5267FC"/>
    <w:rsid w:val="4F5B54A0"/>
    <w:rsid w:val="4F8F3FD7"/>
    <w:rsid w:val="4F9467BD"/>
    <w:rsid w:val="4FC104A4"/>
    <w:rsid w:val="4FC9632F"/>
    <w:rsid w:val="4FFE225C"/>
    <w:rsid w:val="50063D01"/>
    <w:rsid w:val="50285920"/>
    <w:rsid w:val="504D6AA4"/>
    <w:rsid w:val="50595349"/>
    <w:rsid w:val="506B1419"/>
    <w:rsid w:val="507A4A00"/>
    <w:rsid w:val="50A53DF5"/>
    <w:rsid w:val="50C2215B"/>
    <w:rsid w:val="50CA5A4C"/>
    <w:rsid w:val="50E86D6A"/>
    <w:rsid w:val="50FD19C8"/>
    <w:rsid w:val="50FD502D"/>
    <w:rsid w:val="510A12EE"/>
    <w:rsid w:val="512D3A07"/>
    <w:rsid w:val="513B1F12"/>
    <w:rsid w:val="515C60BC"/>
    <w:rsid w:val="51625A0E"/>
    <w:rsid w:val="51935200"/>
    <w:rsid w:val="51CE45F4"/>
    <w:rsid w:val="51ED7653"/>
    <w:rsid w:val="51F15B92"/>
    <w:rsid w:val="51FE216D"/>
    <w:rsid w:val="5218647E"/>
    <w:rsid w:val="521D4351"/>
    <w:rsid w:val="528556AE"/>
    <w:rsid w:val="52862B78"/>
    <w:rsid w:val="529F2639"/>
    <w:rsid w:val="52A35472"/>
    <w:rsid w:val="52BA595B"/>
    <w:rsid w:val="52C02139"/>
    <w:rsid w:val="52CB72AE"/>
    <w:rsid w:val="52D950BA"/>
    <w:rsid w:val="53D16833"/>
    <w:rsid w:val="53ED29D1"/>
    <w:rsid w:val="54053594"/>
    <w:rsid w:val="540C2D83"/>
    <w:rsid w:val="540E0F16"/>
    <w:rsid w:val="541D1138"/>
    <w:rsid w:val="543B24F2"/>
    <w:rsid w:val="543E1570"/>
    <w:rsid w:val="545463F7"/>
    <w:rsid w:val="54603B21"/>
    <w:rsid w:val="54796E4A"/>
    <w:rsid w:val="54977258"/>
    <w:rsid w:val="549A28A4"/>
    <w:rsid w:val="54C567EE"/>
    <w:rsid w:val="54D961BD"/>
    <w:rsid w:val="54E16C66"/>
    <w:rsid w:val="550E51BC"/>
    <w:rsid w:val="55283139"/>
    <w:rsid w:val="553B3482"/>
    <w:rsid w:val="554730D0"/>
    <w:rsid w:val="556C115E"/>
    <w:rsid w:val="55821C19"/>
    <w:rsid w:val="55847C37"/>
    <w:rsid w:val="559A332B"/>
    <w:rsid w:val="55C829EC"/>
    <w:rsid w:val="55DD2606"/>
    <w:rsid w:val="56270C45"/>
    <w:rsid w:val="565B09E3"/>
    <w:rsid w:val="567078B2"/>
    <w:rsid w:val="5675030A"/>
    <w:rsid w:val="568A3152"/>
    <w:rsid w:val="568E3153"/>
    <w:rsid w:val="5690431D"/>
    <w:rsid w:val="56A83019"/>
    <w:rsid w:val="56AB4E51"/>
    <w:rsid w:val="56AD139E"/>
    <w:rsid w:val="56EC4AB5"/>
    <w:rsid w:val="570D7659"/>
    <w:rsid w:val="571839D9"/>
    <w:rsid w:val="571C60E7"/>
    <w:rsid w:val="5726BC48"/>
    <w:rsid w:val="573C1F2C"/>
    <w:rsid w:val="57401897"/>
    <w:rsid w:val="57485248"/>
    <w:rsid w:val="5760052D"/>
    <w:rsid w:val="576D2CC3"/>
    <w:rsid w:val="57D810FE"/>
    <w:rsid w:val="5802416F"/>
    <w:rsid w:val="58212A67"/>
    <w:rsid w:val="584F0B78"/>
    <w:rsid w:val="585039F0"/>
    <w:rsid w:val="585678E0"/>
    <w:rsid w:val="586C2DDF"/>
    <w:rsid w:val="5881407A"/>
    <w:rsid w:val="58F53CC1"/>
    <w:rsid w:val="58FD06A9"/>
    <w:rsid w:val="59165DE3"/>
    <w:rsid w:val="593E538C"/>
    <w:rsid w:val="59413AD0"/>
    <w:rsid w:val="59413B9C"/>
    <w:rsid w:val="59443C83"/>
    <w:rsid w:val="594B14D1"/>
    <w:rsid w:val="596E757C"/>
    <w:rsid w:val="599E5AFA"/>
    <w:rsid w:val="59AC6443"/>
    <w:rsid w:val="5A1604EC"/>
    <w:rsid w:val="5A3D56C7"/>
    <w:rsid w:val="5A5A6258"/>
    <w:rsid w:val="5A671B22"/>
    <w:rsid w:val="5A8712B7"/>
    <w:rsid w:val="5A8D5397"/>
    <w:rsid w:val="5AA8007D"/>
    <w:rsid w:val="5AAB3319"/>
    <w:rsid w:val="5AC265FC"/>
    <w:rsid w:val="5AD13057"/>
    <w:rsid w:val="5AD36797"/>
    <w:rsid w:val="5AE94E1E"/>
    <w:rsid w:val="5B170F3F"/>
    <w:rsid w:val="5B271097"/>
    <w:rsid w:val="5B5A0E4D"/>
    <w:rsid w:val="5B7D7393"/>
    <w:rsid w:val="5B934902"/>
    <w:rsid w:val="5B946745"/>
    <w:rsid w:val="5BA100F6"/>
    <w:rsid w:val="5C1C5342"/>
    <w:rsid w:val="5C1F50E4"/>
    <w:rsid w:val="5C400ACD"/>
    <w:rsid w:val="5C5023DF"/>
    <w:rsid w:val="5C5D77A2"/>
    <w:rsid w:val="5C603E7F"/>
    <w:rsid w:val="5C6520B7"/>
    <w:rsid w:val="5C812111"/>
    <w:rsid w:val="5CA80EE9"/>
    <w:rsid w:val="5CB963AB"/>
    <w:rsid w:val="5CDD343D"/>
    <w:rsid w:val="5CE85B7A"/>
    <w:rsid w:val="5D1D62E0"/>
    <w:rsid w:val="5D68142C"/>
    <w:rsid w:val="5D7F3AAD"/>
    <w:rsid w:val="5D8201BF"/>
    <w:rsid w:val="5DA72F74"/>
    <w:rsid w:val="5DA8443B"/>
    <w:rsid w:val="5DBC76A1"/>
    <w:rsid w:val="5DC51930"/>
    <w:rsid w:val="5DD06054"/>
    <w:rsid w:val="5DD8516B"/>
    <w:rsid w:val="5DEE6121"/>
    <w:rsid w:val="5DF05610"/>
    <w:rsid w:val="5DF2617F"/>
    <w:rsid w:val="5E185343"/>
    <w:rsid w:val="5E1F5A89"/>
    <w:rsid w:val="5E323C23"/>
    <w:rsid w:val="5E4776CC"/>
    <w:rsid w:val="5E713982"/>
    <w:rsid w:val="5E7E1966"/>
    <w:rsid w:val="5E984E48"/>
    <w:rsid w:val="5E9D63D8"/>
    <w:rsid w:val="5EC002F8"/>
    <w:rsid w:val="5EC168B9"/>
    <w:rsid w:val="5EDE2B12"/>
    <w:rsid w:val="5EF072F9"/>
    <w:rsid w:val="5F0137F9"/>
    <w:rsid w:val="5F0B5F64"/>
    <w:rsid w:val="5F1B4376"/>
    <w:rsid w:val="5F243F41"/>
    <w:rsid w:val="5F676C1F"/>
    <w:rsid w:val="5F6947E6"/>
    <w:rsid w:val="5F945CA9"/>
    <w:rsid w:val="5FAE566F"/>
    <w:rsid w:val="5FBE15B2"/>
    <w:rsid w:val="5FD16855"/>
    <w:rsid w:val="5FD6692C"/>
    <w:rsid w:val="5FFA4FF1"/>
    <w:rsid w:val="5FFB2592"/>
    <w:rsid w:val="6036115C"/>
    <w:rsid w:val="60492795"/>
    <w:rsid w:val="60716BAF"/>
    <w:rsid w:val="60751C95"/>
    <w:rsid w:val="608C1BE2"/>
    <w:rsid w:val="60C451B4"/>
    <w:rsid w:val="60C90A45"/>
    <w:rsid w:val="610B63F1"/>
    <w:rsid w:val="611D0C40"/>
    <w:rsid w:val="61231E18"/>
    <w:rsid w:val="61306D52"/>
    <w:rsid w:val="613418E7"/>
    <w:rsid w:val="614A5118"/>
    <w:rsid w:val="614A7116"/>
    <w:rsid w:val="614E09C1"/>
    <w:rsid w:val="61B14416"/>
    <w:rsid w:val="61B1517D"/>
    <w:rsid w:val="61B509CD"/>
    <w:rsid w:val="61C86C58"/>
    <w:rsid w:val="61E35677"/>
    <w:rsid w:val="6235108B"/>
    <w:rsid w:val="624A46FC"/>
    <w:rsid w:val="62540537"/>
    <w:rsid w:val="62803546"/>
    <w:rsid w:val="628B58EE"/>
    <w:rsid w:val="62BC4273"/>
    <w:rsid w:val="62C863C7"/>
    <w:rsid w:val="62E04872"/>
    <w:rsid w:val="62E11F07"/>
    <w:rsid w:val="62F74BEB"/>
    <w:rsid w:val="6300246C"/>
    <w:rsid w:val="632A7AE1"/>
    <w:rsid w:val="632E5B8A"/>
    <w:rsid w:val="634220D9"/>
    <w:rsid w:val="63434DF9"/>
    <w:rsid w:val="63480799"/>
    <w:rsid w:val="634A13A9"/>
    <w:rsid w:val="634B1C29"/>
    <w:rsid w:val="63694831"/>
    <w:rsid w:val="637F63BF"/>
    <w:rsid w:val="6382262A"/>
    <w:rsid w:val="63B8524D"/>
    <w:rsid w:val="63C14008"/>
    <w:rsid w:val="63E63297"/>
    <w:rsid w:val="63FF14EE"/>
    <w:rsid w:val="640838DA"/>
    <w:rsid w:val="641650A5"/>
    <w:rsid w:val="64324BBF"/>
    <w:rsid w:val="644B4598"/>
    <w:rsid w:val="64742B18"/>
    <w:rsid w:val="64803865"/>
    <w:rsid w:val="649B1CAA"/>
    <w:rsid w:val="64B36069"/>
    <w:rsid w:val="64F921DF"/>
    <w:rsid w:val="650E2757"/>
    <w:rsid w:val="652D7B54"/>
    <w:rsid w:val="652E3F74"/>
    <w:rsid w:val="65451832"/>
    <w:rsid w:val="657F0E4F"/>
    <w:rsid w:val="657F3A37"/>
    <w:rsid w:val="6586192D"/>
    <w:rsid w:val="659C19BC"/>
    <w:rsid w:val="65B3133F"/>
    <w:rsid w:val="65C26CCD"/>
    <w:rsid w:val="65C403F8"/>
    <w:rsid w:val="65F52FBE"/>
    <w:rsid w:val="66205A89"/>
    <w:rsid w:val="6639439E"/>
    <w:rsid w:val="666E569C"/>
    <w:rsid w:val="668D3251"/>
    <w:rsid w:val="668F4191"/>
    <w:rsid w:val="66A73043"/>
    <w:rsid w:val="66B24C7E"/>
    <w:rsid w:val="66B91192"/>
    <w:rsid w:val="66C145F9"/>
    <w:rsid w:val="66CF719F"/>
    <w:rsid w:val="66D604EE"/>
    <w:rsid w:val="66E45D95"/>
    <w:rsid w:val="66F752E8"/>
    <w:rsid w:val="66FB5866"/>
    <w:rsid w:val="67000627"/>
    <w:rsid w:val="67136253"/>
    <w:rsid w:val="6739148B"/>
    <w:rsid w:val="673C671B"/>
    <w:rsid w:val="673D3731"/>
    <w:rsid w:val="673F4BEB"/>
    <w:rsid w:val="67402DBE"/>
    <w:rsid w:val="674A159C"/>
    <w:rsid w:val="67591D97"/>
    <w:rsid w:val="676C6408"/>
    <w:rsid w:val="676F06A4"/>
    <w:rsid w:val="6798259B"/>
    <w:rsid w:val="67BF63B5"/>
    <w:rsid w:val="67E70F9E"/>
    <w:rsid w:val="68100C98"/>
    <w:rsid w:val="681937AD"/>
    <w:rsid w:val="681F287C"/>
    <w:rsid w:val="682663D9"/>
    <w:rsid w:val="682D6F44"/>
    <w:rsid w:val="683B526A"/>
    <w:rsid w:val="684C2822"/>
    <w:rsid w:val="68684D3C"/>
    <w:rsid w:val="68812508"/>
    <w:rsid w:val="68825002"/>
    <w:rsid w:val="68D756FC"/>
    <w:rsid w:val="68E77E4E"/>
    <w:rsid w:val="68EC1CB8"/>
    <w:rsid w:val="691607F4"/>
    <w:rsid w:val="691E5436"/>
    <w:rsid w:val="692C0D63"/>
    <w:rsid w:val="69322061"/>
    <w:rsid w:val="695B61DF"/>
    <w:rsid w:val="69606547"/>
    <w:rsid w:val="69675092"/>
    <w:rsid w:val="69A76C3E"/>
    <w:rsid w:val="69B74576"/>
    <w:rsid w:val="69D916F3"/>
    <w:rsid w:val="69DA5783"/>
    <w:rsid w:val="69EF3E4E"/>
    <w:rsid w:val="69F53EAB"/>
    <w:rsid w:val="6A1F6886"/>
    <w:rsid w:val="6A2B08E7"/>
    <w:rsid w:val="6A3114D2"/>
    <w:rsid w:val="6A546E85"/>
    <w:rsid w:val="6A56610A"/>
    <w:rsid w:val="6A665BA8"/>
    <w:rsid w:val="6A7E0052"/>
    <w:rsid w:val="6A954165"/>
    <w:rsid w:val="6A9838F1"/>
    <w:rsid w:val="6AD609A8"/>
    <w:rsid w:val="6AE11BD6"/>
    <w:rsid w:val="6AFA36C4"/>
    <w:rsid w:val="6B067DCE"/>
    <w:rsid w:val="6B2729C9"/>
    <w:rsid w:val="6B376A16"/>
    <w:rsid w:val="6B4D79E5"/>
    <w:rsid w:val="6B826DE3"/>
    <w:rsid w:val="6B863C3C"/>
    <w:rsid w:val="6BCA5AAF"/>
    <w:rsid w:val="6BD0569E"/>
    <w:rsid w:val="6BD13411"/>
    <w:rsid w:val="6BE174EF"/>
    <w:rsid w:val="6BE413B1"/>
    <w:rsid w:val="6BF67A96"/>
    <w:rsid w:val="6C3F3B3F"/>
    <w:rsid w:val="6C5775A1"/>
    <w:rsid w:val="6C5B413A"/>
    <w:rsid w:val="6C6A277F"/>
    <w:rsid w:val="6C845DA9"/>
    <w:rsid w:val="6CFD3D1A"/>
    <w:rsid w:val="6D111EE1"/>
    <w:rsid w:val="6D155A45"/>
    <w:rsid w:val="6D205817"/>
    <w:rsid w:val="6D565C76"/>
    <w:rsid w:val="6D6B361C"/>
    <w:rsid w:val="6D6E2F0B"/>
    <w:rsid w:val="6D6F2A9D"/>
    <w:rsid w:val="6D96551B"/>
    <w:rsid w:val="6DA03D58"/>
    <w:rsid w:val="6DB12194"/>
    <w:rsid w:val="6DB408AA"/>
    <w:rsid w:val="6DCD130D"/>
    <w:rsid w:val="6DEB1D8C"/>
    <w:rsid w:val="6E153270"/>
    <w:rsid w:val="6E1F566C"/>
    <w:rsid w:val="6E4A7B19"/>
    <w:rsid w:val="6E536DC3"/>
    <w:rsid w:val="6E6A5F6E"/>
    <w:rsid w:val="6E777A33"/>
    <w:rsid w:val="6E854A96"/>
    <w:rsid w:val="6E9672B7"/>
    <w:rsid w:val="6E984C84"/>
    <w:rsid w:val="6EA6415B"/>
    <w:rsid w:val="6EA66158"/>
    <w:rsid w:val="6EB91AA3"/>
    <w:rsid w:val="6EF331C9"/>
    <w:rsid w:val="6F0C7711"/>
    <w:rsid w:val="6F205C1E"/>
    <w:rsid w:val="6F3F52B5"/>
    <w:rsid w:val="6F3F60CB"/>
    <w:rsid w:val="6F577535"/>
    <w:rsid w:val="6F583FF2"/>
    <w:rsid w:val="6FA04E2A"/>
    <w:rsid w:val="6FA64AAB"/>
    <w:rsid w:val="6FB8129A"/>
    <w:rsid w:val="6FC25148"/>
    <w:rsid w:val="6FD233EC"/>
    <w:rsid w:val="6FEC25C5"/>
    <w:rsid w:val="6FEECAD9"/>
    <w:rsid w:val="6FEF49D1"/>
    <w:rsid w:val="7011637F"/>
    <w:rsid w:val="70623824"/>
    <w:rsid w:val="70705C9D"/>
    <w:rsid w:val="70813B9D"/>
    <w:rsid w:val="70C27578"/>
    <w:rsid w:val="70C30280"/>
    <w:rsid w:val="70D23BD3"/>
    <w:rsid w:val="70D6077E"/>
    <w:rsid w:val="70E4785D"/>
    <w:rsid w:val="70FE4316"/>
    <w:rsid w:val="71293B02"/>
    <w:rsid w:val="713A2476"/>
    <w:rsid w:val="713C31CB"/>
    <w:rsid w:val="71533639"/>
    <w:rsid w:val="715721F4"/>
    <w:rsid w:val="71695290"/>
    <w:rsid w:val="71891C0C"/>
    <w:rsid w:val="718B5F81"/>
    <w:rsid w:val="71A2207B"/>
    <w:rsid w:val="71A566B9"/>
    <w:rsid w:val="71AC6DFE"/>
    <w:rsid w:val="71C5588F"/>
    <w:rsid w:val="71E2071C"/>
    <w:rsid w:val="71EE1DBE"/>
    <w:rsid w:val="71FDA424"/>
    <w:rsid w:val="72134ADF"/>
    <w:rsid w:val="72273254"/>
    <w:rsid w:val="72623BBB"/>
    <w:rsid w:val="7277068C"/>
    <w:rsid w:val="729B519A"/>
    <w:rsid w:val="72B83D3B"/>
    <w:rsid w:val="72DF5E19"/>
    <w:rsid w:val="72E421C6"/>
    <w:rsid w:val="72FD350D"/>
    <w:rsid w:val="7311678E"/>
    <w:rsid w:val="731D33F4"/>
    <w:rsid w:val="732731BE"/>
    <w:rsid w:val="73292A1C"/>
    <w:rsid w:val="733F5B45"/>
    <w:rsid w:val="736C7911"/>
    <w:rsid w:val="7382483C"/>
    <w:rsid w:val="7387661B"/>
    <w:rsid w:val="73A02D74"/>
    <w:rsid w:val="73A81D8F"/>
    <w:rsid w:val="73DC140A"/>
    <w:rsid w:val="73E01E03"/>
    <w:rsid w:val="73E50ED1"/>
    <w:rsid w:val="742D599F"/>
    <w:rsid w:val="74307E72"/>
    <w:rsid w:val="7444611E"/>
    <w:rsid w:val="744C11F2"/>
    <w:rsid w:val="74536F25"/>
    <w:rsid w:val="74552A6A"/>
    <w:rsid w:val="74577539"/>
    <w:rsid w:val="7476091C"/>
    <w:rsid w:val="74B7720E"/>
    <w:rsid w:val="74BB3E4A"/>
    <w:rsid w:val="74D001A1"/>
    <w:rsid w:val="74EB7252"/>
    <w:rsid w:val="74F4422F"/>
    <w:rsid w:val="75045DDD"/>
    <w:rsid w:val="751C6FE3"/>
    <w:rsid w:val="754E381A"/>
    <w:rsid w:val="755F4EA1"/>
    <w:rsid w:val="7567138F"/>
    <w:rsid w:val="75772D42"/>
    <w:rsid w:val="757D3052"/>
    <w:rsid w:val="758C7180"/>
    <w:rsid w:val="75A77025"/>
    <w:rsid w:val="75AF5753"/>
    <w:rsid w:val="75E95691"/>
    <w:rsid w:val="75F163B8"/>
    <w:rsid w:val="75F32F45"/>
    <w:rsid w:val="75F7471A"/>
    <w:rsid w:val="76180C4E"/>
    <w:rsid w:val="763F7BA1"/>
    <w:rsid w:val="767D5997"/>
    <w:rsid w:val="767D5E56"/>
    <w:rsid w:val="7685193C"/>
    <w:rsid w:val="7689495C"/>
    <w:rsid w:val="769C2EE4"/>
    <w:rsid w:val="76A04EB1"/>
    <w:rsid w:val="76A900F9"/>
    <w:rsid w:val="76B35F22"/>
    <w:rsid w:val="76BD79C4"/>
    <w:rsid w:val="76D16831"/>
    <w:rsid w:val="76D879AE"/>
    <w:rsid w:val="76EF03D6"/>
    <w:rsid w:val="76FE4F17"/>
    <w:rsid w:val="7701609E"/>
    <w:rsid w:val="770F349D"/>
    <w:rsid w:val="778C2A19"/>
    <w:rsid w:val="77947754"/>
    <w:rsid w:val="77C061EF"/>
    <w:rsid w:val="77C27A2A"/>
    <w:rsid w:val="77D70870"/>
    <w:rsid w:val="78096E27"/>
    <w:rsid w:val="782A166A"/>
    <w:rsid w:val="78412EB3"/>
    <w:rsid w:val="78445EEE"/>
    <w:rsid w:val="78726FC4"/>
    <w:rsid w:val="78770606"/>
    <w:rsid w:val="787D43E7"/>
    <w:rsid w:val="7883417E"/>
    <w:rsid w:val="788E4ED5"/>
    <w:rsid w:val="78BE667E"/>
    <w:rsid w:val="78C534F2"/>
    <w:rsid w:val="78D072C8"/>
    <w:rsid w:val="78E449D8"/>
    <w:rsid w:val="78E7386F"/>
    <w:rsid w:val="79202FB2"/>
    <w:rsid w:val="793304A1"/>
    <w:rsid w:val="79431CA4"/>
    <w:rsid w:val="797B764E"/>
    <w:rsid w:val="797D4D80"/>
    <w:rsid w:val="797F7626"/>
    <w:rsid w:val="798F723C"/>
    <w:rsid w:val="79BA3219"/>
    <w:rsid w:val="79C866E5"/>
    <w:rsid w:val="79CC7548"/>
    <w:rsid w:val="79D46349"/>
    <w:rsid w:val="79D75C88"/>
    <w:rsid w:val="79E07F9A"/>
    <w:rsid w:val="7A0630C7"/>
    <w:rsid w:val="7A0E060B"/>
    <w:rsid w:val="7A295159"/>
    <w:rsid w:val="7A2C24D5"/>
    <w:rsid w:val="7A4538B4"/>
    <w:rsid w:val="7A511EB7"/>
    <w:rsid w:val="7AA1145D"/>
    <w:rsid w:val="7AA85AB4"/>
    <w:rsid w:val="7ABE4B34"/>
    <w:rsid w:val="7ACC454E"/>
    <w:rsid w:val="7AE2160A"/>
    <w:rsid w:val="7AF95CC7"/>
    <w:rsid w:val="7B3C5429"/>
    <w:rsid w:val="7B533704"/>
    <w:rsid w:val="7B543B55"/>
    <w:rsid w:val="7B5D4FF7"/>
    <w:rsid w:val="7B63535B"/>
    <w:rsid w:val="7BAE5340"/>
    <w:rsid w:val="7BB340C8"/>
    <w:rsid w:val="7BCF7606"/>
    <w:rsid w:val="7BD310C0"/>
    <w:rsid w:val="7BFF1B95"/>
    <w:rsid w:val="7BFFB3D1"/>
    <w:rsid w:val="7C0300E4"/>
    <w:rsid w:val="7C123E76"/>
    <w:rsid w:val="7C50222C"/>
    <w:rsid w:val="7C61550F"/>
    <w:rsid w:val="7C84536A"/>
    <w:rsid w:val="7C9902E8"/>
    <w:rsid w:val="7CC60125"/>
    <w:rsid w:val="7CCC2FCB"/>
    <w:rsid w:val="7CD51379"/>
    <w:rsid w:val="7CF064D4"/>
    <w:rsid w:val="7CF12BF9"/>
    <w:rsid w:val="7D432FA4"/>
    <w:rsid w:val="7D5A3290"/>
    <w:rsid w:val="7D781319"/>
    <w:rsid w:val="7D7A58C9"/>
    <w:rsid w:val="7D7D00F8"/>
    <w:rsid w:val="7D7E1E96"/>
    <w:rsid w:val="7D9465B7"/>
    <w:rsid w:val="7DB13EF1"/>
    <w:rsid w:val="7DBC1B5B"/>
    <w:rsid w:val="7DC84725"/>
    <w:rsid w:val="7E152C20"/>
    <w:rsid w:val="7E1D18E1"/>
    <w:rsid w:val="7E2A329D"/>
    <w:rsid w:val="7E3E236F"/>
    <w:rsid w:val="7E412EF5"/>
    <w:rsid w:val="7E4617AA"/>
    <w:rsid w:val="7E4A346D"/>
    <w:rsid w:val="7E4E2982"/>
    <w:rsid w:val="7E706FC4"/>
    <w:rsid w:val="7E9BF78C"/>
    <w:rsid w:val="7EB064D3"/>
    <w:rsid w:val="7EBFD61E"/>
    <w:rsid w:val="7ED46EC2"/>
    <w:rsid w:val="7EDB066F"/>
    <w:rsid w:val="7EE06268"/>
    <w:rsid w:val="7EF4518C"/>
    <w:rsid w:val="7EF45C0D"/>
    <w:rsid w:val="7EF91541"/>
    <w:rsid w:val="7F493443"/>
    <w:rsid w:val="7F4D56DF"/>
    <w:rsid w:val="7F882B66"/>
    <w:rsid w:val="7F9643A2"/>
    <w:rsid w:val="7FAF7A7A"/>
    <w:rsid w:val="7FC2752C"/>
    <w:rsid w:val="7FC40A72"/>
    <w:rsid w:val="7FCE4474"/>
    <w:rsid w:val="7FD00ED1"/>
    <w:rsid w:val="7FD81CB9"/>
    <w:rsid w:val="7FDF1F2A"/>
    <w:rsid w:val="7FE911DA"/>
    <w:rsid w:val="7FF43D8A"/>
    <w:rsid w:val="7FF728DA"/>
    <w:rsid w:val="8B5E8867"/>
    <w:rsid w:val="D877B9FA"/>
    <w:rsid w:val="DB7B97F3"/>
    <w:rsid w:val="DFBF53AE"/>
    <w:rsid w:val="DFFF57F5"/>
    <w:rsid w:val="DFFFC103"/>
    <w:rsid w:val="EEEDE974"/>
    <w:rsid w:val="EF3FF223"/>
    <w:rsid w:val="F77A5083"/>
    <w:rsid w:val="F91721D3"/>
    <w:rsid w:val="FDDD1F96"/>
    <w:rsid w:val="FE4B3DE7"/>
    <w:rsid w:val="FFDF0FBB"/>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qFormat="1" w:unhideWhenUsed="0"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99" w:semiHidden="0" w:name="caption"/>
    <w:lsdException w:qFormat="1" w:uiPriority="0" w:semiHidden="0" w:name="table of figures"/>
    <w:lsdException w:uiPriority="99" w:name="envelope address"/>
    <w:lsdException w:uiPriority="99" w:name="envelope return"/>
    <w:lsdException w:qFormat="1" w:unhideWhenUsed="0" w:uiPriority="99" w:semiHidden="0" w:name="footnote reference"/>
    <w:lsdException w:qFormat="1" w:unhideWhenUsed="0" w:uiPriority="99" w:semiHidden="0" w:name="annotation reference"/>
    <w:lsdException w:uiPriority="99" w:name="line number"/>
    <w:lsdException w:qFormat="1" w:unhideWhenUsed="0" w:uiPriority="99" w:semiHidden="0" w:name="page number"/>
    <w:lsdException w:uiPriority="99" w:name="endnote reference"/>
    <w:lsdException w:qFormat="1" w:unhideWhenUsed="0" w:uiPriority="99" w:name="endnote text"/>
    <w:lsdException w:uiPriority="99" w:name="table of authorities"/>
    <w:lsdException w:uiPriority="99" w:name="macro"/>
    <w:lsdException w:qFormat="1" w:unhideWhenUsed="0" w:uiPriority="99" w:semiHidden="0" w:name="toa heading"/>
    <w:lsdException w:qFormat="1" w:unhideWhenUsed="0" w:uiPriority="99" w:semiHidden="0" w:name="List"/>
    <w:lsdException w:uiPriority="99" w:name="List Bullet"/>
    <w:lsdException w:qFormat="1" w:unhideWhenUsed="0" w:uiPriority="99" w:semiHidden="0" w:name="List Number"/>
    <w:lsdException w:qFormat="1" w:unhideWhenUsed="0"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99" w:semiHidden="0"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nhideWhenUsed="0" w:uiPriority="99" w:name="Default Paragraph Font"/>
    <w:lsdException w:qFormat="1" w:unhideWhenUsed="0"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iPriority="99" w:name="Note Heading"/>
    <w:lsdException w:qFormat="1" w:unhideWhenUsed="0" w:uiPriority="99" w:semiHidden="0" w:name="Body Text 2"/>
    <w:lsdException w:uiPriority="99"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qFormat="1" w:unhideWhenUsed="0" w:uiPriority="99" w:semiHidden="0" w:name="HTML Cite"/>
    <w:lsdException w:uiPriority="99" w:name="HTML Code"/>
    <w:lsdException w:uiPriority="99" w:name="HTML Definition"/>
    <w:lsdException w:uiPriority="99" w:name="HTML Keyboard"/>
    <w:lsdException w:qFormat="1" w:unhideWhenUsed="0" w:uiPriority="99" w:semiHidden="0" w:name="HTML Preformatted"/>
    <w:lsdException w:qFormat="1" w:unhideWhenUsed="0" w:uiPriority="0" w:semiHidden="0"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70"/>
    <w:qFormat/>
    <w:uiPriority w:val="99"/>
    <w:pPr>
      <w:keepNext/>
      <w:keepLines/>
      <w:spacing w:line="578" w:lineRule="auto"/>
      <w:outlineLvl w:val="0"/>
    </w:pPr>
    <w:rPr>
      <w:b/>
      <w:bCs/>
      <w:kern w:val="44"/>
      <w:sz w:val="44"/>
      <w:szCs w:val="44"/>
    </w:rPr>
  </w:style>
  <w:style w:type="paragraph" w:styleId="3">
    <w:name w:val="heading 2"/>
    <w:basedOn w:val="1"/>
    <w:next w:val="1"/>
    <w:link w:val="177"/>
    <w:qFormat/>
    <w:uiPriority w:val="99"/>
    <w:pPr>
      <w:keepNext/>
      <w:keepLines/>
      <w:spacing w:before="260" w:after="260" w:line="416" w:lineRule="auto"/>
      <w:outlineLvl w:val="1"/>
    </w:pPr>
    <w:rPr>
      <w:rFonts w:ascii="Arial" w:hAnsi="Arial" w:eastAsia="黑体"/>
      <w:sz w:val="32"/>
      <w:szCs w:val="32"/>
    </w:rPr>
  </w:style>
  <w:style w:type="paragraph" w:styleId="4">
    <w:name w:val="heading 3"/>
    <w:basedOn w:val="1"/>
    <w:next w:val="1"/>
    <w:link w:val="72"/>
    <w:qFormat/>
    <w:uiPriority w:val="99"/>
    <w:pPr>
      <w:keepNext/>
      <w:keepLines/>
      <w:spacing w:line="416" w:lineRule="auto"/>
      <w:outlineLvl w:val="2"/>
    </w:pPr>
    <w:rPr>
      <w:b/>
      <w:bCs/>
      <w:sz w:val="32"/>
      <w:szCs w:val="32"/>
    </w:rPr>
  </w:style>
  <w:style w:type="paragraph" w:styleId="5">
    <w:name w:val="heading 4"/>
    <w:basedOn w:val="1"/>
    <w:next w:val="1"/>
    <w:link w:val="73"/>
    <w:qFormat/>
    <w:uiPriority w:val="99"/>
    <w:pPr>
      <w:ind w:firstLine="643" w:firstLineChars="200"/>
      <w:outlineLvl w:val="3"/>
    </w:pPr>
    <w:rPr>
      <w:rFonts w:ascii="Arial" w:hAnsi="Arial" w:eastAsia="黑体"/>
      <w:b/>
      <w:bCs/>
      <w:sz w:val="32"/>
      <w:szCs w:val="32"/>
    </w:rPr>
  </w:style>
  <w:style w:type="paragraph" w:styleId="6">
    <w:name w:val="heading 5"/>
    <w:basedOn w:val="1"/>
    <w:next w:val="1"/>
    <w:link w:val="74"/>
    <w:qFormat/>
    <w:uiPriority w:val="99"/>
    <w:pPr>
      <w:keepNext/>
      <w:keepLines/>
      <w:spacing w:before="280" w:after="290" w:line="376" w:lineRule="auto"/>
      <w:outlineLvl w:val="4"/>
    </w:pPr>
    <w:rPr>
      <w:rFonts w:ascii="Calibri" w:hAnsi="Calibri"/>
      <w:b/>
      <w:bCs/>
      <w:kern w:val="0"/>
      <w:sz w:val="28"/>
      <w:szCs w:val="28"/>
    </w:rPr>
  </w:style>
  <w:style w:type="paragraph" w:styleId="7">
    <w:name w:val="heading 6"/>
    <w:basedOn w:val="1"/>
    <w:next w:val="1"/>
    <w:link w:val="75"/>
    <w:qFormat/>
    <w:uiPriority w:val="99"/>
    <w:pPr>
      <w:keepNext/>
      <w:keepLines/>
      <w:spacing w:before="240" w:after="64" w:line="320" w:lineRule="auto"/>
      <w:outlineLvl w:val="5"/>
    </w:pPr>
    <w:rPr>
      <w:rFonts w:ascii="Cambria" w:hAnsi="Cambria"/>
      <w:b/>
      <w:bCs/>
      <w:kern w:val="0"/>
      <w:sz w:val="24"/>
    </w:rPr>
  </w:style>
  <w:style w:type="paragraph" w:styleId="8">
    <w:name w:val="heading 7"/>
    <w:basedOn w:val="1"/>
    <w:next w:val="1"/>
    <w:link w:val="76"/>
    <w:qFormat/>
    <w:uiPriority w:val="99"/>
    <w:pPr>
      <w:keepNext/>
      <w:keepLines/>
      <w:spacing w:before="240" w:after="64" w:line="320" w:lineRule="auto"/>
      <w:outlineLvl w:val="6"/>
    </w:pPr>
    <w:rPr>
      <w:rFonts w:ascii="Calibri" w:hAnsi="Calibri"/>
      <w:b/>
      <w:bCs/>
      <w:kern w:val="0"/>
      <w:sz w:val="24"/>
    </w:rPr>
  </w:style>
  <w:style w:type="paragraph" w:styleId="9">
    <w:name w:val="heading 8"/>
    <w:basedOn w:val="1"/>
    <w:next w:val="1"/>
    <w:link w:val="77"/>
    <w:qFormat/>
    <w:uiPriority w:val="99"/>
    <w:pPr>
      <w:keepNext/>
      <w:keepLines/>
      <w:spacing w:before="240" w:after="64" w:line="320" w:lineRule="auto"/>
      <w:outlineLvl w:val="7"/>
    </w:pPr>
    <w:rPr>
      <w:rFonts w:ascii="Cambria" w:hAnsi="Cambria"/>
      <w:kern w:val="0"/>
      <w:sz w:val="24"/>
    </w:rPr>
  </w:style>
  <w:style w:type="paragraph" w:styleId="10">
    <w:name w:val="heading 9"/>
    <w:basedOn w:val="1"/>
    <w:next w:val="1"/>
    <w:link w:val="78"/>
    <w:qFormat/>
    <w:uiPriority w:val="99"/>
    <w:pPr>
      <w:keepNext/>
      <w:keepLines/>
      <w:spacing w:before="240" w:after="64" w:line="320" w:lineRule="auto"/>
      <w:outlineLvl w:val="8"/>
    </w:pPr>
    <w:rPr>
      <w:rFonts w:ascii="Cambria" w:hAnsi="Cambria"/>
      <w:kern w:val="0"/>
      <w:sz w:val="20"/>
      <w:szCs w:val="21"/>
    </w:rPr>
  </w:style>
  <w:style w:type="character" w:default="1" w:styleId="52">
    <w:name w:val="Default Paragraph Font"/>
    <w:semiHidden/>
    <w:qFormat/>
    <w:uiPriority w:val="99"/>
  </w:style>
  <w:style w:type="table" w:default="1" w:styleId="50">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99"/>
    <w:pPr>
      <w:ind w:left="2520" w:leftChars="1200"/>
    </w:pPr>
    <w:rPr>
      <w:rFonts w:ascii="Calibri" w:hAnsi="Calibri"/>
      <w:szCs w:val="22"/>
    </w:rPr>
  </w:style>
  <w:style w:type="paragraph" w:styleId="12">
    <w:name w:val="List Number"/>
    <w:basedOn w:val="1"/>
    <w:qFormat/>
    <w:uiPriority w:val="99"/>
    <w:pPr>
      <w:numPr>
        <w:ilvl w:val="0"/>
        <w:numId w:val="1"/>
      </w:numPr>
    </w:pPr>
  </w:style>
  <w:style w:type="paragraph" w:styleId="13">
    <w:name w:val="Normal Indent"/>
    <w:basedOn w:val="1"/>
    <w:next w:val="1"/>
    <w:qFormat/>
    <w:uiPriority w:val="99"/>
    <w:pPr>
      <w:ind w:firstLine="420" w:firstLineChars="200"/>
    </w:pPr>
  </w:style>
  <w:style w:type="paragraph" w:styleId="14">
    <w:name w:val="caption"/>
    <w:basedOn w:val="1"/>
    <w:next w:val="1"/>
    <w:qFormat/>
    <w:uiPriority w:val="99"/>
    <w:pPr>
      <w:spacing w:before="152" w:after="160"/>
    </w:pPr>
    <w:rPr>
      <w:rFonts w:ascii="Arial" w:hAnsi="Arial" w:eastAsia="黑体" w:cs="Arial"/>
      <w:sz w:val="20"/>
      <w:szCs w:val="20"/>
    </w:rPr>
  </w:style>
  <w:style w:type="paragraph" w:styleId="15">
    <w:name w:val="Document Map"/>
    <w:basedOn w:val="1"/>
    <w:link w:val="79"/>
    <w:qFormat/>
    <w:uiPriority w:val="99"/>
    <w:pPr>
      <w:shd w:val="clear" w:color="auto" w:fill="000080"/>
    </w:pPr>
  </w:style>
  <w:style w:type="paragraph" w:styleId="16">
    <w:name w:val="toa heading"/>
    <w:basedOn w:val="1"/>
    <w:next w:val="1"/>
    <w:qFormat/>
    <w:uiPriority w:val="99"/>
    <w:pPr>
      <w:spacing w:before="120"/>
    </w:pPr>
    <w:rPr>
      <w:rFonts w:ascii="Arial" w:hAnsi="Arial" w:eastAsia="仿宋_GB2312" w:cs="Arial"/>
      <w:b/>
      <w:bCs/>
      <w:color w:val="000000"/>
      <w:kern w:val="0"/>
      <w:sz w:val="24"/>
      <w:szCs w:val="21"/>
    </w:rPr>
  </w:style>
  <w:style w:type="paragraph" w:styleId="17">
    <w:name w:val="annotation text"/>
    <w:basedOn w:val="1"/>
    <w:link w:val="80"/>
    <w:qFormat/>
    <w:uiPriority w:val="99"/>
    <w:pPr>
      <w:jc w:val="left"/>
    </w:pPr>
    <w:rPr>
      <w:rFonts w:ascii="Calibri" w:hAnsi="Calibri"/>
    </w:rPr>
  </w:style>
  <w:style w:type="paragraph" w:styleId="18">
    <w:name w:val="Body Text"/>
    <w:basedOn w:val="1"/>
    <w:next w:val="19"/>
    <w:link w:val="81"/>
    <w:semiHidden/>
    <w:qFormat/>
    <w:uiPriority w:val="99"/>
    <w:pPr>
      <w:spacing w:after="120"/>
    </w:pPr>
    <w:rPr>
      <w:rFonts w:ascii="Calibri" w:hAnsi="Calibri"/>
      <w:szCs w:val="22"/>
    </w:rPr>
  </w:style>
  <w:style w:type="paragraph" w:styleId="19">
    <w:name w:val="Body Text First Indent"/>
    <w:basedOn w:val="18"/>
    <w:next w:val="1"/>
    <w:link w:val="82"/>
    <w:qFormat/>
    <w:uiPriority w:val="99"/>
    <w:pPr>
      <w:autoSpaceDE w:val="0"/>
      <w:autoSpaceDN w:val="0"/>
      <w:adjustRightInd w:val="0"/>
      <w:spacing w:line="360" w:lineRule="auto"/>
      <w:ind w:firstLine="420" w:firstLineChars="100"/>
    </w:pPr>
    <w:rPr>
      <w:szCs w:val="24"/>
    </w:rPr>
  </w:style>
  <w:style w:type="paragraph" w:styleId="20">
    <w:name w:val="Body Text Indent"/>
    <w:basedOn w:val="1"/>
    <w:next w:val="1"/>
    <w:link w:val="83"/>
    <w:qFormat/>
    <w:uiPriority w:val="99"/>
    <w:pPr>
      <w:tabs>
        <w:tab w:val="left" w:pos="900"/>
      </w:tabs>
      <w:autoSpaceDE w:val="0"/>
      <w:autoSpaceDN w:val="0"/>
      <w:adjustRightInd w:val="0"/>
      <w:spacing w:line="540" w:lineRule="exact"/>
      <w:ind w:firstLine="561"/>
    </w:pPr>
    <w:rPr>
      <w:rFonts w:ascii="仿宋_GB2312" w:eastAsia="仿宋_GB2312"/>
      <w:sz w:val="28"/>
      <w:szCs w:val="28"/>
      <w:lang w:val="zh-CN"/>
    </w:rPr>
  </w:style>
  <w:style w:type="paragraph" w:styleId="21">
    <w:name w:val="List Number 3"/>
    <w:basedOn w:val="1"/>
    <w:qFormat/>
    <w:uiPriority w:val="99"/>
    <w:pPr>
      <w:widowControl/>
      <w:numPr>
        <w:ilvl w:val="0"/>
        <w:numId w:val="2"/>
      </w:numPr>
      <w:tabs>
        <w:tab w:val="left" w:pos="482"/>
      </w:tabs>
      <w:spacing w:afterLines="50"/>
      <w:ind w:left="482" w:hanging="340"/>
      <w:jc w:val="left"/>
    </w:pPr>
    <w:rPr>
      <w:kern w:val="0"/>
      <w:sz w:val="24"/>
      <w:szCs w:val="20"/>
    </w:rPr>
  </w:style>
  <w:style w:type="paragraph" w:styleId="22">
    <w:name w:val="List 2"/>
    <w:basedOn w:val="1"/>
    <w:qFormat/>
    <w:uiPriority w:val="99"/>
    <w:pPr>
      <w:ind w:left="100" w:leftChars="200" w:hanging="200" w:hangingChars="200"/>
    </w:pPr>
  </w:style>
  <w:style w:type="paragraph" w:styleId="23">
    <w:name w:val="Block Text"/>
    <w:basedOn w:val="1"/>
    <w:qFormat/>
    <w:uiPriority w:val="99"/>
    <w:pPr>
      <w:spacing w:beforeLines="50" w:afterLines="50"/>
      <w:ind w:left="426" w:right="-11" w:hanging="426" w:hangingChars="203"/>
    </w:pPr>
    <w:rPr>
      <w:rFonts w:eastAsia="楷体_GB2312"/>
    </w:rPr>
  </w:style>
  <w:style w:type="paragraph" w:styleId="24">
    <w:name w:val="toc 5"/>
    <w:basedOn w:val="1"/>
    <w:next w:val="1"/>
    <w:qFormat/>
    <w:uiPriority w:val="99"/>
    <w:pPr>
      <w:ind w:left="1680" w:leftChars="800"/>
    </w:pPr>
    <w:rPr>
      <w:rFonts w:ascii="Calibri" w:hAnsi="Calibri"/>
      <w:szCs w:val="22"/>
    </w:rPr>
  </w:style>
  <w:style w:type="paragraph" w:styleId="25">
    <w:name w:val="toc 3"/>
    <w:basedOn w:val="1"/>
    <w:next w:val="1"/>
    <w:qFormat/>
    <w:uiPriority w:val="99"/>
    <w:pPr>
      <w:ind w:left="840" w:leftChars="400"/>
    </w:pPr>
  </w:style>
  <w:style w:type="paragraph" w:styleId="26">
    <w:name w:val="Plain Text"/>
    <w:basedOn w:val="1"/>
    <w:next w:val="1"/>
    <w:link w:val="84"/>
    <w:qFormat/>
    <w:uiPriority w:val="99"/>
    <w:pPr>
      <w:widowControl/>
      <w:overflowPunct w:val="0"/>
      <w:autoSpaceDE w:val="0"/>
      <w:autoSpaceDN w:val="0"/>
      <w:adjustRightInd w:val="0"/>
      <w:jc w:val="left"/>
      <w:textAlignment w:val="baseline"/>
    </w:pPr>
    <w:rPr>
      <w:rFonts w:ascii="宋体" w:hAnsi="Courier New"/>
      <w:kern w:val="0"/>
      <w:szCs w:val="20"/>
    </w:rPr>
  </w:style>
  <w:style w:type="paragraph" w:styleId="27">
    <w:name w:val="toc 8"/>
    <w:basedOn w:val="1"/>
    <w:next w:val="1"/>
    <w:qFormat/>
    <w:uiPriority w:val="99"/>
    <w:pPr>
      <w:ind w:left="2940" w:leftChars="1400"/>
    </w:pPr>
    <w:rPr>
      <w:rFonts w:ascii="Calibri" w:hAnsi="Calibri"/>
      <w:szCs w:val="22"/>
    </w:rPr>
  </w:style>
  <w:style w:type="paragraph" w:styleId="28">
    <w:name w:val="Date"/>
    <w:basedOn w:val="1"/>
    <w:next w:val="1"/>
    <w:link w:val="85"/>
    <w:qFormat/>
    <w:uiPriority w:val="99"/>
    <w:pPr>
      <w:ind w:left="2500" w:leftChars="2500"/>
    </w:pPr>
    <w:rPr>
      <w:rFonts w:eastAsia="楷体_GB2312"/>
      <w:sz w:val="32"/>
      <w:szCs w:val="20"/>
    </w:rPr>
  </w:style>
  <w:style w:type="paragraph" w:styleId="29">
    <w:name w:val="Body Text Indent 2"/>
    <w:basedOn w:val="1"/>
    <w:link w:val="86"/>
    <w:qFormat/>
    <w:uiPriority w:val="99"/>
    <w:pPr>
      <w:autoSpaceDE w:val="0"/>
      <w:autoSpaceDN w:val="0"/>
      <w:adjustRightInd w:val="0"/>
      <w:spacing w:line="520" w:lineRule="exact"/>
      <w:ind w:left="181" w:firstLine="239"/>
    </w:pPr>
    <w:rPr>
      <w:rFonts w:ascii="仿宋_GB2312" w:eastAsia="仿宋_GB2312"/>
      <w:sz w:val="28"/>
      <w:szCs w:val="28"/>
      <w:lang w:val="zh-CN"/>
    </w:rPr>
  </w:style>
  <w:style w:type="paragraph" w:styleId="30">
    <w:name w:val="endnote text"/>
    <w:basedOn w:val="1"/>
    <w:link w:val="87"/>
    <w:semiHidden/>
    <w:qFormat/>
    <w:uiPriority w:val="99"/>
    <w:pPr>
      <w:snapToGrid w:val="0"/>
      <w:jc w:val="left"/>
    </w:pPr>
    <w:rPr>
      <w:szCs w:val="20"/>
    </w:rPr>
  </w:style>
  <w:style w:type="paragraph" w:styleId="31">
    <w:name w:val="Balloon Text"/>
    <w:basedOn w:val="1"/>
    <w:link w:val="88"/>
    <w:qFormat/>
    <w:uiPriority w:val="99"/>
    <w:rPr>
      <w:sz w:val="18"/>
      <w:szCs w:val="18"/>
    </w:rPr>
  </w:style>
  <w:style w:type="paragraph" w:styleId="32">
    <w:name w:val="footer"/>
    <w:basedOn w:val="1"/>
    <w:link w:val="89"/>
    <w:qFormat/>
    <w:uiPriority w:val="99"/>
    <w:pPr>
      <w:tabs>
        <w:tab w:val="center" w:pos="4153"/>
        <w:tab w:val="right" w:pos="8306"/>
      </w:tabs>
      <w:snapToGrid w:val="0"/>
      <w:jc w:val="left"/>
    </w:pPr>
    <w:rPr>
      <w:sz w:val="18"/>
      <w:szCs w:val="18"/>
    </w:rPr>
  </w:style>
  <w:style w:type="paragraph" w:styleId="33">
    <w:name w:val="header"/>
    <w:basedOn w:val="1"/>
    <w:link w:val="90"/>
    <w:qFormat/>
    <w:uiPriority w:val="99"/>
    <w:pPr>
      <w:pBdr>
        <w:bottom w:val="single" w:color="auto" w:sz="6" w:space="1"/>
      </w:pBdr>
      <w:tabs>
        <w:tab w:val="center" w:pos="4153"/>
        <w:tab w:val="right" w:pos="8306"/>
      </w:tabs>
      <w:snapToGrid w:val="0"/>
      <w:jc w:val="center"/>
    </w:pPr>
    <w:rPr>
      <w:sz w:val="18"/>
      <w:szCs w:val="18"/>
    </w:rPr>
  </w:style>
  <w:style w:type="paragraph" w:styleId="34">
    <w:name w:val="toc 1"/>
    <w:basedOn w:val="1"/>
    <w:next w:val="1"/>
    <w:qFormat/>
    <w:uiPriority w:val="99"/>
  </w:style>
  <w:style w:type="paragraph" w:styleId="35">
    <w:name w:val="toc 4"/>
    <w:basedOn w:val="1"/>
    <w:next w:val="1"/>
    <w:qFormat/>
    <w:uiPriority w:val="99"/>
    <w:pPr>
      <w:ind w:left="1260" w:leftChars="600"/>
    </w:pPr>
    <w:rPr>
      <w:rFonts w:ascii="Calibri" w:hAnsi="Calibri"/>
      <w:szCs w:val="22"/>
    </w:rPr>
  </w:style>
  <w:style w:type="paragraph" w:styleId="36">
    <w:name w:val="List"/>
    <w:basedOn w:val="1"/>
    <w:qFormat/>
    <w:uiPriority w:val="99"/>
    <w:pPr>
      <w:ind w:left="200" w:hanging="200" w:hangingChars="200"/>
    </w:pPr>
  </w:style>
  <w:style w:type="paragraph" w:styleId="37">
    <w:name w:val="footnote text"/>
    <w:basedOn w:val="1"/>
    <w:link w:val="91"/>
    <w:qFormat/>
    <w:uiPriority w:val="99"/>
    <w:pPr>
      <w:snapToGrid w:val="0"/>
      <w:jc w:val="left"/>
    </w:pPr>
    <w:rPr>
      <w:rFonts w:ascii="Calibri" w:hAnsi="Calibri"/>
      <w:sz w:val="18"/>
    </w:rPr>
  </w:style>
  <w:style w:type="paragraph" w:styleId="38">
    <w:name w:val="toc 6"/>
    <w:basedOn w:val="1"/>
    <w:next w:val="1"/>
    <w:qFormat/>
    <w:uiPriority w:val="99"/>
    <w:pPr>
      <w:ind w:left="2100" w:leftChars="1000"/>
    </w:pPr>
    <w:rPr>
      <w:rFonts w:ascii="Calibri" w:hAnsi="Calibri"/>
      <w:szCs w:val="22"/>
    </w:rPr>
  </w:style>
  <w:style w:type="paragraph" w:styleId="39">
    <w:name w:val="Body Text Indent 3"/>
    <w:basedOn w:val="1"/>
    <w:link w:val="92"/>
    <w:qFormat/>
    <w:uiPriority w:val="99"/>
    <w:pPr>
      <w:autoSpaceDE w:val="0"/>
      <w:autoSpaceDN w:val="0"/>
      <w:adjustRightInd w:val="0"/>
      <w:spacing w:line="540" w:lineRule="exact"/>
      <w:ind w:firstLine="538" w:firstLineChars="192"/>
      <w:jc w:val="left"/>
    </w:pPr>
    <w:rPr>
      <w:rFonts w:ascii="仿宋_GB2312" w:eastAsia="仿宋_GB2312"/>
      <w:sz w:val="28"/>
      <w:szCs w:val="28"/>
      <w:lang w:val="zh-CN"/>
    </w:rPr>
  </w:style>
  <w:style w:type="paragraph" w:styleId="40">
    <w:name w:val="index 7"/>
    <w:basedOn w:val="1"/>
    <w:next w:val="1"/>
    <w:semiHidden/>
    <w:qFormat/>
    <w:uiPriority w:val="99"/>
    <w:pPr>
      <w:ind w:left="1200" w:leftChars="1200"/>
    </w:pPr>
  </w:style>
  <w:style w:type="paragraph" w:styleId="41">
    <w:name w:val="table of figures"/>
    <w:basedOn w:val="1"/>
    <w:next w:val="1"/>
    <w:unhideWhenUsed/>
    <w:qFormat/>
    <w:uiPriority w:val="0"/>
    <w:pPr>
      <w:tabs>
        <w:tab w:val="left" w:pos="1270"/>
      </w:tabs>
      <w:spacing w:line="360" w:lineRule="auto"/>
      <w:ind w:left="1270" w:hanging="420"/>
      <w:jc w:val="left"/>
    </w:pPr>
    <w:rPr>
      <w:smallCaps/>
      <w:sz w:val="20"/>
      <w:szCs w:val="20"/>
    </w:rPr>
  </w:style>
  <w:style w:type="paragraph" w:styleId="42">
    <w:name w:val="toc 2"/>
    <w:basedOn w:val="1"/>
    <w:next w:val="1"/>
    <w:qFormat/>
    <w:uiPriority w:val="99"/>
    <w:pPr>
      <w:ind w:left="420" w:leftChars="200"/>
    </w:pPr>
  </w:style>
  <w:style w:type="paragraph" w:styleId="43">
    <w:name w:val="toc 9"/>
    <w:basedOn w:val="1"/>
    <w:next w:val="1"/>
    <w:qFormat/>
    <w:uiPriority w:val="99"/>
    <w:pPr>
      <w:ind w:left="3360" w:leftChars="1600"/>
    </w:pPr>
    <w:rPr>
      <w:rFonts w:ascii="Calibri" w:hAnsi="Calibri"/>
      <w:szCs w:val="22"/>
    </w:rPr>
  </w:style>
  <w:style w:type="paragraph" w:styleId="44">
    <w:name w:val="Body Text 2"/>
    <w:basedOn w:val="1"/>
    <w:link w:val="93"/>
    <w:qFormat/>
    <w:uiPriority w:val="99"/>
    <w:pPr>
      <w:spacing w:after="120" w:line="480" w:lineRule="auto"/>
    </w:pPr>
  </w:style>
  <w:style w:type="paragraph" w:styleId="45">
    <w:name w:val="HTML Preformatted"/>
    <w:basedOn w:val="1"/>
    <w:link w:val="94"/>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46">
    <w:name w:val="Normal (Web)"/>
    <w:basedOn w:val="1"/>
    <w:next w:val="42"/>
    <w:qFormat/>
    <w:uiPriority w:val="99"/>
    <w:pPr>
      <w:widowControl/>
      <w:spacing w:beforeAutospacing="1" w:afterAutospacing="1"/>
      <w:jc w:val="left"/>
    </w:pPr>
    <w:rPr>
      <w:rFonts w:ascii="宋体" w:hAnsi="宋体"/>
      <w:kern w:val="0"/>
      <w:sz w:val="24"/>
    </w:rPr>
  </w:style>
  <w:style w:type="paragraph" w:styleId="47">
    <w:name w:val="Title"/>
    <w:basedOn w:val="1"/>
    <w:next w:val="1"/>
    <w:link w:val="95"/>
    <w:qFormat/>
    <w:uiPriority w:val="99"/>
    <w:pPr>
      <w:jc w:val="center"/>
    </w:pPr>
    <w:rPr>
      <w:rFonts w:ascii="Arial" w:hAnsi="Arial"/>
      <w:b/>
      <w:kern w:val="0"/>
      <w:sz w:val="36"/>
      <w:szCs w:val="20"/>
      <w:lang w:eastAsia="en-US"/>
    </w:rPr>
  </w:style>
  <w:style w:type="paragraph" w:styleId="48">
    <w:name w:val="annotation subject"/>
    <w:basedOn w:val="17"/>
    <w:next w:val="17"/>
    <w:link w:val="96"/>
    <w:qFormat/>
    <w:uiPriority w:val="99"/>
    <w:rPr>
      <w:b/>
      <w:bCs/>
    </w:rPr>
  </w:style>
  <w:style w:type="paragraph" w:styleId="49">
    <w:name w:val="Body Text First Indent 2"/>
    <w:basedOn w:val="20"/>
    <w:next w:val="19"/>
    <w:link w:val="97"/>
    <w:qFormat/>
    <w:uiPriority w:val="99"/>
    <w:pPr>
      <w:spacing w:after="120" w:line="240" w:lineRule="auto"/>
      <w:ind w:left="420" w:leftChars="200" w:firstLine="420"/>
    </w:pPr>
    <w:rPr>
      <w:rFonts w:cs="宋体"/>
      <w:sz w:val="21"/>
      <w:szCs w:val="21"/>
    </w:rPr>
  </w:style>
  <w:style w:type="table" w:styleId="51">
    <w:name w:val="Table Grid"/>
    <w:basedOn w:val="50"/>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3">
    <w:name w:val="Strong"/>
    <w:basedOn w:val="52"/>
    <w:qFormat/>
    <w:uiPriority w:val="99"/>
    <w:rPr>
      <w:rFonts w:cs="Times New Roman"/>
      <w:b/>
    </w:rPr>
  </w:style>
  <w:style w:type="character" w:styleId="54">
    <w:name w:val="page number"/>
    <w:basedOn w:val="52"/>
    <w:qFormat/>
    <w:uiPriority w:val="99"/>
    <w:rPr>
      <w:rFonts w:cs="Times New Roman"/>
    </w:rPr>
  </w:style>
  <w:style w:type="character" w:styleId="55">
    <w:name w:val="FollowedHyperlink"/>
    <w:basedOn w:val="52"/>
    <w:qFormat/>
    <w:uiPriority w:val="99"/>
    <w:rPr>
      <w:rFonts w:cs="Times New Roman"/>
      <w:color w:val="800080"/>
      <w:u w:val="single"/>
    </w:rPr>
  </w:style>
  <w:style w:type="character" w:styleId="56">
    <w:name w:val="Emphasis"/>
    <w:basedOn w:val="52"/>
    <w:qFormat/>
    <w:uiPriority w:val="99"/>
    <w:rPr>
      <w:rFonts w:cs="Times New Roman"/>
      <w:color w:val="CC0000"/>
    </w:rPr>
  </w:style>
  <w:style w:type="character" w:styleId="57">
    <w:name w:val="Hyperlink"/>
    <w:basedOn w:val="52"/>
    <w:qFormat/>
    <w:uiPriority w:val="99"/>
    <w:rPr>
      <w:rFonts w:cs="Times New Roman"/>
      <w:color w:val="0000FF"/>
      <w:u w:val="single"/>
    </w:rPr>
  </w:style>
  <w:style w:type="character" w:styleId="58">
    <w:name w:val="annotation reference"/>
    <w:basedOn w:val="52"/>
    <w:qFormat/>
    <w:uiPriority w:val="99"/>
    <w:rPr>
      <w:rFonts w:cs="Times New Roman"/>
      <w:sz w:val="21"/>
    </w:rPr>
  </w:style>
  <w:style w:type="character" w:styleId="59">
    <w:name w:val="HTML Cite"/>
    <w:basedOn w:val="52"/>
    <w:qFormat/>
    <w:uiPriority w:val="99"/>
    <w:rPr>
      <w:rFonts w:cs="Times New Roman"/>
      <w:color w:val="008000"/>
    </w:rPr>
  </w:style>
  <w:style w:type="character" w:styleId="60">
    <w:name w:val="footnote reference"/>
    <w:basedOn w:val="52"/>
    <w:qFormat/>
    <w:uiPriority w:val="99"/>
    <w:rPr>
      <w:rFonts w:ascii="Times New Roman" w:cs="Times New Roman"/>
      <w:sz w:val="24"/>
      <w:vertAlign w:val="superscript"/>
    </w:rPr>
  </w:style>
  <w:style w:type="character" w:styleId="61">
    <w:name w:val="HTML Sample"/>
    <w:basedOn w:val="52"/>
    <w:qFormat/>
    <w:uiPriority w:val="0"/>
    <w:rPr>
      <w:rFonts w:ascii="Courier New" w:hAnsi="Courier New"/>
    </w:rPr>
  </w:style>
  <w:style w:type="paragraph" w:customStyle="1" w:styleId="62">
    <w:name w:val="Default"/>
    <w:qFormat/>
    <w:uiPriority w:val="99"/>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paragraph" w:customStyle="1" w:styleId="63">
    <w:name w:val="Body Text First Indent 21"/>
    <w:basedOn w:val="64"/>
    <w:qFormat/>
    <w:uiPriority w:val="0"/>
    <w:pPr>
      <w:spacing w:after="120" w:afterLines="0" w:line="240" w:lineRule="auto"/>
      <w:ind w:left="420" w:leftChars="200" w:firstLine="420"/>
    </w:pPr>
    <w:rPr>
      <w:rFonts w:cs="宋体"/>
    </w:rPr>
  </w:style>
  <w:style w:type="paragraph" w:customStyle="1" w:styleId="64">
    <w:name w:val="Body Text Indent1"/>
    <w:basedOn w:val="1"/>
    <w:next w:val="1"/>
    <w:qFormat/>
    <w:uiPriority w:val="0"/>
    <w:pPr>
      <w:spacing w:after="120" w:afterLines="0"/>
      <w:ind w:left="420" w:leftChars="200"/>
    </w:pPr>
  </w:style>
  <w:style w:type="paragraph" w:customStyle="1" w:styleId="65">
    <w:name w:val="xl53"/>
    <w:basedOn w:val="1"/>
    <w:next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szCs w:val="20"/>
    </w:rPr>
  </w:style>
  <w:style w:type="paragraph" w:customStyle="1" w:styleId="66">
    <w:name w:val="目录 71"/>
    <w:next w:val="1"/>
    <w:qFormat/>
    <w:uiPriority w:val="0"/>
    <w:pPr>
      <w:wordWrap w:val="0"/>
      <w:ind w:left="2550"/>
      <w:jc w:val="both"/>
    </w:pPr>
    <w:rPr>
      <w:rFonts w:ascii="Calibri" w:hAnsi="Calibri" w:eastAsia="宋体" w:cs="Times New Roman"/>
      <w:sz w:val="21"/>
      <w:szCs w:val="22"/>
      <w:lang w:val="en-US" w:eastAsia="zh-CN" w:bidi="ar-SA"/>
    </w:rPr>
  </w:style>
  <w:style w:type="paragraph" w:customStyle="1" w:styleId="67">
    <w:name w:val="表格文字"/>
    <w:basedOn w:val="1"/>
    <w:next w:val="18"/>
    <w:qFormat/>
    <w:uiPriority w:val="99"/>
    <w:pPr>
      <w:jc w:val="left"/>
      <w:textAlignment w:val="top"/>
    </w:pPr>
    <w:rPr>
      <w:sz w:val="18"/>
    </w:rPr>
  </w:style>
  <w:style w:type="paragraph" w:customStyle="1" w:styleId="68">
    <w:name w:val="样式1"/>
    <w:basedOn w:val="3"/>
    <w:link w:val="147"/>
    <w:qFormat/>
    <w:uiPriority w:val="99"/>
    <w:pPr>
      <w:jc w:val="center"/>
    </w:pPr>
    <w:rPr>
      <w:rFonts w:ascii="宋体" w:hAnsi="宋体"/>
      <w:sz w:val="36"/>
      <w:szCs w:val="36"/>
    </w:rPr>
  </w:style>
  <w:style w:type="paragraph" w:customStyle="1" w:styleId="69">
    <w:name w:val="样式 首行缩进:  2 字符"/>
    <w:basedOn w:val="1"/>
    <w:qFormat/>
    <w:uiPriority w:val="0"/>
    <w:pPr>
      <w:spacing w:line="360" w:lineRule="auto"/>
      <w:ind w:firstLine="480" w:firstLineChars="200"/>
    </w:pPr>
    <w:rPr>
      <w:rFonts w:ascii="宋体" w:hAnsi="宋体" w:cs="宋体"/>
      <w:color w:val="000000"/>
      <w:sz w:val="24"/>
    </w:rPr>
  </w:style>
  <w:style w:type="character" w:customStyle="1" w:styleId="70">
    <w:name w:val="Heading 1 Char"/>
    <w:basedOn w:val="52"/>
    <w:link w:val="2"/>
    <w:qFormat/>
    <w:locked/>
    <w:uiPriority w:val="99"/>
    <w:rPr>
      <w:b/>
      <w:kern w:val="44"/>
      <w:sz w:val="44"/>
    </w:rPr>
  </w:style>
  <w:style w:type="character" w:customStyle="1" w:styleId="71">
    <w:name w:val="Heading 2 Char"/>
    <w:basedOn w:val="52"/>
    <w:link w:val="3"/>
    <w:qFormat/>
    <w:locked/>
    <w:uiPriority w:val="99"/>
    <w:rPr>
      <w:rFonts w:ascii="Arial" w:hAnsi="Arial" w:eastAsia="黑体"/>
      <w:b/>
      <w:kern w:val="2"/>
      <w:sz w:val="32"/>
    </w:rPr>
  </w:style>
  <w:style w:type="character" w:customStyle="1" w:styleId="72">
    <w:name w:val="Heading 3 Char"/>
    <w:basedOn w:val="52"/>
    <w:link w:val="4"/>
    <w:qFormat/>
    <w:locked/>
    <w:uiPriority w:val="99"/>
    <w:rPr>
      <w:b/>
      <w:kern w:val="2"/>
      <w:sz w:val="32"/>
    </w:rPr>
  </w:style>
  <w:style w:type="character" w:customStyle="1" w:styleId="73">
    <w:name w:val="Heading 4 Char"/>
    <w:basedOn w:val="52"/>
    <w:link w:val="5"/>
    <w:qFormat/>
    <w:locked/>
    <w:uiPriority w:val="99"/>
    <w:rPr>
      <w:rFonts w:ascii="Arial" w:hAnsi="Arial" w:eastAsia="黑体"/>
      <w:b/>
      <w:kern w:val="2"/>
      <w:sz w:val="32"/>
    </w:rPr>
  </w:style>
  <w:style w:type="character" w:customStyle="1" w:styleId="74">
    <w:name w:val="Heading 5 Char"/>
    <w:basedOn w:val="52"/>
    <w:link w:val="6"/>
    <w:qFormat/>
    <w:locked/>
    <w:uiPriority w:val="99"/>
    <w:rPr>
      <w:rFonts w:ascii="Calibri" w:hAnsi="Calibri"/>
      <w:b/>
      <w:sz w:val="28"/>
    </w:rPr>
  </w:style>
  <w:style w:type="character" w:customStyle="1" w:styleId="75">
    <w:name w:val="Heading 6 Char"/>
    <w:basedOn w:val="52"/>
    <w:link w:val="7"/>
    <w:qFormat/>
    <w:locked/>
    <w:uiPriority w:val="99"/>
    <w:rPr>
      <w:rFonts w:ascii="Cambria" w:hAnsi="Cambria"/>
      <w:b/>
      <w:sz w:val="24"/>
    </w:rPr>
  </w:style>
  <w:style w:type="character" w:customStyle="1" w:styleId="76">
    <w:name w:val="Heading 7 Char"/>
    <w:basedOn w:val="52"/>
    <w:link w:val="8"/>
    <w:qFormat/>
    <w:locked/>
    <w:uiPriority w:val="99"/>
    <w:rPr>
      <w:rFonts w:ascii="Calibri" w:hAnsi="Calibri"/>
      <w:b/>
      <w:sz w:val="24"/>
    </w:rPr>
  </w:style>
  <w:style w:type="character" w:customStyle="1" w:styleId="77">
    <w:name w:val="Heading 8 Char"/>
    <w:basedOn w:val="52"/>
    <w:link w:val="9"/>
    <w:qFormat/>
    <w:locked/>
    <w:uiPriority w:val="99"/>
    <w:rPr>
      <w:rFonts w:ascii="Cambria" w:hAnsi="Cambria"/>
      <w:sz w:val="24"/>
    </w:rPr>
  </w:style>
  <w:style w:type="character" w:customStyle="1" w:styleId="78">
    <w:name w:val="Heading 9 Char"/>
    <w:basedOn w:val="52"/>
    <w:link w:val="10"/>
    <w:qFormat/>
    <w:locked/>
    <w:uiPriority w:val="99"/>
    <w:rPr>
      <w:rFonts w:ascii="Cambria" w:hAnsi="Cambria"/>
      <w:sz w:val="21"/>
    </w:rPr>
  </w:style>
  <w:style w:type="character" w:customStyle="1" w:styleId="79">
    <w:name w:val="Document Map Char"/>
    <w:basedOn w:val="52"/>
    <w:link w:val="15"/>
    <w:qFormat/>
    <w:locked/>
    <w:uiPriority w:val="99"/>
    <w:rPr>
      <w:kern w:val="2"/>
      <w:sz w:val="24"/>
      <w:shd w:val="clear" w:color="auto" w:fill="000080"/>
    </w:rPr>
  </w:style>
  <w:style w:type="character" w:customStyle="1" w:styleId="80">
    <w:name w:val="Comment Text Char"/>
    <w:basedOn w:val="52"/>
    <w:link w:val="17"/>
    <w:qFormat/>
    <w:locked/>
    <w:uiPriority w:val="99"/>
    <w:rPr>
      <w:rFonts w:ascii="Calibri" w:hAnsi="Calibri"/>
      <w:kern w:val="2"/>
      <w:sz w:val="24"/>
    </w:rPr>
  </w:style>
  <w:style w:type="character" w:customStyle="1" w:styleId="81">
    <w:name w:val="Body Text Char"/>
    <w:basedOn w:val="52"/>
    <w:link w:val="18"/>
    <w:semiHidden/>
    <w:qFormat/>
    <w:locked/>
    <w:uiPriority w:val="99"/>
    <w:rPr>
      <w:rFonts w:ascii="Calibri" w:hAnsi="Calibri" w:eastAsia="宋体"/>
      <w:kern w:val="2"/>
      <w:sz w:val="22"/>
      <w:lang w:val="en-US" w:eastAsia="zh-CN"/>
    </w:rPr>
  </w:style>
  <w:style w:type="character" w:customStyle="1" w:styleId="82">
    <w:name w:val="Body Text First Indent Char"/>
    <w:basedOn w:val="81"/>
    <w:link w:val="19"/>
    <w:qFormat/>
    <w:locked/>
    <w:uiPriority w:val="99"/>
    <w:rPr>
      <w:sz w:val="24"/>
    </w:rPr>
  </w:style>
  <w:style w:type="character" w:customStyle="1" w:styleId="83">
    <w:name w:val="Body Text Indent Char"/>
    <w:basedOn w:val="52"/>
    <w:link w:val="20"/>
    <w:qFormat/>
    <w:locked/>
    <w:uiPriority w:val="99"/>
    <w:rPr>
      <w:rFonts w:ascii="仿宋_GB2312" w:eastAsia="仿宋_GB2312"/>
      <w:kern w:val="2"/>
      <w:sz w:val="28"/>
      <w:lang w:val="zh-CN"/>
    </w:rPr>
  </w:style>
  <w:style w:type="character" w:customStyle="1" w:styleId="84">
    <w:name w:val="Plain Text Char"/>
    <w:basedOn w:val="52"/>
    <w:link w:val="26"/>
    <w:qFormat/>
    <w:locked/>
    <w:uiPriority w:val="99"/>
    <w:rPr>
      <w:rFonts w:ascii="宋体" w:hAnsi="Courier New" w:eastAsia="宋体"/>
      <w:sz w:val="21"/>
    </w:rPr>
  </w:style>
  <w:style w:type="character" w:customStyle="1" w:styleId="85">
    <w:name w:val="Date Char"/>
    <w:basedOn w:val="52"/>
    <w:link w:val="28"/>
    <w:qFormat/>
    <w:locked/>
    <w:uiPriority w:val="99"/>
    <w:rPr>
      <w:rFonts w:eastAsia="楷体_GB2312"/>
      <w:kern w:val="2"/>
      <w:sz w:val="32"/>
    </w:rPr>
  </w:style>
  <w:style w:type="character" w:customStyle="1" w:styleId="86">
    <w:name w:val="Body Text Indent 2 Char"/>
    <w:basedOn w:val="52"/>
    <w:link w:val="29"/>
    <w:qFormat/>
    <w:locked/>
    <w:uiPriority w:val="99"/>
    <w:rPr>
      <w:rFonts w:ascii="仿宋_GB2312" w:eastAsia="仿宋_GB2312"/>
      <w:kern w:val="2"/>
      <w:sz w:val="28"/>
      <w:lang w:val="zh-CN"/>
    </w:rPr>
  </w:style>
  <w:style w:type="character" w:customStyle="1" w:styleId="87">
    <w:name w:val="Endnote Text Char"/>
    <w:basedOn w:val="52"/>
    <w:link w:val="30"/>
    <w:semiHidden/>
    <w:qFormat/>
    <w:locked/>
    <w:uiPriority w:val="99"/>
    <w:rPr>
      <w:kern w:val="2"/>
      <w:sz w:val="21"/>
    </w:rPr>
  </w:style>
  <w:style w:type="character" w:customStyle="1" w:styleId="88">
    <w:name w:val="Balloon Text Char"/>
    <w:basedOn w:val="52"/>
    <w:link w:val="31"/>
    <w:qFormat/>
    <w:locked/>
    <w:uiPriority w:val="99"/>
    <w:rPr>
      <w:kern w:val="2"/>
      <w:sz w:val="18"/>
    </w:rPr>
  </w:style>
  <w:style w:type="character" w:customStyle="1" w:styleId="89">
    <w:name w:val="Footer Char"/>
    <w:basedOn w:val="52"/>
    <w:link w:val="32"/>
    <w:qFormat/>
    <w:locked/>
    <w:uiPriority w:val="99"/>
    <w:rPr>
      <w:rFonts w:eastAsia="宋体"/>
      <w:kern w:val="2"/>
      <w:sz w:val="18"/>
      <w:lang w:val="en-US" w:eastAsia="zh-CN"/>
    </w:rPr>
  </w:style>
  <w:style w:type="character" w:customStyle="1" w:styleId="90">
    <w:name w:val="Header Char"/>
    <w:basedOn w:val="52"/>
    <w:link w:val="33"/>
    <w:qFormat/>
    <w:locked/>
    <w:uiPriority w:val="99"/>
    <w:rPr>
      <w:rFonts w:eastAsia="宋体"/>
      <w:kern w:val="2"/>
      <w:sz w:val="18"/>
      <w:lang w:val="en-US" w:eastAsia="zh-CN"/>
    </w:rPr>
  </w:style>
  <w:style w:type="character" w:customStyle="1" w:styleId="91">
    <w:name w:val="Footnote Text Char"/>
    <w:basedOn w:val="52"/>
    <w:link w:val="37"/>
    <w:semiHidden/>
    <w:qFormat/>
    <w:uiPriority w:val="99"/>
    <w:rPr>
      <w:sz w:val="18"/>
      <w:szCs w:val="18"/>
    </w:rPr>
  </w:style>
  <w:style w:type="character" w:customStyle="1" w:styleId="92">
    <w:name w:val="Body Text Indent 3 Char"/>
    <w:basedOn w:val="52"/>
    <w:link w:val="39"/>
    <w:qFormat/>
    <w:locked/>
    <w:uiPriority w:val="99"/>
    <w:rPr>
      <w:rFonts w:ascii="仿宋_GB2312" w:eastAsia="仿宋_GB2312"/>
      <w:kern w:val="2"/>
      <w:sz w:val="28"/>
      <w:lang w:val="zh-CN"/>
    </w:rPr>
  </w:style>
  <w:style w:type="character" w:customStyle="1" w:styleId="93">
    <w:name w:val="Body Text 2 Char"/>
    <w:basedOn w:val="52"/>
    <w:link w:val="44"/>
    <w:qFormat/>
    <w:locked/>
    <w:uiPriority w:val="99"/>
    <w:rPr>
      <w:kern w:val="2"/>
      <w:sz w:val="24"/>
    </w:rPr>
  </w:style>
  <w:style w:type="character" w:customStyle="1" w:styleId="94">
    <w:name w:val="HTML Preformatted Char"/>
    <w:basedOn w:val="52"/>
    <w:link w:val="45"/>
    <w:qFormat/>
    <w:locked/>
    <w:uiPriority w:val="99"/>
    <w:rPr>
      <w:rFonts w:ascii="宋体" w:eastAsia="宋体"/>
      <w:sz w:val="24"/>
    </w:rPr>
  </w:style>
  <w:style w:type="character" w:customStyle="1" w:styleId="95">
    <w:name w:val="Title Char"/>
    <w:basedOn w:val="52"/>
    <w:link w:val="47"/>
    <w:qFormat/>
    <w:locked/>
    <w:uiPriority w:val="99"/>
    <w:rPr>
      <w:rFonts w:ascii="Arial" w:hAnsi="Arial" w:eastAsia="宋体"/>
      <w:b/>
      <w:sz w:val="36"/>
      <w:lang w:val="en-US" w:eastAsia="en-US"/>
    </w:rPr>
  </w:style>
  <w:style w:type="character" w:customStyle="1" w:styleId="96">
    <w:name w:val="Comment Subject Char"/>
    <w:basedOn w:val="80"/>
    <w:link w:val="48"/>
    <w:qFormat/>
    <w:locked/>
    <w:uiPriority w:val="99"/>
    <w:rPr>
      <w:b/>
    </w:rPr>
  </w:style>
  <w:style w:type="character" w:customStyle="1" w:styleId="97">
    <w:name w:val="Body Text First Indent 2 Char"/>
    <w:basedOn w:val="83"/>
    <w:link w:val="49"/>
    <w:semiHidden/>
    <w:qFormat/>
    <w:uiPriority w:val="99"/>
    <w:rPr>
      <w:szCs w:val="24"/>
    </w:rPr>
  </w:style>
  <w:style w:type="paragraph" w:customStyle="1" w:styleId="98">
    <w:name w:val="章正文"/>
    <w:basedOn w:val="1"/>
    <w:qFormat/>
    <w:uiPriority w:val="99"/>
    <w:pPr>
      <w:spacing w:beforeLines="50" w:after="120" w:line="300" w:lineRule="auto"/>
      <w:ind w:firstLine="480"/>
    </w:pPr>
    <w:rPr>
      <w:rFonts w:ascii="Helvetica" w:hAnsi="Helvetica"/>
      <w:kern w:val="0"/>
      <w:sz w:val="24"/>
    </w:rPr>
  </w:style>
  <w:style w:type="paragraph" w:customStyle="1" w:styleId="99">
    <w:name w:val="Style1"/>
    <w:next w:val="100"/>
    <w:qFormat/>
    <w:uiPriority w:val="99"/>
    <w:pPr>
      <w:numPr>
        <w:ilvl w:val="0"/>
        <w:numId w:val="3"/>
      </w:numPr>
      <w:tabs>
        <w:tab w:val="left" w:pos="720"/>
        <w:tab w:val="left" w:pos="1616"/>
        <w:tab w:val="left" w:pos="1914"/>
        <w:tab w:val="left" w:pos="2162"/>
        <w:tab w:val="left" w:pos="2411"/>
        <w:tab w:val="left" w:pos="2880"/>
        <w:tab w:val="left" w:pos="3600"/>
        <w:tab w:val="left" w:pos="3685"/>
        <w:tab w:val="left" w:pos="4320"/>
        <w:tab w:val="right" w:pos="4536"/>
        <w:tab w:val="left" w:pos="4819"/>
        <w:tab w:val="left" w:pos="5040"/>
        <w:tab w:val="left" w:pos="5760"/>
        <w:tab w:val="left" w:pos="5952"/>
        <w:tab w:val="left" w:pos="6480"/>
        <w:tab w:val="left" w:pos="7177"/>
        <w:tab w:val="left" w:pos="7920"/>
        <w:tab w:val="left" w:pos="8220"/>
        <w:tab w:val="left" w:pos="864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line="360" w:lineRule="auto"/>
      <w:jc w:val="center"/>
    </w:pPr>
    <w:rPr>
      <w:rFonts w:ascii="Calibri" w:hAnsi="Calibri" w:eastAsia="宋体" w:cs="宋体"/>
      <w:b/>
      <w:kern w:val="24"/>
      <w:sz w:val="24"/>
      <w:szCs w:val="20"/>
      <w:lang w:val="en-GB" w:eastAsia="zh-CN" w:bidi="ar-SA"/>
    </w:rPr>
  </w:style>
  <w:style w:type="paragraph" w:customStyle="1" w:styleId="100">
    <w:name w:val="*正文"/>
    <w:basedOn w:val="1"/>
    <w:qFormat/>
    <w:uiPriority w:val="99"/>
    <w:pPr>
      <w:ind w:firstLine="200" w:firstLineChars="200"/>
    </w:pPr>
    <w:rPr>
      <w:rFonts w:ascii="宋体"/>
      <w:szCs w:val="22"/>
    </w:rPr>
  </w:style>
  <w:style w:type="paragraph" w:customStyle="1" w:styleId="101">
    <w:name w:val="TOAHeading"/>
    <w:basedOn w:val="1"/>
    <w:next w:val="1"/>
    <w:qFormat/>
    <w:uiPriority w:val="99"/>
    <w:pPr>
      <w:spacing w:before="120"/>
      <w:textAlignment w:val="baseline"/>
    </w:pPr>
    <w:rPr>
      <w:rFonts w:ascii="Arial" w:hAnsi="Arial" w:eastAsia="仿宋_GB2312" w:cs="Arial"/>
      <w:b/>
      <w:bCs/>
      <w:color w:val="000000"/>
      <w:kern w:val="0"/>
      <w:sz w:val="24"/>
      <w:szCs w:val="21"/>
    </w:rPr>
  </w:style>
  <w:style w:type="paragraph" w:customStyle="1" w:styleId="102">
    <w:name w:val="列出段落21"/>
    <w:basedOn w:val="1"/>
    <w:qFormat/>
    <w:uiPriority w:val="99"/>
    <w:pPr>
      <w:ind w:firstLine="420" w:firstLineChars="200"/>
    </w:pPr>
    <w:rPr>
      <w:rFonts w:ascii="Calibri" w:hAnsi="Calibri"/>
      <w:szCs w:val="22"/>
    </w:rPr>
  </w:style>
  <w:style w:type="paragraph" w:customStyle="1" w:styleId="103">
    <w:name w:val="列出段落1"/>
    <w:basedOn w:val="1"/>
    <w:qFormat/>
    <w:uiPriority w:val="99"/>
    <w:pPr>
      <w:ind w:firstLine="420" w:firstLineChars="200"/>
    </w:pPr>
    <w:rPr>
      <w:rFonts w:ascii="Calibri" w:hAnsi="Calibri"/>
      <w:szCs w:val="22"/>
    </w:rPr>
  </w:style>
  <w:style w:type="paragraph" w:customStyle="1" w:styleId="104">
    <w:name w:val="DAS正文"/>
    <w:basedOn w:val="1"/>
    <w:link w:val="159"/>
    <w:qFormat/>
    <w:uiPriority w:val="99"/>
    <w:pPr>
      <w:spacing w:line="360" w:lineRule="auto"/>
      <w:jc w:val="center"/>
    </w:pPr>
    <w:rPr>
      <w:rFonts w:ascii="Verdana" w:hAnsi="Verdana"/>
      <w:kern w:val="0"/>
      <w:sz w:val="20"/>
      <w:szCs w:val="20"/>
    </w:rPr>
  </w:style>
  <w:style w:type="paragraph" w:customStyle="1" w:styleId="105">
    <w:name w:val="Table Paragraph"/>
    <w:basedOn w:val="1"/>
    <w:qFormat/>
    <w:uiPriority w:val="99"/>
    <w:rPr>
      <w:rFonts w:ascii="仿宋" w:hAnsi="仿宋" w:eastAsia="仿宋" w:cs="仿宋"/>
      <w:lang w:val="zh-CN"/>
    </w:rPr>
  </w:style>
  <w:style w:type="paragraph" w:customStyle="1" w:styleId="106">
    <w:name w:val="纯文本2"/>
    <w:basedOn w:val="1"/>
    <w:qFormat/>
    <w:uiPriority w:val="99"/>
    <w:pPr>
      <w:adjustRightInd w:val="0"/>
      <w:textAlignment w:val="baseline"/>
    </w:pPr>
    <w:rPr>
      <w:rFonts w:ascii="宋体" w:hAnsi="Courier New" w:eastAsia="楷体_GB2312"/>
      <w:sz w:val="26"/>
      <w:szCs w:val="20"/>
    </w:rPr>
  </w:style>
  <w:style w:type="paragraph" w:customStyle="1" w:styleId="107">
    <w:name w:val="正文2"/>
    <w:basedOn w:val="1"/>
    <w:next w:val="34"/>
    <w:qFormat/>
    <w:uiPriority w:val="99"/>
    <w:pPr>
      <w:spacing w:line="360" w:lineRule="auto"/>
      <w:ind w:firstLine="510" w:firstLineChars="200"/>
    </w:pPr>
    <w:rPr>
      <w:sz w:val="24"/>
      <w:szCs w:val="20"/>
    </w:rPr>
  </w:style>
  <w:style w:type="paragraph" w:customStyle="1" w:styleId="108">
    <w:name w:val="列出段落3"/>
    <w:basedOn w:val="1"/>
    <w:qFormat/>
    <w:uiPriority w:val="99"/>
    <w:pPr>
      <w:spacing w:line="360" w:lineRule="auto"/>
      <w:ind w:firstLine="420" w:firstLineChars="200"/>
    </w:pPr>
    <w:rPr>
      <w:rFonts w:ascii="Calibri" w:hAnsi="Calibri" w:eastAsia="黑体"/>
      <w:sz w:val="24"/>
    </w:rPr>
  </w:style>
  <w:style w:type="paragraph" w:customStyle="1" w:styleId="109">
    <w:name w:val="List Paragraph1"/>
    <w:basedOn w:val="1"/>
    <w:qFormat/>
    <w:uiPriority w:val="99"/>
    <w:pPr>
      <w:ind w:firstLine="420" w:firstLineChars="200"/>
    </w:pPr>
    <w:rPr>
      <w:rFonts w:ascii="Calibri" w:hAnsi="Calibri"/>
      <w:szCs w:val="22"/>
    </w:rPr>
  </w:style>
  <w:style w:type="paragraph" w:customStyle="1" w:styleId="110">
    <w:name w:val="reader-word-layer reader-word-s1-4"/>
    <w:basedOn w:val="1"/>
    <w:qFormat/>
    <w:uiPriority w:val="99"/>
    <w:pPr>
      <w:widowControl/>
      <w:spacing w:before="100" w:beforeAutospacing="1" w:after="100" w:afterAutospacing="1"/>
      <w:jc w:val="left"/>
    </w:pPr>
    <w:rPr>
      <w:rFonts w:ascii="宋体" w:hAnsi="宋体" w:cs="宋体"/>
      <w:kern w:val="0"/>
      <w:sz w:val="24"/>
      <w:szCs w:val="22"/>
    </w:rPr>
  </w:style>
  <w:style w:type="paragraph" w:customStyle="1" w:styleId="111">
    <w:name w:val="样式 宋体 行距: 固定值 20 磅 首行缩进:  2 字符"/>
    <w:basedOn w:val="1"/>
    <w:qFormat/>
    <w:uiPriority w:val="99"/>
    <w:pPr>
      <w:spacing w:line="400" w:lineRule="exact"/>
      <w:ind w:firstLine="435" w:firstLineChars="207"/>
    </w:pPr>
    <w:rPr>
      <w:rFonts w:ascii="宋体" w:hAnsi="宋体" w:cs="宋体"/>
      <w:szCs w:val="20"/>
    </w:rPr>
  </w:style>
  <w:style w:type="paragraph" w:customStyle="1" w:styleId="112">
    <w:name w:val="_Style 69"/>
    <w:basedOn w:val="2"/>
    <w:next w:val="1"/>
    <w:qFormat/>
    <w:uiPriority w:val="99"/>
    <w:pPr>
      <w:widowControl/>
      <w:spacing w:before="480" w:line="276" w:lineRule="auto"/>
      <w:jc w:val="left"/>
      <w:outlineLvl w:val="9"/>
    </w:pPr>
    <w:rPr>
      <w:rFonts w:ascii="Cambria" w:hAnsi="Cambria"/>
      <w:color w:val="365F91"/>
      <w:kern w:val="0"/>
      <w:sz w:val="28"/>
      <w:szCs w:val="28"/>
    </w:rPr>
  </w:style>
  <w:style w:type="paragraph" w:customStyle="1" w:styleId="113">
    <w:name w:val="无间隔1"/>
    <w:qFormat/>
    <w:uiPriority w:val="99"/>
    <w:pPr>
      <w:adjustRightInd w:val="0"/>
      <w:snapToGrid w:val="0"/>
    </w:pPr>
    <w:rPr>
      <w:rFonts w:ascii="Tahoma" w:hAnsi="Tahoma" w:eastAsia="微软雅黑" w:cs="Times New Roman"/>
      <w:kern w:val="0"/>
      <w:sz w:val="22"/>
      <w:szCs w:val="22"/>
      <w:lang w:val="en-US" w:eastAsia="zh-CN" w:bidi="ar-SA"/>
    </w:rPr>
  </w:style>
  <w:style w:type="paragraph" w:customStyle="1" w:styleId="114">
    <w:name w:val="tabletext"/>
    <w:basedOn w:val="1"/>
    <w:qFormat/>
    <w:uiPriority w:val="99"/>
    <w:pPr>
      <w:widowControl/>
      <w:spacing w:before="100" w:beforeAutospacing="1" w:after="100" w:afterAutospacing="1"/>
      <w:jc w:val="left"/>
    </w:pPr>
    <w:rPr>
      <w:rFonts w:ascii="宋体" w:hAnsi="宋体" w:cs="宋体"/>
      <w:kern w:val="0"/>
      <w:sz w:val="24"/>
      <w:szCs w:val="22"/>
    </w:rPr>
  </w:style>
  <w:style w:type="paragraph" w:customStyle="1" w:styleId="115">
    <w:name w:val="正文段"/>
    <w:basedOn w:val="1"/>
    <w:qFormat/>
    <w:uiPriority w:val="99"/>
    <w:pPr>
      <w:widowControl/>
      <w:snapToGrid w:val="0"/>
      <w:spacing w:afterLines="50"/>
      <w:ind w:firstLine="200" w:firstLineChars="200"/>
    </w:pPr>
    <w:rPr>
      <w:kern w:val="0"/>
      <w:sz w:val="24"/>
      <w:szCs w:val="20"/>
    </w:rPr>
  </w:style>
  <w:style w:type="paragraph" w:customStyle="1" w:styleId="116">
    <w:name w:val="列出段落2"/>
    <w:basedOn w:val="1"/>
    <w:qFormat/>
    <w:uiPriority w:val="99"/>
    <w:pPr>
      <w:ind w:firstLine="420" w:firstLineChars="200"/>
    </w:pPr>
    <w:rPr>
      <w:rFonts w:ascii="Calibri" w:hAnsi="Calibri"/>
    </w:rPr>
  </w:style>
  <w:style w:type="paragraph" w:customStyle="1" w:styleId="117">
    <w:name w:val="_Style 3"/>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118">
    <w:name w:val="Char"/>
    <w:basedOn w:val="1"/>
    <w:qFormat/>
    <w:uiPriority w:val="99"/>
  </w:style>
  <w:style w:type="paragraph" w:customStyle="1" w:styleId="119">
    <w:name w:val="无间隔11"/>
    <w:link w:val="158"/>
    <w:qFormat/>
    <w:uiPriority w:val="99"/>
    <w:rPr>
      <w:rFonts w:ascii="Times New Roman" w:hAnsi="Times New Roman" w:eastAsia="宋体" w:cs="Times New Roman"/>
      <w:kern w:val="0"/>
      <w:sz w:val="22"/>
      <w:szCs w:val="22"/>
      <w:lang w:val="en-US" w:eastAsia="zh-CN" w:bidi="ar-SA"/>
    </w:rPr>
  </w:style>
  <w:style w:type="paragraph" w:customStyle="1" w:styleId="120">
    <w:name w:val="默认段落字体 Para Char"/>
    <w:basedOn w:val="1"/>
    <w:qFormat/>
    <w:uiPriority w:val="99"/>
    <w:rPr>
      <w:szCs w:val="20"/>
    </w:rPr>
  </w:style>
  <w:style w:type="paragraph" w:customStyle="1" w:styleId="121">
    <w:name w:val="默认段落字体 Para Char Char Char Char Char Char Char Char Char1 Char Char Char Char"/>
    <w:basedOn w:val="1"/>
    <w:qFormat/>
    <w:uiPriority w:val="99"/>
    <w:rPr>
      <w:rFonts w:ascii="Tahoma" w:hAnsi="Tahoma"/>
      <w:sz w:val="24"/>
      <w:szCs w:val="20"/>
    </w:rPr>
  </w:style>
  <w:style w:type="paragraph" w:customStyle="1" w:styleId="122">
    <w:name w:val="列出段落11"/>
    <w:basedOn w:val="1"/>
    <w:link w:val="150"/>
    <w:qFormat/>
    <w:uiPriority w:val="99"/>
    <w:pPr>
      <w:ind w:firstLine="420" w:firstLineChars="200"/>
    </w:pPr>
    <w:rPr>
      <w:rFonts w:ascii="Calibri" w:hAnsi="Calibri"/>
    </w:rPr>
  </w:style>
  <w:style w:type="paragraph" w:customStyle="1" w:styleId="123">
    <w:name w:val="p18"/>
    <w:basedOn w:val="1"/>
    <w:qFormat/>
    <w:uiPriority w:val="99"/>
    <w:pPr>
      <w:widowControl/>
      <w:spacing w:line="748" w:lineRule="atLeast"/>
      <w:ind w:left="-527" w:firstLine="527"/>
    </w:pPr>
    <w:rPr>
      <w:rFonts w:ascii="宋体" w:hAnsi="宋体" w:cs="宋体"/>
      <w:kern w:val="0"/>
      <w:sz w:val="24"/>
    </w:rPr>
  </w:style>
  <w:style w:type="paragraph" w:customStyle="1" w:styleId="124">
    <w:name w:val="TOC 标题2"/>
    <w:basedOn w:val="2"/>
    <w:next w:val="1"/>
    <w:qFormat/>
    <w:uiPriority w:val="99"/>
    <w:pPr>
      <w:widowControl/>
      <w:spacing w:before="480" w:line="276" w:lineRule="auto"/>
      <w:jc w:val="left"/>
      <w:outlineLvl w:val="9"/>
    </w:pPr>
    <w:rPr>
      <w:rFonts w:ascii="Calibri Light" w:hAnsi="Calibri Light"/>
      <w:color w:val="2E74B5"/>
      <w:kern w:val="0"/>
      <w:sz w:val="28"/>
      <w:szCs w:val="28"/>
    </w:rPr>
  </w:style>
  <w:style w:type="paragraph" w:customStyle="1" w:styleId="125">
    <w:name w:val="GTA正文-2"/>
    <w:basedOn w:val="1"/>
    <w:qFormat/>
    <w:uiPriority w:val="99"/>
    <w:pPr>
      <w:snapToGrid w:val="0"/>
      <w:spacing w:beforeLines="50" w:after="156" w:line="480" w:lineRule="atLeast"/>
      <w:ind w:firstLine="480" w:firstLineChars="200"/>
    </w:pPr>
    <w:rPr>
      <w:rFonts w:ascii="微软雅黑" w:hAnsi="微软雅黑" w:eastAsia="微软雅黑" w:cs="Arial"/>
      <w:sz w:val="24"/>
    </w:rPr>
  </w:style>
  <w:style w:type="paragraph" w:customStyle="1" w:styleId="126">
    <w:name w:val="正文_17"/>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27">
    <w:name w:val="正文缩进2格"/>
    <w:basedOn w:val="1"/>
    <w:qFormat/>
    <w:uiPriority w:val="99"/>
    <w:pPr>
      <w:spacing w:line="600" w:lineRule="exact"/>
      <w:ind w:firstLine="639" w:firstLineChars="206"/>
    </w:pPr>
    <w:rPr>
      <w:rFonts w:ascii="仿宋_GB2312" w:hAnsi="宋体" w:eastAsia="仿宋_GB2312"/>
      <w:sz w:val="31"/>
      <w:szCs w:val="28"/>
    </w:rPr>
  </w:style>
  <w:style w:type="paragraph" w:customStyle="1" w:styleId="128">
    <w:name w:val="Char Char Char Char Char Char Char Char Char Char"/>
    <w:basedOn w:val="15"/>
    <w:qFormat/>
    <w:uiPriority w:val="99"/>
    <w:rPr>
      <w:rFonts w:ascii="Tahoma" w:hAnsi="Tahoma"/>
      <w:sz w:val="24"/>
    </w:rPr>
  </w:style>
  <w:style w:type="paragraph" w:customStyle="1" w:styleId="129">
    <w:name w:val="font7"/>
    <w:basedOn w:val="1"/>
    <w:qFormat/>
    <w:uiPriority w:val="99"/>
    <w:pPr>
      <w:widowControl/>
      <w:spacing w:before="100" w:beforeAutospacing="1" w:after="100" w:afterAutospacing="1"/>
      <w:jc w:val="left"/>
    </w:pPr>
    <w:rPr>
      <w:rFonts w:ascii="宋体" w:hAnsi="宋体" w:cs="Arial Unicode MS"/>
      <w:b/>
      <w:bCs/>
      <w:kern w:val="0"/>
      <w:sz w:val="24"/>
    </w:rPr>
  </w:style>
  <w:style w:type="paragraph" w:customStyle="1" w:styleId="130">
    <w:name w:val="Char Char Char Char Char Char Char Char Char Char1"/>
    <w:basedOn w:val="15"/>
    <w:qFormat/>
    <w:uiPriority w:val="99"/>
    <w:rPr>
      <w:rFonts w:ascii="Tahoma" w:hAnsi="Tahoma"/>
      <w:sz w:val="24"/>
    </w:rPr>
  </w:style>
  <w:style w:type="paragraph" w:customStyle="1" w:styleId="131">
    <w:name w:val="Char1"/>
    <w:basedOn w:val="1"/>
    <w:qFormat/>
    <w:uiPriority w:val="99"/>
  </w:style>
  <w:style w:type="paragraph" w:customStyle="1" w:styleId="132">
    <w:name w:val="TOC 标题1"/>
    <w:basedOn w:val="2"/>
    <w:next w:val="1"/>
    <w:qFormat/>
    <w:uiPriority w:val="99"/>
    <w:pPr>
      <w:widowControl/>
      <w:spacing w:before="480" w:line="276" w:lineRule="auto"/>
      <w:jc w:val="left"/>
      <w:outlineLvl w:val="9"/>
    </w:pPr>
    <w:rPr>
      <w:rFonts w:ascii="Calibri Light" w:hAnsi="Calibri Light"/>
      <w:color w:val="2E74B5"/>
      <w:kern w:val="0"/>
      <w:sz w:val="28"/>
      <w:szCs w:val="28"/>
    </w:rPr>
  </w:style>
  <w:style w:type="paragraph" w:customStyle="1" w:styleId="133">
    <w:name w:val="p0"/>
    <w:basedOn w:val="1"/>
    <w:qFormat/>
    <w:uiPriority w:val="99"/>
    <w:pPr>
      <w:widowControl/>
    </w:pPr>
    <w:rPr>
      <w:rFonts w:ascii="Calibri" w:hAnsi="Calibri" w:cs="Calibri"/>
      <w:kern w:val="0"/>
      <w:szCs w:val="21"/>
    </w:rPr>
  </w:style>
  <w:style w:type="paragraph" w:customStyle="1" w:styleId="134">
    <w:name w:val="HtmlNormal"/>
    <w:basedOn w:val="1"/>
    <w:qFormat/>
    <w:uiPriority w:val="99"/>
    <w:pPr>
      <w:widowControl/>
      <w:spacing w:before="100" w:beforeAutospacing="1" w:after="100" w:afterAutospacing="1"/>
      <w:jc w:val="left"/>
      <w:textAlignment w:val="baseline"/>
    </w:pPr>
    <w:rPr>
      <w:rFonts w:ascii="宋体" w:hAnsi="宋体"/>
      <w:kern w:val="0"/>
      <w:sz w:val="24"/>
    </w:rPr>
  </w:style>
  <w:style w:type="character" w:customStyle="1" w:styleId="135">
    <w:name w:val="普通文字 Char Char1"/>
    <w:qFormat/>
    <w:locked/>
    <w:uiPriority w:val="99"/>
    <w:rPr>
      <w:rFonts w:ascii="宋体" w:hAnsi="Courier New" w:eastAsia="宋体"/>
      <w:kern w:val="2"/>
      <w:sz w:val="21"/>
      <w:lang w:val="en-US" w:eastAsia="zh-CN"/>
    </w:rPr>
  </w:style>
  <w:style w:type="character" w:customStyle="1" w:styleId="136">
    <w:name w:val="标题 2 Char Char"/>
    <w:qFormat/>
    <w:uiPriority w:val="99"/>
    <w:rPr>
      <w:rFonts w:ascii="宋体" w:hAnsi="宋体" w:eastAsia="黑体"/>
      <w:b/>
      <w:kern w:val="2"/>
      <w:sz w:val="32"/>
      <w:lang w:val="en-US" w:eastAsia="zh-CN"/>
    </w:rPr>
  </w:style>
  <w:style w:type="character" w:customStyle="1" w:styleId="137">
    <w:name w:val="font11"/>
    <w:qFormat/>
    <w:uiPriority w:val="99"/>
    <w:rPr>
      <w:rFonts w:ascii="宋体" w:hAnsi="宋体" w:eastAsia="宋体"/>
      <w:b/>
      <w:color w:val="000000"/>
      <w:sz w:val="32"/>
      <w:u w:val="none"/>
    </w:rPr>
  </w:style>
  <w:style w:type="character" w:customStyle="1" w:styleId="138">
    <w:name w:val="c-icon"/>
    <w:basedOn w:val="52"/>
    <w:qFormat/>
    <w:uiPriority w:val="99"/>
    <w:rPr>
      <w:rFonts w:cs="Times New Roman"/>
    </w:rPr>
  </w:style>
  <w:style w:type="character" w:customStyle="1" w:styleId="139">
    <w:name w:val="样式1 Char"/>
    <w:qFormat/>
    <w:locked/>
    <w:uiPriority w:val="99"/>
    <w:rPr>
      <w:rFonts w:ascii="Calibri" w:hAnsi="Calibri"/>
      <w:b/>
      <w:kern w:val="2"/>
      <w:sz w:val="28"/>
    </w:rPr>
  </w:style>
  <w:style w:type="character" w:customStyle="1" w:styleId="140">
    <w:name w:val="font31"/>
    <w:basedOn w:val="52"/>
    <w:qFormat/>
    <w:uiPriority w:val="99"/>
    <w:rPr>
      <w:rFonts w:ascii="宋体" w:hAnsi="宋体" w:eastAsia="宋体" w:cs="宋体"/>
      <w:color w:val="000000"/>
      <w:sz w:val="20"/>
      <w:szCs w:val="20"/>
      <w:u w:val="none"/>
    </w:rPr>
  </w:style>
  <w:style w:type="character" w:customStyle="1" w:styleId="141">
    <w:name w:val="font01"/>
    <w:qFormat/>
    <w:uiPriority w:val="99"/>
    <w:rPr>
      <w:rFonts w:ascii="宋体" w:hAnsi="宋体" w:eastAsia="宋体"/>
      <w:color w:val="000000"/>
      <w:sz w:val="22"/>
      <w:u w:val="none"/>
    </w:rPr>
  </w:style>
  <w:style w:type="character" w:customStyle="1" w:styleId="142">
    <w:name w:val="纯文本 Char1"/>
    <w:qFormat/>
    <w:locked/>
    <w:uiPriority w:val="99"/>
    <w:rPr>
      <w:rFonts w:ascii="宋体" w:hAnsi="Courier New" w:eastAsia="宋体"/>
      <w:sz w:val="21"/>
    </w:rPr>
  </w:style>
  <w:style w:type="character" w:customStyle="1" w:styleId="143">
    <w:name w:val="c-icon13"/>
    <w:basedOn w:val="52"/>
    <w:qFormat/>
    <w:uiPriority w:val="99"/>
    <w:rPr>
      <w:rFonts w:cs="Times New Roman"/>
    </w:rPr>
  </w:style>
  <w:style w:type="character" w:customStyle="1" w:styleId="144">
    <w:name w:val="bulletintext1"/>
    <w:qFormat/>
    <w:uiPriority w:val="99"/>
    <w:rPr>
      <w:color w:val="000000"/>
      <w:sz w:val="18"/>
    </w:rPr>
  </w:style>
  <w:style w:type="character" w:customStyle="1" w:styleId="145">
    <w:name w:val="font71"/>
    <w:qFormat/>
    <w:uiPriority w:val="99"/>
    <w:rPr>
      <w:rFonts w:ascii="宋体" w:hAnsi="宋体" w:eastAsia="宋体"/>
      <w:color w:val="000000"/>
      <w:sz w:val="21"/>
      <w:u w:val="none"/>
    </w:rPr>
  </w:style>
  <w:style w:type="character" w:customStyle="1" w:styleId="146">
    <w:name w:val="font61"/>
    <w:basedOn w:val="52"/>
    <w:qFormat/>
    <w:uiPriority w:val="99"/>
    <w:rPr>
      <w:rFonts w:ascii="宋体" w:hAnsi="宋体" w:eastAsia="宋体" w:cs="宋体"/>
      <w:color w:val="000000"/>
      <w:sz w:val="24"/>
      <w:szCs w:val="24"/>
      <w:u w:val="none"/>
    </w:rPr>
  </w:style>
  <w:style w:type="character" w:customStyle="1" w:styleId="147">
    <w:name w:val="样式1 Char Char"/>
    <w:link w:val="68"/>
    <w:qFormat/>
    <w:locked/>
    <w:uiPriority w:val="99"/>
    <w:rPr>
      <w:rFonts w:ascii="宋体" w:hAnsi="宋体" w:eastAsia="黑体"/>
      <w:b/>
      <w:kern w:val="2"/>
      <w:sz w:val="36"/>
    </w:rPr>
  </w:style>
  <w:style w:type="character" w:customStyle="1" w:styleId="148">
    <w:name w:val="Char Char2"/>
    <w:qFormat/>
    <w:uiPriority w:val="99"/>
    <w:rPr>
      <w:rFonts w:ascii="宋体" w:hAnsi="Courier New" w:eastAsia="宋体"/>
      <w:sz w:val="21"/>
      <w:lang w:val="en-US" w:eastAsia="zh-CN"/>
    </w:rPr>
  </w:style>
  <w:style w:type="character" w:customStyle="1" w:styleId="149">
    <w:name w:val="c-icon14"/>
    <w:basedOn w:val="52"/>
    <w:qFormat/>
    <w:uiPriority w:val="99"/>
    <w:rPr>
      <w:rFonts w:cs="Times New Roman"/>
    </w:rPr>
  </w:style>
  <w:style w:type="character" w:customStyle="1" w:styleId="150">
    <w:name w:val="列出段落 Char"/>
    <w:link w:val="122"/>
    <w:qFormat/>
    <w:locked/>
    <w:uiPriority w:val="99"/>
    <w:rPr>
      <w:rFonts w:ascii="Calibri" w:hAnsi="Calibri"/>
      <w:kern w:val="2"/>
      <w:sz w:val="24"/>
    </w:rPr>
  </w:style>
  <w:style w:type="character" w:customStyle="1" w:styleId="151">
    <w:name w:val="Char Char21"/>
    <w:qFormat/>
    <w:uiPriority w:val="99"/>
    <w:rPr>
      <w:rFonts w:ascii="宋体" w:hAnsi="Courier New" w:eastAsia="宋体"/>
      <w:sz w:val="21"/>
      <w:lang w:val="en-US" w:eastAsia="zh-CN"/>
    </w:rPr>
  </w:style>
  <w:style w:type="character" w:customStyle="1" w:styleId="152">
    <w:name w:val="标题 2 Char"/>
    <w:qFormat/>
    <w:uiPriority w:val="99"/>
    <w:rPr>
      <w:rFonts w:ascii="Arial" w:hAnsi="Arial" w:eastAsia="黑体"/>
      <w:b/>
      <w:kern w:val="2"/>
      <w:sz w:val="32"/>
      <w:lang w:val="en-US" w:eastAsia="zh-CN"/>
    </w:rPr>
  </w:style>
  <w:style w:type="character" w:customStyle="1" w:styleId="153">
    <w:name w:val="large1"/>
    <w:qFormat/>
    <w:uiPriority w:val="99"/>
    <w:rPr>
      <w:rFonts w:ascii="宋体" w:hAnsi="宋体" w:eastAsia="宋体"/>
      <w:sz w:val="21"/>
    </w:rPr>
  </w:style>
  <w:style w:type="character" w:customStyle="1" w:styleId="154">
    <w:name w:val="font41"/>
    <w:qFormat/>
    <w:uiPriority w:val="99"/>
    <w:rPr>
      <w:rFonts w:ascii="宋体" w:hAnsi="宋体" w:eastAsia="宋体"/>
      <w:color w:val="000000"/>
      <w:sz w:val="21"/>
      <w:u w:val="none"/>
    </w:rPr>
  </w:style>
  <w:style w:type="character" w:customStyle="1" w:styleId="155">
    <w:name w:val="c-icon15"/>
    <w:basedOn w:val="52"/>
    <w:qFormat/>
    <w:uiPriority w:val="99"/>
    <w:rPr>
      <w:rFonts w:cs="Times New Roman"/>
    </w:rPr>
  </w:style>
  <w:style w:type="character" w:customStyle="1" w:styleId="156">
    <w:name w:val="NormalCharacter"/>
    <w:qFormat/>
    <w:uiPriority w:val="99"/>
  </w:style>
  <w:style w:type="character" w:customStyle="1" w:styleId="157">
    <w:name w:val="c-icon16"/>
    <w:basedOn w:val="52"/>
    <w:qFormat/>
    <w:uiPriority w:val="99"/>
    <w:rPr>
      <w:rFonts w:cs="Times New Roman"/>
    </w:rPr>
  </w:style>
  <w:style w:type="character" w:customStyle="1" w:styleId="158">
    <w:name w:val="无间隔 Char"/>
    <w:link w:val="119"/>
    <w:qFormat/>
    <w:locked/>
    <w:uiPriority w:val="99"/>
    <w:rPr>
      <w:sz w:val="22"/>
      <w:lang w:val="en-US" w:eastAsia="zh-CN"/>
    </w:rPr>
  </w:style>
  <w:style w:type="character" w:customStyle="1" w:styleId="159">
    <w:name w:val="DAS正文 Char"/>
    <w:link w:val="104"/>
    <w:qFormat/>
    <w:locked/>
    <w:uiPriority w:val="99"/>
    <w:rPr>
      <w:rFonts w:ascii="Verdana" w:hAnsi="Verdana"/>
    </w:rPr>
  </w:style>
  <w:style w:type="character" w:customStyle="1" w:styleId="160">
    <w:name w:val="font3"/>
    <w:basedOn w:val="52"/>
    <w:qFormat/>
    <w:uiPriority w:val="99"/>
    <w:rPr>
      <w:rFonts w:cs="Times New Roman"/>
    </w:rPr>
  </w:style>
  <w:style w:type="character" w:customStyle="1" w:styleId="161">
    <w:name w:val="标题 1 Char Char"/>
    <w:qFormat/>
    <w:uiPriority w:val="99"/>
    <w:rPr>
      <w:rFonts w:eastAsia="宋体"/>
      <w:b/>
      <w:spacing w:val="-2"/>
      <w:sz w:val="24"/>
      <w:lang w:val="en-US" w:eastAsia="zh-CN"/>
    </w:rPr>
  </w:style>
  <w:style w:type="character" w:customStyle="1" w:styleId="162">
    <w:name w:val="标题 Char1"/>
    <w:qFormat/>
    <w:locked/>
    <w:uiPriority w:val="99"/>
    <w:rPr>
      <w:rFonts w:ascii="Arial" w:hAnsi="Arial"/>
      <w:b/>
      <w:sz w:val="36"/>
      <w:lang w:eastAsia="en-US"/>
    </w:rPr>
  </w:style>
  <w:style w:type="character" w:customStyle="1" w:styleId="163">
    <w:name w:val="font21"/>
    <w:basedOn w:val="52"/>
    <w:qFormat/>
    <w:uiPriority w:val="99"/>
    <w:rPr>
      <w:rFonts w:ascii="宋体" w:hAnsi="宋体" w:eastAsia="宋体"/>
      <w:color w:val="000000"/>
      <w:sz w:val="24"/>
      <w:u w:val="none"/>
    </w:rPr>
  </w:style>
  <w:style w:type="table" w:customStyle="1" w:styleId="164">
    <w:name w:val="网格表 5 深色 - 着色 11"/>
    <w:qFormat/>
    <w:uiPriority w:val="99"/>
    <w:pPr>
      <w:jc w:val="center"/>
    </w:pPr>
    <w:rPr>
      <w:kern w:val="0"/>
      <w:sz w:val="20"/>
      <w:szCs w:val="20"/>
    </w:rPr>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
    <w:tcPr>
      <w:shd w:val="clear" w:color="auto" w:fill="DEEAF6"/>
    </w:tcPr>
  </w:style>
  <w:style w:type="paragraph" w:styleId="165">
    <w:name w:val="List Paragraph"/>
    <w:basedOn w:val="1"/>
    <w:next w:val="1"/>
    <w:qFormat/>
    <w:uiPriority w:val="99"/>
    <w:pPr>
      <w:ind w:firstLine="420" w:firstLineChars="200"/>
    </w:pPr>
    <w:rPr>
      <w:rFonts w:ascii="Calibri" w:hAnsi="Calibri" w:eastAsia="宋体"/>
      <w:szCs w:val="22"/>
    </w:rPr>
  </w:style>
  <w:style w:type="paragraph" w:customStyle="1" w:styleId="166">
    <w:name w:val="CM19"/>
    <w:basedOn w:val="62"/>
    <w:next w:val="62"/>
    <w:qFormat/>
    <w:uiPriority w:val="99"/>
  </w:style>
  <w:style w:type="paragraph" w:customStyle="1" w:styleId="167">
    <w:name w:val="CM11"/>
    <w:basedOn w:val="62"/>
    <w:next w:val="62"/>
    <w:qFormat/>
    <w:uiPriority w:val="99"/>
    <w:pPr>
      <w:spacing w:line="520" w:lineRule="atLeast"/>
    </w:pPr>
  </w:style>
  <w:style w:type="paragraph" w:customStyle="1" w:styleId="168">
    <w:name w:val="CM13"/>
    <w:basedOn w:val="62"/>
    <w:next w:val="62"/>
    <w:qFormat/>
    <w:uiPriority w:val="99"/>
    <w:pPr>
      <w:spacing w:line="520" w:lineRule="atLeast"/>
    </w:pPr>
  </w:style>
  <w:style w:type="paragraph" w:customStyle="1" w:styleId="169">
    <w:name w:val="纯文本1"/>
    <w:basedOn w:val="170"/>
    <w:qFormat/>
    <w:uiPriority w:val="99"/>
    <w:pPr>
      <w:widowControl/>
      <w:jc w:val="left"/>
    </w:pPr>
    <w:rPr>
      <w:rFonts w:ascii="宋体" w:hAnsi="Courier New" w:cs="宋体"/>
    </w:rPr>
  </w:style>
  <w:style w:type="paragraph" w:customStyle="1" w:styleId="170">
    <w:name w:val="正文1"/>
    <w:next w:val="171"/>
    <w:qFormat/>
    <w:uiPriority w:val="99"/>
    <w:pPr>
      <w:widowControl w:val="0"/>
      <w:jc w:val="both"/>
    </w:pPr>
    <w:rPr>
      <w:rFonts w:ascii="Calibri" w:hAnsi="Calibri" w:eastAsia="宋体" w:cs="Calibri"/>
      <w:kern w:val="2"/>
      <w:sz w:val="21"/>
      <w:szCs w:val="21"/>
      <w:lang w:val="en-US" w:eastAsia="zh-CN" w:bidi="ar-SA"/>
    </w:rPr>
  </w:style>
  <w:style w:type="paragraph" w:customStyle="1" w:styleId="171">
    <w:name w:val="自动更正"/>
    <w:next w:val="17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2">
    <w:name w:val="xl39"/>
    <w:basedOn w:val="1"/>
    <w:next w:val="173"/>
    <w:qFormat/>
    <w:uiPriority w:val="0"/>
    <w:pPr>
      <w:widowControl/>
      <w:pBdr>
        <w:top w:val="single" w:color="auto" w:sz="4" w:space="0"/>
        <w:bottom w:val="single" w:color="auto" w:sz="4" w:space="0"/>
        <w:right w:val="single" w:color="auto" w:sz="4" w:space="0"/>
      </w:pBdr>
      <w:spacing w:before="100" w:after="100"/>
      <w:jc w:val="left"/>
      <w:textAlignment w:val="center"/>
    </w:pPr>
    <w:rPr>
      <w:kern w:val="0"/>
      <w:szCs w:val="20"/>
    </w:rPr>
  </w:style>
  <w:style w:type="paragraph" w:customStyle="1" w:styleId="173">
    <w:name w:val="分手多日，近况如何？"/>
    <w:next w:val="1"/>
    <w:qFormat/>
    <w:uiPriority w:val="0"/>
    <w:pPr>
      <w:widowControl w:val="0"/>
      <w:jc w:val="both"/>
    </w:pPr>
    <w:rPr>
      <w:rFonts w:ascii="Times New Roman" w:hAnsi="Times New Roman" w:eastAsia="宋体" w:cs="Times New Roman"/>
      <w:sz w:val="21"/>
      <w:lang w:val="en-US" w:eastAsia="zh-CN" w:bidi="ar-SA"/>
    </w:rPr>
  </w:style>
  <w:style w:type="character" w:customStyle="1" w:styleId="174">
    <w:name w:val="font51"/>
    <w:basedOn w:val="52"/>
    <w:qFormat/>
    <w:uiPriority w:val="99"/>
    <w:rPr>
      <w:rFonts w:ascii="宋体" w:hAnsi="宋体" w:eastAsia="宋体" w:cs="宋体"/>
      <w:color w:val="000000"/>
      <w:sz w:val="20"/>
      <w:szCs w:val="20"/>
      <w:u w:val="none"/>
    </w:rPr>
  </w:style>
  <w:style w:type="character" w:customStyle="1" w:styleId="175">
    <w:name w:val="fontstyle01"/>
    <w:basedOn w:val="52"/>
    <w:qFormat/>
    <w:uiPriority w:val="0"/>
    <w:rPr>
      <w:rFonts w:hint="eastAsia" w:ascii="宋体" w:hAnsi="宋体" w:eastAsia="宋体"/>
      <w:color w:val="000000"/>
      <w:sz w:val="22"/>
      <w:szCs w:val="22"/>
    </w:rPr>
  </w:style>
  <w:style w:type="paragraph" w:customStyle="1" w:styleId="176">
    <w:name w:val="正文+缩进"/>
    <w:qFormat/>
    <w:uiPriority w:val="0"/>
    <w:pPr>
      <w:widowControl w:val="0"/>
      <w:jc w:val="both"/>
    </w:pPr>
    <w:rPr>
      <w:rFonts w:ascii="宋体" w:hAnsi="宋体" w:eastAsia="宋体" w:cs="Times New Roman"/>
      <w:kern w:val="2"/>
      <w:sz w:val="21"/>
      <w:szCs w:val="24"/>
      <w:lang w:val="en-GB" w:eastAsia="zh-CN" w:bidi="ar-SA"/>
    </w:rPr>
  </w:style>
  <w:style w:type="character" w:customStyle="1" w:styleId="177">
    <w:name w:val="标题 2 Char1"/>
    <w:link w:val="3"/>
    <w:qFormat/>
    <w:uiPriority w:val="0"/>
    <w:rPr>
      <w:rFonts w:ascii="Arial" w:hAnsi="Arial" w:eastAsia="黑体"/>
      <w:b/>
      <w:bCs/>
      <w:kern w:val="2"/>
      <w:sz w:val="32"/>
      <w:szCs w:val="32"/>
    </w:rPr>
  </w:style>
  <w:style w:type="paragraph" w:customStyle="1" w:styleId="178">
    <w:name w:val="正文ZZP"/>
    <w:basedOn w:val="1"/>
    <w:qFormat/>
    <w:uiPriority w:val="0"/>
    <w:pPr>
      <w:spacing w:line="360" w:lineRule="auto"/>
      <w:ind w:firstLine="200" w:firstLineChars="200"/>
    </w:pPr>
    <w:rPr>
      <w:sz w:val="28"/>
      <w:szCs w:val="20"/>
    </w:rPr>
  </w:style>
  <w:style w:type="paragraph" w:customStyle="1" w:styleId="179">
    <w:name w:val="Fließtext"/>
    <w:basedOn w:val="1"/>
    <w:qFormat/>
    <w:uiPriority w:val="0"/>
    <w:pPr>
      <w:overflowPunct w:val="0"/>
      <w:autoSpaceDE w:val="0"/>
      <w:autoSpaceDN w:val="0"/>
      <w:adjustRightInd w:val="0"/>
      <w:textAlignment w:val="baseline"/>
    </w:pPr>
    <w:rPr>
      <w:kern w:val="28"/>
      <w:szCs w:val="20"/>
    </w:rPr>
  </w:style>
  <w:style w:type="character" w:customStyle="1" w:styleId="180">
    <w:name w:val="font121"/>
    <w:basedOn w:val="52"/>
    <w:qFormat/>
    <w:uiPriority w:val="0"/>
    <w:rPr>
      <w:rFonts w:hint="default" w:ascii="Times New Roman" w:hAnsi="Times New Roman" w:cs="Times New Roman"/>
      <w:color w:val="000000"/>
      <w:sz w:val="21"/>
      <w:szCs w:val="21"/>
      <w:u w:val="none"/>
    </w:rPr>
  </w:style>
  <w:style w:type="character" w:customStyle="1" w:styleId="181">
    <w:name w:val="font131"/>
    <w:basedOn w:val="52"/>
    <w:qFormat/>
    <w:uiPriority w:val="0"/>
    <w:rPr>
      <w:rFonts w:hint="default" w:ascii="Times New Roman" w:hAnsi="Times New Roman" w:cs="Times New Roman"/>
      <w:color w:val="000000"/>
      <w:sz w:val="20"/>
      <w:szCs w:val="20"/>
      <w:u w:val="none"/>
    </w:rPr>
  </w:style>
  <w:style w:type="paragraph" w:customStyle="1" w:styleId="182">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83">
    <w:name w:val="附录标识"/>
    <w:basedOn w:val="1"/>
    <w:next w:val="184"/>
    <w:qFormat/>
    <w:uiPriority w:val="0"/>
    <w:pPr>
      <w:keepNext/>
      <w:widowControl/>
      <w:numPr>
        <w:ilvl w:val="0"/>
        <w:numId w:val="4"/>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184">
    <w:name w:val="段"/>
    <w:qFormat/>
    <w:uiPriority w:val="0"/>
    <w:pPr>
      <w:tabs>
        <w:tab w:val="center" w:pos="4201"/>
        <w:tab w:val="right" w:leader="dot" w:pos="9298"/>
      </w:tabs>
      <w:autoSpaceDE w:val="0"/>
      <w:autoSpaceDN w:val="0"/>
      <w:ind w:firstLine="420" w:firstLineChars="200"/>
      <w:jc w:val="both"/>
    </w:pPr>
    <w:rPr>
      <w:rFonts w:ascii="宋体" w:hAnsi="宋体" w:eastAsia="宋体" w:cstheme="minorBidi"/>
      <w:kern w:val="2"/>
      <w:sz w:val="21"/>
      <w:szCs w:val="22"/>
      <w:lang w:val="en-US" w:eastAsia="zh-CN" w:bidi="ar-SA"/>
    </w:rPr>
  </w:style>
  <w:style w:type="paragraph" w:customStyle="1" w:styleId="185">
    <w:name w:val="附录图标题"/>
    <w:basedOn w:val="1"/>
    <w:next w:val="184"/>
    <w:qFormat/>
    <w:uiPriority w:val="0"/>
    <w:pPr>
      <w:numPr>
        <w:ilvl w:val="1"/>
        <w:numId w:val="5"/>
      </w:numPr>
      <w:tabs>
        <w:tab w:val="left" w:pos="363"/>
      </w:tabs>
      <w:spacing w:beforeLines="50" w:afterLines="50"/>
      <w:ind w:left="0" w:firstLine="0"/>
      <w:jc w:val="center"/>
    </w:pPr>
    <w:rPr>
      <w:rFonts w:ascii="黑体" w:eastAsia="黑体"/>
      <w:szCs w:val="21"/>
    </w:rPr>
  </w:style>
  <w:style w:type="paragraph" w:customStyle="1" w:styleId="186">
    <w:name w:val="BodyText1I"/>
    <w:basedOn w:val="187"/>
    <w:qFormat/>
    <w:uiPriority w:val="0"/>
    <w:pPr>
      <w:spacing w:line="360" w:lineRule="auto"/>
      <w:ind w:firstLine="420"/>
    </w:pPr>
    <w:rPr>
      <w:rFonts w:ascii="Times New Roman" w:hAnsi="Times New Roman" w:eastAsia="楷体_GB2312"/>
      <w:kern w:val="0"/>
      <w:sz w:val="24"/>
      <w:szCs w:val="20"/>
    </w:rPr>
  </w:style>
  <w:style w:type="paragraph" w:customStyle="1" w:styleId="187">
    <w:name w:val="BodyText"/>
    <w:basedOn w:val="1"/>
    <w:next w:val="186"/>
    <w:qFormat/>
    <w:uiPriority w:val="0"/>
    <w:pPr>
      <w:widowControl/>
      <w:spacing w:after="120"/>
      <w:jc w:val="left"/>
    </w:pPr>
    <w:rPr>
      <w:rFonts w:ascii="FuturaA Bk BT" w:hAnsi="FuturaA Bk BT" w:eastAsia="仿宋_GB2312"/>
      <w:kern w:val="0"/>
      <w:sz w:val="20"/>
    </w:rPr>
  </w:style>
  <w:style w:type="paragraph" w:customStyle="1" w:styleId="188">
    <w:name w:val="纯文本11"/>
    <w:basedOn w:val="1"/>
    <w:qFormat/>
    <w:uiPriority w:val="0"/>
    <w:pPr>
      <w:widowControl/>
      <w:overflowPunct w:val="0"/>
      <w:autoSpaceDE w:val="0"/>
      <w:autoSpaceDN w:val="0"/>
      <w:jc w:val="left"/>
    </w:pPr>
    <w:rPr>
      <w:rFonts w:ascii="宋体" w:hAnsi="Courier New"/>
      <w:szCs w:val="21"/>
    </w:rPr>
  </w:style>
  <w:style w:type="paragraph" w:customStyle="1" w:styleId="189">
    <w:name w:val="正文文本首行缩进 2"/>
    <w:basedOn w:val="190"/>
    <w:qFormat/>
    <w:uiPriority w:val="0"/>
    <w:pPr>
      <w:spacing w:after="120" w:line="240" w:lineRule="auto"/>
      <w:ind w:left="420" w:leftChars="200" w:firstLine="420"/>
    </w:pPr>
    <w:rPr>
      <w:sz w:val="21"/>
      <w:szCs w:val="21"/>
    </w:rPr>
  </w:style>
  <w:style w:type="paragraph" w:customStyle="1" w:styleId="190">
    <w:name w:val="正文文本缩进1"/>
    <w:basedOn w:val="1"/>
    <w:qFormat/>
    <w:uiPriority w:val="0"/>
    <w:pPr>
      <w:ind w:left="480" w:hanging="480" w:hangingChars="200"/>
    </w:pPr>
    <w:rPr>
      <w:sz w:val="24"/>
    </w:rPr>
  </w:style>
  <w:style w:type="table" w:customStyle="1" w:styleId="191">
    <w:name w:val="网格型1"/>
    <w:basedOn w:val="5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92">
    <w:name w:val="bjh-p"/>
    <w:basedOn w:val="52"/>
    <w:qFormat/>
    <w:uiPriority w:val="0"/>
  </w:style>
  <w:style w:type="paragraph" w:customStyle="1" w:styleId="193">
    <w:name w:val="样式 表格正文 + 两端对齐"/>
    <w:basedOn w:val="1"/>
    <w:next w:val="170"/>
    <w:qFormat/>
    <w:uiPriority w:val="0"/>
    <w:pPr>
      <w:spacing w:line="300" w:lineRule="auto"/>
    </w:pPr>
    <w:rPr>
      <w:sz w:val="24"/>
    </w:rPr>
  </w:style>
  <w:style w:type="paragraph" w:customStyle="1" w:styleId="194">
    <w:name w:val="[Normal]"/>
    <w:qFormat/>
    <w:uiPriority w:val="0"/>
    <w:rPr>
      <w:rFonts w:ascii="宋体" w:hAnsi="Times New Roman" w:eastAsia="宋体" w:cs="Times New Roman"/>
      <w:sz w:val="24"/>
      <w:szCs w:val="22"/>
      <w:lang w:val="zh-CN"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4.png"/><Relationship Id="rId12" Type="http://schemas.openxmlformats.org/officeDocument/2006/relationships/image" Target="media/image3.png"/><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cszs</Company>
  <Pages>60</Pages>
  <Words>21262</Words>
  <Characters>22746</Characters>
  <Lines>0</Lines>
  <Paragraphs>0</Paragraphs>
  <TotalTime>30</TotalTime>
  <ScaleCrop>false</ScaleCrop>
  <LinksUpToDate>false</LinksUpToDate>
  <CharactersWithSpaces>22924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2020-08-26T01:00:00Z</dcterms:created>
  <dc:creator>姚剑</dc:creator>
  <cp:lastModifiedBy>余佳丽</cp:lastModifiedBy>
  <cp:lastPrinted>2025-07-14T04:05:00Z</cp:lastPrinted>
  <dcterms:modified xsi:type="dcterms:W3CDTF">2025-07-15T04:58:42Z</dcterms:modified>
  <dc:title>政府采购招标文件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AAFC7302942B42CEBD8B0EF26D33E70B_13</vt:lpwstr>
  </property>
  <property fmtid="{D5CDD505-2E9C-101B-9397-08002B2CF9AE}" pid="4" name="KSOTemplateDocerSaveRecord">
    <vt:lpwstr>eyJoZGlkIjoiOWQyMDJmYjVmODNlMWNkZDdjZmMyOTk1OGJlYTQzM2IiLCJ1c2VySWQiOiI0NDg2ODUxNDQifQ==</vt:lpwstr>
  </property>
  <property fmtid="{D5CDD505-2E9C-101B-9397-08002B2CF9AE}" pid="5" name="woTemplateTypoMode" linkTarget="0">
    <vt:lpwstr/>
  </property>
  <property fmtid="{D5CDD505-2E9C-101B-9397-08002B2CF9AE}" pid="6" name="woTemplate" linkTarget="0">
    <vt:i4>0</vt:i4>
  </property>
</Properties>
</file>