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18"/>
          <w:szCs w:val="18"/>
        </w:rPr>
      </w:pPr>
    </w:p>
    <w:p>
      <w:pPr>
        <w:pStyle w:val="91"/>
        <w:jc w:val="center"/>
        <w:rPr>
          <w:rFonts w:hAnsi="宋体"/>
          <w:color w:val="auto"/>
        </w:rPr>
      </w:pPr>
      <w:r>
        <w:rPr>
          <w:rFonts w:hint="eastAsia" w:hAnsi="宋体"/>
          <w:b/>
          <w:bCs/>
          <w:color w:val="auto"/>
          <w:sz w:val="44"/>
          <w:szCs w:val="44"/>
        </w:rPr>
        <w:t>常山（三）水文站现代化改造提升工程—设备采购服务项目</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jc w:val="center"/>
        <w:rPr>
          <w:rFonts w:ascii="宋体" w:hAnsi="宋体" w:cs="宋体"/>
          <w:b/>
          <w:sz w:val="84"/>
          <w:szCs w:val="84"/>
        </w:rPr>
      </w:pPr>
      <w:r>
        <w:rPr>
          <w:rFonts w:hint="eastAsia" w:ascii="宋体" w:hAnsi="宋体" w:cs="宋体"/>
          <w:b/>
          <w:sz w:val="84"/>
          <w:szCs w:val="84"/>
        </w:rPr>
        <w:t>采购文件</w:t>
      </w:r>
    </w:p>
    <w:p>
      <w:pPr>
        <w:spacing w:line="360" w:lineRule="auto"/>
        <w:jc w:val="center"/>
        <w:rPr>
          <w:rFonts w:ascii="宋体" w:hAnsi="宋体" w:cs="宋体"/>
          <w:sz w:val="28"/>
          <w:szCs w:val="28"/>
        </w:rPr>
      </w:pPr>
      <w:r>
        <w:rPr>
          <w:rFonts w:hint="eastAsia" w:ascii="宋体" w:hAnsi="宋体" w:cs="宋体"/>
          <w:sz w:val="28"/>
          <w:szCs w:val="28"/>
        </w:rPr>
        <w:t>（电子交易）</w:t>
      </w:r>
    </w:p>
    <w:p>
      <w:pPr>
        <w:spacing w:line="360" w:lineRule="auto"/>
        <w:jc w:val="center"/>
        <w:rPr>
          <w:rFonts w:ascii="宋体" w:hAnsi="宋体" w:cs="宋体"/>
          <w:b/>
          <w:sz w:val="32"/>
          <w:szCs w:val="32"/>
        </w:rPr>
      </w:pPr>
      <w:r>
        <w:rPr>
          <w:rFonts w:hint="eastAsia" w:ascii="宋体" w:hAnsi="宋体" w:cs="宋体"/>
          <w:sz w:val="32"/>
          <w:szCs w:val="32"/>
        </w:rPr>
        <w:t>项目编号：ZSCG202306-GK02</w:t>
      </w:r>
    </w:p>
    <w:p>
      <w:pPr>
        <w:spacing w:line="360" w:lineRule="auto"/>
        <w:jc w:val="center"/>
        <w:rPr>
          <w:rFonts w:ascii="宋体" w:hAnsi="宋体" w:cs="宋体"/>
          <w:sz w:val="28"/>
          <w:szCs w:val="28"/>
        </w:rPr>
      </w:pPr>
    </w:p>
    <w:p>
      <w:pPr>
        <w:tabs>
          <w:tab w:val="left" w:pos="5960"/>
        </w:tabs>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ind w:firstLine="1551" w:firstLineChars="554"/>
        <w:rPr>
          <w:rFonts w:ascii="宋体" w:hAnsi="宋体" w:cs="宋体"/>
          <w:sz w:val="28"/>
          <w:szCs w:val="28"/>
        </w:rPr>
      </w:pPr>
      <w:r>
        <w:rPr>
          <w:rFonts w:hint="eastAsia" w:ascii="宋体" w:hAnsi="宋体" w:cs="宋体"/>
          <w:sz w:val="28"/>
          <w:szCs w:val="28"/>
        </w:rPr>
        <w:t>采购单位：常山县水文站</w:t>
      </w:r>
    </w:p>
    <w:p>
      <w:pPr>
        <w:spacing w:line="360" w:lineRule="auto"/>
        <w:ind w:firstLine="1551" w:firstLineChars="554"/>
        <w:rPr>
          <w:rFonts w:ascii="宋体" w:hAnsi="宋体" w:cs="宋体"/>
          <w:sz w:val="28"/>
          <w:szCs w:val="28"/>
        </w:rPr>
      </w:pPr>
      <w:r>
        <w:rPr>
          <w:rFonts w:hint="eastAsia" w:ascii="宋体" w:hAnsi="宋体" w:cs="宋体"/>
          <w:sz w:val="28"/>
          <w:szCs w:val="28"/>
        </w:rPr>
        <w:t>代理机构：浙江哲晟工程项目管理有限公司</w:t>
      </w:r>
    </w:p>
    <w:p>
      <w:pPr>
        <w:spacing w:line="360" w:lineRule="auto"/>
        <w:jc w:val="center"/>
        <w:rPr>
          <w:rFonts w:ascii="宋体" w:hAnsi="宋体" w:cs="宋体"/>
          <w:sz w:val="32"/>
          <w:szCs w:val="32"/>
        </w:rPr>
      </w:pPr>
      <w:r>
        <w:rPr>
          <w:rFonts w:hint="eastAsia" w:ascii="宋体" w:hAnsi="宋体" w:cs="宋体"/>
          <w:sz w:val="32"/>
          <w:szCs w:val="32"/>
        </w:rPr>
        <w:t>2023年0</w:t>
      </w:r>
      <w:r>
        <w:rPr>
          <w:rFonts w:hint="eastAsia" w:ascii="宋体" w:hAnsi="宋体" w:cs="宋体"/>
          <w:sz w:val="32"/>
          <w:szCs w:val="32"/>
          <w:lang w:val="en-US" w:eastAsia="zh-CN"/>
        </w:rPr>
        <w:t>2</w:t>
      </w:r>
      <w:r>
        <w:rPr>
          <w:rFonts w:hint="eastAsia" w:ascii="宋体" w:hAnsi="宋体" w:cs="宋体"/>
          <w:sz w:val="32"/>
          <w:szCs w:val="32"/>
        </w:rPr>
        <w:t>月</w:t>
      </w:r>
    </w:p>
    <w:p>
      <w:pPr>
        <w:pStyle w:val="29"/>
        <w:spacing w:line="360" w:lineRule="auto"/>
        <w:jc w:val="center"/>
        <w:rPr>
          <w:rFonts w:hAnsi="宋体" w:cs="宋体"/>
          <w:bCs/>
          <w:sz w:val="18"/>
          <w:szCs w:val="18"/>
        </w:rPr>
        <w:sectPr>
          <w:headerReference r:id="rId4" w:type="first"/>
          <w:footerReference r:id="rId6" w:type="first"/>
          <w:headerReference r:id="rId3" w:type="default"/>
          <w:footerReference r:id="rId5" w:type="default"/>
          <w:pgSz w:w="11907" w:h="16840"/>
          <w:pgMar w:top="1559" w:right="1293" w:bottom="1134" w:left="1574" w:header="720" w:footer="873" w:gutter="0"/>
          <w:pgNumType w:start="1"/>
          <w:cols w:space="720" w:num="1"/>
          <w:titlePg/>
          <w:docGrid w:type="linesAndChars" w:linePitch="380" w:charSpace="0"/>
        </w:sectPr>
      </w:pPr>
    </w:p>
    <w:p>
      <w:pPr>
        <w:pStyle w:val="29"/>
        <w:jc w:val="center"/>
        <w:rPr>
          <w:rFonts w:hAnsi="宋体" w:cs="宋体"/>
          <w:bCs/>
          <w:sz w:val="44"/>
          <w:szCs w:val="44"/>
        </w:rPr>
      </w:pPr>
      <w:r>
        <w:rPr>
          <w:rFonts w:hint="eastAsia" w:hAnsi="宋体" w:cs="宋体"/>
          <w:bCs/>
          <w:sz w:val="44"/>
          <w:szCs w:val="44"/>
        </w:rPr>
        <w:t>目    录</w:t>
      </w:r>
    </w:p>
    <w:p>
      <w:pPr>
        <w:pStyle w:val="29"/>
        <w:spacing w:line="360" w:lineRule="auto"/>
        <w:jc w:val="center"/>
        <w:rPr>
          <w:rFonts w:hAnsi="宋体" w:cs="宋体"/>
          <w:b/>
          <w:bCs/>
          <w:sz w:val="18"/>
          <w:szCs w:val="18"/>
        </w:rPr>
      </w:pPr>
    </w:p>
    <w:p>
      <w:pPr>
        <w:pStyle w:val="2"/>
        <w:tabs>
          <w:tab w:val="right" w:leader="dot" w:pos="8306"/>
        </w:tabs>
      </w:pPr>
      <w:r>
        <w:rPr>
          <w:rFonts w:hint="eastAsia" w:ascii="宋体" w:hAnsi="宋体" w:cs="宋体"/>
          <w:sz w:val="18"/>
          <w:szCs w:val="18"/>
        </w:rPr>
        <w:fldChar w:fldCharType="begin"/>
      </w:r>
      <w:r>
        <w:rPr>
          <w:rFonts w:hint="eastAsia" w:ascii="宋体" w:hAnsi="宋体" w:cs="宋体"/>
          <w:sz w:val="18"/>
          <w:szCs w:val="18"/>
        </w:rPr>
        <w:instrText xml:space="preserve"> TOC \o "1-3" \h \z \u </w:instrText>
      </w:r>
      <w:r>
        <w:rPr>
          <w:rFonts w:hint="eastAsia" w:ascii="宋体" w:hAnsi="宋体" w:cs="宋体"/>
          <w:sz w:val="18"/>
          <w:szCs w:val="18"/>
        </w:rPr>
        <w:fldChar w:fldCharType="separate"/>
      </w:r>
      <w:r>
        <w:rPr>
          <w:rFonts w:hint="eastAsia" w:ascii="宋体" w:hAnsi="宋体" w:cs="宋体"/>
          <w:szCs w:val="18"/>
        </w:rPr>
        <w:fldChar w:fldCharType="begin"/>
      </w:r>
      <w:r>
        <w:rPr>
          <w:rFonts w:hint="eastAsia" w:ascii="宋体" w:hAnsi="宋体" w:cs="宋体"/>
          <w:szCs w:val="18"/>
        </w:rPr>
        <w:instrText xml:space="preserve"> HYPERLINK \l _Toc29888 </w:instrText>
      </w:r>
      <w:r>
        <w:rPr>
          <w:rFonts w:hint="eastAsia" w:ascii="宋体" w:hAnsi="宋体" w:cs="宋体"/>
          <w:szCs w:val="18"/>
        </w:rPr>
        <w:fldChar w:fldCharType="separate"/>
      </w:r>
      <w:r>
        <w:rPr>
          <w:rFonts w:hint="eastAsia" w:ascii="宋体" w:hAnsi="宋体" w:cs="宋体"/>
          <w:szCs w:val="30"/>
          <w:lang w:val="zh-CN" w:eastAsia="zh-CN"/>
        </w:rPr>
        <w:t>第一章  招标公告</w:t>
      </w:r>
      <w:r>
        <w:tab/>
      </w:r>
      <w:r>
        <w:fldChar w:fldCharType="begin"/>
      </w:r>
      <w:r>
        <w:instrText xml:space="preserve"> PAGEREF _Toc29888 \h </w:instrText>
      </w:r>
      <w:r>
        <w:fldChar w:fldCharType="separate"/>
      </w:r>
      <w:r>
        <w:t>3</w:t>
      </w:r>
      <w:r>
        <w:fldChar w:fldCharType="end"/>
      </w:r>
      <w:r>
        <w:rPr>
          <w:rFonts w:hint="eastAsia" w:ascii="宋体" w:hAnsi="宋体" w:cs="宋体"/>
          <w:szCs w:val="18"/>
        </w:rPr>
        <w:fldChar w:fldCharType="end"/>
      </w:r>
    </w:p>
    <w:p>
      <w:pPr>
        <w:pStyle w:val="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_Toc28648 </w:instrText>
      </w:r>
      <w:r>
        <w:rPr>
          <w:rFonts w:hint="eastAsia" w:ascii="宋体" w:hAnsi="宋体" w:cs="宋体"/>
          <w:szCs w:val="18"/>
        </w:rPr>
        <w:fldChar w:fldCharType="separate"/>
      </w:r>
      <w:r>
        <w:rPr>
          <w:rFonts w:hint="eastAsia" w:ascii="宋体" w:hAnsi="宋体" w:cs="宋体"/>
          <w:szCs w:val="30"/>
          <w:lang w:val="zh-CN" w:eastAsia="zh-CN"/>
        </w:rPr>
        <w:t>第二章  投标人须知</w:t>
      </w:r>
      <w:r>
        <w:tab/>
      </w:r>
      <w:r>
        <w:fldChar w:fldCharType="begin"/>
      </w:r>
      <w:r>
        <w:instrText xml:space="preserve"> PAGEREF _Toc28648 \h </w:instrText>
      </w:r>
      <w:r>
        <w:fldChar w:fldCharType="separate"/>
      </w:r>
      <w:r>
        <w:t>7</w:t>
      </w:r>
      <w:r>
        <w:fldChar w:fldCharType="end"/>
      </w:r>
      <w:r>
        <w:rPr>
          <w:rFonts w:hint="eastAsia" w:ascii="宋体" w:hAnsi="宋体" w:cs="宋体"/>
          <w:szCs w:val="18"/>
        </w:rPr>
        <w:fldChar w:fldCharType="end"/>
      </w:r>
    </w:p>
    <w:p>
      <w:pPr>
        <w:pStyle w:val="4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_Toc14533 </w:instrText>
      </w:r>
      <w:r>
        <w:rPr>
          <w:rFonts w:hint="eastAsia" w:ascii="宋体" w:hAnsi="宋体" w:cs="宋体"/>
          <w:szCs w:val="18"/>
        </w:rPr>
        <w:fldChar w:fldCharType="separate"/>
      </w:r>
      <w:r>
        <w:rPr>
          <w:rFonts w:hint="eastAsia" w:ascii="宋体" w:hAnsi="宋体" w:eastAsia="宋体" w:cs="宋体"/>
          <w:bCs w:val="0"/>
          <w:szCs w:val="30"/>
          <w:lang w:val="zh-CN"/>
        </w:rPr>
        <w:t>投标人须知前附表</w:t>
      </w:r>
      <w:r>
        <w:tab/>
      </w:r>
      <w:r>
        <w:fldChar w:fldCharType="begin"/>
      </w:r>
      <w:r>
        <w:instrText xml:space="preserve"> PAGEREF _Toc14533 \h </w:instrText>
      </w:r>
      <w:r>
        <w:fldChar w:fldCharType="separate"/>
      </w:r>
      <w:r>
        <w:t>7</w:t>
      </w:r>
      <w:r>
        <w:fldChar w:fldCharType="end"/>
      </w:r>
      <w:r>
        <w:rPr>
          <w:rFonts w:hint="eastAsia" w:ascii="宋体" w:hAnsi="宋体" w:cs="宋体"/>
          <w:szCs w:val="18"/>
        </w:rPr>
        <w:fldChar w:fldCharType="end"/>
      </w:r>
    </w:p>
    <w:p>
      <w:pPr>
        <w:pStyle w:val="4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_Toc2465 </w:instrText>
      </w:r>
      <w:r>
        <w:rPr>
          <w:rFonts w:hint="eastAsia" w:ascii="宋体" w:hAnsi="宋体" w:cs="宋体"/>
          <w:szCs w:val="18"/>
        </w:rPr>
        <w:fldChar w:fldCharType="separate"/>
      </w:r>
      <w:r>
        <w:rPr>
          <w:rFonts w:hint="eastAsia" w:ascii="宋体" w:hAnsi="宋体" w:eastAsia="宋体" w:cs="宋体"/>
          <w:bCs w:val="0"/>
          <w:szCs w:val="21"/>
          <w:lang w:val="zh-CN"/>
        </w:rPr>
        <w:t>一、综合说明</w:t>
      </w:r>
      <w:r>
        <w:tab/>
      </w:r>
      <w:r>
        <w:fldChar w:fldCharType="begin"/>
      </w:r>
      <w:r>
        <w:instrText xml:space="preserve"> PAGEREF _Toc2465 \h </w:instrText>
      </w:r>
      <w:r>
        <w:fldChar w:fldCharType="separate"/>
      </w:r>
      <w:r>
        <w:t>12</w:t>
      </w:r>
      <w:r>
        <w:fldChar w:fldCharType="end"/>
      </w:r>
      <w:r>
        <w:rPr>
          <w:rFonts w:hint="eastAsia" w:ascii="宋体" w:hAnsi="宋体" w:cs="宋体"/>
          <w:szCs w:val="18"/>
        </w:rPr>
        <w:fldChar w:fldCharType="end"/>
      </w:r>
    </w:p>
    <w:p>
      <w:pPr>
        <w:pStyle w:val="4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_Toc17761 </w:instrText>
      </w:r>
      <w:r>
        <w:rPr>
          <w:rFonts w:hint="eastAsia" w:ascii="宋体" w:hAnsi="宋体" w:cs="宋体"/>
          <w:szCs w:val="18"/>
        </w:rPr>
        <w:fldChar w:fldCharType="separate"/>
      </w:r>
      <w:r>
        <w:rPr>
          <w:rFonts w:hint="eastAsia" w:ascii="宋体" w:hAnsi="宋体" w:eastAsia="宋体" w:cs="宋体"/>
          <w:bCs w:val="0"/>
          <w:szCs w:val="21"/>
          <w:lang w:val="zh-CN"/>
        </w:rPr>
        <w:t>二、采购文件</w:t>
      </w:r>
      <w:r>
        <w:tab/>
      </w:r>
      <w:r>
        <w:fldChar w:fldCharType="begin"/>
      </w:r>
      <w:r>
        <w:instrText xml:space="preserve"> PAGEREF _Toc17761 \h </w:instrText>
      </w:r>
      <w:r>
        <w:fldChar w:fldCharType="separate"/>
      </w:r>
      <w:r>
        <w:t>13</w:t>
      </w:r>
      <w:r>
        <w:fldChar w:fldCharType="end"/>
      </w:r>
      <w:r>
        <w:rPr>
          <w:rFonts w:hint="eastAsia" w:ascii="宋体" w:hAnsi="宋体" w:cs="宋体"/>
          <w:szCs w:val="18"/>
        </w:rPr>
        <w:fldChar w:fldCharType="end"/>
      </w:r>
    </w:p>
    <w:p>
      <w:pPr>
        <w:pStyle w:val="4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_Toc13593 </w:instrText>
      </w:r>
      <w:r>
        <w:rPr>
          <w:rFonts w:hint="eastAsia" w:ascii="宋体" w:hAnsi="宋体" w:cs="宋体"/>
          <w:szCs w:val="18"/>
        </w:rPr>
        <w:fldChar w:fldCharType="separate"/>
      </w:r>
      <w:r>
        <w:rPr>
          <w:rFonts w:hint="eastAsia" w:ascii="宋体" w:hAnsi="宋体" w:eastAsia="宋体" w:cs="宋体"/>
          <w:bCs w:val="0"/>
          <w:szCs w:val="21"/>
          <w:lang w:val="zh-CN"/>
        </w:rPr>
        <w:t>三、</w:t>
      </w:r>
      <w:r>
        <w:rPr>
          <w:rFonts w:hint="eastAsia" w:ascii="宋体" w:hAnsi="宋体" w:eastAsia="宋体" w:cs="宋体"/>
          <w:szCs w:val="21"/>
          <w:lang w:val="zh-CN"/>
        </w:rPr>
        <w:t>投标</w:t>
      </w:r>
      <w:r>
        <w:rPr>
          <w:rFonts w:hint="eastAsia" w:ascii="宋体" w:hAnsi="宋体" w:eastAsia="宋体" w:cs="宋体"/>
          <w:bCs w:val="0"/>
          <w:szCs w:val="21"/>
          <w:lang w:val="zh-CN"/>
        </w:rPr>
        <w:t>文件</w:t>
      </w:r>
      <w:r>
        <w:tab/>
      </w:r>
      <w:r>
        <w:fldChar w:fldCharType="begin"/>
      </w:r>
      <w:r>
        <w:instrText xml:space="preserve"> PAGEREF _Toc13593 \h </w:instrText>
      </w:r>
      <w:r>
        <w:fldChar w:fldCharType="separate"/>
      </w:r>
      <w:r>
        <w:t>14</w:t>
      </w:r>
      <w:r>
        <w:fldChar w:fldCharType="end"/>
      </w:r>
      <w:r>
        <w:rPr>
          <w:rFonts w:hint="eastAsia" w:ascii="宋体" w:hAnsi="宋体" w:cs="宋体"/>
          <w:szCs w:val="18"/>
        </w:rPr>
        <w:fldChar w:fldCharType="end"/>
      </w:r>
    </w:p>
    <w:p>
      <w:pPr>
        <w:pStyle w:val="4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_Toc13113 </w:instrText>
      </w:r>
      <w:r>
        <w:rPr>
          <w:rFonts w:hint="eastAsia" w:ascii="宋体" w:hAnsi="宋体" w:cs="宋体"/>
          <w:szCs w:val="18"/>
        </w:rPr>
        <w:fldChar w:fldCharType="separate"/>
      </w:r>
      <w:r>
        <w:rPr>
          <w:rFonts w:hint="eastAsia" w:ascii="宋体" w:hAnsi="宋体" w:eastAsia="宋体" w:cs="宋体"/>
          <w:bCs w:val="0"/>
          <w:szCs w:val="21"/>
          <w:lang w:val="zh-CN"/>
        </w:rPr>
        <w:t>四、</w:t>
      </w:r>
      <w:r>
        <w:rPr>
          <w:rFonts w:hint="eastAsia" w:ascii="宋体" w:hAnsi="宋体" w:eastAsia="宋体" w:cs="宋体"/>
          <w:szCs w:val="21"/>
          <w:lang w:val="zh-CN"/>
        </w:rPr>
        <w:t>开标</w:t>
      </w:r>
      <w:r>
        <w:tab/>
      </w:r>
      <w:r>
        <w:fldChar w:fldCharType="begin"/>
      </w:r>
      <w:r>
        <w:instrText xml:space="preserve"> PAGEREF _Toc13113 \h </w:instrText>
      </w:r>
      <w:r>
        <w:fldChar w:fldCharType="separate"/>
      </w:r>
      <w:r>
        <w:t>17</w:t>
      </w:r>
      <w:r>
        <w:fldChar w:fldCharType="end"/>
      </w:r>
      <w:r>
        <w:rPr>
          <w:rFonts w:hint="eastAsia" w:ascii="宋体" w:hAnsi="宋体" w:cs="宋体"/>
          <w:szCs w:val="18"/>
        </w:rPr>
        <w:fldChar w:fldCharType="end"/>
      </w:r>
    </w:p>
    <w:p>
      <w:pPr>
        <w:pStyle w:val="4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_Toc28271 </w:instrText>
      </w:r>
      <w:r>
        <w:rPr>
          <w:rFonts w:hint="eastAsia" w:ascii="宋体" w:hAnsi="宋体" w:cs="宋体"/>
          <w:szCs w:val="18"/>
        </w:rPr>
        <w:fldChar w:fldCharType="separate"/>
      </w:r>
      <w:r>
        <w:rPr>
          <w:rFonts w:hint="eastAsia" w:ascii="宋体" w:hAnsi="宋体" w:eastAsia="宋体" w:cs="宋体"/>
          <w:bCs w:val="0"/>
          <w:szCs w:val="21"/>
          <w:lang w:val="zh-CN"/>
        </w:rPr>
        <w:t>五、评标</w:t>
      </w:r>
      <w:r>
        <w:tab/>
      </w:r>
      <w:r>
        <w:fldChar w:fldCharType="begin"/>
      </w:r>
      <w:r>
        <w:instrText xml:space="preserve"> PAGEREF _Toc28271 \h </w:instrText>
      </w:r>
      <w:r>
        <w:fldChar w:fldCharType="separate"/>
      </w:r>
      <w:r>
        <w:t>18</w:t>
      </w:r>
      <w:r>
        <w:fldChar w:fldCharType="end"/>
      </w:r>
      <w:r>
        <w:rPr>
          <w:rFonts w:hint="eastAsia" w:ascii="宋体" w:hAnsi="宋体" w:cs="宋体"/>
          <w:szCs w:val="18"/>
        </w:rPr>
        <w:fldChar w:fldCharType="end"/>
      </w:r>
    </w:p>
    <w:p>
      <w:pPr>
        <w:pStyle w:val="4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_Toc956 </w:instrText>
      </w:r>
      <w:r>
        <w:rPr>
          <w:rFonts w:hint="eastAsia" w:ascii="宋体" w:hAnsi="宋体" w:cs="宋体"/>
          <w:szCs w:val="18"/>
        </w:rPr>
        <w:fldChar w:fldCharType="separate"/>
      </w:r>
      <w:r>
        <w:rPr>
          <w:rFonts w:hint="eastAsia" w:ascii="宋体" w:hAnsi="宋体" w:eastAsia="宋体" w:cs="宋体"/>
          <w:bCs w:val="0"/>
          <w:szCs w:val="21"/>
          <w:lang w:val="zh-CN"/>
        </w:rPr>
        <w:t>六、定标</w:t>
      </w:r>
      <w:r>
        <w:tab/>
      </w:r>
      <w:r>
        <w:fldChar w:fldCharType="begin"/>
      </w:r>
      <w:r>
        <w:instrText xml:space="preserve"> PAGEREF _Toc956 \h </w:instrText>
      </w:r>
      <w:r>
        <w:fldChar w:fldCharType="separate"/>
      </w:r>
      <w:r>
        <w:t>21</w:t>
      </w:r>
      <w:r>
        <w:fldChar w:fldCharType="end"/>
      </w:r>
      <w:r>
        <w:rPr>
          <w:rFonts w:hint="eastAsia" w:ascii="宋体" w:hAnsi="宋体" w:cs="宋体"/>
          <w:szCs w:val="18"/>
        </w:rPr>
        <w:fldChar w:fldCharType="end"/>
      </w:r>
    </w:p>
    <w:p>
      <w:pPr>
        <w:pStyle w:val="4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_Toc30716 </w:instrText>
      </w:r>
      <w:r>
        <w:rPr>
          <w:rFonts w:hint="eastAsia" w:ascii="宋体" w:hAnsi="宋体" w:cs="宋体"/>
          <w:szCs w:val="18"/>
        </w:rPr>
        <w:fldChar w:fldCharType="separate"/>
      </w:r>
      <w:r>
        <w:rPr>
          <w:rFonts w:hint="eastAsia" w:ascii="宋体" w:hAnsi="宋体" w:eastAsia="宋体" w:cs="宋体"/>
          <w:bCs w:val="0"/>
          <w:szCs w:val="21"/>
          <w:lang w:val="zh-CN"/>
        </w:rPr>
        <w:t>七、合同授予</w:t>
      </w:r>
      <w:r>
        <w:tab/>
      </w:r>
      <w:r>
        <w:fldChar w:fldCharType="begin"/>
      </w:r>
      <w:r>
        <w:instrText xml:space="preserve"> PAGEREF _Toc30716 \h </w:instrText>
      </w:r>
      <w:r>
        <w:fldChar w:fldCharType="separate"/>
      </w:r>
      <w:r>
        <w:t>22</w:t>
      </w:r>
      <w:r>
        <w:fldChar w:fldCharType="end"/>
      </w:r>
      <w:r>
        <w:rPr>
          <w:rFonts w:hint="eastAsia" w:ascii="宋体" w:hAnsi="宋体" w:cs="宋体"/>
          <w:szCs w:val="18"/>
        </w:rPr>
        <w:fldChar w:fldCharType="end"/>
      </w:r>
    </w:p>
    <w:p>
      <w:pPr>
        <w:pStyle w:val="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_Toc9203 </w:instrText>
      </w:r>
      <w:r>
        <w:rPr>
          <w:rFonts w:hint="eastAsia" w:ascii="宋体" w:hAnsi="宋体" w:cs="宋体"/>
          <w:szCs w:val="18"/>
        </w:rPr>
        <w:fldChar w:fldCharType="separate"/>
      </w:r>
      <w:r>
        <w:rPr>
          <w:rFonts w:hint="eastAsia" w:ascii="宋体" w:hAnsi="宋体" w:cs="宋体"/>
          <w:szCs w:val="30"/>
          <w:lang w:val="zh-CN" w:eastAsia="zh-CN"/>
        </w:rPr>
        <w:t>第三章  采购内容及要求</w:t>
      </w:r>
      <w:r>
        <w:tab/>
      </w:r>
      <w:r>
        <w:fldChar w:fldCharType="begin"/>
      </w:r>
      <w:r>
        <w:instrText xml:space="preserve"> PAGEREF _Toc9203 \h </w:instrText>
      </w:r>
      <w:r>
        <w:fldChar w:fldCharType="separate"/>
      </w:r>
      <w:r>
        <w:t>23</w:t>
      </w:r>
      <w:r>
        <w:fldChar w:fldCharType="end"/>
      </w:r>
      <w:r>
        <w:rPr>
          <w:rFonts w:hint="eastAsia" w:ascii="宋体" w:hAnsi="宋体" w:cs="宋体"/>
          <w:szCs w:val="18"/>
        </w:rPr>
        <w:fldChar w:fldCharType="end"/>
      </w:r>
    </w:p>
    <w:p>
      <w:pPr>
        <w:pStyle w:val="4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_Toc22098 </w:instrText>
      </w:r>
      <w:r>
        <w:rPr>
          <w:rFonts w:hint="eastAsia" w:ascii="宋体" w:hAnsi="宋体" w:cs="宋体"/>
          <w:szCs w:val="18"/>
        </w:rPr>
        <w:fldChar w:fldCharType="separate"/>
      </w:r>
      <w:r>
        <w:rPr>
          <w:rFonts w:hint="eastAsia" w:ascii="宋体" w:hAnsi="宋体" w:eastAsia="宋体" w:cs="宋体"/>
          <w:szCs w:val="28"/>
        </w:rPr>
        <w:t>一、采购需求一览表</w:t>
      </w:r>
      <w:r>
        <w:tab/>
      </w:r>
      <w:r>
        <w:fldChar w:fldCharType="begin"/>
      </w:r>
      <w:r>
        <w:instrText xml:space="preserve"> PAGEREF _Toc22098 \h </w:instrText>
      </w:r>
      <w:r>
        <w:fldChar w:fldCharType="separate"/>
      </w:r>
      <w:r>
        <w:t>23</w:t>
      </w:r>
      <w:r>
        <w:fldChar w:fldCharType="end"/>
      </w:r>
      <w:r>
        <w:rPr>
          <w:rFonts w:hint="eastAsia" w:ascii="宋体" w:hAnsi="宋体" w:cs="宋体"/>
          <w:szCs w:val="18"/>
        </w:rPr>
        <w:fldChar w:fldCharType="end"/>
      </w:r>
    </w:p>
    <w:p>
      <w:pPr>
        <w:pStyle w:val="28"/>
        <w:tabs>
          <w:tab w:val="right" w:leader="dot" w:pos="8306"/>
        </w:tabs>
        <w:ind w:left="0" w:leftChars="0" w:firstLine="420" w:firstLineChars="200"/>
      </w:pPr>
      <w:r>
        <w:rPr>
          <w:rFonts w:hint="eastAsia" w:ascii="宋体" w:hAnsi="宋体" w:cs="宋体"/>
          <w:szCs w:val="18"/>
        </w:rPr>
        <w:fldChar w:fldCharType="begin"/>
      </w:r>
      <w:r>
        <w:rPr>
          <w:rFonts w:hint="eastAsia" w:ascii="宋体" w:hAnsi="宋体" w:cs="宋体"/>
          <w:szCs w:val="18"/>
        </w:rPr>
        <w:instrText xml:space="preserve"> HYPERLINK \l _Toc27418 </w:instrText>
      </w:r>
      <w:r>
        <w:rPr>
          <w:rFonts w:hint="eastAsia" w:ascii="宋体" w:hAnsi="宋体" w:cs="宋体"/>
          <w:szCs w:val="18"/>
        </w:rPr>
        <w:fldChar w:fldCharType="separate"/>
      </w:r>
      <w:r>
        <w:rPr>
          <w:rFonts w:hint="eastAsia" w:ascii="宋体" w:hAnsi="宋体" w:cs="宋体"/>
          <w:szCs w:val="21"/>
          <w:lang w:eastAsia="zh-Hans"/>
        </w:rPr>
        <w:t>二、应用专题库</w:t>
      </w:r>
      <w:r>
        <w:tab/>
      </w:r>
      <w:r>
        <w:fldChar w:fldCharType="begin"/>
      </w:r>
      <w:r>
        <w:instrText xml:space="preserve"> PAGEREF _Toc27418 \h </w:instrText>
      </w:r>
      <w:r>
        <w:fldChar w:fldCharType="separate"/>
      </w:r>
      <w:r>
        <w:t>63</w:t>
      </w:r>
      <w:r>
        <w:fldChar w:fldCharType="end"/>
      </w:r>
      <w:r>
        <w:rPr>
          <w:rFonts w:hint="eastAsia" w:ascii="宋体" w:hAnsi="宋体" w:cs="宋体"/>
          <w:szCs w:val="18"/>
        </w:rPr>
        <w:fldChar w:fldCharType="end"/>
      </w:r>
    </w:p>
    <w:p>
      <w:pPr>
        <w:pStyle w:val="28"/>
        <w:tabs>
          <w:tab w:val="right" w:leader="dot" w:pos="8306"/>
        </w:tabs>
        <w:ind w:left="0" w:leftChars="0" w:firstLine="420" w:firstLineChars="200"/>
      </w:pPr>
      <w:r>
        <w:rPr>
          <w:rFonts w:hint="eastAsia" w:ascii="宋体" w:hAnsi="宋体" w:cs="宋体"/>
          <w:szCs w:val="18"/>
        </w:rPr>
        <w:fldChar w:fldCharType="begin"/>
      </w:r>
      <w:r>
        <w:rPr>
          <w:rFonts w:hint="eastAsia" w:ascii="宋体" w:hAnsi="宋体" w:cs="宋体"/>
          <w:szCs w:val="18"/>
        </w:rPr>
        <w:instrText xml:space="preserve"> HYPERLINK \l _Toc32006 </w:instrText>
      </w:r>
      <w:r>
        <w:rPr>
          <w:rFonts w:hint="eastAsia" w:ascii="宋体" w:hAnsi="宋体" w:cs="宋体"/>
          <w:szCs w:val="18"/>
        </w:rPr>
        <w:fldChar w:fldCharType="separate"/>
      </w:r>
      <w:r>
        <w:rPr>
          <w:rFonts w:hint="eastAsia" w:ascii="宋体" w:hAnsi="宋体" w:cs="宋体"/>
          <w:szCs w:val="21"/>
          <w:lang w:eastAsia="zh-Hans"/>
        </w:rPr>
        <w:t>三、水文资料整编库</w:t>
      </w:r>
      <w:r>
        <w:tab/>
      </w:r>
      <w:r>
        <w:fldChar w:fldCharType="begin"/>
      </w:r>
      <w:r>
        <w:instrText xml:space="preserve"> PAGEREF _Toc32006 \h </w:instrText>
      </w:r>
      <w:r>
        <w:fldChar w:fldCharType="separate"/>
      </w:r>
      <w:r>
        <w:t>65</w:t>
      </w:r>
      <w:r>
        <w:fldChar w:fldCharType="end"/>
      </w:r>
      <w:r>
        <w:rPr>
          <w:rFonts w:hint="eastAsia" w:ascii="宋体" w:hAnsi="宋体" w:cs="宋体"/>
          <w:szCs w:val="18"/>
        </w:rPr>
        <w:fldChar w:fldCharType="end"/>
      </w:r>
    </w:p>
    <w:p>
      <w:pPr>
        <w:pStyle w:val="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_Toc6824 </w:instrText>
      </w:r>
      <w:r>
        <w:rPr>
          <w:rFonts w:hint="eastAsia" w:ascii="宋体" w:hAnsi="宋体" w:cs="宋体"/>
          <w:szCs w:val="18"/>
        </w:rPr>
        <w:fldChar w:fldCharType="separate"/>
      </w:r>
      <w:r>
        <w:rPr>
          <w:rFonts w:hint="eastAsia" w:ascii="宋体" w:hAnsi="宋体" w:cs="宋体"/>
          <w:szCs w:val="30"/>
          <w:lang w:val="zh-CN" w:eastAsia="zh-CN"/>
        </w:rPr>
        <w:t>第四章  合同文本</w:t>
      </w:r>
      <w:r>
        <w:tab/>
      </w:r>
      <w:r>
        <w:fldChar w:fldCharType="begin"/>
      </w:r>
      <w:r>
        <w:instrText xml:space="preserve"> PAGEREF _Toc6824 \h </w:instrText>
      </w:r>
      <w:r>
        <w:fldChar w:fldCharType="separate"/>
      </w:r>
      <w:r>
        <w:t>80</w:t>
      </w:r>
      <w:r>
        <w:fldChar w:fldCharType="end"/>
      </w:r>
      <w:r>
        <w:rPr>
          <w:rFonts w:hint="eastAsia" w:ascii="宋体" w:hAnsi="宋体" w:cs="宋体"/>
          <w:szCs w:val="18"/>
        </w:rPr>
        <w:fldChar w:fldCharType="end"/>
      </w:r>
    </w:p>
    <w:p>
      <w:pPr>
        <w:pStyle w:val="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_Toc15104 </w:instrText>
      </w:r>
      <w:r>
        <w:rPr>
          <w:rFonts w:hint="eastAsia" w:ascii="宋体" w:hAnsi="宋体" w:cs="宋体"/>
          <w:szCs w:val="18"/>
        </w:rPr>
        <w:fldChar w:fldCharType="separate"/>
      </w:r>
      <w:r>
        <w:rPr>
          <w:rFonts w:hint="eastAsia" w:ascii="宋体" w:hAnsi="宋体" w:cs="宋体"/>
          <w:szCs w:val="30"/>
          <w:lang w:val="zh-CN" w:eastAsia="zh-CN"/>
        </w:rPr>
        <w:t>第五章  评标办法及评分标准</w:t>
      </w:r>
      <w:r>
        <w:tab/>
      </w:r>
      <w:r>
        <w:fldChar w:fldCharType="begin"/>
      </w:r>
      <w:r>
        <w:instrText xml:space="preserve"> PAGEREF _Toc15104 \h </w:instrText>
      </w:r>
      <w:r>
        <w:fldChar w:fldCharType="separate"/>
      </w:r>
      <w:r>
        <w:t>87</w:t>
      </w:r>
      <w:r>
        <w:fldChar w:fldCharType="end"/>
      </w:r>
      <w:r>
        <w:rPr>
          <w:rFonts w:hint="eastAsia" w:ascii="宋体" w:hAnsi="宋体" w:cs="宋体"/>
          <w:szCs w:val="18"/>
        </w:rPr>
        <w:fldChar w:fldCharType="end"/>
      </w:r>
    </w:p>
    <w:p>
      <w:pPr>
        <w:pStyle w:val="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_Toc21488 </w:instrText>
      </w:r>
      <w:r>
        <w:rPr>
          <w:rFonts w:hint="eastAsia" w:ascii="宋体" w:hAnsi="宋体" w:cs="宋体"/>
          <w:szCs w:val="18"/>
        </w:rPr>
        <w:fldChar w:fldCharType="separate"/>
      </w:r>
      <w:r>
        <w:rPr>
          <w:rFonts w:hint="eastAsia" w:ascii="宋体" w:hAnsi="宋体" w:cs="宋体"/>
          <w:szCs w:val="30"/>
          <w:lang w:val="zh-CN" w:eastAsia="zh-CN"/>
        </w:rPr>
        <w:t>第六章  投标文件相关格式</w:t>
      </w:r>
      <w:r>
        <w:tab/>
      </w:r>
      <w:r>
        <w:fldChar w:fldCharType="begin"/>
      </w:r>
      <w:r>
        <w:instrText xml:space="preserve"> PAGEREF _Toc21488 \h </w:instrText>
      </w:r>
      <w:r>
        <w:fldChar w:fldCharType="separate"/>
      </w:r>
      <w:r>
        <w:t>91</w:t>
      </w:r>
      <w:r>
        <w:fldChar w:fldCharType="end"/>
      </w:r>
      <w:r>
        <w:rPr>
          <w:rFonts w:hint="eastAsia" w:ascii="宋体" w:hAnsi="宋体" w:cs="宋体"/>
          <w:szCs w:val="18"/>
        </w:rPr>
        <w:fldChar w:fldCharType="end"/>
      </w:r>
    </w:p>
    <w:p>
      <w:pPr>
        <w:pStyle w:val="47"/>
        <w:spacing w:line="360" w:lineRule="auto"/>
        <w:outlineLvl w:val="0"/>
        <w:rPr>
          <w:rFonts w:ascii="宋体" w:hAnsi="宋体" w:cs="宋体"/>
          <w:sz w:val="18"/>
          <w:szCs w:val="18"/>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start="2"/>
          <w:cols w:space="720" w:num="1"/>
          <w:docGrid w:type="lines" w:linePitch="312" w:charSpace="0"/>
        </w:sectPr>
      </w:pPr>
      <w:r>
        <w:rPr>
          <w:rFonts w:hint="eastAsia" w:ascii="宋体" w:hAnsi="宋体" w:cs="宋体"/>
          <w:szCs w:val="18"/>
        </w:rPr>
        <w:fldChar w:fldCharType="end"/>
      </w:r>
    </w:p>
    <w:p>
      <w:pPr>
        <w:rPr>
          <w:rFonts w:ascii="宋体" w:hAnsi="宋体" w:cs="宋体"/>
          <w:sz w:val="30"/>
          <w:szCs w:val="30"/>
          <w:lang w:val="zh-CN"/>
        </w:rPr>
      </w:pPr>
      <w:r>
        <w:rPr>
          <w:rFonts w:hint="eastAsia" w:ascii="宋体" w:hAnsi="宋体" w:cs="宋体"/>
          <w:sz w:val="30"/>
          <w:szCs w:val="30"/>
          <w:lang w:val="zh-CN"/>
        </w:rPr>
        <w:br w:type="page"/>
      </w:r>
    </w:p>
    <w:p>
      <w:pPr>
        <w:pStyle w:val="47"/>
        <w:spacing w:line="360" w:lineRule="auto"/>
        <w:outlineLvl w:val="0"/>
        <w:rPr>
          <w:rFonts w:ascii="宋体" w:hAnsi="宋体" w:cs="宋体"/>
          <w:sz w:val="30"/>
          <w:szCs w:val="30"/>
          <w:lang w:val="zh-CN" w:eastAsia="zh-CN"/>
        </w:rPr>
      </w:pPr>
      <w:bookmarkStart w:id="0" w:name="_Toc29888"/>
      <w:bookmarkStart w:id="1" w:name="_Toc544"/>
      <w:r>
        <w:rPr>
          <w:rFonts w:hint="eastAsia" w:ascii="宋体" w:hAnsi="宋体" w:cs="宋体"/>
          <w:sz w:val="30"/>
          <w:szCs w:val="30"/>
          <w:lang w:val="zh-CN" w:eastAsia="zh-CN"/>
        </w:rPr>
        <w:t>第一章  招标公告</w:t>
      </w:r>
      <w:bookmarkEnd w:id="0"/>
      <w:bookmarkEnd w:id="1"/>
    </w:p>
    <w:p>
      <w:pPr>
        <w:pBdr>
          <w:top w:val="single" w:color="auto" w:sz="4" w:space="1"/>
          <w:left w:val="single" w:color="auto" w:sz="4" w:space="4"/>
          <w:bottom w:val="single" w:color="auto" w:sz="4" w:space="0"/>
          <w:right w:val="single" w:color="auto" w:sz="4" w:space="4"/>
          <w:between w:val="single" w:color="auto" w:sz="4" w:space="0"/>
        </w:pBdr>
        <w:spacing w:line="300" w:lineRule="auto"/>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0"/>
          <w:right w:val="single" w:color="auto" w:sz="4" w:space="4"/>
          <w:between w:val="single" w:color="auto" w:sz="4" w:space="0"/>
        </w:pBdr>
        <w:spacing w:line="300" w:lineRule="auto"/>
        <w:ind w:firstLine="422" w:firstLineChars="200"/>
        <w:rPr>
          <w:rFonts w:ascii="宋体" w:hAnsi="宋体" w:cs="宋体"/>
          <w:b/>
          <w:bCs/>
          <w:szCs w:val="21"/>
        </w:rPr>
      </w:pPr>
      <w:r>
        <w:rPr>
          <w:rFonts w:hint="eastAsia" w:ascii="宋体" w:hAnsi="宋体" w:cs="宋体"/>
          <w:b/>
          <w:bCs/>
          <w:szCs w:val="21"/>
          <w:u w:val="single"/>
        </w:rPr>
        <w:t>常山（三）水文站现代化改造提升工程—设备采购服务项目</w:t>
      </w:r>
      <w:r>
        <w:rPr>
          <w:rFonts w:hint="eastAsia" w:ascii="宋体" w:hAnsi="宋体" w:cs="宋体"/>
          <w:szCs w:val="21"/>
        </w:rPr>
        <w:t>的潜在投标人应在</w:t>
      </w:r>
      <w:r>
        <w:rPr>
          <w:rFonts w:hint="eastAsia" w:ascii="宋体" w:hAnsi="宋体" w:cs="宋体"/>
          <w:szCs w:val="21"/>
          <w:u w:val="single"/>
        </w:rPr>
        <w:t>浙江政府采购网（http://zfcg.czt.zj.gov.cn/）</w:t>
      </w:r>
      <w:r>
        <w:rPr>
          <w:rFonts w:hint="eastAsia" w:ascii="宋体" w:hAnsi="宋体" w:cs="宋体"/>
          <w:szCs w:val="21"/>
        </w:rPr>
        <w:t>获取采购文件，并于</w:t>
      </w:r>
      <w:r>
        <w:rPr>
          <w:rFonts w:hint="eastAsia" w:ascii="宋体" w:hAnsi="宋体" w:cs="宋体"/>
          <w:b/>
          <w:szCs w:val="21"/>
          <w:u w:val="single"/>
        </w:rPr>
        <w:t>2023年</w:t>
      </w:r>
      <w:r>
        <w:rPr>
          <w:rFonts w:hint="eastAsia" w:ascii="宋体" w:hAnsi="宋体" w:cs="宋体"/>
          <w:b/>
          <w:szCs w:val="21"/>
          <w:u w:val="single"/>
          <w:lang w:eastAsia="zh-CN"/>
        </w:rPr>
        <w:t>03月21日</w:t>
      </w:r>
      <w:r>
        <w:rPr>
          <w:rFonts w:hint="eastAsia" w:ascii="宋体" w:hAnsi="宋体" w:cs="宋体"/>
          <w:b/>
          <w:szCs w:val="21"/>
          <w:u w:val="single"/>
        </w:rPr>
        <w:t xml:space="preserve">09:30 </w:t>
      </w:r>
      <w:r>
        <w:rPr>
          <w:rFonts w:hint="eastAsia" w:ascii="宋体" w:hAnsi="宋体" w:cs="宋体"/>
          <w:bCs/>
          <w:szCs w:val="21"/>
          <w:u w:val="single"/>
        </w:rPr>
        <w:t>（</w:t>
      </w:r>
      <w:r>
        <w:rPr>
          <w:rFonts w:hint="eastAsia" w:ascii="宋体" w:hAnsi="宋体" w:cs="宋体"/>
          <w:bCs/>
          <w:szCs w:val="21"/>
        </w:rPr>
        <w:t>北京时间）前递交（上传）投标文件</w:t>
      </w:r>
      <w:r>
        <w:rPr>
          <w:rFonts w:hint="eastAsia" w:ascii="宋体" w:hAnsi="宋体" w:cs="宋体"/>
          <w:szCs w:val="21"/>
        </w:rPr>
        <w:t>。</w:t>
      </w:r>
      <w:bookmarkStart w:id="2" w:name="_Hlk24379207"/>
    </w:p>
    <w:p>
      <w:pPr>
        <w:spacing w:line="300" w:lineRule="auto"/>
        <w:rPr>
          <w:rFonts w:ascii="宋体" w:hAnsi="宋体" w:cs="宋体"/>
          <w:b/>
          <w:bCs/>
          <w:szCs w:val="21"/>
        </w:rPr>
      </w:pPr>
      <w:r>
        <w:rPr>
          <w:rFonts w:hint="eastAsia" w:ascii="宋体" w:hAnsi="宋体" w:cs="宋体"/>
          <w:b/>
          <w:bCs/>
          <w:szCs w:val="21"/>
        </w:rPr>
        <w:t>一、基本情况信息</w:t>
      </w:r>
    </w:p>
    <w:p>
      <w:pPr>
        <w:spacing w:line="300" w:lineRule="auto"/>
        <w:ind w:firstLine="420" w:firstLineChars="200"/>
        <w:rPr>
          <w:rFonts w:ascii="宋体" w:hAnsi="宋体" w:cs="宋体"/>
          <w:szCs w:val="21"/>
        </w:rPr>
      </w:pPr>
      <w:r>
        <w:rPr>
          <w:rFonts w:hint="eastAsia" w:ascii="宋体" w:hAnsi="宋体" w:cs="宋体"/>
          <w:szCs w:val="21"/>
        </w:rPr>
        <w:t>项目编号：ZSCG202306-GK02</w:t>
      </w:r>
    </w:p>
    <w:p>
      <w:pPr>
        <w:spacing w:line="300" w:lineRule="auto"/>
        <w:ind w:firstLine="420" w:firstLineChars="200"/>
        <w:rPr>
          <w:rFonts w:ascii="宋体" w:hAnsi="宋体" w:cs="宋体"/>
          <w:szCs w:val="21"/>
        </w:rPr>
      </w:pPr>
      <w:r>
        <w:rPr>
          <w:rFonts w:hint="eastAsia" w:ascii="宋体" w:hAnsi="宋体" w:cs="宋体"/>
          <w:szCs w:val="21"/>
        </w:rPr>
        <w:t>项目名称：</w:t>
      </w:r>
      <w:bookmarkEnd w:id="2"/>
      <w:r>
        <w:rPr>
          <w:rFonts w:hint="eastAsia" w:ascii="宋体" w:hAnsi="宋体" w:cs="宋体"/>
          <w:szCs w:val="21"/>
        </w:rPr>
        <w:t>常山（三）水文站现代化改造提升工程—设备采购服务项目</w:t>
      </w:r>
    </w:p>
    <w:p>
      <w:pPr>
        <w:spacing w:line="300" w:lineRule="auto"/>
        <w:ind w:firstLine="420" w:firstLineChars="200"/>
        <w:rPr>
          <w:rFonts w:ascii="宋体" w:hAnsi="宋体" w:cs="宋体"/>
          <w:szCs w:val="21"/>
        </w:rPr>
      </w:pPr>
      <w:r>
        <w:rPr>
          <w:rFonts w:hint="eastAsia" w:ascii="宋体" w:hAnsi="宋体" w:cs="宋体"/>
          <w:szCs w:val="21"/>
        </w:rPr>
        <w:t>预算金额（元）：</w:t>
      </w:r>
      <w:r>
        <w:rPr>
          <w:rFonts w:hint="eastAsia" w:ascii="宋体" w:hAnsi="宋体" w:cs="宋体"/>
          <w:kern w:val="0"/>
          <w:szCs w:val="21"/>
          <w:lang w:bidi="ar"/>
        </w:rPr>
        <w:t>6998600</w:t>
      </w:r>
    </w:p>
    <w:p>
      <w:pPr>
        <w:spacing w:line="300" w:lineRule="auto"/>
        <w:ind w:firstLine="420" w:firstLineChars="200"/>
        <w:rPr>
          <w:rFonts w:ascii="宋体" w:hAnsi="宋体" w:cs="宋体"/>
          <w:szCs w:val="21"/>
        </w:rPr>
      </w:pPr>
      <w:r>
        <w:rPr>
          <w:rFonts w:hint="eastAsia" w:ascii="宋体" w:hAnsi="宋体" w:cs="宋体"/>
          <w:szCs w:val="21"/>
        </w:rPr>
        <w:t>最高限价（元）：</w:t>
      </w:r>
      <w:r>
        <w:rPr>
          <w:rFonts w:hint="eastAsia" w:ascii="宋体" w:hAnsi="宋体" w:cs="宋体"/>
          <w:kern w:val="0"/>
          <w:szCs w:val="21"/>
          <w:lang w:bidi="ar"/>
        </w:rPr>
        <w:t>6998600</w:t>
      </w:r>
    </w:p>
    <w:p>
      <w:pPr>
        <w:spacing w:line="300" w:lineRule="auto"/>
        <w:ind w:firstLine="420" w:firstLineChars="200"/>
        <w:rPr>
          <w:rFonts w:ascii="宋体" w:hAnsi="宋体" w:cs="宋体"/>
          <w:szCs w:val="21"/>
        </w:rPr>
      </w:pPr>
      <w:r>
        <w:rPr>
          <w:rFonts w:hint="eastAsia" w:ascii="宋体" w:hAnsi="宋体" w:cs="宋体"/>
          <w:szCs w:val="21"/>
        </w:rPr>
        <w:t>采购需求：</w:t>
      </w:r>
    </w:p>
    <w:p>
      <w:pPr>
        <w:spacing w:line="300" w:lineRule="auto"/>
        <w:ind w:firstLine="420" w:firstLineChars="200"/>
        <w:rPr>
          <w:rFonts w:ascii="宋体" w:hAnsi="宋体" w:cs="宋体"/>
          <w:szCs w:val="21"/>
        </w:rPr>
      </w:pPr>
      <w:r>
        <w:rPr>
          <w:rFonts w:hint="eastAsia" w:ascii="宋体" w:hAnsi="宋体" w:cs="宋体"/>
          <w:szCs w:val="21"/>
        </w:rPr>
        <w:t>标项一:</w:t>
      </w:r>
    </w:p>
    <w:p>
      <w:pPr>
        <w:spacing w:line="300" w:lineRule="auto"/>
        <w:ind w:firstLine="420" w:firstLineChars="200"/>
        <w:rPr>
          <w:rFonts w:ascii="宋体" w:hAnsi="宋体" w:cs="宋体"/>
          <w:szCs w:val="21"/>
        </w:rPr>
      </w:pPr>
      <w:r>
        <w:rPr>
          <w:rFonts w:hint="eastAsia" w:ascii="宋体" w:hAnsi="宋体" w:cs="宋体"/>
          <w:szCs w:val="21"/>
        </w:rPr>
        <w:t>标项名称：常山（三）水文站现代化改造提升工程—设备采购服务项目</w:t>
      </w:r>
    </w:p>
    <w:p>
      <w:pPr>
        <w:spacing w:line="300" w:lineRule="auto"/>
        <w:ind w:firstLine="420" w:firstLineChars="200"/>
        <w:rPr>
          <w:rFonts w:ascii="宋体" w:hAnsi="宋体" w:cs="宋体"/>
          <w:szCs w:val="21"/>
        </w:rPr>
      </w:pPr>
      <w:r>
        <w:rPr>
          <w:rFonts w:hint="eastAsia" w:ascii="宋体" w:hAnsi="宋体" w:cs="宋体"/>
          <w:szCs w:val="21"/>
        </w:rPr>
        <w:t>数量：1项</w:t>
      </w:r>
    </w:p>
    <w:p>
      <w:pPr>
        <w:spacing w:line="300" w:lineRule="auto"/>
        <w:ind w:firstLine="420" w:firstLineChars="200"/>
        <w:rPr>
          <w:rFonts w:ascii="宋体" w:hAnsi="宋体" w:cs="宋体"/>
          <w:szCs w:val="21"/>
        </w:rPr>
      </w:pPr>
      <w:r>
        <w:rPr>
          <w:rFonts w:hint="eastAsia" w:ascii="宋体" w:hAnsi="宋体" w:cs="宋体"/>
          <w:szCs w:val="21"/>
        </w:rPr>
        <w:t>预算金额（元）：6998600</w:t>
      </w:r>
    </w:p>
    <w:p>
      <w:pPr>
        <w:spacing w:line="300" w:lineRule="auto"/>
        <w:ind w:firstLine="420" w:firstLineChars="200"/>
        <w:rPr>
          <w:rFonts w:ascii="宋体" w:hAnsi="宋体" w:cs="宋体"/>
          <w:szCs w:val="21"/>
        </w:rPr>
      </w:pPr>
      <w:r>
        <w:rPr>
          <w:rFonts w:hint="eastAsia" w:ascii="宋体" w:hAnsi="宋体" w:cs="宋体"/>
          <w:szCs w:val="21"/>
        </w:rPr>
        <w:t>简要规格描述或项目基本概况介绍、用途：详见采购文件第三章</w:t>
      </w:r>
    </w:p>
    <w:p>
      <w:pPr>
        <w:spacing w:line="300" w:lineRule="auto"/>
        <w:ind w:firstLine="420" w:firstLineChars="200"/>
        <w:rPr>
          <w:rFonts w:ascii="宋体" w:hAnsi="宋体" w:cs="宋体"/>
          <w:szCs w:val="21"/>
        </w:rPr>
      </w:pPr>
      <w:r>
        <w:rPr>
          <w:rFonts w:hint="eastAsia" w:ascii="宋体" w:hAnsi="宋体" w:cs="宋体"/>
          <w:szCs w:val="21"/>
        </w:rPr>
        <w:t>备注：/</w:t>
      </w:r>
    </w:p>
    <w:p>
      <w:pPr>
        <w:spacing w:line="300" w:lineRule="auto"/>
        <w:ind w:firstLine="420" w:firstLineChars="200"/>
        <w:rPr>
          <w:rFonts w:ascii="宋体" w:hAnsi="宋体" w:cs="宋体"/>
          <w:szCs w:val="21"/>
          <w:u w:val="single"/>
        </w:rPr>
      </w:pPr>
      <w:r>
        <w:rPr>
          <w:rFonts w:hint="eastAsia" w:ascii="宋体" w:hAnsi="宋体" w:cs="宋体"/>
          <w:szCs w:val="21"/>
        </w:rPr>
        <w:t>合同履约期限：详见采购文件要求</w:t>
      </w:r>
    </w:p>
    <w:p>
      <w:pPr>
        <w:spacing w:line="300" w:lineRule="auto"/>
        <w:ind w:firstLine="420" w:firstLineChars="200"/>
        <w:rPr>
          <w:rFonts w:ascii="宋体" w:hAnsi="宋体" w:cs="宋体"/>
          <w:szCs w:val="21"/>
        </w:rPr>
      </w:pPr>
      <w:r>
        <w:rPr>
          <w:rFonts w:hint="eastAsia" w:ascii="宋体" w:hAnsi="宋体" w:cs="宋体"/>
          <w:szCs w:val="21"/>
        </w:rPr>
        <w:t>本项目不接受联合体投标。</w:t>
      </w:r>
    </w:p>
    <w:p>
      <w:pPr>
        <w:spacing w:line="300" w:lineRule="auto"/>
        <w:rPr>
          <w:rFonts w:ascii="宋体" w:hAnsi="宋体" w:cs="宋体"/>
          <w:b/>
          <w:bCs/>
          <w:szCs w:val="21"/>
        </w:rPr>
      </w:pPr>
      <w:r>
        <w:rPr>
          <w:rFonts w:hint="eastAsia" w:ascii="宋体" w:hAnsi="宋体" w:cs="宋体"/>
          <w:b/>
          <w:bCs/>
          <w:szCs w:val="21"/>
        </w:rPr>
        <w:t>二、</w:t>
      </w:r>
      <w:bookmarkStart w:id="3" w:name="_Toc28359081"/>
      <w:bookmarkStart w:id="4" w:name="_Toc28359004"/>
      <w:r>
        <w:rPr>
          <w:rFonts w:hint="eastAsia" w:ascii="宋体" w:hAnsi="宋体" w:cs="宋体"/>
          <w:b/>
          <w:bCs/>
          <w:szCs w:val="21"/>
        </w:rPr>
        <w:t>申请人的资格要求</w:t>
      </w:r>
    </w:p>
    <w:p>
      <w:pPr>
        <w:wordWrap w:val="0"/>
        <w:spacing w:line="300" w:lineRule="auto"/>
        <w:ind w:firstLine="420" w:firstLineChars="200"/>
        <w:rPr>
          <w:rFonts w:ascii="宋体" w:hAnsi="宋体" w:cs="宋体"/>
          <w:szCs w:val="21"/>
        </w:rPr>
      </w:pPr>
      <w:r>
        <w:rPr>
          <w:rFonts w:hint="eastAsia" w:ascii="宋体" w:hAnsi="宋体" w:cs="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wordWrap w:val="0"/>
        <w:spacing w:line="300" w:lineRule="auto"/>
        <w:ind w:firstLine="420" w:firstLineChars="200"/>
        <w:rPr>
          <w:rFonts w:ascii="宋体" w:hAnsi="宋体" w:cs="宋体"/>
          <w:szCs w:val="21"/>
        </w:rPr>
      </w:pPr>
      <w:r>
        <w:rPr>
          <w:rFonts w:hint="eastAsia" w:ascii="宋体" w:hAnsi="宋体" w:cs="宋体"/>
          <w:szCs w:val="21"/>
        </w:rPr>
        <w:t>2.落实政府采购政策需满足的资格要求：无。</w:t>
      </w:r>
    </w:p>
    <w:p>
      <w:pPr>
        <w:wordWrap w:val="0"/>
        <w:spacing w:line="300" w:lineRule="auto"/>
        <w:ind w:firstLine="420" w:firstLineChars="200"/>
        <w:rPr>
          <w:rFonts w:ascii="宋体" w:hAnsi="宋体" w:cs="宋体"/>
          <w:szCs w:val="21"/>
        </w:rPr>
      </w:pPr>
      <w:r>
        <w:rPr>
          <w:rFonts w:hint="eastAsia" w:ascii="宋体" w:hAnsi="宋体" w:cs="宋体"/>
          <w:szCs w:val="21"/>
        </w:rPr>
        <w:t>3.本项目的特定资格要求：</w:t>
      </w:r>
      <w:bookmarkEnd w:id="3"/>
      <w:bookmarkEnd w:id="4"/>
      <w:r>
        <w:rPr>
          <w:rFonts w:hint="eastAsia" w:ascii="宋体" w:hAnsi="宋体" w:cs="宋体"/>
          <w:szCs w:val="21"/>
        </w:rPr>
        <w:t>无。</w:t>
      </w:r>
    </w:p>
    <w:p>
      <w:pPr>
        <w:spacing w:line="300" w:lineRule="auto"/>
        <w:rPr>
          <w:rFonts w:ascii="宋体" w:hAnsi="宋体" w:cs="宋体"/>
          <w:b/>
          <w:bCs/>
          <w:szCs w:val="21"/>
        </w:rPr>
      </w:pPr>
      <w:r>
        <w:rPr>
          <w:rFonts w:hint="eastAsia" w:ascii="宋体" w:hAnsi="宋体" w:cs="宋体"/>
          <w:b/>
          <w:bCs/>
          <w:szCs w:val="21"/>
        </w:rPr>
        <w:t>三、获取采购文件</w:t>
      </w:r>
    </w:p>
    <w:p>
      <w:pPr>
        <w:spacing w:line="300" w:lineRule="auto"/>
        <w:ind w:firstLine="420" w:firstLineChars="200"/>
        <w:rPr>
          <w:rFonts w:ascii="宋体" w:hAnsi="宋体" w:cs="宋体"/>
          <w:szCs w:val="21"/>
          <w:lang w:val="zh-CN"/>
        </w:rPr>
      </w:pPr>
      <w:r>
        <w:rPr>
          <w:rFonts w:hint="eastAsia" w:ascii="宋体" w:hAnsi="宋体" w:cs="宋体"/>
          <w:szCs w:val="21"/>
          <w:lang w:val="zh-CN"/>
        </w:rPr>
        <w:t>时间：/至</w:t>
      </w:r>
      <w:r>
        <w:rPr>
          <w:rFonts w:hint="eastAsia" w:ascii="宋体" w:hAnsi="宋体" w:cs="宋体"/>
          <w:b/>
          <w:szCs w:val="21"/>
          <w:lang w:val="zh-CN"/>
        </w:rPr>
        <w:t xml:space="preserve">2023年03月21日09:30 </w:t>
      </w:r>
      <w:r>
        <w:rPr>
          <w:rFonts w:hint="eastAsia" w:ascii="宋体" w:hAnsi="宋体" w:cs="宋体"/>
          <w:szCs w:val="21"/>
          <w:lang w:val="zh-CN"/>
        </w:rPr>
        <w:t>，每天上午00:00至12:00，下午12:00至23:59（北京时间），法定节假日均可（投标文件提交截止时间后除外）</w:t>
      </w:r>
    </w:p>
    <w:p>
      <w:pPr>
        <w:spacing w:line="300" w:lineRule="auto"/>
        <w:ind w:firstLine="420" w:firstLineChars="200"/>
        <w:rPr>
          <w:rFonts w:ascii="宋体" w:hAnsi="宋体" w:cs="宋体"/>
          <w:szCs w:val="21"/>
          <w:lang w:val="zh-CN"/>
        </w:rPr>
      </w:pPr>
      <w:r>
        <w:rPr>
          <w:rFonts w:hint="eastAsia" w:ascii="宋体" w:hAnsi="宋体" w:cs="宋体"/>
          <w:szCs w:val="21"/>
          <w:lang w:val="zh-CN"/>
        </w:rPr>
        <w:t>地点：政府采购云平台（www.zcygov.cn）</w:t>
      </w:r>
    </w:p>
    <w:p>
      <w:pPr>
        <w:spacing w:line="300" w:lineRule="auto"/>
        <w:ind w:firstLine="420" w:firstLineChars="200"/>
        <w:rPr>
          <w:rFonts w:ascii="宋体" w:hAnsi="宋体" w:cs="宋体"/>
          <w:szCs w:val="21"/>
          <w:lang w:val="zh-CN"/>
        </w:rPr>
      </w:pPr>
      <w:r>
        <w:rPr>
          <w:rFonts w:hint="eastAsia" w:ascii="宋体" w:hAnsi="宋体" w:cs="宋体"/>
          <w:szCs w:val="21"/>
          <w:lang w:val="zh-CN"/>
        </w:rPr>
        <w:t>方式：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供应商可点击“游客--浏览采购文件”直接下载采购文件用于浏览。</w:t>
      </w:r>
    </w:p>
    <w:p>
      <w:pPr>
        <w:spacing w:line="300" w:lineRule="auto"/>
        <w:ind w:firstLine="420" w:firstLineChars="200"/>
        <w:rPr>
          <w:rFonts w:ascii="宋体" w:hAnsi="宋体" w:cs="宋体"/>
          <w:szCs w:val="21"/>
          <w:lang w:val="zh-CN"/>
        </w:rPr>
      </w:pPr>
      <w:r>
        <w:rPr>
          <w:rFonts w:hint="eastAsia" w:ascii="宋体" w:hAnsi="宋体" w:cs="宋体"/>
          <w:szCs w:val="21"/>
          <w:lang w:val="zh-CN"/>
        </w:rPr>
        <w:t>售价（元）：0</w:t>
      </w:r>
    </w:p>
    <w:p>
      <w:pPr>
        <w:spacing w:line="300" w:lineRule="auto"/>
        <w:rPr>
          <w:rFonts w:ascii="宋体" w:hAnsi="宋体" w:cs="宋体"/>
          <w:b/>
          <w:bCs/>
          <w:szCs w:val="21"/>
          <w:lang w:val="zh-CN"/>
        </w:rPr>
      </w:pPr>
      <w:r>
        <w:rPr>
          <w:rFonts w:hint="eastAsia" w:ascii="宋体" w:hAnsi="宋体" w:cs="宋体"/>
          <w:b/>
          <w:bCs/>
          <w:szCs w:val="21"/>
          <w:lang w:val="zh-CN"/>
        </w:rPr>
        <w:t>四、提交投标文件截止时间、开标时间和地点</w:t>
      </w:r>
    </w:p>
    <w:p>
      <w:pPr>
        <w:spacing w:line="300" w:lineRule="auto"/>
        <w:ind w:firstLine="420" w:firstLineChars="200"/>
        <w:rPr>
          <w:rFonts w:ascii="宋体" w:hAnsi="宋体" w:cs="宋体"/>
          <w:szCs w:val="21"/>
          <w:lang w:val="zh-CN"/>
        </w:rPr>
      </w:pPr>
      <w:r>
        <w:rPr>
          <w:rFonts w:hint="eastAsia" w:ascii="宋体" w:hAnsi="宋体" w:cs="宋体"/>
          <w:szCs w:val="21"/>
          <w:lang w:val="zh-CN"/>
        </w:rPr>
        <w:t>截止时间</w:t>
      </w:r>
      <w:r>
        <w:rPr>
          <w:rFonts w:hint="eastAsia" w:ascii="宋体" w:hAnsi="宋体" w:cs="宋体"/>
          <w:b/>
          <w:bCs/>
          <w:szCs w:val="21"/>
          <w:lang w:val="zh-CN"/>
        </w:rPr>
        <w:t>：</w:t>
      </w:r>
      <w:r>
        <w:rPr>
          <w:rFonts w:hint="eastAsia" w:ascii="宋体" w:hAnsi="宋体" w:cs="宋体"/>
          <w:b/>
          <w:szCs w:val="21"/>
          <w:u w:val="single"/>
        </w:rPr>
        <w:t>2023年</w:t>
      </w:r>
      <w:r>
        <w:rPr>
          <w:rFonts w:hint="eastAsia" w:ascii="宋体" w:hAnsi="宋体" w:cs="宋体"/>
          <w:b/>
          <w:szCs w:val="21"/>
          <w:u w:val="single"/>
          <w:lang w:eastAsia="zh-CN"/>
        </w:rPr>
        <w:t>03月21日</w:t>
      </w:r>
      <w:r>
        <w:rPr>
          <w:rFonts w:hint="eastAsia" w:ascii="宋体" w:hAnsi="宋体" w:cs="宋体"/>
          <w:b/>
          <w:szCs w:val="21"/>
          <w:u w:val="single"/>
        </w:rPr>
        <w:t xml:space="preserve">09:30  </w:t>
      </w:r>
      <w:r>
        <w:rPr>
          <w:rFonts w:hint="eastAsia" w:ascii="宋体" w:hAnsi="宋体" w:cs="宋体"/>
          <w:b/>
          <w:bCs/>
          <w:szCs w:val="21"/>
          <w:lang w:val="zh-CN"/>
        </w:rPr>
        <w:t>（</w:t>
      </w:r>
      <w:r>
        <w:rPr>
          <w:rFonts w:hint="eastAsia" w:ascii="宋体" w:hAnsi="宋体" w:cs="宋体"/>
          <w:szCs w:val="21"/>
          <w:lang w:val="zh-CN"/>
        </w:rPr>
        <w:t>北京时间）</w:t>
      </w:r>
    </w:p>
    <w:p>
      <w:pPr>
        <w:spacing w:line="300" w:lineRule="auto"/>
        <w:ind w:firstLine="420" w:firstLineChars="200"/>
        <w:rPr>
          <w:rFonts w:ascii="宋体" w:hAnsi="宋体" w:cs="宋体"/>
          <w:szCs w:val="21"/>
          <w:lang w:val="zh-CN"/>
        </w:rPr>
      </w:pPr>
      <w:r>
        <w:rPr>
          <w:rFonts w:hint="eastAsia" w:ascii="宋体" w:hAnsi="宋体" w:cs="宋体"/>
          <w:szCs w:val="21"/>
          <w:lang w:val="zh-CN"/>
        </w:rPr>
        <w:t>投标地点（网址）：供应商应于提交投标文件截止时间前将电子投标文件上传到“政采云”平台（本项目采用线上投标），逾期未上传的将予以拒收。</w:t>
      </w:r>
    </w:p>
    <w:p>
      <w:pPr>
        <w:spacing w:line="300" w:lineRule="auto"/>
        <w:ind w:firstLine="420" w:firstLineChars="200"/>
        <w:rPr>
          <w:rFonts w:ascii="宋体" w:hAnsi="宋体" w:cs="宋体"/>
          <w:b/>
          <w:szCs w:val="21"/>
        </w:rPr>
      </w:pPr>
      <w:r>
        <w:rPr>
          <w:rFonts w:hint="eastAsia" w:ascii="宋体" w:hAnsi="宋体" w:cs="宋体"/>
          <w:szCs w:val="21"/>
          <w:lang w:val="zh-CN"/>
        </w:rPr>
        <w:t>开标时间：</w:t>
      </w:r>
      <w:r>
        <w:rPr>
          <w:rFonts w:hint="eastAsia" w:ascii="宋体" w:hAnsi="宋体" w:cs="宋体"/>
          <w:b/>
          <w:szCs w:val="21"/>
          <w:u w:val="single"/>
        </w:rPr>
        <w:t>2023年</w:t>
      </w:r>
      <w:r>
        <w:rPr>
          <w:rFonts w:hint="eastAsia" w:ascii="宋体" w:hAnsi="宋体" w:cs="宋体"/>
          <w:b/>
          <w:szCs w:val="21"/>
          <w:u w:val="single"/>
          <w:lang w:eastAsia="zh-CN"/>
        </w:rPr>
        <w:t>03月21日</w:t>
      </w:r>
      <w:r>
        <w:rPr>
          <w:rFonts w:hint="eastAsia" w:ascii="宋体" w:hAnsi="宋体" w:cs="宋体"/>
          <w:b/>
          <w:szCs w:val="21"/>
          <w:u w:val="single"/>
        </w:rPr>
        <w:t xml:space="preserve">09:30  </w:t>
      </w:r>
    </w:p>
    <w:p>
      <w:pPr>
        <w:spacing w:line="300" w:lineRule="auto"/>
        <w:ind w:firstLine="420" w:firstLineChars="200"/>
        <w:rPr>
          <w:rFonts w:ascii="宋体" w:hAnsi="宋体" w:cs="宋体"/>
        </w:rPr>
      </w:pPr>
      <w:r>
        <w:rPr>
          <w:rFonts w:hint="eastAsia" w:ascii="宋体" w:hAnsi="宋体" w:cs="宋体"/>
          <w:szCs w:val="21"/>
          <w:lang w:val="zh-CN"/>
        </w:rPr>
        <w:t>开标地点</w:t>
      </w:r>
      <w:r>
        <w:rPr>
          <w:rFonts w:hint="eastAsia" w:ascii="宋体" w:hAnsi="宋体" w:cs="宋体"/>
          <w:szCs w:val="21"/>
        </w:rPr>
        <w:t>（</w:t>
      </w:r>
      <w:r>
        <w:rPr>
          <w:rFonts w:hint="eastAsia" w:ascii="宋体" w:hAnsi="宋体" w:cs="宋体"/>
          <w:szCs w:val="21"/>
          <w:lang w:val="zh-CN"/>
        </w:rPr>
        <w:t>网址</w:t>
      </w:r>
      <w:r>
        <w:rPr>
          <w:rFonts w:hint="eastAsia" w:ascii="宋体" w:hAnsi="宋体" w:cs="宋体"/>
          <w:szCs w:val="21"/>
        </w:rPr>
        <w:t>）：</w:t>
      </w:r>
      <w:r>
        <w:rPr>
          <w:rFonts w:hint="eastAsia" w:ascii="宋体" w:hAnsi="宋体" w:cs="宋体"/>
          <w:szCs w:val="21"/>
          <w:lang w:val="zh-CN"/>
        </w:rPr>
        <w:t>供应商持与制作本项目电子加密投标文件的同一个</w:t>
      </w:r>
      <w:r>
        <w:rPr>
          <w:rFonts w:hint="eastAsia" w:ascii="宋体" w:hAnsi="宋体" w:cs="宋体"/>
          <w:szCs w:val="21"/>
        </w:rPr>
        <w:t>CA</w:t>
      </w:r>
      <w:r>
        <w:rPr>
          <w:rFonts w:hint="eastAsia" w:ascii="宋体" w:hAnsi="宋体" w:cs="宋体"/>
          <w:szCs w:val="21"/>
          <w:lang w:val="zh-CN"/>
        </w:rPr>
        <w:t>锁在线登陆</w:t>
      </w:r>
      <w:r>
        <w:rPr>
          <w:rFonts w:hint="eastAsia" w:ascii="宋体" w:hAnsi="宋体" w:cs="宋体"/>
          <w:szCs w:val="21"/>
        </w:rPr>
        <w:t>“</w:t>
      </w:r>
      <w:r>
        <w:rPr>
          <w:rFonts w:hint="eastAsia" w:ascii="宋体" w:hAnsi="宋体" w:cs="宋体"/>
          <w:szCs w:val="21"/>
          <w:lang w:val="zh-CN"/>
        </w:rPr>
        <w:t>政府采购云平台</w:t>
      </w:r>
      <w:r>
        <w:rPr>
          <w:rFonts w:hint="eastAsia" w:ascii="宋体" w:hAnsi="宋体" w:cs="宋体"/>
          <w:szCs w:val="21"/>
        </w:rPr>
        <w:t>（www.zcygov.cn）”</w:t>
      </w:r>
      <w:r>
        <w:rPr>
          <w:rFonts w:hint="eastAsia" w:ascii="宋体" w:hAnsi="宋体" w:cs="宋体"/>
          <w:szCs w:val="21"/>
          <w:lang w:val="zh-CN"/>
        </w:rPr>
        <w:t>本项目开标大厅等候解密</w:t>
      </w:r>
      <w:r>
        <w:rPr>
          <w:rFonts w:hint="eastAsia" w:ascii="宋体" w:hAnsi="宋体" w:cs="宋体"/>
          <w:szCs w:val="21"/>
        </w:rPr>
        <w:t>（</w:t>
      </w:r>
      <w:r>
        <w:rPr>
          <w:rFonts w:hint="eastAsia" w:ascii="宋体" w:hAnsi="宋体" w:cs="宋体"/>
          <w:szCs w:val="21"/>
          <w:lang w:val="zh-CN"/>
        </w:rPr>
        <w:t>本项目采用线上开评标</w:t>
      </w:r>
      <w:r>
        <w:rPr>
          <w:rFonts w:hint="eastAsia" w:ascii="宋体" w:hAnsi="宋体" w:cs="宋体"/>
          <w:szCs w:val="21"/>
        </w:rPr>
        <w:t>,供应商无须前往评审现场）</w:t>
      </w:r>
      <w:r>
        <w:rPr>
          <w:rFonts w:hint="eastAsia" w:ascii="宋体" w:hAnsi="宋体" w:cs="宋体"/>
          <w:szCs w:val="21"/>
          <w:lang w:val="zh-CN"/>
        </w:rPr>
        <w:t>。</w:t>
      </w:r>
    </w:p>
    <w:p>
      <w:pPr>
        <w:spacing w:line="300" w:lineRule="auto"/>
        <w:rPr>
          <w:rFonts w:ascii="宋体" w:hAnsi="宋体" w:cs="宋体"/>
          <w:b/>
          <w:bCs/>
          <w:szCs w:val="21"/>
          <w:lang w:val="zh-CN"/>
        </w:rPr>
      </w:pPr>
      <w:r>
        <w:rPr>
          <w:rFonts w:hint="eastAsia" w:ascii="宋体" w:hAnsi="宋体" w:cs="宋体"/>
          <w:b/>
          <w:bCs/>
          <w:szCs w:val="21"/>
          <w:lang w:val="zh-CN"/>
        </w:rPr>
        <w:t>五、公告期限</w:t>
      </w:r>
    </w:p>
    <w:p>
      <w:pPr>
        <w:spacing w:line="300" w:lineRule="auto"/>
        <w:ind w:firstLine="420" w:firstLineChars="200"/>
        <w:rPr>
          <w:rFonts w:ascii="宋体" w:hAnsi="宋体" w:cs="宋体"/>
          <w:szCs w:val="21"/>
          <w:lang w:val="zh-CN"/>
        </w:rPr>
      </w:pPr>
      <w:r>
        <w:rPr>
          <w:rFonts w:hint="eastAsia" w:ascii="宋体" w:hAnsi="宋体" w:cs="宋体"/>
          <w:szCs w:val="21"/>
          <w:lang w:val="zh-CN"/>
        </w:rPr>
        <w:t>自本公告发布之日起5个工作日。</w:t>
      </w:r>
    </w:p>
    <w:p>
      <w:pPr>
        <w:spacing w:line="300" w:lineRule="auto"/>
        <w:rPr>
          <w:rFonts w:ascii="宋体" w:hAnsi="宋体" w:cs="宋体"/>
          <w:b/>
          <w:bCs/>
          <w:szCs w:val="21"/>
          <w:lang w:val="zh-CN"/>
        </w:rPr>
      </w:pPr>
      <w:r>
        <w:rPr>
          <w:rFonts w:hint="eastAsia" w:ascii="宋体" w:hAnsi="宋体" w:cs="宋体"/>
          <w:b/>
          <w:bCs/>
          <w:szCs w:val="21"/>
        </w:rPr>
        <w:t>六</w:t>
      </w:r>
      <w:r>
        <w:rPr>
          <w:rFonts w:hint="eastAsia" w:ascii="宋体" w:hAnsi="宋体" w:cs="宋体"/>
          <w:b/>
          <w:bCs/>
          <w:szCs w:val="21"/>
          <w:lang w:val="zh-CN"/>
        </w:rPr>
        <w:t>、其他补充事宜</w:t>
      </w:r>
    </w:p>
    <w:p>
      <w:pPr>
        <w:spacing w:line="300" w:lineRule="auto"/>
        <w:ind w:firstLine="420" w:firstLineChars="200"/>
        <w:rPr>
          <w:rFonts w:ascii="宋体" w:hAnsi="宋体" w:cs="宋体"/>
          <w:szCs w:val="21"/>
        </w:rPr>
      </w:pPr>
      <w:r>
        <w:rPr>
          <w:rFonts w:hint="eastAsia" w:ascii="宋体" w:hAnsi="宋体" w:cs="宋体"/>
          <w:szCs w:val="21"/>
        </w:rPr>
        <w:t>1.《浙江省</w:t>
      </w:r>
      <w:r>
        <w:rPr>
          <w:rFonts w:hint="eastAsia" w:ascii="宋体" w:hAnsi="宋体" w:cs="宋体"/>
          <w:szCs w:val="21"/>
          <w:lang w:val="zh-CN"/>
        </w:rPr>
        <w:t>财政厅</w:t>
      </w:r>
      <w:r>
        <w:rPr>
          <w:rFonts w:hint="eastAsia" w:ascii="宋体" w:hAnsi="宋体" w:cs="宋体"/>
          <w:szCs w:val="21"/>
        </w:rPr>
        <w:t>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00" w:lineRule="auto"/>
        <w:ind w:firstLine="420" w:firstLineChars="200"/>
        <w:rPr>
          <w:rFonts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20" w:firstLineChars="200"/>
        <w:rPr>
          <w:rFonts w:ascii="宋体" w:hAnsi="宋体" w:cs="宋体"/>
          <w:szCs w:val="21"/>
        </w:rPr>
      </w:pPr>
      <w:r>
        <w:rPr>
          <w:rFonts w:hint="eastAsia" w:ascii="宋体" w:hAnsi="宋体" w:cs="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00" w:lineRule="auto"/>
        <w:ind w:firstLine="420" w:firstLineChars="200"/>
        <w:rPr>
          <w:rFonts w:ascii="宋体" w:hAnsi="宋体" w:cs="宋体"/>
          <w:szCs w:val="21"/>
        </w:rPr>
      </w:pPr>
      <w:r>
        <w:rPr>
          <w:rFonts w:hint="eastAsia" w:ascii="宋体" w:hAnsi="宋体" w:cs="宋体"/>
          <w:szCs w:val="21"/>
        </w:rPr>
        <w:t>4.在线投标（电子交易）说明</w:t>
      </w:r>
    </w:p>
    <w:p>
      <w:pPr>
        <w:wordWrap w:val="0"/>
        <w:spacing w:line="300" w:lineRule="auto"/>
        <w:ind w:firstLine="420" w:firstLineChars="200"/>
        <w:rPr>
          <w:rFonts w:ascii="宋体" w:hAnsi="宋体" w:cs="宋体"/>
          <w:szCs w:val="21"/>
        </w:rPr>
      </w:pPr>
      <w:r>
        <w:rPr>
          <w:rFonts w:hint="eastAsia" w:ascii="宋体" w:hAnsi="宋体" w:cs="宋体"/>
          <w:szCs w:val="21"/>
        </w:rPr>
        <w:t>4.1本项目实行电子交易，交易平台全称为“政府采购云平台（www.zcygov.cn）”。供应商应按照“政采云”平台和本项目采购文件的要求编制、加密并递交响应文件。供应商在使用系统进行投标的过程中遇到涉及平台使用的任何问题，可致电“政采云”平台技术支持热线400-881-7190或95763咨询。</w:t>
      </w:r>
    </w:p>
    <w:p>
      <w:pPr>
        <w:wordWrap w:val="0"/>
        <w:spacing w:line="300" w:lineRule="auto"/>
        <w:ind w:firstLine="420" w:firstLineChars="200"/>
        <w:rPr>
          <w:rFonts w:ascii="宋体" w:hAnsi="宋体" w:cs="宋体"/>
          <w:szCs w:val="21"/>
        </w:rPr>
      </w:pPr>
      <w:r>
        <w:rPr>
          <w:rFonts w:hint="eastAsia" w:ascii="宋体" w:hAnsi="宋体" w:cs="宋体"/>
          <w:szCs w:val="21"/>
        </w:rPr>
        <w:t>4.2供应商在参加采购活动前，必须自行完成以下操作：政府采购云平台正式供应商注册、CA数字证书申领、CA锁绑定、电子交易客户端的下载，否则无法正常参加采购活动。</w:t>
      </w:r>
    </w:p>
    <w:p>
      <w:pPr>
        <w:wordWrap w:val="0"/>
        <w:spacing w:line="300" w:lineRule="auto"/>
        <w:ind w:firstLine="420" w:firstLineChars="200"/>
        <w:rPr>
          <w:rFonts w:ascii="宋体" w:hAnsi="宋体" w:cs="宋体"/>
          <w:szCs w:val="21"/>
        </w:rPr>
      </w:pPr>
      <w:r>
        <w:rPr>
          <w:rFonts w:hint="eastAsia" w:ascii="宋体" w:hAnsi="宋体" w:cs="宋体"/>
          <w:szCs w:val="21"/>
        </w:rPr>
        <w:t>①正式供应商注册：浙江政府采购网首页-用户入驻/登录-用户注册-供应商登记-（登记链接：https://middle.zcygov.cn/v-settle-front/enter/account?settleCategory=1&amp;entranceType=1&amp;utm=web-government-front.2ef5001f.c169096.d7048688.677cd320f29711ecb7c1b13f2215ffdd）；</w:t>
      </w:r>
    </w:p>
    <w:p>
      <w:pPr>
        <w:wordWrap w:val="0"/>
        <w:spacing w:line="300" w:lineRule="auto"/>
        <w:ind w:firstLine="420" w:firstLineChars="200"/>
        <w:rPr>
          <w:rFonts w:ascii="宋体" w:hAnsi="宋体" w:cs="宋体"/>
          <w:szCs w:val="21"/>
        </w:rPr>
      </w:pPr>
      <w:r>
        <w:rPr>
          <w:rFonts w:hint="eastAsia" w:ascii="宋体" w:hAnsi="宋体" w:cs="宋体"/>
          <w:szCs w:val="21"/>
        </w:rPr>
        <w:t>②CA驱动和申领流程、电子交易客户端的</w:t>
      </w:r>
      <w:r>
        <w:rPr>
          <w:rFonts w:hint="eastAsia" w:ascii="宋体" w:hAnsi="宋体" w:cs="宋体"/>
          <w:szCs w:val="21"/>
          <w:lang w:val="zh-CN"/>
        </w:rPr>
        <w:t>下载</w:t>
      </w:r>
      <w:r>
        <w:rPr>
          <w:rFonts w:hint="eastAsia" w:ascii="宋体" w:hAnsi="宋体" w:cs="宋体"/>
          <w:szCs w:val="21"/>
        </w:rPr>
        <w:t>：浙江政府采购网首页-下载专区-电子交易客户端或CA驱动和申领流程（链接：http://zfcg.czt.zj.gov.cn/download/index.html?_=1586505810049）；</w:t>
      </w:r>
    </w:p>
    <w:p>
      <w:pPr>
        <w:wordWrap w:val="0"/>
        <w:spacing w:line="300" w:lineRule="auto"/>
        <w:ind w:firstLine="420" w:firstLineChars="200"/>
        <w:rPr>
          <w:rFonts w:ascii="宋体" w:hAnsi="宋体" w:cs="宋体"/>
          <w:szCs w:val="21"/>
        </w:rPr>
      </w:pPr>
      <w:r>
        <w:rPr>
          <w:rFonts w:hint="eastAsia" w:ascii="宋体" w:hAnsi="宋体" w:cs="宋体"/>
          <w:szCs w:val="21"/>
        </w:rPr>
        <w:t>③CA锁绑定操作指南：用户登录-服务中心-帮助文档-最新指南-CA登录与绑定操作指南（链接（需登录后查看）：https://service.zcygov.cn/#/knowledges/UgcbC3EBiyELHE-opz1b/GQcTNXEBiyELHE-oocEg）。</w:t>
      </w:r>
    </w:p>
    <w:p>
      <w:pPr>
        <w:wordWrap w:val="0"/>
        <w:spacing w:line="300" w:lineRule="auto"/>
        <w:ind w:firstLine="420" w:firstLineChars="200"/>
        <w:rPr>
          <w:rFonts w:ascii="宋体" w:hAnsi="宋体" w:cs="宋体"/>
          <w:szCs w:val="21"/>
        </w:rPr>
      </w:pPr>
      <w:r>
        <w:rPr>
          <w:rFonts w:hint="eastAsia" w:ascii="宋体" w:hAnsi="宋体" w:cs="宋体"/>
          <w:szCs w:val="21"/>
        </w:rPr>
        <w:t>4.3供应商应当安装“政采云电子投标客户端”软件，并按照电子交易平台和本项目采购文件的要求编制并加密响应文件。未按规定加密的响应文件，将被电子交易平台拒收。</w:t>
      </w:r>
    </w:p>
    <w:p>
      <w:pPr>
        <w:wordWrap w:val="0"/>
        <w:spacing w:line="300" w:lineRule="auto"/>
        <w:ind w:firstLine="420" w:firstLineChars="200"/>
        <w:rPr>
          <w:rFonts w:ascii="宋体" w:hAnsi="宋体" w:cs="宋体"/>
          <w:szCs w:val="21"/>
        </w:rPr>
      </w:pPr>
      <w:r>
        <w:rPr>
          <w:rFonts w:hint="eastAsia" w:ascii="宋体" w:hAnsi="宋体" w:cs="宋体"/>
          <w:szCs w:val="21"/>
        </w:rPr>
        <w:t>4.4电子响应文件制作及电子交易具体</w:t>
      </w:r>
      <w:r>
        <w:rPr>
          <w:rFonts w:hint="eastAsia" w:ascii="宋体" w:hAnsi="宋体" w:cs="宋体"/>
          <w:szCs w:val="21"/>
          <w:lang w:val="zh-CN"/>
        </w:rPr>
        <w:t>流程</w:t>
      </w:r>
      <w:r>
        <w:rPr>
          <w:rFonts w:hint="eastAsia" w:ascii="宋体" w:hAnsi="宋体" w:cs="宋体"/>
          <w:szCs w:val="21"/>
        </w:rPr>
        <w:t>详见政府采购项目电子交易管理操作指南：【链接https://service.zcygov.cn/#/knowledges/CW1EtGwBFdiHxlNd6I3m/6IMVAG0BFdiHxlNdQ8Na或登录“政府采购云平台（www.zcygov.cn）”，从首页-服务中心-帮助文档-项目采购-操作流程-电子招投标，查看文档和视频】。</w:t>
      </w:r>
    </w:p>
    <w:p>
      <w:pPr>
        <w:wordWrap w:val="0"/>
        <w:spacing w:line="300" w:lineRule="auto"/>
        <w:ind w:firstLine="420" w:firstLineChars="200"/>
        <w:rPr>
          <w:rFonts w:ascii="宋体" w:hAnsi="宋体" w:cs="宋体"/>
          <w:szCs w:val="21"/>
        </w:rPr>
      </w:pPr>
      <w:r>
        <w:rPr>
          <w:rFonts w:hint="eastAsia" w:ascii="宋体" w:hAnsi="宋体" w:cs="宋体"/>
          <w:szCs w:val="21"/>
        </w:rPr>
        <w:t>4.5本项目响应文件的解密、报价文件确认等环节所使用的CA数字证书和制作电子加密响应文件时使用的必须为同一个。</w:t>
      </w:r>
    </w:p>
    <w:p>
      <w:pPr>
        <w:wordWrap w:val="0"/>
        <w:spacing w:line="360" w:lineRule="auto"/>
        <w:ind w:firstLine="420" w:firstLineChars="200"/>
        <w:rPr>
          <w:rFonts w:ascii="宋体" w:hAnsi="宋体" w:cs="宋体"/>
          <w:szCs w:val="21"/>
        </w:rPr>
      </w:pPr>
      <w:r>
        <w:rPr>
          <w:rFonts w:hint="eastAsia" w:ascii="宋体" w:hAnsi="宋体" w:cs="宋体"/>
          <w:szCs w:val="21"/>
        </w:rPr>
        <w:t>5.需落实的政府采购政策</w:t>
      </w:r>
    </w:p>
    <w:p>
      <w:pPr>
        <w:spacing w:line="300" w:lineRule="auto"/>
        <w:ind w:firstLine="420" w:firstLineChars="200"/>
        <w:rPr>
          <w:rFonts w:ascii="宋体" w:hAnsi="宋体" w:cs="宋体"/>
          <w:szCs w:val="21"/>
        </w:rPr>
      </w:pPr>
      <w:r>
        <w:rPr>
          <w:rFonts w:hint="eastAsia" w:ascii="宋体" w:hAnsi="宋体" w:cs="宋体"/>
          <w:szCs w:val="21"/>
        </w:rPr>
        <w:t>《政府采购促进中小企业发展管理办法》（财库[2020]46 号）、《关于政府采购支持监狱企业发展有关问题的通知》（财库〔2014〕68号）、《关于促进残疾人就业政府采购政策的通知》（财库〔2017〕141号）、《关于调整优化节能产品、环境标志产品政府采购执行机制的通知》（财库〔 2019 〕9号）及《关于进一步发挥政府采购政策功能全力推动经济稳进提质的通知》（浙财采监〔2022〕3号）。</w:t>
      </w:r>
    </w:p>
    <w:p>
      <w:pPr>
        <w:wordWrap w:val="0"/>
        <w:spacing w:line="360" w:lineRule="auto"/>
        <w:ind w:firstLine="420" w:firstLineChars="200"/>
        <w:rPr>
          <w:rFonts w:ascii="宋体" w:hAnsi="宋体" w:cs="宋体"/>
          <w:szCs w:val="21"/>
        </w:rPr>
      </w:pPr>
      <w:r>
        <w:rPr>
          <w:rFonts w:hint="eastAsia" w:ascii="宋体" w:hAnsi="宋体" w:cs="宋体"/>
          <w:szCs w:val="21"/>
        </w:rPr>
        <w:t>6.政采</w:t>
      </w:r>
      <w:r>
        <w:rPr>
          <w:rFonts w:hint="eastAsia" w:ascii="宋体" w:hAnsi="宋体" w:cs="宋体"/>
          <w:szCs w:val="21"/>
          <w:lang w:val="zh-CN"/>
        </w:rPr>
        <w:t>贷</w:t>
      </w:r>
    </w:p>
    <w:p>
      <w:pPr>
        <w:spacing w:line="300" w:lineRule="auto"/>
        <w:ind w:firstLine="420" w:firstLineChars="200"/>
        <w:rPr>
          <w:rFonts w:ascii="宋体" w:hAnsi="宋体" w:cs="宋体"/>
          <w:szCs w:val="21"/>
        </w:rPr>
      </w:pPr>
      <w:r>
        <w:rPr>
          <w:rFonts w:hint="eastAsia" w:ascii="宋体" w:hAnsi="宋体" w:cs="宋体"/>
          <w:szCs w:val="21"/>
        </w:rPr>
        <w:t>本项目成交供应商与采购人签订的</w:t>
      </w:r>
      <w:r>
        <w:rPr>
          <w:rFonts w:hint="eastAsia" w:ascii="宋体" w:hAnsi="宋体" w:cs="宋体"/>
          <w:szCs w:val="21"/>
          <w:lang w:val="zh-CN"/>
        </w:rPr>
        <w:t>政府</w:t>
      </w:r>
      <w:r>
        <w:rPr>
          <w:rFonts w:hint="eastAsia" w:ascii="宋体" w:hAnsi="宋体" w:cs="宋体"/>
          <w:szCs w:val="21"/>
        </w:rPr>
        <w:t>采购合同适用衢州市常山县政府采购贷款政策，简称“政采贷”，具体内容可参阅《常山县“政采贷”办理指引》，http://www.zjcs.gov.cn/art/2022/1/10/art_1229091236_4857590.html。</w:t>
      </w:r>
    </w:p>
    <w:p>
      <w:pPr>
        <w:spacing w:line="300" w:lineRule="auto"/>
        <w:ind w:firstLine="420" w:firstLineChars="200"/>
        <w:rPr>
          <w:rFonts w:ascii="宋体" w:hAnsi="宋体" w:cs="宋体"/>
          <w:szCs w:val="21"/>
        </w:rPr>
      </w:pPr>
      <w:r>
        <w:rPr>
          <w:rFonts w:hint="eastAsia" w:ascii="宋体" w:hAnsi="宋体" w:cs="宋体"/>
          <w:szCs w:val="21"/>
        </w:rPr>
        <w:t>7.采购信息发布媒介：浙江政府采购网（http://zfcg.czt.zj.gov.cn/）、常山县政府网（http://www.zjcs.gov.cn/col/col1229635770/index.html）。</w:t>
      </w:r>
    </w:p>
    <w:p>
      <w:pPr>
        <w:spacing w:line="300" w:lineRule="auto"/>
        <w:rPr>
          <w:rFonts w:ascii="宋体" w:hAnsi="宋体" w:cs="宋体"/>
          <w:b/>
          <w:bCs/>
          <w:szCs w:val="21"/>
          <w:lang w:val="zh-CN"/>
        </w:rPr>
      </w:pPr>
      <w:r>
        <w:rPr>
          <w:rFonts w:hint="eastAsia" w:ascii="宋体" w:hAnsi="宋体" w:cs="宋体"/>
          <w:b/>
          <w:bCs/>
          <w:szCs w:val="21"/>
          <w:lang w:val="zh-CN"/>
        </w:rPr>
        <w:t>七、对本次招标提出询问，请按以下联系方式</w:t>
      </w:r>
    </w:p>
    <w:p>
      <w:pPr>
        <w:spacing w:line="300" w:lineRule="auto"/>
        <w:jc w:val="left"/>
        <w:rPr>
          <w:rFonts w:ascii="宋体" w:hAnsi="宋体" w:cs="宋体"/>
          <w:szCs w:val="21"/>
        </w:rPr>
      </w:pPr>
      <w:bookmarkStart w:id="5" w:name="_Toc28359009"/>
      <w:bookmarkStart w:id="6" w:name="_Toc28359086"/>
      <w:r>
        <w:rPr>
          <w:rFonts w:hint="eastAsia" w:ascii="宋体" w:hAnsi="宋体" w:cs="宋体"/>
          <w:szCs w:val="21"/>
        </w:rPr>
        <w:t>1.采购人信息</w:t>
      </w:r>
    </w:p>
    <w:p>
      <w:pPr>
        <w:spacing w:line="300" w:lineRule="auto"/>
        <w:jc w:val="left"/>
        <w:rPr>
          <w:rFonts w:ascii="宋体" w:hAnsi="宋体" w:cs="宋体"/>
          <w:szCs w:val="21"/>
        </w:rPr>
      </w:pPr>
      <w:r>
        <w:rPr>
          <w:rFonts w:hint="eastAsia" w:ascii="宋体" w:hAnsi="宋体" w:cs="宋体"/>
          <w:szCs w:val="21"/>
        </w:rPr>
        <w:t>名称：常山县水文站</w:t>
      </w:r>
    </w:p>
    <w:p>
      <w:pPr>
        <w:spacing w:line="300" w:lineRule="auto"/>
        <w:jc w:val="left"/>
        <w:rPr>
          <w:rFonts w:ascii="宋体" w:hAnsi="宋体" w:cs="宋体"/>
          <w:szCs w:val="21"/>
          <w:highlight w:val="none"/>
        </w:rPr>
      </w:pPr>
      <w:r>
        <w:rPr>
          <w:rFonts w:hint="eastAsia" w:ascii="宋体" w:hAnsi="宋体" w:cs="宋体"/>
          <w:szCs w:val="21"/>
          <w:highlight w:val="none"/>
        </w:rPr>
        <w:t>地址：常山县北滨江路100号</w:t>
      </w:r>
    </w:p>
    <w:p>
      <w:pPr>
        <w:spacing w:line="300" w:lineRule="auto"/>
        <w:jc w:val="left"/>
        <w:rPr>
          <w:rFonts w:ascii="宋体" w:hAnsi="宋体" w:cs="宋体"/>
          <w:szCs w:val="21"/>
        </w:rPr>
      </w:pPr>
      <w:r>
        <w:rPr>
          <w:rFonts w:hint="eastAsia" w:ascii="宋体" w:hAnsi="宋体" w:cs="宋体"/>
          <w:szCs w:val="21"/>
        </w:rPr>
        <w:t>传真：/</w:t>
      </w:r>
    </w:p>
    <w:p>
      <w:pPr>
        <w:spacing w:line="300" w:lineRule="auto"/>
        <w:jc w:val="left"/>
        <w:rPr>
          <w:rFonts w:ascii="宋体" w:hAnsi="宋体" w:cs="宋体"/>
          <w:szCs w:val="21"/>
        </w:rPr>
      </w:pPr>
      <w:r>
        <w:rPr>
          <w:rFonts w:hint="eastAsia" w:ascii="宋体" w:hAnsi="宋体" w:cs="宋体"/>
          <w:szCs w:val="21"/>
        </w:rPr>
        <w:t>项目联系人（询问）：徐望达</w:t>
      </w:r>
    </w:p>
    <w:p>
      <w:pPr>
        <w:spacing w:line="300" w:lineRule="auto"/>
        <w:jc w:val="left"/>
        <w:rPr>
          <w:rFonts w:ascii="宋体" w:hAnsi="宋体" w:cs="宋体"/>
          <w:szCs w:val="21"/>
        </w:rPr>
      </w:pPr>
      <w:r>
        <w:rPr>
          <w:rFonts w:hint="eastAsia" w:ascii="宋体" w:hAnsi="宋体" w:cs="宋体"/>
          <w:szCs w:val="21"/>
        </w:rPr>
        <w:t>项目联系方式（询问）：19884555137</w:t>
      </w:r>
    </w:p>
    <w:p>
      <w:pPr>
        <w:spacing w:line="300" w:lineRule="auto"/>
        <w:jc w:val="left"/>
        <w:rPr>
          <w:rFonts w:ascii="宋体" w:hAnsi="宋体" w:cs="宋体"/>
          <w:szCs w:val="21"/>
        </w:rPr>
      </w:pPr>
      <w:r>
        <w:rPr>
          <w:rFonts w:hint="eastAsia" w:ascii="宋体" w:hAnsi="宋体" w:cs="宋体"/>
          <w:szCs w:val="21"/>
        </w:rPr>
        <w:t>质疑联系人：王培霞</w:t>
      </w:r>
    </w:p>
    <w:p>
      <w:pPr>
        <w:spacing w:line="300" w:lineRule="auto"/>
        <w:jc w:val="left"/>
        <w:rPr>
          <w:rFonts w:ascii="宋体" w:hAnsi="宋体" w:cs="宋体"/>
          <w:szCs w:val="21"/>
        </w:rPr>
      </w:pPr>
      <w:r>
        <w:rPr>
          <w:rFonts w:hint="eastAsia" w:ascii="宋体" w:hAnsi="宋体" w:cs="宋体"/>
          <w:szCs w:val="21"/>
        </w:rPr>
        <w:t>质疑联系方式：13967025619</w:t>
      </w:r>
    </w:p>
    <w:p>
      <w:pPr>
        <w:spacing w:line="300" w:lineRule="auto"/>
        <w:jc w:val="left"/>
        <w:rPr>
          <w:rFonts w:ascii="宋体" w:hAnsi="宋体" w:cs="宋体"/>
          <w:szCs w:val="21"/>
        </w:rPr>
      </w:pPr>
      <w:r>
        <w:rPr>
          <w:rFonts w:hint="eastAsia" w:ascii="宋体" w:hAnsi="宋体" w:cs="宋体"/>
          <w:szCs w:val="21"/>
        </w:rPr>
        <w:t>2.采购代理机构信息</w:t>
      </w:r>
      <w:bookmarkEnd w:id="5"/>
      <w:bookmarkEnd w:id="6"/>
    </w:p>
    <w:p>
      <w:pPr>
        <w:spacing w:line="300" w:lineRule="auto"/>
        <w:rPr>
          <w:rFonts w:ascii="宋体" w:hAnsi="宋体" w:cs="宋体"/>
          <w:szCs w:val="21"/>
          <w:lang w:val="zh-CN"/>
        </w:rPr>
      </w:pPr>
      <w:r>
        <w:rPr>
          <w:rFonts w:hint="eastAsia" w:ascii="宋体" w:hAnsi="宋体" w:cs="宋体"/>
          <w:szCs w:val="21"/>
        </w:rPr>
        <w:t>名 称：</w:t>
      </w:r>
      <w:r>
        <w:rPr>
          <w:rFonts w:hint="eastAsia" w:ascii="宋体" w:hAnsi="宋体" w:cs="宋体"/>
          <w:szCs w:val="21"/>
          <w:lang w:val="zh-CN"/>
        </w:rPr>
        <w:t>浙江哲晟工程项目管理有限公司</w:t>
      </w:r>
    </w:p>
    <w:p>
      <w:pPr>
        <w:spacing w:line="300" w:lineRule="auto"/>
        <w:rPr>
          <w:rFonts w:ascii="宋体" w:hAnsi="宋体" w:cs="宋体"/>
          <w:szCs w:val="21"/>
        </w:rPr>
      </w:pPr>
      <w:r>
        <w:rPr>
          <w:rFonts w:hint="eastAsia" w:ascii="宋体" w:hAnsi="宋体" w:cs="宋体"/>
          <w:szCs w:val="21"/>
        </w:rPr>
        <w:t>地址：浙江省</w:t>
      </w:r>
      <w:r>
        <w:rPr>
          <w:rFonts w:hint="eastAsia" w:ascii="宋体" w:hAnsi="宋体" w:cs="宋体"/>
          <w:szCs w:val="21"/>
          <w:lang w:val="zh-CN"/>
        </w:rPr>
        <w:t>衢州市常山县天马街道定阳南路859幢428-431室</w:t>
      </w:r>
    </w:p>
    <w:p>
      <w:pPr>
        <w:spacing w:line="300" w:lineRule="auto"/>
        <w:rPr>
          <w:rFonts w:ascii="宋体" w:hAnsi="宋体" w:cs="宋体"/>
          <w:szCs w:val="21"/>
        </w:rPr>
      </w:pPr>
      <w:r>
        <w:rPr>
          <w:rFonts w:hint="eastAsia" w:ascii="宋体" w:hAnsi="宋体" w:cs="宋体"/>
          <w:szCs w:val="21"/>
        </w:rPr>
        <w:t>传真：/</w:t>
      </w:r>
    </w:p>
    <w:p>
      <w:pPr>
        <w:spacing w:line="360" w:lineRule="auto"/>
        <w:rPr>
          <w:rFonts w:ascii="宋体" w:hAnsi="宋体" w:cs="宋体"/>
          <w:szCs w:val="21"/>
        </w:rPr>
      </w:pPr>
      <w:bookmarkStart w:id="7" w:name="_Toc28359087"/>
      <w:bookmarkStart w:id="8" w:name="_Toc28359010"/>
      <w:r>
        <w:rPr>
          <w:rFonts w:hint="eastAsia" w:ascii="宋体" w:hAnsi="宋体" w:cs="宋体"/>
          <w:szCs w:val="21"/>
        </w:rPr>
        <w:t>项目联系人（询问）：余佳丽</w:t>
      </w:r>
    </w:p>
    <w:p>
      <w:pPr>
        <w:spacing w:line="360" w:lineRule="auto"/>
        <w:rPr>
          <w:rFonts w:ascii="宋体" w:hAnsi="宋体" w:cs="宋体"/>
          <w:szCs w:val="21"/>
          <w:lang w:val="zh-CN"/>
        </w:rPr>
      </w:pPr>
      <w:r>
        <w:rPr>
          <w:rFonts w:hint="eastAsia" w:ascii="宋体" w:hAnsi="宋体" w:cs="宋体"/>
          <w:szCs w:val="21"/>
        </w:rPr>
        <w:t xml:space="preserve">项目联系方式（询问）：13567051997 </w:t>
      </w:r>
      <w:r>
        <w:rPr>
          <w:rFonts w:hint="eastAsia" w:ascii="宋体" w:hAnsi="宋体" w:cs="宋体"/>
          <w:szCs w:val="21"/>
          <w:lang w:val="zh-CN"/>
        </w:rPr>
        <w:t xml:space="preserve"> 0570-5016289</w:t>
      </w:r>
    </w:p>
    <w:p>
      <w:pPr>
        <w:spacing w:line="300" w:lineRule="auto"/>
        <w:jc w:val="left"/>
        <w:rPr>
          <w:rFonts w:ascii="宋体" w:hAnsi="宋体" w:cs="宋体"/>
          <w:szCs w:val="21"/>
          <w:lang w:val="zh-CN"/>
        </w:rPr>
      </w:pPr>
      <w:r>
        <w:rPr>
          <w:rFonts w:hint="eastAsia" w:ascii="宋体" w:hAnsi="宋体" w:cs="宋体"/>
          <w:szCs w:val="21"/>
          <w:lang w:val="zh-CN"/>
        </w:rPr>
        <w:t>质疑联系人：姚剑</w:t>
      </w:r>
    </w:p>
    <w:p>
      <w:pPr>
        <w:spacing w:line="300" w:lineRule="auto"/>
        <w:jc w:val="left"/>
        <w:rPr>
          <w:rFonts w:ascii="宋体" w:hAnsi="宋体" w:cs="宋体"/>
          <w:szCs w:val="21"/>
        </w:rPr>
      </w:pPr>
      <w:r>
        <w:rPr>
          <w:rFonts w:hint="eastAsia" w:ascii="宋体" w:hAnsi="宋体" w:cs="宋体"/>
          <w:szCs w:val="21"/>
          <w:lang w:val="zh-CN"/>
        </w:rPr>
        <w:t>质疑联系方式：</w:t>
      </w:r>
      <w:r>
        <w:rPr>
          <w:rFonts w:hint="eastAsia" w:ascii="宋体" w:hAnsi="宋体" w:cs="宋体"/>
          <w:szCs w:val="21"/>
        </w:rPr>
        <w:t>13857020755</w:t>
      </w:r>
      <w:bookmarkEnd w:id="7"/>
      <w:bookmarkEnd w:id="8"/>
    </w:p>
    <w:p>
      <w:pPr>
        <w:spacing w:line="300" w:lineRule="auto"/>
        <w:rPr>
          <w:rFonts w:ascii="宋体" w:hAnsi="宋体" w:cs="宋体"/>
          <w:szCs w:val="21"/>
          <w:lang w:val="zh-CN"/>
        </w:rPr>
      </w:pPr>
      <w:r>
        <w:rPr>
          <w:rFonts w:hint="eastAsia" w:ascii="宋体" w:hAnsi="宋体" w:cs="宋体"/>
          <w:szCs w:val="21"/>
          <w:lang w:val="zh-CN"/>
        </w:rPr>
        <w:t>3.同级政府采购监督管理部门</w:t>
      </w:r>
    </w:p>
    <w:p>
      <w:pPr>
        <w:spacing w:line="300" w:lineRule="auto"/>
        <w:rPr>
          <w:rFonts w:ascii="宋体" w:hAnsi="宋体" w:cs="宋体"/>
          <w:szCs w:val="21"/>
          <w:lang w:val="zh-CN"/>
        </w:rPr>
      </w:pPr>
      <w:r>
        <w:rPr>
          <w:rFonts w:hint="eastAsia" w:ascii="宋体" w:hAnsi="宋体" w:cs="宋体"/>
          <w:szCs w:val="21"/>
          <w:lang w:val="zh-CN"/>
        </w:rPr>
        <w:t>名称：常山县财政局政府采购监管科</w:t>
      </w:r>
    </w:p>
    <w:p>
      <w:pPr>
        <w:spacing w:line="300" w:lineRule="auto"/>
        <w:rPr>
          <w:rFonts w:ascii="宋体" w:hAnsi="宋体" w:cs="宋体"/>
          <w:szCs w:val="21"/>
          <w:lang w:val="zh-CN"/>
        </w:rPr>
      </w:pPr>
      <w:r>
        <w:rPr>
          <w:rFonts w:hint="eastAsia" w:ascii="宋体" w:hAnsi="宋体" w:cs="宋体"/>
          <w:szCs w:val="21"/>
          <w:lang w:val="zh-CN"/>
        </w:rPr>
        <w:t>地址：浙江省衢州市常山县天马街道定阳北路415号</w:t>
      </w:r>
    </w:p>
    <w:p>
      <w:pPr>
        <w:spacing w:line="300" w:lineRule="auto"/>
        <w:rPr>
          <w:rFonts w:ascii="宋体" w:hAnsi="宋体" w:cs="宋体"/>
          <w:szCs w:val="21"/>
          <w:lang w:val="zh-CN"/>
        </w:rPr>
      </w:pPr>
      <w:r>
        <w:rPr>
          <w:rFonts w:hint="eastAsia" w:ascii="宋体" w:hAnsi="宋体" w:cs="宋体"/>
          <w:szCs w:val="21"/>
          <w:lang w:val="zh-CN"/>
        </w:rPr>
        <w:t>联系人：李科长</w:t>
      </w:r>
    </w:p>
    <w:p>
      <w:pPr>
        <w:spacing w:line="300" w:lineRule="auto"/>
        <w:rPr>
          <w:rFonts w:ascii="宋体" w:hAnsi="宋体" w:cs="宋体"/>
          <w:szCs w:val="21"/>
          <w:lang w:val="zh-CN"/>
        </w:rPr>
      </w:pPr>
      <w:r>
        <w:rPr>
          <w:rFonts w:hint="eastAsia" w:ascii="宋体" w:hAnsi="宋体" w:cs="宋体"/>
          <w:szCs w:val="21"/>
          <w:lang w:val="zh-CN"/>
        </w:rPr>
        <w:t>监督投诉电话：0570-5015373</w:t>
      </w:r>
    </w:p>
    <w:p>
      <w:pPr>
        <w:rPr>
          <w:rFonts w:ascii="宋体" w:hAnsi="宋体" w:cs="宋体"/>
          <w:lang w:val="zh-CN"/>
        </w:rPr>
      </w:pPr>
    </w:p>
    <w:p>
      <w:pPr>
        <w:spacing w:line="300" w:lineRule="auto"/>
        <w:ind w:firstLine="420" w:firstLineChars="200"/>
        <w:rPr>
          <w:rFonts w:ascii="宋体" w:hAnsi="宋体" w:cs="宋体"/>
          <w:szCs w:val="21"/>
          <w:lang w:val="zh-CN"/>
        </w:rPr>
      </w:pPr>
      <w:r>
        <w:rPr>
          <w:rFonts w:hint="eastAsia" w:ascii="宋体" w:hAnsi="宋体" w:cs="宋体"/>
          <w:szCs w:val="21"/>
          <w:lang w:val="zh-CN"/>
        </w:rPr>
        <w:t>若对项目采购电子交易系统操作有疑问，可登录政采云（https://www.zcygov.cn/），点击右侧咨询小采，获取采小蜜智能服务管家帮助，或拨打政采云服务热线400-881-7190获取热线服务帮助。</w:t>
      </w:r>
    </w:p>
    <w:p>
      <w:pPr>
        <w:spacing w:line="300" w:lineRule="auto"/>
        <w:ind w:firstLine="420" w:firstLineChars="200"/>
        <w:rPr>
          <w:rFonts w:ascii="宋体" w:hAnsi="宋体" w:cs="宋体"/>
          <w:szCs w:val="21"/>
          <w:lang w:val="zh-CN"/>
        </w:rPr>
      </w:pPr>
      <w:r>
        <w:rPr>
          <w:rFonts w:hint="eastAsia" w:ascii="宋体" w:hAnsi="宋体" w:cs="宋体"/>
          <w:szCs w:val="21"/>
          <w:lang w:val="zh-CN"/>
        </w:rPr>
        <w:t>CA问题联系电话（人工）：汇信CA 400-888-4636；天谷CA 400-087-8198。</w:t>
      </w:r>
    </w:p>
    <w:p>
      <w:pPr>
        <w:spacing w:line="300" w:lineRule="auto"/>
        <w:ind w:firstLine="420" w:firstLineChars="200"/>
        <w:rPr>
          <w:rFonts w:ascii="宋体" w:hAnsi="宋体" w:cs="宋体"/>
          <w:lang w:val="zh-CN"/>
        </w:rPr>
      </w:pPr>
    </w:p>
    <w:p>
      <w:pPr>
        <w:spacing w:line="300" w:lineRule="auto"/>
        <w:ind w:firstLine="420" w:firstLineChars="200"/>
        <w:rPr>
          <w:rFonts w:ascii="宋体" w:hAnsi="宋体" w:cs="宋体"/>
          <w:lang w:val="zh-CN"/>
        </w:rPr>
      </w:pPr>
    </w:p>
    <w:p>
      <w:pPr>
        <w:pStyle w:val="22"/>
        <w:spacing w:line="360" w:lineRule="auto"/>
        <w:jc w:val="right"/>
        <w:rPr>
          <w:rFonts w:ascii="宋体" w:hAnsi="宋体" w:cs="宋体"/>
          <w:szCs w:val="21"/>
        </w:rPr>
      </w:pPr>
      <w:r>
        <w:rPr>
          <w:rFonts w:hint="eastAsia" w:ascii="宋体" w:hAnsi="宋体" w:cs="宋体"/>
          <w:szCs w:val="21"/>
        </w:rPr>
        <w:t>常山县水文站</w:t>
      </w:r>
    </w:p>
    <w:p>
      <w:pPr>
        <w:pStyle w:val="22"/>
        <w:spacing w:line="360" w:lineRule="auto"/>
        <w:jc w:val="right"/>
        <w:rPr>
          <w:rFonts w:ascii="宋体" w:hAnsi="宋体" w:cs="宋体"/>
          <w:szCs w:val="21"/>
          <w:lang w:val="zh-CN"/>
        </w:rPr>
      </w:pPr>
      <w:r>
        <w:rPr>
          <w:rFonts w:hint="eastAsia" w:ascii="宋体" w:hAnsi="宋体" w:cs="宋体"/>
          <w:szCs w:val="21"/>
          <w:lang w:val="zh-CN"/>
        </w:rPr>
        <w:t>浙江哲晟工程项目管理有限公司</w:t>
      </w:r>
    </w:p>
    <w:p>
      <w:pPr>
        <w:pStyle w:val="20"/>
        <w:spacing w:after="0" w:line="360" w:lineRule="auto"/>
        <w:jc w:val="right"/>
        <w:rPr>
          <w:rFonts w:ascii="宋体" w:hAnsi="宋体" w:cs="宋体"/>
        </w:rPr>
        <w:sectPr>
          <w:footerReference r:id="rId13" w:type="default"/>
          <w:type w:val="continuous"/>
          <w:pgSz w:w="11906" w:h="16838"/>
          <w:pgMar w:top="1440" w:right="1800" w:bottom="1440" w:left="1800" w:header="851" w:footer="992" w:gutter="0"/>
          <w:cols w:space="720" w:num="1"/>
          <w:rtlGutter w:val="1"/>
          <w:docGrid w:type="lines" w:linePitch="312" w:charSpace="0"/>
        </w:sectPr>
      </w:pPr>
      <w:r>
        <w:rPr>
          <w:rFonts w:hint="eastAsia" w:ascii="宋体" w:hAnsi="宋体" w:cs="宋体"/>
          <w:szCs w:val="21"/>
        </w:rPr>
        <w:t>2023年0</w:t>
      </w:r>
      <w:r>
        <w:rPr>
          <w:rFonts w:hint="eastAsia" w:ascii="宋体" w:hAnsi="宋体" w:cs="宋体"/>
          <w:szCs w:val="21"/>
          <w:lang w:val="en-US" w:eastAsia="zh-CN"/>
        </w:rPr>
        <w:t>2</w:t>
      </w:r>
      <w:r>
        <w:rPr>
          <w:rFonts w:hint="eastAsia" w:ascii="宋体" w:hAnsi="宋体" w:cs="宋体"/>
          <w:szCs w:val="21"/>
        </w:rPr>
        <w:t>月</w:t>
      </w:r>
    </w:p>
    <w:p>
      <w:pPr>
        <w:pStyle w:val="47"/>
        <w:outlineLvl w:val="0"/>
        <w:rPr>
          <w:rFonts w:ascii="宋体" w:hAnsi="宋体" w:cs="宋体"/>
          <w:b w:val="0"/>
          <w:bCs/>
          <w:sz w:val="30"/>
          <w:szCs w:val="30"/>
          <w:lang w:val="zh-CN" w:eastAsia="zh-CN"/>
        </w:rPr>
      </w:pPr>
      <w:bookmarkStart w:id="9" w:name="_Toc28648"/>
      <w:bookmarkStart w:id="10" w:name="_Toc12735"/>
      <w:r>
        <w:rPr>
          <w:rFonts w:hint="eastAsia" w:ascii="宋体" w:hAnsi="宋体" w:cs="宋体"/>
          <w:sz w:val="30"/>
          <w:szCs w:val="30"/>
          <w:lang w:val="zh-CN" w:eastAsia="zh-CN"/>
        </w:rPr>
        <w:t>第二章  投标人须知</w:t>
      </w:r>
      <w:bookmarkEnd w:id="9"/>
      <w:bookmarkEnd w:id="10"/>
    </w:p>
    <w:p>
      <w:pPr>
        <w:pStyle w:val="4"/>
        <w:spacing w:before="0" w:after="0" w:line="360" w:lineRule="auto"/>
        <w:jc w:val="center"/>
        <w:rPr>
          <w:rFonts w:ascii="宋体" w:hAnsi="宋体" w:eastAsia="宋体" w:cs="宋体"/>
          <w:sz w:val="18"/>
          <w:szCs w:val="18"/>
        </w:rPr>
      </w:pPr>
      <w:bookmarkStart w:id="11" w:name="_Toc14533"/>
      <w:bookmarkStart w:id="12" w:name="_Toc23470"/>
      <w:r>
        <w:rPr>
          <w:rFonts w:hint="eastAsia" w:ascii="宋体" w:hAnsi="宋体" w:eastAsia="宋体" w:cs="宋体"/>
          <w:bCs w:val="0"/>
          <w:sz w:val="30"/>
          <w:szCs w:val="30"/>
          <w:lang w:val="zh-CN"/>
        </w:rPr>
        <w:t>投标人须知前附表</w:t>
      </w:r>
      <w:bookmarkEnd w:id="11"/>
      <w:bookmarkEnd w:id="12"/>
    </w:p>
    <w:tbl>
      <w:tblPr>
        <w:tblStyle w:val="50"/>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7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top w:val="double" w:color="auto" w:sz="4" w:space="0"/>
              <w:left w:val="doub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采购项目概况</w:t>
            </w:r>
          </w:p>
        </w:tc>
        <w:tc>
          <w:tcPr>
            <w:tcW w:w="7187" w:type="dxa"/>
            <w:tcBorders>
              <w:top w:val="double" w:color="auto" w:sz="4" w:space="0"/>
              <w:right w:val="double" w:color="auto" w:sz="4" w:space="0"/>
            </w:tcBorders>
            <w:vAlign w:val="center"/>
          </w:tcPr>
          <w:p>
            <w:pPr>
              <w:wordWrap w:val="0"/>
              <w:spacing w:line="300" w:lineRule="auto"/>
              <w:rPr>
                <w:rFonts w:ascii="宋体" w:hAnsi="宋体" w:cs="宋体"/>
                <w:bCs/>
                <w:szCs w:val="21"/>
              </w:rPr>
            </w:pPr>
            <w:r>
              <w:rPr>
                <w:rFonts w:hint="eastAsia" w:ascii="宋体" w:hAnsi="宋体" w:cs="宋体"/>
                <w:bCs/>
                <w:szCs w:val="21"/>
              </w:rPr>
              <w:t>项目名称：常山（三）水文站现代化改造提升工程—设备采购服务项目</w:t>
            </w:r>
          </w:p>
          <w:p>
            <w:pPr>
              <w:wordWrap w:val="0"/>
              <w:spacing w:line="300" w:lineRule="auto"/>
              <w:rPr>
                <w:rFonts w:ascii="宋体" w:hAnsi="宋体" w:cs="宋体"/>
                <w:b/>
                <w:bCs/>
                <w:szCs w:val="21"/>
              </w:rPr>
            </w:pPr>
            <w:r>
              <w:rPr>
                <w:rFonts w:hint="eastAsia" w:ascii="宋体" w:hAnsi="宋体" w:cs="宋体"/>
                <w:bCs/>
                <w:szCs w:val="21"/>
              </w:rPr>
              <w:t>项目编号：ZSCG202306-GK02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75" w:type="dxa"/>
            <w:tcBorders>
              <w:left w:val="doub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采购内容</w:t>
            </w:r>
          </w:p>
        </w:tc>
        <w:tc>
          <w:tcPr>
            <w:tcW w:w="7187" w:type="dxa"/>
            <w:tcBorders>
              <w:right w:val="double" w:color="auto" w:sz="4" w:space="0"/>
            </w:tcBorders>
            <w:vAlign w:val="center"/>
          </w:tcPr>
          <w:p>
            <w:pPr>
              <w:wordWrap w:val="0"/>
              <w:spacing w:line="300" w:lineRule="auto"/>
              <w:rPr>
                <w:rFonts w:ascii="宋体" w:hAnsi="宋体" w:cs="宋体"/>
                <w:b/>
                <w:bCs/>
                <w:szCs w:val="21"/>
              </w:rPr>
            </w:pPr>
            <w:r>
              <w:rPr>
                <w:rFonts w:hint="eastAsia" w:ascii="宋体" w:hAnsi="宋体" w:cs="宋体"/>
                <w:bCs/>
                <w:szCs w:val="21"/>
              </w:rPr>
              <w:t>具体内容及技术要求详见采购文件第三章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75" w:type="dxa"/>
            <w:tcBorders>
              <w:left w:val="doub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最高限价</w:t>
            </w:r>
          </w:p>
        </w:tc>
        <w:tc>
          <w:tcPr>
            <w:tcW w:w="7187" w:type="dxa"/>
            <w:tcBorders>
              <w:right w:val="double" w:color="auto" w:sz="4" w:space="0"/>
            </w:tcBorders>
            <w:vAlign w:val="center"/>
          </w:tcPr>
          <w:p>
            <w:pPr>
              <w:wordWrap w:val="0"/>
              <w:spacing w:line="300" w:lineRule="auto"/>
              <w:rPr>
                <w:rFonts w:ascii="宋体" w:hAnsi="宋体" w:cs="宋体"/>
                <w:bCs/>
                <w:szCs w:val="21"/>
              </w:rPr>
            </w:pPr>
            <w:r>
              <w:rPr>
                <w:rFonts w:hint="eastAsia" w:ascii="宋体" w:hAnsi="宋体" w:cs="宋体"/>
                <w:bCs/>
                <w:szCs w:val="21"/>
              </w:rPr>
              <w:t>最高限价：6998600元，投标报价高于最高限价的，按无效投标处理。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完成期限</w:t>
            </w:r>
          </w:p>
        </w:tc>
        <w:tc>
          <w:tcPr>
            <w:tcW w:w="7187" w:type="dxa"/>
            <w:tcBorders>
              <w:right w:val="double" w:color="auto" w:sz="4" w:space="0"/>
            </w:tcBorders>
            <w:vAlign w:val="center"/>
          </w:tcPr>
          <w:p>
            <w:pPr>
              <w:wordWrap w:val="0"/>
              <w:spacing w:line="300" w:lineRule="auto"/>
              <w:rPr>
                <w:rFonts w:ascii="宋体" w:hAnsi="宋体" w:cs="宋体"/>
              </w:rPr>
            </w:pPr>
            <w:r>
              <w:rPr>
                <w:rFonts w:hint="eastAsia" w:ascii="宋体" w:hAnsi="宋体" w:cs="宋体"/>
              </w:rPr>
              <w:t>详见第三章采购内容及要求。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采购方式</w:t>
            </w:r>
          </w:p>
        </w:tc>
        <w:tc>
          <w:tcPr>
            <w:tcW w:w="7187" w:type="dxa"/>
            <w:tcBorders>
              <w:right w:val="double" w:color="auto" w:sz="4" w:space="0"/>
            </w:tcBorders>
            <w:vAlign w:val="center"/>
          </w:tcPr>
          <w:p>
            <w:pPr>
              <w:wordWrap w:val="0"/>
              <w:spacing w:line="300" w:lineRule="auto"/>
              <w:rPr>
                <w:rFonts w:ascii="宋体" w:hAnsi="宋体" w:cs="宋体"/>
              </w:rPr>
            </w:pPr>
            <w:r>
              <w:rPr>
                <w:rFonts w:hint="eastAsia" w:ascii="宋体" w:hAnsi="宋体" w:cs="宋体"/>
              </w:rPr>
              <w:t>公开</w:t>
            </w:r>
            <w:r>
              <w:rPr>
                <w:rFonts w:hint="eastAsia" w:ascii="宋体" w:hAnsi="宋体" w:cs="宋体"/>
                <w:bCs/>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评标办法</w:t>
            </w:r>
          </w:p>
        </w:tc>
        <w:tc>
          <w:tcPr>
            <w:tcW w:w="7187" w:type="dxa"/>
            <w:tcBorders>
              <w:right w:val="double" w:color="auto" w:sz="4" w:space="0"/>
            </w:tcBorders>
            <w:vAlign w:val="center"/>
          </w:tcPr>
          <w:p>
            <w:pPr>
              <w:wordWrap w:val="0"/>
              <w:spacing w:line="300" w:lineRule="auto"/>
              <w:rPr>
                <w:rFonts w:ascii="宋体" w:hAnsi="宋体" w:cs="宋体"/>
              </w:rPr>
            </w:pPr>
            <w:r>
              <w:rPr>
                <w:rFonts w:hint="eastAsia" w:ascii="宋体" w:hAnsi="宋体" w:cs="宋体"/>
              </w:rPr>
              <w:t>综合</w:t>
            </w:r>
            <w:r>
              <w:rPr>
                <w:rFonts w:hint="eastAsia" w:ascii="宋体" w:hAnsi="宋体" w:cs="宋体"/>
                <w:bCs/>
                <w:szCs w:val="21"/>
              </w:rPr>
              <w:t>评分</w:t>
            </w:r>
            <w:r>
              <w:rPr>
                <w:rFonts w:hint="eastAsia" w:ascii="宋体" w:hAnsi="宋体" w:cs="宋体"/>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投标供应商资格要求</w:t>
            </w:r>
          </w:p>
        </w:tc>
        <w:tc>
          <w:tcPr>
            <w:tcW w:w="7187" w:type="dxa"/>
            <w:tcBorders>
              <w:right w:val="double" w:color="auto" w:sz="4" w:space="0"/>
            </w:tcBorders>
            <w:vAlign w:val="center"/>
          </w:tcPr>
          <w:p>
            <w:pPr>
              <w:wordWrap w:val="0"/>
              <w:spacing w:line="300" w:lineRule="auto"/>
              <w:rPr>
                <w:rFonts w:ascii="宋体" w:hAnsi="宋体" w:cs="宋体"/>
              </w:rPr>
            </w:pPr>
            <w:r>
              <w:rPr>
                <w:rFonts w:hint="eastAsia" w:ascii="宋体" w:hAnsi="宋体" w:cs="宋体"/>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jc w:val="center"/>
              <w:rPr>
                <w:rFonts w:ascii="宋体" w:hAnsi="宋体" w:cs="宋体"/>
              </w:rPr>
            </w:pPr>
            <w:r>
              <w:rPr>
                <w:rFonts w:hint="eastAsia" w:ascii="宋体" w:hAnsi="宋体" w:cs="宋体"/>
              </w:rPr>
              <w:t>现场踏勘</w:t>
            </w:r>
          </w:p>
        </w:tc>
        <w:tc>
          <w:tcPr>
            <w:tcW w:w="7187" w:type="dxa"/>
            <w:tcBorders>
              <w:right w:val="double" w:color="auto" w:sz="4" w:space="0"/>
            </w:tcBorders>
            <w:vAlign w:val="center"/>
          </w:tcPr>
          <w:p>
            <w:pPr>
              <w:wordWrap w:val="0"/>
              <w:spacing w:line="300" w:lineRule="auto"/>
              <w:rPr>
                <w:rFonts w:ascii="宋体" w:hAnsi="宋体" w:cs="宋体"/>
              </w:rPr>
            </w:pPr>
            <w:r>
              <w:rPr>
                <w:rFonts w:hint="eastAsia" w:ascii="宋体" w:hAnsi="宋体" w:cs="宋体"/>
              </w:rPr>
              <w:t>本项目不</w:t>
            </w:r>
            <w:r>
              <w:rPr>
                <w:rFonts w:hint="eastAsia" w:ascii="宋体" w:hAnsi="宋体" w:cs="宋体"/>
                <w:bCs/>
                <w:szCs w:val="21"/>
              </w:rPr>
              <w:t>组织潜在</w:t>
            </w:r>
            <w:r>
              <w:rPr>
                <w:rFonts w:hint="eastAsia" w:ascii="宋体" w:hAnsi="宋体" w:cs="宋体"/>
              </w:rPr>
              <w:t>投标人踏勘现场。需了解现场情况的潜在投标人可自行前往踏勘。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adjustRightInd w:val="0"/>
              <w:snapToGrid w:val="0"/>
              <w:jc w:val="center"/>
              <w:rPr>
                <w:rStyle w:val="149"/>
                <w:rFonts w:ascii="宋体" w:hAnsi="宋体" w:cs="宋体"/>
                <w:szCs w:val="21"/>
              </w:rPr>
            </w:pPr>
            <w:r>
              <w:rPr>
                <w:rStyle w:val="149"/>
                <w:rFonts w:hint="eastAsia" w:ascii="宋体" w:hAnsi="宋体" w:cs="宋体"/>
                <w:szCs w:val="21"/>
              </w:rPr>
              <w:t>是否允许递交备选投标</w:t>
            </w:r>
          </w:p>
          <w:p>
            <w:pPr>
              <w:snapToGrid w:val="0"/>
              <w:jc w:val="center"/>
              <w:textAlignment w:val="baseline"/>
              <w:rPr>
                <w:rStyle w:val="149"/>
                <w:rFonts w:ascii="宋体" w:hAnsi="宋体" w:cs="宋体"/>
                <w:szCs w:val="21"/>
              </w:rPr>
            </w:pPr>
            <w:r>
              <w:rPr>
                <w:rStyle w:val="149"/>
                <w:rFonts w:hint="eastAsia" w:ascii="宋体" w:hAnsi="宋体" w:cs="宋体"/>
                <w:szCs w:val="21"/>
              </w:rPr>
              <w:t>方案</w:t>
            </w:r>
          </w:p>
        </w:tc>
        <w:tc>
          <w:tcPr>
            <w:tcW w:w="7187" w:type="dxa"/>
            <w:tcBorders>
              <w:right w:val="double" w:color="auto" w:sz="4" w:space="0"/>
            </w:tcBorders>
            <w:vAlign w:val="center"/>
          </w:tcPr>
          <w:p>
            <w:pPr>
              <w:wordWrap w:val="0"/>
              <w:spacing w:line="300" w:lineRule="auto"/>
              <w:rPr>
                <w:rStyle w:val="149"/>
                <w:rFonts w:ascii="宋体" w:hAnsi="宋体" w:cs="宋体"/>
              </w:rPr>
            </w:pPr>
            <w:r>
              <w:rPr>
                <w:rStyle w:val="149"/>
                <w:rFonts w:hint="eastAsia" w:ascii="宋体" w:hAnsi="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widowControl/>
              <w:jc w:val="center"/>
              <w:textAlignment w:val="baseline"/>
              <w:rPr>
                <w:rStyle w:val="149"/>
                <w:rFonts w:ascii="宋体" w:hAnsi="宋体" w:cs="宋体"/>
                <w:szCs w:val="21"/>
              </w:rPr>
            </w:pPr>
            <w:r>
              <w:rPr>
                <w:rStyle w:val="149"/>
                <w:rFonts w:hint="eastAsia" w:ascii="宋体" w:hAnsi="宋体" w:cs="宋体"/>
                <w:szCs w:val="21"/>
              </w:rPr>
              <w:t>获取采购文件</w:t>
            </w:r>
          </w:p>
        </w:tc>
        <w:tc>
          <w:tcPr>
            <w:tcW w:w="7187" w:type="dxa"/>
            <w:tcBorders>
              <w:right w:val="double" w:color="auto" w:sz="4" w:space="0"/>
            </w:tcBorders>
            <w:vAlign w:val="center"/>
          </w:tcPr>
          <w:p>
            <w:pPr>
              <w:wordWrap w:val="0"/>
              <w:spacing w:line="300" w:lineRule="auto"/>
              <w:rPr>
                <w:rFonts w:ascii="宋体" w:hAnsi="宋体" w:cs="宋体"/>
                <w:szCs w:val="21"/>
              </w:rPr>
            </w:pPr>
            <w:r>
              <w:rPr>
                <w:rFonts w:hint="eastAsia" w:ascii="宋体" w:hAnsi="宋体" w:cs="宋体"/>
                <w:szCs w:val="21"/>
              </w:rPr>
              <w:t>1.时间：</w:t>
            </w:r>
            <w:r>
              <w:rPr>
                <w:rFonts w:hint="eastAsia" w:ascii="宋体" w:hAnsi="宋体" w:cs="宋体"/>
                <w:szCs w:val="21"/>
                <w:u w:val="single"/>
              </w:rPr>
              <w:t>/</w:t>
            </w:r>
            <w:r>
              <w:rPr>
                <w:rFonts w:hint="eastAsia" w:ascii="宋体" w:hAnsi="宋体" w:cs="宋体"/>
                <w:szCs w:val="21"/>
              </w:rPr>
              <w:t>至</w:t>
            </w:r>
            <w:r>
              <w:rPr>
                <w:rFonts w:hint="eastAsia" w:ascii="宋体" w:hAnsi="宋体" w:cs="宋体"/>
                <w:b/>
                <w:szCs w:val="21"/>
              </w:rPr>
              <w:t>2023年</w:t>
            </w:r>
            <w:r>
              <w:rPr>
                <w:rFonts w:hint="eastAsia" w:ascii="宋体" w:hAnsi="宋体" w:cs="宋体"/>
                <w:b/>
                <w:szCs w:val="21"/>
                <w:lang w:eastAsia="zh-CN"/>
              </w:rPr>
              <w:t>03月21日</w:t>
            </w:r>
            <w:r>
              <w:rPr>
                <w:rFonts w:hint="eastAsia" w:ascii="宋体" w:hAnsi="宋体" w:cs="宋体"/>
                <w:b/>
                <w:szCs w:val="21"/>
              </w:rPr>
              <w:t xml:space="preserve">09:30 </w:t>
            </w:r>
            <w:r>
              <w:rPr>
                <w:rFonts w:hint="eastAsia" w:ascii="宋体" w:hAnsi="宋体" w:cs="宋体"/>
                <w:szCs w:val="21"/>
              </w:rPr>
              <w:t>，每天</w:t>
            </w:r>
            <w:r>
              <w:rPr>
                <w:rFonts w:hint="eastAsia" w:ascii="宋体" w:hAnsi="宋体" w:cs="宋体"/>
                <w:color w:val="000000"/>
                <w:szCs w:val="21"/>
              </w:rPr>
              <w:t>上午</w:t>
            </w:r>
            <w:r>
              <w:rPr>
                <w:rFonts w:hint="eastAsia" w:ascii="宋体" w:hAnsi="宋体" w:cs="宋体"/>
                <w:szCs w:val="21"/>
              </w:rPr>
              <w:t>00:00至12:00，下午12:00至23:59（北京时间），法定节假日均可（投标文件提交截止时间后除外）</w:t>
            </w:r>
          </w:p>
          <w:p>
            <w:pPr>
              <w:pStyle w:val="46"/>
              <w:tabs>
                <w:tab w:val="left" w:pos="6930"/>
              </w:tabs>
              <w:spacing w:beforeAutospacing="0" w:afterAutospacing="0" w:line="360" w:lineRule="auto"/>
              <w:rPr>
                <w:rFonts w:cs="宋体"/>
                <w:sz w:val="21"/>
                <w:szCs w:val="21"/>
                <w:u w:val="single"/>
              </w:rPr>
            </w:pPr>
            <w:r>
              <w:rPr>
                <w:rFonts w:hint="eastAsia" w:cs="宋体"/>
                <w:sz w:val="21"/>
                <w:szCs w:val="21"/>
              </w:rPr>
              <w:t>2.地点：政府采购云平台（www.zcygov.cn）</w:t>
            </w:r>
          </w:p>
          <w:p>
            <w:pPr>
              <w:wordWrap w:val="0"/>
              <w:spacing w:line="300" w:lineRule="auto"/>
              <w:rPr>
                <w:rFonts w:ascii="宋体" w:hAnsi="宋体" w:cs="宋体"/>
                <w:szCs w:val="21"/>
              </w:rPr>
            </w:pPr>
            <w:r>
              <w:rPr>
                <w:rFonts w:hint="eastAsia" w:ascii="宋体" w:hAnsi="宋体" w:cs="宋体"/>
                <w:szCs w:val="21"/>
              </w:rPr>
              <w:t>3.方式：拟参加本项目采购活动的潜在</w:t>
            </w:r>
            <w:r>
              <w:rPr>
                <w:rFonts w:hint="eastAsia" w:ascii="宋体" w:hAnsi="宋体" w:cs="宋体"/>
                <w:color w:val="000000"/>
                <w:szCs w:val="21"/>
              </w:rPr>
              <w:t>供应商</w:t>
            </w:r>
            <w:r>
              <w:rPr>
                <w:rFonts w:hint="eastAsia" w:ascii="宋体" w:hAnsi="宋体" w:cs="宋体"/>
                <w:szCs w:val="21"/>
              </w:rPr>
              <w:t>直接</w:t>
            </w:r>
            <w:r>
              <w:rPr>
                <w:rFonts w:hint="eastAsia" w:ascii="宋体" w:hAnsi="宋体" w:cs="宋体"/>
                <w:bCs/>
                <w:szCs w:val="21"/>
              </w:rPr>
              <w:t>登录</w:t>
            </w:r>
            <w:r>
              <w:rPr>
                <w:rFonts w:hint="eastAsia" w:ascii="宋体" w:hAnsi="宋体" w:cs="宋体"/>
                <w:szCs w:val="21"/>
              </w:rPr>
              <w:t>“政采云”平台（www.zcygov.cn）或点击浙江政府采购网本项目公告附件“潜在供应商--获取采购文件”链接跳转登录后，在线申请获取采购文件（进入“项目采购”应用，在“获取采购文件”菜单中选择本项目。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采购文件答疑</w:t>
            </w:r>
          </w:p>
        </w:tc>
        <w:tc>
          <w:tcPr>
            <w:tcW w:w="7187" w:type="dxa"/>
            <w:tcBorders>
              <w:right w:val="double" w:color="auto" w:sz="4" w:space="0"/>
            </w:tcBorders>
            <w:vAlign w:val="center"/>
          </w:tcPr>
          <w:p>
            <w:pPr>
              <w:wordWrap w:val="0"/>
              <w:spacing w:line="300" w:lineRule="auto"/>
              <w:rPr>
                <w:rFonts w:ascii="宋体" w:hAnsi="宋体" w:cs="宋体"/>
                <w:color w:val="000000"/>
                <w:szCs w:val="21"/>
              </w:rPr>
            </w:pPr>
            <w:r>
              <w:rPr>
                <w:rFonts w:hint="eastAsia" w:ascii="宋体" w:hAnsi="宋体" w:cs="宋体"/>
                <w:color w:val="000000"/>
                <w:szCs w:val="21"/>
              </w:rPr>
              <w:t>潜在供应商认为采购文件存在含糊不清、</w:t>
            </w:r>
            <w:r>
              <w:rPr>
                <w:rFonts w:hint="eastAsia" w:ascii="宋体" w:hAnsi="宋体" w:cs="宋体"/>
                <w:bCs/>
                <w:szCs w:val="21"/>
              </w:rPr>
              <w:t>相互</w:t>
            </w:r>
            <w:r>
              <w:rPr>
                <w:rFonts w:hint="eastAsia" w:ascii="宋体" w:hAnsi="宋体" w:cs="宋体"/>
                <w:color w:val="000000"/>
                <w:szCs w:val="21"/>
              </w:rPr>
              <w:t>矛盾、多种含义以及歧视性不公正条款或违法违规等内容时，请在获取采购文件之日起或采购公告期限届满之日起7个工作日内通过线下</w:t>
            </w:r>
            <w:r>
              <w:rPr>
                <w:rFonts w:hint="eastAsia" w:ascii="宋体" w:hAnsi="宋体" w:cs="宋体"/>
                <w:bCs/>
                <w:szCs w:val="21"/>
              </w:rPr>
              <w:t>邮寄质疑函的方式提出质疑，线下提出质疑的，邮寄信息如下：</w:t>
            </w:r>
            <w:r>
              <w:rPr>
                <w:rFonts w:hint="eastAsia" w:ascii="宋体" w:hAnsi="宋体" w:cs="宋体"/>
                <w:bCs/>
                <w:szCs w:val="21"/>
                <w:u w:val="single"/>
              </w:rPr>
              <w:t>浙江省衢州市常山县天马街道定阳南路859幢428-435室，姚剑，13857020755</w:t>
            </w:r>
            <w:r>
              <w:rPr>
                <w:rFonts w:hint="eastAsia" w:ascii="宋体" w:hAnsi="宋体" w:cs="宋体"/>
                <w:bCs/>
                <w:szCs w:val="21"/>
              </w:rPr>
              <w:t>。</w:t>
            </w:r>
          </w:p>
          <w:p>
            <w:pPr>
              <w:wordWrap w:val="0"/>
              <w:spacing w:line="300" w:lineRule="auto"/>
              <w:rPr>
                <w:rFonts w:ascii="宋体" w:hAnsi="宋体" w:cs="宋体"/>
                <w:color w:val="000000"/>
                <w:szCs w:val="21"/>
              </w:rPr>
            </w:pPr>
            <w:r>
              <w:rPr>
                <w:rFonts w:hint="eastAsia" w:ascii="宋体" w:hAnsi="宋体" w:cs="宋体"/>
                <w:color w:val="000000"/>
                <w:szCs w:val="21"/>
              </w:rPr>
              <w:t>除以上述方式提出质疑外，供应商也可以在线提起相关询问或质疑：</w:t>
            </w:r>
          </w:p>
          <w:p>
            <w:pPr>
              <w:wordWrap w:val="0"/>
              <w:spacing w:line="300" w:lineRule="auto"/>
              <w:rPr>
                <w:rFonts w:ascii="宋体" w:hAnsi="宋体" w:cs="宋体"/>
                <w:color w:val="000000"/>
                <w:szCs w:val="21"/>
              </w:rPr>
            </w:pPr>
            <w:r>
              <w:rPr>
                <w:rFonts w:hint="eastAsia" w:ascii="宋体" w:hAnsi="宋体" w:cs="宋体"/>
                <w:color w:val="000000"/>
                <w:szCs w:val="21"/>
              </w:rPr>
              <w:t>在线提起询问路径为：政采云-项目采购-询问质疑投诉-询问列表；</w:t>
            </w:r>
          </w:p>
          <w:p>
            <w:pPr>
              <w:wordWrap w:val="0"/>
              <w:spacing w:line="300" w:lineRule="auto"/>
              <w:rPr>
                <w:rFonts w:ascii="宋体" w:hAnsi="宋体" w:cs="宋体"/>
                <w:color w:val="000000"/>
                <w:szCs w:val="21"/>
              </w:rPr>
            </w:pPr>
            <w:r>
              <w:rPr>
                <w:rFonts w:hint="eastAsia" w:ascii="宋体" w:hAnsi="宋体" w:cs="宋体"/>
                <w:color w:val="000000"/>
                <w:szCs w:val="21"/>
              </w:rPr>
              <w:t>在线提起质疑路径为：政采云-项目采购-询问质疑投诉-质疑列表。</w:t>
            </w:r>
          </w:p>
          <w:p>
            <w:pPr>
              <w:wordWrap w:val="0"/>
              <w:spacing w:line="300" w:lineRule="auto"/>
              <w:rPr>
                <w:rFonts w:ascii="宋体" w:hAnsi="宋体" w:cs="宋体"/>
                <w:color w:val="000000"/>
                <w:szCs w:val="21"/>
              </w:rPr>
            </w:pPr>
            <w:r>
              <w:rPr>
                <w:rFonts w:hint="eastAsia" w:ascii="宋体" w:hAnsi="宋体" w:cs="宋体"/>
                <w:color w:val="000000"/>
                <w:szCs w:val="21"/>
              </w:rPr>
              <w:t>质疑供应商对在线质疑答复不满意的，可在线提起投诉，路径为：浙江政务服务网-政府采购投诉处理-在线办理。</w:t>
            </w:r>
          </w:p>
          <w:p>
            <w:pPr>
              <w:wordWrap w:val="0"/>
              <w:spacing w:line="300" w:lineRule="auto"/>
              <w:rPr>
                <w:rFonts w:ascii="宋体" w:hAnsi="宋体" w:cs="宋体"/>
                <w:szCs w:val="21"/>
              </w:rPr>
            </w:pPr>
            <w:r>
              <w:rPr>
                <w:rFonts w:hint="eastAsia" w:ascii="宋体" w:hAnsi="宋体" w:cs="宋体"/>
                <w:color w:val="000000"/>
                <w:szCs w:val="21"/>
              </w:rPr>
              <w:t>质疑的提出与答复均按《政府采购质疑和投诉办法》（财政部令第 94 号）规定执行。针对同一采购程序环节的质疑，供应商应在法定期限内一次性提出（即针对同一采购程序环节的质疑采购人或采购代理机构仅受理一次），逾期提出或针对同一采购程序环节多次提出的质疑将不予受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采购文件的澄清与修改</w:t>
            </w:r>
          </w:p>
        </w:tc>
        <w:tc>
          <w:tcPr>
            <w:tcW w:w="7187" w:type="dxa"/>
            <w:tcBorders>
              <w:right w:val="double" w:color="auto" w:sz="4" w:space="0"/>
            </w:tcBorders>
            <w:vAlign w:val="center"/>
          </w:tcPr>
          <w:p>
            <w:pPr>
              <w:wordWrap w:val="0"/>
              <w:spacing w:line="300" w:lineRule="auto"/>
              <w:rPr>
                <w:rFonts w:ascii="宋体" w:hAnsi="宋体" w:cs="宋体"/>
                <w:szCs w:val="21"/>
              </w:rPr>
            </w:pPr>
            <w:r>
              <w:rPr>
                <w:rFonts w:hint="eastAsia" w:ascii="宋体" w:hAnsi="宋体" w:cs="宋体"/>
                <w:szCs w:val="21"/>
              </w:rPr>
              <w:t>采购单位或者采购代理机构可以对已发出的采购文件进行必要的澄清或者修改。澄清或者修改的内容在原公告发布媒体上以补充（更正）公告形式通知所有获取采购文件的潜在投标人。澄清或者修改的内容作为采购文件的补充和组成部分，对所有投标人均有约束力。澄清或者修改的内容可能影响投标文件编制且发出时间距投标截止时间不足 15 日的，将顺延投标截止时间。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投标保证金</w:t>
            </w:r>
          </w:p>
        </w:tc>
        <w:tc>
          <w:tcPr>
            <w:tcW w:w="7187" w:type="dxa"/>
            <w:tcBorders>
              <w:right w:val="double" w:color="auto" w:sz="4" w:space="0"/>
            </w:tcBorders>
            <w:vAlign w:val="center"/>
          </w:tcPr>
          <w:p>
            <w:pPr>
              <w:wordWrap w:val="0"/>
              <w:spacing w:line="300" w:lineRule="auto"/>
              <w:rPr>
                <w:rFonts w:ascii="宋体" w:hAnsi="宋体" w:cs="宋体"/>
                <w:szCs w:val="21"/>
              </w:rPr>
            </w:pPr>
            <w:r>
              <w:rPr>
                <w:rFonts w:hint="eastAsia" w:ascii="宋体" w:hAnsi="宋体" w:cs="宋体"/>
                <w:szCs w:val="21"/>
              </w:rPr>
              <w:t>1.根据《浙江省财政厅关于明确政府采购保证金管理工作的通知》（浙财采监〔2019〕5号）规定，本项目无需缴纳投标保证金。</w:t>
            </w:r>
          </w:p>
          <w:p>
            <w:pPr>
              <w:wordWrap w:val="0"/>
              <w:spacing w:line="300" w:lineRule="auto"/>
              <w:rPr>
                <w:rFonts w:ascii="宋体" w:hAnsi="宋体" w:cs="宋体"/>
                <w:b/>
                <w:szCs w:val="21"/>
              </w:rPr>
            </w:pPr>
            <w:r>
              <w:rPr>
                <w:rFonts w:hint="eastAsia" w:ascii="宋体" w:hAnsi="宋体" w:cs="宋体"/>
                <w:szCs w:val="21"/>
              </w:rPr>
              <w:t>2.投标人在投标有效期内</w:t>
            </w:r>
            <w:r>
              <w:rPr>
                <w:rFonts w:hint="eastAsia" w:ascii="宋体" w:hAnsi="宋体" w:cs="宋体"/>
                <w:bCs/>
                <w:szCs w:val="21"/>
              </w:rPr>
              <w:t>撤回</w:t>
            </w:r>
            <w:r>
              <w:rPr>
                <w:rFonts w:hint="eastAsia" w:ascii="宋体" w:hAnsi="宋体" w:cs="宋体"/>
                <w:szCs w:val="21"/>
              </w:rPr>
              <w:t>投标文件或者中标人在法定期限内无正当理由不与采购单位签订合同或无法按照投标文件承诺的条件与采购人签订合同的，应当按照本项目采购预算价2%的标准承担因此给采购单位造成的损失的赔偿责任及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475" w:type="dxa"/>
            <w:tcBorders>
              <w:left w:val="doub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投标有效期</w:t>
            </w:r>
          </w:p>
        </w:tc>
        <w:tc>
          <w:tcPr>
            <w:tcW w:w="7187" w:type="dxa"/>
            <w:tcBorders>
              <w:right w:val="double" w:color="auto" w:sz="4" w:space="0"/>
            </w:tcBorders>
            <w:vAlign w:val="center"/>
          </w:tcPr>
          <w:p>
            <w:pPr>
              <w:wordWrap w:val="0"/>
              <w:spacing w:line="300" w:lineRule="auto"/>
              <w:rPr>
                <w:rFonts w:ascii="宋体" w:hAnsi="宋体" w:cs="宋体"/>
                <w:szCs w:val="21"/>
              </w:rPr>
            </w:pPr>
            <w:r>
              <w:rPr>
                <w:rFonts w:hint="eastAsia" w:ascii="宋体" w:hAnsi="宋体" w:cs="宋体"/>
                <w:szCs w:val="21"/>
              </w:rPr>
              <w:t>投标截止日起 90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pStyle w:val="46"/>
              <w:tabs>
                <w:tab w:val="left" w:pos="6930"/>
              </w:tabs>
              <w:spacing w:beforeAutospacing="0" w:afterAutospacing="0"/>
              <w:jc w:val="center"/>
              <w:rPr>
                <w:rFonts w:cs="宋体"/>
                <w:sz w:val="21"/>
                <w:szCs w:val="21"/>
              </w:rPr>
            </w:pPr>
            <w:r>
              <w:rPr>
                <w:rFonts w:hint="eastAsia" w:cs="宋体"/>
                <w:sz w:val="21"/>
                <w:szCs w:val="21"/>
              </w:rPr>
              <w:t>投标文件形式、组成</w:t>
            </w:r>
          </w:p>
          <w:p>
            <w:pPr>
              <w:pStyle w:val="46"/>
              <w:tabs>
                <w:tab w:val="left" w:pos="6930"/>
              </w:tabs>
              <w:spacing w:beforeAutospacing="0" w:afterAutospacing="0"/>
              <w:jc w:val="center"/>
              <w:rPr>
                <w:rFonts w:cs="宋体"/>
                <w:sz w:val="21"/>
                <w:szCs w:val="21"/>
              </w:rPr>
            </w:pPr>
            <w:r>
              <w:rPr>
                <w:rFonts w:hint="eastAsia" w:cs="宋体"/>
                <w:sz w:val="21"/>
                <w:szCs w:val="21"/>
              </w:rPr>
              <w:t>及制作</w:t>
            </w:r>
          </w:p>
        </w:tc>
        <w:tc>
          <w:tcPr>
            <w:tcW w:w="7187" w:type="dxa"/>
            <w:tcBorders>
              <w:right w:val="double" w:color="auto" w:sz="4" w:space="0"/>
            </w:tcBorders>
            <w:vAlign w:val="center"/>
          </w:tcPr>
          <w:p>
            <w:pPr>
              <w:wordWrap w:val="0"/>
              <w:spacing w:line="300" w:lineRule="auto"/>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投标文件的形式：电子投标文件（包括“电子加密投标文件”和“备份投标文件”，在投标文件编制完成后同时生成）；</w:t>
            </w:r>
          </w:p>
          <w:p>
            <w:pPr>
              <w:wordWrap w:val="0"/>
              <w:spacing w:line="300" w:lineRule="auto"/>
              <w:rPr>
                <w:rFonts w:ascii="宋体" w:hAnsi="宋体" w:cs="宋体"/>
                <w:szCs w:val="21"/>
                <w:lang w:val="zh-CN"/>
              </w:rPr>
            </w:pPr>
            <w:r>
              <w:rPr>
                <w:rFonts w:hint="eastAsia" w:ascii="宋体" w:hAnsi="宋体" w:cs="宋体"/>
                <w:szCs w:val="21"/>
                <w:lang w:val="zh-CN"/>
              </w:rPr>
              <w:t>（1）“电子加密投标文件”是指通过“政采云电子交易客户端”完成投标文件编制后生成并加密的数据电文形式的投标文件。</w:t>
            </w:r>
          </w:p>
          <w:p>
            <w:pPr>
              <w:wordWrap w:val="0"/>
              <w:spacing w:line="300" w:lineRule="auto"/>
              <w:rPr>
                <w:rFonts w:ascii="宋体" w:hAnsi="宋体" w:cs="宋体"/>
                <w:szCs w:val="21"/>
                <w:lang w:val="zh-CN"/>
              </w:rPr>
            </w:pPr>
            <w:r>
              <w:rPr>
                <w:rFonts w:hint="eastAsia" w:ascii="宋体" w:hAnsi="宋体" w:cs="宋体"/>
                <w:szCs w:val="21"/>
                <w:lang w:val="zh-CN"/>
              </w:rPr>
              <w:t>（2）“备份</w:t>
            </w:r>
            <w:r>
              <w:rPr>
                <w:rFonts w:hint="eastAsia" w:ascii="宋体" w:hAnsi="宋体" w:cs="宋体"/>
                <w:bCs/>
                <w:szCs w:val="21"/>
                <w:lang w:val="zh-CN"/>
              </w:rPr>
              <w:t>投标</w:t>
            </w:r>
            <w:r>
              <w:rPr>
                <w:rFonts w:hint="eastAsia" w:ascii="宋体" w:hAnsi="宋体" w:cs="宋体"/>
                <w:szCs w:val="21"/>
                <w:lang w:val="zh-CN"/>
              </w:rPr>
              <w:t>文件”是指与“电子加密投标文件”同时生成的数据电文形式的电子文件（备份标书），其他方式编制的备份投标文件视为无效备份投标文件。</w:t>
            </w:r>
          </w:p>
          <w:p>
            <w:pPr>
              <w:wordWrap w:val="0"/>
              <w:spacing w:line="300" w:lineRule="auto"/>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备份投标文件递交非强制性要求。</w:t>
            </w:r>
          </w:p>
          <w:p>
            <w:pPr>
              <w:wordWrap w:val="0"/>
              <w:spacing w:line="300" w:lineRule="auto"/>
              <w:rPr>
                <w:rFonts w:ascii="宋体" w:hAnsi="宋体" w:cs="宋体"/>
                <w:szCs w:val="21"/>
              </w:rPr>
            </w:pPr>
            <w:r>
              <w:rPr>
                <w:rFonts w:hint="eastAsia" w:ascii="宋体" w:hAnsi="宋体" w:cs="宋体"/>
                <w:szCs w:val="21"/>
              </w:rPr>
              <w:t>3.投标</w:t>
            </w:r>
            <w:r>
              <w:rPr>
                <w:rFonts w:hint="eastAsia" w:ascii="宋体" w:hAnsi="宋体" w:cs="宋体"/>
                <w:bCs/>
                <w:szCs w:val="21"/>
              </w:rPr>
              <w:t>文件</w:t>
            </w:r>
            <w:r>
              <w:rPr>
                <w:rFonts w:hint="eastAsia" w:ascii="宋体" w:hAnsi="宋体" w:cs="宋体"/>
                <w:szCs w:val="21"/>
              </w:rPr>
              <w:t>由资格文件、商务技术文件、报价文件组成；</w:t>
            </w:r>
          </w:p>
          <w:p>
            <w:pPr>
              <w:wordWrap w:val="0"/>
              <w:spacing w:line="300" w:lineRule="auto"/>
              <w:rPr>
                <w:rFonts w:ascii="宋体" w:hAnsi="宋体" w:cs="宋体"/>
                <w:szCs w:val="21"/>
              </w:rPr>
            </w:pPr>
            <w:r>
              <w:rPr>
                <w:rFonts w:hint="eastAsia" w:ascii="宋体" w:hAnsi="宋体" w:cs="宋体"/>
                <w:szCs w:val="21"/>
              </w:rPr>
              <w:t>4.电子</w:t>
            </w:r>
            <w:r>
              <w:rPr>
                <w:rFonts w:hint="eastAsia" w:ascii="宋体" w:hAnsi="宋体" w:cs="宋体"/>
                <w:bCs/>
                <w:szCs w:val="21"/>
              </w:rPr>
              <w:t>加密</w:t>
            </w:r>
            <w:r>
              <w:rPr>
                <w:rFonts w:hint="eastAsia" w:ascii="宋体" w:hAnsi="宋体" w:cs="宋体"/>
                <w:szCs w:val="21"/>
              </w:rPr>
              <w:t>投标文件制作：应按政采云平台供应商项目采购-电子招投标操作指南（网址：</w:t>
            </w:r>
            <w:r>
              <w:rPr>
                <w:rFonts w:hint="eastAsia"/>
              </w:rPr>
              <w:fldChar w:fldCharType="begin"/>
            </w:r>
            <w:r>
              <w:rPr>
                <w:rFonts w:hint="eastAsia" w:ascii="宋体" w:hAnsi="宋体" w:cs="宋体"/>
              </w:rPr>
              <w:instrText xml:space="preserve"> HYPERLINK "https://help.zcy.gov.cn/web/site_2/2018/12-28/2573.html）及本采购文件要求制作" </w:instrText>
            </w:r>
            <w:r>
              <w:rPr>
                <w:rFonts w:hint="eastAsia"/>
              </w:rPr>
              <w:fldChar w:fldCharType="separate"/>
            </w:r>
            <w:r>
              <w:rPr>
                <w:rStyle w:val="57"/>
                <w:rFonts w:hint="eastAsia" w:ascii="宋体" w:hAnsi="宋体" w:cs="宋体"/>
                <w:color w:val="auto"/>
                <w:szCs w:val="21"/>
                <w:u w:val="none"/>
              </w:rPr>
              <w:t>https://help.zcy.gov.cn/web/site_2/2018/12-28/2573.html）及本采购文件要求制作</w:t>
            </w:r>
            <w:r>
              <w:rPr>
                <w:rStyle w:val="57"/>
                <w:rFonts w:hint="eastAsia" w:ascii="宋体" w:hAnsi="宋体" w:cs="宋体"/>
                <w:color w:val="auto"/>
                <w:szCs w:val="21"/>
                <w:u w:val="none"/>
              </w:rPr>
              <w:fldChar w:fldCharType="end"/>
            </w:r>
            <w:r>
              <w:rPr>
                <w:rFonts w:hint="eastAsia" w:ascii="宋体" w:hAnsi="宋体" w:cs="宋体"/>
                <w:szCs w:val="21"/>
              </w:rPr>
              <w:t>、加密并递交。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snapToGrid w:val="0"/>
              <w:jc w:val="center"/>
              <w:rPr>
                <w:rFonts w:ascii="宋体" w:hAnsi="宋体" w:cs="宋体"/>
                <w:szCs w:val="21"/>
              </w:rPr>
            </w:pPr>
            <w:r>
              <w:rPr>
                <w:rFonts w:hint="eastAsia" w:ascii="宋体" w:hAnsi="宋体" w:cs="宋体"/>
                <w:szCs w:val="21"/>
              </w:rPr>
              <w:t>投标文件提交（上传）</w:t>
            </w:r>
          </w:p>
        </w:tc>
        <w:tc>
          <w:tcPr>
            <w:tcW w:w="7187" w:type="dxa"/>
            <w:tcBorders>
              <w:right w:val="double" w:color="auto" w:sz="4" w:space="0"/>
            </w:tcBorders>
            <w:vAlign w:val="center"/>
          </w:tcPr>
          <w:p>
            <w:pPr>
              <w:wordWrap w:val="0"/>
              <w:spacing w:line="300" w:lineRule="auto"/>
              <w:rPr>
                <w:rFonts w:ascii="宋体" w:hAnsi="宋体" w:cs="宋体"/>
                <w:szCs w:val="21"/>
              </w:rPr>
            </w:pPr>
            <w:r>
              <w:rPr>
                <w:rFonts w:hint="eastAsia" w:ascii="宋体" w:hAnsi="宋体" w:cs="宋体"/>
                <w:szCs w:val="21"/>
              </w:rPr>
              <w:t>1.</w:t>
            </w:r>
            <w:r>
              <w:rPr>
                <w:rFonts w:hint="eastAsia" w:ascii="宋体" w:hAnsi="宋体" w:cs="宋体"/>
                <w:szCs w:val="21"/>
                <w:lang w:val="zh-CN"/>
              </w:rPr>
              <w:t>电子加密投标文件</w:t>
            </w:r>
            <w:r>
              <w:rPr>
                <w:rFonts w:hint="eastAsia" w:ascii="宋体" w:hAnsi="宋体" w:cs="宋体"/>
                <w:szCs w:val="21"/>
              </w:rPr>
              <w:t>递交：投标人应于</w:t>
            </w:r>
            <w:r>
              <w:rPr>
                <w:rFonts w:hint="eastAsia" w:ascii="宋体" w:hAnsi="宋体" w:cs="宋体"/>
                <w:b/>
                <w:szCs w:val="21"/>
              </w:rPr>
              <w:t>2023年</w:t>
            </w:r>
            <w:r>
              <w:rPr>
                <w:rFonts w:hint="eastAsia" w:ascii="宋体" w:hAnsi="宋体" w:cs="宋体"/>
                <w:b/>
                <w:szCs w:val="21"/>
                <w:lang w:eastAsia="zh-CN"/>
              </w:rPr>
              <w:t>03月21日</w:t>
            </w:r>
            <w:r>
              <w:rPr>
                <w:rFonts w:hint="eastAsia" w:ascii="宋体" w:hAnsi="宋体" w:cs="宋体"/>
                <w:b/>
                <w:szCs w:val="21"/>
              </w:rPr>
              <w:t xml:space="preserve">09:30  </w:t>
            </w:r>
            <w:r>
              <w:rPr>
                <w:rFonts w:hint="eastAsia" w:ascii="宋体" w:hAnsi="宋体" w:cs="宋体"/>
                <w:szCs w:val="21"/>
              </w:rPr>
              <w:t>（北京时间，下同）前将电子加密投标文件通过“政采云电子投标客户端”上传至政采云平台，逾期上传的将予以拒收。</w:t>
            </w:r>
          </w:p>
          <w:p>
            <w:pPr>
              <w:wordWrap w:val="0"/>
              <w:spacing w:line="300" w:lineRule="auto"/>
              <w:rPr>
                <w:rFonts w:ascii="宋体" w:hAnsi="宋体" w:cs="宋体"/>
                <w:szCs w:val="21"/>
              </w:rPr>
            </w:pPr>
            <w:r>
              <w:rPr>
                <w:rFonts w:hint="eastAsia" w:ascii="宋体" w:hAnsi="宋体" w:cs="宋体"/>
                <w:szCs w:val="21"/>
              </w:rPr>
              <w:t>递交地点：“政府采购云平台（www.zcygov.cn）”在线递交（上传）</w:t>
            </w:r>
          </w:p>
          <w:p>
            <w:pPr>
              <w:wordWrap w:val="0"/>
              <w:spacing w:line="30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"mailto:2.备份投标文件在开标时间后15分钟内以电子邮件形式递交至采购代理机构邮箱（103874679@qq.com）。" </w:instrText>
            </w:r>
            <w:r>
              <w:rPr>
                <w:rFonts w:hint="eastAsia" w:ascii="宋体" w:hAnsi="宋体" w:cs="宋体"/>
                <w:szCs w:val="21"/>
              </w:rPr>
              <w:fldChar w:fldCharType="separate"/>
            </w:r>
            <w:r>
              <w:rPr>
                <w:rFonts w:hint="eastAsia" w:ascii="宋体" w:hAnsi="宋体" w:cs="宋体"/>
                <w:szCs w:val="21"/>
              </w:rPr>
              <w:t>2.备份投标文件递交：</w:t>
            </w:r>
          </w:p>
          <w:p>
            <w:pPr>
              <w:wordWrap w:val="0"/>
              <w:spacing w:line="300" w:lineRule="auto"/>
              <w:rPr>
                <w:rFonts w:ascii="宋体" w:hAnsi="宋体" w:cs="宋体"/>
                <w:szCs w:val="21"/>
              </w:rPr>
            </w:pPr>
            <w:r>
              <w:rPr>
                <w:rFonts w:hint="eastAsia" w:ascii="宋体" w:hAnsi="宋体" w:cs="宋体"/>
                <w:szCs w:val="21"/>
              </w:rPr>
              <w:t>2.1投标人在“政府采购云平台”完成“电子加密投标文件”的上传递交后，还可以（以电子邮件的形式）在投标截止时间前发送一份加密压缩文件的“备份投标文件”（一份）；</w:t>
            </w:r>
          </w:p>
          <w:p>
            <w:pPr>
              <w:wordWrap w:val="0"/>
              <w:spacing w:line="300" w:lineRule="auto"/>
              <w:rPr>
                <w:rFonts w:ascii="宋体" w:hAnsi="宋体" w:cs="宋体"/>
                <w:szCs w:val="21"/>
                <w:lang w:val="zh-CN"/>
              </w:rPr>
            </w:pPr>
            <w:r>
              <w:rPr>
                <w:rFonts w:hint="eastAsia" w:ascii="宋体" w:hAnsi="宋体" w:cs="宋体"/>
                <w:szCs w:val="21"/>
              </w:rPr>
              <w:t>2.2</w:t>
            </w:r>
            <w:r>
              <w:rPr>
                <w:rFonts w:hint="eastAsia" w:ascii="宋体" w:hAnsi="宋体" w:cs="宋体"/>
                <w:szCs w:val="21"/>
                <w:lang w:val="zh-CN"/>
              </w:rPr>
              <w:t>“备份投标文件”以压缩文件形式加密发送至采购代理机构邮箱：</w:t>
            </w:r>
            <w:r>
              <w:rPr>
                <w:rFonts w:hint="eastAsia" w:ascii="宋体" w:hAnsi="宋体" w:cs="宋体"/>
                <w:szCs w:val="21"/>
              </w:rPr>
              <w:t>压缩文件命名为</w:t>
            </w:r>
            <w:r>
              <w:rPr>
                <w:rFonts w:hint="eastAsia" w:ascii="宋体" w:hAnsi="宋体" w:cs="宋体"/>
                <w:szCs w:val="21"/>
                <w:lang w:val="zh-CN"/>
              </w:rPr>
              <w:t>投标项目编号和投标单位简称。接到在线解密通知后</w:t>
            </w:r>
            <w:r>
              <w:rPr>
                <w:rFonts w:hint="eastAsia" w:ascii="宋体" w:hAnsi="宋体" w:cs="宋体"/>
                <w:szCs w:val="21"/>
              </w:rPr>
              <w:t>30分钟</w:t>
            </w:r>
            <w:r>
              <w:rPr>
                <w:rFonts w:hint="eastAsia" w:ascii="宋体" w:hAnsi="宋体" w:cs="宋体"/>
                <w:szCs w:val="21"/>
                <w:lang w:val="zh-CN"/>
              </w:rPr>
              <w:t>内发送压缩文件密码至采购代理机构邮箱（邮箱号码：</w:t>
            </w:r>
            <w:r>
              <w:rPr>
                <w:rFonts w:hint="eastAsia" w:ascii="宋体" w:hAnsi="宋体" w:cs="宋体"/>
                <w:szCs w:val="21"/>
              </w:rPr>
              <w:t>85967191@qq.com）</w:t>
            </w:r>
            <w:r>
              <w:rPr>
                <w:rFonts w:hint="eastAsia" w:ascii="宋体" w:hAnsi="宋体" w:cs="宋体"/>
                <w:szCs w:val="21"/>
                <w:lang w:val="zh-CN"/>
              </w:rPr>
              <w:t>。</w:t>
            </w:r>
          </w:p>
          <w:p>
            <w:pPr>
              <w:wordWrap w:val="0"/>
              <w:spacing w:line="300" w:lineRule="auto"/>
              <w:rPr>
                <w:rFonts w:ascii="宋体" w:hAnsi="宋体" w:cs="宋体"/>
                <w:szCs w:val="21"/>
              </w:rPr>
            </w:pPr>
            <w:r>
              <w:rPr>
                <w:rFonts w:hint="eastAsia" w:ascii="宋体" w:hAnsi="宋体" w:cs="宋体"/>
                <w:szCs w:val="21"/>
              </w:rPr>
              <w:fldChar w:fldCharType="end"/>
            </w:r>
            <w:r>
              <w:rPr>
                <w:rFonts w:hint="eastAsia" w:ascii="宋体" w:hAnsi="宋体" w:cs="宋体"/>
                <w:szCs w:val="21"/>
              </w:rPr>
              <w:t>3.如投标人未在投标截止时间前完成</w:t>
            </w:r>
            <w:r>
              <w:rPr>
                <w:rFonts w:hint="eastAsia" w:ascii="宋体" w:hAnsi="宋体" w:cs="宋体"/>
                <w:szCs w:val="21"/>
                <w:lang w:val="zh-CN"/>
              </w:rPr>
              <w:t>电子加密投标文件</w:t>
            </w:r>
            <w:r>
              <w:rPr>
                <w:rFonts w:hint="eastAsia" w:ascii="宋体" w:hAnsi="宋体" w:cs="宋体"/>
                <w:szCs w:val="21"/>
              </w:rPr>
              <w:t>传输递交的，其备份投标文件无效。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pStyle w:val="46"/>
              <w:tabs>
                <w:tab w:val="left" w:pos="6930"/>
              </w:tabs>
              <w:spacing w:beforeAutospacing="0" w:afterAutospacing="0"/>
              <w:jc w:val="center"/>
              <w:rPr>
                <w:rFonts w:cs="宋体"/>
                <w:sz w:val="21"/>
                <w:szCs w:val="21"/>
              </w:rPr>
            </w:pPr>
            <w:r>
              <w:rPr>
                <w:rFonts w:hint="eastAsia" w:cs="宋体"/>
                <w:sz w:val="21"/>
                <w:szCs w:val="21"/>
              </w:rPr>
              <w:t>投标文件的修改（补充）和撤回</w:t>
            </w:r>
          </w:p>
        </w:tc>
        <w:tc>
          <w:tcPr>
            <w:tcW w:w="7187" w:type="dxa"/>
            <w:tcBorders>
              <w:right w:val="double" w:color="auto" w:sz="4" w:space="0"/>
            </w:tcBorders>
            <w:vAlign w:val="center"/>
          </w:tcPr>
          <w:p>
            <w:pPr>
              <w:wordWrap w:val="0"/>
              <w:spacing w:line="300" w:lineRule="auto"/>
              <w:rPr>
                <w:rFonts w:ascii="宋体" w:hAnsi="宋体" w:cs="宋体"/>
                <w:szCs w:val="21"/>
              </w:rPr>
            </w:pPr>
            <w:r>
              <w:rPr>
                <w:rFonts w:hint="eastAsia" w:ascii="宋体" w:hAnsi="宋体" w:cs="宋体"/>
                <w:szCs w:val="21"/>
              </w:rPr>
              <w:t>1.修改（补充）和撤回：</w:t>
            </w:r>
          </w:p>
          <w:p>
            <w:pPr>
              <w:wordWrap w:val="0"/>
              <w:spacing w:line="300" w:lineRule="auto"/>
              <w:rPr>
                <w:rFonts w:ascii="宋体" w:hAnsi="宋体" w:cs="宋体"/>
                <w:szCs w:val="21"/>
              </w:rPr>
            </w:pPr>
            <w:r>
              <w:rPr>
                <w:rFonts w:hint="eastAsia" w:ascii="宋体" w:hAnsi="宋体" w:cs="宋体"/>
                <w:szCs w:val="21"/>
              </w:rPr>
              <w:t>1.1投标截止时间前可以修改（补充）或撤回电子加密投标文件。补充或者修改电子加密投标文件的，应当先行撤回原文件，补充、修改后重新传输递交。投标截止时间前未完成传输递交的，视为撤回投标文件。</w:t>
            </w:r>
          </w:p>
          <w:p>
            <w:pPr>
              <w:wordWrap w:val="0"/>
              <w:spacing w:line="300" w:lineRule="auto"/>
              <w:rPr>
                <w:rFonts w:ascii="宋体" w:hAnsi="宋体" w:cs="宋体"/>
                <w:bCs/>
                <w:szCs w:val="21"/>
              </w:rPr>
            </w:pPr>
            <w:r>
              <w:rPr>
                <w:rFonts w:hint="eastAsia" w:ascii="宋体" w:hAnsi="宋体" w:cs="宋体"/>
                <w:szCs w:val="21"/>
              </w:rPr>
              <w:t>1.2投标截止时间后，投标人不得修改（补充）或撤回其投标文件。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snapToGrid w:val="0"/>
              <w:jc w:val="center"/>
              <w:rPr>
                <w:rFonts w:ascii="宋体" w:hAnsi="宋体" w:cs="宋体"/>
                <w:szCs w:val="21"/>
              </w:rPr>
            </w:pPr>
            <w:r>
              <w:rPr>
                <w:rFonts w:hint="eastAsia" w:ascii="宋体" w:hAnsi="宋体" w:cs="宋体"/>
                <w:szCs w:val="21"/>
              </w:rPr>
              <w:t>开标时间、地点</w:t>
            </w:r>
          </w:p>
          <w:p>
            <w:pPr>
              <w:snapToGrid w:val="0"/>
              <w:jc w:val="center"/>
              <w:rPr>
                <w:rFonts w:ascii="宋体" w:hAnsi="宋体" w:cs="宋体"/>
                <w:szCs w:val="21"/>
              </w:rPr>
            </w:pPr>
            <w:r>
              <w:rPr>
                <w:rFonts w:hint="eastAsia" w:ascii="宋体" w:hAnsi="宋体" w:cs="宋体"/>
                <w:szCs w:val="21"/>
              </w:rPr>
              <w:t>及注意事项</w:t>
            </w:r>
          </w:p>
        </w:tc>
        <w:tc>
          <w:tcPr>
            <w:tcW w:w="7187" w:type="dxa"/>
            <w:tcBorders>
              <w:right w:val="double" w:color="auto" w:sz="4" w:space="0"/>
            </w:tcBorders>
            <w:vAlign w:val="center"/>
          </w:tcPr>
          <w:p>
            <w:pPr>
              <w:wordWrap w:val="0"/>
              <w:spacing w:line="300" w:lineRule="auto"/>
              <w:rPr>
                <w:rFonts w:ascii="宋体" w:hAnsi="宋体" w:cs="宋体"/>
                <w:szCs w:val="21"/>
                <w:lang w:val="zh-CN"/>
              </w:rPr>
            </w:pPr>
            <w:r>
              <w:rPr>
                <w:rFonts w:hint="eastAsia" w:ascii="宋体" w:hAnsi="宋体" w:cs="宋体"/>
                <w:szCs w:val="21"/>
                <w:lang w:val="zh-CN"/>
              </w:rPr>
              <w:t>开标时间：</w:t>
            </w:r>
            <w:r>
              <w:rPr>
                <w:rFonts w:hint="eastAsia" w:ascii="宋体" w:hAnsi="宋体" w:cs="宋体"/>
                <w:b/>
                <w:szCs w:val="21"/>
              </w:rPr>
              <w:t>2023年</w:t>
            </w:r>
            <w:r>
              <w:rPr>
                <w:rFonts w:hint="eastAsia" w:ascii="宋体" w:hAnsi="宋体" w:cs="宋体"/>
                <w:b/>
                <w:szCs w:val="21"/>
                <w:lang w:eastAsia="zh-CN"/>
              </w:rPr>
              <w:t>03月21日</w:t>
            </w:r>
            <w:r>
              <w:rPr>
                <w:rFonts w:hint="eastAsia" w:ascii="宋体" w:hAnsi="宋体" w:cs="宋体"/>
                <w:b/>
                <w:szCs w:val="21"/>
              </w:rPr>
              <w:t xml:space="preserve">09:30  </w:t>
            </w:r>
          </w:p>
          <w:p>
            <w:pPr>
              <w:wordWrap w:val="0"/>
              <w:spacing w:line="300" w:lineRule="auto"/>
              <w:rPr>
                <w:rFonts w:ascii="宋体" w:hAnsi="宋体" w:cs="宋体"/>
                <w:szCs w:val="21"/>
              </w:rPr>
            </w:pPr>
            <w:r>
              <w:rPr>
                <w:rFonts w:hint="eastAsia" w:ascii="宋体" w:hAnsi="宋体" w:cs="宋体"/>
                <w:szCs w:val="21"/>
                <w:lang w:val="zh-CN"/>
              </w:rPr>
              <w:t>开标地点：供应商持与制作本项目电子加密投标文件的同一个CA锁在线登陆“政府采购云平台（www.zcygov.cn）”本项目开标大厅等候解密（本项目采用线上开评标，</w:t>
            </w:r>
            <w:r>
              <w:rPr>
                <w:rFonts w:hint="eastAsia" w:ascii="宋体" w:hAnsi="宋体" w:cs="宋体"/>
                <w:szCs w:val="21"/>
              </w:rPr>
              <w:t>供应商无须前往评审现场</w:t>
            </w:r>
            <w:r>
              <w:rPr>
                <w:rFonts w:hint="eastAsia" w:ascii="宋体" w:hAns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资格审查</w:t>
            </w:r>
          </w:p>
        </w:tc>
        <w:tc>
          <w:tcPr>
            <w:tcW w:w="7187" w:type="dxa"/>
            <w:tcBorders>
              <w:right w:val="double" w:color="auto" w:sz="4" w:space="0"/>
            </w:tcBorders>
            <w:vAlign w:val="center"/>
          </w:tcPr>
          <w:p>
            <w:pPr>
              <w:pStyle w:val="46"/>
              <w:tabs>
                <w:tab w:val="left" w:pos="6930"/>
              </w:tabs>
              <w:spacing w:beforeAutospacing="0" w:afterAutospacing="0" w:line="360" w:lineRule="auto"/>
              <w:rPr>
                <w:rFonts w:cs="宋体"/>
                <w:bCs/>
                <w:sz w:val="21"/>
                <w:szCs w:val="21"/>
              </w:rPr>
            </w:pPr>
            <w:r>
              <w:rPr>
                <w:rFonts w:hint="eastAsia" w:cs="宋体"/>
                <w:bCs/>
                <w:sz w:val="21"/>
                <w:szCs w:val="21"/>
              </w:rPr>
              <w:t>开标结束后，采购人或采购代理机构依法对投标人的资格进行审查。审查内容详见采购文件。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dxa"/>
            <w:tcBorders>
              <w:left w:val="double" w:color="auto" w:sz="4" w:space="0"/>
            </w:tcBorders>
            <w:vAlign w:val="center"/>
          </w:tcPr>
          <w:p>
            <w:pPr>
              <w:snapToGrid w:val="0"/>
              <w:jc w:val="center"/>
              <w:rPr>
                <w:rFonts w:ascii="宋体" w:hAnsi="宋体" w:cs="宋体"/>
                <w:szCs w:val="21"/>
              </w:rPr>
            </w:pPr>
            <w:r>
              <w:rPr>
                <w:rFonts w:hint="eastAsia" w:ascii="宋体" w:hAnsi="宋体" w:cs="宋体"/>
                <w:szCs w:val="21"/>
              </w:rPr>
              <w:t>评标委员会的组建</w:t>
            </w:r>
          </w:p>
        </w:tc>
        <w:tc>
          <w:tcPr>
            <w:tcW w:w="7187" w:type="dxa"/>
            <w:tcBorders>
              <w:right w:val="double" w:color="auto" w:sz="4" w:space="0"/>
            </w:tcBorders>
            <w:vAlign w:val="center"/>
          </w:tcPr>
          <w:p>
            <w:pPr>
              <w:wordWrap w:val="0"/>
              <w:spacing w:line="300" w:lineRule="auto"/>
              <w:rPr>
                <w:rFonts w:ascii="宋体" w:hAnsi="宋体" w:cs="宋体"/>
                <w:bCs/>
                <w:szCs w:val="21"/>
              </w:rPr>
            </w:pPr>
            <w:r>
              <w:rPr>
                <w:rFonts w:hint="eastAsia" w:ascii="宋体" w:hAnsi="宋体" w:cs="宋体"/>
                <w:bCs/>
                <w:szCs w:val="21"/>
              </w:rPr>
              <w:t>采购人依法组建评标委员会，评标</w:t>
            </w:r>
            <w:r>
              <w:rPr>
                <w:rFonts w:hint="eastAsia" w:ascii="宋体" w:hAnsi="宋体" w:cs="宋体"/>
                <w:szCs w:val="21"/>
                <w:lang w:val="zh-CN"/>
              </w:rPr>
              <w:t>委员会</w:t>
            </w:r>
            <w:r>
              <w:rPr>
                <w:rFonts w:hint="eastAsia" w:ascii="宋体" w:hAnsi="宋体" w:cs="宋体"/>
                <w:bCs/>
                <w:szCs w:val="21"/>
              </w:rPr>
              <w:t>由1名采购人代表及4名技术、经济等方面的评审专家组成；</w:t>
            </w:r>
          </w:p>
          <w:p>
            <w:pPr>
              <w:wordWrap w:val="0"/>
              <w:spacing w:line="300" w:lineRule="auto"/>
              <w:rPr>
                <w:rFonts w:ascii="宋体" w:hAnsi="宋体" w:cs="宋体"/>
                <w:szCs w:val="21"/>
              </w:rPr>
            </w:pPr>
            <w:r>
              <w:rPr>
                <w:rFonts w:hint="eastAsia" w:ascii="宋体" w:hAnsi="宋体" w:cs="宋体"/>
                <w:bCs/>
                <w:szCs w:val="21"/>
              </w:rPr>
              <w:t>评审专家确定方式：按政府采购</w:t>
            </w:r>
            <w:r>
              <w:rPr>
                <w:rFonts w:hint="eastAsia" w:ascii="宋体" w:hAnsi="宋体" w:cs="宋体"/>
                <w:szCs w:val="21"/>
                <w:lang w:val="zh-CN"/>
              </w:rPr>
              <w:t>相关</w:t>
            </w:r>
            <w:r>
              <w:rPr>
                <w:rFonts w:hint="eastAsia" w:ascii="宋体" w:hAnsi="宋体" w:cs="宋体"/>
                <w:bCs/>
                <w:szCs w:val="21"/>
              </w:rPr>
              <w:t>规定从专家库中随机抽取。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color w:val="auto"/>
              </w:rPr>
            </w:pPr>
            <w:r>
              <w:rPr>
                <w:rFonts w:hint="eastAsia" w:ascii="宋体" w:hAnsi="宋体" w:eastAsia="宋体" w:cs="宋体"/>
                <w:b w:val="0"/>
                <w:bCs w:val="0"/>
                <w:color w:val="auto"/>
                <w:kern w:val="2"/>
                <w:sz w:val="21"/>
              </w:rPr>
              <w:t>采购项目类别</w:t>
            </w:r>
          </w:p>
        </w:tc>
        <w:tc>
          <w:tcPr>
            <w:tcW w:w="7187" w:type="dxa"/>
            <w:tcBorders>
              <w:right w:val="double" w:color="auto" w:sz="4" w:space="0"/>
            </w:tcBorders>
            <w:vAlign w:val="center"/>
          </w:tcPr>
          <w:p>
            <w:pPr>
              <w:pStyle w:val="46"/>
              <w:tabs>
                <w:tab w:val="left" w:pos="6930"/>
              </w:tabs>
              <w:spacing w:beforeAutospacing="0" w:afterAutospacing="0" w:line="360" w:lineRule="auto"/>
              <w:rPr>
                <w:rFonts w:cs="宋体"/>
                <w:bCs/>
                <w:sz w:val="21"/>
                <w:szCs w:val="21"/>
              </w:rPr>
            </w:pPr>
            <w:r>
              <w:rPr>
                <w:rFonts w:hint="eastAsia" w:cs="宋体"/>
                <w:bCs/>
                <w:sz w:val="21"/>
                <w:szCs w:val="21"/>
              </w:rPr>
              <w:t>本</w:t>
            </w:r>
            <w:r>
              <w:rPr>
                <w:rFonts w:hint="eastAsia" w:cs="宋体"/>
                <w:kern w:val="2"/>
                <w:sz w:val="21"/>
                <w:szCs w:val="21"/>
              </w:rPr>
              <w:t>项目</w:t>
            </w:r>
            <w:r>
              <w:rPr>
                <w:rFonts w:hint="eastAsia" w:cs="宋体"/>
                <w:bCs/>
                <w:sz w:val="21"/>
                <w:szCs w:val="21"/>
              </w:rPr>
              <w:t>属于</w:t>
            </w:r>
            <w:r>
              <w:rPr>
                <w:rFonts w:hint="eastAsia" w:cs="宋体"/>
                <w:bCs/>
                <w:sz w:val="21"/>
                <w:szCs w:val="21"/>
                <w:u w:val="single"/>
              </w:rPr>
              <w:t xml:space="preserve">  </w:t>
            </w:r>
            <w:r>
              <w:rPr>
                <w:rFonts w:hint="eastAsia" w:cs="宋体"/>
                <w:b/>
                <w:sz w:val="21"/>
                <w:szCs w:val="21"/>
                <w:u w:val="single"/>
              </w:rPr>
              <w:t>货物</w:t>
            </w:r>
            <w:r>
              <w:rPr>
                <w:rFonts w:hint="eastAsia" w:cs="宋体"/>
                <w:bCs/>
                <w:sz w:val="21"/>
                <w:szCs w:val="21"/>
                <w:u w:val="single"/>
              </w:rPr>
              <w:t xml:space="preserve"> </w:t>
            </w:r>
            <w:r>
              <w:rPr>
                <w:rFonts w:hint="eastAsia" w:cs="宋体"/>
                <w:b/>
                <w:sz w:val="21"/>
                <w:szCs w:val="21"/>
                <w:u w:val="single"/>
              </w:rPr>
              <w:t xml:space="preserve"> </w:t>
            </w:r>
            <w:r>
              <w:rPr>
                <w:rFonts w:hint="eastAsia" w:cs="宋体"/>
                <w:bCs/>
                <w:sz w:val="21"/>
                <w:szCs w:val="21"/>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color w:val="auto"/>
              </w:rPr>
            </w:pPr>
            <w:r>
              <w:rPr>
                <w:rFonts w:hint="eastAsia" w:ascii="宋体" w:hAnsi="宋体" w:eastAsia="宋体" w:cs="宋体"/>
                <w:b w:val="0"/>
                <w:bCs w:val="0"/>
                <w:color w:val="auto"/>
                <w:kern w:val="2"/>
                <w:sz w:val="21"/>
              </w:rPr>
              <w:t>采购标的及对应的中小企业划型标准所属行业</w:t>
            </w:r>
          </w:p>
        </w:tc>
        <w:tc>
          <w:tcPr>
            <w:tcW w:w="7187" w:type="dxa"/>
            <w:tcBorders>
              <w:right w:val="double" w:color="auto" w:sz="4" w:space="0"/>
            </w:tcBorders>
            <w:vAlign w:val="center"/>
          </w:tcPr>
          <w:p>
            <w:pPr>
              <w:wordWrap w:val="0"/>
              <w:spacing w:line="300" w:lineRule="auto"/>
              <w:rPr>
                <w:rFonts w:ascii="宋体" w:hAnsi="宋体" w:cs="宋体"/>
                <w:szCs w:val="21"/>
                <w:highlight w:val="yellow"/>
              </w:rPr>
            </w:pPr>
            <w:r>
              <w:rPr>
                <w:rFonts w:hint="eastAsia" w:ascii="宋体" w:hAnsi="宋体" w:cs="宋体"/>
                <w:szCs w:val="21"/>
              </w:rPr>
              <w:t>本项目采购内容为</w:t>
            </w:r>
            <w:r>
              <w:rPr>
                <w:rFonts w:hint="eastAsia" w:ascii="宋体" w:hAnsi="宋体" w:cs="宋体"/>
                <w:szCs w:val="21"/>
                <w:u w:val="single"/>
              </w:rPr>
              <w:t xml:space="preserve"> </w:t>
            </w:r>
            <w:r>
              <w:rPr>
                <w:rFonts w:hint="eastAsia" w:ascii="宋体" w:hAnsi="宋体" w:cs="宋体"/>
                <w:b/>
                <w:bCs/>
                <w:szCs w:val="21"/>
                <w:u w:val="single"/>
              </w:rPr>
              <w:t xml:space="preserve">水文站现代化改造提升设备采购服务 </w:t>
            </w:r>
            <w:r>
              <w:rPr>
                <w:rFonts w:hint="eastAsia" w:ascii="宋体" w:hAnsi="宋体" w:cs="宋体"/>
                <w:b/>
                <w:bCs/>
                <w:szCs w:val="21"/>
              </w:rPr>
              <w:t>。具体采购标的：</w:t>
            </w:r>
            <w:r>
              <w:rPr>
                <w:rFonts w:hint="eastAsia" w:ascii="宋体" w:hAnsi="宋体" w:cs="宋体"/>
                <w:b/>
                <w:bCs/>
                <w:szCs w:val="21"/>
                <w:u w:val="single"/>
              </w:rPr>
              <w:t>详见采购文件第三章采购需求一览表</w:t>
            </w:r>
            <w:r>
              <w:rPr>
                <w:rFonts w:hint="eastAsia" w:ascii="宋体" w:hAnsi="宋体" w:cs="宋体"/>
                <w:szCs w:val="21"/>
              </w:rPr>
              <w:t>。根据《关于印发中小企业划型标准规定的通知》（工信部联企业〔2011〕300号），对应的中小企业划型标准所属行业为：</w:t>
            </w:r>
            <w:r>
              <w:rPr>
                <w:rFonts w:hint="eastAsia" w:ascii="宋体" w:hAnsi="宋体" w:cs="宋体"/>
                <w:b/>
                <w:bCs/>
                <w:szCs w:val="21"/>
                <w:u w:val="single"/>
              </w:rPr>
              <w:t>工业</w:t>
            </w:r>
            <w:r>
              <w:rPr>
                <w:rFonts w:hint="eastAsia" w:ascii="宋体" w:hAnsi="宋体" w:cs="宋体"/>
                <w:szCs w:val="21"/>
              </w:rPr>
              <w:t>。</w:t>
            </w:r>
          </w:p>
          <w:p>
            <w:pPr>
              <w:wordWrap w:val="0"/>
              <w:spacing w:line="300" w:lineRule="auto"/>
              <w:rPr>
                <w:rFonts w:ascii="宋体" w:hAnsi="宋体" w:cs="宋体"/>
                <w:bCs/>
                <w:szCs w:val="21"/>
              </w:rPr>
            </w:pPr>
            <w:r>
              <w:rPr>
                <w:rFonts w:hint="eastAsia" w:ascii="宋体" w:hAnsi="宋体" w:cs="宋体"/>
                <w:color w:val="000000"/>
                <w:szCs w:val="21"/>
              </w:rPr>
              <w:t>投标人必须根据采购文件明确的行业所对应的划型标准判断自身（或所投产品制造商）的企业规模类型。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color w:val="auto"/>
                <w:sz w:val="21"/>
              </w:rPr>
            </w:pPr>
            <w:r>
              <w:rPr>
                <w:rFonts w:hint="eastAsia" w:ascii="宋体" w:hAnsi="宋体" w:eastAsia="宋体" w:cs="宋体"/>
                <w:b w:val="0"/>
                <w:color w:val="auto"/>
                <w:sz w:val="21"/>
              </w:rPr>
              <w:t>需落实的政府采购政策</w:t>
            </w:r>
          </w:p>
        </w:tc>
        <w:tc>
          <w:tcPr>
            <w:tcW w:w="7187" w:type="dxa"/>
            <w:tcBorders>
              <w:right w:val="double" w:color="auto" w:sz="4" w:space="0"/>
            </w:tcBorders>
            <w:vAlign w:val="center"/>
          </w:tcPr>
          <w:p>
            <w:pPr>
              <w:wordWrap w:val="0"/>
              <w:spacing w:line="300" w:lineRule="auto"/>
              <w:rPr>
                <w:rFonts w:ascii="宋体" w:hAnsi="宋体" w:cs="宋体"/>
                <w:szCs w:val="21"/>
              </w:rPr>
            </w:pPr>
            <w:r>
              <w:rPr>
                <w:rFonts w:hint="eastAsia" w:ascii="宋体" w:hAnsi="宋体" w:cs="宋体"/>
                <w:szCs w:val="21"/>
              </w:rPr>
              <w:t>一、政府采购促进中小企业发展扶持政策</w:t>
            </w:r>
          </w:p>
          <w:p>
            <w:pPr>
              <w:wordWrap w:val="0"/>
              <w:spacing w:line="300" w:lineRule="auto"/>
              <w:rPr>
                <w:rFonts w:ascii="宋体" w:hAnsi="宋体" w:cs="宋体"/>
                <w:szCs w:val="21"/>
              </w:rPr>
            </w:pPr>
            <w:r>
              <w:rPr>
                <w:rFonts w:hint="eastAsia" w:ascii="宋体" w:hAnsi="宋体" w:cs="宋体"/>
                <w:szCs w:val="21"/>
              </w:rPr>
              <w:t>1.根据《政府采购促进中小企业发展管理办法》（财库[2020]46 号）、《财政部、司法部关于政府采购支持监狱企业发展有关问题的通知》（财库〔2014〕68号）、《关于促进残疾人就业政府采购政策的通知》（财库〔2017〕141号）及</w:t>
            </w:r>
            <w:r>
              <w:rPr>
                <w:rStyle w:val="149"/>
                <w:rFonts w:hint="eastAsia" w:ascii="宋体" w:hAnsi="宋体" w:eastAsia="宋体" w:cs="宋体"/>
                <w:color w:val="000000"/>
                <w:sz w:val="21"/>
                <w:szCs w:val="21"/>
                <w:lang w:eastAsia="zh-CN"/>
              </w:rPr>
              <w:t>《财政</w:t>
            </w:r>
            <w:r>
              <w:rPr>
                <w:rStyle w:val="149"/>
                <w:rFonts w:hint="eastAsia" w:cs="宋体"/>
                <w:color w:val="000000"/>
                <w:sz w:val="21"/>
                <w:szCs w:val="21"/>
                <w:lang w:eastAsia="zh-CN"/>
              </w:rPr>
              <w:t>部</w:t>
            </w:r>
            <w:r>
              <w:rPr>
                <w:rStyle w:val="149"/>
                <w:rFonts w:hint="eastAsia" w:ascii="宋体" w:hAnsi="宋体" w:eastAsia="宋体" w:cs="宋体"/>
                <w:color w:val="000000"/>
                <w:sz w:val="21"/>
                <w:szCs w:val="21"/>
                <w:lang w:eastAsia="zh-CN"/>
              </w:rPr>
              <w:t>关于进一步加大政府采购支持中小企业力度的通知》（</w:t>
            </w:r>
            <w:r>
              <w:rPr>
                <w:rStyle w:val="149"/>
                <w:rFonts w:hint="eastAsia" w:cs="宋体"/>
                <w:color w:val="000000"/>
                <w:sz w:val="21"/>
                <w:szCs w:val="21"/>
                <w:lang w:eastAsia="zh-CN"/>
              </w:rPr>
              <w:t>财库</w:t>
            </w:r>
            <w:r>
              <w:rPr>
                <w:rStyle w:val="149"/>
                <w:rFonts w:hint="eastAsia" w:ascii="宋体" w:hAnsi="宋体" w:eastAsia="宋体" w:cs="宋体"/>
                <w:color w:val="000000"/>
                <w:sz w:val="21"/>
                <w:szCs w:val="21"/>
                <w:lang w:eastAsia="zh-CN"/>
              </w:rPr>
              <w:t>〔2022〕</w:t>
            </w:r>
            <w:r>
              <w:rPr>
                <w:rStyle w:val="149"/>
                <w:rFonts w:hint="eastAsia" w:cs="宋体"/>
                <w:color w:val="000000"/>
                <w:sz w:val="21"/>
                <w:szCs w:val="21"/>
                <w:lang w:val="en-US" w:eastAsia="zh-CN"/>
              </w:rPr>
              <w:t>19</w:t>
            </w:r>
            <w:r>
              <w:rPr>
                <w:rStyle w:val="149"/>
                <w:rFonts w:hint="eastAsia" w:ascii="宋体" w:hAnsi="宋体" w:eastAsia="宋体" w:cs="宋体"/>
                <w:color w:val="000000"/>
                <w:sz w:val="21"/>
                <w:szCs w:val="21"/>
                <w:lang w:eastAsia="zh-CN"/>
              </w:rPr>
              <w:t>号）规定</w:t>
            </w:r>
            <w:r>
              <w:rPr>
                <w:rFonts w:hint="eastAsia" w:ascii="宋体" w:hAnsi="宋体" w:cs="宋体"/>
                <w:szCs w:val="21"/>
              </w:rPr>
              <w:t>，本项目对小型或微型企业执行价格扣除优惠政策（符合规定条件的监狱企业或残疾人福利性单位视同小微企业），用扣除后的价格参加报价分评审，欢迎符合规定的供应商参与本项目采购活动。具体措施为：</w:t>
            </w:r>
          </w:p>
          <w:p>
            <w:pPr>
              <w:wordWrap w:val="0"/>
              <w:spacing w:line="300" w:lineRule="auto"/>
              <w:rPr>
                <w:rFonts w:ascii="宋体" w:hAnsi="宋体" w:cs="宋体"/>
                <w:b/>
                <w:bCs/>
                <w:szCs w:val="21"/>
              </w:rPr>
            </w:pPr>
            <w:r>
              <w:rPr>
                <w:rFonts w:hint="eastAsia" w:ascii="宋体" w:hAnsi="宋体" w:cs="宋体"/>
                <w:b/>
                <w:bCs/>
                <w:szCs w:val="21"/>
              </w:rPr>
              <w:t>（1）对全部由小型和微型企业制造的货物或承接的服务项目报价给予20%（工程项目为5%）的扣除；</w:t>
            </w:r>
          </w:p>
          <w:p>
            <w:pPr>
              <w:wordWrap w:val="0"/>
              <w:spacing w:line="300" w:lineRule="auto"/>
              <w:rPr>
                <w:rFonts w:ascii="宋体" w:hAnsi="宋体" w:cs="宋体"/>
                <w:b/>
                <w:bCs/>
                <w:szCs w:val="21"/>
              </w:rPr>
            </w:pPr>
            <w:r>
              <w:rPr>
                <w:rFonts w:hint="eastAsia" w:ascii="宋体" w:hAnsi="宋体" w:cs="宋体"/>
                <w:b/>
                <w:bCs/>
                <w:szCs w:val="21"/>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工程项目为2%）的扣除。</w:t>
            </w:r>
          </w:p>
          <w:p>
            <w:pPr>
              <w:wordWrap w:val="0"/>
              <w:spacing w:line="300" w:lineRule="auto"/>
              <w:rPr>
                <w:rFonts w:ascii="宋体" w:hAnsi="宋体" w:cs="宋体"/>
                <w:szCs w:val="21"/>
              </w:rPr>
            </w:pPr>
            <w:r>
              <w:rPr>
                <w:rFonts w:hint="eastAsia" w:ascii="宋体" w:hAnsi="宋体" w:cs="宋体"/>
                <w:szCs w:val="21"/>
              </w:rPr>
              <w:t>2.满足相关规定且有意享受价格扣除优惠政策的供应商，应当根据自身企业类型或所投产品制造商企业类型不同，按采购文件要求分别准确、完整填写并提供相关材料供评审小组核实、认定，经评审小组认定填写内容错误、缺漏项或未提供所需证明材料的，不给予评标价格扣除。</w:t>
            </w:r>
          </w:p>
          <w:p>
            <w:pPr>
              <w:wordWrap w:val="0"/>
              <w:spacing w:line="300" w:lineRule="auto"/>
              <w:rPr>
                <w:rFonts w:ascii="宋体" w:hAnsi="宋体" w:cs="宋体"/>
                <w:szCs w:val="21"/>
              </w:rPr>
            </w:pPr>
            <w:r>
              <w:rPr>
                <w:rFonts w:hint="eastAsia" w:ascii="宋体" w:hAnsi="宋体" w:cs="宋体"/>
                <w:szCs w:val="21"/>
              </w:rPr>
              <w:t>3.依据《政府采购促进中小企业发展管理办法》（财库〔2020〕46号）规定享受价格扣除优惠政策而中标（成交）获得政府采购合同的小微企业，不得将合同分包给大中型企业。否则按提供虚假材料谋取中标（成交）处理。</w:t>
            </w:r>
          </w:p>
          <w:p>
            <w:pPr>
              <w:wordWrap w:val="0"/>
              <w:spacing w:line="300" w:lineRule="auto"/>
              <w:rPr>
                <w:rFonts w:ascii="宋体" w:hAnsi="宋体" w:cs="宋体"/>
                <w:szCs w:val="21"/>
              </w:rPr>
            </w:pPr>
            <w:r>
              <w:rPr>
                <w:rFonts w:hint="eastAsia" w:ascii="宋体" w:hAnsi="宋体" w:cs="宋体"/>
                <w:szCs w:val="21"/>
              </w:rPr>
              <w:t>4.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pPr>
              <w:wordWrap w:val="0"/>
              <w:spacing w:line="300" w:lineRule="auto"/>
              <w:rPr>
                <w:rFonts w:ascii="宋体" w:hAnsi="宋体" w:cs="宋体"/>
                <w:szCs w:val="21"/>
              </w:rPr>
            </w:pPr>
            <w:r>
              <w:rPr>
                <w:rFonts w:hint="eastAsia" w:ascii="宋体" w:hAnsi="宋体" w:cs="宋体"/>
                <w:szCs w:val="21"/>
              </w:rPr>
              <w:t>二、政府采购节能环保政策</w:t>
            </w:r>
          </w:p>
          <w:p>
            <w:pPr>
              <w:wordWrap w:val="0"/>
              <w:spacing w:line="300" w:lineRule="auto"/>
              <w:rPr>
                <w:rFonts w:ascii="宋体" w:hAnsi="宋体" w:cs="宋体"/>
                <w:szCs w:val="21"/>
              </w:rPr>
            </w:pPr>
            <w:r>
              <w:rPr>
                <w:rFonts w:hint="eastAsia" w:ascii="宋体" w:hAnsi="宋体" w:cs="宋体"/>
                <w:szCs w:val="21"/>
              </w:rPr>
              <w:t>1.根据《关于调整优化节能产品、环境标志产品政府采购执行机制的通知》（财库〔 2019 〕9号）规定，采购需求产品在《环境标志产品政府采购品目清单》范围内或在《节能产品政府采购品目清单》中属于未标注“★”的一般节能产品的，实施优先采购。供应商提供的产品属于节能、环保产品且按照采购文件要求提供国家确定的认证机构出具的、处于有效期之内的《环境标志产品认证证书》或《节能产品认证证书》的，将依据评审标准给予其相应得分。认证机构范围以《市场监管总局关于发布参与实施政府采购节能产品、环境标志产品认证机构名录的公告》中公布的认证机构名录为准。</w:t>
            </w:r>
          </w:p>
          <w:p>
            <w:pPr>
              <w:wordWrap w:val="0"/>
              <w:spacing w:line="300" w:lineRule="auto"/>
              <w:rPr>
                <w:rFonts w:ascii="宋体" w:hAnsi="宋体" w:cs="宋体"/>
                <w:szCs w:val="21"/>
              </w:rPr>
            </w:pPr>
            <w:r>
              <w:rPr>
                <w:rFonts w:hint="eastAsia" w:ascii="宋体" w:hAnsi="宋体" w:cs="宋体"/>
                <w:b/>
                <w:bCs/>
                <w:szCs w:val="21"/>
              </w:rPr>
              <w:t>▲2.采购需求产品属于《节能产品政府采购品目清单》中标注“ ★ ”的节能产品的，实施强制采购。供应商应当根据采购文件要求提供国家确定的认证机构（范围同上一条）出具的、处于有效期之内的《节能产品认证证书》，否则按无效投标处理。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color w:val="auto"/>
                <w:kern w:val="2"/>
                <w:sz w:val="21"/>
              </w:rPr>
            </w:pPr>
            <w:r>
              <w:rPr>
                <w:rFonts w:hint="eastAsia" w:ascii="宋体" w:hAnsi="宋体" w:eastAsia="宋体" w:cs="宋体"/>
                <w:b w:val="0"/>
                <w:bCs w:val="0"/>
                <w:color w:val="auto"/>
                <w:kern w:val="2"/>
                <w:sz w:val="21"/>
              </w:rPr>
              <w:t>专门面向中小企业预留采购份额情况</w:t>
            </w:r>
          </w:p>
        </w:tc>
        <w:tc>
          <w:tcPr>
            <w:tcW w:w="7187" w:type="dxa"/>
            <w:tcBorders>
              <w:right w:val="double" w:color="auto" w:sz="4" w:space="0"/>
            </w:tcBorders>
            <w:vAlign w:val="center"/>
          </w:tcPr>
          <w:p>
            <w:pPr>
              <w:wordWrap w:val="0"/>
              <w:spacing w:line="300" w:lineRule="auto"/>
              <w:rPr>
                <w:rFonts w:ascii="宋体" w:hAnsi="宋体" w:cs="宋体"/>
                <w:szCs w:val="21"/>
              </w:rPr>
            </w:pPr>
            <w:r>
              <w:rPr>
                <w:rFonts w:hint="eastAsia" w:ascii="宋体" w:hAnsi="宋体" w:cs="宋体"/>
                <w:szCs w:val="21"/>
              </w:rPr>
              <w:t>本项目【</w:t>
            </w:r>
            <w:r>
              <w:rPr>
                <w:rFonts w:hint="eastAsia" w:ascii="宋体" w:hAnsi="宋体" w:cs="宋体"/>
                <w:b/>
                <w:bCs/>
                <w:szCs w:val="21"/>
              </w:rPr>
              <w:t>是（  ）否（ √ ）</w:t>
            </w:r>
            <w:r>
              <w:rPr>
                <w:rFonts w:hint="eastAsia" w:ascii="宋体" w:hAnsi="宋体" w:cs="宋体"/>
                <w:szCs w:val="21"/>
              </w:rPr>
              <w:t>】预留（或部分预留）份额专门面向中小企业采购的采购项目。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color w:val="auto"/>
                <w:kern w:val="2"/>
                <w:sz w:val="21"/>
              </w:rPr>
            </w:pPr>
            <w:r>
              <w:rPr>
                <w:rFonts w:hint="eastAsia" w:ascii="宋体" w:hAnsi="宋体" w:eastAsia="宋体" w:cs="宋体"/>
                <w:b w:val="0"/>
                <w:bCs w:val="0"/>
                <w:color w:val="auto"/>
                <w:kern w:val="2"/>
                <w:sz w:val="21"/>
              </w:rPr>
              <w:t>联合体投标</w:t>
            </w:r>
          </w:p>
        </w:tc>
        <w:tc>
          <w:tcPr>
            <w:tcW w:w="7187" w:type="dxa"/>
            <w:tcBorders>
              <w:right w:val="double" w:color="auto" w:sz="4" w:space="0"/>
            </w:tcBorders>
            <w:vAlign w:val="center"/>
          </w:tcPr>
          <w:p>
            <w:pPr>
              <w:wordWrap w:val="0"/>
              <w:spacing w:line="300" w:lineRule="auto"/>
              <w:rPr>
                <w:rFonts w:ascii="宋体" w:hAnsi="宋体" w:cs="宋体"/>
                <w:szCs w:val="21"/>
                <w:highlight w:val="red"/>
              </w:rPr>
            </w:pPr>
            <w:r>
              <w:rPr>
                <w:rFonts w:hint="eastAsia" w:ascii="宋体" w:hAnsi="宋体" w:cs="宋体"/>
                <w:szCs w:val="21"/>
              </w:rPr>
              <w:t>1.本项目【</w:t>
            </w:r>
            <w:r>
              <w:rPr>
                <w:rFonts w:hint="eastAsia" w:ascii="宋体" w:hAnsi="宋体" w:cs="宋体"/>
                <w:b/>
                <w:bCs/>
                <w:szCs w:val="21"/>
              </w:rPr>
              <w:t>接受（   ）不接受（ √ ）</w:t>
            </w:r>
            <w:r>
              <w:rPr>
                <w:rFonts w:hint="eastAsia" w:ascii="宋体" w:hAnsi="宋体" w:cs="宋体"/>
                <w:szCs w:val="21"/>
              </w:rPr>
              <w:t>】大中型企业与小微企业组成联合体。</w:t>
            </w:r>
          </w:p>
          <w:p>
            <w:pPr>
              <w:wordWrap w:val="0"/>
              <w:spacing w:line="300" w:lineRule="auto"/>
              <w:rPr>
                <w:rFonts w:ascii="宋体" w:hAnsi="宋体" w:cs="宋体"/>
                <w:szCs w:val="21"/>
              </w:rPr>
            </w:pPr>
            <w:r>
              <w:rPr>
                <w:rFonts w:hint="eastAsia" w:ascii="宋体" w:hAnsi="宋体" w:cs="宋体"/>
                <w:szCs w:val="21"/>
              </w:rPr>
              <w:t>2.本项目【</w:t>
            </w:r>
            <w:r>
              <w:rPr>
                <w:rFonts w:hint="eastAsia" w:ascii="宋体" w:hAnsi="宋体" w:cs="宋体"/>
                <w:b/>
                <w:bCs/>
                <w:szCs w:val="21"/>
              </w:rPr>
              <w:t>接受（   ）不接受（ √  ）</w:t>
            </w:r>
            <w:r>
              <w:rPr>
                <w:rFonts w:hint="eastAsia" w:ascii="宋体" w:hAnsi="宋体" w:cs="宋体"/>
                <w:szCs w:val="21"/>
              </w:rPr>
              <w:t>】其他形式的联合体。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color w:val="auto"/>
                <w:kern w:val="2"/>
                <w:sz w:val="21"/>
              </w:rPr>
            </w:pPr>
            <w:r>
              <w:rPr>
                <w:rFonts w:hint="eastAsia" w:ascii="宋体" w:hAnsi="宋体" w:eastAsia="宋体" w:cs="宋体"/>
                <w:b w:val="0"/>
                <w:bCs w:val="0"/>
                <w:color w:val="auto"/>
                <w:kern w:val="2"/>
                <w:sz w:val="21"/>
              </w:rPr>
              <w:t>转包与分包</w:t>
            </w:r>
          </w:p>
        </w:tc>
        <w:tc>
          <w:tcPr>
            <w:tcW w:w="7187" w:type="dxa"/>
            <w:tcBorders>
              <w:right w:val="double" w:color="auto" w:sz="4" w:space="0"/>
            </w:tcBorders>
            <w:vAlign w:val="center"/>
          </w:tcPr>
          <w:p>
            <w:pPr>
              <w:wordWrap w:val="0"/>
              <w:spacing w:line="300" w:lineRule="auto"/>
              <w:rPr>
                <w:rFonts w:ascii="宋体" w:hAnsi="宋体" w:cs="宋体"/>
                <w:szCs w:val="21"/>
              </w:rPr>
            </w:pPr>
            <w:r>
              <w:rPr>
                <w:rFonts w:hint="eastAsia" w:ascii="宋体" w:hAnsi="宋体" w:cs="宋体"/>
                <w:szCs w:val="21"/>
              </w:rPr>
              <w:t>1.本项目【</w:t>
            </w:r>
            <w:r>
              <w:rPr>
                <w:rFonts w:hint="eastAsia" w:ascii="宋体" w:hAnsi="宋体" w:cs="宋体"/>
                <w:b/>
                <w:szCs w:val="21"/>
              </w:rPr>
              <w:t>允许（   ）不允许（ √ ）</w:t>
            </w:r>
            <w:r>
              <w:rPr>
                <w:rFonts w:hint="eastAsia" w:ascii="宋体" w:hAnsi="宋体" w:cs="宋体"/>
                <w:szCs w:val="21"/>
              </w:rPr>
              <w:t>】转包；</w:t>
            </w:r>
          </w:p>
          <w:p>
            <w:pPr>
              <w:wordWrap w:val="0"/>
              <w:spacing w:line="300" w:lineRule="auto"/>
              <w:rPr>
                <w:rFonts w:ascii="宋体" w:hAnsi="宋体" w:cs="宋体"/>
                <w:szCs w:val="21"/>
              </w:rPr>
            </w:pPr>
            <w:r>
              <w:rPr>
                <w:rFonts w:hint="eastAsia" w:ascii="宋体" w:hAnsi="宋体" w:cs="宋体"/>
                <w:bCs/>
                <w:szCs w:val="21"/>
              </w:rPr>
              <w:t>2.本项目【</w:t>
            </w:r>
            <w:r>
              <w:rPr>
                <w:rFonts w:hint="eastAsia" w:ascii="宋体" w:hAnsi="宋体" w:cs="宋体"/>
                <w:b/>
                <w:szCs w:val="21"/>
              </w:rPr>
              <w:t>允许（   ）不允许（ √ ）</w:t>
            </w:r>
            <w:r>
              <w:rPr>
                <w:rFonts w:hint="eastAsia" w:ascii="宋体" w:hAnsi="宋体" w:cs="宋体"/>
                <w:bCs/>
                <w:szCs w:val="21"/>
              </w:rPr>
              <w:t>】大中型</w:t>
            </w:r>
            <w:r>
              <w:rPr>
                <w:rFonts w:hint="eastAsia" w:ascii="宋体" w:hAnsi="宋体" w:cs="宋体"/>
                <w:szCs w:val="21"/>
              </w:rPr>
              <w:t>企业</w:t>
            </w:r>
            <w:r>
              <w:rPr>
                <w:rFonts w:hint="eastAsia" w:ascii="宋体" w:hAnsi="宋体" w:cs="宋体"/>
                <w:bCs/>
                <w:szCs w:val="21"/>
              </w:rPr>
              <w:t>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b w:val="0"/>
                <w:color w:val="auto"/>
                <w:sz w:val="21"/>
              </w:rPr>
            </w:pPr>
            <w:r>
              <w:rPr>
                <w:rFonts w:hint="eastAsia" w:ascii="宋体" w:hAnsi="宋体" w:eastAsia="宋体" w:cs="宋体"/>
                <w:b w:val="0"/>
                <w:bCs w:val="0"/>
                <w:color w:val="auto"/>
                <w:kern w:val="2"/>
                <w:sz w:val="21"/>
              </w:rPr>
              <w:t>投标人信用查询</w:t>
            </w:r>
          </w:p>
        </w:tc>
        <w:tc>
          <w:tcPr>
            <w:tcW w:w="7187" w:type="dxa"/>
            <w:tcBorders>
              <w:right w:val="double" w:color="auto" w:sz="4" w:space="0"/>
            </w:tcBorders>
            <w:vAlign w:val="center"/>
          </w:tcPr>
          <w:p>
            <w:pPr>
              <w:wordWrap w:val="0"/>
              <w:spacing w:line="300" w:lineRule="auto"/>
              <w:rPr>
                <w:rFonts w:ascii="宋体" w:hAnsi="宋体" w:cs="宋体"/>
                <w:bCs/>
                <w:szCs w:val="21"/>
              </w:rPr>
            </w:pPr>
            <w:r>
              <w:rPr>
                <w:rFonts w:hint="eastAsia" w:ascii="宋体" w:hAnsi="宋体" w:cs="宋体"/>
                <w:bCs/>
                <w:szCs w:val="21"/>
              </w:rPr>
              <w:t>1.采购代理机构将在开标当日对本项目投标</w:t>
            </w:r>
            <w:r>
              <w:rPr>
                <w:rFonts w:hint="eastAsia" w:ascii="宋体" w:hAnsi="宋体" w:cs="宋体"/>
                <w:szCs w:val="21"/>
              </w:rPr>
              <w:t>供应商</w:t>
            </w:r>
            <w:r>
              <w:rPr>
                <w:rFonts w:hint="eastAsia" w:ascii="宋体" w:hAnsi="宋体" w:cs="宋体"/>
                <w:bCs/>
                <w:szCs w:val="21"/>
              </w:rPr>
              <w:t>的信用信息进行查询和甄别；信用信息截止时点为投标文件递交截止日前三年内。</w:t>
            </w:r>
          </w:p>
          <w:p>
            <w:pPr>
              <w:wordWrap w:val="0"/>
              <w:spacing w:line="300" w:lineRule="auto"/>
              <w:rPr>
                <w:rFonts w:ascii="宋体" w:hAnsi="宋体" w:cs="宋体"/>
                <w:bCs/>
                <w:szCs w:val="21"/>
              </w:rPr>
            </w:pPr>
            <w:r>
              <w:rPr>
                <w:rFonts w:hint="eastAsia" w:ascii="宋体" w:hAnsi="宋体" w:cs="宋体"/>
                <w:bCs/>
                <w:szCs w:val="21"/>
              </w:rPr>
              <w:t>2.查询渠道为信用</w:t>
            </w:r>
            <w:r>
              <w:rPr>
                <w:rFonts w:hint="eastAsia" w:ascii="宋体" w:hAnsi="宋体" w:cs="宋体"/>
                <w:szCs w:val="21"/>
              </w:rPr>
              <w:t>中国</w:t>
            </w:r>
            <w:r>
              <w:rPr>
                <w:rFonts w:hint="eastAsia" w:ascii="宋体" w:hAnsi="宋体" w:cs="宋体"/>
                <w:bCs/>
                <w:szCs w:val="21"/>
              </w:rPr>
              <w:t>网站（www.creditchina.gov.cn）、中国政府采购网</w:t>
            </w:r>
          </w:p>
          <w:p>
            <w:pPr>
              <w:pStyle w:val="46"/>
              <w:tabs>
                <w:tab w:val="left" w:pos="6930"/>
              </w:tabs>
              <w:spacing w:beforeAutospacing="0" w:afterAutospacing="0" w:line="360" w:lineRule="auto"/>
              <w:rPr>
                <w:rFonts w:cs="宋体"/>
                <w:bCs/>
                <w:sz w:val="21"/>
                <w:szCs w:val="21"/>
              </w:rPr>
            </w:pPr>
            <w:r>
              <w:rPr>
                <w:rFonts w:hint="eastAsia" w:cs="宋体"/>
                <w:bCs/>
                <w:sz w:val="21"/>
                <w:szCs w:val="21"/>
              </w:rPr>
              <w:t>（www.ccgp.gov.cn）。</w:t>
            </w:r>
          </w:p>
          <w:p>
            <w:pPr>
              <w:wordWrap w:val="0"/>
              <w:spacing w:line="300" w:lineRule="auto"/>
              <w:rPr>
                <w:rFonts w:ascii="宋体" w:hAnsi="宋体" w:cs="宋体"/>
                <w:bCs/>
                <w:szCs w:val="21"/>
              </w:rPr>
            </w:pPr>
            <w:r>
              <w:rPr>
                <w:rFonts w:hint="eastAsia" w:ascii="宋体" w:hAnsi="宋体" w:cs="宋体"/>
                <w:bCs/>
                <w:szCs w:val="21"/>
              </w:rPr>
              <w:t>3.信用信息查询记录和证据以网页截图方式留存。</w:t>
            </w:r>
          </w:p>
          <w:p>
            <w:pPr>
              <w:wordWrap w:val="0"/>
              <w:spacing w:line="300" w:lineRule="auto"/>
              <w:rPr>
                <w:rFonts w:ascii="宋体" w:hAnsi="宋体" w:cs="宋体"/>
                <w:bCs/>
                <w:szCs w:val="21"/>
              </w:rPr>
            </w:pPr>
            <w:r>
              <w:rPr>
                <w:rFonts w:hint="eastAsia" w:ascii="宋体" w:hAnsi="宋体" w:cs="宋体"/>
                <w:bCs/>
                <w:szCs w:val="21"/>
              </w:rPr>
              <w:t>4.不良信用记录指：被列入信用中国网站“失信被执行人”“重大税收违法案件当事人”名单，以及被列入中国政府采购网“政府采购严重违法失信行为记录名单”。</w:t>
            </w:r>
          </w:p>
          <w:p>
            <w:pPr>
              <w:wordWrap w:val="0"/>
              <w:spacing w:line="300" w:lineRule="auto"/>
              <w:rPr>
                <w:rFonts w:ascii="宋体" w:hAnsi="宋体" w:cs="宋体"/>
                <w:bCs/>
                <w:szCs w:val="21"/>
              </w:rPr>
            </w:pPr>
            <w:r>
              <w:rPr>
                <w:rFonts w:hint="eastAsia" w:ascii="宋体" w:hAnsi="宋体" w:cs="宋体"/>
                <w:bCs/>
                <w:szCs w:val="21"/>
              </w:rPr>
              <w:t>5.信用信息的</w:t>
            </w:r>
            <w:r>
              <w:rPr>
                <w:rFonts w:hint="eastAsia" w:ascii="宋体" w:hAnsi="宋体" w:cs="宋体"/>
                <w:szCs w:val="21"/>
              </w:rPr>
              <w:t>使用</w:t>
            </w:r>
            <w:r>
              <w:rPr>
                <w:rFonts w:hint="eastAsia" w:ascii="宋体" w:hAnsi="宋体" w:cs="宋体"/>
                <w:bCs/>
                <w:szCs w:val="21"/>
              </w:rPr>
              <w:t>规则：投标人</w:t>
            </w:r>
            <w:r>
              <w:rPr>
                <w:rFonts w:hint="eastAsia" w:ascii="宋体" w:hAnsi="宋体" w:cs="宋体"/>
                <w:szCs w:val="21"/>
              </w:rPr>
              <w:t>存在</w:t>
            </w:r>
            <w:r>
              <w:rPr>
                <w:rFonts w:hint="eastAsia" w:ascii="宋体" w:hAnsi="宋体" w:cs="宋体"/>
                <w:bCs/>
                <w:szCs w:val="21"/>
              </w:rPr>
              <w:t>不良信用记录的，其投标文件将被拒绝。</w:t>
            </w:r>
          </w:p>
          <w:p>
            <w:pPr>
              <w:pStyle w:val="46"/>
              <w:tabs>
                <w:tab w:val="left" w:pos="6930"/>
              </w:tabs>
              <w:spacing w:beforeAutospacing="0" w:afterAutospacing="0" w:line="300" w:lineRule="auto"/>
              <w:rPr>
                <w:rFonts w:cs="宋体"/>
                <w:sz w:val="21"/>
                <w:szCs w:val="21"/>
              </w:rPr>
            </w:pPr>
            <w:r>
              <w:rPr>
                <w:rFonts w:hint="eastAsia" w:cs="宋体"/>
                <w:bCs/>
                <w:sz w:val="21"/>
                <w:szCs w:val="21"/>
              </w:rPr>
              <w:t>6.联合体成员存在不良信用记录视同联合体存在不良信用记录。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中国执行信息公开网</w:t>
            </w:r>
          </w:p>
          <w:p>
            <w:pPr>
              <w:pStyle w:val="18"/>
              <w:snapToGrid w:val="0"/>
              <w:spacing w:before="0"/>
              <w:jc w:val="center"/>
              <w:rPr>
                <w:rFonts w:ascii="宋体" w:hAnsi="宋体" w:eastAsia="宋体" w:cs="宋体"/>
                <w:b w:val="0"/>
                <w:color w:val="auto"/>
                <w:sz w:val="21"/>
              </w:rPr>
            </w:pPr>
            <w:r>
              <w:rPr>
                <w:rFonts w:hint="eastAsia" w:ascii="宋体" w:hAnsi="宋体" w:eastAsia="宋体" w:cs="宋体"/>
                <w:b w:val="0"/>
                <w:bCs w:val="0"/>
                <w:color w:val="auto"/>
                <w:kern w:val="2"/>
                <w:sz w:val="21"/>
              </w:rPr>
              <w:t>查询</w:t>
            </w:r>
          </w:p>
        </w:tc>
        <w:tc>
          <w:tcPr>
            <w:tcW w:w="7187" w:type="dxa"/>
            <w:tcBorders>
              <w:right w:val="double" w:color="auto" w:sz="4" w:space="0"/>
            </w:tcBorders>
            <w:vAlign w:val="center"/>
          </w:tcPr>
          <w:p>
            <w:pPr>
              <w:wordWrap w:val="0"/>
              <w:spacing w:line="300" w:lineRule="auto"/>
              <w:rPr>
                <w:rFonts w:ascii="宋体" w:hAnsi="宋体" w:cs="宋体"/>
                <w:bCs/>
                <w:szCs w:val="21"/>
              </w:rPr>
            </w:pPr>
            <w:r>
              <w:rPr>
                <w:rFonts w:hint="eastAsia" w:ascii="宋体" w:hAnsi="宋体" w:cs="宋体"/>
                <w:bCs/>
                <w:szCs w:val="21"/>
              </w:rPr>
              <w:t>根据《关于在公共</w:t>
            </w:r>
            <w:r>
              <w:rPr>
                <w:rFonts w:hint="eastAsia" w:ascii="宋体" w:hAnsi="宋体" w:cs="宋体"/>
                <w:szCs w:val="21"/>
              </w:rPr>
              <w:t>资源</w:t>
            </w:r>
            <w:r>
              <w:rPr>
                <w:rFonts w:hint="eastAsia" w:ascii="宋体" w:hAnsi="宋体" w:cs="宋体"/>
                <w:bCs/>
                <w:szCs w:val="21"/>
              </w:rPr>
              <w:t>交易活动中对失信被执行人实施联合惩戒的通知》（常监管办[2019]10 号）规定：</w:t>
            </w:r>
          </w:p>
          <w:p>
            <w:pPr>
              <w:wordWrap w:val="0"/>
              <w:spacing w:line="300" w:lineRule="auto"/>
              <w:rPr>
                <w:rFonts w:ascii="宋体" w:hAnsi="宋体" w:cs="宋体"/>
                <w:bCs/>
                <w:szCs w:val="21"/>
              </w:rPr>
            </w:pPr>
            <w:r>
              <w:rPr>
                <w:rFonts w:hint="eastAsia" w:ascii="宋体" w:hAnsi="宋体" w:cs="宋体"/>
                <w:bCs/>
                <w:szCs w:val="21"/>
              </w:rPr>
              <w:t>1.采购代理机构将对拟作为本项目中标候选人的单位（或自然人）及其法定代表人（或单位负责人）、拟派项目负责人是否被录入全国法院失信被执行人信息公布与查询平台进行查询；</w:t>
            </w:r>
          </w:p>
          <w:p>
            <w:pPr>
              <w:wordWrap w:val="0"/>
              <w:spacing w:line="300" w:lineRule="auto"/>
              <w:rPr>
                <w:rFonts w:ascii="宋体" w:hAnsi="宋体" w:cs="宋体"/>
                <w:bCs/>
                <w:szCs w:val="21"/>
              </w:rPr>
            </w:pPr>
            <w:r>
              <w:rPr>
                <w:rFonts w:hint="eastAsia" w:ascii="宋体" w:hAnsi="宋体" w:cs="宋体"/>
                <w:bCs/>
                <w:szCs w:val="21"/>
              </w:rPr>
              <w:t>2.查询渠道：中国执行信息</w:t>
            </w:r>
            <w:r>
              <w:rPr>
                <w:rFonts w:hint="eastAsia" w:ascii="宋体" w:hAnsi="宋体" w:cs="宋体"/>
                <w:szCs w:val="21"/>
              </w:rPr>
              <w:t>公开</w:t>
            </w:r>
            <w:r>
              <w:rPr>
                <w:rFonts w:hint="eastAsia" w:ascii="宋体" w:hAnsi="宋体" w:cs="宋体"/>
                <w:bCs/>
                <w:szCs w:val="21"/>
              </w:rPr>
              <w:t>网（http://zxgk.court.gov.cn/）；</w:t>
            </w:r>
          </w:p>
          <w:p>
            <w:pPr>
              <w:wordWrap w:val="0"/>
              <w:spacing w:line="300" w:lineRule="auto"/>
              <w:rPr>
                <w:rFonts w:ascii="宋体" w:hAnsi="宋体" w:cs="宋体"/>
                <w:bCs/>
                <w:szCs w:val="21"/>
              </w:rPr>
            </w:pPr>
            <w:r>
              <w:rPr>
                <w:rFonts w:hint="eastAsia" w:ascii="宋体" w:hAnsi="宋体" w:cs="宋体"/>
                <w:bCs/>
                <w:szCs w:val="21"/>
              </w:rPr>
              <w:t>3.查询</w:t>
            </w:r>
            <w:r>
              <w:rPr>
                <w:rFonts w:hint="eastAsia" w:ascii="宋体" w:hAnsi="宋体" w:cs="宋体"/>
                <w:szCs w:val="21"/>
              </w:rPr>
              <w:t>结果</w:t>
            </w:r>
            <w:r>
              <w:rPr>
                <w:rFonts w:hint="eastAsia" w:ascii="宋体" w:hAnsi="宋体" w:cs="宋体"/>
                <w:bCs/>
                <w:szCs w:val="21"/>
              </w:rPr>
              <w:t>留存：以网页截图方式留存；</w:t>
            </w:r>
          </w:p>
          <w:p>
            <w:pPr>
              <w:wordWrap w:val="0"/>
              <w:spacing w:line="300" w:lineRule="auto"/>
              <w:rPr>
                <w:rFonts w:ascii="宋体" w:hAnsi="宋体" w:cs="宋体"/>
                <w:bCs/>
                <w:szCs w:val="21"/>
              </w:rPr>
            </w:pPr>
            <w:r>
              <w:rPr>
                <w:rFonts w:hint="eastAsia" w:ascii="宋体" w:hAnsi="宋体" w:cs="宋体"/>
                <w:bCs/>
                <w:szCs w:val="21"/>
              </w:rPr>
              <w:t>4.查询</w:t>
            </w:r>
            <w:r>
              <w:rPr>
                <w:rFonts w:hint="eastAsia" w:ascii="宋体" w:hAnsi="宋体" w:cs="宋体"/>
                <w:szCs w:val="21"/>
              </w:rPr>
              <w:t>结果运用</w:t>
            </w:r>
            <w:r>
              <w:rPr>
                <w:rFonts w:hint="eastAsia" w:ascii="宋体" w:hAnsi="宋体" w:cs="宋体"/>
                <w:bCs/>
                <w:szCs w:val="21"/>
              </w:rPr>
              <w:t>：被查询人存在失信被执行信息的，取消其中标候选人资格，由排名</w:t>
            </w:r>
            <w:r>
              <w:rPr>
                <w:rFonts w:hint="eastAsia" w:ascii="宋体" w:hAnsi="宋体" w:cs="宋体"/>
                <w:szCs w:val="21"/>
              </w:rPr>
              <w:t>次之</w:t>
            </w:r>
            <w:r>
              <w:rPr>
                <w:rFonts w:hint="eastAsia" w:ascii="宋体" w:hAnsi="宋体" w:cs="宋体"/>
                <w:bCs/>
                <w:szCs w:val="21"/>
              </w:rPr>
              <w:t>的投标人替补；</w:t>
            </w:r>
          </w:p>
          <w:p>
            <w:pPr>
              <w:wordWrap w:val="0"/>
              <w:spacing w:line="300" w:lineRule="auto"/>
              <w:rPr>
                <w:rFonts w:ascii="宋体" w:hAnsi="宋体" w:cs="宋体"/>
                <w:szCs w:val="21"/>
              </w:rPr>
            </w:pPr>
            <w:r>
              <w:rPr>
                <w:rFonts w:hint="eastAsia" w:ascii="宋体" w:hAnsi="宋体" w:cs="宋体"/>
                <w:bCs/>
                <w:szCs w:val="21"/>
              </w:rPr>
              <w:t>5.联合体</w:t>
            </w:r>
            <w:r>
              <w:rPr>
                <w:rFonts w:hint="eastAsia" w:ascii="宋体" w:hAnsi="宋体" w:cs="宋体"/>
                <w:szCs w:val="21"/>
              </w:rPr>
              <w:t>成员</w:t>
            </w:r>
            <w:r>
              <w:rPr>
                <w:rFonts w:hint="eastAsia" w:ascii="宋体" w:hAnsi="宋体" w:cs="宋体"/>
                <w:bCs/>
                <w:szCs w:val="21"/>
              </w:rPr>
              <w:t>存在失信被执行信息视同联合体存在失信被执行信息。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中标结果公告方式</w:t>
            </w:r>
          </w:p>
          <w:p>
            <w:pPr>
              <w:autoSpaceDE w:val="0"/>
              <w:autoSpaceDN w:val="0"/>
              <w:adjustRightInd w:val="0"/>
              <w:jc w:val="center"/>
              <w:rPr>
                <w:rFonts w:ascii="宋体" w:hAnsi="宋体" w:cs="宋体"/>
                <w:szCs w:val="21"/>
              </w:rPr>
            </w:pPr>
            <w:r>
              <w:rPr>
                <w:rFonts w:hint="eastAsia" w:ascii="宋体" w:hAnsi="宋体" w:cs="宋体"/>
                <w:szCs w:val="21"/>
              </w:rPr>
              <w:t>及期限</w:t>
            </w:r>
          </w:p>
        </w:tc>
        <w:tc>
          <w:tcPr>
            <w:tcW w:w="7187" w:type="dxa"/>
            <w:tcBorders>
              <w:right w:val="double" w:color="auto" w:sz="4" w:space="0"/>
            </w:tcBorders>
            <w:vAlign w:val="center"/>
          </w:tcPr>
          <w:p>
            <w:pPr>
              <w:pStyle w:val="46"/>
              <w:tabs>
                <w:tab w:val="left" w:pos="6930"/>
              </w:tabs>
              <w:spacing w:beforeAutospacing="0" w:afterAutospacing="0" w:line="300" w:lineRule="auto"/>
              <w:rPr>
                <w:rFonts w:cs="宋体"/>
                <w:sz w:val="21"/>
                <w:szCs w:val="21"/>
              </w:rPr>
            </w:pPr>
            <w:r>
              <w:rPr>
                <w:rFonts w:hint="eastAsia" w:cs="宋体"/>
                <w:bCs/>
                <w:sz w:val="21"/>
                <w:szCs w:val="21"/>
              </w:rPr>
              <w:t>在原招标公告发布</w:t>
            </w:r>
            <w:r>
              <w:rPr>
                <w:rFonts w:hint="eastAsia" w:cs="宋体"/>
                <w:kern w:val="2"/>
                <w:sz w:val="21"/>
                <w:szCs w:val="21"/>
              </w:rPr>
              <w:t>媒</w:t>
            </w:r>
            <w:r>
              <w:rPr>
                <w:rFonts w:hint="eastAsia" w:cs="宋体"/>
                <w:bCs/>
                <w:sz w:val="21"/>
                <w:szCs w:val="21"/>
              </w:rPr>
              <w:t>体进行中标结果公告，公告期限为发布之日起至第2个工作日止。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签订合同</w:t>
            </w:r>
          </w:p>
        </w:tc>
        <w:tc>
          <w:tcPr>
            <w:tcW w:w="7187" w:type="dxa"/>
            <w:tcBorders>
              <w:right w:val="double" w:color="auto" w:sz="4" w:space="0"/>
            </w:tcBorders>
            <w:vAlign w:val="center"/>
          </w:tcPr>
          <w:p>
            <w:pPr>
              <w:wordWrap w:val="0"/>
              <w:spacing w:line="300" w:lineRule="auto"/>
              <w:rPr>
                <w:rFonts w:ascii="宋体" w:hAnsi="宋体" w:cs="宋体"/>
                <w:szCs w:val="21"/>
              </w:rPr>
            </w:pPr>
            <w:r>
              <w:rPr>
                <w:rFonts w:hint="eastAsia" w:ascii="宋体" w:hAnsi="宋体" w:cs="宋体"/>
                <w:bCs/>
                <w:szCs w:val="21"/>
              </w:rPr>
              <w:t>采购人与</w:t>
            </w:r>
            <w:r>
              <w:rPr>
                <w:rFonts w:hint="eastAsia" w:ascii="宋体" w:hAnsi="宋体" w:cs="宋体"/>
                <w:szCs w:val="21"/>
              </w:rPr>
              <w:t>中标</w:t>
            </w:r>
            <w:r>
              <w:rPr>
                <w:rFonts w:hint="eastAsia" w:ascii="宋体" w:hAnsi="宋体" w:cs="宋体"/>
                <w:bCs/>
                <w:szCs w:val="21"/>
              </w:rPr>
              <w:t>单位应当在中标（成交）通知书发出之日起三十日内，按照采购文件确定的事项及投标文件承诺签订政府采购合同。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szCs w:val="21"/>
              </w:rPr>
              <w:t>履约保证金</w:t>
            </w:r>
          </w:p>
        </w:tc>
        <w:tc>
          <w:tcPr>
            <w:tcW w:w="7187" w:type="dxa"/>
            <w:tcBorders>
              <w:right w:val="double" w:color="auto" w:sz="4" w:space="0"/>
            </w:tcBorders>
            <w:vAlign w:val="center"/>
          </w:tcPr>
          <w:p>
            <w:pPr>
              <w:pStyle w:val="2"/>
              <w:rPr>
                <w:rFonts w:ascii="宋体" w:hAnsi="宋体" w:cs="宋体"/>
                <w:bCs/>
                <w:szCs w:val="21"/>
              </w:rPr>
            </w:pPr>
            <w:r>
              <w:rPr>
                <w:rFonts w:hint="eastAsia" w:ascii="宋体" w:hAnsi="宋体" w:cs="宋体"/>
                <w:bCs/>
                <w:szCs w:val="21"/>
              </w:rPr>
              <w:t>1.本项目履约保证金金额为中标金额的</w:t>
            </w:r>
            <w:r>
              <w:rPr>
                <w:rFonts w:hint="eastAsia" w:ascii="宋体" w:hAnsi="宋体" w:cs="宋体"/>
                <w:b/>
                <w:szCs w:val="21"/>
              </w:rPr>
              <w:t>1%</w:t>
            </w:r>
            <w:r>
              <w:rPr>
                <w:rFonts w:hint="eastAsia" w:ascii="宋体" w:hAnsi="宋体" w:cs="宋体"/>
                <w:bCs/>
                <w:szCs w:val="21"/>
              </w:rPr>
              <w:t>，由中标单位在签订采购合同后5个工作日内向采购人账户以合同约定的形式缴纳。</w:t>
            </w:r>
          </w:p>
          <w:p>
            <w:pPr>
              <w:wordWrap w:val="0"/>
              <w:spacing w:line="300" w:lineRule="auto"/>
              <w:rPr>
                <w:rFonts w:ascii="宋体" w:hAnsi="宋体" w:cs="宋体"/>
                <w:bCs/>
                <w:szCs w:val="21"/>
              </w:rPr>
            </w:pPr>
            <w:r>
              <w:rPr>
                <w:rFonts w:hint="eastAsia" w:ascii="宋体" w:hAnsi="宋体" w:cs="宋体"/>
                <w:bCs/>
                <w:szCs w:val="21"/>
              </w:rPr>
              <w:t>2.合同履行完毕后7个工作日内无息退还履约保证金。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46"/>
              <w:tabs>
                <w:tab w:val="left" w:pos="6930"/>
              </w:tabs>
              <w:spacing w:beforeAutospacing="0" w:afterAutospacing="0"/>
              <w:jc w:val="center"/>
              <w:rPr>
                <w:rFonts w:cs="宋体"/>
                <w:bCs/>
                <w:sz w:val="21"/>
                <w:szCs w:val="21"/>
              </w:rPr>
            </w:pPr>
            <w:r>
              <w:rPr>
                <w:rFonts w:hint="eastAsia" w:cs="宋体"/>
                <w:bCs/>
                <w:sz w:val="21"/>
                <w:szCs w:val="21"/>
              </w:rPr>
              <w:t>招标公告、答疑澄清</w:t>
            </w:r>
          </w:p>
          <w:p>
            <w:pPr>
              <w:pStyle w:val="46"/>
              <w:tabs>
                <w:tab w:val="left" w:pos="6930"/>
              </w:tabs>
              <w:spacing w:beforeAutospacing="0" w:afterAutospacing="0"/>
              <w:jc w:val="center"/>
              <w:rPr>
                <w:rFonts w:cs="宋体"/>
                <w:bCs/>
                <w:sz w:val="21"/>
                <w:szCs w:val="21"/>
              </w:rPr>
            </w:pPr>
            <w:r>
              <w:rPr>
                <w:rFonts w:hint="eastAsia" w:cs="宋体"/>
                <w:bCs/>
                <w:sz w:val="21"/>
                <w:szCs w:val="21"/>
              </w:rPr>
              <w:t>公告及中标结果公告</w:t>
            </w:r>
          </w:p>
          <w:p>
            <w:pPr>
              <w:pStyle w:val="46"/>
              <w:tabs>
                <w:tab w:val="left" w:pos="6930"/>
              </w:tabs>
              <w:spacing w:beforeAutospacing="0" w:afterAutospacing="0"/>
              <w:jc w:val="center"/>
              <w:rPr>
                <w:rFonts w:cs="宋体"/>
                <w:sz w:val="21"/>
                <w:szCs w:val="21"/>
              </w:rPr>
            </w:pPr>
            <w:r>
              <w:rPr>
                <w:rFonts w:hint="eastAsia" w:cs="宋体"/>
                <w:bCs/>
                <w:sz w:val="21"/>
                <w:szCs w:val="21"/>
              </w:rPr>
              <w:t>发布媒体</w:t>
            </w:r>
          </w:p>
        </w:tc>
        <w:tc>
          <w:tcPr>
            <w:tcW w:w="7187" w:type="dxa"/>
            <w:tcBorders>
              <w:right w:val="double" w:color="auto" w:sz="4" w:space="0"/>
            </w:tcBorders>
            <w:vAlign w:val="center"/>
          </w:tcPr>
          <w:p>
            <w:pPr>
              <w:wordWrap w:val="0"/>
              <w:spacing w:line="300" w:lineRule="auto"/>
              <w:rPr>
                <w:rFonts w:ascii="宋体" w:hAnsi="宋体" w:cs="宋体"/>
                <w:bCs/>
                <w:szCs w:val="21"/>
              </w:rPr>
            </w:pPr>
            <w:r>
              <w:rPr>
                <w:rFonts w:hint="eastAsia" w:ascii="宋体" w:hAnsi="宋体" w:cs="宋体"/>
                <w:bCs/>
                <w:szCs w:val="21"/>
              </w:rPr>
              <w:t>浙江</w:t>
            </w:r>
            <w:r>
              <w:rPr>
                <w:rFonts w:hint="eastAsia" w:ascii="宋体" w:hAnsi="宋体" w:cs="宋体"/>
                <w:szCs w:val="21"/>
              </w:rPr>
              <w:t>政府</w:t>
            </w:r>
            <w:r>
              <w:rPr>
                <w:rFonts w:hint="eastAsia" w:ascii="宋体" w:hAnsi="宋体" w:cs="宋体"/>
                <w:bCs/>
                <w:szCs w:val="21"/>
              </w:rPr>
              <w:t>采购网</w:t>
            </w:r>
            <w:r>
              <w:fldChar w:fldCharType="begin"/>
            </w:r>
            <w:r>
              <w:instrText xml:space="preserve"> HYPERLINK "http://www.zjzfcg.gov.cn/new/" </w:instrText>
            </w:r>
            <w:r>
              <w:fldChar w:fldCharType="separate"/>
            </w:r>
            <w:r>
              <w:rPr>
                <w:rFonts w:hint="eastAsia" w:ascii="宋体" w:hAnsi="宋体" w:cs="宋体"/>
                <w:bCs/>
                <w:szCs w:val="21"/>
              </w:rPr>
              <w:t>http://www.zjzfcg.gov.cn/new/</w:t>
            </w:r>
            <w:r>
              <w:rPr>
                <w:rFonts w:hint="eastAsia" w:ascii="宋体" w:hAnsi="宋体" w:cs="宋体"/>
                <w:bCs/>
                <w:szCs w:val="21"/>
              </w:rPr>
              <w:fldChar w:fldCharType="end"/>
            </w:r>
          </w:p>
          <w:p>
            <w:pPr>
              <w:wordWrap w:val="0"/>
              <w:spacing w:line="300" w:lineRule="auto"/>
              <w:rPr>
                <w:rFonts w:ascii="宋体" w:hAnsi="宋体" w:cs="宋体"/>
                <w:szCs w:val="21"/>
              </w:rPr>
            </w:pPr>
            <w:r>
              <w:rPr>
                <w:rFonts w:hint="eastAsia" w:ascii="宋体" w:hAnsi="宋体" w:cs="宋体"/>
                <w:szCs w:val="21"/>
              </w:rPr>
              <w:t>常山县政府网http://www.zjcs.gov.cn/col/col1229635770/index.html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解释权</w:t>
            </w:r>
          </w:p>
        </w:tc>
        <w:tc>
          <w:tcPr>
            <w:tcW w:w="7187" w:type="dxa"/>
            <w:tcBorders>
              <w:right w:val="double" w:color="auto" w:sz="4" w:space="0"/>
            </w:tcBorders>
            <w:vAlign w:val="center"/>
          </w:tcPr>
          <w:p>
            <w:pPr>
              <w:wordWrap w:val="0"/>
              <w:spacing w:line="300" w:lineRule="auto"/>
              <w:rPr>
                <w:rFonts w:ascii="宋体" w:hAnsi="宋体" w:cs="宋体"/>
                <w:bCs/>
                <w:szCs w:val="21"/>
              </w:rPr>
            </w:pPr>
            <w:r>
              <w:rPr>
                <w:rFonts w:hint="eastAsia" w:ascii="宋体" w:hAnsi="宋体" w:cs="宋体"/>
                <w:bCs/>
                <w:szCs w:val="21"/>
              </w:rPr>
              <w:t>构成本</w:t>
            </w:r>
            <w:r>
              <w:rPr>
                <w:rFonts w:hint="eastAsia" w:ascii="宋体" w:hAnsi="宋体" w:cs="宋体"/>
                <w:szCs w:val="21"/>
              </w:rPr>
              <w:t>采购</w:t>
            </w:r>
            <w:r>
              <w:rPr>
                <w:rFonts w:hint="eastAsia" w:ascii="宋体" w:hAnsi="宋体" w:cs="宋体"/>
                <w:bCs/>
                <w:szCs w:val="21"/>
              </w:rPr>
              <w:t>文件的各个组成文件应互为解释，互为说明；如有不</w:t>
            </w:r>
            <w:r>
              <w:rPr>
                <w:rFonts w:hint="eastAsia" w:ascii="宋体" w:hAnsi="宋体" w:cs="宋体"/>
                <w:szCs w:val="21"/>
              </w:rPr>
              <w:t>明确</w:t>
            </w:r>
            <w:r>
              <w:rPr>
                <w:rFonts w:hint="eastAsia" w:ascii="宋体" w:hAnsi="宋体" w:cs="宋体"/>
                <w:bCs/>
                <w:szCs w:val="21"/>
              </w:rPr>
              <w:t>或不一致的，按以下约定处理：</w:t>
            </w:r>
          </w:p>
          <w:p>
            <w:pPr>
              <w:wordWrap w:val="0"/>
              <w:spacing w:line="300" w:lineRule="auto"/>
              <w:rPr>
                <w:rFonts w:ascii="宋体" w:hAnsi="宋体" w:cs="宋体"/>
                <w:bCs/>
                <w:szCs w:val="21"/>
              </w:rPr>
            </w:pPr>
            <w:r>
              <w:rPr>
                <w:rFonts w:hint="eastAsia" w:ascii="宋体" w:hAnsi="宋体" w:cs="宋体"/>
                <w:bCs/>
                <w:szCs w:val="21"/>
              </w:rPr>
              <w:t>1.仅</w:t>
            </w:r>
            <w:r>
              <w:rPr>
                <w:rFonts w:hint="eastAsia" w:ascii="宋体" w:hAnsi="宋体" w:cs="宋体"/>
                <w:szCs w:val="21"/>
              </w:rPr>
              <w:t>适用</w:t>
            </w:r>
            <w:r>
              <w:rPr>
                <w:rFonts w:hint="eastAsia" w:ascii="宋体" w:hAnsi="宋体" w:cs="宋体"/>
                <w:bCs/>
                <w:szCs w:val="21"/>
              </w:rPr>
              <w:t>于招标投标阶段的约定，按招标公告、投标人须知、评标办法、投标文件格式的先后顺序解释；同一文件中就同一事项的约定不一致的，以逻辑顺序在后者为准；同一文件不同版本之间有不一致的，以形成时间在后者为准。</w:t>
            </w:r>
          </w:p>
          <w:p>
            <w:pPr>
              <w:wordWrap w:val="0"/>
              <w:spacing w:line="300" w:lineRule="auto"/>
              <w:rPr>
                <w:rFonts w:ascii="宋体" w:hAnsi="宋体" w:cs="宋体"/>
                <w:bCs/>
                <w:szCs w:val="21"/>
              </w:rPr>
            </w:pPr>
            <w:r>
              <w:rPr>
                <w:rFonts w:hint="eastAsia" w:ascii="宋体" w:hAnsi="宋体" w:cs="宋体"/>
                <w:bCs/>
                <w:szCs w:val="21"/>
              </w:rPr>
              <w:t>2.构成</w:t>
            </w:r>
            <w:r>
              <w:rPr>
                <w:rFonts w:hint="eastAsia" w:ascii="宋体" w:hAnsi="宋体" w:cs="宋体"/>
                <w:szCs w:val="21"/>
              </w:rPr>
              <w:t>合同</w:t>
            </w:r>
            <w:r>
              <w:rPr>
                <w:rFonts w:hint="eastAsia" w:ascii="宋体" w:hAnsi="宋体" w:cs="宋体"/>
                <w:bCs/>
                <w:szCs w:val="21"/>
              </w:rPr>
              <w:t>文件</w:t>
            </w:r>
            <w:r>
              <w:rPr>
                <w:rFonts w:hint="eastAsia" w:ascii="宋体" w:hAnsi="宋体" w:cs="宋体"/>
                <w:szCs w:val="21"/>
              </w:rPr>
              <w:t>组成</w:t>
            </w:r>
            <w:r>
              <w:rPr>
                <w:rFonts w:hint="eastAsia" w:ascii="宋体" w:hAnsi="宋体" w:cs="宋体"/>
                <w:bCs/>
                <w:szCs w:val="21"/>
              </w:rPr>
              <w:t>内容的，以合同文件约定内容为准，且以专用合同条款约定的合同文件优先顺序解释。</w:t>
            </w:r>
          </w:p>
          <w:p>
            <w:pPr>
              <w:wordWrap w:val="0"/>
              <w:spacing w:line="300" w:lineRule="auto"/>
              <w:rPr>
                <w:rFonts w:ascii="宋体" w:hAnsi="宋体" w:cs="宋体"/>
                <w:b/>
                <w:bCs/>
                <w:szCs w:val="21"/>
              </w:rPr>
            </w:pPr>
            <w:r>
              <w:rPr>
                <w:rFonts w:hint="eastAsia" w:ascii="宋体" w:hAnsi="宋体" w:cs="宋体"/>
                <w:bCs/>
                <w:szCs w:val="21"/>
              </w:rPr>
              <w:t>3.按前述约定仍不能形成</w:t>
            </w:r>
            <w:r>
              <w:rPr>
                <w:rFonts w:hint="eastAsia" w:ascii="宋体" w:hAnsi="宋体" w:cs="宋体"/>
                <w:szCs w:val="21"/>
              </w:rPr>
              <w:t>结论</w:t>
            </w:r>
            <w:r>
              <w:rPr>
                <w:rFonts w:hint="eastAsia" w:ascii="宋体" w:hAnsi="宋体" w:cs="宋体"/>
                <w:bCs/>
                <w:szCs w:val="21"/>
              </w:rPr>
              <w:t>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color w:val="auto"/>
                <w:sz w:val="21"/>
              </w:rPr>
            </w:pPr>
            <w:r>
              <w:rPr>
                <w:rFonts w:hint="eastAsia" w:ascii="宋体" w:hAnsi="宋体" w:eastAsia="宋体" w:cs="宋体"/>
                <w:color w:val="auto"/>
                <w:sz w:val="21"/>
              </w:rPr>
              <w:t>服务费</w:t>
            </w:r>
          </w:p>
        </w:tc>
        <w:tc>
          <w:tcPr>
            <w:tcW w:w="7187" w:type="dxa"/>
            <w:tcBorders>
              <w:right w:val="double" w:color="auto" w:sz="4" w:space="0"/>
            </w:tcBorders>
            <w:vAlign w:val="center"/>
          </w:tcPr>
          <w:p>
            <w:pPr>
              <w:wordWrap w:val="0"/>
              <w:spacing w:line="300" w:lineRule="auto"/>
              <w:rPr>
                <w:rFonts w:ascii="宋体" w:hAnsi="宋体" w:cs="宋体"/>
                <w:b/>
                <w:bCs/>
                <w:szCs w:val="21"/>
              </w:rPr>
            </w:pPr>
            <w:r>
              <w:rPr>
                <w:rFonts w:hint="eastAsia" w:ascii="宋体" w:hAnsi="宋体" w:cs="宋体"/>
                <w:b/>
                <w:szCs w:val="21"/>
              </w:rPr>
              <w:t>1.</w:t>
            </w:r>
            <w:r>
              <w:rPr>
                <w:rFonts w:hint="eastAsia" w:ascii="宋体" w:hAnsi="宋体" w:cs="宋体"/>
                <w:b/>
                <w:bCs/>
                <w:szCs w:val="21"/>
              </w:rPr>
              <w:t>本项目代理服务费计费基数为中标价【中标价100万元（含）以下部分按1.5%计收，中标价100万元以上500万元以下部分按1.1%计收，中标价500万元以上1000万元以下部分按0.8%计收】。</w:t>
            </w:r>
          </w:p>
          <w:p>
            <w:pPr>
              <w:wordWrap w:val="0"/>
              <w:spacing w:line="300" w:lineRule="auto"/>
              <w:rPr>
                <w:rFonts w:ascii="宋体" w:hAnsi="宋体" w:cs="宋体"/>
                <w:b/>
                <w:bCs/>
                <w:szCs w:val="21"/>
              </w:rPr>
            </w:pPr>
            <w:r>
              <w:rPr>
                <w:rFonts w:hint="eastAsia" w:ascii="宋体" w:hAnsi="宋体" w:cs="宋体"/>
                <w:b/>
                <w:szCs w:val="21"/>
              </w:rPr>
              <w:t>2.以上费用请各投标人自行考虑在报价中，由中标单位在领取《中标（成交）通知书》时一次性支付给采购代理机构。</w:t>
            </w:r>
          </w:p>
        </w:tc>
      </w:tr>
    </w:tbl>
    <w:p>
      <w:pPr>
        <w:pStyle w:val="4"/>
        <w:spacing w:before="0" w:after="0" w:line="360" w:lineRule="auto"/>
        <w:jc w:val="left"/>
        <w:rPr>
          <w:rFonts w:ascii="宋体" w:hAnsi="宋体" w:eastAsia="宋体" w:cs="宋体"/>
          <w:bCs w:val="0"/>
          <w:sz w:val="21"/>
          <w:szCs w:val="21"/>
          <w:lang w:val="zh-CN"/>
        </w:rPr>
      </w:pPr>
      <w:bookmarkStart w:id="13" w:name="_Toc2465"/>
      <w:bookmarkStart w:id="14" w:name="_Toc13478"/>
      <w:r>
        <w:rPr>
          <w:rFonts w:hint="eastAsia" w:ascii="宋体" w:hAnsi="宋体" w:eastAsia="宋体" w:cs="宋体"/>
          <w:bCs w:val="0"/>
          <w:sz w:val="21"/>
          <w:szCs w:val="21"/>
          <w:lang w:val="zh-CN"/>
        </w:rPr>
        <w:t>一、综合说明</w:t>
      </w:r>
      <w:bookmarkEnd w:id="13"/>
      <w:bookmarkEnd w:id="14"/>
    </w:p>
    <w:p>
      <w:pPr>
        <w:autoSpaceDE w:val="0"/>
        <w:autoSpaceDN w:val="0"/>
        <w:adjustRightInd w:val="0"/>
        <w:spacing w:line="360" w:lineRule="auto"/>
        <w:ind w:firstLine="211" w:firstLineChars="100"/>
        <w:jc w:val="left"/>
        <w:rPr>
          <w:rFonts w:ascii="宋体" w:hAnsi="宋体" w:cs="宋体"/>
          <w:b/>
          <w:szCs w:val="21"/>
        </w:rPr>
      </w:pPr>
      <w:r>
        <w:rPr>
          <w:rFonts w:hint="eastAsia" w:ascii="宋体" w:hAnsi="宋体" w:cs="宋体"/>
          <w:b/>
          <w:szCs w:val="21"/>
          <w:lang w:val="zh-CN"/>
        </w:rPr>
        <w:t>（一）适用范围</w:t>
      </w:r>
    </w:p>
    <w:p>
      <w:pPr>
        <w:wordWrap w:val="0"/>
        <w:spacing w:line="300" w:lineRule="auto"/>
        <w:ind w:firstLine="420" w:firstLineChars="200"/>
        <w:rPr>
          <w:rFonts w:ascii="宋体" w:hAnsi="宋体" w:cs="宋体"/>
          <w:bCs/>
          <w:szCs w:val="21"/>
        </w:rPr>
      </w:pPr>
      <w:r>
        <w:rPr>
          <w:rFonts w:hint="eastAsia" w:ascii="宋体" w:hAnsi="宋体" w:cs="宋体"/>
          <w:bCs/>
          <w:szCs w:val="21"/>
          <w:lang w:val="zh-CN"/>
        </w:rPr>
        <w:t>本采购文件仅适用于</w:t>
      </w:r>
      <w:r>
        <w:rPr>
          <w:rFonts w:hint="eastAsia" w:ascii="宋体" w:hAnsi="宋体" w:cs="宋体"/>
          <w:bCs/>
          <w:szCs w:val="21"/>
        </w:rPr>
        <w:t>本项目招标、投标、评标、定标、验收、合同履约、付款等行为（法律、法规另有规定的，从其规定）。</w:t>
      </w:r>
    </w:p>
    <w:p>
      <w:pPr>
        <w:autoSpaceDE w:val="0"/>
        <w:autoSpaceDN w:val="0"/>
        <w:adjustRightInd w:val="0"/>
        <w:spacing w:line="360" w:lineRule="auto"/>
        <w:ind w:firstLine="211" w:firstLineChars="100"/>
        <w:jc w:val="left"/>
        <w:rPr>
          <w:rFonts w:ascii="宋体" w:hAnsi="宋体" w:cs="宋体"/>
          <w:b/>
          <w:szCs w:val="21"/>
          <w:lang w:val="zh-CN"/>
        </w:rPr>
      </w:pPr>
      <w:r>
        <w:rPr>
          <w:rFonts w:hint="eastAsia" w:ascii="宋体" w:hAnsi="宋体" w:cs="宋体"/>
          <w:b/>
          <w:szCs w:val="21"/>
          <w:lang w:val="zh-CN"/>
        </w:rPr>
        <w:t>（二）定义</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1.“采购人（单位）”是指依法进行政府采购的“常山县水文站”；</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2.“采购代理机构”是指受采购人委托，在委托协议约定范围内依法组织本次招标采购的“浙江哲晟工程项目管理有限公司”；</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3.“投标人（或投标供应商）”是指向本采购项目提交投标文件的法人、其他组织或自然人；</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4.“制造商”是指投标产品的制造（生产）企业或对投标产品拥有所有权的单位；</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5.“中标人（或中标供应商）”是指经评审后获得中标和签订合同资格的投标人；</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6.“书面形式”包括纸质文件、电子邮件、信函、传真等。</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7.“产品（货物）”是指按采购文件要求配置的一切设备、机械、仪器仪表、备品备件、工具、手册及其它有关技术资料和文字材料；</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8.“服务”在货物类采购项目中是指采购文件规定供方须承担的货物运输、调试、技术支持、操作使用培训、维修保养服务；在服务类采购项目是指采购采购内容本身及相关的伴随服务；</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9.实质性响应：是指投标文件相关内容满足或优于招标（采购）文件规定的内容、条款和要求。</w:t>
      </w:r>
    </w:p>
    <w:p>
      <w:pPr>
        <w:wordWrap w:val="0"/>
        <w:spacing w:line="300" w:lineRule="auto"/>
        <w:ind w:firstLine="422" w:firstLineChars="200"/>
        <w:rPr>
          <w:rFonts w:ascii="宋体" w:hAnsi="宋体" w:cs="宋体"/>
          <w:b/>
          <w:szCs w:val="21"/>
          <w:lang w:val="zh-CN"/>
        </w:rPr>
      </w:pPr>
      <w:r>
        <w:rPr>
          <w:rFonts w:hint="eastAsia" w:ascii="宋体" w:hAnsi="宋体" w:cs="宋体"/>
          <w:b/>
          <w:szCs w:val="21"/>
          <w:lang w:val="zh-CN"/>
        </w:rPr>
        <w:t>10.除另行说明外，采购文件中标注 “▲” 的内容为必须满足的实质性内容或不可负偏离指标，投标人未实质性响应的，按投标无效处理；标注 “★” 表示重点提醒投标人注意该内容。（货物采购项目：采购需求产品名称标注 “★” 并加下划线标明的，表示该产品为项目的核心产品）</w:t>
      </w:r>
    </w:p>
    <w:p>
      <w:pPr>
        <w:autoSpaceDE w:val="0"/>
        <w:autoSpaceDN w:val="0"/>
        <w:adjustRightInd w:val="0"/>
        <w:spacing w:line="360" w:lineRule="auto"/>
        <w:ind w:firstLine="211" w:firstLineChars="100"/>
        <w:jc w:val="left"/>
        <w:rPr>
          <w:rFonts w:ascii="宋体" w:hAnsi="宋体" w:cs="宋体"/>
          <w:b/>
          <w:szCs w:val="21"/>
          <w:lang w:val="zh-CN"/>
        </w:rPr>
      </w:pPr>
      <w:r>
        <w:rPr>
          <w:rFonts w:hint="eastAsia" w:ascii="宋体" w:hAnsi="宋体" w:cs="宋体"/>
          <w:b/>
          <w:szCs w:val="21"/>
          <w:lang w:val="zh-CN"/>
        </w:rPr>
        <w:t>（三）采购方式</w:t>
      </w:r>
    </w:p>
    <w:p>
      <w:pPr>
        <w:wordWrap w:val="0"/>
        <w:spacing w:line="300" w:lineRule="auto"/>
        <w:ind w:firstLine="420" w:firstLineChars="200"/>
        <w:rPr>
          <w:rFonts w:ascii="宋体" w:hAnsi="宋体" w:cs="宋体"/>
          <w:szCs w:val="21"/>
        </w:rPr>
      </w:pPr>
      <w:r>
        <w:rPr>
          <w:rFonts w:hint="eastAsia" w:ascii="宋体" w:hAnsi="宋体" w:cs="宋体"/>
          <w:szCs w:val="21"/>
        </w:rPr>
        <w:t>公开招标。</w:t>
      </w:r>
    </w:p>
    <w:p>
      <w:pPr>
        <w:autoSpaceDE w:val="0"/>
        <w:autoSpaceDN w:val="0"/>
        <w:adjustRightInd w:val="0"/>
        <w:spacing w:line="360" w:lineRule="auto"/>
        <w:ind w:firstLine="211" w:firstLineChars="100"/>
        <w:jc w:val="left"/>
        <w:rPr>
          <w:rFonts w:ascii="宋体" w:hAnsi="宋体" w:cs="宋体"/>
          <w:b/>
          <w:szCs w:val="21"/>
          <w:lang w:val="zh-CN"/>
        </w:rPr>
      </w:pPr>
      <w:r>
        <w:rPr>
          <w:rFonts w:hint="eastAsia" w:ascii="宋体" w:hAnsi="宋体" w:cs="宋体"/>
          <w:b/>
          <w:szCs w:val="21"/>
          <w:lang w:val="zh-CN"/>
        </w:rPr>
        <w:t>（四）投标委托</w:t>
      </w:r>
    </w:p>
    <w:p>
      <w:pPr>
        <w:wordWrap w:val="0"/>
        <w:spacing w:line="300" w:lineRule="auto"/>
        <w:ind w:firstLine="420" w:firstLineChars="200"/>
        <w:rPr>
          <w:rFonts w:ascii="宋体" w:hAnsi="宋体" w:cs="宋体"/>
          <w:szCs w:val="21"/>
        </w:rPr>
      </w:pPr>
      <w:r>
        <w:rPr>
          <w:rFonts w:hint="eastAsia" w:ascii="宋体" w:hAnsi="宋体" w:cs="宋体"/>
          <w:szCs w:val="21"/>
        </w:rPr>
        <w:t>如投标人代表是法定代表人的，资格文件须提供法定代表人身份证明复印件【格式见</w:t>
      </w:r>
      <w:r>
        <w:fldChar w:fldCharType="begin"/>
      </w:r>
      <w:r>
        <w:instrText xml:space="preserve">HYPERLINK \l "附件1"</w:instrText>
      </w:r>
      <w:r>
        <w:fldChar w:fldCharType="separate"/>
      </w:r>
      <w:r>
        <w:rPr>
          <w:rStyle w:val="55"/>
          <w:rFonts w:hint="eastAsia" w:ascii="宋体" w:hAnsi="宋体" w:cs="宋体"/>
          <w:color w:val="auto"/>
          <w:szCs w:val="21"/>
        </w:rPr>
        <w:t>附</w:t>
      </w:r>
      <w:bookmarkStart w:id="15" w:name="_Hlt515886231"/>
      <w:r>
        <w:rPr>
          <w:rStyle w:val="55"/>
          <w:rFonts w:hint="eastAsia" w:ascii="宋体" w:hAnsi="宋体" w:cs="宋体"/>
          <w:color w:val="auto"/>
          <w:szCs w:val="21"/>
        </w:rPr>
        <w:t>件</w:t>
      </w:r>
      <w:bookmarkEnd w:id="15"/>
      <w:r>
        <w:rPr>
          <w:rStyle w:val="55"/>
          <w:rFonts w:hint="eastAsia" w:ascii="宋体" w:hAnsi="宋体" w:cs="宋体"/>
          <w:color w:val="auto"/>
          <w:szCs w:val="21"/>
        </w:rPr>
        <w:t>1</w:t>
      </w:r>
      <w:r>
        <w:rPr>
          <w:rStyle w:val="55"/>
          <w:rFonts w:ascii="宋体" w:hAnsi="宋体" w:cs="宋体"/>
          <w:color w:val="auto"/>
          <w:szCs w:val="21"/>
        </w:rPr>
        <w:fldChar w:fldCharType="end"/>
      </w:r>
      <w:r>
        <w:rPr>
          <w:rFonts w:hint="eastAsia" w:ascii="宋体" w:hAnsi="宋体" w:cs="宋体"/>
          <w:szCs w:val="21"/>
        </w:rPr>
        <w:t>】，如投标人代表不是法定代表人的，资格文件须提供法定代表人出具的授权委托书复印件【格式见</w:t>
      </w:r>
      <w:r>
        <w:rPr>
          <w:rFonts w:hint="eastAsia"/>
        </w:rPr>
        <w:fldChar w:fldCharType="begin"/>
      </w:r>
      <w:r>
        <w:rPr>
          <w:rFonts w:hint="eastAsia" w:ascii="宋体" w:hAnsi="宋体" w:cs="宋体"/>
        </w:rPr>
        <w:instrText xml:space="preserve"> HYPERLINK \l "法定代表人授权委托书" </w:instrText>
      </w:r>
      <w:r>
        <w:rPr>
          <w:rFonts w:hint="eastAsia"/>
        </w:rPr>
        <w:fldChar w:fldCharType="separate"/>
      </w:r>
      <w:r>
        <w:rPr>
          <w:rStyle w:val="55"/>
          <w:rFonts w:hint="eastAsia" w:ascii="宋体" w:hAnsi="宋体" w:cs="宋体"/>
          <w:color w:val="auto"/>
          <w:szCs w:val="21"/>
        </w:rPr>
        <w:t>附</w:t>
      </w:r>
      <w:bookmarkStart w:id="16" w:name="_Hlt515892856"/>
      <w:r>
        <w:rPr>
          <w:rStyle w:val="55"/>
          <w:rFonts w:hint="eastAsia" w:ascii="宋体" w:hAnsi="宋体" w:cs="宋体"/>
          <w:color w:val="auto"/>
          <w:szCs w:val="21"/>
        </w:rPr>
        <w:t>件</w:t>
      </w:r>
      <w:bookmarkEnd w:id="16"/>
      <w:r>
        <w:rPr>
          <w:rStyle w:val="55"/>
          <w:rFonts w:hint="eastAsia" w:ascii="宋体" w:hAnsi="宋体" w:cs="宋体"/>
          <w:color w:val="auto"/>
          <w:szCs w:val="21"/>
        </w:rPr>
        <w:t>1</w:t>
      </w:r>
      <w:bookmarkStart w:id="17" w:name="_Hlt515886192"/>
      <w:r>
        <w:rPr>
          <w:rStyle w:val="55"/>
          <w:rFonts w:hint="eastAsia" w:ascii="宋体" w:hAnsi="宋体" w:cs="宋体"/>
          <w:color w:val="auto"/>
          <w:szCs w:val="21"/>
        </w:rPr>
        <w:t>-</w:t>
      </w:r>
      <w:bookmarkEnd w:id="17"/>
      <w:r>
        <w:rPr>
          <w:rStyle w:val="55"/>
          <w:rFonts w:hint="eastAsia" w:ascii="宋体" w:hAnsi="宋体" w:cs="宋体"/>
          <w:color w:val="auto"/>
          <w:szCs w:val="21"/>
        </w:rPr>
        <w:t>1</w:t>
      </w:r>
      <w:r>
        <w:rPr>
          <w:rStyle w:val="55"/>
          <w:rFonts w:hint="eastAsia" w:ascii="宋体" w:hAnsi="宋体" w:cs="宋体"/>
          <w:color w:val="auto"/>
          <w:szCs w:val="21"/>
        </w:rPr>
        <w:fldChar w:fldCharType="end"/>
      </w:r>
      <w:r>
        <w:rPr>
          <w:rFonts w:hint="eastAsia" w:ascii="宋体" w:hAnsi="宋体" w:cs="宋体"/>
          <w:szCs w:val="21"/>
        </w:rPr>
        <w:t>】。</w:t>
      </w:r>
    </w:p>
    <w:p>
      <w:pPr>
        <w:autoSpaceDE w:val="0"/>
        <w:autoSpaceDN w:val="0"/>
        <w:adjustRightInd w:val="0"/>
        <w:spacing w:line="360" w:lineRule="auto"/>
        <w:ind w:firstLine="211" w:firstLineChars="100"/>
        <w:jc w:val="left"/>
        <w:rPr>
          <w:rFonts w:ascii="宋体" w:hAnsi="宋体" w:cs="宋体"/>
          <w:b/>
          <w:szCs w:val="21"/>
          <w:lang w:val="zh-CN"/>
        </w:rPr>
      </w:pPr>
      <w:r>
        <w:rPr>
          <w:rFonts w:hint="eastAsia" w:ascii="宋体" w:hAnsi="宋体" w:cs="宋体"/>
          <w:b/>
          <w:szCs w:val="21"/>
          <w:lang w:val="zh-CN"/>
        </w:rPr>
        <w:t>（五）投标费用</w:t>
      </w:r>
    </w:p>
    <w:p>
      <w:pPr>
        <w:wordWrap w:val="0"/>
        <w:spacing w:line="300" w:lineRule="auto"/>
        <w:ind w:firstLine="420" w:firstLineChars="200"/>
        <w:rPr>
          <w:rFonts w:ascii="宋体" w:hAnsi="宋体" w:cs="宋体"/>
          <w:szCs w:val="21"/>
        </w:rPr>
      </w:pPr>
      <w:r>
        <w:rPr>
          <w:rFonts w:hint="eastAsia" w:ascii="宋体" w:hAnsi="宋体" w:cs="宋体"/>
          <w:szCs w:val="21"/>
        </w:rPr>
        <w:t>不论投标结果如何，投标人均应自行</w:t>
      </w:r>
      <w:r>
        <w:rPr>
          <w:rFonts w:hint="eastAsia" w:ascii="宋体" w:hAnsi="宋体" w:cs="宋体"/>
          <w:bCs/>
          <w:szCs w:val="21"/>
          <w:lang w:val="zh-CN"/>
        </w:rPr>
        <w:t>承担</w:t>
      </w:r>
      <w:r>
        <w:rPr>
          <w:rFonts w:hint="eastAsia" w:ascii="宋体" w:hAnsi="宋体" w:cs="宋体"/>
          <w:szCs w:val="21"/>
        </w:rPr>
        <w:t>所有与投标有关的全部费用。</w:t>
      </w:r>
    </w:p>
    <w:p>
      <w:pPr>
        <w:autoSpaceDE w:val="0"/>
        <w:autoSpaceDN w:val="0"/>
        <w:adjustRightInd w:val="0"/>
        <w:spacing w:line="360" w:lineRule="auto"/>
        <w:ind w:firstLine="211" w:firstLineChars="100"/>
        <w:jc w:val="left"/>
        <w:rPr>
          <w:rFonts w:ascii="宋体" w:hAnsi="宋体" w:cs="宋体"/>
          <w:b/>
          <w:szCs w:val="21"/>
          <w:lang w:val="zh-CN"/>
        </w:rPr>
      </w:pPr>
      <w:r>
        <w:rPr>
          <w:rFonts w:hint="eastAsia" w:ascii="宋体" w:hAnsi="宋体" w:cs="宋体"/>
          <w:b/>
          <w:szCs w:val="21"/>
          <w:lang w:val="zh-CN"/>
        </w:rPr>
        <w:t>（六）联合体投标</w:t>
      </w:r>
    </w:p>
    <w:p>
      <w:pPr>
        <w:wordWrap w:val="0"/>
        <w:spacing w:line="300" w:lineRule="auto"/>
        <w:ind w:firstLine="420" w:firstLineChars="200"/>
        <w:rPr>
          <w:rFonts w:ascii="宋体" w:hAnsi="宋体" w:cs="宋体"/>
          <w:szCs w:val="21"/>
        </w:rPr>
      </w:pPr>
      <w:r>
        <w:rPr>
          <w:rFonts w:hint="eastAsia" w:ascii="宋体" w:hAnsi="宋体" w:cs="宋体"/>
          <w:szCs w:val="21"/>
        </w:rPr>
        <w:t>本项目不接受联合体</w:t>
      </w:r>
      <w:r>
        <w:rPr>
          <w:rFonts w:hint="eastAsia" w:ascii="宋体" w:hAnsi="宋体" w:cs="宋体"/>
          <w:bCs/>
          <w:szCs w:val="21"/>
          <w:lang w:val="zh-CN"/>
        </w:rPr>
        <w:t>投标</w:t>
      </w:r>
      <w:r>
        <w:rPr>
          <w:rFonts w:hint="eastAsia" w:ascii="宋体" w:hAnsi="宋体" w:cs="宋体"/>
          <w:szCs w:val="21"/>
        </w:rPr>
        <w:t>。</w:t>
      </w:r>
    </w:p>
    <w:p>
      <w:pPr>
        <w:autoSpaceDE w:val="0"/>
        <w:autoSpaceDN w:val="0"/>
        <w:adjustRightInd w:val="0"/>
        <w:spacing w:line="360" w:lineRule="auto"/>
        <w:ind w:firstLine="211" w:firstLineChars="100"/>
        <w:jc w:val="left"/>
        <w:rPr>
          <w:rFonts w:ascii="宋体" w:hAnsi="宋体" w:cs="宋体"/>
          <w:b/>
          <w:szCs w:val="21"/>
          <w:lang w:val="zh-CN"/>
        </w:rPr>
      </w:pPr>
      <w:r>
        <w:rPr>
          <w:rFonts w:hint="eastAsia" w:ascii="宋体" w:hAnsi="宋体" w:cs="宋体"/>
          <w:b/>
          <w:szCs w:val="21"/>
          <w:lang w:val="zh-CN"/>
        </w:rPr>
        <w:t>（七）转包与分包</w:t>
      </w:r>
    </w:p>
    <w:p>
      <w:pPr>
        <w:wordWrap w:val="0"/>
        <w:spacing w:line="300" w:lineRule="auto"/>
        <w:ind w:firstLine="420" w:firstLineChars="200"/>
        <w:rPr>
          <w:rFonts w:ascii="宋体" w:hAnsi="宋体" w:cs="宋体"/>
          <w:kern w:val="0"/>
          <w:szCs w:val="21"/>
        </w:rPr>
      </w:pPr>
      <w:r>
        <w:rPr>
          <w:rFonts w:hint="eastAsia" w:ascii="宋体" w:hAnsi="宋体" w:cs="宋体"/>
          <w:kern w:val="0"/>
          <w:szCs w:val="21"/>
        </w:rPr>
        <w:t>1.本项目不允许</w:t>
      </w:r>
      <w:r>
        <w:rPr>
          <w:rFonts w:hint="eastAsia" w:ascii="宋体" w:hAnsi="宋体" w:cs="宋体"/>
          <w:bCs/>
          <w:szCs w:val="21"/>
          <w:lang w:val="zh-CN"/>
        </w:rPr>
        <w:t>转包</w:t>
      </w:r>
      <w:r>
        <w:rPr>
          <w:rFonts w:hint="eastAsia" w:ascii="宋体" w:hAnsi="宋体" w:cs="宋体"/>
          <w:kern w:val="0"/>
          <w:szCs w:val="21"/>
        </w:rPr>
        <w:t>。</w:t>
      </w:r>
    </w:p>
    <w:p>
      <w:pPr>
        <w:wordWrap w:val="0"/>
        <w:spacing w:line="300" w:lineRule="auto"/>
        <w:ind w:firstLine="420" w:firstLineChars="200"/>
        <w:rPr>
          <w:rFonts w:ascii="宋体" w:hAnsi="宋体" w:cs="宋体"/>
          <w:szCs w:val="21"/>
        </w:rPr>
      </w:pPr>
      <w:r>
        <w:rPr>
          <w:rFonts w:hint="eastAsia" w:ascii="宋体" w:hAnsi="宋体" w:cs="宋体"/>
          <w:kern w:val="0"/>
          <w:szCs w:val="21"/>
        </w:rPr>
        <w:t>2.本项目不允许分包</w:t>
      </w:r>
      <w:r>
        <w:rPr>
          <w:rFonts w:hint="eastAsia" w:ascii="宋体" w:hAnsi="宋体" w:cs="宋体"/>
          <w:szCs w:val="21"/>
        </w:rPr>
        <w:t>。</w:t>
      </w:r>
    </w:p>
    <w:p>
      <w:pPr>
        <w:pStyle w:val="4"/>
        <w:spacing w:before="0" w:after="0" w:line="360" w:lineRule="auto"/>
        <w:jc w:val="left"/>
        <w:rPr>
          <w:rFonts w:ascii="宋体" w:hAnsi="宋体" w:eastAsia="宋体" w:cs="宋体"/>
          <w:bCs w:val="0"/>
          <w:sz w:val="21"/>
          <w:szCs w:val="21"/>
          <w:lang w:val="zh-CN"/>
        </w:rPr>
      </w:pPr>
      <w:bookmarkStart w:id="18" w:name="_Toc17761"/>
      <w:bookmarkStart w:id="19" w:name="_Toc25057"/>
      <w:r>
        <w:rPr>
          <w:rFonts w:hint="eastAsia" w:ascii="宋体" w:hAnsi="宋体" w:eastAsia="宋体" w:cs="宋体"/>
          <w:bCs w:val="0"/>
          <w:sz w:val="21"/>
          <w:szCs w:val="21"/>
          <w:lang w:val="zh-CN"/>
        </w:rPr>
        <w:t>二、采购文件</w:t>
      </w:r>
      <w:bookmarkEnd w:id="18"/>
      <w:bookmarkEnd w:id="19"/>
    </w:p>
    <w:p>
      <w:pPr>
        <w:autoSpaceDE w:val="0"/>
        <w:autoSpaceDN w:val="0"/>
        <w:adjustRightInd w:val="0"/>
        <w:spacing w:line="360" w:lineRule="auto"/>
        <w:ind w:firstLine="211" w:firstLineChars="100"/>
        <w:jc w:val="left"/>
        <w:rPr>
          <w:rFonts w:ascii="宋体" w:hAnsi="宋体" w:cs="宋体"/>
          <w:b/>
          <w:szCs w:val="21"/>
          <w:lang w:val="zh-CN"/>
        </w:rPr>
      </w:pPr>
      <w:r>
        <w:rPr>
          <w:rFonts w:hint="eastAsia" w:ascii="宋体" w:hAnsi="宋体" w:cs="宋体"/>
          <w:b/>
          <w:szCs w:val="21"/>
          <w:lang w:val="zh-CN"/>
        </w:rPr>
        <w:t>（一）采购文件的构成。本采购文件由以下部份组成：</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1.招标公告</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2.投标须知</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3.采购内容及要求</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4.评标办法</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5.合同主要条款</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6.投标文件格式</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7.本项目采购文件的澄清、答复、修改、补充的内容（如有）</w:t>
      </w:r>
    </w:p>
    <w:p>
      <w:pPr>
        <w:autoSpaceDE w:val="0"/>
        <w:autoSpaceDN w:val="0"/>
        <w:adjustRightInd w:val="0"/>
        <w:spacing w:line="360" w:lineRule="auto"/>
        <w:ind w:firstLine="211" w:firstLineChars="100"/>
        <w:jc w:val="left"/>
        <w:rPr>
          <w:rFonts w:ascii="宋体" w:hAnsi="宋体" w:cs="宋体"/>
          <w:b/>
          <w:szCs w:val="21"/>
          <w:lang w:val="zh-CN"/>
        </w:rPr>
      </w:pPr>
      <w:r>
        <w:rPr>
          <w:rFonts w:hint="eastAsia" w:ascii="宋体" w:hAnsi="宋体" w:cs="宋体"/>
          <w:b/>
          <w:szCs w:val="21"/>
          <w:lang w:val="zh-CN"/>
        </w:rPr>
        <w:t>（二）投标人的风险</w:t>
      </w:r>
    </w:p>
    <w:p>
      <w:pPr>
        <w:wordWrap w:val="0"/>
        <w:spacing w:line="300" w:lineRule="auto"/>
        <w:ind w:firstLine="420" w:firstLineChars="200"/>
        <w:rPr>
          <w:rFonts w:ascii="宋体" w:hAnsi="宋体" w:cs="宋体"/>
          <w:szCs w:val="21"/>
        </w:rPr>
      </w:pPr>
      <w:r>
        <w:rPr>
          <w:rFonts w:hint="eastAsia" w:ascii="宋体" w:hAnsi="宋体" w:cs="宋体"/>
          <w:szCs w:val="21"/>
        </w:rPr>
        <w:t>潜在投标人获取采购文件后，应仔细检查采购文件的所有内容，如有残缺等问题，应在招标采购文件公告期限满之日起的7个工作日内向采购人或代理机构提出，否则，由此引起的损失由投标人自己承担。投标人同时应认真审阅采购文件中所有的事项、格式、条款和规范要求等，若投标人的投标文件没有按采购文件要求提交全部资料，或投标文件没有对采购文件做出实质性响应，并根据有关条款规定，其风险由投标人自行承担。</w:t>
      </w:r>
    </w:p>
    <w:p>
      <w:pPr>
        <w:autoSpaceDE w:val="0"/>
        <w:autoSpaceDN w:val="0"/>
        <w:adjustRightInd w:val="0"/>
        <w:spacing w:line="360" w:lineRule="auto"/>
        <w:ind w:firstLine="211" w:firstLineChars="100"/>
        <w:jc w:val="left"/>
        <w:rPr>
          <w:rFonts w:ascii="宋体" w:hAnsi="宋体" w:cs="宋体"/>
          <w:b/>
          <w:szCs w:val="21"/>
        </w:rPr>
      </w:pPr>
      <w:r>
        <w:rPr>
          <w:rFonts w:hint="eastAsia" w:ascii="宋体" w:hAnsi="宋体" w:cs="宋体"/>
          <w:b/>
          <w:szCs w:val="21"/>
          <w:lang w:val="zh-CN"/>
        </w:rPr>
        <w:t xml:space="preserve">（三）采购文件的澄清与修改 </w:t>
      </w:r>
    </w:p>
    <w:p>
      <w:pPr>
        <w:wordWrap w:val="0"/>
        <w:spacing w:line="300" w:lineRule="auto"/>
        <w:ind w:firstLine="420" w:firstLineChars="200"/>
        <w:rPr>
          <w:rFonts w:ascii="宋体" w:hAnsi="宋体" w:cs="宋体"/>
          <w:szCs w:val="21"/>
        </w:rPr>
      </w:pPr>
      <w:r>
        <w:rPr>
          <w:rFonts w:hint="eastAsia" w:ascii="宋体" w:hAnsi="宋体" w:cs="宋体"/>
          <w:szCs w:val="21"/>
        </w:rPr>
        <w:t>1.采购人或者采购代理机构可以对</w:t>
      </w:r>
      <w:r>
        <w:rPr>
          <w:rFonts w:hint="eastAsia" w:ascii="宋体" w:hAnsi="宋体" w:cs="宋体"/>
          <w:bCs/>
          <w:szCs w:val="21"/>
          <w:lang w:val="zh-CN"/>
        </w:rPr>
        <w:t>已发出的采购文件进行必要的澄清或者修改。澄清或者修改的内容在原公告发布媒体上以补</w:t>
      </w:r>
      <w:r>
        <w:rPr>
          <w:rFonts w:hint="eastAsia" w:ascii="宋体" w:hAnsi="宋体" w:cs="宋体"/>
          <w:szCs w:val="21"/>
        </w:rPr>
        <w:t>充（</w:t>
      </w:r>
      <w:r>
        <w:rPr>
          <w:rFonts w:hint="eastAsia" w:ascii="宋体" w:hAnsi="宋体" w:cs="宋体"/>
          <w:bCs/>
          <w:szCs w:val="21"/>
          <w:lang w:val="zh-CN"/>
        </w:rPr>
        <w:t>更正</w:t>
      </w:r>
      <w:r>
        <w:rPr>
          <w:rFonts w:hint="eastAsia" w:ascii="宋体" w:hAnsi="宋体" w:cs="宋体"/>
          <w:szCs w:val="21"/>
        </w:rPr>
        <w:t>）公告形式通知所有获取采购文件的潜在投标人。澄清或者修改的内容作为采购采购文件的补充和组成部分，对所有投标人均有约束力。澄清或者修改的内容可能影响投标文件编制且发出时间距投标截止时间不足15日的，将顺延投标截止时间。</w:t>
      </w:r>
    </w:p>
    <w:p>
      <w:pPr>
        <w:wordWrap w:val="0"/>
        <w:spacing w:line="300" w:lineRule="auto"/>
        <w:ind w:firstLine="420" w:firstLineChars="200"/>
        <w:rPr>
          <w:rFonts w:ascii="宋体" w:hAnsi="宋体" w:cs="宋体"/>
          <w:szCs w:val="21"/>
        </w:rPr>
      </w:pPr>
      <w:r>
        <w:rPr>
          <w:rFonts w:hint="eastAsia" w:ascii="宋体" w:hAnsi="宋体" w:cs="宋体"/>
          <w:szCs w:val="21"/>
        </w:rPr>
        <w:t>2.投标人应认真阅读本采购文件，发现其中有误或有不合理要求的，投标人应当自知道或者应当知道其合法权益受到损害之日起七个工作日内提出质疑。对采购公告信息（含投标人资格条件）提出质疑的，质疑期限自采购公告期限届满之日起计算。针对同一采购程序环节的质疑，供应商应在法定期限内一次性提出（即针对同一采购程序环节的质疑采购人或采购代理机构仅受理一次）。</w:t>
      </w:r>
    </w:p>
    <w:p>
      <w:pPr>
        <w:wordWrap w:val="0"/>
        <w:spacing w:line="300" w:lineRule="auto"/>
        <w:ind w:firstLine="420" w:firstLineChars="200"/>
        <w:rPr>
          <w:rFonts w:ascii="宋体" w:hAnsi="宋体" w:cs="宋体"/>
          <w:szCs w:val="21"/>
        </w:rPr>
      </w:pPr>
      <w:r>
        <w:rPr>
          <w:rFonts w:hint="eastAsia" w:ascii="宋体" w:hAnsi="宋体" w:cs="宋体"/>
          <w:szCs w:val="21"/>
        </w:rPr>
        <w:t>3.采购文件澄清、</w:t>
      </w:r>
      <w:r>
        <w:rPr>
          <w:rFonts w:hint="eastAsia" w:ascii="宋体" w:hAnsi="宋体" w:cs="宋体"/>
          <w:bCs/>
          <w:szCs w:val="21"/>
          <w:lang w:val="zh-CN"/>
        </w:rPr>
        <w:t>答复</w:t>
      </w:r>
      <w:r>
        <w:rPr>
          <w:rFonts w:hint="eastAsia" w:ascii="宋体" w:hAnsi="宋体" w:cs="宋体"/>
          <w:szCs w:val="21"/>
        </w:rPr>
        <w:t>、修改、补充的内容为采购文件的组成部分。当采购文件与采购文件的答复、澄清、修改、补充通知就同一内容的表述不一致时，以最后发出的书面文件为准。</w:t>
      </w:r>
    </w:p>
    <w:p>
      <w:pPr>
        <w:pStyle w:val="4"/>
        <w:spacing w:before="0" w:after="0" w:line="360" w:lineRule="auto"/>
        <w:jc w:val="left"/>
        <w:rPr>
          <w:rFonts w:ascii="宋体" w:hAnsi="宋体" w:eastAsia="宋体" w:cs="宋体"/>
          <w:bCs w:val="0"/>
          <w:sz w:val="21"/>
          <w:szCs w:val="21"/>
          <w:lang w:val="zh-CN"/>
        </w:rPr>
      </w:pPr>
      <w:bookmarkStart w:id="20" w:name="_Toc15479"/>
      <w:bookmarkStart w:id="21" w:name="_Toc13593"/>
      <w:bookmarkStart w:id="22" w:name="_Toc4947"/>
      <w:r>
        <w:rPr>
          <w:rFonts w:hint="eastAsia" w:ascii="宋体" w:hAnsi="宋体" w:eastAsia="宋体" w:cs="宋体"/>
          <w:bCs w:val="0"/>
          <w:sz w:val="21"/>
          <w:szCs w:val="21"/>
          <w:lang w:val="zh-CN"/>
        </w:rPr>
        <w:t>三、</w:t>
      </w:r>
      <w:r>
        <w:rPr>
          <w:rFonts w:hint="eastAsia" w:ascii="宋体" w:hAnsi="宋体" w:eastAsia="宋体" w:cs="宋体"/>
          <w:sz w:val="21"/>
          <w:szCs w:val="21"/>
          <w:lang w:val="zh-CN"/>
        </w:rPr>
        <w:t>投标</w:t>
      </w:r>
      <w:r>
        <w:rPr>
          <w:rFonts w:hint="eastAsia" w:ascii="宋体" w:hAnsi="宋体" w:eastAsia="宋体" w:cs="宋体"/>
          <w:bCs w:val="0"/>
          <w:sz w:val="21"/>
          <w:szCs w:val="21"/>
          <w:lang w:val="zh-CN"/>
        </w:rPr>
        <w:t>文件</w:t>
      </w:r>
      <w:bookmarkEnd w:id="20"/>
      <w:bookmarkEnd w:id="21"/>
      <w:bookmarkEnd w:id="22"/>
    </w:p>
    <w:p>
      <w:pPr>
        <w:spacing w:line="360" w:lineRule="auto"/>
        <w:ind w:firstLine="422" w:firstLineChars="200"/>
        <w:rPr>
          <w:rFonts w:ascii="宋体" w:hAnsi="宋体" w:cs="宋体"/>
          <w:b/>
          <w:szCs w:val="21"/>
          <w:lang w:val="zh-CN"/>
        </w:rPr>
      </w:pPr>
      <w:r>
        <w:rPr>
          <w:rFonts w:hint="eastAsia" w:ascii="宋体" w:hAnsi="宋体" w:cs="宋体"/>
          <w:b/>
          <w:bCs/>
          <w:szCs w:val="21"/>
        </w:rPr>
        <w:t>（一）</w:t>
      </w:r>
      <w:r>
        <w:rPr>
          <w:rFonts w:hint="eastAsia" w:ascii="宋体" w:hAnsi="宋体" w:cs="宋体"/>
          <w:b/>
          <w:szCs w:val="21"/>
          <w:lang w:val="zh-CN"/>
        </w:rPr>
        <w:t>投标</w:t>
      </w:r>
      <w:r>
        <w:rPr>
          <w:rStyle w:val="149"/>
          <w:rFonts w:hint="eastAsia" w:ascii="宋体" w:hAnsi="宋体" w:cs="宋体"/>
          <w:b/>
          <w:szCs w:val="21"/>
          <w:lang w:val="zh-CN"/>
        </w:rPr>
        <w:t>文件</w:t>
      </w:r>
      <w:r>
        <w:rPr>
          <w:rFonts w:hint="eastAsia" w:ascii="宋体" w:hAnsi="宋体" w:cs="宋体"/>
          <w:b/>
          <w:szCs w:val="21"/>
          <w:lang w:val="zh-CN"/>
        </w:rPr>
        <w:t>的组成</w:t>
      </w:r>
    </w:p>
    <w:p>
      <w:pPr>
        <w:wordWrap w:val="0"/>
        <w:spacing w:line="300" w:lineRule="auto"/>
        <w:ind w:firstLine="420" w:firstLineChars="200"/>
        <w:rPr>
          <w:rFonts w:ascii="宋体" w:hAnsi="宋体" w:cs="宋体"/>
          <w:b/>
          <w:szCs w:val="21"/>
          <w:highlight w:val="yellow"/>
          <w:u w:val="single"/>
          <w:lang w:val="zh-CN"/>
        </w:rPr>
      </w:pPr>
      <w:r>
        <w:rPr>
          <w:rFonts w:hint="eastAsia" w:ascii="宋体" w:hAnsi="宋体" w:cs="宋体"/>
          <w:bCs/>
          <w:szCs w:val="21"/>
          <w:u w:val="single"/>
          <w:lang w:val="zh-CN"/>
        </w:rPr>
        <w:t>▲</w:t>
      </w:r>
      <w:r>
        <w:rPr>
          <w:rFonts w:hint="eastAsia" w:ascii="宋体" w:hAnsi="宋体" w:cs="宋体"/>
          <w:b/>
          <w:szCs w:val="21"/>
          <w:u w:val="single"/>
        </w:rPr>
        <w:t>投标文件由</w:t>
      </w:r>
      <w:r>
        <w:rPr>
          <w:rFonts w:hint="eastAsia" w:ascii="宋体" w:hAnsi="宋体" w:cs="宋体"/>
          <w:b/>
          <w:bCs/>
          <w:szCs w:val="21"/>
          <w:u w:val="single"/>
          <w:lang w:val="zh-CN"/>
        </w:rPr>
        <w:t>【资格文件】</w:t>
      </w:r>
      <w:r>
        <w:rPr>
          <w:rFonts w:hint="eastAsia" w:ascii="宋体" w:hAnsi="宋体" w:cs="宋体"/>
          <w:b/>
          <w:szCs w:val="21"/>
          <w:u w:val="single"/>
          <w:lang w:val="zh-CN"/>
        </w:rPr>
        <w:t>、</w:t>
      </w:r>
      <w:r>
        <w:rPr>
          <w:rFonts w:hint="eastAsia" w:ascii="宋体" w:hAnsi="宋体" w:cs="宋体"/>
          <w:b/>
          <w:bCs/>
          <w:szCs w:val="21"/>
          <w:u w:val="single"/>
          <w:lang w:val="zh-CN"/>
        </w:rPr>
        <w:t>【商务技术文件】、【报价文件】</w:t>
      </w:r>
      <w:r>
        <w:rPr>
          <w:rFonts w:hint="eastAsia" w:ascii="宋体" w:hAnsi="宋体" w:cs="宋体"/>
          <w:b/>
          <w:szCs w:val="21"/>
          <w:u w:val="single"/>
        </w:rPr>
        <w:t>三个类别组成。</w:t>
      </w:r>
    </w:p>
    <w:p>
      <w:pPr>
        <w:wordWrap w:val="0"/>
        <w:spacing w:line="300" w:lineRule="auto"/>
        <w:ind w:firstLine="422" w:firstLineChars="200"/>
        <w:rPr>
          <w:rFonts w:ascii="宋体" w:hAnsi="宋体" w:cs="宋体"/>
          <w:b/>
          <w:szCs w:val="21"/>
        </w:rPr>
      </w:pPr>
      <w:r>
        <w:rPr>
          <w:rFonts w:hint="eastAsia" w:ascii="宋体" w:hAnsi="宋体" w:cs="宋体"/>
          <w:b/>
          <w:szCs w:val="21"/>
        </w:rPr>
        <w:t>电子响应文件需加盖公章部分均采用CA签章。</w:t>
      </w:r>
    </w:p>
    <w:p>
      <w:pPr>
        <w:autoSpaceDE w:val="0"/>
        <w:autoSpaceDN w:val="0"/>
        <w:adjustRightInd w:val="0"/>
        <w:spacing w:line="360" w:lineRule="auto"/>
        <w:ind w:firstLine="422" w:firstLineChars="200"/>
        <w:rPr>
          <w:rFonts w:ascii="宋体" w:hAnsi="宋体" w:cs="宋体"/>
          <w:szCs w:val="21"/>
          <w:lang w:val="zh-CN"/>
        </w:rPr>
      </w:pPr>
      <w:r>
        <w:rPr>
          <w:rFonts w:hint="eastAsia" w:ascii="宋体" w:hAnsi="宋体" w:cs="宋体"/>
          <w:b/>
          <w:szCs w:val="21"/>
          <w:lang w:val="zh-CN"/>
        </w:rPr>
        <w:t>1.【资格文件】：</w:t>
      </w:r>
      <w:r>
        <w:rPr>
          <w:rFonts w:hint="eastAsia" w:ascii="宋体" w:hAnsi="宋体" w:cs="宋体"/>
          <w:szCs w:val="21"/>
          <w:u w:val="single"/>
          <w:lang w:val="zh-CN"/>
        </w:rPr>
        <w:t>（</w:t>
      </w:r>
      <w:r>
        <w:rPr>
          <w:rFonts w:hint="eastAsia" w:ascii="宋体" w:hAnsi="宋体" w:cs="宋体"/>
          <w:bCs/>
          <w:szCs w:val="21"/>
          <w:u w:val="single"/>
          <w:lang w:val="zh-CN"/>
        </w:rPr>
        <w:t>包含以下内容</w:t>
      </w:r>
      <w:r>
        <w:rPr>
          <w:rFonts w:hint="eastAsia" w:ascii="宋体" w:hAnsi="宋体" w:cs="宋体"/>
          <w:szCs w:val="21"/>
          <w:u w:val="single"/>
          <w:lang w:val="zh-CN"/>
        </w:rPr>
        <w:t>）</w:t>
      </w:r>
    </w:p>
    <w:p>
      <w:pPr>
        <w:wordWrap w:val="0"/>
        <w:spacing w:line="300" w:lineRule="auto"/>
        <w:ind w:firstLine="420" w:firstLineChars="200"/>
        <w:rPr>
          <w:rFonts w:ascii="宋体" w:hAnsi="宋体" w:cs="宋体"/>
          <w:b/>
          <w:szCs w:val="21"/>
          <w:lang w:val="zh-CN"/>
        </w:rPr>
      </w:pPr>
      <w:r>
        <w:rPr>
          <w:rFonts w:hint="eastAsia" w:ascii="宋体" w:hAnsi="宋体" w:cs="宋体"/>
          <w:szCs w:val="21"/>
          <w:lang w:val="zh-CN"/>
        </w:rPr>
        <w:t>（1）有效的《</w:t>
      </w:r>
      <w:r>
        <w:rPr>
          <w:rFonts w:hint="eastAsia" w:ascii="宋体" w:hAnsi="宋体" w:cs="宋体"/>
          <w:bCs/>
          <w:szCs w:val="21"/>
          <w:lang w:val="zh-CN"/>
        </w:rPr>
        <w:t>营业执照</w:t>
      </w:r>
      <w:r>
        <w:rPr>
          <w:rFonts w:hint="eastAsia" w:ascii="宋体" w:hAnsi="宋体" w:cs="宋体"/>
          <w:szCs w:val="21"/>
          <w:lang w:val="zh-CN"/>
        </w:rPr>
        <w:t>》</w:t>
      </w:r>
      <w:r>
        <w:rPr>
          <w:rFonts w:hint="eastAsia" w:ascii="宋体" w:hAnsi="宋体" w:cs="宋体"/>
          <w:b/>
          <w:bCs/>
          <w:szCs w:val="21"/>
          <w:lang w:val="zh-CN"/>
        </w:rPr>
        <w:t>复印件；</w:t>
      </w:r>
    </w:p>
    <w:p>
      <w:pPr>
        <w:wordWrap w:val="0"/>
        <w:spacing w:line="300" w:lineRule="auto"/>
        <w:ind w:firstLine="420" w:firstLineChars="200"/>
        <w:rPr>
          <w:rStyle w:val="149"/>
          <w:rFonts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）法定</w:t>
      </w:r>
      <w:r>
        <w:rPr>
          <w:rStyle w:val="149"/>
          <w:rFonts w:hint="eastAsia" w:ascii="宋体" w:hAnsi="宋体" w:cs="宋体"/>
          <w:szCs w:val="21"/>
          <w:lang w:val="zh-CN"/>
        </w:rPr>
        <w:t>代表人</w:t>
      </w:r>
      <w:r>
        <w:rPr>
          <w:rFonts w:hint="eastAsia" w:ascii="宋体" w:hAnsi="宋体" w:cs="宋体"/>
          <w:bCs/>
          <w:szCs w:val="21"/>
          <w:lang w:val="zh-CN"/>
        </w:rPr>
        <w:t>身份</w:t>
      </w:r>
      <w:r>
        <w:rPr>
          <w:rStyle w:val="149"/>
          <w:rFonts w:hint="eastAsia" w:ascii="宋体" w:hAnsi="宋体" w:cs="宋体"/>
          <w:szCs w:val="21"/>
          <w:lang w:val="zh-CN"/>
        </w:rPr>
        <w:t>证明【格式见</w:t>
      </w:r>
      <w:r>
        <w:rPr>
          <w:rFonts w:hint="eastAsia" w:ascii="宋体" w:hAnsi="宋体" w:cs="宋体"/>
          <w:szCs w:val="21"/>
          <w:lang w:val="zh-CN"/>
        </w:rPr>
        <w:t>附件</w:t>
      </w:r>
      <w:r>
        <w:rPr>
          <w:rFonts w:hint="eastAsia" w:ascii="宋体" w:hAnsi="宋体" w:cs="宋体"/>
          <w:szCs w:val="21"/>
        </w:rPr>
        <w:t>1</w:t>
      </w:r>
      <w:r>
        <w:rPr>
          <w:rFonts w:hint="eastAsia" w:ascii="宋体" w:hAnsi="宋体" w:cs="宋体"/>
          <w:szCs w:val="21"/>
          <w:lang w:val="zh-CN"/>
        </w:rPr>
        <w:t>-1</w:t>
      </w:r>
      <w:r>
        <w:rPr>
          <w:rStyle w:val="149"/>
          <w:rFonts w:hint="eastAsia" w:ascii="宋体" w:hAnsi="宋体" w:cs="宋体"/>
          <w:szCs w:val="21"/>
          <w:lang w:val="zh-CN"/>
        </w:rPr>
        <w:t>】（如投标人代表是法定代表人的投标人提供）；或法定代表人授权委托书</w:t>
      </w:r>
      <w:r>
        <w:rPr>
          <w:rStyle w:val="149"/>
          <w:rFonts w:hint="eastAsia" w:ascii="宋体" w:hAnsi="宋体" w:cs="宋体"/>
          <w:szCs w:val="21"/>
        </w:rPr>
        <w:t>【格式见</w:t>
      </w:r>
      <w:r>
        <w:rPr>
          <w:rFonts w:hint="eastAsia" w:ascii="宋体" w:hAnsi="宋体" w:cs="宋体"/>
          <w:szCs w:val="21"/>
        </w:rPr>
        <w:t>附件1-2】</w:t>
      </w:r>
      <w:r>
        <w:rPr>
          <w:rStyle w:val="149"/>
          <w:rFonts w:hint="eastAsia" w:ascii="宋体" w:hAnsi="宋体" w:cs="宋体"/>
          <w:szCs w:val="21"/>
          <w:lang w:val="zh-CN"/>
        </w:rPr>
        <w:t>（如投标人代表是授权代理人的投标人提供，</w:t>
      </w:r>
      <w:r>
        <w:rPr>
          <w:rStyle w:val="149"/>
          <w:rFonts w:hint="eastAsia" w:ascii="宋体" w:hAnsi="宋体" w:cs="宋体"/>
          <w:szCs w:val="21"/>
        </w:rPr>
        <w:t>法定代表人和授权代表签字或</w:t>
      </w:r>
      <w:r>
        <w:rPr>
          <w:rFonts w:hint="eastAsia" w:ascii="宋体" w:hAnsi="宋体" w:cs="宋体"/>
          <w:bCs/>
          <w:szCs w:val="21"/>
          <w:lang w:val="zh-CN"/>
        </w:rPr>
        <w:t>盖章</w:t>
      </w:r>
      <w:r>
        <w:rPr>
          <w:rStyle w:val="149"/>
          <w:rFonts w:hint="eastAsia" w:ascii="宋体" w:hAnsi="宋体" w:cs="宋体"/>
          <w:szCs w:val="21"/>
        </w:rPr>
        <w:t>可书面签字或盖章后扫描至电子加密投标文件中上传</w:t>
      </w:r>
      <w:r>
        <w:rPr>
          <w:rStyle w:val="149"/>
          <w:rFonts w:hint="eastAsia" w:ascii="宋体" w:hAnsi="宋体" w:cs="宋体"/>
          <w:szCs w:val="21"/>
          <w:lang w:val="zh-CN"/>
        </w:rPr>
        <w:t>）；</w:t>
      </w:r>
    </w:p>
    <w:p>
      <w:pPr>
        <w:wordWrap w:val="0"/>
        <w:spacing w:line="300" w:lineRule="auto"/>
        <w:ind w:firstLine="420" w:firstLineChars="200"/>
        <w:rPr>
          <w:rFonts w:ascii="宋体" w:hAnsi="宋体" w:cs="宋体"/>
          <w:szCs w:val="21"/>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w:t>
      </w:r>
      <w:r>
        <w:rPr>
          <w:rFonts w:hint="eastAsia" w:ascii="宋体" w:hAnsi="宋体" w:cs="宋体"/>
          <w:szCs w:val="21"/>
        </w:rPr>
        <w:t>符合参与政府采购活动资格条件的承诺函</w:t>
      </w:r>
      <w:r>
        <w:rPr>
          <w:rFonts w:hint="eastAsia" w:ascii="宋体" w:hAnsi="宋体" w:cs="宋体"/>
          <w:szCs w:val="21"/>
          <w:lang w:val="zh-CN"/>
        </w:rPr>
        <w:t>【格式见</w:t>
      </w:r>
      <w:r>
        <w:rPr>
          <w:rFonts w:hint="eastAsia" w:ascii="宋体" w:hAnsi="宋体" w:cs="宋体"/>
        </w:rPr>
        <w:t>附件2</w:t>
      </w:r>
      <w:r>
        <w:rPr>
          <w:rFonts w:hint="eastAsia" w:ascii="宋体" w:hAnsi="宋体" w:cs="宋体"/>
          <w:szCs w:val="21"/>
          <w:lang w:val="zh-CN"/>
        </w:rPr>
        <w:t>】；</w:t>
      </w:r>
    </w:p>
    <w:p>
      <w:pPr>
        <w:wordWrap w:val="0"/>
        <w:spacing w:line="300" w:lineRule="auto"/>
        <w:ind w:firstLine="422" w:firstLineChars="200"/>
        <w:rPr>
          <w:rStyle w:val="149"/>
          <w:rFonts w:ascii="宋体" w:hAnsi="宋体" w:cs="宋体"/>
          <w:b/>
          <w:bCs/>
          <w:szCs w:val="21"/>
          <w:u w:val="single"/>
          <w:lang w:val="zh-CN"/>
        </w:rPr>
      </w:pPr>
      <w:r>
        <w:rPr>
          <w:rFonts w:hint="eastAsia" w:ascii="宋体" w:hAnsi="宋体" w:cs="宋体"/>
          <w:b/>
          <w:bCs/>
          <w:szCs w:val="21"/>
          <w:u w:val="single"/>
          <w:lang w:val="zh-CN"/>
        </w:rPr>
        <w:t>★注：以上内容构成完整的资格文件，</w:t>
      </w:r>
      <w:r>
        <w:rPr>
          <w:rStyle w:val="149"/>
          <w:rFonts w:hint="eastAsia" w:ascii="宋体" w:hAnsi="宋体" w:cs="宋体"/>
          <w:b/>
          <w:bCs/>
          <w:szCs w:val="21"/>
          <w:u w:val="single"/>
          <w:lang w:val="zh-CN"/>
        </w:rPr>
        <w:t>投标人应当完整提供所有有效证明材料，任何相关证明材料的缺失或无效将导致资格审查结果不合格。以上内容中要求提供复印件的，尽量采用相关材料的原件扫描件。</w:t>
      </w:r>
    </w:p>
    <w:p>
      <w:pPr>
        <w:wordWrap w:val="0"/>
        <w:spacing w:line="300" w:lineRule="auto"/>
        <w:ind w:firstLine="422" w:firstLineChars="200"/>
        <w:rPr>
          <w:rFonts w:ascii="宋体" w:hAnsi="宋体" w:cs="宋体"/>
          <w:b/>
          <w:szCs w:val="21"/>
          <w:lang w:val="zh-CN"/>
        </w:rPr>
      </w:pPr>
      <w:r>
        <w:rPr>
          <w:rFonts w:hint="eastAsia" w:ascii="宋体" w:hAnsi="宋体" w:cs="宋体"/>
          <w:b/>
          <w:szCs w:val="21"/>
          <w:lang w:val="zh-CN"/>
        </w:rPr>
        <w:t>2.【商务技术文件】：</w:t>
      </w:r>
    </w:p>
    <w:p>
      <w:pPr>
        <w:wordWrap w:val="0"/>
        <w:spacing w:line="300" w:lineRule="auto"/>
        <w:ind w:firstLine="420" w:firstLineChars="200"/>
        <w:rPr>
          <w:rFonts w:ascii="宋体" w:hAnsi="宋体" w:cs="宋体"/>
          <w:szCs w:val="21"/>
          <w:lang w:val="zh-CN"/>
        </w:rPr>
      </w:pPr>
      <w:r>
        <w:rPr>
          <w:rFonts w:hint="eastAsia" w:ascii="宋体" w:hAnsi="宋体" w:cs="宋体"/>
          <w:szCs w:val="21"/>
          <w:lang w:val="zh-CN"/>
        </w:rPr>
        <w:t>（1）评分因素索引表【格式见</w:t>
      </w:r>
      <w:r>
        <w:fldChar w:fldCharType="begin"/>
      </w:r>
      <w:r>
        <w:instrText xml:space="preserve"> HYPERLINK \l "附件4" </w:instrText>
      </w:r>
      <w:r>
        <w:fldChar w:fldCharType="separate"/>
      </w:r>
      <w:r>
        <w:rPr>
          <w:rFonts w:hint="eastAsia" w:ascii="宋体" w:hAnsi="宋体" w:cs="宋体"/>
          <w:szCs w:val="21"/>
          <w:lang w:val="zh-CN"/>
        </w:rPr>
        <w:t>附件</w:t>
      </w:r>
      <w:r>
        <w:rPr>
          <w:rFonts w:hint="eastAsia" w:ascii="宋体" w:hAnsi="宋体" w:cs="宋体"/>
          <w:szCs w:val="21"/>
          <w:lang w:val="zh-CN"/>
        </w:rPr>
        <w:fldChar w:fldCharType="end"/>
      </w:r>
      <w:r>
        <w:rPr>
          <w:rFonts w:hint="eastAsia" w:ascii="宋体" w:hAnsi="宋体" w:cs="宋体"/>
          <w:szCs w:val="21"/>
          <w:lang w:val="zh-CN"/>
        </w:rPr>
        <w:t>】</w:t>
      </w:r>
    </w:p>
    <w:p>
      <w:pPr>
        <w:wordWrap w:val="0"/>
        <w:spacing w:line="30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）投标人声明书【格式见</w:t>
      </w:r>
      <w:r>
        <w:rPr>
          <w:rFonts w:hint="eastAsia" w:ascii="宋体" w:hAnsi="宋体" w:cs="宋体"/>
          <w:szCs w:val="21"/>
          <w:lang w:val="zh-CN"/>
        </w:rPr>
        <w:fldChar w:fldCharType="begin"/>
      </w:r>
      <w:r>
        <w:rPr>
          <w:rFonts w:hint="eastAsia" w:ascii="宋体" w:hAnsi="宋体" w:cs="宋体"/>
          <w:szCs w:val="21"/>
          <w:lang w:val="zh-CN"/>
        </w:rPr>
        <w:instrText xml:space="preserve"> HYPERLINK \l "附件4" </w:instrText>
      </w:r>
      <w:r>
        <w:rPr>
          <w:rFonts w:hint="eastAsia" w:ascii="宋体" w:hAnsi="宋体" w:cs="宋体"/>
          <w:szCs w:val="21"/>
          <w:lang w:val="zh-CN"/>
        </w:rPr>
        <w:fldChar w:fldCharType="separate"/>
      </w:r>
      <w:r>
        <w:rPr>
          <w:rFonts w:hint="eastAsia" w:ascii="宋体" w:hAnsi="宋体" w:cs="宋体"/>
          <w:szCs w:val="21"/>
          <w:lang w:val="zh-CN"/>
        </w:rPr>
        <w:t>附件</w:t>
      </w:r>
      <w:r>
        <w:rPr>
          <w:rFonts w:hint="eastAsia" w:ascii="宋体" w:hAnsi="宋体" w:cs="宋体"/>
          <w:szCs w:val="21"/>
          <w:lang w:val="zh-CN"/>
        </w:rPr>
        <w:fldChar w:fldCharType="end"/>
      </w:r>
      <w:r>
        <w:rPr>
          <w:rFonts w:hint="eastAsia" w:ascii="宋体" w:hAnsi="宋体" w:cs="宋体"/>
          <w:szCs w:val="21"/>
          <w:lang w:val="zh-CN"/>
        </w:rPr>
        <w:t>】；</w:t>
      </w:r>
    </w:p>
    <w:p>
      <w:pPr>
        <w:wordWrap w:val="0"/>
        <w:spacing w:line="30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）投标人基本情况表【格式见</w:t>
      </w:r>
      <w:r>
        <w:rPr>
          <w:rFonts w:hint="eastAsia" w:ascii="宋体" w:hAnsi="宋体" w:cs="宋体"/>
          <w:szCs w:val="21"/>
          <w:lang w:val="zh-CN"/>
        </w:rPr>
        <w:fldChar w:fldCharType="begin"/>
      </w:r>
      <w:r>
        <w:rPr>
          <w:rFonts w:hint="eastAsia" w:ascii="宋体" w:hAnsi="宋体" w:cs="宋体"/>
          <w:szCs w:val="21"/>
          <w:lang w:val="zh-CN"/>
        </w:rPr>
        <w:instrText xml:space="preserve"> HYPERLINK \l "附件4" </w:instrText>
      </w:r>
      <w:r>
        <w:rPr>
          <w:rFonts w:hint="eastAsia" w:ascii="宋体" w:hAnsi="宋体" w:cs="宋体"/>
          <w:szCs w:val="21"/>
          <w:lang w:val="zh-CN"/>
        </w:rPr>
        <w:fldChar w:fldCharType="separate"/>
      </w:r>
      <w:r>
        <w:rPr>
          <w:rFonts w:hint="eastAsia" w:ascii="宋体" w:hAnsi="宋体" w:cs="宋体"/>
          <w:szCs w:val="21"/>
          <w:lang w:val="zh-CN"/>
        </w:rPr>
        <w:t>附件</w:t>
      </w:r>
      <w:r>
        <w:rPr>
          <w:rFonts w:hint="eastAsia" w:ascii="宋体" w:hAnsi="宋体" w:cs="宋体"/>
          <w:szCs w:val="21"/>
          <w:lang w:val="zh-CN"/>
        </w:rPr>
        <w:fldChar w:fldCharType="end"/>
      </w:r>
      <w:r>
        <w:rPr>
          <w:rFonts w:hint="eastAsia" w:ascii="宋体" w:hAnsi="宋体" w:cs="宋体"/>
          <w:szCs w:val="21"/>
          <w:lang w:val="zh-CN"/>
        </w:rPr>
        <w:t>】；</w:t>
      </w:r>
    </w:p>
    <w:p>
      <w:pPr>
        <w:wordWrap w:val="0"/>
        <w:spacing w:line="300" w:lineRule="auto"/>
        <w:ind w:firstLine="420" w:firstLineChars="200"/>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）项目负责人一览表【格式见</w:t>
      </w:r>
      <w:r>
        <w:rPr>
          <w:rFonts w:hint="eastAsia" w:ascii="宋体" w:hAnsi="宋体" w:cs="宋体"/>
          <w:szCs w:val="21"/>
          <w:lang w:val="zh-CN"/>
        </w:rPr>
        <w:fldChar w:fldCharType="begin"/>
      </w:r>
      <w:r>
        <w:rPr>
          <w:rFonts w:hint="eastAsia" w:ascii="宋体" w:hAnsi="宋体" w:cs="宋体"/>
          <w:szCs w:val="21"/>
          <w:lang w:val="zh-CN"/>
        </w:rPr>
        <w:instrText xml:space="preserve"> HYPERLINK \l "附件4" </w:instrText>
      </w:r>
      <w:r>
        <w:rPr>
          <w:rFonts w:hint="eastAsia" w:ascii="宋体" w:hAnsi="宋体" w:cs="宋体"/>
          <w:szCs w:val="21"/>
          <w:lang w:val="zh-CN"/>
        </w:rPr>
        <w:fldChar w:fldCharType="separate"/>
      </w:r>
      <w:r>
        <w:rPr>
          <w:rFonts w:hint="eastAsia" w:ascii="宋体" w:hAnsi="宋体" w:cs="宋体"/>
          <w:szCs w:val="21"/>
          <w:lang w:val="zh-CN"/>
        </w:rPr>
        <w:t>附件</w:t>
      </w:r>
      <w:r>
        <w:rPr>
          <w:rFonts w:hint="eastAsia" w:ascii="宋体" w:hAnsi="宋体" w:cs="宋体"/>
          <w:szCs w:val="21"/>
          <w:lang w:val="zh-CN"/>
        </w:rPr>
        <w:fldChar w:fldCharType="end"/>
      </w:r>
      <w:r>
        <w:rPr>
          <w:rFonts w:hint="eastAsia" w:ascii="宋体" w:hAnsi="宋体" w:cs="宋体"/>
          <w:szCs w:val="21"/>
          <w:lang w:val="zh-CN"/>
        </w:rPr>
        <w:t>】；</w:t>
      </w:r>
    </w:p>
    <w:p>
      <w:pPr>
        <w:wordWrap w:val="0"/>
        <w:spacing w:line="30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）投标人业绩一览表【格式见</w:t>
      </w:r>
      <w:r>
        <w:rPr>
          <w:rFonts w:hint="eastAsia" w:ascii="宋体" w:hAnsi="宋体" w:cs="宋体"/>
        </w:rPr>
        <w:fldChar w:fldCharType="begin"/>
      </w:r>
      <w:r>
        <w:rPr>
          <w:rFonts w:hint="eastAsia" w:ascii="宋体" w:hAnsi="宋体" w:cs="宋体"/>
        </w:rPr>
        <w:instrText xml:space="preserve"> HYPERLINK \l "附件4" </w:instrText>
      </w:r>
      <w:r>
        <w:rPr>
          <w:rFonts w:hint="eastAsia" w:ascii="宋体" w:hAnsi="宋体" w:cs="宋体"/>
        </w:rPr>
        <w:fldChar w:fldCharType="separate"/>
      </w:r>
      <w:r>
        <w:rPr>
          <w:rFonts w:hint="eastAsia" w:ascii="宋体" w:hAnsi="宋体" w:cs="宋体"/>
          <w:szCs w:val="21"/>
          <w:lang w:val="zh-CN"/>
        </w:rPr>
        <w:t>附件</w:t>
      </w:r>
      <w:r>
        <w:rPr>
          <w:rFonts w:hint="eastAsia" w:ascii="宋体" w:hAnsi="宋体" w:cs="宋体"/>
          <w:szCs w:val="21"/>
          <w:lang w:val="zh-CN"/>
        </w:rPr>
        <w:fldChar w:fldCharType="end"/>
      </w:r>
      <w:r>
        <w:rPr>
          <w:rFonts w:hint="eastAsia" w:ascii="宋体" w:hAnsi="宋体" w:cs="宋体"/>
          <w:szCs w:val="21"/>
          <w:lang w:val="zh-CN"/>
        </w:rPr>
        <w:t>】；</w:t>
      </w:r>
    </w:p>
    <w:p>
      <w:pPr>
        <w:wordWrap w:val="0"/>
        <w:spacing w:line="30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6</w:t>
      </w:r>
      <w:r>
        <w:rPr>
          <w:rFonts w:hint="eastAsia" w:ascii="宋体" w:hAnsi="宋体" w:cs="宋体"/>
          <w:szCs w:val="21"/>
          <w:lang w:val="zh-CN"/>
        </w:rPr>
        <w:t>）投标产品一览表【格式见</w:t>
      </w:r>
      <w:r>
        <w:rPr>
          <w:rFonts w:hint="eastAsia" w:ascii="宋体" w:hAnsi="宋体" w:cs="宋体"/>
          <w:szCs w:val="21"/>
          <w:lang w:val="zh-CN"/>
        </w:rPr>
        <w:fldChar w:fldCharType="begin"/>
      </w:r>
      <w:r>
        <w:rPr>
          <w:rFonts w:hint="eastAsia" w:ascii="宋体" w:hAnsi="宋体" w:cs="宋体"/>
          <w:szCs w:val="21"/>
          <w:lang w:val="zh-CN"/>
        </w:rPr>
        <w:instrText xml:space="preserve"> HYPERLINK \l "附件4" </w:instrText>
      </w:r>
      <w:r>
        <w:rPr>
          <w:rFonts w:hint="eastAsia" w:ascii="宋体" w:hAnsi="宋体" w:cs="宋体"/>
          <w:szCs w:val="21"/>
          <w:lang w:val="zh-CN"/>
        </w:rPr>
        <w:fldChar w:fldCharType="separate"/>
      </w:r>
      <w:r>
        <w:rPr>
          <w:rFonts w:hint="eastAsia" w:ascii="宋体" w:hAnsi="宋体" w:cs="宋体"/>
          <w:szCs w:val="21"/>
          <w:lang w:val="zh-CN"/>
        </w:rPr>
        <w:t>附件</w:t>
      </w:r>
      <w:r>
        <w:rPr>
          <w:rFonts w:hint="eastAsia" w:ascii="宋体" w:hAnsi="宋体" w:cs="宋体"/>
          <w:szCs w:val="21"/>
          <w:lang w:val="zh-CN"/>
        </w:rPr>
        <w:fldChar w:fldCharType="end"/>
      </w:r>
      <w:r>
        <w:rPr>
          <w:rFonts w:hint="eastAsia" w:ascii="宋体" w:hAnsi="宋体" w:cs="宋体"/>
          <w:szCs w:val="21"/>
          <w:lang w:val="zh-CN"/>
        </w:rPr>
        <w:t>】；</w:t>
      </w:r>
    </w:p>
    <w:p>
      <w:pPr>
        <w:wordWrap w:val="0"/>
        <w:spacing w:line="30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7</w:t>
      </w:r>
      <w:r>
        <w:rPr>
          <w:rFonts w:hint="eastAsia" w:ascii="宋体" w:hAnsi="宋体" w:cs="宋体"/>
          <w:szCs w:val="21"/>
          <w:lang w:val="zh-CN"/>
        </w:rPr>
        <w:t>）技术规格偏离表【格式见</w:t>
      </w:r>
      <w:r>
        <w:rPr>
          <w:rFonts w:hint="eastAsia" w:ascii="宋体" w:hAnsi="宋体" w:cs="宋体"/>
          <w:szCs w:val="21"/>
          <w:lang w:val="zh-CN"/>
        </w:rPr>
        <w:fldChar w:fldCharType="begin"/>
      </w:r>
      <w:r>
        <w:rPr>
          <w:rFonts w:hint="eastAsia" w:ascii="宋体" w:hAnsi="宋体" w:cs="宋体"/>
          <w:szCs w:val="21"/>
          <w:lang w:val="zh-CN"/>
        </w:rPr>
        <w:instrText xml:space="preserve"> HYPERLINK \l "附件4" </w:instrText>
      </w:r>
      <w:r>
        <w:rPr>
          <w:rFonts w:hint="eastAsia" w:ascii="宋体" w:hAnsi="宋体" w:cs="宋体"/>
          <w:szCs w:val="21"/>
          <w:lang w:val="zh-CN"/>
        </w:rPr>
        <w:fldChar w:fldCharType="separate"/>
      </w:r>
      <w:r>
        <w:rPr>
          <w:rFonts w:hint="eastAsia" w:ascii="宋体" w:hAnsi="宋体" w:cs="宋体"/>
          <w:szCs w:val="21"/>
          <w:lang w:val="zh-CN"/>
        </w:rPr>
        <w:t>附件</w:t>
      </w:r>
      <w:r>
        <w:rPr>
          <w:rFonts w:hint="eastAsia" w:ascii="宋体" w:hAnsi="宋体" w:cs="宋体"/>
          <w:szCs w:val="21"/>
          <w:lang w:val="zh-CN"/>
        </w:rPr>
        <w:fldChar w:fldCharType="end"/>
      </w:r>
      <w:r>
        <w:rPr>
          <w:rFonts w:hint="eastAsia" w:ascii="宋体" w:hAnsi="宋体" w:cs="宋体"/>
          <w:szCs w:val="21"/>
          <w:lang w:val="zh-CN"/>
        </w:rPr>
        <w:t>】；</w:t>
      </w:r>
    </w:p>
    <w:p>
      <w:pPr>
        <w:wordWrap w:val="0"/>
        <w:spacing w:line="30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8</w:t>
      </w:r>
      <w:r>
        <w:rPr>
          <w:rFonts w:hint="eastAsia" w:ascii="宋体" w:hAnsi="宋体" w:cs="宋体"/>
          <w:szCs w:val="21"/>
          <w:lang w:val="zh-CN"/>
        </w:rPr>
        <w:t>）对采购文件中商务条款及合同条款的声明【格式见</w:t>
      </w:r>
      <w:r>
        <w:rPr>
          <w:rFonts w:hint="eastAsia" w:ascii="宋体" w:hAnsi="宋体" w:cs="宋体"/>
          <w:szCs w:val="21"/>
          <w:lang w:val="zh-CN"/>
        </w:rPr>
        <w:fldChar w:fldCharType="begin"/>
      </w:r>
      <w:r>
        <w:rPr>
          <w:rFonts w:hint="eastAsia" w:ascii="宋体" w:hAnsi="宋体" w:cs="宋体"/>
          <w:szCs w:val="21"/>
          <w:lang w:val="zh-CN"/>
        </w:rPr>
        <w:instrText xml:space="preserve"> HYPERLINK \l "附件4" </w:instrText>
      </w:r>
      <w:r>
        <w:rPr>
          <w:rFonts w:hint="eastAsia" w:ascii="宋体" w:hAnsi="宋体" w:cs="宋体"/>
          <w:szCs w:val="21"/>
          <w:lang w:val="zh-CN"/>
        </w:rPr>
        <w:fldChar w:fldCharType="separate"/>
      </w:r>
      <w:r>
        <w:rPr>
          <w:rFonts w:hint="eastAsia" w:ascii="宋体" w:hAnsi="宋体" w:cs="宋体"/>
          <w:szCs w:val="21"/>
          <w:lang w:val="zh-CN"/>
        </w:rPr>
        <w:t>附件</w:t>
      </w:r>
      <w:r>
        <w:rPr>
          <w:rFonts w:hint="eastAsia" w:ascii="宋体" w:hAnsi="宋体" w:cs="宋体"/>
          <w:szCs w:val="21"/>
          <w:lang w:val="zh-CN"/>
        </w:rPr>
        <w:fldChar w:fldCharType="end"/>
      </w:r>
      <w:r>
        <w:rPr>
          <w:rFonts w:hint="eastAsia" w:ascii="宋体" w:hAnsi="宋体" w:cs="宋体"/>
          <w:szCs w:val="21"/>
          <w:lang w:val="zh-CN"/>
        </w:rPr>
        <w:t>】；</w:t>
      </w:r>
    </w:p>
    <w:p>
      <w:pPr>
        <w:wordWrap w:val="0"/>
        <w:spacing w:line="30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9</w:t>
      </w:r>
      <w:r>
        <w:rPr>
          <w:rFonts w:hint="eastAsia" w:ascii="宋体" w:hAnsi="宋体" w:cs="宋体"/>
          <w:szCs w:val="21"/>
          <w:lang w:val="zh-CN"/>
        </w:rPr>
        <w:t>）根据技术资信评分标准，投标人认为需要提供的其他资料或说明。</w:t>
      </w:r>
    </w:p>
    <w:p>
      <w:pPr>
        <w:wordWrap w:val="0"/>
        <w:spacing w:line="300" w:lineRule="auto"/>
        <w:ind w:firstLine="422" w:firstLineChars="200"/>
        <w:rPr>
          <w:rFonts w:ascii="宋体" w:hAnsi="宋体" w:cs="宋体"/>
          <w:szCs w:val="21"/>
          <w:lang w:val="zh-CN"/>
        </w:rPr>
      </w:pPr>
      <w:r>
        <w:rPr>
          <w:rFonts w:hint="eastAsia" w:ascii="宋体" w:hAnsi="宋体" w:cs="宋体"/>
          <w:b/>
          <w:bCs/>
          <w:szCs w:val="21"/>
          <w:u w:val="single"/>
          <w:lang w:val="zh-CN"/>
        </w:rPr>
        <w:t>★注：以上内容构成完整的商务技术文件，</w:t>
      </w:r>
      <w:r>
        <w:rPr>
          <w:rStyle w:val="149"/>
          <w:rFonts w:hint="eastAsia" w:ascii="宋体" w:hAnsi="宋体" w:cs="宋体"/>
          <w:b/>
          <w:bCs/>
          <w:szCs w:val="21"/>
          <w:u w:val="single"/>
          <w:lang w:val="zh-CN"/>
        </w:rPr>
        <w:t>投标人应当完整提供所有有效证明材料，任何相关证明材料的缺失或无效将导致技术、资信方面的不利评定。以上内容中要求提供原件扫描件的，投标人必须采用相关材料的原件扫描件（因采用复印件再扫描造成资信技术评分项不得分的，责任自负）。</w:t>
      </w:r>
    </w:p>
    <w:p>
      <w:pPr>
        <w:wordWrap w:val="0"/>
        <w:spacing w:line="300" w:lineRule="auto"/>
        <w:ind w:firstLine="422" w:firstLineChars="200"/>
        <w:rPr>
          <w:rFonts w:ascii="宋体" w:hAnsi="宋体" w:cs="宋体"/>
          <w:szCs w:val="21"/>
          <w:lang w:val="zh-CN"/>
        </w:rPr>
      </w:pPr>
      <w:r>
        <w:rPr>
          <w:rFonts w:hint="eastAsia" w:ascii="宋体" w:hAnsi="宋体" w:cs="宋体"/>
          <w:b/>
          <w:bCs/>
          <w:szCs w:val="21"/>
        </w:rPr>
        <w:t>3</w:t>
      </w:r>
      <w:r>
        <w:rPr>
          <w:rFonts w:hint="eastAsia" w:ascii="宋体" w:hAnsi="宋体" w:cs="宋体"/>
          <w:b/>
          <w:bCs/>
          <w:szCs w:val="21"/>
          <w:lang w:val="zh-CN"/>
        </w:rPr>
        <w:t>.【报价文件】</w:t>
      </w:r>
      <w:r>
        <w:rPr>
          <w:rFonts w:hint="eastAsia" w:ascii="宋体" w:hAnsi="宋体" w:cs="宋体"/>
          <w:szCs w:val="21"/>
          <w:lang w:val="zh-CN"/>
        </w:rPr>
        <w:t>：</w:t>
      </w:r>
      <w:r>
        <w:rPr>
          <w:rFonts w:hint="eastAsia" w:ascii="宋体" w:hAnsi="宋体" w:cs="宋体"/>
          <w:szCs w:val="21"/>
          <w:u w:val="single"/>
          <w:lang w:val="zh-CN"/>
        </w:rPr>
        <w:t>【第（</w:t>
      </w:r>
      <w:r>
        <w:rPr>
          <w:rFonts w:hint="eastAsia" w:ascii="宋体" w:hAnsi="宋体" w:cs="宋体"/>
          <w:szCs w:val="21"/>
          <w:u w:val="single"/>
        </w:rPr>
        <w:t>1</w:t>
      </w:r>
      <w:r>
        <w:rPr>
          <w:rFonts w:hint="eastAsia" w:ascii="宋体" w:hAnsi="宋体" w:cs="宋体"/>
          <w:szCs w:val="21"/>
          <w:u w:val="single"/>
          <w:lang w:val="zh-CN"/>
        </w:rPr>
        <w:t>）、（</w:t>
      </w:r>
      <w:r>
        <w:rPr>
          <w:rFonts w:hint="eastAsia" w:ascii="宋体" w:hAnsi="宋体" w:cs="宋体"/>
          <w:szCs w:val="21"/>
          <w:u w:val="single"/>
        </w:rPr>
        <w:t>2</w:t>
      </w:r>
      <w:r>
        <w:rPr>
          <w:rFonts w:hint="eastAsia" w:ascii="宋体" w:hAnsi="宋体" w:cs="宋体"/>
          <w:szCs w:val="21"/>
          <w:u w:val="single"/>
          <w:lang w:val="zh-CN"/>
        </w:rPr>
        <w:t>）项</w:t>
      </w:r>
      <w:r>
        <w:rPr>
          <w:rFonts w:hint="eastAsia" w:ascii="宋体" w:hAnsi="宋体" w:cs="宋体"/>
          <w:bCs/>
          <w:szCs w:val="21"/>
          <w:u w:val="single"/>
          <w:lang w:val="zh-CN"/>
        </w:rPr>
        <w:t>内容必须提供</w:t>
      </w:r>
      <w:r>
        <w:rPr>
          <w:rFonts w:hint="eastAsia" w:ascii="宋体" w:hAnsi="宋体" w:cs="宋体"/>
          <w:szCs w:val="21"/>
          <w:u w:val="single"/>
          <w:lang w:val="zh-CN"/>
        </w:rPr>
        <w:t>】</w:t>
      </w:r>
    </w:p>
    <w:p>
      <w:pPr>
        <w:wordWrap w:val="0"/>
        <w:spacing w:line="300" w:lineRule="auto"/>
        <w:ind w:firstLine="420" w:firstLineChars="200"/>
        <w:rPr>
          <w:rFonts w:ascii="宋体" w:hAnsi="宋体" w:cs="宋体"/>
          <w:szCs w:val="21"/>
        </w:rPr>
      </w:pPr>
      <w:r>
        <w:rPr>
          <w:rFonts w:hint="eastAsia" w:ascii="宋体" w:hAnsi="宋体" w:cs="宋体"/>
          <w:szCs w:val="21"/>
          <w:lang w:val="zh-CN"/>
        </w:rPr>
        <w:t>（1）开标一览表</w:t>
      </w:r>
      <w:r>
        <w:rPr>
          <w:rFonts w:hint="eastAsia" w:ascii="宋体" w:hAnsi="宋体" w:cs="宋体"/>
          <w:szCs w:val="21"/>
        </w:rPr>
        <w:t>【</w:t>
      </w:r>
      <w:r>
        <w:rPr>
          <w:rFonts w:hint="eastAsia" w:ascii="宋体" w:hAnsi="宋体" w:cs="宋体"/>
          <w:szCs w:val="21"/>
          <w:u w:val="single"/>
        </w:rPr>
        <w:t>格式见</w:t>
      </w:r>
      <w:r>
        <w:fldChar w:fldCharType="begin"/>
      </w:r>
      <w:r>
        <w:instrText xml:space="preserve"> HYPERLINK \l "附件4" </w:instrText>
      </w:r>
      <w:r>
        <w:fldChar w:fldCharType="separate"/>
      </w:r>
      <w:r>
        <w:rPr>
          <w:rStyle w:val="57"/>
          <w:rFonts w:hint="eastAsia" w:ascii="宋体" w:hAnsi="宋体" w:cs="宋体"/>
          <w:color w:val="auto"/>
          <w:szCs w:val="21"/>
        </w:rPr>
        <w:t>附件</w:t>
      </w:r>
      <w:r>
        <w:rPr>
          <w:rStyle w:val="57"/>
          <w:rFonts w:hint="eastAsia" w:ascii="宋体" w:hAnsi="宋体" w:cs="宋体"/>
          <w:color w:val="auto"/>
          <w:szCs w:val="21"/>
        </w:rPr>
        <w:fldChar w:fldCharType="end"/>
      </w:r>
      <w:r>
        <w:rPr>
          <w:rFonts w:hint="eastAsia" w:ascii="宋体" w:hAnsi="宋体" w:cs="宋体"/>
          <w:szCs w:val="21"/>
        </w:rPr>
        <w:t>】；</w:t>
      </w:r>
    </w:p>
    <w:p>
      <w:pPr>
        <w:wordWrap w:val="0"/>
        <w:spacing w:line="300" w:lineRule="auto"/>
        <w:ind w:firstLine="420" w:firstLineChars="200"/>
        <w:rPr>
          <w:rFonts w:ascii="宋体" w:hAnsi="宋体" w:cs="宋体"/>
          <w:szCs w:val="21"/>
        </w:rPr>
      </w:pPr>
      <w:r>
        <w:rPr>
          <w:rFonts w:hint="eastAsia" w:ascii="宋体" w:hAnsi="宋体" w:cs="宋体"/>
          <w:szCs w:val="21"/>
        </w:rPr>
        <w:t>（2）报价明细表【</w:t>
      </w:r>
      <w:r>
        <w:rPr>
          <w:rFonts w:hint="eastAsia" w:ascii="宋体" w:hAnsi="宋体" w:cs="宋体"/>
          <w:szCs w:val="21"/>
          <w:u w:val="single"/>
        </w:rPr>
        <w:t>格式见</w:t>
      </w:r>
      <w:r>
        <w:fldChar w:fldCharType="begin"/>
      </w:r>
      <w:r>
        <w:instrText xml:space="preserve"> HYPERLINK \l "附件4" </w:instrText>
      </w:r>
      <w:r>
        <w:fldChar w:fldCharType="separate"/>
      </w:r>
      <w:r>
        <w:rPr>
          <w:rStyle w:val="57"/>
          <w:rFonts w:hint="eastAsia" w:ascii="宋体" w:hAnsi="宋体" w:cs="宋体"/>
          <w:color w:val="auto"/>
          <w:szCs w:val="21"/>
        </w:rPr>
        <w:t>附件</w:t>
      </w:r>
      <w:r>
        <w:rPr>
          <w:rStyle w:val="57"/>
          <w:rFonts w:hint="eastAsia" w:ascii="宋体" w:hAnsi="宋体" w:cs="宋体"/>
          <w:color w:val="auto"/>
          <w:szCs w:val="21"/>
        </w:rPr>
        <w:fldChar w:fldCharType="end"/>
      </w:r>
      <w:r>
        <w:rPr>
          <w:rFonts w:hint="eastAsia" w:ascii="宋体" w:hAnsi="宋体" w:cs="宋体"/>
          <w:szCs w:val="21"/>
        </w:rPr>
        <w:t>】；</w:t>
      </w:r>
    </w:p>
    <w:p>
      <w:pPr>
        <w:wordWrap w:val="0"/>
        <w:spacing w:line="300" w:lineRule="auto"/>
        <w:ind w:firstLine="420" w:firstLineChars="200"/>
        <w:rPr>
          <w:rFonts w:ascii="宋体" w:hAnsi="宋体" w:cs="宋体"/>
          <w:szCs w:val="21"/>
        </w:rPr>
      </w:pPr>
      <w:r>
        <w:rPr>
          <w:rFonts w:hint="eastAsia" w:ascii="宋体" w:hAnsi="宋体" w:cs="宋体"/>
          <w:szCs w:val="21"/>
        </w:rPr>
        <w:t>（3）享受中小企业（含监狱企业、残疾人福利性企业）扶持政策的证明材料【证明材料按第五章“</w:t>
      </w:r>
      <w:r>
        <w:rPr>
          <w:rFonts w:hint="eastAsia"/>
        </w:rPr>
        <w:fldChar w:fldCharType="begin"/>
      </w:r>
      <w:r>
        <w:rPr>
          <w:rFonts w:hint="eastAsia" w:ascii="宋体" w:hAnsi="宋体" w:cs="宋体"/>
        </w:rPr>
        <w:instrText xml:space="preserve"> HYPERLINK \l "报价评分标准" </w:instrText>
      </w:r>
      <w:r>
        <w:rPr>
          <w:rFonts w:hint="eastAsia"/>
        </w:rPr>
        <w:fldChar w:fldCharType="separate"/>
      </w:r>
      <w:r>
        <w:rPr>
          <w:rStyle w:val="55"/>
          <w:rFonts w:hint="eastAsia" w:ascii="宋体" w:hAnsi="宋体" w:cs="宋体"/>
          <w:color w:val="auto"/>
          <w:szCs w:val="21"/>
        </w:rPr>
        <w:t>报价评分</w:t>
      </w:r>
      <w:bookmarkStart w:id="23" w:name="_Hlt516127993"/>
      <w:r>
        <w:rPr>
          <w:rStyle w:val="55"/>
          <w:rFonts w:hint="eastAsia" w:ascii="宋体" w:hAnsi="宋体" w:cs="宋体"/>
          <w:color w:val="auto"/>
          <w:szCs w:val="21"/>
        </w:rPr>
        <w:t>标</w:t>
      </w:r>
      <w:bookmarkEnd w:id="23"/>
      <w:r>
        <w:rPr>
          <w:rStyle w:val="55"/>
          <w:rFonts w:hint="eastAsia" w:ascii="宋体" w:hAnsi="宋体" w:cs="宋体"/>
          <w:color w:val="auto"/>
          <w:szCs w:val="21"/>
        </w:rPr>
        <w:t>准</w:t>
      </w:r>
      <w:r>
        <w:rPr>
          <w:rStyle w:val="55"/>
          <w:rFonts w:hint="eastAsia" w:ascii="宋体" w:hAnsi="宋体" w:cs="宋体"/>
          <w:color w:val="auto"/>
          <w:szCs w:val="21"/>
        </w:rPr>
        <w:fldChar w:fldCharType="end"/>
      </w:r>
      <w:r>
        <w:rPr>
          <w:rFonts w:hint="eastAsia" w:ascii="宋体" w:hAnsi="宋体" w:cs="宋体"/>
          <w:szCs w:val="21"/>
        </w:rPr>
        <w:t>”要求提供；</w:t>
      </w:r>
    </w:p>
    <w:p>
      <w:pPr>
        <w:wordWrap w:val="0"/>
        <w:spacing w:line="30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）投标人认为需要提供的其他文件或说明。</w:t>
      </w:r>
    </w:p>
    <w:p>
      <w:pPr>
        <w:spacing w:line="360" w:lineRule="auto"/>
        <w:ind w:firstLine="422" w:firstLineChars="200"/>
        <w:rPr>
          <w:rFonts w:ascii="宋体" w:hAnsi="宋体" w:cs="宋体"/>
          <w:b/>
          <w:szCs w:val="21"/>
          <w:lang w:val="zh-CN"/>
        </w:rPr>
      </w:pPr>
      <w:r>
        <w:rPr>
          <w:rFonts w:hint="eastAsia" w:ascii="宋体" w:hAnsi="宋体" w:cs="宋体"/>
          <w:b/>
          <w:szCs w:val="21"/>
          <w:lang w:val="zh-CN"/>
        </w:rPr>
        <w:t>(二)投标</w:t>
      </w:r>
      <w:r>
        <w:rPr>
          <w:rStyle w:val="149"/>
          <w:rFonts w:hint="eastAsia" w:ascii="宋体" w:hAnsi="宋体" w:cs="宋体"/>
          <w:b/>
          <w:szCs w:val="21"/>
          <w:lang w:val="zh-CN"/>
        </w:rPr>
        <w:t>文件</w:t>
      </w:r>
      <w:r>
        <w:rPr>
          <w:rFonts w:hint="eastAsia" w:ascii="宋体" w:hAnsi="宋体" w:cs="宋体"/>
          <w:b/>
          <w:szCs w:val="21"/>
          <w:lang w:val="zh-CN"/>
        </w:rPr>
        <w:t>的编制</w:t>
      </w:r>
    </w:p>
    <w:p>
      <w:pPr>
        <w:wordWrap w:val="0"/>
        <w:spacing w:line="300" w:lineRule="auto"/>
        <w:ind w:firstLine="420" w:firstLineChars="200"/>
        <w:rPr>
          <w:rFonts w:ascii="宋体" w:hAnsi="宋体" w:cs="宋体"/>
          <w:szCs w:val="21"/>
        </w:rPr>
      </w:pPr>
      <w:r>
        <w:rPr>
          <w:rFonts w:hint="eastAsia" w:ascii="宋体" w:hAnsi="宋体" w:cs="宋体"/>
          <w:szCs w:val="21"/>
        </w:rPr>
        <w:t>1.投标人编制的投标文件应包括第（一）款“投标文件的组成”规定的内容，采购文件已提供标准格式的，应当采用采购文件所提供的投标文件全部格式（可以按同样格式扩展）；采购文件未提供标准格式的，由</w:t>
      </w:r>
      <w:r>
        <w:rPr>
          <w:rFonts w:hint="eastAsia" w:ascii="宋体" w:hAnsi="宋体" w:cs="宋体"/>
          <w:szCs w:val="21"/>
          <w:lang w:val="zh-CN"/>
        </w:rPr>
        <w:t>投标</w:t>
      </w:r>
      <w:r>
        <w:rPr>
          <w:rFonts w:hint="eastAsia" w:ascii="宋体" w:hAnsi="宋体" w:cs="宋体"/>
          <w:szCs w:val="21"/>
        </w:rPr>
        <w:t>人自行编写。【采购文件提供的标准格式见第六章“投标文件格式”】</w:t>
      </w:r>
    </w:p>
    <w:p>
      <w:pPr>
        <w:wordWrap w:val="0"/>
        <w:spacing w:line="300" w:lineRule="auto"/>
        <w:ind w:firstLine="420" w:firstLineChars="200"/>
        <w:rPr>
          <w:rFonts w:ascii="宋体" w:hAnsi="宋体" w:cs="宋体"/>
          <w:szCs w:val="21"/>
        </w:rPr>
      </w:pPr>
      <w:r>
        <w:rPr>
          <w:rFonts w:hint="eastAsia" w:ascii="宋体" w:hAnsi="宋体" w:cs="宋体"/>
          <w:szCs w:val="21"/>
        </w:rPr>
        <w:t>2.投标人应在认真</w:t>
      </w:r>
      <w:r>
        <w:rPr>
          <w:rFonts w:hint="eastAsia" w:ascii="宋体" w:hAnsi="宋体" w:cs="宋体"/>
          <w:szCs w:val="21"/>
          <w:lang w:val="zh-CN"/>
        </w:rPr>
        <w:t>阅读采购</w:t>
      </w:r>
      <w:r>
        <w:rPr>
          <w:rFonts w:hint="eastAsia" w:ascii="宋体" w:hAnsi="宋体" w:cs="宋体"/>
          <w:szCs w:val="21"/>
        </w:rPr>
        <w:t>文件所有内容的基础上，按照采购文件的要求编制完整的投标文件。投标文件应按照采购文件中规定的统一格式填写：（1）电子加密投标文件按政采云平台供应商项目采购-电子招投标操作指南（网址：https://help.zcy.gov.cn/web/site_2/2018/12-28/2573.html）及本采购文件要求制作、关联定位、加密。</w:t>
      </w:r>
    </w:p>
    <w:p>
      <w:pPr>
        <w:wordWrap w:val="0"/>
        <w:spacing w:line="300" w:lineRule="auto"/>
        <w:ind w:firstLine="420" w:firstLineChars="200"/>
        <w:rPr>
          <w:rFonts w:ascii="宋体" w:hAnsi="宋体" w:cs="宋体"/>
          <w:szCs w:val="21"/>
        </w:rPr>
      </w:pPr>
      <w:r>
        <w:rPr>
          <w:rFonts w:hint="eastAsia" w:ascii="宋体" w:hAnsi="宋体" w:cs="宋体"/>
          <w:szCs w:val="21"/>
        </w:rPr>
        <w:t>3.投标人必须保证投标文件所提供的全部资料真实可靠，并接受对其中任何资料进一步审查的要求。</w:t>
      </w:r>
    </w:p>
    <w:p>
      <w:pPr>
        <w:spacing w:line="360" w:lineRule="auto"/>
        <w:ind w:firstLine="422" w:firstLineChars="200"/>
        <w:rPr>
          <w:rFonts w:ascii="宋体" w:hAnsi="宋体" w:cs="宋体"/>
          <w:b/>
          <w:szCs w:val="21"/>
          <w:lang w:val="zh-CN"/>
        </w:rPr>
      </w:pPr>
      <w:r>
        <w:rPr>
          <w:rFonts w:hint="eastAsia" w:ascii="宋体" w:hAnsi="宋体" w:cs="宋体"/>
          <w:b/>
          <w:szCs w:val="21"/>
          <w:lang w:val="zh-CN"/>
        </w:rPr>
        <w:t>（三）投标报价</w:t>
      </w:r>
    </w:p>
    <w:p>
      <w:pPr>
        <w:spacing w:line="300" w:lineRule="auto"/>
        <w:ind w:firstLine="420"/>
        <w:rPr>
          <w:rFonts w:ascii="宋体" w:hAnsi="宋体" w:cs="宋体"/>
          <w:b/>
          <w:szCs w:val="21"/>
          <w:u w:val="single"/>
        </w:rPr>
      </w:pPr>
      <w:r>
        <w:rPr>
          <w:rFonts w:hint="eastAsia" w:ascii="宋体" w:hAnsi="宋体" w:cs="宋体"/>
          <w:b/>
          <w:szCs w:val="21"/>
          <w:u w:val="single"/>
        </w:rPr>
        <w:t>▲1.本项目最高限价</w:t>
      </w:r>
      <w:r>
        <w:rPr>
          <w:rFonts w:hint="eastAsia" w:ascii="宋体" w:hAnsi="宋体" w:cs="宋体"/>
          <w:bCs/>
          <w:szCs w:val="21"/>
          <w:u w:val="single"/>
        </w:rPr>
        <w:t>：</w:t>
      </w:r>
      <w:r>
        <w:rPr>
          <w:rFonts w:hint="eastAsia" w:ascii="宋体" w:hAnsi="宋体" w:cs="宋体"/>
          <w:b/>
          <w:szCs w:val="21"/>
          <w:u w:val="single"/>
        </w:rPr>
        <w:t>6998600元</w:t>
      </w:r>
      <w:r>
        <w:rPr>
          <w:rFonts w:hint="eastAsia" w:ascii="宋体" w:hAnsi="宋体" w:cs="宋体"/>
          <w:bCs/>
          <w:szCs w:val="21"/>
          <w:u w:val="single"/>
        </w:rPr>
        <w:t>。</w:t>
      </w:r>
      <w:r>
        <w:rPr>
          <w:rFonts w:hint="eastAsia" w:ascii="宋体" w:hAnsi="宋体" w:cs="宋体"/>
          <w:b/>
          <w:szCs w:val="21"/>
          <w:u w:val="single"/>
        </w:rPr>
        <w:t>投标报价高于最高限价的，按无效投标处理。</w:t>
      </w:r>
    </w:p>
    <w:p>
      <w:pPr>
        <w:spacing w:line="300" w:lineRule="auto"/>
        <w:ind w:firstLine="420"/>
        <w:rPr>
          <w:rFonts w:ascii="宋体" w:hAnsi="宋体" w:cs="宋体"/>
          <w:szCs w:val="21"/>
        </w:rPr>
      </w:pPr>
      <w:r>
        <w:rPr>
          <w:rFonts w:hint="eastAsia" w:ascii="宋体" w:hAnsi="宋体" w:cs="宋体"/>
          <w:szCs w:val="21"/>
        </w:rPr>
        <w:t>2.投标报价以人民币为结算货币。投标报价应是本采购文件确定的采购需求范围内全部工作内容的价格表现。完成本项目采购需求范围内全部工作内容所需支付的一切成本费用、企业应缴纳的税费及合理利润等所有采购文件提及的费用，以及诸如项目实施过程中合理存在的风险等采购文件未列明但可能产生额外成本的因素，均应计入投标报价。报价精确至人民币“元”。</w:t>
      </w:r>
    </w:p>
    <w:p>
      <w:pPr>
        <w:spacing w:line="300" w:lineRule="auto"/>
        <w:ind w:firstLine="420"/>
        <w:rPr>
          <w:rFonts w:ascii="宋体" w:hAnsi="宋体" w:cs="宋体"/>
          <w:szCs w:val="21"/>
        </w:rPr>
      </w:pPr>
      <w:r>
        <w:rPr>
          <w:rFonts w:hint="eastAsia" w:ascii="宋体" w:hAnsi="宋体" w:cs="宋体"/>
          <w:szCs w:val="21"/>
        </w:rPr>
        <w:t>3.采购人不接受任何选择报价，对每一种货物或服务只接受一个报价。</w:t>
      </w:r>
    </w:p>
    <w:p>
      <w:pPr>
        <w:spacing w:line="360" w:lineRule="auto"/>
        <w:ind w:firstLine="422" w:firstLineChars="200"/>
        <w:rPr>
          <w:rFonts w:ascii="宋体" w:hAnsi="宋体" w:cs="宋体"/>
          <w:b/>
          <w:szCs w:val="21"/>
          <w:lang w:val="zh-CN"/>
        </w:rPr>
      </w:pPr>
      <w:r>
        <w:rPr>
          <w:rFonts w:hint="eastAsia" w:ascii="宋体" w:hAnsi="宋体" w:cs="宋体"/>
          <w:b/>
          <w:szCs w:val="21"/>
          <w:lang w:val="zh-CN"/>
        </w:rPr>
        <w:t>（四）投标文件的有效期</w:t>
      </w:r>
    </w:p>
    <w:p>
      <w:pPr>
        <w:spacing w:line="300" w:lineRule="auto"/>
        <w:ind w:firstLine="420"/>
        <w:rPr>
          <w:rFonts w:ascii="宋体" w:hAnsi="宋体" w:cs="宋体"/>
          <w:b/>
          <w:szCs w:val="21"/>
          <w:u w:val="single"/>
        </w:rPr>
      </w:pPr>
      <w:r>
        <w:rPr>
          <w:rFonts w:hint="eastAsia" w:ascii="宋体" w:hAnsi="宋体" w:cs="宋体"/>
          <w:b/>
          <w:bCs/>
          <w:szCs w:val="21"/>
          <w:u w:val="single"/>
          <w:lang w:val="zh-CN"/>
        </w:rPr>
        <w:t>▲</w:t>
      </w:r>
      <w:r>
        <w:rPr>
          <w:rFonts w:hint="eastAsia" w:ascii="宋体" w:hAnsi="宋体" w:cs="宋体"/>
          <w:b/>
          <w:szCs w:val="21"/>
          <w:u w:val="single"/>
        </w:rPr>
        <w:t>1.投标文件有效期为自投标截止日起算90天。有效期不足的投标文件将按无效投标处理。</w:t>
      </w:r>
    </w:p>
    <w:p>
      <w:pPr>
        <w:spacing w:line="300" w:lineRule="auto"/>
        <w:ind w:firstLine="420"/>
        <w:rPr>
          <w:rFonts w:ascii="宋体" w:hAnsi="宋体" w:cs="宋体"/>
          <w:szCs w:val="21"/>
        </w:rPr>
      </w:pPr>
      <w:r>
        <w:rPr>
          <w:rFonts w:hint="eastAsia" w:ascii="宋体" w:hAnsi="宋体" w:cs="宋体"/>
          <w:szCs w:val="21"/>
        </w:rPr>
        <w:t>2.在特殊情况下，采购人可与投标人协商延长投标书的有效期，这种要求和答复均以书面形式进行。</w:t>
      </w:r>
    </w:p>
    <w:p>
      <w:pPr>
        <w:spacing w:line="300" w:lineRule="auto"/>
        <w:ind w:firstLine="420"/>
        <w:rPr>
          <w:rFonts w:ascii="宋体" w:hAnsi="宋体" w:cs="宋体"/>
          <w:szCs w:val="21"/>
        </w:rPr>
      </w:pPr>
      <w:r>
        <w:rPr>
          <w:rFonts w:hint="eastAsia" w:ascii="宋体" w:hAnsi="宋体" w:cs="宋体"/>
          <w:szCs w:val="21"/>
        </w:rPr>
        <w:t>3.投标人可拒绝接受延期要求而无需承担责任。同意延长有效期的投标人不能修改投标文件。</w:t>
      </w:r>
    </w:p>
    <w:p>
      <w:pPr>
        <w:spacing w:line="300" w:lineRule="auto"/>
        <w:ind w:firstLine="420"/>
        <w:rPr>
          <w:rFonts w:ascii="宋体" w:hAnsi="宋体" w:cs="宋体"/>
          <w:szCs w:val="21"/>
        </w:rPr>
      </w:pPr>
      <w:r>
        <w:rPr>
          <w:rFonts w:hint="eastAsia" w:ascii="宋体" w:hAnsi="宋体" w:cs="宋体"/>
          <w:szCs w:val="21"/>
        </w:rPr>
        <w:t>4.中标人的投标文件自开标之日起到项目履行完毕止均应保持有效。</w:t>
      </w:r>
    </w:p>
    <w:p>
      <w:pPr>
        <w:spacing w:line="360" w:lineRule="auto"/>
        <w:ind w:firstLine="422" w:firstLineChars="200"/>
        <w:rPr>
          <w:rStyle w:val="149"/>
          <w:rFonts w:ascii="宋体" w:hAnsi="宋体" w:cs="宋体"/>
          <w:b/>
          <w:szCs w:val="21"/>
          <w:lang w:val="zh-CN"/>
        </w:rPr>
      </w:pPr>
      <w:r>
        <w:rPr>
          <w:rStyle w:val="149"/>
          <w:rFonts w:hint="eastAsia" w:ascii="宋体" w:hAnsi="宋体" w:cs="宋体"/>
          <w:b/>
          <w:szCs w:val="21"/>
          <w:lang w:val="zh-CN"/>
        </w:rPr>
        <w:t>（五）投标文件的编制、签署、份数</w:t>
      </w:r>
    </w:p>
    <w:p>
      <w:pPr>
        <w:wordWrap w:val="0"/>
        <w:spacing w:line="300" w:lineRule="auto"/>
        <w:ind w:firstLine="420"/>
        <w:rPr>
          <w:rStyle w:val="149"/>
          <w:rFonts w:ascii="宋体" w:hAnsi="宋体" w:cs="宋体"/>
          <w:szCs w:val="21"/>
        </w:rPr>
      </w:pPr>
      <w:r>
        <w:rPr>
          <w:rStyle w:val="149"/>
          <w:rFonts w:hint="eastAsia" w:ascii="宋体" w:hAnsi="宋体" w:cs="宋体"/>
          <w:szCs w:val="21"/>
        </w:rPr>
        <w:t>1.投标文件分别“资格文件”、“商务技术文件”和“报价文件”三个类别。投标人应按政采云平台供应商项目采购-电子</w:t>
      </w:r>
      <w:r>
        <w:rPr>
          <w:rFonts w:hint="eastAsia" w:ascii="宋体" w:hAnsi="宋体" w:cs="宋体"/>
          <w:szCs w:val="21"/>
          <w:lang w:val="zh-CN"/>
        </w:rPr>
        <w:t>招投标</w:t>
      </w:r>
      <w:r>
        <w:rPr>
          <w:rStyle w:val="149"/>
          <w:rFonts w:hint="eastAsia" w:ascii="宋体" w:hAnsi="宋体" w:cs="宋体"/>
          <w:szCs w:val="21"/>
        </w:rPr>
        <w:t>操作指南（网址：</w:t>
      </w:r>
      <w:r>
        <w:rPr>
          <w:rFonts w:hint="eastAsia"/>
        </w:rPr>
        <w:fldChar w:fldCharType="begin"/>
      </w:r>
      <w:r>
        <w:rPr>
          <w:rFonts w:hint="eastAsia" w:ascii="宋体" w:hAnsi="宋体" w:cs="宋体"/>
        </w:rPr>
        <w:instrText xml:space="preserve"> HYPERLINK "https://help.zcy.gov.cn/web/site_2/2018/12-28/2573.html）及本采购文件要求制作" </w:instrText>
      </w:r>
      <w:r>
        <w:rPr>
          <w:rFonts w:hint="eastAsia"/>
        </w:rPr>
        <w:fldChar w:fldCharType="separate"/>
      </w:r>
      <w:r>
        <w:rPr>
          <w:rStyle w:val="149"/>
          <w:rFonts w:hint="eastAsia" w:ascii="宋体" w:hAnsi="宋体" w:cs="宋体"/>
          <w:szCs w:val="21"/>
        </w:rPr>
        <w:t>https://help.zcy.gov.cn/web/site_2/2018/12-28/2573.html）及本采购文件要求制作</w:t>
      </w:r>
      <w:r>
        <w:rPr>
          <w:rStyle w:val="149"/>
          <w:rFonts w:hint="eastAsia" w:ascii="宋体" w:hAnsi="宋体" w:cs="宋体"/>
          <w:szCs w:val="21"/>
        </w:rPr>
        <w:fldChar w:fldCharType="end"/>
      </w:r>
      <w:r>
        <w:rPr>
          <w:rStyle w:val="149"/>
          <w:rFonts w:hint="eastAsia" w:ascii="宋体" w:hAnsi="宋体" w:cs="宋体"/>
          <w:szCs w:val="21"/>
        </w:rPr>
        <w:t>。</w:t>
      </w:r>
    </w:p>
    <w:p>
      <w:pPr>
        <w:spacing w:line="300" w:lineRule="auto"/>
        <w:ind w:firstLine="420"/>
        <w:rPr>
          <w:rStyle w:val="149"/>
          <w:rFonts w:ascii="宋体" w:hAnsi="宋体" w:cs="宋体"/>
          <w:szCs w:val="21"/>
        </w:rPr>
      </w:pPr>
      <w:r>
        <w:rPr>
          <w:rStyle w:val="149"/>
          <w:rFonts w:hint="eastAsia" w:ascii="宋体" w:hAnsi="宋体" w:cs="宋体"/>
          <w:szCs w:val="21"/>
        </w:rPr>
        <w:t>2.签</w:t>
      </w:r>
      <w:r>
        <w:rPr>
          <w:rStyle w:val="149"/>
          <w:rFonts w:hint="eastAsia" w:ascii="宋体" w:hAnsi="宋体" w:cs="宋体"/>
          <w:szCs w:val="21"/>
          <w:lang w:val="zh-CN"/>
        </w:rPr>
        <w:t>署</w:t>
      </w:r>
      <w:r>
        <w:rPr>
          <w:rStyle w:val="149"/>
          <w:rFonts w:hint="eastAsia" w:ascii="宋体" w:hAnsi="宋体" w:cs="宋体"/>
          <w:szCs w:val="21"/>
        </w:rPr>
        <w:t>：投标文件中所有要求加盖</w:t>
      </w:r>
      <w:r>
        <w:rPr>
          <w:rFonts w:hint="eastAsia" w:ascii="宋体" w:hAnsi="宋体" w:cs="宋体"/>
          <w:szCs w:val="21"/>
          <w:lang w:val="zh-CN"/>
        </w:rPr>
        <w:t>公章</w:t>
      </w:r>
      <w:r>
        <w:rPr>
          <w:rStyle w:val="149"/>
          <w:rFonts w:hint="eastAsia" w:ascii="宋体" w:hAnsi="宋体" w:cs="宋体"/>
          <w:szCs w:val="21"/>
        </w:rPr>
        <w:t>的位置均应当采用CA电子签章，法定代表人和授权代表签字（盖章）可书面签字或盖章后扫描至电子加密投标文件中上传。</w:t>
      </w:r>
    </w:p>
    <w:p>
      <w:pPr>
        <w:spacing w:line="300" w:lineRule="auto"/>
        <w:ind w:firstLine="420"/>
        <w:rPr>
          <w:rStyle w:val="149"/>
          <w:rFonts w:ascii="宋体" w:hAnsi="宋体" w:cs="宋体"/>
          <w:szCs w:val="21"/>
        </w:rPr>
      </w:pPr>
      <w:r>
        <w:rPr>
          <w:rStyle w:val="149"/>
          <w:rFonts w:hint="eastAsia" w:ascii="宋体" w:hAnsi="宋体" w:cs="宋体"/>
          <w:szCs w:val="21"/>
        </w:rPr>
        <w:t>3.份数：</w:t>
      </w:r>
    </w:p>
    <w:p>
      <w:pPr>
        <w:spacing w:line="300" w:lineRule="auto"/>
        <w:ind w:firstLine="420"/>
        <w:rPr>
          <w:rStyle w:val="149"/>
          <w:rFonts w:ascii="宋体" w:hAnsi="宋体" w:cs="宋体"/>
          <w:szCs w:val="21"/>
          <w:lang w:val="zh-CN"/>
        </w:rPr>
      </w:pPr>
      <w:r>
        <w:rPr>
          <w:rStyle w:val="149"/>
          <w:rFonts w:hint="eastAsia" w:ascii="宋体" w:hAnsi="宋体" w:cs="宋体"/>
          <w:szCs w:val="21"/>
        </w:rPr>
        <w:t>（1）</w:t>
      </w:r>
      <w:r>
        <w:rPr>
          <w:rStyle w:val="149"/>
          <w:rFonts w:hint="eastAsia" w:ascii="宋体" w:hAnsi="宋体" w:cs="宋体"/>
          <w:szCs w:val="21"/>
          <w:lang w:val="zh-CN"/>
        </w:rPr>
        <w:t>“电子加密投标</w:t>
      </w:r>
      <w:r>
        <w:rPr>
          <w:rFonts w:hint="eastAsia" w:ascii="宋体" w:hAnsi="宋体" w:cs="宋体"/>
          <w:szCs w:val="21"/>
          <w:lang w:val="zh-CN"/>
        </w:rPr>
        <w:t>文件</w:t>
      </w:r>
      <w:r>
        <w:rPr>
          <w:rStyle w:val="149"/>
          <w:rFonts w:hint="eastAsia" w:ascii="宋体" w:hAnsi="宋体" w:cs="宋体"/>
          <w:szCs w:val="21"/>
          <w:lang w:val="zh-CN"/>
        </w:rPr>
        <w:t>”：在线上传，递交一份。</w:t>
      </w:r>
    </w:p>
    <w:p>
      <w:pPr>
        <w:spacing w:line="300" w:lineRule="auto"/>
        <w:ind w:firstLine="420"/>
        <w:rPr>
          <w:rStyle w:val="149"/>
          <w:rFonts w:ascii="宋体" w:hAnsi="宋体" w:cs="宋体"/>
          <w:szCs w:val="21"/>
          <w:lang w:val="zh-CN"/>
        </w:rPr>
      </w:pPr>
      <w:r>
        <w:rPr>
          <w:rStyle w:val="149"/>
          <w:rFonts w:hint="eastAsia" w:ascii="宋体" w:hAnsi="宋体" w:cs="宋体"/>
          <w:szCs w:val="21"/>
          <w:lang w:val="zh-CN"/>
        </w:rPr>
        <w:t>（2）“备份投标文件”：发送一份至邮箱：</w:t>
      </w:r>
      <w:r>
        <w:fldChar w:fldCharType="begin"/>
      </w:r>
      <w:r>
        <w:instrText xml:space="preserve"> HYPERLINK "mailto:1040018418@qq.com，提交时间以接收方邮箱收件箱显示时间为准。" </w:instrText>
      </w:r>
      <w:r>
        <w:fldChar w:fldCharType="separate"/>
      </w:r>
      <w:r>
        <w:rPr>
          <w:rStyle w:val="57"/>
          <w:rFonts w:hint="eastAsia" w:ascii="宋体" w:hAnsi="宋体" w:cs="宋体"/>
          <w:color w:val="auto"/>
          <w:szCs w:val="21"/>
        </w:rPr>
        <w:t>85967191@qq.com，提交时间以接收方邮箱收件箱显示时间为准</w:t>
      </w:r>
      <w:r>
        <w:rPr>
          <w:rStyle w:val="57"/>
          <w:rFonts w:hint="eastAsia" w:ascii="宋体" w:hAnsi="宋体" w:cs="宋体"/>
          <w:color w:val="auto"/>
          <w:szCs w:val="21"/>
          <w:lang w:val="zh-CN"/>
        </w:rPr>
        <w:t>。</w:t>
      </w:r>
      <w:r>
        <w:rPr>
          <w:rStyle w:val="57"/>
          <w:rFonts w:hint="eastAsia" w:ascii="宋体" w:hAnsi="宋体" w:cs="宋体"/>
          <w:color w:val="auto"/>
          <w:szCs w:val="21"/>
          <w:lang w:val="zh-CN"/>
        </w:rPr>
        <w:fldChar w:fldCharType="end"/>
      </w:r>
    </w:p>
    <w:p>
      <w:pPr>
        <w:spacing w:line="300" w:lineRule="auto"/>
        <w:ind w:firstLine="420"/>
        <w:rPr>
          <w:rStyle w:val="149"/>
          <w:rFonts w:ascii="宋体" w:hAnsi="宋体" w:cs="宋体"/>
          <w:b/>
          <w:bCs/>
          <w:szCs w:val="21"/>
          <w:lang w:val="zh-CN"/>
        </w:rPr>
      </w:pPr>
      <w:r>
        <w:rPr>
          <w:rStyle w:val="149"/>
          <w:rFonts w:hint="eastAsia" w:ascii="宋体" w:hAnsi="宋体" w:cs="宋体"/>
          <w:b/>
          <w:bCs/>
          <w:szCs w:val="21"/>
          <w:lang w:val="zh-CN"/>
        </w:rPr>
        <w:t>（</w:t>
      </w:r>
      <w:r>
        <w:rPr>
          <w:rStyle w:val="149"/>
          <w:rFonts w:hint="eastAsia" w:ascii="宋体" w:hAnsi="宋体" w:cs="宋体"/>
          <w:b/>
          <w:bCs/>
          <w:szCs w:val="21"/>
        </w:rPr>
        <w:t>3</w:t>
      </w:r>
      <w:r>
        <w:rPr>
          <w:rStyle w:val="149"/>
          <w:rFonts w:hint="eastAsia" w:ascii="宋体" w:hAnsi="宋体" w:cs="宋体"/>
          <w:b/>
          <w:bCs/>
          <w:szCs w:val="21"/>
          <w:lang w:val="zh-CN"/>
        </w:rPr>
        <w:t>）中标通知书发出后，中标供应商应当向采购代理机构提供纸质投标文件一式四份，用于采购项目文件存档。</w:t>
      </w:r>
    </w:p>
    <w:p>
      <w:pPr>
        <w:spacing w:line="360" w:lineRule="auto"/>
        <w:ind w:firstLine="422" w:firstLineChars="200"/>
        <w:rPr>
          <w:rFonts w:ascii="宋体" w:hAnsi="宋体" w:cs="宋体"/>
          <w:b/>
          <w:bCs/>
          <w:szCs w:val="21"/>
        </w:rPr>
      </w:pPr>
      <w:r>
        <w:rPr>
          <w:rFonts w:hint="eastAsia" w:ascii="宋体" w:hAnsi="宋体" w:cs="宋体"/>
          <w:b/>
          <w:bCs/>
          <w:szCs w:val="21"/>
        </w:rPr>
        <w:t>（六）投标文件的形式和效力</w:t>
      </w:r>
    </w:p>
    <w:p>
      <w:pPr>
        <w:pStyle w:val="23"/>
        <w:spacing w:line="400" w:lineRule="exact"/>
        <w:ind w:firstLine="422" w:firstLineChars="200"/>
        <w:rPr>
          <w:rFonts w:ascii="宋体" w:hAnsi="宋体" w:eastAsia="宋体" w:cs="宋体"/>
          <w:b/>
          <w:bCs/>
          <w:sz w:val="21"/>
          <w:szCs w:val="21"/>
          <w:lang w:val="en-US"/>
        </w:rPr>
      </w:pPr>
      <w:r>
        <w:rPr>
          <w:rFonts w:hint="eastAsia" w:ascii="宋体" w:hAnsi="宋体" w:eastAsia="宋体" w:cs="宋体"/>
          <w:b/>
          <w:bCs/>
          <w:sz w:val="21"/>
          <w:szCs w:val="21"/>
          <w:lang w:val="en-US"/>
        </w:rPr>
        <w:t>1.</w:t>
      </w:r>
      <w:r>
        <w:rPr>
          <w:rFonts w:hint="eastAsia" w:ascii="宋体" w:hAnsi="宋体" w:eastAsia="宋体" w:cs="宋体"/>
          <w:b/>
          <w:bCs/>
          <w:sz w:val="21"/>
          <w:szCs w:val="21"/>
        </w:rPr>
        <w:t>投标文件的形式</w:t>
      </w:r>
      <w:r>
        <w:rPr>
          <w:rFonts w:hint="eastAsia" w:ascii="宋体" w:hAnsi="宋体" w:eastAsia="宋体" w:cs="宋体"/>
          <w:b/>
          <w:bCs/>
          <w:sz w:val="21"/>
          <w:szCs w:val="21"/>
          <w:lang w:val="en-US"/>
        </w:rPr>
        <w:t>：</w:t>
      </w:r>
    </w:p>
    <w:p>
      <w:pPr>
        <w:spacing w:line="300" w:lineRule="auto"/>
        <w:ind w:firstLine="420"/>
        <w:rPr>
          <w:rFonts w:ascii="宋体" w:hAnsi="宋体" w:cs="宋体"/>
          <w:szCs w:val="21"/>
        </w:rPr>
      </w:pPr>
      <w:r>
        <w:rPr>
          <w:rFonts w:hint="eastAsia" w:ascii="宋体" w:hAnsi="宋体" w:cs="宋体"/>
          <w:szCs w:val="21"/>
        </w:rPr>
        <w:t>电子投标文件（包括“电子加密</w:t>
      </w:r>
      <w:r>
        <w:rPr>
          <w:rFonts w:hint="eastAsia" w:ascii="宋体" w:hAnsi="宋体" w:cs="宋体"/>
          <w:szCs w:val="21"/>
          <w:lang w:val="zh-CN"/>
        </w:rPr>
        <w:t>投标</w:t>
      </w:r>
      <w:r>
        <w:rPr>
          <w:rFonts w:hint="eastAsia" w:ascii="宋体" w:hAnsi="宋体" w:cs="宋体"/>
          <w:szCs w:val="21"/>
        </w:rPr>
        <w:t>文件”和“备份投标文件”，在投标文件编制完成后同时生成）；</w:t>
      </w:r>
    </w:p>
    <w:p>
      <w:pPr>
        <w:wordWrap w:val="0"/>
        <w:spacing w:line="300" w:lineRule="auto"/>
        <w:ind w:firstLine="420"/>
        <w:rPr>
          <w:rFonts w:ascii="宋体" w:hAnsi="宋体" w:cs="宋体"/>
          <w:szCs w:val="21"/>
        </w:rPr>
      </w:pPr>
      <w:r>
        <w:rPr>
          <w:rFonts w:hint="eastAsia" w:ascii="宋体" w:hAnsi="宋体" w:cs="宋体"/>
          <w:szCs w:val="21"/>
        </w:rPr>
        <w:t>1.1“电子加密投标文件”是指通过“政采云电子交易客户端”完成投标文件编制后生成并加密的数据电文形式的投标文件。</w:t>
      </w:r>
    </w:p>
    <w:p>
      <w:pPr>
        <w:spacing w:line="300" w:lineRule="auto"/>
        <w:ind w:firstLine="420"/>
        <w:rPr>
          <w:rFonts w:ascii="宋体" w:hAnsi="宋体" w:cs="宋体"/>
          <w:szCs w:val="21"/>
        </w:rPr>
      </w:pPr>
      <w:r>
        <w:rPr>
          <w:rFonts w:hint="eastAsia" w:ascii="宋体" w:hAnsi="宋体" w:cs="宋体"/>
          <w:szCs w:val="21"/>
        </w:rPr>
        <w:t>1.2“备份投标文件”是指与“电子加密投标文件”同时生成的数据电文形式的电子文件（备份标书），其他方式编制的备份投标文件视为无效备份投标文件。</w:t>
      </w:r>
    </w:p>
    <w:p>
      <w:pPr>
        <w:pStyle w:val="23"/>
        <w:spacing w:line="400" w:lineRule="exact"/>
        <w:ind w:firstLine="422" w:firstLineChars="200"/>
        <w:rPr>
          <w:rFonts w:ascii="宋体" w:hAnsi="宋体" w:eastAsia="宋体" w:cs="宋体"/>
          <w:b/>
          <w:bCs/>
          <w:sz w:val="21"/>
          <w:szCs w:val="21"/>
          <w:lang w:val="en-US"/>
        </w:rPr>
      </w:pPr>
      <w:r>
        <w:rPr>
          <w:rFonts w:hint="eastAsia" w:ascii="宋体" w:hAnsi="宋体" w:eastAsia="宋体" w:cs="宋体"/>
          <w:b/>
          <w:bCs/>
          <w:sz w:val="21"/>
          <w:szCs w:val="21"/>
          <w:lang w:val="en-US"/>
        </w:rPr>
        <w:t>2.</w:t>
      </w:r>
      <w:r>
        <w:rPr>
          <w:rFonts w:hint="eastAsia" w:ascii="宋体" w:hAnsi="宋体" w:eastAsia="宋体" w:cs="宋体"/>
          <w:b/>
          <w:bCs/>
          <w:sz w:val="21"/>
          <w:szCs w:val="21"/>
        </w:rPr>
        <w:t>投标文件的效力</w:t>
      </w:r>
      <w:r>
        <w:rPr>
          <w:rFonts w:hint="eastAsia" w:ascii="宋体" w:hAnsi="宋体" w:eastAsia="宋体" w:cs="宋体"/>
          <w:b/>
          <w:bCs/>
          <w:sz w:val="21"/>
          <w:szCs w:val="21"/>
          <w:lang w:val="en-US"/>
        </w:rPr>
        <w:t>:</w:t>
      </w:r>
    </w:p>
    <w:p>
      <w:pPr>
        <w:spacing w:line="300" w:lineRule="auto"/>
        <w:ind w:firstLine="420"/>
        <w:rPr>
          <w:rFonts w:ascii="宋体" w:hAnsi="宋体" w:cs="宋体"/>
          <w:szCs w:val="21"/>
        </w:rPr>
      </w:pPr>
      <w:r>
        <w:rPr>
          <w:rFonts w:hint="eastAsia" w:ascii="宋体" w:hAnsi="宋体" w:cs="宋体"/>
          <w:szCs w:val="21"/>
        </w:rPr>
        <w:t>2.1投标文件的启用，按先后顺位分别为电子加密投标文件、备份投标文件。</w:t>
      </w:r>
    </w:p>
    <w:p>
      <w:pPr>
        <w:spacing w:line="300" w:lineRule="auto"/>
        <w:ind w:firstLine="420"/>
        <w:rPr>
          <w:rFonts w:ascii="宋体" w:hAnsi="宋体" w:cs="宋体"/>
          <w:szCs w:val="21"/>
        </w:rPr>
      </w:pPr>
      <w:r>
        <w:rPr>
          <w:rFonts w:hint="eastAsia" w:ascii="宋体" w:hAnsi="宋体" w:cs="宋体"/>
          <w:szCs w:val="21"/>
        </w:rPr>
        <w:t>2.2通过“政府采购云平台”上传递交的“电子加密投标文件”已按时解密的，备份投标文件自动失效。</w:t>
      </w:r>
    </w:p>
    <w:p>
      <w:pPr>
        <w:spacing w:line="300" w:lineRule="auto"/>
        <w:ind w:firstLine="420"/>
        <w:rPr>
          <w:rFonts w:ascii="宋体" w:hAnsi="宋体" w:cs="宋体"/>
          <w:szCs w:val="21"/>
        </w:rPr>
      </w:pPr>
      <w:r>
        <w:rPr>
          <w:rFonts w:hint="eastAsia" w:ascii="宋体" w:hAnsi="宋体" w:cs="宋体"/>
          <w:szCs w:val="21"/>
        </w:rPr>
        <w:t>2.3通过“政府采购云平台”上传递交的“电子加密投标文件”无法按时解密，投标供应商递交了备份投标文件的，以备份投标文件为准；</w:t>
      </w:r>
    </w:p>
    <w:p>
      <w:pPr>
        <w:spacing w:line="300" w:lineRule="auto"/>
        <w:ind w:firstLine="420"/>
        <w:rPr>
          <w:rFonts w:ascii="宋体" w:hAnsi="宋体" w:cs="宋体"/>
          <w:b/>
          <w:bCs/>
          <w:szCs w:val="21"/>
        </w:rPr>
      </w:pPr>
      <w:r>
        <w:rPr>
          <w:rFonts w:hint="eastAsia" w:ascii="宋体" w:hAnsi="宋体" w:cs="宋体"/>
          <w:b/>
          <w:bCs/>
          <w:szCs w:val="21"/>
        </w:rPr>
        <w:t>2.4电子加密投标文件解密失败且未按要求提交备份投标文件的（或备份投标文件解密失败的），视投标撤回；</w:t>
      </w:r>
    </w:p>
    <w:p>
      <w:pPr>
        <w:spacing w:line="300" w:lineRule="auto"/>
        <w:ind w:firstLine="420"/>
        <w:rPr>
          <w:rFonts w:ascii="宋体" w:hAnsi="宋体" w:cs="宋体"/>
          <w:b/>
          <w:bCs/>
          <w:szCs w:val="21"/>
        </w:rPr>
      </w:pPr>
      <w:r>
        <w:rPr>
          <w:rFonts w:hint="eastAsia" w:ascii="宋体" w:hAnsi="宋体" w:cs="宋体"/>
          <w:b/>
          <w:bCs/>
          <w:szCs w:val="21"/>
        </w:rPr>
        <w:t>▲2.5投标人仅递交备份投标文件，未递交电子加密投标文件的，按无效投标处理。</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（七）投标文件递交、修改（补充）和撤回</w:t>
      </w:r>
    </w:p>
    <w:p>
      <w:pPr>
        <w:widowControl/>
        <w:spacing w:line="360" w:lineRule="auto"/>
        <w:ind w:firstLine="413" w:firstLineChars="196"/>
        <w:rPr>
          <w:rStyle w:val="149"/>
          <w:rFonts w:ascii="宋体" w:hAnsi="宋体" w:cs="宋体"/>
          <w:b/>
          <w:bCs/>
          <w:szCs w:val="21"/>
        </w:rPr>
      </w:pPr>
      <w:r>
        <w:rPr>
          <w:rStyle w:val="149"/>
          <w:rFonts w:hint="eastAsia" w:ascii="宋体" w:hAnsi="宋体" w:cs="宋体"/>
          <w:b/>
          <w:bCs/>
          <w:szCs w:val="21"/>
        </w:rPr>
        <w:t>1.投标文件</w:t>
      </w:r>
      <w:r>
        <w:rPr>
          <w:rFonts w:hint="eastAsia" w:ascii="宋体" w:hAnsi="宋体" w:cs="宋体"/>
          <w:b/>
          <w:szCs w:val="21"/>
        </w:rPr>
        <w:t>递交（上传）</w:t>
      </w:r>
    </w:p>
    <w:p>
      <w:pPr>
        <w:spacing w:line="300" w:lineRule="auto"/>
        <w:ind w:firstLine="420"/>
        <w:rPr>
          <w:rFonts w:ascii="宋体" w:hAnsi="宋体" w:cs="宋体"/>
          <w:kern w:val="0"/>
          <w:szCs w:val="21"/>
        </w:rPr>
      </w:pPr>
      <w:r>
        <w:rPr>
          <w:rFonts w:hint="eastAsia" w:ascii="宋体" w:hAnsi="宋体" w:cs="宋体"/>
          <w:kern w:val="0"/>
          <w:szCs w:val="21"/>
        </w:rPr>
        <w:t>1.1</w:t>
      </w:r>
      <w:r>
        <w:rPr>
          <w:rFonts w:hint="eastAsia" w:ascii="宋体" w:hAnsi="宋体" w:cs="宋体"/>
          <w:b/>
          <w:bCs/>
          <w:kern w:val="0"/>
          <w:szCs w:val="21"/>
        </w:rPr>
        <w:t>电子加密投标文件：</w:t>
      </w:r>
      <w:r>
        <w:rPr>
          <w:rFonts w:hint="eastAsia" w:ascii="宋体" w:hAnsi="宋体" w:cs="宋体"/>
          <w:kern w:val="0"/>
          <w:szCs w:val="21"/>
        </w:rPr>
        <w:t>供应商应当于投标文件提交截止时间前</w:t>
      </w:r>
      <w:r>
        <w:rPr>
          <w:rFonts w:hint="eastAsia" w:ascii="宋体" w:hAnsi="宋体" w:cs="宋体"/>
          <w:szCs w:val="21"/>
        </w:rPr>
        <w:t>通过“政采云电子投标客户端”上传至政采云平台</w:t>
      </w:r>
      <w:r>
        <w:rPr>
          <w:rFonts w:hint="eastAsia" w:ascii="宋体" w:hAnsi="宋体" w:cs="宋体"/>
          <w:kern w:val="0"/>
          <w:szCs w:val="21"/>
        </w:rPr>
        <w:t>上</w:t>
      </w:r>
      <w:r>
        <w:rPr>
          <w:rFonts w:hint="eastAsia" w:ascii="宋体" w:hAnsi="宋体" w:cs="宋体"/>
          <w:b/>
          <w:bCs/>
          <w:kern w:val="0"/>
          <w:szCs w:val="21"/>
        </w:rPr>
        <w:t>。（逾期上传的投标文件将被拒收）</w:t>
      </w:r>
    </w:p>
    <w:p>
      <w:pPr>
        <w:spacing w:line="300" w:lineRule="auto"/>
        <w:ind w:firstLine="420"/>
        <w:rPr>
          <w:rFonts w:ascii="宋体" w:hAnsi="宋体" w:cs="宋体"/>
          <w:b/>
          <w:bCs/>
        </w:rPr>
      </w:pPr>
      <w:r>
        <w:rPr>
          <w:rFonts w:hint="eastAsia" w:ascii="宋体" w:hAnsi="宋体" w:cs="宋体"/>
          <w:kern w:val="0"/>
          <w:szCs w:val="21"/>
        </w:rPr>
        <w:t>1.2</w:t>
      </w:r>
      <w:r>
        <w:rPr>
          <w:rFonts w:hint="eastAsia" w:ascii="宋体" w:hAnsi="宋体" w:cs="宋体"/>
          <w:b/>
          <w:bCs/>
          <w:kern w:val="0"/>
          <w:szCs w:val="21"/>
        </w:rPr>
        <w:t>备份投标文件（非强制要求提供）</w:t>
      </w:r>
      <w:r>
        <w:rPr>
          <w:rFonts w:hint="eastAsia" w:ascii="宋体" w:hAnsi="宋体" w:cs="宋体"/>
          <w:kern w:val="0"/>
          <w:szCs w:val="21"/>
        </w:rPr>
        <w:t>：可在</w:t>
      </w:r>
      <w:r>
        <w:fldChar w:fldCharType="begin"/>
      </w:r>
      <w:r>
        <w:instrText xml:space="preserve"> HYPERLINK "mailto:按政采云平台项目采购-电子招投标操作指南制作备份投标文件（后缀名为.bfbs），在开标时间后15分钟内以电子邮件形式递交至采购代理机构邮箱（103874679@qq.com）。" </w:instrText>
      </w:r>
      <w:r>
        <w:fldChar w:fldCharType="separate"/>
      </w:r>
      <w:r>
        <w:rPr>
          <w:rStyle w:val="57"/>
          <w:rFonts w:hint="eastAsia" w:ascii="宋体" w:hAnsi="宋体" w:cs="宋体"/>
          <w:color w:val="auto"/>
          <w:kern w:val="0"/>
          <w:szCs w:val="21"/>
          <w:u w:val="none"/>
        </w:rPr>
        <w:t>投标文件提交截止时间前以加密的压缩文件形式（即将压缩文件设置为需要密码才能打开）发送至采购代理机构邮箱</w:t>
      </w:r>
      <w:r>
        <w:rPr>
          <w:rStyle w:val="57"/>
          <w:rFonts w:hint="eastAsia" w:ascii="宋体" w:hAnsi="宋体" w:cs="宋体"/>
          <w:color w:val="auto"/>
          <w:kern w:val="0"/>
          <w:szCs w:val="21"/>
          <w:u w:val="none"/>
        </w:rPr>
        <w:fldChar w:fldCharType="end"/>
      </w:r>
      <w:r>
        <w:rPr>
          <w:rFonts w:hint="eastAsia" w:ascii="宋体" w:hAnsi="宋体" w:cs="宋体"/>
          <w:kern w:val="0"/>
          <w:szCs w:val="21"/>
        </w:rPr>
        <w:t>，并在</w:t>
      </w:r>
      <w:r>
        <w:rPr>
          <w:rFonts w:hint="eastAsia" w:ascii="宋体" w:hAnsi="宋体" w:cs="宋体"/>
          <w:lang w:val="zh-CN"/>
        </w:rPr>
        <w:t>接到在线解密通</w:t>
      </w:r>
      <w:r>
        <w:rPr>
          <w:rFonts w:hint="eastAsia" w:ascii="宋体" w:hAnsi="宋体" w:cs="宋体"/>
          <w:szCs w:val="21"/>
          <w:lang w:val="zh-CN"/>
        </w:rPr>
        <w:t>知</w:t>
      </w:r>
      <w:r>
        <w:rPr>
          <w:rFonts w:hint="eastAsia" w:ascii="宋体" w:hAnsi="宋体" w:cs="宋体"/>
          <w:lang w:val="zh-CN"/>
        </w:rPr>
        <w:t>后</w:t>
      </w:r>
      <w:r>
        <w:rPr>
          <w:rFonts w:hint="eastAsia" w:ascii="宋体" w:hAnsi="宋体" w:cs="宋体"/>
          <w:szCs w:val="21"/>
        </w:rPr>
        <w:t>30</w:t>
      </w:r>
      <w:r>
        <w:rPr>
          <w:rFonts w:hint="eastAsia" w:ascii="宋体" w:hAnsi="宋体" w:cs="宋体"/>
        </w:rPr>
        <w:t>分钟</w:t>
      </w:r>
      <w:r>
        <w:rPr>
          <w:rFonts w:hint="eastAsia" w:ascii="宋体" w:hAnsi="宋体" w:cs="宋体"/>
          <w:lang w:val="zh-CN"/>
        </w:rPr>
        <w:t>内发送压缩文件密码至</w:t>
      </w:r>
      <w:r>
        <w:rPr>
          <w:rStyle w:val="57"/>
          <w:rFonts w:hint="eastAsia" w:ascii="宋体" w:hAnsi="宋体" w:cs="宋体"/>
          <w:color w:val="auto"/>
          <w:kern w:val="0"/>
          <w:szCs w:val="21"/>
          <w:u w:val="none"/>
        </w:rPr>
        <w:t>采购代理机构邮箱（邮箱号码：</w:t>
      </w:r>
      <w:r>
        <w:rPr>
          <w:rFonts w:hint="eastAsia"/>
        </w:rPr>
        <w:fldChar w:fldCharType="begin"/>
      </w:r>
      <w:r>
        <w:rPr>
          <w:rFonts w:hint="eastAsia" w:ascii="宋体" w:hAnsi="宋体" w:cs="宋体"/>
        </w:rPr>
        <w:instrText xml:space="preserve"> HYPERLINK "mailto:103874679@qq.com）。" </w:instrText>
      </w:r>
      <w:r>
        <w:rPr>
          <w:rFonts w:hint="eastAsia"/>
        </w:rPr>
        <w:fldChar w:fldCharType="separate"/>
      </w:r>
      <w:r>
        <w:rPr>
          <w:rStyle w:val="57"/>
          <w:rFonts w:hint="eastAsia" w:ascii="宋体" w:hAnsi="宋体" w:cs="宋体"/>
          <w:color w:val="auto"/>
          <w:u w:val="none"/>
        </w:rPr>
        <w:t>85967191@qq.com）</w:t>
      </w:r>
      <w:r>
        <w:rPr>
          <w:rStyle w:val="57"/>
          <w:rFonts w:hint="eastAsia" w:ascii="宋体" w:hAnsi="宋体" w:cs="宋体"/>
          <w:color w:val="auto"/>
          <w:u w:val="none"/>
        </w:rPr>
        <w:fldChar w:fldCharType="end"/>
      </w:r>
      <w:r>
        <w:rPr>
          <w:rStyle w:val="57"/>
          <w:rFonts w:hint="eastAsia" w:ascii="宋体" w:hAnsi="宋体" w:cs="宋体"/>
          <w:color w:val="auto"/>
          <w:u w:val="none"/>
          <w:lang w:val="zh-CN"/>
        </w:rPr>
        <w:t>。</w:t>
      </w:r>
      <w:r>
        <w:rPr>
          <w:rFonts w:hint="eastAsia" w:ascii="宋体" w:hAnsi="宋体" w:cs="宋体"/>
          <w:b/>
          <w:bCs/>
          <w:kern w:val="0"/>
          <w:szCs w:val="21"/>
        </w:rPr>
        <w:t>（逾期提交的备份投标文件将被拒收）</w:t>
      </w:r>
    </w:p>
    <w:p>
      <w:pPr>
        <w:spacing w:line="300" w:lineRule="auto"/>
        <w:ind w:firstLine="420"/>
        <w:rPr>
          <w:rFonts w:ascii="宋体" w:hAnsi="宋体" w:cs="宋体"/>
          <w:b/>
          <w:bCs/>
          <w:lang w:val="zh-CN"/>
        </w:rPr>
      </w:pPr>
      <w:r>
        <w:rPr>
          <w:rFonts w:hint="eastAsia" w:ascii="宋体" w:hAnsi="宋体" w:cs="宋体"/>
          <w:b/>
          <w:bCs/>
          <w:szCs w:val="21"/>
          <w:lang w:val="zh-CN"/>
        </w:rPr>
        <w:t>提示：①为确保采购项目顺利实施，供应商可以按照采购文件要求在投标文件提交截止时间前向采购代理机构</w:t>
      </w:r>
      <w:r>
        <w:rPr>
          <w:rFonts w:hint="eastAsia" w:ascii="宋体" w:hAnsi="宋体" w:cs="宋体"/>
          <w:b/>
          <w:bCs/>
          <w:szCs w:val="21"/>
        </w:rPr>
        <w:t>提交</w:t>
      </w:r>
      <w:r>
        <w:rPr>
          <w:rFonts w:hint="eastAsia" w:ascii="宋体" w:hAnsi="宋体" w:cs="宋体"/>
          <w:b/>
          <w:bCs/>
          <w:szCs w:val="21"/>
          <w:lang w:val="zh-CN"/>
        </w:rPr>
        <w:t>备份投标文件，但非强制性要求。如</w:t>
      </w:r>
      <w:r>
        <w:rPr>
          <w:rFonts w:hint="eastAsia" w:ascii="宋体" w:hAnsi="宋体" w:cs="宋体"/>
          <w:b/>
          <w:bCs/>
          <w:szCs w:val="21"/>
        </w:rPr>
        <w:t>在</w:t>
      </w:r>
      <w:r>
        <w:rPr>
          <w:rFonts w:hint="eastAsia" w:ascii="宋体" w:hAnsi="宋体" w:cs="宋体"/>
          <w:b/>
          <w:bCs/>
          <w:szCs w:val="21"/>
          <w:lang w:val="zh-CN"/>
        </w:rPr>
        <w:t>投标文件提交截止时间前</w:t>
      </w:r>
      <w:r>
        <w:rPr>
          <w:rFonts w:hint="eastAsia" w:ascii="宋体" w:hAnsi="宋体" w:cs="宋体"/>
          <w:b/>
          <w:bCs/>
          <w:szCs w:val="21"/>
        </w:rPr>
        <w:t>未提交</w:t>
      </w:r>
      <w:r>
        <w:rPr>
          <w:rFonts w:hint="eastAsia" w:ascii="宋体" w:hAnsi="宋体" w:cs="宋体"/>
          <w:b/>
          <w:bCs/>
          <w:szCs w:val="21"/>
          <w:lang w:val="zh-CN"/>
        </w:rPr>
        <w:t>备份投标文件，因遇电子加密投标文件解密失败等情况造成响应撤回或无效的，其后果由供应商自行承担。</w:t>
      </w:r>
    </w:p>
    <w:p>
      <w:pPr>
        <w:spacing w:line="300" w:lineRule="auto"/>
        <w:ind w:firstLine="420"/>
        <w:rPr>
          <w:rFonts w:ascii="宋体" w:hAnsi="宋体" w:cs="宋体"/>
          <w:b/>
          <w:bCs/>
          <w:szCs w:val="21"/>
          <w:lang w:val="zh-CN"/>
        </w:rPr>
      </w:pPr>
      <w:r>
        <w:rPr>
          <w:rFonts w:hint="eastAsia" w:ascii="宋体" w:hAnsi="宋体" w:cs="宋体"/>
          <w:b/>
          <w:bCs/>
          <w:szCs w:val="21"/>
        </w:rPr>
        <w:t>②</w:t>
      </w:r>
      <w:r>
        <w:rPr>
          <w:rFonts w:hint="eastAsia" w:ascii="宋体" w:hAnsi="宋体" w:cs="宋体"/>
          <w:b/>
          <w:bCs/>
          <w:szCs w:val="21"/>
          <w:lang w:val="zh-CN"/>
        </w:rPr>
        <w:t>本次采购活动采用电子交易，实行网上交易（非现场方式实施）。供应商代表无需到达现场，但应当准时在线参加开标，直至评审结束，并保证开标、评审过程中采购代理机构能够随时与其代表人取得联系。</w:t>
      </w:r>
    </w:p>
    <w:p>
      <w:pPr>
        <w:spacing w:line="300" w:lineRule="auto"/>
        <w:ind w:firstLine="420"/>
        <w:rPr>
          <w:rStyle w:val="149"/>
          <w:rFonts w:ascii="宋体" w:hAnsi="宋体" w:cs="宋体"/>
          <w:szCs w:val="21"/>
        </w:rPr>
      </w:pPr>
      <w:r>
        <w:rPr>
          <w:rStyle w:val="149"/>
          <w:rFonts w:hint="eastAsia" w:ascii="宋体" w:hAnsi="宋体" w:cs="宋体"/>
          <w:szCs w:val="21"/>
        </w:rPr>
        <w:t>2.修改（补充）和撤回：</w:t>
      </w:r>
    </w:p>
    <w:p>
      <w:pPr>
        <w:spacing w:line="300" w:lineRule="auto"/>
        <w:ind w:firstLine="420"/>
        <w:rPr>
          <w:rStyle w:val="149"/>
          <w:rFonts w:ascii="宋体" w:hAnsi="宋体" w:cs="宋体"/>
          <w:szCs w:val="21"/>
        </w:rPr>
      </w:pPr>
      <w:r>
        <w:rPr>
          <w:rStyle w:val="149"/>
          <w:rFonts w:hint="eastAsia" w:ascii="宋体" w:hAnsi="宋体" w:cs="宋体"/>
          <w:szCs w:val="21"/>
        </w:rPr>
        <w:t>2.1投标截止时间前可以补充、修改或撤回投标文件。补充或者修改投标文件的，应当先行撤回原文件，补充、修改后重新提交。投标截止时间前未完成提交的，视为撤回投标文件。</w:t>
      </w:r>
    </w:p>
    <w:p>
      <w:pPr>
        <w:spacing w:line="300" w:lineRule="auto"/>
        <w:ind w:firstLine="420"/>
        <w:rPr>
          <w:rStyle w:val="149"/>
          <w:rFonts w:ascii="宋体" w:hAnsi="宋体" w:cs="宋体"/>
          <w:szCs w:val="21"/>
        </w:rPr>
      </w:pPr>
      <w:r>
        <w:rPr>
          <w:rStyle w:val="149"/>
          <w:rFonts w:hint="eastAsia" w:ascii="宋体" w:hAnsi="宋体" w:cs="宋体"/>
          <w:szCs w:val="21"/>
        </w:rPr>
        <w:t>2.2投标截止时间后，投标人不得修改（补充）或撤回其投标文件。</w:t>
      </w:r>
    </w:p>
    <w:p>
      <w:pPr>
        <w:spacing w:line="360" w:lineRule="auto"/>
        <w:ind w:firstLine="422" w:firstLineChars="200"/>
        <w:rPr>
          <w:rFonts w:ascii="宋体" w:hAnsi="宋体" w:cs="宋体"/>
          <w:b/>
          <w:szCs w:val="21"/>
        </w:rPr>
      </w:pPr>
      <w:r>
        <w:rPr>
          <w:rFonts w:hint="eastAsia" w:ascii="宋体" w:hAnsi="宋体" w:cs="宋体"/>
          <w:b/>
          <w:szCs w:val="21"/>
        </w:rPr>
        <w:t>（八）电子加密</w:t>
      </w:r>
      <w:r>
        <w:rPr>
          <w:rStyle w:val="149"/>
          <w:rFonts w:hint="eastAsia" w:ascii="宋体" w:hAnsi="宋体" w:cs="宋体"/>
          <w:b/>
          <w:szCs w:val="21"/>
          <w:lang w:val="zh-CN"/>
        </w:rPr>
        <w:t>投标</w:t>
      </w:r>
      <w:r>
        <w:rPr>
          <w:rFonts w:hint="eastAsia" w:ascii="宋体" w:hAnsi="宋体" w:cs="宋体"/>
          <w:b/>
          <w:szCs w:val="21"/>
        </w:rPr>
        <w:t>文件的解密及异常情况处理</w:t>
      </w:r>
    </w:p>
    <w:p>
      <w:pPr>
        <w:spacing w:line="300" w:lineRule="auto"/>
        <w:ind w:firstLine="420"/>
        <w:rPr>
          <w:rStyle w:val="149"/>
          <w:rFonts w:ascii="宋体" w:hAnsi="宋体" w:cs="宋体"/>
          <w:szCs w:val="21"/>
        </w:rPr>
      </w:pPr>
      <w:r>
        <w:rPr>
          <w:rStyle w:val="149"/>
          <w:rFonts w:hint="eastAsia" w:ascii="宋体" w:hAnsi="宋体" w:cs="宋体"/>
          <w:szCs w:val="21"/>
        </w:rPr>
        <w:t>1.开标后，采购组织机构将向各投标人发出“电子加密投标文件”的解密通知，各供应商代表应当在接到解密通知后30分钟内自行完成“电子加密投标文件”的在线解密。</w:t>
      </w:r>
    </w:p>
    <w:p>
      <w:pPr>
        <w:spacing w:line="300" w:lineRule="auto"/>
        <w:ind w:firstLine="420"/>
        <w:rPr>
          <w:rStyle w:val="149"/>
          <w:rFonts w:ascii="宋体" w:hAnsi="宋体" w:cs="宋体"/>
          <w:szCs w:val="21"/>
        </w:rPr>
      </w:pPr>
      <w:r>
        <w:rPr>
          <w:rStyle w:val="149"/>
          <w:rFonts w:hint="eastAsia" w:ascii="宋体" w:hAnsi="宋体" w:cs="宋体"/>
          <w:szCs w:val="21"/>
        </w:rPr>
        <w:t>2.因网络或者其他问题造成电子加密投标文件在规定时间内</w:t>
      </w:r>
      <w:r>
        <w:rPr>
          <w:rFonts w:hint="eastAsia" w:ascii="宋体" w:hAnsi="宋体" w:cs="宋体"/>
          <w:szCs w:val="21"/>
        </w:rPr>
        <w:t>无法按时解密的</w:t>
      </w:r>
      <w:r>
        <w:rPr>
          <w:rStyle w:val="149"/>
          <w:rFonts w:hint="eastAsia" w:ascii="宋体" w:hAnsi="宋体" w:cs="宋体"/>
          <w:szCs w:val="21"/>
        </w:rPr>
        <w:t>，投标人在投标文件提交截止时间前提交了备份投标文件的，将由采购代理机构按“政府采购云平台”操作规范将备份投标文件上传至“政府采购云平台”，</w:t>
      </w:r>
      <w:r>
        <w:rPr>
          <w:rFonts w:hint="eastAsia" w:ascii="宋体" w:hAnsi="宋体" w:cs="宋体"/>
          <w:szCs w:val="21"/>
        </w:rPr>
        <w:t>进行本地解密</w:t>
      </w:r>
      <w:r>
        <w:rPr>
          <w:rStyle w:val="149"/>
          <w:rFonts w:hint="eastAsia" w:ascii="宋体" w:hAnsi="宋体" w:cs="宋体"/>
          <w:szCs w:val="21"/>
        </w:rPr>
        <w:t>。</w:t>
      </w:r>
      <w:r>
        <w:rPr>
          <w:rFonts w:hint="eastAsia" w:ascii="宋体" w:hAnsi="宋体" w:cs="宋体"/>
          <w:szCs w:val="21"/>
        </w:rPr>
        <w:t>上传成功后，“电子加密投标文件”自动失效。</w:t>
      </w:r>
    </w:p>
    <w:p>
      <w:pPr>
        <w:spacing w:line="300" w:lineRule="auto"/>
        <w:ind w:firstLine="420"/>
        <w:rPr>
          <w:rFonts w:ascii="宋体" w:hAnsi="宋体" w:cs="宋体"/>
          <w:szCs w:val="21"/>
        </w:rPr>
      </w:pPr>
      <w:r>
        <w:rPr>
          <w:rStyle w:val="149"/>
          <w:rFonts w:hint="eastAsia" w:ascii="宋体" w:hAnsi="宋体" w:cs="宋体"/>
          <w:szCs w:val="21"/>
        </w:rPr>
        <w:t>3.投标人未按时解密</w:t>
      </w:r>
      <w:r>
        <w:rPr>
          <w:rFonts w:hint="eastAsia" w:ascii="宋体" w:hAnsi="宋体" w:cs="宋体"/>
          <w:szCs w:val="21"/>
        </w:rPr>
        <w:t>且未在</w:t>
      </w:r>
      <w:r>
        <w:rPr>
          <w:rStyle w:val="149"/>
          <w:rFonts w:hint="eastAsia" w:ascii="宋体" w:hAnsi="宋体" w:cs="宋体"/>
          <w:szCs w:val="21"/>
        </w:rPr>
        <w:t>投标文件</w:t>
      </w:r>
      <w:r>
        <w:rPr>
          <w:rFonts w:hint="eastAsia" w:ascii="宋体" w:hAnsi="宋体" w:cs="宋体"/>
          <w:szCs w:val="21"/>
        </w:rPr>
        <w:t>提交</w:t>
      </w:r>
      <w:r>
        <w:rPr>
          <w:rStyle w:val="149"/>
          <w:rFonts w:hint="eastAsia" w:ascii="宋体" w:hAnsi="宋体" w:cs="宋体"/>
          <w:szCs w:val="21"/>
        </w:rPr>
        <w:t>截止时间前</w:t>
      </w:r>
      <w:r>
        <w:rPr>
          <w:rFonts w:hint="eastAsia" w:ascii="宋体" w:hAnsi="宋体" w:cs="宋体"/>
          <w:szCs w:val="21"/>
        </w:rPr>
        <w:t>提交备份投标文件的</w:t>
      </w:r>
      <w:r>
        <w:rPr>
          <w:rStyle w:val="149"/>
          <w:rFonts w:hint="eastAsia" w:ascii="宋体" w:hAnsi="宋体" w:cs="宋体"/>
          <w:szCs w:val="21"/>
        </w:rPr>
        <w:t>，视为投标文件撤回。</w:t>
      </w:r>
    </w:p>
    <w:p>
      <w:pPr>
        <w:pStyle w:val="4"/>
        <w:spacing w:before="0" w:after="0" w:line="360" w:lineRule="auto"/>
        <w:jc w:val="left"/>
        <w:rPr>
          <w:rFonts w:ascii="宋体" w:hAnsi="宋体" w:eastAsia="宋体" w:cs="宋体"/>
          <w:bCs w:val="0"/>
          <w:sz w:val="21"/>
          <w:szCs w:val="21"/>
          <w:lang w:val="zh-CN"/>
        </w:rPr>
      </w:pPr>
      <w:bookmarkStart w:id="24" w:name="_Toc13113"/>
      <w:bookmarkStart w:id="25" w:name="_Toc15608"/>
      <w:bookmarkStart w:id="26" w:name="_Toc9680"/>
      <w:r>
        <w:rPr>
          <w:rFonts w:hint="eastAsia" w:ascii="宋体" w:hAnsi="宋体" w:eastAsia="宋体" w:cs="宋体"/>
          <w:bCs w:val="0"/>
          <w:sz w:val="21"/>
          <w:szCs w:val="21"/>
          <w:lang w:val="zh-CN"/>
        </w:rPr>
        <w:t>四、</w:t>
      </w:r>
      <w:r>
        <w:rPr>
          <w:rFonts w:hint="eastAsia" w:ascii="宋体" w:hAnsi="宋体" w:eastAsia="宋体" w:cs="宋体"/>
          <w:sz w:val="21"/>
          <w:szCs w:val="21"/>
          <w:lang w:val="zh-CN"/>
        </w:rPr>
        <w:t>开标</w:t>
      </w:r>
      <w:bookmarkEnd w:id="24"/>
      <w:bookmarkEnd w:id="25"/>
      <w:bookmarkEnd w:id="26"/>
    </w:p>
    <w:p>
      <w:pPr>
        <w:spacing w:line="360" w:lineRule="auto"/>
        <w:ind w:firstLine="422" w:firstLineChars="200"/>
        <w:rPr>
          <w:rFonts w:ascii="宋体" w:hAnsi="宋体" w:cs="宋体"/>
          <w:b/>
          <w:szCs w:val="21"/>
        </w:rPr>
      </w:pPr>
      <w:r>
        <w:rPr>
          <w:rFonts w:hint="eastAsia" w:ascii="宋体" w:hAnsi="宋体" w:cs="宋体"/>
          <w:b/>
          <w:szCs w:val="21"/>
        </w:rPr>
        <w:t>（一）开标准备</w:t>
      </w:r>
    </w:p>
    <w:p>
      <w:pPr>
        <w:spacing w:line="300" w:lineRule="auto"/>
        <w:ind w:firstLine="420"/>
        <w:rPr>
          <w:rFonts w:ascii="宋体" w:hAnsi="宋体" w:cs="宋体"/>
          <w:szCs w:val="21"/>
          <w:lang w:val="zh-CN"/>
        </w:rPr>
      </w:pPr>
      <w:r>
        <w:rPr>
          <w:rFonts w:hint="eastAsia" w:ascii="宋体" w:hAnsi="宋体" w:cs="宋体"/>
          <w:szCs w:val="21"/>
          <w:lang w:val="zh-CN"/>
        </w:rPr>
        <w:t>投标人须在开标时间前准备好电脑与制作本项目电子加密投标文件</w:t>
      </w:r>
      <w:r>
        <w:rPr>
          <w:rFonts w:hint="eastAsia" w:ascii="宋体" w:hAnsi="宋体" w:cs="宋体"/>
          <w:szCs w:val="21"/>
        </w:rPr>
        <w:t>的同一个</w:t>
      </w:r>
      <w:r>
        <w:rPr>
          <w:rFonts w:hint="eastAsia" w:ascii="宋体" w:hAnsi="宋体" w:cs="宋体"/>
          <w:szCs w:val="21"/>
          <w:lang w:val="zh-CN"/>
        </w:rPr>
        <w:t>CA锁，并打开“政采云电子投标客户端”软件，等待解密通知。</w:t>
      </w:r>
    </w:p>
    <w:p>
      <w:pPr>
        <w:spacing w:line="360" w:lineRule="auto"/>
        <w:ind w:firstLine="422" w:firstLineChars="200"/>
        <w:rPr>
          <w:rFonts w:ascii="宋体" w:hAnsi="宋体" w:cs="宋体"/>
          <w:b/>
          <w:bCs/>
          <w:szCs w:val="21"/>
        </w:rPr>
      </w:pPr>
      <w:r>
        <w:rPr>
          <w:rFonts w:hint="eastAsia" w:ascii="宋体" w:hAnsi="宋体" w:cs="宋体"/>
          <w:b/>
          <w:bCs/>
          <w:szCs w:val="21"/>
        </w:rPr>
        <w:t>（二）</w:t>
      </w:r>
      <w:r>
        <w:rPr>
          <w:rStyle w:val="149"/>
          <w:rFonts w:hint="eastAsia" w:ascii="宋体" w:hAnsi="宋体" w:cs="宋体"/>
          <w:b/>
          <w:szCs w:val="21"/>
          <w:lang w:val="zh-CN"/>
        </w:rPr>
        <w:t>开标</w:t>
      </w:r>
      <w:r>
        <w:rPr>
          <w:rFonts w:hint="eastAsia" w:ascii="宋体" w:hAnsi="宋体" w:cs="宋体"/>
          <w:b/>
          <w:bCs/>
          <w:szCs w:val="21"/>
        </w:rPr>
        <w:t>程序</w:t>
      </w:r>
    </w:p>
    <w:p>
      <w:pPr>
        <w:spacing w:line="300" w:lineRule="auto"/>
        <w:ind w:firstLine="420"/>
        <w:rPr>
          <w:rFonts w:ascii="宋体" w:hAnsi="宋体" w:cs="宋体"/>
          <w:szCs w:val="21"/>
        </w:rPr>
      </w:pPr>
      <w:r>
        <w:rPr>
          <w:rFonts w:hint="eastAsia" w:ascii="宋体" w:hAnsi="宋体" w:cs="宋体"/>
          <w:szCs w:val="21"/>
        </w:rPr>
        <w:t>1.向各供应商发出电子加密投标文件【开始解密】通知，由供应商在采购文件规定的时间内自行对投标文件进行解密。在规定的时间内无法完成“电子加密投标文件”解密，如已按规定递交了备份投标文件的，将由采购组织机构按“政府采购云平台”操作规范将备份投标文件上传至“政府采购云平台”，完成解密；</w:t>
      </w:r>
    </w:p>
    <w:p>
      <w:pPr>
        <w:spacing w:line="300" w:lineRule="auto"/>
        <w:ind w:firstLine="420"/>
        <w:rPr>
          <w:rFonts w:ascii="宋体" w:hAnsi="宋体" w:cs="宋体"/>
          <w:szCs w:val="21"/>
        </w:rPr>
      </w:pPr>
      <w:r>
        <w:rPr>
          <w:rFonts w:hint="eastAsia" w:ascii="宋体" w:hAnsi="宋体" w:cs="宋体"/>
          <w:szCs w:val="21"/>
        </w:rPr>
        <w:t>2.投标文件解密结束，组织供应商签署《政府采购活动现场确认声明书》（格式见第六章附件），声明书扫描件以邮件的形式发送至代理邮箱；</w:t>
      </w:r>
    </w:p>
    <w:p>
      <w:pPr>
        <w:spacing w:line="300" w:lineRule="auto"/>
        <w:ind w:firstLine="420"/>
        <w:rPr>
          <w:rFonts w:ascii="宋体" w:hAnsi="宋体" w:cs="宋体"/>
          <w:szCs w:val="21"/>
        </w:rPr>
      </w:pPr>
      <w:r>
        <w:rPr>
          <w:rFonts w:hint="eastAsia" w:ascii="宋体" w:hAnsi="宋体" w:cs="宋体"/>
          <w:szCs w:val="21"/>
        </w:rPr>
        <w:t>3.由采购人代表或代理机构评审资格文件，若资格审查不符合招标采购文件要求，系统上告知其原因并由供应商签章确认。系统上公开投标人资格审查结果，资格审查未获通过的投标人，其商务技术文件及报价文件不进入评审阶段；</w:t>
      </w:r>
    </w:p>
    <w:p>
      <w:pPr>
        <w:spacing w:line="300" w:lineRule="auto"/>
        <w:ind w:firstLine="420"/>
        <w:rPr>
          <w:rFonts w:ascii="宋体" w:hAnsi="宋体" w:cs="宋体"/>
          <w:szCs w:val="21"/>
        </w:rPr>
      </w:pPr>
      <w:r>
        <w:rPr>
          <w:rFonts w:hint="eastAsia" w:ascii="宋体" w:hAnsi="宋体" w:cs="宋体"/>
          <w:szCs w:val="21"/>
        </w:rPr>
        <w:t>4.评标委员会对商务技术文件进行评审，评审内容包括符合性审查，技术、商务评估及比较等。商务技术文件符合性审查通过的供应商，进入技术资信评分环节。符合性审查不通过的，系统告知其原因并由供应商签章确认，其商务技术文件及报价文件不再进入评审阶段；</w:t>
      </w:r>
    </w:p>
    <w:p>
      <w:pPr>
        <w:spacing w:line="300" w:lineRule="auto"/>
        <w:ind w:firstLine="420"/>
        <w:rPr>
          <w:rFonts w:ascii="宋体" w:hAnsi="宋体" w:cs="宋体"/>
          <w:szCs w:val="21"/>
        </w:rPr>
      </w:pPr>
      <w:r>
        <w:rPr>
          <w:rFonts w:hint="eastAsia" w:ascii="宋体" w:hAnsi="宋体" w:cs="宋体"/>
          <w:szCs w:val="21"/>
        </w:rPr>
        <w:t>5.在系统上公开技术商务评审结果，如对技术资信部分评分结果有异议的，供应商应当在结果公布后10分钟内提出；相关异议（如有）将由评标委员会作澄清；</w:t>
      </w:r>
    </w:p>
    <w:p>
      <w:pPr>
        <w:spacing w:line="300" w:lineRule="auto"/>
        <w:ind w:firstLine="420"/>
        <w:rPr>
          <w:rFonts w:ascii="宋体" w:hAnsi="宋体" w:cs="宋体"/>
          <w:szCs w:val="21"/>
        </w:rPr>
      </w:pPr>
      <w:r>
        <w:rPr>
          <w:rFonts w:hint="eastAsia" w:ascii="宋体" w:hAnsi="宋体" w:cs="宋体"/>
          <w:szCs w:val="21"/>
        </w:rPr>
        <w:t>6.在系统上公开报价情况，供应商30分钟内在系统上完成报价确认。评标委员会对报价情况进行评审；</w:t>
      </w:r>
    </w:p>
    <w:p>
      <w:pPr>
        <w:spacing w:line="300" w:lineRule="auto"/>
        <w:ind w:firstLine="420"/>
        <w:rPr>
          <w:rFonts w:ascii="宋体" w:hAnsi="宋体" w:cs="宋体"/>
          <w:szCs w:val="21"/>
        </w:rPr>
      </w:pPr>
      <w:r>
        <w:rPr>
          <w:rFonts w:hint="eastAsia" w:ascii="宋体" w:hAnsi="宋体" w:cs="宋体"/>
          <w:szCs w:val="21"/>
        </w:rPr>
        <w:t>7.在系统上公布评审结果；</w:t>
      </w:r>
    </w:p>
    <w:p>
      <w:pPr>
        <w:spacing w:line="300" w:lineRule="auto"/>
        <w:ind w:firstLine="420"/>
        <w:rPr>
          <w:rFonts w:ascii="宋体" w:hAnsi="宋体" w:cs="宋体"/>
          <w:szCs w:val="21"/>
        </w:rPr>
      </w:pPr>
      <w:r>
        <w:rPr>
          <w:rFonts w:hint="eastAsia" w:ascii="宋体" w:hAnsi="宋体" w:cs="宋体"/>
          <w:szCs w:val="21"/>
        </w:rPr>
        <w:t>8.评标委员会编写并签署评标报告，评标报告应当根据综合得分由高到低列明供应商排名情况，推荐三名中标候选人；</w:t>
      </w:r>
    </w:p>
    <w:p>
      <w:pPr>
        <w:spacing w:line="300" w:lineRule="auto"/>
        <w:ind w:firstLine="420"/>
        <w:rPr>
          <w:rFonts w:ascii="宋体" w:hAnsi="宋体" w:cs="宋体"/>
          <w:szCs w:val="21"/>
        </w:rPr>
      </w:pPr>
      <w:r>
        <w:rPr>
          <w:rFonts w:hint="eastAsia" w:ascii="宋体" w:hAnsi="宋体" w:cs="宋体"/>
          <w:szCs w:val="21"/>
        </w:rPr>
        <w:t>9.采购代理机构公布最终评审结果并出具开标记录，由主持人、记录人、现场监督员当场签字确认；</w:t>
      </w:r>
    </w:p>
    <w:p>
      <w:pPr>
        <w:spacing w:line="300" w:lineRule="auto"/>
        <w:ind w:firstLine="420"/>
        <w:rPr>
          <w:rFonts w:ascii="宋体" w:hAnsi="宋体" w:cs="宋体"/>
          <w:szCs w:val="21"/>
        </w:rPr>
      </w:pPr>
      <w:r>
        <w:rPr>
          <w:rFonts w:hint="eastAsia" w:ascii="宋体" w:hAnsi="宋体" w:cs="宋体"/>
          <w:szCs w:val="21"/>
        </w:rPr>
        <w:t>10.开标会议结束。</w:t>
      </w:r>
    </w:p>
    <w:p>
      <w:pPr>
        <w:spacing w:line="300" w:lineRule="auto"/>
        <w:ind w:firstLine="420"/>
        <w:rPr>
          <w:rFonts w:ascii="宋体" w:hAnsi="宋体" w:cs="宋体"/>
          <w:b/>
          <w:bCs/>
          <w:szCs w:val="21"/>
        </w:rPr>
      </w:pPr>
      <w:r>
        <w:rPr>
          <w:rFonts w:hint="eastAsia" w:ascii="宋体" w:hAnsi="宋体" w:cs="宋体"/>
          <w:b/>
          <w:bCs/>
          <w:szCs w:val="21"/>
        </w:rPr>
        <w:t>特别说明：如“政采云”系统对电子化开标及评审程序有调整的，按调整后的程序操作。</w:t>
      </w:r>
    </w:p>
    <w:p>
      <w:pPr>
        <w:spacing w:line="300" w:lineRule="auto"/>
        <w:ind w:firstLine="420"/>
        <w:rPr>
          <w:rFonts w:ascii="宋体" w:hAnsi="宋体" w:cs="宋体"/>
          <w:b/>
          <w:bCs/>
          <w:szCs w:val="21"/>
        </w:rPr>
      </w:pPr>
      <w:r>
        <w:rPr>
          <w:rFonts w:hint="eastAsia" w:ascii="宋体" w:hAnsi="宋体" w:cs="宋体"/>
          <w:b/>
          <w:bCs/>
          <w:szCs w:val="21"/>
        </w:rPr>
        <w:t>注：本项目采用政采云电子招投标开标及评审程序，采购过程中出现以下情形，导致电子交易平台无法正常运行，或者无法保证电子交易的公平、公正和安全时，采购代理机构可中止电子交易活动：</w:t>
      </w:r>
    </w:p>
    <w:p>
      <w:pPr>
        <w:spacing w:line="300" w:lineRule="auto"/>
        <w:ind w:firstLine="420"/>
        <w:rPr>
          <w:rFonts w:ascii="宋体" w:hAnsi="宋体" w:cs="宋体"/>
          <w:szCs w:val="21"/>
        </w:rPr>
      </w:pPr>
      <w:r>
        <w:rPr>
          <w:rFonts w:hint="eastAsia" w:ascii="宋体" w:hAnsi="宋体" w:cs="宋体"/>
          <w:szCs w:val="21"/>
        </w:rPr>
        <w:t xml:space="preserve">（一）电子交易平台发生故障而无法登录访问的； </w:t>
      </w:r>
    </w:p>
    <w:p>
      <w:pPr>
        <w:spacing w:line="300" w:lineRule="auto"/>
        <w:ind w:firstLine="420"/>
        <w:rPr>
          <w:rFonts w:ascii="宋体" w:hAnsi="宋体" w:cs="宋体"/>
          <w:szCs w:val="21"/>
        </w:rPr>
      </w:pPr>
      <w:r>
        <w:rPr>
          <w:rFonts w:hint="eastAsia" w:ascii="宋体" w:hAnsi="宋体" w:cs="宋体"/>
          <w:szCs w:val="21"/>
        </w:rPr>
        <w:t>（二）电子交易平台应用或数据库出现错误，不能进行正常操作的；</w:t>
      </w:r>
    </w:p>
    <w:p>
      <w:pPr>
        <w:spacing w:line="300" w:lineRule="auto"/>
        <w:ind w:firstLine="420"/>
        <w:rPr>
          <w:rFonts w:ascii="宋体" w:hAnsi="宋体" w:cs="宋体"/>
          <w:szCs w:val="21"/>
        </w:rPr>
      </w:pPr>
      <w:r>
        <w:rPr>
          <w:rFonts w:hint="eastAsia" w:ascii="宋体" w:hAnsi="宋体" w:cs="宋体"/>
          <w:szCs w:val="21"/>
        </w:rPr>
        <w:t>（三）电子交易平台发现严重安全漏洞，有潜在泄密危险的；</w:t>
      </w:r>
    </w:p>
    <w:p>
      <w:pPr>
        <w:spacing w:line="300" w:lineRule="auto"/>
        <w:ind w:firstLine="420"/>
        <w:rPr>
          <w:rFonts w:ascii="宋体" w:hAnsi="宋体" w:cs="宋体"/>
          <w:szCs w:val="21"/>
        </w:rPr>
      </w:pPr>
      <w:r>
        <w:rPr>
          <w:rFonts w:hint="eastAsia" w:ascii="宋体" w:hAnsi="宋体" w:cs="宋体"/>
          <w:szCs w:val="21"/>
        </w:rPr>
        <w:t>（四）病毒发作导致不能进行正常操作的；</w:t>
      </w:r>
    </w:p>
    <w:p>
      <w:pPr>
        <w:spacing w:line="300" w:lineRule="auto"/>
        <w:ind w:firstLine="420"/>
        <w:rPr>
          <w:rFonts w:ascii="宋体" w:hAnsi="宋体" w:cs="宋体"/>
          <w:szCs w:val="21"/>
        </w:rPr>
      </w:pPr>
      <w:r>
        <w:rPr>
          <w:rFonts w:hint="eastAsia" w:ascii="宋体" w:hAnsi="宋体" w:cs="宋体"/>
          <w:szCs w:val="21"/>
        </w:rPr>
        <w:t>（五）其他无法保证电子交易的公平、公正和安全的情况。</w:t>
      </w:r>
    </w:p>
    <w:p>
      <w:pPr>
        <w:spacing w:line="300" w:lineRule="auto"/>
        <w:ind w:firstLine="420"/>
        <w:rPr>
          <w:rFonts w:ascii="宋体" w:hAnsi="宋体" w:cs="宋体"/>
          <w:szCs w:val="21"/>
        </w:rPr>
      </w:pPr>
      <w:r>
        <w:rPr>
          <w:rFonts w:hint="eastAsia" w:ascii="宋体" w:hAnsi="宋体" w:cs="宋体"/>
          <w:szCs w:val="21"/>
        </w:rPr>
        <w:t>出现前款规定情形，不影响采购公平、公正性的，采购代理机构可以待上述情形消除后继续组织电子交易活动。</w:t>
      </w:r>
    </w:p>
    <w:p>
      <w:pPr>
        <w:pStyle w:val="4"/>
        <w:spacing w:before="0" w:after="0" w:line="360" w:lineRule="auto"/>
        <w:ind w:firstLine="420" w:firstLineChars="200"/>
        <w:jc w:val="left"/>
        <w:rPr>
          <w:rFonts w:ascii="宋体" w:hAnsi="宋体" w:eastAsia="宋体" w:cs="宋体"/>
          <w:bCs w:val="0"/>
          <w:sz w:val="21"/>
          <w:szCs w:val="21"/>
          <w:lang w:val="zh-CN"/>
        </w:rPr>
      </w:pPr>
      <w:bookmarkStart w:id="27" w:name="_Toc28271"/>
      <w:bookmarkStart w:id="28" w:name="_Toc24232"/>
      <w:r>
        <w:rPr>
          <w:rFonts w:hint="eastAsia" w:ascii="宋体" w:hAnsi="宋体" w:eastAsia="宋体" w:cs="宋体"/>
          <w:bCs w:val="0"/>
          <w:sz w:val="21"/>
          <w:szCs w:val="21"/>
          <w:lang w:val="zh-CN"/>
        </w:rPr>
        <w:t>五、评标</w:t>
      </w:r>
      <w:bookmarkEnd w:id="27"/>
      <w:bookmarkEnd w:id="28"/>
    </w:p>
    <w:p>
      <w:pPr>
        <w:autoSpaceDE w:val="0"/>
        <w:autoSpaceDN w:val="0"/>
        <w:adjustRightInd w:val="0"/>
        <w:spacing w:line="360" w:lineRule="auto"/>
        <w:ind w:firstLine="316" w:firstLineChars="150"/>
        <w:jc w:val="left"/>
        <w:rPr>
          <w:rFonts w:ascii="宋体" w:hAnsi="宋体" w:cs="宋体"/>
          <w:b/>
          <w:szCs w:val="21"/>
          <w:lang w:val="zh-CN"/>
        </w:rPr>
      </w:pPr>
      <w:r>
        <w:rPr>
          <w:rFonts w:hint="eastAsia" w:ascii="宋体" w:hAnsi="宋体" w:cs="宋体"/>
          <w:b/>
          <w:szCs w:val="21"/>
          <w:lang w:val="zh-CN"/>
        </w:rPr>
        <w:t>（一）组建评标委员会</w:t>
      </w:r>
    </w:p>
    <w:p>
      <w:pPr>
        <w:spacing w:line="300" w:lineRule="auto"/>
        <w:ind w:firstLine="420"/>
        <w:rPr>
          <w:rFonts w:ascii="宋体" w:hAnsi="宋体" w:cs="宋体"/>
          <w:szCs w:val="21"/>
        </w:rPr>
      </w:pPr>
      <w:r>
        <w:rPr>
          <w:rFonts w:hint="eastAsia" w:ascii="宋体" w:hAnsi="宋体" w:cs="宋体"/>
          <w:szCs w:val="21"/>
        </w:rPr>
        <w:t>评标委员会由1名采购人代表和4名随机抽取的技术、经济等方面的评审专家组成。</w:t>
      </w:r>
    </w:p>
    <w:p>
      <w:pPr>
        <w:spacing w:line="300" w:lineRule="auto"/>
        <w:ind w:firstLine="420"/>
        <w:rPr>
          <w:rFonts w:ascii="宋体" w:hAnsi="宋体" w:cs="宋体"/>
          <w:szCs w:val="21"/>
        </w:rPr>
      </w:pPr>
      <w:r>
        <w:rPr>
          <w:rFonts w:hint="eastAsia" w:ascii="宋体" w:hAnsi="宋体" w:cs="宋体"/>
          <w:szCs w:val="21"/>
        </w:rPr>
        <w:t>评审专家确定方式：按政府采购相关规定从专家库中随机抽取。</w:t>
      </w:r>
    </w:p>
    <w:p>
      <w:pPr>
        <w:pStyle w:val="29"/>
        <w:snapToGrid w:val="0"/>
        <w:spacing w:line="360" w:lineRule="auto"/>
        <w:ind w:firstLine="422" w:firstLineChars="200"/>
        <w:rPr>
          <w:rFonts w:hAnsi="宋体" w:cs="宋体"/>
          <w:b/>
          <w:szCs w:val="21"/>
          <w:lang w:val="zh-CN"/>
        </w:rPr>
      </w:pPr>
      <w:r>
        <w:rPr>
          <w:rFonts w:hint="eastAsia" w:hAnsi="宋体" w:cs="宋体"/>
          <w:b/>
          <w:szCs w:val="21"/>
          <w:lang w:val="zh-CN"/>
        </w:rPr>
        <w:t>（二）评标的方式</w:t>
      </w:r>
    </w:p>
    <w:p>
      <w:pPr>
        <w:spacing w:line="300" w:lineRule="auto"/>
        <w:ind w:firstLine="420"/>
        <w:rPr>
          <w:rFonts w:ascii="宋体" w:hAnsi="宋体" w:cs="宋体"/>
          <w:szCs w:val="21"/>
        </w:rPr>
      </w:pPr>
      <w:r>
        <w:rPr>
          <w:rFonts w:hint="eastAsia" w:ascii="宋体" w:hAnsi="宋体" w:cs="宋体"/>
          <w:szCs w:val="21"/>
        </w:rPr>
        <w:t>本项目采用不公开方式评标，评标的依据为采购文件和投标文件。</w:t>
      </w:r>
    </w:p>
    <w:p>
      <w:pPr>
        <w:autoSpaceDE w:val="0"/>
        <w:autoSpaceDN w:val="0"/>
        <w:adjustRightInd w:val="0"/>
        <w:spacing w:line="360" w:lineRule="auto"/>
        <w:ind w:firstLine="316" w:firstLineChars="150"/>
        <w:jc w:val="left"/>
        <w:rPr>
          <w:rFonts w:ascii="宋体" w:hAnsi="宋体" w:cs="宋体"/>
          <w:b/>
          <w:szCs w:val="21"/>
          <w:lang w:val="zh-CN"/>
        </w:rPr>
      </w:pPr>
      <w:r>
        <w:rPr>
          <w:rFonts w:hint="eastAsia" w:ascii="宋体" w:hAnsi="宋体" w:cs="宋体"/>
          <w:b/>
          <w:szCs w:val="21"/>
          <w:lang w:val="zh-CN"/>
        </w:rPr>
        <w:t>（三）评标程序</w:t>
      </w:r>
    </w:p>
    <w:p>
      <w:pPr>
        <w:spacing w:line="300" w:lineRule="auto"/>
        <w:ind w:firstLine="420"/>
        <w:rPr>
          <w:rFonts w:ascii="宋体" w:hAnsi="宋体" w:cs="宋体"/>
          <w:szCs w:val="21"/>
        </w:rPr>
      </w:pPr>
      <w:r>
        <w:rPr>
          <w:rFonts w:hint="eastAsia" w:ascii="宋体" w:hAnsi="宋体" w:cs="宋体"/>
          <w:szCs w:val="21"/>
        </w:rPr>
        <w:t>1.形式审查（符合性审查）</w:t>
      </w:r>
    </w:p>
    <w:p>
      <w:pPr>
        <w:spacing w:line="300" w:lineRule="auto"/>
        <w:ind w:firstLine="420"/>
        <w:rPr>
          <w:rFonts w:ascii="宋体" w:hAnsi="宋体" w:cs="宋体"/>
          <w:szCs w:val="21"/>
        </w:rPr>
      </w:pPr>
      <w:r>
        <w:rPr>
          <w:rFonts w:hint="eastAsia" w:ascii="宋体" w:hAnsi="宋体" w:cs="宋体"/>
          <w:szCs w:val="21"/>
        </w:rPr>
        <w:t>对符合资格条件的投标人的投标文件进行符合性审查，以确定其是否满足采购文件的实质性要求。</w:t>
      </w:r>
    </w:p>
    <w:p>
      <w:pPr>
        <w:spacing w:line="300" w:lineRule="auto"/>
        <w:ind w:firstLine="420"/>
        <w:rPr>
          <w:rFonts w:ascii="宋体" w:hAnsi="宋体" w:cs="宋体"/>
          <w:bCs/>
          <w:szCs w:val="21"/>
        </w:rPr>
      </w:pPr>
      <w:r>
        <w:rPr>
          <w:rFonts w:hint="eastAsia" w:ascii="宋体" w:hAnsi="宋体" w:cs="宋体"/>
          <w:bCs/>
          <w:szCs w:val="21"/>
        </w:rPr>
        <w:t>2.实质审查与比较</w:t>
      </w:r>
    </w:p>
    <w:p>
      <w:pPr>
        <w:spacing w:line="300" w:lineRule="auto"/>
        <w:ind w:firstLine="420"/>
        <w:rPr>
          <w:rFonts w:ascii="宋体" w:hAnsi="宋体" w:cs="宋体"/>
          <w:szCs w:val="21"/>
        </w:rPr>
      </w:pPr>
      <w:r>
        <w:rPr>
          <w:rFonts w:hint="eastAsia" w:ascii="宋体" w:hAnsi="宋体" w:cs="宋体"/>
          <w:szCs w:val="21"/>
        </w:rPr>
        <w:t>（1）评标委员会按采购文件中规定的评标方法和标准，对符合性审查合格的投标文件进行商务和技术评估；综合比较与评价。</w:t>
      </w:r>
    </w:p>
    <w:p>
      <w:pPr>
        <w:spacing w:line="300" w:lineRule="auto"/>
        <w:ind w:firstLine="420"/>
        <w:rPr>
          <w:rFonts w:ascii="宋体" w:hAnsi="宋体" w:cs="宋体"/>
          <w:szCs w:val="21"/>
        </w:rPr>
      </w:pPr>
      <w:r>
        <w:rPr>
          <w:rFonts w:hint="eastAsia" w:ascii="宋体" w:hAnsi="宋体" w:cs="宋体"/>
          <w:szCs w:val="21"/>
        </w:rPr>
        <w:t>（2）评标委员会根据投标人的投标文件进行审查、评判，如有疑问，将对投标人进行询标，投标人需向评标委员会澄清有关问题,并最终以书面形式进行答复。投标人代表拒绝澄清或者澄清的内容改变了投标文件的实质性内容的，评标委员会有权对该投标文件作出不利于投标人的评判。</w:t>
      </w:r>
    </w:p>
    <w:p>
      <w:pPr>
        <w:spacing w:line="300" w:lineRule="auto"/>
        <w:ind w:firstLine="420"/>
        <w:rPr>
          <w:rFonts w:ascii="宋体" w:hAnsi="宋体" w:cs="宋体"/>
          <w:szCs w:val="21"/>
        </w:rPr>
      </w:pPr>
      <w:r>
        <w:rPr>
          <w:rFonts w:hint="eastAsia" w:ascii="宋体" w:hAnsi="宋体" w:cs="宋体"/>
          <w:szCs w:val="21"/>
        </w:rPr>
        <w:t>（3）各投标人的技术资信得分为所有评委的有效评分的算术平均值，由评标委员会指定专人进行计算复核。</w:t>
      </w:r>
    </w:p>
    <w:p>
      <w:pPr>
        <w:spacing w:line="300" w:lineRule="auto"/>
        <w:ind w:firstLine="420"/>
        <w:rPr>
          <w:rFonts w:ascii="宋体" w:hAnsi="宋体" w:cs="宋体"/>
          <w:szCs w:val="21"/>
        </w:rPr>
      </w:pPr>
      <w:r>
        <w:rPr>
          <w:rFonts w:hint="eastAsia" w:ascii="宋体" w:hAnsi="宋体" w:cs="宋体"/>
          <w:szCs w:val="21"/>
        </w:rPr>
        <w:t>（4）评标委员会根据本项目的评分标准计算各投标人的报价得分。</w:t>
      </w:r>
    </w:p>
    <w:p>
      <w:pPr>
        <w:spacing w:line="300" w:lineRule="auto"/>
        <w:ind w:firstLine="420"/>
        <w:rPr>
          <w:rFonts w:ascii="宋体" w:hAnsi="宋体" w:cs="宋体"/>
          <w:szCs w:val="21"/>
        </w:rPr>
      </w:pPr>
      <w:r>
        <w:rPr>
          <w:rFonts w:hint="eastAsia" w:ascii="宋体" w:hAnsi="宋体" w:cs="宋体"/>
          <w:szCs w:val="21"/>
        </w:rPr>
        <w:t>（5）评标委员会完成评标后，评委对各部分得分汇总，计算出各投标人综合得分。评标委员会按评标原则起草评标报告并推荐中标候选人。</w:t>
      </w:r>
    </w:p>
    <w:p>
      <w:pPr>
        <w:autoSpaceDE w:val="0"/>
        <w:autoSpaceDN w:val="0"/>
        <w:adjustRightInd w:val="0"/>
        <w:spacing w:line="360" w:lineRule="auto"/>
        <w:ind w:firstLine="316" w:firstLineChars="150"/>
        <w:jc w:val="left"/>
        <w:rPr>
          <w:rFonts w:ascii="宋体" w:hAnsi="宋体" w:cs="宋体"/>
          <w:b/>
          <w:szCs w:val="21"/>
          <w:lang w:val="zh-CN"/>
        </w:rPr>
      </w:pPr>
      <w:r>
        <w:rPr>
          <w:rFonts w:hint="eastAsia" w:ascii="宋体" w:hAnsi="宋体" w:cs="宋体"/>
          <w:b/>
          <w:szCs w:val="21"/>
          <w:lang w:val="zh-CN"/>
        </w:rPr>
        <w:t>（四）澄清问题的形式</w:t>
      </w:r>
    </w:p>
    <w:p>
      <w:pPr>
        <w:spacing w:line="300" w:lineRule="auto"/>
        <w:ind w:firstLine="420"/>
        <w:rPr>
          <w:rFonts w:ascii="宋体" w:hAnsi="宋体" w:cs="宋体"/>
          <w:szCs w:val="21"/>
        </w:rPr>
      </w:pPr>
      <w:r>
        <w:rPr>
          <w:rFonts w:hint="eastAsia" w:ascii="宋体" w:hAnsi="宋体" w:cs="宋体"/>
          <w:szCs w:val="21"/>
        </w:rPr>
        <w:t>对投标文件中含义不明确、同类问题表述不一致或者有明显文字和计算错误的内容，评标委员会可要求投标人作出必要的澄清、说明或者纠正。投标人的澄清、说明或者补正应当采用书面形式，并不得超出投标文件的范围或者改变投标文件的实质性内容。</w:t>
      </w:r>
    </w:p>
    <w:p>
      <w:pPr>
        <w:autoSpaceDE w:val="0"/>
        <w:autoSpaceDN w:val="0"/>
        <w:adjustRightInd w:val="0"/>
        <w:spacing w:line="360" w:lineRule="auto"/>
        <w:ind w:firstLine="316" w:firstLineChars="150"/>
        <w:jc w:val="left"/>
        <w:rPr>
          <w:rFonts w:ascii="宋体" w:hAnsi="宋体" w:cs="宋体"/>
          <w:b/>
          <w:szCs w:val="21"/>
          <w:lang w:val="zh-CN"/>
        </w:rPr>
      </w:pPr>
      <w:r>
        <w:rPr>
          <w:rFonts w:hint="eastAsia" w:ascii="宋体" w:hAnsi="宋体" w:cs="宋体"/>
          <w:b/>
          <w:szCs w:val="21"/>
          <w:lang w:val="zh-CN"/>
        </w:rPr>
        <w:t>（五）错误修正</w:t>
      </w:r>
    </w:p>
    <w:p>
      <w:pPr>
        <w:spacing w:line="300" w:lineRule="auto"/>
        <w:ind w:firstLine="420"/>
        <w:rPr>
          <w:rFonts w:ascii="宋体" w:hAnsi="宋体" w:cs="宋体"/>
          <w:bCs/>
          <w:szCs w:val="21"/>
        </w:rPr>
      </w:pPr>
      <w:r>
        <w:rPr>
          <w:rFonts w:hint="eastAsia" w:ascii="宋体" w:hAnsi="宋体" w:cs="宋体"/>
          <w:bCs/>
          <w:szCs w:val="21"/>
        </w:rPr>
        <w:t>投标文件报价出现前后不一致的，按照下列规定修正：</w:t>
      </w:r>
    </w:p>
    <w:p>
      <w:pPr>
        <w:spacing w:line="300" w:lineRule="auto"/>
        <w:ind w:firstLine="420"/>
        <w:rPr>
          <w:rFonts w:ascii="宋体" w:hAnsi="宋体" w:cs="宋体"/>
          <w:bCs/>
          <w:szCs w:val="21"/>
        </w:rPr>
      </w:pPr>
      <w:r>
        <w:rPr>
          <w:rFonts w:hint="eastAsia" w:ascii="宋体" w:hAnsi="宋体" w:cs="宋体"/>
          <w:bCs/>
          <w:szCs w:val="21"/>
        </w:rPr>
        <w:t>(1)投标文件中开标</w:t>
      </w:r>
      <w:r>
        <w:rPr>
          <w:rFonts w:hint="eastAsia" w:ascii="宋体" w:hAnsi="宋体" w:cs="宋体"/>
          <w:szCs w:val="21"/>
        </w:rPr>
        <w:t>一览表</w:t>
      </w:r>
      <w:r>
        <w:rPr>
          <w:rFonts w:hint="eastAsia" w:ascii="宋体" w:hAnsi="宋体" w:cs="宋体"/>
          <w:bCs/>
          <w:szCs w:val="21"/>
        </w:rPr>
        <w:t>(报价表)内容与投标文件中相应内容不一致的，以开标一览表(报价表)为准；</w:t>
      </w:r>
    </w:p>
    <w:p>
      <w:pPr>
        <w:spacing w:line="300" w:lineRule="auto"/>
        <w:ind w:firstLine="420"/>
        <w:rPr>
          <w:rFonts w:ascii="宋体" w:hAnsi="宋体" w:cs="宋体"/>
          <w:bCs/>
          <w:szCs w:val="21"/>
        </w:rPr>
      </w:pPr>
      <w:r>
        <w:rPr>
          <w:rFonts w:hint="eastAsia" w:ascii="宋体" w:hAnsi="宋体" w:cs="宋体"/>
          <w:bCs/>
          <w:szCs w:val="21"/>
        </w:rPr>
        <w:t>(2)大写金额和小写金额不一致的，以大写金额为准；</w:t>
      </w:r>
    </w:p>
    <w:p>
      <w:pPr>
        <w:spacing w:line="300" w:lineRule="auto"/>
        <w:ind w:firstLine="420"/>
        <w:rPr>
          <w:rFonts w:ascii="宋体" w:hAnsi="宋体" w:cs="宋体"/>
          <w:bCs/>
          <w:szCs w:val="21"/>
        </w:rPr>
      </w:pPr>
      <w:r>
        <w:rPr>
          <w:rFonts w:hint="eastAsia" w:ascii="宋体" w:hAnsi="宋体" w:cs="宋体"/>
          <w:bCs/>
          <w:szCs w:val="21"/>
        </w:rPr>
        <w:t>(3)单价金额小数点或者百分比有明显错位的，以开标一览表的总价为准，并修改单价；</w:t>
      </w:r>
    </w:p>
    <w:p>
      <w:pPr>
        <w:spacing w:line="300" w:lineRule="auto"/>
        <w:ind w:firstLine="420"/>
        <w:rPr>
          <w:rFonts w:ascii="宋体" w:hAnsi="宋体" w:cs="宋体"/>
          <w:bCs/>
          <w:szCs w:val="21"/>
        </w:rPr>
      </w:pPr>
      <w:r>
        <w:rPr>
          <w:rFonts w:hint="eastAsia" w:ascii="宋体" w:hAnsi="宋体" w:cs="宋体"/>
          <w:bCs/>
          <w:szCs w:val="21"/>
        </w:rPr>
        <w:t>(4)总价</w:t>
      </w:r>
      <w:r>
        <w:rPr>
          <w:rFonts w:hint="eastAsia" w:ascii="宋体" w:hAnsi="宋体" w:cs="宋体"/>
          <w:szCs w:val="21"/>
        </w:rPr>
        <w:t>金额</w:t>
      </w:r>
      <w:r>
        <w:rPr>
          <w:rFonts w:hint="eastAsia" w:ascii="宋体" w:hAnsi="宋体" w:cs="宋体"/>
          <w:bCs/>
          <w:szCs w:val="21"/>
        </w:rPr>
        <w:t>与按单价汇总金额不一致的，以单价金额计算结果为准。</w:t>
      </w:r>
    </w:p>
    <w:p>
      <w:pPr>
        <w:spacing w:line="300" w:lineRule="auto"/>
        <w:ind w:firstLine="420"/>
        <w:rPr>
          <w:rFonts w:ascii="宋体" w:hAnsi="宋体" w:cs="宋体"/>
          <w:bCs/>
          <w:szCs w:val="21"/>
        </w:rPr>
      </w:pPr>
      <w:r>
        <w:rPr>
          <w:rFonts w:hint="eastAsia" w:ascii="宋体" w:hAnsi="宋体" w:cs="宋体"/>
          <w:bCs/>
          <w:szCs w:val="21"/>
        </w:rPr>
        <w:t>同时出现两种以上不一致的，按照前款规定的顺序修正。修正后的报价按照财政部令第87号《政府采购货物和服务招标投标管理办法》第五十一条第二款的规定经投标人确认后产生约束力，投标人不确认的，其投标无效。</w:t>
      </w:r>
    </w:p>
    <w:p>
      <w:pPr>
        <w:spacing w:line="300" w:lineRule="auto"/>
        <w:ind w:firstLine="420"/>
        <w:rPr>
          <w:rFonts w:ascii="宋体" w:hAnsi="宋体" w:cs="宋体"/>
        </w:rPr>
      </w:pPr>
      <w:r>
        <w:rPr>
          <w:rFonts w:hint="eastAsia" w:ascii="宋体" w:hAnsi="宋体" w:cs="宋体"/>
          <w:szCs w:val="21"/>
        </w:rPr>
        <w:t>（5）政采云系统中填报的电子数据（例如政采云系统中填报的“开标一览表”内容）与加密电子投标文件相应内容不一致的，以加密电子投标文件内容为准，但相关法律法规或管理办法有明确规定的，从其规定。</w:t>
      </w:r>
    </w:p>
    <w:p>
      <w:pPr>
        <w:autoSpaceDE w:val="0"/>
        <w:autoSpaceDN w:val="0"/>
        <w:adjustRightInd w:val="0"/>
        <w:spacing w:line="360" w:lineRule="auto"/>
        <w:ind w:firstLine="316" w:firstLineChars="150"/>
        <w:jc w:val="left"/>
        <w:rPr>
          <w:rFonts w:ascii="宋体" w:hAnsi="宋体" w:cs="宋体"/>
          <w:b/>
          <w:szCs w:val="21"/>
          <w:lang w:val="zh-CN"/>
        </w:rPr>
      </w:pPr>
      <w:r>
        <w:rPr>
          <w:rFonts w:hint="eastAsia" w:ascii="宋体" w:hAnsi="宋体" w:cs="宋体"/>
          <w:b/>
          <w:szCs w:val="21"/>
          <w:lang w:val="zh-CN"/>
        </w:rPr>
        <w:t>（六）评标原则和评标办法</w:t>
      </w:r>
    </w:p>
    <w:p>
      <w:pPr>
        <w:spacing w:line="300" w:lineRule="auto"/>
        <w:ind w:firstLine="420"/>
        <w:rPr>
          <w:rFonts w:ascii="宋体" w:hAnsi="宋体" w:cs="宋体"/>
          <w:szCs w:val="21"/>
        </w:rPr>
      </w:pPr>
      <w:r>
        <w:rPr>
          <w:rFonts w:hint="eastAsia" w:ascii="宋体" w:hAnsi="宋体" w:cs="宋体"/>
          <w:b/>
          <w:szCs w:val="21"/>
        </w:rPr>
        <w:t>1.评标原则。</w:t>
      </w:r>
      <w:r>
        <w:rPr>
          <w:rFonts w:hint="eastAsia" w:ascii="宋体" w:hAnsi="宋体" w:cs="宋体"/>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00" w:lineRule="auto"/>
        <w:ind w:firstLine="420"/>
        <w:rPr>
          <w:rFonts w:ascii="宋体" w:hAnsi="宋体" w:cs="宋体"/>
          <w:szCs w:val="21"/>
        </w:rPr>
      </w:pPr>
      <w:r>
        <w:rPr>
          <w:rFonts w:hint="eastAsia" w:ascii="宋体" w:hAnsi="宋体" w:cs="宋体"/>
          <w:b/>
          <w:szCs w:val="21"/>
        </w:rPr>
        <w:t>2.评标办法。</w:t>
      </w:r>
      <w:r>
        <w:rPr>
          <w:rFonts w:hint="eastAsia" w:ascii="宋体" w:hAnsi="宋体" w:cs="宋体"/>
          <w:bCs/>
          <w:szCs w:val="21"/>
        </w:rPr>
        <w:t>综合评分法，</w:t>
      </w:r>
      <w:r>
        <w:rPr>
          <w:rFonts w:hint="eastAsia" w:ascii="宋体" w:hAnsi="宋体" w:cs="宋体"/>
          <w:szCs w:val="21"/>
        </w:rPr>
        <w:t>具体评标内容及评分标准等详见第五章“评标办法及评分标准”。</w:t>
      </w:r>
    </w:p>
    <w:p>
      <w:pPr>
        <w:spacing w:line="300" w:lineRule="auto"/>
        <w:ind w:firstLine="420"/>
        <w:rPr>
          <w:rFonts w:ascii="宋体" w:hAnsi="宋体" w:cs="宋体"/>
          <w:szCs w:val="21"/>
        </w:rPr>
      </w:pPr>
      <w:r>
        <w:rPr>
          <w:rFonts w:hint="eastAsia" w:ascii="宋体" w:hAnsi="宋体" w:cs="宋体"/>
          <w:szCs w:val="21"/>
        </w:rPr>
        <w:t>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autoSpaceDE w:val="0"/>
        <w:autoSpaceDN w:val="0"/>
        <w:adjustRightInd w:val="0"/>
        <w:spacing w:line="360" w:lineRule="auto"/>
        <w:ind w:firstLine="211" w:firstLineChars="100"/>
        <w:jc w:val="left"/>
        <w:rPr>
          <w:rFonts w:ascii="宋体" w:hAnsi="宋体" w:cs="宋体"/>
          <w:b/>
          <w:szCs w:val="21"/>
          <w:lang w:val="zh-CN"/>
        </w:rPr>
      </w:pPr>
      <w:r>
        <w:rPr>
          <w:rFonts w:hint="eastAsia" w:ascii="宋体" w:hAnsi="宋体" w:cs="宋体"/>
          <w:b/>
          <w:szCs w:val="21"/>
          <w:lang w:val="zh-CN"/>
        </w:rPr>
        <w:t>（七）投标无效的情形</w:t>
      </w:r>
    </w:p>
    <w:p>
      <w:pPr>
        <w:spacing w:line="300" w:lineRule="auto"/>
        <w:ind w:firstLine="420"/>
        <w:rPr>
          <w:rFonts w:ascii="宋体" w:hAnsi="宋体" w:cs="宋体"/>
          <w:szCs w:val="21"/>
        </w:rPr>
      </w:pPr>
      <w:r>
        <w:rPr>
          <w:rFonts w:hint="eastAsia" w:ascii="宋体" w:hAnsi="宋体" w:cs="宋体"/>
          <w:szCs w:val="21"/>
        </w:rPr>
        <w:t>没有响应采购文件实质性要求的投标将被视为无效投标。投标人不得通过修正或撤消不合要求的偏离从而使其投标成为实质上响应的投标。出现下列情形之一的，经评标委员会认定后按无效投标处理：</w:t>
      </w:r>
    </w:p>
    <w:p>
      <w:pPr>
        <w:spacing w:line="300" w:lineRule="auto"/>
        <w:ind w:firstLine="420"/>
        <w:rPr>
          <w:rFonts w:ascii="宋体" w:hAnsi="宋体" w:cs="宋体"/>
          <w:szCs w:val="21"/>
        </w:rPr>
      </w:pPr>
      <w:r>
        <w:rPr>
          <w:rFonts w:hint="eastAsia" w:ascii="宋体" w:hAnsi="宋体" w:cs="宋体"/>
          <w:szCs w:val="21"/>
        </w:rPr>
        <w:t>1.投标文件未按规定签署或签章的；</w:t>
      </w:r>
    </w:p>
    <w:p>
      <w:pPr>
        <w:spacing w:line="300" w:lineRule="auto"/>
        <w:ind w:firstLine="420"/>
        <w:rPr>
          <w:rFonts w:ascii="宋体" w:hAnsi="宋体" w:cs="宋体"/>
          <w:szCs w:val="21"/>
        </w:rPr>
      </w:pPr>
      <w:r>
        <w:rPr>
          <w:rFonts w:hint="eastAsia" w:ascii="宋体" w:hAnsi="宋体" w:cs="宋体"/>
          <w:szCs w:val="21"/>
        </w:rPr>
        <w:t>2.投标人仅提交备份投标文件，系统未提交电子加密投标文件的；</w:t>
      </w:r>
    </w:p>
    <w:p>
      <w:pPr>
        <w:spacing w:line="300" w:lineRule="auto"/>
        <w:ind w:firstLine="420"/>
        <w:rPr>
          <w:rFonts w:ascii="宋体" w:hAnsi="宋体" w:cs="宋体"/>
          <w:szCs w:val="21"/>
        </w:rPr>
      </w:pPr>
      <w:r>
        <w:rPr>
          <w:rFonts w:hint="eastAsia" w:ascii="宋体" w:hAnsi="宋体" w:cs="宋体"/>
          <w:szCs w:val="21"/>
        </w:rPr>
        <w:t>3.不符合采购文件载明的资格条件或者资格证明文件提供不完整导致资格审查不合格的；</w:t>
      </w:r>
    </w:p>
    <w:p>
      <w:pPr>
        <w:spacing w:line="300" w:lineRule="auto"/>
        <w:ind w:firstLine="420"/>
        <w:rPr>
          <w:rFonts w:ascii="宋体" w:hAnsi="宋体" w:cs="宋体"/>
          <w:szCs w:val="21"/>
        </w:rPr>
      </w:pPr>
      <w:r>
        <w:rPr>
          <w:rFonts w:hint="eastAsia" w:ascii="宋体" w:hAnsi="宋体" w:cs="宋体"/>
          <w:szCs w:val="21"/>
        </w:rPr>
        <w:t>4.采购文件中标示“▲”的内容未实质性响应或技术参数、指标负偏离；</w:t>
      </w:r>
    </w:p>
    <w:p>
      <w:pPr>
        <w:spacing w:line="300" w:lineRule="auto"/>
        <w:ind w:firstLine="420"/>
        <w:rPr>
          <w:rFonts w:ascii="宋体" w:hAnsi="宋体" w:cs="宋体"/>
          <w:szCs w:val="21"/>
        </w:rPr>
      </w:pPr>
      <w:r>
        <w:rPr>
          <w:rFonts w:hint="eastAsia" w:ascii="宋体" w:hAnsi="宋体" w:cs="宋体"/>
          <w:szCs w:val="21"/>
        </w:rPr>
        <w:t>5.完成期限（服务周期）、支付方式、投标有效期等实质性商务条款不能满足采购文件要求的；</w:t>
      </w:r>
    </w:p>
    <w:p>
      <w:pPr>
        <w:spacing w:line="300" w:lineRule="auto"/>
        <w:ind w:firstLine="420"/>
        <w:rPr>
          <w:rFonts w:ascii="宋体" w:hAnsi="宋体" w:cs="宋体"/>
          <w:szCs w:val="21"/>
        </w:rPr>
      </w:pPr>
      <w:r>
        <w:rPr>
          <w:rFonts w:hint="eastAsia" w:ascii="宋体" w:hAnsi="宋体" w:cs="宋体"/>
          <w:szCs w:val="21"/>
        </w:rPr>
        <w:t>6.投标报价超出最高限价；</w:t>
      </w:r>
    </w:p>
    <w:p>
      <w:pPr>
        <w:spacing w:line="300" w:lineRule="auto"/>
        <w:ind w:firstLine="420"/>
        <w:rPr>
          <w:rFonts w:ascii="宋体" w:hAnsi="宋体" w:cs="宋体"/>
          <w:szCs w:val="21"/>
        </w:rPr>
      </w:pPr>
      <w:r>
        <w:rPr>
          <w:rFonts w:hint="eastAsia" w:ascii="宋体" w:hAnsi="宋体" w:cs="宋体"/>
          <w:szCs w:val="21"/>
        </w:rPr>
        <w:t>7.投标报价明显低于其他通过符合性审查投标人的报价，且投标人不能证明其报价合理性的；</w:t>
      </w:r>
    </w:p>
    <w:p>
      <w:pPr>
        <w:spacing w:line="300" w:lineRule="auto"/>
        <w:ind w:firstLine="420"/>
        <w:rPr>
          <w:rFonts w:ascii="宋体" w:hAnsi="宋体" w:cs="宋体"/>
          <w:szCs w:val="21"/>
        </w:rPr>
      </w:pPr>
      <w:r>
        <w:rPr>
          <w:rFonts w:hint="eastAsia" w:ascii="宋体" w:hAnsi="宋体" w:cs="宋体"/>
          <w:szCs w:val="21"/>
        </w:rPr>
        <w:t>8.投标文件含有采购人不能接受附加条件的；</w:t>
      </w:r>
    </w:p>
    <w:p>
      <w:pPr>
        <w:spacing w:line="300" w:lineRule="auto"/>
        <w:ind w:firstLine="420"/>
        <w:rPr>
          <w:rFonts w:ascii="宋体" w:hAnsi="宋体" w:cs="宋体"/>
          <w:szCs w:val="21"/>
        </w:rPr>
      </w:pPr>
      <w:r>
        <w:rPr>
          <w:rFonts w:hint="eastAsia" w:ascii="宋体" w:hAnsi="宋体" w:cs="宋体"/>
          <w:szCs w:val="21"/>
        </w:rPr>
        <w:t>9.不符合法律、法规和</w:t>
      </w:r>
      <w:r>
        <w:rPr>
          <w:rFonts w:hint="eastAsia" w:ascii="宋体" w:hAnsi="宋体" w:cs="宋体"/>
        </w:rPr>
        <w:fldChar w:fldCharType="begin"/>
      </w:r>
      <w:r>
        <w:rPr>
          <w:rFonts w:hint="eastAsia" w:ascii="宋体" w:hAnsi="宋体" w:cs="宋体"/>
        </w:rPr>
        <w:instrText xml:space="preserve"> HYPERLINK "https://www.baidu.com/s?wd=%E6%8B%9B%E6%A0%87%E6%96%87%E4%BB%B6&amp;tn=44039180_cpr&amp;fenlei=mv6quAkxTZn0IZRqIHckPjm4nH00T1YYmW6Yrjm3PHmznyDkmHTd0ZwV5Hcvrjm3rH6sPfKWUMw85HfYnjn4nH6sgvPsT6KdThsqpZwYTjCEQLGCpyw9Uz4Bmy-bIi4WUvYETgN-TLwGUv3ErHfknHDkrH6" \t "_blank" </w:instrText>
      </w:r>
      <w:r>
        <w:rPr>
          <w:rFonts w:hint="eastAsia" w:ascii="宋体" w:hAnsi="宋体" w:cs="宋体"/>
        </w:rPr>
        <w:fldChar w:fldCharType="separate"/>
      </w:r>
      <w:r>
        <w:rPr>
          <w:rFonts w:hint="eastAsia" w:ascii="宋体" w:hAnsi="宋体" w:cs="宋体"/>
          <w:szCs w:val="21"/>
        </w:rPr>
        <w:t>采购文件</w:t>
      </w:r>
      <w:r>
        <w:rPr>
          <w:rFonts w:hint="eastAsia" w:ascii="宋体" w:hAnsi="宋体" w:cs="宋体"/>
          <w:szCs w:val="21"/>
        </w:rPr>
        <w:fldChar w:fldCharType="end"/>
      </w:r>
      <w:r>
        <w:rPr>
          <w:rFonts w:hint="eastAsia" w:ascii="宋体" w:hAnsi="宋体" w:cs="宋体"/>
          <w:szCs w:val="21"/>
        </w:rPr>
        <w:t>中规定的其他实质性要求的。</w:t>
      </w:r>
    </w:p>
    <w:p>
      <w:pPr>
        <w:autoSpaceDE w:val="0"/>
        <w:autoSpaceDN w:val="0"/>
        <w:adjustRightInd w:val="0"/>
        <w:spacing w:line="360" w:lineRule="auto"/>
        <w:ind w:firstLine="211" w:firstLineChars="100"/>
        <w:jc w:val="left"/>
        <w:rPr>
          <w:rFonts w:ascii="宋体" w:hAnsi="宋体" w:cs="宋体"/>
          <w:b/>
          <w:szCs w:val="21"/>
          <w:lang w:val="zh-CN"/>
        </w:rPr>
      </w:pPr>
      <w:bookmarkStart w:id="29" w:name="_Toc29931"/>
      <w:r>
        <w:rPr>
          <w:rFonts w:hint="eastAsia" w:ascii="宋体" w:hAnsi="宋体" w:cs="宋体"/>
          <w:b/>
          <w:szCs w:val="21"/>
          <w:lang w:val="zh-CN"/>
        </w:rPr>
        <w:t>（八）特别说明</w:t>
      </w:r>
    </w:p>
    <w:p>
      <w:pPr>
        <w:spacing w:line="300" w:lineRule="auto"/>
        <w:ind w:firstLine="420"/>
        <w:rPr>
          <w:rFonts w:ascii="宋体" w:hAnsi="宋体" w:cs="宋体"/>
          <w:b/>
          <w:szCs w:val="21"/>
          <w:u w:val="single"/>
        </w:rPr>
      </w:pPr>
      <w:r>
        <w:rPr>
          <w:rFonts w:hint="eastAsia" w:ascii="宋体" w:hAnsi="宋体" w:cs="宋体"/>
          <w:b/>
          <w:szCs w:val="21"/>
          <w:u w:val="single"/>
        </w:rPr>
        <w:t>▲1.供应商法定代表人或单位负责人为同一人或者存在直接控股、管理关系的不同供应商，不得参加同一合同项下的政府采购活动。违反该款规定的，相关供应商均按投标无效处理。</w:t>
      </w:r>
    </w:p>
    <w:p>
      <w:pPr>
        <w:spacing w:line="300" w:lineRule="auto"/>
        <w:ind w:firstLine="420"/>
        <w:rPr>
          <w:rFonts w:ascii="宋体" w:hAnsi="宋体" w:cs="宋体"/>
          <w:b/>
          <w:szCs w:val="21"/>
          <w:u w:val="single"/>
        </w:rPr>
      </w:pPr>
      <w:r>
        <w:rPr>
          <w:rFonts w:hint="eastAsia" w:ascii="宋体" w:hAnsi="宋体" w:cs="宋体"/>
          <w:b/>
          <w:szCs w:val="21"/>
          <w:u w:val="single"/>
        </w:rPr>
        <w:t>▲2.有下列情形之一的，视为供应商串通投标，其投标无效：</w:t>
      </w:r>
    </w:p>
    <w:p>
      <w:pPr>
        <w:spacing w:line="300" w:lineRule="auto"/>
        <w:ind w:firstLine="420"/>
        <w:rPr>
          <w:rFonts w:ascii="宋体" w:hAnsi="宋体" w:cs="宋体"/>
          <w:b/>
          <w:szCs w:val="21"/>
          <w:u w:val="single"/>
        </w:rPr>
      </w:pPr>
      <w:r>
        <w:rPr>
          <w:rFonts w:hint="eastAsia" w:ascii="宋体" w:hAnsi="宋体" w:cs="宋体"/>
          <w:b/>
          <w:szCs w:val="21"/>
          <w:u w:val="single"/>
        </w:rPr>
        <w:t>（一）不同供应商的响应文件由同一单位或者个人编制；</w:t>
      </w:r>
    </w:p>
    <w:p>
      <w:pPr>
        <w:spacing w:line="300" w:lineRule="auto"/>
        <w:ind w:firstLine="420"/>
        <w:rPr>
          <w:rFonts w:ascii="宋体" w:hAnsi="宋体" w:cs="宋体"/>
          <w:b/>
          <w:szCs w:val="21"/>
          <w:u w:val="single"/>
        </w:rPr>
      </w:pPr>
      <w:r>
        <w:rPr>
          <w:rFonts w:hint="eastAsia" w:ascii="宋体" w:hAnsi="宋体" w:cs="宋体"/>
          <w:b/>
          <w:szCs w:val="21"/>
          <w:u w:val="single"/>
        </w:rPr>
        <w:t>（二）不同供应商委托同一单位或者个人办理投标事宜；</w:t>
      </w:r>
    </w:p>
    <w:p>
      <w:pPr>
        <w:spacing w:line="300" w:lineRule="auto"/>
        <w:ind w:firstLine="420"/>
        <w:rPr>
          <w:rFonts w:ascii="宋体" w:hAnsi="宋体" w:cs="宋体"/>
          <w:b/>
          <w:szCs w:val="21"/>
          <w:u w:val="single"/>
        </w:rPr>
      </w:pPr>
      <w:r>
        <w:rPr>
          <w:rFonts w:hint="eastAsia" w:ascii="宋体" w:hAnsi="宋体" w:cs="宋体"/>
          <w:b/>
          <w:szCs w:val="21"/>
          <w:u w:val="single"/>
        </w:rPr>
        <w:t>（三）不同供应商的响应文件载明的项目管理成员为同一人；</w:t>
      </w:r>
    </w:p>
    <w:p>
      <w:pPr>
        <w:spacing w:line="300" w:lineRule="auto"/>
        <w:ind w:firstLine="420"/>
        <w:rPr>
          <w:rFonts w:ascii="宋体" w:hAnsi="宋体" w:cs="宋体"/>
          <w:b/>
          <w:szCs w:val="21"/>
          <w:u w:val="single"/>
        </w:rPr>
      </w:pPr>
      <w:r>
        <w:rPr>
          <w:rFonts w:hint="eastAsia" w:ascii="宋体" w:hAnsi="宋体" w:cs="宋体"/>
          <w:b/>
          <w:szCs w:val="21"/>
          <w:u w:val="single"/>
        </w:rPr>
        <w:t>（四）不同供应商的响应文件异常一致或者投标报价呈规律性差异；</w:t>
      </w:r>
    </w:p>
    <w:p>
      <w:pPr>
        <w:spacing w:line="300" w:lineRule="auto"/>
        <w:ind w:firstLine="420"/>
        <w:rPr>
          <w:rFonts w:ascii="宋体" w:hAnsi="宋体" w:cs="宋体"/>
          <w:b/>
          <w:szCs w:val="21"/>
          <w:u w:val="single"/>
        </w:rPr>
      </w:pPr>
      <w:r>
        <w:rPr>
          <w:rFonts w:hint="eastAsia" w:ascii="宋体" w:hAnsi="宋体" w:cs="宋体"/>
          <w:b/>
          <w:szCs w:val="21"/>
          <w:u w:val="single"/>
        </w:rPr>
        <w:t>▲3.为本采购项目提供整体设计、规范编制或者项目管理、监理、检测等服务的供应商，不得再参加本次采购活动。</w:t>
      </w:r>
    </w:p>
    <w:p>
      <w:pPr>
        <w:spacing w:line="300" w:lineRule="auto"/>
        <w:ind w:firstLine="420"/>
        <w:rPr>
          <w:rFonts w:ascii="宋体" w:hAnsi="宋体" w:cs="宋体"/>
          <w:b/>
          <w:szCs w:val="21"/>
          <w:u w:val="single"/>
        </w:rPr>
      </w:pPr>
      <w:r>
        <w:rPr>
          <w:rFonts w:hint="eastAsia" w:ascii="宋体" w:hAnsi="宋体" w:cs="宋体"/>
          <w:b/>
          <w:szCs w:val="21"/>
          <w:u w:val="single"/>
        </w:rPr>
        <w:t>▲4.一项或多项核心产品提供相同品牌产品且通过资格审查、符合性审查的不同供应商，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本项目核心产品在采购需求表中以产品名称前标注“★”并加下划线标明）。</w:t>
      </w:r>
    </w:p>
    <w:p>
      <w:pPr>
        <w:spacing w:line="300" w:lineRule="auto"/>
        <w:ind w:firstLine="420"/>
        <w:rPr>
          <w:rFonts w:ascii="宋体" w:hAnsi="宋体" w:cs="宋体"/>
          <w:b/>
          <w:szCs w:val="21"/>
          <w:u w:val="single"/>
        </w:rPr>
      </w:pPr>
      <w:r>
        <w:rPr>
          <w:rFonts w:hint="eastAsia" w:ascii="宋体" w:hAnsi="宋体" w:cs="宋体"/>
          <w:b/>
          <w:szCs w:val="21"/>
          <w:u w:val="single"/>
        </w:rPr>
        <w:t>▲5.供应商应仔细阅读采购文件的所有内容，按照采购文件的要求提交投标文件，并对所提供的全部资料的真实性承担法律责任。供应商在投标活动中提供任何虚假材料的，按无效投标处理，并报监管部门查处；中标后发现的，取消其中标资格。</w:t>
      </w:r>
    </w:p>
    <w:bookmarkEnd w:id="29"/>
    <w:p>
      <w:pPr>
        <w:spacing w:line="300" w:lineRule="auto"/>
        <w:ind w:firstLine="420"/>
        <w:rPr>
          <w:rFonts w:ascii="宋体" w:hAnsi="宋体" w:cs="宋体"/>
          <w:b/>
          <w:szCs w:val="21"/>
          <w:u w:val="single"/>
        </w:rPr>
      </w:pPr>
      <w:r>
        <w:rPr>
          <w:rFonts w:hint="eastAsia" w:ascii="宋体" w:hAnsi="宋体" w:cs="宋体"/>
          <w:b/>
          <w:szCs w:val="21"/>
          <w:u w:val="single"/>
        </w:rPr>
        <w:t>6.根据《关于调整优化节能产品、环境标志产品政府采购执行机制的通知》（财库〔 2019 〕9号）规定，采购需求产品在《环境标志产品政府采购品目清单》范围内或在《节能产品政府采购品目清单》中属于未标注“★”的一般节能产品的，实施优先采购。供应商提供的产品属于节能、环保产品且按照采购文件要求提供国家确定的认证机构出具的、处于有效期之内的《环境标志产品认证证书》或《节能产品认证证书》的，将依据评审标准给予其相应得分。认证机构范围以《市场监管总局关于发布参与实施政府采购节能产品、环境标志产品认证机构名录的公告》中公布的认证机构名录为准。</w:t>
      </w:r>
    </w:p>
    <w:p>
      <w:pPr>
        <w:spacing w:line="300" w:lineRule="auto"/>
        <w:ind w:firstLine="420"/>
        <w:rPr>
          <w:rFonts w:ascii="宋体" w:hAnsi="宋体" w:cs="宋体"/>
          <w:szCs w:val="21"/>
        </w:rPr>
      </w:pPr>
      <w:r>
        <w:rPr>
          <w:rFonts w:hint="eastAsia" w:ascii="宋体" w:hAnsi="宋体" w:cs="宋体"/>
          <w:b/>
          <w:szCs w:val="21"/>
          <w:u w:val="single"/>
        </w:rPr>
        <w:t>▲7.如本项目采购的产品属于《节能产品政府采购品目清单》中标注“ ★ ”的节能产品的，实施强制采购。供应商应当根据采购文件要求提供国家确定的认证机构（范围同上一条）出具的、处于有效期之内的《节能产品认证证书》，否则按无效投标处理。</w:t>
      </w:r>
    </w:p>
    <w:p>
      <w:pPr>
        <w:spacing w:line="300" w:lineRule="auto"/>
        <w:ind w:firstLine="420"/>
        <w:rPr>
          <w:rFonts w:ascii="宋体" w:hAnsi="宋体" w:cs="宋体"/>
          <w:b/>
          <w:szCs w:val="21"/>
          <w:u w:val="single"/>
        </w:rPr>
      </w:pPr>
      <w:r>
        <w:rPr>
          <w:rFonts w:hint="eastAsia" w:ascii="宋体" w:hAnsi="宋体" w:cs="宋体"/>
          <w:b/>
          <w:szCs w:val="21"/>
          <w:u w:val="single"/>
        </w:rPr>
        <w:t>8.供应商针对本项目投标所使用的资格、信誉、荣誉、业绩与企业认证必须为供应商本单位所拥有，除非招标文件有相反的规定。</w:t>
      </w:r>
    </w:p>
    <w:p>
      <w:pPr>
        <w:autoSpaceDE w:val="0"/>
        <w:autoSpaceDN w:val="0"/>
        <w:adjustRightInd w:val="0"/>
        <w:spacing w:line="360" w:lineRule="auto"/>
        <w:ind w:firstLine="316" w:firstLineChars="150"/>
        <w:jc w:val="left"/>
        <w:rPr>
          <w:rFonts w:ascii="宋体" w:hAnsi="宋体" w:cs="宋体"/>
          <w:b/>
          <w:szCs w:val="21"/>
          <w:lang w:val="zh-CN"/>
        </w:rPr>
      </w:pPr>
      <w:r>
        <w:rPr>
          <w:rFonts w:hint="eastAsia" w:ascii="宋体" w:hAnsi="宋体" w:cs="宋体"/>
          <w:b/>
          <w:szCs w:val="21"/>
          <w:lang w:val="zh-CN"/>
        </w:rPr>
        <w:t>（九）废标的情形</w:t>
      </w:r>
    </w:p>
    <w:p>
      <w:pPr>
        <w:spacing w:line="300" w:lineRule="auto"/>
        <w:ind w:firstLine="420"/>
        <w:rPr>
          <w:rFonts w:ascii="宋体" w:hAnsi="宋体" w:cs="宋体"/>
          <w:szCs w:val="21"/>
        </w:rPr>
      </w:pPr>
      <w:r>
        <w:rPr>
          <w:rFonts w:hint="eastAsia" w:ascii="宋体" w:hAnsi="宋体" w:cs="宋体"/>
          <w:szCs w:val="21"/>
        </w:rPr>
        <w:t>（1）投标截止时间后或评审期间，参加投标的符合专业条件的投标人或者对采购文件作实质响应的投标人不足三家的；</w:t>
      </w:r>
    </w:p>
    <w:p>
      <w:pPr>
        <w:spacing w:line="300" w:lineRule="auto"/>
        <w:ind w:firstLine="420"/>
        <w:rPr>
          <w:rFonts w:ascii="宋体" w:hAnsi="宋体" w:cs="宋体"/>
          <w:szCs w:val="21"/>
        </w:rPr>
      </w:pPr>
      <w:r>
        <w:rPr>
          <w:rFonts w:hint="eastAsia" w:ascii="宋体" w:hAnsi="宋体" w:cs="宋体"/>
          <w:szCs w:val="21"/>
        </w:rPr>
        <w:t>（2）出现影响招标公正的违法、违规行为的；</w:t>
      </w:r>
    </w:p>
    <w:p>
      <w:pPr>
        <w:spacing w:line="300" w:lineRule="auto"/>
        <w:ind w:firstLine="420"/>
        <w:rPr>
          <w:rFonts w:ascii="宋体" w:hAnsi="宋体" w:cs="宋体"/>
          <w:szCs w:val="21"/>
        </w:rPr>
      </w:pPr>
      <w:r>
        <w:rPr>
          <w:rFonts w:hint="eastAsia" w:ascii="宋体" w:hAnsi="宋体" w:cs="宋体"/>
          <w:szCs w:val="21"/>
        </w:rPr>
        <w:t>（3）投标人的报价均超过了采购预算，采购人不能支付的；</w:t>
      </w:r>
    </w:p>
    <w:p>
      <w:pPr>
        <w:spacing w:line="300" w:lineRule="auto"/>
        <w:ind w:firstLine="420"/>
        <w:rPr>
          <w:rFonts w:ascii="宋体" w:hAnsi="宋体" w:cs="宋体"/>
          <w:szCs w:val="21"/>
        </w:rPr>
      </w:pPr>
      <w:r>
        <w:rPr>
          <w:rFonts w:hint="eastAsia" w:ascii="宋体" w:hAnsi="宋体" w:cs="宋体"/>
          <w:szCs w:val="21"/>
        </w:rPr>
        <w:t>（4）因重大变故，采购任务取消的。</w:t>
      </w:r>
    </w:p>
    <w:p>
      <w:pPr>
        <w:spacing w:line="300" w:lineRule="auto"/>
        <w:ind w:firstLine="420"/>
        <w:rPr>
          <w:rFonts w:ascii="宋体" w:hAnsi="宋体" w:cs="宋体"/>
          <w:szCs w:val="21"/>
        </w:rPr>
      </w:pPr>
      <w:r>
        <w:rPr>
          <w:rFonts w:hint="eastAsia" w:ascii="宋体" w:hAnsi="宋体" w:cs="宋体"/>
          <w:szCs w:val="21"/>
        </w:rPr>
        <w:t>废标后，废标理由将在原招标公告发布媒体上公告通知所有投标人。</w:t>
      </w:r>
    </w:p>
    <w:p>
      <w:pPr>
        <w:pStyle w:val="4"/>
        <w:spacing w:before="0" w:after="0" w:line="360" w:lineRule="auto"/>
        <w:jc w:val="left"/>
        <w:rPr>
          <w:rFonts w:ascii="宋体" w:hAnsi="宋体" w:eastAsia="宋体" w:cs="宋体"/>
          <w:bCs w:val="0"/>
          <w:sz w:val="21"/>
          <w:szCs w:val="21"/>
          <w:lang w:val="zh-CN"/>
        </w:rPr>
      </w:pPr>
      <w:bookmarkStart w:id="30" w:name="_Toc956"/>
      <w:r>
        <w:rPr>
          <w:rFonts w:hint="eastAsia" w:ascii="宋体" w:hAnsi="宋体" w:eastAsia="宋体" w:cs="宋体"/>
          <w:bCs w:val="0"/>
          <w:sz w:val="21"/>
          <w:szCs w:val="21"/>
          <w:lang w:val="zh-CN"/>
        </w:rPr>
        <w:t>六、定标</w:t>
      </w:r>
      <w:bookmarkEnd w:id="30"/>
    </w:p>
    <w:p>
      <w:pPr>
        <w:autoSpaceDE w:val="0"/>
        <w:autoSpaceDN w:val="0"/>
        <w:adjustRightInd w:val="0"/>
        <w:spacing w:line="360" w:lineRule="auto"/>
        <w:ind w:firstLine="316" w:firstLineChars="150"/>
        <w:jc w:val="left"/>
        <w:rPr>
          <w:rFonts w:ascii="宋体" w:hAnsi="宋体" w:cs="宋体"/>
          <w:b/>
          <w:szCs w:val="21"/>
          <w:lang w:val="zh-CN"/>
        </w:rPr>
      </w:pPr>
      <w:r>
        <w:rPr>
          <w:rFonts w:hint="eastAsia" w:ascii="宋体" w:hAnsi="宋体" w:cs="宋体"/>
          <w:b/>
          <w:szCs w:val="21"/>
          <w:lang w:val="zh-CN"/>
        </w:rPr>
        <w:t>（一）确定中标人</w:t>
      </w:r>
    </w:p>
    <w:p>
      <w:pPr>
        <w:spacing w:line="300" w:lineRule="auto"/>
        <w:ind w:firstLine="420"/>
        <w:rPr>
          <w:rFonts w:ascii="宋体" w:hAnsi="宋体" w:cs="宋体"/>
          <w:bCs/>
          <w:kern w:val="0"/>
          <w:szCs w:val="21"/>
        </w:rPr>
      </w:pPr>
      <w:r>
        <w:rPr>
          <w:rFonts w:hint="eastAsia" w:ascii="宋体" w:hAnsi="宋体" w:cs="宋体"/>
          <w:bCs/>
          <w:kern w:val="0"/>
          <w:szCs w:val="21"/>
        </w:rPr>
        <w:t>1.评标委员会按</w:t>
      </w:r>
      <w:r>
        <w:rPr>
          <w:rFonts w:hint="eastAsia" w:ascii="宋体" w:hAnsi="宋体" w:cs="宋体"/>
          <w:szCs w:val="21"/>
        </w:rPr>
        <w:t>综合</w:t>
      </w:r>
      <w:r>
        <w:rPr>
          <w:rFonts w:hint="eastAsia" w:ascii="宋体" w:hAnsi="宋体" w:cs="宋体"/>
          <w:bCs/>
          <w:kern w:val="0"/>
          <w:szCs w:val="21"/>
        </w:rPr>
        <w:t>得分由高到低排序并推荐中标候选人排序名单。采购代理机构在评标结束后2个工作日内将评标报告提交采购单位依法确认，采购单位应在收到评标报告后5个工作日内对评标结果进行确认。取得采购单位书面确认意见后，采购代理机构在招标公告发布媒体上对采购结果进行公告，期限为公告发布之日起至第2个工作日止。同时以书面形式向中标人发出《中标通知书》。</w:t>
      </w:r>
    </w:p>
    <w:p>
      <w:pPr>
        <w:spacing w:line="300" w:lineRule="auto"/>
        <w:ind w:firstLine="420"/>
        <w:rPr>
          <w:rFonts w:ascii="宋体" w:hAnsi="宋体" w:cs="宋体"/>
          <w:bCs/>
          <w:kern w:val="0"/>
          <w:szCs w:val="21"/>
        </w:rPr>
      </w:pPr>
      <w:r>
        <w:rPr>
          <w:rFonts w:hint="eastAsia" w:ascii="宋体" w:hAnsi="宋体" w:cs="宋体"/>
          <w:bCs/>
          <w:kern w:val="0"/>
          <w:szCs w:val="21"/>
        </w:rPr>
        <w:t>2.出现下列情形之一的，采购人将按照评标报告推荐的中标候选人排序名单，确定下一中标候选人为中标人。如其余中标候选人与采购项目预期（价格、质量等）差距较大，对采购人明显不利的，采购人将重新组织采购。</w:t>
      </w:r>
    </w:p>
    <w:p>
      <w:pPr>
        <w:spacing w:line="300" w:lineRule="auto"/>
        <w:ind w:firstLine="420"/>
        <w:rPr>
          <w:rFonts w:ascii="宋体" w:hAnsi="宋体" w:cs="宋体"/>
          <w:szCs w:val="21"/>
        </w:rPr>
      </w:pPr>
      <w:r>
        <w:rPr>
          <w:rFonts w:hint="eastAsia" w:ascii="宋体" w:hAnsi="宋体" w:cs="宋体"/>
          <w:szCs w:val="21"/>
        </w:rPr>
        <w:t>（1）质疑处理结果导致中标结果改变的；</w:t>
      </w:r>
    </w:p>
    <w:p>
      <w:pPr>
        <w:spacing w:line="300" w:lineRule="auto"/>
        <w:ind w:firstLine="420"/>
        <w:rPr>
          <w:rFonts w:ascii="宋体" w:hAnsi="宋体" w:cs="宋体"/>
          <w:szCs w:val="21"/>
        </w:rPr>
      </w:pPr>
      <w:r>
        <w:rPr>
          <w:rFonts w:hint="eastAsia" w:ascii="宋体" w:hAnsi="宋体" w:cs="宋体"/>
          <w:szCs w:val="21"/>
        </w:rPr>
        <w:t>（2）投诉处理结果导致中标结果改变的；</w:t>
      </w:r>
    </w:p>
    <w:p>
      <w:pPr>
        <w:spacing w:line="300" w:lineRule="auto"/>
        <w:ind w:firstLine="420"/>
        <w:rPr>
          <w:rFonts w:ascii="宋体" w:hAnsi="宋体" w:cs="宋体"/>
          <w:szCs w:val="21"/>
        </w:rPr>
      </w:pPr>
      <w:r>
        <w:rPr>
          <w:rFonts w:hint="eastAsia" w:ascii="宋体" w:hAnsi="宋体" w:cs="宋体"/>
          <w:szCs w:val="21"/>
        </w:rPr>
        <w:t>（3）中标人拒绝与采购人签订合同或因不可抗力无法按照投标文件承诺的条件与采购人签订合同的。</w:t>
      </w:r>
    </w:p>
    <w:p>
      <w:pPr>
        <w:autoSpaceDE w:val="0"/>
        <w:autoSpaceDN w:val="0"/>
        <w:adjustRightInd w:val="0"/>
        <w:spacing w:line="360" w:lineRule="auto"/>
        <w:ind w:firstLine="316" w:firstLineChars="150"/>
        <w:jc w:val="left"/>
        <w:rPr>
          <w:rFonts w:ascii="宋体" w:hAnsi="宋体" w:cs="宋体"/>
          <w:b/>
          <w:szCs w:val="21"/>
        </w:rPr>
      </w:pPr>
      <w:r>
        <w:rPr>
          <w:rFonts w:hint="eastAsia" w:ascii="宋体" w:hAnsi="宋体" w:cs="宋体"/>
          <w:b/>
          <w:szCs w:val="21"/>
          <w:lang w:val="zh-CN"/>
        </w:rPr>
        <w:t>（二）质疑或投诉</w:t>
      </w:r>
    </w:p>
    <w:p>
      <w:pPr>
        <w:spacing w:line="300" w:lineRule="auto"/>
        <w:ind w:firstLine="420"/>
        <w:rPr>
          <w:rFonts w:ascii="宋体" w:hAnsi="宋体" w:cs="宋体"/>
          <w:bCs/>
          <w:kern w:val="0"/>
          <w:szCs w:val="21"/>
        </w:rPr>
      </w:pPr>
      <w:r>
        <w:rPr>
          <w:rFonts w:hint="eastAsia" w:ascii="宋体" w:hAnsi="宋体" w:cs="宋体"/>
          <w:bCs/>
          <w:kern w:val="0"/>
          <w:szCs w:val="21"/>
        </w:rPr>
        <w:t>1.投标人认为采购文件、采购过程、采购结果使自己的权益受到损害的，可以在知道或者应知其权益受到损害之日起7个工作日内，根据《政府采购质疑和投诉办法》（财政部令第94号）规定以书面形式向采购人或采购代理机构提出质疑，</w:t>
      </w:r>
      <w:r>
        <w:rPr>
          <w:rFonts w:hint="eastAsia" w:ascii="宋体" w:hAnsi="宋体" w:cs="宋体"/>
          <w:szCs w:val="21"/>
        </w:rPr>
        <w:t>针对同一采购程序环节的质疑，供应商应在法定期限内一次性提出（即针对同一采购程序环节的质疑采购人或采购代理机构仅受理一次），逾期提出或针对同一采购程序环节多次提出的质疑将不予受理、答复。供应商对采购人和采购代理机构的质疑答复不满意或者采购人和采购代理机构未在规定时间内作出答复的，可以在答复期满后十五个工作日内向同级政府采购监管部门投诉。</w:t>
      </w:r>
    </w:p>
    <w:p>
      <w:pPr>
        <w:spacing w:line="300" w:lineRule="auto"/>
        <w:ind w:firstLine="420"/>
        <w:rPr>
          <w:rFonts w:ascii="宋体" w:hAnsi="宋体" w:cs="宋体"/>
          <w:bCs/>
          <w:kern w:val="0"/>
          <w:szCs w:val="21"/>
        </w:rPr>
      </w:pPr>
      <w:r>
        <w:rPr>
          <w:rFonts w:hint="eastAsia" w:ascii="宋体" w:hAnsi="宋体" w:cs="宋体"/>
          <w:bCs/>
          <w:kern w:val="0"/>
          <w:szCs w:val="21"/>
        </w:rPr>
        <w:t>供应商应知其</w:t>
      </w:r>
      <w:r>
        <w:rPr>
          <w:rFonts w:hint="eastAsia" w:ascii="宋体" w:hAnsi="宋体" w:cs="宋体"/>
          <w:szCs w:val="21"/>
        </w:rPr>
        <w:t>权益</w:t>
      </w:r>
      <w:r>
        <w:rPr>
          <w:rFonts w:hint="eastAsia" w:ascii="宋体" w:hAnsi="宋体" w:cs="宋体"/>
          <w:bCs/>
          <w:kern w:val="0"/>
          <w:szCs w:val="21"/>
        </w:rPr>
        <w:t>受到损害之日，是指：</w:t>
      </w:r>
    </w:p>
    <w:p>
      <w:pPr>
        <w:spacing w:line="300" w:lineRule="auto"/>
        <w:ind w:firstLine="420"/>
        <w:rPr>
          <w:rFonts w:ascii="宋体" w:hAnsi="宋体" w:cs="宋体"/>
          <w:szCs w:val="21"/>
        </w:rPr>
      </w:pPr>
      <w:r>
        <w:rPr>
          <w:rFonts w:hint="eastAsia" w:ascii="宋体" w:hAnsi="宋体" w:cs="宋体"/>
          <w:szCs w:val="21"/>
        </w:rPr>
        <w:t>（1）对可以质疑的采购文件提出质疑的，为收到采购文件之日或者采购文件公告期限届满之日；</w:t>
      </w:r>
    </w:p>
    <w:p>
      <w:pPr>
        <w:spacing w:line="300" w:lineRule="auto"/>
        <w:ind w:firstLine="420"/>
        <w:rPr>
          <w:rFonts w:ascii="宋体" w:hAnsi="宋体" w:cs="宋体"/>
          <w:szCs w:val="21"/>
        </w:rPr>
      </w:pPr>
      <w:r>
        <w:rPr>
          <w:rFonts w:hint="eastAsia" w:ascii="宋体" w:hAnsi="宋体" w:cs="宋体"/>
          <w:szCs w:val="21"/>
        </w:rPr>
        <w:t>（2）对采购过程提出质疑的，为各采购程序环节结束之日；</w:t>
      </w:r>
    </w:p>
    <w:p>
      <w:pPr>
        <w:spacing w:line="300" w:lineRule="auto"/>
        <w:ind w:firstLine="420"/>
        <w:rPr>
          <w:rFonts w:ascii="宋体" w:hAnsi="宋体" w:cs="宋体"/>
          <w:szCs w:val="21"/>
        </w:rPr>
      </w:pPr>
      <w:r>
        <w:rPr>
          <w:rFonts w:hint="eastAsia" w:ascii="宋体" w:hAnsi="宋体" w:cs="宋体"/>
          <w:szCs w:val="21"/>
        </w:rPr>
        <w:t>（3）对采购结果提出质疑的，为中标结果公告期限届满之日。</w:t>
      </w:r>
    </w:p>
    <w:p>
      <w:pPr>
        <w:spacing w:line="300" w:lineRule="auto"/>
        <w:ind w:firstLine="420"/>
        <w:rPr>
          <w:rFonts w:ascii="宋体" w:hAnsi="宋体" w:cs="宋体"/>
          <w:szCs w:val="21"/>
        </w:rPr>
      </w:pPr>
      <w:r>
        <w:rPr>
          <w:rFonts w:hint="eastAsia" w:ascii="宋体" w:hAnsi="宋体" w:cs="宋体"/>
          <w:szCs w:val="21"/>
        </w:rPr>
        <w:t>2.质疑、投诉应当采用书面形式，质疑函、投诉书格式以财政部制定的范本为准（浙江政府采购网“下载专区”可下载），质疑函、投诉书均应明确阐述采购文件、采购过程或采购结果中使自己权益受到损害的实质性内容，提供相关事实、依据和证据及其来源或线索，便于有关单位调查、答复和处理。</w:t>
      </w:r>
    </w:p>
    <w:p>
      <w:pPr>
        <w:spacing w:line="360" w:lineRule="auto"/>
        <w:ind w:firstLine="422" w:firstLineChars="200"/>
        <w:jc w:val="left"/>
        <w:rPr>
          <w:rFonts w:ascii="宋体" w:hAnsi="宋体" w:cs="宋体"/>
          <w:b/>
          <w:szCs w:val="21"/>
        </w:rPr>
      </w:pPr>
      <w:r>
        <w:rPr>
          <w:rStyle w:val="149"/>
          <w:rFonts w:hint="eastAsia" w:ascii="宋体" w:hAnsi="宋体" w:cs="宋体"/>
          <w:b/>
          <w:szCs w:val="21"/>
        </w:rPr>
        <w:t>3.</w:t>
      </w:r>
      <w:r>
        <w:rPr>
          <w:rFonts w:hint="eastAsia" w:ascii="宋体" w:hAnsi="宋体" w:cs="宋体"/>
          <w:b/>
          <w:szCs w:val="21"/>
        </w:rPr>
        <w:t>疫情防控特别说明</w:t>
      </w:r>
    </w:p>
    <w:p>
      <w:pPr>
        <w:spacing w:line="300" w:lineRule="auto"/>
        <w:ind w:firstLine="420"/>
        <w:rPr>
          <w:rFonts w:ascii="宋体" w:hAnsi="宋体" w:cs="宋体"/>
          <w:szCs w:val="21"/>
        </w:rPr>
      </w:pPr>
      <w:r>
        <w:rPr>
          <w:rFonts w:hint="eastAsia" w:ascii="宋体" w:hAnsi="宋体" w:cs="宋体"/>
          <w:szCs w:val="21"/>
        </w:rPr>
        <w:t>3.1我省疫情应急响应终止之日前，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spacing w:line="300" w:lineRule="auto"/>
        <w:ind w:firstLine="420"/>
        <w:rPr>
          <w:rFonts w:ascii="宋体" w:hAnsi="宋体" w:cs="宋体"/>
          <w:szCs w:val="21"/>
        </w:rPr>
      </w:pPr>
      <w:r>
        <w:rPr>
          <w:rFonts w:hint="eastAsia" w:ascii="宋体" w:hAnsi="宋体" w:cs="宋体"/>
          <w:szCs w:val="21"/>
        </w:rPr>
        <w:t>3.2供应商也可通过邮寄方式寄递政府采购投诉、举报材料，邮寄地址为涉及政府采购项目采购人预算级次相应的财政部门。政府采购投诉、举报材料中须写明邮箱地址、传真号码，财政部门审查受理、处理决定等相关文书可通过电子邮件、传真等形式送达，供应商明确表示需要邮寄的除外。</w:t>
      </w:r>
    </w:p>
    <w:p>
      <w:pPr>
        <w:spacing w:line="300" w:lineRule="auto"/>
        <w:ind w:firstLine="420"/>
        <w:rPr>
          <w:rFonts w:ascii="宋体" w:hAnsi="宋体" w:cs="宋体"/>
          <w:szCs w:val="21"/>
        </w:rPr>
      </w:pPr>
      <w:r>
        <w:rPr>
          <w:rFonts w:hint="eastAsia" w:ascii="宋体" w:hAnsi="宋体" w:cs="宋体"/>
          <w:szCs w:val="21"/>
        </w:rPr>
        <w:t>3.3在线或者邮寄政府采购投诉举报材料当日下班时间点后收到的视为下一个工作日收到。</w:t>
      </w:r>
    </w:p>
    <w:p>
      <w:pPr>
        <w:pStyle w:val="4"/>
        <w:spacing w:before="0" w:after="0" w:line="360" w:lineRule="auto"/>
        <w:jc w:val="left"/>
        <w:rPr>
          <w:rFonts w:ascii="宋体" w:hAnsi="宋体" w:eastAsia="宋体" w:cs="宋体"/>
          <w:bCs w:val="0"/>
          <w:sz w:val="21"/>
          <w:szCs w:val="21"/>
          <w:lang w:val="zh-CN"/>
        </w:rPr>
      </w:pPr>
      <w:bookmarkStart w:id="31" w:name="_Toc30716"/>
      <w:bookmarkStart w:id="32" w:name="_Toc20844"/>
      <w:r>
        <w:rPr>
          <w:rFonts w:hint="eastAsia" w:ascii="宋体" w:hAnsi="宋体" w:eastAsia="宋体" w:cs="宋体"/>
          <w:bCs w:val="0"/>
          <w:sz w:val="21"/>
          <w:szCs w:val="21"/>
          <w:lang w:val="zh-CN"/>
        </w:rPr>
        <w:t>七、合同授予</w:t>
      </w:r>
      <w:bookmarkEnd w:id="31"/>
      <w:bookmarkEnd w:id="32"/>
    </w:p>
    <w:p>
      <w:pPr>
        <w:spacing w:line="300" w:lineRule="auto"/>
        <w:ind w:firstLine="420"/>
        <w:rPr>
          <w:rFonts w:ascii="宋体" w:hAnsi="宋体" w:cs="宋体"/>
          <w:szCs w:val="21"/>
        </w:rPr>
      </w:pPr>
      <w:r>
        <w:rPr>
          <w:rFonts w:hint="eastAsia" w:ascii="宋体" w:hAnsi="宋体" w:cs="宋体"/>
          <w:szCs w:val="21"/>
        </w:rPr>
        <w:t>1.采购人与中标供应商应当在《中标通知书》发出之日起三十日内签订政府采购合同。同时，采购代理机构对合同内容进行审查，如发现与采购结果和投标承诺内容不一致的，应予以纠正。</w:t>
      </w:r>
    </w:p>
    <w:p>
      <w:pPr>
        <w:spacing w:line="300" w:lineRule="auto"/>
        <w:ind w:firstLine="420"/>
        <w:rPr>
          <w:rFonts w:ascii="宋体" w:hAnsi="宋体" w:cs="宋体"/>
          <w:szCs w:val="21"/>
        </w:rPr>
      </w:pPr>
      <w:r>
        <w:rPr>
          <w:rFonts w:hint="eastAsia" w:ascii="宋体" w:hAnsi="宋体" w:cs="宋体"/>
          <w:szCs w:val="21"/>
        </w:rPr>
        <w:t>2.合同履行过程中，采购人需追加与合同标的相同的货物、工程或者服务的，在不改变合同其他条款的前提下，可以与供应商协商签订补充合同，但所有补充合同的采购金额不得超过原合同采购金额的10%。</w:t>
      </w:r>
    </w:p>
    <w:p>
      <w:pPr>
        <w:snapToGrid w:val="0"/>
        <w:spacing w:line="360" w:lineRule="auto"/>
        <w:ind w:firstLine="420" w:firstLineChars="200"/>
        <w:rPr>
          <w:rFonts w:ascii="宋体" w:hAnsi="宋体" w:cs="宋体"/>
          <w:szCs w:val="21"/>
        </w:rPr>
      </w:pPr>
    </w:p>
    <w:p>
      <w:pPr>
        <w:rPr>
          <w:rFonts w:ascii="宋体" w:hAnsi="宋体" w:cs="宋体"/>
          <w:sz w:val="30"/>
          <w:szCs w:val="30"/>
          <w:lang w:val="zh-CN"/>
        </w:rPr>
      </w:pPr>
      <w:bookmarkStart w:id="33" w:name="_Toc30971"/>
      <w:r>
        <w:rPr>
          <w:rFonts w:hint="eastAsia" w:ascii="宋体" w:hAnsi="宋体" w:cs="宋体"/>
          <w:sz w:val="30"/>
          <w:szCs w:val="30"/>
          <w:lang w:val="zh-CN"/>
        </w:rPr>
        <w:br w:type="page"/>
      </w:r>
    </w:p>
    <w:p>
      <w:pPr>
        <w:pStyle w:val="47"/>
        <w:spacing w:line="360" w:lineRule="auto"/>
        <w:outlineLvl w:val="0"/>
        <w:rPr>
          <w:rFonts w:ascii="宋体" w:hAnsi="宋体" w:cs="宋体"/>
          <w:sz w:val="30"/>
          <w:szCs w:val="30"/>
          <w:lang w:val="zh-CN" w:eastAsia="zh-CN"/>
        </w:rPr>
      </w:pPr>
      <w:bookmarkStart w:id="34" w:name="_Toc9203"/>
      <w:r>
        <w:rPr>
          <w:rFonts w:hint="eastAsia" w:ascii="宋体" w:hAnsi="宋体" w:cs="宋体"/>
          <w:sz w:val="30"/>
          <w:szCs w:val="30"/>
          <w:lang w:val="zh-CN" w:eastAsia="zh-CN"/>
        </w:rPr>
        <w:t>第三章  采购内容及要求</w:t>
      </w:r>
      <w:bookmarkEnd w:id="33"/>
      <w:bookmarkEnd w:id="34"/>
    </w:p>
    <w:p>
      <w:pPr>
        <w:pStyle w:val="4"/>
        <w:spacing w:before="156" w:beforeLines="50" w:after="0" w:line="360" w:lineRule="auto"/>
        <w:contextualSpacing/>
        <w:rPr>
          <w:rFonts w:ascii="宋体" w:hAnsi="宋体" w:eastAsia="宋体" w:cs="宋体"/>
          <w:sz w:val="28"/>
          <w:szCs w:val="28"/>
        </w:rPr>
      </w:pPr>
      <w:bookmarkStart w:id="35" w:name="2．设备清单"/>
      <w:bookmarkEnd w:id="35"/>
      <w:bookmarkStart w:id="36" w:name="_Toc81685055"/>
      <w:bookmarkStart w:id="37" w:name="_Toc22098"/>
      <w:r>
        <w:rPr>
          <w:rFonts w:hint="eastAsia" w:ascii="宋体" w:hAnsi="宋体" w:eastAsia="宋体" w:cs="宋体"/>
          <w:sz w:val="28"/>
          <w:szCs w:val="28"/>
        </w:rPr>
        <w:t>一、</w:t>
      </w:r>
      <w:bookmarkEnd w:id="36"/>
      <w:bookmarkStart w:id="38" w:name="_Toc81685097"/>
      <w:r>
        <w:rPr>
          <w:rFonts w:hint="eastAsia" w:ascii="宋体" w:hAnsi="宋体" w:eastAsia="宋体" w:cs="宋体"/>
          <w:sz w:val="28"/>
          <w:szCs w:val="28"/>
        </w:rPr>
        <w:t>采购需求一览表</w:t>
      </w:r>
      <w:bookmarkEnd w:id="37"/>
    </w:p>
    <w:bookmarkEnd w:id="38"/>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757"/>
        <w:gridCol w:w="3603"/>
        <w:gridCol w:w="118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编号</w:t>
            </w:r>
          </w:p>
        </w:tc>
        <w:tc>
          <w:tcPr>
            <w:tcW w:w="97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项目名称</w:t>
            </w:r>
          </w:p>
        </w:tc>
        <w:tc>
          <w:tcPr>
            <w:tcW w:w="1993" w:type="pct"/>
          </w:tcPr>
          <w:p>
            <w:pPr>
              <w:widowControl/>
              <w:jc w:val="center"/>
              <w:rPr>
                <w:rFonts w:ascii="宋体" w:hAnsi="宋体" w:cs="宋体"/>
                <w:b/>
                <w:bCs/>
                <w:kern w:val="0"/>
                <w:szCs w:val="21"/>
              </w:rPr>
            </w:pPr>
            <w:r>
              <w:rPr>
                <w:rFonts w:hint="eastAsia" w:ascii="宋体" w:hAnsi="宋体" w:cs="宋体"/>
                <w:b/>
                <w:bCs/>
                <w:kern w:val="0"/>
                <w:szCs w:val="21"/>
              </w:rPr>
              <w:t>技术要求</w:t>
            </w:r>
          </w:p>
        </w:tc>
        <w:tc>
          <w:tcPr>
            <w:tcW w:w="656"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695"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一</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水文仪器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声学全断面时差法测流系统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声学全断面时差法流速仪</w:t>
            </w:r>
          </w:p>
        </w:tc>
        <w:tc>
          <w:tcPr>
            <w:tcW w:w="1993" w:type="pct"/>
          </w:tcPr>
          <w:p>
            <w:pPr>
              <w:pStyle w:val="183"/>
              <w:spacing w:line="240" w:lineRule="auto"/>
              <w:ind w:firstLine="0" w:firstLineChars="0"/>
              <w:rPr>
                <w:rFonts w:hAnsi="宋体" w:cs="宋体"/>
                <w:sz w:val="21"/>
                <w:szCs w:val="21"/>
              </w:rPr>
            </w:pPr>
            <w:r>
              <w:rPr>
                <w:rFonts w:hint="eastAsia" w:hAnsi="宋体" w:cs="宋体"/>
                <w:sz w:val="21"/>
                <w:szCs w:val="21"/>
              </w:rPr>
              <w:t>1）测量原理：声学时差相关原理；</w:t>
            </w:r>
          </w:p>
          <w:p>
            <w:pPr>
              <w:pStyle w:val="183"/>
              <w:spacing w:line="240" w:lineRule="auto"/>
              <w:ind w:firstLine="0" w:firstLineChars="0"/>
              <w:rPr>
                <w:rFonts w:hAnsi="宋体" w:cs="宋体"/>
                <w:sz w:val="21"/>
                <w:szCs w:val="21"/>
              </w:rPr>
            </w:pPr>
            <w:r>
              <w:rPr>
                <w:rFonts w:hint="eastAsia" w:hAnsi="宋体" w:cs="宋体"/>
                <w:sz w:val="21"/>
                <w:szCs w:val="21"/>
              </w:rPr>
              <w:t>2）工作频率：90KHz；28KHz；</w:t>
            </w:r>
          </w:p>
          <w:p>
            <w:pPr>
              <w:pStyle w:val="183"/>
              <w:spacing w:line="240" w:lineRule="auto"/>
              <w:ind w:firstLine="0" w:firstLineChars="0"/>
              <w:rPr>
                <w:rFonts w:hAnsi="宋体" w:cs="宋体"/>
                <w:sz w:val="21"/>
                <w:szCs w:val="21"/>
              </w:rPr>
            </w:pPr>
            <w:r>
              <w:rPr>
                <w:rFonts w:hint="eastAsia" w:hAnsi="宋体" w:cs="宋体"/>
                <w:sz w:val="21"/>
                <w:szCs w:val="21"/>
              </w:rPr>
              <w:t>3）左右岸通信模式：无线；</w:t>
            </w:r>
          </w:p>
          <w:p>
            <w:pPr>
              <w:pStyle w:val="183"/>
              <w:spacing w:line="240" w:lineRule="auto"/>
              <w:ind w:firstLine="0" w:firstLineChars="0"/>
              <w:rPr>
                <w:rFonts w:hAnsi="宋体" w:cs="宋体"/>
                <w:sz w:val="21"/>
                <w:szCs w:val="21"/>
              </w:rPr>
            </w:pPr>
            <w:r>
              <w:rPr>
                <w:rFonts w:hint="eastAsia" w:hAnsi="宋体" w:cs="宋体"/>
                <w:sz w:val="21"/>
                <w:szCs w:val="21"/>
              </w:rPr>
              <w:t>4）剖面测量范围：0.2~1000m；</w:t>
            </w:r>
          </w:p>
          <w:p>
            <w:pPr>
              <w:pStyle w:val="183"/>
              <w:spacing w:line="240" w:lineRule="auto"/>
              <w:ind w:firstLine="0" w:firstLineChars="0"/>
              <w:rPr>
                <w:rFonts w:hAnsi="宋体" w:cs="宋体"/>
                <w:sz w:val="21"/>
                <w:szCs w:val="21"/>
              </w:rPr>
            </w:pPr>
            <w:r>
              <w:rPr>
                <w:rFonts w:hint="eastAsia" w:hAnsi="宋体" w:cs="宋体"/>
                <w:sz w:val="21"/>
                <w:szCs w:val="21"/>
              </w:rPr>
              <w:t>5）流速量</w:t>
            </w:r>
            <w:r>
              <w:rPr>
                <w:rFonts w:hint="eastAsia" w:hAnsi="宋体" w:cs="宋体"/>
                <w:color w:val="000000" w:themeColor="text1"/>
                <w:sz w:val="21"/>
                <w:szCs w:val="21"/>
                <w14:textFill>
                  <w14:solidFill>
                    <w14:schemeClr w14:val="tx1"/>
                  </w14:solidFill>
                </w14:textFill>
              </w:rPr>
              <w:t>程：-</w:t>
            </w:r>
            <w:r>
              <w:rPr>
                <w:rFonts w:hAnsi="宋体" w:cs="宋体"/>
                <w:color w:val="000000" w:themeColor="text1"/>
                <w:sz w:val="21"/>
                <w:szCs w:val="21"/>
                <w14:textFill>
                  <w14:solidFill>
                    <w14:schemeClr w14:val="tx1"/>
                  </w14:solidFill>
                </w14:textFill>
              </w:rPr>
              <w:t>10</w:t>
            </w:r>
            <w:r>
              <w:rPr>
                <w:rFonts w:hint="eastAsia" w:hAnsi="宋体" w:cs="宋体"/>
                <w:color w:val="000000" w:themeColor="text1"/>
                <w:sz w:val="21"/>
                <w:szCs w:val="21"/>
                <w14:textFill>
                  <w14:solidFill>
                    <w14:schemeClr w14:val="tx1"/>
                  </w14:solidFill>
                </w14:textFill>
              </w:rPr>
              <w:t>m</w:t>
            </w:r>
            <w:r>
              <w:rPr>
                <w:rFonts w:hAnsi="宋体" w:cs="宋体"/>
                <w:color w:val="000000" w:themeColor="text1"/>
                <w:sz w:val="21"/>
                <w:szCs w:val="21"/>
                <w14:textFill>
                  <w14:solidFill>
                    <w14:schemeClr w14:val="tx1"/>
                  </w14:solidFill>
                </w14:textFill>
              </w:rPr>
              <w:t>/s-</w:t>
            </w:r>
            <w:r>
              <w:rPr>
                <w:rFonts w:hint="eastAsia" w:hAnsi="宋体" w:cs="宋体"/>
                <w:color w:val="000000" w:themeColor="text1"/>
                <w:sz w:val="21"/>
                <w:szCs w:val="21"/>
                <w14:textFill>
                  <w14:solidFill>
                    <w14:schemeClr w14:val="tx1"/>
                  </w14:solidFill>
                </w14:textFill>
              </w:rPr>
              <w:t>10m/s；</w:t>
            </w:r>
          </w:p>
          <w:p>
            <w:pPr>
              <w:pStyle w:val="183"/>
              <w:spacing w:line="240" w:lineRule="auto"/>
              <w:ind w:firstLine="0" w:firstLineChars="0"/>
              <w:rPr>
                <w:rFonts w:hAnsi="宋体" w:cs="宋体"/>
                <w:sz w:val="21"/>
                <w:szCs w:val="21"/>
              </w:rPr>
            </w:pPr>
            <w:r>
              <w:rPr>
                <w:rFonts w:hint="eastAsia" w:hAnsi="宋体" w:cs="宋体"/>
                <w:sz w:val="21"/>
                <w:szCs w:val="21"/>
              </w:rPr>
              <w:t>6）测量精度：±1%；</w:t>
            </w:r>
          </w:p>
          <w:p>
            <w:pPr>
              <w:pStyle w:val="183"/>
              <w:spacing w:line="240" w:lineRule="auto"/>
              <w:ind w:firstLine="0" w:firstLineChars="0"/>
              <w:rPr>
                <w:rFonts w:hAnsi="宋体" w:cs="宋体"/>
                <w:sz w:val="21"/>
                <w:szCs w:val="21"/>
              </w:rPr>
            </w:pPr>
            <w:r>
              <w:rPr>
                <w:rFonts w:hint="eastAsia" w:hAnsi="宋体" w:cs="宋体"/>
                <w:sz w:val="21"/>
                <w:szCs w:val="21"/>
              </w:rPr>
              <w:t>7）流速分辨率：1mm/s；</w:t>
            </w:r>
          </w:p>
          <w:p>
            <w:pPr>
              <w:pStyle w:val="183"/>
              <w:spacing w:line="240" w:lineRule="auto"/>
              <w:ind w:firstLine="0" w:firstLineChars="0"/>
              <w:rPr>
                <w:rFonts w:hAnsi="宋体" w:cs="宋体"/>
                <w:sz w:val="21"/>
                <w:szCs w:val="21"/>
              </w:rPr>
            </w:pPr>
            <w:r>
              <w:rPr>
                <w:rFonts w:hint="eastAsia" w:hAnsi="宋体" w:cs="宋体"/>
                <w:sz w:val="21"/>
                <w:szCs w:val="21"/>
              </w:rPr>
              <w:t xml:space="preserve">8）平均误差：≤0.15%； </w:t>
            </w:r>
          </w:p>
          <w:p>
            <w:pPr>
              <w:pStyle w:val="183"/>
              <w:spacing w:line="240" w:lineRule="auto"/>
              <w:ind w:firstLine="0" w:firstLineChars="0"/>
              <w:rPr>
                <w:rFonts w:hAnsi="宋体" w:cs="宋体"/>
                <w:sz w:val="21"/>
                <w:szCs w:val="21"/>
              </w:rPr>
            </w:pPr>
            <w:r>
              <w:rPr>
                <w:rFonts w:hint="eastAsia" w:hAnsi="宋体" w:cs="宋体"/>
                <w:sz w:val="21"/>
                <w:szCs w:val="21"/>
              </w:rPr>
              <w:t xml:space="preserve">9）重复性：≤1%； </w:t>
            </w:r>
          </w:p>
          <w:p>
            <w:pPr>
              <w:pStyle w:val="183"/>
              <w:spacing w:line="240" w:lineRule="auto"/>
              <w:ind w:firstLine="0" w:firstLineChars="0"/>
              <w:rPr>
                <w:rFonts w:hAnsi="宋体" w:cs="宋体"/>
                <w:sz w:val="21"/>
                <w:szCs w:val="21"/>
              </w:rPr>
            </w:pPr>
            <w:r>
              <w:rPr>
                <w:rFonts w:hint="eastAsia" w:hAnsi="宋体" w:cs="宋体"/>
                <w:sz w:val="21"/>
                <w:szCs w:val="21"/>
              </w:rPr>
              <w:t>10）通讯：支持RS-485；</w:t>
            </w:r>
          </w:p>
          <w:p>
            <w:pPr>
              <w:pStyle w:val="183"/>
              <w:spacing w:line="240" w:lineRule="auto"/>
              <w:ind w:firstLine="0" w:firstLineChars="0"/>
              <w:rPr>
                <w:rFonts w:hAnsi="宋体" w:cs="宋体"/>
                <w:sz w:val="21"/>
                <w:szCs w:val="21"/>
              </w:rPr>
            </w:pPr>
            <w:r>
              <w:rPr>
                <w:rFonts w:hint="eastAsia" w:hAnsi="宋体" w:cs="宋体"/>
                <w:sz w:val="21"/>
                <w:szCs w:val="21"/>
              </w:rPr>
              <w:t>11）数据输出：指标流速/流量/水位/温度；</w:t>
            </w:r>
          </w:p>
          <w:p>
            <w:pPr>
              <w:pStyle w:val="183"/>
              <w:spacing w:line="240" w:lineRule="auto"/>
              <w:ind w:firstLine="0" w:firstLineChars="0"/>
              <w:rPr>
                <w:rFonts w:hAnsi="宋体" w:cs="宋体"/>
                <w:sz w:val="21"/>
                <w:szCs w:val="21"/>
              </w:rPr>
            </w:pPr>
            <w:r>
              <w:rPr>
                <w:rFonts w:hint="eastAsia" w:hAnsi="宋体" w:cs="宋体"/>
                <w:sz w:val="21"/>
                <w:szCs w:val="21"/>
              </w:rPr>
              <w:t xml:space="preserve">12）显示接口：15寸触摸屏； </w:t>
            </w:r>
          </w:p>
          <w:p>
            <w:pPr>
              <w:pStyle w:val="183"/>
              <w:spacing w:line="240" w:lineRule="auto"/>
              <w:ind w:firstLine="0" w:firstLineChars="0"/>
              <w:rPr>
                <w:rFonts w:hAnsi="宋体" w:cs="宋体"/>
                <w:sz w:val="21"/>
                <w:szCs w:val="21"/>
                <w:highlight w:val="yellow"/>
              </w:rPr>
            </w:pPr>
            <w:r>
              <w:rPr>
                <w:rFonts w:hint="eastAsia" w:hAnsi="宋体" w:cs="宋体"/>
                <w:sz w:val="21"/>
                <w:szCs w:val="21"/>
              </w:rPr>
              <w:t>13）可查看实时流量数据表格和数据曲线图；可设置基础水位和过水面积，可通过U盘更新河道参数；</w:t>
            </w:r>
          </w:p>
          <w:p>
            <w:pPr>
              <w:pStyle w:val="183"/>
              <w:spacing w:line="240" w:lineRule="auto"/>
              <w:ind w:firstLine="0" w:firstLineChars="0"/>
              <w:rPr>
                <w:rFonts w:hAnsi="宋体" w:cs="宋体"/>
                <w:sz w:val="21"/>
                <w:szCs w:val="21"/>
                <w:highlight w:val="none"/>
              </w:rPr>
            </w:pPr>
            <w:r>
              <w:rPr>
                <w:rFonts w:hint="eastAsia" w:hAnsi="宋体" w:cs="宋体"/>
                <w:sz w:val="21"/>
                <w:szCs w:val="21"/>
              </w:rPr>
              <w:t>★14）能够进行流量计算结果历史数据的查询，并能通过U盘进行数据导出；具有流速面积法、虚拟垂线法、二线能波法等水文流量算法的选择；</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w:t>
            </w:r>
            <w:r>
              <w:rPr>
                <w:rFonts w:hint="eastAsia" w:hAnsi="宋体" w:cs="宋体"/>
                <w:b/>
                <w:bCs/>
                <w:sz w:val="21"/>
                <w:szCs w:val="21"/>
                <w:highlight w:val="none"/>
              </w:rPr>
              <w:t>，并加盖投标产品制造商公章）</w:t>
            </w:r>
          </w:p>
          <w:p>
            <w:pPr>
              <w:pStyle w:val="183"/>
              <w:spacing w:line="240" w:lineRule="auto"/>
              <w:ind w:firstLine="0" w:firstLineChars="0"/>
              <w:rPr>
                <w:rFonts w:hAnsi="宋体" w:cs="宋体"/>
                <w:sz w:val="21"/>
                <w:szCs w:val="21"/>
              </w:rPr>
            </w:pPr>
            <w:r>
              <w:rPr>
                <w:rFonts w:hint="eastAsia" w:hAnsi="宋体" w:cs="宋体"/>
                <w:sz w:val="21"/>
                <w:szCs w:val="21"/>
              </w:rPr>
              <w:t>15）配置清单包括主机1台、主机声呐换能器1个、北斗授时装置1个、5G无线传输1个、流量积算仪1套；从机1台、从机声呐换能器1个、北斗授时装置1个、5G无线传输1个；</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遥测终端机</w:t>
            </w:r>
          </w:p>
        </w:tc>
        <w:tc>
          <w:tcPr>
            <w:tcW w:w="1993" w:type="pct"/>
          </w:tcPr>
          <w:p>
            <w:pPr>
              <w:pStyle w:val="183"/>
              <w:spacing w:line="240" w:lineRule="auto"/>
              <w:ind w:firstLine="0" w:firstLineChars="0"/>
              <w:jc w:val="left"/>
              <w:rPr>
                <w:rFonts w:hAnsi="宋体" w:cs="宋体"/>
                <w:sz w:val="21"/>
                <w:szCs w:val="21"/>
              </w:rPr>
            </w:pPr>
            <w:r>
              <w:rPr>
                <w:rFonts w:hint="eastAsia" w:hAnsi="宋体" w:cs="宋体"/>
                <w:sz w:val="21"/>
                <w:szCs w:val="21"/>
              </w:rPr>
              <w:t>1）数据自动上报。</w:t>
            </w:r>
          </w:p>
          <w:p>
            <w:pPr>
              <w:pStyle w:val="183"/>
              <w:spacing w:line="240" w:lineRule="auto"/>
              <w:ind w:firstLine="0" w:firstLineChars="0"/>
              <w:jc w:val="left"/>
              <w:rPr>
                <w:rFonts w:hAnsi="宋体" w:cs="宋体"/>
                <w:sz w:val="21"/>
                <w:szCs w:val="21"/>
              </w:rPr>
            </w:pPr>
            <w:r>
              <w:rPr>
                <w:rFonts w:hint="eastAsia" w:hAnsi="宋体" w:cs="宋体"/>
                <w:sz w:val="21"/>
                <w:szCs w:val="21"/>
              </w:rPr>
              <w:t>2）接受中心站远程设置和控制指令。</w:t>
            </w:r>
          </w:p>
          <w:p>
            <w:pPr>
              <w:pStyle w:val="183"/>
              <w:spacing w:line="240" w:lineRule="auto"/>
              <w:ind w:firstLine="0" w:firstLineChars="0"/>
              <w:jc w:val="left"/>
              <w:rPr>
                <w:rFonts w:hAnsi="宋体" w:cs="宋体"/>
                <w:sz w:val="21"/>
                <w:szCs w:val="21"/>
              </w:rPr>
            </w:pPr>
            <w:r>
              <w:rPr>
                <w:rFonts w:hint="eastAsia" w:hAnsi="宋体" w:cs="宋体"/>
                <w:sz w:val="21"/>
                <w:szCs w:val="21"/>
              </w:rPr>
              <w:t>3）全面支持4G全网通通信功能，向下兼容3G/2G通信模式。</w:t>
            </w:r>
          </w:p>
          <w:p>
            <w:pPr>
              <w:pStyle w:val="183"/>
              <w:spacing w:line="240" w:lineRule="auto"/>
              <w:ind w:firstLine="0" w:firstLineChars="0"/>
              <w:jc w:val="left"/>
              <w:rPr>
                <w:rFonts w:hAnsi="宋体" w:cs="宋体"/>
                <w:sz w:val="21"/>
                <w:szCs w:val="21"/>
              </w:rPr>
            </w:pPr>
            <w:r>
              <w:rPr>
                <w:rFonts w:hint="eastAsia" w:hAnsi="宋体" w:cs="宋体"/>
                <w:sz w:val="21"/>
                <w:szCs w:val="21"/>
              </w:rPr>
              <w:t>4）实时时钟自动校对和调整功能。</w:t>
            </w:r>
          </w:p>
          <w:p>
            <w:pPr>
              <w:pStyle w:val="183"/>
              <w:spacing w:line="240" w:lineRule="auto"/>
              <w:ind w:firstLine="0" w:firstLineChars="0"/>
              <w:jc w:val="left"/>
              <w:rPr>
                <w:rFonts w:hAnsi="宋体" w:cs="宋体"/>
                <w:sz w:val="21"/>
                <w:szCs w:val="21"/>
              </w:rPr>
            </w:pPr>
            <w:r>
              <w:rPr>
                <w:rFonts w:hint="eastAsia" w:hAnsi="宋体" w:cs="宋体"/>
                <w:sz w:val="21"/>
                <w:szCs w:val="21"/>
              </w:rPr>
              <w:t>5）可连接多种传感器，包括水位计、雨量计、风向风速仪等各种水文、气象传感器。</w:t>
            </w:r>
          </w:p>
          <w:p>
            <w:pPr>
              <w:pStyle w:val="183"/>
              <w:spacing w:line="240" w:lineRule="auto"/>
              <w:ind w:firstLine="0" w:firstLineChars="0"/>
              <w:jc w:val="left"/>
              <w:rPr>
                <w:rFonts w:hAnsi="宋体" w:cs="宋体"/>
                <w:sz w:val="21"/>
                <w:szCs w:val="21"/>
              </w:rPr>
            </w:pPr>
            <w:r>
              <w:rPr>
                <w:rFonts w:hint="eastAsia" w:hAnsi="宋体" w:cs="宋体"/>
                <w:sz w:val="21"/>
                <w:szCs w:val="21"/>
              </w:rPr>
              <w:t>6）支持多种通信方式，如GSM短信、GPRS/CDMA、北斗卫星等。</w:t>
            </w:r>
          </w:p>
          <w:p>
            <w:pPr>
              <w:pStyle w:val="183"/>
              <w:spacing w:line="240" w:lineRule="auto"/>
              <w:ind w:firstLine="0" w:firstLineChars="0"/>
              <w:jc w:val="left"/>
              <w:rPr>
                <w:rFonts w:hAnsi="宋体" w:cs="宋体"/>
                <w:sz w:val="21"/>
                <w:szCs w:val="21"/>
              </w:rPr>
            </w:pPr>
            <w:r>
              <w:rPr>
                <w:rFonts w:hint="eastAsia" w:hAnsi="宋体" w:cs="宋体"/>
                <w:sz w:val="21"/>
                <w:szCs w:val="21"/>
              </w:rPr>
              <w:t>7）太阳能供电，保证在无人值守条件下的长期稳定运行。</w:t>
            </w:r>
          </w:p>
          <w:p>
            <w:pPr>
              <w:pStyle w:val="183"/>
              <w:spacing w:line="240" w:lineRule="auto"/>
              <w:ind w:firstLine="0" w:firstLineChars="0"/>
              <w:jc w:val="left"/>
              <w:rPr>
                <w:rFonts w:hAnsi="宋体" w:cs="宋体"/>
                <w:sz w:val="21"/>
                <w:szCs w:val="21"/>
              </w:rPr>
            </w:pPr>
            <w:r>
              <w:rPr>
                <w:rFonts w:hint="eastAsia" w:hAnsi="宋体" w:cs="宋体"/>
                <w:sz w:val="21"/>
                <w:szCs w:val="21"/>
              </w:rPr>
              <w:t>8）可灵活配置的模块化结构，以适应各种不同的需求。</w:t>
            </w:r>
          </w:p>
          <w:p>
            <w:pPr>
              <w:pStyle w:val="183"/>
              <w:spacing w:line="240" w:lineRule="auto"/>
              <w:ind w:firstLine="0" w:firstLineChars="0"/>
              <w:jc w:val="left"/>
              <w:rPr>
                <w:rFonts w:hAnsi="宋体" w:cs="宋体"/>
                <w:sz w:val="21"/>
                <w:szCs w:val="21"/>
              </w:rPr>
            </w:pPr>
            <w:r>
              <w:rPr>
                <w:rFonts w:hint="eastAsia" w:hAnsi="宋体" w:cs="宋体"/>
                <w:sz w:val="21"/>
                <w:szCs w:val="21"/>
              </w:rPr>
              <w:t>9）防水等级可达IP68。</w:t>
            </w:r>
          </w:p>
          <w:p>
            <w:pPr>
              <w:pStyle w:val="183"/>
              <w:spacing w:line="240" w:lineRule="auto"/>
              <w:ind w:firstLine="0" w:firstLineChars="0"/>
              <w:jc w:val="left"/>
              <w:rPr>
                <w:rFonts w:hAnsi="宋体" w:cs="宋体"/>
                <w:sz w:val="21"/>
                <w:szCs w:val="21"/>
              </w:rPr>
            </w:pPr>
            <w:r>
              <w:rPr>
                <w:rFonts w:hint="eastAsia" w:hAnsi="宋体" w:cs="宋体"/>
                <w:sz w:val="21"/>
                <w:szCs w:val="21"/>
              </w:rPr>
              <w:t>★10）符合SL651-2014《水文数据监测通信规约》及SL180-2015《水文自动测报系统系统设备遥测终端机》；</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11）支持浙江省水文通信平台。</w:t>
            </w:r>
          </w:p>
          <w:p>
            <w:pPr>
              <w:pStyle w:val="183"/>
              <w:spacing w:line="240" w:lineRule="auto"/>
              <w:ind w:firstLine="0" w:firstLineChars="0"/>
              <w:jc w:val="left"/>
              <w:rPr>
                <w:rFonts w:hAnsi="宋体" w:cs="宋体"/>
                <w:sz w:val="21"/>
                <w:szCs w:val="21"/>
              </w:rPr>
            </w:pPr>
            <w:r>
              <w:rPr>
                <w:rFonts w:hint="eastAsia" w:hAnsi="宋体" w:cs="宋体"/>
                <w:sz w:val="21"/>
                <w:szCs w:val="21"/>
              </w:rPr>
              <w:t>12）电源输入：9-24V DC；</w:t>
            </w:r>
          </w:p>
          <w:p>
            <w:pPr>
              <w:pStyle w:val="183"/>
              <w:spacing w:line="240" w:lineRule="auto"/>
              <w:ind w:firstLine="0" w:firstLineChars="0"/>
              <w:jc w:val="left"/>
              <w:rPr>
                <w:rFonts w:hAnsi="宋体" w:cs="宋体"/>
                <w:sz w:val="21"/>
                <w:szCs w:val="21"/>
              </w:rPr>
            </w:pPr>
            <w:r>
              <w:rPr>
                <w:rFonts w:hint="eastAsia" w:hAnsi="宋体" w:cs="宋体"/>
                <w:sz w:val="21"/>
                <w:szCs w:val="21"/>
              </w:rPr>
              <w:t>13）电源输出：24V  100mA，5V  20mA，3路可控电源输出，除满足传感器电源控制外，可灵活实现下行控制功能。</w:t>
            </w:r>
          </w:p>
          <w:p>
            <w:pPr>
              <w:pStyle w:val="183"/>
              <w:spacing w:line="240" w:lineRule="auto"/>
              <w:ind w:firstLine="0" w:firstLineChars="0"/>
              <w:jc w:val="left"/>
              <w:rPr>
                <w:rFonts w:hAnsi="宋体" w:cs="宋体"/>
                <w:sz w:val="21"/>
                <w:szCs w:val="21"/>
              </w:rPr>
            </w:pPr>
            <w:r>
              <w:rPr>
                <w:rFonts w:hint="eastAsia" w:hAnsi="宋体" w:cs="宋体"/>
                <w:sz w:val="21"/>
                <w:szCs w:val="21"/>
              </w:rPr>
              <w:t>14）信号采集：2路RS485，2路RS232，可接入各种类型的外部传感器，并可扩展北斗等外部通信模块；2路模拟量采集（可扩展8~16路），可接入标准4-20mA变送器，可配置为各种传感器类型；2路脉冲/开关输入，除接入雨量桶外，还可实现报警监测，用于开箱报警等功能。</w:t>
            </w:r>
          </w:p>
          <w:p>
            <w:pPr>
              <w:pStyle w:val="183"/>
              <w:spacing w:line="240" w:lineRule="auto"/>
              <w:ind w:firstLine="0" w:firstLineChars="0"/>
              <w:jc w:val="left"/>
              <w:rPr>
                <w:rFonts w:hAnsi="宋体" w:cs="宋体"/>
                <w:sz w:val="21"/>
                <w:szCs w:val="21"/>
              </w:rPr>
            </w:pPr>
            <w:r>
              <w:rPr>
                <w:rFonts w:hint="eastAsia" w:hAnsi="宋体" w:cs="宋体"/>
                <w:sz w:val="21"/>
                <w:szCs w:val="21"/>
              </w:rPr>
              <w:t>★15）静态值守电流≤0.01mA，工作电流≤6mA；</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16）设备内置GPS模块，系统定期获取设备的位置信息，并上传平台，从而实现设备位置信息和数据的自动绑定，设备位置的交换将不会影响测站的数据统计。</w:t>
            </w:r>
          </w:p>
          <w:p>
            <w:pPr>
              <w:pStyle w:val="183"/>
              <w:spacing w:line="240" w:lineRule="auto"/>
              <w:ind w:firstLine="0" w:firstLineChars="0"/>
              <w:jc w:val="left"/>
              <w:rPr>
                <w:rFonts w:hAnsi="宋体" w:cs="宋体"/>
                <w:sz w:val="21"/>
                <w:szCs w:val="21"/>
              </w:rPr>
            </w:pPr>
            <w:r>
              <w:rPr>
                <w:rFonts w:hint="eastAsia" w:hAnsi="宋体" w:cs="宋体"/>
                <w:sz w:val="21"/>
                <w:szCs w:val="21"/>
              </w:rPr>
              <w:t>17）数据补发：遇到信号问题，基站问题，sim卡问题等情况，系统将暂存采集数据并待网络恢复后自前至后进行逐条补发。</w:t>
            </w:r>
          </w:p>
          <w:p>
            <w:pPr>
              <w:pStyle w:val="183"/>
              <w:spacing w:line="240" w:lineRule="auto"/>
              <w:ind w:firstLine="0" w:firstLineChars="0"/>
              <w:jc w:val="left"/>
              <w:rPr>
                <w:rFonts w:hAnsi="宋体" w:cs="宋体"/>
                <w:sz w:val="21"/>
                <w:szCs w:val="21"/>
              </w:rPr>
            </w:pPr>
            <w:r>
              <w:rPr>
                <w:rFonts w:hint="eastAsia" w:hAnsi="宋体" w:cs="宋体"/>
                <w:sz w:val="21"/>
                <w:szCs w:val="21"/>
              </w:rPr>
              <w:t>18）SD卡：支持MicroSD卡，可选配置；</w:t>
            </w:r>
          </w:p>
          <w:p>
            <w:pPr>
              <w:pStyle w:val="183"/>
              <w:spacing w:line="240" w:lineRule="auto"/>
              <w:ind w:firstLine="0" w:firstLineChars="0"/>
              <w:jc w:val="left"/>
              <w:rPr>
                <w:rFonts w:hAnsi="宋体" w:cs="宋体"/>
                <w:sz w:val="21"/>
                <w:szCs w:val="21"/>
              </w:rPr>
            </w:pPr>
            <w:r>
              <w:rPr>
                <w:rFonts w:hint="eastAsia" w:hAnsi="宋体" w:cs="宋体"/>
                <w:sz w:val="21"/>
                <w:szCs w:val="21"/>
              </w:rPr>
              <w:t>19）工作温度：-40℃至+70℃</w:t>
            </w:r>
          </w:p>
          <w:p>
            <w:pPr>
              <w:pStyle w:val="183"/>
              <w:spacing w:line="240" w:lineRule="auto"/>
              <w:ind w:firstLine="0" w:firstLineChars="0"/>
              <w:jc w:val="left"/>
              <w:rPr>
                <w:rFonts w:hAnsi="宋体" w:cs="宋体"/>
                <w:sz w:val="21"/>
                <w:szCs w:val="21"/>
              </w:rPr>
            </w:pPr>
            <w:r>
              <w:rPr>
                <w:rFonts w:hint="eastAsia" w:hAnsi="宋体" w:cs="宋体"/>
                <w:sz w:val="21"/>
                <w:szCs w:val="21"/>
              </w:rPr>
              <w:t>20）工作湿度：0-95%，不结露</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数据传输模块</w:t>
            </w:r>
          </w:p>
        </w:tc>
        <w:tc>
          <w:tcPr>
            <w:tcW w:w="1993" w:type="pct"/>
          </w:tcPr>
          <w:p>
            <w:pPr>
              <w:pStyle w:val="183"/>
              <w:spacing w:line="240" w:lineRule="auto"/>
              <w:ind w:firstLine="0" w:firstLineChars="0"/>
              <w:rPr>
                <w:rFonts w:hAnsi="宋体" w:cs="宋体"/>
                <w:sz w:val="21"/>
                <w:szCs w:val="21"/>
              </w:rPr>
            </w:pPr>
            <w:r>
              <w:rPr>
                <w:rFonts w:hint="eastAsia" w:hAnsi="宋体" w:cs="宋体"/>
                <w:sz w:val="21"/>
                <w:szCs w:val="21"/>
              </w:rPr>
              <w:t>1）4G全网通数据通讯模块；</w:t>
            </w:r>
          </w:p>
          <w:p>
            <w:pPr>
              <w:pStyle w:val="183"/>
              <w:spacing w:line="240" w:lineRule="auto"/>
              <w:ind w:firstLine="0" w:firstLineChars="0"/>
              <w:rPr>
                <w:rFonts w:hAnsi="宋体" w:cs="宋体"/>
                <w:sz w:val="21"/>
                <w:szCs w:val="21"/>
              </w:rPr>
            </w:pPr>
            <w:r>
              <w:rPr>
                <w:rFonts w:hint="eastAsia" w:hAnsi="宋体" w:cs="宋体"/>
                <w:sz w:val="21"/>
                <w:szCs w:val="21"/>
              </w:rPr>
              <w:t>2）工作电流：≤230 mA，值守电流：≤12 mA，供电电压范围：10～30V；具有抗电磁干扰、过载和短路保护的功能；</w:t>
            </w:r>
          </w:p>
          <w:p>
            <w:pPr>
              <w:pStyle w:val="183"/>
              <w:spacing w:line="240" w:lineRule="auto"/>
              <w:ind w:firstLine="0" w:firstLineChars="0"/>
              <w:rPr>
                <w:rFonts w:hAnsi="宋体" w:cs="宋体"/>
                <w:sz w:val="21"/>
                <w:szCs w:val="21"/>
              </w:rPr>
            </w:pPr>
            <w:r>
              <w:rPr>
                <w:rFonts w:hint="eastAsia" w:hAnsi="宋体" w:cs="宋体"/>
                <w:sz w:val="21"/>
                <w:szCs w:val="21"/>
              </w:rPr>
              <w:t>3）工作温度：-20℃～65℃；存储温度：-20℃～85℃；</w:t>
            </w:r>
          </w:p>
          <w:p>
            <w:pPr>
              <w:pStyle w:val="183"/>
              <w:spacing w:line="240" w:lineRule="auto"/>
              <w:ind w:firstLine="0" w:firstLineChars="0"/>
              <w:rPr>
                <w:rFonts w:hAnsi="宋体" w:cs="宋体"/>
                <w:sz w:val="21"/>
                <w:szCs w:val="21"/>
              </w:rPr>
            </w:pPr>
            <w:r>
              <w:rPr>
                <w:rFonts w:hint="eastAsia" w:hAnsi="宋体" w:cs="宋体"/>
                <w:sz w:val="21"/>
                <w:szCs w:val="21"/>
              </w:rPr>
              <w:t>4）接口形式：RS-485/RS-232C，实时数据透明无线传输；</w:t>
            </w:r>
          </w:p>
          <w:p>
            <w:pPr>
              <w:pStyle w:val="183"/>
              <w:spacing w:line="240" w:lineRule="auto"/>
              <w:ind w:firstLine="0" w:firstLineChars="0"/>
              <w:rPr>
                <w:rFonts w:hAnsi="宋体" w:cs="宋体"/>
                <w:sz w:val="21"/>
                <w:szCs w:val="21"/>
              </w:rPr>
            </w:pPr>
            <w:r>
              <w:rPr>
                <w:rFonts w:hint="eastAsia" w:hAnsi="宋体" w:cs="宋体"/>
                <w:sz w:val="21"/>
                <w:szCs w:val="21"/>
              </w:rPr>
              <w:t>5）协议：内嵌 PPP、TCP/IP、UDP/IP协议，包括 TCP、UDP等；</w:t>
            </w:r>
          </w:p>
          <w:p>
            <w:pPr>
              <w:pStyle w:val="158"/>
              <w:widowControl/>
              <w:ind w:firstLine="0" w:firstLineChars="0"/>
              <w:rPr>
                <w:rFonts w:ascii="宋体" w:hAnsi="宋体" w:cs="宋体"/>
                <w:kern w:val="0"/>
                <w:szCs w:val="21"/>
              </w:rPr>
            </w:pPr>
            <w:r>
              <w:rPr>
                <w:rFonts w:hint="eastAsia" w:ascii="宋体" w:hAnsi="宋体" w:cs="宋体"/>
                <w:szCs w:val="21"/>
              </w:rPr>
              <w:t>6）传输方式：支持域名解析，支持 AT指令集，SMS。</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太阳能供电系统</w:t>
            </w:r>
          </w:p>
        </w:tc>
        <w:tc>
          <w:tcPr>
            <w:tcW w:w="1993" w:type="pct"/>
          </w:tcPr>
          <w:p>
            <w:pPr>
              <w:widowControl/>
              <w:rPr>
                <w:rFonts w:ascii="宋体" w:hAnsi="宋体" w:cs="宋体"/>
                <w:kern w:val="0"/>
                <w:szCs w:val="21"/>
              </w:rPr>
            </w:pPr>
            <w:r>
              <w:rPr>
                <w:rFonts w:hint="eastAsia" w:ascii="宋体" w:hAnsi="宋体" w:cs="宋体"/>
                <w:kern w:val="0"/>
                <w:szCs w:val="21"/>
              </w:rPr>
              <w:t>含12V/200AH蓄电池、18V/120W太阳能板，充电控制器充电电流不小于10A</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机箱</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1）尺寸：1000（H）*600（W）*450 （D）mm；</w:t>
            </w:r>
          </w:p>
          <w:p>
            <w:pPr>
              <w:pStyle w:val="158"/>
              <w:widowControl/>
              <w:ind w:firstLine="0" w:firstLineChars="0"/>
              <w:rPr>
                <w:rFonts w:ascii="宋体" w:hAnsi="宋体" w:cs="宋体"/>
                <w:kern w:val="0"/>
                <w:szCs w:val="21"/>
              </w:rPr>
            </w:pPr>
            <w:r>
              <w:rPr>
                <w:rFonts w:hint="eastAsia" w:ascii="宋体" w:hAnsi="宋体" w:cs="宋体"/>
                <w:kern w:val="0"/>
                <w:szCs w:val="21"/>
              </w:rPr>
              <w:t>2）板厚：2mm；</w:t>
            </w:r>
          </w:p>
          <w:p>
            <w:pPr>
              <w:pStyle w:val="158"/>
              <w:widowControl/>
              <w:ind w:firstLine="0" w:firstLineChars="0"/>
              <w:rPr>
                <w:rFonts w:ascii="宋体" w:hAnsi="宋体" w:cs="宋体"/>
                <w:kern w:val="0"/>
                <w:szCs w:val="21"/>
              </w:rPr>
            </w:pPr>
            <w:r>
              <w:rPr>
                <w:rFonts w:hint="eastAsia" w:ascii="宋体" w:hAnsi="宋体" w:cs="宋体"/>
                <w:kern w:val="0"/>
                <w:szCs w:val="21"/>
              </w:rPr>
              <w:t>3）304不锈钢，喷塑；</w:t>
            </w:r>
          </w:p>
          <w:p>
            <w:pPr>
              <w:pStyle w:val="158"/>
              <w:widowControl/>
              <w:ind w:firstLine="0" w:firstLineChars="0"/>
              <w:rPr>
                <w:rFonts w:ascii="宋体" w:hAnsi="宋体" w:cs="宋体"/>
                <w:kern w:val="0"/>
                <w:szCs w:val="21"/>
              </w:rPr>
            </w:pPr>
            <w:r>
              <w:rPr>
                <w:rFonts w:hint="eastAsia" w:ascii="宋体" w:hAnsi="宋体" w:cs="宋体"/>
                <w:kern w:val="0"/>
                <w:szCs w:val="21"/>
              </w:rPr>
              <w:t>4）根据用户要求在箱体上印刷水文专用、危险警示等标识；</w:t>
            </w:r>
          </w:p>
          <w:p>
            <w:pPr>
              <w:pStyle w:val="158"/>
              <w:widowControl/>
              <w:ind w:firstLine="0" w:firstLineChars="0"/>
              <w:rPr>
                <w:rFonts w:ascii="宋体" w:hAnsi="宋体" w:cs="宋体"/>
                <w:kern w:val="0"/>
                <w:szCs w:val="21"/>
              </w:rPr>
            </w:pPr>
            <w:r>
              <w:rPr>
                <w:rFonts w:hint="eastAsia" w:ascii="宋体" w:hAnsi="宋体" w:cs="宋体"/>
                <w:kern w:val="0"/>
                <w:szCs w:val="21"/>
              </w:rPr>
              <w:t>5）配防盗锁。</w:t>
            </w:r>
          </w:p>
          <w:p>
            <w:pPr>
              <w:pStyle w:val="158"/>
              <w:widowControl/>
              <w:ind w:firstLine="0" w:firstLineChars="0"/>
              <w:rPr>
                <w:rFonts w:ascii="宋体" w:hAnsi="宋体" w:cs="宋体"/>
                <w:kern w:val="0"/>
                <w:szCs w:val="21"/>
              </w:rPr>
            </w:pPr>
            <w:r>
              <w:rPr>
                <w:rFonts w:hint="eastAsia" w:ascii="宋体" w:hAnsi="宋体" w:cs="宋体"/>
                <w:kern w:val="0"/>
                <w:szCs w:val="21"/>
              </w:rPr>
              <w:t>6）防护等级：IP55</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设备安装支架</w:t>
            </w:r>
          </w:p>
        </w:tc>
        <w:tc>
          <w:tcPr>
            <w:tcW w:w="1993" w:type="pct"/>
            <w:vAlign w:val="center"/>
          </w:tcPr>
          <w:p>
            <w:pPr>
              <w:widowControl/>
              <w:rPr>
                <w:rFonts w:ascii="宋体" w:hAnsi="宋体" w:cs="宋体"/>
                <w:kern w:val="0"/>
                <w:szCs w:val="21"/>
              </w:rPr>
            </w:pPr>
            <w:r>
              <w:rPr>
                <w:rFonts w:hint="eastAsia" w:ascii="宋体" w:hAnsi="宋体" w:cs="宋体"/>
                <w:kern w:val="0"/>
                <w:szCs w:val="21"/>
              </w:rPr>
              <w:t>采用304不锈钢材质，50*50mm方管；支架长度不低于1.5m。</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防雷接地系统</w:t>
            </w:r>
          </w:p>
        </w:tc>
        <w:tc>
          <w:tcPr>
            <w:tcW w:w="1993" w:type="pct"/>
          </w:tcPr>
          <w:p>
            <w:pPr>
              <w:widowControl/>
              <w:rPr>
                <w:rFonts w:ascii="宋体" w:hAnsi="宋体" w:cs="宋体"/>
                <w:kern w:val="0"/>
                <w:szCs w:val="21"/>
              </w:rPr>
            </w:pPr>
            <w:r>
              <w:rPr>
                <w:rFonts w:hint="eastAsia" w:ascii="宋体" w:hAnsi="宋体" w:cs="宋体"/>
                <w:kern w:val="0"/>
                <w:szCs w:val="21"/>
              </w:rPr>
              <w:t>角钢6.3×2500mm共5根，50×5mm的扁铁20m，保证防雷接地电阻值小于10Ω。</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立杆及配套设施</w:t>
            </w:r>
          </w:p>
        </w:tc>
        <w:tc>
          <w:tcPr>
            <w:tcW w:w="1993" w:type="pct"/>
            <w:vAlign w:val="center"/>
          </w:tcPr>
          <w:p>
            <w:pPr>
              <w:widowControl/>
              <w:rPr>
                <w:rFonts w:ascii="宋体" w:hAnsi="宋体" w:cs="宋体"/>
                <w:kern w:val="0"/>
                <w:szCs w:val="21"/>
              </w:rPr>
            </w:pPr>
            <w:r>
              <w:rPr>
                <w:rFonts w:hint="eastAsia" w:ascii="宋体" w:hAnsi="宋体" w:cs="宋体"/>
                <w:kern w:val="0"/>
                <w:szCs w:val="21"/>
              </w:rPr>
              <w:t>材料：采用镀锌钢管喷塑；</w:t>
            </w:r>
          </w:p>
          <w:p>
            <w:pPr>
              <w:widowControl/>
              <w:rPr>
                <w:rFonts w:ascii="宋体" w:hAnsi="宋体" w:cs="宋体"/>
                <w:kern w:val="0"/>
                <w:szCs w:val="21"/>
              </w:rPr>
            </w:pPr>
            <w:r>
              <w:rPr>
                <w:rFonts w:hint="eastAsia" w:ascii="宋体" w:hAnsi="宋体" w:cs="宋体"/>
                <w:kern w:val="0"/>
                <w:szCs w:val="21"/>
              </w:rPr>
              <w:t>立杆：主杆直径≥140mm，壁厚≥3.5mm，高度≥3m；</w:t>
            </w:r>
          </w:p>
          <w:p>
            <w:pPr>
              <w:widowControl/>
              <w:rPr>
                <w:rFonts w:ascii="宋体" w:hAnsi="宋体" w:cs="宋体"/>
                <w:kern w:val="0"/>
                <w:szCs w:val="21"/>
              </w:rPr>
            </w:pPr>
            <w:r>
              <w:rPr>
                <w:rFonts w:hint="eastAsia" w:ascii="宋体" w:hAnsi="宋体" w:cs="宋体"/>
                <w:kern w:val="0"/>
                <w:szCs w:val="21"/>
              </w:rPr>
              <w:t>C25砼基础（含地笼），尺寸：250mm*250mm*500mm；</w:t>
            </w:r>
          </w:p>
          <w:p>
            <w:pPr>
              <w:widowControl/>
              <w:rPr>
                <w:rFonts w:ascii="宋体" w:hAnsi="宋体" w:cs="宋体"/>
                <w:kern w:val="0"/>
                <w:szCs w:val="21"/>
              </w:rPr>
            </w:pPr>
            <w:r>
              <w:rPr>
                <w:rFonts w:hint="eastAsia" w:ascii="宋体" w:hAnsi="宋体" w:cs="宋体"/>
                <w:kern w:val="0"/>
                <w:szCs w:val="21"/>
              </w:rPr>
              <w:t>左右岸各1套</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安装调试</w:t>
            </w:r>
          </w:p>
        </w:tc>
        <w:tc>
          <w:tcPr>
            <w:tcW w:w="1993" w:type="pct"/>
          </w:tcPr>
          <w:p>
            <w:pPr>
              <w:widowControl/>
              <w:rPr>
                <w:rFonts w:ascii="宋体" w:hAnsi="宋体" w:cs="宋体"/>
                <w:kern w:val="0"/>
                <w:szCs w:val="21"/>
              </w:rPr>
            </w:pPr>
            <w:r>
              <w:rPr>
                <w:rFonts w:hint="eastAsia" w:ascii="宋体" w:hAnsi="宋体" w:cs="宋体"/>
                <w:kern w:val="0"/>
                <w:szCs w:val="21"/>
              </w:rPr>
              <w:t>现场安装调试</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1.10</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流量数据比测率定</w:t>
            </w:r>
          </w:p>
        </w:tc>
        <w:tc>
          <w:tcPr>
            <w:tcW w:w="1993" w:type="pct"/>
          </w:tcPr>
          <w:p>
            <w:pPr>
              <w:widowControl/>
              <w:rPr>
                <w:rFonts w:ascii="宋体" w:hAnsi="宋体" w:cs="宋体"/>
                <w:kern w:val="0"/>
                <w:szCs w:val="21"/>
              </w:rPr>
            </w:pPr>
            <w:r>
              <w:rPr>
                <w:rFonts w:hint="eastAsia" w:ascii="宋体" w:hAnsi="宋体" w:cs="宋体"/>
                <w:kern w:val="0"/>
                <w:szCs w:val="21"/>
              </w:rPr>
              <w:t>比测率定工作可根据来水情况在设备安装完成后、运行期内持续开展校测工作。有效测验次数不少于30次（包含高、中、低水位，且水位级或流量级分布相对均匀），并提供通过验收的比测报告，需符合《河流流量测验规范》GB 50179-2015要求。</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2</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岸式多普勒测流系统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声学多普勒流速仪</w:t>
            </w:r>
          </w:p>
        </w:tc>
        <w:tc>
          <w:tcPr>
            <w:tcW w:w="1993" w:type="pct"/>
          </w:tcPr>
          <w:p>
            <w:pPr>
              <w:pStyle w:val="158"/>
              <w:widowControl/>
              <w:ind w:firstLine="0" w:firstLineChars="0"/>
              <w:rPr>
                <w:rFonts w:ascii="宋体" w:hAnsi="宋体" w:cs="宋体"/>
                <w:kern w:val="0"/>
                <w:szCs w:val="21"/>
              </w:rPr>
            </w:pPr>
            <w:r>
              <w:rPr>
                <w:rFonts w:hint="eastAsia" w:ascii="宋体" w:hAnsi="宋体" w:cs="宋体"/>
                <w:kern w:val="0"/>
                <w:szCs w:val="21"/>
              </w:rPr>
              <w:t>1）工作频率：≤300KHz；</w:t>
            </w:r>
          </w:p>
          <w:p>
            <w:pPr>
              <w:pStyle w:val="158"/>
              <w:widowControl/>
              <w:ind w:firstLine="0" w:firstLineChars="0"/>
              <w:rPr>
                <w:rFonts w:ascii="宋体" w:hAnsi="宋体" w:cs="宋体"/>
                <w:kern w:val="0"/>
                <w:szCs w:val="21"/>
              </w:rPr>
            </w:pPr>
            <w:r>
              <w:rPr>
                <w:rFonts w:hint="eastAsia" w:ascii="宋体" w:hAnsi="宋体" w:cs="宋体"/>
                <w:kern w:val="0"/>
                <w:szCs w:val="21"/>
              </w:rPr>
              <w:t>2）剖面量程：4-300m；</w:t>
            </w:r>
          </w:p>
          <w:p>
            <w:pPr>
              <w:pStyle w:val="158"/>
              <w:widowControl/>
              <w:ind w:firstLine="0" w:firstLineChars="0"/>
              <w:rPr>
                <w:rFonts w:ascii="宋体" w:hAnsi="宋体" w:cs="宋体"/>
                <w:kern w:val="0"/>
                <w:szCs w:val="21"/>
              </w:rPr>
            </w:pPr>
            <w:r>
              <w:rPr>
                <w:rFonts w:hint="eastAsia" w:ascii="宋体" w:hAnsi="宋体" w:cs="宋体"/>
                <w:kern w:val="0"/>
                <w:szCs w:val="21"/>
              </w:rPr>
              <w:t>3）深度单元个数：≥128</w:t>
            </w:r>
          </w:p>
          <w:p>
            <w:pPr>
              <w:pStyle w:val="158"/>
              <w:widowControl/>
              <w:ind w:firstLine="0" w:firstLineChars="0"/>
              <w:rPr>
                <w:rFonts w:ascii="宋体" w:hAnsi="宋体" w:cs="宋体"/>
                <w:kern w:val="0"/>
                <w:szCs w:val="21"/>
              </w:rPr>
            </w:pPr>
            <w:r>
              <w:rPr>
                <w:rFonts w:hint="eastAsia" w:ascii="宋体" w:hAnsi="宋体" w:cs="宋体"/>
                <w:kern w:val="0"/>
                <w:szCs w:val="21"/>
              </w:rPr>
              <w:t>4）流速测量范围：±5m/s；最大±20m/s；</w:t>
            </w:r>
          </w:p>
          <w:p>
            <w:pPr>
              <w:pStyle w:val="158"/>
              <w:widowControl/>
              <w:ind w:firstLine="0" w:firstLineChars="0"/>
              <w:rPr>
                <w:rFonts w:ascii="宋体" w:hAnsi="宋体" w:cs="宋体"/>
                <w:kern w:val="0"/>
                <w:szCs w:val="21"/>
              </w:rPr>
            </w:pPr>
            <w:r>
              <w:rPr>
                <w:rFonts w:hint="eastAsia" w:ascii="宋体" w:hAnsi="宋体" w:cs="宋体"/>
                <w:kern w:val="0"/>
                <w:szCs w:val="21"/>
              </w:rPr>
              <w:t>5）精度：水流速度±0.5% ±0.2cm/s；</w:t>
            </w:r>
          </w:p>
          <w:p>
            <w:pPr>
              <w:pStyle w:val="158"/>
              <w:widowControl/>
              <w:ind w:firstLine="0" w:firstLineChars="0"/>
              <w:rPr>
                <w:rFonts w:ascii="宋体" w:hAnsi="宋体" w:cs="宋体"/>
                <w:kern w:val="0"/>
                <w:szCs w:val="21"/>
              </w:rPr>
            </w:pPr>
            <w:r>
              <w:rPr>
                <w:rFonts w:hint="eastAsia" w:ascii="宋体" w:hAnsi="宋体" w:cs="宋体"/>
                <w:kern w:val="0"/>
                <w:szCs w:val="21"/>
              </w:rPr>
              <w:t>6）分辨率：1mm/s；</w:t>
            </w:r>
          </w:p>
          <w:p>
            <w:pPr>
              <w:pStyle w:val="158"/>
              <w:widowControl/>
              <w:ind w:firstLine="0" w:firstLineChars="0"/>
              <w:rPr>
                <w:rFonts w:ascii="宋体" w:hAnsi="宋体" w:cs="宋体"/>
                <w:kern w:val="0"/>
                <w:szCs w:val="21"/>
              </w:rPr>
            </w:pPr>
            <w:r>
              <w:rPr>
                <w:rFonts w:hint="eastAsia" w:ascii="宋体" w:hAnsi="宋体" w:cs="宋体"/>
                <w:kern w:val="0"/>
                <w:szCs w:val="21"/>
              </w:rPr>
              <w:t>7）换能器：2波束，±20°夹角</w:t>
            </w:r>
          </w:p>
          <w:p>
            <w:pPr>
              <w:pStyle w:val="158"/>
              <w:widowControl/>
              <w:ind w:firstLine="0" w:firstLineChars="0"/>
              <w:rPr>
                <w:rFonts w:ascii="宋体" w:hAnsi="宋体" w:cs="宋体"/>
                <w:kern w:val="0"/>
                <w:szCs w:val="21"/>
              </w:rPr>
            </w:pPr>
            <w:r>
              <w:rPr>
                <w:rFonts w:hint="eastAsia" w:ascii="宋体" w:hAnsi="宋体" w:cs="宋体"/>
                <w:kern w:val="0"/>
                <w:szCs w:val="21"/>
              </w:rPr>
              <w:t>8）内置声学水位计、压力水位计、温度计、倾斜仪；</w:t>
            </w:r>
          </w:p>
          <w:p>
            <w:pPr>
              <w:pStyle w:val="158"/>
              <w:widowControl/>
              <w:ind w:firstLine="0" w:firstLineChars="0"/>
              <w:rPr>
                <w:rFonts w:ascii="宋体" w:hAnsi="宋体" w:cs="宋体"/>
                <w:kern w:val="0"/>
                <w:szCs w:val="21"/>
              </w:rPr>
            </w:pPr>
            <w:r>
              <w:rPr>
                <w:rFonts w:hint="eastAsia" w:ascii="宋体" w:hAnsi="宋体" w:cs="宋体"/>
                <w:kern w:val="0"/>
                <w:szCs w:val="21"/>
              </w:rPr>
              <w:t>9）电源：电压10～18VDC；</w:t>
            </w:r>
          </w:p>
          <w:p>
            <w:pPr>
              <w:pStyle w:val="158"/>
              <w:widowControl/>
              <w:ind w:firstLine="0" w:firstLineChars="0"/>
              <w:rPr>
                <w:rFonts w:ascii="宋体" w:hAnsi="宋体" w:cs="宋体"/>
                <w:kern w:val="0"/>
                <w:szCs w:val="21"/>
              </w:rPr>
            </w:pPr>
            <w:r>
              <w:rPr>
                <w:rFonts w:hint="eastAsia" w:ascii="宋体" w:hAnsi="宋体" w:cs="宋体"/>
                <w:kern w:val="0"/>
                <w:szCs w:val="21"/>
              </w:rPr>
              <w:t>10）内置存储器：≥4M；</w:t>
            </w:r>
          </w:p>
          <w:p>
            <w:pPr>
              <w:pStyle w:val="158"/>
              <w:widowControl/>
              <w:ind w:firstLine="0" w:firstLineChars="0"/>
              <w:rPr>
                <w:rFonts w:ascii="宋体" w:hAnsi="宋体" w:cs="宋体"/>
                <w:kern w:val="0"/>
                <w:szCs w:val="21"/>
              </w:rPr>
            </w:pPr>
            <w:r>
              <w:rPr>
                <w:rFonts w:hint="eastAsia" w:ascii="宋体" w:hAnsi="宋体" w:cs="宋体"/>
                <w:kern w:val="0"/>
                <w:szCs w:val="21"/>
              </w:rPr>
              <w:t>11）软件：中文版WinHADCP，兼容Windows系统；</w:t>
            </w:r>
          </w:p>
          <w:p>
            <w:pPr>
              <w:pStyle w:val="158"/>
              <w:widowControl/>
              <w:ind w:firstLine="0" w:firstLineChars="0"/>
              <w:rPr>
                <w:rFonts w:ascii="宋体" w:hAnsi="宋体" w:cs="宋体"/>
                <w:kern w:val="0"/>
                <w:szCs w:val="21"/>
              </w:rPr>
            </w:pPr>
            <w:r>
              <w:rPr>
                <w:rFonts w:hint="eastAsia" w:ascii="宋体" w:hAnsi="宋体" w:cs="宋体"/>
                <w:kern w:val="0"/>
                <w:szCs w:val="21"/>
              </w:rPr>
              <w:t>12）标准配置要求：主机、数据/电源电缆、系统光盘。</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遥测终端机</w:t>
            </w:r>
          </w:p>
        </w:tc>
        <w:tc>
          <w:tcPr>
            <w:tcW w:w="1993" w:type="pct"/>
          </w:tcPr>
          <w:p>
            <w:pPr>
              <w:pStyle w:val="183"/>
              <w:spacing w:line="240" w:lineRule="auto"/>
              <w:ind w:firstLine="0" w:firstLineChars="0"/>
              <w:jc w:val="left"/>
              <w:rPr>
                <w:rFonts w:hAnsi="宋体" w:cs="宋体"/>
                <w:sz w:val="21"/>
                <w:szCs w:val="21"/>
              </w:rPr>
            </w:pPr>
            <w:r>
              <w:rPr>
                <w:rFonts w:hint="eastAsia" w:hAnsi="宋体" w:cs="宋体"/>
                <w:sz w:val="21"/>
                <w:szCs w:val="21"/>
              </w:rPr>
              <w:t>1）数据自动上报。</w:t>
            </w:r>
          </w:p>
          <w:p>
            <w:pPr>
              <w:pStyle w:val="183"/>
              <w:spacing w:line="240" w:lineRule="auto"/>
              <w:ind w:firstLine="0" w:firstLineChars="0"/>
              <w:jc w:val="left"/>
              <w:rPr>
                <w:rFonts w:hAnsi="宋体" w:cs="宋体"/>
                <w:sz w:val="21"/>
                <w:szCs w:val="21"/>
              </w:rPr>
            </w:pPr>
            <w:r>
              <w:rPr>
                <w:rFonts w:hint="eastAsia" w:hAnsi="宋体" w:cs="宋体"/>
                <w:sz w:val="21"/>
                <w:szCs w:val="21"/>
              </w:rPr>
              <w:t>2）接受中心站远程设置和控制指令。</w:t>
            </w:r>
          </w:p>
          <w:p>
            <w:pPr>
              <w:pStyle w:val="183"/>
              <w:spacing w:line="240" w:lineRule="auto"/>
              <w:ind w:firstLine="0" w:firstLineChars="0"/>
              <w:jc w:val="left"/>
              <w:rPr>
                <w:rFonts w:hAnsi="宋体" w:cs="宋体"/>
                <w:sz w:val="21"/>
                <w:szCs w:val="21"/>
              </w:rPr>
            </w:pPr>
            <w:r>
              <w:rPr>
                <w:rFonts w:hint="eastAsia" w:hAnsi="宋体" w:cs="宋体"/>
                <w:sz w:val="21"/>
                <w:szCs w:val="21"/>
              </w:rPr>
              <w:t>3）全面支持4G全网通通信功能，向下兼容3G/2G通信模式。</w:t>
            </w:r>
          </w:p>
          <w:p>
            <w:pPr>
              <w:pStyle w:val="183"/>
              <w:spacing w:line="240" w:lineRule="auto"/>
              <w:ind w:firstLine="0" w:firstLineChars="0"/>
              <w:jc w:val="left"/>
              <w:rPr>
                <w:rFonts w:hAnsi="宋体" w:cs="宋体"/>
                <w:sz w:val="21"/>
                <w:szCs w:val="21"/>
              </w:rPr>
            </w:pPr>
            <w:r>
              <w:rPr>
                <w:rFonts w:hint="eastAsia" w:hAnsi="宋体" w:cs="宋体"/>
                <w:sz w:val="21"/>
                <w:szCs w:val="21"/>
              </w:rPr>
              <w:t>4）实时时钟自动校对和调整功能。</w:t>
            </w:r>
          </w:p>
          <w:p>
            <w:pPr>
              <w:pStyle w:val="183"/>
              <w:spacing w:line="240" w:lineRule="auto"/>
              <w:ind w:firstLine="0" w:firstLineChars="0"/>
              <w:jc w:val="left"/>
              <w:rPr>
                <w:rFonts w:hAnsi="宋体" w:cs="宋体"/>
                <w:sz w:val="21"/>
                <w:szCs w:val="21"/>
              </w:rPr>
            </w:pPr>
            <w:r>
              <w:rPr>
                <w:rFonts w:hint="eastAsia" w:hAnsi="宋体" w:cs="宋体"/>
                <w:sz w:val="21"/>
                <w:szCs w:val="21"/>
              </w:rPr>
              <w:t>5）可连接多种传感器，包括水位计、雨量计、风向风速仪等各种水文、气象传感器。</w:t>
            </w:r>
          </w:p>
          <w:p>
            <w:pPr>
              <w:pStyle w:val="183"/>
              <w:spacing w:line="240" w:lineRule="auto"/>
              <w:ind w:firstLine="0" w:firstLineChars="0"/>
              <w:jc w:val="left"/>
              <w:rPr>
                <w:rFonts w:hAnsi="宋体" w:cs="宋体"/>
                <w:sz w:val="21"/>
                <w:szCs w:val="21"/>
              </w:rPr>
            </w:pPr>
            <w:r>
              <w:rPr>
                <w:rFonts w:hint="eastAsia" w:hAnsi="宋体" w:cs="宋体"/>
                <w:sz w:val="21"/>
                <w:szCs w:val="21"/>
              </w:rPr>
              <w:t>6）支持多种通信方式，如GSM短信、GPRS/CDMA、北斗卫星等。</w:t>
            </w:r>
          </w:p>
          <w:p>
            <w:pPr>
              <w:pStyle w:val="183"/>
              <w:spacing w:line="240" w:lineRule="auto"/>
              <w:ind w:firstLine="0" w:firstLineChars="0"/>
              <w:jc w:val="left"/>
              <w:rPr>
                <w:rFonts w:hAnsi="宋体" w:cs="宋体"/>
                <w:sz w:val="21"/>
                <w:szCs w:val="21"/>
              </w:rPr>
            </w:pPr>
            <w:r>
              <w:rPr>
                <w:rFonts w:hint="eastAsia" w:hAnsi="宋体" w:cs="宋体"/>
                <w:sz w:val="21"/>
                <w:szCs w:val="21"/>
              </w:rPr>
              <w:t>7）太阳能供电，保证在无人值守条件下的长期稳定运行。</w:t>
            </w:r>
          </w:p>
          <w:p>
            <w:pPr>
              <w:pStyle w:val="183"/>
              <w:spacing w:line="240" w:lineRule="auto"/>
              <w:ind w:firstLine="0" w:firstLineChars="0"/>
              <w:jc w:val="left"/>
              <w:rPr>
                <w:rFonts w:hAnsi="宋体" w:cs="宋体"/>
                <w:sz w:val="21"/>
                <w:szCs w:val="21"/>
              </w:rPr>
            </w:pPr>
            <w:r>
              <w:rPr>
                <w:rFonts w:hint="eastAsia" w:hAnsi="宋体" w:cs="宋体"/>
                <w:sz w:val="21"/>
                <w:szCs w:val="21"/>
              </w:rPr>
              <w:t>8）可灵活配置的模块化结构，以适应各种不同的需求。</w:t>
            </w:r>
          </w:p>
          <w:p>
            <w:pPr>
              <w:pStyle w:val="183"/>
              <w:spacing w:line="240" w:lineRule="auto"/>
              <w:ind w:firstLine="0" w:firstLineChars="0"/>
              <w:jc w:val="left"/>
              <w:rPr>
                <w:rFonts w:hAnsi="宋体" w:cs="宋体"/>
                <w:sz w:val="21"/>
                <w:szCs w:val="21"/>
              </w:rPr>
            </w:pPr>
            <w:r>
              <w:rPr>
                <w:rFonts w:hint="eastAsia" w:hAnsi="宋体" w:cs="宋体"/>
                <w:sz w:val="21"/>
                <w:szCs w:val="21"/>
              </w:rPr>
              <w:t>9）防水等级可达IP68。</w:t>
            </w:r>
          </w:p>
          <w:p>
            <w:pPr>
              <w:pStyle w:val="183"/>
              <w:spacing w:line="240" w:lineRule="auto"/>
              <w:ind w:firstLine="0" w:firstLineChars="0"/>
              <w:jc w:val="left"/>
              <w:rPr>
                <w:rFonts w:hAnsi="宋体" w:cs="宋体"/>
                <w:sz w:val="21"/>
                <w:szCs w:val="21"/>
              </w:rPr>
            </w:pPr>
            <w:r>
              <w:rPr>
                <w:rFonts w:hint="eastAsia" w:hAnsi="宋体" w:cs="宋体"/>
                <w:sz w:val="21"/>
                <w:szCs w:val="21"/>
              </w:rPr>
              <w:t>★10）符合SL651-2014《水文数据监测通信规约》及SL180-2015《水文自动测报系统系统设备遥测终端机》；</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11）支持浙江省水文通信平台。</w:t>
            </w:r>
          </w:p>
          <w:p>
            <w:pPr>
              <w:pStyle w:val="183"/>
              <w:spacing w:line="240" w:lineRule="auto"/>
              <w:ind w:firstLine="0" w:firstLineChars="0"/>
              <w:jc w:val="left"/>
              <w:rPr>
                <w:rFonts w:hAnsi="宋体" w:cs="宋体"/>
                <w:sz w:val="21"/>
                <w:szCs w:val="21"/>
              </w:rPr>
            </w:pPr>
            <w:r>
              <w:rPr>
                <w:rFonts w:hint="eastAsia" w:hAnsi="宋体" w:cs="宋体"/>
                <w:sz w:val="21"/>
                <w:szCs w:val="21"/>
              </w:rPr>
              <w:t>12）电源输入：9-24V DC；</w:t>
            </w:r>
          </w:p>
          <w:p>
            <w:pPr>
              <w:pStyle w:val="183"/>
              <w:spacing w:line="240" w:lineRule="auto"/>
              <w:ind w:firstLine="0" w:firstLineChars="0"/>
              <w:jc w:val="left"/>
              <w:rPr>
                <w:rFonts w:hAnsi="宋体" w:cs="宋体"/>
                <w:sz w:val="21"/>
                <w:szCs w:val="21"/>
              </w:rPr>
            </w:pPr>
            <w:r>
              <w:rPr>
                <w:rFonts w:hint="eastAsia" w:hAnsi="宋体" w:cs="宋体"/>
                <w:sz w:val="21"/>
                <w:szCs w:val="21"/>
              </w:rPr>
              <w:t>13）电源输出：24V  100mA，5V  20mA，3路可控电源输出，除满足传感器电源控制外，可灵活实现下行控制功能。</w:t>
            </w:r>
          </w:p>
          <w:p>
            <w:pPr>
              <w:pStyle w:val="183"/>
              <w:spacing w:line="240" w:lineRule="auto"/>
              <w:ind w:firstLine="0" w:firstLineChars="0"/>
              <w:jc w:val="left"/>
              <w:rPr>
                <w:rFonts w:hAnsi="宋体" w:cs="宋体"/>
                <w:sz w:val="21"/>
                <w:szCs w:val="21"/>
              </w:rPr>
            </w:pPr>
            <w:r>
              <w:rPr>
                <w:rFonts w:hint="eastAsia" w:hAnsi="宋体" w:cs="宋体"/>
                <w:sz w:val="21"/>
                <w:szCs w:val="21"/>
              </w:rPr>
              <w:t>14）信号采集：2路RS485，2路RS232，可接入各种类型的外部传感器，并可扩展北斗等外部通信模块；2路模拟量采集（可扩展8~16路），可接入标准4-20mA变送器，可配置为各种传感器类型；2路脉冲/开关输入，除接入雨量桶外，还可实现报警监测，用于开箱报警等功能。</w:t>
            </w:r>
          </w:p>
          <w:p>
            <w:pPr>
              <w:pStyle w:val="183"/>
              <w:spacing w:line="240" w:lineRule="auto"/>
              <w:ind w:firstLine="0" w:firstLineChars="0"/>
              <w:jc w:val="left"/>
              <w:rPr>
                <w:rFonts w:hAnsi="宋体" w:cs="宋体"/>
                <w:sz w:val="21"/>
                <w:szCs w:val="21"/>
              </w:rPr>
            </w:pPr>
            <w:r>
              <w:rPr>
                <w:rFonts w:hint="eastAsia" w:hAnsi="宋体" w:cs="宋体"/>
                <w:sz w:val="21"/>
                <w:szCs w:val="21"/>
              </w:rPr>
              <w:t>★15）静态值守电流≤0.01mA，工作电流≤6mA；</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16）设备内置GPS模块，系统定期获取设备的位置信息，并上传平台，从而实现设备位置信息和数据的自动绑定，设备位置的交换将不会影响测站的数据统计。</w:t>
            </w:r>
          </w:p>
          <w:p>
            <w:pPr>
              <w:pStyle w:val="183"/>
              <w:spacing w:line="240" w:lineRule="auto"/>
              <w:ind w:firstLine="0" w:firstLineChars="0"/>
              <w:jc w:val="left"/>
              <w:rPr>
                <w:rFonts w:hAnsi="宋体" w:cs="宋体"/>
                <w:sz w:val="21"/>
                <w:szCs w:val="21"/>
              </w:rPr>
            </w:pPr>
            <w:r>
              <w:rPr>
                <w:rFonts w:hint="eastAsia" w:hAnsi="宋体" w:cs="宋体"/>
                <w:sz w:val="21"/>
                <w:szCs w:val="21"/>
              </w:rPr>
              <w:t>17）数据补发：遇到信号问题，基站问题，sim卡问题等情况，系统将暂存采集数据并待网络恢复后自前至后进行逐条补发。</w:t>
            </w:r>
          </w:p>
          <w:p>
            <w:pPr>
              <w:pStyle w:val="183"/>
              <w:spacing w:line="240" w:lineRule="auto"/>
              <w:ind w:firstLine="0" w:firstLineChars="0"/>
              <w:jc w:val="left"/>
              <w:rPr>
                <w:rFonts w:hAnsi="宋体" w:cs="宋体"/>
                <w:sz w:val="21"/>
                <w:szCs w:val="21"/>
              </w:rPr>
            </w:pPr>
            <w:r>
              <w:rPr>
                <w:rFonts w:hint="eastAsia" w:hAnsi="宋体" w:cs="宋体"/>
                <w:sz w:val="21"/>
                <w:szCs w:val="21"/>
              </w:rPr>
              <w:t>18）SD卡：支持MicroSD卡，可选配置；</w:t>
            </w:r>
          </w:p>
          <w:p>
            <w:pPr>
              <w:pStyle w:val="183"/>
              <w:spacing w:line="240" w:lineRule="auto"/>
              <w:ind w:firstLine="0" w:firstLineChars="0"/>
              <w:jc w:val="left"/>
              <w:rPr>
                <w:rFonts w:hAnsi="宋体" w:cs="宋体"/>
                <w:sz w:val="21"/>
                <w:szCs w:val="21"/>
              </w:rPr>
            </w:pPr>
            <w:r>
              <w:rPr>
                <w:rFonts w:hint="eastAsia" w:hAnsi="宋体" w:cs="宋体"/>
                <w:sz w:val="21"/>
                <w:szCs w:val="21"/>
              </w:rPr>
              <w:t>19）工作温度：-40℃至+70℃</w:t>
            </w:r>
          </w:p>
          <w:p>
            <w:pPr>
              <w:pStyle w:val="183"/>
              <w:spacing w:line="240" w:lineRule="auto"/>
              <w:ind w:firstLine="0" w:firstLineChars="0"/>
              <w:jc w:val="left"/>
              <w:rPr>
                <w:rFonts w:hAnsi="宋体" w:cs="宋体"/>
                <w:sz w:val="21"/>
                <w:szCs w:val="21"/>
              </w:rPr>
            </w:pPr>
            <w:r>
              <w:rPr>
                <w:rFonts w:hint="eastAsia" w:hAnsi="宋体" w:cs="宋体"/>
                <w:sz w:val="21"/>
                <w:szCs w:val="21"/>
              </w:rPr>
              <w:t>20）工作湿度：0-95%，不结露</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数据传输模块</w:t>
            </w:r>
          </w:p>
        </w:tc>
        <w:tc>
          <w:tcPr>
            <w:tcW w:w="1993" w:type="pct"/>
          </w:tcPr>
          <w:p>
            <w:pPr>
              <w:pStyle w:val="183"/>
              <w:spacing w:line="240" w:lineRule="auto"/>
              <w:ind w:firstLine="0" w:firstLineChars="0"/>
              <w:rPr>
                <w:rFonts w:hAnsi="宋体" w:cs="宋体"/>
                <w:sz w:val="21"/>
                <w:szCs w:val="21"/>
              </w:rPr>
            </w:pPr>
            <w:r>
              <w:rPr>
                <w:rFonts w:hint="eastAsia" w:hAnsi="宋体" w:cs="宋体"/>
                <w:sz w:val="21"/>
                <w:szCs w:val="21"/>
              </w:rPr>
              <w:t>1）4G全网通数据通讯模块；</w:t>
            </w:r>
          </w:p>
          <w:p>
            <w:pPr>
              <w:pStyle w:val="183"/>
              <w:spacing w:line="240" w:lineRule="auto"/>
              <w:ind w:firstLine="0" w:firstLineChars="0"/>
              <w:rPr>
                <w:rFonts w:hAnsi="宋体" w:cs="宋体"/>
                <w:sz w:val="21"/>
                <w:szCs w:val="21"/>
              </w:rPr>
            </w:pPr>
            <w:r>
              <w:rPr>
                <w:rFonts w:hint="eastAsia" w:hAnsi="宋体" w:cs="宋体"/>
                <w:sz w:val="21"/>
                <w:szCs w:val="21"/>
              </w:rPr>
              <w:t>2）工作电流：≤230 mA，值守电流：≤12 mA，供电电压范围：10～30V；具有抗电磁干扰、过载和短路保护的功能；</w:t>
            </w:r>
          </w:p>
          <w:p>
            <w:pPr>
              <w:pStyle w:val="183"/>
              <w:spacing w:line="240" w:lineRule="auto"/>
              <w:ind w:firstLine="0" w:firstLineChars="0"/>
              <w:rPr>
                <w:rFonts w:hAnsi="宋体" w:cs="宋体"/>
                <w:sz w:val="21"/>
                <w:szCs w:val="21"/>
              </w:rPr>
            </w:pPr>
            <w:r>
              <w:rPr>
                <w:rFonts w:hint="eastAsia" w:hAnsi="宋体" w:cs="宋体"/>
                <w:sz w:val="21"/>
                <w:szCs w:val="21"/>
              </w:rPr>
              <w:t>3）工作温度：-20℃～65℃；存储温度：-20℃～85℃；</w:t>
            </w:r>
          </w:p>
          <w:p>
            <w:pPr>
              <w:pStyle w:val="183"/>
              <w:spacing w:line="240" w:lineRule="auto"/>
              <w:ind w:firstLine="0" w:firstLineChars="0"/>
              <w:rPr>
                <w:rFonts w:hAnsi="宋体" w:cs="宋体"/>
                <w:sz w:val="21"/>
                <w:szCs w:val="21"/>
              </w:rPr>
            </w:pPr>
            <w:r>
              <w:rPr>
                <w:rFonts w:hint="eastAsia" w:hAnsi="宋体" w:cs="宋体"/>
                <w:sz w:val="21"/>
                <w:szCs w:val="21"/>
              </w:rPr>
              <w:t>4）接口形式：RS-485/RS-232C，实时数据透明无线传输；</w:t>
            </w:r>
          </w:p>
          <w:p>
            <w:pPr>
              <w:pStyle w:val="183"/>
              <w:spacing w:line="240" w:lineRule="auto"/>
              <w:ind w:firstLine="0" w:firstLineChars="0"/>
              <w:rPr>
                <w:rFonts w:hAnsi="宋体" w:cs="宋体"/>
                <w:sz w:val="21"/>
                <w:szCs w:val="21"/>
              </w:rPr>
            </w:pPr>
            <w:r>
              <w:rPr>
                <w:rFonts w:hint="eastAsia" w:hAnsi="宋体" w:cs="宋体"/>
                <w:sz w:val="21"/>
                <w:szCs w:val="21"/>
              </w:rPr>
              <w:t>5）协议：内嵌 PPP、TCP/IP、UDP/IP协议，包括 TCP、UDP等；</w:t>
            </w:r>
          </w:p>
          <w:p>
            <w:pPr>
              <w:widowControl/>
              <w:rPr>
                <w:rFonts w:ascii="宋体" w:hAnsi="宋体" w:cs="宋体"/>
                <w:kern w:val="0"/>
                <w:szCs w:val="21"/>
              </w:rPr>
            </w:pPr>
            <w:r>
              <w:rPr>
                <w:rFonts w:hint="eastAsia" w:ascii="宋体" w:hAnsi="宋体" w:cs="宋体"/>
                <w:szCs w:val="21"/>
              </w:rPr>
              <w:t>传输方式：支持域名解析，支持 AT指令集，SMS。</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太阳能供电系统</w:t>
            </w:r>
          </w:p>
        </w:tc>
        <w:tc>
          <w:tcPr>
            <w:tcW w:w="1993" w:type="pct"/>
          </w:tcPr>
          <w:p>
            <w:pPr>
              <w:widowControl/>
              <w:rPr>
                <w:rFonts w:ascii="宋体" w:hAnsi="宋体" w:cs="宋体"/>
                <w:kern w:val="0"/>
                <w:szCs w:val="21"/>
              </w:rPr>
            </w:pPr>
            <w:r>
              <w:rPr>
                <w:rFonts w:hint="eastAsia" w:ascii="宋体" w:hAnsi="宋体" w:cs="宋体"/>
                <w:kern w:val="0"/>
                <w:szCs w:val="21"/>
              </w:rPr>
              <w:t>含12V/200AH蓄电池、18V/120W太阳能板，充电控制器充电电流不小于10A</w:t>
            </w:r>
          </w:p>
        </w:tc>
        <w:tc>
          <w:tcPr>
            <w:tcW w:w="656" w:type="pct"/>
            <w:shd w:val="clear" w:color="auto" w:fill="auto"/>
          </w:tcPr>
          <w:p>
            <w:pPr>
              <w:widowControl/>
              <w:jc w:val="center"/>
              <w:rPr>
                <w:rFonts w:ascii="宋体" w:hAnsi="宋体" w:cs="宋体"/>
                <w:kern w:val="0"/>
                <w:szCs w:val="21"/>
              </w:rPr>
            </w:pPr>
            <w:r>
              <w:rPr>
                <w:rFonts w:hint="eastAsia" w:ascii="宋体" w:hAnsi="宋体" w:cs="宋体"/>
                <w:kern w:val="0"/>
                <w:szCs w:val="21"/>
              </w:rPr>
              <w:t>定制</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设备安装导轨支架</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1）材质：304不锈钢；</w:t>
            </w:r>
          </w:p>
          <w:p>
            <w:pPr>
              <w:pStyle w:val="158"/>
              <w:widowControl/>
              <w:ind w:firstLine="0" w:firstLineChars="0"/>
              <w:rPr>
                <w:rFonts w:ascii="宋体" w:hAnsi="宋体" w:cs="宋体"/>
                <w:kern w:val="0"/>
                <w:szCs w:val="21"/>
              </w:rPr>
            </w:pPr>
            <w:r>
              <w:rPr>
                <w:rFonts w:hint="eastAsia" w:ascii="宋体" w:hAnsi="宋体" w:cs="宋体"/>
                <w:kern w:val="0"/>
                <w:szCs w:val="21"/>
              </w:rPr>
              <w:t>2）导轨：10号槽钢，6米；支撑架：40*40mm方钢，6米；</w:t>
            </w:r>
          </w:p>
          <w:p>
            <w:pPr>
              <w:pStyle w:val="158"/>
              <w:widowControl/>
              <w:ind w:firstLine="0" w:firstLineChars="0"/>
              <w:rPr>
                <w:rFonts w:ascii="宋体" w:hAnsi="宋体" w:cs="宋体"/>
                <w:kern w:val="0"/>
                <w:szCs w:val="21"/>
              </w:rPr>
            </w:pPr>
            <w:r>
              <w:rPr>
                <w:rFonts w:hint="eastAsia" w:ascii="宋体" w:hAnsi="宋体" w:cs="宋体"/>
                <w:kern w:val="0"/>
                <w:szCs w:val="21"/>
              </w:rPr>
              <w:t>3）设备安装滑架：板厚3mm，按尺寸定制；</w:t>
            </w:r>
          </w:p>
          <w:p>
            <w:pPr>
              <w:pStyle w:val="158"/>
              <w:widowControl/>
              <w:ind w:firstLine="0" w:firstLineChars="0"/>
              <w:rPr>
                <w:rFonts w:ascii="宋体" w:hAnsi="宋体" w:cs="宋体"/>
                <w:kern w:val="0"/>
                <w:szCs w:val="21"/>
              </w:rPr>
            </w:pPr>
            <w:r>
              <w:rPr>
                <w:rFonts w:hint="eastAsia" w:ascii="宋体" w:hAnsi="宋体" w:cs="宋体"/>
                <w:kern w:val="0"/>
                <w:szCs w:val="21"/>
              </w:rPr>
              <w:t>4）提升杆：直径33mm圆钢，配防盗锁；</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机箱</w:t>
            </w:r>
          </w:p>
        </w:tc>
        <w:tc>
          <w:tcPr>
            <w:tcW w:w="1993" w:type="pct"/>
          </w:tcPr>
          <w:p>
            <w:pPr>
              <w:widowControl/>
              <w:rPr>
                <w:rFonts w:ascii="宋体" w:hAnsi="宋体" w:cs="宋体"/>
                <w:kern w:val="0"/>
                <w:szCs w:val="21"/>
              </w:rPr>
            </w:pPr>
            <w:r>
              <w:rPr>
                <w:rFonts w:hint="eastAsia" w:ascii="宋体" w:hAnsi="宋体" w:cs="宋体"/>
                <w:kern w:val="0"/>
                <w:szCs w:val="21"/>
              </w:rPr>
              <w:t>尺寸：900（H）*600（W）*450 （D）mm；</w:t>
            </w:r>
          </w:p>
          <w:p>
            <w:pPr>
              <w:widowControl/>
              <w:rPr>
                <w:rFonts w:ascii="宋体" w:hAnsi="宋体" w:cs="宋体"/>
                <w:kern w:val="0"/>
                <w:szCs w:val="21"/>
              </w:rPr>
            </w:pPr>
            <w:r>
              <w:rPr>
                <w:rFonts w:hint="eastAsia" w:ascii="宋体" w:hAnsi="宋体" w:cs="宋体"/>
                <w:kern w:val="0"/>
                <w:szCs w:val="21"/>
              </w:rPr>
              <w:t>板厚：2mm；</w:t>
            </w:r>
          </w:p>
          <w:p>
            <w:pPr>
              <w:widowControl/>
              <w:rPr>
                <w:rFonts w:ascii="宋体" w:hAnsi="宋体" w:cs="宋体"/>
                <w:kern w:val="0"/>
                <w:szCs w:val="21"/>
              </w:rPr>
            </w:pPr>
            <w:r>
              <w:rPr>
                <w:rFonts w:hint="eastAsia" w:ascii="宋体" w:hAnsi="宋体" w:cs="宋体"/>
                <w:kern w:val="0"/>
                <w:szCs w:val="21"/>
              </w:rPr>
              <w:t>3</w:t>
            </w:r>
            <w:r>
              <w:rPr>
                <w:rFonts w:ascii="宋体" w:hAnsi="宋体" w:cs="宋体"/>
                <w:kern w:val="0"/>
                <w:szCs w:val="21"/>
              </w:rPr>
              <w:t>04</w:t>
            </w:r>
            <w:r>
              <w:rPr>
                <w:rFonts w:hint="eastAsia" w:ascii="宋体" w:hAnsi="宋体" w:cs="宋体"/>
                <w:kern w:val="0"/>
                <w:szCs w:val="21"/>
              </w:rPr>
              <w:t>不锈钢，喷塑；</w:t>
            </w:r>
          </w:p>
          <w:p>
            <w:pPr>
              <w:widowControl/>
              <w:rPr>
                <w:rFonts w:ascii="宋体" w:hAnsi="宋体" w:cs="宋体"/>
                <w:kern w:val="0"/>
                <w:szCs w:val="21"/>
              </w:rPr>
            </w:pPr>
            <w:r>
              <w:rPr>
                <w:rFonts w:hint="eastAsia" w:ascii="宋体" w:hAnsi="宋体" w:cs="宋体"/>
                <w:kern w:val="0"/>
                <w:szCs w:val="21"/>
              </w:rPr>
              <w:t>根据用户要求在箱体上印刷水文专用、危险警示等标识；</w:t>
            </w:r>
          </w:p>
          <w:p>
            <w:pPr>
              <w:widowControl/>
              <w:rPr>
                <w:rFonts w:ascii="宋体" w:hAnsi="宋体" w:cs="宋体"/>
                <w:kern w:val="0"/>
                <w:szCs w:val="21"/>
              </w:rPr>
            </w:pPr>
            <w:r>
              <w:rPr>
                <w:rFonts w:hint="eastAsia" w:ascii="宋体" w:hAnsi="宋体" w:cs="宋体"/>
                <w:kern w:val="0"/>
                <w:szCs w:val="21"/>
              </w:rPr>
              <w:t>配防盗锁。</w:t>
            </w:r>
          </w:p>
          <w:p>
            <w:pPr>
              <w:widowControl/>
              <w:rPr>
                <w:rFonts w:ascii="宋体" w:hAnsi="宋体" w:cs="宋体"/>
                <w:kern w:val="0"/>
                <w:szCs w:val="21"/>
              </w:rPr>
            </w:pPr>
            <w:r>
              <w:rPr>
                <w:rFonts w:hint="eastAsia" w:ascii="宋体" w:hAnsi="宋体" w:cs="宋体"/>
                <w:kern w:val="0"/>
                <w:szCs w:val="21"/>
              </w:rPr>
              <w:t>防护等级：IP55</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2.7</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防雷接地系统</w:t>
            </w:r>
          </w:p>
        </w:tc>
        <w:tc>
          <w:tcPr>
            <w:tcW w:w="1993" w:type="pct"/>
          </w:tcPr>
          <w:p>
            <w:pPr>
              <w:widowControl/>
              <w:rPr>
                <w:rFonts w:ascii="宋体" w:hAnsi="宋体" w:cs="宋体"/>
                <w:kern w:val="0"/>
                <w:szCs w:val="21"/>
              </w:rPr>
            </w:pPr>
            <w:r>
              <w:rPr>
                <w:rFonts w:hint="eastAsia" w:ascii="宋体" w:hAnsi="宋体" w:cs="宋体"/>
                <w:kern w:val="0"/>
                <w:szCs w:val="21"/>
              </w:rPr>
              <w:t>角钢6.3×2500mm共5根，50×5mm的扁铁20m，保证防雷接地电阻值小于10Ω。</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2.8</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线缆及辅材</w:t>
            </w:r>
          </w:p>
        </w:tc>
        <w:tc>
          <w:tcPr>
            <w:tcW w:w="1993" w:type="pct"/>
          </w:tcPr>
          <w:p>
            <w:pPr>
              <w:pStyle w:val="158"/>
              <w:widowControl/>
              <w:ind w:firstLine="0" w:firstLineChars="0"/>
              <w:rPr>
                <w:rFonts w:ascii="宋体" w:hAnsi="宋体" w:cs="宋体"/>
                <w:kern w:val="0"/>
                <w:szCs w:val="21"/>
              </w:rPr>
            </w:pPr>
            <w:r>
              <w:rPr>
                <w:rFonts w:hint="eastAsia" w:ascii="宋体" w:hAnsi="宋体" w:cs="宋体"/>
                <w:kern w:val="0"/>
                <w:szCs w:val="21"/>
              </w:rPr>
              <w:t>1）RVVP9×0.5线缆100米，直径6mm太阳能专用电缆200m，含防水接头；</w:t>
            </w:r>
          </w:p>
          <w:p>
            <w:pPr>
              <w:pStyle w:val="158"/>
              <w:widowControl/>
              <w:ind w:firstLine="0" w:firstLineChars="0"/>
              <w:rPr>
                <w:rFonts w:ascii="宋体" w:hAnsi="宋体" w:cs="宋体"/>
                <w:kern w:val="0"/>
                <w:szCs w:val="21"/>
              </w:rPr>
            </w:pPr>
            <w:r>
              <w:rPr>
                <w:rFonts w:hint="eastAsia" w:ascii="宋体" w:hAnsi="宋体" w:cs="宋体"/>
                <w:kern w:val="0"/>
                <w:szCs w:val="21"/>
              </w:rPr>
              <w:t>2）RVVP4×0.5的485通信电缆50米，含防水接头；</w:t>
            </w:r>
          </w:p>
          <w:p>
            <w:pPr>
              <w:pStyle w:val="158"/>
              <w:widowControl/>
              <w:ind w:firstLine="0" w:firstLineChars="0"/>
              <w:rPr>
                <w:rFonts w:ascii="宋体" w:hAnsi="宋体" w:cs="宋体"/>
                <w:kern w:val="0"/>
                <w:szCs w:val="21"/>
              </w:rPr>
            </w:pPr>
            <w:r>
              <w:rPr>
                <w:rFonts w:hint="eastAsia" w:ascii="宋体" w:hAnsi="宋体" w:cs="宋体"/>
                <w:kern w:val="0"/>
                <w:szCs w:val="21"/>
              </w:rPr>
              <w:t>3）水位信号分路器1台；</w:t>
            </w:r>
          </w:p>
          <w:p>
            <w:pPr>
              <w:pStyle w:val="158"/>
              <w:widowControl/>
              <w:ind w:firstLine="0" w:firstLineChars="0"/>
              <w:rPr>
                <w:rFonts w:ascii="宋体" w:hAnsi="宋体" w:cs="宋体"/>
                <w:kern w:val="0"/>
                <w:szCs w:val="21"/>
              </w:rPr>
            </w:pPr>
            <w:r>
              <w:rPr>
                <w:rFonts w:hint="eastAsia" w:ascii="宋体" w:hAnsi="宋体" w:cs="宋体"/>
                <w:kern w:val="0"/>
                <w:szCs w:val="21"/>
              </w:rPr>
              <w:t>4）包括专业焊接、密封、防水处理以及镀锌穿线管，直径32mm，线管长度200米。</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2.9</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安装调试</w:t>
            </w:r>
          </w:p>
        </w:tc>
        <w:tc>
          <w:tcPr>
            <w:tcW w:w="1993" w:type="pct"/>
            <w:vAlign w:val="center"/>
          </w:tcPr>
          <w:p>
            <w:pPr>
              <w:widowControl/>
              <w:rPr>
                <w:rFonts w:ascii="宋体" w:hAnsi="宋体" w:cs="宋体"/>
                <w:kern w:val="0"/>
                <w:szCs w:val="21"/>
              </w:rPr>
            </w:pPr>
            <w:r>
              <w:rPr>
                <w:rFonts w:hint="eastAsia" w:ascii="宋体" w:hAnsi="宋体" w:cs="宋体"/>
                <w:kern w:val="0"/>
                <w:szCs w:val="21"/>
              </w:rPr>
              <w:t>现场安装调试</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2.10</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流量数据比测率定</w:t>
            </w:r>
          </w:p>
        </w:tc>
        <w:tc>
          <w:tcPr>
            <w:tcW w:w="1993" w:type="pct"/>
          </w:tcPr>
          <w:p>
            <w:pPr>
              <w:widowControl/>
              <w:rPr>
                <w:rFonts w:ascii="宋体" w:hAnsi="宋体" w:cs="宋体"/>
                <w:kern w:val="0"/>
                <w:szCs w:val="21"/>
              </w:rPr>
            </w:pPr>
            <w:r>
              <w:rPr>
                <w:rFonts w:hint="eastAsia" w:ascii="宋体" w:hAnsi="宋体" w:cs="宋体"/>
                <w:kern w:val="0"/>
                <w:szCs w:val="21"/>
              </w:rPr>
              <w:t>比测率定工作可根据来水情况在设备安装完成后、运行期内持续开展校测工作。有效测验次数不少于30次（包含高、中、低水位，且水位级或流量级分布相对均匀），并提供通过验收的比测报告，需符合《河流流量测验规范》GB 50179-2015要求。</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3</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岸基雷达测流系统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侧扫雷达系统主机</w:t>
            </w:r>
          </w:p>
        </w:tc>
        <w:tc>
          <w:tcPr>
            <w:tcW w:w="1993" w:type="pct"/>
          </w:tcPr>
          <w:p>
            <w:pPr>
              <w:pStyle w:val="158"/>
              <w:widowControl/>
              <w:ind w:firstLine="0" w:firstLineChars="0"/>
              <w:rPr>
                <w:rFonts w:ascii="宋体" w:hAnsi="宋体" w:cs="宋体"/>
                <w:kern w:val="0"/>
                <w:szCs w:val="21"/>
              </w:rPr>
            </w:pPr>
            <w:r>
              <w:rPr>
                <w:rFonts w:hint="eastAsia" w:ascii="宋体" w:hAnsi="宋体" w:cs="宋体"/>
                <w:szCs w:val="21"/>
              </w:rPr>
              <w:t>1）</w:t>
            </w:r>
            <w:r>
              <w:rPr>
                <w:rFonts w:hint="eastAsia" w:ascii="宋体" w:hAnsi="宋体" w:cs="宋体"/>
                <w:kern w:val="0"/>
                <w:szCs w:val="21"/>
              </w:rPr>
              <w:t xml:space="preserve">雷达波段：P波段； </w:t>
            </w:r>
          </w:p>
          <w:p>
            <w:pPr>
              <w:pStyle w:val="158"/>
              <w:widowControl/>
              <w:ind w:firstLine="0" w:firstLineChars="0"/>
              <w:rPr>
                <w:rFonts w:ascii="宋体" w:hAnsi="宋体" w:cs="宋体"/>
                <w:kern w:val="0"/>
                <w:szCs w:val="21"/>
              </w:rPr>
            </w:pPr>
            <w:r>
              <w:rPr>
                <w:rFonts w:hint="eastAsia" w:ascii="宋体" w:hAnsi="宋体" w:cs="宋体"/>
                <w:kern w:val="0"/>
                <w:szCs w:val="21"/>
              </w:rPr>
              <w:t>2）工作模式：脉冲多普勒；</w:t>
            </w:r>
          </w:p>
          <w:p>
            <w:pPr>
              <w:pStyle w:val="158"/>
              <w:widowControl/>
              <w:ind w:firstLine="0" w:firstLineChars="0"/>
              <w:rPr>
                <w:rFonts w:ascii="宋体" w:hAnsi="宋体" w:cs="宋体"/>
                <w:kern w:val="0"/>
                <w:szCs w:val="21"/>
              </w:rPr>
            </w:pPr>
            <w:r>
              <w:rPr>
                <w:rFonts w:hint="eastAsia" w:ascii="宋体" w:hAnsi="宋体" w:cs="宋体"/>
                <w:kern w:val="0"/>
                <w:szCs w:val="21"/>
              </w:rPr>
              <w:t>3）供电电压：220 VAC或24 VDC；</w:t>
            </w:r>
          </w:p>
          <w:p>
            <w:pPr>
              <w:pStyle w:val="158"/>
              <w:widowControl/>
              <w:ind w:firstLine="0" w:firstLineChars="0"/>
              <w:rPr>
                <w:rFonts w:ascii="宋体" w:hAnsi="宋体" w:cs="宋体"/>
                <w:kern w:val="0"/>
                <w:szCs w:val="21"/>
              </w:rPr>
            </w:pPr>
            <w:r>
              <w:rPr>
                <w:rFonts w:hint="eastAsia" w:ascii="宋体" w:hAnsi="宋体" w:cs="宋体"/>
                <w:kern w:val="0"/>
                <w:szCs w:val="21"/>
              </w:rPr>
              <w:t>4）平均功率：20W；</w:t>
            </w:r>
          </w:p>
          <w:p>
            <w:pPr>
              <w:pStyle w:val="158"/>
              <w:widowControl/>
              <w:ind w:firstLine="0" w:firstLineChars="0"/>
              <w:rPr>
                <w:rFonts w:ascii="宋体" w:hAnsi="宋体" w:cs="宋体"/>
                <w:kern w:val="0"/>
                <w:szCs w:val="21"/>
              </w:rPr>
            </w:pPr>
            <w:r>
              <w:rPr>
                <w:rFonts w:hint="eastAsia" w:ascii="宋体" w:hAnsi="宋体" w:cs="宋体"/>
                <w:kern w:val="0"/>
                <w:szCs w:val="21"/>
              </w:rPr>
              <w:t>5）最大探测河面宽度：1000m；</w:t>
            </w:r>
          </w:p>
          <w:p>
            <w:pPr>
              <w:pStyle w:val="158"/>
              <w:widowControl/>
              <w:ind w:firstLine="0" w:firstLineChars="0"/>
              <w:rPr>
                <w:rFonts w:ascii="宋体" w:hAnsi="宋体" w:cs="宋体"/>
                <w:kern w:val="0"/>
                <w:szCs w:val="21"/>
              </w:rPr>
            </w:pPr>
            <w:r>
              <w:rPr>
                <w:rFonts w:hint="eastAsia" w:ascii="宋体" w:hAnsi="宋体" w:cs="宋体"/>
                <w:kern w:val="0"/>
                <w:szCs w:val="21"/>
              </w:rPr>
              <w:t>6）流速测量范围：0.05～20m/s；</w:t>
            </w:r>
          </w:p>
          <w:p>
            <w:pPr>
              <w:pStyle w:val="158"/>
              <w:widowControl/>
              <w:ind w:firstLine="0" w:firstLineChars="0"/>
              <w:rPr>
                <w:rFonts w:ascii="宋体" w:hAnsi="宋体" w:cs="宋体"/>
                <w:kern w:val="0"/>
                <w:szCs w:val="21"/>
              </w:rPr>
            </w:pPr>
            <w:r>
              <w:rPr>
                <w:rFonts w:hint="eastAsia" w:ascii="宋体" w:hAnsi="宋体" w:cs="宋体"/>
                <w:kern w:val="0"/>
                <w:szCs w:val="21"/>
              </w:rPr>
              <w:t>7）测流时间间隔：默认10min（可配置）；</w:t>
            </w:r>
          </w:p>
          <w:p>
            <w:pPr>
              <w:pStyle w:val="158"/>
              <w:widowControl/>
              <w:ind w:firstLine="0" w:firstLineChars="0"/>
              <w:rPr>
                <w:rFonts w:ascii="宋体" w:hAnsi="宋体" w:cs="宋体"/>
                <w:kern w:val="0"/>
                <w:szCs w:val="21"/>
              </w:rPr>
            </w:pPr>
            <w:r>
              <w:rPr>
                <w:rFonts w:hint="eastAsia" w:ascii="宋体" w:hAnsi="宋体" w:cs="宋体"/>
                <w:kern w:val="0"/>
                <w:szCs w:val="21"/>
              </w:rPr>
              <w:t>8）流速分辨力：≤0.01m/s；</w:t>
            </w:r>
          </w:p>
          <w:p>
            <w:pPr>
              <w:pStyle w:val="158"/>
              <w:widowControl/>
              <w:ind w:firstLine="0" w:firstLineChars="0"/>
              <w:rPr>
                <w:rFonts w:ascii="宋体" w:hAnsi="宋体" w:cs="宋体"/>
                <w:kern w:val="0"/>
                <w:szCs w:val="21"/>
              </w:rPr>
            </w:pPr>
            <w:r>
              <w:rPr>
                <w:rFonts w:hint="eastAsia" w:ascii="宋体" w:hAnsi="宋体" w:cs="宋体"/>
                <w:kern w:val="0"/>
                <w:szCs w:val="21"/>
              </w:rPr>
              <w:t>9）距离分辨率：10m；</w:t>
            </w:r>
          </w:p>
          <w:p>
            <w:pPr>
              <w:pStyle w:val="158"/>
              <w:widowControl/>
              <w:ind w:firstLine="0" w:firstLineChars="0"/>
              <w:rPr>
                <w:rFonts w:ascii="宋体" w:hAnsi="宋体" w:cs="宋体"/>
                <w:kern w:val="0"/>
                <w:szCs w:val="21"/>
              </w:rPr>
            </w:pPr>
            <w:r>
              <w:rPr>
                <w:rFonts w:hint="eastAsia" w:ascii="宋体" w:hAnsi="宋体" w:cs="宋体"/>
                <w:kern w:val="0"/>
                <w:szCs w:val="21"/>
              </w:rPr>
              <w:t>10）流量测量精度：≤10%；</w:t>
            </w:r>
          </w:p>
          <w:p>
            <w:pPr>
              <w:pStyle w:val="158"/>
              <w:widowControl/>
              <w:ind w:firstLine="0" w:firstLineChars="0"/>
              <w:rPr>
                <w:rFonts w:ascii="宋体" w:hAnsi="宋体" w:cs="宋体"/>
                <w:kern w:val="0"/>
                <w:szCs w:val="21"/>
              </w:rPr>
            </w:pPr>
            <w:r>
              <w:rPr>
                <w:rFonts w:hint="eastAsia" w:ascii="宋体" w:hAnsi="宋体" w:cs="宋体"/>
                <w:kern w:val="0"/>
                <w:szCs w:val="21"/>
              </w:rPr>
              <w:t>11）工作温度</w:t>
            </w:r>
            <w:r>
              <w:rPr>
                <w:rFonts w:hint="eastAsia" w:ascii="宋体" w:hAnsi="宋体" w:cs="宋体"/>
                <w:kern w:val="0"/>
                <w:szCs w:val="21"/>
              </w:rPr>
              <w:tab/>
            </w:r>
            <w:r>
              <w:rPr>
                <w:rFonts w:hint="eastAsia" w:ascii="宋体" w:hAnsi="宋体" w:cs="宋体"/>
                <w:kern w:val="0"/>
                <w:szCs w:val="21"/>
              </w:rPr>
              <w:t>-35℃～65℃；</w:t>
            </w:r>
          </w:p>
          <w:p>
            <w:pPr>
              <w:pStyle w:val="158"/>
              <w:widowControl/>
              <w:ind w:firstLine="0" w:firstLineChars="0"/>
              <w:rPr>
                <w:rFonts w:ascii="宋体" w:hAnsi="宋体" w:cs="宋体"/>
                <w:kern w:val="0"/>
                <w:szCs w:val="21"/>
              </w:rPr>
            </w:pPr>
            <w:r>
              <w:rPr>
                <w:rFonts w:hint="eastAsia" w:ascii="宋体" w:hAnsi="宋体" w:cs="宋体"/>
                <w:kern w:val="0"/>
                <w:szCs w:val="21"/>
              </w:rPr>
              <w:t>12）相对湿度</w:t>
            </w:r>
            <w:r>
              <w:rPr>
                <w:rFonts w:hint="eastAsia" w:ascii="宋体" w:hAnsi="宋体" w:cs="宋体"/>
                <w:kern w:val="0"/>
                <w:szCs w:val="21"/>
              </w:rPr>
              <w:tab/>
            </w:r>
            <w:r>
              <w:rPr>
                <w:rFonts w:hint="eastAsia" w:ascii="宋体" w:hAnsi="宋体" w:cs="宋体"/>
                <w:kern w:val="0"/>
                <w:szCs w:val="21"/>
              </w:rPr>
              <w:t>10%～95%；</w:t>
            </w:r>
          </w:p>
          <w:p>
            <w:pPr>
              <w:pStyle w:val="158"/>
              <w:widowControl/>
              <w:ind w:firstLine="0" w:firstLineChars="0"/>
              <w:rPr>
                <w:rFonts w:ascii="宋体" w:hAnsi="宋体" w:cs="宋体"/>
                <w:kern w:val="0"/>
                <w:szCs w:val="21"/>
              </w:rPr>
            </w:pPr>
            <w:r>
              <w:rPr>
                <w:rFonts w:hint="eastAsia" w:ascii="宋体" w:hAnsi="宋体" w:cs="宋体"/>
                <w:kern w:val="0"/>
                <w:szCs w:val="21"/>
              </w:rPr>
              <w:t>13）抗风能力</w:t>
            </w:r>
            <w:r>
              <w:rPr>
                <w:rFonts w:hint="eastAsia" w:ascii="宋体" w:hAnsi="宋体" w:cs="宋体"/>
                <w:kern w:val="0"/>
                <w:szCs w:val="21"/>
              </w:rPr>
              <w:tab/>
            </w:r>
            <w:r>
              <w:rPr>
                <w:rFonts w:hint="eastAsia" w:ascii="宋体" w:hAnsi="宋体" w:cs="宋体"/>
                <w:kern w:val="0"/>
                <w:szCs w:val="21"/>
              </w:rPr>
              <w:t>0～60m/s；</w:t>
            </w:r>
          </w:p>
          <w:p>
            <w:pPr>
              <w:pStyle w:val="158"/>
              <w:widowControl/>
              <w:ind w:firstLine="0" w:firstLineChars="0"/>
              <w:rPr>
                <w:rFonts w:ascii="宋体" w:hAnsi="宋体" w:cs="宋体"/>
                <w:kern w:val="0"/>
                <w:szCs w:val="21"/>
              </w:rPr>
            </w:pPr>
            <w:r>
              <w:rPr>
                <w:rFonts w:hint="eastAsia" w:ascii="宋体" w:hAnsi="宋体" w:cs="宋体"/>
                <w:kern w:val="0"/>
                <w:szCs w:val="21"/>
              </w:rPr>
              <w:t>14）通讯：采用3G、4G无线GPRS通讯；</w:t>
            </w:r>
          </w:p>
          <w:p>
            <w:pPr>
              <w:pStyle w:val="158"/>
              <w:widowControl/>
              <w:ind w:firstLine="0" w:firstLineChars="0"/>
              <w:rPr>
                <w:rFonts w:ascii="宋体" w:hAnsi="宋体" w:cs="宋体"/>
                <w:kern w:val="0"/>
                <w:szCs w:val="21"/>
              </w:rPr>
            </w:pPr>
            <w:r>
              <w:rPr>
                <w:rFonts w:hint="eastAsia" w:ascii="宋体" w:hAnsi="宋体" w:cs="宋体"/>
                <w:kern w:val="0"/>
                <w:szCs w:val="21"/>
              </w:rPr>
              <w:t>15）安装方式：雷达安装在楼顶平台上，垂直于水流方向观测，雷达距离河面20m（距水面的高度差）；</w:t>
            </w:r>
          </w:p>
          <w:p>
            <w:pPr>
              <w:pStyle w:val="158"/>
              <w:widowControl/>
              <w:ind w:firstLine="0" w:firstLineChars="0"/>
              <w:rPr>
                <w:rFonts w:ascii="宋体" w:hAnsi="宋体" w:cs="宋体"/>
                <w:kern w:val="0"/>
                <w:szCs w:val="21"/>
              </w:rPr>
            </w:pPr>
            <w:r>
              <w:rPr>
                <w:rFonts w:hint="eastAsia" w:ascii="宋体" w:hAnsi="宋体" w:cs="宋体"/>
                <w:kern w:val="0"/>
                <w:szCs w:val="21"/>
              </w:rPr>
              <w:t>16）阴雨天气太阳能理论工作时长：不小于120小时；</w:t>
            </w:r>
          </w:p>
          <w:p>
            <w:pPr>
              <w:pStyle w:val="158"/>
              <w:widowControl/>
              <w:ind w:firstLine="0" w:firstLineChars="0"/>
              <w:rPr>
                <w:rFonts w:ascii="宋体" w:hAnsi="宋体" w:cs="宋体"/>
                <w:kern w:val="0"/>
                <w:szCs w:val="21"/>
              </w:rPr>
            </w:pPr>
            <w:r>
              <w:rPr>
                <w:rFonts w:hint="eastAsia" w:ascii="宋体" w:hAnsi="宋体" w:cs="宋体"/>
                <w:szCs w:val="21"/>
              </w:rPr>
              <w:t>★17）</w:t>
            </w:r>
            <w:r>
              <w:rPr>
                <w:rFonts w:hint="eastAsia" w:ascii="宋体" w:hAnsi="宋体" w:cs="宋体"/>
                <w:kern w:val="0"/>
                <w:szCs w:val="21"/>
              </w:rPr>
              <w:t>符合GB/T 12572-2008《无线电发射设备参数通用要求和测量方法》，且中心频率、峰值发射功率、平均发射功率检测结果均合格；</w:t>
            </w:r>
            <w:r>
              <w:rPr>
                <w:rFonts w:hint="eastAsia" w:ascii="宋体" w:hAnsi="宋体" w:cs="宋体"/>
                <w:b/>
                <w:bCs/>
                <w:szCs w:val="21"/>
              </w:rPr>
              <w:t>（</w:t>
            </w:r>
            <w:r>
              <w:rPr>
                <w:rFonts w:hint="eastAsia" w:hAnsi="宋体" w:cs="宋体"/>
                <w:b/>
                <w:bCs/>
                <w:szCs w:val="21"/>
                <w:lang w:eastAsia="zh-CN"/>
              </w:rPr>
              <w:t>中标公示结束后五个工作日内</w:t>
            </w:r>
            <w:r>
              <w:rPr>
                <w:rFonts w:hint="eastAsia" w:ascii="宋体" w:hAnsi="宋体" w:cs="宋体"/>
                <w:b/>
                <w:bCs/>
                <w:szCs w:val="21"/>
              </w:rPr>
              <w:t>提供国家认可的第三方检测机构出具的检测报告原件扫描件，并加盖投标产品制造商公章）</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遥测终端机</w:t>
            </w:r>
          </w:p>
        </w:tc>
        <w:tc>
          <w:tcPr>
            <w:tcW w:w="1993" w:type="pct"/>
          </w:tcPr>
          <w:p>
            <w:pPr>
              <w:pStyle w:val="183"/>
              <w:spacing w:line="240" w:lineRule="auto"/>
              <w:ind w:firstLine="0" w:firstLineChars="0"/>
              <w:jc w:val="left"/>
              <w:rPr>
                <w:rFonts w:hAnsi="宋体" w:cs="宋体"/>
                <w:sz w:val="21"/>
                <w:szCs w:val="21"/>
              </w:rPr>
            </w:pPr>
            <w:r>
              <w:rPr>
                <w:rFonts w:hint="eastAsia" w:hAnsi="宋体" w:cs="宋体"/>
                <w:sz w:val="21"/>
                <w:szCs w:val="21"/>
              </w:rPr>
              <w:t>1）数据自动上报。</w:t>
            </w:r>
          </w:p>
          <w:p>
            <w:pPr>
              <w:pStyle w:val="183"/>
              <w:spacing w:line="240" w:lineRule="auto"/>
              <w:ind w:firstLine="0" w:firstLineChars="0"/>
              <w:jc w:val="left"/>
              <w:rPr>
                <w:rFonts w:hAnsi="宋体" w:cs="宋体"/>
                <w:sz w:val="21"/>
                <w:szCs w:val="21"/>
              </w:rPr>
            </w:pPr>
            <w:r>
              <w:rPr>
                <w:rFonts w:hint="eastAsia" w:hAnsi="宋体" w:cs="宋体"/>
                <w:sz w:val="21"/>
                <w:szCs w:val="21"/>
              </w:rPr>
              <w:t>2）接受中心站远程设置和控制指令。</w:t>
            </w:r>
          </w:p>
          <w:p>
            <w:pPr>
              <w:pStyle w:val="183"/>
              <w:spacing w:line="240" w:lineRule="auto"/>
              <w:ind w:firstLine="0" w:firstLineChars="0"/>
              <w:jc w:val="left"/>
              <w:rPr>
                <w:rFonts w:hAnsi="宋体" w:cs="宋体"/>
                <w:sz w:val="21"/>
                <w:szCs w:val="21"/>
              </w:rPr>
            </w:pPr>
            <w:r>
              <w:rPr>
                <w:rFonts w:hint="eastAsia" w:hAnsi="宋体" w:cs="宋体"/>
                <w:sz w:val="21"/>
                <w:szCs w:val="21"/>
              </w:rPr>
              <w:t>3）全面支持4G全网通通信功能，向下兼容3G/2G通信模式。</w:t>
            </w:r>
          </w:p>
          <w:p>
            <w:pPr>
              <w:pStyle w:val="183"/>
              <w:spacing w:line="240" w:lineRule="auto"/>
              <w:ind w:firstLine="0" w:firstLineChars="0"/>
              <w:jc w:val="left"/>
              <w:rPr>
                <w:rFonts w:hAnsi="宋体" w:cs="宋体"/>
                <w:sz w:val="21"/>
                <w:szCs w:val="21"/>
              </w:rPr>
            </w:pPr>
            <w:r>
              <w:rPr>
                <w:rFonts w:hint="eastAsia" w:hAnsi="宋体" w:cs="宋体"/>
                <w:sz w:val="21"/>
                <w:szCs w:val="21"/>
              </w:rPr>
              <w:t>4）实时时钟自动校对和调整功能。</w:t>
            </w:r>
          </w:p>
          <w:p>
            <w:pPr>
              <w:pStyle w:val="183"/>
              <w:spacing w:line="240" w:lineRule="auto"/>
              <w:ind w:firstLine="0" w:firstLineChars="0"/>
              <w:jc w:val="left"/>
              <w:rPr>
                <w:rFonts w:hAnsi="宋体" w:cs="宋体"/>
                <w:sz w:val="21"/>
                <w:szCs w:val="21"/>
              </w:rPr>
            </w:pPr>
            <w:r>
              <w:rPr>
                <w:rFonts w:hint="eastAsia" w:hAnsi="宋体" w:cs="宋体"/>
                <w:sz w:val="21"/>
                <w:szCs w:val="21"/>
              </w:rPr>
              <w:t>5）可连接多种传感器，包括水位计、雨量计、风向风速仪等各种水文、气象传感器。</w:t>
            </w:r>
          </w:p>
          <w:p>
            <w:pPr>
              <w:pStyle w:val="183"/>
              <w:spacing w:line="240" w:lineRule="auto"/>
              <w:ind w:firstLine="0" w:firstLineChars="0"/>
              <w:jc w:val="left"/>
              <w:rPr>
                <w:rFonts w:hAnsi="宋体" w:cs="宋体"/>
                <w:sz w:val="21"/>
                <w:szCs w:val="21"/>
              </w:rPr>
            </w:pPr>
            <w:r>
              <w:rPr>
                <w:rFonts w:hint="eastAsia" w:hAnsi="宋体" w:cs="宋体"/>
                <w:sz w:val="21"/>
                <w:szCs w:val="21"/>
              </w:rPr>
              <w:t>6）支持多种通信方式，如GSM短信、GPRS/CDMA、北斗卫星等。</w:t>
            </w:r>
          </w:p>
          <w:p>
            <w:pPr>
              <w:pStyle w:val="183"/>
              <w:spacing w:line="240" w:lineRule="auto"/>
              <w:ind w:firstLine="0" w:firstLineChars="0"/>
              <w:jc w:val="left"/>
              <w:rPr>
                <w:rFonts w:hAnsi="宋体" w:cs="宋体"/>
                <w:sz w:val="21"/>
                <w:szCs w:val="21"/>
              </w:rPr>
            </w:pPr>
            <w:r>
              <w:rPr>
                <w:rFonts w:hint="eastAsia" w:hAnsi="宋体" w:cs="宋体"/>
                <w:sz w:val="21"/>
                <w:szCs w:val="21"/>
              </w:rPr>
              <w:t>7）太阳能供电，保证在无人值守条件下的长期稳定运行。</w:t>
            </w:r>
          </w:p>
          <w:p>
            <w:pPr>
              <w:pStyle w:val="183"/>
              <w:spacing w:line="240" w:lineRule="auto"/>
              <w:ind w:firstLine="0" w:firstLineChars="0"/>
              <w:jc w:val="left"/>
              <w:rPr>
                <w:rFonts w:hAnsi="宋体" w:cs="宋体"/>
                <w:sz w:val="21"/>
                <w:szCs w:val="21"/>
              </w:rPr>
            </w:pPr>
            <w:r>
              <w:rPr>
                <w:rFonts w:hint="eastAsia" w:hAnsi="宋体" w:cs="宋体"/>
                <w:sz w:val="21"/>
                <w:szCs w:val="21"/>
              </w:rPr>
              <w:t>8）可灵活配置的模块化结构，以适应各种不同的需求。</w:t>
            </w:r>
          </w:p>
          <w:p>
            <w:pPr>
              <w:pStyle w:val="183"/>
              <w:spacing w:line="240" w:lineRule="auto"/>
              <w:ind w:firstLine="0" w:firstLineChars="0"/>
              <w:jc w:val="left"/>
              <w:rPr>
                <w:rFonts w:hAnsi="宋体" w:cs="宋体"/>
                <w:sz w:val="21"/>
                <w:szCs w:val="21"/>
              </w:rPr>
            </w:pPr>
            <w:r>
              <w:rPr>
                <w:rFonts w:hint="eastAsia" w:hAnsi="宋体" w:cs="宋体"/>
                <w:sz w:val="21"/>
                <w:szCs w:val="21"/>
              </w:rPr>
              <w:t>9）防水等级可达IP68。</w:t>
            </w:r>
          </w:p>
          <w:p>
            <w:pPr>
              <w:pStyle w:val="183"/>
              <w:spacing w:line="240" w:lineRule="auto"/>
              <w:ind w:firstLine="0" w:firstLineChars="0"/>
              <w:jc w:val="left"/>
              <w:rPr>
                <w:rFonts w:hAnsi="宋体" w:cs="宋体"/>
                <w:sz w:val="21"/>
                <w:szCs w:val="21"/>
              </w:rPr>
            </w:pPr>
            <w:r>
              <w:rPr>
                <w:rFonts w:hint="eastAsia" w:hAnsi="宋体" w:cs="宋体"/>
                <w:sz w:val="21"/>
                <w:szCs w:val="21"/>
              </w:rPr>
              <w:t>★10）符合SL651-2014《水文数据监测通信规约》及SL180-2015《水文自动测报系统系统设备遥测终端机》；</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11）支持浙江省水文通信平台。</w:t>
            </w:r>
          </w:p>
          <w:p>
            <w:pPr>
              <w:pStyle w:val="183"/>
              <w:spacing w:line="240" w:lineRule="auto"/>
              <w:ind w:firstLine="0" w:firstLineChars="0"/>
              <w:jc w:val="left"/>
              <w:rPr>
                <w:rFonts w:hAnsi="宋体" w:cs="宋体"/>
                <w:sz w:val="21"/>
                <w:szCs w:val="21"/>
              </w:rPr>
            </w:pPr>
            <w:r>
              <w:rPr>
                <w:rFonts w:hint="eastAsia" w:hAnsi="宋体" w:cs="宋体"/>
                <w:sz w:val="21"/>
                <w:szCs w:val="21"/>
              </w:rPr>
              <w:t>12）电源输入：9-24V DC；</w:t>
            </w:r>
          </w:p>
          <w:p>
            <w:pPr>
              <w:pStyle w:val="183"/>
              <w:spacing w:line="240" w:lineRule="auto"/>
              <w:ind w:firstLine="0" w:firstLineChars="0"/>
              <w:jc w:val="left"/>
              <w:rPr>
                <w:rFonts w:hAnsi="宋体" w:cs="宋体"/>
                <w:sz w:val="21"/>
                <w:szCs w:val="21"/>
              </w:rPr>
            </w:pPr>
            <w:r>
              <w:rPr>
                <w:rFonts w:hint="eastAsia" w:hAnsi="宋体" w:cs="宋体"/>
                <w:sz w:val="21"/>
                <w:szCs w:val="21"/>
              </w:rPr>
              <w:t>13）电源输出：24V  100mA，5V  20mA，3路可控电源输出，除满足传感器电源控制外，可灵活实现下行控制功能。</w:t>
            </w:r>
          </w:p>
          <w:p>
            <w:pPr>
              <w:pStyle w:val="183"/>
              <w:spacing w:line="240" w:lineRule="auto"/>
              <w:ind w:firstLine="0" w:firstLineChars="0"/>
              <w:jc w:val="left"/>
              <w:rPr>
                <w:rFonts w:hAnsi="宋体" w:cs="宋体"/>
                <w:sz w:val="21"/>
                <w:szCs w:val="21"/>
              </w:rPr>
            </w:pPr>
            <w:r>
              <w:rPr>
                <w:rFonts w:hint="eastAsia" w:hAnsi="宋体" w:cs="宋体"/>
                <w:sz w:val="21"/>
                <w:szCs w:val="21"/>
              </w:rPr>
              <w:t>14）信号采集：2路RS485，2路RS232，可接入各种类型的外部传感器，并可扩展北斗等外部通信模块；2路模拟量采集（可扩展8~16路），可接入标准4-20mA变送器，可配置为各种传感器类型；2路脉冲/开关输入，除接入雨量桶外，还可实现报警监测，用于开箱报警等功能。</w:t>
            </w:r>
          </w:p>
          <w:p>
            <w:pPr>
              <w:pStyle w:val="183"/>
              <w:spacing w:line="240" w:lineRule="auto"/>
              <w:ind w:firstLine="0" w:firstLineChars="0"/>
              <w:jc w:val="left"/>
              <w:rPr>
                <w:rFonts w:hAnsi="宋体" w:cs="宋体"/>
                <w:sz w:val="21"/>
                <w:szCs w:val="21"/>
              </w:rPr>
            </w:pPr>
            <w:r>
              <w:rPr>
                <w:rFonts w:hint="eastAsia" w:hAnsi="宋体" w:cs="宋体"/>
                <w:sz w:val="21"/>
                <w:szCs w:val="21"/>
              </w:rPr>
              <w:t>★15）静态值守电流≤0.01mA，工作电流≤6mA；</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16）设备内置GPS模块，系统定期获取设备的位置信息，并上传平台，从而实现设备位置信息和数据的自动绑定，设备位置的交换将不会影响测站的数据统计。</w:t>
            </w:r>
          </w:p>
          <w:p>
            <w:pPr>
              <w:pStyle w:val="183"/>
              <w:spacing w:line="240" w:lineRule="auto"/>
              <w:ind w:firstLine="0" w:firstLineChars="0"/>
              <w:jc w:val="left"/>
              <w:rPr>
                <w:rFonts w:hAnsi="宋体" w:cs="宋体"/>
                <w:sz w:val="21"/>
                <w:szCs w:val="21"/>
              </w:rPr>
            </w:pPr>
            <w:r>
              <w:rPr>
                <w:rFonts w:hint="eastAsia" w:hAnsi="宋体" w:cs="宋体"/>
                <w:sz w:val="21"/>
                <w:szCs w:val="21"/>
              </w:rPr>
              <w:t>17）数据补发：遇到信号问题，基站问题，sim卡问题等情况，系统将暂存采集数据并待网络恢复后自前至后进行逐条补发。</w:t>
            </w:r>
          </w:p>
          <w:p>
            <w:pPr>
              <w:pStyle w:val="183"/>
              <w:spacing w:line="240" w:lineRule="auto"/>
              <w:ind w:firstLine="0" w:firstLineChars="0"/>
              <w:jc w:val="left"/>
              <w:rPr>
                <w:rFonts w:hAnsi="宋体" w:cs="宋体"/>
                <w:sz w:val="21"/>
                <w:szCs w:val="21"/>
              </w:rPr>
            </w:pPr>
            <w:r>
              <w:rPr>
                <w:rFonts w:hint="eastAsia" w:hAnsi="宋体" w:cs="宋体"/>
                <w:sz w:val="21"/>
                <w:szCs w:val="21"/>
              </w:rPr>
              <w:t>18）SD卡：支持MicroSD卡，可选配置；</w:t>
            </w:r>
          </w:p>
          <w:p>
            <w:pPr>
              <w:pStyle w:val="183"/>
              <w:spacing w:line="240" w:lineRule="auto"/>
              <w:ind w:firstLine="0" w:firstLineChars="0"/>
              <w:jc w:val="left"/>
              <w:rPr>
                <w:rFonts w:hAnsi="宋体" w:cs="宋体"/>
                <w:sz w:val="21"/>
                <w:szCs w:val="21"/>
              </w:rPr>
            </w:pPr>
            <w:r>
              <w:rPr>
                <w:rFonts w:hint="eastAsia" w:hAnsi="宋体" w:cs="宋体"/>
                <w:sz w:val="21"/>
                <w:szCs w:val="21"/>
              </w:rPr>
              <w:t>19）工作温度：-40℃至+70℃</w:t>
            </w:r>
          </w:p>
          <w:p>
            <w:pPr>
              <w:pStyle w:val="183"/>
              <w:spacing w:line="240" w:lineRule="auto"/>
              <w:ind w:firstLine="0" w:firstLineChars="0"/>
              <w:jc w:val="left"/>
              <w:rPr>
                <w:rFonts w:hAnsi="宋体" w:cs="宋体"/>
                <w:sz w:val="21"/>
                <w:szCs w:val="21"/>
              </w:rPr>
            </w:pPr>
            <w:r>
              <w:rPr>
                <w:rFonts w:hint="eastAsia" w:hAnsi="宋体" w:cs="宋体"/>
                <w:sz w:val="21"/>
                <w:szCs w:val="21"/>
              </w:rPr>
              <w:t>20）工作湿度：0-95%，不结露</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数据传输模块</w:t>
            </w:r>
          </w:p>
        </w:tc>
        <w:tc>
          <w:tcPr>
            <w:tcW w:w="1993" w:type="pct"/>
          </w:tcPr>
          <w:p>
            <w:pPr>
              <w:pStyle w:val="183"/>
              <w:spacing w:line="240" w:lineRule="auto"/>
              <w:ind w:firstLine="0" w:firstLineChars="0"/>
              <w:rPr>
                <w:rFonts w:hAnsi="宋体" w:cs="宋体"/>
                <w:sz w:val="21"/>
                <w:szCs w:val="21"/>
              </w:rPr>
            </w:pPr>
            <w:r>
              <w:rPr>
                <w:rFonts w:hint="eastAsia" w:hAnsi="宋体" w:cs="宋体"/>
                <w:sz w:val="21"/>
                <w:szCs w:val="21"/>
              </w:rPr>
              <w:t>1）4G全网通数据通讯模块；</w:t>
            </w:r>
          </w:p>
          <w:p>
            <w:pPr>
              <w:pStyle w:val="183"/>
              <w:spacing w:line="240" w:lineRule="auto"/>
              <w:ind w:firstLine="0" w:firstLineChars="0"/>
              <w:rPr>
                <w:rFonts w:hAnsi="宋体" w:cs="宋体"/>
                <w:sz w:val="21"/>
                <w:szCs w:val="21"/>
              </w:rPr>
            </w:pPr>
            <w:r>
              <w:rPr>
                <w:rFonts w:hint="eastAsia" w:hAnsi="宋体" w:cs="宋体"/>
                <w:sz w:val="21"/>
                <w:szCs w:val="21"/>
              </w:rPr>
              <w:t>2）工作电流：≤230 mA，值守电流：≤12 mA，供电电压范围：10～30V；具有抗电磁干扰、过载和短路保护的功能；</w:t>
            </w:r>
          </w:p>
          <w:p>
            <w:pPr>
              <w:pStyle w:val="183"/>
              <w:spacing w:line="240" w:lineRule="auto"/>
              <w:ind w:firstLine="0" w:firstLineChars="0"/>
              <w:rPr>
                <w:rFonts w:hAnsi="宋体" w:cs="宋体"/>
                <w:sz w:val="21"/>
                <w:szCs w:val="21"/>
              </w:rPr>
            </w:pPr>
            <w:r>
              <w:rPr>
                <w:rFonts w:hint="eastAsia" w:hAnsi="宋体" w:cs="宋体"/>
                <w:sz w:val="21"/>
                <w:szCs w:val="21"/>
              </w:rPr>
              <w:t>3）工作温度：-20℃～65℃；存储温度：-20℃～85℃；</w:t>
            </w:r>
          </w:p>
          <w:p>
            <w:pPr>
              <w:pStyle w:val="183"/>
              <w:spacing w:line="240" w:lineRule="auto"/>
              <w:ind w:firstLine="0" w:firstLineChars="0"/>
              <w:rPr>
                <w:rFonts w:hAnsi="宋体" w:cs="宋体"/>
                <w:sz w:val="21"/>
                <w:szCs w:val="21"/>
              </w:rPr>
            </w:pPr>
            <w:r>
              <w:rPr>
                <w:rFonts w:hint="eastAsia" w:hAnsi="宋体" w:cs="宋体"/>
                <w:sz w:val="21"/>
                <w:szCs w:val="21"/>
              </w:rPr>
              <w:t>4）接口形式：RS-485/RS-232C，实时数据透明无线传输；</w:t>
            </w:r>
          </w:p>
          <w:p>
            <w:pPr>
              <w:pStyle w:val="183"/>
              <w:spacing w:line="240" w:lineRule="auto"/>
              <w:ind w:firstLine="0" w:firstLineChars="0"/>
              <w:rPr>
                <w:rFonts w:hAnsi="宋体" w:cs="宋体"/>
                <w:sz w:val="21"/>
                <w:szCs w:val="21"/>
              </w:rPr>
            </w:pPr>
            <w:r>
              <w:rPr>
                <w:rFonts w:hint="eastAsia" w:hAnsi="宋体" w:cs="宋体"/>
                <w:sz w:val="21"/>
                <w:szCs w:val="21"/>
              </w:rPr>
              <w:t>5）协议：内嵌 PPP、TCP/IP、UDP/IP协议，包括 TCP、UDP等；</w:t>
            </w:r>
          </w:p>
          <w:p>
            <w:pPr>
              <w:widowControl/>
              <w:rPr>
                <w:rFonts w:ascii="宋体" w:hAnsi="宋体" w:cs="宋体"/>
                <w:kern w:val="0"/>
                <w:szCs w:val="21"/>
              </w:rPr>
            </w:pPr>
            <w:r>
              <w:rPr>
                <w:rFonts w:hint="eastAsia" w:ascii="宋体" w:hAnsi="宋体" w:cs="宋体"/>
                <w:szCs w:val="21"/>
              </w:rPr>
              <w:t>6）传输方式：支持域名解析，支持 AT指令集，SMS。</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3.4</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市电及电源转换器</w:t>
            </w:r>
          </w:p>
        </w:tc>
        <w:tc>
          <w:tcPr>
            <w:tcW w:w="1993" w:type="pct"/>
          </w:tcPr>
          <w:p>
            <w:pPr>
              <w:widowControl/>
              <w:rPr>
                <w:rFonts w:ascii="宋体" w:hAnsi="宋体" w:cs="宋体"/>
                <w:kern w:val="0"/>
                <w:szCs w:val="21"/>
              </w:rPr>
            </w:pPr>
            <w:r>
              <w:rPr>
                <w:rFonts w:hint="eastAsia" w:ascii="宋体" w:hAnsi="宋体" w:cs="宋体"/>
                <w:kern w:val="0"/>
                <w:szCs w:val="21"/>
              </w:rPr>
              <w:t>220V市电输入，24V输出。</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机箱</w:t>
            </w:r>
          </w:p>
        </w:tc>
        <w:tc>
          <w:tcPr>
            <w:tcW w:w="1993" w:type="pct"/>
            <w:vAlign w:val="center"/>
          </w:tcPr>
          <w:p>
            <w:pPr>
              <w:widowControl/>
              <w:jc w:val="left"/>
              <w:rPr>
                <w:rFonts w:ascii="宋体" w:hAnsi="宋体" w:cs="宋体"/>
                <w:kern w:val="0"/>
                <w:szCs w:val="21"/>
              </w:rPr>
            </w:pPr>
            <w:r>
              <w:rPr>
                <w:rFonts w:hint="eastAsia" w:ascii="宋体" w:hAnsi="宋体" w:cs="宋体"/>
                <w:kern w:val="0"/>
                <w:szCs w:val="21"/>
              </w:rPr>
              <w:t>宽度600*高度500*厚度450mm，铸铝室外防水箱，根据用户要求在箱体上印刷水文专用、危险警示等标识；带锁。防护等级：IP55。</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防雷接地系统</w:t>
            </w:r>
          </w:p>
        </w:tc>
        <w:tc>
          <w:tcPr>
            <w:tcW w:w="1993" w:type="pct"/>
          </w:tcPr>
          <w:p>
            <w:pPr>
              <w:widowControl/>
              <w:jc w:val="left"/>
              <w:rPr>
                <w:rFonts w:ascii="宋体" w:hAnsi="宋体" w:cs="宋体"/>
                <w:kern w:val="0"/>
                <w:szCs w:val="21"/>
              </w:rPr>
            </w:pPr>
            <w:r>
              <w:rPr>
                <w:rFonts w:hint="eastAsia" w:ascii="宋体" w:hAnsi="宋体" w:cs="宋体"/>
                <w:kern w:val="0"/>
                <w:szCs w:val="21"/>
              </w:rPr>
              <w:t>角钢6.3×2500mm共5根，50×5mm的扁铁20m，保证防雷接地电阻值小于10Ω。</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3.7</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线缆及辅材</w:t>
            </w:r>
          </w:p>
        </w:tc>
        <w:tc>
          <w:tcPr>
            <w:tcW w:w="1993" w:type="pct"/>
            <w:vAlign w:val="center"/>
          </w:tcPr>
          <w:p>
            <w:pPr>
              <w:widowControl/>
              <w:jc w:val="left"/>
              <w:rPr>
                <w:rFonts w:ascii="宋体" w:hAnsi="宋体" w:cs="宋体"/>
                <w:kern w:val="0"/>
                <w:szCs w:val="21"/>
              </w:rPr>
            </w:pPr>
            <w:r>
              <w:rPr>
                <w:rFonts w:hint="eastAsia" w:ascii="宋体" w:hAnsi="宋体" w:cs="宋体"/>
                <w:kern w:val="0"/>
                <w:szCs w:val="21"/>
              </w:rPr>
              <w:t>RVVP4*1.5，PE管等辅材　</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3.8</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配套基础设施 </w:t>
            </w:r>
          </w:p>
        </w:tc>
        <w:tc>
          <w:tcPr>
            <w:tcW w:w="1993" w:type="pct"/>
            <w:vAlign w:val="center"/>
          </w:tcPr>
          <w:p>
            <w:pPr>
              <w:widowControl/>
              <w:jc w:val="left"/>
              <w:rPr>
                <w:rFonts w:ascii="宋体" w:hAnsi="宋体" w:cs="宋体"/>
                <w:kern w:val="0"/>
                <w:szCs w:val="21"/>
              </w:rPr>
            </w:pPr>
            <w:r>
              <w:rPr>
                <w:rFonts w:hint="eastAsia" w:ascii="宋体" w:hAnsi="宋体" w:cs="宋体"/>
                <w:kern w:val="0"/>
                <w:szCs w:val="21"/>
              </w:rPr>
              <w:t>钢筋混凝土基础要求：尺寸600mm*600mm*600mm；混凝土等级：采用砼C25；钢筋分布：采用直径6钢筋间距150的网状构造；</w:t>
            </w:r>
          </w:p>
          <w:p>
            <w:pPr>
              <w:widowControl/>
              <w:jc w:val="left"/>
              <w:rPr>
                <w:rFonts w:ascii="宋体" w:hAnsi="宋体" w:cs="宋体"/>
                <w:kern w:val="0"/>
                <w:szCs w:val="21"/>
              </w:rPr>
            </w:pPr>
            <w:r>
              <w:rPr>
                <w:rFonts w:hint="eastAsia" w:ascii="宋体" w:hAnsi="宋体" w:cs="宋体"/>
                <w:kern w:val="0"/>
                <w:szCs w:val="21"/>
              </w:rPr>
              <w:t>预埋穿线管，根据现场走线确定位置。</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3.9</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侧扫雷达安装支架</w:t>
            </w:r>
          </w:p>
        </w:tc>
        <w:tc>
          <w:tcPr>
            <w:tcW w:w="1993" w:type="pct"/>
            <w:vAlign w:val="center"/>
          </w:tcPr>
          <w:p>
            <w:pPr>
              <w:widowControl/>
              <w:jc w:val="left"/>
              <w:rPr>
                <w:rFonts w:ascii="宋体" w:hAnsi="宋体" w:cs="宋体"/>
                <w:kern w:val="0"/>
                <w:szCs w:val="21"/>
              </w:rPr>
            </w:pPr>
            <w:r>
              <w:rPr>
                <w:rFonts w:hint="eastAsia" w:ascii="宋体" w:hAnsi="宋体" w:cs="宋体"/>
                <w:kern w:val="0"/>
                <w:szCs w:val="21"/>
              </w:rPr>
              <w:t>包含测杆、安装支架、固定件等；其中立杆高度≥3m,直径≥160mm，立杆壁厚大于≥3.5mm；支架包括雷达接收天线、雷达天线支架、雷达发射天线。</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3.10</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安装调试</w:t>
            </w:r>
          </w:p>
        </w:tc>
        <w:tc>
          <w:tcPr>
            <w:tcW w:w="1993" w:type="pct"/>
          </w:tcPr>
          <w:p>
            <w:pPr>
              <w:widowControl/>
              <w:jc w:val="left"/>
              <w:rPr>
                <w:rFonts w:ascii="宋体" w:hAnsi="宋体" w:cs="宋体"/>
                <w:kern w:val="0"/>
                <w:szCs w:val="21"/>
              </w:rPr>
            </w:pPr>
            <w:r>
              <w:rPr>
                <w:rFonts w:hint="eastAsia" w:ascii="宋体" w:hAnsi="宋体" w:cs="宋体"/>
                <w:kern w:val="0"/>
                <w:szCs w:val="21"/>
              </w:rPr>
              <w:t>现场安装调试</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3.11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流量数据比测率定</w:t>
            </w:r>
          </w:p>
        </w:tc>
        <w:tc>
          <w:tcPr>
            <w:tcW w:w="1993" w:type="pct"/>
          </w:tcPr>
          <w:p>
            <w:pPr>
              <w:widowControl/>
              <w:rPr>
                <w:rFonts w:ascii="宋体" w:hAnsi="宋体" w:cs="宋体"/>
                <w:kern w:val="0"/>
                <w:szCs w:val="21"/>
              </w:rPr>
            </w:pPr>
            <w:r>
              <w:rPr>
                <w:rFonts w:hint="eastAsia" w:ascii="宋体" w:hAnsi="宋体" w:cs="宋体"/>
                <w:kern w:val="0"/>
                <w:szCs w:val="21"/>
              </w:rPr>
              <w:t>比测率定工作可根据来水情况在设备安装完成后、运行期内持续开展校测工作。有效测验次数不少于30次（包含高、中、低水位，且水位级或流量级分布相对均匀），并提供通过验收的比测报告，需符合《河流流量测验规范》GB 50179-2015要求。</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4</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浮子式水位遥测系统（含北斗）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浮子水位计</w:t>
            </w:r>
          </w:p>
        </w:tc>
        <w:tc>
          <w:tcPr>
            <w:tcW w:w="1993" w:type="pct"/>
          </w:tcPr>
          <w:p>
            <w:pPr>
              <w:pStyle w:val="158"/>
              <w:widowControl/>
              <w:ind w:firstLine="0" w:firstLineChars="0"/>
              <w:jc w:val="left"/>
              <w:rPr>
                <w:rFonts w:ascii="宋体" w:hAnsi="宋体" w:cs="宋体"/>
                <w:kern w:val="0"/>
                <w:szCs w:val="21"/>
              </w:rPr>
            </w:pPr>
            <w:r>
              <w:rPr>
                <w:rFonts w:hint="eastAsia" w:ascii="宋体" w:hAnsi="宋体" w:cs="宋体"/>
                <w:kern w:val="0"/>
                <w:szCs w:val="21"/>
              </w:rPr>
              <w:t>1）测量范围：0～40m；</w:t>
            </w:r>
          </w:p>
          <w:p>
            <w:pPr>
              <w:pStyle w:val="158"/>
              <w:widowControl/>
              <w:ind w:firstLine="0" w:firstLineChars="0"/>
              <w:jc w:val="left"/>
              <w:rPr>
                <w:rFonts w:ascii="宋体" w:hAnsi="宋体" w:cs="宋体"/>
                <w:kern w:val="0"/>
                <w:szCs w:val="21"/>
              </w:rPr>
            </w:pPr>
            <w:r>
              <w:rPr>
                <w:rFonts w:hint="eastAsia" w:ascii="宋体" w:hAnsi="宋体" w:cs="宋体"/>
                <w:kern w:val="0"/>
                <w:szCs w:val="21"/>
              </w:rPr>
              <w:t>2）分辨力：1cm；</w:t>
            </w:r>
          </w:p>
          <w:p>
            <w:pPr>
              <w:pStyle w:val="158"/>
              <w:widowControl/>
              <w:ind w:firstLine="0" w:firstLineChars="0"/>
              <w:jc w:val="left"/>
              <w:rPr>
                <w:rFonts w:ascii="宋体" w:hAnsi="宋体" w:cs="宋体"/>
                <w:kern w:val="0"/>
                <w:szCs w:val="21"/>
              </w:rPr>
            </w:pPr>
            <w:r>
              <w:rPr>
                <w:rFonts w:hint="eastAsia" w:ascii="宋体" w:hAnsi="宋体" w:cs="宋体"/>
                <w:kern w:val="0"/>
                <w:szCs w:val="21"/>
              </w:rPr>
              <w:t xml:space="preserve">3）水位变率：≤1m/min； </w:t>
            </w:r>
          </w:p>
          <w:p>
            <w:pPr>
              <w:pStyle w:val="158"/>
              <w:widowControl/>
              <w:ind w:firstLine="0" w:firstLineChars="0"/>
              <w:jc w:val="left"/>
              <w:rPr>
                <w:rFonts w:ascii="宋体" w:hAnsi="宋体" w:cs="宋体"/>
                <w:kern w:val="0"/>
                <w:szCs w:val="21"/>
              </w:rPr>
            </w:pPr>
            <w:r>
              <w:rPr>
                <w:rFonts w:hint="eastAsia" w:ascii="宋体" w:hAnsi="宋体" w:cs="宋体"/>
                <w:kern w:val="0"/>
                <w:szCs w:val="21"/>
              </w:rPr>
              <w:t>4）测量精度：量程＜10m时，±2cm；量程＞10m时，±0.2%FS；</w:t>
            </w:r>
          </w:p>
          <w:p>
            <w:pPr>
              <w:pStyle w:val="158"/>
              <w:widowControl/>
              <w:ind w:firstLine="0" w:firstLineChars="0"/>
              <w:jc w:val="left"/>
              <w:rPr>
                <w:rFonts w:ascii="宋体" w:hAnsi="宋体" w:cs="宋体"/>
                <w:kern w:val="0"/>
                <w:szCs w:val="21"/>
              </w:rPr>
            </w:pPr>
            <w:r>
              <w:rPr>
                <w:rFonts w:hint="eastAsia" w:ascii="宋体" w:hAnsi="宋体" w:cs="宋体"/>
                <w:kern w:val="0"/>
                <w:szCs w:val="21"/>
              </w:rPr>
              <w:t>5）输出形式：12bit格雷码；</w:t>
            </w:r>
          </w:p>
          <w:p>
            <w:pPr>
              <w:pStyle w:val="158"/>
              <w:widowControl/>
              <w:ind w:firstLine="0" w:firstLineChars="0"/>
              <w:jc w:val="left"/>
              <w:rPr>
                <w:rFonts w:ascii="宋体" w:hAnsi="宋体" w:cs="宋体"/>
                <w:kern w:val="0"/>
                <w:szCs w:val="21"/>
              </w:rPr>
            </w:pPr>
            <w:r>
              <w:rPr>
                <w:rFonts w:hint="eastAsia" w:ascii="宋体" w:hAnsi="宋体" w:cs="宋体"/>
                <w:kern w:val="0"/>
                <w:szCs w:val="21"/>
              </w:rPr>
              <w:t>6）显示方式：5位机械数字显示；</w:t>
            </w:r>
          </w:p>
          <w:p>
            <w:pPr>
              <w:pStyle w:val="158"/>
              <w:widowControl/>
              <w:ind w:firstLine="0" w:firstLineChars="0"/>
              <w:jc w:val="left"/>
              <w:rPr>
                <w:rFonts w:ascii="宋体" w:hAnsi="宋体" w:cs="宋体"/>
                <w:kern w:val="0"/>
                <w:szCs w:val="21"/>
              </w:rPr>
            </w:pPr>
            <w:r>
              <w:rPr>
                <w:rFonts w:hint="eastAsia" w:ascii="宋体" w:hAnsi="宋体" w:cs="宋体"/>
                <w:kern w:val="0"/>
                <w:szCs w:val="21"/>
              </w:rPr>
              <w:t>7）工作环境：温度：-10～+50℃（水体不结冰）；</w:t>
            </w:r>
          </w:p>
          <w:p>
            <w:pPr>
              <w:pStyle w:val="158"/>
              <w:widowControl/>
              <w:ind w:firstLine="0" w:firstLineChars="0"/>
              <w:jc w:val="left"/>
              <w:rPr>
                <w:rFonts w:ascii="宋体" w:hAnsi="宋体" w:cs="宋体"/>
                <w:kern w:val="0"/>
                <w:szCs w:val="21"/>
              </w:rPr>
            </w:pPr>
            <w:r>
              <w:rPr>
                <w:rFonts w:hint="eastAsia" w:ascii="宋体" w:hAnsi="宋体" w:cs="宋体"/>
                <w:kern w:val="0"/>
                <w:szCs w:val="21"/>
              </w:rPr>
              <w:t>8）湿度：≤95%RH（40℃无凝露）。</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遥测终端机</w:t>
            </w:r>
          </w:p>
        </w:tc>
        <w:tc>
          <w:tcPr>
            <w:tcW w:w="1993" w:type="pct"/>
          </w:tcPr>
          <w:p>
            <w:pPr>
              <w:pStyle w:val="183"/>
              <w:spacing w:line="240" w:lineRule="auto"/>
              <w:ind w:firstLine="0" w:firstLineChars="0"/>
              <w:jc w:val="left"/>
              <w:rPr>
                <w:rFonts w:hAnsi="宋体" w:cs="宋体"/>
                <w:sz w:val="21"/>
                <w:szCs w:val="21"/>
              </w:rPr>
            </w:pPr>
            <w:r>
              <w:rPr>
                <w:rFonts w:hint="eastAsia" w:hAnsi="宋体" w:cs="宋体"/>
                <w:sz w:val="21"/>
                <w:szCs w:val="21"/>
              </w:rPr>
              <w:t>1）数据自动上报。</w:t>
            </w:r>
          </w:p>
          <w:p>
            <w:pPr>
              <w:pStyle w:val="183"/>
              <w:spacing w:line="240" w:lineRule="auto"/>
              <w:ind w:firstLine="0" w:firstLineChars="0"/>
              <w:jc w:val="left"/>
              <w:rPr>
                <w:rFonts w:hAnsi="宋体" w:cs="宋体"/>
                <w:sz w:val="21"/>
                <w:szCs w:val="21"/>
              </w:rPr>
            </w:pPr>
            <w:r>
              <w:rPr>
                <w:rFonts w:hint="eastAsia" w:hAnsi="宋体" w:cs="宋体"/>
                <w:sz w:val="21"/>
                <w:szCs w:val="21"/>
              </w:rPr>
              <w:t>2）接受中心站远程设置和控制指令。</w:t>
            </w:r>
          </w:p>
          <w:p>
            <w:pPr>
              <w:pStyle w:val="183"/>
              <w:spacing w:line="240" w:lineRule="auto"/>
              <w:ind w:firstLine="0" w:firstLineChars="0"/>
              <w:jc w:val="left"/>
              <w:rPr>
                <w:rFonts w:hAnsi="宋体" w:cs="宋体"/>
                <w:sz w:val="21"/>
                <w:szCs w:val="21"/>
              </w:rPr>
            </w:pPr>
            <w:r>
              <w:rPr>
                <w:rFonts w:hint="eastAsia" w:hAnsi="宋体" w:cs="宋体"/>
                <w:sz w:val="21"/>
                <w:szCs w:val="21"/>
              </w:rPr>
              <w:t>3）全面支持4G全网通通信功能，向下兼容3G/2G通信模式。</w:t>
            </w:r>
          </w:p>
          <w:p>
            <w:pPr>
              <w:pStyle w:val="183"/>
              <w:spacing w:line="240" w:lineRule="auto"/>
              <w:ind w:firstLine="0" w:firstLineChars="0"/>
              <w:jc w:val="left"/>
              <w:rPr>
                <w:rFonts w:hAnsi="宋体" w:cs="宋体"/>
                <w:sz w:val="21"/>
                <w:szCs w:val="21"/>
              </w:rPr>
            </w:pPr>
            <w:r>
              <w:rPr>
                <w:rFonts w:hint="eastAsia" w:hAnsi="宋体" w:cs="宋体"/>
                <w:sz w:val="21"/>
                <w:szCs w:val="21"/>
              </w:rPr>
              <w:t>4）实时时钟自动校对和调整功能。</w:t>
            </w:r>
          </w:p>
          <w:p>
            <w:pPr>
              <w:pStyle w:val="183"/>
              <w:spacing w:line="240" w:lineRule="auto"/>
              <w:ind w:firstLine="0" w:firstLineChars="0"/>
              <w:jc w:val="left"/>
              <w:rPr>
                <w:rFonts w:hAnsi="宋体" w:cs="宋体"/>
                <w:sz w:val="21"/>
                <w:szCs w:val="21"/>
              </w:rPr>
            </w:pPr>
            <w:r>
              <w:rPr>
                <w:rFonts w:hint="eastAsia" w:hAnsi="宋体" w:cs="宋体"/>
                <w:sz w:val="21"/>
                <w:szCs w:val="21"/>
              </w:rPr>
              <w:t>5）可连接多种传感器，包括水位计、雨量计、风向风速仪等各种水文、气象传感器。</w:t>
            </w:r>
          </w:p>
          <w:p>
            <w:pPr>
              <w:pStyle w:val="183"/>
              <w:spacing w:line="240" w:lineRule="auto"/>
              <w:ind w:firstLine="0" w:firstLineChars="0"/>
              <w:jc w:val="left"/>
              <w:rPr>
                <w:rFonts w:hAnsi="宋体" w:cs="宋体"/>
                <w:sz w:val="21"/>
                <w:szCs w:val="21"/>
              </w:rPr>
            </w:pPr>
            <w:r>
              <w:rPr>
                <w:rFonts w:hint="eastAsia" w:hAnsi="宋体" w:cs="宋体"/>
                <w:sz w:val="21"/>
                <w:szCs w:val="21"/>
              </w:rPr>
              <w:t>6）支持多种通信方式，如GSM短信、GPRS/CDMA、北斗卫星等。</w:t>
            </w:r>
          </w:p>
          <w:p>
            <w:pPr>
              <w:pStyle w:val="183"/>
              <w:spacing w:line="240" w:lineRule="auto"/>
              <w:ind w:firstLine="0" w:firstLineChars="0"/>
              <w:jc w:val="left"/>
              <w:rPr>
                <w:rFonts w:hAnsi="宋体" w:cs="宋体"/>
                <w:sz w:val="21"/>
                <w:szCs w:val="21"/>
              </w:rPr>
            </w:pPr>
            <w:r>
              <w:rPr>
                <w:rFonts w:hint="eastAsia" w:hAnsi="宋体" w:cs="宋体"/>
                <w:sz w:val="21"/>
                <w:szCs w:val="21"/>
              </w:rPr>
              <w:t>7）太阳能供电，保证在无人值守条件下的长期稳定运行。</w:t>
            </w:r>
          </w:p>
          <w:p>
            <w:pPr>
              <w:pStyle w:val="183"/>
              <w:spacing w:line="240" w:lineRule="auto"/>
              <w:ind w:firstLine="0" w:firstLineChars="0"/>
              <w:jc w:val="left"/>
              <w:rPr>
                <w:rFonts w:hAnsi="宋体" w:cs="宋体"/>
                <w:sz w:val="21"/>
                <w:szCs w:val="21"/>
              </w:rPr>
            </w:pPr>
            <w:r>
              <w:rPr>
                <w:rFonts w:hint="eastAsia" w:hAnsi="宋体" w:cs="宋体"/>
                <w:sz w:val="21"/>
                <w:szCs w:val="21"/>
              </w:rPr>
              <w:t>8）可灵活配置的模块化结构，以适应各种不同的需求。</w:t>
            </w:r>
          </w:p>
          <w:p>
            <w:pPr>
              <w:pStyle w:val="183"/>
              <w:spacing w:line="240" w:lineRule="auto"/>
              <w:ind w:firstLine="0" w:firstLineChars="0"/>
              <w:jc w:val="left"/>
              <w:rPr>
                <w:rFonts w:hAnsi="宋体" w:cs="宋体"/>
                <w:sz w:val="21"/>
                <w:szCs w:val="21"/>
              </w:rPr>
            </w:pPr>
            <w:r>
              <w:rPr>
                <w:rFonts w:hint="eastAsia" w:hAnsi="宋体" w:cs="宋体"/>
                <w:sz w:val="21"/>
                <w:szCs w:val="21"/>
              </w:rPr>
              <w:t>9）防水等级可达IP68。</w:t>
            </w:r>
          </w:p>
          <w:p>
            <w:pPr>
              <w:pStyle w:val="183"/>
              <w:spacing w:line="240" w:lineRule="auto"/>
              <w:ind w:firstLine="0" w:firstLineChars="0"/>
              <w:jc w:val="left"/>
              <w:rPr>
                <w:rFonts w:hAnsi="宋体" w:cs="宋体"/>
                <w:sz w:val="21"/>
                <w:szCs w:val="21"/>
              </w:rPr>
            </w:pPr>
            <w:r>
              <w:rPr>
                <w:rFonts w:hint="eastAsia" w:hAnsi="宋体" w:cs="宋体"/>
                <w:sz w:val="21"/>
                <w:szCs w:val="21"/>
              </w:rPr>
              <w:t>★10）符合SL651-2014《水文数据监测通信规约》及SL180-2015《水文自动测报系统系统设备遥测终端机》；</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11）支持浙江省水文通信平台。</w:t>
            </w:r>
          </w:p>
          <w:p>
            <w:pPr>
              <w:pStyle w:val="183"/>
              <w:spacing w:line="240" w:lineRule="auto"/>
              <w:ind w:firstLine="0" w:firstLineChars="0"/>
              <w:jc w:val="left"/>
              <w:rPr>
                <w:rFonts w:hAnsi="宋体" w:cs="宋体"/>
                <w:sz w:val="21"/>
                <w:szCs w:val="21"/>
              </w:rPr>
            </w:pPr>
            <w:r>
              <w:rPr>
                <w:rFonts w:hint="eastAsia" w:hAnsi="宋体" w:cs="宋体"/>
                <w:sz w:val="21"/>
                <w:szCs w:val="21"/>
              </w:rPr>
              <w:t>12）电源输入：9-24V DC；</w:t>
            </w:r>
          </w:p>
          <w:p>
            <w:pPr>
              <w:pStyle w:val="183"/>
              <w:spacing w:line="240" w:lineRule="auto"/>
              <w:ind w:firstLine="0" w:firstLineChars="0"/>
              <w:jc w:val="left"/>
              <w:rPr>
                <w:rFonts w:hAnsi="宋体" w:cs="宋体"/>
                <w:sz w:val="21"/>
                <w:szCs w:val="21"/>
              </w:rPr>
            </w:pPr>
            <w:r>
              <w:rPr>
                <w:rFonts w:hint="eastAsia" w:hAnsi="宋体" w:cs="宋体"/>
                <w:sz w:val="21"/>
                <w:szCs w:val="21"/>
              </w:rPr>
              <w:t>13）电源输出：24V  100mA，5V  20mA，3路可控电源输出，除满足传感器电源控制外，可灵活实现下行控制功能。</w:t>
            </w:r>
          </w:p>
          <w:p>
            <w:pPr>
              <w:pStyle w:val="183"/>
              <w:spacing w:line="240" w:lineRule="auto"/>
              <w:ind w:firstLine="0" w:firstLineChars="0"/>
              <w:jc w:val="left"/>
              <w:rPr>
                <w:rFonts w:hAnsi="宋体" w:cs="宋体"/>
                <w:sz w:val="21"/>
                <w:szCs w:val="21"/>
              </w:rPr>
            </w:pPr>
            <w:r>
              <w:rPr>
                <w:rFonts w:hint="eastAsia" w:hAnsi="宋体" w:cs="宋体"/>
                <w:sz w:val="21"/>
                <w:szCs w:val="21"/>
              </w:rPr>
              <w:t>14）信号采集：2路RS485，2路RS232，可接入各种类型的外部传感器，并可扩展北斗等外部通信模块；2路模拟量采集（可扩展8~16路），可接入标准4-20mA变送器，可配置为各种传感器类型；2路脉冲/开关输入，除接入雨量桶外，还可实现报警监测，用于开箱报警等功能。</w:t>
            </w:r>
          </w:p>
          <w:p>
            <w:pPr>
              <w:pStyle w:val="183"/>
              <w:spacing w:line="240" w:lineRule="auto"/>
              <w:ind w:firstLine="0" w:firstLineChars="0"/>
              <w:jc w:val="left"/>
              <w:rPr>
                <w:rFonts w:hAnsi="宋体" w:cs="宋体"/>
                <w:sz w:val="21"/>
                <w:szCs w:val="21"/>
              </w:rPr>
            </w:pPr>
            <w:r>
              <w:rPr>
                <w:rFonts w:hint="eastAsia" w:hAnsi="宋体" w:cs="宋体"/>
                <w:sz w:val="21"/>
                <w:szCs w:val="21"/>
              </w:rPr>
              <w:t>★15）静态值守电流≤0.01mA，工作电流≤6mA；</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16）设备内置GPS模块，系统定期获取设备的位置信息，并上传平台，从而实现设备位置信息和数据的自动绑定，设备位置的交换将不会影响测站的数据统计。</w:t>
            </w:r>
          </w:p>
          <w:p>
            <w:pPr>
              <w:pStyle w:val="183"/>
              <w:spacing w:line="240" w:lineRule="auto"/>
              <w:ind w:firstLine="0" w:firstLineChars="0"/>
              <w:jc w:val="left"/>
              <w:rPr>
                <w:rFonts w:hAnsi="宋体" w:cs="宋体"/>
                <w:sz w:val="21"/>
                <w:szCs w:val="21"/>
              </w:rPr>
            </w:pPr>
            <w:r>
              <w:rPr>
                <w:rFonts w:hint="eastAsia" w:hAnsi="宋体" w:cs="宋体"/>
                <w:sz w:val="21"/>
                <w:szCs w:val="21"/>
              </w:rPr>
              <w:t>17）数据补发：遇到信号问题，基站问题，sim卡问题等情况，系统将暂存采集数据并待网络恢复后自前至后进行逐条补发。</w:t>
            </w:r>
          </w:p>
          <w:p>
            <w:pPr>
              <w:pStyle w:val="183"/>
              <w:spacing w:line="240" w:lineRule="auto"/>
              <w:ind w:firstLine="0" w:firstLineChars="0"/>
              <w:jc w:val="left"/>
              <w:rPr>
                <w:rFonts w:hAnsi="宋体" w:cs="宋体"/>
                <w:sz w:val="21"/>
                <w:szCs w:val="21"/>
              </w:rPr>
            </w:pPr>
            <w:r>
              <w:rPr>
                <w:rFonts w:hint="eastAsia" w:hAnsi="宋体" w:cs="宋体"/>
                <w:sz w:val="21"/>
                <w:szCs w:val="21"/>
              </w:rPr>
              <w:t>18）SD卡：支持MicroSD卡，可选配置；</w:t>
            </w:r>
          </w:p>
          <w:p>
            <w:pPr>
              <w:pStyle w:val="183"/>
              <w:spacing w:line="240" w:lineRule="auto"/>
              <w:ind w:firstLine="0" w:firstLineChars="0"/>
              <w:jc w:val="left"/>
              <w:rPr>
                <w:rFonts w:hAnsi="宋体" w:cs="宋体"/>
                <w:sz w:val="21"/>
                <w:szCs w:val="21"/>
              </w:rPr>
            </w:pPr>
            <w:r>
              <w:rPr>
                <w:rFonts w:hint="eastAsia" w:hAnsi="宋体" w:cs="宋体"/>
                <w:sz w:val="21"/>
                <w:szCs w:val="21"/>
              </w:rPr>
              <w:t>19）工作温度：-40℃至+70℃</w:t>
            </w:r>
          </w:p>
          <w:p>
            <w:pPr>
              <w:pStyle w:val="183"/>
              <w:spacing w:line="240" w:lineRule="auto"/>
              <w:ind w:firstLine="0" w:firstLineChars="0"/>
              <w:jc w:val="left"/>
              <w:rPr>
                <w:rFonts w:hAnsi="宋体" w:cs="宋体"/>
                <w:sz w:val="21"/>
                <w:szCs w:val="21"/>
              </w:rPr>
            </w:pPr>
            <w:r>
              <w:rPr>
                <w:rFonts w:hint="eastAsia" w:hAnsi="宋体" w:cs="宋体"/>
                <w:sz w:val="21"/>
                <w:szCs w:val="21"/>
              </w:rPr>
              <w:t>20）工作湿度：0-95%，不结露</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数据传输模块</w:t>
            </w:r>
          </w:p>
        </w:tc>
        <w:tc>
          <w:tcPr>
            <w:tcW w:w="1993" w:type="pct"/>
          </w:tcPr>
          <w:p>
            <w:pPr>
              <w:pStyle w:val="183"/>
              <w:spacing w:line="240" w:lineRule="auto"/>
              <w:ind w:firstLine="0" w:firstLineChars="0"/>
              <w:rPr>
                <w:rFonts w:hAnsi="宋体" w:cs="宋体"/>
                <w:sz w:val="21"/>
                <w:szCs w:val="21"/>
              </w:rPr>
            </w:pPr>
            <w:r>
              <w:rPr>
                <w:rFonts w:hint="eastAsia" w:hAnsi="宋体" w:cs="宋体"/>
                <w:sz w:val="21"/>
                <w:szCs w:val="21"/>
              </w:rPr>
              <w:t>1）4G全网通数据通讯模块；</w:t>
            </w:r>
          </w:p>
          <w:p>
            <w:pPr>
              <w:pStyle w:val="183"/>
              <w:spacing w:line="240" w:lineRule="auto"/>
              <w:ind w:firstLine="0" w:firstLineChars="0"/>
              <w:rPr>
                <w:rFonts w:hAnsi="宋体" w:cs="宋体"/>
                <w:sz w:val="21"/>
                <w:szCs w:val="21"/>
              </w:rPr>
            </w:pPr>
            <w:r>
              <w:rPr>
                <w:rFonts w:hint="eastAsia" w:hAnsi="宋体" w:cs="宋体"/>
                <w:sz w:val="21"/>
                <w:szCs w:val="21"/>
              </w:rPr>
              <w:t>2）工作电流：≤230 mA，值守电流：≤12 mA，供电电压范围：10～30V；具有抗电磁干扰、过载和短路保护的功能；</w:t>
            </w:r>
          </w:p>
          <w:p>
            <w:pPr>
              <w:pStyle w:val="183"/>
              <w:spacing w:line="240" w:lineRule="auto"/>
              <w:ind w:firstLine="0" w:firstLineChars="0"/>
              <w:rPr>
                <w:rFonts w:hAnsi="宋体" w:cs="宋体"/>
                <w:sz w:val="21"/>
                <w:szCs w:val="21"/>
              </w:rPr>
            </w:pPr>
            <w:r>
              <w:rPr>
                <w:rFonts w:hint="eastAsia" w:hAnsi="宋体" w:cs="宋体"/>
                <w:sz w:val="21"/>
                <w:szCs w:val="21"/>
              </w:rPr>
              <w:t>3）工作温度：-20℃～65℃；存储温度：-20℃～85℃；</w:t>
            </w:r>
          </w:p>
          <w:p>
            <w:pPr>
              <w:pStyle w:val="183"/>
              <w:spacing w:line="240" w:lineRule="auto"/>
              <w:ind w:firstLine="0" w:firstLineChars="0"/>
              <w:rPr>
                <w:rFonts w:hAnsi="宋体" w:cs="宋体"/>
                <w:sz w:val="21"/>
                <w:szCs w:val="21"/>
              </w:rPr>
            </w:pPr>
            <w:r>
              <w:rPr>
                <w:rFonts w:hint="eastAsia" w:hAnsi="宋体" w:cs="宋体"/>
                <w:sz w:val="21"/>
                <w:szCs w:val="21"/>
              </w:rPr>
              <w:t>4）接口形式：RS-485/RS-232C，实时数据透明无线传输；</w:t>
            </w:r>
          </w:p>
          <w:p>
            <w:pPr>
              <w:pStyle w:val="183"/>
              <w:spacing w:line="240" w:lineRule="auto"/>
              <w:ind w:firstLine="0" w:firstLineChars="0"/>
              <w:rPr>
                <w:rFonts w:hAnsi="宋体" w:cs="宋体"/>
                <w:sz w:val="21"/>
                <w:szCs w:val="21"/>
              </w:rPr>
            </w:pPr>
            <w:r>
              <w:rPr>
                <w:rFonts w:hint="eastAsia" w:hAnsi="宋体" w:cs="宋体"/>
                <w:sz w:val="21"/>
                <w:szCs w:val="21"/>
              </w:rPr>
              <w:t>5）协议：内嵌 PPP、TCP/IP、UDP/IP协议，包括 TCP、UDP等；</w:t>
            </w:r>
          </w:p>
          <w:p>
            <w:pPr>
              <w:pStyle w:val="183"/>
              <w:spacing w:line="240" w:lineRule="auto"/>
              <w:ind w:firstLine="0" w:firstLineChars="0"/>
              <w:rPr>
                <w:rFonts w:hAnsi="宋体" w:cs="宋体"/>
                <w:sz w:val="21"/>
                <w:szCs w:val="21"/>
              </w:rPr>
            </w:pPr>
            <w:r>
              <w:rPr>
                <w:rFonts w:hint="eastAsia" w:hAnsi="宋体" w:cs="宋体"/>
                <w:sz w:val="21"/>
                <w:szCs w:val="21"/>
              </w:rPr>
              <w:t>6）传输方式：支持域名解析，支持 AT指令集，SMS。</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4.4</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北斗卫星通信终端</w:t>
            </w:r>
          </w:p>
        </w:tc>
        <w:tc>
          <w:tcPr>
            <w:tcW w:w="1993" w:type="pct"/>
          </w:tcPr>
          <w:p>
            <w:pPr>
              <w:pStyle w:val="158"/>
              <w:widowControl/>
              <w:ind w:firstLine="0" w:firstLineChars="0"/>
              <w:rPr>
                <w:rFonts w:ascii="宋体" w:hAnsi="宋体" w:cs="宋体"/>
                <w:kern w:val="0"/>
                <w:szCs w:val="21"/>
              </w:rPr>
            </w:pPr>
            <w:r>
              <w:rPr>
                <w:rFonts w:hint="eastAsia" w:ascii="宋体" w:hAnsi="宋体" w:cs="宋体"/>
                <w:kern w:val="0"/>
                <w:szCs w:val="21"/>
              </w:rPr>
              <w:t>1）支持标准AT命令系统；</w:t>
            </w:r>
          </w:p>
          <w:p>
            <w:pPr>
              <w:pStyle w:val="158"/>
              <w:widowControl/>
              <w:ind w:firstLine="0" w:firstLineChars="0"/>
              <w:rPr>
                <w:rFonts w:ascii="宋体" w:hAnsi="宋体" w:cs="宋体"/>
                <w:kern w:val="0"/>
                <w:szCs w:val="21"/>
              </w:rPr>
            </w:pPr>
            <w:r>
              <w:rPr>
                <w:rFonts w:hint="eastAsia" w:ascii="宋体" w:hAnsi="宋体" w:cs="宋体"/>
                <w:kern w:val="0"/>
                <w:szCs w:val="21"/>
              </w:rPr>
              <w:t>2）出站信道速率：31.25kbps；</w:t>
            </w:r>
          </w:p>
          <w:p>
            <w:pPr>
              <w:pStyle w:val="158"/>
              <w:widowControl/>
              <w:ind w:firstLine="0" w:firstLineChars="0"/>
              <w:rPr>
                <w:rFonts w:ascii="宋体" w:hAnsi="宋体" w:cs="宋体"/>
                <w:kern w:val="0"/>
                <w:szCs w:val="21"/>
              </w:rPr>
            </w:pPr>
            <w:r>
              <w:rPr>
                <w:rFonts w:hint="eastAsia" w:ascii="宋体" w:hAnsi="宋体" w:cs="宋体"/>
                <w:kern w:val="0"/>
                <w:szCs w:val="21"/>
              </w:rPr>
              <w:t>3）入站信道速率：15.625kpbs；</w:t>
            </w:r>
          </w:p>
          <w:p>
            <w:pPr>
              <w:pStyle w:val="158"/>
              <w:widowControl/>
              <w:ind w:firstLine="0" w:firstLineChars="0"/>
              <w:rPr>
                <w:rFonts w:ascii="宋体" w:hAnsi="宋体" w:cs="宋体"/>
                <w:kern w:val="0"/>
                <w:szCs w:val="21"/>
              </w:rPr>
            </w:pPr>
            <w:r>
              <w:rPr>
                <w:rFonts w:hint="eastAsia" w:ascii="宋体" w:hAnsi="宋体" w:cs="宋体"/>
                <w:kern w:val="0"/>
                <w:szCs w:val="21"/>
              </w:rPr>
              <w:t>4）系统误码率：≤1×10－5</w:t>
            </w:r>
          </w:p>
          <w:p>
            <w:pPr>
              <w:pStyle w:val="158"/>
              <w:widowControl/>
              <w:ind w:firstLine="0" w:firstLineChars="0"/>
              <w:rPr>
                <w:rFonts w:ascii="宋体" w:hAnsi="宋体" w:cs="宋体"/>
                <w:kern w:val="0"/>
                <w:szCs w:val="21"/>
              </w:rPr>
            </w:pPr>
            <w:r>
              <w:rPr>
                <w:rFonts w:hint="eastAsia" w:ascii="宋体" w:hAnsi="宋体" w:cs="宋体"/>
                <w:kern w:val="0"/>
                <w:szCs w:val="21"/>
              </w:rPr>
              <w:t>5）定位精度：≤100m；</w:t>
            </w:r>
          </w:p>
          <w:p>
            <w:pPr>
              <w:pStyle w:val="158"/>
              <w:widowControl/>
              <w:ind w:firstLine="0" w:firstLineChars="0"/>
              <w:rPr>
                <w:rFonts w:ascii="宋体" w:hAnsi="宋体" w:cs="宋体"/>
                <w:kern w:val="0"/>
                <w:szCs w:val="21"/>
              </w:rPr>
            </w:pPr>
            <w:r>
              <w:rPr>
                <w:rFonts w:hint="eastAsia" w:ascii="宋体" w:hAnsi="宋体" w:cs="宋体"/>
                <w:kern w:val="0"/>
                <w:szCs w:val="21"/>
              </w:rPr>
              <w:t>6）短信收发最大长度：不少于70个ASCII字符；</w:t>
            </w:r>
          </w:p>
          <w:p>
            <w:pPr>
              <w:pStyle w:val="158"/>
              <w:widowControl/>
              <w:ind w:firstLine="0" w:firstLineChars="0"/>
              <w:rPr>
                <w:rFonts w:ascii="宋体" w:hAnsi="宋体" w:cs="宋体"/>
                <w:kern w:val="0"/>
                <w:szCs w:val="21"/>
              </w:rPr>
            </w:pPr>
            <w:r>
              <w:rPr>
                <w:rFonts w:hint="eastAsia" w:ascii="宋体" w:hAnsi="宋体" w:cs="宋体"/>
                <w:kern w:val="0"/>
                <w:szCs w:val="21"/>
              </w:rPr>
              <w:t>7）授时精度：单向100ns，双向20ns；</w:t>
            </w:r>
          </w:p>
          <w:p>
            <w:pPr>
              <w:pStyle w:val="158"/>
              <w:widowControl/>
              <w:ind w:firstLine="0" w:firstLineChars="0"/>
              <w:rPr>
                <w:rFonts w:ascii="宋体" w:hAnsi="宋体" w:cs="宋体"/>
                <w:kern w:val="0"/>
                <w:szCs w:val="21"/>
              </w:rPr>
            </w:pPr>
            <w:r>
              <w:rPr>
                <w:rFonts w:hint="eastAsia" w:ascii="宋体" w:hAnsi="宋体" w:cs="宋体"/>
                <w:kern w:val="0"/>
                <w:szCs w:val="21"/>
              </w:rPr>
              <w:t>8）响应时间：&lt;10s；</w:t>
            </w:r>
          </w:p>
          <w:p>
            <w:pPr>
              <w:pStyle w:val="158"/>
              <w:widowControl/>
              <w:ind w:firstLine="0" w:firstLineChars="0"/>
              <w:rPr>
                <w:rFonts w:ascii="宋体" w:hAnsi="宋体" w:cs="宋体"/>
                <w:kern w:val="0"/>
                <w:szCs w:val="21"/>
              </w:rPr>
            </w:pPr>
            <w:r>
              <w:rPr>
                <w:rFonts w:hint="eastAsia" w:ascii="宋体" w:hAnsi="宋体" w:cs="宋体"/>
                <w:kern w:val="0"/>
                <w:szCs w:val="21"/>
              </w:rPr>
              <w:t>9）接续方式：卫星终端至终端、DDN、GSM/CDMA、Internet；</w:t>
            </w:r>
          </w:p>
          <w:p>
            <w:pPr>
              <w:pStyle w:val="158"/>
              <w:widowControl/>
              <w:ind w:firstLine="0" w:firstLineChars="0"/>
              <w:rPr>
                <w:rFonts w:ascii="宋体" w:hAnsi="宋体" w:cs="宋体"/>
                <w:kern w:val="0"/>
                <w:szCs w:val="21"/>
              </w:rPr>
            </w:pPr>
            <w:r>
              <w:rPr>
                <w:rFonts w:hint="eastAsia" w:ascii="宋体" w:hAnsi="宋体" w:cs="宋体"/>
                <w:kern w:val="0"/>
                <w:szCs w:val="21"/>
              </w:rPr>
              <w:t>10）终端接口：RS-232C接口，不低于9600波特率；</w:t>
            </w:r>
          </w:p>
          <w:p>
            <w:pPr>
              <w:pStyle w:val="158"/>
              <w:widowControl/>
              <w:ind w:firstLine="0" w:firstLineChars="0"/>
              <w:rPr>
                <w:rFonts w:ascii="宋体" w:hAnsi="宋体" w:cs="宋体"/>
                <w:kern w:val="0"/>
                <w:szCs w:val="21"/>
              </w:rPr>
            </w:pPr>
            <w:r>
              <w:rPr>
                <w:rFonts w:hint="eastAsia" w:ascii="宋体" w:hAnsi="宋体" w:cs="宋体"/>
                <w:kern w:val="0"/>
                <w:szCs w:val="21"/>
              </w:rPr>
              <w:t>11）信息存储容量：不小于64M静态存储器；</w:t>
            </w:r>
          </w:p>
          <w:p>
            <w:pPr>
              <w:pStyle w:val="158"/>
              <w:widowControl/>
              <w:ind w:firstLine="0" w:firstLineChars="0"/>
              <w:rPr>
                <w:rFonts w:ascii="宋体" w:hAnsi="宋体" w:cs="宋体"/>
                <w:kern w:val="0"/>
                <w:szCs w:val="21"/>
              </w:rPr>
            </w:pPr>
            <w:r>
              <w:rPr>
                <w:rFonts w:hint="eastAsia" w:ascii="宋体" w:hAnsi="宋体" w:cs="宋体"/>
                <w:kern w:val="0"/>
                <w:szCs w:val="21"/>
              </w:rPr>
              <w:t>12）支持短信的双向收发功能；</w:t>
            </w:r>
          </w:p>
          <w:p>
            <w:pPr>
              <w:pStyle w:val="158"/>
              <w:widowControl/>
              <w:ind w:firstLine="0" w:firstLineChars="0"/>
              <w:rPr>
                <w:rFonts w:ascii="宋体" w:hAnsi="宋体" w:cs="宋体"/>
                <w:kern w:val="0"/>
                <w:szCs w:val="21"/>
              </w:rPr>
            </w:pPr>
            <w:r>
              <w:rPr>
                <w:rFonts w:hint="eastAsia" w:ascii="宋体" w:hAnsi="宋体" w:cs="宋体"/>
                <w:kern w:val="0"/>
                <w:szCs w:val="21"/>
              </w:rPr>
              <w:t>13）支持“校时”功能，输出标准时钟完成对RTU的校时；</w:t>
            </w:r>
          </w:p>
          <w:p>
            <w:pPr>
              <w:pStyle w:val="158"/>
              <w:widowControl/>
              <w:ind w:firstLine="0" w:firstLineChars="0"/>
              <w:rPr>
                <w:rFonts w:ascii="宋体" w:hAnsi="宋体" w:cs="宋体"/>
                <w:kern w:val="0"/>
                <w:szCs w:val="21"/>
              </w:rPr>
            </w:pPr>
            <w:r>
              <w:rPr>
                <w:rFonts w:hint="eastAsia" w:ascii="宋体" w:hAnsi="宋体" w:cs="宋体"/>
                <w:kern w:val="0"/>
                <w:szCs w:val="21"/>
              </w:rPr>
              <w:t>14）外部接口光电隔离；</w:t>
            </w:r>
          </w:p>
          <w:p>
            <w:pPr>
              <w:pStyle w:val="158"/>
              <w:widowControl/>
              <w:ind w:firstLine="0" w:firstLineChars="0"/>
              <w:rPr>
                <w:rFonts w:ascii="宋体" w:hAnsi="宋体" w:cs="宋体"/>
                <w:kern w:val="0"/>
                <w:szCs w:val="21"/>
              </w:rPr>
            </w:pPr>
            <w:r>
              <w:rPr>
                <w:rFonts w:hint="eastAsia" w:ascii="宋体" w:hAnsi="宋体" w:cs="宋体"/>
                <w:kern w:val="0"/>
                <w:szCs w:val="21"/>
              </w:rPr>
              <w:t>15）雨雾衰减小于0.3db；传输时延小于1s；接收机灵敏度：小于-157.6dbW；</w:t>
            </w:r>
          </w:p>
          <w:p>
            <w:pPr>
              <w:pStyle w:val="158"/>
              <w:widowControl/>
              <w:ind w:firstLine="0" w:firstLineChars="0"/>
              <w:rPr>
                <w:rFonts w:ascii="宋体" w:hAnsi="宋体" w:cs="宋体"/>
                <w:kern w:val="0"/>
                <w:szCs w:val="21"/>
              </w:rPr>
            </w:pPr>
            <w:r>
              <w:rPr>
                <w:rFonts w:hint="eastAsia" w:ascii="宋体" w:hAnsi="宋体" w:cs="宋体"/>
                <w:kern w:val="0"/>
                <w:szCs w:val="21"/>
              </w:rPr>
              <w:t>16）供电电源：12V±2V DC；</w:t>
            </w:r>
          </w:p>
          <w:p>
            <w:pPr>
              <w:pStyle w:val="158"/>
              <w:widowControl/>
              <w:ind w:firstLine="0" w:firstLineChars="0"/>
              <w:rPr>
                <w:rFonts w:ascii="宋体" w:hAnsi="宋体" w:cs="宋体"/>
                <w:kern w:val="0"/>
                <w:szCs w:val="21"/>
              </w:rPr>
            </w:pPr>
            <w:r>
              <w:rPr>
                <w:rFonts w:hint="eastAsia" w:ascii="宋体" w:hAnsi="宋体" w:cs="宋体"/>
                <w:kern w:val="0"/>
                <w:szCs w:val="21"/>
              </w:rPr>
              <w:t>17）待机功耗：≤6W（按2分钟发射一次）。支持“睡眠”模式，具备定时和基于事件唤醒功能；</w:t>
            </w:r>
          </w:p>
          <w:p>
            <w:pPr>
              <w:pStyle w:val="158"/>
              <w:widowControl/>
              <w:ind w:firstLine="0" w:firstLineChars="0"/>
              <w:rPr>
                <w:rFonts w:ascii="宋体" w:hAnsi="宋体" w:cs="宋体"/>
                <w:kern w:val="0"/>
                <w:szCs w:val="21"/>
              </w:rPr>
            </w:pPr>
            <w:r>
              <w:rPr>
                <w:rFonts w:hint="eastAsia" w:ascii="宋体" w:hAnsi="宋体" w:cs="宋体"/>
                <w:kern w:val="0"/>
                <w:szCs w:val="21"/>
              </w:rPr>
              <w:t>18）设备平均无故障工作时间：MTBF≥25000h；</w:t>
            </w:r>
          </w:p>
          <w:p>
            <w:pPr>
              <w:pStyle w:val="158"/>
              <w:widowControl/>
              <w:ind w:firstLine="0" w:firstLineChars="0"/>
              <w:rPr>
                <w:rFonts w:ascii="宋体" w:hAnsi="宋体" w:cs="宋体"/>
                <w:kern w:val="0"/>
                <w:szCs w:val="21"/>
              </w:rPr>
            </w:pPr>
            <w:r>
              <w:rPr>
                <w:rFonts w:hint="eastAsia" w:ascii="宋体" w:hAnsi="宋体" w:cs="宋体"/>
                <w:kern w:val="0"/>
                <w:szCs w:val="21"/>
              </w:rPr>
              <w:t>19）工作环境温度：-20～55℃；</w:t>
            </w:r>
          </w:p>
          <w:p>
            <w:pPr>
              <w:pStyle w:val="158"/>
              <w:widowControl/>
              <w:ind w:firstLine="0" w:firstLineChars="0"/>
              <w:rPr>
                <w:rFonts w:ascii="宋体" w:hAnsi="宋体" w:cs="宋体"/>
                <w:kern w:val="0"/>
                <w:szCs w:val="21"/>
              </w:rPr>
            </w:pPr>
            <w:r>
              <w:rPr>
                <w:rFonts w:hint="eastAsia" w:ascii="宋体" w:hAnsi="宋体" w:cs="宋体"/>
                <w:kern w:val="0"/>
                <w:szCs w:val="21"/>
              </w:rPr>
              <w:t>20）设备采取一体化设计，可根据设备安装方式确定天线电缆长度；</w:t>
            </w:r>
          </w:p>
          <w:p>
            <w:pPr>
              <w:pStyle w:val="158"/>
              <w:widowControl/>
              <w:ind w:firstLine="0" w:firstLineChars="0"/>
              <w:rPr>
                <w:rFonts w:ascii="宋体" w:hAnsi="宋体" w:cs="宋体"/>
                <w:kern w:val="0"/>
                <w:szCs w:val="21"/>
              </w:rPr>
            </w:pPr>
            <w:r>
              <w:rPr>
                <w:rFonts w:hint="eastAsia" w:ascii="宋体" w:hAnsi="宋体" w:cs="宋体"/>
                <w:kern w:val="0"/>
                <w:szCs w:val="21"/>
              </w:rPr>
              <w:t>21）设备发射功率：≥30W，EIRP值≥12dBW；且≤19dBW；</w:t>
            </w:r>
          </w:p>
          <w:p>
            <w:pPr>
              <w:pStyle w:val="158"/>
              <w:widowControl/>
              <w:ind w:firstLine="0" w:firstLineChars="0"/>
              <w:rPr>
                <w:rFonts w:ascii="宋体" w:hAnsi="宋体" w:cs="宋体"/>
                <w:kern w:val="0"/>
                <w:szCs w:val="21"/>
              </w:rPr>
            </w:pPr>
            <w:r>
              <w:rPr>
                <w:rFonts w:hint="eastAsia" w:ascii="宋体" w:hAnsi="宋体" w:cs="宋体"/>
                <w:kern w:val="0"/>
                <w:szCs w:val="21"/>
              </w:rPr>
              <w:t>22）工作波段：L\S\C波段；</w:t>
            </w:r>
          </w:p>
          <w:p>
            <w:pPr>
              <w:pStyle w:val="158"/>
              <w:widowControl/>
              <w:ind w:firstLine="0" w:firstLineChars="0"/>
              <w:rPr>
                <w:rFonts w:ascii="宋体" w:hAnsi="宋体" w:cs="宋体"/>
                <w:kern w:val="0"/>
                <w:szCs w:val="21"/>
              </w:rPr>
            </w:pPr>
            <w:r>
              <w:rPr>
                <w:rFonts w:hint="eastAsia" w:ascii="宋体" w:hAnsi="宋体" w:cs="宋体"/>
                <w:kern w:val="0"/>
                <w:szCs w:val="21"/>
              </w:rPr>
              <w:t>23）波束宽度：俯仰方向：25～90°，水平方向：0～360°；</w:t>
            </w:r>
          </w:p>
          <w:p>
            <w:pPr>
              <w:pStyle w:val="158"/>
              <w:widowControl/>
              <w:ind w:firstLine="0" w:firstLineChars="0"/>
              <w:rPr>
                <w:rFonts w:ascii="宋体" w:hAnsi="宋体" w:cs="宋体"/>
                <w:kern w:val="0"/>
                <w:szCs w:val="21"/>
              </w:rPr>
            </w:pPr>
            <w:r>
              <w:rPr>
                <w:rFonts w:hint="eastAsia" w:ascii="宋体" w:hAnsi="宋体" w:cs="宋体"/>
                <w:kern w:val="0"/>
                <w:szCs w:val="21"/>
              </w:rPr>
              <w:t>24）通信制式：CDMA码分多址及扩频技术；</w:t>
            </w:r>
          </w:p>
          <w:p>
            <w:pPr>
              <w:widowControl/>
              <w:jc w:val="left"/>
              <w:rPr>
                <w:rFonts w:ascii="宋体" w:hAnsi="宋体" w:cs="宋体"/>
                <w:kern w:val="0"/>
                <w:szCs w:val="21"/>
              </w:rPr>
            </w:pPr>
            <w:r>
              <w:rPr>
                <w:rFonts w:hint="eastAsia" w:ascii="宋体" w:hAnsi="宋体" w:cs="宋体"/>
                <w:kern w:val="0"/>
                <w:szCs w:val="21"/>
              </w:rPr>
              <w:t>工作环境湿度：5～98%RH（45℃时）；</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太阳能供电系统</w:t>
            </w:r>
          </w:p>
        </w:tc>
        <w:tc>
          <w:tcPr>
            <w:tcW w:w="1993" w:type="pct"/>
          </w:tcPr>
          <w:p>
            <w:pPr>
              <w:widowControl/>
              <w:jc w:val="left"/>
              <w:rPr>
                <w:rFonts w:ascii="宋体" w:hAnsi="宋体" w:cs="宋体"/>
                <w:kern w:val="0"/>
                <w:szCs w:val="21"/>
              </w:rPr>
            </w:pPr>
            <w:r>
              <w:rPr>
                <w:rFonts w:hint="eastAsia" w:ascii="宋体" w:hAnsi="宋体" w:cs="宋体"/>
                <w:kern w:val="0"/>
                <w:szCs w:val="21"/>
              </w:rPr>
              <w:t>含12V/100AH蓄电池、18V/60W太阳能板，充电控制器充电电流不小于10A</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机箱</w:t>
            </w:r>
          </w:p>
        </w:tc>
        <w:tc>
          <w:tcPr>
            <w:tcW w:w="1993" w:type="pct"/>
            <w:vAlign w:val="center"/>
          </w:tcPr>
          <w:p>
            <w:pPr>
              <w:widowControl/>
              <w:jc w:val="left"/>
              <w:rPr>
                <w:rFonts w:ascii="宋体" w:hAnsi="宋体" w:cs="宋体"/>
                <w:kern w:val="0"/>
                <w:szCs w:val="21"/>
              </w:rPr>
            </w:pPr>
            <w:r>
              <w:rPr>
                <w:rFonts w:hint="eastAsia" w:ascii="宋体" w:hAnsi="宋体" w:cs="宋体"/>
                <w:kern w:val="0"/>
                <w:szCs w:val="21"/>
              </w:rPr>
              <w:t>宽500mm，高800mm，厚400mm，3</w:t>
            </w:r>
            <w:r>
              <w:rPr>
                <w:rFonts w:ascii="宋体" w:hAnsi="宋体" w:cs="宋体"/>
                <w:kern w:val="0"/>
                <w:szCs w:val="21"/>
              </w:rPr>
              <w:t>04</w:t>
            </w:r>
            <w:r>
              <w:rPr>
                <w:rFonts w:hint="eastAsia" w:ascii="宋体" w:hAnsi="宋体" w:cs="宋体"/>
                <w:kern w:val="0"/>
                <w:szCs w:val="21"/>
              </w:rPr>
              <w:t>不锈钢喷塑，板厚：2mm，箱体上印刷水文标志、危险警示等标识，门上带锁，带密封装置。防护等级：IP55。</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4.7</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防雷接地系统</w:t>
            </w:r>
          </w:p>
        </w:tc>
        <w:tc>
          <w:tcPr>
            <w:tcW w:w="1993" w:type="pct"/>
          </w:tcPr>
          <w:p>
            <w:pPr>
              <w:widowControl/>
              <w:jc w:val="left"/>
              <w:rPr>
                <w:rFonts w:ascii="宋体" w:hAnsi="宋体" w:cs="宋体"/>
                <w:kern w:val="0"/>
                <w:szCs w:val="21"/>
              </w:rPr>
            </w:pPr>
            <w:r>
              <w:rPr>
                <w:rFonts w:hint="eastAsia" w:ascii="宋体" w:hAnsi="宋体" w:cs="宋体"/>
                <w:kern w:val="0"/>
                <w:szCs w:val="21"/>
              </w:rPr>
              <w:t>角钢6.3×2500mm共5根，50×5mm的扁铁20m，保证防雷接地电阻值小于10Ω。</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线缆及辅材</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1）太阳能供电电缆直径6mm，100米，含防水接头；</w:t>
            </w:r>
          </w:p>
          <w:p>
            <w:pPr>
              <w:pStyle w:val="158"/>
              <w:widowControl/>
              <w:ind w:firstLine="0" w:firstLineChars="0"/>
              <w:rPr>
                <w:rFonts w:ascii="宋体" w:hAnsi="宋体" w:cs="宋体"/>
                <w:kern w:val="0"/>
                <w:szCs w:val="21"/>
              </w:rPr>
            </w:pPr>
            <w:r>
              <w:rPr>
                <w:rFonts w:hint="eastAsia" w:ascii="宋体" w:hAnsi="宋体" w:cs="宋体"/>
                <w:kern w:val="0"/>
                <w:szCs w:val="21"/>
              </w:rPr>
              <w:t>2）水位通信14芯双屏蔽电缆，含19芯航空防水插头，20米；</w:t>
            </w:r>
          </w:p>
          <w:p>
            <w:pPr>
              <w:pStyle w:val="158"/>
              <w:widowControl/>
              <w:ind w:firstLine="0" w:firstLineChars="0"/>
              <w:rPr>
                <w:rFonts w:ascii="宋体" w:hAnsi="宋体" w:cs="宋体"/>
                <w:kern w:val="0"/>
                <w:szCs w:val="21"/>
              </w:rPr>
            </w:pPr>
            <w:r>
              <w:rPr>
                <w:rFonts w:hint="eastAsia" w:ascii="宋体" w:hAnsi="宋体" w:cs="宋体"/>
                <w:kern w:val="0"/>
                <w:szCs w:val="21"/>
              </w:rPr>
              <w:t>3）包括专业焊接、密封、防水处理以及镀锌穿线管，直径32mm，线管长度150米。</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4.9</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北斗通信费</w:t>
            </w:r>
          </w:p>
        </w:tc>
        <w:tc>
          <w:tcPr>
            <w:tcW w:w="1993" w:type="pct"/>
          </w:tcPr>
          <w:p>
            <w:pPr>
              <w:widowControl/>
              <w:rPr>
                <w:rFonts w:ascii="宋体" w:hAnsi="宋体" w:cs="宋体"/>
                <w:kern w:val="0"/>
                <w:szCs w:val="21"/>
              </w:rPr>
            </w:pPr>
            <w:r>
              <w:rPr>
                <w:rFonts w:ascii="宋体" w:hAnsi="宋体" w:cs="宋体"/>
                <w:kern w:val="0"/>
                <w:szCs w:val="21"/>
              </w:rPr>
              <w:t>3</w:t>
            </w:r>
            <w:r>
              <w:rPr>
                <w:rFonts w:hint="eastAsia" w:ascii="宋体" w:hAnsi="宋体" w:cs="宋体"/>
                <w:kern w:val="0"/>
                <w:szCs w:val="21"/>
              </w:rPr>
              <w:t>年北斗通信费</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年</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4.10</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安装调试</w:t>
            </w:r>
          </w:p>
        </w:tc>
        <w:tc>
          <w:tcPr>
            <w:tcW w:w="1993" w:type="pct"/>
          </w:tcPr>
          <w:p>
            <w:pPr>
              <w:widowControl/>
              <w:rPr>
                <w:rFonts w:ascii="宋体" w:hAnsi="宋体" w:cs="宋体"/>
                <w:kern w:val="0"/>
                <w:szCs w:val="21"/>
              </w:rPr>
            </w:pPr>
            <w:r>
              <w:rPr>
                <w:rFonts w:hint="eastAsia" w:ascii="宋体" w:hAnsi="宋体" w:cs="宋体"/>
                <w:kern w:val="0"/>
                <w:szCs w:val="21"/>
              </w:rPr>
              <w:t>现场安装调试</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5</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数字式自记水位计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数据传输仪（DTU）</w:t>
            </w:r>
          </w:p>
        </w:tc>
        <w:tc>
          <w:tcPr>
            <w:tcW w:w="1993" w:type="pct"/>
          </w:tcPr>
          <w:p>
            <w:pPr>
              <w:pStyle w:val="183"/>
              <w:spacing w:line="240" w:lineRule="auto"/>
              <w:ind w:firstLine="0" w:firstLineChars="0"/>
              <w:rPr>
                <w:rFonts w:hAnsi="宋体" w:cs="宋体"/>
                <w:sz w:val="21"/>
                <w:szCs w:val="21"/>
              </w:rPr>
            </w:pPr>
            <w:r>
              <w:rPr>
                <w:rFonts w:hint="eastAsia" w:hAnsi="宋体" w:cs="宋体"/>
                <w:sz w:val="21"/>
                <w:szCs w:val="21"/>
              </w:rPr>
              <w:t>1）网络制式4G</w:t>
            </w:r>
          </w:p>
          <w:p>
            <w:pPr>
              <w:pStyle w:val="183"/>
              <w:spacing w:line="240" w:lineRule="auto"/>
              <w:ind w:firstLine="0" w:firstLineChars="0"/>
              <w:rPr>
                <w:rFonts w:hAnsi="宋体" w:cs="宋体"/>
                <w:sz w:val="21"/>
                <w:szCs w:val="21"/>
              </w:rPr>
            </w:pPr>
            <w:r>
              <w:rPr>
                <w:rFonts w:hint="eastAsia" w:hAnsi="宋体" w:cs="宋体"/>
                <w:sz w:val="21"/>
                <w:szCs w:val="21"/>
              </w:rPr>
              <w:t>2）接口：RS485</w:t>
            </w:r>
          </w:p>
          <w:p>
            <w:pPr>
              <w:pStyle w:val="183"/>
              <w:spacing w:line="240" w:lineRule="auto"/>
              <w:ind w:firstLine="0" w:firstLineChars="0"/>
              <w:rPr>
                <w:rFonts w:hAnsi="宋体" w:cs="宋体"/>
                <w:sz w:val="21"/>
                <w:szCs w:val="21"/>
              </w:rPr>
            </w:pPr>
            <w:r>
              <w:rPr>
                <w:rFonts w:hint="eastAsia" w:hAnsi="宋体" w:cs="宋体"/>
                <w:sz w:val="21"/>
                <w:szCs w:val="21"/>
              </w:rPr>
              <w:t>3）工作电压：+5V～+36V DC</w:t>
            </w:r>
          </w:p>
          <w:p>
            <w:pPr>
              <w:pStyle w:val="183"/>
              <w:spacing w:line="240" w:lineRule="auto"/>
              <w:ind w:firstLine="0" w:firstLineChars="0"/>
              <w:rPr>
                <w:rFonts w:hAnsi="宋体" w:cs="宋体"/>
                <w:sz w:val="21"/>
                <w:szCs w:val="21"/>
              </w:rPr>
            </w:pPr>
            <w:r>
              <w:rPr>
                <w:rFonts w:hint="eastAsia" w:hAnsi="宋体" w:cs="宋体"/>
                <w:sz w:val="21"/>
                <w:szCs w:val="21"/>
              </w:rPr>
              <w:t xml:space="preserve">4）工作时平均功耗：60mA@+12V DC </w:t>
            </w:r>
          </w:p>
          <w:p>
            <w:pPr>
              <w:pStyle w:val="183"/>
              <w:spacing w:line="240" w:lineRule="auto"/>
              <w:ind w:firstLine="0" w:firstLineChars="0"/>
              <w:rPr>
                <w:rFonts w:hAnsi="宋体" w:cs="宋体"/>
                <w:sz w:val="21"/>
                <w:szCs w:val="21"/>
              </w:rPr>
            </w:pPr>
            <w:r>
              <w:rPr>
                <w:rFonts w:hint="eastAsia" w:hAnsi="宋体" w:cs="宋体"/>
                <w:sz w:val="21"/>
                <w:szCs w:val="21"/>
              </w:rPr>
              <w:t>5）待机时平均功耗：25mA@+12V DC</w:t>
            </w:r>
          </w:p>
          <w:p>
            <w:pPr>
              <w:pStyle w:val="183"/>
              <w:spacing w:line="240" w:lineRule="auto"/>
              <w:ind w:firstLine="0" w:firstLineChars="0"/>
              <w:rPr>
                <w:rFonts w:hAnsi="宋体" w:cs="宋体"/>
                <w:sz w:val="21"/>
                <w:szCs w:val="21"/>
              </w:rPr>
            </w:pPr>
            <w:r>
              <w:rPr>
                <w:rFonts w:hint="eastAsia" w:hAnsi="宋体" w:cs="宋体"/>
                <w:sz w:val="21"/>
                <w:szCs w:val="21"/>
              </w:rPr>
              <w:t>6）工作环境温度：-20℃～+70℃</w:t>
            </w:r>
          </w:p>
          <w:p>
            <w:pPr>
              <w:pStyle w:val="183"/>
              <w:spacing w:line="240" w:lineRule="auto"/>
              <w:ind w:firstLine="0" w:firstLineChars="0"/>
              <w:rPr>
                <w:rFonts w:hAnsi="宋体" w:cs="宋体"/>
                <w:sz w:val="21"/>
                <w:szCs w:val="21"/>
              </w:rPr>
            </w:pPr>
            <w:r>
              <w:rPr>
                <w:rFonts w:hint="eastAsia" w:hAnsi="宋体" w:cs="宋体"/>
                <w:sz w:val="21"/>
                <w:szCs w:val="21"/>
              </w:rPr>
              <w:t>7）存储温度：-40℃～+95℃</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蓄电池</w:t>
            </w:r>
          </w:p>
        </w:tc>
        <w:tc>
          <w:tcPr>
            <w:tcW w:w="1993" w:type="pct"/>
          </w:tcPr>
          <w:p>
            <w:pPr>
              <w:widowControl/>
              <w:jc w:val="left"/>
              <w:rPr>
                <w:rFonts w:ascii="宋体" w:hAnsi="宋体" w:cs="宋体"/>
                <w:kern w:val="0"/>
                <w:szCs w:val="21"/>
              </w:rPr>
            </w:pPr>
            <w:r>
              <w:rPr>
                <w:rFonts w:hint="eastAsia" w:ascii="宋体" w:hAnsi="宋体" w:cs="宋体"/>
                <w:kern w:val="0"/>
                <w:szCs w:val="21"/>
              </w:rPr>
              <w:t>含12V/20AH蓄电池</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数据信号转换器</w:t>
            </w:r>
          </w:p>
        </w:tc>
        <w:tc>
          <w:tcPr>
            <w:tcW w:w="1993" w:type="pct"/>
            <w:vAlign w:val="center"/>
          </w:tcPr>
          <w:p>
            <w:pPr>
              <w:widowControl/>
              <w:jc w:val="left"/>
              <w:rPr>
                <w:rFonts w:ascii="宋体" w:hAnsi="宋体" w:cs="宋体"/>
                <w:kern w:val="0"/>
                <w:szCs w:val="21"/>
              </w:rPr>
            </w:pPr>
            <w:r>
              <w:rPr>
                <w:rFonts w:hint="eastAsia" w:ascii="宋体" w:hAnsi="宋体" w:cs="宋体"/>
                <w:kern w:val="0"/>
                <w:szCs w:val="21"/>
              </w:rPr>
              <w:t>格雷码水位转RS485输出，12V供电；</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5.4</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水位自计模块</w:t>
            </w:r>
          </w:p>
        </w:tc>
        <w:tc>
          <w:tcPr>
            <w:tcW w:w="1993" w:type="pct"/>
          </w:tcPr>
          <w:p>
            <w:pPr>
              <w:widowControl/>
              <w:jc w:val="left"/>
              <w:rPr>
                <w:rFonts w:ascii="宋体" w:hAnsi="宋体" w:cs="宋体"/>
                <w:kern w:val="0"/>
                <w:szCs w:val="21"/>
              </w:rPr>
            </w:pPr>
            <w:r>
              <w:rPr>
                <w:rFonts w:hint="eastAsia" w:ascii="宋体" w:hAnsi="宋体" w:cs="宋体"/>
                <w:szCs w:val="21"/>
              </w:rPr>
              <w:t>以图表形式实时显示当前水位数据变化；实现历史水位数据查询及导出；运行日志记录查询及异常诊断。</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线缆及辅材</w:t>
            </w:r>
          </w:p>
        </w:tc>
        <w:tc>
          <w:tcPr>
            <w:tcW w:w="1993" w:type="pct"/>
            <w:vAlign w:val="center"/>
          </w:tcPr>
          <w:p>
            <w:pPr>
              <w:widowControl/>
              <w:jc w:val="left"/>
              <w:rPr>
                <w:rFonts w:ascii="宋体" w:hAnsi="宋体" w:cs="宋体"/>
                <w:kern w:val="0"/>
                <w:szCs w:val="21"/>
              </w:rPr>
            </w:pPr>
            <w:r>
              <w:rPr>
                <w:rFonts w:hint="eastAsia" w:ascii="宋体" w:hAnsi="宋体" w:cs="宋体"/>
                <w:kern w:val="0"/>
                <w:szCs w:val="21"/>
              </w:rPr>
              <w:t>RVVP4*1.5，PE管等辅材</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安装调试</w:t>
            </w:r>
          </w:p>
        </w:tc>
        <w:tc>
          <w:tcPr>
            <w:tcW w:w="1993" w:type="pct"/>
          </w:tcPr>
          <w:p>
            <w:pPr>
              <w:widowControl/>
              <w:jc w:val="left"/>
              <w:rPr>
                <w:rFonts w:ascii="宋体" w:hAnsi="宋体" w:cs="宋体"/>
                <w:kern w:val="0"/>
                <w:szCs w:val="21"/>
              </w:rPr>
            </w:pPr>
            <w:r>
              <w:rPr>
                <w:rFonts w:hint="eastAsia" w:ascii="宋体" w:hAnsi="宋体" w:cs="宋体"/>
                <w:kern w:val="0"/>
                <w:szCs w:val="21"/>
              </w:rPr>
              <w:t>现场安装调试</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6</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公里级水位站+视频监控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雷达水位计</w:t>
            </w:r>
          </w:p>
        </w:tc>
        <w:tc>
          <w:tcPr>
            <w:tcW w:w="1993" w:type="pct"/>
          </w:tcPr>
          <w:p>
            <w:pPr>
              <w:pStyle w:val="158"/>
              <w:widowControl/>
              <w:ind w:firstLine="0" w:firstLineChars="0"/>
              <w:rPr>
                <w:rFonts w:ascii="宋体" w:hAnsi="宋体" w:cs="宋体"/>
                <w:kern w:val="0"/>
                <w:szCs w:val="21"/>
              </w:rPr>
            </w:pPr>
            <w:r>
              <w:rPr>
                <w:rFonts w:hint="eastAsia" w:ascii="宋体" w:hAnsi="宋体" w:cs="宋体"/>
                <w:kern w:val="0"/>
                <w:szCs w:val="21"/>
              </w:rPr>
              <w:t>1）工作原理：调频连续波；</w:t>
            </w:r>
          </w:p>
          <w:p>
            <w:pPr>
              <w:pStyle w:val="158"/>
              <w:widowControl/>
              <w:ind w:firstLine="0" w:firstLineChars="0"/>
              <w:rPr>
                <w:rFonts w:ascii="宋体" w:hAnsi="宋体" w:cs="宋体"/>
                <w:kern w:val="0"/>
                <w:szCs w:val="21"/>
              </w:rPr>
            </w:pPr>
            <w:r>
              <w:rPr>
                <w:rFonts w:hint="eastAsia" w:ascii="宋体" w:hAnsi="宋体" w:cs="宋体"/>
                <w:kern w:val="0"/>
                <w:szCs w:val="21"/>
              </w:rPr>
              <w:t>2）量程：0-30m；</w:t>
            </w:r>
          </w:p>
          <w:p>
            <w:pPr>
              <w:pStyle w:val="158"/>
              <w:widowControl/>
              <w:ind w:firstLine="0" w:firstLineChars="0"/>
              <w:rPr>
                <w:rFonts w:ascii="宋体" w:hAnsi="宋体" w:cs="宋体"/>
                <w:kern w:val="0"/>
                <w:szCs w:val="21"/>
              </w:rPr>
            </w:pPr>
            <w:r>
              <w:rPr>
                <w:rFonts w:hint="eastAsia" w:ascii="宋体" w:hAnsi="宋体" w:cs="宋体"/>
                <w:kern w:val="0"/>
                <w:szCs w:val="21"/>
              </w:rPr>
              <w:t>3）雷达波束角：4°；</w:t>
            </w:r>
          </w:p>
          <w:p>
            <w:pPr>
              <w:pStyle w:val="158"/>
              <w:widowControl/>
              <w:ind w:firstLine="0" w:firstLineChars="0"/>
              <w:rPr>
                <w:rFonts w:ascii="宋体" w:hAnsi="宋体" w:cs="宋体"/>
                <w:kern w:val="0"/>
                <w:szCs w:val="21"/>
              </w:rPr>
            </w:pPr>
            <w:r>
              <w:rPr>
                <w:rFonts w:hint="eastAsia" w:ascii="宋体" w:hAnsi="宋体" w:cs="宋体"/>
                <w:szCs w:val="21"/>
              </w:rPr>
              <w:t>4）</w:t>
            </w:r>
            <w:r>
              <w:rPr>
                <w:rFonts w:hint="eastAsia" w:ascii="宋体" w:hAnsi="宋体" w:cs="宋体"/>
                <w:kern w:val="0"/>
                <w:szCs w:val="21"/>
              </w:rPr>
              <w:t xml:space="preserve">水位测量精度：≤±2mm； </w:t>
            </w:r>
          </w:p>
          <w:p>
            <w:pPr>
              <w:pStyle w:val="158"/>
              <w:widowControl/>
              <w:ind w:firstLine="0" w:firstLineChars="0"/>
              <w:rPr>
                <w:rFonts w:ascii="宋体" w:hAnsi="宋体" w:cs="宋体"/>
                <w:kern w:val="0"/>
                <w:szCs w:val="21"/>
              </w:rPr>
            </w:pPr>
            <w:r>
              <w:rPr>
                <w:rFonts w:hint="eastAsia" w:ascii="宋体" w:hAnsi="宋体" w:cs="宋体"/>
                <w:kern w:val="0"/>
                <w:szCs w:val="21"/>
              </w:rPr>
              <w:t>5）盲区：0.3m；</w:t>
            </w:r>
          </w:p>
          <w:p>
            <w:pPr>
              <w:pStyle w:val="158"/>
              <w:widowControl/>
              <w:ind w:firstLine="0" w:firstLineChars="0"/>
              <w:rPr>
                <w:rFonts w:ascii="宋体" w:hAnsi="宋体" w:cs="宋体"/>
                <w:kern w:val="0"/>
                <w:szCs w:val="21"/>
              </w:rPr>
            </w:pPr>
            <w:r>
              <w:rPr>
                <w:rFonts w:hint="eastAsia" w:ascii="宋体" w:hAnsi="宋体" w:cs="宋体"/>
                <w:kern w:val="0"/>
                <w:szCs w:val="21"/>
              </w:rPr>
              <w:t>6）通讯方式：RS485、NB-IoT、蓝牙</w:t>
            </w:r>
          </w:p>
          <w:p>
            <w:pPr>
              <w:pStyle w:val="158"/>
              <w:widowControl/>
              <w:ind w:firstLine="0" w:firstLineChars="0"/>
              <w:rPr>
                <w:rFonts w:ascii="宋体" w:hAnsi="宋体" w:cs="宋体"/>
                <w:kern w:val="0"/>
                <w:szCs w:val="21"/>
              </w:rPr>
            </w:pPr>
            <w:r>
              <w:rPr>
                <w:rFonts w:hint="eastAsia" w:ascii="宋体" w:hAnsi="宋体" w:cs="宋体"/>
                <w:kern w:val="0"/>
                <w:szCs w:val="21"/>
              </w:rPr>
              <w:t>7）工作温度：-25℃～+60℃；</w:t>
            </w:r>
          </w:p>
          <w:p>
            <w:pPr>
              <w:pStyle w:val="158"/>
              <w:widowControl/>
              <w:ind w:firstLine="0" w:firstLineChars="0"/>
              <w:rPr>
                <w:rFonts w:ascii="宋体" w:hAnsi="宋体" w:cs="宋体"/>
                <w:kern w:val="0"/>
                <w:szCs w:val="21"/>
              </w:rPr>
            </w:pPr>
            <w:r>
              <w:rPr>
                <w:rFonts w:hint="eastAsia" w:ascii="宋体" w:hAnsi="宋体" w:cs="宋体"/>
                <w:kern w:val="0"/>
                <w:szCs w:val="21"/>
              </w:rPr>
              <w:t>8）工作电流：≤150mA (12VDC)；</w:t>
            </w:r>
          </w:p>
          <w:p>
            <w:pPr>
              <w:pStyle w:val="158"/>
              <w:widowControl/>
              <w:ind w:firstLine="0" w:firstLineChars="0"/>
              <w:rPr>
                <w:rFonts w:ascii="宋体" w:hAnsi="宋体" w:cs="宋体"/>
                <w:kern w:val="0"/>
                <w:szCs w:val="21"/>
              </w:rPr>
            </w:pPr>
            <w:r>
              <w:rPr>
                <w:rFonts w:hint="eastAsia" w:ascii="宋体" w:hAnsi="宋体" w:cs="宋体"/>
                <w:kern w:val="0"/>
                <w:szCs w:val="21"/>
              </w:rPr>
              <w:t>9）待机电流：≤2mA (12VDC)；</w:t>
            </w:r>
          </w:p>
          <w:p>
            <w:pPr>
              <w:pStyle w:val="158"/>
              <w:widowControl/>
              <w:ind w:firstLine="0" w:firstLineChars="0"/>
              <w:rPr>
                <w:rFonts w:ascii="宋体" w:hAnsi="宋体" w:cs="宋体"/>
                <w:kern w:val="0"/>
                <w:szCs w:val="21"/>
              </w:rPr>
            </w:pPr>
            <w:r>
              <w:rPr>
                <w:rFonts w:hint="eastAsia" w:ascii="宋体" w:hAnsi="宋体" w:cs="宋体"/>
                <w:kern w:val="0"/>
                <w:szCs w:val="21"/>
              </w:rPr>
              <w:t>10）平均无故障时间：MTBF≥25000h；</w:t>
            </w:r>
          </w:p>
          <w:p>
            <w:pPr>
              <w:pStyle w:val="158"/>
              <w:widowControl/>
              <w:ind w:firstLine="0" w:firstLineChars="0"/>
              <w:rPr>
                <w:rFonts w:ascii="宋体" w:hAnsi="宋体" w:cs="宋体"/>
                <w:kern w:val="0"/>
                <w:szCs w:val="21"/>
              </w:rPr>
            </w:pPr>
            <w:r>
              <w:rPr>
                <w:rFonts w:hint="eastAsia" w:ascii="宋体" w:hAnsi="宋体" w:cs="宋体"/>
                <w:kern w:val="0"/>
                <w:szCs w:val="21"/>
              </w:rPr>
              <w:t>11）防护等级：IP68；</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遥测终端机</w:t>
            </w:r>
          </w:p>
        </w:tc>
        <w:tc>
          <w:tcPr>
            <w:tcW w:w="1993" w:type="pct"/>
          </w:tcPr>
          <w:p>
            <w:pPr>
              <w:pStyle w:val="183"/>
              <w:spacing w:line="240" w:lineRule="auto"/>
              <w:ind w:firstLine="0" w:firstLineChars="0"/>
              <w:jc w:val="left"/>
              <w:rPr>
                <w:rFonts w:hAnsi="宋体" w:cs="宋体"/>
                <w:sz w:val="21"/>
                <w:szCs w:val="21"/>
              </w:rPr>
            </w:pPr>
            <w:r>
              <w:rPr>
                <w:rFonts w:hint="eastAsia" w:hAnsi="宋体" w:cs="宋体"/>
                <w:sz w:val="21"/>
                <w:szCs w:val="21"/>
              </w:rPr>
              <w:t>1）数据自动上报。</w:t>
            </w:r>
          </w:p>
          <w:p>
            <w:pPr>
              <w:pStyle w:val="183"/>
              <w:spacing w:line="240" w:lineRule="auto"/>
              <w:ind w:firstLine="0" w:firstLineChars="0"/>
              <w:jc w:val="left"/>
              <w:rPr>
                <w:rFonts w:hAnsi="宋体" w:cs="宋体"/>
                <w:sz w:val="21"/>
                <w:szCs w:val="21"/>
              </w:rPr>
            </w:pPr>
            <w:r>
              <w:rPr>
                <w:rFonts w:hint="eastAsia" w:hAnsi="宋体" w:cs="宋体"/>
                <w:sz w:val="21"/>
                <w:szCs w:val="21"/>
              </w:rPr>
              <w:t>2）接受中心站远程设置和控制指令。</w:t>
            </w:r>
          </w:p>
          <w:p>
            <w:pPr>
              <w:pStyle w:val="183"/>
              <w:spacing w:line="240" w:lineRule="auto"/>
              <w:ind w:firstLine="0" w:firstLineChars="0"/>
              <w:jc w:val="left"/>
              <w:rPr>
                <w:rFonts w:hAnsi="宋体" w:cs="宋体"/>
                <w:sz w:val="21"/>
                <w:szCs w:val="21"/>
              </w:rPr>
            </w:pPr>
            <w:r>
              <w:rPr>
                <w:rFonts w:hint="eastAsia" w:hAnsi="宋体" w:cs="宋体"/>
                <w:sz w:val="21"/>
                <w:szCs w:val="21"/>
              </w:rPr>
              <w:t>3）全面支持4G全网通通信功能，向下兼容3G/2G通信模式。</w:t>
            </w:r>
          </w:p>
          <w:p>
            <w:pPr>
              <w:pStyle w:val="183"/>
              <w:spacing w:line="240" w:lineRule="auto"/>
              <w:ind w:firstLine="0" w:firstLineChars="0"/>
              <w:jc w:val="left"/>
              <w:rPr>
                <w:rFonts w:hAnsi="宋体" w:cs="宋体"/>
                <w:sz w:val="21"/>
                <w:szCs w:val="21"/>
              </w:rPr>
            </w:pPr>
            <w:r>
              <w:rPr>
                <w:rFonts w:hint="eastAsia" w:hAnsi="宋体" w:cs="宋体"/>
                <w:sz w:val="21"/>
                <w:szCs w:val="21"/>
              </w:rPr>
              <w:t>4）实时时钟自动校对和调整功能。</w:t>
            </w:r>
          </w:p>
          <w:p>
            <w:pPr>
              <w:pStyle w:val="183"/>
              <w:spacing w:line="240" w:lineRule="auto"/>
              <w:ind w:firstLine="0" w:firstLineChars="0"/>
              <w:jc w:val="left"/>
              <w:rPr>
                <w:rFonts w:hAnsi="宋体" w:cs="宋体"/>
                <w:sz w:val="21"/>
                <w:szCs w:val="21"/>
              </w:rPr>
            </w:pPr>
            <w:r>
              <w:rPr>
                <w:rFonts w:hint="eastAsia" w:hAnsi="宋体" w:cs="宋体"/>
                <w:sz w:val="21"/>
                <w:szCs w:val="21"/>
              </w:rPr>
              <w:t>5）可连接多种传感器，包括水位计、雨量计、风向风速仪等各种水文、气象传感器。</w:t>
            </w:r>
          </w:p>
          <w:p>
            <w:pPr>
              <w:pStyle w:val="183"/>
              <w:spacing w:line="240" w:lineRule="auto"/>
              <w:ind w:firstLine="0" w:firstLineChars="0"/>
              <w:jc w:val="left"/>
              <w:rPr>
                <w:rFonts w:hAnsi="宋体" w:cs="宋体"/>
                <w:sz w:val="21"/>
                <w:szCs w:val="21"/>
              </w:rPr>
            </w:pPr>
            <w:r>
              <w:rPr>
                <w:rFonts w:hint="eastAsia" w:hAnsi="宋体" w:cs="宋体"/>
                <w:sz w:val="21"/>
                <w:szCs w:val="21"/>
              </w:rPr>
              <w:t>6）支持多种通信方式，如GSM短信、GPRS/CDMA、北斗卫星等。</w:t>
            </w:r>
          </w:p>
          <w:p>
            <w:pPr>
              <w:pStyle w:val="183"/>
              <w:spacing w:line="240" w:lineRule="auto"/>
              <w:ind w:firstLine="0" w:firstLineChars="0"/>
              <w:jc w:val="left"/>
              <w:rPr>
                <w:rFonts w:hAnsi="宋体" w:cs="宋体"/>
                <w:sz w:val="21"/>
                <w:szCs w:val="21"/>
              </w:rPr>
            </w:pPr>
            <w:r>
              <w:rPr>
                <w:rFonts w:hint="eastAsia" w:hAnsi="宋体" w:cs="宋体"/>
                <w:sz w:val="21"/>
                <w:szCs w:val="21"/>
              </w:rPr>
              <w:t>7）太阳能供电，保证在无人值守条件下的长期稳定运行。</w:t>
            </w:r>
          </w:p>
          <w:p>
            <w:pPr>
              <w:pStyle w:val="183"/>
              <w:spacing w:line="240" w:lineRule="auto"/>
              <w:ind w:firstLine="0" w:firstLineChars="0"/>
              <w:jc w:val="left"/>
              <w:rPr>
                <w:rFonts w:hAnsi="宋体" w:cs="宋体"/>
                <w:sz w:val="21"/>
                <w:szCs w:val="21"/>
              </w:rPr>
            </w:pPr>
            <w:r>
              <w:rPr>
                <w:rFonts w:hint="eastAsia" w:hAnsi="宋体" w:cs="宋体"/>
                <w:sz w:val="21"/>
                <w:szCs w:val="21"/>
              </w:rPr>
              <w:t>8）可灵活配置的模块化结构，以适应各种不同的需求。</w:t>
            </w:r>
          </w:p>
          <w:p>
            <w:pPr>
              <w:pStyle w:val="183"/>
              <w:spacing w:line="240" w:lineRule="auto"/>
              <w:ind w:firstLine="0" w:firstLineChars="0"/>
              <w:jc w:val="left"/>
              <w:rPr>
                <w:rFonts w:hAnsi="宋体" w:cs="宋体"/>
                <w:sz w:val="21"/>
                <w:szCs w:val="21"/>
              </w:rPr>
            </w:pPr>
            <w:r>
              <w:rPr>
                <w:rFonts w:hint="eastAsia" w:hAnsi="宋体" w:cs="宋体"/>
                <w:sz w:val="21"/>
                <w:szCs w:val="21"/>
              </w:rPr>
              <w:t>9）防水等级可达IP68。</w:t>
            </w:r>
          </w:p>
          <w:p>
            <w:pPr>
              <w:pStyle w:val="183"/>
              <w:spacing w:line="240" w:lineRule="auto"/>
              <w:ind w:firstLine="0" w:firstLineChars="0"/>
              <w:jc w:val="left"/>
              <w:rPr>
                <w:rFonts w:hAnsi="宋体" w:cs="宋体"/>
                <w:sz w:val="21"/>
                <w:szCs w:val="21"/>
              </w:rPr>
            </w:pPr>
            <w:r>
              <w:rPr>
                <w:rFonts w:hint="eastAsia" w:hAnsi="宋体" w:cs="宋体"/>
                <w:sz w:val="21"/>
                <w:szCs w:val="21"/>
              </w:rPr>
              <w:t>★10）符合SL651-2014《水文数据监测通信规约》及SL180-2015《水文自动测报系统系统设备遥测终端机》；</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11）支持浙江省水文通信平台。</w:t>
            </w:r>
          </w:p>
          <w:p>
            <w:pPr>
              <w:pStyle w:val="183"/>
              <w:spacing w:line="240" w:lineRule="auto"/>
              <w:ind w:firstLine="0" w:firstLineChars="0"/>
              <w:jc w:val="left"/>
              <w:rPr>
                <w:rFonts w:hAnsi="宋体" w:cs="宋体"/>
                <w:sz w:val="21"/>
                <w:szCs w:val="21"/>
              </w:rPr>
            </w:pPr>
            <w:r>
              <w:rPr>
                <w:rFonts w:hint="eastAsia" w:hAnsi="宋体" w:cs="宋体"/>
                <w:sz w:val="21"/>
                <w:szCs w:val="21"/>
              </w:rPr>
              <w:t>12）电源输入：9-24V DC；</w:t>
            </w:r>
          </w:p>
          <w:p>
            <w:pPr>
              <w:pStyle w:val="183"/>
              <w:spacing w:line="240" w:lineRule="auto"/>
              <w:ind w:firstLine="0" w:firstLineChars="0"/>
              <w:jc w:val="left"/>
              <w:rPr>
                <w:rFonts w:hAnsi="宋体" w:cs="宋体"/>
                <w:sz w:val="21"/>
                <w:szCs w:val="21"/>
              </w:rPr>
            </w:pPr>
            <w:r>
              <w:rPr>
                <w:rFonts w:hint="eastAsia" w:hAnsi="宋体" w:cs="宋体"/>
                <w:sz w:val="21"/>
                <w:szCs w:val="21"/>
              </w:rPr>
              <w:t>13）电源输出：24V  100mA，5V  20mA，3路可控电源输出，除满足传感器电源控制外，可灵活实现下行控制功能。</w:t>
            </w:r>
          </w:p>
          <w:p>
            <w:pPr>
              <w:pStyle w:val="183"/>
              <w:spacing w:line="240" w:lineRule="auto"/>
              <w:ind w:firstLine="0" w:firstLineChars="0"/>
              <w:jc w:val="left"/>
              <w:rPr>
                <w:rFonts w:hAnsi="宋体" w:cs="宋体"/>
                <w:sz w:val="21"/>
                <w:szCs w:val="21"/>
              </w:rPr>
            </w:pPr>
            <w:r>
              <w:rPr>
                <w:rFonts w:hint="eastAsia" w:hAnsi="宋体" w:cs="宋体"/>
                <w:sz w:val="21"/>
                <w:szCs w:val="21"/>
              </w:rPr>
              <w:t>14）信号采集：2路RS485，2路RS232，可接入各种类型的外部传感器，并可扩展北斗等外部通信模块；2路模拟量采集（可扩展8~16路），可接入标准4-20mA变送器，可配置为各种传感器类型；2路脉冲/开关输入，除接入雨量桶外，还可实现报警监测，用于开箱报警等功能。</w:t>
            </w:r>
          </w:p>
          <w:p>
            <w:pPr>
              <w:pStyle w:val="183"/>
              <w:spacing w:line="240" w:lineRule="auto"/>
              <w:ind w:firstLine="0" w:firstLineChars="0"/>
              <w:jc w:val="left"/>
              <w:rPr>
                <w:rFonts w:hAnsi="宋体" w:cs="宋体"/>
                <w:sz w:val="21"/>
                <w:szCs w:val="21"/>
              </w:rPr>
            </w:pPr>
            <w:r>
              <w:rPr>
                <w:rFonts w:hint="eastAsia" w:hAnsi="宋体" w:cs="宋体"/>
                <w:sz w:val="21"/>
                <w:szCs w:val="21"/>
              </w:rPr>
              <w:t>★15）静态值守电流≤0.01mA，工作电流≤6mA；</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16）设备内置GPS模块，系统定期获取设备的位置信息，并上传平台，从而实现设备位置信息和数据的自动绑定，设备位置的交换将不会影响测站的数据统计。</w:t>
            </w:r>
          </w:p>
          <w:p>
            <w:pPr>
              <w:pStyle w:val="183"/>
              <w:spacing w:line="240" w:lineRule="auto"/>
              <w:ind w:firstLine="0" w:firstLineChars="0"/>
              <w:jc w:val="left"/>
              <w:rPr>
                <w:rFonts w:hAnsi="宋体" w:cs="宋体"/>
                <w:sz w:val="21"/>
                <w:szCs w:val="21"/>
              </w:rPr>
            </w:pPr>
            <w:r>
              <w:rPr>
                <w:rFonts w:hint="eastAsia" w:hAnsi="宋体" w:cs="宋体"/>
                <w:sz w:val="21"/>
                <w:szCs w:val="21"/>
              </w:rPr>
              <w:t>17）数据补发：遇到信号问题，基站问题，sim卡问题等情况，系统将暂存采集数据并待网络恢复后自前至后进行逐条补发。</w:t>
            </w:r>
          </w:p>
          <w:p>
            <w:pPr>
              <w:pStyle w:val="183"/>
              <w:spacing w:line="240" w:lineRule="auto"/>
              <w:ind w:firstLine="0" w:firstLineChars="0"/>
              <w:jc w:val="left"/>
              <w:rPr>
                <w:rFonts w:hAnsi="宋体" w:cs="宋体"/>
                <w:sz w:val="21"/>
                <w:szCs w:val="21"/>
              </w:rPr>
            </w:pPr>
            <w:r>
              <w:rPr>
                <w:rFonts w:hint="eastAsia" w:hAnsi="宋体" w:cs="宋体"/>
                <w:sz w:val="21"/>
                <w:szCs w:val="21"/>
              </w:rPr>
              <w:t>18）SD卡：支持MicroSD卡，可选配置；</w:t>
            </w:r>
          </w:p>
          <w:p>
            <w:pPr>
              <w:pStyle w:val="183"/>
              <w:spacing w:line="240" w:lineRule="auto"/>
              <w:ind w:firstLine="0" w:firstLineChars="0"/>
              <w:jc w:val="left"/>
              <w:rPr>
                <w:rFonts w:hAnsi="宋体" w:cs="宋体"/>
                <w:sz w:val="21"/>
                <w:szCs w:val="21"/>
              </w:rPr>
            </w:pPr>
            <w:r>
              <w:rPr>
                <w:rFonts w:hint="eastAsia" w:hAnsi="宋体" w:cs="宋体"/>
                <w:sz w:val="21"/>
                <w:szCs w:val="21"/>
              </w:rPr>
              <w:t>19）工作温度：-40℃至+70℃</w:t>
            </w:r>
          </w:p>
          <w:p>
            <w:pPr>
              <w:pStyle w:val="183"/>
              <w:spacing w:line="240" w:lineRule="auto"/>
              <w:ind w:firstLine="0" w:firstLineChars="0"/>
              <w:jc w:val="left"/>
              <w:rPr>
                <w:rFonts w:hAnsi="宋体" w:cs="宋体"/>
                <w:sz w:val="21"/>
                <w:szCs w:val="21"/>
              </w:rPr>
            </w:pPr>
            <w:r>
              <w:rPr>
                <w:rFonts w:hint="eastAsia" w:hAnsi="宋体" w:cs="宋体"/>
                <w:sz w:val="21"/>
                <w:szCs w:val="21"/>
              </w:rPr>
              <w:t>20）工作湿度：0-95%，不结露</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数据传输模块</w:t>
            </w:r>
          </w:p>
        </w:tc>
        <w:tc>
          <w:tcPr>
            <w:tcW w:w="1993" w:type="pct"/>
          </w:tcPr>
          <w:p>
            <w:pPr>
              <w:pStyle w:val="183"/>
              <w:spacing w:line="240" w:lineRule="auto"/>
              <w:ind w:firstLine="0" w:firstLineChars="0"/>
              <w:rPr>
                <w:rFonts w:hAnsi="宋体" w:cs="宋体"/>
                <w:sz w:val="21"/>
                <w:szCs w:val="21"/>
              </w:rPr>
            </w:pPr>
            <w:r>
              <w:rPr>
                <w:rFonts w:hint="eastAsia" w:hAnsi="宋体" w:cs="宋体"/>
                <w:sz w:val="21"/>
                <w:szCs w:val="21"/>
              </w:rPr>
              <w:t>1）4G全网通数据通讯模块；</w:t>
            </w:r>
          </w:p>
          <w:p>
            <w:pPr>
              <w:pStyle w:val="183"/>
              <w:spacing w:line="240" w:lineRule="auto"/>
              <w:ind w:firstLine="0" w:firstLineChars="0"/>
              <w:rPr>
                <w:rFonts w:hAnsi="宋体" w:cs="宋体"/>
                <w:sz w:val="21"/>
                <w:szCs w:val="21"/>
              </w:rPr>
            </w:pPr>
            <w:r>
              <w:rPr>
                <w:rFonts w:hint="eastAsia" w:hAnsi="宋体" w:cs="宋体"/>
                <w:sz w:val="21"/>
                <w:szCs w:val="21"/>
              </w:rPr>
              <w:t>2）工作电流：≤230 mA，值守电流：≤12 mA，供电电压范围：10～30V；具有抗电磁干扰、过载和短路保护的功能；</w:t>
            </w:r>
          </w:p>
          <w:p>
            <w:pPr>
              <w:pStyle w:val="183"/>
              <w:spacing w:line="240" w:lineRule="auto"/>
              <w:ind w:firstLine="0" w:firstLineChars="0"/>
              <w:rPr>
                <w:rFonts w:hAnsi="宋体" w:cs="宋体"/>
                <w:sz w:val="21"/>
                <w:szCs w:val="21"/>
              </w:rPr>
            </w:pPr>
            <w:r>
              <w:rPr>
                <w:rFonts w:hint="eastAsia" w:hAnsi="宋体" w:cs="宋体"/>
                <w:sz w:val="21"/>
                <w:szCs w:val="21"/>
              </w:rPr>
              <w:t>3）工作温度：-20℃～65℃；存储温度：-20℃～85℃；</w:t>
            </w:r>
          </w:p>
          <w:p>
            <w:pPr>
              <w:pStyle w:val="183"/>
              <w:spacing w:line="240" w:lineRule="auto"/>
              <w:ind w:firstLine="0" w:firstLineChars="0"/>
              <w:rPr>
                <w:rFonts w:hAnsi="宋体" w:cs="宋体"/>
                <w:sz w:val="21"/>
                <w:szCs w:val="21"/>
              </w:rPr>
            </w:pPr>
            <w:r>
              <w:rPr>
                <w:rFonts w:hint="eastAsia" w:hAnsi="宋体" w:cs="宋体"/>
                <w:sz w:val="21"/>
                <w:szCs w:val="21"/>
              </w:rPr>
              <w:t>4）接口形式：RS-485/RS-232C，实时数据透明无线传输；</w:t>
            </w:r>
          </w:p>
          <w:p>
            <w:pPr>
              <w:pStyle w:val="183"/>
              <w:spacing w:line="240" w:lineRule="auto"/>
              <w:ind w:firstLine="0" w:firstLineChars="0"/>
              <w:rPr>
                <w:rFonts w:hAnsi="宋体" w:cs="宋体"/>
                <w:sz w:val="21"/>
                <w:szCs w:val="21"/>
              </w:rPr>
            </w:pPr>
            <w:r>
              <w:rPr>
                <w:rFonts w:hint="eastAsia" w:hAnsi="宋体" w:cs="宋体"/>
                <w:sz w:val="21"/>
                <w:szCs w:val="21"/>
              </w:rPr>
              <w:t>5）协议：内嵌 PPP、TCP/IP、UDP/IP协议，包括 TCP、UDP等；</w:t>
            </w:r>
          </w:p>
          <w:p>
            <w:pPr>
              <w:pStyle w:val="183"/>
              <w:spacing w:line="240" w:lineRule="auto"/>
              <w:ind w:firstLine="0" w:firstLineChars="0"/>
              <w:rPr>
                <w:rFonts w:hAnsi="宋体" w:cs="宋体"/>
                <w:sz w:val="21"/>
                <w:szCs w:val="21"/>
              </w:rPr>
            </w:pPr>
            <w:r>
              <w:rPr>
                <w:rFonts w:hint="eastAsia" w:hAnsi="宋体" w:cs="宋体"/>
                <w:sz w:val="21"/>
                <w:szCs w:val="21"/>
              </w:rPr>
              <w:t>6）传输方式：支持域名解析，支持 AT指令集，SMS。</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6.4</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基本直立式水尺</w:t>
            </w:r>
          </w:p>
        </w:tc>
        <w:tc>
          <w:tcPr>
            <w:tcW w:w="1993" w:type="pct"/>
            <w:vAlign w:val="center"/>
          </w:tcPr>
          <w:p>
            <w:pPr>
              <w:widowControl/>
              <w:rPr>
                <w:rFonts w:ascii="宋体" w:hAnsi="宋体" w:cs="宋体"/>
                <w:kern w:val="0"/>
                <w:szCs w:val="21"/>
              </w:rPr>
            </w:pPr>
            <w:r>
              <w:rPr>
                <w:rFonts w:hint="eastAsia" w:ascii="宋体" w:hAnsi="宋体" w:cs="宋体"/>
                <w:kern w:val="0"/>
                <w:szCs w:val="21"/>
              </w:rPr>
              <w:t>直径159mm，圆柱形亮面不锈钢，带红或蓝水尺刻度，顶部印有水尺序号标志，C25砼基础（含地笼），尺寸：450mm*450mm*600mm；</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低功耗视频监控摄像机</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1）支持全功耗模式、低功耗模式、休眠模式；全功耗模式下，全景和细节通道都在工作；低功耗模式下，全景通道工作，细节通道休眠，功耗低至3.5 W；</w:t>
            </w:r>
          </w:p>
          <w:p>
            <w:pPr>
              <w:pStyle w:val="158"/>
              <w:widowControl/>
              <w:ind w:firstLine="0" w:firstLineChars="0"/>
              <w:rPr>
                <w:rFonts w:ascii="宋体" w:hAnsi="宋体" w:cs="宋体"/>
                <w:kern w:val="0"/>
                <w:szCs w:val="21"/>
              </w:rPr>
            </w:pPr>
            <w:r>
              <w:rPr>
                <w:rFonts w:hint="eastAsia" w:ascii="宋体" w:hAnsi="宋体" w:cs="宋体"/>
                <w:kern w:val="0"/>
                <w:szCs w:val="21"/>
              </w:rPr>
              <w:t>2）支持休眠模式，可设置低电休眠和定时休眠两种模式；休眠模式功耗低至0.5 W；</w:t>
            </w:r>
          </w:p>
          <w:p>
            <w:pPr>
              <w:pStyle w:val="158"/>
              <w:widowControl/>
              <w:ind w:firstLine="0" w:firstLineChars="0"/>
              <w:rPr>
                <w:rFonts w:ascii="宋体" w:hAnsi="宋体" w:cs="宋体"/>
                <w:kern w:val="0"/>
                <w:szCs w:val="21"/>
              </w:rPr>
            </w:pPr>
            <w:r>
              <w:rPr>
                <w:rFonts w:hint="eastAsia" w:ascii="宋体" w:hAnsi="宋体" w:cs="宋体"/>
                <w:kern w:val="0"/>
                <w:szCs w:val="21"/>
              </w:rPr>
              <w:t>3）支持远程唤醒功能，休眠状态可通过平台下发指令唤醒；</w:t>
            </w:r>
          </w:p>
          <w:p>
            <w:pPr>
              <w:pStyle w:val="158"/>
              <w:widowControl/>
              <w:ind w:firstLine="0" w:firstLineChars="0"/>
              <w:rPr>
                <w:rFonts w:ascii="宋体" w:hAnsi="宋体" w:cs="宋体"/>
                <w:kern w:val="0"/>
                <w:szCs w:val="21"/>
              </w:rPr>
            </w:pPr>
            <w:r>
              <w:rPr>
                <w:rFonts w:hint="eastAsia" w:ascii="宋体" w:hAnsi="宋体" w:cs="宋体"/>
                <w:kern w:val="0"/>
                <w:szCs w:val="21"/>
              </w:rPr>
              <w:t>4）支持定时抓图和录像功能，每个通道独立配置；</w:t>
            </w:r>
          </w:p>
          <w:p>
            <w:pPr>
              <w:pStyle w:val="158"/>
              <w:widowControl/>
              <w:ind w:firstLine="0" w:firstLineChars="0"/>
              <w:rPr>
                <w:rFonts w:ascii="宋体" w:hAnsi="宋体" w:cs="宋体"/>
                <w:kern w:val="0"/>
                <w:szCs w:val="21"/>
              </w:rPr>
            </w:pPr>
            <w:r>
              <w:rPr>
                <w:rFonts w:hint="eastAsia" w:ascii="宋体" w:hAnsi="宋体" w:cs="宋体"/>
                <w:kern w:val="0"/>
                <w:szCs w:val="21"/>
              </w:rPr>
              <w:t>5）支持除雾配置功能，可通过调用手动除雾预置点来实现手动控制，内置加热玻璃，有效除雾；</w:t>
            </w:r>
          </w:p>
          <w:p>
            <w:pPr>
              <w:pStyle w:val="158"/>
              <w:widowControl/>
              <w:ind w:firstLine="0" w:firstLineChars="0"/>
              <w:rPr>
                <w:rFonts w:ascii="宋体" w:hAnsi="宋体" w:cs="宋体"/>
                <w:kern w:val="0"/>
                <w:szCs w:val="21"/>
              </w:rPr>
            </w:pPr>
            <w:r>
              <w:rPr>
                <w:rFonts w:hint="eastAsia" w:ascii="宋体" w:hAnsi="宋体" w:cs="宋体"/>
                <w:kern w:val="0"/>
                <w:szCs w:val="21"/>
              </w:rPr>
              <w:t>6）支持4G（移动、联通、电信）网络传输，兼容3G（移动、联通、电信）；</w:t>
            </w:r>
          </w:p>
          <w:p>
            <w:pPr>
              <w:pStyle w:val="158"/>
              <w:widowControl/>
              <w:ind w:firstLine="0" w:firstLineChars="0"/>
              <w:rPr>
                <w:rFonts w:ascii="宋体" w:hAnsi="宋体" w:cs="宋体"/>
                <w:kern w:val="0"/>
                <w:szCs w:val="21"/>
              </w:rPr>
            </w:pPr>
            <w:r>
              <w:rPr>
                <w:rFonts w:hint="eastAsia" w:ascii="宋体" w:hAnsi="宋体" w:cs="宋体"/>
                <w:kern w:val="0"/>
                <w:szCs w:val="21"/>
              </w:rPr>
              <w:t>7）内置GPS定位模块，支持OSD显示安装位置经纬度信息；</w:t>
            </w:r>
          </w:p>
          <w:p>
            <w:pPr>
              <w:pStyle w:val="158"/>
              <w:widowControl/>
              <w:ind w:firstLine="0" w:firstLineChars="0"/>
              <w:rPr>
                <w:rFonts w:ascii="宋体" w:hAnsi="宋体" w:cs="宋体"/>
                <w:kern w:val="0"/>
                <w:szCs w:val="21"/>
              </w:rPr>
            </w:pPr>
            <w:r>
              <w:rPr>
                <w:rFonts w:hint="eastAsia" w:ascii="宋体" w:hAnsi="宋体" w:cs="宋体"/>
                <w:kern w:val="0"/>
                <w:szCs w:val="21"/>
              </w:rPr>
              <w:t>8）支持深度学习算法，提供精准的人车分类侦测、报警、联动跟踪；</w:t>
            </w:r>
          </w:p>
          <w:p>
            <w:pPr>
              <w:pStyle w:val="158"/>
              <w:widowControl/>
              <w:ind w:firstLine="0" w:firstLineChars="0"/>
              <w:rPr>
                <w:rFonts w:ascii="宋体" w:hAnsi="宋体" w:cs="宋体"/>
                <w:kern w:val="0"/>
                <w:szCs w:val="21"/>
              </w:rPr>
            </w:pPr>
            <w:r>
              <w:rPr>
                <w:rFonts w:hint="eastAsia" w:ascii="宋体" w:hAnsi="宋体" w:cs="宋体"/>
                <w:kern w:val="0"/>
                <w:szCs w:val="21"/>
              </w:rPr>
              <w:t>9）支持同时检测5张人脸，支持对运动人脸进行检测、跟踪、抓拍、评分、筛选，输出最优的人脸抓图；</w:t>
            </w:r>
          </w:p>
          <w:p>
            <w:pPr>
              <w:pStyle w:val="158"/>
              <w:widowControl/>
              <w:ind w:firstLine="0" w:firstLineChars="0"/>
              <w:rPr>
                <w:rFonts w:ascii="宋体" w:hAnsi="宋体" w:cs="宋体"/>
                <w:kern w:val="0"/>
                <w:szCs w:val="21"/>
              </w:rPr>
            </w:pPr>
            <w:r>
              <w:rPr>
                <w:rFonts w:hint="eastAsia" w:ascii="宋体" w:hAnsi="宋体" w:cs="宋体"/>
                <w:kern w:val="0"/>
                <w:szCs w:val="21"/>
              </w:rPr>
              <w:t>10）支持23倍光学变倍，16倍数字变倍；</w:t>
            </w:r>
          </w:p>
          <w:p>
            <w:pPr>
              <w:pStyle w:val="158"/>
              <w:widowControl/>
              <w:ind w:firstLine="0" w:firstLineChars="0"/>
              <w:rPr>
                <w:rFonts w:ascii="宋体" w:hAnsi="宋体" w:cs="宋体"/>
                <w:kern w:val="0"/>
                <w:szCs w:val="21"/>
              </w:rPr>
            </w:pPr>
            <w:r>
              <w:rPr>
                <w:rFonts w:hint="eastAsia" w:ascii="宋体" w:hAnsi="宋体" w:cs="宋体"/>
                <w:kern w:val="0"/>
                <w:szCs w:val="21"/>
              </w:rPr>
              <w:t>11）支持三码流技术，每路码流可独立配置分辨率及帧率；</w:t>
            </w:r>
          </w:p>
          <w:p>
            <w:pPr>
              <w:pStyle w:val="158"/>
              <w:widowControl/>
              <w:ind w:firstLine="0" w:firstLineChars="0"/>
              <w:rPr>
                <w:rFonts w:ascii="宋体" w:hAnsi="宋体" w:cs="宋体"/>
                <w:kern w:val="0"/>
                <w:szCs w:val="21"/>
              </w:rPr>
            </w:pPr>
            <w:r>
              <w:rPr>
                <w:rFonts w:hint="eastAsia" w:ascii="宋体" w:hAnsi="宋体" w:cs="宋体"/>
                <w:kern w:val="0"/>
                <w:szCs w:val="21"/>
              </w:rPr>
              <w:t>12）支持双路区域入侵侦测、越界侦测、进入区域侦测和离开区域侦等智能侦测并联动跟踪；</w:t>
            </w:r>
          </w:p>
          <w:p>
            <w:pPr>
              <w:pStyle w:val="158"/>
              <w:widowControl/>
              <w:ind w:firstLine="0" w:firstLineChars="0"/>
              <w:rPr>
                <w:rFonts w:ascii="宋体" w:hAnsi="宋体" w:cs="宋体"/>
                <w:kern w:val="0"/>
                <w:szCs w:val="21"/>
              </w:rPr>
            </w:pPr>
            <w:r>
              <w:rPr>
                <w:rFonts w:hint="eastAsia" w:ascii="宋体" w:hAnsi="宋体" w:cs="宋体"/>
                <w:kern w:val="0"/>
                <w:szCs w:val="21"/>
              </w:rPr>
              <w:t>13）传感器类型: 【全景】1/1.8＂progressive scan CMOS，【细节】1/2.8"" progressive scan CMOS；</w:t>
            </w:r>
          </w:p>
          <w:p>
            <w:pPr>
              <w:pStyle w:val="158"/>
              <w:widowControl/>
              <w:ind w:firstLine="0" w:firstLineChars="0"/>
              <w:rPr>
                <w:rFonts w:ascii="宋体" w:hAnsi="宋体" w:cs="宋体"/>
                <w:kern w:val="0"/>
                <w:szCs w:val="21"/>
              </w:rPr>
            </w:pPr>
            <w:r>
              <w:rPr>
                <w:rFonts w:hint="eastAsia" w:ascii="宋体" w:hAnsi="宋体" w:cs="宋体"/>
                <w:kern w:val="0"/>
                <w:szCs w:val="21"/>
              </w:rPr>
              <w:t xml:space="preserve">14）最低照度: </w:t>
            </w:r>
          </w:p>
          <w:p>
            <w:pPr>
              <w:pStyle w:val="158"/>
              <w:widowControl/>
              <w:ind w:firstLine="0" w:firstLineChars="0"/>
              <w:rPr>
                <w:rFonts w:ascii="宋体" w:hAnsi="宋体" w:cs="宋体"/>
                <w:kern w:val="0"/>
                <w:szCs w:val="21"/>
              </w:rPr>
            </w:pPr>
            <w:r>
              <w:rPr>
                <w:rFonts w:hint="eastAsia" w:ascii="宋体" w:hAnsi="宋体" w:cs="宋体"/>
                <w:kern w:val="0"/>
                <w:szCs w:val="21"/>
              </w:rPr>
              <w:t>15）【全景】彩色：0.0005 Lux @（F1.0，AGC ON），0 Lux with Light；</w:t>
            </w:r>
          </w:p>
          <w:p>
            <w:pPr>
              <w:pStyle w:val="158"/>
              <w:widowControl/>
              <w:ind w:firstLine="0" w:firstLineChars="0"/>
              <w:rPr>
                <w:rFonts w:ascii="宋体" w:hAnsi="宋体" w:cs="宋体"/>
                <w:kern w:val="0"/>
                <w:szCs w:val="21"/>
              </w:rPr>
            </w:pPr>
            <w:r>
              <w:rPr>
                <w:rFonts w:hint="eastAsia" w:ascii="宋体" w:hAnsi="宋体" w:cs="宋体"/>
                <w:kern w:val="0"/>
                <w:szCs w:val="21"/>
              </w:rPr>
              <w:t>16）【细节】彩色：0.005 Lux @（F1.5，AGC ON），黑白：0.001 Lux @（F1.5，AGC ON），0 Lux with IR；</w:t>
            </w:r>
          </w:p>
          <w:p>
            <w:pPr>
              <w:pStyle w:val="158"/>
              <w:widowControl/>
              <w:ind w:firstLine="0" w:firstLineChars="0"/>
              <w:rPr>
                <w:rFonts w:ascii="宋体" w:hAnsi="宋体" w:cs="宋体"/>
                <w:kern w:val="0"/>
                <w:szCs w:val="21"/>
              </w:rPr>
            </w:pPr>
            <w:r>
              <w:rPr>
                <w:rFonts w:hint="eastAsia" w:ascii="宋体" w:hAnsi="宋体" w:cs="宋体"/>
                <w:kern w:val="0"/>
                <w:szCs w:val="21"/>
              </w:rPr>
              <w:t>17）宽动态: 120 dB超宽动态；</w:t>
            </w:r>
          </w:p>
          <w:p>
            <w:pPr>
              <w:pStyle w:val="158"/>
              <w:widowControl/>
              <w:ind w:firstLine="0" w:firstLineChars="0"/>
              <w:rPr>
                <w:rFonts w:ascii="宋体" w:hAnsi="宋体" w:cs="宋体"/>
                <w:kern w:val="0"/>
                <w:szCs w:val="21"/>
              </w:rPr>
            </w:pPr>
            <w:r>
              <w:rPr>
                <w:rFonts w:hint="eastAsia" w:ascii="宋体" w:hAnsi="宋体" w:cs="宋体"/>
                <w:kern w:val="0"/>
                <w:szCs w:val="21"/>
              </w:rPr>
              <w:t>18）焦距: 【全景】4 mm；【细节】5.9 mm~135.7 mm，23倍光学变倍；</w:t>
            </w:r>
          </w:p>
          <w:p>
            <w:pPr>
              <w:pStyle w:val="158"/>
              <w:widowControl/>
              <w:ind w:firstLine="0" w:firstLineChars="0"/>
              <w:rPr>
                <w:rFonts w:ascii="宋体" w:hAnsi="宋体" w:cs="宋体"/>
                <w:kern w:val="0"/>
                <w:szCs w:val="21"/>
              </w:rPr>
            </w:pPr>
            <w:r>
              <w:rPr>
                <w:rFonts w:hint="eastAsia" w:ascii="宋体" w:hAnsi="宋体" w:cs="宋体"/>
                <w:kern w:val="0"/>
                <w:szCs w:val="21"/>
              </w:rPr>
              <w:t>19）视场角: 【全景】水平视场角：88.7°，垂直视场角：44.7°;【细节】水平视场角：60.2°~3.4°（广角~望远） ；</w:t>
            </w:r>
          </w:p>
          <w:p>
            <w:pPr>
              <w:pStyle w:val="158"/>
              <w:widowControl/>
              <w:ind w:firstLine="0" w:firstLineChars="0"/>
              <w:rPr>
                <w:rFonts w:ascii="宋体" w:hAnsi="宋体" w:cs="宋体"/>
                <w:kern w:val="0"/>
                <w:szCs w:val="21"/>
              </w:rPr>
            </w:pPr>
            <w:r>
              <w:rPr>
                <w:rFonts w:hint="eastAsia" w:ascii="宋体" w:hAnsi="宋体" w:cs="宋体"/>
                <w:kern w:val="0"/>
                <w:szCs w:val="21"/>
              </w:rPr>
              <w:t>20）白光照射距离: 【细节】30 m；【全景】30 m；</w:t>
            </w:r>
          </w:p>
          <w:p>
            <w:pPr>
              <w:pStyle w:val="158"/>
              <w:widowControl/>
              <w:ind w:firstLine="0" w:firstLineChars="0"/>
              <w:rPr>
                <w:rFonts w:ascii="宋体" w:hAnsi="宋体" w:cs="宋体"/>
                <w:kern w:val="0"/>
                <w:szCs w:val="21"/>
              </w:rPr>
            </w:pPr>
            <w:r>
              <w:rPr>
                <w:rFonts w:hint="eastAsia" w:ascii="宋体" w:hAnsi="宋体" w:cs="宋体"/>
                <w:kern w:val="0"/>
                <w:szCs w:val="21"/>
              </w:rPr>
              <w:t>21）红外照射距离: 【细节】150 m；</w:t>
            </w:r>
          </w:p>
          <w:p>
            <w:pPr>
              <w:pStyle w:val="158"/>
              <w:widowControl/>
              <w:ind w:firstLine="0" w:firstLineChars="0"/>
              <w:rPr>
                <w:rFonts w:ascii="宋体" w:hAnsi="宋体" w:cs="宋体"/>
                <w:kern w:val="0"/>
                <w:szCs w:val="21"/>
              </w:rPr>
            </w:pPr>
            <w:r>
              <w:rPr>
                <w:rFonts w:hint="eastAsia" w:ascii="宋体" w:hAnsi="宋体" w:cs="宋体"/>
                <w:kern w:val="0"/>
                <w:szCs w:val="21"/>
              </w:rPr>
              <w:t>22）水平范围: 360°；</w:t>
            </w:r>
          </w:p>
          <w:p>
            <w:pPr>
              <w:pStyle w:val="158"/>
              <w:widowControl/>
              <w:ind w:firstLine="0" w:firstLineChars="0"/>
              <w:rPr>
                <w:rFonts w:ascii="宋体" w:hAnsi="宋体" w:cs="宋体"/>
                <w:kern w:val="0"/>
                <w:szCs w:val="21"/>
              </w:rPr>
            </w:pPr>
            <w:r>
              <w:rPr>
                <w:rFonts w:hint="eastAsia" w:ascii="宋体" w:hAnsi="宋体" w:cs="宋体"/>
                <w:kern w:val="0"/>
                <w:szCs w:val="21"/>
              </w:rPr>
              <w:t>23）垂直范围: -15°~90°（自动翻转）；</w:t>
            </w:r>
          </w:p>
          <w:p>
            <w:pPr>
              <w:pStyle w:val="158"/>
              <w:widowControl/>
              <w:ind w:firstLine="0" w:firstLineChars="0"/>
              <w:rPr>
                <w:rFonts w:ascii="宋体" w:hAnsi="宋体" w:cs="宋体"/>
                <w:kern w:val="0"/>
                <w:szCs w:val="21"/>
              </w:rPr>
            </w:pPr>
            <w:r>
              <w:rPr>
                <w:rFonts w:hint="eastAsia" w:ascii="宋体" w:hAnsi="宋体" w:cs="宋体"/>
                <w:kern w:val="0"/>
                <w:szCs w:val="21"/>
              </w:rPr>
              <w:t>24）水平速度: 水平键控速度：0.1°~80°/s，速度可设；水平预置点速度：80°/s；</w:t>
            </w:r>
          </w:p>
          <w:p>
            <w:pPr>
              <w:pStyle w:val="158"/>
              <w:widowControl/>
              <w:ind w:firstLine="0" w:firstLineChars="0"/>
              <w:rPr>
                <w:rFonts w:ascii="宋体" w:hAnsi="宋体" w:cs="宋体"/>
                <w:kern w:val="0"/>
                <w:szCs w:val="21"/>
              </w:rPr>
            </w:pPr>
            <w:r>
              <w:rPr>
                <w:rFonts w:hint="eastAsia" w:ascii="宋体" w:hAnsi="宋体" w:cs="宋体"/>
                <w:kern w:val="0"/>
                <w:szCs w:val="21"/>
              </w:rPr>
              <w:t>25）垂直速度: 垂直键控速度：0.1°~80°/s，速度可设；垂直预置点速度：80°/s；</w:t>
            </w:r>
          </w:p>
          <w:p>
            <w:pPr>
              <w:pStyle w:val="158"/>
              <w:widowControl/>
              <w:ind w:firstLine="0" w:firstLineChars="0"/>
              <w:rPr>
                <w:rFonts w:ascii="宋体" w:hAnsi="宋体" w:cs="宋体"/>
                <w:kern w:val="0"/>
                <w:szCs w:val="21"/>
              </w:rPr>
            </w:pPr>
            <w:r>
              <w:rPr>
                <w:rFonts w:hint="eastAsia" w:ascii="宋体" w:hAnsi="宋体" w:cs="宋体"/>
                <w:kern w:val="0"/>
                <w:szCs w:val="21"/>
              </w:rPr>
              <w:t>26）主码流帧率分辨率:</w:t>
            </w:r>
          </w:p>
          <w:p>
            <w:pPr>
              <w:pStyle w:val="158"/>
              <w:widowControl/>
              <w:ind w:firstLine="0" w:firstLineChars="0"/>
              <w:rPr>
                <w:rFonts w:ascii="宋体" w:hAnsi="宋体" w:cs="宋体"/>
                <w:kern w:val="0"/>
                <w:szCs w:val="21"/>
              </w:rPr>
            </w:pPr>
            <w:r>
              <w:rPr>
                <w:rFonts w:hint="eastAsia" w:ascii="宋体" w:hAnsi="宋体" w:cs="宋体"/>
                <w:kern w:val="0"/>
                <w:szCs w:val="21"/>
              </w:rPr>
              <w:t>27）【全景】50 Hz：25 fps（2560 × 1440）;60 Hz：30 fps（2560 × 1440）；</w:t>
            </w:r>
          </w:p>
          <w:p>
            <w:pPr>
              <w:pStyle w:val="158"/>
              <w:widowControl/>
              <w:ind w:firstLine="0" w:firstLineChars="0"/>
              <w:rPr>
                <w:rFonts w:ascii="宋体" w:hAnsi="宋体" w:cs="宋体"/>
                <w:kern w:val="0"/>
                <w:szCs w:val="21"/>
              </w:rPr>
            </w:pPr>
            <w:r>
              <w:rPr>
                <w:rFonts w:hint="eastAsia" w:ascii="宋体" w:hAnsi="宋体" w:cs="宋体"/>
                <w:kern w:val="0"/>
                <w:szCs w:val="21"/>
              </w:rPr>
              <w:t>28）【细节】50 Hz：25 fps（2560 × 1440）;60 Hz：30 fps（2560 × 1440）；</w:t>
            </w:r>
          </w:p>
          <w:p>
            <w:pPr>
              <w:pStyle w:val="158"/>
              <w:widowControl/>
              <w:ind w:firstLine="0" w:firstLineChars="0"/>
              <w:rPr>
                <w:rFonts w:ascii="宋体" w:hAnsi="宋体" w:cs="宋体"/>
                <w:kern w:val="0"/>
                <w:szCs w:val="21"/>
              </w:rPr>
            </w:pPr>
            <w:r>
              <w:rPr>
                <w:rFonts w:hint="eastAsia" w:ascii="宋体" w:hAnsi="宋体" w:cs="宋体"/>
                <w:kern w:val="0"/>
                <w:szCs w:val="21"/>
              </w:rPr>
              <w:t>29）视频压缩标准: H.265,H.264,MJPEG；</w:t>
            </w:r>
          </w:p>
          <w:p>
            <w:pPr>
              <w:pStyle w:val="158"/>
              <w:widowControl/>
              <w:ind w:firstLine="0" w:firstLineChars="0"/>
              <w:rPr>
                <w:rFonts w:ascii="宋体" w:hAnsi="宋体" w:cs="宋体"/>
                <w:kern w:val="0"/>
                <w:szCs w:val="21"/>
              </w:rPr>
            </w:pPr>
            <w:r>
              <w:rPr>
                <w:rFonts w:hint="eastAsia" w:ascii="宋体" w:hAnsi="宋体" w:cs="宋体"/>
                <w:kern w:val="0"/>
                <w:szCs w:val="21"/>
              </w:rPr>
              <w:t>30）网络存储: NAS（NFS，SMB/CIFS），ANR；</w:t>
            </w:r>
          </w:p>
          <w:p>
            <w:pPr>
              <w:pStyle w:val="158"/>
              <w:widowControl/>
              <w:ind w:firstLine="0" w:firstLineChars="0"/>
              <w:rPr>
                <w:rFonts w:ascii="宋体" w:hAnsi="宋体" w:cs="宋体"/>
                <w:kern w:val="0"/>
                <w:szCs w:val="21"/>
              </w:rPr>
            </w:pPr>
            <w:r>
              <w:rPr>
                <w:rFonts w:hint="eastAsia" w:ascii="宋体" w:hAnsi="宋体" w:cs="宋体"/>
                <w:kern w:val="0"/>
                <w:szCs w:val="21"/>
              </w:rPr>
              <w:t xml:space="preserve">31）移动通信参数: </w:t>
            </w:r>
          </w:p>
          <w:p>
            <w:pPr>
              <w:pStyle w:val="158"/>
              <w:widowControl/>
              <w:ind w:firstLine="0" w:firstLineChars="0"/>
              <w:rPr>
                <w:rFonts w:ascii="宋体" w:hAnsi="宋体" w:cs="宋体"/>
                <w:kern w:val="0"/>
                <w:szCs w:val="21"/>
              </w:rPr>
            </w:pPr>
            <w:r>
              <w:rPr>
                <w:rFonts w:hint="eastAsia" w:ascii="宋体" w:hAnsi="宋体" w:cs="宋体"/>
                <w:kern w:val="0"/>
                <w:szCs w:val="21"/>
              </w:rPr>
              <w:t>32）无线频段:</w:t>
            </w:r>
          </w:p>
          <w:p>
            <w:pPr>
              <w:pStyle w:val="158"/>
              <w:widowControl/>
              <w:ind w:firstLine="0" w:firstLineChars="0"/>
              <w:rPr>
                <w:rFonts w:ascii="宋体" w:hAnsi="宋体" w:cs="宋体"/>
                <w:kern w:val="0"/>
                <w:szCs w:val="21"/>
              </w:rPr>
            </w:pPr>
            <w:r>
              <w:rPr>
                <w:rFonts w:hint="eastAsia" w:ascii="宋体" w:hAnsi="宋体" w:cs="宋体"/>
                <w:kern w:val="0"/>
                <w:szCs w:val="21"/>
              </w:rPr>
              <w:t>33）LTE-TDD 四频 Band 38/39/40/41 ；</w:t>
            </w:r>
          </w:p>
          <w:p>
            <w:pPr>
              <w:pStyle w:val="158"/>
              <w:widowControl/>
              <w:ind w:firstLine="0" w:firstLineChars="0"/>
              <w:rPr>
                <w:rFonts w:ascii="宋体" w:hAnsi="宋体" w:cs="宋体"/>
                <w:kern w:val="0"/>
                <w:szCs w:val="21"/>
              </w:rPr>
            </w:pPr>
            <w:r>
              <w:rPr>
                <w:rFonts w:hint="eastAsia" w:ascii="宋体" w:hAnsi="宋体" w:cs="宋体"/>
                <w:kern w:val="0"/>
                <w:szCs w:val="21"/>
              </w:rPr>
              <w:t>34）LTE-FDD 四频 Band 1/3/5/8；</w:t>
            </w:r>
          </w:p>
          <w:p>
            <w:pPr>
              <w:pStyle w:val="158"/>
              <w:widowControl/>
              <w:ind w:firstLine="0" w:firstLineChars="0"/>
              <w:rPr>
                <w:rFonts w:ascii="宋体" w:hAnsi="宋体" w:cs="宋体"/>
                <w:kern w:val="0"/>
                <w:szCs w:val="21"/>
              </w:rPr>
            </w:pPr>
            <w:r>
              <w:rPr>
                <w:rFonts w:hint="eastAsia" w:ascii="宋体" w:hAnsi="宋体" w:cs="宋体"/>
                <w:kern w:val="0"/>
                <w:szCs w:val="21"/>
              </w:rPr>
              <w:t>35）TD-SCDMA 双频 Band 34/39；</w:t>
            </w:r>
          </w:p>
          <w:p>
            <w:pPr>
              <w:pStyle w:val="158"/>
              <w:widowControl/>
              <w:ind w:firstLine="0" w:firstLineChars="0"/>
              <w:rPr>
                <w:rFonts w:ascii="宋体" w:hAnsi="宋体" w:cs="宋体"/>
                <w:kern w:val="0"/>
                <w:szCs w:val="21"/>
              </w:rPr>
            </w:pPr>
            <w:r>
              <w:rPr>
                <w:rFonts w:hint="eastAsia" w:ascii="宋体" w:hAnsi="宋体" w:cs="宋体"/>
                <w:kern w:val="0"/>
                <w:szCs w:val="21"/>
              </w:rPr>
              <w:t>36）UMTS 双频 Band 1/8；</w:t>
            </w:r>
          </w:p>
          <w:p>
            <w:pPr>
              <w:pStyle w:val="158"/>
              <w:widowControl/>
              <w:ind w:firstLine="0" w:firstLineChars="0"/>
              <w:rPr>
                <w:rFonts w:ascii="宋体" w:hAnsi="宋体" w:cs="宋体"/>
                <w:kern w:val="0"/>
                <w:szCs w:val="21"/>
              </w:rPr>
            </w:pPr>
            <w:r>
              <w:rPr>
                <w:rFonts w:hint="eastAsia" w:ascii="宋体" w:hAnsi="宋体" w:cs="宋体"/>
                <w:kern w:val="0"/>
                <w:szCs w:val="21"/>
              </w:rPr>
              <w:t>37）EVDO 单频 BC0；</w:t>
            </w:r>
          </w:p>
          <w:p>
            <w:pPr>
              <w:pStyle w:val="158"/>
              <w:widowControl/>
              <w:ind w:firstLine="0" w:firstLineChars="0"/>
              <w:rPr>
                <w:rFonts w:ascii="宋体" w:hAnsi="宋体" w:cs="宋体"/>
                <w:kern w:val="0"/>
                <w:szCs w:val="21"/>
              </w:rPr>
            </w:pPr>
            <w:r>
              <w:rPr>
                <w:rFonts w:hint="eastAsia" w:ascii="宋体" w:hAnsi="宋体" w:cs="宋体"/>
                <w:kern w:val="0"/>
                <w:szCs w:val="21"/>
              </w:rPr>
              <w:t>38）CDMA1x 单频 BC0；</w:t>
            </w:r>
          </w:p>
          <w:p>
            <w:pPr>
              <w:pStyle w:val="158"/>
              <w:widowControl/>
              <w:ind w:firstLine="0" w:firstLineChars="0"/>
              <w:rPr>
                <w:rFonts w:ascii="宋体" w:hAnsi="宋体" w:cs="宋体"/>
                <w:kern w:val="0"/>
                <w:szCs w:val="21"/>
              </w:rPr>
            </w:pPr>
            <w:r>
              <w:rPr>
                <w:rFonts w:hint="eastAsia" w:ascii="宋体" w:hAnsi="宋体" w:cs="宋体"/>
                <w:kern w:val="0"/>
                <w:szCs w:val="21"/>
              </w:rPr>
              <w:t>39）GSM 三频 Band 3/5/8  ；</w:t>
            </w:r>
          </w:p>
          <w:p>
            <w:pPr>
              <w:pStyle w:val="158"/>
              <w:widowControl/>
              <w:ind w:firstLine="0" w:firstLineChars="0"/>
              <w:rPr>
                <w:rFonts w:ascii="宋体" w:hAnsi="宋体" w:cs="宋体"/>
                <w:kern w:val="0"/>
                <w:szCs w:val="21"/>
              </w:rPr>
            </w:pPr>
            <w:r>
              <w:rPr>
                <w:rFonts w:hint="eastAsia" w:ascii="宋体" w:hAnsi="宋体" w:cs="宋体"/>
                <w:kern w:val="0"/>
                <w:szCs w:val="21"/>
              </w:rPr>
              <w:t xml:space="preserve">40）无线制式: LTE-TDD/LTE-FDD/TD-SCDMA/WCDMA ； </w:t>
            </w:r>
          </w:p>
          <w:p>
            <w:pPr>
              <w:pStyle w:val="158"/>
              <w:widowControl/>
              <w:ind w:firstLine="0" w:firstLineChars="0"/>
              <w:rPr>
                <w:rFonts w:ascii="宋体" w:hAnsi="宋体" w:cs="宋体"/>
                <w:kern w:val="0"/>
                <w:szCs w:val="21"/>
              </w:rPr>
            </w:pPr>
            <w:r>
              <w:rPr>
                <w:rFonts w:hint="eastAsia" w:ascii="宋体" w:hAnsi="宋体" w:cs="宋体"/>
                <w:kern w:val="0"/>
                <w:szCs w:val="21"/>
              </w:rPr>
              <w:t xml:space="preserve">41）辅助检测: </w:t>
            </w:r>
          </w:p>
          <w:p>
            <w:pPr>
              <w:pStyle w:val="158"/>
              <w:widowControl/>
              <w:ind w:firstLine="0" w:firstLineChars="0"/>
              <w:rPr>
                <w:rFonts w:ascii="宋体" w:hAnsi="宋体" w:cs="宋体"/>
                <w:kern w:val="0"/>
                <w:szCs w:val="21"/>
              </w:rPr>
            </w:pPr>
            <w:r>
              <w:rPr>
                <w:rFonts w:hint="eastAsia" w:ascii="宋体" w:hAnsi="宋体" w:cs="宋体"/>
                <w:kern w:val="0"/>
                <w:szCs w:val="21"/>
              </w:rPr>
              <w:t>42）卫星定位:</w:t>
            </w:r>
          </w:p>
          <w:p>
            <w:pPr>
              <w:pStyle w:val="158"/>
              <w:widowControl/>
              <w:ind w:firstLine="0" w:firstLineChars="0"/>
              <w:rPr>
                <w:rFonts w:ascii="宋体" w:hAnsi="宋体" w:cs="宋体"/>
                <w:kern w:val="0"/>
                <w:szCs w:val="21"/>
              </w:rPr>
            </w:pPr>
            <w:r>
              <w:rPr>
                <w:rFonts w:hint="eastAsia" w:ascii="宋体" w:hAnsi="宋体" w:cs="宋体"/>
                <w:kern w:val="0"/>
                <w:szCs w:val="21"/>
              </w:rPr>
              <w:t>43）GPS L1：1574.4~1576.4MHz；</w:t>
            </w:r>
          </w:p>
          <w:p>
            <w:pPr>
              <w:pStyle w:val="158"/>
              <w:widowControl/>
              <w:ind w:firstLine="0" w:firstLineChars="0"/>
              <w:rPr>
                <w:rFonts w:ascii="宋体" w:hAnsi="宋体" w:cs="宋体"/>
                <w:kern w:val="0"/>
                <w:szCs w:val="21"/>
              </w:rPr>
            </w:pPr>
            <w:r>
              <w:rPr>
                <w:rFonts w:hint="eastAsia" w:ascii="宋体" w:hAnsi="宋体" w:cs="宋体"/>
                <w:kern w:val="0"/>
                <w:szCs w:val="21"/>
              </w:rPr>
              <w:t>44）BDS B1：1559.1~1563.1MHz；</w:t>
            </w:r>
          </w:p>
          <w:p>
            <w:pPr>
              <w:pStyle w:val="158"/>
              <w:widowControl/>
              <w:ind w:firstLine="0" w:firstLineChars="0"/>
              <w:rPr>
                <w:rFonts w:ascii="宋体" w:hAnsi="宋体" w:cs="宋体"/>
                <w:kern w:val="0"/>
                <w:szCs w:val="21"/>
              </w:rPr>
            </w:pPr>
            <w:r>
              <w:rPr>
                <w:rFonts w:hint="eastAsia" w:ascii="宋体" w:hAnsi="宋体" w:cs="宋体"/>
                <w:kern w:val="0"/>
                <w:szCs w:val="21"/>
              </w:rPr>
              <w:t>45）GLONASS：1597.5~1605.9MHz ；</w:t>
            </w:r>
          </w:p>
          <w:p>
            <w:pPr>
              <w:pStyle w:val="158"/>
              <w:widowControl/>
              <w:ind w:firstLine="0" w:firstLineChars="0"/>
              <w:rPr>
                <w:rFonts w:ascii="宋体" w:hAnsi="宋体" w:cs="宋体"/>
                <w:kern w:val="0"/>
                <w:szCs w:val="21"/>
              </w:rPr>
            </w:pPr>
            <w:r>
              <w:rPr>
                <w:rFonts w:hint="eastAsia" w:ascii="宋体" w:hAnsi="宋体" w:cs="宋体"/>
                <w:kern w:val="0"/>
                <w:szCs w:val="21"/>
              </w:rPr>
              <w:t>46）网络接口: RJ45网口，自适应10 M/100 M网络数据；</w:t>
            </w:r>
          </w:p>
          <w:p>
            <w:pPr>
              <w:pStyle w:val="158"/>
              <w:widowControl/>
              <w:ind w:firstLine="0" w:firstLineChars="0"/>
              <w:jc w:val="left"/>
              <w:rPr>
                <w:rFonts w:ascii="宋体" w:hAnsi="宋体" w:cs="宋体"/>
                <w:kern w:val="0"/>
                <w:szCs w:val="21"/>
              </w:rPr>
            </w:pPr>
            <w:r>
              <w:rPr>
                <w:rFonts w:hint="eastAsia" w:ascii="宋体" w:hAnsi="宋体" w:cs="宋体"/>
                <w:kern w:val="0"/>
                <w:szCs w:val="21"/>
              </w:rPr>
              <w:t>47）SD卡扩展: 内置MicroSD卡插槽，支持MicroSD(即TF卡)/MicroSDHC/MicroSDXC卡（最大支持256 GB）；</w:t>
            </w:r>
          </w:p>
          <w:p>
            <w:pPr>
              <w:pStyle w:val="158"/>
              <w:widowControl/>
              <w:ind w:firstLine="0" w:firstLineChars="0"/>
              <w:rPr>
                <w:rFonts w:ascii="宋体" w:hAnsi="宋体" w:cs="宋体"/>
                <w:kern w:val="0"/>
                <w:szCs w:val="21"/>
              </w:rPr>
            </w:pPr>
            <w:r>
              <w:rPr>
                <w:rFonts w:hint="eastAsia" w:ascii="宋体" w:hAnsi="宋体" w:cs="宋体"/>
                <w:kern w:val="0"/>
                <w:szCs w:val="21"/>
              </w:rPr>
              <w:t>48）报警输入: 2路报警输入；</w:t>
            </w:r>
          </w:p>
          <w:p>
            <w:pPr>
              <w:pStyle w:val="158"/>
              <w:widowControl/>
              <w:ind w:firstLine="0" w:firstLineChars="0"/>
              <w:rPr>
                <w:rFonts w:ascii="宋体" w:hAnsi="宋体" w:cs="宋体"/>
                <w:kern w:val="0"/>
                <w:szCs w:val="21"/>
              </w:rPr>
            </w:pPr>
            <w:r>
              <w:rPr>
                <w:rFonts w:hint="eastAsia" w:ascii="宋体" w:hAnsi="宋体" w:cs="宋体"/>
                <w:kern w:val="0"/>
                <w:szCs w:val="21"/>
              </w:rPr>
              <w:t>49）报警输出: 1路报警输出；</w:t>
            </w:r>
          </w:p>
          <w:p>
            <w:pPr>
              <w:pStyle w:val="158"/>
              <w:widowControl/>
              <w:ind w:firstLine="0" w:firstLineChars="0"/>
              <w:rPr>
                <w:rFonts w:ascii="宋体" w:hAnsi="宋体" w:cs="宋体"/>
                <w:kern w:val="0"/>
                <w:szCs w:val="21"/>
              </w:rPr>
            </w:pPr>
            <w:r>
              <w:rPr>
                <w:rFonts w:hint="eastAsia" w:ascii="宋体" w:hAnsi="宋体" w:cs="宋体"/>
                <w:kern w:val="0"/>
                <w:szCs w:val="21"/>
              </w:rPr>
              <w:t>50）音频输入: 1路音频输入；</w:t>
            </w:r>
          </w:p>
          <w:p>
            <w:pPr>
              <w:pStyle w:val="158"/>
              <w:widowControl/>
              <w:ind w:firstLine="0" w:firstLineChars="0"/>
              <w:rPr>
                <w:rFonts w:ascii="宋体" w:hAnsi="宋体" w:cs="宋体"/>
                <w:kern w:val="0"/>
                <w:szCs w:val="21"/>
              </w:rPr>
            </w:pPr>
            <w:r>
              <w:rPr>
                <w:rFonts w:hint="eastAsia" w:ascii="宋体" w:hAnsi="宋体" w:cs="宋体"/>
                <w:kern w:val="0"/>
                <w:szCs w:val="21"/>
              </w:rPr>
              <w:t>51）音频输出: 1路音频输出；</w:t>
            </w:r>
          </w:p>
          <w:p>
            <w:pPr>
              <w:pStyle w:val="158"/>
              <w:widowControl/>
              <w:ind w:firstLine="0" w:firstLineChars="0"/>
              <w:rPr>
                <w:rFonts w:ascii="宋体" w:hAnsi="宋体" w:cs="宋体"/>
                <w:kern w:val="0"/>
                <w:szCs w:val="21"/>
              </w:rPr>
            </w:pPr>
            <w:r>
              <w:rPr>
                <w:rFonts w:hint="eastAsia" w:ascii="宋体" w:hAnsi="宋体" w:cs="宋体"/>
                <w:kern w:val="0"/>
                <w:szCs w:val="21"/>
              </w:rPr>
              <w:t>52）供电方式: DC：12 V；</w:t>
            </w:r>
          </w:p>
          <w:p>
            <w:pPr>
              <w:pStyle w:val="158"/>
              <w:widowControl/>
              <w:ind w:firstLine="0" w:firstLineChars="0"/>
              <w:rPr>
                <w:rFonts w:ascii="宋体" w:hAnsi="宋体" w:cs="宋体"/>
                <w:kern w:val="0"/>
                <w:szCs w:val="21"/>
              </w:rPr>
            </w:pPr>
            <w:r>
              <w:rPr>
                <w:rFonts w:hint="eastAsia" w:ascii="宋体" w:hAnsi="宋体" w:cs="宋体"/>
                <w:kern w:val="0"/>
                <w:szCs w:val="21"/>
              </w:rPr>
              <w:t>53）设备功耗: 最大功耗：60 W；</w:t>
            </w:r>
          </w:p>
          <w:p>
            <w:pPr>
              <w:pStyle w:val="158"/>
              <w:widowControl/>
              <w:ind w:firstLine="0" w:firstLineChars="0"/>
              <w:rPr>
                <w:rFonts w:ascii="宋体" w:hAnsi="宋体" w:cs="宋体"/>
                <w:kern w:val="0"/>
                <w:szCs w:val="21"/>
              </w:rPr>
            </w:pPr>
            <w:r>
              <w:rPr>
                <w:rFonts w:hint="eastAsia" w:ascii="宋体" w:hAnsi="宋体" w:cs="宋体"/>
                <w:kern w:val="0"/>
                <w:szCs w:val="21"/>
              </w:rPr>
              <w:t>54）工作温湿度: -30 ℃~65 ℃；湿度小于90% 。</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太阳能供电系统</w:t>
            </w:r>
          </w:p>
        </w:tc>
        <w:tc>
          <w:tcPr>
            <w:tcW w:w="1993" w:type="pct"/>
          </w:tcPr>
          <w:p>
            <w:pPr>
              <w:widowControl/>
              <w:rPr>
                <w:rFonts w:ascii="宋体" w:hAnsi="宋体" w:cs="宋体"/>
                <w:kern w:val="0"/>
                <w:szCs w:val="21"/>
              </w:rPr>
            </w:pPr>
            <w:r>
              <w:rPr>
                <w:rFonts w:hint="eastAsia" w:ascii="宋体" w:hAnsi="宋体" w:cs="宋体"/>
                <w:kern w:val="0"/>
                <w:szCs w:val="21"/>
              </w:rPr>
              <w:t>含2*12V/100AH蓄电池、2*18V/60W太阳能板，充电控制器充电电流不小于10A</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6.7</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配套设施</w:t>
            </w:r>
          </w:p>
        </w:tc>
        <w:tc>
          <w:tcPr>
            <w:tcW w:w="1993" w:type="pct"/>
            <w:vAlign w:val="center"/>
          </w:tcPr>
          <w:p>
            <w:pPr>
              <w:widowControl/>
              <w:rPr>
                <w:rFonts w:ascii="宋体" w:hAnsi="宋体" w:cs="宋体"/>
                <w:kern w:val="0"/>
                <w:szCs w:val="21"/>
              </w:rPr>
            </w:pPr>
            <w:r>
              <w:rPr>
                <w:rFonts w:hint="eastAsia" w:ascii="宋体" w:hAnsi="宋体" w:cs="宋体"/>
                <w:kern w:val="0"/>
                <w:szCs w:val="21"/>
              </w:rPr>
              <w:t>材料：采用低碳高强度Q235钢材，热镀锌喷塑；</w:t>
            </w:r>
          </w:p>
          <w:p>
            <w:pPr>
              <w:widowControl/>
              <w:rPr>
                <w:rFonts w:ascii="宋体" w:hAnsi="宋体" w:cs="宋体"/>
                <w:kern w:val="0"/>
                <w:szCs w:val="21"/>
              </w:rPr>
            </w:pPr>
            <w:r>
              <w:rPr>
                <w:rFonts w:hint="eastAsia" w:ascii="宋体" w:hAnsi="宋体" w:cs="宋体"/>
                <w:kern w:val="0"/>
                <w:szCs w:val="21"/>
              </w:rPr>
              <w:t>立杆：主杆直径200mm，壁厚5mm，高度6m；</w:t>
            </w:r>
          </w:p>
          <w:p>
            <w:pPr>
              <w:widowControl/>
              <w:rPr>
                <w:rFonts w:ascii="宋体" w:hAnsi="宋体" w:cs="宋体"/>
                <w:kern w:val="0"/>
                <w:szCs w:val="21"/>
              </w:rPr>
            </w:pPr>
            <w:r>
              <w:rPr>
                <w:rFonts w:hint="eastAsia" w:ascii="宋体" w:hAnsi="宋体" w:cs="宋体"/>
                <w:kern w:val="0"/>
                <w:szCs w:val="21"/>
              </w:rPr>
              <w:t>雷达水位计安装悬臂（含腹筋）：直径75mm，长度5米，带斜拉索和紧固件；</w:t>
            </w:r>
          </w:p>
          <w:p>
            <w:pPr>
              <w:widowControl/>
              <w:rPr>
                <w:rFonts w:ascii="宋体" w:hAnsi="宋体" w:cs="宋体"/>
                <w:kern w:val="0"/>
                <w:szCs w:val="21"/>
              </w:rPr>
            </w:pPr>
            <w:r>
              <w:rPr>
                <w:rFonts w:hint="eastAsia" w:ascii="宋体" w:hAnsi="宋体" w:cs="宋体"/>
                <w:kern w:val="0"/>
                <w:szCs w:val="21"/>
              </w:rPr>
              <w:t>球机支架：直径50mm，配套球机专用接头；</w:t>
            </w:r>
          </w:p>
          <w:p>
            <w:pPr>
              <w:widowControl/>
              <w:rPr>
                <w:rFonts w:ascii="宋体" w:hAnsi="宋体" w:cs="宋体"/>
                <w:kern w:val="0"/>
                <w:szCs w:val="21"/>
              </w:rPr>
            </w:pPr>
            <w:r>
              <w:rPr>
                <w:rFonts w:hint="eastAsia" w:ascii="宋体" w:hAnsi="宋体" w:cs="宋体"/>
                <w:kern w:val="0"/>
                <w:szCs w:val="21"/>
              </w:rPr>
              <w:t>C25砼基础（含地笼），尺寸：800mm*800mm*1000mm；</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6.8</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机箱</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1）尺寸：800（H）*600（W）*450 （D）mm；</w:t>
            </w:r>
          </w:p>
          <w:p>
            <w:pPr>
              <w:pStyle w:val="158"/>
              <w:widowControl/>
              <w:ind w:firstLine="0" w:firstLineChars="0"/>
              <w:rPr>
                <w:rFonts w:ascii="宋体" w:hAnsi="宋体" w:cs="宋体"/>
                <w:kern w:val="0"/>
                <w:szCs w:val="21"/>
              </w:rPr>
            </w:pPr>
            <w:r>
              <w:rPr>
                <w:rFonts w:hint="eastAsia" w:ascii="宋体" w:hAnsi="宋体" w:cs="宋体"/>
                <w:kern w:val="0"/>
                <w:szCs w:val="21"/>
              </w:rPr>
              <w:t>2）板厚：2mm；</w:t>
            </w:r>
          </w:p>
          <w:p>
            <w:pPr>
              <w:pStyle w:val="158"/>
              <w:widowControl/>
              <w:ind w:firstLine="0" w:firstLineChars="0"/>
              <w:rPr>
                <w:rFonts w:ascii="宋体" w:hAnsi="宋体" w:cs="宋体"/>
                <w:kern w:val="0"/>
                <w:szCs w:val="21"/>
              </w:rPr>
            </w:pPr>
            <w:r>
              <w:rPr>
                <w:rFonts w:hint="eastAsia" w:ascii="宋体" w:hAnsi="宋体" w:cs="宋体"/>
                <w:kern w:val="0"/>
                <w:szCs w:val="21"/>
              </w:rPr>
              <w:t>3）镀锌钢板，喷塑；</w:t>
            </w:r>
          </w:p>
          <w:p>
            <w:pPr>
              <w:pStyle w:val="158"/>
              <w:widowControl/>
              <w:ind w:firstLine="0" w:firstLineChars="0"/>
              <w:rPr>
                <w:rFonts w:ascii="宋体" w:hAnsi="宋体" w:cs="宋体"/>
                <w:kern w:val="0"/>
                <w:szCs w:val="21"/>
              </w:rPr>
            </w:pPr>
            <w:r>
              <w:rPr>
                <w:rFonts w:hint="eastAsia" w:ascii="宋体" w:hAnsi="宋体" w:cs="宋体"/>
                <w:kern w:val="0"/>
                <w:szCs w:val="21"/>
              </w:rPr>
              <w:t>4）根据用户要求在箱体上印刷水文专用、危险警示等标识；</w:t>
            </w:r>
          </w:p>
          <w:p>
            <w:pPr>
              <w:pStyle w:val="158"/>
              <w:widowControl/>
              <w:ind w:firstLine="0" w:firstLineChars="0"/>
              <w:rPr>
                <w:rFonts w:ascii="宋体" w:hAnsi="宋体" w:cs="宋体"/>
                <w:kern w:val="0"/>
                <w:szCs w:val="21"/>
              </w:rPr>
            </w:pPr>
            <w:r>
              <w:rPr>
                <w:rFonts w:hint="eastAsia" w:ascii="宋体" w:hAnsi="宋体" w:cs="宋体"/>
                <w:kern w:val="0"/>
                <w:szCs w:val="21"/>
              </w:rPr>
              <w:t>5）配防盗锁。</w:t>
            </w:r>
          </w:p>
          <w:p>
            <w:pPr>
              <w:pStyle w:val="158"/>
              <w:widowControl/>
              <w:ind w:firstLine="0" w:firstLineChars="0"/>
              <w:rPr>
                <w:rFonts w:ascii="宋体" w:hAnsi="宋体" w:cs="宋体"/>
                <w:kern w:val="0"/>
                <w:szCs w:val="21"/>
              </w:rPr>
            </w:pPr>
            <w:r>
              <w:rPr>
                <w:rFonts w:hint="eastAsia" w:ascii="宋体" w:hAnsi="宋体" w:cs="宋体"/>
                <w:kern w:val="0"/>
                <w:szCs w:val="21"/>
              </w:rPr>
              <w:t>6）防护等级：IP55</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6.9</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防雷接地系统</w:t>
            </w:r>
          </w:p>
        </w:tc>
        <w:tc>
          <w:tcPr>
            <w:tcW w:w="1993" w:type="pct"/>
          </w:tcPr>
          <w:p>
            <w:pPr>
              <w:widowControl/>
              <w:rPr>
                <w:rFonts w:ascii="宋体" w:hAnsi="宋体" w:cs="宋体"/>
                <w:kern w:val="0"/>
                <w:szCs w:val="21"/>
              </w:rPr>
            </w:pPr>
            <w:r>
              <w:rPr>
                <w:rFonts w:hint="eastAsia" w:ascii="宋体" w:hAnsi="宋体" w:cs="宋体"/>
                <w:kern w:val="0"/>
                <w:szCs w:val="21"/>
              </w:rPr>
              <w:t>角钢6.3×2500mm共5根，50×5mm的扁铁20m，保证防雷接地电阻值小于10Ω。</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线缆及辅材</w:t>
            </w:r>
          </w:p>
        </w:tc>
        <w:tc>
          <w:tcPr>
            <w:tcW w:w="1993" w:type="pct"/>
            <w:vAlign w:val="center"/>
          </w:tcPr>
          <w:p>
            <w:pPr>
              <w:widowControl/>
              <w:rPr>
                <w:rFonts w:ascii="宋体" w:hAnsi="宋体" w:cs="宋体"/>
                <w:kern w:val="0"/>
                <w:szCs w:val="21"/>
              </w:rPr>
            </w:pPr>
            <w:r>
              <w:rPr>
                <w:rFonts w:hint="eastAsia" w:ascii="宋体" w:hAnsi="宋体" w:cs="宋体"/>
                <w:kern w:val="0"/>
                <w:szCs w:val="21"/>
              </w:rPr>
              <w:t>RVVP4×0.5的485通信电缆100米，含防水接头；</w:t>
            </w:r>
          </w:p>
          <w:p>
            <w:pPr>
              <w:widowControl/>
              <w:rPr>
                <w:rFonts w:ascii="宋体" w:hAnsi="宋体" w:cs="宋体"/>
                <w:kern w:val="0"/>
                <w:szCs w:val="21"/>
              </w:rPr>
            </w:pPr>
            <w:r>
              <w:rPr>
                <w:rFonts w:hint="eastAsia" w:ascii="宋体" w:hAnsi="宋体" w:cs="宋体"/>
                <w:kern w:val="0"/>
                <w:szCs w:val="21"/>
              </w:rPr>
              <w:t>太阳能供电电缆直径6mm，100米，含防水接头；</w:t>
            </w:r>
          </w:p>
          <w:p>
            <w:pPr>
              <w:widowControl/>
              <w:rPr>
                <w:rFonts w:ascii="宋体" w:hAnsi="宋体" w:cs="宋体"/>
                <w:kern w:val="0"/>
                <w:szCs w:val="21"/>
              </w:rPr>
            </w:pPr>
            <w:r>
              <w:rPr>
                <w:rFonts w:hint="eastAsia" w:ascii="宋体" w:hAnsi="宋体" w:cs="宋体"/>
                <w:kern w:val="0"/>
                <w:szCs w:val="21"/>
              </w:rPr>
              <w:t>视频专用网线100米；</w:t>
            </w:r>
          </w:p>
          <w:p>
            <w:pPr>
              <w:widowControl/>
              <w:rPr>
                <w:rFonts w:ascii="宋体" w:hAnsi="宋体" w:cs="宋体"/>
                <w:kern w:val="0"/>
                <w:szCs w:val="21"/>
              </w:rPr>
            </w:pPr>
            <w:r>
              <w:rPr>
                <w:rFonts w:hint="eastAsia" w:ascii="宋体" w:hAnsi="宋体" w:cs="宋体"/>
                <w:kern w:val="0"/>
                <w:szCs w:val="21"/>
              </w:rPr>
              <w:t>包括专业焊接、密封、防水处理以及镀锌穿线管，直径32mm，线管长度200米。</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6.11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基本水尺、水准点及引测</w:t>
            </w:r>
          </w:p>
        </w:tc>
        <w:tc>
          <w:tcPr>
            <w:tcW w:w="1993" w:type="pct"/>
            <w:vAlign w:val="center"/>
          </w:tcPr>
          <w:p>
            <w:pPr>
              <w:widowControl/>
              <w:rPr>
                <w:rFonts w:ascii="宋体" w:hAnsi="宋体" w:cs="宋体"/>
                <w:kern w:val="0"/>
                <w:szCs w:val="21"/>
              </w:rPr>
            </w:pPr>
            <w:r>
              <w:rPr>
                <w:rFonts w:hint="eastAsia" w:ascii="宋体" w:hAnsi="宋体" w:cs="宋体"/>
                <w:kern w:val="0"/>
                <w:szCs w:val="21"/>
              </w:rPr>
              <w:t>基本水尺：</w:t>
            </w:r>
          </w:p>
          <w:p>
            <w:pPr>
              <w:widowControl/>
              <w:rPr>
                <w:rFonts w:ascii="宋体" w:hAnsi="宋体" w:cs="宋体"/>
                <w:kern w:val="0"/>
                <w:szCs w:val="21"/>
              </w:rPr>
            </w:pPr>
            <w:r>
              <w:rPr>
                <w:rFonts w:hint="eastAsia" w:ascii="宋体" w:hAnsi="宋体" w:cs="宋体"/>
                <w:kern w:val="0"/>
                <w:szCs w:val="21"/>
              </w:rPr>
              <w:t>水准点：按国家三等水准要求制作。</w:t>
            </w:r>
          </w:p>
          <w:p>
            <w:pPr>
              <w:widowControl/>
              <w:rPr>
                <w:rFonts w:ascii="宋体" w:hAnsi="宋体" w:cs="宋体"/>
                <w:kern w:val="0"/>
                <w:szCs w:val="21"/>
              </w:rPr>
            </w:pPr>
            <w:r>
              <w:rPr>
                <w:rFonts w:hint="eastAsia" w:ascii="宋体" w:hAnsi="宋体" w:cs="宋体"/>
                <w:kern w:val="0"/>
                <w:szCs w:val="21"/>
              </w:rPr>
              <w:t>引测：从常山（3）水文站基准点引测，按国家二等水准引测要求施测，距离1公里。</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6.12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安装调试</w:t>
            </w:r>
          </w:p>
        </w:tc>
        <w:tc>
          <w:tcPr>
            <w:tcW w:w="1993" w:type="pct"/>
            <w:vAlign w:val="center"/>
          </w:tcPr>
          <w:p>
            <w:pPr>
              <w:widowControl/>
              <w:rPr>
                <w:rFonts w:ascii="宋体" w:hAnsi="宋体" w:cs="宋体"/>
                <w:kern w:val="0"/>
                <w:szCs w:val="21"/>
              </w:rPr>
            </w:pPr>
            <w:r>
              <w:rPr>
                <w:rFonts w:hint="eastAsia" w:ascii="宋体" w:hAnsi="宋体" w:cs="宋体"/>
                <w:kern w:val="0"/>
                <w:szCs w:val="21"/>
              </w:rPr>
              <w:t>现场安装调试</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7</w:t>
            </w:r>
          </w:p>
        </w:tc>
        <w:tc>
          <w:tcPr>
            <w:tcW w:w="4317" w:type="pct"/>
            <w:gridSpan w:val="4"/>
            <w:shd w:val="clear" w:color="auto" w:fill="auto"/>
            <w:vAlign w:val="center"/>
          </w:tcPr>
          <w:p>
            <w:pPr>
              <w:widowControl/>
              <w:rPr>
                <w:rFonts w:ascii="宋体" w:hAnsi="宋体" w:cs="宋体"/>
                <w:b/>
                <w:bCs/>
                <w:kern w:val="0"/>
                <w:szCs w:val="21"/>
              </w:rPr>
            </w:pPr>
            <w:r>
              <w:rPr>
                <w:rFonts w:hint="eastAsia" w:ascii="宋体" w:hAnsi="宋体" w:cs="宋体"/>
                <w:b/>
                <w:bCs/>
                <w:kern w:val="0"/>
                <w:szCs w:val="21"/>
              </w:rPr>
              <w:t>雷达式水位遥测系统（非接触式测量水位，高洪水时可保障水位监测，含北斗）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雷达水位计</w:t>
            </w:r>
          </w:p>
        </w:tc>
        <w:tc>
          <w:tcPr>
            <w:tcW w:w="1993" w:type="pct"/>
          </w:tcPr>
          <w:p>
            <w:pPr>
              <w:pStyle w:val="158"/>
              <w:widowControl/>
              <w:ind w:firstLine="0" w:firstLineChars="0"/>
              <w:rPr>
                <w:rFonts w:ascii="宋体" w:hAnsi="宋体" w:cs="宋体"/>
                <w:kern w:val="0"/>
                <w:szCs w:val="21"/>
              </w:rPr>
            </w:pPr>
            <w:r>
              <w:rPr>
                <w:rFonts w:hint="eastAsia" w:ascii="宋体" w:hAnsi="宋体" w:cs="宋体"/>
                <w:kern w:val="0"/>
                <w:szCs w:val="21"/>
              </w:rPr>
              <w:t>1）工作原理：调频连续波；</w:t>
            </w:r>
          </w:p>
          <w:p>
            <w:pPr>
              <w:pStyle w:val="158"/>
              <w:widowControl/>
              <w:ind w:firstLine="0" w:firstLineChars="0"/>
              <w:rPr>
                <w:rFonts w:ascii="宋体" w:hAnsi="宋体" w:cs="宋体"/>
                <w:kern w:val="0"/>
                <w:szCs w:val="21"/>
              </w:rPr>
            </w:pPr>
            <w:r>
              <w:rPr>
                <w:rFonts w:hint="eastAsia" w:ascii="宋体" w:hAnsi="宋体" w:cs="宋体"/>
                <w:kern w:val="0"/>
                <w:szCs w:val="21"/>
              </w:rPr>
              <w:t>2）量程：0-30m；</w:t>
            </w:r>
          </w:p>
          <w:p>
            <w:pPr>
              <w:pStyle w:val="158"/>
              <w:widowControl/>
              <w:ind w:firstLine="0" w:firstLineChars="0"/>
              <w:rPr>
                <w:rFonts w:ascii="宋体" w:hAnsi="宋体" w:cs="宋体"/>
                <w:kern w:val="0"/>
                <w:szCs w:val="21"/>
              </w:rPr>
            </w:pPr>
            <w:r>
              <w:rPr>
                <w:rFonts w:hint="eastAsia" w:ascii="宋体" w:hAnsi="宋体" w:cs="宋体"/>
                <w:kern w:val="0"/>
                <w:szCs w:val="21"/>
              </w:rPr>
              <w:t>3）雷达波束角：4°；</w:t>
            </w:r>
          </w:p>
          <w:p>
            <w:pPr>
              <w:pStyle w:val="158"/>
              <w:widowControl/>
              <w:ind w:firstLine="0" w:firstLineChars="0"/>
              <w:rPr>
                <w:rFonts w:ascii="宋体" w:hAnsi="宋体" w:cs="宋体"/>
                <w:kern w:val="0"/>
                <w:szCs w:val="21"/>
              </w:rPr>
            </w:pPr>
            <w:r>
              <w:rPr>
                <w:rFonts w:hint="eastAsia" w:ascii="宋体" w:hAnsi="宋体" w:cs="宋体"/>
                <w:szCs w:val="21"/>
              </w:rPr>
              <w:t>4）</w:t>
            </w:r>
            <w:r>
              <w:rPr>
                <w:rFonts w:hint="eastAsia" w:ascii="宋体" w:hAnsi="宋体" w:cs="宋体"/>
                <w:kern w:val="0"/>
                <w:szCs w:val="21"/>
              </w:rPr>
              <w:t xml:space="preserve">水位测量精度误差：≤±2mm； </w:t>
            </w:r>
          </w:p>
          <w:p>
            <w:pPr>
              <w:pStyle w:val="158"/>
              <w:widowControl/>
              <w:ind w:firstLine="0" w:firstLineChars="0"/>
              <w:rPr>
                <w:rFonts w:ascii="宋体" w:hAnsi="宋体" w:cs="宋体"/>
                <w:kern w:val="0"/>
                <w:szCs w:val="21"/>
              </w:rPr>
            </w:pPr>
            <w:r>
              <w:rPr>
                <w:rFonts w:hint="eastAsia" w:ascii="宋体" w:hAnsi="宋体" w:cs="宋体"/>
                <w:kern w:val="0"/>
                <w:szCs w:val="21"/>
              </w:rPr>
              <w:t>5）盲区：0.3m；</w:t>
            </w:r>
          </w:p>
          <w:p>
            <w:pPr>
              <w:pStyle w:val="158"/>
              <w:widowControl/>
              <w:ind w:firstLine="0" w:firstLineChars="0"/>
              <w:rPr>
                <w:rFonts w:ascii="宋体" w:hAnsi="宋体" w:cs="宋体"/>
                <w:kern w:val="0"/>
                <w:szCs w:val="21"/>
              </w:rPr>
            </w:pPr>
            <w:r>
              <w:rPr>
                <w:rFonts w:hint="eastAsia" w:ascii="宋体" w:hAnsi="宋体" w:cs="宋体"/>
                <w:kern w:val="0"/>
                <w:szCs w:val="21"/>
              </w:rPr>
              <w:t>6）通讯方式：RS485、NB-IoT、蓝牙</w:t>
            </w:r>
          </w:p>
          <w:p>
            <w:pPr>
              <w:pStyle w:val="158"/>
              <w:widowControl/>
              <w:ind w:firstLine="0" w:firstLineChars="0"/>
              <w:rPr>
                <w:rFonts w:ascii="宋体" w:hAnsi="宋体" w:cs="宋体"/>
                <w:kern w:val="0"/>
                <w:szCs w:val="21"/>
              </w:rPr>
            </w:pPr>
            <w:r>
              <w:rPr>
                <w:rFonts w:hint="eastAsia" w:ascii="宋体" w:hAnsi="宋体" w:cs="宋体"/>
                <w:kern w:val="0"/>
                <w:szCs w:val="21"/>
              </w:rPr>
              <w:t>7）工作温度：-25℃～+60℃；</w:t>
            </w:r>
          </w:p>
          <w:p>
            <w:pPr>
              <w:pStyle w:val="158"/>
              <w:widowControl/>
              <w:ind w:firstLine="0" w:firstLineChars="0"/>
              <w:rPr>
                <w:rFonts w:ascii="宋体" w:hAnsi="宋体" w:cs="宋体"/>
                <w:kern w:val="0"/>
                <w:szCs w:val="21"/>
              </w:rPr>
            </w:pPr>
            <w:r>
              <w:rPr>
                <w:rFonts w:hint="eastAsia" w:ascii="宋体" w:hAnsi="宋体" w:cs="宋体"/>
                <w:kern w:val="0"/>
                <w:szCs w:val="21"/>
              </w:rPr>
              <w:t>8）工作电流：≤150mA (12VDC)；</w:t>
            </w:r>
          </w:p>
          <w:p>
            <w:pPr>
              <w:pStyle w:val="158"/>
              <w:widowControl/>
              <w:ind w:firstLine="0" w:firstLineChars="0"/>
              <w:rPr>
                <w:rFonts w:ascii="宋体" w:hAnsi="宋体" w:cs="宋体"/>
                <w:kern w:val="0"/>
                <w:szCs w:val="21"/>
              </w:rPr>
            </w:pPr>
            <w:r>
              <w:rPr>
                <w:rFonts w:hint="eastAsia" w:ascii="宋体" w:hAnsi="宋体" w:cs="宋体"/>
                <w:kern w:val="0"/>
                <w:szCs w:val="21"/>
              </w:rPr>
              <w:t>9）待机电流：≤2mA (12VDC)；</w:t>
            </w:r>
          </w:p>
          <w:p>
            <w:pPr>
              <w:pStyle w:val="158"/>
              <w:widowControl/>
              <w:ind w:firstLine="0" w:firstLineChars="0"/>
              <w:rPr>
                <w:rFonts w:ascii="宋体" w:hAnsi="宋体" w:cs="宋体"/>
                <w:kern w:val="0"/>
                <w:szCs w:val="21"/>
              </w:rPr>
            </w:pPr>
            <w:r>
              <w:rPr>
                <w:rFonts w:hint="eastAsia" w:ascii="宋体" w:hAnsi="宋体" w:cs="宋体"/>
                <w:kern w:val="0"/>
                <w:szCs w:val="21"/>
              </w:rPr>
              <w:t>10）平均无故障时间：MTBF≥25000h；</w:t>
            </w:r>
          </w:p>
          <w:p>
            <w:pPr>
              <w:widowControl/>
              <w:rPr>
                <w:rFonts w:ascii="宋体" w:hAnsi="宋体" w:cs="宋体"/>
                <w:kern w:val="0"/>
                <w:szCs w:val="21"/>
              </w:rPr>
            </w:pPr>
            <w:r>
              <w:rPr>
                <w:rFonts w:hint="eastAsia" w:ascii="宋体" w:hAnsi="宋体" w:cs="宋体"/>
                <w:kern w:val="0"/>
                <w:szCs w:val="21"/>
              </w:rPr>
              <w:t>11）防护等级：IP68；</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遥测终端机</w:t>
            </w:r>
          </w:p>
        </w:tc>
        <w:tc>
          <w:tcPr>
            <w:tcW w:w="1993" w:type="pct"/>
          </w:tcPr>
          <w:p>
            <w:pPr>
              <w:pStyle w:val="183"/>
              <w:spacing w:line="240" w:lineRule="auto"/>
              <w:ind w:firstLine="0" w:firstLineChars="0"/>
              <w:jc w:val="left"/>
              <w:rPr>
                <w:rFonts w:hAnsi="宋体" w:cs="宋体"/>
                <w:sz w:val="21"/>
                <w:szCs w:val="21"/>
              </w:rPr>
            </w:pPr>
            <w:r>
              <w:rPr>
                <w:rFonts w:hint="eastAsia" w:hAnsi="宋体" w:cs="宋体"/>
                <w:sz w:val="21"/>
                <w:szCs w:val="21"/>
              </w:rPr>
              <w:t>1）数据自动上报。</w:t>
            </w:r>
          </w:p>
          <w:p>
            <w:pPr>
              <w:pStyle w:val="183"/>
              <w:spacing w:line="240" w:lineRule="auto"/>
              <w:ind w:firstLine="0" w:firstLineChars="0"/>
              <w:jc w:val="left"/>
              <w:rPr>
                <w:rFonts w:hAnsi="宋体" w:cs="宋体"/>
                <w:sz w:val="21"/>
                <w:szCs w:val="21"/>
              </w:rPr>
            </w:pPr>
            <w:r>
              <w:rPr>
                <w:rFonts w:hint="eastAsia" w:hAnsi="宋体" w:cs="宋体"/>
                <w:sz w:val="21"/>
                <w:szCs w:val="21"/>
              </w:rPr>
              <w:t>2）接受中心站远程设置和控制指令。</w:t>
            </w:r>
          </w:p>
          <w:p>
            <w:pPr>
              <w:pStyle w:val="183"/>
              <w:spacing w:line="240" w:lineRule="auto"/>
              <w:ind w:firstLine="0" w:firstLineChars="0"/>
              <w:jc w:val="left"/>
              <w:rPr>
                <w:rFonts w:hAnsi="宋体" w:cs="宋体"/>
                <w:sz w:val="21"/>
                <w:szCs w:val="21"/>
              </w:rPr>
            </w:pPr>
            <w:r>
              <w:rPr>
                <w:rFonts w:hint="eastAsia" w:hAnsi="宋体" w:cs="宋体"/>
                <w:sz w:val="21"/>
                <w:szCs w:val="21"/>
              </w:rPr>
              <w:t>3）全面支持4G全网通通信功能，向下兼容3G/2G通信模式。</w:t>
            </w:r>
          </w:p>
          <w:p>
            <w:pPr>
              <w:pStyle w:val="183"/>
              <w:spacing w:line="240" w:lineRule="auto"/>
              <w:ind w:firstLine="0" w:firstLineChars="0"/>
              <w:jc w:val="left"/>
              <w:rPr>
                <w:rFonts w:hAnsi="宋体" w:cs="宋体"/>
                <w:sz w:val="21"/>
                <w:szCs w:val="21"/>
              </w:rPr>
            </w:pPr>
            <w:r>
              <w:rPr>
                <w:rFonts w:hint="eastAsia" w:hAnsi="宋体" w:cs="宋体"/>
                <w:sz w:val="21"/>
                <w:szCs w:val="21"/>
              </w:rPr>
              <w:t>4）实时时钟自动校对和调整功能。</w:t>
            </w:r>
          </w:p>
          <w:p>
            <w:pPr>
              <w:pStyle w:val="183"/>
              <w:spacing w:line="240" w:lineRule="auto"/>
              <w:ind w:firstLine="0" w:firstLineChars="0"/>
              <w:jc w:val="left"/>
              <w:rPr>
                <w:rFonts w:hAnsi="宋体" w:cs="宋体"/>
                <w:sz w:val="21"/>
                <w:szCs w:val="21"/>
              </w:rPr>
            </w:pPr>
            <w:r>
              <w:rPr>
                <w:rFonts w:hint="eastAsia" w:hAnsi="宋体" w:cs="宋体"/>
                <w:sz w:val="21"/>
                <w:szCs w:val="21"/>
              </w:rPr>
              <w:t>5）可连接多种传感器，包括水位计、雨量计、风向风速仪等各种水文、气象传感器。</w:t>
            </w:r>
          </w:p>
          <w:p>
            <w:pPr>
              <w:pStyle w:val="183"/>
              <w:spacing w:line="240" w:lineRule="auto"/>
              <w:ind w:firstLine="0" w:firstLineChars="0"/>
              <w:jc w:val="left"/>
              <w:rPr>
                <w:rFonts w:hAnsi="宋体" w:cs="宋体"/>
                <w:sz w:val="21"/>
                <w:szCs w:val="21"/>
              </w:rPr>
            </w:pPr>
            <w:r>
              <w:rPr>
                <w:rFonts w:hint="eastAsia" w:hAnsi="宋体" w:cs="宋体"/>
                <w:sz w:val="21"/>
                <w:szCs w:val="21"/>
              </w:rPr>
              <w:t>6）支持多种通信方式，如GSM短信、GPRS/CDMA、北斗卫星等。</w:t>
            </w:r>
          </w:p>
          <w:p>
            <w:pPr>
              <w:pStyle w:val="183"/>
              <w:spacing w:line="240" w:lineRule="auto"/>
              <w:ind w:firstLine="0" w:firstLineChars="0"/>
              <w:jc w:val="left"/>
              <w:rPr>
                <w:rFonts w:hAnsi="宋体" w:cs="宋体"/>
                <w:sz w:val="21"/>
                <w:szCs w:val="21"/>
              </w:rPr>
            </w:pPr>
            <w:r>
              <w:rPr>
                <w:rFonts w:hint="eastAsia" w:hAnsi="宋体" w:cs="宋体"/>
                <w:sz w:val="21"/>
                <w:szCs w:val="21"/>
              </w:rPr>
              <w:t>7）太阳能供电，保证在无人值守条件下的长期稳定运行。</w:t>
            </w:r>
          </w:p>
          <w:p>
            <w:pPr>
              <w:pStyle w:val="183"/>
              <w:spacing w:line="240" w:lineRule="auto"/>
              <w:ind w:firstLine="0" w:firstLineChars="0"/>
              <w:jc w:val="left"/>
              <w:rPr>
                <w:rFonts w:hAnsi="宋体" w:cs="宋体"/>
                <w:sz w:val="21"/>
                <w:szCs w:val="21"/>
              </w:rPr>
            </w:pPr>
            <w:r>
              <w:rPr>
                <w:rFonts w:hint="eastAsia" w:hAnsi="宋体" w:cs="宋体"/>
                <w:sz w:val="21"/>
                <w:szCs w:val="21"/>
              </w:rPr>
              <w:t>8）可灵活配置的模块化结构，以适应各种不同的需求。</w:t>
            </w:r>
          </w:p>
          <w:p>
            <w:pPr>
              <w:pStyle w:val="183"/>
              <w:spacing w:line="240" w:lineRule="auto"/>
              <w:ind w:firstLine="0" w:firstLineChars="0"/>
              <w:jc w:val="left"/>
              <w:rPr>
                <w:rFonts w:hAnsi="宋体" w:cs="宋体"/>
                <w:sz w:val="21"/>
                <w:szCs w:val="21"/>
              </w:rPr>
            </w:pPr>
            <w:r>
              <w:rPr>
                <w:rFonts w:hint="eastAsia" w:hAnsi="宋体" w:cs="宋体"/>
                <w:sz w:val="21"/>
                <w:szCs w:val="21"/>
              </w:rPr>
              <w:t>9）防水等级可达IP68。</w:t>
            </w:r>
          </w:p>
          <w:p>
            <w:pPr>
              <w:pStyle w:val="183"/>
              <w:spacing w:line="240" w:lineRule="auto"/>
              <w:ind w:firstLine="0" w:firstLineChars="0"/>
              <w:jc w:val="left"/>
              <w:rPr>
                <w:rFonts w:hAnsi="宋体" w:cs="宋体"/>
                <w:sz w:val="21"/>
                <w:szCs w:val="21"/>
              </w:rPr>
            </w:pPr>
            <w:r>
              <w:rPr>
                <w:rFonts w:hint="eastAsia" w:hAnsi="宋体" w:cs="宋体"/>
                <w:sz w:val="21"/>
                <w:szCs w:val="21"/>
              </w:rPr>
              <w:t>★10）符合SL651-2014《水文数据监测通信规约》及SL180-2015《水文自动测报系统系统设备遥测终端机》；</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11）支持浙江省水文通信平台。</w:t>
            </w:r>
          </w:p>
          <w:p>
            <w:pPr>
              <w:pStyle w:val="183"/>
              <w:spacing w:line="240" w:lineRule="auto"/>
              <w:ind w:firstLine="0" w:firstLineChars="0"/>
              <w:jc w:val="left"/>
              <w:rPr>
                <w:rFonts w:hAnsi="宋体" w:cs="宋体"/>
                <w:sz w:val="21"/>
                <w:szCs w:val="21"/>
              </w:rPr>
            </w:pPr>
            <w:r>
              <w:rPr>
                <w:rFonts w:hint="eastAsia" w:hAnsi="宋体" w:cs="宋体"/>
                <w:sz w:val="21"/>
                <w:szCs w:val="21"/>
              </w:rPr>
              <w:t>12）电源输入：9-24V DC；</w:t>
            </w:r>
          </w:p>
          <w:p>
            <w:pPr>
              <w:pStyle w:val="183"/>
              <w:spacing w:line="240" w:lineRule="auto"/>
              <w:ind w:firstLine="0" w:firstLineChars="0"/>
              <w:jc w:val="left"/>
              <w:rPr>
                <w:rFonts w:hAnsi="宋体" w:cs="宋体"/>
                <w:sz w:val="21"/>
                <w:szCs w:val="21"/>
              </w:rPr>
            </w:pPr>
            <w:r>
              <w:rPr>
                <w:rFonts w:hint="eastAsia" w:hAnsi="宋体" w:cs="宋体"/>
                <w:sz w:val="21"/>
                <w:szCs w:val="21"/>
              </w:rPr>
              <w:t>13）电源输出：24V  100mA，5V  20mA，3路可控电源输出，除满足传感器电源控制外，可灵活实现下行控制功能。</w:t>
            </w:r>
          </w:p>
          <w:p>
            <w:pPr>
              <w:pStyle w:val="183"/>
              <w:spacing w:line="240" w:lineRule="auto"/>
              <w:ind w:firstLine="0" w:firstLineChars="0"/>
              <w:jc w:val="left"/>
              <w:rPr>
                <w:rFonts w:hAnsi="宋体" w:cs="宋体"/>
                <w:sz w:val="21"/>
                <w:szCs w:val="21"/>
              </w:rPr>
            </w:pPr>
            <w:r>
              <w:rPr>
                <w:rFonts w:hint="eastAsia" w:hAnsi="宋体" w:cs="宋体"/>
                <w:sz w:val="21"/>
                <w:szCs w:val="21"/>
              </w:rPr>
              <w:t>14）信号采集：2路RS485，2路RS232，可接入各种类型的外部传感器，并可扩展北斗等外部通信模块；2路模拟量采集（可扩展8~16路），可接入标准4-20mA变送器，可配置为各种传感器类型；2路脉冲/开关输入，除接入雨量桶外，还可实现报警监测，用于开箱报警等功能。</w:t>
            </w:r>
          </w:p>
          <w:p>
            <w:pPr>
              <w:pStyle w:val="183"/>
              <w:spacing w:line="240" w:lineRule="auto"/>
              <w:ind w:firstLine="0" w:firstLineChars="0"/>
              <w:jc w:val="left"/>
              <w:rPr>
                <w:rFonts w:hAnsi="宋体" w:cs="宋体"/>
                <w:sz w:val="21"/>
                <w:szCs w:val="21"/>
              </w:rPr>
            </w:pPr>
            <w:r>
              <w:rPr>
                <w:rFonts w:hint="eastAsia" w:hAnsi="宋体" w:cs="宋体"/>
                <w:sz w:val="21"/>
                <w:szCs w:val="21"/>
              </w:rPr>
              <w:t>★15）静态值守电流≤0.01mA，工作电流≤6mA；</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16）设备内置GPS模块，系统定期获取设备的位置信息，并上传平台，从而实现设备位置信息和数据的自动绑定，设备位置的交换将不会影响测站的数据统计。</w:t>
            </w:r>
          </w:p>
          <w:p>
            <w:pPr>
              <w:pStyle w:val="183"/>
              <w:spacing w:line="240" w:lineRule="auto"/>
              <w:ind w:firstLine="0" w:firstLineChars="0"/>
              <w:jc w:val="left"/>
              <w:rPr>
                <w:rFonts w:hAnsi="宋体" w:cs="宋体"/>
                <w:sz w:val="21"/>
                <w:szCs w:val="21"/>
              </w:rPr>
            </w:pPr>
            <w:r>
              <w:rPr>
                <w:rFonts w:hint="eastAsia" w:hAnsi="宋体" w:cs="宋体"/>
                <w:sz w:val="21"/>
                <w:szCs w:val="21"/>
              </w:rPr>
              <w:t>17）数据补发：遇到信号问题，基站问题，sim卡问题等情况，系统将暂存采集数据并待网络恢复后自前至后进行逐条补发。</w:t>
            </w:r>
          </w:p>
          <w:p>
            <w:pPr>
              <w:pStyle w:val="183"/>
              <w:spacing w:line="240" w:lineRule="auto"/>
              <w:ind w:firstLine="0" w:firstLineChars="0"/>
              <w:jc w:val="left"/>
              <w:rPr>
                <w:rFonts w:hAnsi="宋体" w:cs="宋体"/>
                <w:sz w:val="21"/>
                <w:szCs w:val="21"/>
              </w:rPr>
            </w:pPr>
            <w:r>
              <w:rPr>
                <w:rFonts w:hint="eastAsia" w:hAnsi="宋体" w:cs="宋体"/>
                <w:sz w:val="21"/>
                <w:szCs w:val="21"/>
              </w:rPr>
              <w:t>18）SD卡：支持MicroSD卡，可选配置；</w:t>
            </w:r>
          </w:p>
          <w:p>
            <w:pPr>
              <w:pStyle w:val="183"/>
              <w:spacing w:line="240" w:lineRule="auto"/>
              <w:ind w:firstLine="0" w:firstLineChars="0"/>
              <w:jc w:val="left"/>
              <w:rPr>
                <w:rFonts w:hAnsi="宋体" w:cs="宋体"/>
                <w:sz w:val="21"/>
                <w:szCs w:val="21"/>
              </w:rPr>
            </w:pPr>
            <w:r>
              <w:rPr>
                <w:rFonts w:hint="eastAsia" w:hAnsi="宋体" w:cs="宋体"/>
                <w:sz w:val="21"/>
                <w:szCs w:val="21"/>
              </w:rPr>
              <w:t>19）工作温度：-40℃至+70℃</w:t>
            </w:r>
          </w:p>
          <w:p>
            <w:pPr>
              <w:pStyle w:val="183"/>
              <w:spacing w:line="240" w:lineRule="auto"/>
              <w:ind w:firstLine="0" w:firstLineChars="0"/>
              <w:jc w:val="left"/>
              <w:rPr>
                <w:rFonts w:hAnsi="宋体" w:cs="宋体"/>
                <w:sz w:val="21"/>
                <w:szCs w:val="21"/>
              </w:rPr>
            </w:pPr>
            <w:r>
              <w:rPr>
                <w:rFonts w:hint="eastAsia" w:hAnsi="宋体" w:cs="宋体"/>
                <w:sz w:val="21"/>
                <w:szCs w:val="21"/>
              </w:rPr>
              <w:t>20）工作湿度：0-95%，不结露</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数据传输模块</w:t>
            </w:r>
          </w:p>
        </w:tc>
        <w:tc>
          <w:tcPr>
            <w:tcW w:w="1993" w:type="pct"/>
          </w:tcPr>
          <w:p>
            <w:pPr>
              <w:pStyle w:val="183"/>
              <w:spacing w:line="240" w:lineRule="auto"/>
              <w:ind w:firstLine="0" w:firstLineChars="0"/>
              <w:rPr>
                <w:rFonts w:hAnsi="宋体" w:cs="宋体"/>
                <w:sz w:val="21"/>
                <w:szCs w:val="21"/>
              </w:rPr>
            </w:pPr>
            <w:r>
              <w:rPr>
                <w:rFonts w:hint="eastAsia" w:hAnsi="宋体" w:cs="宋体"/>
                <w:sz w:val="21"/>
                <w:szCs w:val="21"/>
              </w:rPr>
              <w:t>1）4G全网通数据通讯模块；</w:t>
            </w:r>
          </w:p>
          <w:p>
            <w:pPr>
              <w:pStyle w:val="183"/>
              <w:spacing w:line="240" w:lineRule="auto"/>
              <w:ind w:firstLine="0" w:firstLineChars="0"/>
              <w:rPr>
                <w:rFonts w:hAnsi="宋体" w:cs="宋体"/>
                <w:sz w:val="21"/>
                <w:szCs w:val="21"/>
              </w:rPr>
            </w:pPr>
            <w:r>
              <w:rPr>
                <w:rFonts w:hint="eastAsia" w:hAnsi="宋体" w:cs="宋体"/>
                <w:sz w:val="21"/>
                <w:szCs w:val="21"/>
              </w:rPr>
              <w:t>2）工作电流：≤230 mA，值守电流：≤12 mA，供电电压范围：10～30V；具有抗电磁干扰、过载和短路保护的功能；</w:t>
            </w:r>
          </w:p>
          <w:p>
            <w:pPr>
              <w:pStyle w:val="183"/>
              <w:spacing w:line="240" w:lineRule="auto"/>
              <w:ind w:firstLine="0" w:firstLineChars="0"/>
              <w:rPr>
                <w:rFonts w:hAnsi="宋体" w:cs="宋体"/>
                <w:sz w:val="21"/>
                <w:szCs w:val="21"/>
              </w:rPr>
            </w:pPr>
            <w:r>
              <w:rPr>
                <w:rFonts w:hint="eastAsia" w:hAnsi="宋体" w:cs="宋体"/>
                <w:sz w:val="21"/>
                <w:szCs w:val="21"/>
              </w:rPr>
              <w:t>3）工作温度：-20℃～65℃；存储温度：-20℃～85℃；</w:t>
            </w:r>
          </w:p>
          <w:p>
            <w:pPr>
              <w:pStyle w:val="183"/>
              <w:spacing w:line="240" w:lineRule="auto"/>
              <w:ind w:firstLine="0" w:firstLineChars="0"/>
              <w:rPr>
                <w:rFonts w:hAnsi="宋体" w:cs="宋体"/>
                <w:sz w:val="21"/>
                <w:szCs w:val="21"/>
              </w:rPr>
            </w:pPr>
            <w:r>
              <w:rPr>
                <w:rFonts w:hint="eastAsia" w:hAnsi="宋体" w:cs="宋体"/>
                <w:sz w:val="21"/>
                <w:szCs w:val="21"/>
              </w:rPr>
              <w:t>4）接口形式：RS-485/RS-232C，实时数据透明无线传输；</w:t>
            </w:r>
          </w:p>
          <w:p>
            <w:pPr>
              <w:pStyle w:val="183"/>
              <w:spacing w:line="240" w:lineRule="auto"/>
              <w:ind w:firstLine="0" w:firstLineChars="0"/>
              <w:rPr>
                <w:rFonts w:hAnsi="宋体" w:cs="宋体"/>
                <w:sz w:val="21"/>
                <w:szCs w:val="21"/>
              </w:rPr>
            </w:pPr>
            <w:r>
              <w:rPr>
                <w:rFonts w:hint="eastAsia" w:hAnsi="宋体" w:cs="宋体"/>
                <w:sz w:val="21"/>
                <w:szCs w:val="21"/>
              </w:rPr>
              <w:t>5）协议：内嵌 PPP、TCP/IP、UDP/IP协议，包括 TCP、UDP等；</w:t>
            </w:r>
          </w:p>
          <w:p>
            <w:pPr>
              <w:pStyle w:val="183"/>
              <w:spacing w:line="240" w:lineRule="auto"/>
              <w:ind w:firstLine="0" w:firstLineChars="0"/>
              <w:rPr>
                <w:rFonts w:hAnsi="宋体" w:cs="宋体"/>
                <w:sz w:val="21"/>
                <w:szCs w:val="21"/>
              </w:rPr>
            </w:pPr>
            <w:r>
              <w:rPr>
                <w:rFonts w:hint="eastAsia" w:hAnsi="宋体" w:cs="宋体"/>
                <w:sz w:val="21"/>
                <w:szCs w:val="21"/>
              </w:rPr>
              <w:t>6）传输方式：支持域名解析，支持 AT指令集，SMS。</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7.4</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北斗卫星通信终端</w:t>
            </w:r>
          </w:p>
        </w:tc>
        <w:tc>
          <w:tcPr>
            <w:tcW w:w="1993" w:type="pct"/>
          </w:tcPr>
          <w:p>
            <w:pPr>
              <w:pStyle w:val="158"/>
              <w:widowControl/>
              <w:ind w:firstLine="0" w:firstLineChars="0"/>
              <w:rPr>
                <w:rFonts w:ascii="宋体" w:hAnsi="宋体" w:cs="宋体"/>
                <w:kern w:val="0"/>
                <w:szCs w:val="21"/>
              </w:rPr>
            </w:pPr>
            <w:r>
              <w:rPr>
                <w:rFonts w:hint="eastAsia" w:ascii="宋体" w:hAnsi="宋体" w:cs="宋体"/>
                <w:kern w:val="0"/>
                <w:szCs w:val="21"/>
              </w:rPr>
              <w:t>1）支持标准AT命令系统；</w:t>
            </w:r>
          </w:p>
          <w:p>
            <w:pPr>
              <w:pStyle w:val="158"/>
              <w:widowControl/>
              <w:ind w:firstLine="0" w:firstLineChars="0"/>
              <w:rPr>
                <w:rFonts w:ascii="宋体" w:hAnsi="宋体" w:cs="宋体"/>
                <w:kern w:val="0"/>
                <w:szCs w:val="21"/>
              </w:rPr>
            </w:pPr>
            <w:r>
              <w:rPr>
                <w:rFonts w:hint="eastAsia" w:ascii="宋体" w:hAnsi="宋体" w:cs="宋体"/>
                <w:kern w:val="0"/>
                <w:szCs w:val="21"/>
              </w:rPr>
              <w:t>2）出站信道速率：31.25kbps；</w:t>
            </w:r>
          </w:p>
          <w:p>
            <w:pPr>
              <w:pStyle w:val="158"/>
              <w:widowControl/>
              <w:ind w:firstLine="0" w:firstLineChars="0"/>
              <w:rPr>
                <w:rFonts w:ascii="宋体" w:hAnsi="宋体" w:cs="宋体"/>
                <w:kern w:val="0"/>
                <w:szCs w:val="21"/>
              </w:rPr>
            </w:pPr>
            <w:r>
              <w:rPr>
                <w:rFonts w:hint="eastAsia" w:ascii="宋体" w:hAnsi="宋体" w:cs="宋体"/>
                <w:kern w:val="0"/>
                <w:szCs w:val="21"/>
              </w:rPr>
              <w:t>3）入站信道速率：15.625kpbs；</w:t>
            </w:r>
          </w:p>
          <w:p>
            <w:pPr>
              <w:pStyle w:val="158"/>
              <w:widowControl/>
              <w:ind w:firstLine="0" w:firstLineChars="0"/>
              <w:rPr>
                <w:rFonts w:ascii="宋体" w:hAnsi="宋体" w:cs="宋体"/>
                <w:kern w:val="0"/>
                <w:szCs w:val="21"/>
              </w:rPr>
            </w:pPr>
            <w:r>
              <w:rPr>
                <w:rFonts w:hint="eastAsia" w:ascii="宋体" w:hAnsi="宋体" w:cs="宋体"/>
                <w:kern w:val="0"/>
                <w:szCs w:val="21"/>
              </w:rPr>
              <w:t>4）系统误码率：≤1×10－5</w:t>
            </w:r>
          </w:p>
          <w:p>
            <w:pPr>
              <w:pStyle w:val="158"/>
              <w:widowControl/>
              <w:ind w:firstLine="0" w:firstLineChars="0"/>
              <w:rPr>
                <w:rFonts w:ascii="宋体" w:hAnsi="宋体" w:cs="宋体"/>
                <w:kern w:val="0"/>
                <w:szCs w:val="21"/>
              </w:rPr>
            </w:pPr>
            <w:r>
              <w:rPr>
                <w:rFonts w:hint="eastAsia" w:ascii="宋体" w:hAnsi="宋体" w:cs="宋体"/>
                <w:kern w:val="0"/>
                <w:szCs w:val="21"/>
              </w:rPr>
              <w:t>5）定位精度：≤100m；</w:t>
            </w:r>
          </w:p>
          <w:p>
            <w:pPr>
              <w:pStyle w:val="158"/>
              <w:widowControl/>
              <w:ind w:firstLine="0" w:firstLineChars="0"/>
              <w:rPr>
                <w:rFonts w:ascii="宋体" w:hAnsi="宋体" w:cs="宋体"/>
                <w:kern w:val="0"/>
                <w:szCs w:val="21"/>
              </w:rPr>
            </w:pPr>
            <w:r>
              <w:rPr>
                <w:rFonts w:hint="eastAsia" w:ascii="宋体" w:hAnsi="宋体" w:cs="宋体"/>
                <w:kern w:val="0"/>
                <w:szCs w:val="21"/>
              </w:rPr>
              <w:t>6）短信收发最大长度：不少于70个ASCII字符；</w:t>
            </w:r>
          </w:p>
          <w:p>
            <w:pPr>
              <w:pStyle w:val="158"/>
              <w:widowControl/>
              <w:ind w:firstLine="0" w:firstLineChars="0"/>
              <w:rPr>
                <w:rFonts w:ascii="宋体" w:hAnsi="宋体" w:cs="宋体"/>
                <w:kern w:val="0"/>
                <w:szCs w:val="21"/>
              </w:rPr>
            </w:pPr>
            <w:r>
              <w:rPr>
                <w:rFonts w:hint="eastAsia" w:ascii="宋体" w:hAnsi="宋体" w:cs="宋体"/>
                <w:kern w:val="0"/>
                <w:szCs w:val="21"/>
              </w:rPr>
              <w:t>7）授时精度：单向100ns，双向20ns；</w:t>
            </w:r>
          </w:p>
          <w:p>
            <w:pPr>
              <w:pStyle w:val="158"/>
              <w:widowControl/>
              <w:ind w:firstLine="0" w:firstLineChars="0"/>
              <w:rPr>
                <w:rFonts w:ascii="宋体" w:hAnsi="宋体" w:cs="宋体"/>
                <w:kern w:val="0"/>
                <w:szCs w:val="21"/>
              </w:rPr>
            </w:pPr>
            <w:r>
              <w:rPr>
                <w:rFonts w:hint="eastAsia" w:ascii="宋体" w:hAnsi="宋体" w:cs="宋体"/>
                <w:kern w:val="0"/>
                <w:szCs w:val="21"/>
              </w:rPr>
              <w:t>8）响应时间：&lt;10s；</w:t>
            </w:r>
          </w:p>
          <w:p>
            <w:pPr>
              <w:pStyle w:val="158"/>
              <w:widowControl/>
              <w:ind w:firstLine="0" w:firstLineChars="0"/>
              <w:rPr>
                <w:rFonts w:ascii="宋体" w:hAnsi="宋体" w:cs="宋体"/>
                <w:kern w:val="0"/>
                <w:szCs w:val="21"/>
              </w:rPr>
            </w:pPr>
            <w:r>
              <w:rPr>
                <w:rFonts w:hint="eastAsia" w:ascii="宋体" w:hAnsi="宋体" w:cs="宋体"/>
                <w:kern w:val="0"/>
                <w:szCs w:val="21"/>
              </w:rPr>
              <w:t>9）接续方式：卫星终端至终端、DDN、GSM/CDMA、Internet；</w:t>
            </w:r>
          </w:p>
          <w:p>
            <w:pPr>
              <w:pStyle w:val="158"/>
              <w:widowControl/>
              <w:ind w:firstLine="0" w:firstLineChars="0"/>
              <w:rPr>
                <w:rFonts w:ascii="宋体" w:hAnsi="宋体" w:cs="宋体"/>
                <w:kern w:val="0"/>
                <w:szCs w:val="21"/>
              </w:rPr>
            </w:pPr>
            <w:r>
              <w:rPr>
                <w:rFonts w:hint="eastAsia" w:ascii="宋体" w:hAnsi="宋体" w:cs="宋体"/>
                <w:kern w:val="0"/>
                <w:szCs w:val="21"/>
              </w:rPr>
              <w:t>10）终端接口：RS-232C接口，不低于9600波特率；</w:t>
            </w:r>
          </w:p>
          <w:p>
            <w:pPr>
              <w:pStyle w:val="158"/>
              <w:widowControl/>
              <w:ind w:firstLine="0" w:firstLineChars="0"/>
              <w:rPr>
                <w:rFonts w:ascii="宋体" w:hAnsi="宋体" w:cs="宋体"/>
                <w:kern w:val="0"/>
                <w:szCs w:val="21"/>
              </w:rPr>
            </w:pPr>
            <w:r>
              <w:rPr>
                <w:rFonts w:hint="eastAsia" w:ascii="宋体" w:hAnsi="宋体" w:cs="宋体"/>
                <w:kern w:val="0"/>
                <w:szCs w:val="21"/>
              </w:rPr>
              <w:t>11）信息存储容量：不小于64M静态存储器；</w:t>
            </w:r>
          </w:p>
          <w:p>
            <w:pPr>
              <w:pStyle w:val="158"/>
              <w:widowControl/>
              <w:ind w:firstLine="0" w:firstLineChars="0"/>
              <w:rPr>
                <w:rFonts w:ascii="宋体" w:hAnsi="宋体" w:cs="宋体"/>
                <w:kern w:val="0"/>
                <w:szCs w:val="21"/>
              </w:rPr>
            </w:pPr>
            <w:r>
              <w:rPr>
                <w:rFonts w:hint="eastAsia" w:ascii="宋体" w:hAnsi="宋体" w:cs="宋体"/>
                <w:kern w:val="0"/>
                <w:szCs w:val="21"/>
              </w:rPr>
              <w:t>12）支持短信的双向收发功能；</w:t>
            </w:r>
          </w:p>
          <w:p>
            <w:pPr>
              <w:pStyle w:val="158"/>
              <w:widowControl/>
              <w:ind w:firstLine="0" w:firstLineChars="0"/>
              <w:rPr>
                <w:rFonts w:ascii="宋体" w:hAnsi="宋体" w:cs="宋体"/>
                <w:kern w:val="0"/>
                <w:szCs w:val="21"/>
              </w:rPr>
            </w:pPr>
            <w:r>
              <w:rPr>
                <w:rFonts w:hint="eastAsia" w:ascii="宋体" w:hAnsi="宋体" w:cs="宋体"/>
                <w:kern w:val="0"/>
                <w:szCs w:val="21"/>
              </w:rPr>
              <w:t>13）支持“校时”功能，输出标准时钟完成对RTU的校时；</w:t>
            </w:r>
          </w:p>
          <w:p>
            <w:pPr>
              <w:pStyle w:val="158"/>
              <w:widowControl/>
              <w:ind w:firstLine="0" w:firstLineChars="0"/>
              <w:rPr>
                <w:rFonts w:ascii="宋体" w:hAnsi="宋体" w:cs="宋体"/>
                <w:kern w:val="0"/>
                <w:szCs w:val="21"/>
              </w:rPr>
            </w:pPr>
            <w:r>
              <w:rPr>
                <w:rFonts w:hint="eastAsia" w:ascii="宋体" w:hAnsi="宋体" w:cs="宋体"/>
                <w:kern w:val="0"/>
                <w:szCs w:val="21"/>
              </w:rPr>
              <w:t>14）外部接口光电隔离；</w:t>
            </w:r>
          </w:p>
          <w:p>
            <w:pPr>
              <w:pStyle w:val="158"/>
              <w:widowControl/>
              <w:ind w:firstLine="0" w:firstLineChars="0"/>
              <w:rPr>
                <w:rFonts w:ascii="宋体" w:hAnsi="宋体" w:cs="宋体"/>
                <w:kern w:val="0"/>
                <w:szCs w:val="21"/>
              </w:rPr>
            </w:pPr>
            <w:r>
              <w:rPr>
                <w:rFonts w:hint="eastAsia" w:ascii="宋体" w:hAnsi="宋体" w:cs="宋体"/>
                <w:kern w:val="0"/>
                <w:szCs w:val="21"/>
              </w:rPr>
              <w:t>15）雨雾衰减小于0.3db；传输时延小于1s；接收机灵敏度：小于-157.6dbW；</w:t>
            </w:r>
          </w:p>
          <w:p>
            <w:pPr>
              <w:pStyle w:val="158"/>
              <w:widowControl/>
              <w:ind w:firstLine="0" w:firstLineChars="0"/>
              <w:rPr>
                <w:rFonts w:ascii="宋体" w:hAnsi="宋体" w:cs="宋体"/>
                <w:kern w:val="0"/>
                <w:szCs w:val="21"/>
              </w:rPr>
            </w:pPr>
            <w:r>
              <w:rPr>
                <w:rFonts w:hint="eastAsia" w:ascii="宋体" w:hAnsi="宋体" w:cs="宋体"/>
                <w:kern w:val="0"/>
                <w:szCs w:val="21"/>
              </w:rPr>
              <w:t>16）供电电源：12V±2V DC；</w:t>
            </w:r>
          </w:p>
          <w:p>
            <w:pPr>
              <w:pStyle w:val="158"/>
              <w:widowControl/>
              <w:ind w:firstLine="0" w:firstLineChars="0"/>
              <w:rPr>
                <w:rFonts w:ascii="宋体" w:hAnsi="宋体" w:cs="宋体"/>
                <w:kern w:val="0"/>
                <w:szCs w:val="21"/>
              </w:rPr>
            </w:pPr>
            <w:r>
              <w:rPr>
                <w:rFonts w:hint="eastAsia" w:ascii="宋体" w:hAnsi="宋体" w:cs="宋体"/>
                <w:kern w:val="0"/>
                <w:szCs w:val="21"/>
              </w:rPr>
              <w:t>17）待机功耗：≤6W（按2分钟发射一次）。支持“睡眠”模式，具备定时和基于事件唤醒功能；</w:t>
            </w:r>
          </w:p>
          <w:p>
            <w:pPr>
              <w:pStyle w:val="158"/>
              <w:widowControl/>
              <w:ind w:firstLine="0" w:firstLineChars="0"/>
              <w:rPr>
                <w:rFonts w:ascii="宋体" w:hAnsi="宋体" w:cs="宋体"/>
                <w:kern w:val="0"/>
                <w:szCs w:val="21"/>
              </w:rPr>
            </w:pPr>
            <w:r>
              <w:rPr>
                <w:rFonts w:hint="eastAsia" w:ascii="宋体" w:hAnsi="宋体" w:cs="宋体"/>
                <w:kern w:val="0"/>
                <w:szCs w:val="21"/>
              </w:rPr>
              <w:t>18）设备平均无故障工作时间：MTBF≥25000h；19）工作环境温度：-20～55℃；</w:t>
            </w:r>
          </w:p>
          <w:p>
            <w:pPr>
              <w:pStyle w:val="158"/>
              <w:widowControl/>
              <w:ind w:firstLine="0" w:firstLineChars="0"/>
              <w:rPr>
                <w:rFonts w:ascii="宋体" w:hAnsi="宋体" w:cs="宋体"/>
                <w:kern w:val="0"/>
                <w:szCs w:val="21"/>
              </w:rPr>
            </w:pPr>
            <w:r>
              <w:rPr>
                <w:rFonts w:hint="eastAsia" w:ascii="宋体" w:hAnsi="宋体" w:cs="宋体"/>
                <w:kern w:val="0"/>
                <w:szCs w:val="21"/>
              </w:rPr>
              <w:t>20）设备采取一体化设计，可根据设备安装方式确定天线电缆长度；</w:t>
            </w:r>
          </w:p>
          <w:p>
            <w:pPr>
              <w:pStyle w:val="158"/>
              <w:widowControl/>
              <w:ind w:firstLine="0" w:firstLineChars="0"/>
              <w:rPr>
                <w:rFonts w:ascii="宋体" w:hAnsi="宋体" w:cs="宋体"/>
                <w:kern w:val="0"/>
                <w:szCs w:val="21"/>
              </w:rPr>
            </w:pPr>
            <w:r>
              <w:rPr>
                <w:rFonts w:hint="eastAsia" w:ascii="宋体" w:hAnsi="宋体" w:cs="宋体"/>
                <w:kern w:val="0"/>
                <w:szCs w:val="21"/>
              </w:rPr>
              <w:t>21）设备发射功率：≥30W，EIRP值≥12dBW；且≤19dBW；</w:t>
            </w:r>
          </w:p>
          <w:p>
            <w:pPr>
              <w:pStyle w:val="158"/>
              <w:widowControl/>
              <w:ind w:firstLine="0" w:firstLineChars="0"/>
              <w:rPr>
                <w:rFonts w:ascii="宋体" w:hAnsi="宋体" w:cs="宋体"/>
                <w:kern w:val="0"/>
                <w:szCs w:val="21"/>
              </w:rPr>
            </w:pPr>
            <w:r>
              <w:rPr>
                <w:rFonts w:hint="eastAsia" w:ascii="宋体" w:hAnsi="宋体" w:cs="宋体"/>
                <w:kern w:val="0"/>
                <w:szCs w:val="21"/>
              </w:rPr>
              <w:t>22）工作波段：L\S\C波段；</w:t>
            </w:r>
          </w:p>
          <w:p>
            <w:pPr>
              <w:pStyle w:val="158"/>
              <w:widowControl/>
              <w:ind w:firstLine="0" w:firstLineChars="0"/>
              <w:rPr>
                <w:rFonts w:ascii="宋体" w:hAnsi="宋体" w:cs="宋体"/>
                <w:kern w:val="0"/>
                <w:szCs w:val="21"/>
              </w:rPr>
            </w:pPr>
            <w:r>
              <w:rPr>
                <w:rFonts w:hint="eastAsia" w:ascii="宋体" w:hAnsi="宋体" w:cs="宋体"/>
                <w:kern w:val="0"/>
                <w:szCs w:val="21"/>
              </w:rPr>
              <w:t>23）波束宽度：俯仰方向：25～90°，水平方向：0～360°；</w:t>
            </w:r>
          </w:p>
          <w:p>
            <w:pPr>
              <w:pStyle w:val="158"/>
              <w:widowControl/>
              <w:ind w:firstLine="0" w:firstLineChars="0"/>
              <w:rPr>
                <w:rFonts w:ascii="宋体" w:hAnsi="宋体" w:cs="宋体"/>
                <w:kern w:val="0"/>
                <w:szCs w:val="21"/>
              </w:rPr>
            </w:pPr>
            <w:r>
              <w:rPr>
                <w:rFonts w:hint="eastAsia" w:ascii="宋体" w:hAnsi="宋体" w:cs="宋体"/>
                <w:kern w:val="0"/>
                <w:szCs w:val="21"/>
              </w:rPr>
              <w:t>24）通信制式：CDMA码分多址及扩频技术；</w:t>
            </w:r>
          </w:p>
          <w:p>
            <w:pPr>
              <w:pStyle w:val="158"/>
              <w:widowControl/>
              <w:ind w:firstLine="0" w:firstLineChars="0"/>
              <w:rPr>
                <w:rFonts w:ascii="宋体" w:hAnsi="宋体" w:cs="宋体"/>
                <w:kern w:val="0"/>
                <w:szCs w:val="21"/>
              </w:rPr>
            </w:pPr>
            <w:r>
              <w:rPr>
                <w:rFonts w:hint="eastAsia" w:ascii="宋体" w:hAnsi="宋体" w:cs="宋体"/>
                <w:kern w:val="0"/>
                <w:szCs w:val="21"/>
              </w:rPr>
              <w:t>25）工作环境湿度：5～98%RH（45℃时）；</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太阳能供电系统</w:t>
            </w:r>
          </w:p>
        </w:tc>
        <w:tc>
          <w:tcPr>
            <w:tcW w:w="1993" w:type="pct"/>
          </w:tcPr>
          <w:p>
            <w:pPr>
              <w:widowControl/>
              <w:rPr>
                <w:rFonts w:ascii="宋体" w:hAnsi="宋体" w:cs="宋体"/>
                <w:kern w:val="0"/>
                <w:szCs w:val="21"/>
              </w:rPr>
            </w:pPr>
            <w:r>
              <w:rPr>
                <w:rFonts w:hint="eastAsia" w:ascii="宋体" w:hAnsi="宋体" w:cs="宋体"/>
                <w:kern w:val="0"/>
                <w:szCs w:val="21"/>
              </w:rPr>
              <w:t>含12V/100AH蓄电池、18V/60W太阳能板，充电控制器充电电流不小于10A</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机箱</w:t>
            </w:r>
          </w:p>
        </w:tc>
        <w:tc>
          <w:tcPr>
            <w:tcW w:w="1993" w:type="pct"/>
            <w:vAlign w:val="center"/>
          </w:tcPr>
          <w:p>
            <w:pPr>
              <w:widowControl/>
              <w:rPr>
                <w:rFonts w:ascii="宋体" w:hAnsi="宋体" w:cs="宋体"/>
                <w:kern w:val="0"/>
                <w:szCs w:val="21"/>
              </w:rPr>
            </w:pPr>
            <w:r>
              <w:rPr>
                <w:rFonts w:hint="eastAsia" w:ascii="宋体" w:hAnsi="宋体" w:cs="宋体"/>
                <w:kern w:val="0"/>
                <w:szCs w:val="21"/>
              </w:rPr>
              <w:t>宽400mm，高500mm，厚250mm，3</w:t>
            </w:r>
            <w:r>
              <w:rPr>
                <w:rFonts w:ascii="宋体" w:hAnsi="宋体" w:cs="宋体"/>
                <w:kern w:val="0"/>
                <w:szCs w:val="21"/>
              </w:rPr>
              <w:t>04</w:t>
            </w:r>
            <w:r>
              <w:rPr>
                <w:rFonts w:hint="eastAsia" w:ascii="宋体" w:hAnsi="宋体" w:cs="宋体"/>
                <w:kern w:val="0"/>
                <w:szCs w:val="21"/>
              </w:rPr>
              <w:t>不锈钢喷塑，板厚：2mm，箱体上印刷水文标志、危险警示等标识，门上带锁，带密封装置。防护等级：IP55。</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7.7</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防雷接地系统</w:t>
            </w:r>
          </w:p>
        </w:tc>
        <w:tc>
          <w:tcPr>
            <w:tcW w:w="1993" w:type="pct"/>
          </w:tcPr>
          <w:p>
            <w:pPr>
              <w:widowControl/>
              <w:rPr>
                <w:rFonts w:ascii="宋体" w:hAnsi="宋体" w:cs="宋体"/>
                <w:kern w:val="0"/>
                <w:szCs w:val="21"/>
              </w:rPr>
            </w:pPr>
            <w:r>
              <w:rPr>
                <w:rFonts w:hint="eastAsia" w:ascii="宋体" w:hAnsi="宋体" w:cs="宋体"/>
                <w:kern w:val="0"/>
                <w:szCs w:val="21"/>
              </w:rPr>
              <w:t>角钢6.3×2500mm共5根，50×5mm的扁铁20m，保证防雷接地电阻值小于10Ω。</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7.8</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配套设施</w:t>
            </w:r>
          </w:p>
        </w:tc>
        <w:tc>
          <w:tcPr>
            <w:tcW w:w="1993" w:type="pct"/>
            <w:vAlign w:val="center"/>
          </w:tcPr>
          <w:p>
            <w:pPr>
              <w:widowControl/>
              <w:rPr>
                <w:rFonts w:ascii="宋体" w:hAnsi="宋体" w:cs="宋体"/>
                <w:kern w:val="0"/>
                <w:szCs w:val="21"/>
              </w:rPr>
            </w:pPr>
            <w:r>
              <w:rPr>
                <w:rFonts w:hint="eastAsia" w:ascii="宋体" w:hAnsi="宋体" w:cs="宋体"/>
                <w:kern w:val="0"/>
                <w:szCs w:val="21"/>
              </w:rPr>
              <w:t>RVVP4×0.5的485通信电缆100米，含防水接头；</w:t>
            </w:r>
          </w:p>
          <w:p>
            <w:pPr>
              <w:widowControl/>
              <w:rPr>
                <w:rFonts w:ascii="宋体" w:hAnsi="宋体" w:cs="宋体"/>
                <w:kern w:val="0"/>
                <w:szCs w:val="21"/>
              </w:rPr>
            </w:pPr>
            <w:r>
              <w:rPr>
                <w:rFonts w:hint="eastAsia" w:ascii="宋体" w:hAnsi="宋体" w:cs="宋体"/>
                <w:kern w:val="0"/>
                <w:szCs w:val="21"/>
              </w:rPr>
              <w:t>太阳能供电电缆直径6mm，100米，含防水接头；</w:t>
            </w:r>
          </w:p>
          <w:p>
            <w:pPr>
              <w:widowControl/>
              <w:rPr>
                <w:rFonts w:ascii="宋体" w:hAnsi="宋体" w:cs="宋体"/>
                <w:kern w:val="0"/>
                <w:szCs w:val="21"/>
              </w:rPr>
            </w:pPr>
            <w:r>
              <w:rPr>
                <w:rFonts w:hint="eastAsia" w:ascii="宋体" w:hAnsi="宋体" w:cs="宋体"/>
                <w:kern w:val="0"/>
                <w:szCs w:val="21"/>
              </w:rPr>
              <w:t>包括专业焊接、密封、防水处理以及镀锌穿线管，直径32mm，线管长度200米。</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7.9</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北斗通信费</w:t>
            </w:r>
          </w:p>
        </w:tc>
        <w:tc>
          <w:tcPr>
            <w:tcW w:w="1993" w:type="pct"/>
          </w:tcPr>
          <w:p>
            <w:pPr>
              <w:widowControl/>
              <w:rPr>
                <w:rFonts w:ascii="宋体" w:hAnsi="宋体" w:cs="宋体"/>
                <w:kern w:val="0"/>
                <w:szCs w:val="21"/>
              </w:rPr>
            </w:pPr>
            <w:r>
              <w:rPr>
                <w:rFonts w:ascii="宋体" w:hAnsi="宋体" w:cs="宋体"/>
                <w:kern w:val="0"/>
                <w:szCs w:val="21"/>
              </w:rPr>
              <w:t>3</w:t>
            </w:r>
            <w:r>
              <w:rPr>
                <w:rFonts w:hint="eastAsia" w:ascii="宋体" w:hAnsi="宋体" w:cs="宋体"/>
                <w:kern w:val="0"/>
                <w:szCs w:val="21"/>
              </w:rPr>
              <w:t>年北斗通信费</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年</w:t>
            </w:r>
          </w:p>
        </w:tc>
        <w:tc>
          <w:tcPr>
            <w:tcW w:w="695" w:type="pct"/>
            <w:shd w:val="clear" w:color="auto" w:fill="auto"/>
            <w:vAlign w:val="center"/>
          </w:tcPr>
          <w:p>
            <w:pPr>
              <w:widowControl/>
              <w:jc w:val="center"/>
              <w:rPr>
                <w:rFonts w:ascii="宋体" w:hAnsi="宋体" w:cs="宋体"/>
                <w:kern w:val="0"/>
                <w:szCs w:val="21"/>
              </w:rPr>
            </w:pPr>
            <w:r>
              <w:rPr>
                <w:rFonts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7.10</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安装调试</w:t>
            </w:r>
          </w:p>
        </w:tc>
        <w:tc>
          <w:tcPr>
            <w:tcW w:w="1993" w:type="pct"/>
          </w:tcPr>
          <w:p>
            <w:pPr>
              <w:widowControl/>
              <w:rPr>
                <w:rFonts w:ascii="宋体" w:hAnsi="宋体" w:cs="宋体"/>
                <w:kern w:val="0"/>
                <w:szCs w:val="21"/>
              </w:rPr>
            </w:pPr>
            <w:r>
              <w:rPr>
                <w:rFonts w:hint="eastAsia" w:ascii="宋体" w:hAnsi="宋体" w:cs="宋体"/>
                <w:kern w:val="0"/>
                <w:szCs w:val="21"/>
              </w:rPr>
              <w:t>现场安装调试</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8</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数字水文水尺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数字式水尺</w:t>
            </w:r>
          </w:p>
        </w:tc>
        <w:tc>
          <w:tcPr>
            <w:tcW w:w="1993" w:type="pct"/>
          </w:tcPr>
          <w:p>
            <w:pPr>
              <w:pStyle w:val="158"/>
              <w:widowControl/>
              <w:ind w:firstLine="0" w:firstLineChars="0"/>
              <w:rPr>
                <w:rFonts w:ascii="宋体" w:hAnsi="宋体" w:cs="宋体"/>
                <w:kern w:val="0"/>
                <w:szCs w:val="21"/>
              </w:rPr>
            </w:pPr>
            <w:r>
              <w:rPr>
                <w:rFonts w:hint="eastAsia" w:ascii="宋体" w:hAnsi="宋体" w:cs="宋体"/>
                <w:szCs w:val="21"/>
              </w:rPr>
              <w:t>1）</w:t>
            </w:r>
            <w:r>
              <w:rPr>
                <w:rFonts w:hint="eastAsia" w:ascii="宋体" w:hAnsi="宋体" w:cs="宋体"/>
                <w:kern w:val="0"/>
                <w:szCs w:val="21"/>
              </w:rPr>
              <w:t>测量方式：电容感应式；</w:t>
            </w:r>
            <w:r>
              <w:rPr>
                <w:rFonts w:ascii="宋体" w:hAnsi="宋体" w:cs="宋体"/>
                <w:kern w:val="0"/>
                <w:szCs w:val="21"/>
              </w:rPr>
              <w:t xml:space="preserve"> </w:t>
            </w:r>
          </w:p>
          <w:p>
            <w:pPr>
              <w:pStyle w:val="158"/>
              <w:widowControl/>
              <w:ind w:firstLine="0" w:firstLineChars="0"/>
              <w:rPr>
                <w:rFonts w:ascii="宋体" w:hAnsi="宋体" w:cs="宋体"/>
                <w:kern w:val="0"/>
                <w:szCs w:val="21"/>
              </w:rPr>
            </w:pPr>
            <w:r>
              <w:rPr>
                <w:rFonts w:hint="eastAsia" w:ascii="宋体" w:hAnsi="宋体" w:cs="宋体"/>
                <w:kern w:val="0"/>
                <w:szCs w:val="21"/>
              </w:rPr>
              <w:t>2）供电电压：DC12V±15%；</w:t>
            </w:r>
          </w:p>
          <w:p>
            <w:pPr>
              <w:pStyle w:val="158"/>
              <w:widowControl/>
              <w:ind w:firstLine="0" w:firstLineChars="0"/>
              <w:rPr>
                <w:rFonts w:ascii="宋体" w:hAnsi="宋体" w:cs="宋体"/>
                <w:kern w:val="0"/>
                <w:szCs w:val="21"/>
              </w:rPr>
            </w:pPr>
            <w:r>
              <w:rPr>
                <w:rFonts w:hint="eastAsia" w:ascii="宋体" w:hAnsi="宋体" w:cs="宋体"/>
                <w:szCs w:val="21"/>
              </w:rPr>
              <w:t>3）</w:t>
            </w:r>
            <w:r>
              <w:rPr>
                <w:rFonts w:hint="eastAsia" w:ascii="宋体" w:hAnsi="宋体" w:cs="宋体"/>
                <w:kern w:val="0"/>
                <w:szCs w:val="21"/>
              </w:rPr>
              <w:t>功耗：静态电流≤1.5mA，最大工作电流≤25mA；</w:t>
            </w:r>
            <w:r>
              <w:rPr>
                <w:rFonts w:ascii="宋体" w:hAnsi="宋体" w:cs="宋体"/>
                <w:kern w:val="0"/>
                <w:szCs w:val="21"/>
              </w:rPr>
              <w:t xml:space="preserve"> </w:t>
            </w:r>
          </w:p>
          <w:p>
            <w:pPr>
              <w:pStyle w:val="158"/>
              <w:widowControl/>
              <w:ind w:firstLine="0" w:firstLineChars="0"/>
              <w:rPr>
                <w:rFonts w:ascii="宋体" w:hAnsi="宋体" w:cs="宋体"/>
                <w:kern w:val="0"/>
                <w:szCs w:val="21"/>
              </w:rPr>
            </w:pPr>
            <w:r>
              <w:rPr>
                <w:rFonts w:hint="eastAsia" w:ascii="宋体" w:hAnsi="宋体" w:cs="宋体"/>
                <w:kern w:val="0"/>
                <w:szCs w:val="21"/>
              </w:rPr>
              <w:t>4）高低温：-10℃±2℃，50℃±2℃功能应正常；</w:t>
            </w:r>
          </w:p>
          <w:p>
            <w:pPr>
              <w:pStyle w:val="158"/>
              <w:widowControl/>
              <w:ind w:firstLine="0" w:firstLineChars="0"/>
              <w:rPr>
                <w:rFonts w:ascii="宋体" w:hAnsi="宋体" w:cs="宋体"/>
                <w:kern w:val="0"/>
                <w:szCs w:val="21"/>
              </w:rPr>
            </w:pPr>
            <w:r>
              <w:rPr>
                <w:rFonts w:hint="eastAsia" w:ascii="宋体" w:hAnsi="宋体" w:cs="宋体"/>
                <w:kern w:val="0"/>
                <w:szCs w:val="21"/>
              </w:rPr>
              <w:t>5）稳定持续磁场：B级级以上；</w:t>
            </w:r>
          </w:p>
          <w:p>
            <w:pPr>
              <w:pStyle w:val="158"/>
              <w:widowControl/>
              <w:ind w:firstLine="0" w:firstLineChars="0"/>
              <w:rPr>
                <w:rFonts w:ascii="宋体" w:hAnsi="宋体" w:cs="宋体"/>
                <w:kern w:val="0"/>
                <w:szCs w:val="21"/>
              </w:rPr>
            </w:pPr>
            <w:r>
              <w:rPr>
                <w:rFonts w:hint="eastAsia" w:ascii="宋体" w:hAnsi="宋体" w:cs="宋体"/>
                <w:kern w:val="0"/>
                <w:szCs w:val="21"/>
              </w:rPr>
              <w:t>6）精度/分辨率：1cm；</w:t>
            </w:r>
          </w:p>
          <w:p>
            <w:pPr>
              <w:pStyle w:val="158"/>
              <w:widowControl/>
              <w:ind w:firstLine="0" w:firstLineChars="0"/>
              <w:rPr>
                <w:rFonts w:ascii="宋体" w:hAnsi="宋体" w:cs="宋体"/>
                <w:kern w:val="0"/>
                <w:szCs w:val="21"/>
              </w:rPr>
            </w:pPr>
            <w:r>
              <w:rPr>
                <w:rFonts w:hint="eastAsia" w:ascii="宋体" w:hAnsi="宋体" w:cs="宋体"/>
                <w:kern w:val="0"/>
                <w:szCs w:val="21"/>
              </w:rPr>
              <w:t>7）单元规格：100cm；</w:t>
            </w:r>
          </w:p>
          <w:p>
            <w:pPr>
              <w:pStyle w:val="158"/>
              <w:widowControl/>
              <w:ind w:firstLine="0" w:firstLineChars="0"/>
              <w:rPr>
                <w:rFonts w:ascii="宋体" w:hAnsi="宋体" w:cs="宋体"/>
                <w:kern w:val="0"/>
                <w:szCs w:val="21"/>
              </w:rPr>
            </w:pPr>
            <w:r>
              <w:rPr>
                <w:rFonts w:hint="eastAsia" w:ascii="宋体" w:hAnsi="宋体" w:cs="宋体"/>
                <w:kern w:val="0"/>
                <w:szCs w:val="21"/>
              </w:rPr>
              <w:t>8）输出信号：RS485（ModBus-RTU）；</w:t>
            </w:r>
          </w:p>
          <w:p>
            <w:pPr>
              <w:pStyle w:val="158"/>
              <w:widowControl/>
              <w:ind w:firstLine="0" w:firstLineChars="0"/>
              <w:rPr>
                <w:rFonts w:ascii="宋体" w:hAnsi="宋体" w:cs="宋体"/>
                <w:kern w:val="0"/>
                <w:szCs w:val="21"/>
              </w:rPr>
            </w:pPr>
            <w:r>
              <w:rPr>
                <w:rFonts w:hint="eastAsia" w:ascii="宋体" w:hAnsi="宋体" w:cs="宋体"/>
                <w:kern w:val="0"/>
                <w:szCs w:val="21"/>
              </w:rPr>
              <w:t>9）采样频率：5~60秒；</w:t>
            </w:r>
          </w:p>
          <w:p>
            <w:pPr>
              <w:pStyle w:val="158"/>
              <w:widowControl/>
              <w:ind w:firstLine="0" w:firstLineChars="0"/>
              <w:rPr>
                <w:rFonts w:ascii="宋体" w:hAnsi="宋体" w:cs="宋体"/>
                <w:kern w:val="0"/>
                <w:szCs w:val="21"/>
              </w:rPr>
            </w:pPr>
            <w:r>
              <w:rPr>
                <w:rFonts w:hint="eastAsia" w:ascii="宋体" w:hAnsi="宋体" w:cs="宋体"/>
                <w:kern w:val="0"/>
                <w:szCs w:val="21"/>
              </w:rPr>
              <w:t>10）防护等级：IP68。</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米</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遥测终端机</w:t>
            </w:r>
          </w:p>
        </w:tc>
        <w:tc>
          <w:tcPr>
            <w:tcW w:w="1993" w:type="pct"/>
          </w:tcPr>
          <w:p>
            <w:pPr>
              <w:pStyle w:val="183"/>
              <w:spacing w:line="240" w:lineRule="auto"/>
              <w:ind w:firstLine="0" w:firstLineChars="0"/>
              <w:jc w:val="left"/>
              <w:rPr>
                <w:rFonts w:hAnsi="宋体" w:cs="宋体"/>
                <w:sz w:val="21"/>
                <w:szCs w:val="21"/>
              </w:rPr>
            </w:pPr>
            <w:r>
              <w:rPr>
                <w:rFonts w:hint="eastAsia" w:hAnsi="宋体" w:cs="宋体"/>
                <w:sz w:val="21"/>
                <w:szCs w:val="21"/>
              </w:rPr>
              <w:t>1）数据自动上报。</w:t>
            </w:r>
          </w:p>
          <w:p>
            <w:pPr>
              <w:pStyle w:val="183"/>
              <w:spacing w:line="240" w:lineRule="auto"/>
              <w:ind w:firstLine="0" w:firstLineChars="0"/>
              <w:jc w:val="left"/>
              <w:rPr>
                <w:rFonts w:hAnsi="宋体" w:cs="宋体"/>
                <w:sz w:val="21"/>
                <w:szCs w:val="21"/>
              </w:rPr>
            </w:pPr>
            <w:r>
              <w:rPr>
                <w:rFonts w:hint="eastAsia" w:hAnsi="宋体" w:cs="宋体"/>
                <w:sz w:val="21"/>
                <w:szCs w:val="21"/>
              </w:rPr>
              <w:t>2）接受中心站远程设置和控制指令。</w:t>
            </w:r>
          </w:p>
          <w:p>
            <w:pPr>
              <w:pStyle w:val="183"/>
              <w:spacing w:line="240" w:lineRule="auto"/>
              <w:ind w:firstLine="0" w:firstLineChars="0"/>
              <w:jc w:val="left"/>
              <w:rPr>
                <w:rFonts w:hAnsi="宋体" w:cs="宋体"/>
                <w:sz w:val="21"/>
                <w:szCs w:val="21"/>
              </w:rPr>
            </w:pPr>
            <w:r>
              <w:rPr>
                <w:rFonts w:hint="eastAsia" w:hAnsi="宋体" w:cs="宋体"/>
                <w:sz w:val="21"/>
                <w:szCs w:val="21"/>
              </w:rPr>
              <w:t>3）全面支持4G全网通通信功能，向下兼容3G/2G通信模式。</w:t>
            </w:r>
          </w:p>
          <w:p>
            <w:pPr>
              <w:pStyle w:val="183"/>
              <w:spacing w:line="240" w:lineRule="auto"/>
              <w:ind w:firstLine="0" w:firstLineChars="0"/>
              <w:jc w:val="left"/>
              <w:rPr>
                <w:rFonts w:hAnsi="宋体" w:cs="宋体"/>
                <w:sz w:val="21"/>
                <w:szCs w:val="21"/>
              </w:rPr>
            </w:pPr>
            <w:r>
              <w:rPr>
                <w:rFonts w:hint="eastAsia" w:hAnsi="宋体" w:cs="宋体"/>
                <w:sz w:val="21"/>
                <w:szCs w:val="21"/>
              </w:rPr>
              <w:t>4）实时时钟自动校对和调整功能。</w:t>
            </w:r>
          </w:p>
          <w:p>
            <w:pPr>
              <w:pStyle w:val="183"/>
              <w:spacing w:line="240" w:lineRule="auto"/>
              <w:ind w:firstLine="0" w:firstLineChars="0"/>
              <w:jc w:val="left"/>
              <w:rPr>
                <w:rFonts w:hAnsi="宋体" w:cs="宋体"/>
                <w:sz w:val="21"/>
                <w:szCs w:val="21"/>
              </w:rPr>
            </w:pPr>
            <w:r>
              <w:rPr>
                <w:rFonts w:hint="eastAsia" w:hAnsi="宋体" w:cs="宋体"/>
                <w:sz w:val="21"/>
                <w:szCs w:val="21"/>
              </w:rPr>
              <w:t>5）可连接多种传感器，包括水位计、雨量计、风向风速仪等各种水文、气象传感器。</w:t>
            </w:r>
          </w:p>
          <w:p>
            <w:pPr>
              <w:pStyle w:val="183"/>
              <w:spacing w:line="240" w:lineRule="auto"/>
              <w:ind w:firstLine="0" w:firstLineChars="0"/>
              <w:jc w:val="left"/>
              <w:rPr>
                <w:rFonts w:hAnsi="宋体" w:cs="宋体"/>
                <w:sz w:val="21"/>
                <w:szCs w:val="21"/>
              </w:rPr>
            </w:pPr>
            <w:r>
              <w:rPr>
                <w:rFonts w:hint="eastAsia" w:hAnsi="宋体" w:cs="宋体"/>
                <w:sz w:val="21"/>
                <w:szCs w:val="21"/>
              </w:rPr>
              <w:t>6）支持多种通信方式，如GSM短信、GPRS/CDMA、北斗卫星等。</w:t>
            </w:r>
          </w:p>
          <w:p>
            <w:pPr>
              <w:pStyle w:val="183"/>
              <w:spacing w:line="240" w:lineRule="auto"/>
              <w:ind w:firstLine="0" w:firstLineChars="0"/>
              <w:jc w:val="left"/>
              <w:rPr>
                <w:rFonts w:hAnsi="宋体" w:cs="宋体"/>
                <w:sz w:val="21"/>
                <w:szCs w:val="21"/>
              </w:rPr>
            </w:pPr>
            <w:r>
              <w:rPr>
                <w:rFonts w:hint="eastAsia" w:hAnsi="宋体" w:cs="宋体"/>
                <w:sz w:val="21"/>
                <w:szCs w:val="21"/>
              </w:rPr>
              <w:t>7）太阳能供电，保证在无人值守条件下的长期稳定运行。</w:t>
            </w:r>
          </w:p>
          <w:p>
            <w:pPr>
              <w:pStyle w:val="183"/>
              <w:spacing w:line="240" w:lineRule="auto"/>
              <w:ind w:firstLine="0" w:firstLineChars="0"/>
              <w:jc w:val="left"/>
              <w:rPr>
                <w:rFonts w:hAnsi="宋体" w:cs="宋体"/>
                <w:sz w:val="21"/>
                <w:szCs w:val="21"/>
              </w:rPr>
            </w:pPr>
            <w:r>
              <w:rPr>
                <w:rFonts w:hint="eastAsia" w:hAnsi="宋体" w:cs="宋体"/>
                <w:sz w:val="21"/>
                <w:szCs w:val="21"/>
              </w:rPr>
              <w:t>8）可灵活配置的模块化结构，以适应各种不同的需求。</w:t>
            </w:r>
          </w:p>
          <w:p>
            <w:pPr>
              <w:pStyle w:val="183"/>
              <w:spacing w:line="240" w:lineRule="auto"/>
              <w:ind w:firstLine="0" w:firstLineChars="0"/>
              <w:jc w:val="left"/>
              <w:rPr>
                <w:rFonts w:hAnsi="宋体" w:cs="宋体"/>
                <w:sz w:val="21"/>
                <w:szCs w:val="21"/>
              </w:rPr>
            </w:pPr>
            <w:r>
              <w:rPr>
                <w:rFonts w:hint="eastAsia" w:hAnsi="宋体" w:cs="宋体"/>
                <w:sz w:val="21"/>
                <w:szCs w:val="21"/>
              </w:rPr>
              <w:t>9）防水等级可达IP68。</w:t>
            </w:r>
          </w:p>
          <w:p>
            <w:pPr>
              <w:pStyle w:val="183"/>
              <w:spacing w:line="240" w:lineRule="auto"/>
              <w:ind w:firstLine="0" w:firstLineChars="0"/>
              <w:jc w:val="left"/>
              <w:rPr>
                <w:rFonts w:hAnsi="宋体" w:cs="宋体"/>
                <w:sz w:val="21"/>
                <w:szCs w:val="21"/>
              </w:rPr>
            </w:pPr>
            <w:r>
              <w:rPr>
                <w:rFonts w:hint="eastAsia" w:hAnsi="宋体" w:cs="宋体"/>
                <w:sz w:val="21"/>
                <w:szCs w:val="21"/>
              </w:rPr>
              <w:t>★10）符合SL651-2014《水文数据监测通信规约》及SL180-2015《水文自动测报系统系统设备遥测终端机》；</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11）支持浙江省水文通信平台。</w:t>
            </w:r>
          </w:p>
          <w:p>
            <w:pPr>
              <w:pStyle w:val="183"/>
              <w:spacing w:line="240" w:lineRule="auto"/>
              <w:ind w:firstLine="0" w:firstLineChars="0"/>
              <w:jc w:val="left"/>
              <w:rPr>
                <w:rFonts w:hAnsi="宋体" w:cs="宋体"/>
                <w:sz w:val="21"/>
                <w:szCs w:val="21"/>
              </w:rPr>
            </w:pPr>
            <w:r>
              <w:rPr>
                <w:rFonts w:hint="eastAsia" w:hAnsi="宋体" w:cs="宋体"/>
                <w:sz w:val="21"/>
                <w:szCs w:val="21"/>
              </w:rPr>
              <w:t>12）电源输入：9-24V DC；</w:t>
            </w:r>
          </w:p>
          <w:p>
            <w:pPr>
              <w:pStyle w:val="183"/>
              <w:spacing w:line="240" w:lineRule="auto"/>
              <w:ind w:firstLine="0" w:firstLineChars="0"/>
              <w:jc w:val="left"/>
              <w:rPr>
                <w:rFonts w:hAnsi="宋体" w:cs="宋体"/>
                <w:sz w:val="21"/>
                <w:szCs w:val="21"/>
              </w:rPr>
            </w:pPr>
            <w:r>
              <w:rPr>
                <w:rFonts w:hint="eastAsia" w:hAnsi="宋体" w:cs="宋体"/>
                <w:sz w:val="21"/>
                <w:szCs w:val="21"/>
              </w:rPr>
              <w:t>13）电源输出：24V  100mA，5V  20mA，3路可控电源输出，除满足传感器电源控制外，可灵活实现下行控制功能。</w:t>
            </w:r>
          </w:p>
          <w:p>
            <w:pPr>
              <w:pStyle w:val="183"/>
              <w:spacing w:line="240" w:lineRule="auto"/>
              <w:ind w:firstLine="0" w:firstLineChars="0"/>
              <w:jc w:val="left"/>
              <w:rPr>
                <w:rFonts w:hAnsi="宋体" w:cs="宋体"/>
                <w:sz w:val="21"/>
                <w:szCs w:val="21"/>
              </w:rPr>
            </w:pPr>
            <w:r>
              <w:rPr>
                <w:rFonts w:hint="eastAsia" w:hAnsi="宋体" w:cs="宋体"/>
                <w:sz w:val="21"/>
                <w:szCs w:val="21"/>
              </w:rPr>
              <w:t>14）信号采集：2路RS485，2路RS232，可接入各种类型的外部传感器，并可扩展北斗等外部通信模块；2路模拟量采集（可扩展8~16路），可接入标准4-20mA变送器，可配置为各种传感器类型；2路脉冲/开关输入，除接入雨量桶外，还可实现报警监测，用于开箱报警等功能。</w:t>
            </w:r>
          </w:p>
          <w:p>
            <w:pPr>
              <w:pStyle w:val="183"/>
              <w:spacing w:line="240" w:lineRule="auto"/>
              <w:ind w:firstLine="0" w:firstLineChars="0"/>
              <w:jc w:val="left"/>
              <w:rPr>
                <w:rFonts w:hAnsi="宋体" w:cs="宋体"/>
                <w:sz w:val="21"/>
                <w:szCs w:val="21"/>
              </w:rPr>
            </w:pPr>
            <w:r>
              <w:rPr>
                <w:rFonts w:hint="eastAsia" w:hAnsi="宋体" w:cs="宋体"/>
                <w:sz w:val="21"/>
                <w:szCs w:val="21"/>
              </w:rPr>
              <w:t>★15）静态值守电流≤0.01mA，工作电流≤6mA；</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16）设备内置GPS模块，系统定期获取设备的位置信息，并上传平台，从而实现设备位置信息和数据的自动绑定，设备位置的交换将不会影响测站的数据统计。</w:t>
            </w:r>
          </w:p>
          <w:p>
            <w:pPr>
              <w:pStyle w:val="183"/>
              <w:spacing w:line="240" w:lineRule="auto"/>
              <w:ind w:firstLine="0" w:firstLineChars="0"/>
              <w:jc w:val="left"/>
              <w:rPr>
                <w:rFonts w:hAnsi="宋体" w:cs="宋体"/>
                <w:sz w:val="21"/>
                <w:szCs w:val="21"/>
              </w:rPr>
            </w:pPr>
            <w:r>
              <w:rPr>
                <w:rFonts w:hint="eastAsia" w:hAnsi="宋体" w:cs="宋体"/>
                <w:sz w:val="21"/>
                <w:szCs w:val="21"/>
              </w:rPr>
              <w:t>17）数据补发：遇到信号问题，基站问题，sim卡问题等情况，系统将暂存采集数据并待网络恢复后自前至后进行逐条补发。</w:t>
            </w:r>
          </w:p>
          <w:p>
            <w:pPr>
              <w:pStyle w:val="183"/>
              <w:spacing w:line="240" w:lineRule="auto"/>
              <w:ind w:firstLine="0" w:firstLineChars="0"/>
              <w:jc w:val="left"/>
              <w:rPr>
                <w:rFonts w:hAnsi="宋体" w:cs="宋体"/>
                <w:sz w:val="21"/>
                <w:szCs w:val="21"/>
              </w:rPr>
            </w:pPr>
            <w:r>
              <w:rPr>
                <w:rFonts w:hint="eastAsia" w:hAnsi="宋体" w:cs="宋体"/>
                <w:sz w:val="21"/>
                <w:szCs w:val="21"/>
              </w:rPr>
              <w:t>18）SD卡：支持MicroSD卡，可选配置；</w:t>
            </w:r>
          </w:p>
          <w:p>
            <w:pPr>
              <w:pStyle w:val="183"/>
              <w:spacing w:line="240" w:lineRule="auto"/>
              <w:ind w:firstLine="0" w:firstLineChars="0"/>
              <w:jc w:val="left"/>
              <w:rPr>
                <w:rFonts w:hAnsi="宋体" w:cs="宋体"/>
                <w:sz w:val="21"/>
                <w:szCs w:val="21"/>
              </w:rPr>
            </w:pPr>
            <w:r>
              <w:rPr>
                <w:rFonts w:hint="eastAsia" w:hAnsi="宋体" w:cs="宋体"/>
                <w:sz w:val="21"/>
                <w:szCs w:val="21"/>
              </w:rPr>
              <w:t>19）工作温度：-40℃至+70℃</w:t>
            </w:r>
          </w:p>
          <w:p>
            <w:pPr>
              <w:pStyle w:val="183"/>
              <w:spacing w:line="240" w:lineRule="auto"/>
              <w:ind w:firstLine="0" w:firstLineChars="0"/>
              <w:jc w:val="left"/>
              <w:rPr>
                <w:rFonts w:hAnsi="宋体" w:cs="宋体"/>
                <w:sz w:val="21"/>
                <w:szCs w:val="21"/>
              </w:rPr>
            </w:pPr>
            <w:r>
              <w:rPr>
                <w:rFonts w:hint="eastAsia" w:hAnsi="宋体" w:cs="宋体"/>
                <w:sz w:val="21"/>
                <w:szCs w:val="21"/>
              </w:rPr>
              <w:t>20）工作湿度：0-95%，不结露</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数据传输模块</w:t>
            </w:r>
          </w:p>
        </w:tc>
        <w:tc>
          <w:tcPr>
            <w:tcW w:w="1993" w:type="pct"/>
          </w:tcPr>
          <w:p>
            <w:pPr>
              <w:pStyle w:val="183"/>
              <w:spacing w:line="240" w:lineRule="auto"/>
              <w:ind w:firstLine="0" w:firstLineChars="0"/>
              <w:rPr>
                <w:rFonts w:hAnsi="宋体" w:cs="宋体"/>
                <w:sz w:val="21"/>
                <w:szCs w:val="21"/>
              </w:rPr>
            </w:pPr>
            <w:r>
              <w:rPr>
                <w:rFonts w:hint="eastAsia" w:hAnsi="宋体" w:cs="宋体"/>
                <w:sz w:val="21"/>
                <w:szCs w:val="21"/>
              </w:rPr>
              <w:t>1）4G全网通数据通讯模块；</w:t>
            </w:r>
          </w:p>
          <w:p>
            <w:pPr>
              <w:pStyle w:val="183"/>
              <w:spacing w:line="240" w:lineRule="auto"/>
              <w:ind w:firstLine="0" w:firstLineChars="0"/>
              <w:rPr>
                <w:rFonts w:hAnsi="宋体" w:cs="宋体"/>
                <w:sz w:val="21"/>
                <w:szCs w:val="21"/>
              </w:rPr>
            </w:pPr>
            <w:r>
              <w:rPr>
                <w:rFonts w:hint="eastAsia" w:hAnsi="宋体" w:cs="宋体"/>
                <w:sz w:val="21"/>
                <w:szCs w:val="21"/>
              </w:rPr>
              <w:t>2）工作电流：≤230 mA，值守电流：≤12 mA，供电电压范围：10～30V；具有抗电磁干扰、过载和短路保护的功能；</w:t>
            </w:r>
          </w:p>
          <w:p>
            <w:pPr>
              <w:pStyle w:val="183"/>
              <w:spacing w:line="240" w:lineRule="auto"/>
              <w:ind w:firstLine="0" w:firstLineChars="0"/>
              <w:rPr>
                <w:rFonts w:hAnsi="宋体" w:cs="宋体"/>
                <w:sz w:val="21"/>
                <w:szCs w:val="21"/>
              </w:rPr>
            </w:pPr>
            <w:r>
              <w:rPr>
                <w:rFonts w:hint="eastAsia" w:hAnsi="宋体" w:cs="宋体"/>
                <w:sz w:val="21"/>
                <w:szCs w:val="21"/>
              </w:rPr>
              <w:t>3）工作温度：-20℃～65℃；存储温度：-20℃～85℃；</w:t>
            </w:r>
          </w:p>
          <w:p>
            <w:pPr>
              <w:pStyle w:val="183"/>
              <w:spacing w:line="240" w:lineRule="auto"/>
              <w:ind w:firstLine="0" w:firstLineChars="0"/>
              <w:rPr>
                <w:rFonts w:hAnsi="宋体" w:cs="宋体"/>
                <w:sz w:val="21"/>
                <w:szCs w:val="21"/>
              </w:rPr>
            </w:pPr>
            <w:r>
              <w:rPr>
                <w:rFonts w:hint="eastAsia" w:hAnsi="宋体" w:cs="宋体"/>
                <w:sz w:val="21"/>
                <w:szCs w:val="21"/>
              </w:rPr>
              <w:t>4）接口形式：RS-485/RS-232C，实时数据透明无线传输；</w:t>
            </w:r>
          </w:p>
          <w:p>
            <w:pPr>
              <w:pStyle w:val="183"/>
              <w:spacing w:line="240" w:lineRule="auto"/>
              <w:ind w:firstLine="0" w:firstLineChars="0"/>
              <w:rPr>
                <w:rFonts w:hAnsi="宋体" w:cs="宋体"/>
                <w:sz w:val="21"/>
                <w:szCs w:val="21"/>
              </w:rPr>
            </w:pPr>
            <w:r>
              <w:rPr>
                <w:rFonts w:hint="eastAsia" w:hAnsi="宋体" w:cs="宋体"/>
                <w:sz w:val="21"/>
                <w:szCs w:val="21"/>
              </w:rPr>
              <w:t>5）协议：内嵌 PPP、TCP/IP、UDP/IP协议，包括 TCP、UDP等；</w:t>
            </w:r>
          </w:p>
          <w:p>
            <w:pPr>
              <w:pStyle w:val="183"/>
              <w:spacing w:line="240" w:lineRule="auto"/>
              <w:ind w:firstLine="0" w:firstLineChars="0"/>
              <w:rPr>
                <w:rFonts w:hAnsi="宋体" w:cs="宋体"/>
                <w:sz w:val="21"/>
                <w:szCs w:val="21"/>
              </w:rPr>
            </w:pPr>
            <w:r>
              <w:rPr>
                <w:rFonts w:hint="eastAsia" w:hAnsi="宋体" w:cs="宋体"/>
                <w:sz w:val="21"/>
                <w:szCs w:val="21"/>
              </w:rPr>
              <w:t>6）传输方式：支持域名解析，支持 AT指令集，SMS。</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8.4</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太阳能供电系统</w:t>
            </w:r>
          </w:p>
        </w:tc>
        <w:tc>
          <w:tcPr>
            <w:tcW w:w="1993" w:type="pct"/>
          </w:tcPr>
          <w:p>
            <w:pPr>
              <w:widowControl/>
              <w:jc w:val="left"/>
              <w:rPr>
                <w:rFonts w:ascii="宋体" w:hAnsi="宋体" w:cs="宋体"/>
                <w:kern w:val="0"/>
                <w:szCs w:val="21"/>
              </w:rPr>
            </w:pPr>
            <w:r>
              <w:rPr>
                <w:rFonts w:hint="eastAsia" w:ascii="宋体" w:hAnsi="宋体" w:cs="宋体"/>
                <w:kern w:val="0"/>
                <w:szCs w:val="21"/>
              </w:rPr>
              <w:t>含12V/70AH蓄电池、18V/30W太阳能板，充电控制器充电电流不小于10A</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机箱</w:t>
            </w:r>
          </w:p>
        </w:tc>
        <w:tc>
          <w:tcPr>
            <w:tcW w:w="1993" w:type="pct"/>
            <w:vAlign w:val="center"/>
          </w:tcPr>
          <w:p>
            <w:pPr>
              <w:widowControl/>
              <w:jc w:val="left"/>
              <w:rPr>
                <w:rFonts w:ascii="宋体" w:hAnsi="宋体" w:cs="宋体"/>
                <w:kern w:val="0"/>
                <w:szCs w:val="21"/>
              </w:rPr>
            </w:pPr>
            <w:r>
              <w:rPr>
                <w:rFonts w:hint="eastAsia" w:ascii="宋体" w:hAnsi="宋体" w:cs="宋体"/>
                <w:kern w:val="0"/>
                <w:szCs w:val="21"/>
              </w:rPr>
              <w:t>600*800*450mm，3</w:t>
            </w:r>
            <w:r>
              <w:rPr>
                <w:rFonts w:ascii="宋体" w:hAnsi="宋体" w:cs="宋体"/>
                <w:kern w:val="0"/>
                <w:szCs w:val="21"/>
              </w:rPr>
              <w:t>04</w:t>
            </w:r>
            <w:r>
              <w:rPr>
                <w:rFonts w:hint="eastAsia" w:ascii="宋体" w:hAnsi="宋体" w:cs="宋体"/>
                <w:kern w:val="0"/>
                <w:szCs w:val="21"/>
              </w:rPr>
              <w:t>不锈钢室外防水箱，根据用户要求在箱体上印刷水文专用、危险警示等标识，带锁。防护等级：IP55。</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防雷接地系统</w:t>
            </w:r>
          </w:p>
        </w:tc>
        <w:tc>
          <w:tcPr>
            <w:tcW w:w="1993" w:type="pct"/>
          </w:tcPr>
          <w:p>
            <w:pPr>
              <w:widowControl/>
              <w:jc w:val="left"/>
              <w:rPr>
                <w:rFonts w:ascii="宋体" w:hAnsi="宋体" w:cs="宋体"/>
                <w:kern w:val="0"/>
                <w:szCs w:val="21"/>
              </w:rPr>
            </w:pPr>
            <w:r>
              <w:rPr>
                <w:rFonts w:hint="eastAsia" w:ascii="宋体" w:hAnsi="宋体" w:cs="宋体"/>
                <w:kern w:val="0"/>
                <w:szCs w:val="21"/>
              </w:rPr>
              <w:t>角钢6.3×2500mm共5根，50×5mm的扁铁20m，保证防雷接地电阻值小于10Ω。</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8.7</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安装调试</w:t>
            </w:r>
          </w:p>
        </w:tc>
        <w:tc>
          <w:tcPr>
            <w:tcW w:w="1993" w:type="pct"/>
          </w:tcPr>
          <w:p>
            <w:pPr>
              <w:widowControl/>
              <w:jc w:val="left"/>
              <w:rPr>
                <w:rFonts w:ascii="宋体" w:hAnsi="宋体" w:cs="宋体"/>
                <w:kern w:val="0"/>
                <w:szCs w:val="21"/>
              </w:rPr>
            </w:pPr>
            <w:r>
              <w:rPr>
                <w:rFonts w:hint="eastAsia" w:ascii="宋体" w:hAnsi="宋体" w:cs="宋体"/>
                <w:kern w:val="0"/>
                <w:szCs w:val="21"/>
              </w:rPr>
              <w:t>现场安装调试</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9</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无人机测流系统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无人机飞行平台（含飞行器、地面控制站、RTK差分基站、机载摄像机、遥控器及电台）</w:t>
            </w:r>
          </w:p>
        </w:tc>
        <w:tc>
          <w:tcPr>
            <w:tcW w:w="1993" w:type="pct"/>
            <w:vAlign w:val="center"/>
          </w:tcPr>
          <w:p>
            <w:pPr>
              <w:widowControl/>
              <w:jc w:val="left"/>
              <w:rPr>
                <w:rFonts w:ascii="宋体" w:hAnsi="宋体" w:cs="宋体"/>
                <w:kern w:val="0"/>
                <w:szCs w:val="21"/>
              </w:rPr>
            </w:pPr>
            <w:r>
              <w:rPr>
                <w:rFonts w:hint="eastAsia" w:ascii="宋体" w:hAnsi="宋体" w:cs="宋体"/>
                <w:kern w:val="0"/>
                <w:szCs w:val="21"/>
              </w:rPr>
              <w:t>1）功能要求</w:t>
            </w:r>
          </w:p>
          <w:p>
            <w:pPr>
              <w:widowControl/>
              <w:jc w:val="left"/>
              <w:rPr>
                <w:rFonts w:ascii="宋体" w:hAnsi="宋体" w:cs="宋体"/>
                <w:kern w:val="0"/>
                <w:szCs w:val="21"/>
              </w:rPr>
            </w:pPr>
            <w:r>
              <w:rPr>
                <w:rFonts w:hint="eastAsia" w:ascii="宋体" w:hAnsi="宋体" w:cs="宋体"/>
                <w:kern w:val="0"/>
                <w:szCs w:val="21"/>
              </w:rPr>
              <w:t>支持自主航线规划、自主航线飞行、一键起降、一键返航、低电量自动返航、失控返航功能；</w:t>
            </w:r>
          </w:p>
          <w:p>
            <w:pPr>
              <w:widowControl/>
              <w:jc w:val="left"/>
              <w:rPr>
                <w:rFonts w:ascii="宋体" w:hAnsi="宋体" w:cs="宋体"/>
                <w:kern w:val="0"/>
                <w:szCs w:val="21"/>
              </w:rPr>
            </w:pPr>
            <w:r>
              <w:rPr>
                <w:rFonts w:hint="eastAsia" w:ascii="宋体" w:hAnsi="宋体" w:cs="宋体"/>
                <w:kern w:val="0"/>
                <w:szCs w:val="21"/>
              </w:rPr>
              <w:t>具备航点规划功能，可自主航线飞行，飞行轨迹、飞行器实时位置可显示，按航线飞行中可暂停、继续或终止，任务中可变更高度、速度设置，支持GNSS 信息导入，支持航线信息另存、导入导出；</w:t>
            </w:r>
          </w:p>
          <w:p>
            <w:pPr>
              <w:widowControl/>
              <w:jc w:val="left"/>
              <w:rPr>
                <w:rFonts w:ascii="宋体" w:hAnsi="宋体" w:cs="宋体"/>
                <w:kern w:val="0"/>
                <w:szCs w:val="21"/>
              </w:rPr>
            </w:pPr>
            <w:r>
              <w:rPr>
                <w:rFonts w:hint="eastAsia" w:ascii="宋体" w:hAnsi="宋体" w:cs="宋体"/>
                <w:kern w:val="0"/>
                <w:szCs w:val="21"/>
              </w:rPr>
              <w:t>具备二维地图合成功能，可切换和缩放卫星地图与二维地图，显示坐标点GPS信息，支持地图选点、飞行器定点；支持区内模式和扫描模式；</w:t>
            </w:r>
          </w:p>
          <w:p>
            <w:pPr>
              <w:widowControl/>
              <w:jc w:val="left"/>
              <w:rPr>
                <w:rFonts w:ascii="宋体" w:hAnsi="宋体" w:cs="宋体"/>
                <w:kern w:val="0"/>
                <w:szCs w:val="21"/>
              </w:rPr>
            </w:pPr>
            <w:r>
              <w:rPr>
                <w:rFonts w:hint="eastAsia" w:ascii="宋体" w:hAnsi="宋体" w:cs="宋体"/>
                <w:kern w:val="0"/>
                <w:szCs w:val="21"/>
              </w:rPr>
              <w:t>可实时显示飞行器系统监测数据，包含：GNSS 状态、数据链路信号强度、电池电压、飞行状态参数以及异常自动报警；</w:t>
            </w:r>
          </w:p>
          <w:p>
            <w:pPr>
              <w:widowControl/>
              <w:jc w:val="left"/>
              <w:rPr>
                <w:rFonts w:ascii="宋体" w:hAnsi="宋体" w:cs="宋体"/>
                <w:kern w:val="0"/>
                <w:szCs w:val="21"/>
              </w:rPr>
            </w:pPr>
            <w:r>
              <w:rPr>
                <w:rFonts w:hint="eastAsia" w:ascii="宋体" w:hAnsi="宋体" w:cs="宋体"/>
                <w:kern w:val="0"/>
                <w:szCs w:val="21"/>
              </w:rPr>
              <w:t>具有测流模式，按照无人机测流工作流程进行自动化测流作业；</w:t>
            </w:r>
          </w:p>
          <w:p>
            <w:pPr>
              <w:widowControl/>
              <w:jc w:val="left"/>
              <w:rPr>
                <w:rFonts w:ascii="宋体" w:hAnsi="宋体" w:cs="宋体"/>
                <w:kern w:val="0"/>
                <w:szCs w:val="21"/>
              </w:rPr>
            </w:pPr>
            <w:r>
              <w:rPr>
                <w:rFonts w:hint="eastAsia" w:ascii="宋体" w:hAnsi="宋体" w:cs="宋体"/>
                <w:kern w:val="0"/>
                <w:szCs w:val="21"/>
              </w:rPr>
              <w:t>航线规划：支持.kml、.kmz 文件直接生成航线；支持多机型多比例尺标准航线；</w:t>
            </w:r>
          </w:p>
          <w:p>
            <w:pPr>
              <w:widowControl/>
              <w:jc w:val="left"/>
              <w:rPr>
                <w:rFonts w:ascii="宋体" w:hAnsi="宋体" w:cs="宋体"/>
                <w:kern w:val="0"/>
                <w:szCs w:val="21"/>
              </w:rPr>
            </w:pPr>
            <w:r>
              <w:rPr>
                <w:rFonts w:hint="eastAsia" w:ascii="宋体" w:hAnsi="宋体" w:cs="宋体"/>
                <w:kern w:val="0"/>
                <w:szCs w:val="21"/>
              </w:rPr>
              <w:t>整机采用快拆式模组设计，芯通用，机多能，各模组可快速拆装更换；</w:t>
            </w:r>
          </w:p>
          <w:p>
            <w:pPr>
              <w:widowControl/>
              <w:jc w:val="left"/>
              <w:rPr>
                <w:rFonts w:ascii="宋体" w:hAnsi="宋体" w:cs="宋体"/>
                <w:kern w:val="0"/>
                <w:szCs w:val="21"/>
              </w:rPr>
            </w:pPr>
            <w:r>
              <w:rPr>
                <w:rFonts w:hint="eastAsia" w:ascii="宋体" w:hAnsi="宋体" w:cs="宋体"/>
                <w:kern w:val="0"/>
                <w:szCs w:val="21"/>
              </w:rPr>
              <w:t>具备大载重、长航时的特点，可快速插拔更换多种任务载荷，具有前置和下置两个载荷挂载点，支持双载荷同时作业；</w:t>
            </w:r>
          </w:p>
          <w:p>
            <w:pPr>
              <w:widowControl/>
              <w:jc w:val="left"/>
              <w:rPr>
                <w:rFonts w:ascii="宋体" w:hAnsi="宋体" w:cs="宋体"/>
                <w:kern w:val="0"/>
                <w:szCs w:val="21"/>
              </w:rPr>
            </w:pPr>
            <w:r>
              <w:rPr>
                <w:rFonts w:hint="eastAsia" w:ascii="宋体" w:hAnsi="宋体" w:cs="宋体"/>
                <w:kern w:val="0"/>
                <w:szCs w:val="21"/>
              </w:rPr>
              <w:t>标配双余度工业级高精度惯导，具备RTK差分定位和双天线测向功能；</w:t>
            </w:r>
          </w:p>
          <w:p>
            <w:pPr>
              <w:widowControl/>
              <w:jc w:val="left"/>
              <w:rPr>
                <w:rFonts w:ascii="宋体" w:hAnsi="宋体" w:cs="宋体"/>
                <w:kern w:val="0"/>
                <w:szCs w:val="21"/>
              </w:rPr>
            </w:pPr>
            <w:r>
              <w:rPr>
                <w:rFonts w:hint="eastAsia" w:ascii="宋体" w:hAnsi="宋体" w:cs="宋体"/>
                <w:kern w:val="0"/>
                <w:szCs w:val="21"/>
              </w:rPr>
              <w:t>无人机具备低电压保护、失控保护、断桨保护等安全保障功能。</w:t>
            </w:r>
          </w:p>
          <w:p>
            <w:pPr>
              <w:widowControl/>
              <w:jc w:val="left"/>
              <w:rPr>
                <w:rFonts w:ascii="宋体" w:hAnsi="宋体" w:cs="宋体"/>
                <w:kern w:val="0"/>
                <w:szCs w:val="21"/>
              </w:rPr>
            </w:pPr>
            <w:r>
              <w:rPr>
                <w:rFonts w:hint="eastAsia" w:ascii="宋体" w:hAnsi="宋体" w:cs="宋体"/>
                <w:kern w:val="0"/>
                <w:szCs w:val="21"/>
              </w:rPr>
              <w:t>2）无人机性能参数要求</w:t>
            </w:r>
          </w:p>
          <w:p>
            <w:pPr>
              <w:widowControl/>
              <w:jc w:val="left"/>
              <w:rPr>
                <w:rFonts w:ascii="宋体" w:hAnsi="宋体" w:cs="宋体"/>
                <w:kern w:val="0"/>
                <w:szCs w:val="21"/>
              </w:rPr>
            </w:pPr>
            <w:r>
              <w:rPr>
                <w:rFonts w:hint="eastAsia" w:ascii="宋体" w:hAnsi="宋体" w:cs="宋体"/>
                <w:kern w:val="0"/>
                <w:szCs w:val="21"/>
              </w:rPr>
              <w:t>机型：六旋翼无人机；</w:t>
            </w:r>
            <w:r>
              <w:rPr>
                <w:rFonts w:ascii="宋体" w:hAnsi="宋体" w:cs="宋体"/>
                <w:kern w:val="0"/>
                <w:szCs w:val="21"/>
              </w:rPr>
              <w:t xml:space="preserve"> </w:t>
            </w:r>
          </w:p>
          <w:p>
            <w:pPr>
              <w:widowControl/>
              <w:jc w:val="left"/>
              <w:rPr>
                <w:rFonts w:ascii="宋体" w:hAnsi="宋体" w:cs="宋体"/>
                <w:kern w:val="0"/>
                <w:szCs w:val="21"/>
              </w:rPr>
            </w:pPr>
            <w:r>
              <w:rPr>
                <w:rFonts w:hint="eastAsia" w:ascii="宋体" w:hAnsi="宋体" w:cs="宋体"/>
                <w:kern w:val="0"/>
                <w:szCs w:val="21"/>
              </w:rPr>
              <w:t>插拔式机臂设计；</w:t>
            </w:r>
          </w:p>
          <w:p>
            <w:pPr>
              <w:widowControl/>
              <w:jc w:val="left"/>
              <w:rPr>
                <w:rFonts w:ascii="宋体" w:hAnsi="宋体" w:cs="宋体"/>
                <w:kern w:val="0"/>
                <w:szCs w:val="21"/>
              </w:rPr>
            </w:pPr>
            <w:r>
              <w:rPr>
                <w:rFonts w:hint="eastAsia" w:ascii="宋体" w:hAnsi="宋体" w:cs="宋体"/>
                <w:kern w:val="0"/>
                <w:szCs w:val="21"/>
              </w:rPr>
              <w:t>机身为碳纤维复合材料；</w:t>
            </w:r>
          </w:p>
          <w:p>
            <w:pPr>
              <w:widowControl/>
              <w:jc w:val="left"/>
              <w:rPr>
                <w:rFonts w:ascii="宋体" w:hAnsi="宋体" w:cs="宋体"/>
                <w:kern w:val="0"/>
                <w:szCs w:val="21"/>
              </w:rPr>
            </w:pPr>
            <w:r>
              <w:rPr>
                <w:rFonts w:hint="eastAsia" w:ascii="宋体" w:hAnsi="宋体" w:cs="宋体"/>
                <w:kern w:val="0"/>
                <w:szCs w:val="21"/>
              </w:rPr>
              <w:t xml:space="preserve">轴距：≥1550mm； </w:t>
            </w:r>
          </w:p>
          <w:p>
            <w:pPr>
              <w:widowControl/>
              <w:jc w:val="left"/>
              <w:rPr>
                <w:rFonts w:ascii="宋体" w:hAnsi="宋体" w:cs="宋体"/>
                <w:kern w:val="0"/>
                <w:szCs w:val="21"/>
              </w:rPr>
            </w:pPr>
            <w:r>
              <w:rPr>
                <w:rFonts w:hint="eastAsia" w:ascii="宋体" w:hAnsi="宋体" w:cs="宋体"/>
                <w:kern w:val="0"/>
                <w:szCs w:val="21"/>
              </w:rPr>
              <w:t>具有断桨保护功能；</w:t>
            </w:r>
          </w:p>
          <w:p>
            <w:pPr>
              <w:widowControl/>
              <w:jc w:val="left"/>
              <w:rPr>
                <w:rFonts w:ascii="宋体" w:hAnsi="宋体" w:cs="宋体"/>
                <w:kern w:val="0"/>
                <w:szCs w:val="21"/>
              </w:rPr>
            </w:pPr>
            <w:r>
              <w:rPr>
                <w:rFonts w:hint="eastAsia" w:ascii="宋体" w:hAnsi="宋体" w:cs="宋体"/>
                <w:kern w:val="0"/>
                <w:szCs w:val="21"/>
              </w:rPr>
              <w:t>最大起飞重量：≥19kg；</w:t>
            </w:r>
            <w:r>
              <w:rPr>
                <w:rFonts w:ascii="宋体" w:hAnsi="宋体" w:cs="宋体"/>
                <w:kern w:val="0"/>
                <w:szCs w:val="21"/>
              </w:rPr>
              <w:t xml:space="preserve"> </w:t>
            </w:r>
          </w:p>
          <w:p>
            <w:pPr>
              <w:widowControl/>
              <w:jc w:val="left"/>
              <w:rPr>
                <w:rFonts w:ascii="宋体" w:hAnsi="宋体" w:cs="宋体"/>
                <w:kern w:val="0"/>
                <w:szCs w:val="21"/>
              </w:rPr>
            </w:pPr>
            <w:r>
              <w:rPr>
                <w:rFonts w:hint="eastAsia" w:ascii="宋体" w:hAnsi="宋体" w:cs="宋体"/>
                <w:kern w:val="0"/>
                <w:szCs w:val="21"/>
              </w:rPr>
              <w:t xml:space="preserve">最大有效载荷：≥8kg； </w:t>
            </w:r>
          </w:p>
          <w:p>
            <w:pPr>
              <w:widowControl/>
              <w:jc w:val="left"/>
              <w:rPr>
                <w:rFonts w:ascii="宋体" w:hAnsi="宋体" w:cs="宋体"/>
                <w:kern w:val="0"/>
                <w:szCs w:val="21"/>
              </w:rPr>
            </w:pPr>
            <w:r>
              <w:rPr>
                <w:rFonts w:hint="eastAsia" w:ascii="宋体" w:hAnsi="宋体" w:cs="宋体"/>
                <w:kern w:val="0"/>
                <w:szCs w:val="21"/>
              </w:rPr>
              <w:t>最大旋转角速度：俯仰角220°/s；航向轴：60°/s；</w:t>
            </w:r>
          </w:p>
          <w:p>
            <w:pPr>
              <w:widowControl/>
              <w:jc w:val="left"/>
              <w:rPr>
                <w:rFonts w:ascii="宋体" w:hAnsi="宋体" w:cs="宋体"/>
                <w:kern w:val="0"/>
                <w:szCs w:val="21"/>
              </w:rPr>
            </w:pPr>
            <w:r>
              <w:rPr>
                <w:rFonts w:hint="eastAsia" w:ascii="宋体" w:hAnsi="宋体" w:cs="宋体"/>
                <w:kern w:val="0"/>
                <w:szCs w:val="21"/>
              </w:rPr>
              <w:t>能源系统：智能电池模块；</w:t>
            </w:r>
          </w:p>
          <w:p>
            <w:pPr>
              <w:widowControl/>
              <w:jc w:val="left"/>
              <w:rPr>
                <w:rFonts w:ascii="宋体" w:hAnsi="宋体" w:cs="宋体"/>
                <w:kern w:val="0"/>
                <w:szCs w:val="21"/>
              </w:rPr>
            </w:pPr>
            <w:r>
              <w:rPr>
                <w:rFonts w:hint="eastAsia" w:ascii="宋体" w:hAnsi="宋体" w:cs="宋体"/>
                <w:szCs w:val="21"/>
              </w:rPr>
              <w:t>★</w:t>
            </w:r>
            <w:r>
              <w:rPr>
                <w:rFonts w:hint="eastAsia" w:ascii="宋体" w:hAnsi="宋体" w:cs="宋体"/>
                <w:kern w:val="0"/>
                <w:szCs w:val="21"/>
              </w:rPr>
              <w:t>最大续航时间：空载≥75min，满载≥45min</w:t>
            </w:r>
            <w:r>
              <w:rPr>
                <w:rFonts w:hint="eastAsia" w:ascii="宋体" w:hAnsi="宋体" w:cs="宋体"/>
                <w:b/>
                <w:bCs/>
                <w:szCs w:val="21"/>
              </w:rPr>
              <w:t>（</w:t>
            </w:r>
            <w:r>
              <w:rPr>
                <w:rFonts w:hint="eastAsia" w:ascii="宋体" w:hAnsi="宋体" w:cs="宋体"/>
                <w:b/>
                <w:bCs/>
                <w:szCs w:val="21"/>
                <w:lang w:eastAsia="zh-CN"/>
              </w:rPr>
              <w:t>中标公示结束后五个工作日内</w:t>
            </w:r>
            <w:r>
              <w:rPr>
                <w:rFonts w:hint="eastAsia" w:ascii="宋体" w:hAnsi="宋体" w:cs="宋体"/>
                <w:b/>
                <w:bCs/>
                <w:szCs w:val="21"/>
              </w:rPr>
              <w:t>提供国家认可的第三方检测机构出具的检测报告原件扫描件，并加盖投标产品制造商公章）</w:t>
            </w:r>
          </w:p>
          <w:p>
            <w:pPr>
              <w:widowControl/>
              <w:jc w:val="left"/>
              <w:rPr>
                <w:rFonts w:ascii="宋体" w:hAnsi="宋体" w:cs="宋体"/>
                <w:kern w:val="0"/>
                <w:szCs w:val="21"/>
              </w:rPr>
            </w:pPr>
            <w:r>
              <w:rPr>
                <w:rFonts w:hint="eastAsia" w:ascii="宋体" w:hAnsi="宋体" w:cs="宋体"/>
                <w:kern w:val="0"/>
                <w:szCs w:val="21"/>
              </w:rPr>
              <w:t>最大测控距离：20km；</w:t>
            </w:r>
          </w:p>
          <w:p>
            <w:pPr>
              <w:widowControl/>
              <w:jc w:val="left"/>
              <w:rPr>
                <w:rFonts w:ascii="宋体" w:hAnsi="宋体" w:cs="宋体"/>
                <w:kern w:val="0"/>
                <w:szCs w:val="21"/>
              </w:rPr>
            </w:pPr>
            <w:r>
              <w:rPr>
                <w:rFonts w:hint="eastAsia" w:ascii="宋体" w:hAnsi="宋体" w:cs="宋体"/>
                <w:kern w:val="0"/>
                <w:szCs w:val="21"/>
              </w:rPr>
              <w:t xml:space="preserve">最大飞行速度：≥50km/h； </w:t>
            </w:r>
          </w:p>
          <w:p>
            <w:pPr>
              <w:widowControl/>
              <w:jc w:val="left"/>
              <w:rPr>
                <w:rFonts w:ascii="宋体" w:hAnsi="宋体" w:cs="宋体"/>
                <w:kern w:val="0"/>
                <w:szCs w:val="21"/>
              </w:rPr>
            </w:pPr>
            <w:r>
              <w:rPr>
                <w:rFonts w:hint="eastAsia" w:ascii="宋体" w:hAnsi="宋体" w:cs="宋体"/>
                <w:kern w:val="0"/>
                <w:szCs w:val="21"/>
              </w:rPr>
              <w:t xml:space="preserve">最大上升速度：≥5 m/s； </w:t>
            </w:r>
          </w:p>
          <w:p>
            <w:pPr>
              <w:widowControl/>
              <w:jc w:val="left"/>
              <w:rPr>
                <w:rFonts w:ascii="宋体" w:hAnsi="宋体" w:cs="宋体"/>
                <w:kern w:val="0"/>
                <w:szCs w:val="21"/>
              </w:rPr>
            </w:pPr>
            <w:r>
              <w:rPr>
                <w:rFonts w:hint="eastAsia" w:ascii="宋体" w:hAnsi="宋体" w:cs="宋体"/>
                <w:kern w:val="0"/>
                <w:szCs w:val="21"/>
              </w:rPr>
              <w:t xml:space="preserve">最大下降速度：≥4 m/s； </w:t>
            </w:r>
          </w:p>
          <w:p>
            <w:pPr>
              <w:widowControl/>
              <w:jc w:val="left"/>
              <w:rPr>
                <w:rFonts w:ascii="宋体" w:hAnsi="宋体" w:cs="宋体"/>
                <w:kern w:val="0"/>
                <w:szCs w:val="21"/>
              </w:rPr>
            </w:pPr>
            <w:r>
              <w:rPr>
                <w:rFonts w:hint="eastAsia" w:ascii="宋体" w:hAnsi="宋体" w:cs="宋体"/>
                <w:kern w:val="0"/>
                <w:szCs w:val="21"/>
              </w:rPr>
              <w:t>最大飞行海拔高度：5000m</w:t>
            </w:r>
          </w:p>
          <w:p>
            <w:pPr>
              <w:widowControl/>
              <w:jc w:val="left"/>
              <w:rPr>
                <w:rFonts w:ascii="宋体" w:hAnsi="宋体" w:cs="宋体"/>
                <w:kern w:val="0"/>
                <w:szCs w:val="21"/>
              </w:rPr>
            </w:pPr>
            <w:r>
              <w:rPr>
                <w:rFonts w:hint="eastAsia" w:ascii="宋体" w:hAnsi="宋体" w:cs="宋体"/>
                <w:kern w:val="0"/>
                <w:szCs w:val="21"/>
              </w:rPr>
              <w:t>防护等级：IP45；</w:t>
            </w:r>
          </w:p>
          <w:p>
            <w:pPr>
              <w:widowControl/>
              <w:jc w:val="left"/>
              <w:rPr>
                <w:rFonts w:ascii="宋体" w:hAnsi="宋体" w:cs="宋体"/>
                <w:kern w:val="0"/>
                <w:szCs w:val="21"/>
              </w:rPr>
            </w:pPr>
            <w:r>
              <w:rPr>
                <w:rFonts w:hint="eastAsia" w:ascii="宋体" w:hAnsi="宋体" w:cs="宋体"/>
                <w:kern w:val="0"/>
                <w:szCs w:val="21"/>
              </w:rPr>
              <w:t>最大抗风等级：6级；</w:t>
            </w:r>
          </w:p>
          <w:p>
            <w:pPr>
              <w:widowControl/>
              <w:jc w:val="left"/>
              <w:rPr>
                <w:rFonts w:ascii="宋体" w:hAnsi="宋体" w:cs="宋体"/>
                <w:kern w:val="0"/>
                <w:szCs w:val="21"/>
              </w:rPr>
            </w:pPr>
            <w:r>
              <w:rPr>
                <w:rFonts w:hint="eastAsia" w:ascii="宋体" w:hAnsi="宋体" w:cs="宋体"/>
                <w:kern w:val="0"/>
                <w:szCs w:val="21"/>
              </w:rPr>
              <w:t>工作环境温度： -20℃至50℃；</w:t>
            </w:r>
          </w:p>
          <w:p>
            <w:pPr>
              <w:widowControl/>
              <w:jc w:val="left"/>
              <w:rPr>
                <w:rFonts w:ascii="宋体" w:hAnsi="宋体" w:cs="宋体"/>
                <w:kern w:val="0"/>
                <w:szCs w:val="21"/>
              </w:rPr>
            </w:pPr>
            <w:r>
              <w:rPr>
                <w:rFonts w:hint="eastAsia" w:ascii="宋体" w:hAnsi="宋体" w:cs="宋体"/>
                <w:kern w:val="0"/>
                <w:szCs w:val="21"/>
              </w:rPr>
              <w:t>贮存环境温度：-40℃至65℃；</w:t>
            </w:r>
          </w:p>
          <w:p>
            <w:pPr>
              <w:widowControl/>
              <w:jc w:val="left"/>
              <w:rPr>
                <w:rFonts w:ascii="宋体" w:hAnsi="宋体" w:cs="宋体"/>
                <w:kern w:val="0"/>
                <w:szCs w:val="21"/>
              </w:rPr>
            </w:pPr>
            <w:r>
              <w:rPr>
                <w:rFonts w:hint="eastAsia" w:ascii="宋体" w:hAnsi="宋体" w:cs="宋体"/>
                <w:kern w:val="0"/>
                <w:szCs w:val="21"/>
              </w:rPr>
              <w:t>包含1人次的行业协会ASFC培训并取得相关资格证书；</w:t>
            </w:r>
          </w:p>
          <w:p>
            <w:pPr>
              <w:widowControl/>
              <w:jc w:val="left"/>
              <w:rPr>
                <w:rFonts w:ascii="宋体" w:hAnsi="宋体" w:cs="宋体"/>
                <w:kern w:val="0"/>
                <w:szCs w:val="21"/>
              </w:rPr>
            </w:pPr>
            <w:r>
              <w:rPr>
                <w:rFonts w:hint="eastAsia" w:ascii="宋体" w:hAnsi="宋体" w:cs="宋体"/>
                <w:kern w:val="0"/>
                <w:szCs w:val="21"/>
              </w:rPr>
              <w:t>整机质保3年。</w:t>
            </w:r>
          </w:p>
          <w:p>
            <w:pPr>
              <w:widowControl/>
              <w:jc w:val="left"/>
              <w:rPr>
                <w:rFonts w:ascii="宋体" w:hAnsi="宋体" w:cs="宋体"/>
                <w:kern w:val="0"/>
                <w:szCs w:val="21"/>
              </w:rPr>
            </w:pPr>
            <w:r>
              <w:rPr>
                <w:rFonts w:hint="eastAsia" w:ascii="宋体" w:hAnsi="宋体" w:cs="宋体"/>
                <w:kern w:val="0"/>
                <w:szCs w:val="21"/>
              </w:rPr>
              <w:t>3）实时差分模块</w:t>
            </w:r>
          </w:p>
          <w:p>
            <w:pPr>
              <w:widowControl/>
              <w:jc w:val="left"/>
              <w:rPr>
                <w:rFonts w:ascii="宋体" w:hAnsi="宋体" w:cs="宋体"/>
                <w:kern w:val="0"/>
                <w:szCs w:val="21"/>
              </w:rPr>
            </w:pPr>
            <w:r>
              <w:rPr>
                <w:rFonts w:hint="eastAsia" w:ascii="宋体" w:hAnsi="宋体" w:cs="宋体"/>
                <w:kern w:val="0"/>
                <w:szCs w:val="21"/>
              </w:rPr>
              <w:t>定位精度：</w:t>
            </w:r>
          </w:p>
          <w:p>
            <w:pPr>
              <w:widowControl/>
              <w:jc w:val="left"/>
              <w:rPr>
                <w:rFonts w:ascii="宋体" w:hAnsi="宋体" w:cs="宋体"/>
                <w:kern w:val="0"/>
                <w:szCs w:val="21"/>
              </w:rPr>
            </w:pPr>
            <w:r>
              <w:rPr>
                <w:rFonts w:hint="eastAsia" w:ascii="宋体" w:hAnsi="宋体" w:cs="宋体"/>
                <w:kern w:val="0"/>
                <w:szCs w:val="21"/>
              </w:rPr>
              <w:t xml:space="preserve">GPS正常工作下：水平：＜1.5m；垂直：＜0.5m； </w:t>
            </w:r>
          </w:p>
          <w:p>
            <w:pPr>
              <w:widowControl/>
              <w:jc w:val="left"/>
              <w:rPr>
                <w:rFonts w:ascii="宋体" w:hAnsi="宋体" w:cs="宋体"/>
                <w:kern w:val="0"/>
                <w:szCs w:val="21"/>
              </w:rPr>
            </w:pPr>
            <w:r>
              <w:rPr>
                <w:rFonts w:hint="eastAsia" w:ascii="宋体" w:hAnsi="宋体" w:cs="宋体"/>
                <w:kern w:val="0"/>
                <w:szCs w:val="21"/>
              </w:rPr>
              <w:t xml:space="preserve">RTK正常工作下：水平：＜0.05m；垂直：＜0.05m； </w:t>
            </w:r>
          </w:p>
          <w:p>
            <w:pPr>
              <w:widowControl/>
              <w:jc w:val="left"/>
              <w:rPr>
                <w:rFonts w:ascii="宋体" w:hAnsi="宋体" w:cs="宋体"/>
                <w:kern w:val="0"/>
                <w:szCs w:val="21"/>
              </w:rPr>
            </w:pPr>
            <w:r>
              <w:rPr>
                <w:rFonts w:hint="eastAsia" w:ascii="宋体" w:hAnsi="宋体" w:cs="宋体"/>
                <w:kern w:val="0"/>
                <w:szCs w:val="21"/>
              </w:rPr>
              <w:t>悬停精度：≤0.05m</w:t>
            </w:r>
          </w:p>
          <w:p>
            <w:pPr>
              <w:widowControl/>
              <w:jc w:val="left"/>
              <w:rPr>
                <w:rFonts w:ascii="宋体" w:hAnsi="宋体" w:cs="宋体"/>
                <w:kern w:val="0"/>
                <w:szCs w:val="21"/>
              </w:rPr>
            </w:pPr>
            <w:r>
              <w:rPr>
                <w:rFonts w:hint="eastAsia" w:ascii="宋体" w:hAnsi="宋体" w:cs="宋体"/>
                <w:kern w:val="0"/>
                <w:szCs w:val="21"/>
              </w:rPr>
              <w:t>定向精度：≤1.5°</w:t>
            </w:r>
          </w:p>
          <w:p>
            <w:pPr>
              <w:widowControl/>
              <w:jc w:val="left"/>
              <w:rPr>
                <w:rFonts w:ascii="宋体" w:hAnsi="宋体" w:cs="宋体"/>
                <w:kern w:val="0"/>
                <w:szCs w:val="21"/>
              </w:rPr>
            </w:pPr>
            <w:r>
              <w:rPr>
                <w:rFonts w:hint="eastAsia" w:ascii="宋体" w:hAnsi="宋体" w:cs="宋体"/>
                <w:kern w:val="0"/>
                <w:szCs w:val="21"/>
              </w:rPr>
              <w:t>测速精度（RMS）：≤0.05 m/s</w:t>
            </w:r>
          </w:p>
          <w:p>
            <w:pPr>
              <w:widowControl/>
              <w:jc w:val="left"/>
              <w:rPr>
                <w:rFonts w:ascii="宋体" w:hAnsi="宋体" w:cs="宋体"/>
                <w:kern w:val="0"/>
                <w:szCs w:val="21"/>
              </w:rPr>
            </w:pPr>
            <w:r>
              <w:rPr>
                <w:rFonts w:hint="eastAsia" w:ascii="宋体" w:hAnsi="宋体" w:cs="宋体"/>
                <w:kern w:val="0"/>
                <w:szCs w:val="21"/>
              </w:rPr>
              <w:t>使用频点：支持GPS 、GLO、BDS、GAL四星十三频信号接收；</w:t>
            </w:r>
          </w:p>
          <w:p>
            <w:pPr>
              <w:widowControl/>
              <w:jc w:val="left"/>
              <w:rPr>
                <w:rFonts w:ascii="宋体" w:hAnsi="宋体" w:cs="宋体"/>
                <w:kern w:val="0"/>
                <w:szCs w:val="21"/>
              </w:rPr>
            </w:pPr>
            <w:r>
              <w:rPr>
                <w:rFonts w:hint="eastAsia" w:ascii="宋体" w:hAnsi="宋体" w:cs="宋体"/>
                <w:kern w:val="0"/>
                <w:szCs w:val="21"/>
              </w:rPr>
              <w:t>工作环境温度：0℃～45℃</w:t>
            </w:r>
          </w:p>
          <w:p>
            <w:pPr>
              <w:widowControl/>
              <w:jc w:val="left"/>
              <w:rPr>
                <w:rFonts w:ascii="宋体" w:hAnsi="宋体" w:cs="宋体"/>
                <w:kern w:val="0"/>
                <w:szCs w:val="21"/>
              </w:rPr>
            </w:pPr>
            <w:r>
              <w:rPr>
                <w:rFonts w:hint="eastAsia" w:ascii="宋体" w:hAnsi="宋体" w:cs="宋体"/>
                <w:kern w:val="0"/>
                <w:szCs w:val="21"/>
              </w:rPr>
              <w:t>储存环境温度：-40℃～85℃</w:t>
            </w:r>
          </w:p>
          <w:p>
            <w:pPr>
              <w:widowControl/>
              <w:jc w:val="left"/>
              <w:rPr>
                <w:rFonts w:ascii="宋体" w:hAnsi="宋体" w:cs="宋体"/>
                <w:kern w:val="0"/>
                <w:szCs w:val="21"/>
              </w:rPr>
            </w:pPr>
            <w:r>
              <w:rPr>
                <w:rFonts w:hint="eastAsia" w:ascii="宋体" w:hAnsi="宋体" w:cs="宋体"/>
                <w:kern w:val="0"/>
                <w:szCs w:val="21"/>
              </w:rPr>
              <w:t>4）智能电池模块</w:t>
            </w:r>
          </w:p>
          <w:p>
            <w:pPr>
              <w:widowControl/>
              <w:jc w:val="left"/>
              <w:rPr>
                <w:rFonts w:ascii="宋体" w:hAnsi="宋体" w:cs="宋体"/>
                <w:kern w:val="0"/>
                <w:szCs w:val="21"/>
              </w:rPr>
            </w:pPr>
            <w:r>
              <w:rPr>
                <w:rFonts w:hint="eastAsia" w:ascii="宋体" w:hAnsi="宋体" w:cs="宋体"/>
                <w:kern w:val="0"/>
                <w:szCs w:val="21"/>
              </w:rPr>
              <w:t>类型：12S锂电池组；</w:t>
            </w:r>
          </w:p>
          <w:p>
            <w:pPr>
              <w:widowControl/>
              <w:jc w:val="left"/>
              <w:rPr>
                <w:rFonts w:ascii="宋体" w:hAnsi="宋体" w:cs="宋体"/>
                <w:kern w:val="0"/>
                <w:szCs w:val="21"/>
              </w:rPr>
            </w:pPr>
            <w:r>
              <w:rPr>
                <w:rFonts w:hint="eastAsia" w:ascii="宋体" w:hAnsi="宋体" w:cs="宋体"/>
                <w:kern w:val="0"/>
                <w:szCs w:val="21"/>
              </w:rPr>
              <w:t>容量：≥27000mAh；</w:t>
            </w:r>
          </w:p>
          <w:p>
            <w:pPr>
              <w:widowControl/>
              <w:jc w:val="left"/>
              <w:rPr>
                <w:rFonts w:ascii="宋体" w:hAnsi="宋体" w:cs="宋体"/>
                <w:kern w:val="0"/>
                <w:szCs w:val="21"/>
              </w:rPr>
            </w:pPr>
            <w:r>
              <w:rPr>
                <w:rFonts w:hint="eastAsia" w:ascii="宋体" w:hAnsi="宋体" w:cs="宋体"/>
                <w:kern w:val="0"/>
                <w:szCs w:val="21"/>
              </w:rPr>
              <w:t>支持电量显示、电子开关、防打火、低温加热、过充过放保护等功能。</w:t>
            </w:r>
          </w:p>
          <w:p>
            <w:pPr>
              <w:widowControl/>
              <w:jc w:val="left"/>
              <w:rPr>
                <w:rFonts w:ascii="宋体" w:hAnsi="宋体" w:cs="宋体"/>
                <w:kern w:val="0"/>
                <w:szCs w:val="21"/>
              </w:rPr>
            </w:pPr>
            <w:r>
              <w:rPr>
                <w:rFonts w:hint="eastAsia" w:ascii="宋体" w:hAnsi="宋体" w:cs="宋体"/>
                <w:kern w:val="0"/>
                <w:szCs w:val="21"/>
              </w:rPr>
              <w:t>5）三轴云台</w:t>
            </w:r>
          </w:p>
          <w:p>
            <w:pPr>
              <w:widowControl/>
              <w:jc w:val="left"/>
              <w:rPr>
                <w:rFonts w:ascii="宋体" w:hAnsi="宋体" w:cs="宋体"/>
                <w:kern w:val="0"/>
                <w:szCs w:val="21"/>
              </w:rPr>
            </w:pPr>
            <w:r>
              <w:rPr>
                <w:rFonts w:hint="eastAsia" w:ascii="宋体" w:hAnsi="宋体" w:cs="宋体"/>
                <w:kern w:val="0"/>
                <w:szCs w:val="21"/>
              </w:rPr>
              <w:t>采用三轴增稳云台；</w:t>
            </w:r>
          </w:p>
          <w:p>
            <w:pPr>
              <w:widowControl/>
              <w:jc w:val="left"/>
              <w:rPr>
                <w:rFonts w:ascii="宋体" w:hAnsi="宋体" w:cs="宋体"/>
                <w:kern w:val="0"/>
                <w:szCs w:val="21"/>
              </w:rPr>
            </w:pPr>
            <w:r>
              <w:rPr>
                <w:rFonts w:hint="eastAsia" w:ascii="宋体" w:hAnsi="宋体" w:cs="宋体"/>
                <w:kern w:val="0"/>
                <w:szCs w:val="21"/>
              </w:rPr>
              <w:t>安装方式：免工具插拔式快速拆装；</w:t>
            </w:r>
          </w:p>
          <w:p>
            <w:pPr>
              <w:widowControl/>
              <w:jc w:val="left"/>
              <w:rPr>
                <w:rFonts w:ascii="宋体" w:hAnsi="宋体" w:cs="宋体"/>
                <w:kern w:val="0"/>
                <w:szCs w:val="21"/>
              </w:rPr>
            </w:pPr>
            <w:r>
              <w:rPr>
                <w:rFonts w:hint="eastAsia" w:ascii="宋体" w:hAnsi="宋体" w:cs="宋体"/>
                <w:kern w:val="0"/>
                <w:szCs w:val="21"/>
              </w:rPr>
              <w:t>俯仰方向：-100～+45度增稳；</w:t>
            </w:r>
          </w:p>
          <w:p>
            <w:pPr>
              <w:widowControl/>
              <w:jc w:val="left"/>
              <w:rPr>
                <w:rFonts w:ascii="宋体" w:hAnsi="宋体" w:cs="宋体"/>
                <w:kern w:val="0"/>
                <w:szCs w:val="21"/>
              </w:rPr>
            </w:pPr>
            <w:r>
              <w:rPr>
                <w:rFonts w:hint="eastAsia" w:ascii="宋体" w:hAnsi="宋体" w:cs="宋体"/>
                <w:kern w:val="0"/>
                <w:szCs w:val="21"/>
              </w:rPr>
              <w:t>横滚方向：±40度增稳；</w:t>
            </w:r>
          </w:p>
          <w:p>
            <w:pPr>
              <w:widowControl/>
              <w:jc w:val="left"/>
              <w:rPr>
                <w:rFonts w:ascii="宋体" w:hAnsi="宋体" w:cs="宋体"/>
                <w:kern w:val="0"/>
                <w:szCs w:val="21"/>
              </w:rPr>
            </w:pPr>
            <w:r>
              <w:rPr>
                <w:rFonts w:hint="eastAsia" w:ascii="宋体" w:hAnsi="宋体" w:cs="宋体"/>
                <w:kern w:val="0"/>
                <w:szCs w:val="21"/>
              </w:rPr>
              <w:t>偏航方向：360度；</w:t>
            </w:r>
          </w:p>
          <w:p>
            <w:pPr>
              <w:widowControl/>
              <w:jc w:val="left"/>
              <w:rPr>
                <w:rFonts w:ascii="宋体" w:hAnsi="宋体" w:cs="宋体"/>
                <w:kern w:val="0"/>
                <w:szCs w:val="21"/>
              </w:rPr>
            </w:pPr>
            <w:r>
              <w:rPr>
                <w:rFonts w:hint="eastAsia" w:ascii="宋体" w:hAnsi="宋体" w:cs="宋体"/>
                <w:kern w:val="0"/>
                <w:szCs w:val="21"/>
              </w:rPr>
              <w:t>角度控制精度：±0.03度。</w:t>
            </w:r>
          </w:p>
          <w:p>
            <w:pPr>
              <w:widowControl/>
              <w:jc w:val="left"/>
              <w:rPr>
                <w:rFonts w:ascii="宋体" w:hAnsi="宋体" w:cs="宋体"/>
                <w:kern w:val="0"/>
                <w:szCs w:val="21"/>
              </w:rPr>
            </w:pPr>
            <w:r>
              <w:rPr>
                <w:rFonts w:hint="eastAsia" w:ascii="宋体" w:hAnsi="宋体" w:cs="宋体"/>
                <w:kern w:val="0"/>
                <w:szCs w:val="21"/>
              </w:rPr>
              <w:t>6）可见光相机</w:t>
            </w:r>
          </w:p>
          <w:p>
            <w:pPr>
              <w:widowControl/>
              <w:jc w:val="left"/>
              <w:rPr>
                <w:rFonts w:ascii="宋体" w:hAnsi="宋体" w:cs="宋体"/>
                <w:kern w:val="0"/>
                <w:szCs w:val="21"/>
              </w:rPr>
            </w:pPr>
            <w:r>
              <w:rPr>
                <w:rFonts w:hint="eastAsia" w:ascii="宋体" w:hAnsi="宋体" w:cs="宋体"/>
                <w:kern w:val="0"/>
                <w:szCs w:val="21"/>
              </w:rPr>
              <w:t>传感器：CMOS:1/1.8″；</w:t>
            </w:r>
          </w:p>
          <w:p>
            <w:pPr>
              <w:widowControl/>
              <w:jc w:val="left"/>
              <w:rPr>
                <w:rFonts w:ascii="宋体" w:hAnsi="宋体" w:cs="宋体"/>
                <w:kern w:val="0"/>
                <w:szCs w:val="21"/>
              </w:rPr>
            </w:pPr>
            <w:r>
              <w:rPr>
                <w:rFonts w:hint="eastAsia" w:ascii="宋体" w:hAnsi="宋体" w:cs="宋体"/>
                <w:kern w:val="0"/>
                <w:szCs w:val="21"/>
              </w:rPr>
              <w:t>30倍光学变焦，1080P高清图像；</w:t>
            </w:r>
          </w:p>
          <w:p>
            <w:pPr>
              <w:widowControl/>
              <w:jc w:val="left"/>
              <w:rPr>
                <w:rFonts w:ascii="宋体" w:hAnsi="宋体" w:cs="宋体"/>
                <w:kern w:val="0"/>
                <w:szCs w:val="21"/>
              </w:rPr>
            </w:pPr>
            <w:r>
              <w:rPr>
                <w:rFonts w:hint="eastAsia" w:ascii="宋体" w:hAnsi="宋体" w:cs="宋体"/>
                <w:kern w:val="0"/>
                <w:szCs w:val="21"/>
              </w:rPr>
              <w:t>总像素1200万；</w:t>
            </w:r>
          </w:p>
          <w:p>
            <w:pPr>
              <w:widowControl/>
              <w:jc w:val="left"/>
              <w:rPr>
                <w:rFonts w:ascii="宋体" w:hAnsi="宋体" w:cs="宋体"/>
                <w:kern w:val="0"/>
                <w:szCs w:val="21"/>
              </w:rPr>
            </w:pPr>
            <w:r>
              <w:rPr>
                <w:rFonts w:hint="eastAsia" w:ascii="宋体" w:hAnsi="宋体" w:cs="宋体"/>
                <w:kern w:val="0"/>
                <w:szCs w:val="21"/>
              </w:rPr>
              <w:t>最大分辨率：3840*2160；</w:t>
            </w:r>
          </w:p>
          <w:p>
            <w:pPr>
              <w:widowControl/>
              <w:jc w:val="left"/>
              <w:rPr>
                <w:rFonts w:ascii="宋体" w:hAnsi="宋体" w:cs="宋体"/>
                <w:kern w:val="0"/>
                <w:szCs w:val="21"/>
              </w:rPr>
            </w:pPr>
            <w:r>
              <w:rPr>
                <w:rFonts w:hint="eastAsia" w:ascii="宋体" w:hAnsi="宋体" w:cs="宋体"/>
                <w:kern w:val="0"/>
                <w:szCs w:val="21"/>
              </w:rPr>
              <w:t>地面站可远程控制云台抓拍录像，云台画面实时直播；</w:t>
            </w:r>
          </w:p>
          <w:p>
            <w:pPr>
              <w:widowControl/>
              <w:jc w:val="left"/>
              <w:rPr>
                <w:rFonts w:ascii="宋体" w:hAnsi="宋体" w:cs="宋体"/>
                <w:kern w:val="0"/>
                <w:szCs w:val="21"/>
              </w:rPr>
            </w:pPr>
            <w:r>
              <w:rPr>
                <w:rFonts w:hint="eastAsia" w:ascii="宋体" w:hAnsi="宋体" w:cs="宋体"/>
                <w:kern w:val="0"/>
                <w:szCs w:val="21"/>
              </w:rPr>
              <w:t>支持存储卡类型：Micro SD卡；</w:t>
            </w:r>
          </w:p>
          <w:p>
            <w:pPr>
              <w:widowControl/>
              <w:jc w:val="left"/>
              <w:rPr>
                <w:rFonts w:ascii="宋体" w:hAnsi="宋体" w:cs="宋体"/>
                <w:kern w:val="0"/>
                <w:szCs w:val="21"/>
              </w:rPr>
            </w:pPr>
            <w:r>
              <w:rPr>
                <w:rFonts w:hint="eastAsia" w:ascii="宋体" w:hAnsi="宋体" w:cs="宋体"/>
                <w:kern w:val="0"/>
                <w:szCs w:val="21"/>
              </w:rPr>
              <w:t>支持图像无线传输：视频图像最远传输距离20km，视频传输延时≤300ms。</w:t>
            </w:r>
          </w:p>
          <w:p>
            <w:pPr>
              <w:widowControl/>
              <w:jc w:val="left"/>
              <w:rPr>
                <w:rFonts w:ascii="宋体" w:hAnsi="宋体" w:cs="宋体"/>
                <w:kern w:val="0"/>
                <w:szCs w:val="21"/>
              </w:rPr>
            </w:pPr>
            <w:r>
              <w:rPr>
                <w:rFonts w:hint="eastAsia" w:ascii="宋体" w:hAnsi="宋体" w:cs="宋体"/>
                <w:kern w:val="0"/>
                <w:szCs w:val="21"/>
              </w:rPr>
              <w:t>7）地面测控设备</w:t>
            </w:r>
          </w:p>
          <w:p>
            <w:pPr>
              <w:widowControl/>
              <w:jc w:val="left"/>
              <w:rPr>
                <w:rFonts w:ascii="宋体" w:hAnsi="宋体" w:cs="宋体"/>
                <w:kern w:val="0"/>
                <w:szCs w:val="21"/>
              </w:rPr>
            </w:pPr>
            <w:r>
              <w:rPr>
                <w:rFonts w:hint="eastAsia" w:ascii="宋体" w:hAnsi="宋体" w:cs="宋体"/>
                <w:kern w:val="0"/>
                <w:szCs w:val="21"/>
              </w:rPr>
              <w:t xml:space="preserve">手持遥控器： </w:t>
            </w:r>
          </w:p>
          <w:p>
            <w:pPr>
              <w:widowControl/>
              <w:jc w:val="left"/>
              <w:rPr>
                <w:rFonts w:ascii="宋体" w:hAnsi="宋体" w:cs="宋体"/>
                <w:kern w:val="0"/>
                <w:szCs w:val="21"/>
              </w:rPr>
            </w:pPr>
            <w:r>
              <w:rPr>
                <w:rFonts w:hint="eastAsia" w:ascii="宋体" w:hAnsi="宋体" w:cs="宋体"/>
                <w:kern w:val="0"/>
                <w:szCs w:val="21"/>
              </w:rPr>
              <w:t>重量：≤1100g；</w:t>
            </w:r>
          </w:p>
          <w:p>
            <w:pPr>
              <w:widowControl/>
              <w:jc w:val="left"/>
              <w:rPr>
                <w:rFonts w:ascii="宋体" w:hAnsi="宋体" w:cs="宋体"/>
                <w:kern w:val="0"/>
                <w:szCs w:val="21"/>
              </w:rPr>
            </w:pPr>
            <w:r>
              <w:rPr>
                <w:rFonts w:hint="eastAsia" w:ascii="宋体" w:hAnsi="宋体" w:cs="宋体"/>
                <w:kern w:val="0"/>
                <w:szCs w:val="21"/>
              </w:rPr>
              <w:t>尺寸：≤240mm（长）x185mm（宽）x48mm（高）（不含天线和摇杆）；</w:t>
            </w:r>
          </w:p>
          <w:p>
            <w:pPr>
              <w:widowControl/>
              <w:jc w:val="left"/>
              <w:rPr>
                <w:rFonts w:ascii="宋体" w:hAnsi="宋体" w:cs="宋体"/>
                <w:kern w:val="0"/>
                <w:szCs w:val="21"/>
              </w:rPr>
            </w:pPr>
            <w:r>
              <w:rPr>
                <w:rFonts w:hint="eastAsia" w:ascii="宋体" w:hAnsi="宋体" w:cs="宋体"/>
                <w:kern w:val="0"/>
                <w:szCs w:val="21"/>
              </w:rPr>
              <w:t>屏幕：8英寸高亮触摸屏；</w:t>
            </w:r>
          </w:p>
          <w:p>
            <w:pPr>
              <w:widowControl/>
              <w:jc w:val="left"/>
              <w:rPr>
                <w:rFonts w:ascii="宋体" w:hAnsi="宋体" w:cs="宋体"/>
                <w:kern w:val="0"/>
                <w:szCs w:val="21"/>
              </w:rPr>
            </w:pPr>
            <w:r>
              <w:rPr>
                <w:rFonts w:hint="eastAsia" w:ascii="宋体" w:hAnsi="宋体" w:cs="宋体"/>
                <w:kern w:val="0"/>
                <w:szCs w:val="21"/>
              </w:rPr>
              <w:t>额定功率：≤10W；</w:t>
            </w:r>
          </w:p>
          <w:p>
            <w:pPr>
              <w:widowControl/>
              <w:jc w:val="left"/>
              <w:rPr>
                <w:rFonts w:ascii="宋体" w:hAnsi="宋体" w:cs="宋体"/>
                <w:kern w:val="0"/>
                <w:szCs w:val="21"/>
              </w:rPr>
            </w:pPr>
            <w:r>
              <w:rPr>
                <w:rFonts w:hint="eastAsia" w:ascii="宋体" w:hAnsi="宋体" w:cs="宋体"/>
                <w:kern w:val="0"/>
                <w:szCs w:val="21"/>
              </w:rPr>
              <w:t>工作频率：2.4GHz；</w:t>
            </w:r>
          </w:p>
          <w:p>
            <w:pPr>
              <w:widowControl/>
              <w:jc w:val="left"/>
              <w:rPr>
                <w:rFonts w:ascii="宋体" w:hAnsi="宋体" w:cs="宋体"/>
                <w:kern w:val="0"/>
                <w:szCs w:val="21"/>
              </w:rPr>
            </w:pPr>
            <w:r>
              <w:rPr>
                <w:rFonts w:hint="eastAsia" w:ascii="宋体" w:hAnsi="宋体" w:cs="宋体"/>
                <w:kern w:val="0"/>
                <w:szCs w:val="21"/>
              </w:rPr>
              <w:t xml:space="preserve">最大通讯距离：20km（通视无干扰）； </w:t>
            </w:r>
          </w:p>
          <w:p>
            <w:pPr>
              <w:widowControl/>
              <w:jc w:val="left"/>
              <w:rPr>
                <w:rFonts w:ascii="宋体" w:hAnsi="宋体" w:cs="宋体"/>
                <w:kern w:val="0"/>
                <w:szCs w:val="21"/>
              </w:rPr>
            </w:pPr>
            <w:r>
              <w:rPr>
                <w:rFonts w:hint="eastAsia" w:ascii="宋体" w:hAnsi="宋体" w:cs="宋体"/>
                <w:kern w:val="0"/>
                <w:szCs w:val="21"/>
              </w:rPr>
              <w:t>卫星定位模块：GPS/BDS；</w:t>
            </w:r>
          </w:p>
          <w:p>
            <w:pPr>
              <w:widowControl/>
              <w:jc w:val="left"/>
              <w:rPr>
                <w:rFonts w:ascii="宋体" w:hAnsi="宋体" w:cs="宋体"/>
                <w:kern w:val="0"/>
                <w:szCs w:val="21"/>
              </w:rPr>
            </w:pPr>
            <w:r>
              <w:rPr>
                <w:rFonts w:hint="eastAsia" w:ascii="宋体" w:hAnsi="宋体" w:cs="宋体"/>
                <w:kern w:val="0"/>
                <w:szCs w:val="21"/>
              </w:rPr>
              <w:t>最大带宽：17M；</w:t>
            </w:r>
          </w:p>
          <w:p>
            <w:pPr>
              <w:widowControl/>
              <w:jc w:val="left"/>
              <w:rPr>
                <w:rFonts w:ascii="宋体" w:hAnsi="宋体" w:cs="宋体"/>
                <w:kern w:val="0"/>
                <w:szCs w:val="21"/>
              </w:rPr>
            </w:pPr>
            <w:r>
              <w:rPr>
                <w:rFonts w:hint="eastAsia" w:ascii="宋体" w:hAnsi="宋体" w:cs="宋体"/>
                <w:kern w:val="0"/>
                <w:szCs w:val="21"/>
              </w:rPr>
              <w:t xml:space="preserve">视频输出接口：USB； </w:t>
            </w:r>
          </w:p>
          <w:p>
            <w:pPr>
              <w:widowControl/>
              <w:jc w:val="left"/>
              <w:rPr>
                <w:rFonts w:ascii="宋体" w:hAnsi="宋体" w:cs="宋体"/>
                <w:kern w:val="0"/>
                <w:szCs w:val="21"/>
              </w:rPr>
            </w:pPr>
            <w:r>
              <w:rPr>
                <w:rFonts w:hint="eastAsia" w:ascii="宋体" w:hAnsi="宋体" w:cs="宋体"/>
                <w:kern w:val="0"/>
                <w:szCs w:val="21"/>
              </w:rPr>
              <w:t>存储空间：64GB；</w:t>
            </w:r>
          </w:p>
          <w:p>
            <w:pPr>
              <w:widowControl/>
              <w:jc w:val="left"/>
              <w:rPr>
                <w:rFonts w:ascii="宋体" w:hAnsi="宋体" w:cs="宋体"/>
                <w:kern w:val="0"/>
                <w:szCs w:val="21"/>
              </w:rPr>
            </w:pPr>
            <w:r>
              <w:rPr>
                <w:rFonts w:hint="eastAsia" w:ascii="宋体" w:hAnsi="宋体" w:cs="宋体"/>
                <w:kern w:val="0"/>
                <w:szCs w:val="21"/>
              </w:rPr>
              <w:t>续航时间：5小时；</w:t>
            </w:r>
          </w:p>
          <w:p>
            <w:pPr>
              <w:widowControl/>
              <w:jc w:val="left"/>
              <w:rPr>
                <w:rFonts w:ascii="宋体" w:hAnsi="宋体" w:cs="宋体"/>
                <w:kern w:val="0"/>
                <w:szCs w:val="21"/>
              </w:rPr>
            </w:pPr>
            <w:r>
              <w:rPr>
                <w:rFonts w:hint="eastAsia" w:ascii="宋体" w:hAnsi="宋体" w:cs="宋体"/>
                <w:kern w:val="0"/>
                <w:szCs w:val="21"/>
              </w:rPr>
              <w:t>网络连接：支持WiFi、4G网络、蓝牙连接；</w:t>
            </w:r>
          </w:p>
          <w:p>
            <w:pPr>
              <w:widowControl/>
              <w:jc w:val="left"/>
              <w:rPr>
                <w:rFonts w:ascii="宋体" w:hAnsi="宋体" w:cs="宋体"/>
                <w:kern w:val="0"/>
                <w:szCs w:val="21"/>
              </w:rPr>
            </w:pPr>
            <w:r>
              <w:rPr>
                <w:rFonts w:hint="eastAsia" w:ascii="宋体" w:hAnsi="宋体" w:cs="宋体"/>
                <w:kern w:val="0"/>
                <w:szCs w:val="21"/>
              </w:rPr>
              <w:t>支持移动端地面站；</w:t>
            </w:r>
          </w:p>
          <w:p>
            <w:pPr>
              <w:widowControl/>
              <w:rPr>
                <w:rFonts w:ascii="宋体" w:hAnsi="宋体" w:cs="宋体"/>
                <w:kern w:val="0"/>
                <w:szCs w:val="21"/>
              </w:rPr>
            </w:pPr>
            <w:r>
              <w:rPr>
                <w:rFonts w:hint="eastAsia" w:ascii="宋体" w:hAnsi="宋体" w:cs="宋体"/>
                <w:kern w:val="0"/>
                <w:szCs w:val="21"/>
              </w:rPr>
              <w:t>支持云台相机画面实时显示，云台远程控制。</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电池组</w:t>
            </w:r>
          </w:p>
        </w:tc>
        <w:tc>
          <w:tcPr>
            <w:tcW w:w="1993" w:type="pct"/>
            <w:vAlign w:val="center"/>
          </w:tcPr>
          <w:p>
            <w:pPr>
              <w:widowControl/>
              <w:jc w:val="left"/>
              <w:rPr>
                <w:rFonts w:ascii="宋体" w:hAnsi="宋体" w:cs="宋体"/>
                <w:szCs w:val="21"/>
              </w:rPr>
            </w:pPr>
            <w:r>
              <w:rPr>
                <w:rFonts w:hint="eastAsia" w:ascii="宋体" w:hAnsi="宋体" w:cs="宋体"/>
                <w:szCs w:val="21"/>
              </w:rPr>
              <w:t>类型：12S锂电池组；</w:t>
            </w:r>
          </w:p>
          <w:p>
            <w:pPr>
              <w:widowControl/>
              <w:jc w:val="left"/>
              <w:rPr>
                <w:rFonts w:ascii="宋体" w:hAnsi="宋体" w:cs="宋体"/>
                <w:szCs w:val="21"/>
              </w:rPr>
            </w:pPr>
            <w:r>
              <w:rPr>
                <w:rFonts w:hint="eastAsia" w:ascii="宋体" w:hAnsi="宋体" w:cs="宋体"/>
                <w:szCs w:val="21"/>
              </w:rPr>
              <w:t>容量：≥27000mAh；</w:t>
            </w:r>
          </w:p>
          <w:p>
            <w:pPr>
              <w:widowControl/>
              <w:rPr>
                <w:rFonts w:ascii="宋体" w:hAnsi="宋体" w:cs="宋体"/>
                <w:kern w:val="0"/>
                <w:szCs w:val="21"/>
              </w:rPr>
            </w:pPr>
            <w:r>
              <w:rPr>
                <w:rFonts w:hint="eastAsia" w:ascii="宋体" w:hAnsi="宋体" w:cs="宋体"/>
                <w:szCs w:val="21"/>
              </w:rPr>
              <w:t>支持电量显示、电子开关、防打火、低温加热、过充过放保护等功能。</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测流数据传输电台</w:t>
            </w:r>
          </w:p>
        </w:tc>
        <w:tc>
          <w:tcPr>
            <w:tcW w:w="1993" w:type="pct"/>
            <w:vAlign w:val="center"/>
          </w:tcPr>
          <w:p>
            <w:pPr>
              <w:pStyle w:val="158"/>
              <w:widowControl/>
              <w:ind w:firstLine="0" w:firstLineChars="0"/>
              <w:jc w:val="left"/>
              <w:rPr>
                <w:rFonts w:ascii="宋体" w:hAnsi="宋体" w:cs="宋体"/>
                <w:szCs w:val="21"/>
              </w:rPr>
            </w:pPr>
            <w:r>
              <w:rPr>
                <w:rFonts w:hint="eastAsia" w:ascii="宋体" w:hAnsi="宋体" w:cs="宋体"/>
                <w:szCs w:val="21"/>
              </w:rPr>
              <w:t>1）工作频率：2.4GHz；</w:t>
            </w:r>
          </w:p>
          <w:p>
            <w:pPr>
              <w:pStyle w:val="158"/>
              <w:widowControl/>
              <w:ind w:firstLine="0" w:firstLineChars="0"/>
              <w:jc w:val="left"/>
              <w:rPr>
                <w:rFonts w:ascii="宋体" w:hAnsi="宋体" w:cs="宋体"/>
                <w:szCs w:val="21"/>
              </w:rPr>
            </w:pPr>
            <w:r>
              <w:rPr>
                <w:rFonts w:hint="eastAsia" w:ascii="宋体" w:hAnsi="宋体" w:cs="宋体"/>
                <w:szCs w:val="21"/>
              </w:rPr>
              <w:t xml:space="preserve">2）最大通讯距离：20km（通视无干扰）； </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9.4</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雷达流速仪</w:t>
            </w:r>
          </w:p>
        </w:tc>
        <w:tc>
          <w:tcPr>
            <w:tcW w:w="1993" w:type="pct"/>
            <w:vAlign w:val="center"/>
          </w:tcPr>
          <w:p>
            <w:pPr>
              <w:pStyle w:val="158"/>
              <w:widowControl/>
              <w:ind w:firstLine="0" w:firstLineChars="0"/>
              <w:jc w:val="left"/>
              <w:rPr>
                <w:rFonts w:ascii="宋体" w:hAnsi="宋体" w:cs="宋体"/>
                <w:szCs w:val="21"/>
              </w:rPr>
            </w:pPr>
            <w:r>
              <w:rPr>
                <w:rFonts w:hint="eastAsia" w:ascii="宋体" w:hAnsi="宋体" w:cs="宋体"/>
                <w:szCs w:val="21"/>
              </w:rPr>
              <w:t xml:space="preserve">1）产品类型：平面雷达； </w:t>
            </w:r>
          </w:p>
          <w:p>
            <w:pPr>
              <w:pStyle w:val="158"/>
              <w:widowControl/>
              <w:ind w:firstLine="0" w:firstLineChars="0"/>
              <w:jc w:val="left"/>
              <w:rPr>
                <w:rFonts w:ascii="宋体" w:hAnsi="宋体" w:cs="宋体"/>
                <w:szCs w:val="21"/>
              </w:rPr>
            </w:pPr>
            <w:r>
              <w:rPr>
                <w:rFonts w:hint="eastAsia" w:ascii="宋体" w:hAnsi="宋体" w:cs="宋体"/>
                <w:szCs w:val="21"/>
              </w:rPr>
              <w:t xml:space="preserve">2）测量原理：多普勒； </w:t>
            </w:r>
          </w:p>
          <w:p>
            <w:pPr>
              <w:pStyle w:val="158"/>
              <w:widowControl/>
              <w:ind w:firstLine="0" w:firstLineChars="0"/>
              <w:jc w:val="left"/>
              <w:rPr>
                <w:rFonts w:ascii="宋体" w:hAnsi="宋体" w:cs="宋体"/>
                <w:szCs w:val="21"/>
              </w:rPr>
            </w:pPr>
            <w:r>
              <w:rPr>
                <w:rFonts w:hint="eastAsia" w:ascii="宋体" w:hAnsi="宋体" w:cs="宋体"/>
                <w:szCs w:val="21"/>
              </w:rPr>
              <w:t xml:space="preserve">3）雷达波束角：12°； </w:t>
            </w:r>
          </w:p>
          <w:p>
            <w:pPr>
              <w:pStyle w:val="158"/>
              <w:widowControl/>
              <w:ind w:firstLine="0" w:firstLineChars="0"/>
              <w:jc w:val="left"/>
              <w:rPr>
                <w:rFonts w:ascii="宋体" w:hAnsi="宋体" w:cs="宋体"/>
                <w:szCs w:val="21"/>
              </w:rPr>
            </w:pPr>
            <w:r>
              <w:rPr>
                <w:rFonts w:hint="eastAsia" w:ascii="宋体" w:hAnsi="宋体" w:cs="宋体"/>
                <w:szCs w:val="21"/>
              </w:rPr>
              <w:t xml:space="preserve">4）流速测量范围：0.3 m ～ 20 m/s； </w:t>
            </w:r>
          </w:p>
          <w:p>
            <w:pPr>
              <w:pStyle w:val="158"/>
              <w:widowControl/>
              <w:ind w:firstLine="0" w:firstLineChars="0"/>
              <w:jc w:val="left"/>
              <w:rPr>
                <w:rFonts w:ascii="宋体" w:hAnsi="宋体" w:cs="宋体"/>
                <w:szCs w:val="21"/>
              </w:rPr>
            </w:pPr>
            <w:r>
              <w:rPr>
                <w:rFonts w:hint="eastAsia" w:ascii="宋体" w:hAnsi="宋体" w:cs="宋体"/>
                <w:szCs w:val="21"/>
              </w:rPr>
              <w:t xml:space="preserve">5）绝对误差：&lt;0.02m/s（0 ～4.5m/s 范围内）； </w:t>
            </w:r>
          </w:p>
          <w:p>
            <w:pPr>
              <w:pStyle w:val="158"/>
              <w:widowControl/>
              <w:ind w:firstLine="0" w:firstLineChars="0"/>
              <w:jc w:val="left"/>
              <w:rPr>
                <w:rFonts w:ascii="宋体" w:hAnsi="宋体" w:cs="宋体"/>
                <w:szCs w:val="21"/>
              </w:rPr>
            </w:pPr>
            <w:r>
              <w:rPr>
                <w:rFonts w:hint="eastAsia" w:ascii="宋体" w:hAnsi="宋体" w:cs="宋体"/>
                <w:szCs w:val="21"/>
              </w:rPr>
              <w:t xml:space="preserve">6）分辨率：0.01 m/s； </w:t>
            </w:r>
          </w:p>
          <w:p>
            <w:pPr>
              <w:pStyle w:val="158"/>
              <w:widowControl/>
              <w:ind w:firstLine="0" w:firstLineChars="0"/>
              <w:jc w:val="left"/>
              <w:rPr>
                <w:rFonts w:ascii="宋体" w:hAnsi="宋体" w:cs="宋体"/>
                <w:szCs w:val="21"/>
              </w:rPr>
            </w:pPr>
            <w:r>
              <w:rPr>
                <w:rFonts w:hint="eastAsia" w:ascii="宋体" w:hAnsi="宋体" w:cs="宋体"/>
                <w:szCs w:val="21"/>
              </w:rPr>
              <w:t xml:space="preserve">7）数据接口：RS-485，MODBUS 协议； </w:t>
            </w:r>
          </w:p>
          <w:p>
            <w:pPr>
              <w:pStyle w:val="158"/>
              <w:widowControl/>
              <w:ind w:firstLine="0" w:firstLineChars="0"/>
              <w:jc w:val="left"/>
              <w:rPr>
                <w:rFonts w:ascii="宋体" w:hAnsi="宋体" w:cs="宋体"/>
                <w:szCs w:val="21"/>
              </w:rPr>
            </w:pPr>
            <w:r>
              <w:rPr>
                <w:rFonts w:hint="eastAsia" w:ascii="宋体" w:hAnsi="宋体" w:cs="宋体"/>
                <w:szCs w:val="21"/>
              </w:rPr>
              <w:t xml:space="preserve">8）功耗：&lt;50mA @DC 12V； </w:t>
            </w:r>
          </w:p>
          <w:p>
            <w:pPr>
              <w:pStyle w:val="158"/>
              <w:widowControl/>
              <w:ind w:firstLine="0" w:firstLineChars="0"/>
              <w:jc w:val="left"/>
              <w:rPr>
                <w:rFonts w:ascii="宋体" w:hAnsi="宋体" w:cs="宋体"/>
                <w:szCs w:val="21"/>
              </w:rPr>
            </w:pPr>
            <w:r>
              <w:rPr>
                <w:rFonts w:hint="eastAsia" w:ascii="宋体" w:hAnsi="宋体" w:cs="宋体"/>
                <w:szCs w:val="21"/>
              </w:rPr>
              <w:t xml:space="preserve">9）工作温度：-40～85℃； </w:t>
            </w:r>
          </w:p>
          <w:p>
            <w:pPr>
              <w:pStyle w:val="158"/>
              <w:widowControl/>
              <w:ind w:firstLine="0" w:firstLineChars="0"/>
              <w:jc w:val="left"/>
              <w:rPr>
                <w:rFonts w:ascii="宋体" w:hAnsi="宋体" w:cs="宋体"/>
                <w:szCs w:val="21"/>
              </w:rPr>
            </w:pPr>
            <w:r>
              <w:rPr>
                <w:rFonts w:hint="eastAsia" w:ascii="宋体" w:hAnsi="宋体" w:cs="宋体"/>
                <w:szCs w:val="21"/>
              </w:rPr>
              <w:t xml:space="preserve">10）野外防护等级：IP68。 </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雷达测距仪</w:t>
            </w:r>
          </w:p>
        </w:tc>
        <w:tc>
          <w:tcPr>
            <w:tcW w:w="1993" w:type="pct"/>
            <w:vAlign w:val="center"/>
          </w:tcPr>
          <w:p>
            <w:pPr>
              <w:pStyle w:val="158"/>
              <w:widowControl/>
              <w:ind w:firstLine="0" w:firstLineChars="0"/>
              <w:jc w:val="left"/>
              <w:rPr>
                <w:rFonts w:ascii="宋体" w:hAnsi="宋体" w:cs="宋体"/>
                <w:szCs w:val="21"/>
              </w:rPr>
            </w:pPr>
            <w:r>
              <w:rPr>
                <w:rFonts w:hint="eastAsia" w:ascii="宋体" w:hAnsi="宋体" w:cs="宋体"/>
                <w:szCs w:val="21"/>
              </w:rPr>
              <w:t xml:space="preserve">1）工作原理：调频连续波； </w:t>
            </w:r>
          </w:p>
          <w:p>
            <w:pPr>
              <w:pStyle w:val="158"/>
              <w:widowControl/>
              <w:ind w:firstLine="0" w:firstLineChars="0"/>
              <w:jc w:val="left"/>
              <w:rPr>
                <w:rFonts w:ascii="宋体" w:hAnsi="宋体" w:cs="宋体"/>
                <w:szCs w:val="21"/>
              </w:rPr>
            </w:pPr>
            <w:r>
              <w:rPr>
                <w:rFonts w:hint="eastAsia" w:ascii="宋体" w:hAnsi="宋体" w:cs="宋体"/>
                <w:szCs w:val="21"/>
              </w:rPr>
              <w:t xml:space="preserve">2）测距范围：0.5-30m； </w:t>
            </w:r>
          </w:p>
          <w:p>
            <w:pPr>
              <w:pStyle w:val="158"/>
              <w:widowControl/>
              <w:ind w:firstLine="0" w:firstLineChars="0"/>
              <w:jc w:val="left"/>
              <w:rPr>
                <w:rFonts w:ascii="宋体" w:hAnsi="宋体" w:cs="宋体"/>
                <w:szCs w:val="21"/>
              </w:rPr>
            </w:pPr>
            <w:r>
              <w:rPr>
                <w:rFonts w:hint="eastAsia" w:ascii="宋体" w:hAnsi="宋体" w:cs="宋体"/>
                <w:szCs w:val="21"/>
              </w:rPr>
              <w:t xml:space="preserve">3）准确度：±0.02m（在 0～10m 测量范围内）； </w:t>
            </w:r>
          </w:p>
          <w:p>
            <w:pPr>
              <w:pStyle w:val="158"/>
              <w:widowControl/>
              <w:ind w:firstLine="0" w:firstLineChars="0"/>
              <w:jc w:val="left"/>
              <w:rPr>
                <w:rFonts w:ascii="宋体" w:hAnsi="宋体" w:cs="宋体"/>
                <w:szCs w:val="21"/>
              </w:rPr>
            </w:pPr>
            <w:r>
              <w:rPr>
                <w:rFonts w:hint="eastAsia" w:ascii="宋体" w:hAnsi="宋体" w:cs="宋体"/>
                <w:szCs w:val="21"/>
              </w:rPr>
              <w:t>4）分辨率：1mm；</w:t>
            </w:r>
          </w:p>
          <w:p>
            <w:pPr>
              <w:pStyle w:val="158"/>
              <w:widowControl/>
              <w:ind w:firstLine="0" w:firstLineChars="0"/>
              <w:jc w:val="left"/>
              <w:rPr>
                <w:rFonts w:ascii="宋体" w:hAnsi="宋体" w:cs="宋体"/>
                <w:szCs w:val="21"/>
              </w:rPr>
            </w:pPr>
            <w:r>
              <w:rPr>
                <w:rFonts w:hint="eastAsia" w:ascii="宋体" w:hAnsi="宋体" w:cs="宋体"/>
                <w:szCs w:val="21"/>
              </w:rPr>
              <w:t xml:space="preserve">5）数据接口：RS-485，MODBUS 协议； </w:t>
            </w:r>
          </w:p>
          <w:p>
            <w:pPr>
              <w:pStyle w:val="158"/>
              <w:widowControl/>
              <w:ind w:firstLine="0" w:firstLineChars="0"/>
              <w:jc w:val="left"/>
              <w:rPr>
                <w:rFonts w:ascii="宋体" w:hAnsi="宋体" w:cs="宋体"/>
                <w:szCs w:val="21"/>
              </w:rPr>
            </w:pPr>
            <w:r>
              <w:rPr>
                <w:rFonts w:hint="eastAsia" w:ascii="宋体" w:hAnsi="宋体" w:cs="宋体"/>
                <w:szCs w:val="21"/>
              </w:rPr>
              <w:t xml:space="preserve">6）工作温度：-40～85℃； </w:t>
            </w:r>
          </w:p>
          <w:p>
            <w:pPr>
              <w:pStyle w:val="158"/>
              <w:widowControl/>
              <w:ind w:firstLine="0" w:firstLineChars="0"/>
              <w:jc w:val="left"/>
              <w:rPr>
                <w:rFonts w:ascii="宋体" w:hAnsi="宋体" w:cs="宋体"/>
                <w:szCs w:val="21"/>
              </w:rPr>
            </w:pPr>
            <w:r>
              <w:rPr>
                <w:rFonts w:hint="eastAsia" w:ascii="宋体" w:hAnsi="宋体" w:cs="宋体"/>
                <w:szCs w:val="21"/>
              </w:rPr>
              <w:t xml:space="preserve">7）野外防护等级：IP68。 </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测流控制软件</w:t>
            </w:r>
          </w:p>
        </w:tc>
        <w:tc>
          <w:tcPr>
            <w:tcW w:w="1993" w:type="pct"/>
            <w:vAlign w:val="center"/>
          </w:tcPr>
          <w:p>
            <w:pPr>
              <w:pStyle w:val="158"/>
              <w:widowControl/>
              <w:ind w:firstLine="0" w:firstLineChars="0"/>
              <w:rPr>
                <w:rFonts w:ascii="宋体" w:hAnsi="宋体" w:cs="宋体"/>
                <w:szCs w:val="21"/>
              </w:rPr>
            </w:pPr>
            <w:r>
              <w:rPr>
                <w:rFonts w:hint="eastAsia" w:ascii="宋体" w:hAnsi="宋体" w:cs="宋体"/>
                <w:szCs w:val="21"/>
              </w:rPr>
              <w:t xml:space="preserve">1）在测流过程中实时模拟飞行示意图和航测点实时测速数据；可计算并导出流量计算成果表和图形； </w:t>
            </w:r>
          </w:p>
          <w:p>
            <w:pPr>
              <w:pStyle w:val="158"/>
              <w:widowControl/>
              <w:ind w:firstLine="0" w:firstLineChars="0"/>
              <w:rPr>
                <w:rFonts w:ascii="宋体" w:hAnsi="宋体" w:cs="宋体"/>
                <w:szCs w:val="21"/>
              </w:rPr>
            </w:pPr>
            <w:r>
              <w:rPr>
                <w:rFonts w:hint="eastAsia" w:ascii="宋体" w:hAnsi="宋体" w:cs="宋体"/>
                <w:szCs w:val="21"/>
              </w:rPr>
              <w:t xml:space="preserve">2）测流软件能够生成符合国标《河流流量测验规范》和部标《水文缆道测验规范》的流量计算成果表。 </w:t>
            </w:r>
          </w:p>
          <w:p>
            <w:pPr>
              <w:pStyle w:val="158"/>
              <w:widowControl/>
              <w:ind w:firstLine="0" w:firstLineChars="0"/>
              <w:rPr>
                <w:rFonts w:ascii="宋体" w:hAnsi="宋体" w:cs="宋体"/>
                <w:szCs w:val="21"/>
              </w:rPr>
            </w:pPr>
            <w:r>
              <w:rPr>
                <w:rFonts w:hint="eastAsia" w:ascii="宋体" w:hAnsi="宋体" w:cs="宋体"/>
                <w:szCs w:val="21"/>
              </w:rPr>
              <w:t xml:space="preserve">3）测流软件能够预制大断面数据； </w:t>
            </w:r>
          </w:p>
          <w:p>
            <w:pPr>
              <w:pStyle w:val="158"/>
              <w:widowControl/>
              <w:ind w:firstLine="0" w:firstLineChars="0"/>
              <w:rPr>
                <w:rFonts w:ascii="宋体" w:hAnsi="宋体" w:cs="宋体"/>
                <w:szCs w:val="21"/>
              </w:rPr>
            </w:pPr>
            <w:r>
              <w:rPr>
                <w:rFonts w:hint="eastAsia" w:ascii="宋体" w:hAnsi="宋体" w:cs="宋体"/>
                <w:szCs w:val="21"/>
              </w:rPr>
              <w:t xml:space="preserve">4）测流软件具有流速横向分布显示功能； </w:t>
            </w:r>
          </w:p>
          <w:p>
            <w:pPr>
              <w:pStyle w:val="158"/>
              <w:widowControl/>
              <w:ind w:firstLine="0" w:firstLineChars="0"/>
              <w:rPr>
                <w:rFonts w:ascii="宋体" w:hAnsi="宋体" w:cs="宋体"/>
                <w:szCs w:val="21"/>
              </w:rPr>
            </w:pPr>
            <w:r>
              <w:rPr>
                <w:rFonts w:hint="eastAsia" w:ascii="宋体" w:hAnsi="宋体" w:cs="宋体"/>
                <w:szCs w:val="21"/>
              </w:rPr>
              <w:t xml:space="preserve">5）测流软件具有流速修改功能； </w:t>
            </w:r>
          </w:p>
          <w:p>
            <w:pPr>
              <w:pStyle w:val="158"/>
              <w:widowControl/>
              <w:ind w:firstLine="0" w:firstLineChars="0"/>
              <w:rPr>
                <w:rFonts w:ascii="宋体" w:hAnsi="宋体" w:cs="宋体"/>
                <w:szCs w:val="21"/>
              </w:rPr>
            </w:pPr>
            <w:r>
              <w:rPr>
                <w:rFonts w:hint="eastAsia" w:ascii="宋体" w:hAnsi="宋体" w:cs="宋体"/>
                <w:szCs w:val="21"/>
              </w:rPr>
              <w:t xml:space="preserve">6）测流软件能从设备中直接读出流速数据，并能提供界面，输入或修改数据。 </w:t>
            </w:r>
          </w:p>
          <w:p>
            <w:pPr>
              <w:pStyle w:val="158"/>
              <w:widowControl/>
              <w:ind w:firstLine="0" w:firstLineChars="0"/>
              <w:rPr>
                <w:rFonts w:ascii="宋体" w:hAnsi="宋体" w:cs="宋体"/>
                <w:szCs w:val="21"/>
              </w:rPr>
            </w:pPr>
            <w:r>
              <w:rPr>
                <w:rFonts w:hint="eastAsia" w:ascii="宋体" w:hAnsi="宋体" w:cs="宋体"/>
                <w:szCs w:val="21"/>
              </w:rPr>
              <w:t>7）测流软件能直观的显示断面图、流速分布图，能实时计算流量，并能输出流量计算表、相应水位计算表，能将数据导出为南方整编软件交换格式；</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9.7</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机箱、挂架等辅助设备</w:t>
            </w:r>
          </w:p>
        </w:tc>
        <w:tc>
          <w:tcPr>
            <w:tcW w:w="1993" w:type="pct"/>
            <w:vAlign w:val="center"/>
          </w:tcPr>
          <w:p>
            <w:pPr>
              <w:pStyle w:val="158"/>
              <w:widowControl/>
              <w:ind w:firstLine="0" w:firstLineChars="0"/>
              <w:jc w:val="left"/>
              <w:rPr>
                <w:rFonts w:ascii="宋体" w:hAnsi="宋体" w:cs="宋体"/>
                <w:szCs w:val="21"/>
              </w:rPr>
            </w:pPr>
            <w:r>
              <w:rPr>
                <w:rFonts w:hint="eastAsia" w:ascii="宋体" w:hAnsi="宋体" w:cs="宋体"/>
                <w:szCs w:val="21"/>
              </w:rPr>
              <w:t>1）采用三轴增稳云台。</w:t>
            </w:r>
          </w:p>
          <w:p>
            <w:pPr>
              <w:pStyle w:val="158"/>
              <w:widowControl/>
              <w:ind w:firstLine="0" w:firstLineChars="0"/>
              <w:jc w:val="left"/>
              <w:rPr>
                <w:rFonts w:ascii="宋体" w:hAnsi="宋体" w:cs="宋体"/>
                <w:szCs w:val="21"/>
              </w:rPr>
            </w:pPr>
            <w:r>
              <w:rPr>
                <w:rFonts w:hint="eastAsia" w:ascii="宋体" w:hAnsi="宋体" w:cs="宋体"/>
                <w:szCs w:val="21"/>
              </w:rPr>
              <w:t>2）安装方式：免工具插拔式快速拆装</w:t>
            </w:r>
          </w:p>
          <w:p>
            <w:pPr>
              <w:pStyle w:val="158"/>
              <w:widowControl/>
              <w:ind w:firstLine="0" w:firstLineChars="0"/>
              <w:jc w:val="left"/>
              <w:rPr>
                <w:rFonts w:ascii="宋体" w:hAnsi="宋体" w:cs="宋体"/>
                <w:szCs w:val="21"/>
              </w:rPr>
            </w:pPr>
            <w:r>
              <w:rPr>
                <w:rFonts w:hint="eastAsia" w:ascii="宋体" w:hAnsi="宋体" w:cs="宋体"/>
                <w:szCs w:val="21"/>
              </w:rPr>
              <w:t>3）俯仰方向：-100～+45度增稳</w:t>
            </w:r>
          </w:p>
          <w:p>
            <w:pPr>
              <w:pStyle w:val="158"/>
              <w:widowControl/>
              <w:ind w:firstLine="0" w:firstLineChars="0"/>
              <w:jc w:val="left"/>
              <w:rPr>
                <w:rFonts w:ascii="宋体" w:hAnsi="宋体" w:cs="宋体"/>
                <w:szCs w:val="21"/>
              </w:rPr>
            </w:pPr>
            <w:r>
              <w:rPr>
                <w:rFonts w:hint="eastAsia" w:ascii="宋体" w:hAnsi="宋体" w:cs="宋体"/>
                <w:szCs w:val="21"/>
              </w:rPr>
              <w:t>4）横滚方向：±40度增稳</w:t>
            </w:r>
          </w:p>
          <w:p>
            <w:pPr>
              <w:pStyle w:val="158"/>
              <w:widowControl/>
              <w:ind w:firstLine="0" w:firstLineChars="0"/>
              <w:jc w:val="left"/>
              <w:rPr>
                <w:rFonts w:ascii="宋体" w:hAnsi="宋体" w:cs="宋体"/>
                <w:szCs w:val="21"/>
              </w:rPr>
            </w:pPr>
            <w:r>
              <w:rPr>
                <w:rFonts w:hint="eastAsia" w:ascii="宋体" w:hAnsi="宋体" w:cs="宋体"/>
                <w:szCs w:val="21"/>
              </w:rPr>
              <w:t>5）偏航方向：360度</w:t>
            </w:r>
          </w:p>
          <w:p>
            <w:pPr>
              <w:pStyle w:val="158"/>
              <w:widowControl/>
              <w:ind w:firstLine="0" w:firstLineChars="0"/>
              <w:jc w:val="left"/>
              <w:rPr>
                <w:rFonts w:ascii="宋体" w:hAnsi="宋体" w:cs="宋体"/>
                <w:szCs w:val="21"/>
              </w:rPr>
            </w:pPr>
            <w:r>
              <w:rPr>
                <w:rFonts w:hint="eastAsia" w:ascii="宋体" w:hAnsi="宋体" w:cs="宋体"/>
                <w:szCs w:val="21"/>
              </w:rPr>
              <w:t>6）角度控制精度：±0.03度</w:t>
            </w:r>
          </w:p>
          <w:p>
            <w:pPr>
              <w:pStyle w:val="158"/>
              <w:widowControl/>
              <w:ind w:firstLine="0" w:firstLineChars="0"/>
              <w:jc w:val="left"/>
              <w:rPr>
                <w:rFonts w:ascii="宋体" w:hAnsi="宋体" w:cs="宋体"/>
                <w:szCs w:val="21"/>
              </w:rPr>
            </w:pPr>
            <w:r>
              <w:rPr>
                <w:rFonts w:hint="eastAsia" w:ascii="宋体" w:hAnsi="宋体" w:cs="宋体"/>
                <w:szCs w:val="21"/>
              </w:rPr>
              <w:t>7）包含流速仪、测距仪所需的机箱等。</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9.8</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便携式数据处理终端</w:t>
            </w:r>
          </w:p>
        </w:tc>
        <w:tc>
          <w:tcPr>
            <w:tcW w:w="1993" w:type="pct"/>
            <w:vAlign w:val="center"/>
          </w:tcPr>
          <w:p>
            <w:pPr>
              <w:pStyle w:val="158"/>
              <w:widowControl/>
              <w:ind w:firstLine="0" w:firstLineChars="0"/>
              <w:jc w:val="left"/>
              <w:rPr>
                <w:rFonts w:ascii="宋体" w:hAnsi="宋体" w:cs="宋体"/>
                <w:szCs w:val="21"/>
              </w:rPr>
            </w:pPr>
            <w:r>
              <w:rPr>
                <w:rFonts w:hint="eastAsia" w:ascii="宋体" w:hAnsi="宋体" w:cs="宋体"/>
                <w:szCs w:val="21"/>
              </w:rPr>
              <w:t>1)屏幕尺寸：≥13寸；</w:t>
            </w:r>
          </w:p>
          <w:p>
            <w:pPr>
              <w:pStyle w:val="158"/>
              <w:widowControl/>
              <w:ind w:firstLine="0" w:firstLineChars="0"/>
              <w:jc w:val="left"/>
              <w:rPr>
                <w:rFonts w:ascii="宋体" w:hAnsi="宋体" w:cs="宋体"/>
                <w:szCs w:val="21"/>
              </w:rPr>
            </w:pPr>
            <w:r>
              <w:rPr>
                <w:rFonts w:hint="eastAsia" w:ascii="宋体" w:hAnsi="宋体" w:cs="宋体"/>
                <w:szCs w:val="21"/>
              </w:rPr>
              <w:t>2)CPU：intel I7 ；</w:t>
            </w:r>
          </w:p>
          <w:p>
            <w:pPr>
              <w:pStyle w:val="158"/>
              <w:widowControl/>
              <w:ind w:firstLine="0" w:firstLineChars="0"/>
              <w:jc w:val="left"/>
              <w:rPr>
                <w:rFonts w:ascii="宋体" w:hAnsi="宋体" w:cs="宋体"/>
                <w:szCs w:val="21"/>
              </w:rPr>
            </w:pPr>
            <w:r>
              <w:rPr>
                <w:rFonts w:hint="eastAsia" w:ascii="宋体" w:hAnsi="宋体" w:cs="宋体"/>
                <w:szCs w:val="21"/>
              </w:rPr>
              <w:t>3)内存：16G；</w:t>
            </w:r>
          </w:p>
          <w:p>
            <w:pPr>
              <w:pStyle w:val="158"/>
              <w:widowControl/>
              <w:ind w:firstLine="0" w:firstLineChars="0"/>
              <w:jc w:val="left"/>
              <w:rPr>
                <w:rFonts w:ascii="宋体" w:hAnsi="宋体" w:cs="宋体"/>
                <w:szCs w:val="21"/>
              </w:rPr>
            </w:pPr>
            <w:r>
              <w:rPr>
                <w:rFonts w:hint="eastAsia" w:ascii="宋体" w:hAnsi="宋体" w:cs="宋体"/>
                <w:szCs w:val="21"/>
              </w:rPr>
              <w:t>4)硬盘容量：512G；</w:t>
            </w:r>
          </w:p>
          <w:p>
            <w:pPr>
              <w:pStyle w:val="158"/>
              <w:widowControl/>
              <w:ind w:firstLine="0" w:firstLineChars="0"/>
              <w:jc w:val="left"/>
              <w:rPr>
                <w:rFonts w:ascii="宋体" w:hAnsi="宋体" w:cs="宋体"/>
                <w:szCs w:val="21"/>
              </w:rPr>
            </w:pPr>
            <w:r>
              <w:rPr>
                <w:rFonts w:hint="eastAsia" w:ascii="宋体" w:hAnsi="宋体" w:cs="宋体"/>
                <w:szCs w:val="21"/>
              </w:rPr>
              <w:t>5)独立显卡；</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10</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走航式 ADCP 测流系统（含遥控船）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走航式ADCP主机</w:t>
            </w:r>
          </w:p>
        </w:tc>
        <w:tc>
          <w:tcPr>
            <w:tcW w:w="1993" w:type="pct"/>
            <w:vAlign w:val="center"/>
          </w:tcPr>
          <w:p>
            <w:pPr>
              <w:widowControl/>
              <w:jc w:val="left"/>
              <w:rPr>
                <w:rFonts w:ascii="宋体" w:hAnsi="宋体" w:cs="宋体"/>
                <w:szCs w:val="21"/>
              </w:rPr>
            </w:pPr>
            <w:r>
              <w:rPr>
                <w:rFonts w:hint="eastAsia" w:ascii="宋体" w:hAnsi="宋体" w:cs="宋体"/>
                <w:szCs w:val="21"/>
              </w:rPr>
              <w:t>1)流速剖面</w:t>
            </w:r>
          </w:p>
          <w:p>
            <w:pPr>
              <w:widowControl/>
              <w:jc w:val="left"/>
              <w:rPr>
                <w:rFonts w:ascii="宋体" w:hAnsi="宋体" w:cs="宋体"/>
                <w:szCs w:val="21"/>
              </w:rPr>
            </w:pPr>
            <w:r>
              <w:rPr>
                <w:rFonts w:hint="eastAsia" w:ascii="宋体" w:hAnsi="宋体" w:cs="宋体"/>
                <w:szCs w:val="21"/>
              </w:rPr>
              <w:t>流速范围：±5m/s（默认），±20m/s（最大）；</w:t>
            </w:r>
          </w:p>
          <w:p>
            <w:pPr>
              <w:widowControl/>
              <w:jc w:val="left"/>
              <w:rPr>
                <w:rFonts w:ascii="宋体" w:hAnsi="宋体" w:cs="宋体"/>
                <w:szCs w:val="21"/>
              </w:rPr>
            </w:pPr>
            <w:r>
              <w:rPr>
                <w:rFonts w:hint="eastAsia" w:ascii="宋体" w:hAnsi="宋体" w:cs="宋体"/>
                <w:szCs w:val="21"/>
              </w:rPr>
              <w:t>流速剖面范围：0.4m-60m；</w:t>
            </w:r>
          </w:p>
          <w:p>
            <w:pPr>
              <w:widowControl/>
              <w:jc w:val="left"/>
              <w:rPr>
                <w:rFonts w:ascii="宋体" w:hAnsi="宋体" w:cs="宋体"/>
                <w:szCs w:val="21"/>
              </w:rPr>
            </w:pPr>
            <w:r>
              <w:rPr>
                <w:rFonts w:hint="eastAsia" w:ascii="宋体" w:hAnsi="宋体" w:cs="宋体"/>
                <w:szCs w:val="21"/>
              </w:rPr>
              <w:t>准确度：水流相对于ADCP的速度±0.25%±2mm/s；</w:t>
            </w:r>
          </w:p>
          <w:p>
            <w:pPr>
              <w:widowControl/>
              <w:jc w:val="left"/>
              <w:rPr>
                <w:rFonts w:ascii="宋体" w:hAnsi="宋体" w:cs="宋体"/>
                <w:szCs w:val="21"/>
              </w:rPr>
            </w:pPr>
            <w:r>
              <w:rPr>
                <w:rFonts w:hint="eastAsia" w:ascii="宋体" w:hAnsi="宋体" w:cs="宋体"/>
                <w:szCs w:val="21"/>
              </w:rPr>
              <w:t>分辨率：1mm/s；</w:t>
            </w:r>
          </w:p>
          <w:p>
            <w:pPr>
              <w:widowControl/>
              <w:jc w:val="left"/>
              <w:rPr>
                <w:rFonts w:ascii="宋体" w:hAnsi="宋体" w:cs="宋体"/>
                <w:szCs w:val="21"/>
              </w:rPr>
            </w:pPr>
            <w:r>
              <w:rPr>
                <w:rFonts w:hint="eastAsia" w:ascii="宋体" w:hAnsi="宋体" w:cs="宋体"/>
                <w:szCs w:val="21"/>
              </w:rPr>
              <w:t>单元个数:自动选择，25典型，200最多；</w:t>
            </w:r>
          </w:p>
          <w:p>
            <w:pPr>
              <w:widowControl/>
              <w:jc w:val="left"/>
              <w:rPr>
                <w:rFonts w:ascii="宋体" w:hAnsi="宋体" w:cs="宋体"/>
                <w:szCs w:val="21"/>
              </w:rPr>
            </w:pPr>
            <w:r>
              <w:rPr>
                <w:rFonts w:hint="eastAsia" w:ascii="宋体" w:hAnsi="宋体" w:cs="宋体"/>
                <w:szCs w:val="21"/>
              </w:rPr>
              <w:t>单元尺寸：自动选择，最小10cm。</w:t>
            </w:r>
          </w:p>
          <w:p>
            <w:pPr>
              <w:widowControl/>
              <w:jc w:val="left"/>
              <w:rPr>
                <w:rFonts w:ascii="宋体" w:hAnsi="宋体" w:cs="宋体"/>
                <w:szCs w:val="21"/>
              </w:rPr>
            </w:pPr>
            <w:r>
              <w:rPr>
                <w:rFonts w:hint="eastAsia" w:ascii="宋体" w:hAnsi="宋体" w:cs="宋体"/>
                <w:szCs w:val="21"/>
              </w:rPr>
              <w:t>2)底跟踪</w:t>
            </w:r>
          </w:p>
          <w:p>
            <w:pPr>
              <w:widowControl/>
              <w:jc w:val="left"/>
              <w:rPr>
                <w:rFonts w:ascii="宋体" w:hAnsi="宋体" w:cs="宋体"/>
                <w:szCs w:val="21"/>
              </w:rPr>
            </w:pPr>
            <w:r>
              <w:rPr>
                <w:rFonts w:hint="eastAsia" w:ascii="宋体" w:hAnsi="宋体" w:cs="宋体"/>
                <w:szCs w:val="21"/>
              </w:rPr>
              <w:t>作业模式：宽带；</w:t>
            </w:r>
          </w:p>
          <w:p>
            <w:pPr>
              <w:widowControl/>
              <w:jc w:val="left"/>
              <w:rPr>
                <w:rFonts w:ascii="宋体" w:hAnsi="宋体" w:cs="宋体"/>
                <w:szCs w:val="21"/>
              </w:rPr>
            </w:pPr>
            <w:r>
              <w:rPr>
                <w:rFonts w:hint="eastAsia" w:ascii="宋体" w:hAnsi="宋体" w:cs="宋体"/>
                <w:szCs w:val="21"/>
              </w:rPr>
              <w:t>速度范围：±9.5m/s；</w:t>
            </w:r>
          </w:p>
          <w:p>
            <w:pPr>
              <w:widowControl/>
              <w:jc w:val="left"/>
              <w:rPr>
                <w:rFonts w:ascii="宋体" w:hAnsi="宋体" w:cs="宋体"/>
                <w:szCs w:val="21"/>
              </w:rPr>
            </w:pPr>
            <w:r>
              <w:rPr>
                <w:rFonts w:hint="eastAsia" w:ascii="宋体" w:hAnsi="宋体" w:cs="宋体"/>
                <w:szCs w:val="21"/>
              </w:rPr>
              <w:t>剖面范围：0.4m-100m；</w:t>
            </w:r>
          </w:p>
          <w:p>
            <w:pPr>
              <w:widowControl/>
              <w:jc w:val="left"/>
              <w:rPr>
                <w:rFonts w:ascii="宋体" w:hAnsi="宋体" w:cs="宋体"/>
                <w:szCs w:val="21"/>
              </w:rPr>
            </w:pPr>
            <w:r>
              <w:rPr>
                <w:rFonts w:hint="eastAsia" w:ascii="宋体" w:hAnsi="宋体" w:cs="宋体"/>
                <w:szCs w:val="21"/>
              </w:rPr>
              <w:t>准确度：ADCP相对于底的速度±0.25%V±2mm/s</w:t>
            </w:r>
          </w:p>
          <w:p>
            <w:pPr>
              <w:widowControl/>
              <w:jc w:val="left"/>
              <w:rPr>
                <w:rFonts w:ascii="宋体" w:hAnsi="宋体" w:cs="宋体"/>
                <w:szCs w:val="21"/>
              </w:rPr>
            </w:pPr>
            <w:r>
              <w:rPr>
                <w:rFonts w:hint="eastAsia" w:ascii="宋体" w:hAnsi="宋体" w:cs="宋体"/>
                <w:szCs w:val="21"/>
              </w:rPr>
              <w:t>分辨率：1mm/s；</w:t>
            </w:r>
          </w:p>
          <w:p>
            <w:pPr>
              <w:widowControl/>
              <w:jc w:val="left"/>
              <w:rPr>
                <w:rFonts w:ascii="宋体" w:hAnsi="宋体" w:cs="宋体"/>
                <w:szCs w:val="21"/>
              </w:rPr>
            </w:pPr>
            <w:r>
              <w:rPr>
                <w:rFonts w:hint="eastAsia" w:ascii="宋体" w:hAnsi="宋体" w:cs="宋体"/>
                <w:szCs w:val="21"/>
              </w:rPr>
              <w:t>3)水深测量</w:t>
            </w:r>
          </w:p>
          <w:p>
            <w:pPr>
              <w:widowControl/>
              <w:jc w:val="left"/>
              <w:rPr>
                <w:rFonts w:ascii="宋体" w:hAnsi="宋体" w:cs="宋体"/>
                <w:szCs w:val="21"/>
              </w:rPr>
            </w:pPr>
            <w:r>
              <w:rPr>
                <w:rFonts w:hint="eastAsia" w:ascii="宋体" w:hAnsi="宋体" w:cs="宋体"/>
                <w:szCs w:val="21"/>
              </w:rPr>
              <w:t>测量范围：0.3-100m；</w:t>
            </w:r>
          </w:p>
          <w:p>
            <w:pPr>
              <w:widowControl/>
              <w:jc w:val="left"/>
              <w:rPr>
                <w:rFonts w:ascii="宋体" w:hAnsi="宋体" w:cs="宋体"/>
                <w:szCs w:val="21"/>
              </w:rPr>
            </w:pPr>
            <w:r>
              <w:rPr>
                <w:rFonts w:hint="eastAsia" w:ascii="宋体" w:hAnsi="宋体" w:cs="宋体"/>
                <w:szCs w:val="21"/>
              </w:rPr>
              <w:t>准确度：±1%（均匀的水深和盐度剖面）</w:t>
            </w:r>
          </w:p>
          <w:p>
            <w:pPr>
              <w:widowControl/>
              <w:jc w:val="left"/>
              <w:rPr>
                <w:rFonts w:ascii="宋体" w:hAnsi="宋体" w:cs="宋体"/>
                <w:szCs w:val="21"/>
              </w:rPr>
            </w:pPr>
            <w:r>
              <w:rPr>
                <w:rFonts w:hint="eastAsia" w:ascii="宋体" w:hAnsi="宋体" w:cs="宋体"/>
                <w:szCs w:val="21"/>
              </w:rPr>
              <w:t>分辨率：1mm；</w:t>
            </w:r>
          </w:p>
          <w:p>
            <w:pPr>
              <w:widowControl/>
              <w:jc w:val="left"/>
              <w:rPr>
                <w:rFonts w:ascii="宋体" w:hAnsi="宋体" w:cs="宋体"/>
                <w:szCs w:val="21"/>
              </w:rPr>
            </w:pPr>
            <w:r>
              <w:rPr>
                <w:rFonts w:hint="eastAsia" w:ascii="宋体" w:hAnsi="宋体" w:cs="宋体"/>
                <w:szCs w:val="21"/>
              </w:rPr>
              <w:t>4)换能器与硬件</w:t>
            </w:r>
          </w:p>
          <w:p>
            <w:pPr>
              <w:widowControl/>
              <w:jc w:val="left"/>
              <w:rPr>
                <w:rFonts w:ascii="宋体" w:hAnsi="宋体" w:cs="宋体"/>
                <w:szCs w:val="21"/>
              </w:rPr>
            </w:pPr>
            <w:r>
              <w:rPr>
                <w:rFonts w:hint="eastAsia" w:ascii="宋体" w:hAnsi="宋体" w:cs="宋体"/>
                <w:szCs w:val="21"/>
              </w:rPr>
              <w:t>系统频率：600kHz；</w:t>
            </w:r>
          </w:p>
          <w:p>
            <w:pPr>
              <w:widowControl/>
              <w:jc w:val="left"/>
              <w:rPr>
                <w:rFonts w:ascii="宋体" w:hAnsi="宋体" w:cs="宋体"/>
                <w:szCs w:val="21"/>
              </w:rPr>
            </w:pPr>
            <w:r>
              <w:rPr>
                <w:rFonts w:hint="eastAsia" w:ascii="宋体" w:hAnsi="宋体" w:cs="宋体"/>
                <w:szCs w:val="21"/>
              </w:rPr>
              <w:t>换能器构造：相控阵（平面），四波束，波束角30°；</w:t>
            </w:r>
          </w:p>
          <w:p>
            <w:pPr>
              <w:widowControl/>
              <w:jc w:val="left"/>
              <w:rPr>
                <w:rFonts w:ascii="宋体" w:hAnsi="宋体" w:cs="宋体"/>
                <w:szCs w:val="21"/>
              </w:rPr>
            </w:pPr>
            <w:r>
              <w:rPr>
                <w:rFonts w:hint="eastAsia" w:ascii="宋体" w:hAnsi="宋体" w:cs="宋体"/>
                <w:szCs w:val="21"/>
              </w:rPr>
              <w:t>温度传感器：量程-5～45℃，准确度±0.5℃，分辨率0.01℃；</w:t>
            </w:r>
          </w:p>
          <w:p>
            <w:pPr>
              <w:widowControl/>
              <w:jc w:val="left"/>
              <w:rPr>
                <w:rFonts w:ascii="宋体" w:hAnsi="宋体" w:cs="宋体"/>
                <w:szCs w:val="21"/>
              </w:rPr>
            </w:pPr>
            <w:r>
              <w:rPr>
                <w:rFonts w:hint="eastAsia" w:ascii="宋体" w:hAnsi="宋体" w:cs="宋体"/>
                <w:szCs w:val="21"/>
              </w:rPr>
              <w:t>倾斜计（横摇和纵摇）:范围：±90°，准确度：±0.3°，分辨率0.02°；</w:t>
            </w:r>
          </w:p>
          <w:p>
            <w:pPr>
              <w:widowControl/>
              <w:jc w:val="left"/>
              <w:rPr>
                <w:rFonts w:ascii="宋体" w:hAnsi="宋体" w:cs="宋体"/>
                <w:szCs w:val="21"/>
              </w:rPr>
            </w:pPr>
            <w:r>
              <w:rPr>
                <w:rFonts w:hint="eastAsia" w:ascii="宋体" w:hAnsi="宋体" w:cs="宋体"/>
                <w:szCs w:val="21"/>
              </w:rPr>
              <w:t>罗盘: 范围：0-360°，准确度：±2°，分辨率0.01°</w:t>
            </w:r>
          </w:p>
          <w:p>
            <w:pPr>
              <w:widowControl/>
              <w:jc w:val="left"/>
              <w:rPr>
                <w:rFonts w:ascii="宋体" w:hAnsi="宋体" w:cs="宋体"/>
                <w:szCs w:val="21"/>
              </w:rPr>
            </w:pPr>
            <w:r>
              <w:rPr>
                <w:rFonts w:hint="eastAsia" w:ascii="宋体" w:hAnsi="宋体" w:cs="宋体"/>
                <w:szCs w:val="21"/>
              </w:rPr>
              <w:t>内存：16M；</w:t>
            </w:r>
          </w:p>
          <w:p>
            <w:pPr>
              <w:widowControl/>
              <w:rPr>
                <w:rFonts w:ascii="宋体" w:hAnsi="宋体" w:cs="宋体"/>
                <w:kern w:val="0"/>
                <w:szCs w:val="21"/>
              </w:rPr>
            </w:pPr>
            <w:r>
              <w:rPr>
                <w:rFonts w:hint="eastAsia" w:ascii="宋体" w:hAnsi="宋体" w:cs="宋体"/>
                <w:szCs w:val="21"/>
              </w:rPr>
              <w:t>电源：10.5到18VDC；</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遥控船（含电台）</w:t>
            </w:r>
          </w:p>
        </w:tc>
        <w:tc>
          <w:tcPr>
            <w:tcW w:w="1993" w:type="pct"/>
            <w:vAlign w:val="center"/>
          </w:tcPr>
          <w:p>
            <w:pPr>
              <w:widowControl/>
              <w:jc w:val="left"/>
              <w:rPr>
                <w:rFonts w:ascii="宋体" w:hAnsi="宋体" w:cs="宋体"/>
                <w:szCs w:val="21"/>
              </w:rPr>
            </w:pPr>
            <w:r>
              <w:rPr>
                <w:rFonts w:hint="eastAsia" w:ascii="宋体" w:hAnsi="宋体" w:cs="宋体"/>
                <w:szCs w:val="21"/>
              </w:rPr>
              <w:t>1)船体</w:t>
            </w:r>
          </w:p>
          <w:p>
            <w:pPr>
              <w:widowControl/>
              <w:jc w:val="left"/>
              <w:rPr>
                <w:rFonts w:ascii="宋体" w:hAnsi="宋体" w:cs="宋体"/>
                <w:szCs w:val="21"/>
              </w:rPr>
            </w:pPr>
            <w:r>
              <w:rPr>
                <w:rFonts w:hint="eastAsia" w:ascii="宋体" w:hAnsi="宋体" w:cs="宋体"/>
                <w:szCs w:val="21"/>
              </w:rPr>
              <w:t>自主导航、自主航行（不需手动遥控）；</w:t>
            </w:r>
          </w:p>
          <w:p>
            <w:pPr>
              <w:widowControl/>
              <w:jc w:val="left"/>
              <w:rPr>
                <w:rFonts w:ascii="宋体" w:hAnsi="宋体" w:cs="宋体"/>
                <w:szCs w:val="21"/>
              </w:rPr>
            </w:pPr>
            <w:r>
              <w:rPr>
                <w:rFonts w:hint="eastAsia" w:ascii="宋体" w:hAnsi="宋体" w:cs="宋体"/>
                <w:szCs w:val="21"/>
              </w:rPr>
              <w:t>具有智能姿态控制+无人船状态监控功能；</w:t>
            </w:r>
          </w:p>
          <w:p>
            <w:pPr>
              <w:widowControl/>
              <w:jc w:val="left"/>
              <w:rPr>
                <w:rFonts w:ascii="宋体" w:hAnsi="宋体" w:cs="宋体"/>
                <w:szCs w:val="21"/>
              </w:rPr>
            </w:pPr>
            <w:r>
              <w:rPr>
                <w:rFonts w:hint="eastAsia" w:ascii="宋体" w:hAnsi="宋体" w:cs="宋体"/>
                <w:szCs w:val="21"/>
              </w:rPr>
              <w:t>通底月池设计，安装无需防水；</w:t>
            </w:r>
          </w:p>
          <w:p>
            <w:pPr>
              <w:widowControl/>
              <w:jc w:val="left"/>
              <w:rPr>
                <w:rFonts w:ascii="宋体" w:hAnsi="宋体" w:cs="宋体"/>
                <w:szCs w:val="21"/>
              </w:rPr>
            </w:pPr>
            <w:r>
              <w:rPr>
                <w:rFonts w:hint="eastAsia" w:ascii="宋体" w:hAnsi="宋体" w:cs="宋体"/>
                <w:szCs w:val="21"/>
              </w:rPr>
              <w:t>艇体采用纳米级碳纤维复合材料；</w:t>
            </w:r>
            <w:r>
              <w:rPr>
                <w:rFonts w:ascii="宋体" w:hAnsi="宋体" w:cs="宋体"/>
                <w:szCs w:val="21"/>
              </w:rPr>
              <w:t xml:space="preserve"> </w:t>
            </w:r>
          </w:p>
          <w:p>
            <w:pPr>
              <w:widowControl/>
              <w:jc w:val="left"/>
              <w:rPr>
                <w:rFonts w:ascii="宋体" w:hAnsi="宋体" w:cs="宋体"/>
                <w:szCs w:val="21"/>
              </w:rPr>
            </w:pPr>
            <w:r>
              <w:rPr>
                <w:rFonts w:hint="eastAsia" w:ascii="宋体" w:hAnsi="宋体" w:cs="宋体"/>
                <w:szCs w:val="21"/>
              </w:rPr>
              <w:t>船体硬度高、重量轻、具有防撞、防腐、防磨损特性；</w:t>
            </w:r>
          </w:p>
          <w:p>
            <w:pPr>
              <w:widowControl/>
              <w:jc w:val="left"/>
              <w:rPr>
                <w:rFonts w:ascii="宋体" w:hAnsi="宋体" w:cs="宋体"/>
                <w:szCs w:val="21"/>
              </w:rPr>
            </w:pPr>
            <w:r>
              <w:rPr>
                <w:rFonts w:hint="eastAsia" w:ascii="宋体" w:hAnsi="宋体" w:cs="宋体"/>
                <w:szCs w:val="21"/>
              </w:rPr>
              <w:t>按任务要求可随时将探测的数据传回地面基站显示、存储，当任务完成后能够按预定位置自动返航；</w:t>
            </w:r>
          </w:p>
          <w:p>
            <w:pPr>
              <w:widowControl/>
              <w:jc w:val="left"/>
              <w:rPr>
                <w:rFonts w:ascii="宋体" w:hAnsi="宋体" w:cs="宋体"/>
                <w:szCs w:val="21"/>
              </w:rPr>
            </w:pPr>
            <w:r>
              <w:rPr>
                <w:rFonts w:hint="eastAsia" w:ascii="宋体" w:hAnsi="宋体" w:cs="宋体"/>
                <w:szCs w:val="21"/>
              </w:rPr>
              <w:t>尺寸：长≤1.1m，宽≤0.7m，高≤0.5m；</w:t>
            </w:r>
          </w:p>
          <w:p>
            <w:pPr>
              <w:widowControl/>
              <w:jc w:val="left"/>
              <w:rPr>
                <w:rFonts w:ascii="宋体" w:hAnsi="宋体" w:cs="宋体"/>
                <w:szCs w:val="21"/>
              </w:rPr>
            </w:pPr>
            <w:r>
              <w:rPr>
                <w:rFonts w:hint="eastAsia" w:ascii="宋体" w:hAnsi="宋体" w:cs="宋体"/>
                <w:szCs w:val="21"/>
              </w:rPr>
              <w:t>空载重量：≤15Kg；</w:t>
            </w:r>
          </w:p>
          <w:p>
            <w:pPr>
              <w:widowControl/>
              <w:jc w:val="left"/>
              <w:rPr>
                <w:rFonts w:ascii="宋体" w:hAnsi="宋体" w:cs="宋体"/>
                <w:szCs w:val="21"/>
              </w:rPr>
            </w:pPr>
            <w:r>
              <w:rPr>
                <w:rFonts w:hint="eastAsia" w:ascii="宋体" w:hAnsi="宋体" w:cs="宋体"/>
                <w:szCs w:val="21"/>
              </w:rPr>
              <w:t>负载能力：≥10kg；</w:t>
            </w:r>
          </w:p>
          <w:p>
            <w:pPr>
              <w:widowControl/>
              <w:jc w:val="left"/>
              <w:rPr>
                <w:rFonts w:ascii="宋体" w:hAnsi="宋体" w:cs="宋体"/>
                <w:szCs w:val="21"/>
              </w:rPr>
            </w:pPr>
            <w:r>
              <w:rPr>
                <w:rFonts w:hint="eastAsia" w:ascii="宋体" w:hAnsi="宋体" w:cs="宋体"/>
                <w:szCs w:val="21"/>
              </w:rPr>
              <w:t>满载吃水深度：≤0.15m；</w:t>
            </w:r>
          </w:p>
          <w:p>
            <w:pPr>
              <w:widowControl/>
              <w:jc w:val="left"/>
              <w:rPr>
                <w:rFonts w:ascii="宋体" w:hAnsi="宋体" w:cs="宋体"/>
                <w:szCs w:val="21"/>
              </w:rPr>
            </w:pPr>
            <w:r>
              <w:rPr>
                <w:rFonts w:hint="eastAsia" w:ascii="宋体" w:hAnsi="宋体" w:cs="宋体"/>
                <w:szCs w:val="21"/>
              </w:rPr>
              <w:t>抗风浪等级：3级风。</w:t>
            </w:r>
          </w:p>
          <w:p>
            <w:pPr>
              <w:widowControl/>
              <w:jc w:val="left"/>
              <w:rPr>
                <w:rFonts w:ascii="宋体" w:hAnsi="宋体" w:cs="宋体"/>
                <w:szCs w:val="21"/>
              </w:rPr>
            </w:pPr>
            <w:r>
              <w:rPr>
                <w:rFonts w:hint="eastAsia" w:ascii="宋体" w:hAnsi="宋体" w:cs="宋体"/>
                <w:szCs w:val="21"/>
              </w:rPr>
              <w:t>2)导航及控制系统</w:t>
            </w:r>
          </w:p>
          <w:p>
            <w:pPr>
              <w:widowControl/>
              <w:jc w:val="left"/>
              <w:rPr>
                <w:rFonts w:ascii="宋体" w:hAnsi="宋体" w:cs="宋体"/>
                <w:szCs w:val="21"/>
              </w:rPr>
            </w:pPr>
            <w:r>
              <w:rPr>
                <w:rFonts w:hint="eastAsia" w:ascii="宋体" w:hAnsi="宋体" w:cs="宋体"/>
                <w:szCs w:val="21"/>
              </w:rPr>
              <w:t xml:space="preserve">采用GPS或北斗卫星定位，高灵敏度陀螺仪； </w:t>
            </w:r>
          </w:p>
          <w:p>
            <w:pPr>
              <w:widowControl/>
              <w:jc w:val="left"/>
              <w:rPr>
                <w:rFonts w:ascii="宋体" w:hAnsi="宋体" w:cs="宋体"/>
                <w:szCs w:val="21"/>
              </w:rPr>
            </w:pPr>
            <w:r>
              <w:rPr>
                <w:rFonts w:hint="eastAsia" w:ascii="宋体" w:hAnsi="宋体" w:cs="宋体"/>
                <w:szCs w:val="21"/>
              </w:rPr>
              <w:t>高精度GPS接收器：水平定位精度2.5 m，速度精度0.1 m/s；</w:t>
            </w:r>
          </w:p>
          <w:p>
            <w:pPr>
              <w:widowControl/>
              <w:jc w:val="left"/>
              <w:rPr>
                <w:rFonts w:ascii="宋体" w:hAnsi="宋体" w:cs="宋体"/>
                <w:szCs w:val="21"/>
              </w:rPr>
            </w:pPr>
            <w:r>
              <w:rPr>
                <w:rFonts w:hint="eastAsia" w:ascii="宋体" w:hAnsi="宋体" w:cs="宋体"/>
                <w:szCs w:val="21"/>
              </w:rPr>
              <w:t>可接收并执行智能手持遥控器的手动任务指令；</w:t>
            </w:r>
          </w:p>
          <w:p>
            <w:pPr>
              <w:widowControl/>
              <w:jc w:val="left"/>
              <w:rPr>
                <w:rFonts w:ascii="宋体" w:hAnsi="宋体" w:cs="宋体"/>
                <w:szCs w:val="21"/>
              </w:rPr>
            </w:pPr>
            <w:r>
              <w:rPr>
                <w:rFonts w:hint="eastAsia" w:ascii="宋体" w:hAnsi="宋体" w:cs="宋体"/>
                <w:szCs w:val="21"/>
              </w:rPr>
              <w:t>可接收、保存并执行地面控制基站的任务指令；</w:t>
            </w:r>
          </w:p>
          <w:p>
            <w:pPr>
              <w:widowControl/>
              <w:jc w:val="left"/>
              <w:rPr>
                <w:rFonts w:ascii="宋体" w:hAnsi="宋体" w:cs="宋体"/>
                <w:szCs w:val="21"/>
              </w:rPr>
            </w:pPr>
            <w:r>
              <w:rPr>
                <w:rFonts w:hint="eastAsia" w:ascii="宋体" w:hAnsi="宋体" w:cs="宋体"/>
                <w:szCs w:val="21"/>
              </w:rPr>
              <w:t xml:space="preserve">具备无人船主控控制软件著作权登记证书； </w:t>
            </w:r>
          </w:p>
          <w:p>
            <w:pPr>
              <w:widowControl/>
              <w:jc w:val="left"/>
              <w:rPr>
                <w:rFonts w:ascii="宋体" w:hAnsi="宋体" w:cs="宋体"/>
                <w:szCs w:val="21"/>
              </w:rPr>
            </w:pPr>
            <w:r>
              <w:rPr>
                <w:rFonts w:hint="eastAsia" w:ascii="宋体" w:hAnsi="宋体" w:cs="宋体"/>
                <w:szCs w:val="21"/>
              </w:rPr>
              <w:t xml:space="preserve">采用两组金属喷泵推进，差速转向； </w:t>
            </w:r>
          </w:p>
          <w:p>
            <w:pPr>
              <w:widowControl/>
              <w:jc w:val="left"/>
              <w:rPr>
                <w:rFonts w:ascii="宋体" w:hAnsi="宋体" w:cs="宋体"/>
                <w:szCs w:val="21"/>
              </w:rPr>
            </w:pPr>
            <w:r>
              <w:rPr>
                <w:rFonts w:hint="eastAsia" w:ascii="宋体" w:hAnsi="宋体" w:cs="宋体"/>
                <w:szCs w:val="21"/>
              </w:rPr>
              <w:t>最高航速：≥5.0m/s；</w:t>
            </w:r>
            <w:r>
              <w:rPr>
                <w:rFonts w:ascii="宋体" w:hAnsi="宋体" w:cs="宋体"/>
                <w:szCs w:val="21"/>
              </w:rPr>
              <w:t xml:space="preserve"> </w:t>
            </w:r>
          </w:p>
          <w:p>
            <w:pPr>
              <w:widowControl/>
              <w:jc w:val="left"/>
              <w:rPr>
                <w:rFonts w:ascii="宋体" w:hAnsi="宋体" w:cs="宋体"/>
                <w:szCs w:val="21"/>
              </w:rPr>
            </w:pPr>
            <w:r>
              <w:rPr>
                <w:rFonts w:hint="eastAsia" w:ascii="宋体" w:hAnsi="宋体" w:cs="宋体"/>
                <w:szCs w:val="21"/>
              </w:rPr>
              <w:t>无人船行驶中可实时探测与前方障碍物距离，并采取避障措施，障碍物探测距离可达10米；</w:t>
            </w:r>
          </w:p>
          <w:p>
            <w:pPr>
              <w:widowControl/>
              <w:jc w:val="left"/>
              <w:rPr>
                <w:rFonts w:ascii="宋体" w:hAnsi="宋体" w:cs="宋体"/>
                <w:szCs w:val="21"/>
              </w:rPr>
            </w:pPr>
            <w:r>
              <w:rPr>
                <w:rFonts w:hint="eastAsia" w:ascii="宋体" w:hAnsi="宋体" w:cs="宋体"/>
                <w:szCs w:val="21"/>
              </w:rPr>
              <w:t>3）供电及通信系统</w:t>
            </w:r>
          </w:p>
          <w:p>
            <w:pPr>
              <w:widowControl/>
              <w:jc w:val="left"/>
              <w:rPr>
                <w:rFonts w:ascii="宋体" w:hAnsi="宋体" w:cs="宋体"/>
                <w:szCs w:val="21"/>
              </w:rPr>
            </w:pPr>
            <w:r>
              <w:rPr>
                <w:rFonts w:hint="eastAsia" w:ascii="宋体" w:hAnsi="宋体" w:cs="宋体"/>
                <w:szCs w:val="21"/>
              </w:rPr>
              <w:t>★续航能力：经济航速1m/s时续航≥10小时，最大航速5m/s时续航≥1小时；</w:t>
            </w:r>
            <w:r>
              <w:rPr>
                <w:rFonts w:hint="eastAsia" w:ascii="宋体" w:hAnsi="宋体" w:cs="宋体"/>
                <w:b/>
                <w:bCs/>
                <w:szCs w:val="21"/>
              </w:rPr>
              <w:t>（</w:t>
            </w:r>
            <w:r>
              <w:rPr>
                <w:rFonts w:hint="eastAsia" w:hAnsi="宋体" w:cs="宋体"/>
                <w:b/>
                <w:bCs/>
                <w:szCs w:val="21"/>
                <w:lang w:eastAsia="zh-CN"/>
              </w:rPr>
              <w:t>中标公示结束后五个工作日内</w:t>
            </w:r>
            <w:r>
              <w:rPr>
                <w:rFonts w:hint="eastAsia" w:ascii="宋体" w:hAnsi="宋体" w:cs="宋体"/>
                <w:b/>
                <w:bCs/>
                <w:szCs w:val="21"/>
              </w:rPr>
              <w:t>提供国家认可的第三方检测机构出具的检测报告原件扫描件，并加盖投标产品制造商公章）</w:t>
            </w:r>
          </w:p>
          <w:p>
            <w:pPr>
              <w:widowControl/>
              <w:jc w:val="left"/>
              <w:rPr>
                <w:rFonts w:ascii="宋体" w:hAnsi="宋体" w:cs="宋体"/>
                <w:szCs w:val="21"/>
              </w:rPr>
            </w:pPr>
            <w:r>
              <w:rPr>
                <w:rFonts w:hint="eastAsia" w:ascii="宋体" w:hAnsi="宋体" w:cs="宋体"/>
                <w:szCs w:val="21"/>
              </w:rPr>
              <w:t>电池保护：具有过充、过放电、防水及电池过热保护；</w:t>
            </w:r>
          </w:p>
          <w:p>
            <w:pPr>
              <w:widowControl/>
              <w:jc w:val="left"/>
              <w:rPr>
                <w:rFonts w:ascii="宋体" w:hAnsi="宋体" w:cs="宋体"/>
                <w:szCs w:val="21"/>
              </w:rPr>
            </w:pPr>
            <w:r>
              <w:rPr>
                <w:rFonts w:hint="eastAsia" w:ascii="宋体" w:hAnsi="宋体" w:cs="宋体"/>
                <w:szCs w:val="21"/>
              </w:rPr>
              <w:t xml:space="preserve">电池规格：≥33V/40Ah，防水能力达到IP66； </w:t>
            </w:r>
          </w:p>
          <w:p>
            <w:pPr>
              <w:widowControl/>
              <w:jc w:val="left"/>
              <w:rPr>
                <w:rFonts w:ascii="宋体" w:hAnsi="宋体" w:cs="宋体"/>
                <w:szCs w:val="21"/>
              </w:rPr>
            </w:pPr>
            <w:r>
              <w:rPr>
                <w:rFonts w:hint="eastAsia" w:ascii="宋体" w:hAnsi="宋体" w:cs="宋体"/>
                <w:szCs w:val="21"/>
              </w:rPr>
              <w:t>通讯距离：开阔地段最大通信距离≥2公里（基站GFSK窄带通信）、开阔地段最大通信距离≥1公里（遥控器GFSK，窄带通信）；</w:t>
            </w:r>
          </w:p>
          <w:p>
            <w:pPr>
              <w:widowControl/>
              <w:jc w:val="left"/>
              <w:rPr>
                <w:rFonts w:ascii="宋体" w:hAnsi="宋体" w:cs="宋体"/>
                <w:szCs w:val="21"/>
              </w:rPr>
            </w:pPr>
            <w:r>
              <w:rPr>
                <w:rFonts w:hint="eastAsia" w:ascii="宋体" w:hAnsi="宋体" w:cs="宋体"/>
                <w:szCs w:val="21"/>
              </w:rPr>
              <w:t>4）视频图像系统</w:t>
            </w:r>
          </w:p>
          <w:p>
            <w:pPr>
              <w:widowControl/>
              <w:jc w:val="left"/>
              <w:rPr>
                <w:rFonts w:ascii="宋体" w:hAnsi="宋体" w:cs="宋体"/>
                <w:szCs w:val="21"/>
              </w:rPr>
            </w:pPr>
            <w:r>
              <w:rPr>
                <w:rFonts w:hint="eastAsia" w:ascii="宋体" w:hAnsi="宋体" w:cs="宋体"/>
                <w:szCs w:val="21"/>
              </w:rPr>
              <w:t>遥控船搭载摄像机，可实时回传水面视频图像至地面基站并显示。</w:t>
            </w:r>
          </w:p>
          <w:p>
            <w:pPr>
              <w:widowControl/>
              <w:jc w:val="left"/>
              <w:rPr>
                <w:rFonts w:ascii="宋体" w:hAnsi="宋体" w:cs="宋体"/>
                <w:szCs w:val="21"/>
              </w:rPr>
            </w:pPr>
            <w:r>
              <w:rPr>
                <w:rFonts w:hint="eastAsia" w:ascii="宋体" w:hAnsi="宋体" w:cs="宋体"/>
                <w:szCs w:val="21"/>
              </w:rPr>
              <w:t>5）智能遥控器</w:t>
            </w:r>
          </w:p>
          <w:p>
            <w:pPr>
              <w:widowControl/>
              <w:jc w:val="left"/>
              <w:rPr>
                <w:rFonts w:ascii="宋体" w:hAnsi="宋体" w:cs="宋体"/>
                <w:szCs w:val="21"/>
              </w:rPr>
            </w:pPr>
            <w:r>
              <w:rPr>
                <w:rFonts w:hint="eastAsia" w:ascii="宋体" w:hAnsi="宋体" w:cs="宋体"/>
                <w:szCs w:val="21"/>
              </w:rPr>
              <w:t xml:space="preserve">具备无人船智能手持遥控器软件著作权登记证书； </w:t>
            </w:r>
          </w:p>
          <w:p>
            <w:pPr>
              <w:widowControl/>
              <w:jc w:val="left"/>
              <w:rPr>
                <w:rFonts w:ascii="宋体" w:hAnsi="宋体" w:cs="宋体"/>
                <w:szCs w:val="21"/>
              </w:rPr>
            </w:pPr>
            <w:r>
              <w:rPr>
                <w:rFonts w:hint="eastAsia" w:ascii="宋体" w:hAnsi="宋体" w:cs="宋体"/>
                <w:szCs w:val="21"/>
              </w:rPr>
              <w:t>遥控器屏幕显示无人船信息；即船剩余电量、船行驶速度、经纬度、通信信道、遥控器电量；</w:t>
            </w:r>
          </w:p>
          <w:p>
            <w:pPr>
              <w:widowControl/>
              <w:jc w:val="left"/>
              <w:rPr>
                <w:rFonts w:ascii="宋体" w:hAnsi="宋体" w:cs="宋体"/>
                <w:szCs w:val="21"/>
              </w:rPr>
            </w:pPr>
            <w:r>
              <w:rPr>
                <w:rFonts w:hint="eastAsia" w:ascii="宋体" w:hAnsi="宋体" w:cs="宋体"/>
                <w:szCs w:val="21"/>
              </w:rPr>
              <w:t>遥控无人船行驶，并可随时监控，编辑、中断或改变无人船工作任务；</w:t>
            </w:r>
          </w:p>
          <w:p>
            <w:pPr>
              <w:widowControl/>
              <w:jc w:val="left"/>
              <w:rPr>
                <w:rFonts w:ascii="宋体" w:hAnsi="宋体" w:cs="宋体"/>
                <w:szCs w:val="21"/>
              </w:rPr>
            </w:pPr>
            <w:r>
              <w:rPr>
                <w:rFonts w:hint="eastAsia" w:ascii="宋体" w:hAnsi="宋体" w:cs="宋体"/>
                <w:szCs w:val="21"/>
              </w:rPr>
              <w:t>与地面基站对无人船控制权交互转换；</w:t>
            </w:r>
          </w:p>
          <w:p>
            <w:pPr>
              <w:widowControl/>
              <w:jc w:val="left"/>
              <w:rPr>
                <w:rFonts w:ascii="宋体" w:hAnsi="宋体" w:cs="宋体"/>
                <w:szCs w:val="21"/>
              </w:rPr>
            </w:pPr>
            <w:r>
              <w:rPr>
                <w:rFonts w:hint="eastAsia" w:ascii="宋体" w:hAnsi="宋体" w:cs="宋体"/>
                <w:szCs w:val="21"/>
              </w:rPr>
              <w:t>遥控器防水防尘等级：IP64；</w:t>
            </w:r>
          </w:p>
          <w:p>
            <w:pPr>
              <w:widowControl/>
              <w:jc w:val="left"/>
              <w:rPr>
                <w:rFonts w:ascii="宋体" w:hAnsi="宋体" w:cs="宋体"/>
                <w:szCs w:val="21"/>
              </w:rPr>
            </w:pPr>
            <w:r>
              <w:rPr>
                <w:rFonts w:hint="eastAsia" w:ascii="宋体" w:hAnsi="宋体" w:cs="宋体"/>
                <w:szCs w:val="21"/>
              </w:rPr>
              <w:t>电池续航时间：不小于12h；</w:t>
            </w:r>
          </w:p>
          <w:p>
            <w:pPr>
              <w:widowControl/>
              <w:jc w:val="left"/>
              <w:rPr>
                <w:rFonts w:ascii="宋体" w:hAnsi="宋体" w:cs="宋体"/>
                <w:szCs w:val="21"/>
              </w:rPr>
            </w:pPr>
            <w:r>
              <w:rPr>
                <w:rFonts w:hint="eastAsia" w:ascii="宋体" w:hAnsi="宋体" w:cs="宋体"/>
                <w:szCs w:val="21"/>
              </w:rPr>
              <w:t>遥控距离：1km；</w:t>
            </w:r>
          </w:p>
          <w:p>
            <w:pPr>
              <w:widowControl/>
              <w:rPr>
                <w:rFonts w:ascii="宋体" w:hAnsi="宋体" w:cs="宋体"/>
                <w:kern w:val="0"/>
                <w:szCs w:val="21"/>
              </w:rPr>
            </w:pPr>
            <w:r>
              <w:rPr>
                <w:rFonts w:hint="eastAsia" w:ascii="宋体" w:hAnsi="宋体" w:cs="宋体"/>
                <w:szCs w:val="21"/>
              </w:rPr>
              <w:t>重量：≤1kg。</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11</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固定式雷达波测流系统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雷达流量计</w:t>
            </w:r>
          </w:p>
        </w:tc>
        <w:tc>
          <w:tcPr>
            <w:tcW w:w="1993" w:type="pct"/>
            <w:vAlign w:val="center"/>
          </w:tcPr>
          <w:p>
            <w:pPr>
              <w:pStyle w:val="158"/>
              <w:widowControl/>
              <w:ind w:firstLine="0" w:firstLineChars="0"/>
              <w:jc w:val="left"/>
              <w:rPr>
                <w:rFonts w:ascii="宋体" w:hAnsi="宋体" w:cs="宋体"/>
                <w:szCs w:val="21"/>
              </w:rPr>
            </w:pPr>
            <w:r>
              <w:rPr>
                <w:rFonts w:hint="eastAsia" w:ascii="宋体" w:hAnsi="宋体" w:cs="宋体"/>
                <w:szCs w:val="21"/>
              </w:rPr>
              <w:t>1)测速范围：0.03～20米/秒</w:t>
            </w:r>
          </w:p>
          <w:p>
            <w:pPr>
              <w:pStyle w:val="158"/>
              <w:widowControl/>
              <w:ind w:firstLine="0" w:firstLineChars="0"/>
              <w:jc w:val="left"/>
              <w:rPr>
                <w:rFonts w:ascii="宋体" w:hAnsi="宋体" w:cs="宋体"/>
                <w:szCs w:val="21"/>
              </w:rPr>
            </w:pPr>
            <w:r>
              <w:rPr>
                <w:rFonts w:hint="eastAsia" w:ascii="宋体" w:hAnsi="宋体" w:cs="宋体"/>
                <w:szCs w:val="21"/>
              </w:rPr>
              <w:t>2)测速精度：±0.01米/秒；±1%FS</w:t>
            </w:r>
          </w:p>
          <w:p>
            <w:pPr>
              <w:pStyle w:val="158"/>
              <w:widowControl/>
              <w:ind w:firstLine="0" w:firstLineChars="0"/>
              <w:jc w:val="left"/>
              <w:rPr>
                <w:rFonts w:ascii="宋体" w:hAnsi="宋体" w:cs="宋体"/>
                <w:szCs w:val="21"/>
              </w:rPr>
            </w:pPr>
            <w:r>
              <w:rPr>
                <w:rFonts w:hint="eastAsia" w:ascii="宋体" w:hAnsi="宋体" w:cs="宋体"/>
                <w:szCs w:val="21"/>
              </w:rPr>
              <w:t>3)测速频率：24GHz</w:t>
            </w:r>
          </w:p>
          <w:p>
            <w:pPr>
              <w:pStyle w:val="158"/>
              <w:widowControl/>
              <w:ind w:firstLine="0" w:firstLineChars="0"/>
              <w:jc w:val="left"/>
              <w:rPr>
                <w:rFonts w:ascii="宋体" w:hAnsi="宋体" w:cs="宋体"/>
                <w:szCs w:val="21"/>
              </w:rPr>
            </w:pPr>
            <w:r>
              <w:rPr>
                <w:rFonts w:hint="eastAsia" w:ascii="宋体" w:hAnsi="宋体" w:cs="宋体"/>
                <w:szCs w:val="21"/>
              </w:rPr>
              <w:t>4)测速雷达波束角：10°</w:t>
            </w:r>
          </w:p>
          <w:p>
            <w:pPr>
              <w:pStyle w:val="158"/>
              <w:widowControl/>
              <w:ind w:firstLine="0" w:firstLineChars="0"/>
              <w:jc w:val="left"/>
              <w:rPr>
                <w:rFonts w:ascii="宋体" w:hAnsi="宋体" w:cs="宋体"/>
                <w:szCs w:val="21"/>
              </w:rPr>
            </w:pPr>
            <w:r>
              <w:rPr>
                <w:rFonts w:hint="eastAsia" w:ascii="宋体" w:hAnsi="宋体" w:cs="宋体"/>
                <w:szCs w:val="21"/>
              </w:rPr>
              <w:t>5)俯仰角范围：30~70°</w:t>
            </w:r>
          </w:p>
          <w:p>
            <w:pPr>
              <w:pStyle w:val="158"/>
              <w:widowControl/>
              <w:ind w:firstLine="0" w:firstLineChars="0"/>
              <w:jc w:val="left"/>
              <w:rPr>
                <w:rFonts w:ascii="宋体" w:hAnsi="宋体" w:cs="宋体"/>
                <w:szCs w:val="21"/>
              </w:rPr>
            </w:pPr>
            <w:r>
              <w:rPr>
                <w:rFonts w:hint="eastAsia" w:ascii="宋体" w:hAnsi="宋体" w:cs="宋体"/>
                <w:szCs w:val="21"/>
              </w:rPr>
              <w:t>6)自动角度补偿：精度±0.5°；分辨率±0.1°</w:t>
            </w:r>
          </w:p>
          <w:p>
            <w:pPr>
              <w:pStyle w:val="158"/>
              <w:widowControl/>
              <w:ind w:firstLine="0" w:firstLineChars="0"/>
              <w:jc w:val="left"/>
              <w:rPr>
                <w:rFonts w:ascii="宋体" w:hAnsi="宋体" w:cs="宋体"/>
                <w:szCs w:val="21"/>
              </w:rPr>
            </w:pPr>
            <w:r>
              <w:rPr>
                <w:rFonts w:hint="eastAsia" w:ascii="宋体" w:hAnsi="宋体" w:cs="宋体"/>
                <w:szCs w:val="21"/>
              </w:rPr>
              <w:t>7)流速跟踪补偿算法：依据水体流速变化的连续性，流速跟踪算法可去除外界干扰；通过引入现场雨量及风速风向信息，补偿环境因素造成的流速测量误差。并对输出数据进行置信度评估；</w:t>
            </w:r>
          </w:p>
          <w:p>
            <w:pPr>
              <w:pStyle w:val="158"/>
              <w:widowControl/>
              <w:ind w:firstLine="0" w:firstLineChars="0"/>
              <w:jc w:val="left"/>
              <w:rPr>
                <w:rFonts w:ascii="宋体" w:hAnsi="宋体" w:cs="宋体"/>
                <w:szCs w:val="21"/>
              </w:rPr>
            </w:pPr>
            <w:r>
              <w:rPr>
                <w:rFonts w:hint="eastAsia" w:ascii="宋体" w:hAnsi="宋体" w:cs="宋体"/>
                <w:szCs w:val="21"/>
              </w:rPr>
              <w:t>8)测距范围：0-45m；</w:t>
            </w:r>
          </w:p>
          <w:p>
            <w:pPr>
              <w:pStyle w:val="158"/>
              <w:widowControl/>
              <w:ind w:firstLine="0" w:firstLineChars="0"/>
              <w:jc w:val="left"/>
              <w:rPr>
                <w:rFonts w:ascii="宋体" w:hAnsi="宋体" w:cs="宋体"/>
                <w:szCs w:val="21"/>
              </w:rPr>
            </w:pPr>
            <w:r>
              <w:rPr>
                <w:rFonts w:hint="eastAsia" w:ascii="宋体" w:hAnsi="宋体" w:cs="宋体"/>
                <w:szCs w:val="21"/>
              </w:rPr>
              <w:t>9)工作电压：DC6~30V</w:t>
            </w:r>
          </w:p>
          <w:p>
            <w:pPr>
              <w:pStyle w:val="158"/>
              <w:widowControl/>
              <w:ind w:firstLine="0" w:firstLineChars="0"/>
              <w:jc w:val="left"/>
              <w:rPr>
                <w:rFonts w:ascii="宋体" w:hAnsi="宋体" w:cs="宋体"/>
                <w:szCs w:val="21"/>
              </w:rPr>
            </w:pPr>
            <w:r>
              <w:rPr>
                <w:rFonts w:hint="eastAsia" w:ascii="宋体" w:hAnsi="宋体" w:cs="宋体"/>
                <w:szCs w:val="21"/>
              </w:rPr>
              <w:t>10)功耗：工作电流＜75mA（有线），待机电流 ＜10mA (@DC12V)</w:t>
            </w:r>
          </w:p>
          <w:p>
            <w:pPr>
              <w:widowControl/>
              <w:jc w:val="left"/>
              <w:rPr>
                <w:rFonts w:ascii="宋体" w:hAnsi="宋体" w:cs="宋体"/>
                <w:szCs w:val="21"/>
              </w:rPr>
            </w:pPr>
            <w:r>
              <w:rPr>
                <w:rFonts w:hint="eastAsia" w:ascii="宋体" w:hAnsi="宋体" w:cs="宋体"/>
                <w:szCs w:val="21"/>
              </w:rPr>
              <w:t>工作电流＜95mA（无线），待机电流＜10mA(@DC12V)</w:t>
            </w:r>
          </w:p>
          <w:p>
            <w:pPr>
              <w:pStyle w:val="158"/>
              <w:widowControl/>
              <w:ind w:firstLine="0" w:firstLineChars="0"/>
              <w:jc w:val="left"/>
              <w:rPr>
                <w:rFonts w:ascii="宋体" w:hAnsi="宋体" w:cs="宋体"/>
                <w:szCs w:val="21"/>
              </w:rPr>
            </w:pPr>
            <w:r>
              <w:rPr>
                <w:rFonts w:hint="eastAsia" w:ascii="宋体" w:hAnsi="宋体" w:cs="宋体"/>
                <w:szCs w:val="21"/>
              </w:rPr>
              <w:t>11)通讯接口：标配RS485接口</w:t>
            </w:r>
          </w:p>
          <w:p>
            <w:pPr>
              <w:pStyle w:val="158"/>
              <w:widowControl/>
              <w:ind w:firstLine="0" w:firstLineChars="0"/>
              <w:jc w:val="left"/>
              <w:rPr>
                <w:rFonts w:ascii="宋体" w:hAnsi="宋体" w:cs="宋体"/>
                <w:szCs w:val="21"/>
              </w:rPr>
            </w:pPr>
            <w:r>
              <w:rPr>
                <w:rFonts w:hint="eastAsia" w:ascii="宋体" w:hAnsi="宋体" w:cs="宋体"/>
                <w:szCs w:val="21"/>
              </w:rPr>
              <w:t>12)通讯协议：RS485，Modbus协议；</w:t>
            </w:r>
          </w:p>
          <w:p>
            <w:pPr>
              <w:pStyle w:val="158"/>
              <w:widowControl/>
              <w:ind w:firstLine="0" w:firstLineChars="0"/>
              <w:jc w:val="left"/>
              <w:rPr>
                <w:rFonts w:ascii="宋体" w:hAnsi="宋体" w:cs="宋体"/>
                <w:szCs w:val="21"/>
              </w:rPr>
            </w:pPr>
            <w:r>
              <w:rPr>
                <w:rFonts w:hint="eastAsia" w:ascii="宋体" w:hAnsi="宋体" w:cs="宋体"/>
                <w:szCs w:val="21"/>
              </w:rPr>
              <w:t>13)波特率：9600~115200；</w:t>
            </w:r>
          </w:p>
          <w:p>
            <w:pPr>
              <w:pStyle w:val="158"/>
              <w:widowControl/>
              <w:ind w:firstLine="0" w:firstLineChars="0"/>
              <w:jc w:val="left"/>
              <w:rPr>
                <w:rFonts w:ascii="宋体" w:hAnsi="宋体" w:cs="宋体"/>
                <w:szCs w:val="21"/>
              </w:rPr>
            </w:pPr>
            <w:r>
              <w:rPr>
                <w:rFonts w:hint="eastAsia" w:ascii="宋体" w:hAnsi="宋体" w:cs="宋体"/>
                <w:szCs w:val="21"/>
              </w:rPr>
              <w:t>14)外壳防护等级：IP68；；</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固定式雷达波流速仪</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1）测速范围：0.03~20米/秒</w:t>
            </w:r>
          </w:p>
          <w:p>
            <w:pPr>
              <w:pStyle w:val="158"/>
              <w:widowControl/>
              <w:ind w:firstLine="0" w:firstLineChars="0"/>
              <w:rPr>
                <w:rFonts w:ascii="宋体" w:hAnsi="宋体" w:cs="宋体"/>
                <w:kern w:val="0"/>
                <w:szCs w:val="21"/>
              </w:rPr>
            </w:pPr>
            <w:r>
              <w:rPr>
                <w:rFonts w:hint="eastAsia" w:ascii="宋体" w:hAnsi="宋体" w:cs="宋体"/>
                <w:kern w:val="0"/>
                <w:szCs w:val="21"/>
              </w:rPr>
              <w:t>2）测速精度：±0.01米/秒；±1%FS</w:t>
            </w:r>
          </w:p>
          <w:p>
            <w:pPr>
              <w:pStyle w:val="158"/>
              <w:widowControl/>
              <w:ind w:firstLine="0" w:firstLineChars="0"/>
              <w:rPr>
                <w:rFonts w:ascii="宋体" w:hAnsi="宋体" w:cs="宋体"/>
                <w:kern w:val="0"/>
                <w:szCs w:val="21"/>
              </w:rPr>
            </w:pPr>
            <w:r>
              <w:rPr>
                <w:rFonts w:hint="eastAsia" w:ascii="宋体" w:hAnsi="宋体" w:cs="宋体"/>
                <w:kern w:val="0"/>
                <w:szCs w:val="21"/>
              </w:rPr>
              <w:t>3）测速频率：24GHz</w:t>
            </w:r>
          </w:p>
          <w:p>
            <w:pPr>
              <w:pStyle w:val="158"/>
              <w:widowControl/>
              <w:ind w:firstLine="0" w:firstLineChars="0"/>
              <w:rPr>
                <w:rFonts w:ascii="宋体" w:hAnsi="宋体" w:cs="宋体"/>
                <w:kern w:val="0"/>
                <w:szCs w:val="21"/>
              </w:rPr>
            </w:pPr>
            <w:r>
              <w:rPr>
                <w:rFonts w:hint="eastAsia" w:ascii="宋体" w:hAnsi="宋体" w:cs="宋体"/>
                <w:kern w:val="0"/>
                <w:szCs w:val="21"/>
              </w:rPr>
              <w:t>4）测速雷达波束角：10°</w:t>
            </w:r>
          </w:p>
          <w:p>
            <w:pPr>
              <w:pStyle w:val="158"/>
              <w:widowControl/>
              <w:ind w:firstLine="0" w:firstLineChars="0"/>
              <w:rPr>
                <w:rFonts w:ascii="宋体" w:hAnsi="宋体" w:cs="宋体"/>
                <w:kern w:val="0"/>
                <w:szCs w:val="21"/>
              </w:rPr>
            </w:pPr>
            <w:r>
              <w:rPr>
                <w:rFonts w:hint="eastAsia" w:ascii="宋体" w:hAnsi="宋体" w:cs="宋体"/>
                <w:kern w:val="0"/>
                <w:szCs w:val="21"/>
              </w:rPr>
              <w:t>5）俯仰角范围：30~70°</w:t>
            </w:r>
          </w:p>
          <w:p>
            <w:pPr>
              <w:pStyle w:val="158"/>
              <w:widowControl/>
              <w:ind w:firstLine="0" w:firstLineChars="0"/>
              <w:rPr>
                <w:rFonts w:ascii="宋体" w:hAnsi="宋体" w:cs="宋体"/>
                <w:kern w:val="0"/>
                <w:szCs w:val="21"/>
              </w:rPr>
            </w:pPr>
            <w:r>
              <w:rPr>
                <w:rFonts w:hint="eastAsia" w:ascii="宋体" w:hAnsi="宋体" w:cs="宋体"/>
                <w:kern w:val="0"/>
                <w:szCs w:val="21"/>
              </w:rPr>
              <w:t>6）自动角度补偿：精度±0.5°；分辨率±0.1°</w:t>
            </w:r>
          </w:p>
          <w:p>
            <w:pPr>
              <w:pStyle w:val="158"/>
              <w:widowControl/>
              <w:ind w:firstLine="0" w:firstLineChars="0"/>
              <w:rPr>
                <w:rFonts w:ascii="宋体" w:hAnsi="宋体" w:cs="宋体"/>
                <w:kern w:val="0"/>
                <w:szCs w:val="21"/>
              </w:rPr>
            </w:pPr>
            <w:r>
              <w:rPr>
                <w:rFonts w:hint="eastAsia" w:ascii="宋体" w:hAnsi="宋体" w:cs="宋体"/>
                <w:kern w:val="0"/>
                <w:szCs w:val="21"/>
              </w:rPr>
              <w:t>7）水位测量范围：0-45m；</w:t>
            </w:r>
          </w:p>
          <w:p>
            <w:pPr>
              <w:pStyle w:val="158"/>
              <w:widowControl/>
              <w:ind w:firstLine="0" w:firstLineChars="0"/>
              <w:rPr>
                <w:rFonts w:ascii="宋体" w:hAnsi="宋体" w:cs="宋体"/>
                <w:kern w:val="0"/>
                <w:szCs w:val="21"/>
              </w:rPr>
            </w:pPr>
            <w:r>
              <w:rPr>
                <w:rFonts w:hint="eastAsia" w:ascii="宋体" w:hAnsi="宋体" w:cs="宋体"/>
                <w:kern w:val="0"/>
                <w:szCs w:val="21"/>
              </w:rPr>
              <w:t>8）水位测量精度：±3mm</w:t>
            </w:r>
          </w:p>
          <w:p>
            <w:pPr>
              <w:pStyle w:val="158"/>
              <w:widowControl/>
              <w:ind w:firstLine="0" w:firstLineChars="0"/>
              <w:rPr>
                <w:rFonts w:ascii="宋体" w:hAnsi="宋体" w:cs="宋体"/>
                <w:kern w:val="0"/>
                <w:szCs w:val="21"/>
              </w:rPr>
            </w:pPr>
            <w:r>
              <w:rPr>
                <w:rFonts w:hint="eastAsia" w:ascii="宋体" w:hAnsi="宋体" w:cs="宋体"/>
                <w:kern w:val="0"/>
                <w:szCs w:val="21"/>
              </w:rPr>
              <w:t>9）水位测量分辨率：1mm</w:t>
            </w:r>
          </w:p>
          <w:p>
            <w:pPr>
              <w:pStyle w:val="158"/>
              <w:widowControl/>
              <w:ind w:firstLine="0" w:firstLineChars="0"/>
              <w:rPr>
                <w:rFonts w:ascii="宋体" w:hAnsi="宋体" w:cs="宋体"/>
                <w:kern w:val="0"/>
                <w:szCs w:val="21"/>
              </w:rPr>
            </w:pPr>
            <w:r>
              <w:rPr>
                <w:rFonts w:hint="eastAsia" w:ascii="宋体" w:hAnsi="宋体" w:cs="宋体"/>
                <w:kern w:val="0"/>
                <w:szCs w:val="21"/>
              </w:rPr>
              <w:t>10）雷达水位计频率：24-26GHz</w:t>
            </w:r>
          </w:p>
          <w:p>
            <w:pPr>
              <w:pStyle w:val="158"/>
              <w:widowControl/>
              <w:ind w:firstLine="0" w:firstLineChars="0"/>
              <w:rPr>
                <w:rFonts w:ascii="宋体" w:hAnsi="宋体" w:cs="宋体"/>
                <w:kern w:val="0"/>
                <w:szCs w:val="21"/>
              </w:rPr>
            </w:pPr>
            <w:r>
              <w:rPr>
                <w:rFonts w:hint="eastAsia" w:ascii="宋体" w:hAnsi="宋体" w:cs="宋体"/>
                <w:kern w:val="0"/>
                <w:szCs w:val="21"/>
              </w:rPr>
              <w:t>11）雷达水位计天线：平面微带阵列天线</w:t>
            </w:r>
          </w:p>
          <w:p>
            <w:pPr>
              <w:pStyle w:val="158"/>
              <w:widowControl/>
              <w:ind w:firstLine="0" w:firstLineChars="0"/>
              <w:rPr>
                <w:rFonts w:ascii="宋体" w:hAnsi="宋体" w:cs="宋体"/>
                <w:kern w:val="0"/>
                <w:szCs w:val="21"/>
              </w:rPr>
            </w:pPr>
            <w:r>
              <w:rPr>
                <w:rFonts w:hint="eastAsia" w:ascii="宋体" w:hAnsi="宋体" w:cs="宋体"/>
                <w:kern w:val="0"/>
                <w:szCs w:val="21"/>
              </w:rPr>
              <w:t>12）工作原理：调频连续波（FMCW）</w:t>
            </w:r>
          </w:p>
          <w:p>
            <w:pPr>
              <w:pStyle w:val="158"/>
              <w:widowControl/>
              <w:ind w:firstLine="0" w:firstLineChars="0"/>
              <w:rPr>
                <w:rFonts w:ascii="宋体" w:hAnsi="宋体" w:cs="宋体"/>
                <w:kern w:val="0"/>
                <w:szCs w:val="21"/>
              </w:rPr>
            </w:pPr>
            <w:r>
              <w:rPr>
                <w:rFonts w:hint="eastAsia" w:ascii="宋体" w:hAnsi="宋体" w:cs="宋体"/>
                <w:kern w:val="0"/>
                <w:szCs w:val="21"/>
              </w:rPr>
              <w:t>13）智能水位跟踪识别算法：自学习、自识别、自过滤、自适应保证水位监测数据稳定可靠</w:t>
            </w:r>
          </w:p>
          <w:p>
            <w:pPr>
              <w:pStyle w:val="158"/>
              <w:widowControl/>
              <w:ind w:firstLine="0" w:firstLineChars="0"/>
              <w:rPr>
                <w:rFonts w:ascii="宋体" w:hAnsi="宋体" w:cs="宋体"/>
                <w:kern w:val="0"/>
                <w:szCs w:val="21"/>
              </w:rPr>
            </w:pPr>
            <w:r>
              <w:rPr>
                <w:rFonts w:hint="eastAsia" w:ascii="宋体" w:hAnsi="宋体" w:cs="宋体"/>
                <w:kern w:val="0"/>
                <w:szCs w:val="21"/>
              </w:rPr>
              <w:t>14）工作电压：DC6~30V</w:t>
            </w:r>
          </w:p>
          <w:p>
            <w:pPr>
              <w:pStyle w:val="158"/>
              <w:widowControl/>
              <w:ind w:firstLine="0" w:firstLineChars="0"/>
              <w:rPr>
                <w:rFonts w:ascii="宋体" w:hAnsi="宋体" w:cs="宋体"/>
                <w:kern w:val="0"/>
                <w:szCs w:val="21"/>
              </w:rPr>
            </w:pPr>
            <w:r>
              <w:rPr>
                <w:rFonts w:hint="eastAsia" w:ascii="宋体" w:hAnsi="宋体" w:cs="宋体"/>
                <w:kern w:val="0"/>
                <w:szCs w:val="21"/>
              </w:rPr>
              <w:t>15）功耗：工作电流＜45mA（有线），待机电流 ＜10mA (@DC12V)</w:t>
            </w:r>
          </w:p>
          <w:p>
            <w:pPr>
              <w:widowControl/>
              <w:rPr>
                <w:rFonts w:ascii="宋体" w:hAnsi="宋体" w:cs="宋体"/>
                <w:kern w:val="0"/>
                <w:szCs w:val="21"/>
              </w:rPr>
            </w:pPr>
            <w:r>
              <w:rPr>
                <w:rFonts w:hint="eastAsia" w:ascii="宋体" w:hAnsi="宋体" w:cs="宋体"/>
                <w:kern w:val="0"/>
                <w:szCs w:val="21"/>
              </w:rPr>
              <w:t>工作电流＜65mA（无线），待机电流＜10mA(@DC12V)</w:t>
            </w:r>
          </w:p>
          <w:p>
            <w:pPr>
              <w:pStyle w:val="158"/>
              <w:widowControl/>
              <w:ind w:firstLine="0" w:firstLineChars="0"/>
              <w:rPr>
                <w:rFonts w:ascii="宋体" w:hAnsi="宋体" w:cs="宋体"/>
                <w:kern w:val="0"/>
                <w:szCs w:val="21"/>
              </w:rPr>
            </w:pPr>
            <w:r>
              <w:rPr>
                <w:rFonts w:hint="eastAsia" w:ascii="宋体" w:hAnsi="宋体" w:cs="宋体"/>
                <w:kern w:val="0"/>
                <w:szCs w:val="21"/>
              </w:rPr>
              <w:t>16）通讯接口：标配RS485接口</w:t>
            </w:r>
          </w:p>
          <w:p>
            <w:pPr>
              <w:pStyle w:val="158"/>
              <w:widowControl/>
              <w:ind w:firstLine="0" w:firstLineChars="0"/>
              <w:rPr>
                <w:rFonts w:ascii="宋体" w:hAnsi="宋体" w:cs="宋体"/>
                <w:kern w:val="0"/>
                <w:szCs w:val="21"/>
              </w:rPr>
            </w:pPr>
            <w:r>
              <w:rPr>
                <w:rFonts w:hint="eastAsia" w:ascii="宋体" w:hAnsi="宋体" w:cs="宋体"/>
                <w:kern w:val="0"/>
                <w:szCs w:val="21"/>
              </w:rPr>
              <w:t>17）通讯协议：RS485，Modbus协议；</w:t>
            </w:r>
          </w:p>
          <w:p>
            <w:pPr>
              <w:pStyle w:val="158"/>
              <w:widowControl/>
              <w:ind w:firstLine="0" w:firstLineChars="0"/>
              <w:rPr>
                <w:rFonts w:ascii="宋体" w:hAnsi="宋体" w:cs="宋体"/>
                <w:kern w:val="0"/>
                <w:szCs w:val="21"/>
              </w:rPr>
            </w:pPr>
            <w:r>
              <w:rPr>
                <w:rFonts w:hint="eastAsia" w:ascii="宋体" w:hAnsi="宋体" w:cs="宋体"/>
                <w:kern w:val="0"/>
                <w:szCs w:val="21"/>
              </w:rPr>
              <w:t>18）波特率：9600~115200；</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遥测终端机</w:t>
            </w:r>
          </w:p>
        </w:tc>
        <w:tc>
          <w:tcPr>
            <w:tcW w:w="1993" w:type="pct"/>
          </w:tcPr>
          <w:p>
            <w:pPr>
              <w:pStyle w:val="183"/>
              <w:spacing w:line="240" w:lineRule="auto"/>
              <w:ind w:firstLine="0" w:firstLineChars="0"/>
              <w:jc w:val="left"/>
              <w:rPr>
                <w:rFonts w:hAnsi="宋体" w:cs="宋体"/>
                <w:sz w:val="21"/>
                <w:szCs w:val="21"/>
              </w:rPr>
            </w:pPr>
            <w:r>
              <w:rPr>
                <w:rFonts w:hint="eastAsia" w:hAnsi="宋体" w:cs="宋体"/>
                <w:sz w:val="21"/>
                <w:szCs w:val="21"/>
              </w:rPr>
              <w:t>1）数据自动上报。</w:t>
            </w:r>
          </w:p>
          <w:p>
            <w:pPr>
              <w:pStyle w:val="183"/>
              <w:spacing w:line="240" w:lineRule="auto"/>
              <w:ind w:firstLine="0" w:firstLineChars="0"/>
              <w:jc w:val="left"/>
              <w:rPr>
                <w:rFonts w:hAnsi="宋体" w:cs="宋体"/>
                <w:sz w:val="21"/>
                <w:szCs w:val="21"/>
              </w:rPr>
            </w:pPr>
            <w:r>
              <w:rPr>
                <w:rFonts w:hint="eastAsia" w:hAnsi="宋体" w:cs="宋体"/>
                <w:sz w:val="21"/>
                <w:szCs w:val="21"/>
              </w:rPr>
              <w:t>2）接受中心站远程设置和控制指令。</w:t>
            </w:r>
          </w:p>
          <w:p>
            <w:pPr>
              <w:pStyle w:val="183"/>
              <w:spacing w:line="240" w:lineRule="auto"/>
              <w:ind w:firstLine="0" w:firstLineChars="0"/>
              <w:jc w:val="left"/>
              <w:rPr>
                <w:rFonts w:hAnsi="宋体" w:cs="宋体"/>
                <w:sz w:val="21"/>
                <w:szCs w:val="21"/>
              </w:rPr>
            </w:pPr>
            <w:r>
              <w:rPr>
                <w:rFonts w:hint="eastAsia" w:hAnsi="宋体" w:cs="宋体"/>
                <w:sz w:val="21"/>
                <w:szCs w:val="21"/>
              </w:rPr>
              <w:t>3）全面支持4G全网通通信功能，向下兼容3G/2G通信模式。</w:t>
            </w:r>
          </w:p>
          <w:p>
            <w:pPr>
              <w:pStyle w:val="183"/>
              <w:spacing w:line="240" w:lineRule="auto"/>
              <w:ind w:firstLine="0" w:firstLineChars="0"/>
              <w:jc w:val="left"/>
              <w:rPr>
                <w:rFonts w:hAnsi="宋体" w:cs="宋体"/>
                <w:sz w:val="21"/>
                <w:szCs w:val="21"/>
              </w:rPr>
            </w:pPr>
            <w:r>
              <w:rPr>
                <w:rFonts w:hint="eastAsia" w:hAnsi="宋体" w:cs="宋体"/>
                <w:sz w:val="21"/>
                <w:szCs w:val="21"/>
              </w:rPr>
              <w:t>4）实时时钟自动校对和调整功能。</w:t>
            </w:r>
          </w:p>
          <w:p>
            <w:pPr>
              <w:pStyle w:val="183"/>
              <w:spacing w:line="240" w:lineRule="auto"/>
              <w:ind w:firstLine="0" w:firstLineChars="0"/>
              <w:jc w:val="left"/>
              <w:rPr>
                <w:rFonts w:hAnsi="宋体" w:cs="宋体"/>
                <w:sz w:val="21"/>
                <w:szCs w:val="21"/>
              </w:rPr>
            </w:pPr>
            <w:r>
              <w:rPr>
                <w:rFonts w:hint="eastAsia" w:hAnsi="宋体" w:cs="宋体"/>
                <w:sz w:val="21"/>
                <w:szCs w:val="21"/>
              </w:rPr>
              <w:t>5）可连接多种传感器，包括水位计、雨量计、风向风速仪等各种水文、气象传感器。</w:t>
            </w:r>
          </w:p>
          <w:p>
            <w:pPr>
              <w:pStyle w:val="183"/>
              <w:spacing w:line="240" w:lineRule="auto"/>
              <w:ind w:firstLine="0" w:firstLineChars="0"/>
              <w:jc w:val="left"/>
              <w:rPr>
                <w:rFonts w:hAnsi="宋体" w:cs="宋体"/>
                <w:sz w:val="21"/>
                <w:szCs w:val="21"/>
              </w:rPr>
            </w:pPr>
            <w:r>
              <w:rPr>
                <w:rFonts w:hint="eastAsia" w:hAnsi="宋体" w:cs="宋体"/>
                <w:sz w:val="21"/>
                <w:szCs w:val="21"/>
              </w:rPr>
              <w:t>6）支持多种通信方式，如GSM短信、GPRS/CDMA、北斗卫星等。</w:t>
            </w:r>
          </w:p>
          <w:p>
            <w:pPr>
              <w:pStyle w:val="183"/>
              <w:spacing w:line="240" w:lineRule="auto"/>
              <w:ind w:firstLine="0" w:firstLineChars="0"/>
              <w:jc w:val="left"/>
              <w:rPr>
                <w:rFonts w:hAnsi="宋体" w:cs="宋体"/>
                <w:sz w:val="21"/>
                <w:szCs w:val="21"/>
              </w:rPr>
            </w:pPr>
            <w:r>
              <w:rPr>
                <w:rFonts w:hint="eastAsia" w:hAnsi="宋体" w:cs="宋体"/>
                <w:sz w:val="21"/>
                <w:szCs w:val="21"/>
              </w:rPr>
              <w:t>7）太阳能供电，保证在无人值守条件下的长期稳定运行。</w:t>
            </w:r>
          </w:p>
          <w:p>
            <w:pPr>
              <w:pStyle w:val="183"/>
              <w:spacing w:line="240" w:lineRule="auto"/>
              <w:ind w:firstLine="0" w:firstLineChars="0"/>
              <w:jc w:val="left"/>
              <w:rPr>
                <w:rFonts w:hAnsi="宋体" w:cs="宋体"/>
                <w:sz w:val="21"/>
                <w:szCs w:val="21"/>
              </w:rPr>
            </w:pPr>
            <w:r>
              <w:rPr>
                <w:rFonts w:hint="eastAsia" w:hAnsi="宋体" w:cs="宋体"/>
                <w:sz w:val="21"/>
                <w:szCs w:val="21"/>
              </w:rPr>
              <w:t>8）可灵活配置的模块化结构，以适应各种不同的需求。</w:t>
            </w:r>
          </w:p>
          <w:p>
            <w:pPr>
              <w:pStyle w:val="183"/>
              <w:spacing w:line="240" w:lineRule="auto"/>
              <w:ind w:firstLine="0" w:firstLineChars="0"/>
              <w:jc w:val="left"/>
              <w:rPr>
                <w:rFonts w:hAnsi="宋体" w:cs="宋体"/>
                <w:sz w:val="21"/>
                <w:szCs w:val="21"/>
              </w:rPr>
            </w:pPr>
            <w:r>
              <w:rPr>
                <w:rFonts w:hint="eastAsia" w:hAnsi="宋体" w:cs="宋体"/>
                <w:sz w:val="21"/>
                <w:szCs w:val="21"/>
              </w:rPr>
              <w:t>9）防水等级可达IP68。</w:t>
            </w:r>
          </w:p>
          <w:p>
            <w:pPr>
              <w:pStyle w:val="183"/>
              <w:spacing w:line="240" w:lineRule="auto"/>
              <w:ind w:firstLine="0" w:firstLineChars="0"/>
              <w:jc w:val="left"/>
              <w:rPr>
                <w:rFonts w:hAnsi="宋体" w:cs="宋体"/>
                <w:sz w:val="21"/>
                <w:szCs w:val="21"/>
              </w:rPr>
            </w:pPr>
            <w:r>
              <w:rPr>
                <w:rFonts w:hint="eastAsia" w:hAnsi="宋体" w:cs="宋体"/>
                <w:sz w:val="21"/>
                <w:szCs w:val="21"/>
              </w:rPr>
              <w:t>★10）符合SL651-2014《水文数据监测通信规约》及SL180-2015《水文自动测报系统系统设备遥测终端机》；</w:t>
            </w:r>
            <w:r>
              <w:rPr>
                <w:rFonts w:hint="eastAsia" w:hAnsi="宋体" w:cs="宋体"/>
                <w:b/>
                <w:bCs/>
                <w:sz w:val="21"/>
                <w:szCs w:val="21"/>
                <w:highlight w:val="none"/>
              </w:rPr>
              <w:t>（</w:t>
            </w:r>
            <w:r>
              <w:rPr>
                <w:rFonts w:hint="eastAsia" w:hAnsi="宋体" w:cs="宋体"/>
                <w:b/>
                <w:bCs/>
                <w:sz w:val="21"/>
                <w:szCs w:val="21"/>
                <w:highlight w:val="none"/>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11）支持浙江省水文通信平台。</w:t>
            </w:r>
          </w:p>
          <w:p>
            <w:pPr>
              <w:pStyle w:val="183"/>
              <w:spacing w:line="240" w:lineRule="auto"/>
              <w:ind w:firstLine="0" w:firstLineChars="0"/>
              <w:jc w:val="left"/>
              <w:rPr>
                <w:rFonts w:hAnsi="宋体" w:cs="宋体"/>
                <w:sz w:val="21"/>
                <w:szCs w:val="21"/>
              </w:rPr>
            </w:pPr>
            <w:r>
              <w:rPr>
                <w:rFonts w:hint="eastAsia" w:hAnsi="宋体" w:cs="宋体"/>
                <w:sz w:val="21"/>
                <w:szCs w:val="21"/>
              </w:rPr>
              <w:t>12）电源输入：9-24V DC；</w:t>
            </w:r>
          </w:p>
          <w:p>
            <w:pPr>
              <w:pStyle w:val="183"/>
              <w:spacing w:line="240" w:lineRule="auto"/>
              <w:ind w:firstLine="0" w:firstLineChars="0"/>
              <w:jc w:val="left"/>
              <w:rPr>
                <w:rFonts w:hAnsi="宋体" w:cs="宋体"/>
                <w:sz w:val="21"/>
                <w:szCs w:val="21"/>
              </w:rPr>
            </w:pPr>
            <w:r>
              <w:rPr>
                <w:rFonts w:hint="eastAsia" w:hAnsi="宋体" w:cs="宋体"/>
                <w:sz w:val="21"/>
                <w:szCs w:val="21"/>
              </w:rPr>
              <w:t>13）电源输出：24V  100mA，5V  20mA，3路可控电源输出，除满足传感器电源控制外，可灵活实现下行控制功能。</w:t>
            </w:r>
          </w:p>
          <w:p>
            <w:pPr>
              <w:pStyle w:val="183"/>
              <w:spacing w:line="240" w:lineRule="auto"/>
              <w:ind w:firstLine="0" w:firstLineChars="0"/>
              <w:jc w:val="left"/>
              <w:rPr>
                <w:rFonts w:hAnsi="宋体" w:cs="宋体"/>
                <w:sz w:val="21"/>
                <w:szCs w:val="21"/>
              </w:rPr>
            </w:pPr>
            <w:r>
              <w:rPr>
                <w:rFonts w:hint="eastAsia" w:hAnsi="宋体" w:cs="宋体"/>
                <w:sz w:val="21"/>
                <w:szCs w:val="21"/>
              </w:rPr>
              <w:t>14）信号采集：2路RS485，2路RS232，可接入各种类型的外部传感器，并可扩展北斗等外部通信模块；2路模拟量采集（可扩展8~16路），可接入标准4-20mA变送器，可配置为各种传感器类型；2路脉冲/开关输入，除接入雨量桶外，还可实现报警监测，用于开箱报警等功能。</w:t>
            </w:r>
          </w:p>
          <w:p>
            <w:pPr>
              <w:pStyle w:val="183"/>
              <w:spacing w:line="240" w:lineRule="auto"/>
              <w:ind w:firstLine="0" w:firstLineChars="0"/>
              <w:jc w:val="left"/>
              <w:rPr>
                <w:rFonts w:hAnsi="宋体" w:cs="宋体"/>
                <w:sz w:val="21"/>
                <w:szCs w:val="21"/>
              </w:rPr>
            </w:pPr>
            <w:r>
              <w:rPr>
                <w:rFonts w:hint="eastAsia" w:hAnsi="宋体" w:cs="宋体"/>
                <w:sz w:val="21"/>
                <w:szCs w:val="21"/>
              </w:rPr>
              <w:t>★15）静态值守电流≤0.01mA，工作电流≤6mA；</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16）设备内置GPS模块，系统定期获取设备的位置信息，并上传平台，从而实现设备位置信息和数据的自动绑定，设备位置的交换将不会影响测站的数据统计。</w:t>
            </w:r>
          </w:p>
          <w:p>
            <w:pPr>
              <w:pStyle w:val="183"/>
              <w:spacing w:line="240" w:lineRule="auto"/>
              <w:ind w:firstLine="0" w:firstLineChars="0"/>
              <w:jc w:val="left"/>
              <w:rPr>
                <w:rFonts w:hAnsi="宋体" w:cs="宋体"/>
                <w:sz w:val="21"/>
                <w:szCs w:val="21"/>
              </w:rPr>
            </w:pPr>
            <w:r>
              <w:rPr>
                <w:rFonts w:hint="eastAsia" w:hAnsi="宋体" w:cs="宋体"/>
                <w:sz w:val="21"/>
                <w:szCs w:val="21"/>
              </w:rPr>
              <w:t>17）数据补发：遇到信号问题，基站问题，sim卡问题等情况，系统将暂存采集数据并待网络恢复后自前至后进行逐条补发。</w:t>
            </w:r>
          </w:p>
          <w:p>
            <w:pPr>
              <w:pStyle w:val="183"/>
              <w:spacing w:line="240" w:lineRule="auto"/>
              <w:ind w:firstLine="0" w:firstLineChars="0"/>
              <w:jc w:val="left"/>
              <w:rPr>
                <w:rFonts w:hAnsi="宋体" w:cs="宋体"/>
                <w:sz w:val="21"/>
                <w:szCs w:val="21"/>
              </w:rPr>
            </w:pPr>
            <w:r>
              <w:rPr>
                <w:rFonts w:hint="eastAsia" w:hAnsi="宋体" w:cs="宋体"/>
                <w:sz w:val="21"/>
                <w:szCs w:val="21"/>
              </w:rPr>
              <w:t>18）SD卡：支持MicroSD卡，可选配置；</w:t>
            </w:r>
          </w:p>
          <w:p>
            <w:pPr>
              <w:pStyle w:val="183"/>
              <w:spacing w:line="240" w:lineRule="auto"/>
              <w:ind w:firstLine="0" w:firstLineChars="0"/>
              <w:jc w:val="left"/>
              <w:rPr>
                <w:rFonts w:hAnsi="宋体" w:cs="宋体"/>
                <w:sz w:val="21"/>
                <w:szCs w:val="21"/>
              </w:rPr>
            </w:pPr>
            <w:r>
              <w:rPr>
                <w:rFonts w:hint="eastAsia" w:hAnsi="宋体" w:cs="宋体"/>
                <w:sz w:val="21"/>
                <w:szCs w:val="21"/>
              </w:rPr>
              <w:t>19）工作温度：-40℃至+70℃</w:t>
            </w:r>
          </w:p>
          <w:p>
            <w:pPr>
              <w:pStyle w:val="183"/>
              <w:spacing w:line="240" w:lineRule="auto"/>
              <w:ind w:firstLine="0" w:firstLineChars="0"/>
              <w:jc w:val="left"/>
              <w:rPr>
                <w:rFonts w:hAnsi="宋体" w:cs="宋体"/>
                <w:sz w:val="21"/>
                <w:szCs w:val="21"/>
              </w:rPr>
            </w:pPr>
            <w:r>
              <w:rPr>
                <w:rFonts w:hint="eastAsia" w:hAnsi="宋体" w:cs="宋体"/>
                <w:sz w:val="21"/>
                <w:szCs w:val="21"/>
              </w:rPr>
              <w:t>20）工作湿度：0-95%，不结露</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11.4</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数据传输模块</w:t>
            </w:r>
          </w:p>
        </w:tc>
        <w:tc>
          <w:tcPr>
            <w:tcW w:w="1993" w:type="pct"/>
          </w:tcPr>
          <w:p>
            <w:pPr>
              <w:pStyle w:val="183"/>
              <w:spacing w:line="240" w:lineRule="auto"/>
              <w:ind w:firstLine="0" w:firstLineChars="0"/>
              <w:rPr>
                <w:rFonts w:hAnsi="宋体" w:cs="宋体"/>
                <w:sz w:val="21"/>
                <w:szCs w:val="21"/>
              </w:rPr>
            </w:pPr>
            <w:r>
              <w:rPr>
                <w:rFonts w:hint="eastAsia" w:hAnsi="宋体" w:cs="宋体"/>
                <w:sz w:val="21"/>
                <w:szCs w:val="21"/>
              </w:rPr>
              <w:t>1）4G全网通数据通讯模块；</w:t>
            </w:r>
          </w:p>
          <w:p>
            <w:pPr>
              <w:pStyle w:val="183"/>
              <w:spacing w:line="240" w:lineRule="auto"/>
              <w:ind w:firstLine="0" w:firstLineChars="0"/>
              <w:rPr>
                <w:rFonts w:hAnsi="宋体" w:cs="宋体"/>
                <w:sz w:val="21"/>
                <w:szCs w:val="21"/>
              </w:rPr>
            </w:pPr>
            <w:r>
              <w:rPr>
                <w:rFonts w:hint="eastAsia" w:hAnsi="宋体" w:cs="宋体"/>
                <w:sz w:val="21"/>
                <w:szCs w:val="21"/>
              </w:rPr>
              <w:t>2）工作电流：≤230 mA，值守电流：≤12 mA，供电电压范围：10～30V；具有抗电磁干扰、过载和短路保护的功能；</w:t>
            </w:r>
          </w:p>
          <w:p>
            <w:pPr>
              <w:pStyle w:val="183"/>
              <w:spacing w:line="240" w:lineRule="auto"/>
              <w:ind w:firstLine="0" w:firstLineChars="0"/>
              <w:rPr>
                <w:rFonts w:hAnsi="宋体" w:cs="宋体"/>
                <w:sz w:val="21"/>
                <w:szCs w:val="21"/>
              </w:rPr>
            </w:pPr>
            <w:r>
              <w:rPr>
                <w:rFonts w:hint="eastAsia" w:hAnsi="宋体" w:cs="宋体"/>
                <w:sz w:val="21"/>
                <w:szCs w:val="21"/>
              </w:rPr>
              <w:t>3）工作温度：-20℃～65℃；存储温度：-20℃～85℃；</w:t>
            </w:r>
          </w:p>
          <w:p>
            <w:pPr>
              <w:pStyle w:val="183"/>
              <w:spacing w:line="240" w:lineRule="auto"/>
              <w:ind w:firstLine="0" w:firstLineChars="0"/>
              <w:rPr>
                <w:rFonts w:hAnsi="宋体" w:cs="宋体"/>
                <w:sz w:val="21"/>
                <w:szCs w:val="21"/>
              </w:rPr>
            </w:pPr>
            <w:r>
              <w:rPr>
                <w:rFonts w:hint="eastAsia" w:hAnsi="宋体" w:cs="宋体"/>
                <w:sz w:val="21"/>
                <w:szCs w:val="21"/>
              </w:rPr>
              <w:t>4）接口形式：RS-485/RS-232C，实时数据透明无线传输；</w:t>
            </w:r>
          </w:p>
          <w:p>
            <w:pPr>
              <w:pStyle w:val="183"/>
              <w:spacing w:line="240" w:lineRule="auto"/>
              <w:ind w:firstLine="0" w:firstLineChars="0"/>
              <w:rPr>
                <w:rFonts w:hAnsi="宋体" w:cs="宋体"/>
                <w:sz w:val="21"/>
                <w:szCs w:val="21"/>
              </w:rPr>
            </w:pPr>
            <w:r>
              <w:rPr>
                <w:rFonts w:hint="eastAsia" w:hAnsi="宋体" w:cs="宋体"/>
                <w:sz w:val="21"/>
                <w:szCs w:val="21"/>
              </w:rPr>
              <w:t>5）协议：内嵌 PPP、TCP/IP、UDP/IP协议，包括 TCP、UDP等；</w:t>
            </w:r>
          </w:p>
          <w:p>
            <w:pPr>
              <w:pStyle w:val="183"/>
              <w:spacing w:line="240" w:lineRule="auto"/>
              <w:ind w:firstLine="0" w:firstLineChars="0"/>
              <w:rPr>
                <w:rFonts w:hAnsi="宋体" w:cs="宋体"/>
                <w:sz w:val="21"/>
                <w:szCs w:val="21"/>
              </w:rPr>
            </w:pPr>
            <w:r>
              <w:rPr>
                <w:rFonts w:hint="eastAsia" w:hAnsi="宋体" w:cs="宋体"/>
                <w:sz w:val="21"/>
                <w:szCs w:val="21"/>
              </w:rPr>
              <w:t>6）传输方式：支持域名解析，支持 AT指令集，SMS。</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太阳能供电系统</w:t>
            </w:r>
          </w:p>
        </w:tc>
        <w:tc>
          <w:tcPr>
            <w:tcW w:w="1993" w:type="pct"/>
          </w:tcPr>
          <w:p>
            <w:pPr>
              <w:widowControl/>
              <w:rPr>
                <w:rFonts w:ascii="宋体" w:hAnsi="宋体" w:cs="宋体"/>
                <w:kern w:val="0"/>
                <w:szCs w:val="21"/>
              </w:rPr>
            </w:pPr>
            <w:r>
              <w:rPr>
                <w:rFonts w:hint="eastAsia" w:ascii="宋体" w:hAnsi="宋体" w:cs="宋体"/>
                <w:kern w:val="0"/>
                <w:szCs w:val="21"/>
              </w:rPr>
              <w:t>含12V/200AH蓄电池、18V/120W太阳能板，充电控制器充电电流不小于10A</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安装支架</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1）材质：不锈钢喷塑；</w:t>
            </w:r>
          </w:p>
          <w:p>
            <w:pPr>
              <w:pStyle w:val="158"/>
              <w:widowControl/>
              <w:ind w:firstLine="0" w:firstLineChars="0"/>
              <w:rPr>
                <w:rFonts w:ascii="宋体" w:hAnsi="宋体" w:cs="宋体"/>
                <w:kern w:val="0"/>
                <w:szCs w:val="21"/>
              </w:rPr>
            </w:pPr>
            <w:r>
              <w:rPr>
                <w:rFonts w:hint="eastAsia" w:ascii="宋体" w:hAnsi="宋体" w:cs="宋体"/>
                <w:kern w:val="0"/>
                <w:szCs w:val="21"/>
              </w:rPr>
              <w:t>2）主杆：直径75mm钢管，长度1米；</w:t>
            </w:r>
          </w:p>
          <w:p>
            <w:pPr>
              <w:pStyle w:val="158"/>
              <w:widowControl/>
              <w:ind w:firstLine="0" w:firstLineChars="0"/>
              <w:rPr>
                <w:rFonts w:ascii="宋体" w:hAnsi="宋体" w:cs="宋体"/>
                <w:kern w:val="0"/>
                <w:szCs w:val="21"/>
              </w:rPr>
            </w:pPr>
            <w:r>
              <w:rPr>
                <w:rFonts w:hint="eastAsia" w:ascii="宋体" w:hAnsi="宋体" w:cs="宋体"/>
                <w:kern w:val="0"/>
                <w:szCs w:val="21"/>
              </w:rPr>
              <w:t>3）雷达波安装架：厚度3mm，400*400mm，四周折边；</w:t>
            </w:r>
          </w:p>
          <w:p>
            <w:pPr>
              <w:pStyle w:val="158"/>
              <w:widowControl/>
              <w:ind w:firstLine="0" w:firstLineChars="0"/>
              <w:rPr>
                <w:rFonts w:ascii="宋体" w:hAnsi="宋体" w:cs="宋体"/>
                <w:kern w:val="0"/>
                <w:szCs w:val="21"/>
              </w:rPr>
            </w:pPr>
            <w:r>
              <w:rPr>
                <w:rFonts w:hint="eastAsia" w:ascii="宋体" w:hAnsi="宋体" w:cs="宋体"/>
                <w:kern w:val="0"/>
                <w:szCs w:val="21"/>
              </w:rPr>
              <w:t>4）数量：5个；</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11.7</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机箱</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1）尺寸：1200（H）*600（W）*450 （D）mm；</w:t>
            </w:r>
          </w:p>
          <w:p>
            <w:pPr>
              <w:pStyle w:val="158"/>
              <w:widowControl/>
              <w:ind w:firstLine="0" w:firstLineChars="0"/>
              <w:rPr>
                <w:rFonts w:ascii="宋体" w:hAnsi="宋体" w:cs="宋体"/>
                <w:kern w:val="0"/>
                <w:szCs w:val="21"/>
              </w:rPr>
            </w:pPr>
            <w:r>
              <w:rPr>
                <w:rFonts w:hint="eastAsia" w:ascii="宋体" w:hAnsi="宋体" w:cs="宋体"/>
                <w:kern w:val="0"/>
                <w:szCs w:val="21"/>
              </w:rPr>
              <w:t>2）板厚：2mm；</w:t>
            </w:r>
          </w:p>
          <w:p>
            <w:pPr>
              <w:pStyle w:val="158"/>
              <w:widowControl/>
              <w:ind w:firstLine="0" w:firstLineChars="0"/>
              <w:rPr>
                <w:rFonts w:ascii="宋体" w:hAnsi="宋体" w:cs="宋体"/>
                <w:kern w:val="0"/>
                <w:szCs w:val="21"/>
              </w:rPr>
            </w:pPr>
            <w:r>
              <w:rPr>
                <w:rFonts w:hint="eastAsia" w:ascii="宋体" w:hAnsi="宋体" w:cs="宋体"/>
                <w:kern w:val="0"/>
                <w:szCs w:val="21"/>
              </w:rPr>
              <w:t>3）3</w:t>
            </w:r>
            <w:r>
              <w:rPr>
                <w:rFonts w:ascii="宋体" w:hAnsi="宋体" w:cs="宋体"/>
                <w:kern w:val="0"/>
                <w:szCs w:val="21"/>
              </w:rPr>
              <w:t>04</w:t>
            </w:r>
            <w:r>
              <w:rPr>
                <w:rFonts w:hint="eastAsia" w:ascii="宋体" w:hAnsi="宋体" w:cs="宋体"/>
                <w:kern w:val="0"/>
                <w:szCs w:val="21"/>
              </w:rPr>
              <w:t>不锈钢，喷塑；</w:t>
            </w:r>
          </w:p>
          <w:p>
            <w:pPr>
              <w:pStyle w:val="158"/>
              <w:widowControl/>
              <w:ind w:firstLine="0" w:firstLineChars="0"/>
              <w:rPr>
                <w:rFonts w:ascii="宋体" w:hAnsi="宋体" w:cs="宋体"/>
                <w:kern w:val="0"/>
                <w:szCs w:val="21"/>
              </w:rPr>
            </w:pPr>
            <w:r>
              <w:rPr>
                <w:rFonts w:hint="eastAsia" w:ascii="宋体" w:hAnsi="宋体" w:cs="宋体"/>
                <w:kern w:val="0"/>
                <w:szCs w:val="21"/>
              </w:rPr>
              <w:t>4）根据用户要求在箱体上印刷水文专用、危险警示等标识；</w:t>
            </w:r>
          </w:p>
          <w:p>
            <w:pPr>
              <w:pStyle w:val="158"/>
              <w:widowControl/>
              <w:ind w:firstLine="0" w:firstLineChars="0"/>
              <w:rPr>
                <w:rFonts w:ascii="宋体" w:hAnsi="宋体" w:cs="宋体"/>
                <w:kern w:val="0"/>
                <w:szCs w:val="21"/>
              </w:rPr>
            </w:pPr>
            <w:r>
              <w:rPr>
                <w:rFonts w:hint="eastAsia" w:ascii="宋体" w:hAnsi="宋体" w:cs="宋体"/>
                <w:kern w:val="0"/>
                <w:szCs w:val="21"/>
              </w:rPr>
              <w:t>5）配防盗锁。</w:t>
            </w:r>
          </w:p>
          <w:p>
            <w:pPr>
              <w:pStyle w:val="158"/>
              <w:widowControl/>
              <w:ind w:firstLine="0" w:firstLineChars="0"/>
              <w:rPr>
                <w:rFonts w:ascii="宋体" w:hAnsi="宋体" w:cs="宋体"/>
                <w:kern w:val="0"/>
                <w:szCs w:val="21"/>
              </w:rPr>
            </w:pPr>
            <w:r>
              <w:rPr>
                <w:rFonts w:hint="eastAsia" w:ascii="宋体" w:hAnsi="宋体" w:cs="宋体"/>
                <w:kern w:val="0"/>
                <w:szCs w:val="21"/>
              </w:rPr>
              <w:t>6）防护等级：IP55</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11.8</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立杆及配套设施</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1）材料：采用低碳高强度Q235钢材，热镀锌喷塑；</w:t>
            </w:r>
          </w:p>
          <w:p>
            <w:pPr>
              <w:pStyle w:val="158"/>
              <w:widowControl/>
              <w:ind w:firstLine="0" w:firstLineChars="0"/>
              <w:rPr>
                <w:rFonts w:ascii="宋体" w:hAnsi="宋体" w:cs="宋体"/>
                <w:kern w:val="0"/>
                <w:szCs w:val="21"/>
              </w:rPr>
            </w:pPr>
            <w:r>
              <w:rPr>
                <w:rFonts w:hint="eastAsia" w:ascii="宋体" w:hAnsi="宋体" w:cs="宋体"/>
                <w:kern w:val="0"/>
                <w:szCs w:val="21"/>
              </w:rPr>
              <w:t>2）立杆：主杆直径≥150mm，壁厚≥4mm，高度≥4.5m；</w:t>
            </w:r>
          </w:p>
          <w:p>
            <w:pPr>
              <w:pStyle w:val="158"/>
              <w:widowControl/>
              <w:ind w:firstLine="0" w:firstLineChars="0"/>
              <w:rPr>
                <w:rFonts w:ascii="宋体" w:hAnsi="宋体" w:cs="宋体"/>
                <w:kern w:val="0"/>
                <w:szCs w:val="21"/>
              </w:rPr>
            </w:pPr>
            <w:r>
              <w:rPr>
                <w:rFonts w:hint="eastAsia" w:ascii="宋体" w:hAnsi="宋体" w:cs="宋体"/>
                <w:kern w:val="0"/>
                <w:szCs w:val="21"/>
              </w:rPr>
              <w:t>3）C25砼基础（含地笼），尺寸：800mm*800mm*1000mm；</w:t>
            </w:r>
          </w:p>
          <w:p>
            <w:pPr>
              <w:pStyle w:val="158"/>
              <w:widowControl/>
              <w:ind w:firstLine="0" w:firstLineChars="0"/>
              <w:rPr>
                <w:rFonts w:ascii="宋体" w:hAnsi="宋体" w:cs="宋体"/>
                <w:kern w:val="0"/>
                <w:szCs w:val="21"/>
              </w:rPr>
            </w:pPr>
            <w:r>
              <w:rPr>
                <w:rFonts w:hint="eastAsia" w:ascii="宋体" w:hAnsi="宋体" w:cs="宋体"/>
                <w:kern w:val="0"/>
                <w:szCs w:val="21"/>
              </w:rPr>
              <w:t>4）含避雷针；</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11.9</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防雷接地系统</w:t>
            </w:r>
          </w:p>
        </w:tc>
        <w:tc>
          <w:tcPr>
            <w:tcW w:w="1993" w:type="pct"/>
          </w:tcPr>
          <w:p>
            <w:pPr>
              <w:widowControl/>
              <w:rPr>
                <w:rFonts w:ascii="宋体" w:hAnsi="宋体" w:cs="宋体"/>
                <w:kern w:val="0"/>
                <w:szCs w:val="21"/>
              </w:rPr>
            </w:pPr>
            <w:r>
              <w:rPr>
                <w:rFonts w:hint="eastAsia" w:ascii="宋体" w:hAnsi="宋体" w:cs="宋体"/>
                <w:kern w:val="0"/>
                <w:szCs w:val="21"/>
              </w:rPr>
              <w:t>角钢6.3×2500mm共5根，50×5mm的扁铁20m，防雷接地电阻值小于10Ω。</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11.10</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线缆及辅材</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1）RVVP4×0.5的485通信电缆100米，含防水接头；</w:t>
            </w:r>
          </w:p>
          <w:p>
            <w:pPr>
              <w:pStyle w:val="158"/>
              <w:widowControl/>
              <w:ind w:firstLine="0" w:firstLineChars="0"/>
              <w:rPr>
                <w:rFonts w:ascii="宋体" w:hAnsi="宋体" w:cs="宋体"/>
                <w:kern w:val="0"/>
                <w:szCs w:val="21"/>
              </w:rPr>
            </w:pPr>
            <w:r>
              <w:rPr>
                <w:rFonts w:hint="eastAsia" w:ascii="宋体" w:hAnsi="宋体" w:cs="宋体"/>
                <w:kern w:val="0"/>
                <w:szCs w:val="21"/>
              </w:rPr>
              <w:t>2）太阳能供电电缆直径6mm，100米，含防水接头；</w:t>
            </w:r>
          </w:p>
          <w:p>
            <w:pPr>
              <w:pStyle w:val="158"/>
              <w:widowControl/>
              <w:ind w:firstLine="0" w:firstLineChars="0"/>
              <w:rPr>
                <w:rFonts w:ascii="宋体" w:hAnsi="宋体" w:cs="宋体"/>
                <w:kern w:val="0"/>
                <w:szCs w:val="21"/>
              </w:rPr>
            </w:pPr>
            <w:r>
              <w:rPr>
                <w:rFonts w:hint="eastAsia" w:ascii="宋体" w:hAnsi="宋体" w:cs="宋体"/>
                <w:kern w:val="0"/>
                <w:szCs w:val="21"/>
              </w:rPr>
              <w:t>3）视频专用网线100米；</w:t>
            </w:r>
          </w:p>
          <w:p>
            <w:pPr>
              <w:pStyle w:val="158"/>
              <w:widowControl/>
              <w:ind w:firstLine="0" w:firstLineChars="0"/>
              <w:rPr>
                <w:rFonts w:ascii="宋体" w:hAnsi="宋体" w:cs="宋体"/>
                <w:kern w:val="0"/>
                <w:szCs w:val="21"/>
              </w:rPr>
            </w:pPr>
            <w:r>
              <w:rPr>
                <w:rFonts w:hint="eastAsia" w:ascii="宋体" w:hAnsi="宋体" w:cs="宋体"/>
                <w:kern w:val="0"/>
                <w:szCs w:val="21"/>
              </w:rPr>
              <w:t>4）包括专业焊接、密封、防水处理以及镀锌穿线管，直径32mm，线管长度200米。</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11.11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安装调试</w:t>
            </w:r>
          </w:p>
        </w:tc>
        <w:tc>
          <w:tcPr>
            <w:tcW w:w="1993" w:type="pct"/>
          </w:tcPr>
          <w:p>
            <w:pPr>
              <w:widowControl/>
              <w:rPr>
                <w:rFonts w:ascii="宋体" w:hAnsi="宋体" w:cs="宋体"/>
                <w:kern w:val="0"/>
                <w:szCs w:val="21"/>
              </w:rPr>
            </w:pPr>
            <w:r>
              <w:rPr>
                <w:rFonts w:hint="eastAsia" w:ascii="宋体" w:hAnsi="宋体" w:cs="宋体"/>
                <w:kern w:val="0"/>
                <w:szCs w:val="21"/>
              </w:rPr>
              <w:t>现场安装调试费</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11.12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流量数据比测率定</w:t>
            </w:r>
          </w:p>
        </w:tc>
        <w:tc>
          <w:tcPr>
            <w:tcW w:w="1993" w:type="pct"/>
          </w:tcPr>
          <w:p>
            <w:pPr>
              <w:widowControl/>
              <w:rPr>
                <w:rFonts w:ascii="宋体" w:hAnsi="宋体" w:cs="宋体"/>
                <w:kern w:val="0"/>
                <w:szCs w:val="21"/>
              </w:rPr>
            </w:pPr>
            <w:r>
              <w:rPr>
                <w:rFonts w:hint="eastAsia" w:ascii="宋体" w:hAnsi="宋体" w:cs="宋体"/>
                <w:kern w:val="0"/>
                <w:szCs w:val="21"/>
              </w:rPr>
              <w:t>在设备安装完成后进行流量测验，有效测验次数不少于30次，提供比测报告（含高、中、低水），需符合《河流流量测验规范》GB 50179-2015要求。</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12</w:t>
            </w:r>
          </w:p>
        </w:tc>
        <w:tc>
          <w:tcPr>
            <w:tcW w:w="97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手持式雷达流速仪</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1）测速范围：0.2～18米/秒；</w:t>
            </w:r>
          </w:p>
          <w:p>
            <w:pPr>
              <w:pStyle w:val="158"/>
              <w:widowControl/>
              <w:ind w:firstLine="0" w:firstLineChars="0"/>
              <w:rPr>
                <w:rFonts w:ascii="宋体" w:hAnsi="宋体" w:cs="宋体"/>
                <w:kern w:val="0"/>
                <w:szCs w:val="21"/>
              </w:rPr>
            </w:pPr>
            <w:r>
              <w:rPr>
                <w:rFonts w:hint="eastAsia" w:ascii="宋体" w:hAnsi="宋体" w:cs="宋体"/>
                <w:kern w:val="0"/>
                <w:szCs w:val="21"/>
              </w:rPr>
              <w:t>2）测速精度：±0.03米/秒；</w:t>
            </w:r>
          </w:p>
          <w:p>
            <w:pPr>
              <w:pStyle w:val="158"/>
              <w:widowControl/>
              <w:ind w:firstLine="0" w:firstLineChars="0"/>
              <w:rPr>
                <w:rFonts w:ascii="宋体" w:hAnsi="宋体" w:cs="宋体"/>
                <w:kern w:val="0"/>
                <w:szCs w:val="21"/>
              </w:rPr>
            </w:pPr>
            <w:r>
              <w:rPr>
                <w:rFonts w:hint="eastAsia" w:ascii="宋体" w:hAnsi="宋体" w:cs="宋体"/>
                <w:kern w:val="0"/>
                <w:szCs w:val="21"/>
              </w:rPr>
              <w:t>3）微波频率：Ka波段（34.7GHz）；</w:t>
            </w:r>
          </w:p>
          <w:p>
            <w:pPr>
              <w:pStyle w:val="158"/>
              <w:widowControl/>
              <w:ind w:firstLine="0" w:firstLineChars="0"/>
              <w:rPr>
                <w:rFonts w:ascii="宋体" w:hAnsi="宋体" w:cs="宋体"/>
                <w:kern w:val="0"/>
                <w:szCs w:val="21"/>
              </w:rPr>
            </w:pPr>
            <w:r>
              <w:rPr>
                <w:rFonts w:hint="eastAsia" w:ascii="宋体" w:hAnsi="宋体" w:cs="宋体"/>
                <w:kern w:val="0"/>
                <w:szCs w:val="21"/>
              </w:rPr>
              <w:t>4）波束宽度：12°；</w:t>
            </w:r>
          </w:p>
          <w:p>
            <w:pPr>
              <w:pStyle w:val="158"/>
              <w:widowControl/>
              <w:ind w:firstLine="0" w:firstLineChars="0"/>
              <w:rPr>
                <w:rFonts w:ascii="宋体" w:hAnsi="宋体" w:cs="宋体"/>
                <w:kern w:val="0"/>
                <w:szCs w:val="21"/>
              </w:rPr>
            </w:pPr>
            <w:r>
              <w:rPr>
                <w:rFonts w:hint="eastAsia" w:ascii="宋体" w:hAnsi="宋体" w:cs="宋体"/>
                <w:kern w:val="0"/>
                <w:szCs w:val="21"/>
              </w:rPr>
              <w:t>5）最大测程：100m；</w:t>
            </w:r>
          </w:p>
          <w:p>
            <w:pPr>
              <w:pStyle w:val="158"/>
              <w:widowControl/>
              <w:ind w:firstLine="0" w:firstLineChars="0"/>
              <w:rPr>
                <w:rFonts w:ascii="宋体" w:hAnsi="宋体" w:cs="宋体"/>
                <w:kern w:val="0"/>
                <w:szCs w:val="21"/>
              </w:rPr>
            </w:pPr>
            <w:r>
              <w:rPr>
                <w:rFonts w:hint="eastAsia" w:ascii="宋体" w:hAnsi="宋体" w:cs="宋体"/>
                <w:kern w:val="0"/>
                <w:szCs w:val="21"/>
              </w:rPr>
              <w:t>6）角度补偿：内置俯仰角传感器自动补偿，水平角手动输入；</w:t>
            </w:r>
          </w:p>
          <w:p>
            <w:pPr>
              <w:pStyle w:val="158"/>
              <w:widowControl/>
              <w:ind w:firstLine="0" w:firstLineChars="0"/>
              <w:rPr>
                <w:rFonts w:ascii="宋体" w:hAnsi="宋体" w:cs="宋体"/>
                <w:kern w:val="0"/>
                <w:szCs w:val="21"/>
              </w:rPr>
            </w:pPr>
            <w:r>
              <w:rPr>
                <w:rFonts w:hint="eastAsia" w:ascii="宋体" w:hAnsi="宋体" w:cs="宋体"/>
                <w:kern w:val="0"/>
                <w:szCs w:val="21"/>
              </w:rPr>
              <w:t>7）防水性能： 全防水设计，可浸入水下1米；</w:t>
            </w:r>
          </w:p>
          <w:p>
            <w:pPr>
              <w:pStyle w:val="158"/>
              <w:widowControl/>
              <w:ind w:firstLine="0" w:firstLineChars="0"/>
              <w:rPr>
                <w:rFonts w:ascii="宋体" w:hAnsi="宋体" w:cs="宋体"/>
                <w:kern w:val="0"/>
                <w:szCs w:val="21"/>
              </w:rPr>
            </w:pPr>
            <w:r>
              <w:rPr>
                <w:rFonts w:hint="eastAsia" w:ascii="宋体" w:hAnsi="宋体" w:cs="宋体"/>
                <w:kern w:val="0"/>
                <w:szCs w:val="21"/>
              </w:rPr>
              <w:t>8）工作环境： 可在雨中正常测量流速；</w:t>
            </w:r>
          </w:p>
          <w:p>
            <w:pPr>
              <w:pStyle w:val="158"/>
              <w:widowControl/>
              <w:ind w:firstLine="0" w:firstLineChars="0"/>
              <w:rPr>
                <w:rFonts w:ascii="宋体" w:hAnsi="宋体" w:cs="宋体"/>
                <w:kern w:val="0"/>
                <w:szCs w:val="21"/>
              </w:rPr>
            </w:pPr>
            <w:r>
              <w:rPr>
                <w:rFonts w:hint="eastAsia" w:ascii="宋体" w:hAnsi="宋体" w:cs="宋体"/>
                <w:kern w:val="0"/>
                <w:szCs w:val="21"/>
              </w:rPr>
              <w:t>9）工作电源： 可拆卸式锂电池手柄，正常工作10小时；</w:t>
            </w:r>
          </w:p>
          <w:p>
            <w:pPr>
              <w:pStyle w:val="158"/>
              <w:widowControl/>
              <w:ind w:firstLine="0" w:firstLineChars="0"/>
              <w:rPr>
                <w:rFonts w:ascii="宋体" w:hAnsi="宋体" w:cs="宋体"/>
                <w:kern w:val="0"/>
                <w:szCs w:val="21"/>
              </w:rPr>
            </w:pPr>
            <w:r>
              <w:rPr>
                <w:rFonts w:hint="eastAsia" w:ascii="宋体" w:hAnsi="宋体" w:cs="宋体"/>
                <w:kern w:val="0"/>
                <w:szCs w:val="21"/>
              </w:rPr>
              <w:t>10）工作温度： -30～70℃。</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13</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数字水文控制中心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户外立式屏</w:t>
            </w:r>
          </w:p>
        </w:tc>
        <w:tc>
          <w:tcPr>
            <w:tcW w:w="1993" w:type="pct"/>
          </w:tcPr>
          <w:p>
            <w:pPr>
              <w:pStyle w:val="158"/>
              <w:widowControl/>
              <w:ind w:firstLine="0" w:firstLineChars="0"/>
              <w:rPr>
                <w:rFonts w:ascii="宋体" w:hAnsi="宋体" w:cs="宋体"/>
                <w:kern w:val="0"/>
                <w:szCs w:val="21"/>
              </w:rPr>
            </w:pPr>
            <w:r>
              <w:rPr>
                <w:rFonts w:hint="eastAsia" w:ascii="宋体" w:hAnsi="宋体" w:cs="宋体"/>
                <w:kern w:val="0"/>
                <w:szCs w:val="21"/>
              </w:rPr>
              <w:t>1）屏幕尺寸：55寸</w:t>
            </w:r>
          </w:p>
          <w:p>
            <w:pPr>
              <w:pStyle w:val="158"/>
              <w:widowControl/>
              <w:ind w:firstLine="0" w:firstLineChars="0"/>
              <w:rPr>
                <w:rFonts w:ascii="宋体" w:hAnsi="宋体" w:cs="宋体"/>
                <w:kern w:val="0"/>
                <w:szCs w:val="21"/>
              </w:rPr>
            </w:pPr>
            <w:r>
              <w:rPr>
                <w:rFonts w:hint="eastAsia" w:ascii="宋体" w:hAnsi="宋体" w:cs="宋体"/>
                <w:kern w:val="0"/>
                <w:szCs w:val="21"/>
              </w:rPr>
              <w:t>2）分辨率：1920*1080</w:t>
            </w:r>
          </w:p>
          <w:p>
            <w:pPr>
              <w:pStyle w:val="158"/>
              <w:widowControl/>
              <w:ind w:firstLine="0" w:firstLineChars="0"/>
              <w:rPr>
                <w:rFonts w:ascii="宋体" w:hAnsi="宋体" w:cs="宋体"/>
                <w:kern w:val="0"/>
                <w:szCs w:val="21"/>
              </w:rPr>
            </w:pPr>
            <w:r>
              <w:rPr>
                <w:rFonts w:hint="eastAsia" w:ascii="宋体" w:hAnsi="宋体" w:cs="宋体"/>
                <w:kern w:val="0"/>
                <w:szCs w:val="21"/>
              </w:rPr>
              <w:t>3）亮度：2000cd/m2</w:t>
            </w:r>
          </w:p>
          <w:p>
            <w:pPr>
              <w:pStyle w:val="158"/>
              <w:widowControl/>
              <w:ind w:firstLine="0" w:firstLineChars="0"/>
              <w:rPr>
                <w:rFonts w:ascii="宋体" w:hAnsi="宋体" w:cs="宋体"/>
                <w:kern w:val="0"/>
                <w:szCs w:val="21"/>
              </w:rPr>
            </w:pPr>
            <w:r>
              <w:rPr>
                <w:rFonts w:hint="eastAsia" w:ascii="宋体" w:hAnsi="宋体" w:cs="宋体"/>
                <w:kern w:val="0"/>
                <w:szCs w:val="21"/>
              </w:rPr>
              <w:t>4）对比度：3000：1</w:t>
            </w:r>
          </w:p>
          <w:p>
            <w:pPr>
              <w:pStyle w:val="158"/>
              <w:widowControl/>
              <w:ind w:firstLine="0" w:firstLineChars="0"/>
              <w:rPr>
                <w:rFonts w:ascii="宋体" w:hAnsi="宋体" w:cs="宋体"/>
                <w:kern w:val="0"/>
                <w:szCs w:val="21"/>
              </w:rPr>
            </w:pPr>
            <w:r>
              <w:rPr>
                <w:rFonts w:hint="eastAsia" w:ascii="宋体" w:hAnsi="宋体" w:cs="宋体"/>
                <w:kern w:val="0"/>
                <w:szCs w:val="21"/>
              </w:rPr>
              <w:t>5）可视角度：178°水平/178°垂直</w:t>
            </w:r>
          </w:p>
          <w:p>
            <w:pPr>
              <w:pStyle w:val="158"/>
              <w:widowControl/>
              <w:ind w:firstLine="0" w:firstLineChars="0"/>
              <w:rPr>
                <w:rFonts w:ascii="宋体" w:hAnsi="宋体" w:cs="宋体"/>
                <w:kern w:val="0"/>
                <w:szCs w:val="21"/>
              </w:rPr>
            </w:pPr>
            <w:r>
              <w:rPr>
                <w:rFonts w:hint="eastAsia" w:ascii="宋体" w:hAnsi="宋体" w:cs="宋体"/>
                <w:kern w:val="0"/>
                <w:szCs w:val="21"/>
              </w:rPr>
              <w:t>6）亮度控制：自动感光</w:t>
            </w:r>
          </w:p>
          <w:p>
            <w:pPr>
              <w:pStyle w:val="158"/>
              <w:widowControl/>
              <w:ind w:firstLine="0" w:firstLineChars="0"/>
              <w:rPr>
                <w:rFonts w:ascii="宋体" w:hAnsi="宋体" w:cs="宋体"/>
                <w:kern w:val="0"/>
                <w:szCs w:val="21"/>
              </w:rPr>
            </w:pPr>
            <w:r>
              <w:rPr>
                <w:rFonts w:hint="eastAsia" w:ascii="宋体" w:hAnsi="宋体" w:cs="宋体"/>
                <w:kern w:val="0"/>
                <w:szCs w:val="21"/>
              </w:rPr>
              <w:t>7）芯片：RK3288 Cortex-A17 四核</w:t>
            </w:r>
          </w:p>
          <w:p>
            <w:pPr>
              <w:pStyle w:val="158"/>
              <w:widowControl/>
              <w:ind w:firstLine="0" w:firstLineChars="0"/>
              <w:rPr>
                <w:rFonts w:ascii="宋体" w:hAnsi="宋体" w:cs="宋体"/>
                <w:kern w:val="0"/>
                <w:szCs w:val="21"/>
              </w:rPr>
            </w:pPr>
            <w:r>
              <w:rPr>
                <w:rFonts w:hint="eastAsia" w:ascii="宋体" w:hAnsi="宋体" w:cs="宋体"/>
                <w:kern w:val="0"/>
                <w:szCs w:val="21"/>
              </w:rPr>
              <w:t>8）运行内存：2G DDR4</w:t>
            </w:r>
          </w:p>
          <w:p>
            <w:pPr>
              <w:pStyle w:val="158"/>
              <w:widowControl/>
              <w:ind w:firstLine="0" w:firstLineChars="0"/>
              <w:rPr>
                <w:rFonts w:ascii="宋体" w:hAnsi="宋体" w:cs="宋体"/>
                <w:kern w:val="0"/>
                <w:szCs w:val="21"/>
              </w:rPr>
            </w:pPr>
            <w:r>
              <w:rPr>
                <w:rFonts w:hint="eastAsia" w:ascii="宋体" w:hAnsi="宋体" w:cs="宋体"/>
                <w:kern w:val="0"/>
                <w:szCs w:val="21"/>
              </w:rPr>
              <w:t>9）GPU：Mali-T764</w:t>
            </w:r>
          </w:p>
          <w:p>
            <w:pPr>
              <w:pStyle w:val="158"/>
              <w:widowControl/>
              <w:ind w:firstLine="0" w:firstLineChars="0"/>
              <w:rPr>
                <w:rFonts w:ascii="宋体" w:hAnsi="宋体" w:cs="宋体"/>
                <w:kern w:val="0"/>
                <w:szCs w:val="21"/>
              </w:rPr>
            </w:pPr>
            <w:r>
              <w:rPr>
                <w:rFonts w:hint="eastAsia" w:ascii="宋体" w:hAnsi="宋体" w:cs="宋体"/>
                <w:kern w:val="0"/>
                <w:szCs w:val="21"/>
              </w:rPr>
              <w:t>10）系统支持：Android 7.1</w:t>
            </w:r>
          </w:p>
          <w:p>
            <w:pPr>
              <w:pStyle w:val="158"/>
              <w:widowControl/>
              <w:ind w:firstLine="0" w:firstLineChars="0"/>
              <w:rPr>
                <w:rFonts w:ascii="宋体" w:hAnsi="宋体" w:cs="宋体"/>
                <w:kern w:val="0"/>
                <w:szCs w:val="21"/>
              </w:rPr>
            </w:pPr>
            <w:r>
              <w:rPr>
                <w:rFonts w:hint="eastAsia" w:ascii="宋体" w:hAnsi="宋体" w:cs="宋体"/>
                <w:kern w:val="0"/>
                <w:szCs w:val="21"/>
              </w:rPr>
              <w:t>11）ROM：8GB</w:t>
            </w:r>
          </w:p>
          <w:p>
            <w:pPr>
              <w:pStyle w:val="158"/>
              <w:widowControl/>
              <w:ind w:firstLine="0" w:firstLineChars="0"/>
              <w:rPr>
                <w:rFonts w:ascii="宋体" w:hAnsi="宋体" w:cs="宋体"/>
                <w:kern w:val="0"/>
                <w:szCs w:val="21"/>
              </w:rPr>
            </w:pPr>
            <w:r>
              <w:rPr>
                <w:rFonts w:hint="eastAsia" w:ascii="宋体" w:hAnsi="宋体" w:cs="宋体"/>
                <w:kern w:val="0"/>
                <w:szCs w:val="21"/>
              </w:rPr>
              <w:t>12）接口：电源、WIFI、AUDIO、LAN、USB*2、TF、DC、HDMI</w:t>
            </w:r>
          </w:p>
          <w:p>
            <w:pPr>
              <w:pStyle w:val="158"/>
              <w:widowControl/>
              <w:ind w:firstLine="0" w:firstLineChars="0"/>
              <w:rPr>
                <w:rFonts w:ascii="宋体" w:hAnsi="宋体" w:cs="宋体"/>
                <w:kern w:val="0"/>
                <w:szCs w:val="21"/>
              </w:rPr>
            </w:pPr>
            <w:r>
              <w:rPr>
                <w:rFonts w:hint="eastAsia" w:ascii="宋体" w:hAnsi="宋体" w:cs="宋体"/>
                <w:kern w:val="0"/>
                <w:szCs w:val="21"/>
              </w:rPr>
              <w:t>13）媒体文件格式：支持MPEG1、MPEG2、MPEG4、WMV、MKV、flv等主流视频格式；支持MP3等音频格式；支持JPG、JPEG、BMP、PNG、GIF等图片格式；支持txt文本</w:t>
            </w:r>
          </w:p>
          <w:p>
            <w:pPr>
              <w:pStyle w:val="158"/>
              <w:widowControl/>
              <w:ind w:firstLine="0" w:firstLineChars="0"/>
              <w:rPr>
                <w:rFonts w:ascii="宋体" w:hAnsi="宋体" w:cs="宋体"/>
                <w:kern w:val="0"/>
                <w:szCs w:val="21"/>
              </w:rPr>
            </w:pPr>
            <w:r>
              <w:rPr>
                <w:rFonts w:hint="eastAsia" w:ascii="宋体" w:hAnsi="宋体" w:cs="宋体"/>
                <w:kern w:val="0"/>
                <w:szCs w:val="21"/>
              </w:rPr>
              <w:t>14）温控系统：智能风冷散热制冷系统</w:t>
            </w:r>
          </w:p>
          <w:p>
            <w:pPr>
              <w:pStyle w:val="158"/>
              <w:widowControl/>
              <w:ind w:firstLine="0" w:firstLineChars="0"/>
              <w:rPr>
                <w:rFonts w:ascii="宋体" w:hAnsi="宋体" w:cs="宋体"/>
                <w:kern w:val="0"/>
                <w:szCs w:val="21"/>
              </w:rPr>
            </w:pPr>
            <w:r>
              <w:rPr>
                <w:rFonts w:hint="eastAsia" w:ascii="宋体" w:hAnsi="宋体" w:cs="宋体"/>
                <w:kern w:val="0"/>
                <w:szCs w:val="21"/>
              </w:rPr>
              <w:t>15）电源：AC 208-240V/50Hz</w:t>
            </w:r>
          </w:p>
          <w:p>
            <w:pPr>
              <w:pStyle w:val="158"/>
              <w:widowControl/>
              <w:ind w:firstLine="0" w:firstLineChars="0"/>
              <w:rPr>
                <w:rFonts w:ascii="宋体" w:hAnsi="宋体" w:cs="宋体"/>
                <w:kern w:val="0"/>
                <w:szCs w:val="21"/>
              </w:rPr>
            </w:pPr>
            <w:r>
              <w:rPr>
                <w:rFonts w:hint="eastAsia" w:ascii="宋体" w:hAnsi="宋体" w:cs="宋体"/>
                <w:kern w:val="0"/>
                <w:szCs w:val="21"/>
              </w:rPr>
              <w:t>16）整机功率：≤400W</w:t>
            </w:r>
          </w:p>
          <w:p>
            <w:pPr>
              <w:pStyle w:val="158"/>
              <w:widowControl/>
              <w:ind w:firstLine="0" w:firstLineChars="0"/>
              <w:rPr>
                <w:rFonts w:ascii="宋体" w:hAnsi="宋体" w:cs="宋体"/>
                <w:kern w:val="0"/>
                <w:szCs w:val="21"/>
              </w:rPr>
            </w:pPr>
            <w:r>
              <w:rPr>
                <w:rFonts w:hint="eastAsia" w:ascii="宋体" w:hAnsi="宋体" w:cs="宋体"/>
                <w:kern w:val="0"/>
                <w:szCs w:val="21"/>
              </w:rPr>
              <w:t>17）工作温度：-30℃-45℃</w:t>
            </w:r>
          </w:p>
          <w:p>
            <w:pPr>
              <w:pStyle w:val="158"/>
              <w:widowControl/>
              <w:ind w:firstLine="0" w:firstLineChars="0"/>
              <w:rPr>
                <w:rFonts w:ascii="宋体" w:hAnsi="宋体" w:cs="宋体"/>
                <w:kern w:val="0"/>
                <w:szCs w:val="21"/>
              </w:rPr>
            </w:pPr>
            <w:r>
              <w:rPr>
                <w:rFonts w:hint="eastAsia" w:ascii="宋体" w:hAnsi="宋体" w:cs="宋体"/>
                <w:kern w:val="0"/>
                <w:szCs w:val="21"/>
              </w:rPr>
              <w:t>18）工作湿度：5%-90%RH</w:t>
            </w:r>
          </w:p>
          <w:p>
            <w:pPr>
              <w:pStyle w:val="158"/>
              <w:widowControl/>
              <w:ind w:firstLine="0" w:firstLineChars="0"/>
              <w:rPr>
                <w:rFonts w:ascii="宋体" w:hAnsi="宋体" w:cs="宋体"/>
                <w:kern w:val="0"/>
                <w:szCs w:val="21"/>
              </w:rPr>
            </w:pPr>
            <w:r>
              <w:rPr>
                <w:rFonts w:hint="eastAsia" w:ascii="宋体" w:hAnsi="宋体" w:cs="宋体"/>
                <w:kern w:val="0"/>
                <w:szCs w:val="21"/>
              </w:rPr>
              <w:t>19）防水等级：IP55</w:t>
            </w:r>
          </w:p>
          <w:p>
            <w:pPr>
              <w:widowControl/>
              <w:rPr>
                <w:rFonts w:ascii="宋体" w:hAnsi="宋体" w:cs="宋体"/>
                <w:kern w:val="0"/>
                <w:szCs w:val="21"/>
              </w:rPr>
            </w:pPr>
            <w:r>
              <w:rPr>
                <w:rFonts w:hint="eastAsia" w:ascii="宋体" w:hAnsi="宋体" w:cs="宋体"/>
                <w:kern w:val="0"/>
                <w:szCs w:val="21"/>
              </w:rPr>
              <w:t>外壳防腐工艺：户外防腐达7年以上</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bookmarkStart w:id="39" w:name="_Hlk119570697"/>
            <w:r>
              <w:rPr>
                <w:rFonts w:hint="eastAsia" w:ascii="宋体" w:hAnsi="宋体" w:cs="宋体"/>
                <w:kern w:val="0"/>
                <w:szCs w:val="21"/>
              </w:rPr>
              <w:t>13.2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壁挂屏</w:t>
            </w:r>
          </w:p>
        </w:tc>
        <w:tc>
          <w:tcPr>
            <w:tcW w:w="1993" w:type="pct"/>
          </w:tcPr>
          <w:p>
            <w:pPr>
              <w:pStyle w:val="158"/>
              <w:widowControl/>
              <w:ind w:firstLine="0" w:firstLineChars="0"/>
              <w:rPr>
                <w:rFonts w:ascii="宋体" w:hAnsi="宋体" w:cs="宋体"/>
                <w:kern w:val="0"/>
                <w:szCs w:val="21"/>
              </w:rPr>
            </w:pPr>
            <w:r>
              <w:rPr>
                <w:rFonts w:hint="eastAsia" w:ascii="宋体" w:hAnsi="宋体" w:cs="宋体"/>
                <w:kern w:val="0"/>
                <w:szCs w:val="21"/>
              </w:rPr>
              <w:t>1）尺寸：98英寸</w:t>
            </w:r>
          </w:p>
          <w:p>
            <w:pPr>
              <w:pStyle w:val="158"/>
              <w:widowControl/>
              <w:ind w:firstLine="0" w:firstLineChars="0"/>
              <w:rPr>
                <w:rFonts w:ascii="宋体" w:hAnsi="宋体" w:cs="宋体"/>
                <w:kern w:val="0"/>
                <w:szCs w:val="21"/>
              </w:rPr>
            </w:pPr>
            <w:r>
              <w:rPr>
                <w:rFonts w:hint="eastAsia" w:ascii="宋体" w:hAnsi="宋体" w:cs="宋体"/>
                <w:kern w:val="0"/>
                <w:szCs w:val="21"/>
              </w:rPr>
              <w:t>2）屏幕类型：LED液晶屏（A规）</w:t>
            </w:r>
          </w:p>
          <w:p>
            <w:pPr>
              <w:pStyle w:val="158"/>
              <w:widowControl/>
              <w:ind w:firstLine="0" w:firstLineChars="0"/>
              <w:rPr>
                <w:rFonts w:ascii="宋体" w:hAnsi="宋体" w:cs="宋体"/>
                <w:kern w:val="0"/>
                <w:szCs w:val="21"/>
              </w:rPr>
            </w:pPr>
            <w:r>
              <w:rPr>
                <w:rFonts w:hint="eastAsia" w:ascii="宋体" w:hAnsi="宋体" w:cs="宋体"/>
                <w:kern w:val="0"/>
                <w:szCs w:val="21"/>
              </w:rPr>
              <w:t>3）背光类型：D-LED</w:t>
            </w:r>
          </w:p>
          <w:p>
            <w:pPr>
              <w:pStyle w:val="158"/>
              <w:widowControl/>
              <w:ind w:firstLine="0" w:firstLineChars="0"/>
              <w:rPr>
                <w:rFonts w:ascii="宋体" w:hAnsi="宋体" w:cs="宋体"/>
                <w:kern w:val="0"/>
                <w:szCs w:val="21"/>
              </w:rPr>
            </w:pPr>
            <w:r>
              <w:rPr>
                <w:rFonts w:hint="eastAsia" w:ascii="宋体" w:hAnsi="宋体" w:cs="宋体"/>
                <w:kern w:val="0"/>
                <w:szCs w:val="21"/>
              </w:rPr>
              <w:t>4）显示区域：2158.8(W)×1215(H)mm</w:t>
            </w:r>
          </w:p>
          <w:p>
            <w:pPr>
              <w:pStyle w:val="158"/>
              <w:widowControl/>
              <w:ind w:firstLine="0" w:firstLineChars="0"/>
              <w:rPr>
                <w:rFonts w:ascii="宋体" w:hAnsi="宋体" w:cs="宋体"/>
                <w:kern w:val="0"/>
                <w:szCs w:val="21"/>
              </w:rPr>
            </w:pPr>
            <w:r>
              <w:rPr>
                <w:rFonts w:hint="eastAsia" w:ascii="宋体" w:hAnsi="宋体" w:cs="宋体"/>
                <w:kern w:val="0"/>
                <w:szCs w:val="21"/>
              </w:rPr>
              <w:t>5）分辨率：3840×2160（FHD）</w:t>
            </w:r>
          </w:p>
          <w:p>
            <w:pPr>
              <w:pStyle w:val="158"/>
              <w:widowControl/>
              <w:ind w:firstLine="0" w:firstLineChars="0"/>
              <w:rPr>
                <w:rFonts w:ascii="宋体" w:hAnsi="宋体" w:cs="宋体"/>
                <w:kern w:val="0"/>
                <w:szCs w:val="21"/>
              </w:rPr>
            </w:pPr>
            <w:r>
              <w:rPr>
                <w:rFonts w:hint="eastAsia" w:ascii="宋体" w:hAnsi="宋体" w:cs="宋体"/>
                <w:kern w:val="0"/>
                <w:szCs w:val="21"/>
              </w:rPr>
              <w:t>6）亮度：400~450 cd/m²</w:t>
            </w:r>
          </w:p>
          <w:p>
            <w:pPr>
              <w:pStyle w:val="158"/>
              <w:widowControl/>
              <w:ind w:firstLine="0" w:firstLineChars="0"/>
              <w:rPr>
                <w:rFonts w:ascii="宋体" w:hAnsi="宋体" w:cs="宋体"/>
                <w:kern w:val="0"/>
                <w:szCs w:val="21"/>
              </w:rPr>
            </w:pPr>
            <w:r>
              <w:rPr>
                <w:rFonts w:hint="eastAsia" w:ascii="宋体" w:hAnsi="宋体" w:cs="宋体"/>
                <w:kern w:val="0"/>
                <w:szCs w:val="21"/>
              </w:rPr>
              <w:t>7）响应时间：7ms</w:t>
            </w:r>
          </w:p>
          <w:p>
            <w:pPr>
              <w:pStyle w:val="158"/>
              <w:widowControl/>
              <w:ind w:firstLine="0" w:firstLineChars="0"/>
              <w:rPr>
                <w:rFonts w:ascii="宋体" w:hAnsi="宋体" w:cs="宋体"/>
                <w:kern w:val="0"/>
                <w:szCs w:val="21"/>
              </w:rPr>
            </w:pPr>
            <w:r>
              <w:rPr>
                <w:rFonts w:hint="eastAsia" w:ascii="宋体" w:hAnsi="宋体" w:cs="宋体"/>
                <w:kern w:val="0"/>
                <w:szCs w:val="21"/>
              </w:rPr>
              <w:t>8）对比度：1200:1</w:t>
            </w:r>
          </w:p>
          <w:p>
            <w:pPr>
              <w:pStyle w:val="158"/>
              <w:widowControl/>
              <w:ind w:firstLine="0" w:firstLineChars="0"/>
              <w:rPr>
                <w:rFonts w:ascii="宋体" w:hAnsi="宋体" w:cs="宋体"/>
                <w:kern w:val="0"/>
                <w:szCs w:val="21"/>
              </w:rPr>
            </w:pPr>
            <w:r>
              <w:rPr>
                <w:rFonts w:hint="eastAsia" w:ascii="宋体" w:hAnsi="宋体" w:cs="宋体"/>
                <w:kern w:val="0"/>
                <w:szCs w:val="21"/>
              </w:rPr>
              <w:t>9）色域：60% NTSC (CIE1931)</w:t>
            </w:r>
          </w:p>
          <w:p>
            <w:pPr>
              <w:pStyle w:val="158"/>
              <w:widowControl/>
              <w:ind w:firstLine="0" w:firstLineChars="0"/>
              <w:rPr>
                <w:rFonts w:ascii="宋体" w:hAnsi="宋体" w:cs="宋体"/>
                <w:kern w:val="0"/>
                <w:szCs w:val="21"/>
              </w:rPr>
            </w:pPr>
            <w:r>
              <w:rPr>
                <w:rFonts w:hint="eastAsia" w:ascii="宋体" w:hAnsi="宋体" w:cs="宋体"/>
                <w:kern w:val="0"/>
                <w:szCs w:val="21"/>
              </w:rPr>
              <w:t>10）可视角度：89/89/89/89 (Min.)(CR≥10)</w:t>
            </w:r>
          </w:p>
          <w:p>
            <w:pPr>
              <w:pStyle w:val="158"/>
              <w:widowControl/>
              <w:ind w:firstLine="0" w:firstLineChars="0"/>
              <w:rPr>
                <w:rFonts w:ascii="宋体" w:hAnsi="宋体" w:cs="宋体"/>
                <w:kern w:val="0"/>
                <w:szCs w:val="21"/>
              </w:rPr>
            </w:pPr>
            <w:r>
              <w:rPr>
                <w:rFonts w:hint="eastAsia" w:ascii="宋体" w:hAnsi="宋体" w:cs="宋体"/>
                <w:kern w:val="0"/>
                <w:szCs w:val="21"/>
              </w:rPr>
              <w:t>11）使用寿命：&gt;35000H</w:t>
            </w:r>
          </w:p>
          <w:p>
            <w:pPr>
              <w:pStyle w:val="158"/>
              <w:widowControl/>
              <w:ind w:firstLine="0" w:firstLineChars="0"/>
              <w:rPr>
                <w:rFonts w:ascii="宋体" w:hAnsi="宋体" w:cs="宋体"/>
                <w:kern w:val="0"/>
                <w:szCs w:val="21"/>
              </w:rPr>
            </w:pPr>
            <w:r>
              <w:rPr>
                <w:rFonts w:hint="eastAsia" w:ascii="宋体" w:hAnsi="宋体" w:cs="宋体"/>
                <w:kern w:val="0"/>
                <w:szCs w:val="21"/>
              </w:rPr>
              <w:t>12）Android系统：</w:t>
            </w:r>
          </w:p>
          <w:p>
            <w:pPr>
              <w:pStyle w:val="158"/>
              <w:widowControl/>
              <w:ind w:left="420" w:firstLine="0" w:firstLineChars="0"/>
              <w:rPr>
                <w:rFonts w:ascii="宋体" w:hAnsi="宋体" w:cs="宋体"/>
                <w:kern w:val="0"/>
                <w:szCs w:val="21"/>
              </w:rPr>
            </w:pPr>
            <w:r>
              <w:rPr>
                <w:rFonts w:hint="eastAsia" w:ascii="宋体" w:hAnsi="宋体" w:cs="宋体"/>
                <w:kern w:val="0"/>
                <w:szCs w:val="21"/>
              </w:rPr>
              <w:t>芯片：T982</w:t>
            </w:r>
          </w:p>
          <w:p>
            <w:pPr>
              <w:pStyle w:val="158"/>
              <w:widowControl/>
              <w:ind w:left="420" w:firstLine="0" w:firstLineChars="0"/>
              <w:rPr>
                <w:rFonts w:ascii="宋体" w:hAnsi="宋体" w:cs="宋体"/>
                <w:kern w:val="0"/>
                <w:szCs w:val="21"/>
              </w:rPr>
            </w:pPr>
            <w:r>
              <w:rPr>
                <w:rFonts w:hint="eastAsia" w:ascii="宋体" w:hAnsi="宋体" w:cs="宋体"/>
                <w:kern w:val="0"/>
                <w:szCs w:val="21"/>
              </w:rPr>
              <w:t>CPU</w:t>
            </w:r>
            <w:r>
              <w:rPr>
                <w:rFonts w:hint="eastAsia" w:ascii="宋体" w:hAnsi="宋体" w:cs="宋体"/>
                <w:kern w:val="0"/>
                <w:szCs w:val="21"/>
              </w:rPr>
              <w:tab/>
            </w:r>
            <w:r>
              <w:rPr>
                <w:rFonts w:hint="eastAsia" w:ascii="宋体" w:hAnsi="宋体" w:cs="宋体"/>
                <w:kern w:val="0"/>
                <w:szCs w:val="21"/>
              </w:rPr>
              <w:t>：Quad-core ARM Cortex-A55  1.9GHz</w:t>
            </w:r>
          </w:p>
          <w:p>
            <w:pPr>
              <w:pStyle w:val="158"/>
              <w:widowControl/>
              <w:ind w:left="420" w:firstLine="0" w:firstLineChars="0"/>
              <w:rPr>
                <w:rFonts w:ascii="宋体" w:hAnsi="宋体" w:cs="宋体"/>
                <w:kern w:val="0"/>
                <w:szCs w:val="21"/>
              </w:rPr>
            </w:pPr>
            <w:r>
              <w:rPr>
                <w:rFonts w:hint="eastAsia" w:ascii="宋体" w:hAnsi="宋体" w:cs="宋体"/>
                <w:kern w:val="0"/>
                <w:szCs w:val="21"/>
              </w:rPr>
              <w:t>GPU：Mali-G52 MP2(2EE)</w:t>
            </w:r>
          </w:p>
          <w:p>
            <w:pPr>
              <w:pStyle w:val="158"/>
              <w:widowControl/>
              <w:ind w:left="420" w:firstLine="0" w:firstLineChars="0"/>
              <w:rPr>
                <w:rFonts w:ascii="宋体" w:hAnsi="宋体" w:cs="宋体"/>
                <w:kern w:val="0"/>
                <w:szCs w:val="21"/>
              </w:rPr>
            </w:pPr>
            <w:r>
              <w:rPr>
                <w:rFonts w:hint="eastAsia" w:ascii="宋体" w:hAnsi="宋体" w:cs="宋体"/>
                <w:kern w:val="0"/>
                <w:szCs w:val="21"/>
              </w:rPr>
              <w:t>系统支持：Android 11.0</w:t>
            </w:r>
          </w:p>
          <w:p>
            <w:pPr>
              <w:pStyle w:val="158"/>
              <w:widowControl/>
              <w:ind w:left="420" w:firstLine="0" w:firstLineChars="0"/>
              <w:rPr>
                <w:rFonts w:ascii="宋体" w:hAnsi="宋体" w:cs="宋体"/>
                <w:kern w:val="0"/>
                <w:szCs w:val="21"/>
              </w:rPr>
            </w:pPr>
            <w:r>
              <w:rPr>
                <w:rFonts w:hint="eastAsia" w:ascii="宋体" w:hAnsi="宋体" w:cs="宋体"/>
                <w:kern w:val="0"/>
                <w:szCs w:val="21"/>
              </w:rPr>
              <w:t>内部容量：4G+32G</w:t>
            </w:r>
          </w:p>
          <w:p>
            <w:pPr>
              <w:pStyle w:val="158"/>
              <w:widowControl/>
              <w:ind w:left="420" w:firstLine="0" w:firstLineChars="0"/>
              <w:rPr>
                <w:rFonts w:ascii="宋体" w:hAnsi="宋体" w:cs="宋体"/>
                <w:kern w:val="0"/>
                <w:szCs w:val="21"/>
              </w:rPr>
            </w:pPr>
            <w:r>
              <w:rPr>
                <w:rFonts w:hint="eastAsia" w:ascii="宋体" w:hAnsi="宋体" w:cs="宋体"/>
                <w:kern w:val="0"/>
                <w:szCs w:val="21"/>
              </w:rPr>
              <w:t>接口：输入端口（IN）:HDMI端口、AV端口</w:t>
            </w:r>
          </w:p>
          <w:p>
            <w:pPr>
              <w:pStyle w:val="158"/>
              <w:widowControl/>
              <w:ind w:left="420" w:firstLine="0" w:firstLineChars="0"/>
              <w:rPr>
                <w:rFonts w:ascii="宋体" w:hAnsi="宋体" w:cs="宋体"/>
                <w:kern w:val="0"/>
                <w:szCs w:val="21"/>
              </w:rPr>
            </w:pPr>
            <w:r>
              <w:rPr>
                <w:rFonts w:hint="eastAsia" w:ascii="宋体" w:hAnsi="宋体" w:cs="宋体"/>
                <w:kern w:val="0"/>
                <w:szCs w:val="21"/>
              </w:rPr>
              <w:t>输出端口（OUT）：Earphone、AV端口、SPDIF（同轴COAX）</w:t>
            </w:r>
          </w:p>
          <w:p>
            <w:pPr>
              <w:pStyle w:val="158"/>
              <w:widowControl/>
              <w:ind w:left="420" w:firstLine="0" w:firstLineChars="0"/>
              <w:rPr>
                <w:rFonts w:ascii="宋体" w:hAnsi="宋体" w:cs="宋体"/>
                <w:kern w:val="0"/>
                <w:szCs w:val="21"/>
              </w:rPr>
            </w:pPr>
            <w:r>
              <w:rPr>
                <w:rFonts w:hint="eastAsia" w:ascii="宋体" w:hAnsi="宋体" w:cs="宋体"/>
                <w:kern w:val="0"/>
                <w:szCs w:val="21"/>
              </w:rPr>
              <w:t>其它端口：RJ45/LAN端口、Touch USB端口、RS232端口、USB2.0、USB3.0</w:t>
            </w:r>
          </w:p>
          <w:p>
            <w:pPr>
              <w:pStyle w:val="158"/>
              <w:widowControl/>
              <w:ind w:firstLine="0" w:firstLineChars="0"/>
              <w:rPr>
                <w:rFonts w:ascii="宋体" w:hAnsi="宋体" w:cs="宋体"/>
                <w:kern w:val="0"/>
                <w:szCs w:val="21"/>
              </w:rPr>
            </w:pPr>
            <w:r>
              <w:rPr>
                <w:rFonts w:hint="eastAsia" w:ascii="宋体" w:hAnsi="宋体" w:cs="宋体"/>
                <w:kern w:val="0"/>
                <w:szCs w:val="21"/>
              </w:rPr>
              <w:t>13）触摸规格：红外触摸框</w:t>
            </w:r>
          </w:p>
          <w:p>
            <w:pPr>
              <w:pStyle w:val="158"/>
              <w:widowControl/>
              <w:ind w:firstLine="0" w:firstLineChars="0"/>
              <w:rPr>
                <w:rFonts w:ascii="宋体" w:hAnsi="宋体" w:cs="宋体"/>
                <w:kern w:val="0"/>
                <w:szCs w:val="21"/>
              </w:rPr>
            </w:pPr>
            <w:r>
              <w:rPr>
                <w:rFonts w:hint="eastAsia" w:ascii="宋体" w:hAnsi="宋体" w:cs="宋体"/>
                <w:kern w:val="0"/>
                <w:szCs w:val="21"/>
              </w:rPr>
              <w:t>14）触摸点数：20点触控</w:t>
            </w:r>
          </w:p>
          <w:p>
            <w:pPr>
              <w:pStyle w:val="158"/>
              <w:widowControl/>
              <w:ind w:firstLine="0" w:firstLineChars="0"/>
              <w:rPr>
                <w:rFonts w:ascii="宋体" w:hAnsi="宋体" w:cs="宋体"/>
                <w:kern w:val="0"/>
                <w:szCs w:val="21"/>
              </w:rPr>
            </w:pPr>
            <w:r>
              <w:rPr>
                <w:rFonts w:hint="eastAsia" w:ascii="宋体" w:hAnsi="宋体" w:cs="宋体"/>
                <w:kern w:val="0"/>
                <w:szCs w:val="21"/>
              </w:rPr>
              <w:t>15）单指响应速度：≤8ms</w:t>
            </w:r>
          </w:p>
          <w:p>
            <w:pPr>
              <w:pStyle w:val="158"/>
              <w:ind w:firstLine="0" w:firstLineChars="0"/>
              <w:rPr>
                <w:rFonts w:ascii="宋体" w:hAnsi="宋体" w:cs="宋体"/>
                <w:szCs w:val="21"/>
              </w:rPr>
            </w:pPr>
            <w:r>
              <w:rPr>
                <w:rFonts w:hint="eastAsia" w:ascii="宋体" w:hAnsi="宋体" w:cs="宋体"/>
                <w:szCs w:val="21"/>
              </w:rPr>
              <w:t>16）音响喇叭：2*15W</w:t>
            </w:r>
          </w:p>
          <w:p>
            <w:pPr>
              <w:pStyle w:val="158"/>
              <w:ind w:firstLine="0" w:firstLineChars="0"/>
              <w:rPr>
                <w:rFonts w:ascii="宋体" w:hAnsi="宋体" w:cs="宋体"/>
                <w:szCs w:val="21"/>
              </w:rPr>
            </w:pPr>
            <w:r>
              <w:rPr>
                <w:rFonts w:hint="eastAsia" w:ascii="宋体" w:hAnsi="宋体" w:cs="宋体"/>
                <w:szCs w:val="21"/>
              </w:rPr>
              <w:t>17）电源接口：220V</w:t>
            </w:r>
          </w:p>
          <w:p>
            <w:pPr>
              <w:pStyle w:val="158"/>
              <w:ind w:firstLine="0" w:firstLineChars="0"/>
              <w:rPr>
                <w:rFonts w:ascii="宋体" w:hAnsi="宋体" w:cs="宋体"/>
                <w:szCs w:val="21"/>
              </w:rPr>
            </w:pPr>
            <w:r>
              <w:rPr>
                <w:rFonts w:hint="eastAsia" w:ascii="宋体" w:hAnsi="宋体" w:cs="宋体"/>
                <w:szCs w:val="21"/>
              </w:rPr>
              <w:t>18）整机功耗：≤400W（不含OPS，支持OPS功率≤100W）</w:t>
            </w:r>
          </w:p>
          <w:p>
            <w:pPr>
              <w:pStyle w:val="158"/>
              <w:ind w:firstLine="0" w:firstLineChars="0"/>
              <w:rPr>
                <w:rFonts w:ascii="宋体" w:hAnsi="宋体" w:cs="宋体"/>
                <w:szCs w:val="21"/>
              </w:rPr>
            </w:pPr>
            <w:r>
              <w:rPr>
                <w:rFonts w:hint="eastAsia" w:ascii="宋体" w:hAnsi="宋体" w:cs="宋体"/>
                <w:szCs w:val="21"/>
              </w:rPr>
              <w:t>19）工作温度：0°C～50°C</w:t>
            </w:r>
          </w:p>
          <w:p>
            <w:pPr>
              <w:pStyle w:val="158"/>
              <w:ind w:firstLine="0" w:firstLineChars="0"/>
              <w:rPr>
                <w:rFonts w:ascii="宋体" w:hAnsi="宋体" w:cs="宋体"/>
                <w:szCs w:val="21"/>
              </w:rPr>
            </w:pPr>
            <w:r>
              <w:rPr>
                <w:rFonts w:hint="eastAsia" w:ascii="宋体" w:hAnsi="宋体" w:cs="宋体"/>
                <w:szCs w:val="21"/>
              </w:rPr>
              <w:t>20）存储温度：-20°C～60°C</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bookmark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highlight w:val="none"/>
              </w:rPr>
              <w:t>LED一体机</w:t>
            </w:r>
          </w:p>
        </w:tc>
        <w:tc>
          <w:tcPr>
            <w:tcW w:w="1993" w:type="pct"/>
          </w:tcPr>
          <w:p>
            <w:pPr>
              <w:widowControl/>
            </w:pPr>
            <w:r>
              <w:rPr>
                <w:rFonts w:hint="eastAsia"/>
              </w:rPr>
              <w:t>1）显示区域对角线尺寸134寸及以上；</w:t>
            </w:r>
          </w:p>
          <w:p>
            <w:pPr>
              <w:widowControl/>
            </w:pPr>
            <w:r>
              <w:rPr>
                <w:rFonts w:hint="eastAsia"/>
              </w:rPr>
              <w:t>2）点间距：1.54mm，显示尺寸：134"；及以上</w:t>
            </w:r>
          </w:p>
          <w:p>
            <w:pPr>
              <w:widowControl/>
            </w:pPr>
            <w:r>
              <w:rPr>
                <w:rFonts w:hint="eastAsia"/>
              </w:rPr>
              <w:t>3）分辨率：1920*1080，显示比例：16:9；及以上</w:t>
            </w:r>
          </w:p>
          <w:p>
            <w:pPr>
              <w:widowControl/>
            </w:pPr>
            <w:r>
              <w:rPr>
                <w:rFonts w:hint="eastAsia"/>
              </w:rPr>
              <w:t>4）亮度≥600cd/㎡，对比度≥10000:1，刷新率≥3840Hz，可视角度为160°(H)/160°(V)；及以上</w:t>
            </w:r>
          </w:p>
          <w:p>
            <w:pPr>
              <w:widowControl/>
            </w:pPr>
            <w:r>
              <w:rPr>
                <w:rFonts w:hint="eastAsia"/>
              </w:rPr>
              <w:t>5）红外触摸技术，触摸点数：20点，触摸精度：±1mm；及以上</w:t>
            </w:r>
          </w:p>
          <w:p>
            <w:pPr>
              <w:widowControl/>
            </w:pPr>
            <w:r>
              <w:rPr>
                <w:rFonts w:hint="eastAsia"/>
              </w:rPr>
              <w:t>6）具有1个30扬声器；及以上</w:t>
            </w:r>
          </w:p>
          <w:p>
            <w:pPr>
              <w:widowControl/>
            </w:pPr>
            <w:r>
              <w:rPr>
                <w:rFonts w:hint="eastAsia"/>
              </w:rPr>
              <w:t>7）系统：Android 5.0.1，4核 Cortex-A53，1.5GHz，2G内存，32G存储，支持H.264/H.265，一路4K@60Hz解码</w:t>
            </w:r>
          </w:p>
          <w:p>
            <w:pPr>
              <w:widowControl/>
            </w:pPr>
            <w:r>
              <w:rPr>
                <w:rFonts w:hint="eastAsia"/>
              </w:rPr>
              <w:t>8）接口：HDMI IN*2，VGA IN*1，AUDIO IN*2，HDMI OUT*1，AUDIO OUT*2，USB前置2+板载2，RJ45 *2</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13.4</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视频监控系统安防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13.4.1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低功耗视频监控球机</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1）支持全功耗模式、低功耗模式、休眠模式；全功耗模式下，全景和细节通道都在工作；低功耗模式下，全景通道工作，细节通道休眠，功耗低至3.5 W；</w:t>
            </w:r>
          </w:p>
          <w:p>
            <w:pPr>
              <w:pStyle w:val="158"/>
              <w:widowControl/>
              <w:ind w:firstLine="0" w:firstLineChars="0"/>
              <w:rPr>
                <w:rFonts w:ascii="宋体" w:hAnsi="宋体" w:cs="宋体"/>
                <w:kern w:val="0"/>
                <w:szCs w:val="21"/>
              </w:rPr>
            </w:pPr>
            <w:r>
              <w:rPr>
                <w:rFonts w:hint="eastAsia" w:ascii="宋体" w:hAnsi="宋体" w:cs="宋体"/>
                <w:kern w:val="0"/>
                <w:szCs w:val="21"/>
              </w:rPr>
              <w:t>2）支持休眠模式，可设置低电休眠和定时休眠两种模式；休眠模式功耗低至0.5 W；</w:t>
            </w:r>
          </w:p>
          <w:p>
            <w:pPr>
              <w:pStyle w:val="158"/>
              <w:widowControl/>
              <w:ind w:firstLine="0" w:firstLineChars="0"/>
              <w:rPr>
                <w:rFonts w:ascii="宋体" w:hAnsi="宋体" w:cs="宋体"/>
                <w:kern w:val="0"/>
                <w:szCs w:val="21"/>
              </w:rPr>
            </w:pPr>
            <w:r>
              <w:rPr>
                <w:rFonts w:hint="eastAsia" w:ascii="宋体" w:hAnsi="宋体" w:cs="宋体"/>
                <w:kern w:val="0"/>
                <w:szCs w:val="21"/>
              </w:rPr>
              <w:t>3）支持远程唤醒功能，休眠状态可通过平台下发指令唤醒；</w:t>
            </w:r>
          </w:p>
          <w:p>
            <w:pPr>
              <w:pStyle w:val="158"/>
              <w:widowControl/>
              <w:ind w:firstLine="0" w:firstLineChars="0"/>
              <w:rPr>
                <w:rFonts w:ascii="宋体" w:hAnsi="宋体" w:cs="宋体"/>
                <w:kern w:val="0"/>
                <w:szCs w:val="21"/>
              </w:rPr>
            </w:pPr>
            <w:r>
              <w:rPr>
                <w:rFonts w:hint="eastAsia" w:ascii="宋体" w:hAnsi="宋体" w:cs="宋体"/>
                <w:kern w:val="0"/>
                <w:szCs w:val="21"/>
              </w:rPr>
              <w:t>4）支持定时抓图和录像功能，每个通道独立配置；</w:t>
            </w:r>
          </w:p>
          <w:p>
            <w:pPr>
              <w:pStyle w:val="158"/>
              <w:widowControl/>
              <w:ind w:firstLine="0" w:firstLineChars="0"/>
              <w:rPr>
                <w:rFonts w:ascii="宋体" w:hAnsi="宋体" w:cs="宋体"/>
                <w:kern w:val="0"/>
                <w:szCs w:val="21"/>
              </w:rPr>
            </w:pPr>
            <w:r>
              <w:rPr>
                <w:rFonts w:hint="eastAsia" w:ascii="宋体" w:hAnsi="宋体" w:cs="宋体"/>
                <w:kern w:val="0"/>
                <w:szCs w:val="21"/>
              </w:rPr>
              <w:t>5）支持除雾配置功能，可通过调用手动除雾预置点来实现手动控制，内置加热玻璃，有效除雾；</w:t>
            </w:r>
          </w:p>
          <w:p>
            <w:pPr>
              <w:pStyle w:val="158"/>
              <w:widowControl/>
              <w:ind w:firstLine="0" w:firstLineChars="0"/>
              <w:rPr>
                <w:rFonts w:ascii="宋体" w:hAnsi="宋体" w:cs="宋体"/>
                <w:kern w:val="0"/>
                <w:szCs w:val="21"/>
              </w:rPr>
            </w:pPr>
            <w:r>
              <w:rPr>
                <w:rFonts w:hint="eastAsia" w:ascii="宋体" w:hAnsi="宋体" w:cs="宋体"/>
                <w:kern w:val="0"/>
                <w:szCs w:val="21"/>
              </w:rPr>
              <w:t>6）支持4G（移动、联通、电信）网络传输，兼容3G（移动、联通、电信）；</w:t>
            </w:r>
          </w:p>
          <w:p>
            <w:pPr>
              <w:pStyle w:val="158"/>
              <w:widowControl/>
              <w:ind w:firstLine="0" w:firstLineChars="0"/>
              <w:rPr>
                <w:rFonts w:ascii="宋体" w:hAnsi="宋体" w:cs="宋体"/>
                <w:kern w:val="0"/>
                <w:szCs w:val="21"/>
              </w:rPr>
            </w:pPr>
            <w:r>
              <w:rPr>
                <w:rFonts w:hint="eastAsia" w:ascii="宋体" w:hAnsi="宋体" w:cs="宋体"/>
                <w:kern w:val="0"/>
                <w:szCs w:val="21"/>
              </w:rPr>
              <w:t>7）内置GPS定位模块，支持OSD显示安装位置经纬度信息；</w:t>
            </w:r>
          </w:p>
          <w:p>
            <w:pPr>
              <w:pStyle w:val="158"/>
              <w:widowControl/>
              <w:ind w:firstLine="0" w:firstLineChars="0"/>
              <w:rPr>
                <w:rFonts w:ascii="宋体" w:hAnsi="宋体" w:cs="宋体"/>
                <w:kern w:val="0"/>
                <w:szCs w:val="21"/>
              </w:rPr>
            </w:pPr>
            <w:r>
              <w:rPr>
                <w:rFonts w:hint="eastAsia" w:ascii="宋体" w:hAnsi="宋体" w:cs="宋体"/>
                <w:kern w:val="0"/>
                <w:szCs w:val="21"/>
              </w:rPr>
              <w:t>8）支持深度学习算法，提供精准的人车分类侦测、报警、联动跟踪；</w:t>
            </w:r>
          </w:p>
          <w:p>
            <w:pPr>
              <w:pStyle w:val="158"/>
              <w:widowControl/>
              <w:ind w:firstLine="0" w:firstLineChars="0"/>
              <w:rPr>
                <w:rFonts w:ascii="宋体" w:hAnsi="宋体" w:cs="宋体"/>
                <w:kern w:val="0"/>
                <w:szCs w:val="21"/>
              </w:rPr>
            </w:pPr>
            <w:r>
              <w:rPr>
                <w:rFonts w:hint="eastAsia" w:ascii="宋体" w:hAnsi="宋体" w:cs="宋体"/>
                <w:kern w:val="0"/>
                <w:szCs w:val="21"/>
              </w:rPr>
              <w:t>9）支持同时检测5张人脸，支持对运动人脸进行检测、跟踪、抓拍、评分、筛选，输出最优的人脸抓图；</w:t>
            </w:r>
          </w:p>
          <w:p>
            <w:pPr>
              <w:pStyle w:val="158"/>
              <w:widowControl/>
              <w:ind w:firstLine="0" w:firstLineChars="0"/>
              <w:rPr>
                <w:rFonts w:ascii="宋体" w:hAnsi="宋体" w:cs="宋体"/>
                <w:kern w:val="0"/>
                <w:szCs w:val="21"/>
              </w:rPr>
            </w:pPr>
            <w:r>
              <w:rPr>
                <w:rFonts w:hint="eastAsia" w:ascii="宋体" w:hAnsi="宋体" w:cs="宋体"/>
                <w:kern w:val="0"/>
                <w:szCs w:val="21"/>
              </w:rPr>
              <w:t>10）支持23倍光学变倍，16倍数字变倍；</w:t>
            </w:r>
          </w:p>
          <w:p>
            <w:pPr>
              <w:pStyle w:val="158"/>
              <w:widowControl/>
              <w:ind w:firstLine="0" w:firstLineChars="0"/>
              <w:rPr>
                <w:rFonts w:ascii="宋体" w:hAnsi="宋体" w:cs="宋体"/>
                <w:kern w:val="0"/>
                <w:szCs w:val="21"/>
              </w:rPr>
            </w:pPr>
            <w:r>
              <w:rPr>
                <w:rFonts w:hint="eastAsia" w:ascii="宋体" w:hAnsi="宋体" w:cs="宋体"/>
                <w:kern w:val="0"/>
                <w:szCs w:val="21"/>
              </w:rPr>
              <w:t>11）支持三码流技术，每路码流可独立配置分辨率及帧率；</w:t>
            </w:r>
          </w:p>
          <w:p>
            <w:pPr>
              <w:pStyle w:val="158"/>
              <w:widowControl/>
              <w:ind w:firstLine="0" w:firstLineChars="0"/>
              <w:rPr>
                <w:rFonts w:ascii="宋体" w:hAnsi="宋体" w:cs="宋体"/>
                <w:kern w:val="0"/>
                <w:szCs w:val="21"/>
              </w:rPr>
            </w:pPr>
            <w:r>
              <w:rPr>
                <w:rFonts w:hint="eastAsia" w:ascii="宋体" w:hAnsi="宋体" w:cs="宋体"/>
                <w:kern w:val="0"/>
                <w:szCs w:val="21"/>
              </w:rPr>
              <w:t>12）支持双路区域入侵侦测、越界侦测、进入区域侦测和离开区域侦等智能侦测并联动跟踪；</w:t>
            </w:r>
          </w:p>
          <w:p>
            <w:pPr>
              <w:pStyle w:val="158"/>
              <w:widowControl/>
              <w:ind w:firstLine="0" w:firstLineChars="0"/>
              <w:rPr>
                <w:rFonts w:ascii="宋体" w:hAnsi="宋体" w:cs="宋体"/>
                <w:kern w:val="0"/>
                <w:szCs w:val="21"/>
              </w:rPr>
            </w:pPr>
            <w:r>
              <w:rPr>
                <w:rFonts w:hint="eastAsia" w:ascii="宋体" w:hAnsi="宋体" w:cs="宋体"/>
                <w:kern w:val="0"/>
                <w:szCs w:val="21"/>
              </w:rPr>
              <w:t>13）传感器类型: 【全景】1/1.8＂progressive scan CMOS，【细节】1/2.8"" progressive scan CMOS；</w:t>
            </w:r>
          </w:p>
          <w:p>
            <w:pPr>
              <w:pStyle w:val="158"/>
              <w:widowControl/>
              <w:ind w:firstLine="0" w:firstLineChars="0"/>
              <w:rPr>
                <w:rFonts w:ascii="宋体" w:hAnsi="宋体" w:cs="宋体"/>
                <w:kern w:val="0"/>
                <w:szCs w:val="21"/>
              </w:rPr>
            </w:pPr>
            <w:r>
              <w:rPr>
                <w:rFonts w:hint="eastAsia" w:ascii="宋体" w:hAnsi="宋体" w:cs="宋体"/>
                <w:kern w:val="0"/>
                <w:szCs w:val="21"/>
              </w:rPr>
              <w:t xml:space="preserve">14）最低照度: </w:t>
            </w:r>
          </w:p>
          <w:p>
            <w:pPr>
              <w:pStyle w:val="158"/>
              <w:widowControl/>
              <w:ind w:firstLine="0" w:firstLineChars="0"/>
              <w:rPr>
                <w:rFonts w:ascii="宋体" w:hAnsi="宋体" w:cs="宋体"/>
                <w:kern w:val="0"/>
                <w:szCs w:val="21"/>
              </w:rPr>
            </w:pPr>
            <w:r>
              <w:rPr>
                <w:rFonts w:hint="eastAsia" w:ascii="宋体" w:hAnsi="宋体" w:cs="宋体"/>
                <w:kern w:val="0"/>
                <w:szCs w:val="21"/>
              </w:rPr>
              <w:t>15）【全景】彩色：0.0005 Lux @（F1.0，AGC ON），0 Lux with Light；</w:t>
            </w:r>
          </w:p>
          <w:p>
            <w:pPr>
              <w:pStyle w:val="158"/>
              <w:widowControl/>
              <w:ind w:firstLine="0" w:firstLineChars="0"/>
              <w:rPr>
                <w:rFonts w:ascii="宋体" w:hAnsi="宋体" w:cs="宋体"/>
                <w:kern w:val="0"/>
                <w:szCs w:val="21"/>
              </w:rPr>
            </w:pPr>
            <w:r>
              <w:rPr>
                <w:rFonts w:hint="eastAsia" w:ascii="宋体" w:hAnsi="宋体" w:cs="宋体"/>
                <w:kern w:val="0"/>
                <w:szCs w:val="21"/>
              </w:rPr>
              <w:t>16）【细节】彩色：0.005 Lux @（F1.5，AGC ON），黑白：0.001 Lux @（F1.5，AGC ON），0 Lux with IR；</w:t>
            </w:r>
          </w:p>
          <w:p>
            <w:pPr>
              <w:pStyle w:val="158"/>
              <w:widowControl/>
              <w:ind w:firstLine="0" w:firstLineChars="0"/>
              <w:rPr>
                <w:rFonts w:ascii="宋体" w:hAnsi="宋体" w:cs="宋体"/>
                <w:kern w:val="0"/>
                <w:szCs w:val="21"/>
              </w:rPr>
            </w:pPr>
            <w:r>
              <w:rPr>
                <w:rFonts w:hint="eastAsia" w:ascii="宋体" w:hAnsi="宋体" w:cs="宋体"/>
                <w:kern w:val="0"/>
                <w:szCs w:val="21"/>
              </w:rPr>
              <w:t>17）宽动态: 120 dB超宽动态；</w:t>
            </w:r>
          </w:p>
          <w:p>
            <w:pPr>
              <w:pStyle w:val="158"/>
              <w:widowControl/>
              <w:ind w:firstLine="0" w:firstLineChars="0"/>
              <w:rPr>
                <w:rFonts w:ascii="宋体" w:hAnsi="宋体" w:cs="宋体"/>
                <w:kern w:val="0"/>
                <w:szCs w:val="21"/>
              </w:rPr>
            </w:pPr>
            <w:r>
              <w:rPr>
                <w:rFonts w:hint="eastAsia" w:ascii="宋体" w:hAnsi="宋体" w:cs="宋体"/>
                <w:kern w:val="0"/>
                <w:szCs w:val="21"/>
              </w:rPr>
              <w:t>18）焦距: 【全景】4 mm；【细节】5.9 mm~135.7 mm，23倍光学变倍；</w:t>
            </w:r>
          </w:p>
          <w:p>
            <w:pPr>
              <w:pStyle w:val="158"/>
              <w:widowControl/>
              <w:ind w:firstLine="0" w:firstLineChars="0"/>
              <w:rPr>
                <w:rFonts w:ascii="宋体" w:hAnsi="宋体" w:cs="宋体"/>
                <w:kern w:val="0"/>
                <w:szCs w:val="21"/>
              </w:rPr>
            </w:pPr>
            <w:r>
              <w:rPr>
                <w:rFonts w:hint="eastAsia" w:ascii="宋体" w:hAnsi="宋体" w:cs="宋体"/>
                <w:kern w:val="0"/>
                <w:szCs w:val="21"/>
              </w:rPr>
              <w:t>19）视场角: 【全景】水平视场角：88.7°，垂直视场角：44.7°;【细节】水平视场角：60.2°~3.4°（广角~望远） ；</w:t>
            </w:r>
          </w:p>
          <w:p>
            <w:pPr>
              <w:pStyle w:val="158"/>
              <w:widowControl/>
              <w:ind w:firstLine="0" w:firstLineChars="0"/>
              <w:rPr>
                <w:rFonts w:ascii="宋体" w:hAnsi="宋体" w:cs="宋体"/>
                <w:kern w:val="0"/>
                <w:szCs w:val="21"/>
              </w:rPr>
            </w:pPr>
            <w:r>
              <w:rPr>
                <w:rFonts w:hint="eastAsia" w:ascii="宋体" w:hAnsi="宋体" w:cs="宋体"/>
                <w:kern w:val="0"/>
                <w:szCs w:val="21"/>
              </w:rPr>
              <w:t>20）白光照射距离: 【细节】30 m；【全景】30 m；</w:t>
            </w:r>
          </w:p>
          <w:p>
            <w:pPr>
              <w:pStyle w:val="158"/>
              <w:widowControl/>
              <w:ind w:firstLine="0" w:firstLineChars="0"/>
              <w:rPr>
                <w:rFonts w:ascii="宋体" w:hAnsi="宋体" w:cs="宋体"/>
                <w:kern w:val="0"/>
                <w:szCs w:val="21"/>
              </w:rPr>
            </w:pPr>
            <w:r>
              <w:rPr>
                <w:rFonts w:hint="eastAsia" w:ascii="宋体" w:hAnsi="宋体" w:cs="宋体"/>
                <w:kern w:val="0"/>
                <w:szCs w:val="21"/>
              </w:rPr>
              <w:t>21）红外照射距离: 【细节】150 m；</w:t>
            </w:r>
          </w:p>
          <w:p>
            <w:pPr>
              <w:pStyle w:val="158"/>
              <w:widowControl/>
              <w:ind w:firstLine="0" w:firstLineChars="0"/>
              <w:rPr>
                <w:rFonts w:ascii="宋体" w:hAnsi="宋体" w:cs="宋体"/>
                <w:kern w:val="0"/>
                <w:szCs w:val="21"/>
              </w:rPr>
            </w:pPr>
            <w:r>
              <w:rPr>
                <w:rFonts w:hint="eastAsia" w:ascii="宋体" w:hAnsi="宋体" w:cs="宋体"/>
                <w:kern w:val="0"/>
                <w:szCs w:val="21"/>
              </w:rPr>
              <w:t>22）水平范围: 360°；</w:t>
            </w:r>
          </w:p>
          <w:p>
            <w:pPr>
              <w:pStyle w:val="158"/>
              <w:widowControl/>
              <w:ind w:firstLine="0" w:firstLineChars="0"/>
              <w:rPr>
                <w:rFonts w:ascii="宋体" w:hAnsi="宋体" w:cs="宋体"/>
                <w:kern w:val="0"/>
                <w:szCs w:val="21"/>
              </w:rPr>
            </w:pPr>
            <w:r>
              <w:rPr>
                <w:rFonts w:hint="eastAsia" w:ascii="宋体" w:hAnsi="宋体" w:cs="宋体"/>
                <w:kern w:val="0"/>
                <w:szCs w:val="21"/>
              </w:rPr>
              <w:t>23）垂直范围: -15°~90°（自动翻转）；</w:t>
            </w:r>
          </w:p>
          <w:p>
            <w:pPr>
              <w:pStyle w:val="158"/>
              <w:widowControl/>
              <w:ind w:firstLine="0" w:firstLineChars="0"/>
              <w:rPr>
                <w:rFonts w:ascii="宋体" w:hAnsi="宋体" w:cs="宋体"/>
                <w:kern w:val="0"/>
                <w:szCs w:val="21"/>
              </w:rPr>
            </w:pPr>
            <w:r>
              <w:rPr>
                <w:rFonts w:hint="eastAsia" w:ascii="宋体" w:hAnsi="宋体" w:cs="宋体"/>
                <w:kern w:val="0"/>
                <w:szCs w:val="21"/>
              </w:rPr>
              <w:t>24）水平速度: 水平键控速度：0.1°~80°/s，速度可设；水平预置点速度：80°/s；</w:t>
            </w:r>
          </w:p>
          <w:p>
            <w:pPr>
              <w:pStyle w:val="158"/>
              <w:widowControl/>
              <w:ind w:firstLine="0" w:firstLineChars="0"/>
              <w:rPr>
                <w:rFonts w:ascii="宋体" w:hAnsi="宋体" w:cs="宋体"/>
                <w:kern w:val="0"/>
                <w:szCs w:val="21"/>
              </w:rPr>
            </w:pPr>
            <w:r>
              <w:rPr>
                <w:rFonts w:hint="eastAsia" w:ascii="宋体" w:hAnsi="宋体" w:cs="宋体"/>
                <w:kern w:val="0"/>
                <w:szCs w:val="21"/>
              </w:rPr>
              <w:t>25）垂直速度: 垂直键控速度：0.1°~80°/s，速度可设；垂直预置点速度：80°/s；</w:t>
            </w:r>
          </w:p>
          <w:p>
            <w:pPr>
              <w:pStyle w:val="158"/>
              <w:widowControl/>
              <w:ind w:firstLine="0" w:firstLineChars="0"/>
              <w:rPr>
                <w:rFonts w:ascii="宋体" w:hAnsi="宋体" w:cs="宋体"/>
                <w:kern w:val="0"/>
                <w:szCs w:val="21"/>
              </w:rPr>
            </w:pPr>
            <w:r>
              <w:rPr>
                <w:rFonts w:hint="eastAsia" w:ascii="宋体" w:hAnsi="宋体" w:cs="宋体"/>
                <w:kern w:val="0"/>
                <w:szCs w:val="21"/>
              </w:rPr>
              <w:t>26）主码流帧率分辨率:</w:t>
            </w:r>
          </w:p>
          <w:p>
            <w:pPr>
              <w:pStyle w:val="158"/>
              <w:widowControl/>
              <w:ind w:firstLine="0" w:firstLineChars="0"/>
              <w:rPr>
                <w:rFonts w:ascii="宋体" w:hAnsi="宋体" w:cs="宋体"/>
                <w:kern w:val="0"/>
                <w:szCs w:val="21"/>
              </w:rPr>
            </w:pPr>
            <w:r>
              <w:rPr>
                <w:rFonts w:hint="eastAsia" w:ascii="宋体" w:hAnsi="宋体" w:cs="宋体"/>
                <w:kern w:val="0"/>
                <w:szCs w:val="21"/>
              </w:rPr>
              <w:t>27）【全景】50 Hz：25 fps（2560 × 1440）;60 Hz：30 fps（2560 × 1440）；</w:t>
            </w:r>
          </w:p>
          <w:p>
            <w:pPr>
              <w:pStyle w:val="158"/>
              <w:widowControl/>
              <w:ind w:firstLine="0" w:firstLineChars="0"/>
              <w:rPr>
                <w:rFonts w:ascii="宋体" w:hAnsi="宋体" w:cs="宋体"/>
                <w:kern w:val="0"/>
                <w:szCs w:val="21"/>
              </w:rPr>
            </w:pPr>
            <w:r>
              <w:rPr>
                <w:rFonts w:hint="eastAsia" w:ascii="宋体" w:hAnsi="宋体" w:cs="宋体"/>
                <w:kern w:val="0"/>
                <w:szCs w:val="21"/>
              </w:rPr>
              <w:t>28）【细节】50 Hz：25 fps（2560 × 1440）;60 Hz：30 fps（2560 × 1440）；</w:t>
            </w:r>
          </w:p>
          <w:p>
            <w:pPr>
              <w:pStyle w:val="158"/>
              <w:widowControl/>
              <w:ind w:firstLine="0" w:firstLineChars="0"/>
              <w:rPr>
                <w:rFonts w:ascii="宋体" w:hAnsi="宋体" w:cs="宋体"/>
                <w:kern w:val="0"/>
                <w:szCs w:val="21"/>
              </w:rPr>
            </w:pPr>
            <w:r>
              <w:rPr>
                <w:rFonts w:hint="eastAsia" w:ascii="宋体" w:hAnsi="宋体" w:cs="宋体"/>
                <w:kern w:val="0"/>
                <w:szCs w:val="21"/>
              </w:rPr>
              <w:t>29）视频压缩标准: H.265,H.264,MJPEG；</w:t>
            </w:r>
          </w:p>
          <w:p>
            <w:pPr>
              <w:pStyle w:val="158"/>
              <w:widowControl/>
              <w:ind w:firstLine="0" w:firstLineChars="0"/>
              <w:rPr>
                <w:rFonts w:ascii="宋体" w:hAnsi="宋体" w:cs="宋体"/>
                <w:kern w:val="0"/>
                <w:szCs w:val="21"/>
              </w:rPr>
            </w:pPr>
            <w:r>
              <w:rPr>
                <w:rFonts w:hint="eastAsia" w:ascii="宋体" w:hAnsi="宋体" w:cs="宋体"/>
                <w:kern w:val="0"/>
                <w:szCs w:val="21"/>
              </w:rPr>
              <w:t>30）网络存储: NAS（NFS，SMB/CIFS），ANR；</w:t>
            </w:r>
          </w:p>
          <w:p>
            <w:pPr>
              <w:pStyle w:val="158"/>
              <w:widowControl/>
              <w:ind w:firstLine="0" w:firstLineChars="0"/>
              <w:rPr>
                <w:rFonts w:ascii="宋体" w:hAnsi="宋体" w:cs="宋体"/>
                <w:kern w:val="0"/>
                <w:szCs w:val="21"/>
              </w:rPr>
            </w:pPr>
            <w:r>
              <w:rPr>
                <w:rFonts w:hint="eastAsia" w:ascii="宋体" w:hAnsi="宋体" w:cs="宋体"/>
                <w:kern w:val="0"/>
                <w:szCs w:val="21"/>
              </w:rPr>
              <w:t xml:space="preserve">31）移动通信参数: </w:t>
            </w:r>
          </w:p>
          <w:p>
            <w:pPr>
              <w:pStyle w:val="158"/>
              <w:widowControl/>
              <w:ind w:firstLine="0" w:firstLineChars="0"/>
              <w:rPr>
                <w:rFonts w:ascii="宋体" w:hAnsi="宋体" w:cs="宋体"/>
                <w:kern w:val="0"/>
                <w:szCs w:val="21"/>
              </w:rPr>
            </w:pPr>
            <w:r>
              <w:rPr>
                <w:rFonts w:hint="eastAsia" w:ascii="宋体" w:hAnsi="宋体" w:cs="宋体"/>
                <w:kern w:val="0"/>
                <w:szCs w:val="21"/>
              </w:rPr>
              <w:t>32）无线频段:</w:t>
            </w:r>
          </w:p>
          <w:p>
            <w:pPr>
              <w:pStyle w:val="158"/>
              <w:widowControl/>
              <w:ind w:firstLine="0" w:firstLineChars="0"/>
              <w:rPr>
                <w:rFonts w:ascii="宋体" w:hAnsi="宋体" w:cs="宋体"/>
                <w:kern w:val="0"/>
                <w:szCs w:val="21"/>
              </w:rPr>
            </w:pPr>
            <w:r>
              <w:rPr>
                <w:rFonts w:hint="eastAsia" w:ascii="宋体" w:hAnsi="宋体" w:cs="宋体"/>
                <w:kern w:val="0"/>
                <w:szCs w:val="21"/>
              </w:rPr>
              <w:t>33）LTE-TDD 四频 Band 38/39/40/41 ；</w:t>
            </w:r>
          </w:p>
          <w:p>
            <w:pPr>
              <w:pStyle w:val="158"/>
              <w:widowControl/>
              <w:ind w:firstLine="0" w:firstLineChars="0"/>
              <w:rPr>
                <w:rFonts w:ascii="宋体" w:hAnsi="宋体" w:cs="宋体"/>
                <w:kern w:val="0"/>
                <w:szCs w:val="21"/>
              </w:rPr>
            </w:pPr>
            <w:r>
              <w:rPr>
                <w:rFonts w:hint="eastAsia" w:ascii="宋体" w:hAnsi="宋体" w:cs="宋体"/>
                <w:kern w:val="0"/>
                <w:szCs w:val="21"/>
              </w:rPr>
              <w:t>34）LTE-FDD 四频 Band 1/3/5/8；</w:t>
            </w:r>
          </w:p>
          <w:p>
            <w:pPr>
              <w:pStyle w:val="158"/>
              <w:widowControl/>
              <w:ind w:firstLine="0" w:firstLineChars="0"/>
              <w:rPr>
                <w:rFonts w:ascii="宋体" w:hAnsi="宋体" w:cs="宋体"/>
                <w:kern w:val="0"/>
                <w:szCs w:val="21"/>
              </w:rPr>
            </w:pPr>
            <w:r>
              <w:rPr>
                <w:rFonts w:hint="eastAsia" w:ascii="宋体" w:hAnsi="宋体" w:cs="宋体"/>
                <w:kern w:val="0"/>
                <w:szCs w:val="21"/>
              </w:rPr>
              <w:t>35）TD-SCDMA 双频 Band 34/39；</w:t>
            </w:r>
          </w:p>
          <w:p>
            <w:pPr>
              <w:pStyle w:val="158"/>
              <w:widowControl/>
              <w:ind w:firstLine="0" w:firstLineChars="0"/>
              <w:rPr>
                <w:rFonts w:ascii="宋体" w:hAnsi="宋体" w:cs="宋体"/>
                <w:kern w:val="0"/>
                <w:szCs w:val="21"/>
              </w:rPr>
            </w:pPr>
            <w:r>
              <w:rPr>
                <w:rFonts w:hint="eastAsia" w:ascii="宋体" w:hAnsi="宋体" w:cs="宋体"/>
                <w:kern w:val="0"/>
                <w:szCs w:val="21"/>
              </w:rPr>
              <w:t>36）UMTS 双频 Band 1/8；</w:t>
            </w:r>
          </w:p>
          <w:p>
            <w:pPr>
              <w:pStyle w:val="158"/>
              <w:widowControl/>
              <w:ind w:firstLine="0" w:firstLineChars="0"/>
              <w:rPr>
                <w:rFonts w:ascii="宋体" w:hAnsi="宋体" w:cs="宋体"/>
                <w:kern w:val="0"/>
                <w:szCs w:val="21"/>
              </w:rPr>
            </w:pPr>
            <w:r>
              <w:rPr>
                <w:rFonts w:hint="eastAsia" w:ascii="宋体" w:hAnsi="宋体" w:cs="宋体"/>
                <w:kern w:val="0"/>
                <w:szCs w:val="21"/>
              </w:rPr>
              <w:t>37）EVDO 单频 BC0；</w:t>
            </w:r>
          </w:p>
          <w:p>
            <w:pPr>
              <w:pStyle w:val="158"/>
              <w:widowControl/>
              <w:ind w:firstLine="0" w:firstLineChars="0"/>
              <w:rPr>
                <w:rFonts w:ascii="宋体" w:hAnsi="宋体" w:cs="宋体"/>
                <w:kern w:val="0"/>
                <w:szCs w:val="21"/>
              </w:rPr>
            </w:pPr>
            <w:r>
              <w:rPr>
                <w:rFonts w:hint="eastAsia" w:ascii="宋体" w:hAnsi="宋体" w:cs="宋体"/>
                <w:kern w:val="0"/>
                <w:szCs w:val="21"/>
              </w:rPr>
              <w:t>38）CDMA1x 单频 BC0；</w:t>
            </w:r>
          </w:p>
          <w:p>
            <w:pPr>
              <w:pStyle w:val="158"/>
              <w:widowControl/>
              <w:ind w:firstLine="0" w:firstLineChars="0"/>
              <w:rPr>
                <w:rFonts w:ascii="宋体" w:hAnsi="宋体" w:cs="宋体"/>
                <w:kern w:val="0"/>
                <w:szCs w:val="21"/>
              </w:rPr>
            </w:pPr>
            <w:r>
              <w:rPr>
                <w:rFonts w:hint="eastAsia" w:ascii="宋体" w:hAnsi="宋体" w:cs="宋体"/>
                <w:kern w:val="0"/>
                <w:szCs w:val="21"/>
              </w:rPr>
              <w:t>39）GSM 三频 Band 3/5/8  ；</w:t>
            </w:r>
          </w:p>
          <w:p>
            <w:pPr>
              <w:pStyle w:val="158"/>
              <w:widowControl/>
              <w:ind w:firstLine="0" w:firstLineChars="0"/>
              <w:rPr>
                <w:rFonts w:ascii="宋体" w:hAnsi="宋体" w:cs="宋体"/>
                <w:kern w:val="0"/>
                <w:szCs w:val="21"/>
              </w:rPr>
            </w:pPr>
            <w:r>
              <w:rPr>
                <w:rFonts w:hint="eastAsia" w:ascii="宋体" w:hAnsi="宋体" w:cs="宋体"/>
                <w:kern w:val="0"/>
                <w:szCs w:val="21"/>
              </w:rPr>
              <w:t xml:space="preserve">40）无线制式: LTE-TDD/LTE-FDD/TD-SCDMA/WCDMA ； </w:t>
            </w:r>
          </w:p>
          <w:p>
            <w:pPr>
              <w:pStyle w:val="158"/>
              <w:widowControl/>
              <w:ind w:firstLine="0" w:firstLineChars="0"/>
              <w:rPr>
                <w:rFonts w:ascii="宋体" w:hAnsi="宋体" w:cs="宋体"/>
                <w:kern w:val="0"/>
                <w:szCs w:val="21"/>
              </w:rPr>
            </w:pPr>
            <w:r>
              <w:rPr>
                <w:rFonts w:hint="eastAsia" w:ascii="宋体" w:hAnsi="宋体" w:cs="宋体"/>
                <w:kern w:val="0"/>
                <w:szCs w:val="21"/>
              </w:rPr>
              <w:t xml:space="preserve">41）辅助检测: </w:t>
            </w:r>
          </w:p>
          <w:p>
            <w:pPr>
              <w:pStyle w:val="158"/>
              <w:widowControl/>
              <w:ind w:firstLine="0" w:firstLineChars="0"/>
              <w:rPr>
                <w:rFonts w:ascii="宋体" w:hAnsi="宋体" w:cs="宋体"/>
                <w:kern w:val="0"/>
                <w:szCs w:val="21"/>
              </w:rPr>
            </w:pPr>
            <w:r>
              <w:rPr>
                <w:rFonts w:hint="eastAsia" w:ascii="宋体" w:hAnsi="宋体" w:cs="宋体"/>
                <w:kern w:val="0"/>
                <w:szCs w:val="21"/>
              </w:rPr>
              <w:t>42）卫星定位:</w:t>
            </w:r>
          </w:p>
          <w:p>
            <w:pPr>
              <w:pStyle w:val="158"/>
              <w:widowControl/>
              <w:ind w:firstLine="0" w:firstLineChars="0"/>
              <w:rPr>
                <w:rFonts w:ascii="宋体" w:hAnsi="宋体" w:cs="宋体"/>
                <w:kern w:val="0"/>
                <w:szCs w:val="21"/>
              </w:rPr>
            </w:pPr>
            <w:r>
              <w:rPr>
                <w:rFonts w:hint="eastAsia" w:ascii="宋体" w:hAnsi="宋体" w:cs="宋体"/>
                <w:kern w:val="0"/>
                <w:szCs w:val="21"/>
              </w:rPr>
              <w:t>43）GPS L1：1574.4~1576.4MHz；</w:t>
            </w:r>
          </w:p>
          <w:p>
            <w:pPr>
              <w:pStyle w:val="158"/>
              <w:widowControl/>
              <w:ind w:firstLine="0" w:firstLineChars="0"/>
              <w:rPr>
                <w:rFonts w:ascii="宋体" w:hAnsi="宋体" w:cs="宋体"/>
                <w:kern w:val="0"/>
                <w:szCs w:val="21"/>
              </w:rPr>
            </w:pPr>
            <w:r>
              <w:rPr>
                <w:rFonts w:hint="eastAsia" w:ascii="宋体" w:hAnsi="宋体" w:cs="宋体"/>
                <w:kern w:val="0"/>
                <w:szCs w:val="21"/>
              </w:rPr>
              <w:t>44）BDS B1：1559.1~1563.1MHz；</w:t>
            </w:r>
          </w:p>
          <w:p>
            <w:pPr>
              <w:pStyle w:val="158"/>
              <w:widowControl/>
              <w:ind w:firstLine="0" w:firstLineChars="0"/>
              <w:rPr>
                <w:rFonts w:ascii="宋体" w:hAnsi="宋体" w:cs="宋体"/>
                <w:kern w:val="0"/>
                <w:szCs w:val="21"/>
              </w:rPr>
            </w:pPr>
            <w:r>
              <w:rPr>
                <w:rFonts w:hint="eastAsia" w:ascii="宋体" w:hAnsi="宋体" w:cs="宋体"/>
                <w:kern w:val="0"/>
                <w:szCs w:val="21"/>
              </w:rPr>
              <w:t>45）GLONASS：1597.5~1605.9MHz ；</w:t>
            </w:r>
          </w:p>
          <w:p>
            <w:pPr>
              <w:pStyle w:val="158"/>
              <w:widowControl/>
              <w:ind w:firstLine="0" w:firstLineChars="0"/>
              <w:rPr>
                <w:rFonts w:ascii="宋体" w:hAnsi="宋体" w:cs="宋体"/>
                <w:kern w:val="0"/>
                <w:szCs w:val="21"/>
              </w:rPr>
            </w:pPr>
            <w:r>
              <w:rPr>
                <w:rFonts w:hint="eastAsia" w:ascii="宋体" w:hAnsi="宋体" w:cs="宋体"/>
                <w:kern w:val="0"/>
                <w:szCs w:val="21"/>
              </w:rPr>
              <w:t>46）网络接口: RJ45网口，自适应10 M/100 M网络数据；</w:t>
            </w:r>
          </w:p>
          <w:p>
            <w:pPr>
              <w:pStyle w:val="158"/>
              <w:widowControl/>
              <w:ind w:firstLine="0" w:firstLineChars="0"/>
              <w:rPr>
                <w:rFonts w:ascii="宋体" w:hAnsi="宋体" w:cs="宋体"/>
                <w:kern w:val="0"/>
                <w:szCs w:val="21"/>
              </w:rPr>
            </w:pPr>
            <w:r>
              <w:rPr>
                <w:rFonts w:hint="eastAsia" w:ascii="宋体" w:hAnsi="宋体" w:cs="宋体"/>
                <w:kern w:val="0"/>
                <w:szCs w:val="21"/>
              </w:rPr>
              <w:t>47）SD卡扩展: 内置MicroSD卡插槽，支持MicroSD(即TF卡)/MicroSDHC/MicroSDXC卡（最大支持256 GB）；</w:t>
            </w:r>
          </w:p>
          <w:p>
            <w:pPr>
              <w:pStyle w:val="158"/>
              <w:widowControl/>
              <w:ind w:firstLine="0" w:firstLineChars="0"/>
              <w:rPr>
                <w:rFonts w:ascii="宋体" w:hAnsi="宋体" w:cs="宋体"/>
                <w:kern w:val="0"/>
                <w:szCs w:val="21"/>
              </w:rPr>
            </w:pPr>
            <w:r>
              <w:rPr>
                <w:rFonts w:hint="eastAsia" w:ascii="宋体" w:hAnsi="宋体" w:cs="宋体"/>
                <w:kern w:val="0"/>
                <w:szCs w:val="21"/>
              </w:rPr>
              <w:t>48）报警输入: 2路报警输入；</w:t>
            </w:r>
          </w:p>
          <w:p>
            <w:pPr>
              <w:pStyle w:val="158"/>
              <w:widowControl/>
              <w:ind w:firstLine="0" w:firstLineChars="0"/>
              <w:rPr>
                <w:rFonts w:ascii="宋体" w:hAnsi="宋体" w:cs="宋体"/>
                <w:kern w:val="0"/>
                <w:szCs w:val="21"/>
              </w:rPr>
            </w:pPr>
            <w:r>
              <w:rPr>
                <w:rFonts w:hint="eastAsia" w:ascii="宋体" w:hAnsi="宋体" w:cs="宋体"/>
                <w:kern w:val="0"/>
                <w:szCs w:val="21"/>
              </w:rPr>
              <w:t>49）报警输出: 1路报警输出；</w:t>
            </w:r>
          </w:p>
          <w:p>
            <w:pPr>
              <w:pStyle w:val="158"/>
              <w:widowControl/>
              <w:ind w:firstLine="0" w:firstLineChars="0"/>
              <w:rPr>
                <w:rFonts w:ascii="宋体" w:hAnsi="宋体" w:cs="宋体"/>
                <w:kern w:val="0"/>
                <w:szCs w:val="21"/>
              </w:rPr>
            </w:pPr>
            <w:r>
              <w:rPr>
                <w:rFonts w:hint="eastAsia" w:ascii="宋体" w:hAnsi="宋体" w:cs="宋体"/>
                <w:kern w:val="0"/>
                <w:szCs w:val="21"/>
              </w:rPr>
              <w:t>50）音频输入: 1路音频输入；</w:t>
            </w:r>
          </w:p>
          <w:p>
            <w:pPr>
              <w:pStyle w:val="158"/>
              <w:widowControl/>
              <w:ind w:firstLine="0" w:firstLineChars="0"/>
              <w:rPr>
                <w:rFonts w:ascii="宋体" w:hAnsi="宋体" w:cs="宋体"/>
                <w:kern w:val="0"/>
                <w:szCs w:val="21"/>
              </w:rPr>
            </w:pPr>
            <w:r>
              <w:rPr>
                <w:rFonts w:hint="eastAsia" w:ascii="宋体" w:hAnsi="宋体" w:cs="宋体"/>
                <w:kern w:val="0"/>
                <w:szCs w:val="21"/>
              </w:rPr>
              <w:t>51）音频输出: 1路音频输出；</w:t>
            </w:r>
          </w:p>
          <w:p>
            <w:pPr>
              <w:pStyle w:val="158"/>
              <w:widowControl/>
              <w:ind w:firstLine="0" w:firstLineChars="0"/>
              <w:rPr>
                <w:rFonts w:ascii="宋体" w:hAnsi="宋体" w:cs="宋体"/>
                <w:kern w:val="0"/>
                <w:szCs w:val="21"/>
              </w:rPr>
            </w:pPr>
            <w:r>
              <w:rPr>
                <w:rFonts w:hint="eastAsia" w:ascii="宋体" w:hAnsi="宋体" w:cs="宋体"/>
                <w:kern w:val="0"/>
                <w:szCs w:val="21"/>
              </w:rPr>
              <w:t>52）供电方式: DC：12 V；</w:t>
            </w:r>
          </w:p>
          <w:p>
            <w:pPr>
              <w:pStyle w:val="158"/>
              <w:widowControl/>
              <w:ind w:firstLine="0" w:firstLineChars="0"/>
              <w:rPr>
                <w:rFonts w:ascii="宋体" w:hAnsi="宋体" w:cs="宋体"/>
                <w:kern w:val="0"/>
                <w:szCs w:val="21"/>
              </w:rPr>
            </w:pPr>
            <w:r>
              <w:rPr>
                <w:rFonts w:hint="eastAsia" w:ascii="宋体" w:hAnsi="宋体" w:cs="宋体"/>
                <w:kern w:val="0"/>
                <w:szCs w:val="21"/>
              </w:rPr>
              <w:t>53）设备功耗: 最大功耗：60 W；</w:t>
            </w:r>
          </w:p>
          <w:p>
            <w:pPr>
              <w:pStyle w:val="158"/>
              <w:widowControl/>
              <w:ind w:firstLine="0" w:firstLineChars="0"/>
              <w:rPr>
                <w:rFonts w:ascii="宋体" w:hAnsi="宋体" w:cs="宋体"/>
                <w:kern w:val="0"/>
                <w:szCs w:val="21"/>
              </w:rPr>
            </w:pPr>
            <w:r>
              <w:rPr>
                <w:rFonts w:hint="eastAsia" w:ascii="宋体" w:hAnsi="宋体" w:cs="宋体"/>
                <w:kern w:val="0"/>
                <w:szCs w:val="21"/>
              </w:rPr>
              <w:t>54）工作温湿度: -30 ℃~65 ℃；湿度小于90% 。</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13.4.2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红外探测器</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1）室外三鉴探测器；（探测方式：被动红外;微波）；</w:t>
            </w:r>
          </w:p>
          <w:p>
            <w:pPr>
              <w:pStyle w:val="158"/>
              <w:widowControl/>
              <w:ind w:firstLine="0" w:firstLineChars="0"/>
              <w:rPr>
                <w:rFonts w:ascii="宋体" w:hAnsi="宋体" w:cs="宋体"/>
                <w:kern w:val="0"/>
                <w:szCs w:val="21"/>
              </w:rPr>
            </w:pPr>
            <w:r>
              <w:rPr>
                <w:rFonts w:hint="eastAsia" w:ascii="宋体" w:hAnsi="宋体" w:cs="宋体"/>
                <w:kern w:val="0"/>
                <w:szCs w:val="21"/>
              </w:rPr>
              <w:t>2）探测距离：15m；探测角度：90° @ 180°可调；测速范围：0.2～3m/s；</w:t>
            </w:r>
          </w:p>
          <w:p>
            <w:pPr>
              <w:pStyle w:val="158"/>
              <w:widowControl/>
              <w:ind w:firstLine="0" w:firstLineChars="0"/>
              <w:rPr>
                <w:rFonts w:ascii="宋体" w:hAnsi="宋体" w:cs="宋体"/>
                <w:kern w:val="0"/>
                <w:szCs w:val="21"/>
              </w:rPr>
            </w:pPr>
            <w:r>
              <w:rPr>
                <w:rFonts w:hint="eastAsia" w:ascii="宋体" w:hAnsi="宋体" w:cs="宋体"/>
                <w:kern w:val="0"/>
                <w:szCs w:val="21"/>
              </w:rPr>
              <w:t>3）防宠：40Kg；</w:t>
            </w:r>
          </w:p>
          <w:p>
            <w:pPr>
              <w:pStyle w:val="158"/>
              <w:widowControl/>
              <w:ind w:firstLine="0" w:firstLineChars="0"/>
              <w:rPr>
                <w:rFonts w:ascii="宋体" w:hAnsi="宋体" w:cs="宋体"/>
                <w:kern w:val="0"/>
                <w:szCs w:val="21"/>
              </w:rPr>
            </w:pPr>
            <w:r>
              <w:rPr>
                <w:rFonts w:hint="eastAsia" w:ascii="宋体" w:hAnsi="宋体" w:cs="宋体"/>
                <w:kern w:val="0"/>
                <w:szCs w:val="21"/>
              </w:rPr>
              <w:t>4）微波频段：24GHz(24.15～24.25GHz)；</w:t>
            </w:r>
          </w:p>
          <w:p>
            <w:pPr>
              <w:pStyle w:val="158"/>
              <w:widowControl/>
              <w:ind w:firstLine="0" w:firstLineChars="0"/>
              <w:rPr>
                <w:rFonts w:ascii="宋体" w:hAnsi="宋体" w:cs="宋体"/>
                <w:kern w:val="0"/>
                <w:szCs w:val="21"/>
              </w:rPr>
            </w:pPr>
            <w:r>
              <w:rPr>
                <w:rFonts w:hint="eastAsia" w:ascii="宋体" w:hAnsi="宋体" w:cs="宋体"/>
                <w:kern w:val="0"/>
                <w:szCs w:val="21"/>
              </w:rPr>
              <w:t>5）灵敏度可选，并支持自动灵敏度切换；</w:t>
            </w:r>
          </w:p>
          <w:p>
            <w:pPr>
              <w:pStyle w:val="158"/>
              <w:widowControl/>
              <w:ind w:firstLine="0" w:firstLineChars="0"/>
              <w:rPr>
                <w:rFonts w:ascii="宋体" w:hAnsi="宋体" w:cs="宋体"/>
                <w:kern w:val="0"/>
                <w:szCs w:val="21"/>
              </w:rPr>
            </w:pPr>
            <w:r>
              <w:rPr>
                <w:rFonts w:hint="eastAsia" w:ascii="宋体" w:hAnsi="宋体" w:cs="宋体"/>
                <w:kern w:val="0"/>
                <w:szCs w:val="21"/>
              </w:rPr>
              <w:t>6）主动红外防遮挡保护；</w:t>
            </w:r>
          </w:p>
          <w:p>
            <w:pPr>
              <w:pStyle w:val="158"/>
              <w:widowControl/>
              <w:ind w:firstLine="0" w:firstLineChars="0"/>
              <w:rPr>
                <w:rFonts w:ascii="宋体" w:hAnsi="宋体" w:cs="宋体"/>
                <w:kern w:val="0"/>
                <w:szCs w:val="21"/>
              </w:rPr>
            </w:pPr>
            <w:r>
              <w:rPr>
                <w:rFonts w:hint="eastAsia" w:ascii="宋体" w:hAnsi="宋体" w:cs="宋体"/>
                <w:kern w:val="0"/>
                <w:szCs w:val="21"/>
              </w:rPr>
              <w:t>7）防护等级IP65；</w:t>
            </w:r>
          </w:p>
          <w:p>
            <w:pPr>
              <w:pStyle w:val="158"/>
              <w:widowControl/>
              <w:ind w:firstLine="0" w:firstLineChars="0"/>
              <w:rPr>
                <w:rFonts w:ascii="宋体" w:hAnsi="宋体" w:cs="宋体"/>
                <w:kern w:val="0"/>
                <w:szCs w:val="21"/>
              </w:rPr>
            </w:pPr>
            <w:r>
              <w:rPr>
                <w:rFonts w:hint="eastAsia" w:ascii="宋体" w:hAnsi="宋体" w:cs="宋体"/>
                <w:kern w:val="0"/>
                <w:szCs w:val="21"/>
              </w:rPr>
              <w:t>8）抗环境光：10000lux；</w:t>
            </w:r>
          </w:p>
          <w:p>
            <w:pPr>
              <w:pStyle w:val="158"/>
              <w:widowControl/>
              <w:ind w:firstLine="0" w:firstLineChars="0"/>
              <w:rPr>
                <w:rFonts w:ascii="宋体" w:hAnsi="宋体" w:cs="宋体"/>
                <w:kern w:val="0"/>
                <w:szCs w:val="21"/>
              </w:rPr>
            </w:pPr>
            <w:r>
              <w:rPr>
                <w:rFonts w:hint="eastAsia" w:ascii="宋体" w:hAnsi="宋体" w:cs="宋体"/>
                <w:kern w:val="0"/>
                <w:szCs w:val="21"/>
              </w:rPr>
              <w:t>9）灵敏度：自动，低；</w:t>
            </w:r>
          </w:p>
          <w:p>
            <w:pPr>
              <w:pStyle w:val="158"/>
              <w:widowControl/>
              <w:ind w:firstLine="0" w:firstLineChars="0"/>
              <w:rPr>
                <w:rFonts w:ascii="宋体" w:hAnsi="宋体" w:cs="宋体"/>
                <w:kern w:val="0"/>
                <w:szCs w:val="21"/>
              </w:rPr>
            </w:pPr>
            <w:r>
              <w:rPr>
                <w:rFonts w:hint="eastAsia" w:ascii="宋体" w:hAnsi="宋体" w:cs="宋体"/>
                <w:kern w:val="0"/>
                <w:szCs w:val="21"/>
              </w:rPr>
              <w:t>10）透镜扇区：92；</w:t>
            </w:r>
          </w:p>
          <w:p>
            <w:pPr>
              <w:pStyle w:val="158"/>
              <w:widowControl/>
              <w:ind w:firstLine="0" w:firstLineChars="0"/>
              <w:rPr>
                <w:rFonts w:ascii="宋体" w:hAnsi="宋体" w:cs="宋体"/>
                <w:kern w:val="0"/>
                <w:szCs w:val="21"/>
              </w:rPr>
            </w:pPr>
            <w:r>
              <w:rPr>
                <w:rFonts w:hint="eastAsia" w:ascii="宋体" w:hAnsi="宋体" w:cs="宋体"/>
                <w:kern w:val="0"/>
                <w:szCs w:val="21"/>
              </w:rPr>
              <w:t>11）数字温度补偿：支持；</w:t>
            </w:r>
          </w:p>
          <w:p>
            <w:pPr>
              <w:pStyle w:val="158"/>
              <w:widowControl/>
              <w:ind w:firstLine="0" w:firstLineChars="0"/>
              <w:rPr>
                <w:rFonts w:ascii="宋体" w:hAnsi="宋体" w:cs="宋体"/>
                <w:kern w:val="0"/>
                <w:szCs w:val="21"/>
              </w:rPr>
            </w:pPr>
            <w:r>
              <w:rPr>
                <w:rFonts w:hint="eastAsia" w:ascii="宋体" w:hAnsi="宋体" w:cs="宋体"/>
                <w:kern w:val="0"/>
                <w:szCs w:val="21"/>
              </w:rPr>
              <w:t>12）防遮挡探测：支持；</w:t>
            </w:r>
          </w:p>
          <w:p>
            <w:pPr>
              <w:pStyle w:val="158"/>
              <w:widowControl/>
              <w:ind w:firstLine="0" w:firstLineChars="0"/>
              <w:rPr>
                <w:rFonts w:ascii="宋体" w:hAnsi="宋体" w:cs="宋体"/>
                <w:kern w:val="0"/>
                <w:szCs w:val="21"/>
              </w:rPr>
            </w:pPr>
            <w:r>
              <w:rPr>
                <w:rFonts w:hint="eastAsia" w:ascii="宋体" w:hAnsi="宋体" w:cs="宋体"/>
                <w:kern w:val="0"/>
                <w:szCs w:val="21"/>
              </w:rPr>
              <w:t>13）光学密封：支持；</w:t>
            </w:r>
          </w:p>
          <w:p>
            <w:pPr>
              <w:pStyle w:val="158"/>
              <w:widowControl/>
              <w:ind w:firstLine="0" w:firstLineChars="0"/>
              <w:rPr>
                <w:rFonts w:ascii="宋体" w:hAnsi="宋体" w:cs="宋体"/>
                <w:kern w:val="0"/>
                <w:szCs w:val="21"/>
              </w:rPr>
            </w:pPr>
            <w:r>
              <w:rPr>
                <w:rFonts w:hint="eastAsia" w:ascii="宋体" w:hAnsi="宋体" w:cs="宋体"/>
                <w:kern w:val="0"/>
                <w:szCs w:val="21"/>
              </w:rPr>
              <w:t>14）智能算法：三技术复核；</w:t>
            </w:r>
          </w:p>
          <w:p>
            <w:pPr>
              <w:pStyle w:val="158"/>
              <w:widowControl/>
              <w:ind w:firstLine="0" w:firstLineChars="0"/>
              <w:rPr>
                <w:rFonts w:ascii="宋体" w:hAnsi="宋体" w:cs="宋体"/>
                <w:kern w:val="0"/>
                <w:szCs w:val="21"/>
              </w:rPr>
            </w:pPr>
            <w:r>
              <w:rPr>
                <w:rFonts w:hint="eastAsia" w:ascii="宋体" w:hAnsi="宋体" w:cs="宋体"/>
                <w:kern w:val="0"/>
                <w:szCs w:val="21"/>
              </w:rPr>
              <w:t>15）防拆保护：开盖;墙拆；</w:t>
            </w:r>
          </w:p>
          <w:p>
            <w:pPr>
              <w:pStyle w:val="158"/>
              <w:widowControl/>
              <w:ind w:firstLine="0" w:firstLineChars="0"/>
              <w:rPr>
                <w:rFonts w:ascii="宋体" w:hAnsi="宋体" w:cs="宋体"/>
                <w:kern w:val="0"/>
                <w:szCs w:val="21"/>
              </w:rPr>
            </w:pPr>
            <w:r>
              <w:rPr>
                <w:rFonts w:hint="eastAsia" w:ascii="宋体" w:hAnsi="宋体" w:cs="宋体"/>
                <w:kern w:val="0"/>
                <w:szCs w:val="21"/>
              </w:rPr>
              <w:t>16）报警输出：常闭;常开；</w:t>
            </w:r>
          </w:p>
          <w:p>
            <w:pPr>
              <w:pStyle w:val="158"/>
              <w:widowControl/>
              <w:ind w:firstLine="0" w:firstLineChars="0"/>
              <w:rPr>
                <w:rFonts w:ascii="宋体" w:hAnsi="宋体" w:cs="宋体"/>
                <w:kern w:val="0"/>
                <w:szCs w:val="21"/>
              </w:rPr>
            </w:pPr>
            <w:r>
              <w:rPr>
                <w:rFonts w:hint="eastAsia" w:ascii="宋体" w:hAnsi="宋体" w:cs="宋体"/>
                <w:kern w:val="0"/>
                <w:szCs w:val="21"/>
              </w:rPr>
              <w:t>17）标称电流：30mA （标准）；220mA Max（照明功能开启）；</w:t>
            </w:r>
          </w:p>
          <w:p>
            <w:pPr>
              <w:pStyle w:val="158"/>
              <w:widowControl/>
              <w:ind w:firstLine="0" w:firstLineChars="0"/>
              <w:rPr>
                <w:rFonts w:ascii="宋体" w:hAnsi="宋体" w:cs="宋体"/>
                <w:kern w:val="0"/>
                <w:szCs w:val="21"/>
              </w:rPr>
            </w:pPr>
            <w:r>
              <w:rPr>
                <w:rFonts w:hint="eastAsia" w:ascii="宋体" w:hAnsi="宋体" w:cs="宋体"/>
                <w:kern w:val="0"/>
                <w:szCs w:val="21"/>
              </w:rPr>
              <w:t>18）设备供电：9 to 16 VDC ；标称电压： 12 VDC；</w:t>
            </w:r>
          </w:p>
          <w:p>
            <w:pPr>
              <w:pStyle w:val="158"/>
              <w:widowControl/>
              <w:ind w:firstLine="0" w:firstLineChars="0"/>
              <w:rPr>
                <w:rFonts w:ascii="宋体" w:hAnsi="宋体" w:cs="宋体"/>
                <w:kern w:val="0"/>
                <w:szCs w:val="21"/>
              </w:rPr>
            </w:pPr>
            <w:r>
              <w:rPr>
                <w:rFonts w:hint="eastAsia" w:ascii="宋体" w:hAnsi="宋体" w:cs="宋体"/>
                <w:kern w:val="0"/>
                <w:szCs w:val="21"/>
              </w:rPr>
              <w:t>19）安装高度：0.8 to 1.2m；</w:t>
            </w:r>
          </w:p>
          <w:p>
            <w:pPr>
              <w:pStyle w:val="158"/>
              <w:widowControl/>
              <w:ind w:firstLine="0" w:firstLineChars="0"/>
              <w:rPr>
                <w:rFonts w:ascii="宋体" w:hAnsi="宋体" w:cs="宋体"/>
                <w:kern w:val="0"/>
                <w:szCs w:val="21"/>
              </w:rPr>
            </w:pPr>
            <w:r>
              <w:rPr>
                <w:rFonts w:hint="eastAsia" w:ascii="宋体" w:hAnsi="宋体" w:cs="宋体"/>
                <w:kern w:val="0"/>
                <w:szCs w:val="21"/>
              </w:rPr>
              <w:t>20）工作温度：-25 °C to 60 °C；</w:t>
            </w:r>
          </w:p>
          <w:p>
            <w:pPr>
              <w:pStyle w:val="158"/>
              <w:widowControl/>
              <w:ind w:firstLine="0" w:firstLineChars="0"/>
              <w:rPr>
                <w:rFonts w:ascii="宋体" w:hAnsi="宋体" w:cs="宋体"/>
                <w:kern w:val="0"/>
                <w:szCs w:val="21"/>
              </w:rPr>
            </w:pPr>
            <w:r>
              <w:rPr>
                <w:rFonts w:hint="eastAsia" w:ascii="宋体" w:hAnsi="宋体" w:cs="宋体"/>
                <w:kern w:val="0"/>
                <w:szCs w:val="21"/>
              </w:rPr>
              <w:t>21）储存温度：-25 °C to 60 °C；</w:t>
            </w:r>
          </w:p>
          <w:p>
            <w:pPr>
              <w:pStyle w:val="158"/>
              <w:widowControl/>
              <w:ind w:firstLine="0" w:firstLineChars="0"/>
              <w:rPr>
                <w:rFonts w:ascii="宋体" w:hAnsi="宋体" w:cs="宋体"/>
                <w:kern w:val="0"/>
                <w:szCs w:val="21"/>
              </w:rPr>
            </w:pPr>
            <w:r>
              <w:rPr>
                <w:rFonts w:hint="eastAsia" w:ascii="宋体" w:hAnsi="宋体" w:cs="宋体"/>
                <w:kern w:val="0"/>
                <w:szCs w:val="21"/>
              </w:rPr>
              <w:t>22）工作湿度：10% to 90%；</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13.4.3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无线通信模块</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1）网络接口类型：2个RJ45 ,10/100 Mbps自适应；</w:t>
            </w:r>
          </w:p>
          <w:p>
            <w:pPr>
              <w:pStyle w:val="158"/>
              <w:widowControl/>
              <w:ind w:firstLine="0" w:firstLineChars="0"/>
              <w:rPr>
                <w:rFonts w:ascii="宋体" w:hAnsi="宋体" w:cs="宋体"/>
                <w:kern w:val="0"/>
                <w:szCs w:val="21"/>
              </w:rPr>
            </w:pPr>
            <w:r>
              <w:rPr>
                <w:rFonts w:hint="eastAsia" w:ascii="宋体" w:hAnsi="宋体" w:cs="宋体"/>
                <w:kern w:val="0"/>
                <w:szCs w:val="21"/>
              </w:rPr>
              <w:t>2）带机量：4路2M码流；</w:t>
            </w:r>
          </w:p>
          <w:p>
            <w:pPr>
              <w:pStyle w:val="158"/>
              <w:widowControl/>
              <w:ind w:firstLine="0" w:firstLineChars="0"/>
              <w:rPr>
                <w:rFonts w:ascii="宋体" w:hAnsi="宋体" w:cs="宋体"/>
                <w:kern w:val="0"/>
                <w:szCs w:val="21"/>
              </w:rPr>
            </w:pPr>
            <w:r>
              <w:rPr>
                <w:rFonts w:hint="eastAsia" w:ascii="宋体" w:hAnsi="宋体" w:cs="宋体"/>
                <w:kern w:val="0"/>
                <w:szCs w:val="21"/>
              </w:rPr>
              <w:t>3）无线传输距离：1KM；</w:t>
            </w:r>
          </w:p>
          <w:p>
            <w:pPr>
              <w:pStyle w:val="158"/>
              <w:widowControl/>
              <w:ind w:firstLine="0" w:firstLineChars="0"/>
              <w:rPr>
                <w:rFonts w:ascii="宋体" w:hAnsi="宋体" w:cs="宋体"/>
                <w:kern w:val="0"/>
                <w:szCs w:val="21"/>
              </w:rPr>
            </w:pPr>
            <w:r>
              <w:rPr>
                <w:rFonts w:hint="eastAsia" w:ascii="宋体" w:hAnsi="宋体" w:cs="宋体"/>
                <w:kern w:val="0"/>
                <w:szCs w:val="21"/>
              </w:rPr>
              <w:t>4）组网方式：点对点；</w:t>
            </w:r>
          </w:p>
          <w:p>
            <w:pPr>
              <w:pStyle w:val="158"/>
              <w:widowControl/>
              <w:ind w:firstLine="0" w:firstLineChars="0"/>
              <w:rPr>
                <w:rFonts w:ascii="宋体" w:hAnsi="宋体" w:cs="宋体"/>
                <w:kern w:val="0"/>
                <w:szCs w:val="21"/>
              </w:rPr>
            </w:pPr>
            <w:r>
              <w:rPr>
                <w:rFonts w:hint="eastAsia" w:ascii="宋体" w:hAnsi="宋体" w:cs="宋体"/>
                <w:kern w:val="0"/>
                <w:szCs w:val="21"/>
              </w:rPr>
              <w:t>5）配对方式：成对配置；</w:t>
            </w:r>
          </w:p>
          <w:p>
            <w:pPr>
              <w:pStyle w:val="158"/>
              <w:widowControl/>
              <w:ind w:firstLine="0" w:firstLineChars="0"/>
              <w:rPr>
                <w:rFonts w:ascii="宋体" w:hAnsi="宋体" w:cs="宋体"/>
                <w:kern w:val="0"/>
                <w:szCs w:val="21"/>
              </w:rPr>
            </w:pPr>
            <w:r>
              <w:rPr>
                <w:rFonts w:hint="eastAsia" w:ascii="宋体" w:hAnsi="宋体" w:cs="宋体"/>
                <w:kern w:val="0"/>
                <w:szCs w:val="21"/>
              </w:rPr>
              <w:t xml:space="preserve">6）安装方式：抱杆或壁挂； </w:t>
            </w:r>
          </w:p>
          <w:p>
            <w:pPr>
              <w:pStyle w:val="158"/>
              <w:widowControl/>
              <w:ind w:firstLine="0" w:firstLineChars="0"/>
              <w:rPr>
                <w:rFonts w:ascii="宋体" w:hAnsi="宋体" w:cs="宋体"/>
                <w:kern w:val="0"/>
                <w:szCs w:val="21"/>
              </w:rPr>
            </w:pPr>
            <w:r>
              <w:rPr>
                <w:rFonts w:hint="eastAsia" w:ascii="宋体" w:hAnsi="宋体" w:cs="宋体"/>
                <w:kern w:val="0"/>
                <w:szCs w:val="21"/>
              </w:rPr>
              <w:t>7）无线标准：IEEE 802.11b/g/n；</w:t>
            </w:r>
          </w:p>
          <w:p>
            <w:pPr>
              <w:pStyle w:val="158"/>
              <w:widowControl/>
              <w:ind w:firstLine="0" w:firstLineChars="0"/>
              <w:rPr>
                <w:rFonts w:ascii="宋体" w:hAnsi="宋体" w:cs="宋体"/>
                <w:kern w:val="0"/>
                <w:szCs w:val="21"/>
              </w:rPr>
            </w:pPr>
            <w:r>
              <w:rPr>
                <w:rFonts w:hint="eastAsia" w:ascii="宋体" w:hAnsi="宋体" w:cs="宋体"/>
                <w:kern w:val="0"/>
                <w:szCs w:val="21"/>
              </w:rPr>
              <w:t>8）工作温度：-30°C~60°C；</w:t>
            </w:r>
          </w:p>
          <w:p>
            <w:pPr>
              <w:pStyle w:val="158"/>
              <w:widowControl/>
              <w:ind w:firstLine="0" w:firstLineChars="0"/>
              <w:rPr>
                <w:rFonts w:ascii="宋体" w:hAnsi="宋体" w:cs="宋体"/>
                <w:kern w:val="0"/>
                <w:szCs w:val="21"/>
              </w:rPr>
            </w:pPr>
            <w:r>
              <w:rPr>
                <w:rFonts w:hint="eastAsia" w:ascii="宋体" w:hAnsi="宋体" w:cs="宋体"/>
                <w:kern w:val="0"/>
                <w:szCs w:val="21"/>
              </w:rPr>
              <w:t>9）供电方式：DC 12V 1A 被动POE。</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13.4.4</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硬盘录像机</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1）2U标准机架式，9盘位录像机，ATX电源，4T硬盘；</w:t>
            </w:r>
          </w:p>
          <w:p>
            <w:pPr>
              <w:pStyle w:val="158"/>
              <w:widowControl/>
              <w:ind w:firstLine="0" w:firstLineChars="0"/>
              <w:rPr>
                <w:rFonts w:ascii="宋体" w:hAnsi="宋体" w:cs="宋体"/>
                <w:kern w:val="0"/>
                <w:szCs w:val="21"/>
              </w:rPr>
            </w:pPr>
            <w:r>
              <w:rPr>
                <w:rFonts w:hint="eastAsia" w:ascii="宋体" w:hAnsi="宋体" w:cs="宋体"/>
                <w:kern w:val="0"/>
                <w:szCs w:val="21"/>
              </w:rPr>
              <w:t>2）2个HDMI接口，2个VGA接口,可支持8K+1080P 或 双4K输出；</w:t>
            </w:r>
          </w:p>
          <w:p>
            <w:pPr>
              <w:pStyle w:val="158"/>
              <w:widowControl/>
              <w:ind w:firstLine="0" w:firstLineChars="0"/>
              <w:rPr>
                <w:rFonts w:ascii="宋体" w:hAnsi="宋体" w:cs="宋体"/>
                <w:kern w:val="0"/>
                <w:szCs w:val="21"/>
              </w:rPr>
            </w:pPr>
            <w:r>
              <w:rPr>
                <w:rFonts w:hint="eastAsia" w:ascii="宋体" w:hAnsi="宋体" w:cs="宋体"/>
                <w:kern w:val="0"/>
                <w:szCs w:val="21"/>
              </w:rPr>
              <w:t>3）1个RJ45 10M/100M/1000Mbps 网口＋8个POE电口；</w:t>
            </w:r>
          </w:p>
          <w:p>
            <w:pPr>
              <w:pStyle w:val="158"/>
              <w:widowControl/>
              <w:ind w:firstLine="0" w:firstLineChars="0"/>
              <w:rPr>
                <w:rFonts w:ascii="宋体" w:hAnsi="宋体" w:cs="宋体"/>
                <w:kern w:val="0"/>
                <w:szCs w:val="21"/>
              </w:rPr>
            </w:pPr>
            <w:r>
              <w:rPr>
                <w:rFonts w:hint="eastAsia" w:ascii="宋体" w:hAnsi="宋体" w:cs="宋体"/>
                <w:kern w:val="0"/>
                <w:szCs w:val="21"/>
              </w:rPr>
              <w:t>4）2个USB2.0接口、2个USB3.0接口；</w:t>
            </w:r>
          </w:p>
          <w:p>
            <w:pPr>
              <w:pStyle w:val="158"/>
              <w:widowControl/>
              <w:ind w:firstLine="0" w:firstLineChars="0"/>
              <w:rPr>
                <w:rFonts w:ascii="宋体" w:hAnsi="宋体" w:cs="宋体"/>
                <w:kern w:val="0"/>
                <w:szCs w:val="21"/>
              </w:rPr>
            </w:pPr>
            <w:r>
              <w:rPr>
                <w:rFonts w:hint="eastAsia" w:ascii="宋体" w:hAnsi="宋体" w:cs="宋体"/>
                <w:kern w:val="0"/>
                <w:szCs w:val="21"/>
              </w:rPr>
              <w:t>5）1个eSATA接口；</w:t>
            </w:r>
          </w:p>
          <w:p>
            <w:pPr>
              <w:pStyle w:val="158"/>
              <w:widowControl/>
              <w:ind w:firstLine="0" w:firstLineChars="0"/>
              <w:rPr>
                <w:rFonts w:ascii="宋体" w:hAnsi="宋体" w:cs="宋体"/>
                <w:kern w:val="0"/>
                <w:szCs w:val="21"/>
              </w:rPr>
            </w:pPr>
            <w:r>
              <w:rPr>
                <w:rFonts w:hint="eastAsia" w:ascii="宋体" w:hAnsi="宋体" w:cs="宋体"/>
                <w:kern w:val="0"/>
                <w:szCs w:val="21"/>
              </w:rPr>
              <w:t>6）支持RAID0、RAID1、RAID5、RAID6、RAID10，支持全局热备盘；</w:t>
            </w:r>
          </w:p>
          <w:p>
            <w:pPr>
              <w:pStyle w:val="158"/>
              <w:widowControl/>
              <w:ind w:firstLine="0" w:firstLineChars="0"/>
              <w:rPr>
                <w:rFonts w:ascii="宋体" w:hAnsi="宋体" w:cs="宋体"/>
                <w:kern w:val="0"/>
                <w:szCs w:val="21"/>
              </w:rPr>
            </w:pPr>
            <w:r>
              <w:rPr>
                <w:rFonts w:hint="eastAsia" w:ascii="宋体" w:hAnsi="宋体" w:cs="宋体"/>
                <w:kern w:val="0"/>
                <w:szCs w:val="21"/>
              </w:rPr>
              <w:t>7）报警IO接口：16路报警输入， 4路报警输出 ；</w:t>
            </w:r>
          </w:p>
          <w:p>
            <w:pPr>
              <w:pStyle w:val="158"/>
              <w:widowControl/>
              <w:ind w:firstLine="0" w:firstLineChars="0"/>
              <w:rPr>
                <w:rFonts w:ascii="宋体" w:hAnsi="宋体" w:cs="宋体"/>
                <w:kern w:val="0"/>
                <w:szCs w:val="21"/>
              </w:rPr>
            </w:pPr>
            <w:r>
              <w:rPr>
                <w:rFonts w:hint="eastAsia" w:ascii="宋体" w:hAnsi="宋体" w:cs="宋体"/>
                <w:kern w:val="0"/>
                <w:szCs w:val="21"/>
              </w:rPr>
              <w:t>8）串行接口：1路全双工485接口，1路标准RS-232接口；</w:t>
            </w:r>
          </w:p>
          <w:p>
            <w:pPr>
              <w:pStyle w:val="158"/>
              <w:widowControl/>
              <w:ind w:firstLine="0" w:firstLineChars="0"/>
              <w:rPr>
                <w:rFonts w:ascii="宋体" w:hAnsi="宋体" w:cs="宋体"/>
                <w:kern w:val="0"/>
                <w:szCs w:val="21"/>
              </w:rPr>
            </w:pPr>
            <w:r>
              <w:rPr>
                <w:rFonts w:hint="eastAsia" w:ascii="宋体" w:hAnsi="宋体" w:cs="宋体"/>
                <w:kern w:val="0"/>
                <w:szCs w:val="21"/>
              </w:rPr>
              <w:t>9）输入带宽：128Mbps；</w:t>
            </w:r>
          </w:p>
          <w:p>
            <w:pPr>
              <w:pStyle w:val="158"/>
              <w:widowControl/>
              <w:ind w:firstLine="0" w:firstLineChars="0"/>
              <w:rPr>
                <w:rFonts w:ascii="宋体" w:hAnsi="宋体" w:cs="宋体"/>
                <w:kern w:val="0"/>
                <w:szCs w:val="21"/>
              </w:rPr>
            </w:pPr>
            <w:r>
              <w:rPr>
                <w:rFonts w:hint="eastAsia" w:ascii="宋体" w:hAnsi="宋体" w:cs="宋体"/>
                <w:kern w:val="0"/>
                <w:szCs w:val="21"/>
              </w:rPr>
              <w:t>10）输出带宽：256Mbps；</w:t>
            </w:r>
          </w:p>
          <w:p>
            <w:pPr>
              <w:pStyle w:val="158"/>
              <w:widowControl/>
              <w:ind w:firstLine="0" w:firstLineChars="0"/>
              <w:rPr>
                <w:rFonts w:ascii="宋体" w:hAnsi="宋体" w:cs="宋体"/>
                <w:kern w:val="0"/>
                <w:szCs w:val="21"/>
              </w:rPr>
            </w:pPr>
            <w:r>
              <w:rPr>
                <w:rFonts w:hint="eastAsia" w:ascii="宋体" w:hAnsi="宋体" w:cs="宋体"/>
                <w:kern w:val="0"/>
                <w:szCs w:val="21"/>
              </w:rPr>
              <w:t>11）接入能力：8路H.264、H.265格式高清码流接入；</w:t>
            </w:r>
          </w:p>
          <w:p>
            <w:pPr>
              <w:pStyle w:val="158"/>
              <w:widowControl/>
              <w:ind w:firstLine="0" w:firstLineChars="0"/>
              <w:rPr>
                <w:rFonts w:ascii="宋体" w:hAnsi="宋体" w:cs="宋体"/>
                <w:kern w:val="0"/>
                <w:szCs w:val="21"/>
              </w:rPr>
            </w:pPr>
            <w:r>
              <w:rPr>
                <w:rFonts w:hint="eastAsia" w:ascii="宋体" w:hAnsi="宋体" w:cs="宋体"/>
                <w:kern w:val="0"/>
                <w:szCs w:val="21"/>
              </w:rPr>
              <w:t>12）解码能力：最大支持24×1080P解码；</w:t>
            </w:r>
          </w:p>
          <w:p>
            <w:pPr>
              <w:pStyle w:val="158"/>
              <w:widowControl/>
              <w:ind w:firstLine="0" w:firstLineChars="0"/>
              <w:rPr>
                <w:rFonts w:ascii="宋体" w:hAnsi="宋体" w:cs="宋体"/>
                <w:kern w:val="0"/>
                <w:szCs w:val="21"/>
              </w:rPr>
            </w:pPr>
            <w:r>
              <w:rPr>
                <w:rFonts w:hint="eastAsia" w:ascii="宋体" w:hAnsi="宋体" w:cs="宋体"/>
                <w:kern w:val="0"/>
                <w:szCs w:val="21"/>
              </w:rPr>
              <w:t>13）平台对接协议：ISUP/GB28181/SDK。</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13.4.5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配套设施</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1）材料：采用低碳高强度Q235钢材，热镀锌喷塑；</w:t>
            </w:r>
          </w:p>
          <w:p>
            <w:pPr>
              <w:pStyle w:val="158"/>
              <w:widowControl/>
              <w:ind w:firstLine="0" w:firstLineChars="0"/>
              <w:rPr>
                <w:rFonts w:ascii="宋体" w:hAnsi="宋体" w:cs="宋体"/>
                <w:kern w:val="0"/>
                <w:szCs w:val="21"/>
              </w:rPr>
            </w:pPr>
            <w:r>
              <w:rPr>
                <w:rFonts w:hint="eastAsia" w:ascii="宋体" w:hAnsi="宋体" w:cs="宋体"/>
                <w:kern w:val="0"/>
                <w:szCs w:val="21"/>
              </w:rPr>
              <w:t>2）立杆：主杆直径200mm，壁厚5mm，高度6m；</w:t>
            </w:r>
          </w:p>
          <w:p>
            <w:pPr>
              <w:pStyle w:val="158"/>
              <w:widowControl/>
              <w:ind w:firstLine="0" w:firstLineChars="0"/>
              <w:rPr>
                <w:rFonts w:ascii="宋体" w:hAnsi="宋体" w:cs="宋体"/>
                <w:kern w:val="0"/>
                <w:szCs w:val="21"/>
              </w:rPr>
            </w:pPr>
            <w:r>
              <w:rPr>
                <w:rFonts w:hint="eastAsia" w:ascii="宋体" w:hAnsi="宋体" w:cs="宋体"/>
                <w:kern w:val="0"/>
                <w:szCs w:val="21"/>
              </w:rPr>
              <w:t>3）球机支架：直径50mm，配套球机专用接头；</w:t>
            </w:r>
          </w:p>
          <w:p>
            <w:pPr>
              <w:pStyle w:val="158"/>
              <w:widowControl/>
              <w:ind w:firstLine="0" w:firstLineChars="0"/>
              <w:rPr>
                <w:rFonts w:ascii="宋体" w:hAnsi="宋体" w:cs="宋体"/>
                <w:kern w:val="0"/>
                <w:szCs w:val="21"/>
              </w:rPr>
            </w:pPr>
            <w:r>
              <w:rPr>
                <w:rFonts w:hint="eastAsia" w:ascii="宋体" w:hAnsi="宋体" w:cs="宋体"/>
                <w:kern w:val="0"/>
                <w:szCs w:val="21"/>
              </w:rPr>
              <w:t>4）C25砼基础（含地笼），尺寸：800mm*800mm*1000mm；</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13.4.6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线缆及辅材</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1）RVVP4×0.5的485通信电缆100米，含防水接头；</w:t>
            </w:r>
          </w:p>
          <w:p>
            <w:pPr>
              <w:pStyle w:val="158"/>
              <w:widowControl/>
              <w:ind w:firstLine="0" w:firstLineChars="0"/>
              <w:rPr>
                <w:rFonts w:ascii="宋体" w:hAnsi="宋体" w:cs="宋体"/>
                <w:kern w:val="0"/>
                <w:szCs w:val="21"/>
              </w:rPr>
            </w:pPr>
            <w:r>
              <w:rPr>
                <w:rFonts w:hint="eastAsia" w:ascii="宋体" w:hAnsi="宋体" w:cs="宋体"/>
                <w:kern w:val="0"/>
                <w:szCs w:val="21"/>
              </w:rPr>
              <w:t>2）太阳能供电电缆直径6mm，100米，含防水接头；</w:t>
            </w:r>
          </w:p>
          <w:p>
            <w:pPr>
              <w:pStyle w:val="158"/>
              <w:widowControl/>
              <w:ind w:firstLine="0" w:firstLineChars="0"/>
              <w:rPr>
                <w:rFonts w:ascii="宋体" w:hAnsi="宋体" w:cs="宋体"/>
                <w:kern w:val="0"/>
                <w:szCs w:val="21"/>
              </w:rPr>
            </w:pPr>
            <w:r>
              <w:rPr>
                <w:rFonts w:hint="eastAsia" w:ascii="宋体" w:hAnsi="宋体" w:cs="宋体"/>
                <w:kern w:val="0"/>
                <w:szCs w:val="21"/>
              </w:rPr>
              <w:t>3）视频专用网线100米；</w:t>
            </w:r>
          </w:p>
          <w:p>
            <w:pPr>
              <w:pStyle w:val="158"/>
              <w:widowControl/>
              <w:ind w:firstLine="0" w:firstLineChars="0"/>
              <w:rPr>
                <w:rFonts w:ascii="宋体" w:hAnsi="宋体" w:cs="宋体"/>
                <w:kern w:val="0"/>
                <w:szCs w:val="21"/>
              </w:rPr>
            </w:pPr>
            <w:r>
              <w:rPr>
                <w:rFonts w:hint="eastAsia" w:ascii="宋体" w:hAnsi="宋体" w:cs="宋体"/>
                <w:kern w:val="0"/>
                <w:szCs w:val="21"/>
              </w:rPr>
              <w:t>4）包括专业焊接、密封、防水处理以及镀锌穿线管，直径32mm，线管长度200米。</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13.4.7</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太阳能供电系统</w:t>
            </w:r>
          </w:p>
        </w:tc>
        <w:tc>
          <w:tcPr>
            <w:tcW w:w="1993" w:type="pct"/>
          </w:tcPr>
          <w:p>
            <w:pPr>
              <w:widowControl/>
              <w:rPr>
                <w:rFonts w:ascii="宋体" w:hAnsi="宋体" w:cs="宋体"/>
                <w:kern w:val="0"/>
                <w:szCs w:val="21"/>
              </w:rPr>
            </w:pPr>
            <w:r>
              <w:rPr>
                <w:rFonts w:hint="eastAsia" w:ascii="宋体" w:hAnsi="宋体" w:cs="宋体"/>
                <w:kern w:val="0"/>
                <w:szCs w:val="21"/>
              </w:rPr>
              <w:t>含12V/100AH蓄电池、18V/60W太阳能板，充电控制器充电电流不小于10A</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13.4.8</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安装调试</w:t>
            </w:r>
          </w:p>
        </w:tc>
        <w:tc>
          <w:tcPr>
            <w:tcW w:w="1993" w:type="pct"/>
          </w:tcPr>
          <w:p>
            <w:pPr>
              <w:widowControl/>
              <w:rPr>
                <w:rFonts w:ascii="宋体" w:hAnsi="宋体" w:cs="宋体"/>
                <w:kern w:val="0"/>
                <w:szCs w:val="21"/>
              </w:rPr>
            </w:pPr>
            <w:r>
              <w:rPr>
                <w:rFonts w:hint="eastAsia" w:ascii="宋体" w:hAnsi="宋体" w:cs="宋体"/>
                <w:kern w:val="0"/>
                <w:szCs w:val="21"/>
              </w:rPr>
              <w:t>上述所有视频监控安装调试</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水情情报能力提升</w:t>
            </w:r>
          </w:p>
        </w:tc>
        <w:tc>
          <w:tcPr>
            <w:tcW w:w="1993" w:type="pct"/>
          </w:tcPr>
          <w:p>
            <w:pPr>
              <w:pStyle w:val="183"/>
              <w:spacing w:line="240" w:lineRule="auto"/>
              <w:ind w:firstLine="420"/>
              <w:rPr>
                <w:rFonts w:hAnsi="宋体" w:cs="宋体"/>
                <w:sz w:val="21"/>
                <w:szCs w:val="21"/>
                <w:lang w:eastAsia="zh-Hans"/>
              </w:rPr>
            </w:pPr>
            <w:r>
              <w:rPr>
                <w:rFonts w:hint="eastAsia" w:hAnsi="宋体" w:cs="宋体"/>
                <w:sz w:val="21"/>
                <w:szCs w:val="21"/>
                <w:lang w:eastAsia="zh-Hans"/>
              </w:rPr>
              <w:t>目前水文数据的接入方式由原先的雨润平台过渡到全面使用ME软件接收，ME软件自带的数据转换服务程序（目前已停止更新）已经无法满足当前系统建设需要，需要通过建立自身的数据的采集及分发技术对数据进行质检、分发等。</w:t>
            </w:r>
          </w:p>
          <w:p>
            <w:pPr>
              <w:pStyle w:val="6"/>
              <w:ind w:firstLine="422"/>
              <w:rPr>
                <w:rFonts w:ascii="宋体" w:hAnsi="宋体" w:eastAsia="宋体" w:cs="宋体"/>
                <w:sz w:val="21"/>
                <w:szCs w:val="21"/>
              </w:rPr>
            </w:pPr>
            <w:r>
              <w:rPr>
                <w:rFonts w:hint="eastAsia" w:ascii="宋体" w:hAnsi="宋体" w:eastAsia="宋体" w:cs="宋体"/>
                <w:sz w:val="21"/>
                <w:szCs w:val="21"/>
              </w:rPr>
              <w:t>1、数据库标准化</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依据《实时雨水情数据库表结构与标识符SL323-2011》建立实时水雨情数据库；依据《水文数据库表结构及标识符SL/T 324-2019》建立基础水文数据库。</w:t>
            </w:r>
          </w:p>
          <w:p>
            <w:pPr>
              <w:pStyle w:val="6"/>
              <w:ind w:firstLine="422"/>
              <w:rPr>
                <w:rFonts w:ascii="宋体" w:hAnsi="宋体" w:eastAsia="宋体" w:cs="宋体"/>
                <w:sz w:val="21"/>
                <w:szCs w:val="21"/>
              </w:rPr>
            </w:pPr>
            <w:r>
              <w:rPr>
                <w:rFonts w:hint="eastAsia" w:ascii="宋体" w:hAnsi="宋体" w:eastAsia="宋体" w:cs="宋体"/>
                <w:sz w:val="21"/>
                <w:szCs w:val="21"/>
              </w:rPr>
              <w:t>2、实时水雨情数据库</w:t>
            </w:r>
          </w:p>
          <w:p>
            <w:pPr>
              <w:pStyle w:val="183"/>
              <w:spacing w:line="240" w:lineRule="auto"/>
              <w:ind w:firstLine="420"/>
              <w:rPr>
                <w:rFonts w:hAnsi="宋体" w:cs="宋体"/>
                <w:sz w:val="21"/>
                <w:szCs w:val="21"/>
                <w:lang w:eastAsia="zh-Hans"/>
              </w:rPr>
            </w:pPr>
            <w:r>
              <w:rPr>
                <w:rFonts w:hint="eastAsia" w:hAnsi="宋体" w:cs="宋体"/>
                <w:sz w:val="21"/>
                <w:szCs w:val="21"/>
              </w:rPr>
              <w:t>（1）</w:t>
            </w:r>
            <w:r>
              <w:rPr>
                <w:rFonts w:hint="eastAsia" w:hAnsi="宋体" w:cs="宋体"/>
                <w:sz w:val="21"/>
                <w:szCs w:val="21"/>
                <w:lang w:eastAsia="zh-Hans"/>
              </w:rPr>
              <w:t>实时水雨情数据采集：当前水雨情数据主要来源为省平台的ME软件，通过数据采集软件实现将雨量、水位、流量、蒸发、土壤墒情等数据写入水雨情标准库相关数据表中作为原始数据，并根据一定的甄别规则对数据的准确性、完整性等进行分析鉴别，对于可疑数据进行标记等。</w:t>
            </w:r>
          </w:p>
          <w:p>
            <w:pPr>
              <w:pStyle w:val="183"/>
              <w:spacing w:line="240" w:lineRule="auto"/>
              <w:ind w:firstLine="420"/>
              <w:rPr>
                <w:rFonts w:hAnsi="宋体" w:cs="宋体"/>
                <w:sz w:val="21"/>
                <w:szCs w:val="21"/>
                <w:lang w:eastAsia="zh-Hans"/>
              </w:rPr>
            </w:pPr>
            <w:r>
              <w:rPr>
                <w:rFonts w:hint="eastAsia" w:hAnsi="宋体" w:cs="宋体"/>
                <w:sz w:val="21"/>
                <w:szCs w:val="21"/>
              </w:rPr>
              <w:t>（</w:t>
            </w:r>
            <w:r>
              <w:rPr>
                <w:rFonts w:hint="eastAsia" w:hAnsi="宋体" w:cs="宋体"/>
                <w:sz w:val="21"/>
                <w:szCs w:val="21"/>
                <w:lang w:eastAsia="zh-Hans"/>
              </w:rPr>
              <w:t>2）数据保障：数据保障服务主要功能是对错误数据及可疑数据进行区分及过滤。错误数据主要包括5分钟雨量大于等于30毫米、水位高于最高值或者低于最低值等一些明显不符合实际情况的数据。</w:t>
            </w:r>
          </w:p>
          <w:p>
            <w:pPr>
              <w:pStyle w:val="183"/>
              <w:spacing w:line="240" w:lineRule="auto"/>
              <w:ind w:firstLine="420"/>
              <w:rPr>
                <w:rFonts w:hAnsi="宋体" w:cs="宋体"/>
                <w:sz w:val="21"/>
                <w:szCs w:val="21"/>
                <w:lang w:eastAsia="zh-Hans"/>
              </w:rPr>
            </w:pPr>
            <w:r>
              <w:rPr>
                <w:rFonts w:hint="eastAsia" w:hAnsi="宋体" w:cs="宋体"/>
                <w:sz w:val="21"/>
                <w:szCs w:val="21"/>
              </w:rPr>
              <w:t>（</w:t>
            </w:r>
            <w:r>
              <w:rPr>
                <w:rFonts w:hint="eastAsia" w:hAnsi="宋体" w:cs="宋体"/>
                <w:sz w:val="21"/>
                <w:szCs w:val="21"/>
                <w:lang w:eastAsia="zh-Hans"/>
              </w:rPr>
              <w:t>3</w:t>
            </w:r>
            <w:r>
              <w:rPr>
                <w:rFonts w:hint="eastAsia" w:hAnsi="宋体" w:cs="宋体"/>
                <w:sz w:val="21"/>
                <w:szCs w:val="21"/>
              </w:rPr>
              <w:t>）</w:t>
            </w:r>
            <w:r>
              <w:rPr>
                <w:rFonts w:hint="eastAsia" w:hAnsi="宋体" w:cs="宋体"/>
                <w:sz w:val="21"/>
                <w:szCs w:val="21"/>
                <w:lang w:eastAsia="zh-Hans"/>
              </w:rPr>
              <w:t>数据预警：数据预警服务根据河道站点设置的警戒水位、水库站点的汛限水位、雨量站点的小时、3小时雨量等预警规则，当数据到达预警阀值时，系统应该自动发出预警。同时可根据需要通过发送预警短信的形式提醒相关人员。</w:t>
            </w:r>
          </w:p>
          <w:p>
            <w:pPr>
              <w:pStyle w:val="6"/>
              <w:ind w:firstLine="422"/>
              <w:rPr>
                <w:rFonts w:ascii="宋体" w:hAnsi="宋体" w:eastAsia="宋体" w:cs="宋体"/>
                <w:sz w:val="21"/>
                <w:szCs w:val="21"/>
              </w:rPr>
            </w:pPr>
            <w:r>
              <w:rPr>
                <w:rFonts w:hint="eastAsia" w:ascii="宋体" w:hAnsi="宋体" w:eastAsia="宋体" w:cs="宋体"/>
                <w:sz w:val="21"/>
                <w:szCs w:val="21"/>
              </w:rPr>
              <w:t>3、基础水文数据库</w:t>
            </w:r>
          </w:p>
          <w:p>
            <w:pPr>
              <w:pStyle w:val="183"/>
              <w:spacing w:line="240" w:lineRule="auto"/>
              <w:ind w:firstLine="420"/>
              <w:rPr>
                <w:rFonts w:hAnsi="宋体" w:cs="宋体"/>
                <w:sz w:val="21"/>
                <w:szCs w:val="21"/>
                <w:lang w:eastAsia="zh-Hans"/>
              </w:rPr>
            </w:pPr>
            <w:r>
              <w:rPr>
                <w:rFonts w:hint="eastAsia" w:hAnsi="宋体" w:cs="宋体"/>
                <w:sz w:val="21"/>
                <w:szCs w:val="21"/>
              </w:rPr>
              <w:t>（</w:t>
            </w:r>
            <w:r>
              <w:rPr>
                <w:rFonts w:hint="eastAsia" w:hAnsi="宋体" w:cs="宋体"/>
                <w:sz w:val="21"/>
                <w:szCs w:val="21"/>
                <w:lang w:eastAsia="zh-Hans"/>
              </w:rPr>
              <w:t>1</w:t>
            </w:r>
            <w:r>
              <w:rPr>
                <w:rFonts w:hint="eastAsia" w:hAnsi="宋体" w:cs="宋体"/>
                <w:sz w:val="21"/>
                <w:szCs w:val="21"/>
              </w:rPr>
              <w:t>）</w:t>
            </w:r>
            <w:r>
              <w:rPr>
                <w:rFonts w:hint="eastAsia" w:hAnsi="宋体" w:cs="宋体"/>
                <w:sz w:val="21"/>
                <w:szCs w:val="21"/>
                <w:lang w:eastAsia="zh-Hans"/>
              </w:rPr>
              <w:t>基础信息：基础信息主要包括测站基本属性、河道站防洪指标信息、库（湖）站防洪指标信息、库（湖）容曲线表、库（湖）站汛限水位信息等内容。</w:t>
            </w:r>
          </w:p>
          <w:p>
            <w:pPr>
              <w:pStyle w:val="183"/>
              <w:spacing w:line="240" w:lineRule="auto"/>
              <w:ind w:firstLine="420"/>
              <w:rPr>
                <w:rFonts w:hAnsi="宋体" w:cs="宋体"/>
                <w:sz w:val="21"/>
                <w:szCs w:val="21"/>
                <w:lang w:eastAsia="zh-Hans"/>
              </w:rPr>
            </w:pPr>
            <w:r>
              <w:rPr>
                <w:rFonts w:hint="eastAsia" w:hAnsi="宋体" w:cs="宋体"/>
                <w:sz w:val="21"/>
                <w:szCs w:val="21"/>
              </w:rPr>
              <w:t>（</w:t>
            </w:r>
            <w:r>
              <w:rPr>
                <w:rFonts w:hint="eastAsia" w:hAnsi="宋体" w:cs="宋体"/>
                <w:sz w:val="21"/>
                <w:szCs w:val="21"/>
                <w:lang w:eastAsia="zh-Hans"/>
              </w:rPr>
              <w:t>2</w:t>
            </w:r>
            <w:r>
              <w:rPr>
                <w:rFonts w:hint="eastAsia" w:hAnsi="宋体" w:cs="宋体"/>
                <w:sz w:val="21"/>
                <w:szCs w:val="21"/>
              </w:rPr>
              <w:t>）</w:t>
            </w:r>
            <w:r>
              <w:rPr>
                <w:rFonts w:hint="eastAsia" w:hAnsi="宋体" w:cs="宋体"/>
                <w:sz w:val="21"/>
                <w:szCs w:val="21"/>
                <w:lang w:eastAsia="zh-Hans"/>
              </w:rPr>
              <w:t>遥测设备信息：遥测设备信息维护目前分人工维护与自动维护两种方式，人工维护主要通过后台相关功能对遥测信息进行新增、编辑、修改、删除、导入等操作。自动维护通过自动获取ME软件接收下来遥测设备的基本信息对本系统内遥测信息定时进行更新，并提供数据导出功能。</w:t>
            </w:r>
          </w:p>
          <w:p>
            <w:pPr>
              <w:pStyle w:val="183"/>
              <w:spacing w:line="240" w:lineRule="auto"/>
              <w:ind w:firstLine="420"/>
              <w:rPr>
                <w:rFonts w:hAnsi="宋体" w:cs="宋体"/>
                <w:sz w:val="21"/>
                <w:szCs w:val="21"/>
                <w:lang w:eastAsia="zh-Hans"/>
              </w:rPr>
            </w:pPr>
            <w:r>
              <w:rPr>
                <w:rFonts w:hint="eastAsia" w:hAnsi="宋体" w:cs="宋体"/>
                <w:sz w:val="21"/>
                <w:szCs w:val="21"/>
              </w:rPr>
              <w:t>（</w:t>
            </w:r>
            <w:r>
              <w:rPr>
                <w:rFonts w:hint="eastAsia" w:hAnsi="宋体" w:cs="宋体"/>
                <w:sz w:val="21"/>
                <w:szCs w:val="21"/>
                <w:lang w:eastAsia="zh-Hans"/>
              </w:rPr>
              <w:t>3</w:t>
            </w:r>
            <w:r>
              <w:rPr>
                <w:rFonts w:hint="eastAsia" w:hAnsi="宋体" w:cs="宋体"/>
                <w:sz w:val="21"/>
                <w:szCs w:val="21"/>
              </w:rPr>
              <w:t>）</w:t>
            </w:r>
            <w:r>
              <w:rPr>
                <w:rFonts w:hint="eastAsia" w:hAnsi="宋体" w:cs="宋体"/>
                <w:sz w:val="21"/>
                <w:szCs w:val="21"/>
                <w:lang w:eastAsia="zh-Hans"/>
              </w:rPr>
              <w:t>设备维护信息：通过同步ME软件的遥测维护信息（包括：站码、维护时间、维护人、维护类别，维护时长，维护内容等），自动形成维护日历，方便用户一目了然地查看维护总体情况及具体站点的维护记录。</w:t>
            </w:r>
          </w:p>
          <w:p>
            <w:pPr>
              <w:pStyle w:val="5"/>
              <w:spacing w:line="240" w:lineRule="auto"/>
              <w:ind w:left="720" w:hanging="720"/>
              <w:rPr>
                <w:rFonts w:ascii="宋体" w:hAnsi="宋体" w:cs="宋体"/>
                <w:sz w:val="21"/>
                <w:szCs w:val="21"/>
                <w:lang w:eastAsia="zh-Hans"/>
              </w:rPr>
            </w:pPr>
            <w:bookmarkStart w:id="40" w:name="_Toc27418"/>
            <w:bookmarkStart w:id="41" w:name="_Toc117583773"/>
            <w:r>
              <w:rPr>
                <w:rFonts w:hint="eastAsia" w:ascii="宋体" w:hAnsi="宋体" w:cs="宋体"/>
                <w:sz w:val="21"/>
                <w:szCs w:val="21"/>
                <w:lang w:eastAsia="zh-Hans"/>
              </w:rPr>
              <w:t>二、应用专题库</w:t>
            </w:r>
            <w:bookmarkEnd w:id="40"/>
            <w:bookmarkEnd w:id="41"/>
          </w:p>
          <w:p>
            <w:pPr>
              <w:pStyle w:val="183"/>
              <w:spacing w:line="240" w:lineRule="auto"/>
              <w:ind w:firstLine="420"/>
              <w:rPr>
                <w:rFonts w:hAnsi="宋体" w:cs="宋体"/>
                <w:sz w:val="21"/>
                <w:szCs w:val="21"/>
                <w:lang w:eastAsia="zh-Hans"/>
              </w:rPr>
            </w:pPr>
            <w:r>
              <w:rPr>
                <w:rFonts w:hint="eastAsia" w:hAnsi="宋体" w:cs="宋体"/>
                <w:sz w:val="21"/>
                <w:szCs w:val="21"/>
                <w:lang w:val="zh-CN" w:eastAsia="zh-Hans"/>
              </w:rPr>
              <w:t>智慧水利建设是智慧政府建设的重要组成部分，而数字化改革则是推进智慧水利建设的重要途径。水利部正在全面推进智慧水利建设，浙江省响应“数字中国”号召，全面部署落实数字化改革建设</w:t>
            </w:r>
            <w:r>
              <w:rPr>
                <w:rFonts w:hint="eastAsia" w:hAnsi="宋体" w:cs="宋体"/>
                <w:sz w:val="21"/>
                <w:szCs w:val="21"/>
                <w:lang w:eastAsia="zh-Hans"/>
              </w:rPr>
              <w:t>。建立应用专题库的目的就是运用现代化信息技术对实时水雨情数据及基础水文数据赋予新的活力，使之成为水文日常防汛工作中的重要组成部分。</w:t>
            </w:r>
          </w:p>
          <w:p>
            <w:pPr>
              <w:pStyle w:val="6"/>
              <w:ind w:firstLine="422"/>
              <w:rPr>
                <w:rFonts w:ascii="宋体" w:hAnsi="宋体" w:eastAsia="宋体" w:cs="宋体"/>
                <w:sz w:val="21"/>
                <w:szCs w:val="21"/>
              </w:rPr>
            </w:pPr>
            <w:r>
              <w:rPr>
                <w:rFonts w:hint="eastAsia" w:ascii="宋体" w:hAnsi="宋体" w:eastAsia="宋体" w:cs="宋体"/>
                <w:sz w:val="21"/>
                <w:szCs w:val="21"/>
                <w:lang w:eastAsia="zh-Hans"/>
              </w:rPr>
              <w:t>1、数据共享标准化</w:t>
            </w:r>
          </w:p>
          <w:p>
            <w:pPr>
              <w:pStyle w:val="183"/>
              <w:spacing w:line="240" w:lineRule="auto"/>
              <w:ind w:firstLine="420"/>
              <w:rPr>
                <w:rFonts w:hAnsi="宋体" w:cs="宋体"/>
                <w:sz w:val="21"/>
                <w:szCs w:val="21"/>
                <w:lang w:eastAsia="zh-Hans"/>
              </w:rPr>
            </w:pPr>
            <w:r>
              <w:rPr>
                <w:rFonts w:hint="eastAsia" w:hAnsi="宋体" w:cs="宋体"/>
                <w:sz w:val="21"/>
                <w:szCs w:val="21"/>
              </w:rPr>
              <w:t>（1）</w:t>
            </w:r>
            <w:r>
              <w:rPr>
                <w:rFonts w:hint="eastAsia" w:hAnsi="宋体" w:cs="宋体"/>
                <w:sz w:val="21"/>
                <w:szCs w:val="21"/>
                <w:lang w:eastAsia="zh-Hans"/>
              </w:rPr>
              <w:t>接口标准化</w:t>
            </w:r>
          </w:p>
          <w:p>
            <w:pPr>
              <w:pStyle w:val="183"/>
              <w:spacing w:line="240" w:lineRule="auto"/>
              <w:ind w:firstLine="420"/>
              <w:rPr>
                <w:rFonts w:hAnsi="宋体" w:cs="宋体"/>
                <w:sz w:val="21"/>
                <w:szCs w:val="21"/>
                <w:lang w:val="zh-CN" w:eastAsia="zh-Hans"/>
              </w:rPr>
            </w:pPr>
            <w:r>
              <w:rPr>
                <w:rFonts w:hint="eastAsia" w:hAnsi="宋体" w:cs="宋体"/>
                <w:sz w:val="21"/>
                <w:szCs w:val="21"/>
                <w:lang w:val="zh-CN" w:eastAsia="zh-Hans"/>
              </w:rPr>
              <w:t>制定标准化数据接口，打通各大业务系统的数据流。根据目前常规的数据应用规则，制定标准的API数据接口</w:t>
            </w:r>
            <w:r>
              <w:rPr>
                <w:rFonts w:hint="eastAsia" w:hAnsi="宋体" w:cs="宋体"/>
                <w:sz w:val="21"/>
                <w:szCs w:val="21"/>
                <w:lang w:eastAsia="zh-Hans"/>
              </w:rPr>
              <w:t>并通过加密校验的方式保障接口调用的合规性</w:t>
            </w:r>
            <w:r>
              <w:rPr>
                <w:rFonts w:hint="eastAsia" w:hAnsi="宋体" w:cs="宋体"/>
                <w:sz w:val="21"/>
                <w:szCs w:val="21"/>
                <w:lang w:val="zh-CN" w:eastAsia="zh-Hans"/>
              </w:rPr>
              <w:t>，规范各大系统数据获取模式，实现数据</w:t>
            </w:r>
            <w:r>
              <w:rPr>
                <w:rFonts w:hint="eastAsia" w:hAnsi="宋体" w:cs="宋体"/>
                <w:sz w:val="21"/>
                <w:szCs w:val="21"/>
                <w:lang w:eastAsia="zh-Hans"/>
              </w:rPr>
              <w:t>源</w:t>
            </w:r>
            <w:r>
              <w:rPr>
                <w:rFonts w:hint="eastAsia" w:hAnsi="宋体" w:cs="宋体"/>
                <w:sz w:val="21"/>
                <w:szCs w:val="21"/>
                <w:lang w:val="zh-CN" w:eastAsia="zh-Hans"/>
              </w:rPr>
              <w:t>的唯一性。</w:t>
            </w:r>
          </w:p>
          <w:p>
            <w:pPr>
              <w:pStyle w:val="183"/>
              <w:spacing w:line="240" w:lineRule="auto"/>
              <w:ind w:firstLine="420"/>
              <w:rPr>
                <w:rFonts w:hAnsi="宋体" w:cs="宋体"/>
                <w:sz w:val="21"/>
                <w:szCs w:val="21"/>
                <w:lang w:eastAsia="zh-Hans"/>
              </w:rPr>
            </w:pPr>
            <w:r>
              <w:rPr>
                <w:rFonts w:hint="eastAsia" w:hAnsi="宋体" w:cs="宋体"/>
                <w:sz w:val="21"/>
                <w:szCs w:val="21"/>
              </w:rPr>
              <w:t>（2）</w:t>
            </w:r>
            <w:r>
              <w:rPr>
                <w:rFonts w:hint="eastAsia" w:hAnsi="宋体" w:cs="宋体"/>
                <w:sz w:val="21"/>
                <w:szCs w:val="21"/>
                <w:lang w:eastAsia="zh-Hans"/>
              </w:rPr>
              <w:t>接口数据</w:t>
            </w:r>
          </w:p>
          <w:p>
            <w:pPr>
              <w:pStyle w:val="183"/>
              <w:spacing w:line="240" w:lineRule="auto"/>
              <w:ind w:firstLine="420"/>
              <w:rPr>
                <w:rFonts w:hAnsi="宋体" w:cs="宋体"/>
                <w:sz w:val="21"/>
                <w:szCs w:val="21"/>
                <w:lang w:val="zh-CN" w:eastAsia="zh-Hans"/>
              </w:rPr>
            </w:pPr>
            <w:r>
              <w:rPr>
                <w:rFonts w:hint="eastAsia" w:hAnsi="宋体" w:cs="宋体"/>
                <w:sz w:val="21"/>
                <w:szCs w:val="21"/>
                <w:lang w:eastAsia="zh-Hans"/>
              </w:rPr>
              <w:t>根据业务需要主要提供以下接口数据</w:t>
            </w:r>
            <w:r>
              <w:rPr>
                <w:rFonts w:hint="eastAsia" w:hAnsi="宋体" w:cs="宋体"/>
                <w:sz w:val="21"/>
                <w:szCs w:val="21"/>
                <w:lang w:val="zh-CN" w:eastAsia="zh-Hans"/>
              </w:rPr>
              <w:t>：</w:t>
            </w:r>
            <w:r>
              <w:rPr>
                <w:rFonts w:hint="eastAsia" w:hAnsi="宋体" w:cs="宋体"/>
                <w:sz w:val="21"/>
                <w:szCs w:val="21"/>
                <w:lang w:eastAsia="zh-Hans"/>
              </w:rPr>
              <w:t>测站基本信息、遥测设备信息、水雨情数据、维护信息，后续根据实际业务需要扩展相应接口</w:t>
            </w:r>
            <w:r>
              <w:rPr>
                <w:rFonts w:hint="eastAsia" w:hAnsi="宋体" w:cs="宋体"/>
                <w:sz w:val="21"/>
                <w:szCs w:val="21"/>
                <w:lang w:val="zh-CN" w:eastAsia="zh-Hans"/>
              </w:rPr>
              <w:t>。</w:t>
            </w:r>
          </w:p>
          <w:p>
            <w:pPr>
              <w:pStyle w:val="6"/>
              <w:ind w:firstLine="422"/>
              <w:rPr>
                <w:rFonts w:ascii="宋体" w:hAnsi="宋体" w:eastAsia="宋体" w:cs="宋体"/>
                <w:sz w:val="21"/>
                <w:szCs w:val="21"/>
              </w:rPr>
            </w:pPr>
            <w:bookmarkStart w:id="42" w:name="_Toc774833315_WPSOffice_Level3"/>
            <w:bookmarkStart w:id="43" w:name="_Toc564169477"/>
            <w:r>
              <w:rPr>
                <w:rFonts w:hint="eastAsia" w:ascii="宋体" w:hAnsi="宋体" w:eastAsia="宋体" w:cs="宋体"/>
                <w:sz w:val="21"/>
                <w:szCs w:val="21"/>
              </w:rPr>
              <w:t>2、综合</w:t>
            </w:r>
            <w:bookmarkEnd w:id="42"/>
            <w:bookmarkEnd w:id="43"/>
            <w:r>
              <w:rPr>
                <w:rFonts w:hint="eastAsia" w:ascii="宋体" w:hAnsi="宋体" w:eastAsia="宋体" w:cs="宋体"/>
                <w:sz w:val="21"/>
                <w:szCs w:val="21"/>
              </w:rPr>
              <w:t>监管</w:t>
            </w:r>
          </w:p>
          <w:p>
            <w:pPr>
              <w:ind w:firstLine="420" w:firstLineChars="200"/>
              <w:rPr>
                <w:rFonts w:ascii="宋体" w:hAnsi="宋体" w:cs="宋体"/>
                <w:szCs w:val="21"/>
                <w:lang w:eastAsia="zh-Hans"/>
              </w:rPr>
            </w:pPr>
            <w:r>
              <w:rPr>
                <w:rFonts w:hint="eastAsia" w:ascii="宋体" w:hAnsi="宋体" w:cs="宋体"/>
                <w:szCs w:val="21"/>
              </w:rPr>
              <w:t>（1）</w:t>
            </w:r>
            <w:r>
              <w:rPr>
                <w:rFonts w:hint="eastAsia" w:ascii="宋体" w:hAnsi="宋体" w:cs="宋体"/>
                <w:szCs w:val="21"/>
                <w:lang w:eastAsia="zh-Hans"/>
              </w:rPr>
              <w:t>综合监视</w:t>
            </w:r>
          </w:p>
          <w:p>
            <w:pPr>
              <w:ind w:firstLine="420" w:firstLineChars="200"/>
              <w:rPr>
                <w:rFonts w:ascii="宋体" w:hAnsi="宋体" w:cs="宋体"/>
                <w:szCs w:val="21"/>
                <w:lang w:eastAsia="zh-Hans"/>
              </w:rPr>
            </w:pPr>
            <w:r>
              <w:rPr>
                <w:rFonts w:hint="eastAsia" w:ascii="宋体" w:hAnsi="宋体" w:cs="宋体"/>
                <w:szCs w:val="21"/>
                <w:lang w:eastAsia="zh-Hans"/>
              </w:rPr>
              <w:t>综合监视结合对比WebGIS技术在电子地图上标注了重要站点的实时水雨情信息，并可实时查看各区域/河流/流域面雨量情况。对主要江河及重要水库的水情信息进行集中展示。</w:t>
            </w:r>
          </w:p>
          <w:p>
            <w:pPr>
              <w:ind w:firstLine="420" w:firstLineChars="200"/>
              <w:rPr>
                <w:rFonts w:ascii="宋体" w:hAnsi="宋体" w:cs="宋体"/>
                <w:szCs w:val="21"/>
                <w:lang w:eastAsia="zh-Hans"/>
              </w:rPr>
            </w:pPr>
            <w:bookmarkStart w:id="44" w:name="_Toc856098434"/>
            <w:bookmarkStart w:id="45" w:name="_Toc282689797_WPSOffice_Level3"/>
            <w:r>
              <w:rPr>
                <w:rFonts w:hint="eastAsia" w:ascii="宋体" w:hAnsi="宋体" w:cs="宋体"/>
                <w:szCs w:val="21"/>
              </w:rPr>
              <w:t>（2）</w:t>
            </w:r>
            <w:r>
              <w:rPr>
                <w:rFonts w:hint="eastAsia" w:ascii="宋体" w:hAnsi="宋体" w:cs="宋体"/>
                <w:szCs w:val="21"/>
                <w:lang w:eastAsia="zh-Hans"/>
              </w:rPr>
              <w:t>分类监视</w:t>
            </w:r>
            <w:bookmarkEnd w:id="44"/>
            <w:bookmarkEnd w:id="45"/>
          </w:p>
          <w:p>
            <w:pPr>
              <w:ind w:firstLine="420" w:firstLineChars="200"/>
              <w:rPr>
                <w:rFonts w:ascii="宋体" w:hAnsi="宋体" w:cs="宋体"/>
                <w:szCs w:val="21"/>
                <w:lang w:eastAsia="zh-Hans"/>
              </w:rPr>
            </w:pPr>
            <w:r>
              <w:rPr>
                <w:rFonts w:hint="eastAsia" w:ascii="宋体" w:hAnsi="宋体" w:cs="宋体"/>
                <w:szCs w:val="21"/>
                <w:lang w:eastAsia="zh-Hans"/>
              </w:rPr>
              <w:t>分类监视根据站点的数据类型分为雨情查询、面雨量查询、雨量柱状图、水情查询、流量监视、多站水位、蒸发查询等。</w:t>
            </w:r>
          </w:p>
          <w:p>
            <w:pPr>
              <w:ind w:firstLine="420" w:firstLineChars="200"/>
              <w:rPr>
                <w:rFonts w:ascii="宋体" w:hAnsi="宋体" w:cs="宋体"/>
                <w:szCs w:val="21"/>
                <w:lang w:eastAsia="zh-Hans"/>
              </w:rPr>
            </w:pPr>
            <w:bookmarkStart w:id="46" w:name="_Toc305945338"/>
            <w:bookmarkStart w:id="47" w:name="_Toc933591015_WPSOffice_Level3"/>
            <w:r>
              <w:rPr>
                <w:rFonts w:hint="eastAsia" w:ascii="宋体" w:hAnsi="宋体" w:cs="宋体"/>
                <w:szCs w:val="21"/>
              </w:rPr>
              <w:t>（3）</w:t>
            </w:r>
            <w:r>
              <w:rPr>
                <w:rFonts w:hint="eastAsia" w:ascii="宋体" w:hAnsi="宋体" w:cs="宋体"/>
                <w:szCs w:val="21"/>
                <w:lang w:eastAsia="zh-Hans"/>
              </w:rPr>
              <w:t>表格监视</w:t>
            </w:r>
            <w:bookmarkEnd w:id="46"/>
            <w:bookmarkEnd w:id="47"/>
          </w:p>
          <w:p>
            <w:pPr>
              <w:ind w:firstLine="420" w:firstLineChars="200"/>
              <w:rPr>
                <w:rFonts w:ascii="宋体" w:hAnsi="宋体" w:cs="宋体"/>
                <w:szCs w:val="21"/>
                <w:lang w:eastAsia="zh-Hans"/>
              </w:rPr>
            </w:pPr>
            <w:r>
              <w:rPr>
                <w:rFonts w:hint="eastAsia" w:ascii="宋体" w:hAnsi="宋体" w:cs="宋体"/>
                <w:szCs w:val="21"/>
                <w:lang w:eastAsia="zh-Hans"/>
              </w:rPr>
              <w:t>表格监视分为综合监视、江河水情、水库水情、实时雨情4大模块，主要对各站水雨情数据进行集中化展示，各模块根据不同侧重点有所差别。</w:t>
            </w:r>
          </w:p>
          <w:p>
            <w:pPr>
              <w:pStyle w:val="184"/>
              <w:spacing w:line="240" w:lineRule="auto"/>
              <w:ind w:left="480"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4</w:t>
            </w:r>
            <w:r>
              <w:rPr>
                <w:rFonts w:hint="eastAsia" w:ascii="宋体" w:hAnsi="宋体" w:eastAsia="宋体" w:cs="宋体"/>
                <w:sz w:val="21"/>
                <w:szCs w:val="21"/>
              </w:rPr>
              <w:t>）</w:t>
            </w:r>
            <w:r>
              <w:rPr>
                <w:rFonts w:hint="eastAsia" w:ascii="宋体" w:hAnsi="宋体" w:eastAsia="宋体" w:cs="宋体"/>
                <w:sz w:val="21"/>
                <w:szCs w:val="21"/>
                <w:lang w:eastAsia="zh-Hans"/>
              </w:rPr>
              <w:t>实时雨情</w:t>
            </w:r>
          </w:p>
          <w:p>
            <w:pPr>
              <w:pStyle w:val="184"/>
              <w:spacing w:line="240" w:lineRule="auto"/>
              <w:rPr>
                <w:rFonts w:ascii="宋体" w:hAnsi="宋体" w:eastAsia="宋体" w:cs="宋体"/>
                <w:sz w:val="21"/>
                <w:szCs w:val="21"/>
                <w:lang w:eastAsia="zh-Hans"/>
              </w:rPr>
            </w:pPr>
            <w:r>
              <w:rPr>
                <w:rFonts w:hint="eastAsia" w:ascii="宋体" w:hAnsi="宋体" w:eastAsia="宋体" w:cs="宋体"/>
                <w:sz w:val="21"/>
                <w:szCs w:val="21"/>
                <w:lang w:eastAsia="zh-Hans"/>
              </w:rPr>
              <w:t>实时统计雨量站点近30分钟、1/3/6/24小时、昨日、今日、时段降雨量情况；统计不同时间下最大降雨量站点及平均降雨量。</w:t>
            </w:r>
          </w:p>
          <w:p>
            <w:pPr>
              <w:pStyle w:val="6"/>
              <w:ind w:firstLine="422"/>
              <w:rPr>
                <w:rFonts w:ascii="宋体" w:hAnsi="宋体" w:eastAsia="宋体" w:cs="宋体"/>
                <w:sz w:val="21"/>
                <w:szCs w:val="21"/>
              </w:rPr>
            </w:pPr>
            <w:bookmarkStart w:id="48" w:name="_Toc947444848"/>
            <w:bookmarkStart w:id="49" w:name="_Toc1348664123_WPSOffice_Level3"/>
            <w:r>
              <w:rPr>
                <w:rFonts w:hint="eastAsia" w:ascii="宋体" w:hAnsi="宋体" w:eastAsia="宋体" w:cs="宋体"/>
                <w:sz w:val="21"/>
                <w:szCs w:val="21"/>
              </w:rPr>
              <w:t>3、水雨情分析及应用</w:t>
            </w:r>
            <w:bookmarkEnd w:id="48"/>
            <w:bookmarkEnd w:id="49"/>
          </w:p>
          <w:p>
            <w:pPr>
              <w:ind w:firstLine="422" w:firstLineChars="200"/>
              <w:rPr>
                <w:rFonts w:ascii="宋体" w:hAnsi="宋体" w:cs="宋体"/>
                <w:b/>
                <w:bCs/>
                <w:szCs w:val="21"/>
                <w:lang w:eastAsia="zh-Hans"/>
              </w:rPr>
            </w:pPr>
            <w:r>
              <w:rPr>
                <w:rFonts w:hint="eastAsia" w:ascii="宋体" w:hAnsi="宋体" w:cs="宋体"/>
                <w:b/>
                <w:bCs/>
                <w:szCs w:val="21"/>
              </w:rPr>
              <w:t>（</w:t>
            </w:r>
            <w:r>
              <w:rPr>
                <w:rFonts w:hint="eastAsia" w:ascii="宋体" w:hAnsi="宋体" w:cs="宋体"/>
                <w:b/>
                <w:bCs/>
                <w:szCs w:val="21"/>
                <w:lang w:eastAsia="zh-Hans"/>
              </w:rPr>
              <w:t>1</w:t>
            </w:r>
            <w:r>
              <w:rPr>
                <w:rFonts w:hint="eastAsia" w:ascii="宋体" w:hAnsi="宋体" w:cs="宋体"/>
                <w:b/>
                <w:bCs/>
                <w:szCs w:val="21"/>
              </w:rPr>
              <w:t>）</w:t>
            </w:r>
            <w:r>
              <w:rPr>
                <w:rFonts w:hint="eastAsia" w:ascii="宋体" w:hAnsi="宋体" w:cs="宋体"/>
                <w:b/>
                <w:bCs/>
                <w:szCs w:val="21"/>
                <w:lang w:eastAsia="zh-Hans"/>
              </w:rPr>
              <w:t xml:space="preserve"> 降雨空间分析</w:t>
            </w:r>
          </w:p>
          <w:p>
            <w:pPr>
              <w:ind w:firstLine="420" w:firstLineChars="200"/>
              <w:rPr>
                <w:rFonts w:ascii="宋体" w:hAnsi="宋体" w:cs="宋体"/>
                <w:szCs w:val="21"/>
                <w:lang w:eastAsia="zh-Hans"/>
              </w:rPr>
            </w:pPr>
            <w:r>
              <w:rPr>
                <w:rFonts w:hint="eastAsia" w:ascii="宋体" w:hAnsi="宋体" w:cs="宋体"/>
                <w:szCs w:val="21"/>
                <w:lang w:eastAsia="zh-Hans"/>
              </w:rPr>
              <w:t>降雨空间分析主要用于根据雨量站点的空间分布及降雨情况，实时绘制等值图。</w:t>
            </w:r>
          </w:p>
          <w:p>
            <w:pPr>
              <w:ind w:firstLine="422" w:firstLineChars="200"/>
              <w:rPr>
                <w:rFonts w:ascii="宋体" w:hAnsi="宋体" w:cs="宋体"/>
                <w:b/>
                <w:bCs/>
                <w:szCs w:val="21"/>
                <w:lang w:eastAsia="zh-Hans"/>
              </w:rPr>
            </w:pPr>
            <w:bookmarkStart w:id="50" w:name="_Toc114317831"/>
            <w:bookmarkStart w:id="51" w:name="_Toc308021176_WPSOffice_Level3"/>
            <w:r>
              <w:rPr>
                <w:rFonts w:hint="eastAsia" w:ascii="宋体" w:hAnsi="宋体" w:cs="宋体"/>
                <w:b/>
                <w:bCs/>
                <w:szCs w:val="21"/>
              </w:rPr>
              <w:t>（2）</w:t>
            </w:r>
            <w:r>
              <w:rPr>
                <w:rFonts w:hint="eastAsia" w:ascii="宋体" w:hAnsi="宋体" w:cs="宋体"/>
                <w:b/>
                <w:bCs/>
                <w:szCs w:val="21"/>
                <w:lang w:eastAsia="zh-Hans"/>
              </w:rPr>
              <w:t>水雨情报表</w:t>
            </w:r>
            <w:bookmarkEnd w:id="50"/>
            <w:bookmarkEnd w:id="51"/>
          </w:p>
          <w:p>
            <w:pPr>
              <w:ind w:firstLine="420" w:firstLineChars="200"/>
              <w:rPr>
                <w:rFonts w:ascii="宋体" w:hAnsi="宋体" w:cs="宋体"/>
                <w:szCs w:val="21"/>
                <w:lang w:eastAsia="zh-Hans"/>
              </w:rPr>
            </w:pPr>
            <w:r>
              <w:rPr>
                <w:rFonts w:hint="eastAsia" w:ascii="宋体" w:hAnsi="宋体" w:cs="宋体"/>
                <w:szCs w:val="21"/>
                <w:lang w:eastAsia="zh-Hans"/>
              </w:rPr>
              <w:t>水雨情报表按类型可分为雨情报表、水情报表、综合报表三大类。</w:t>
            </w:r>
          </w:p>
          <w:p>
            <w:pPr>
              <w:ind w:firstLine="420" w:firstLineChars="200"/>
              <w:rPr>
                <w:rFonts w:ascii="宋体" w:hAnsi="宋体" w:cs="宋体"/>
                <w:szCs w:val="21"/>
                <w:lang w:eastAsia="zh-Hans"/>
              </w:rPr>
            </w:pPr>
            <w:r>
              <w:rPr>
                <w:rFonts w:hint="eastAsia" w:ascii="宋体" w:hAnsi="宋体" w:cs="宋体"/>
                <w:szCs w:val="21"/>
                <w:lang w:eastAsia="zh-Hans"/>
              </w:rPr>
              <w:t>雨量报表主要有以下内容：时段雨量统计、乡镇雨量统计、时段极值降雨量统计、日极值降雨量统计、各站最大时段降雨量统计、各站最大日降雨量统计、各站最大分钟降雨量统计、逐时降雨量过程表、逐日降雨量过程表、降雨量月报表、降雨量年报表、单站逐日年报表</w:t>
            </w:r>
          </w:p>
          <w:p>
            <w:pPr>
              <w:ind w:firstLine="420" w:firstLineChars="200"/>
              <w:rPr>
                <w:rFonts w:ascii="宋体" w:hAnsi="宋体" w:cs="宋体"/>
                <w:szCs w:val="21"/>
                <w:lang w:eastAsia="zh-Hans"/>
              </w:rPr>
            </w:pPr>
            <w:r>
              <w:rPr>
                <w:rFonts w:hint="eastAsia" w:ascii="宋体" w:hAnsi="宋体" w:cs="宋体"/>
                <w:szCs w:val="21"/>
                <w:lang w:eastAsia="zh-Hans"/>
              </w:rPr>
              <w:t>水情报表主要包含以下内容：河道水位过程表、水库水位过程表、水库可纳雨量分析表、水库蓄水量动态表、水雨情综合报表、单站逐日年水位报表</w:t>
            </w:r>
          </w:p>
          <w:p>
            <w:pPr>
              <w:ind w:firstLine="420" w:firstLineChars="200"/>
              <w:rPr>
                <w:rFonts w:ascii="宋体" w:hAnsi="宋体" w:cs="宋体"/>
                <w:szCs w:val="21"/>
                <w:lang w:eastAsia="zh-Hans"/>
              </w:rPr>
            </w:pPr>
            <w:r>
              <w:rPr>
                <w:rFonts w:hint="eastAsia" w:ascii="宋体" w:hAnsi="宋体" w:cs="宋体"/>
                <w:szCs w:val="21"/>
                <w:lang w:eastAsia="zh-Hans"/>
              </w:rPr>
              <w:t>综合报表包含以下内容：水雨情简报、水雨情日报表、水雨情周报表、水雨情旬报表、水雨情月报表</w:t>
            </w:r>
          </w:p>
          <w:p>
            <w:pPr>
              <w:ind w:firstLine="422" w:firstLineChars="200"/>
              <w:rPr>
                <w:rFonts w:ascii="宋体" w:hAnsi="宋体" w:cs="宋体"/>
                <w:b/>
                <w:bCs/>
                <w:szCs w:val="21"/>
                <w:lang w:eastAsia="zh-Hans"/>
              </w:rPr>
            </w:pPr>
            <w:bookmarkStart w:id="52" w:name="_Toc1476315762_WPSOffice_Level3"/>
            <w:bookmarkStart w:id="53" w:name="_Toc1489405199"/>
            <w:r>
              <w:rPr>
                <w:rFonts w:hint="eastAsia" w:ascii="宋体" w:hAnsi="宋体" w:cs="宋体"/>
                <w:b/>
                <w:bCs/>
                <w:szCs w:val="21"/>
              </w:rPr>
              <w:t>（3）</w:t>
            </w:r>
            <w:r>
              <w:rPr>
                <w:rFonts w:hint="eastAsia" w:ascii="宋体" w:hAnsi="宋体" w:cs="宋体"/>
                <w:b/>
                <w:bCs/>
                <w:szCs w:val="21"/>
                <w:lang w:eastAsia="zh-Hans"/>
              </w:rPr>
              <w:t>历史同期分析</w:t>
            </w:r>
            <w:bookmarkEnd w:id="52"/>
            <w:bookmarkEnd w:id="53"/>
          </w:p>
          <w:p>
            <w:pPr>
              <w:ind w:firstLine="420" w:firstLineChars="200"/>
              <w:rPr>
                <w:rFonts w:ascii="宋体" w:hAnsi="宋体" w:cs="宋体"/>
                <w:szCs w:val="21"/>
                <w:lang w:eastAsia="zh-Hans"/>
              </w:rPr>
            </w:pPr>
            <w:r>
              <w:rPr>
                <w:rFonts w:hint="eastAsia" w:ascii="宋体" w:hAnsi="宋体" w:cs="宋体"/>
                <w:szCs w:val="21"/>
                <w:lang w:eastAsia="zh-Hans"/>
              </w:rPr>
              <w:t>历史同期数据分析主要包含雨量历史同期分析、水位历史同期对比、水库蓄水量同期对比。</w:t>
            </w:r>
          </w:p>
          <w:p>
            <w:pPr>
              <w:ind w:firstLine="420" w:firstLineChars="200"/>
              <w:rPr>
                <w:rFonts w:ascii="宋体" w:hAnsi="宋体" w:cs="宋体"/>
                <w:szCs w:val="21"/>
                <w:lang w:eastAsia="zh-Hans"/>
              </w:rPr>
            </w:pPr>
            <w:r>
              <w:rPr>
                <w:rFonts w:hint="eastAsia" w:ascii="宋体" w:hAnsi="宋体" w:cs="宋体"/>
                <w:szCs w:val="21"/>
                <w:lang w:eastAsia="zh-Hans"/>
              </w:rPr>
              <w:t>雨量历史分析包含以下内容：多站同期对比、单站年月旬日环比、单站任意时段环比、日雨量极值排位。</w:t>
            </w:r>
          </w:p>
          <w:p>
            <w:pPr>
              <w:ind w:firstLine="420" w:firstLineChars="200"/>
              <w:rPr>
                <w:rFonts w:ascii="宋体" w:hAnsi="宋体" w:cs="宋体"/>
                <w:szCs w:val="21"/>
                <w:lang w:eastAsia="zh-Hans"/>
              </w:rPr>
            </w:pPr>
            <w:r>
              <w:rPr>
                <w:rFonts w:hint="eastAsia" w:ascii="宋体" w:hAnsi="宋体" w:cs="宋体"/>
                <w:szCs w:val="21"/>
                <w:lang w:eastAsia="zh-Hans"/>
              </w:rPr>
              <w:t>水位历史分析包含以下内容：多站水位同比、单站水位过程同比、水位保证率分析</w:t>
            </w:r>
          </w:p>
          <w:p>
            <w:pPr>
              <w:pStyle w:val="6"/>
              <w:ind w:firstLine="422"/>
              <w:rPr>
                <w:rFonts w:ascii="宋体" w:hAnsi="宋体" w:eastAsia="宋体" w:cs="宋体"/>
                <w:sz w:val="21"/>
                <w:szCs w:val="21"/>
                <w:lang w:eastAsia="zh-Hans"/>
              </w:rPr>
            </w:pPr>
            <w:r>
              <w:rPr>
                <w:rFonts w:hint="eastAsia" w:ascii="宋体" w:hAnsi="宋体" w:eastAsia="宋体" w:cs="宋体"/>
                <w:sz w:val="21"/>
                <w:szCs w:val="21"/>
              </w:rPr>
              <w:t>4、测站维护监管</w:t>
            </w:r>
          </w:p>
          <w:p>
            <w:pPr>
              <w:pStyle w:val="183"/>
              <w:spacing w:line="240" w:lineRule="auto"/>
              <w:ind w:firstLine="420"/>
              <w:rPr>
                <w:rFonts w:hAnsi="宋体" w:cs="宋体"/>
                <w:sz w:val="21"/>
                <w:szCs w:val="21"/>
                <w:lang w:eastAsia="zh-Hans"/>
              </w:rPr>
            </w:pPr>
            <w:r>
              <w:rPr>
                <w:rFonts w:hint="eastAsia" w:hAnsi="宋体" w:cs="宋体"/>
                <w:sz w:val="21"/>
                <w:szCs w:val="21"/>
              </w:rPr>
              <w:t>（1）</w:t>
            </w:r>
            <w:r>
              <w:rPr>
                <w:rFonts w:hint="eastAsia" w:hAnsi="宋体" w:cs="宋体"/>
                <w:sz w:val="21"/>
                <w:szCs w:val="21"/>
                <w:lang w:eastAsia="zh-Hans"/>
              </w:rPr>
              <w:t>测站维护情况管理</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实现对测站维护情况的记录，包括维护原因、维护时间、维护结果、维护图片等内容的新建、修改和删除。</w:t>
            </w:r>
          </w:p>
          <w:p>
            <w:pPr>
              <w:pStyle w:val="183"/>
              <w:spacing w:line="240" w:lineRule="auto"/>
              <w:ind w:firstLine="420"/>
              <w:rPr>
                <w:rFonts w:hAnsi="宋体" w:cs="宋体"/>
                <w:sz w:val="21"/>
                <w:szCs w:val="21"/>
                <w:lang w:eastAsia="zh-Hans"/>
              </w:rPr>
            </w:pPr>
            <w:r>
              <w:rPr>
                <w:rFonts w:hint="eastAsia" w:hAnsi="宋体" w:cs="宋体"/>
                <w:sz w:val="21"/>
                <w:szCs w:val="21"/>
              </w:rPr>
              <w:t>（2）</w:t>
            </w:r>
            <w:r>
              <w:rPr>
                <w:rFonts w:hint="eastAsia" w:hAnsi="宋体" w:cs="宋体"/>
                <w:sz w:val="21"/>
                <w:szCs w:val="21"/>
                <w:lang w:eastAsia="zh-Hans"/>
              </w:rPr>
              <w:t>测站维护情况一张图</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对测站维护情况进行统计分析，以维护一张图的形式按年为单位显示测站的维护次数、最近维护日期等信息，并可以时间线的形式查看测站的历史维护记录</w:t>
            </w:r>
            <w:bookmarkStart w:id="54" w:name="_Toc2029638486_WPSOffice_Level2"/>
            <w:bookmarkEnd w:id="54"/>
          </w:p>
          <w:p>
            <w:pPr>
              <w:pStyle w:val="5"/>
              <w:spacing w:line="240" w:lineRule="auto"/>
              <w:ind w:left="720" w:hanging="720"/>
              <w:rPr>
                <w:rFonts w:ascii="宋体" w:hAnsi="宋体" w:cs="宋体"/>
                <w:sz w:val="21"/>
                <w:szCs w:val="21"/>
                <w:lang w:eastAsia="zh-Hans"/>
              </w:rPr>
            </w:pPr>
            <w:bookmarkStart w:id="55" w:name="_Toc117583774"/>
            <w:bookmarkStart w:id="56" w:name="_Toc1861800771"/>
            <w:bookmarkStart w:id="57" w:name="_Toc32006"/>
            <w:r>
              <w:rPr>
                <w:rFonts w:hint="eastAsia" w:ascii="宋体" w:hAnsi="宋体" w:cs="宋体"/>
                <w:sz w:val="21"/>
                <w:szCs w:val="21"/>
                <w:lang w:eastAsia="zh-Hans"/>
              </w:rPr>
              <w:t>三、水文资料整编库</w:t>
            </w:r>
            <w:bookmarkEnd w:id="55"/>
            <w:bookmarkEnd w:id="56"/>
            <w:bookmarkEnd w:id="57"/>
          </w:p>
          <w:p>
            <w:pPr>
              <w:pStyle w:val="183"/>
              <w:spacing w:line="240" w:lineRule="auto"/>
              <w:ind w:firstLine="420"/>
              <w:rPr>
                <w:rFonts w:hAnsi="宋体" w:cs="宋体"/>
                <w:sz w:val="21"/>
                <w:szCs w:val="21"/>
                <w:lang w:eastAsia="zh-Hans"/>
              </w:rPr>
            </w:pPr>
            <w:r>
              <w:rPr>
                <w:rFonts w:hint="eastAsia" w:hAnsi="宋体" w:cs="宋体"/>
                <w:sz w:val="21"/>
                <w:szCs w:val="21"/>
                <w:lang w:eastAsia="zh-Hans"/>
              </w:rPr>
              <w:t>通过对历年整编资料的整理入库，按照资料整编规范对数据进行分类存储，并在此基础上对数据进行统计分析，为用户提供随时随地查询各类整编资料及管理维护功能。</w:t>
            </w:r>
          </w:p>
          <w:p>
            <w:pPr>
              <w:pStyle w:val="6"/>
              <w:ind w:firstLine="422"/>
              <w:rPr>
                <w:rFonts w:ascii="宋体" w:hAnsi="宋体" w:eastAsia="宋体" w:cs="宋体"/>
                <w:sz w:val="21"/>
                <w:szCs w:val="21"/>
              </w:rPr>
            </w:pPr>
            <w:bookmarkStart w:id="58" w:name="_Toc2006550815_WPSOffice_Level3"/>
            <w:r>
              <w:rPr>
                <w:rFonts w:hint="eastAsia" w:ascii="宋体" w:hAnsi="宋体" w:eastAsia="宋体" w:cs="宋体"/>
                <w:sz w:val="21"/>
                <w:szCs w:val="21"/>
              </w:rPr>
              <w:t>1、历年水文数据</w:t>
            </w:r>
            <w:bookmarkEnd w:id="58"/>
            <w:r>
              <w:rPr>
                <w:rFonts w:hint="eastAsia" w:ascii="宋体" w:hAnsi="宋体" w:eastAsia="宋体" w:cs="宋体"/>
                <w:sz w:val="21"/>
                <w:szCs w:val="21"/>
              </w:rPr>
              <w:t>管理</w:t>
            </w:r>
          </w:p>
          <w:p>
            <w:pPr>
              <w:ind w:firstLine="420" w:firstLineChars="200"/>
              <w:rPr>
                <w:rFonts w:ascii="宋体" w:hAnsi="宋体" w:cs="宋体"/>
                <w:szCs w:val="21"/>
                <w:lang w:eastAsia="zh-Hans"/>
              </w:rPr>
            </w:pPr>
            <w:r>
              <w:rPr>
                <w:rFonts w:hint="eastAsia" w:ascii="宋体" w:hAnsi="宋体" w:cs="宋体"/>
                <w:szCs w:val="21"/>
              </w:rPr>
              <w:t>（1）</w:t>
            </w:r>
            <w:r>
              <w:rPr>
                <w:rFonts w:hint="eastAsia" w:ascii="宋体" w:hAnsi="宋体" w:cs="宋体"/>
                <w:szCs w:val="21"/>
                <w:lang w:eastAsia="zh-Hans"/>
              </w:rPr>
              <w:t>综合说明资料管理维护</w:t>
            </w:r>
          </w:p>
          <w:p>
            <w:pPr>
              <w:ind w:firstLine="200"/>
              <w:rPr>
                <w:rFonts w:ascii="宋体" w:hAnsi="宋体" w:cs="宋体"/>
                <w:szCs w:val="21"/>
                <w:lang w:eastAsia="zh-Hans"/>
              </w:rPr>
            </w:pPr>
            <w:r>
              <w:rPr>
                <w:rFonts w:hint="eastAsia" w:ascii="宋体" w:hAnsi="宋体" w:cs="宋体"/>
                <w:szCs w:val="21"/>
                <w:lang w:eastAsia="zh-Hans"/>
              </w:rPr>
              <w:t>实现对综合说明资料的新增、修改及删除功能，说明资料主要包含以下内容：水位、水文站一览基本信息、降水量、水面蒸发站一览基本信息、各站月年平均流量对照表信息、各站月年降雨量对照表信息、各站月年平均水位对照表信息、测站说明表，分河道站、水库（堰闸）站，主要水利工程基本情况。</w:t>
            </w:r>
          </w:p>
          <w:p>
            <w:pPr>
              <w:ind w:firstLine="420" w:firstLineChars="200"/>
              <w:rPr>
                <w:rFonts w:ascii="宋体" w:hAnsi="宋体" w:cs="宋体"/>
                <w:szCs w:val="21"/>
                <w:lang w:eastAsia="zh-Hans"/>
              </w:rPr>
            </w:pPr>
            <w:r>
              <w:rPr>
                <w:rFonts w:hint="eastAsia" w:ascii="宋体" w:hAnsi="宋体" w:cs="宋体"/>
                <w:szCs w:val="21"/>
              </w:rPr>
              <w:t>（2）</w:t>
            </w:r>
            <w:r>
              <w:rPr>
                <w:rFonts w:hint="eastAsia" w:ascii="宋体" w:hAnsi="宋体" w:cs="宋体"/>
                <w:szCs w:val="21"/>
                <w:lang w:eastAsia="zh-Hans"/>
              </w:rPr>
              <w:t>基本资料管理维护</w:t>
            </w:r>
          </w:p>
          <w:p>
            <w:pPr>
              <w:ind w:firstLine="200"/>
              <w:rPr>
                <w:rFonts w:ascii="宋体" w:hAnsi="宋体" w:cs="宋体"/>
                <w:szCs w:val="21"/>
                <w:lang w:eastAsia="zh-Hans"/>
              </w:rPr>
            </w:pPr>
            <w:r>
              <w:rPr>
                <w:rFonts w:hint="eastAsia" w:ascii="宋体" w:hAnsi="宋体" w:cs="宋体"/>
                <w:szCs w:val="21"/>
                <w:lang w:eastAsia="zh-Hans"/>
              </w:rPr>
              <w:t>实现对基本资料的新增、修改及删除功能。基本资料主要包含以下内容：</w:t>
            </w:r>
          </w:p>
          <w:p>
            <w:pPr>
              <w:pStyle w:val="184"/>
              <w:spacing w:line="240" w:lineRule="auto"/>
              <w:ind w:left="420"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水位资料</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1</w:t>
            </w:r>
            <w:r>
              <w:rPr>
                <w:rFonts w:hint="eastAsia" w:hAnsi="宋体" w:cs="宋体"/>
                <w:sz w:val="21"/>
                <w:szCs w:val="21"/>
              </w:rPr>
              <w:t>）</w:t>
            </w:r>
            <w:r>
              <w:rPr>
                <w:rFonts w:hint="eastAsia" w:hAnsi="宋体" w:cs="宋体"/>
                <w:sz w:val="21"/>
                <w:szCs w:val="21"/>
                <w:lang w:eastAsia="zh-Hans"/>
              </w:rPr>
              <w:t>逐日平均水位表</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2</w:t>
            </w:r>
            <w:r>
              <w:rPr>
                <w:rFonts w:hint="eastAsia" w:hAnsi="宋体" w:cs="宋体"/>
                <w:sz w:val="21"/>
                <w:szCs w:val="21"/>
              </w:rPr>
              <w:t>）</w:t>
            </w:r>
            <w:r>
              <w:rPr>
                <w:rFonts w:hint="eastAsia" w:hAnsi="宋体" w:cs="宋体"/>
                <w:sz w:val="21"/>
                <w:szCs w:val="21"/>
                <w:lang w:eastAsia="zh-Hans"/>
              </w:rPr>
              <w:t>洪水水位摘录表</w:t>
            </w:r>
          </w:p>
          <w:p>
            <w:pPr>
              <w:pStyle w:val="184"/>
              <w:spacing w:line="240" w:lineRule="auto"/>
              <w:ind w:left="420"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潮位资料</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1</w:t>
            </w:r>
            <w:r>
              <w:rPr>
                <w:rFonts w:hint="eastAsia" w:hAnsi="宋体" w:cs="宋体"/>
                <w:sz w:val="21"/>
                <w:szCs w:val="21"/>
              </w:rPr>
              <w:t>）</w:t>
            </w:r>
            <w:r>
              <w:rPr>
                <w:rFonts w:hint="eastAsia" w:hAnsi="宋体" w:cs="宋体"/>
                <w:sz w:val="21"/>
                <w:szCs w:val="21"/>
                <w:lang w:eastAsia="zh-Hans"/>
              </w:rPr>
              <w:t>逐潮高低潮位表</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2</w:t>
            </w:r>
            <w:r>
              <w:rPr>
                <w:rFonts w:hint="eastAsia" w:hAnsi="宋体" w:cs="宋体"/>
                <w:sz w:val="21"/>
                <w:szCs w:val="21"/>
              </w:rPr>
              <w:t>）</w:t>
            </w:r>
            <w:r>
              <w:rPr>
                <w:rFonts w:hint="eastAsia" w:hAnsi="宋体" w:cs="宋体"/>
                <w:sz w:val="21"/>
                <w:szCs w:val="21"/>
                <w:lang w:eastAsia="zh-Hans"/>
              </w:rPr>
              <w:t>潮位月年统计表</w:t>
            </w:r>
          </w:p>
          <w:p>
            <w:pPr>
              <w:pStyle w:val="184"/>
              <w:spacing w:line="240" w:lineRule="auto"/>
              <w:ind w:left="420"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流量资料</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1</w:t>
            </w:r>
            <w:r>
              <w:rPr>
                <w:rFonts w:hint="eastAsia" w:hAnsi="宋体" w:cs="宋体"/>
                <w:sz w:val="21"/>
                <w:szCs w:val="21"/>
              </w:rPr>
              <w:t>）</w:t>
            </w:r>
            <w:r>
              <w:rPr>
                <w:rFonts w:hint="eastAsia" w:hAnsi="宋体" w:cs="宋体"/>
                <w:sz w:val="21"/>
                <w:szCs w:val="21"/>
                <w:lang w:eastAsia="zh-Hans"/>
              </w:rPr>
              <w:t>实测流量成果表</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2</w:t>
            </w:r>
            <w:r>
              <w:rPr>
                <w:rFonts w:hint="eastAsia" w:hAnsi="宋体" w:cs="宋体"/>
                <w:sz w:val="21"/>
                <w:szCs w:val="21"/>
              </w:rPr>
              <w:t>）</w:t>
            </w:r>
            <w:r>
              <w:rPr>
                <w:rFonts w:hint="eastAsia" w:hAnsi="宋体" w:cs="宋体"/>
                <w:sz w:val="21"/>
                <w:szCs w:val="21"/>
                <w:lang w:eastAsia="zh-Hans"/>
              </w:rPr>
              <w:t>实测大断面成果表</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3</w:t>
            </w:r>
            <w:r>
              <w:rPr>
                <w:rFonts w:hint="eastAsia" w:hAnsi="宋体" w:cs="宋体"/>
                <w:sz w:val="21"/>
                <w:szCs w:val="21"/>
              </w:rPr>
              <w:t>）</w:t>
            </w:r>
            <w:r>
              <w:rPr>
                <w:rFonts w:hint="eastAsia" w:hAnsi="宋体" w:cs="宋体"/>
                <w:sz w:val="21"/>
                <w:szCs w:val="21"/>
                <w:lang w:eastAsia="zh-Hans"/>
              </w:rPr>
              <w:t>逐日平均流量表</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4</w:t>
            </w:r>
            <w:r>
              <w:rPr>
                <w:rFonts w:hint="eastAsia" w:hAnsi="宋体" w:cs="宋体"/>
                <w:sz w:val="21"/>
                <w:szCs w:val="21"/>
              </w:rPr>
              <w:t>）</w:t>
            </w:r>
            <w:r>
              <w:rPr>
                <w:rFonts w:hint="eastAsia" w:hAnsi="宋体" w:cs="宋体"/>
                <w:sz w:val="21"/>
                <w:szCs w:val="21"/>
                <w:lang w:eastAsia="zh-Hans"/>
              </w:rPr>
              <w:t>洪水水文要素摘录表</w:t>
            </w:r>
          </w:p>
          <w:p>
            <w:pPr>
              <w:pStyle w:val="184"/>
              <w:spacing w:line="240" w:lineRule="auto"/>
              <w:ind w:left="420"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降水量资料</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1</w:t>
            </w:r>
            <w:r>
              <w:rPr>
                <w:rFonts w:hint="eastAsia" w:hAnsi="宋体" w:cs="宋体"/>
                <w:sz w:val="21"/>
                <w:szCs w:val="21"/>
              </w:rPr>
              <w:t>）</w:t>
            </w:r>
            <w:r>
              <w:rPr>
                <w:rFonts w:hint="eastAsia" w:hAnsi="宋体" w:cs="宋体"/>
                <w:sz w:val="21"/>
                <w:szCs w:val="21"/>
                <w:lang w:eastAsia="zh-Hans"/>
              </w:rPr>
              <w:t>逐日降水量表</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2</w:t>
            </w:r>
            <w:r>
              <w:rPr>
                <w:rFonts w:hint="eastAsia" w:hAnsi="宋体" w:cs="宋体"/>
                <w:sz w:val="21"/>
                <w:szCs w:val="21"/>
              </w:rPr>
              <w:t>）</w:t>
            </w:r>
            <w:r>
              <w:rPr>
                <w:rFonts w:hint="eastAsia" w:hAnsi="宋体" w:cs="宋体"/>
                <w:sz w:val="21"/>
                <w:szCs w:val="21"/>
                <w:lang w:eastAsia="zh-Hans"/>
              </w:rPr>
              <w:t>降水量摘录表</w:t>
            </w:r>
          </w:p>
          <w:p>
            <w:pPr>
              <w:pStyle w:val="183"/>
              <w:numPr>
                <w:ilvl w:val="0"/>
                <w:numId w:val="6"/>
              </w:numPr>
              <w:spacing w:line="240" w:lineRule="auto"/>
              <w:ind w:firstLineChars="0"/>
              <w:rPr>
                <w:rFonts w:hAnsi="宋体" w:cs="宋体"/>
                <w:sz w:val="21"/>
                <w:szCs w:val="21"/>
                <w:lang w:eastAsia="zh-Hans"/>
              </w:rPr>
            </w:pPr>
            <w:r>
              <w:rPr>
                <w:rFonts w:hint="eastAsia" w:hAnsi="宋体" w:cs="宋体"/>
                <w:sz w:val="21"/>
                <w:szCs w:val="21"/>
                <w:lang w:eastAsia="zh-Hans"/>
              </w:rPr>
              <w:t>各时段最大降水量表（1）（统</w:t>
            </w:r>
          </w:p>
          <w:p>
            <w:pPr>
              <w:pStyle w:val="183"/>
              <w:spacing w:line="240" w:lineRule="auto"/>
              <w:ind w:firstLine="0" w:firstLineChars="0"/>
              <w:rPr>
                <w:rFonts w:hAnsi="宋体" w:cs="宋体"/>
                <w:sz w:val="21"/>
                <w:szCs w:val="21"/>
                <w:lang w:eastAsia="zh-Hans"/>
              </w:rPr>
            </w:pPr>
            <w:r>
              <w:rPr>
                <w:rFonts w:hint="eastAsia" w:hAnsi="宋体" w:cs="宋体"/>
                <w:sz w:val="21"/>
                <w:szCs w:val="21"/>
                <w:lang w:eastAsia="zh-Hans"/>
              </w:rPr>
              <w:t>计时段为分钟）</w:t>
            </w:r>
          </w:p>
          <w:p>
            <w:pPr>
              <w:pStyle w:val="183"/>
              <w:numPr>
                <w:ilvl w:val="0"/>
                <w:numId w:val="6"/>
              </w:numPr>
              <w:spacing w:line="240" w:lineRule="auto"/>
              <w:ind w:firstLineChars="0"/>
              <w:rPr>
                <w:rFonts w:hAnsi="宋体" w:cs="宋体"/>
                <w:sz w:val="21"/>
                <w:szCs w:val="21"/>
                <w:lang w:eastAsia="zh-Hans"/>
              </w:rPr>
            </w:pPr>
            <w:r>
              <w:rPr>
                <w:rFonts w:hint="eastAsia" w:hAnsi="宋体" w:cs="宋体"/>
                <w:sz w:val="21"/>
                <w:szCs w:val="21"/>
                <w:lang w:eastAsia="zh-Hans"/>
              </w:rPr>
              <w:t>各时段最大降水量表（2）（统</w:t>
            </w:r>
          </w:p>
          <w:p>
            <w:pPr>
              <w:pStyle w:val="183"/>
              <w:spacing w:line="240" w:lineRule="auto"/>
              <w:ind w:firstLine="0" w:firstLineChars="0"/>
              <w:rPr>
                <w:rFonts w:hAnsi="宋体" w:cs="宋体"/>
                <w:sz w:val="21"/>
                <w:szCs w:val="21"/>
                <w:lang w:eastAsia="zh-Hans"/>
              </w:rPr>
            </w:pPr>
            <w:r>
              <w:rPr>
                <w:rFonts w:hint="eastAsia" w:hAnsi="宋体" w:cs="宋体"/>
                <w:sz w:val="21"/>
                <w:szCs w:val="21"/>
                <w:lang w:eastAsia="zh-Hans"/>
              </w:rPr>
              <w:t>计时段为小时）</w:t>
            </w:r>
          </w:p>
          <w:p>
            <w:pPr>
              <w:pStyle w:val="6"/>
              <w:ind w:firstLine="422"/>
              <w:rPr>
                <w:rFonts w:ascii="宋体" w:hAnsi="宋体" w:eastAsia="宋体" w:cs="宋体"/>
                <w:sz w:val="21"/>
                <w:szCs w:val="21"/>
              </w:rPr>
            </w:pPr>
            <w:bookmarkStart w:id="59" w:name="_Toc16355217_WPSOffice_Level3"/>
            <w:r>
              <w:rPr>
                <w:rFonts w:hint="eastAsia" w:ascii="宋体" w:hAnsi="宋体" w:eastAsia="宋体" w:cs="宋体"/>
                <w:sz w:val="21"/>
                <w:szCs w:val="21"/>
              </w:rPr>
              <w:t>2、水文历史数据分析</w:t>
            </w:r>
            <w:bookmarkEnd w:id="59"/>
          </w:p>
          <w:p>
            <w:pPr>
              <w:ind w:firstLine="420" w:firstLineChars="200"/>
              <w:rPr>
                <w:rFonts w:ascii="宋体" w:hAnsi="宋体" w:cs="宋体"/>
                <w:szCs w:val="21"/>
                <w:lang w:eastAsia="zh-Hans"/>
              </w:rPr>
            </w:pPr>
            <w:r>
              <w:rPr>
                <w:rFonts w:hint="eastAsia" w:ascii="宋体" w:hAnsi="宋体" w:cs="宋体"/>
                <w:szCs w:val="21"/>
                <w:lang w:eastAsia="zh-Hans"/>
              </w:rPr>
              <w:t>历史数据统计分析主要依据测站的设站年份及相关水文数据，包括水位、流量、潮位、降雨量数据等，对历史数据进行分析梳理并进行汇总。</w:t>
            </w:r>
          </w:p>
          <w:p>
            <w:pPr>
              <w:ind w:firstLine="420" w:firstLineChars="200"/>
              <w:rPr>
                <w:rFonts w:ascii="宋体" w:hAnsi="宋体" w:cs="宋体"/>
                <w:szCs w:val="21"/>
                <w:lang w:eastAsia="zh-Hans"/>
              </w:rPr>
            </w:pPr>
            <w:r>
              <w:rPr>
                <w:rFonts w:hint="eastAsia" w:ascii="宋体" w:hAnsi="宋体" w:cs="宋体"/>
                <w:szCs w:val="21"/>
              </w:rPr>
              <w:t>（1）</w:t>
            </w:r>
            <w:r>
              <w:rPr>
                <w:rFonts w:hint="eastAsia" w:ascii="宋体" w:hAnsi="宋体" w:cs="宋体"/>
                <w:szCs w:val="21"/>
                <w:lang w:eastAsia="zh-Hans"/>
              </w:rPr>
              <w:t>测站资料情况分析：根据测站的类型，对其历年资料进行检查，并记录资料缺失年份和缺失的对应资料，并以图表或表格的形式展现统计结果。</w:t>
            </w:r>
          </w:p>
          <w:p>
            <w:pPr>
              <w:ind w:firstLine="420" w:firstLineChars="200"/>
              <w:rPr>
                <w:rFonts w:ascii="宋体" w:hAnsi="宋体" w:cs="宋体"/>
                <w:szCs w:val="21"/>
                <w:lang w:eastAsia="zh-Hans"/>
              </w:rPr>
            </w:pPr>
            <w:r>
              <w:rPr>
                <w:rFonts w:hint="eastAsia" w:ascii="宋体" w:hAnsi="宋体" w:cs="宋体"/>
                <w:szCs w:val="21"/>
              </w:rPr>
              <w:t>（2）</w:t>
            </w:r>
            <w:r>
              <w:rPr>
                <w:rFonts w:hint="eastAsia" w:ascii="宋体" w:hAnsi="宋体" w:cs="宋体"/>
                <w:szCs w:val="21"/>
                <w:lang w:eastAsia="zh-Hans"/>
              </w:rPr>
              <w:t>降雨情况分析：根据历年降雨数据分析梅雨季、台风季降雨情况以及强降雨情况；</w:t>
            </w:r>
          </w:p>
          <w:p>
            <w:pPr>
              <w:ind w:firstLine="420" w:firstLineChars="200"/>
              <w:rPr>
                <w:rFonts w:ascii="宋体" w:hAnsi="宋体" w:cs="宋体"/>
                <w:szCs w:val="21"/>
                <w:lang w:eastAsia="zh-Hans"/>
              </w:rPr>
            </w:pPr>
            <w:r>
              <w:rPr>
                <w:rFonts w:hint="eastAsia" w:ascii="宋体" w:hAnsi="宋体" w:cs="宋体"/>
                <w:szCs w:val="21"/>
              </w:rPr>
              <w:t>（3）</w:t>
            </w:r>
            <w:r>
              <w:rPr>
                <w:rFonts w:hint="eastAsia" w:ascii="宋体" w:hAnsi="宋体" w:cs="宋体"/>
                <w:szCs w:val="21"/>
                <w:lang w:eastAsia="zh-Hans"/>
              </w:rPr>
              <w:t>特征值分析：包括水位特征值分析、流量特征值分析、降雨量特征值分析、潮位特征值分析等。</w:t>
            </w:r>
          </w:p>
          <w:p>
            <w:pPr>
              <w:ind w:firstLine="200"/>
              <w:rPr>
                <w:rFonts w:ascii="宋体" w:hAnsi="宋体" w:cs="宋体"/>
                <w:szCs w:val="21"/>
                <w:lang w:eastAsia="zh-Hans"/>
              </w:rPr>
            </w:pPr>
            <w:r>
              <w:rPr>
                <w:rFonts w:hint="eastAsia" w:ascii="宋体" w:hAnsi="宋体" w:cs="宋体"/>
                <w:szCs w:val="21"/>
              </w:rPr>
              <w:t>1）</w:t>
            </w:r>
            <w:r>
              <w:rPr>
                <w:rFonts w:hint="eastAsia" w:ascii="宋体" w:hAnsi="宋体" w:cs="宋体"/>
                <w:szCs w:val="21"/>
                <w:lang w:eastAsia="zh-Hans"/>
              </w:rPr>
              <w:t>水位特征值分析</w:t>
            </w:r>
          </w:p>
          <w:p>
            <w:pPr>
              <w:pStyle w:val="184"/>
              <w:spacing w:line="240" w:lineRule="auto"/>
              <w:ind w:left="420"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月平均水位、最低水位及出现日</w:t>
            </w:r>
          </w:p>
          <w:p>
            <w:pPr>
              <w:pStyle w:val="184"/>
              <w:spacing w:line="240" w:lineRule="auto"/>
              <w:ind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期、最高水位及出现日期</w:t>
            </w:r>
          </w:p>
          <w:p>
            <w:pPr>
              <w:pStyle w:val="184"/>
              <w:spacing w:line="240" w:lineRule="auto"/>
              <w:ind w:left="420"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年平均水位、最低水位及出现日</w:t>
            </w:r>
          </w:p>
          <w:p>
            <w:pPr>
              <w:pStyle w:val="184"/>
              <w:spacing w:line="240" w:lineRule="auto"/>
              <w:ind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期、最高水位及出现日期</w:t>
            </w:r>
          </w:p>
          <w:p>
            <w:pPr>
              <w:pStyle w:val="184"/>
              <w:spacing w:line="240" w:lineRule="auto"/>
              <w:ind w:left="420"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保证率水位计算</w:t>
            </w:r>
          </w:p>
          <w:p>
            <w:pPr>
              <w:ind w:firstLine="200"/>
              <w:rPr>
                <w:rFonts w:ascii="宋体" w:hAnsi="宋体" w:cs="宋体"/>
                <w:szCs w:val="21"/>
                <w:lang w:eastAsia="zh-Hans"/>
              </w:rPr>
            </w:pPr>
            <w:r>
              <w:rPr>
                <w:rFonts w:hint="eastAsia" w:ascii="宋体" w:hAnsi="宋体" w:cs="宋体"/>
                <w:szCs w:val="21"/>
              </w:rPr>
              <w:t>2）</w:t>
            </w:r>
            <w:r>
              <w:rPr>
                <w:rFonts w:hint="eastAsia" w:ascii="宋体" w:hAnsi="宋体" w:cs="宋体"/>
                <w:szCs w:val="21"/>
                <w:lang w:eastAsia="zh-Hans"/>
              </w:rPr>
              <w:t>流量特征值分析</w:t>
            </w:r>
          </w:p>
          <w:p>
            <w:pPr>
              <w:pStyle w:val="184"/>
              <w:spacing w:line="240" w:lineRule="auto"/>
              <w:ind w:left="420"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月平均流量、最小流量及出现日</w:t>
            </w:r>
          </w:p>
          <w:p>
            <w:pPr>
              <w:pStyle w:val="184"/>
              <w:spacing w:line="240" w:lineRule="auto"/>
              <w:ind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期、最大流量及出现日期</w:t>
            </w:r>
          </w:p>
          <w:p>
            <w:pPr>
              <w:pStyle w:val="184"/>
              <w:spacing w:line="240" w:lineRule="auto"/>
              <w:ind w:left="420"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年平均流量、最小流量及出现日</w:t>
            </w:r>
          </w:p>
          <w:p>
            <w:pPr>
              <w:pStyle w:val="184"/>
              <w:spacing w:line="240" w:lineRule="auto"/>
              <w:ind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期、最大流量及出现日期</w:t>
            </w:r>
          </w:p>
          <w:p>
            <w:pPr>
              <w:ind w:firstLine="200"/>
              <w:rPr>
                <w:rFonts w:ascii="宋体" w:hAnsi="宋体" w:cs="宋体"/>
                <w:szCs w:val="21"/>
                <w:lang w:eastAsia="zh-Hans"/>
              </w:rPr>
            </w:pPr>
            <w:r>
              <w:rPr>
                <w:rFonts w:hint="eastAsia" w:ascii="宋体" w:hAnsi="宋体" w:cs="宋体"/>
                <w:szCs w:val="21"/>
              </w:rPr>
              <w:t>3）</w:t>
            </w:r>
            <w:r>
              <w:rPr>
                <w:rFonts w:hint="eastAsia" w:ascii="宋体" w:hAnsi="宋体" w:cs="宋体"/>
                <w:szCs w:val="21"/>
                <w:lang w:eastAsia="zh-Hans"/>
              </w:rPr>
              <w:t>降雨量特征值分析</w:t>
            </w:r>
          </w:p>
          <w:p>
            <w:pPr>
              <w:pStyle w:val="184"/>
              <w:spacing w:line="240" w:lineRule="auto"/>
              <w:ind w:left="420"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月降水量、降水日数、最大日降水量、年降水量、降水日数、时段（1/3/7/15/30日）最大降水量及开始日期</w:t>
            </w:r>
          </w:p>
          <w:p>
            <w:pPr>
              <w:pStyle w:val="184"/>
              <w:spacing w:line="240" w:lineRule="auto"/>
              <w:ind w:firstLineChars="0"/>
              <w:rPr>
                <w:rFonts w:ascii="宋体" w:hAnsi="宋体" w:eastAsia="宋体" w:cs="宋体"/>
                <w:sz w:val="21"/>
                <w:szCs w:val="21"/>
                <w:lang w:eastAsia="zh-Hans"/>
              </w:rPr>
            </w:pPr>
            <w:r>
              <w:rPr>
                <w:rFonts w:hint="eastAsia" w:ascii="宋体" w:hAnsi="宋体" w:eastAsia="宋体" w:cs="宋体"/>
                <w:sz w:val="21"/>
                <w:szCs w:val="21"/>
                <w:lang w:eastAsia="zh-Hans"/>
              </w:rPr>
              <w:t>连续无雨日数及日期统计（一般按照春季3-5月份和秋季9-11月份，日雨量小于3mm的降雨视为无有效降雨，即视为无雨日；夏季6-8月份，日雨量小于5mm视为无效降雨，该日视为无雨日）。</w:t>
            </w:r>
          </w:p>
          <w:p>
            <w:pPr>
              <w:ind w:firstLine="200"/>
              <w:rPr>
                <w:rFonts w:ascii="宋体" w:hAnsi="宋体" w:cs="宋体"/>
                <w:szCs w:val="21"/>
                <w:lang w:eastAsia="zh-Hans"/>
              </w:rPr>
            </w:pPr>
            <w:r>
              <w:rPr>
                <w:rFonts w:hint="eastAsia" w:ascii="宋体" w:hAnsi="宋体" w:cs="宋体"/>
                <w:szCs w:val="21"/>
              </w:rPr>
              <w:t>4）</w:t>
            </w:r>
            <w:r>
              <w:rPr>
                <w:rFonts w:hint="eastAsia" w:ascii="宋体" w:hAnsi="宋体" w:cs="宋体"/>
                <w:szCs w:val="21"/>
                <w:lang w:eastAsia="zh-Hans"/>
              </w:rPr>
              <w:t>潮位特征值分析</w:t>
            </w:r>
          </w:p>
          <w:p>
            <w:pPr>
              <w:pStyle w:val="184"/>
              <w:spacing w:line="240" w:lineRule="auto"/>
              <w:rPr>
                <w:rFonts w:ascii="宋体" w:hAnsi="宋体" w:eastAsia="宋体" w:cs="宋体"/>
                <w:kern w:val="0"/>
                <w:sz w:val="21"/>
                <w:szCs w:val="21"/>
              </w:rPr>
            </w:pPr>
            <w:r>
              <w:rPr>
                <w:rFonts w:hint="eastAsia" w:ascii="宋体" w:hAnsi="宋体" w:eastAsia="宋体" w:cs="宋体"/>
                <w:sz w:val="21"/>
                <w:szCs w:val="21"/>
                <w:lang w:eastAsia="zh-Hans"/>
              </w:rPr>
              <w:t>月平均最高潮位及时间、最低潮位及时间、月平均潮差、最大潮差及日期、最小潮差及日期，包括涨潮和落潮月平均历时、最大历时及日期、最小历时及日期，包括涨潮和落潮</w:t>
            </w:r>
            <w:r>
              <w:rPr>
                <w:rFonts w:hint="eastAsia" w:ascii="宋体" w:hAnsi="宋体" w:eastAsia="宋体" w:cs="宋体"/>
                <w:sz w:val="21"/>
                <w:szCs w:val="21"/>
              </w:rPr>
              <w:t>。</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软件等保评测</w:t>
            </w:r>
          </w:p>
        </w:tc>
        <w:tc>
          <w:tcPr>
            <w:tcW w:w="1993" w:type="pct"/>
          </w:tcPr>
          <w:p>
            <w:pPr>
              <w:widowControl/>
              <w:rPr>
                <w:rFonts w:ascii="宋体" w:hAnsi="宋体" w:cs="宋体"/>
                <w:kern w:val="0"/>
                <w:szCs w:val="21"/>
              </w:rPr>
            </w:pPr>
            <w:r>
              <w:rPr>
                <w:rFonts w:hint="eastAsia" w:ascii="宋体" w:hAnsi="宋体" w:cs="宋体"/>
                <w:kern w:val="0"/>
                <w:szCs w:val="21"/>
              </w:rPr>
              <w:t>具体内容：对常山县水文预测预报系统进行软件等保评测（包含代码审计），系统平台包括水情情报能力提升、水情预报能力提升、开发流量同化算法、水文数字孪生等功能模块。</w:t>
            </w:r>
          </w:p>
          <w:p>
            <w:pPr>
              <w:widowControl/>
              <w:rPr>
                <w:rFonts w:ascii="宋体" w:hAnsi="宋体" w:cs="宋体"/>
                <w:kern w:val="0"/>
                <w:szCs w:val="21"/>
              </w:rPr>
            </w:pPr>
            <w:r>
              <w:rPr>
                <w:rFonts w:hint="eastAsia" w:ascii="宋体" w:hAnsi="宋体" w:cs="宋体"/>
                <w:kern w:val="0"/>
                <w:szCs w:val="21"/>
              </w:rPr>
              <w:t>等保级别：达到二级等保要求。</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b/>
                <w:bCs/>
                <w:kern w:val="0"/>
                <w:szCs w:val="21"/>
              </w:rPr>
              <w:t>1</w:t>
            </w:r>
            <w:r>
              <w:rPr>
                <w:rFonts w:ascii="宋体" w:hAnsi="宋体" w:cs="宋体"/>
                <w:b/>
                <w:bCs/>
                <w:kern w:val="0"/>
                <w:szCs w:val="21"/>
              </w:rPr>
              <w:t>4</w:t>
            </w:r>
          </w:p>
        </w:tc>
        <w:tc>
          <w:tcPr>
            <w:tcW w:w="97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b/>
                <w:bCs/>
                <w:kern w:val="0"/>
                <w:szCs w:val="21"/>
              </w:rPr>
              <w:t>全自动缆道测流控制系统</w:t>
            </w:r>
          </w:p>
        </w:tc>
        <w:tc>
          <w:tcPr>
            <w:tcW w:w="1993" w:type="pct"/>
            <w:vAlign w:val="top"/>
          </w:tcPr>
          <w:p>
            <w:pPr>
              <w:widowControl/>
              <w:rPr>
                <w:rFonts w:hint="eastAsia" w:ascii="宋体" w:hAnsi="宋体" w:eastAsia="宋体" w:cs="宋体"/>
                <w:b/>
                <w:bCs/>
                <w:kern w:val="0"/>
                <w:sz w:val="21"/>
                <w:szCs w:val="21"/>
                <w:lang w:val="en-US" w:eastAsia="zh-CN" w:bidi="ar-SA"/>
              </w:rPr>
            </w:pPr>
          </w:p>
        </w:tc>
        <w:tc>
          <w:tcPr>
            <w:tcW w:w="656"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p>
        </w:tc>
        <w:tc>
          <w:tcPr>
            <w:tcW w:w="695"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ascii="宋体" w:hAnsi="宋体" w:cs="宋体"/>
                <w:color w:val="000000"/>
                <w:szCs w:val="21"/>
              </w:rPr>
              <w:t>14.1</w:t>
            </w:r>
          </w:p>
        </w:tc>
        <w:tc>
          <w:tcPr>
            <w:tcW w:w="97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xml:space="preserve">缆道控制系统 </w:t>
            </w:r>
          </w:p>
        </w:tc>
        <w:tc>
          <w:tcPr>
            <w:tcW w:w="1993" w:type="pct"/>
            <w:vAlign w:val="center"/>
          </w:tcPr>
          <w:p>
            <w:pPr>
              <w:pStyle w:val="183"/>
              <w:spacing w:line="240" w:lineRule="auto"/>
              <w:ind w:firstLine="0" w:firstLineChars="0"/>
              <w:rPr>
                <w:rFonts w:hAnsi="宋体"/>
                <w:sz w:val="21"/>
                <w:szCs w:val="21"/>
              </w:rPr>
            </w:pPr>
            <w:r>
              <w:rPr>
                <w:rFonts w:hint="eastAsia" w:hAnsi="宋体"/>
                <w:sz w:val="21"/>
                <w:szCs w:val="21"/>
              </w:rPr>
              <w:t>1、系统功能</w:t>
            </w:r>
          </w:p>
          <w:p>
            <w:pPr>
              <w:pStyle w:val="183"/>
              <w:spacing w:line="240" w:lineRule="auto"/>
              <w:ind w:firstLine="0" w:firstLineChars="0"/>
              <w:rPr>
                <w:rFonts w:hAnsi="宋体"/>
                <w:sz w:val="21"/>
                <w:szCs w:val="21"/>
              </w:rPr>
            </w:pPr>
            <w:r>
              <w:rPr>
                <w:rFonts w:hint="eastAsia" w:hAnsi="宋体"/>
                <w:sz w:val="21"/>
                <w:szCs w:val="21"/>
              </w:rPr>
              <w:t>（1）采用升降前后</w:t>
            </w:r>
            <w:r>
              <w:rPr>
                <w:rFonts w:hint="eastAsia" w:hAnsi="宋体" w:cs="微软雅黑"/>
                <w:sz w:val="21"/>
                <w:szCs w:val="21"/>
              </w:rPr>
              <w:t>联</w:t>
            </w:r>
            <w:r>
              <w:rPr>
                <w:rFonts w:hint="eastAsia" w:hAnsi="宋体" w:cs="Yu Gothic UI"/>
                <w:sz w:val="21"/>
                <w:szCs w:val="21"/>
              </w:rPr>
              <w:t>合双</w:t>
            </w:r>
            <w:r>
              <w:rPr>
                <w:rFonts w:hint="eastAsia" w:hAnsi="宋体" w:cs="微软雅黑"/>
                <w:sz w:val="21"/>
                <w:szCs w:val="21"/>
              </w:rPr>
              <w:t>变频</w:t>
            </w:r>
            <w:r>
              <w:rPr>
                <w:rFonts w:hint="eastAsia" w:hAnsi="宋体" w:cs="Yu Gothic UI"/>
                <w:sz w:val="21"/>
                <w:szCs w:val="21"/>
              </w:rPr>
              <w:t>控制系</w:t>
            </w:r>
            <w:r>
              <w:rPr>
                <w:rFonts w:hint="eastAsia" w:hAnsi="宋体" w:cs="微软雅黑"/>
                <w:sz w:val="21"/>
                <w:szCs w:val="21"/>
              </w:rPr>
              <w:t>统</w:t>
            </w:r>
            <w:r>
              <w:rPr>
                <w:rFonts w:hint="eastAsia" w:hAnsi="宋体" w:cs="Yu Gothic UI"/>
                <w:sz w:val="21"/>
                <w:szCs w:val="21"/>
              </w:rPr>
              <w:t>，由</w:t>
            </w:r>
            <w:r>
              <w:rPr>
                <w:rFonts w:hint="eastAsia" w:hAnsi="宋体"/>
                <w:sz w:val="21"/>
                <w:szCs w:val="21"/>
              </w:rPr>
              <w:t>P</w:t>
            </w:r>
            <w:r>
              <w:rPr>
                <w:rFonts w:hAnsi="宋体"/>
                <w:sz w:val="21"/>
                <w:szCs w:val="21"/>
              </w:rPr>
              <w:t>LC</w:t>
            </w:r>
            <w:r>
              <w:rPr>
                <w:rFonts w:hint="eastAsia" w:hAnsi="宋体"/>
                <w:sz w:val="21"/>
                <w:szCs w:val="21"/>
              </w:rPr>
              <w:t>控制</w:t>
            </w:r>
            <w:r>
              <w:rPr>
                <w:rFonts w:hint="eastAsia" w:hAnsi="宋体" w:cs="微软雅黑"/>
                <w:sz w:val="21"/>
                <w:szCs w:val="21"/>
              </w:rPr>
              <w:t>变频</w:t>
            </w:r>
            <w:r>
              <w:rPr>
                <w:rFonts w:hint="eastAsia" w:hAnsi="宋体"/>
                <w:sz w:val="21"/>
                <w:szCs w:val="21"/>
              </w:rPr>
              <w:t>器工作。</w:t>
            </w:r>
          </w:p>
          <w:p>
            <w:pPr>
              <w:pStyle w:val="183"/>
              <w:spacing w:line="240" w:lineRule="auto"/>
              <w:ind w:firstLine="0" w:firstLineChars="0"/>
              <w:rPr>
                <w:rFonts w:hAnsi="宋体"/>
                <w:sz w:val="21"/>
                <w:szCs w:val="21"/>
              </w:rPr>
            </w:pPr>
            <w:r>
              <w:rPr>
                <w:rFonts w:hint="eastAsia" w:hAnsi="宋体"/>
                <w:sz w:val="21"/>
                <w:szCs w:val="21"/>
              </w:rPr>
              <w:t>（</w:t>
            </w:r>
            <w:r>
              <w:rPr>
                <w:rFonts w:hAnsi="宋体"/>
                <w:sz w:val="21"/>
                <w:szCs w:val="21"/>
              </w:rPr>
              <w:t>2）</w:t>
            </w:r>
            <w:r>
              <w:rPr>
                <w:rFonts w:hint="eastAsia" w:hAnsi="宋体" w:cs="Yu Gothic UI"/>
                <w:sz w:val="21"/>
                <w:szCs w:val="21"/>
              </w:rPr>
              <w:t>可将</w:t>
            </w:r>
            <w:r>
              <w:rPr>
                <w:rFonts w:hint="eastAsia" w:hAnsi="宋体" w:cs="微软雅黑"/>
                <w:sz w:val="21"/>
                <w:szCs w:val="21"/>
              </w:rPr>
              <w:t>测</w:t>
            </w:r>
            <w:r>
              <w:rPr>
                <w:rFonts w:hint="eastAsia" w:hAnsi="宋体" w:cs="Yu Gothic UI"/>
                <w:sz w:val="21"/>
                <w:szCs w:val="21"/>
              </w:rPr>
              <w:t>控任</w:t>
            </w:r>
            <w:r>
              <w:rPr>
                <w:rFonts w:hint="eastAsia" w:hAnsi="宋体" w:cs="微软雅黑"/>
                <w:sz w:val="21"/>
                <w:szCs w:val="21"/>
              </w:rPr>
              <w:t>务</w:t>
            </w:r>
            <w:r>
              <w:rPr>
                <w:rFonts w:hint="eastAsia" w:hAnsi="宋体" w:cs="Yu Gothic UI"/>
                <w:sz w:val="21"/>
                <w:szCs w:val="21"/>
              </w:rPr>
              <w:t>指令下达到</w:t>
            </w:r>
            <w:r>
              <w:rPr>
                <w:rFonts w:hint="eastAsia" w:hAnsi="宋体" w:cs="微软雅黑"/>
                <w:sz w:val="21"/>
                <w:szCs w:val="21"/>
              </w:rPr>
              <w:t>测</w:t>
            </w:r>
            <w:r>
              <w:rPr>
                <w:rFonts w:hint="eastAsia" w:hAnsi="宋体" w:cs="Yu Gothic UI"/>
                <w:sz w:val="21"/>
                <w:szCs w:val="21"/>
              </w:rPr>
              <w:t>站，</w:t>
            </w:r>
            <w:r>
              <w:rPr>
                <w:rFonts w:hint="eastAsia" w:hAnsi="宋体" w:cs="微软雅黑"/>
                <w:sz w:val="21"/>
                <w:szCs w:val="21"/>
              </w:rPr>
              <w:t>实现远</w:t>
            </w:r>
            <w:r>
              <w:rPr>
                <w:rFonts w:hint="eastAsia" w:hAnsi="宋体" w:cs="Yu Gothic UI"/>
                <w:sz w:val="21"/>
                <w:szCs w:val="21"/>
              </w:rPr>
              <w:t>程控制</w:t>
            </w:r>
            <w:r>
              <w:rPr>
                <w:rFonts w:hint="eastAsia" w:hAnsi="宋体" w:cs="微软雅黑"/>
                <w:sz w:val="21"/>
                <w:szCs w:val="21"/>
              </w:rPr>
              <w:t>测验</w:t>
            </w:r>
            <w:r>
              <w:rPr>
                <w:rFonts w:hint="eastAsia" w:hAnsi="宋体" w:cs="Yu Gothic UI"/>
                <w:sz w:val="21"/>
                <w:szCs w:val="21"/>
              </w:rPr>
              <w:t>；具有自</w:t>
            </w:r>
            <w:r>
              <w:rPr>
                <w:rFonts w:hint="eastAsia" w:hAnsi="宋体" w:cs="微软雅黑"/>
                <w:sz w:val="21"/>
                <w:szCs w:val="21"/>
              </w:rPr>
              <w:t>动测</w:t>
            </w:r>
            <w:r>
              <w:rPr>
                <w:rFonts w:hint="eastAsia" w:hAnsi="宋体" w:cs="Yu Gothic UI"/>
                <w:sz w:val="21"/>
                <w:szCs w:val="21"/>
              </w:rPr>
              <w:t>流、半自</w:t>
            </w:r>
            <w:r>
              <w:rPr>
                <w:rFonts w:hint="eastAsia" w:hAnsi="宋体" w:cs="微软雅黑"/>
                <w:sz w:val="21"/>
                <w:szCs w:val="21"/>
              </w:rPr>
              <w:t>动测</w:t>
            </w:r>
            <w:r>
              <w:rPr>
                <w:rFonts w:hint="eastAsia" w:hAnsi="宋体" w:cs="Yu Gothic UI"/>
                <w:sz w:val="21"/>
                <w:szCs w:val="21"/>
              </w:rPr>
              <w:t>流、手</w:t>
            </w:r>
            <w:r>
              <w:rPr>
                <w:rFonts w:hint="eastAsia" w:hAnsi="宋体" w:cs="微软雅黑"/>
                <w:sz w:val="21"/>
                <w:szCs w:val="21"/>
              </w:rPr>
              <w:t>动测</w:t>
            </w:r>
            <w:r>
              <w:rPr>
                <w:rFonts w:hint="eastAsia" w:hAnsi="宋体" w:cs="Yu Gothic UI"/>
                <w:sz w:val="21"/>
                <w:szCs w:val="21"/>
              </w:rPr>
              <w:t>流三种操作方式，具</w:t>
            </w:r>
            <w:r>
              <w:rPr>
                <w:rFonts w:hint="eastAsia" w:hAnsi="宋体" w:cs="微软雅黑"/>
                <w:sz w:val="21"/>
                <w:szCs w:val="21"/>
              </w:rPr>
              <w:t>备远</w:t>
            </w:r>
            <w:r>
              <w:rPr>
                <w:rFonts w:hint="eastAsia" w:hAnsi="宋体" w:cs="Yu Gothic UI"/>
                <w:sz w:val="21"/>
                <w:szCs w:val="21"/>
              </w:rPr>
              <w:t>程、</w:t>
            </w:r>
            <w:r>
              <w:rPr>
                <w:rFonts w:hint="eastAsia" w:hAnsi="宋体" w:cs="微软雅黑"/>
                <w:sz w:val="21"/>
                <w:szCs w:val="21"/>
              </w:rPr>
              <w:t>现</w:t>
            </w:r>
            <w:r>
              <w:rPr>
                <w:rFonts w:hint="eastAsia" w:hAnsi="宋体" w:cs="Yu Gothic UI"/>
                <w:sz w:val="21"/>
                <w:szCs w:val="21"/>
              </w:rPr>
              <w:t>地（室内</w:t>
            </w:r>
            <w:r>
              <w:rPr>
                <w:rFonts w:hint="eastAsia" w:hAnsi="宋体" w:cs="微软雅黑"/>
                <w:sz w:val="21"/>
                <w:szCs w:val="21"/>
              </w:rPr>
              <w:t>电脑</w:t>
            </w:r>
            <w:r>
              <w:rPr>
                <w:rFonts w:hint="eastAsia" w:hAnsi="宋体" w:cs="Yu Gothic UI"/>
                <w:sz w:val="21"/>
                <w:szCs w:val="21"/>
              </w:rPr>
              <w:t>操作</w:t>
            </w:r>
            <w:r>
              <w:rPr>
                <w:rFonts w:hint="eastAsia" w:hAnsi="宋体"/>
                <w:sz w:val="21"/>
                <w:szCs w:val="21"/>
              </w:rPr>
              <w:t>+操作台</w:t>
            </w:r>
            <w:r>
              <w:rPr>
                <w:rFonts w:hint="eastAsia" w:hAnsi="宋体" w:cs="微软雅黑"/>
                <w:sz w:val="21"/>
                <w:szCs w:val="21"/>
              </w:rPr>
              <w:t>实</w:t>
            </w:r>
            <w:r>
              <w:rPr>
                <w:rFonts w:hint="eastAsia" w:hAnsi="宋体" w:cs="Yu Gothic UI"/>
                <w:sz w:val="21"/>
                <w:szCs w:val="21"/>
              </w:rPr>
              <w:t>体按</w:t>
            </w:r>
            <w:r>
              <w:rPr>
                <w:rFonts w:hint="eastAsia" w:hAnsi="宋体" w:cs="微软雅黑"/>
                <w:sz w:val="21"/>
                <w:szCs w:val="21"/>
              </w:rPr>
              <w:t>键</w:t>
            </w:r>
            <w:r>
              <w:rPr>
                <w:rFonts w:hint="eastAsia" w:hAnsi="宋体" w:cs="Yu Gothic UI"/>
                <w:sz w:val="21"/>
                <w:szCs w:val="21"/>
              </w:rPr>
              <w:t>操作）</w:t>
            </w:r>
            <w:r>
              <w:rPr>
                <w:rFonts w:hint="eastAsia" w:hAnsi="宋体"/>
                <w:sz w:val="21"/>
                <w:szCs w:val="21"/>
              </w:rPr>
              <w:t>操控模式。</w:t>
            </w:r>
          </w:p>
          <w:p>
            <w:pPr>
              <w:pStyle w:val="183"/>
              <w:spacing w:line="240" w:lineRule="auto"/>
              <w:ind w:firstLine="0" w:firstLineChars="0"/>
              <w:rPr>
                <w:rFonts w:hAnsi="宋体"/>
                <w:sz w:val="21"/>
                <w:szCs w:val="21"/>
              </w:rPr>
            </w:pPr>
            <w:r>
              <w:rPr>
                <w:rFonts w:hint="eastAsia" w:hAnsi="宋体"/>
                <w:sz w:val="21"/>
                <w:szCs w:val="21"/>
              </w:rPr>
              <w:t>（</w:t>
            </w:r>
            <w:r>
              <w:rPr>
                <w:rFonts w:hAnsi="宋体"/>
                <w:sz w:val="21"/>
                <w:szCs w:val="21"/>
              </w:rPr>
              <w:t>3）</w:t>
            </w:r>
            <w:r>
              <w:rPr>
                <w:rFonts w:hint="eastAsia" w:hAnsi="宋体" w:cs="微软雅黑"/>
                <w:sz w:val="21"/>
                <w:szCs w:val="21"/>
              </w:rPr>
              <w:t>远</w:t>
            </w:r>
            <w:r>
              <w:rPr>
                <w:rFonts w:hint="eastAsia" w:hAnsi="宋体" w:cs="Yu Gothic UI"/>
                <w:sz w:val="21"/>
                <w:szCs w:val="21"/>
              </w:rPr>
              <w:t>程</w:t>
            </w:r>
            <w:r>
              <w:rPr>
                <w:rFonts w:hint="eastAsia" w:hAnsi="宋体" w:cs="微软雅黑"/>
                <w:sz w:val="21"/>
                <w:szCs w:val="21"/>
              </w:rPr>
              <w:t>实时</w:t>
            </w:r>
            <w:r>
              <w:rPr>
                <w:rFonts w:hint="eastAsia" w:hAnsi="宋体" w:cs="Yu Gothic UI"/>
                <w:sz w:val="21"/>
                <w:szCs w:val="21"/>
              </w:rPr>
              <w:t>采集</w:t>
            </w:r>
            <w:r>
              <w:rPr>
                <w:rFonts w:hint="eastAsia" w:hAnsi="宋体" w:cs="微软雅黑"/>
                <w:sz w:val="21"/>
                <w:szCs w:val="21"/>
              </w:rPr>
              <w:t>测</w:t>
            </w:r>
            <w:r>
              <w:rPr>
                <w:rFonts w:hint="eastAsia" w:hAnsi="宋体" w:cs="Yu Gothic UI"/>
                <w:sz w:val="21"/>
                <w:szCs w:val="21"/>
              </w:rPr>
              <w:t>站水位、</w:t>
            </w:r>
            <w:r>
              <w:rPr>
                <w:rFonts w:hint="eastAsia" w:hAnsi="宋体" w:cs="微软雅黑"/>
                <w:sz w:val="21"/>
                <w:szCs w:val="21"/>
              </w:rPr>
              <w:t>视频</w:t>
            </w:r>
            <w:r>
              <w:rPr>
                <w:rFonts w:hint="eastAsia" w:hAnsi="宋体" w:cs="Yu Gothic UI"/>
                <w:sz w:val="21"/>
                <w:szCs w:val="21"/>
              </w:rPr>
              <w:t>信息、</w:t>
            </w:r>
            <w:r>
              <w:rPr>
                <w:rFonts w:hint="eastAsia" w:hAnsi="宋体" w:cs="微软雅黑"/>
                <w:sz w:val="21"/>
                <w:szCs w:val="21"/>
              </w:rPr>
              <w:t>测</w:t>
            </w:r>
            <w:r>
              <w:rPr>
                <w:rFonts w:hint="eastAsia" w:hAnsi="宋体" w:cs="Yu Gothic UI"/>
                <w:sz w:val="21"/>
                <w:szCs w:val="21"/>
              </w:rPr>
              <w:t>站状</w:t>
            </w:r>
            <w:r>
              <w:rPr>
                <w:rFonts w:hint="eastAsia" w:hAnsi="宋体" w:cs="微软雅黑"/>
                <w:sz w:val="21"/>
                <w:szCs w:val="21"/>
              </w:rPr>
              <w:t>态</w:t>
            </w:r>
            <w:r>
              <w:rPr>
                <w:rFonts w:hint="eastAsia" w:hAnsi="宋体" w:cs="Yu Gothic UI"/>
                <w:sz w:val="21"/>
                <w:szCs w:val="21"/>
              </w:rPr>
              <w:t>等相关信息，根据</w:t>
            </w:r>
            <w:r>
              <w:rPr>
                <w:rFonts w:hint="eastAsia" w:hAnsi="宋体" w:cs="微软雅黑"/>
                <w:sz w:val="21"/>
                <w:szCs w:val="21"/>
              </w:rPr>
              <w:t>现场</w:t>
            </w:r>
            <w:r>
              <w:rPr>
                <w:rFonts w:hint="eastAsia" w:hAnsi="宋体" w:cs="Yu Gothic UI"/>
                <w:sz w:val="21"/>
                <w:szCs w:val="21"/>
              </w:rPr>
              <w:t>采集的信息判断是否</w:t>
            </w:r>
            <w:r>
              <w:rPr>
                <w:rFonts w:hint="eastAsia" w:hAnsi="宋体" w:cs="微软雅黑"/>
                <w:sz w:val="21"/>
                <w:szCs w:val="21"/>
              </w:rPr>
              <w:t>远</w:t>
            </w:r>
            <w:r>
              <w:rPr>
                <w:rFonts w:hint="eastAsia" w:hAnsi="宋体" w:cs="Yu Gothic UI"/>
                <w:sz w:val="21"/>
                <w:szCs w:val="21"/>
              </w:rPr>
              <w:t>程</w:t>
            </w:r>
            <w:r>
              <w:rPr>
                <w:rFonts w:hint="eastAsia" w:hAnsi="宋体" w:cs="微软雅黑"/>
                <w:sz w:val="21"/>
                <w:szCs w:val="21"/>
              </w:rPr>
              <w:t>测</w:t>
            </w:r>
            <w:r>
              <w:rPr>
                <w:rFonts w:hint="eastAsia" w:hAnsi="宋体" w:cs="Yu Gothic UI"/>
                <w:sz w:val="21"/>
                <w:szCs w:val="21"/>
              </w:rPr>
              <w:t>流；</w:t>
            </w:r>
            <w:r>
              <w:rPr>
                <w:rFonts w:hint="eastAsia" w:hAnsi="宋体" w:cs="微软雅黑"/>
                <w:sz w:val="21"/>
                <w:szCs w:val="21"/>
              </w:rPr>
              <w:t>还</w:t>
            </w:r>
            <w:r>
              <w:rPr>
                <w:rFonts w:hint="eastAsia" w:hAnsi="宋体" w:cs="Yu Gothic UI"/>
                <w:sz w:val="21"/>
                <w:szCs w:val="21"/>
              </w:rPr>
              <w:t>可通</w:t>
            </w:r>
            <w:r>
              <w:rPr>
                <w:rFonts w:hint="eastAsia" w:hAnsi="宋体" w:cs="微软雅黑"/>
                <w:sz w:val="21"/>
                <w:szCs w:val="21"/>
              </w:rPr>
              <w:t>过远</w:t>
            </w:r>
            <w:r>
              <w:rPr>
                <w:rFonts w:hint="eastAsia" w:hAnsi="宋体" w:cs="Yu Gothic UI"/>
                <w:sz w:val="21"/>
                <w:szCs w:val="21"/>
              </w:rPr>
              <w:t>程</w:t>
            </w:r>
            <w:r>
              <w:rPr>
                <w:rFonts w:hint="eastAsia" w:hAnsi="宋体" w:cs="微软雅黑"/>
                <w:sz w:val="21"/>
                <w:szCs w:val="21"/>
              </w:rPr>
              <w:t>视频监</w:t>
            </w:r>
            <w:r>
              <w:rPr>
                <w:rFonts w:hint="eastAsia" w:hAnsi="宋体" w:cs="Yu Gothic UI"/>
                <w:sz w:val="21"/>
                <w:szCs w:val="21"/>
              </w:rPr>
              <w:t>控系</w:t>
            </w:r>
            <w:r>
              <w:rPr>
                <w:rFonts w:hint="eastAsia" w:hAnsi="宋体" w:cs="微软雅黑"/>
                <w:sz w:val="21"/>
                <w:szCs w:val="21"/>
              </w:rPr>
              <w:t>统监</w:t>
            </w:r>
            <w:r>
              <w:rPr>
                <w:rFonts w:hint="eastAsia" w:hAnsi="宋体" w:cs="Yu Gothic UI"/>
                <w:sz w:val="21"/>
                <w:szCs w:val="21"/>
              </w:rPr>
              <w:t>控</w:t>
            </w:r>
            <w:r>
              <w:rPr>
                <w:rFonts w:hint="eastAsia" w:hAnsi="宋体" w:cs="微软雅黑"/>
                <w:sz w:val="21"/>
                <w:szCs w:val="21"/>
              </w:rPr>
              <w:t>测</w:t>
            </w:r>
            <w:r>
              <w:rPr>
                <w:rFonts w:hint="eastAsia" w:hAnsi="宋体" w:cs="Yu Gothic UI"/>
                <w:sz w:val="21"/>
                <w:szCs w:val="21"/>
              </w:rPr>
              <w:t>流状况。</w:t>
            </w:r>
          </w:p>
          <w:p>
            <w:pPr>
              <w:pStyle w:val="183"/>
              <w:spacing w:line="240" w:lineRule="auto"/>
              <w:ind w:firstLine="0" w:firstLineChars="0"/>
              <w:rPr>
                <w:rFonts w:hAnsi="宋体"/>
                <w:sz w:val="21"/>
                <w:szCs w:val="21"/>
              </w:rPr>
            </w:pPr>
            <w:r>
              <w:rPr>
                <w:rFonts w:hint="eastAsia" w:hAnsi="宋体"/>
                <w:sz w:val="21"/>
                <w:szCs w:val="21"/>
              </w:rPr>
              <w:t>（</w:t>
            </w:r>
            <w:r>
              <w:rPr>
                <w:rFonts w:hAnsi="宋体"/>
                <w:sz w:val="21"/>
                <w:szCs w:val="21"/>
              </w:rPr>
              <w:t>4）</w:t>
            </w:r>
            <w:r>
              <w:rPr>
                <w:rFonts w:hint="eastAsia" w:hAnsi="宋体"/>
                <w:sz w:val="21"/>
                <w:szCs w:val="21"/>
              </w:rPr>
              <w:t>集成</w:t>
            </w:r>
            <w:r>
              <w:rPr>
                <w:rFonts w:hint="eastAsia" w:hAnsi="宋体" w:cs="微软雅黑"/>
                <w:sz w:val="21"/>
                <w:szCs w:val="21"/>
              </w:rPr>
              <w:t>转</w:t>
            </w:r>
            <w:r>
              <w:rPr>
                <w:rFonts w:hint="eastAsia" w:hAnsi="宋体" w:cs="Yu Gothic UI"/>
                <w:sz w:val="21"/>
                <w:szCs w:val="21"/>
              </w:rPr>
              <w:t>子流速</w:t>
            </w:r>
            <w:r>
              <w:rPr>
                <w:rFonts w:hint="eastAsia" w:hAnsi="宋体" w:cs="微软雅黑"/>
                <w:sz w:val="21"/>
                <w:szCs w:val="21"/>
              </w:rPr>
              <w:t>仪</w:t>
            </w:r>
            <w:r>
              <w:rPr>
                <w:rFonts w:hint="eastAsia" w:hAnsi="宋体" w:cs="Yu Gothic UI"/>
                <w:sz w:val="21"/>
                <w:szCs w:val="21"/>
              </w:rPr>
              <w:t>、雷达波流速</w:t>
            </w:r>
            <w:r>
              <w:rPr>
                <w:rFonts w:hint="eastAsia" w:hAnsi="宋体" w:cs="微软雅黑"/>
                <w:sz w:val="21"/>
                <w:szCs w:val="21"/>
              </w:rPr>
              <w:t>仪</w:t>
            </w:r>
            <w:r>
              <w:rPr>
                <w:rFonts w:hint="eastAsia" w:hAnsi="宋体" w:cs="Yu Gothic UI"/>
                <w:sz w:val="21"/>
                <w:szCs w:val="21"/>
              </w:rPr>
              <w:t>（可</w:t>
            </w:r>
            <w:r>
              <w:rPr>
                <w:rFonts w:hint="eastAsia" w:hAnsi="宋体" w:cs="微软雅黑"/>
                <w:sz w:val="21"/>
                <w:szCs w:val="21"/>
              </w:rPr>
              <w:t>选</w:t>
            </w:r>
            <w:r>
              <w:rPr>
                <w:rFonts w:hint="eastAsia" w:hAnsi="宋体" w:cs="Yu Gothic UI"/>
                <w:sz w:val="21"/>
                <w:szCs w:val="21"/>
              </w:rPr>
              <w:t>）等多种</w:t>
            </w:r>
            <w:r>
              <w:rPr>
                <w:rFonts w:hint="eastAsia" w:hAnsi="宋体" w:cs="微软雅黑"/>
                <w:sz w:val="21"/>
                <w:szCs w:val="21"/>
              </w:rPr>
              <w:t>测验设备</w:t>
            </w:r>
            <w:r>
              <w:rPr>
                <w:rFonts w:hint="eastAsia" w:hAnsi="宋体" w:cs="Yu Gothic UI"/>
                <w:sz w:val="21"/>
                <w:szCs w:val="21"/>
              </w:rPr>
              <w:t>，完成高、中、低流速的全量程</w:t>
            </w:r>
            <w:r>
              <w:rPr>
                <w:rFonts w:hint="eastAsia" w:hAnsi="宋体" w:cs="微软雅黑"/>
                <w:sz w:val="21"/>
                <w:szCs w:val="21"/>
              </w:rPr>
              <w:t>测验</w:t>
            </w:r>
            <w:r>
              <w:rPr>
                <w:rFonts w:hint="eastAsia" w:hAnsi="宋体" w:cs="Yu Gothic UI"/>
                <w:sz w:val="21"/>
                <w:szCs w:val="21"/>
              </w:rPr>
              <w:t>；</w:t>
            </w:r>
          </w:p>
          <w:p>
            <w:pPr>
              <w:pStyle w:val="183"/>
              <w:spacing w:line="240" w:lineRule="auto"/>
              <w:ind w:firstLine="0" w:firstLineChars="0"/>
              <w:rPr>
                <w:rFonts w:hAnsi="宋体"/>
                <w:sz w:val="21"/>
                <w:szCs w:val="21"/>
              </w:rPr>
            </w:pPr>
            <w:r>
              <w:rPr>
                <w:rFonts w:hint="eastAsia" w:hAnsi="宋体"/>
                <w:sz w:val="21"/>
                <w:szCs w:val="21"/>
              </w:rPr>
              <w:t>（5）自</w:t>
            </w:r>
            <w:r>
              <w:rPr>
                <w:rFonts w:hint="eastAsia" w:hAnsi="宋体" w:cs="微软雅黑"/>
                <w:sz w:val="21"/>
                <w:szCs w:val="21"/>
              </w:rPr>
              <w:t>动测</w:t>
            </w:r>
            <w:r>
              <w:rPr>
                <w:rFonts w:hint="eastAsia" w:hAnsi="宋体" w:cs="Yu Gothic UI"/>
                <w:sz w:val="21"/>
                <w:szCs w:val="21"/>
              </w:rPr>
              <w:t>流</w:t>
            </w:r>
            <w:r>
              <w:rPr>
                <w:rFonts w:hint="eastAsia" w:hAnsi="宋体" w:cs="微软雅黑"/>
                <w:sz w:val="21"/>
                <w:szCs w:val="21"/>
              </w:rPr>
              <w:t>过</w:t>
            </w:r>
            <w:r>
              <w:rPr>
                <w:rFonts w:hint="eastAsia" w:hAnsi="宋体" w:cs="Yu Gothic UI"/>
                <w:sz w:val="21"/>
                <w:szCs w:val="21"/>
              </w:rPr>
              <w:t>程中，可</w:t>
            </w:r>
            <w:r>
              <w:rPr>
                <w:rFonts w:hint="eastAsia" w:hAnsi="宋体" w:cs="微软雅黑"/>
                <w:sz w:val="21"/>
                <w:szCs w:val="21"/>
              </w:rPr>
              <w:t>实现</w:t>
            </w:r>
            <w:r>
              <w:rPr>
                <w:rFonts w:hint="eastAsia" w:hAnsi="宋体" w:cs="Yu Gothic UI"/>
                <w:sz w:val="21"/>
                <w:szCs w:val="21"/>
              </w:rPr>
              <w:t>无人工操作，自</w:t>
            </w:r>
            <w:r>
              <w:rPr>
                <w:rFonts w:hint="eastAsia" w:hAnsi="宋体" w:cs="微软雅黑"/>
                <w:sz w:val="21"/>
                <w:szCs w:val="21"/>
              </w:rPr>
              <w:t>动</w:t>
            </w:r>
            <w:r>
              <w:rPr>
                <w:rFonts w:hint="eastAsia" w:hAnsi="宋体" w:cs="Yu Gothic UI"/>
                <w:sz w:val="21"/>
                <w:szCs w:val="21"/>
              </w:rPr>
              <w:t>完成整个断面流量</w:t>
            </w:r>
            <w:r>
              <w:rPr>
                <w:rFonts w:hint="eastAsia" w:hAnsi="宋体" w:cs="微软雅黑"/>
                <w:sz w:val="21"/>
                <w:szCs w:val="21"/>
              </w:rPr>
              <w:t>测</w:t>
            </w:r>
            <w:r>
              <w:rPr>
                <w:rFonts w:hint="eastAsia" w:hAnsi="宋体" w:cs="Yu Gothic UI"/>
                <w:sz w:val="21"/>
                <w:szCs w:val="21"/>
              </w:rPr>
              <w:t>量，</w:t>
            </w:r>
            <w:r>
              <w:rPr>
                <w:rFonts w:hint="eastAsia" w:hAnsi="宋体"/>
                <w:sz w:val="21"/>
                <w:szCs w:val="21"/>
              </w:rPr>
              <w:t>支持雷达</w:t>
            </w:r>
            <w:r>
              <w:rPr>
                <w:rFonts w:hint="eastAsia" w:hAnsi="宋体" w:cs="微软雅黑"/>
                <w:sz w:val="21"/>
                <w:szCs w:val="21"/>
              </w:rPr>
              <w:t>测</w:t>
            </w:r>
            <w:r>
              <w:rPr>
                <w:rFonts w:hint="eastAsia" w:hAnsi="宋体" w:cs="Yu Gothic UI"/>
                <w:sz w:val="21"/>
                <w:szCs w:val="21"/>
              </w:rPr>
              <w:t>速</w:t>
            </w:r>
            <w:r>
              <w:rPr>
                <w:rFonts w:hint="eastAsia" w:hAnsi="宋体" w:cs="微软雅黑"/>
                <w:sz w:val="21"/>
                <w:szCs w:val="21"/>
              </w:rPr>
              <w:t>传</w:t>
            </w:r>
            <w:r>
              <w:rPr>
                <w:rFonts w:hint="eastAsia" w:hAnsi="宋体" w:cs="Yu Gothic UI"/>
                <w:sz w:val="21"/>
                <w:szCs w:val="21"/>
              </w:rPr>
              <w:t>感器与流速</w:t>
            </w:r>
            <w:r>
              <w:rPr>
                <w:rFonts w:hint="eastAsia" w:hAnsi="宋体" w:cs="微软雅黑"/>
                <w:sz w:val="21"/>
                <w:szCs w:val="21"/>
              </w:rPr>
              <w:t>仪</w:t>
            </w:r>
            <w:r>
              <w:rPr>
                <w:rFonts w:hint="eastAsia" w:hAnsi="宋体" w:cs="Yu Gothic UI"/>
                <w:sz w:val="21"/>
                <w:szCs w:val="21"/>
              </w:rPr>
              <w:t>同步</w:t>
            </w:r>
            <w:r>
              <w:rPr>
                <w:rFonts w:hint="eastAsia" w:hAnsi="宋体" w:cs="微软雅黑"/>
                <w:sz w:val="21"/>
                <w:szCs w:val="21"/>
              </w:rPr>
              <w:t>测</w:t>
            </w:r>
            <w:r>
              <w:rPr>
                <w:rFonts w:hint="eastAsia" w:hAnsi="宋体" w:cs="Yu Gothic UI"/>
                <w:sz w:val="21"/>
                <w:szCs w:val="21"/>
              </w:rPr>
              <w:t>量。</w:t>
            </w:r>
          </w:p>
          <w:p>
            <w:pPr>
              <w:pStyle w:val="183"/>
              <w:spacing w:line="240" w:lineRule="auto"/>
              <w:ind w:firstLine="0" w:firstLineChars="0"/>
              <w:rPr>
                <w:rFonts w:hAnsi="宋体"/>
                <w:sz w:val="21"/>
                <w:szCs w:val="21"/>
              </w:rPr>
            </w:pPr>
            <w:r>
              <w:rPr>
                <w:rFonts w:hint="eastAsia" w:hAnsi="宋体"/>
                <w:sz w:val="21"/>
                <w:szCs w:val="21"/>
              </w:rPr>
              <w:t>（6）智能避</w:t>
            </w:r>
            <w:r>
              <w:rPr>
                <w:rFonts w:hint="eastAsia" w:hAnsi="宋体" w:cs="微软雅黑"/>
                <w:sz w:val="21"/>
                <w:szCs w:val="21"/>
              </w:rPr>
              <w:t>险</w:t>
            </w:r>
            <w:r>
              <w:rPr>
                <w:rFonts w:hint="eastAsia" w:hAnsi="宋体" w:cs="Yu Gothic UI"/>
                <w:sz w:val="21"/>
                <w:szCs w:val="21"/>
              </w:rPr>
              <w:t>，自</w:t>
            </w:r>
            <w:r>
              <w:rPr>
                <w:rFonts w:hint="eastAsia" w:hAnsi="宋体" w:cs="微软雅黑"/>
                <w:sz w:val="21"/>
                <w:szCs w:val="21"/>
              </w:rPr>
              <w:t>动测</w:t>
            </w:r>
            <w:r>
              <w:rPr>
                <w:rFonts w:hint="eastAsia" w:hAnsi="宋体" w:cs="Yu Gothic UI"/>
                <w:sz w:val="21"/>
                <w:szCs w:val="21"/>
              </w:rPr>
              <w:t>流</w:t>
            </w:r>
            <w:r>
              <w:rPr>
                <w:rFonts w:hint="eastAsia" w:hAnsi="宋体" w:cs="微软雅黑"/>
                <w:sz w:val="21"/>
                <w:szCs w:val="21"/>
              </w:rPr>
              <w:t>过</w:t>
            </w:r>
            <w:r>
              <w:rPr>
                <w:rFonts w:hint="eastAsia" w:hAnsi="宋体" w:cs="Yu Gothic UI"/>
                <w:sz w:val="21"/>
                <w:szCs w:val="21"/>
              </w:rPr>
              <w:t>程中，如遇到</w:t>
            </w:r>
            <w:r>
              <w:rPr>
                <w:rFonts w:hint="eastAsia" w:hAnsi="宋体" w:cs="微软雅黑"/>
                <w:sz w:val="21"/>
                <w:szCs w:val="21"/>
              </w:rPr>
              <w:t>紧</w:t>
            </w:r>
            <w:r>
              <w:rPr>
                <w:rFonts w:hint="eastAsia" w:hAnsi="宋体" w:cs="Yu Gothic UI"/>
                <w:sz w:val="21"/>
                <w:szCs w:val="21"/>
              </w:rPr>
              <w:t>急情况，可一</w:t>
            </w:r>
            <w:r>
              <w:rPr>
                <w:rFonts w:hint="eastAsia" w:hAnsi="宋体" w:cs="微软雅黑"/>
                <w:sz w:val="21"/>
                <w:szCs w:val="21"/>
              </w:rPr>
              <w:t>键</w:t>
            </w:r>
            <w:r>
              <w:rPr>
                <w:rFonts w:hint="eastAsia" w:hAnsi="宋体" w:cs="Yu Gothic UI"/>
                <w:sz w:val="21"/>
                <w:szCs w:val="21"/>
              </w:rPr>
              <w:t>自</w:t>
            </w:r>
            <w:r>
              <w:rPr>
                <w:rFonts w:hint="eastAsia" w:hAnsi="宋体" w:cs="微软雅黑"/>
                <w:sz w:val="21"/>
                <w:szCs w:val="21"/>
              </w:rPr>
              <w:t>动</w:t>
            </w:r>
            <w:r>
              <w:rPr>
                <w:rFonts w:hint="eastAsia" w:hAnsi="宋体" w:cs="Yu Gothic UI"/>
                <w:sz w:val="21"/>
                <w:szCs w:val="21"/>
              </w:rPr>
              <w:t>避</w:t>
            </w:r>
            <w:r>
              <w:rPr>
                <w:rFonts w:hint="eastAsia" w:hAnsi="宋体" w:cs="微软雅黑"/>
                <w:sz w:val="21"/>
                <w:szCs w:val="21"/>
              </w:rPr>
              <w:t>险</w:t>
            </w:r>
            <w:r>
              <w:rPr>
                <w:rFonts w:hint="eastAsia" w:hAnsi="宋体" w:cs="Yu Gothic UI"/>
                <w:sz w:val="21"/>
                <w:szCs w:val="21"/>
              </w:rPr>
              <w:t>。</w:t>
            </w:r>
          </w:p>
          <w:p>
            <w:pPr>
              <w:widowControl/>
              <w:rPr>
                <w:rFonts w:ascii="宋体" w:hAnsi="宋体" w:cs="宋体"/>
                <w:color w:val="000000"/>
                <w:szCs w:val="21"/>
              </w:rPr>
            </w:pPr>
            <w:r>
              <w:rPr>
                <w:rFonts w:hint="eastAsia" w:ascii="宋体" w:hAnsi="宋体" w:cs="宋体"/>
                <w:color w:val="000000"/>
                <w:szCs w:val="21"/>
              </w:rPr>
              <w:t>2、技术参数要求：</w:t>
            </w:r>
          </w:p>
          <w:p>
            <w:pPr>
              <w:widowControl/>
              <w:rPr>
                <w:rFonts w:ascii="宋体" w:hAnsi="宋体" w:cs="宋体"/>
                <w:color w:val="000000"/>
                <w:szCs w:val="21"/>
              </w:rPr>
            </w:pPr>
            <w:r>
              <w:rPr>
                <w:rFonts w:hint="eastAsia" w:ascii="宋体" w:hAnsi="宋体" w:cs="宋体"/>
                <w:color w:val="000000"/>
                <w:szCs w:val="21"/>
              </w:rPr>
              <w:t>　（</w:t>
            </w:r>
            <w:r>
              <w:rPr>
                <w:rFonts w:ascii="宋体" w:hAnsi="宋体" w:cs="宋体"/>
                <w:color w:val="000000"/>
                <w:szCs w:val="21"/>
              </w:rPr>
              <w:t>1）控制部分</w:t>
            </w:r>
          </w:p>
          <w:p>
            <w:pPr>
              <w:widowControl/>
              <w:rPr>
                <w:rFonts w:ascii="宋体" w:hAnsi="宋体" w:cs="宋体"/>
                <w:color w:val="000000"/>
                <w:szCs w:val="21"/>
              </w:rPr>
            </w:pPr>
            <w:r>
              <w:rPr>
                <w:rFonts w:ascii="宋体" w:hAnsi="宋体" w:cs="宋体"/>
                <w:color w:val="000000"/>
                <w:szCs w:val="21"/>
              </w:rPr>
              <w:t>1）供电电源：380V±20%  50Hz</w:t>
            </w:r>
          </w:p>
          <w:p>
            <w:pPr>
              <w:widowControl/>
              <w:rPr>
                <w:rFonts w:ascii="宋体" w:hAnsi="宋体" w:cs="宋体"/>
                <w:color w:val="000000"/>
                <w:szCs w:val="21"/>
              </w:rPr>
            </w:pPr>
            <w:r>
              <w:rPr>
                <w:rFonts w:ascii="宋体" w:hAnsi="宋体" w:cs="宋体"/>
                <w:color w:val="000000"/>
                <w:szCs w:val="21"/>
              </w:rPr>
              <w:t>2）驱动电机：3KW 普通三相交流电机</w:t>
            </w:r>
          </w:p>
          <w:p>
            <w:pPr>
              <w:widowControl/>
              <w:rPr>
                <w:rFonts w:ascii="宋体" w:hAnsi="宋体" w:cs="宋体"/>
                <w:color w:val="000000"/>
                <w:szCs w:val="21"/>
              </w:rPr>
            </w:pPr>
            <w:r>
              <w:rPr>
                <w:rFonts w:ascii="宋体" w:hAnsi="宋体" w:cs="宋体"/>
                <w:color w:val="000000"/>
                <w:szCs w:val="21"/>
              </w:rPr>
              <w:t>3）变频器：3KW双变频器</w:t>
            </w:r>
          </w:p>
          <w:p>
            <w:pPr>
              <w:widowControl/>
              <w:rPr>
                <w:rFonts w:ascii="宋体" w:hAnsi="宋体" w:cs="宋体"/>
                <w:color w:val="000000"/>
                <w:szCs w:val="21"/>
              </w:rPr>
            </w:pPr>
            <w:r>
              <w:rPr>
                <w:rFonts w:ascii="宋体" w:hAnsi="宋体" w:cs="宋体"/>
                <w:color w:val="000000"/>
                <w:szCs w:val="21"/>
              </w:rPr>
              <w:t>4）行车速度：0～1.0m/s（特殊要求可达2m/s）</w:t>
            </w:r>
          </w:p>
          <w:p>
            <w:pPr>
              <w:widowControl/>
              <w:rPr>
                <w:rFonts w:ascii="宋体" w:hAnsi="宋体" w:cs="宋体"/>
                <w:color w:val="000000"/>
                <w:szCs w:val="21"/>
              </w:rPr>
            </w:pPr>
            <w:r>
              <w:rPr>
                <w:rFonts w:ascii="宋体" w:hAnsi="宋体" w:cs="宋体"/>
                <w:color w:val="000000"/>
                <w:szCs w:val="21"/>
              </w:rPr>
              <w:t>5）电机变频频率：0～50Hz，带显示</w:t>
            </w:r>
          </w:p>
          <w:p>
            <w:pPr>
              <w:widowControl/>
              <w:rPr>
                <w:rFonts w:ascii="宋体" w:hAnsi="宋体" w:cs="宋体"/>
                <w:color w:val="000000"/>
                <w:szCs w:val="21"/>
              </w:rPr>
            </w:pPr>
            <w:r>
              <w:rPr>
                <w:rFonts w:ascii="宋体" w:hAnsi="宋体" w:cs="宋体"/>
                <w:color w:val="000000"/>
                <w:szCs w:val="21"/>
              </w:rPr>
              <w:t>6）减速止动时间：&lt; 1s</w:t>
            </w:r>
          </w:p>
          <w:p>
            <w:pPr>
              <w:widowControl/>
              <w:rPr>
                <w:rFonts w:ascii="宋体" w:hAnsi="宋体" w:cs="宋体"/>
                <w:color w:val="000000"/>
                <w:szCs w:val="21"/>
              </w:rPr>
            </w:pPr>
            <w:r>
              <w:rPr>
                <w:rFonts w:ascii="宋体" w:hAnsi="宋体" w:cs="宋体"/>
                <w:color w:val="000000"/>
                <w:szCs w:val="21"/>
              </w:rPr>
              <w:t>7）限位控制：河底信号停车控制</w:t>
            </w:r>
          </w:p>
          <w:p>
            <w:pPr>
              <w:widowControl/>
              <w:rPr>
                <w:rFonts w:ascii="宋体" w:hAnsi="宋体" w:cs="宋体"/>
                <w:color w:val="000000"/>
                <w:szCs w:val="21"/>
              </w:rPr>
            </w:pPr>
            <w:r>
              <w:rPr>
                <w:rFonts w:ascii="宋体" w:hAnsi="宋体" w:cs="宋体"/>
                <w:color w:val="000000"/>
                <w:szCs w:val="21"/>
              </w:rPr>
              <w:t>8）测点定位自动停车控制</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2）缆道测距</w:t>
            </w:r>
          </w:p>
          <w:p>
            <w:pPr>
              <w:widowControl/>
              <w:rPr>
                <w:rFonts w:ascii="宋体" w:hAnsi="宋体" w:cs="宋体"/>
                <w:color w:val="000000"/>
                <w:szCs w:val="21"/>
              </w:rPr>
            </w:pPr>
            <w:r>
              <w:rPr>
                <w:rFonts w:ascii="宋体" w:hAnsi="宋体" w:cs="宋体"/>
                <w:color w:val="000000"/>
                <w:szCs w:val="21"/>
              </w:rPr>
              <w:t>1）起点距测验（带缆道弧度修正）：采用光电增量编码传感器</w:t>
            </w:r>
            <w:r>
              <w:rPr>
                <w:rFonts w:hint="eastAsia" w:ascii="宋体" w:hAnsi="宋体" w:cs="宋体"/>
                <w:color w:val="000000"/>
                <w:szCs w:val="21"/>
              </w:rPr>
              <w:t>。</w:t>
            </w:r>
          </w:p>
          <w:p>
            <w:pPr>
              <w:widowControl/>
              <w:rPr>
                <w:rFonts w:ascii="宋体" w:hAnsi="宋体" w:cs="宋体"/>
                <w:color w:val="000000"/>
                <w:szCs w:val="21"/>
              </w:rPr>
            </w:pPr>
            <w:r>
              <w:rPr>
                <w:rFonts w:ascii="宋体" w:hAnsi="宋体" w:cs="宋体"/>
                <w:color w:val="000000"/>
                <w:szCs w:val="21"/>
              </w:rPr>
              <w:t>计数显示：-99.9～999.9m  分辨率：0.1m</w:t>
            </w:r>
          </w:p>
          <w:p>
            <w:pPr>
              <w:widowControl/>
              <w:rPr>
                <w:rFonts w:ascii="宋体" w:hAnsi="宋体" w:cs="宋体"/>
                <w:color w:val="000000"/>
                <w:szCs w:val="21"/>
              </w:rPr>
            </w:pPr>
            <w:r>
              <w:rPr>
                <w:rFonts w:ascii="宋体" w:hAnsi="宋体" w:cs="宋体"/>
                <w:color w:val="000000"/>
                <w:szCs w:val="21"/>
              </w:rPr>
              <w:t>2）缆道测深（入水深）：采用光电增量编码传感器</w:t>
            </w:r>
            <w:r>
              <w:rPr>
                <w:rFonts w:hint="eastAsia" w:ascii="宋体" w:hAnsi="宋体" w:cs="宋体"/>
                <w:color w:val="000000"/>
                <w:szCs w:val="21"/>
              </w:rPr>
              <w:t>。</w:t>
            </w:r>
          </w:p>
          <w:p>
            <w:pPr>
              <w:widowControl/>
              <w:rPr>
                <w:rFonts w:ascii="宋体" w:hAnsi="宋体" w:cs="宋体"/>
                <w:color w:val="000000"/>
                <w:szCs w:val="21"/>
              </w:rPr>
            </w:pPr>
            <w:r>
              <w:rPr>
                <w:rFonts w:ascii="宋体" w:hAnsi="宋体" w:cs="宋体"/>
                <w:color w:val="000000"/>
                <w:szCs w:val="21"/>
              </w:rPr>
              <w:t xml:space="preserve">计数显示：-9.99--99.99m  分辨率：0.01m </w:t>
            </w:r>
          </w:p>
          <w:p>
            <w:pPr>
              <w:widowControl/>
              <w:rPr>
                <w:rFonts w:ascii="宋体" w:hAnsi="宋体" w:cs="宋体"/>
                <w:color w:val="000000"/>
                <w:szCs w:val="21"/>
              </w:rPr>
            </w:pPr>
            <w:r>
              <w:rPr>
                <w:rFonts w:ascii="宋体" w:hAnsi="宋体" w:cs="宋体"/>
                <w:color w:val="000000"/>
                <w:szCs w:val="21"/>
              </w:rPr>
              <w:t>3）测距精度：≤1%</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3）流速测算</w:t>
            </w:r>
          </w:p>
          <w:p>
            <w:pPr>
              <w:widowControl/>
              <w:rPr>
                <w:rFonts w:ascii="宋体" w:hAnsi="宋体" w:cs="宋体"/>
                <w:color w:val="000000"/>
                <w:szCs w:val="21"/>
              </w:rPr>
            </w:pPr>
            <w:r>
              <w:rPr>
                <w:rFonts w:ascii="宋体" w:hAnsi="宋体" w:cs="宋体"/>
                <w:color w:val="000000"/>
                <w:szCs w:val="21"/>
              </w:rPr>
              <w:t>1）适应范围：各种转子式流速仪（不受所有接触丝抖动影响）</w:t>
            </w:r>
          </w:p>
          <w:p>
            <w:pPr>
              <w:widowControl/>
              <w:rPr>
                <w:rFonts w:ascii="宋体" w:hAnsi="宋体" w:cs="宋体"/>
                <w:color w:val="000000"/>
                <w:szCs w:val="21"/>
              </w:rPr>
            </w:pPr>
            <w:r>
              <w:rPr>
                <w:rFonts w:ascii="宋体" w:hAnsi="宋体" w:cs="宋体"/>
                <w:color w:val="000000"/>
                <w:szCs w:val="21"/>
              </w:rPr>
              <w:t>2）适应信号：3000HZ的音频信号或直流短路信号</w:t>
            </w:r>
          </w:p>
          <w:p>
            <w:pPr>
              <w:widowControl/>
              <w:rPr>
                <w:rFonts w:ascii="宋体" w:hAnsi="宋体" w:cs="宋体"/>
                <w:color w:val="000000"/>
                <w:szCs w:val="21"/>
              </w:rPr>
            </w:pPr>
            <w:r>
              <w:rPr>
                <w:rFonts w:ascii="宋体" w:hAnsi="宋体" w:cs="宋体"/>
                <w:color w:val="000000"/>
                <w:szCs w:val="21"/>
              </w:rPr>
              <w:t>3）灵 敏 度：音频信号优于5mV</w:t>
            </w:r>
          </w:p>
          <w:p>
            <w:pPr>
              <w:widowControl/>
              <w:rPr>
                <w:rFonts w:ascii="宋体" w:hAnsi="宋体" w:cs="宋体"/>
                <w:color w:val="000000"/>
                <w:szCs w:val="21"/>
              </w:rPr>
            </w:pPr>
            <w:r>
              <w:rPr>
                <w:rFonts w:ascii="宋体" w:hAnsi="宋体" w:cs="宋体"/>
                <w:color w:val="000000"/>
                <w:szCs w:val="21"/>
              </w:rPr>
              <w:t>4）测速精度：≤0.2%</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4）测流工控机：</w:t>
            </w:r>
          </w:p>
          <w:p>
            <w:pPr>
              <w:widowControl/>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 xml:space="preserve">）CPU：i5-12500   </w:t>
            </w:r>
          </w:p>
          <w:p>
            <w:pPr>
              <w:widowControl/>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 xml:space="preserve">）硬盘：512G固态硬盘 </w:t>
            </w:r>
          </w:p>
          <w:p>
            <w:pPr>
              <w:widowControl/>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）内存：</w:t>
            </w:r>
            <w:r>
              <w:rPr>
                <w:rFonts w:hint="eastAsia" w:ascii="宋体" w:hAnsi="宋体" w:cs="宋体"/>
                <w:color w:val="000000"/>
                <w:szCs w:val="21"/>
              </w:rPr>
              <w:t>8</w:t>
            </w:r>
            <w:r>
              <w:rPr>
                <w:rFonts w:ascii="宋体" w:hAnsi="宋体" w:cs="宋体"/>
                <w:color w:val="000000"/>
                <w:szCs w:val="21"/>
              </w:rPr>
              <w:t xml:space="preserve">G内存  </w:t>
            </w:r>
          </w:p>
          <w:p>
            <w:pPr>
              <w:widowControl/>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）显卡：</w:t>
            </w:r>
            <w:r>
              <w:rPr>
                <w:rFonts w:hint="eastAsia" w:ascii="宋体" w:hAnsi="宋体" w:cs="宋体"/>
                <w:color w:val="000000"/>
                <w:szCs w:val="21"/>
              </w:rPr>
              <w:t>集成</w:t>
            </w:r>
            <w:r>
              <w:rPr>
                <w:rFonts w:ascii="宋体" w:hAnsi="宋体" w:cs="宋体"/>
                <w:color w:val="000000"/>
                <w:szCs w:val="21"/>
              </w:rPr>
              <w:t>显卡</w:t>
            </w:r>
          </w:p>
          <w:p>
            <w:pPr>
              <w:widowControl/>
              <w:rPr>
                <w:rFonts w:ascii="宋体" w:hAnsi="宋体" w:cs="宋体"/>
                <w:color w:val="000000"/>
                <w:szCs w:val="21"/>
              </w:rPr>
            </w:pPr>
            <w:r>
              <w:rPr>
                <w:rFonts w:hint="eastAsia" w:ascii="宋体" w:hAnsi="宋体" w:cs="宋体"/>
                <w:color w:val="000000"/>
                <w:szCs w:val="21"/>
              </w:rPr>
              <w:t>（5）定制化操作台：</w:t>
            </w:r>
          </w:p>
          <w:p>
            <w:pPr>
              <w:widowControl/>
              <w:rPr>
                <w:rFonts w:hint="eastAsia" w:ascii="宋体" w:hAnsi="宋体" w:eastAsia="宋体" w:cs="宋体"/>
                <w:b/>
                <w:bCs/>
                <w:kern w:val="0"/>
                <w:sz w:val="21"/>
                <w:szCs w:val="21"/>
                <w:lang w:val="en-US" w:eastAsia="zh-CN" w:bidi="ar-SA"/>
              </w:rPr>
            </w:pPr>
            <w:r>
              <w:rPr>
                <w:rFonts w:hint="eastAsia" w:ascii="宋体" w:hAnsi="宋体" w:cs="宋体"/>
                <w:szCs w:val="21"/>
              </w:rPr>
              <w:t>需按缆道站房摆放位置的设计，外观大气，有现代感。防火、防静电、防电磁干扰。</w:t>
            </w:r>
          </w:p>
        </w:tc>
        <w:tc>
          <w:tcPr>
            <w:tcW w:w="656"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xml:space="preserve">套 </w:t>
            </w:r>
          </w:p>
        </w:tc>
        <w:tc>
          <w:tcPr>
            <w:tcW w:w="695"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ascii="宋体" w:hAnsi="宋体" w:cs="宋体"/>
                <w:color w:val="000000"/>
                <w:szCs w:val="21"/>
              </w:rPr>
              <w:t>14.2</w:t>
            </w:r>
          </w:p>
        </w:tc>
        <w:tc>
          <w:tcPr>
            <w:tcW w:w="97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xml:space="preserve">测流控制软件 </w:t>
            </w:r>
          </w:p>
        </w:tc>
        <w:tc>
          <w:tcPr>
            <w:tcW w:w="1993" w:type="pct"/>
            <w:vAlign w:val="center"/>
          </w:tcPr>
          <w:p>
            <w:pPr>
              <w:pStyle w:val="183"/>
              <w:spacing w:line="240" w:lineRule="auto"/>
              <w:ind w:firstLine="0" w:firstLineChars="0"/>
              <w:rPr>
                <w:rFonts w:hAnsi="宋体"/>
                <w:sz w:val="21"/>
                <w:szCs w:val="21"/>
              </w:rPr>
            </w:pPr>
            <w:r>
              <w:rPr>
                <w:rFonts w:hint="eastAsia" w:hAnsi="宋体"/>
                <w:sz w:val="21"/>
                <w:szCs w:val="21"/>
              </w:rPr>
              <w:t>（1）</w:t>
            </w:r>
            <w:r>
              <w:rPr>
                <w:rFonts w:hint="eastAsia" w:hAnsi="宋体" w:cs="微软雅黑"/>
                <w:sz w:val="21"/>
                <w:szCs w:val="21"/>
              </w:rPr>
              <w:t>测</w:t>
            </w:r>
            <w:r>
              <w:rPr>
                <w:rFonts w:hint="eastAsia" w:hAnsi="宋体" w:cs="Yu Gothic UI"/>
                <w:sz w:val="21"/>
                <w:szCs w:val="21"/>
              </w:rPr>
              <w:t>流</w:t>
            </w:r>
            <w:r>
              <w:rPr>
                <w:rFonts w:hint="eastAsia" w:hAnsi="宋体" w:cs="微软雅黑"/>
                <w:sz w:val="21"/>
                <w:szCs w:val="21"/>
              </w:rPr>
              <w:t>软</w:t>
            </w:r>
            <w:r>
              <w:rPr>
                <w:rFonts w:hint="eastAsia" w:hAnsi="宋体" w:cs="Yu Gothic UI"/>
                <w:sz w:val="21"/>
                <w:szCs w:val="21"/>
              </w:rPr>
              <w:t>件采用一体化</w:t>
            </w:r>
            <w:r>
              <w:rPr>
                <w:rFonts w:hint="eastAsia" w:hAnsi="宋体" w:cs="微软雅黑"/>
                <w:sz w:val="21"/>
                <w:szCs w:val="21"/>
              </w:rPr>
              <w:t>软</w:t>
            </w:r>
            <w:r>
              <w:rPr>
                <w:rFonts w:hint="eastAsia" w:hAnsi="宋体" w:cs="Yu Gothic UI"/>
                <w:sz w:val="21"/>
                <w:szCs w:val="21"/>
              </w:rPr>
              <w:t>件界面</w:t>
            </w:r>
            <w:r>
              <w:rPr>
                <w:rFonts w:hint="eastAsia" w:hAnsi="宋体"/>
                <w:sz w:val="21"/>
                <w:szCs w:val="21"/>
              </w:rPr>
              <w:t>，集成参数</w:t>
            </w:r>
            <w:r>
              <w:rPr>
                <w:rFonts w:hint="eastAsia" w:hAnsi="宋体" w:cs="微软雅黑"/>
                <w:sz w:val="21"/>
                <w:szCs w:val="21"/>
              </w:rPr>
              <w:t>设</w:t>
            </w:r>
            <w:r>
              <w:rPr>
                <w:rFonts w:hint="eastAsia" w:hAnsi="宋体" w:cs="Yu Gothic UI"/>
                <w:sz w:val="21"/>
                <w:szCs w:val="21"/>
              </w:rPr>
              <w:t>置、状</w:t>
            </w:r>
            <w:r>
              <w:rPr>
                <w:rFonts w:hint="eastAsia" w:hAnsi="宋体" w:cs="微软雅黑"/>
                <w:sz w:val="21"/>
                <w:szCs w:val="21"/>
              </w:rPr>
              <w:t>态显</w:t>
            </w:r>
            <w:r>
              <w:rPr>
                <w:rFonts w:hint="eastAsia" w:hAnsi="宋体" w:cs="Yu Gothic UI"/>
                <w:sz w:val="21"/>
                <w:szCs w:val="21"/>
              </w:rPr>
              <w:t>示、</w:t>
            </w:r>
            <w:r>
              <w:rPr>
                <w:rFonts w:hint="eastAsia" w:hAnsi="宋体" w:cs="微软雅黑"/>
                <w:sz w:val="21"/>
                <w:szCs w:val="21"/>
              </w:rPr>
              <w:t>实时测</w:t>
            </w:r>
            <w:r>
              <w:rPr>
                <w:rFonts w:hint="eastAsia" w:hAnsi="宋体" w:cs="Yu Gothic UI"/>
                <w:sz w:val="21"/>
                <w:szCs w:val="21"/>
              </w:rPr>
              <w:t>量、</w:t>
            </w:r>
            <w:r>
              <w:rPr>
                <w:rFonts w:hint="eastAsia" w:hAnsi="宋体" w:cs="微软雅黑"/>
                <w:sz w:val="21"/>
                <w:szCs w:val="21"/>
              </w:rPr>
              <w:t>结</w:t>
            </w:r>
            <w:r>
              <w:rPr>
                <w:rFonts w:hint="eastAsia" w:hAnsi="宋体" w:cs="Yu Gothic UI"/>
                <w:sz w:val="21"/>
                <w:szCs w:val="21"/>
              </w:rPr>
              <w:t>果</w:t>
            </w:r>
            <w:r>
              <w:rPr>
                <w:rFonts w:hint="eastAsia" w:hAnsi="宋体" w:cs="微软雅黑"/>
                <w:sz w:val="21"/>
                <w:szCs w:val="21"/>
              </w:rPr>
              <w:t>输</w:t>
            </w:r>
            <w:r>
              <w:rPr>
                <w:rFonts w:hint="eastAsia" w:hAnsi="宋体" w:cs="Yu Gothic UI"/>
                <w:sz w:val="21"/>
                <w:szCs w:val="21"/>
              </w:rPr>
              <w:t>出等功能于一体，操作</w:t>
            </w:r>
            <w:r>
              <w:rPr>
                <w:rFonts w:hint="eastAsia" w:hAnsi="宋体" w:cs="微软雅黑"/>
                <w:sz w:val="21"/>
                <w:szCs w:val="21"/>
              </w:rPr>
              <w:t>简单</w:t>
            </w:r>
            <w:r>
              <w:rPr>
                <w:rFonts w:hint="eastAsia" w:hAnsi="宋体" w:cs="Yu Gothic UI"/>
                <w:sz w:val="21"/>
                <w:szCs w:val="21"/>
              </w:rPr>
              <w:t>、功能</w:t>
            </w:r>
            <w:r>
              <w:rPr>
                <w:rFonts w:hint="eastAsia" w:hAnsi="宋体" w:cs="微软雅黑"/>
                <w:sz w:val="21"/>
                <w:szCs w:val="21"/>
              </w:rPr>
              <w:t>齐</w:t>
            </w:r>
            <w:r>
              <w:rPr>
                <w:rFonts w:hint="eastAsia" w:hAnsi="宋体" w:cs="Yu Gothic UI"/>
                <w:sz w:val="21"/>
                <w:szCs w:val="21"/>
              </w:rPr>
              <w:t>全、画面直</w:t>
            </w:r>
            <w:r>
              <w:rPr>
                <w:rFonts w:hint="eastAsia" w:hAnsi="宋体" w:cs="微软雅黑"/>
                <w:sz w:val="21"/>
                <w:szCs w:val="21"/>
              </w:rPr>
              <w:t>观。</w:t>
            </w:r>
          </w:p>
          <w:p>
            <w:pPr>
              <w:pStyle w:val="183"/>
              <w:spacing w:line="240" w:lineRule="auto"/>
              <w:ind w:firstLine="0" w:firstLineChars="0"/>
              <w:rPr>
                <w:rFonts w:hAnsi="宋体"/>
                <w:sz w:val="21"/>
                <w:szCs w:val="21"/>
              </w:rPr>
            </w:pPr>
            <w:r>
              <w:rPr>
                <w:rFonts w:hint="eastAsia" w:hAnsi="宋体"/>
                <w:sz w:val="21"/>
                <w:szCs w:val="21"/>
              </w:rPr>
              <w:t>（2）</w:t>
            </w:r>
            <w:r>
              <w:rPr>
                <w:rFonts w:hint="eastAsia" w:hAnsi="宋体" w:cs="微软雅黑"/>
                <w:sz w:val="21"/>
                <w:szCs w:val="21"/>
              </w:rPr>
              <w:t>远</w:t>
            </w:r>
            <w:r>
              <w:rPr>
                <w:rFonts w:hint="eastAsia" w:hAnsi="宋体" w:cs="Yu Gothic UI"/>
                <w:sz w:val="21"/>
                <w:szCs w:val="21"/>
              </w:rPr>
              <w:t>程一</w:t>
            </w:r>
            <w:r>
              <w:rPr>
                <w:rFonts w:hint="eastAsia" w:hAnsi="宋体" w:cs="微软雅黑"/>
                <w:sz w:val="21"/>
                <w:szCs w:val="21"/>
              </w:rPr>
              <w:t>键</w:t>
            </w:r>
            <w:r>
              <w:rPr>
                <w:rFonts w:hint="eastAsia" w:hAnsi="宋体" w:cs="Yu Gothic UI"/>
                <w:sz w:val="21"/>
                <w:szCs w:val="21"/>
              </w:rPr>
              <w:t>智能自</w:t>
            </w:r>
            <w:r>
              <w:rPr>
                <w:rFonts w:hint="eastAsia" w:hAnsi="宋体" w:cs="微软雅黑"/>
                <w:sz w:val="21"/>
                <w:szCs w:val="21"/>
              </w:rPr>
              <w:t>动测</w:t>
            </w:r>
            <w:r>
              <w:rPr>
                <w:rFonts w:hint="eastAsia" w:hAnsi="宋体" w:cs="Yu Gothic UI"/>
                <w:sz w:val="21"/>
                <w:szCs w:val="21"/>
              </w:rPr>
              <w:t>流</w:t>
            </w:r>
            <w:r>
              <w:rPr>
                <w:rFonts w:hint="eastAsia" w:hAnsi="宋体"/>
                <w:sz w:val="21"/>
                <w:szCs w:val="21"/>
              </w:rPr>
              <w:t>：系</w:t>
            </w:r>
            <w:r>
              <w:rPr>
                <w:rFonts w:hint="eastAsia" w:hAnsi="宋体" w:cs="微软雅黑"/>
                <w:sz w:val="21"/>
                <w:szCs w:val="21"/>
              </w:rPr>
              <w:t>统</w:t>
            </w:r>
            <w:r>
              <w:rPr>
                <w:rFonts w:hAnsi="宋体"/>
                <w:sz w:val="21"/>
                <w:szCs w:val="21"/>
              </w:rPr>
              <w:t>参数配置完</w:t>
            </w:r>
            <w:r>
              <w:rPr>
                <w:rFonts w:hint="eastAsia" w:hAnsi="宋体" w:cs="微软雅黑"/>
                <w:sz w:val="21"/>
                <w:szCs w:val="21"/>
              </w:rPr>
              <w:t>毕</w:t>
            </w:r>
            <w:r>
              <w:rPr>
                <w:rFonts w:hint="eastAsia" w:hAnsi="宋体" w:cs="Yu Gothic UI"/>
                <w:sz w:val="21"/>
                <w:szCs w:val="21"/>
              </w:rPr>
              <w:t>以后，系</w:t>
            </w:r>
            <w:r>
              <w:rPr>
                <w:rFonts w:hint="eastAsia" w:hAnsi="宋体" w:cs="微软雅黑"/>
                <w:sz w:val="21"/>
                <w:szCs w:val="21"/>
              </w:rPr>
              <w:t>统</w:t>
            </w:r>
            <w:r>
              <w:rPr>
                <w:rFonts w:hint="eastAsia" w:hAnsi="宋体" w:cs="Yu Gothic UI"/>
                <w:sz w:val="21"/>
                <w:szCs w:val="21"/>
              </w:rPr>
              <w:t>根据配置信息自</w:t>
            </w:r>
            <w:r>
              <w:rPr>
                <w:rFonts w:hint="eastAsia" w:hAnsi="宋体" w:cs="微软雅黑"/>
                <w:sz w:val="21"/>
                <w:szCs w:val="21"/>
              </w:rPr>
              <w:t>动</w:t>
            </w:r>
            <w:r>
              <w:rPr>
                <w:rFonts w:hint="eastAsia" w:hAnsi="宋体" w:cs="Yu Gothic UI"/>
                <w:sz w:val="21"/>
                <w:szCs w:val="21"/>
              </w:rPr>
              <w:t>完成各个垂</w:t>
            </w:r>
            <w:r>
              <w:rPr>
                <w:rFonts w:hint="eastAsia" w:hAnsi="宋体" w:cs="微软雅黑"/>
                <w:sz w:val="21"/>
                <w:szCs w:val="21"/>
              </w:rPr>
              <w:t>线</w:t>
            </w:r>
            <w:r>
              <w:rPr>
                <w:rFonts w:hint="eastAsia" w:hAnsi="宋体" w:cs="Yu Gothic UI"/>
                <w:sz w:val="21"/>
                <w:szCs w:val="21"/>
              </w:rPr>
              <w:t>及</w:t>
            </w:r>
            <w:r>
              <w:rPr>
                <w:rFonts w:hint="eastAsia" w:hAnsi="宋体" w:cs="微软雅黑"/>
                <w:sz w:val="21"/>
                <w:szCs w:val="21"/>
              </w:rPr>
              <w:t>测</w:t>
            </w:r>
            <w:r>
              <w:rPr>
                <w:rFonts w:hint="eastAsia" w:hAnsi="宋体" w:cs="Yu Gothic UI"/>
                <w:sz w:val="21"/>
                <w:szCs w:val="21"/>
              </w:rPr>
              <w:t>点流速</w:t>
            </w:r>
            <w:r>
              <w:rPr>
                <w:rFonts w:hint="eastAsia" w:hAnsi="宋体" w:cs="微软雅黑"/>
                <w:sz w:val="21"/>
                <w:szCs w:val="21"/>
              </w:rPr>
              <w:t>测验</w:t>
            </w:r>
            <w:r>
              <w:rPr>
                <w:rFonts w:hint="eastAsia" w:hAnsi="宋体" w:cs="Yu Gothic UI"/>
                <w:sz w:val="21"/>
                <w:szCs w:val="21"/>
              </w:rPr>
              <w:t>。在系</w:t>
            </w:r>
            <w:r>
              <w:rPr>
                <w:rFonts w:hint="eastAsia" w:hAnsi="宋体" w:cs="微软雅黑"/>
                <w:sz w:val="21"/>
                <w:szCs w:val="21"/>
              </w:rPr>
              <w:t>统测</w:t>
            </w:r>
            <w:r>
              <w:rPr>
                <w:rFonts w:hint="eastAsia" w:hAnsi="宋体" w:cs="Yu Gothic UI"/>
                <w:sz w:val="21"/>
                <w:szCs w:val="21"/>
              </w:rPr>
              <w:t>流</w:t>
            </w:r>
            <w:r>
              <w:rPr>
                <w:rFonts w:hint="eastAsia" w:hAnsi="宋体" w:cs="微软雅黑"/>
                <w:sz w:val="21"/>
                <w:szCs w:val="21"/>
              </w:rPr>
              <w:t>过</w:t>
            </w:r>
            <w:r>
              <w:rPr>
                <w:rFonts w:hint="eastAsia" w:hAnsi="宋体" w:cs="Yu Gothic UI"/>
                <w:sz w:val="21"/>
                <w:szCs w:val="21"/>
              </w:rPr>
              <w:t>程中</w:t>
            </w:r>
            <w:r>
              <w:rPr>
                <w:rFonts w:hint="eastAsia" w:hAnsi="宋体" w:cs="微软雅黑"/>
                <w:sz w:val="21"/>
                <w:szCs w:val="21"/>
              </w:rPr>
              <w:t>实时读</w:t>
            </w:r>
            <w:r>
              <w:rPr>
                <w:rFonts w:hint="eastAsia" w:hAnsi="宋体" w:cs="Yu Gothic UI"/>
                <w:sz w:val="21"/>
                <w:szCs w:val="21"/>
              </w:rPr>
              <w:t>取水位，并根据水位信息修正垂</w:t>
            </w:r>
            <w:r>
              <w:rPr>
                <w:rFonts w:hint="eastAsia" w:hAnsi="宋体" w:cs="微软雅黑"/>
                <w:sz w:val="21"/>
                <w:szCs w:val="21"/>
              </w:rPr>
              <w:t>线</w:t>
            </w:r>
            <w:r>
              <w:rPr>
                <w:rFonts w:hint="eastAsia" w:hAnsi="宋体" w:cs="Yu Gothic UI"/>
                <w:sz w:val="21"/>
                <w:szCs w:val="21"/>
              </w:rPr>
              <w:t>与</w:t>
            </w:r>
            <w:r>
              <w:rPr>
                <w:rFonts w:hint="eastAsia" w:hAnsi="宋体" w:cs="微软雅黑"/>
                <w:sz w:val="21"/>
                <w:szCs w:val="21"/>
              </w:rPr>
              <w:t>测</w:t>
            </w:r>
            <w:r>
              <w:rPr>
                <w:rFonts w:hint="eastAsia" w:hAnsi="宋体" w:cs="Yu Gothic UI"/>
                <w:sz w:val="21"/>
                <w:szCs w:val="21"/>
              </w:rPr>
              <w:t>点；</w:t>
            </w:r>
            <w:r>
              <w:rPr>
                <w:rFonts w:hint="eastAsia" w:hAnsi="宋体" w:cs="微软雅黑"/>
                <w:sz w:val="21"/>
                <w:szCs w:val="21"/>
              </w:rPr>
              <w:t>测</w:t>
            </w:r>
            <w:r>
              <w:rPr>
                <w:rFonts w:hint="eastAsia" w:hAnsi="宋体" w:cs="Yu Gothic UI"/>
                <w:sz w:val="21"/>
                <w:szCs w:val="21"/>
              </w:rPr>
              <w:t>流</w:t>
            </w:r>
            <w:r>
              <w:rPr>
                <w:rFonts w:hint="eastAsia" w:hAnsi="宋体" w:cs="微软雅黑"/>
                <w:sz w:val="21"/>
                <w:szCs w:val="21"/>
              </w:rPr>
              <w:t>过</w:t>
            </w:r>
            <w:r>
              <w:rPr>
                <w:rFonts w:hint="eastAsia" w:hAnsi="宋体" w:cs="Yu Gothic UI"/>
                <w:sz w:val="21"/>
                <w:szCs w:val="21"/>
              </w:rPr>
              <w:t>程中用</w:t>
            </w:r>
            <w:r>
              <w:rPr>
                <w:rFonts w:hint="eastAsia" w:hAnsi="宋体" w:cs="微软雅黑"/>
                <w:sz w:val="21"/>
                <w:szCs w:val="21"/>
              </w:rPr>
              <w:t>户</w:t>
            </w:r>
            <w:r>
              <w:rPr>
                <w:rFonts w:hint="eastAsia" w:hAnsi="宋体" w:cs="Yu Gothic UI"/>
                <w:sz w:val="21"/>
                <w:szCs w:val="21"/>
              </w:rPr>
              <w:t>如果</w:t>
            </w:r>
            <w:r>
              <w:rPr>
                <w:rFonts w:hint="eastAsia" w:hAnsi="宋体" w:cs="微软雅黑"/>
                <w:sz w:val="21"/>
                <w:szCs w:val="21"/>
              </w:rPr>
              <w:t>发现</w:t>
            </w:r>
            <w:r>
              <w:rPr>
                <w:rFonts w:hint="eastAsia" w:hAnsi="宋体" w:cs="Yu Gothic UI"/>
                <w:sz w:val="21"/>
                <w:szCs w:val="21"/>
              </w:rPr>
              <w:t>有船只或障碍物</w:t>
            </w:r>
            <w:r>
              <w:rPr>
                <w:rFonts w:hint="eastAsia" w:hAnsi="宋体" w:cs="微软雅黑"/>
                <w:sz w:val="21"/>
                <w:szCs w:val="21"/>
              </w:rPr>
              <w:t>时</w:t>
            </w:r>
            <w:r>
              <w:rPr>
                <w:rFonts w:hint="eastAsia" w:hAnsi="宋体" w:cs="Yu Gothic UI"/>
                <w:sz w:val="21"/>
                <w:szCs w:val="21"/>
              </w:rPr>
              <w:t>，用</w:t>
            </w:r>
            <w:r>
              <w:rPr>
                <w:rFonts w:hint="eastAsia" w:hAnsi="宋体" w:cs="微软雅黑"/>
                <w:sz w:val="21"/>
                <w:szCs w:val="21"/>
              </w:rPr>
              <w:t>户</w:t>
            </w:r>
            <w:r>
              <w:rPr>
                <w:rFonts w:hint="eastAsia" w:hAnsi="宋体" w:cs="Yu Gothic UI"/>
                <w:sz w:val="21"/>
                <w:szCs w:val="21"/>
              </w:rPr>
              <w:t>可以通</w:t>
            </w:r>
            <w:r>
              <w:rPr>
                <w:rFonts w:hint="eastAsia" w:hAnsi="宋体" w:cs="微软雅黑"/>
                <w:sz w:val="21"/>
                <w:szCs w:val="21"/>
              </w:rPr>
              <w:t>过</w:t>
            </w:r>
            <w:r>
              <w:rPr>
                <w:rFonts w:hint="eastAsia" w:hAnsi="宋体" w:cs="Yu Gothic UI"/>
                <w:sz w:val="21"/>
                <w:szCs w:val="21"/>
              </w:rPr>
              <w:t>控制</w:t>
            </w:r>
            <w:r>
              <w:rPr>
                <w:rFonts w:hint="eastAsia" w:hAnsi="宋体" w:cs="微软雅黑"/>
                <w:sz w:val="21"/>
                <w:szCs w:val="21"/>
              </w:rPr>
              <w:t>单</w:t>
            </w:r>
            <w:r>
              <w:rPr>
                <w:rFonts w:hint="eastAsia" w:hAnsi="宋体" w:cs="Yu Gothic UI"/>
                <w:sz w:val="21"/>
                <w:szCs w:val="21"/>
              </w:rPr>
              <w:t>元的方向按</w:t>
            </w:r>
            <w:r>
              <w:rPr>
                <w:rFonts w:hint="eastAsia" w:hAnsi="宋体" w:cs="微软雅黑"/>
                <w:sz w:val="21"/>
                <w:szCs w:val="21"/>
              </w:rPr>
              <w:t>钮进</w:t>
            </w:r>
            <w:r>
              <w:rPr>
                <w:rFonts w:hint="eastAsia" w:hAnsi="宋体" w:cs="Yu Gothic UI"/>
                <w:sz w:val="21"/>
                <w:szCs w:val="21"/>
              </w:rPr>
              <w:t>行避</w:t>
            </w:r>
            <w:r>
              <w:rPr>
                <w:rFonts w:hint="eastAsia" w:hAnsi="宋体" w:cs="微软雅黑"/>
                <w:sz w:val="21"/>
                <w:szCs w:val="21"/>
              </w:rPr>
              <w:t>让</w:t>
            </w:r>
            <w:r>
              <w:rPr>
                <w:rFonts w:hint="eastAsia" w:hAnsi="宋体" w:cs="Yu Gothic UI"/>
                <w:sz w:val="21"/>
                <w:szCs w:val="21"/>
              </w:rPr>
              <w:t>；</w:t>
            </w:r>
            <w:r>
              <w:rPr>
                <w:rFonts w:hint="eastAsia" w:hAnsi="宋体" w:cs="微软雅黑"/>
                <w:sz w:val="21"/>
                <w:szCs w:val="21"/>
              </w:rPr>
              <w:t>测</w:t>
            </w:r>
            <w:r>
              <w:rPr>
                <w:rFonts w:hint="eastAsia" w:hAnsi="宋体" w:cs="Yu Gothic UI"/>
                <w:sz w:val="21"/>
                <w:szCs w:val="21"/>
              </w:rPr>
              <w:t>流</w:t>
            </w:r>
            <w:r>
              <w:rPr>
                <w:rFonts w:hint="eastAsia" w:hAnsi="宋体" w:cs="微软雅黑"/>
                <w:sz w:val="21"/>
                <w:szCs w:val="21"/>
              </w:rPr>
              <w:t>过</w:t>
            </w:r>
            <w:r>
              <w:rPr>
                <w:rFonts w:hint="eastAsia" w:hAnsi="宋体" w:cs="Yu Gothic UI"/>
                <w:sz w:val="21"/>
                <w:szCs w:val="21"/>
              </w:rPr>
              <w:t>程中用</w:t>
            </w:r>
            <w:r>
              <w:rPr>
                <w:rFonts w:hint="eastAsia" w:hAnsi="宋体" w:cs="微软雅黑"/>
                <w:sz w:val="21"/>
                <w:szCs w:val="21"/>
              </w:rPr>
              <w:t>户</w:t>
            </w:r>
            <w:r>
              <w:rPr>
                <w:rFonts w:hint="eastAsia" w:hAnsi="宋体" w:cs="Yu Gothic UI"/>
                <w:sz w:val="21"/>
                <w:szCs w:val="21"/>
              </w:rPr>
              <w:t>如果</w:t>
            </w:r>
            <w:r>
              <w:rPr>
                <w:rFonts w:hint="eastAsia" w:hAnsi="宋体" w:cs="微软雅黑"/>
                <w:sz w:val="21"/>
                <w:szCs w:val="21"/>
              </w:rPr>
              <w:t>发现测</w:t>
            </w:r>
            <w:r>
              <w:rPr>
                <w:rFonts w:hint="eastAsia" w:hAnsi="宋体" w:cs="Yu Gothic UI"/>
                <w:sz w:val="21"/>
                <w:szCs w:val="21"/>
              </w:rPr>
              <w:t>点流速信号采集</w:t>
            </w:r>
            <w:r>
              <w:rPr>
                <w:rFonts w:hint="eastAsia" w:hAnsi="宋体" w:cs="微软雅黑"/>
                <w:sz w:val="21"/>
                <w:szCs w:val="21"/>
              </w:rPr>
              <w:t>错误</w:t>
            </w:r>
            <w:r>
              <w:rPr>
                <w:rFonts w:hint="eastAsia" w:hAnsi="宋体"/>
                <w:sz w:val="21"/>
                <w:szCs w:val="21"/>
              </w:rPr>
              <w:t>(多信号或少信号)，此</w:t>
            </w:r>
            <w:r>
              <w:rPr>
                <w:rFonts w:hint="eastAsia" w:hAnsi="宋体" w:cs="微软雅黑"/>
                <w:sz w:val="21"/>
                <w:szCs w:val="21"/>
              </w:rPr>
              <w:t>时</w:t>
            </w:r>
            <w:r>
              <w:rPr>
                <w:rFonts w:hint="eastAsia" w:hAnsi="宋体" w:cs="Yu Gothic UI"/>
                <w:sz w:val="21"/>
                <w:szCs w:val="21"/>
              </w:rPr>
              <w:t>，用</w:t>
            </w:r>
            <w:r>
              <w:rPr>
                <w:rFonts w:hint="eastAsia" w:hAnsi="宋体" w:cs="微软雅黑"/>
                <w:sz w:val="21"/>
                <w:szCs w:val="21"/>
              </w:rPr>
              <w:t>户</w:t>
            </w:r>
            <w:r>
              <w:rPr>
                <w:rFonts w:hint="eastAsia" w:hAnsi="宋体" w:cs="Yu Gothic UI"/>
                <w:sz w:val="21"/>
                <w:szCs w:val="21"/>
              </w:rPr>
              <w:t>可以停止</w:t>
            </w:r>
            <w:r>
              <w:rPr>
                <w:rFonts w:hint="eastAsia" w:hAnsi="宋体" w:cs="微软雅黑"/>
                <w:sz w:val="21"/>
                <w:szCs w:val="21"/>
              </w:rPr>
              <w:t>测</w:t>
            </w:r>
            <w:r>
              <w:rPr>
                <w:rFonts w:hint="eastAsia" w:hAnsi="宋体" w:cs="Yu Gothic UI"/>
                <w:sz w:val="21"/>
                <w:szCs w:val="21"/>
              </w:rPr>
              <w:t>流，并</w:t>
            </w:r>
            <w:r>
              <w:rPr>
                <w:rFonts w:hint="eastAsia" w:hAnsi="宋体" w:cs="微软雅黑"/>
                <w:sz w:val="21"/>
                <w:szCs w:val="21"/>
              </w:rPr>
              <w:t>进</w:t>
            </w:r>
            <w:r>
              <w:rPr>
                <w:rFonts w:hint="eastAsia" w:hAnsi="宋体" w:cs="Yu Gothic UI"/>
                <w:sz w:val="21"/>
                <w:szCs w:val="21"/>
              </w:rPr>
              <w:t>行</w:t>
            </w:r>
            <w:r>
              <w:rPr>
                <w:rFonts w:hint="eastAsia" w:hAnsi="宋体" w:cs="微软雅黑"/>
                <w:sz w:val="21"/>
                <w:szCs w:val="21"/>
              </w:rPr>
              <w:t>对</w:t>
            </w:r>
            <w:r>
              <w:rPr>
                <w:rFonts w:hint="eastAsia" w:hAnsi="宋体" w:cs="Yu Gothic UI"/>
                <w:sz w:val="21"/>
                <w:szCs w:val="21"/>
              </w:rPr>
              <w:t>当前垂</w:t>
            </w:r>
            <w:r>
              <w:rPr>
                <w:rFonts w:hint="eastAsia" w:hAnsi="宋体" w:cs="微软雅黑"/>
                <w:sz w:val="21"/>
                <w:szCs w:val="21"/>
              </w:rPr>
              <w:t>线</w:t>
            </w:r>
            <w:r>
              <w:rPr>
                <w:rFonts w:hint="eastAsia" w:hAnsi="宋体" w:cs="Yu Gothic UI"/>
                <w:sz w:val="21"/>
                <w:szCs w:val="21"/>
              </w:rPr>
              <w:t>各</w:t>
            </w:r>
            <w:r>
              <w:rPr>
                <w:rFonts w:hint="eastAsia" w:hAnsi="宋体" w:cs="微软雅黑"/>
                <w:sz w:val="21"/>
                <w:szCs w:val="21"/>
              </w:rPr>
              <w:t>测</w:t>
            </w:r>
            <w:r>
              <w:rPr>
                <w:rFonts w:hint="eastAsia" w:hAnsi="宋体" w:cs="Yu Gothic UI"/>
                <w:sz w:val="21"/>
                <w:szCs w:val="21"/>
              </w:rPr>
              <w:t>点重新</w:t>
            </w:r>
            <w:r>
              <w:rPr>
                <w:rFonts w:hint="eastAsia" w:hAnsi="宋体" w:cs="微软雅黑"/>
                <w:sz w:val="21"/>
                <w:szCs w:val="21"/>
              </w:rPr>
              <w:t>测</w:t>
            </w:r>
            <w:r>
              <w:rPr>
                <w:rFonts w:hint="eastAsia" w:hAnsi="宋体" w:cs="Yu Gothic UI"/>
                <w:sz w:val="21"/>
                <w:szCs w:val="21"/>
              </w:rPr>
              <w:t>量。</w:t>
            </w:r>
          </w:p>
          <w:p>
            <w:pPr>
              <w:widowControl/>
              <w:rPr>
                <w:rFonts w:ascii="宋体" w:hAnsi="宋体"/>
                <w:szCs w:val="21"/>
              </w:rPr>
            </w:pPr>
            <w:r>
              <w:rPr>
                <w:rFonts w:hint="eastAsia" w:ascii="宋体" w:hAnsi="宋体"/>
                <w:szCs w:val="21"/>
              </w:rPr>
              <w:t>（3）</w:t>
            </w:r>
            <w:r>
              <w:rPr>
                <w:rFonts w:hint="eastAsia" w:ascii="宋体" w:hAnsi="宋体" w:cs="微软雅黑"/>
                <w:szCs w:val="21"/>
              </w:rPr>
              <w:t>标</w:t>
            </w:r>
            <w:r>
              <w:rPr>
                <w:rFonts w:hint="eastAsia" w:ascii="宋体" w:hAnsi="宋体" w:cs="Yu Gothic UI"/>
                <w:szCs w:val="21"/>
              </w:rPr>
              <w:t>准化</w:t>
            </w:r>
            <w:r>
              <w:rPr>
                <w:rFonts w:hint="eastAsia" w:ascii="宋体" w:hAnsi="宋体" w:cs="微软雅黑"/>
                <w:szCs w:val="21"/>
              </w:rPr>
              <w:t>测验记载</w:t>
            </w:r>
            <w:r>
              <w:rPr>
                <w:rFonts w:hint="eastAsia" w:ascii="宋体" w:hAnsi="宋体" w:cs="Yu Gothic UI"/>
                <w:szCs w:val="21"/>
              </w:rPr>
              <w:t>表</w:t>
            </w:r>
            <w:r>
              <w:rPr>
                <w:rFonts w:hint="eastAsia" w:ascii="宋体" w:hAnsi="宋体"/>
                <w:szCs w:val="21"/>
              </w:rPr>
              <w:t>：当</w:t>
            </w:r>
            <w:r>
              <w:rPr>
                <w:rFonts w:hint="eastAsia" w:ascii="宋体" w:hAnsi="宋体" w:cs="微软雅黑"/>
                <w:szCs w:val="21"/>
              </w:rPr>
              <w:t>测</w:t>
            </w:r>
            <w:r>
              <w:rPr>
                <w:rFonts w:hint="eastAsia" w:ascii="宋体" w:hAnsi="宋体" w:cs="Yu Gothic UI"/>
                <w:szCs w:val="21"/>
              </w:rPr>
              <w:t>流完成后，系</w:t>
            </w:r>
            <w:r>
              <w:rPr>
                <w:rFonts w:hint="eastAsia" w:ascii="宋体" w:hAnsi="宋体" w:cs="微软雅黑"/>
                <w:szCs w:val="21"/>
              </w:rPr>
              <w:t>统</w:t>
            </w:r>
            <w:r>
              <w:rPr>
                <w:rFonts w:hint="eastAsia" w:ascii="宋体" w:hAnsi="宋体" w:cs="Yu Gothic UI"/>
                <w:szCs w:val="21"/>
              </w:rPr>
              <w:t>可按照</w:t>
            </w:r>
            <w:r>
              <w:rPr>
                <w:rFonts w:hint="eastAsia" w:ascii="宋体" w:hAnsi="宋体" w:cs="微软雅黑"/>
                <w:szCs w:val="21"/>
              </w:rPr>
              <w:t>标</w:t>
            </w:r>
            <w:r>
              <w:rPr>
                <w:rFonts w:hint="eastAsia" w:ascii="宋体" w:hAnsi="宋体" w:cs="Yu Gothic UI"/>
                <w:szCs w:val="21"/>
              </w:rPr>
              <w:t>准的</w:t>
            </w:r>
            <w:r>
              <w:rPr>
                <w:rFonts w:hint="eastAsia" w:ascii="宋体" w:hAnsi="宋体" w:cs="微软雅黑"/>
                <w:szCs w:val="21"/>
              </w:rPr>
              <w:t>缆</w:t>
            </w:r>
            <w:r>
              <w:rPr>
                <w:rFonts w:hint="eastAsia" w:ascii="宋体" w:hAnsi="宋体" w:cs="Yu Gothic UI"/>
                <w:szCs w:val="21"/>
              </w:rPr>
              <w:t>道</w:t>
            </w:r>
            <w:r>
              <w:rPr>
                <w:rFonts w:hint="eastAsia" w:ascii="宋体" w:hAnsi="宋体" w:cs="微软雅黑"/>
                <w:szCs w:val="21"/>
              </w:rPr>
              <w:t>测验规</w:t>
            </w:r>
            <w:r>
              <w:rPr>
                <w:rFonts w:hint="eastAsia" w:ascii="宋体" w:hAnsi="宋体" w:cs="Yu Gothic UI"/>
                <w:szCs w:val="21"/>
              </w:rPr>
              <w:t>范（</w:t>
            </w:r>
            <w:r>
              <w:rPr>
                <w:rFonts w:hint="eastAsia" w:ascii="宋体" w:hAnsi="宋体"/>
                <w:szCs w:val="21"/>
              </w:rPr>
              <w:t>SL</w:t>
            </w:r>
            <w:r>
              <w:rPr>
                <w:rFonts w:ascii="宋体" w:hAnsi="宋体"/>
                <w:szCs w:val="21"/>
              </w:rPr>
              <w:t>443-2009</w:t>
            </w:r>
            <w:r>
              <w:rPr>
                <w:rFonts w:hint="eastAsia" w:ascii="宋体" w:hAnsi="宋体"/>
                <w:szCs w:val="21"/>
              </w:rPr>
              <w:t>）自</w:t>
            </w:r>
            <w:r>
              <w:rPr>
                <w:rFonts w:hint="eastAsia" w:ascii="宋体" w:hAnsi="宋体" w:cs="微软雅黑"/>
                <w:szCs w:val="21"/>
              </w:rPr>
              <w:t>动</w:t>
            </w:r>
            <w:r>
              <w:rPr>
                <w:rFonts w:hint="eastAsia" w:ascii="宋体" w:hAnsi="宋体" w:cs="Yu Gothic UI"/>
                <w:szCs w:val="21"/>
              </w:rPr>
              <w:t>生成流量</w:t>
            </w:r>
            <w:r>
              <w:rPr>
                <w:rFonts w:hint="eastAsia" w:ascii="宋体" w:hAnsi="宋体" w:cs="微软雅黑"/>
                <w:szCs w:val="21"/>
              </w:rPr>
              <w:t>测验测验记载</w:t>
            </w:r>
            <w:r>
              <w:rPr>
                <w:rFonts w:hint="eastAsia" w:ascii="宋体" w:hAnsi="宋体" w:cs="Yu Gothic UI"/>
                <w:szCs w:val="21"/>
              </w:rPr>
              <w:t>表</w:t>
            </w:r>
            <w:r>
              <w:rPr>
                <w:rFonts w:hint="eastAsia" w:ascii="宋体" w:hAnsi="宋体"/>
                <w:szCs w:val="21"/>
              </w:rPr>
              <w:t>。</w:t>
            </w:r>
          </w:p>
          <w:p>
            <w:pPr>
              <w:pStyle w:val="183"/>
              <w:spacing w:line="240" w:lineRule="auto"/>
              <w:ind w:firstLine="0" w:firstLineChars="0"/>
              <w:rPr>
                <w:rFonts w:hAnsi="宋体"/>
                <w:sz w:val="21"/>
                <w:szCs w:val="21"/>
              </w:rPr>
            </w:pPr>
            <w:r>
              <w:rPr>
                <w:rFonts w:hint="eastAsia" w:hAnsi="宋体"/>
                <w:sz w:val="21"/>
                <w:szCs w:val="21"/>
              </w:rPr>
              <w:t>（4）断点</w:t>
            </w:r>
            <w:r>
              <w:rPr>
                <w:rFonts w:hint="eastAsia" w:hAnsi="宋体" w:cs="微软雅黑"/>
                <w:sz w:val="21"/>
                <w:szCs w:val="21"/>
              </w:rPr>
              <w:t>续测</w:t>
            </w:r>
            <w:r>
              <w:rPr>
                <w:rFonts w:hint="eastAsia" w:hAnsi="宋体" w:cs="Yu Gothic UI"/>
                <w:sz w:val="21"/>
                <w:szCs w:val="21"/>
              </w:rPr>
              <w:t>功能，在</w:t>
            </w:r>
            <w:r>
              <w:rPr>
                <w:rFonts w:hint="eastAsia" w:hAnsi="宋体" w:cs="微软雅黑"/>
                <w:sz w:val="21"/>
                <w:szCs w:val="21"/>
              </w:rPr>
              <w:t>测</w:t>
            </w:r>
            <w:r>
              <w:rPr>
                <w:rFonts w:hint="eastAsia" w:hAnsi="宋体" w:cs="Yu Gothic UI"/>
                <w:sz w:val="21"/>
                <w:szCs w:val="21"/>
              </w:rPr>
              <w:t>流</w:t>
            </w:r>
            <w:r>
              <w:rPr>
                <w:rFonts w:hint="eastAsia" w:hAnsi="宋体" w:cs="微软雅黑"/>
                <w:sz w:val="21"/>
                <w:szCs w:val="21"/>
              </w:rPr>
              <w:t>过</w:t>
            </w:r>
            <w:r>
              <w:rPr>
                <w:rFonts w:hint="eastAsia" w:hAnsi="宋体" w:cs="Yu Gothic UI"/>
                <w:sz w:val="21"/>
                <w:szCs w:val="21"/>
              </w:rPr>
              <w:t>程中，如</w:t>
            </w:r>
            <w:r>
              <w:rPr>
                <w:rFonts w:hint="eastAsia" w:hAnsi="宋体" w:cs="微软雅黑"/>
                <w:sz w:val="21"/>
                <w:szCs w:val="21"/>
              </w:rPr>
              <w:t>设备</w:t>
            </w:r>
            <w:r>
              <w:rPr>
                <w:rFonts w:hint="eastAsia" w:hAnsi="宋体" w:cs="Yu Gothic UI"/>
                <w:sz w:val="21"/>
                <w:szCs w:val="21"/>
              </w:rPr>
              <w:t>故障等情况下需</w:t>
            </w:r>
            <w:r>
              <w:rPr>
                <w:rFonts w:hint="eastAsia" w:hAnsi="宋体" w:cs="微软雅黑"/>
                <w:sz w:val="21"/>
                <w:szCs w:val="21"/>
              </w:rPr>
              <w:t>铅鱼</w:t>
            </w:r>
            <w:r>
              <w:rPr>
                <w:rFonts w:hint="eastAsia" w:hAnsi="宋体" w:cs="Yu Gothic UI"/>
                <w:sz w:val="21"/>
                <w:szCs w:val="21"/>
              </w:rPr>
              <w:t>返回原点</w:t>
            </w:r>
            <w:r>
              <w:rPr>
                <w:rFonts w:hint="eastAsia" w:hAnsi="宋体" w:cs="微软雅黑"/>
                <w:sz w:val="21"/>
                <w:szCs w:val="21"/>
              </w:rPr>
              <w:t>检查</w:t>
            </w:r>
            <w:r>
              <w:rPr>
                <w:rFonts w:hint="eastAsia" w:hAnsi="宋体" w:cs="Yu Gothic UI"/>
                <w:sz w:val="21"/>
                <w:szCs w:val="21"/>
              </w:rPr>
              <w:t>，</w:t>
            </w:r>
            <w:r>
              <w:rPr>
                <w:rFonts w:hint="eastAsia" w:hAnsi="宋体" w:cs="微软雅黑"/>
                <w:sz w:val="21"/>
                <w:szCs w:val="21"/>
              </w:rPr>
              <w:t>带问题</w:t>
            </w:r>
            <w:r>
              <w:rPr>
                <w:rFonts w:hint="eastAsia" w:hAnsi="宋体" w:cs="Yu Gothic UI"/>
                <w:sz w:val="21"/>
                <w:szCs w:val="21"/>
              </w:rPr>
              <w:t>解决后可一</w:t>
            </w:r>
            <w:r>
              <w:rPr>
                <w:rFonts w:hint="eastAsia" w:hAnsi="宋体" w:cs="微软雅黑"/>
                <w:sz w:val="21"/>
                <w:szCs w:val="21"/>
              </w:rPr>
              <w:t>键续测</w:t>
            </w:r>
            <w:r>
              <w:rPr>
                <w:rFonts w:hint="eastAsia" w:hAnsi="宋体" w:cs="Yu Gothic UI"/>
                <w:sz w:val="21"/>
                <w:szCs w:val="21"/>
              </w:rPr>
              <w:t>，</w:t>
            </w:r>
            <w:r>
              <w:rPr>
                <w:rFonts w:hint="eastAsia" w:hAnsi="宋体" w:cs="微软雅黑"/>
                <w:sz w:val="21"/>
                <w:szCs w:val="21"/>
              </w:rPr>
              <w:t>节</w:t>
            </w:r>
            <w:r>
              <w:rPr>
                <w:rFonts w:hint="eastAsia" w:hAnsi="宋体" w:cs="Yu Gothic UI"/>
                <w:sz w:val="21"/>
                <w:szCs w:val="21"/>
              </w:rPr>
              <w:t>省</w:t>
            </w:r>
            <w:r>
              <w:rPr>
                <w:rFonts w:hint="eastAsia" w:hAnsi="宋体" w:cs="微软雅黑"/>
                <w:sz w:val="21"/>
                <w:szCs w:val="21"/>
              </w:rPr>
              <w:t>测</w:t>
            </w:r>
            <w:r>
              <w:rPr>
                <w:rFonts w:hint="eastAsia" w:hAnsi="宋体" w:cs="Yu Gothic UI"/>
                <w:sz w:val="21"/>
                <w:szCs w:val="21"/>
              </w:rPr>
              <w:t>流</w:t>
            </w:r>
            <w:r>
              <w:rPr>
                <w:rFonts w:hint="eastAsia" w:hAnsi="宋体" w:cs="微软雅黑"/>
                <w:sz w:val="21"/>
                <w:szCs w:val="21"/>
              </w:rPr>
              <w:t>时间</w:t>
            </w:r>
            <w:r>
              <w:rPr>
                <w:rFonts w:hint="eastAsia" w:hAnsi="宋体" w:cs="Yu Gothic UI"/>
                <w:sz w:val="21"/>
                <w:szCs w:val="21"/>
              </w:rPr>
              <w:t>和工作量。</w:t>
            </w:r>
          </w:p>
          <w:p>
            <w:pPr>
              <w:pStyle w:val="183"/>
              <w:spacing w:line="240" w:lineRule="auto"/>
              <w:ind w:firstLine="0" w:firstLineChars="0"/>
              <w:rPr>
                <w:rFonts w:hAnsi="宋体"/>
                <w:sz w:val="21"/>
                <w:szCs w:val="21"/>
              </w:rPr>
            </w:pPr>
            <w:r>
              <w:rPr>
                <w:rFonts w:hint="eastAsia" w:hAnsi="宋体"/>
                <w:sz w:val="21"/>
                <w:szCs w:val="21"/>
              </w:rPr>
              <w:t>（5）</w:t>
            </w:r>
            <w:r>
              <w:rPr>
                <w:rFonts w:hint="eastAsia" w:hAnsi="宋体" w:cs="微软雅黑"/>
                <w:sz w:val="21"/>
                <w:szCs w:val="21"/>
              </w:rPr>
              <w:t>测</w:t>
            </w:r>
            <w:r>
              <w:rPr>
                <w:rFonts w:hint="eastAsia" w:hAnsi="宋体" w:cs="Yu Gothic UI"/>
                <w:sz w:val="21"/>
                <w:szCs w:val="21"/>
              </w:rPr>
              <w:t>流垂</w:t>
            </w:r>
            <w:r>
              <w:rPr>
                <w:rFonts w:hint="eastAsia" w:hAnsi="宋体" w:cs="微软雅黑"/>
                <w:sz w:val="21"/>
                <w:szCs w:val="21"/>
              </w:rPr>
              <w:t>线</w:t>
            </w:r>
            <w:r>
              <w:rPr>
                <w:rFonts w:hint="eastAsia" w:hAnsi="宋体" w:cs="Yu Gothic UI"/>
                <w:sz w:val="21"/>
                <w:szCs w:val="21"/>
              </w:rPr>
              <w:t>信息更新功能</w:t>
            </w:r>
            <w:r>
              <w:rPr>
                <w:rFonts w:hint="eastAsia" w:hAnsi="宋体"/>
                <w:sz w:val="21"/>
                <w:szCs w:val="21"/>
              </w:rPr>
              <w:t>：</w:t>
            </w:r>
            <w:r>
              <w:rPr>
                <w:rFonts w:hAnsi="宋体"/>
                <w:sz w:val="21"/>
                <w:szCs w:val="21"/>
              </w:rPr>
              <w:t>在</w:t>
            </w:r>
            <w:r>
              <w:rPr>
                <w:rFonts w:hint="eastAsia" w:hAnsi="宋体" w:cs="微软雅黑"/>
                <w:sz w:val="21"/>
                <w:szCs w:val="21"/>
              </w:rPr>
              <w:t>测</w:t>
            </w:r>
            <w:r>
              <w:rPr>
                <w:rFonts w:hint="eastAsia" w:hAnsi="宋体" w:cs="Yu Gothic UI"/>
                <w:sz w:val="21"/>
                <w:szCs w:val="21"/>
              </w:rPr>
              <w:t>流</w:t>
            </w:r>
            <w:r>
              <w:rPr>
                <w:rFonts w:hint="eastAsia" w:hAnsi="宋体" w:cs="微软雅黑"/>
                <w:sz w:val="21"/>
                <w:szCs w:val="21"/>
              </w:rPr>
              <w:t>过</w:t>
            </w:r>
            <w:r>
              <w:rPr>
                <w:rFonts w:hint="eastAsia" w:hAnsi="宋体" w:cs="Yu Gothic UI"/>
                <w:sz w:val="21"/>
                <w:szCs w:val="21"/>
              </w:rPr>
              <w:t>程中，根据河道</w:t>
            </w:r>
            <w:r>
              <w:rPr>
                <w:rFonts w:hint="eastAsia" w:hAnsi="宋体" w:cs="微软雅黑"/>
                <w:sz w:val="21"/>
                <w:szCs w:val="21"/>
              </w:rPr>
              <w:t>实际</w:t>
            </w:r>
            <w:r>
              <w:rPr>
                <w:rFonts w:hint="eastAsia" w:hAnsi="宋体" w:cs="Yu Gothic UI"/>
                <w:sz w:val="21"/>
                <w:szCs w:val="21"/>
              </w:rPr>
              <w:t>水文情况，</w:t>
            </w:r>
            <w:r>
              <w:rPr>
                <w:rFonts w:hint="eastAsia" w:hAnsi="宋体" w:cs="微软雅黑"/>
                <w:sz w:val="21"/>
                <w:szCs w:val="21"/>
              </w:rPr>
              <w:t>为</w:t>
            </w:r>
            <w:r>
              <w:rPr>
                <w:rFonts w:hint="eastAsia" w:hAnsi="宋体" w:cs="Yu Gothic UI"/>
                <w:sz w:val="21"/>
                <w:szCs w:val="21"/>
              </w:rPr>
              <w:t>了达到更好</w:t>
            </w:r>
            <w:r>
              <w:rPr>
                <w:rFonts w:hint="eastAsia" w:hAnsi="宋体" w:cs="微软雅黑"/>
                <w:sz w:val="21"/>
                <w:szCs w:val="21"/>
              </w:rPr>
              <w:t>测验</w:t>
            </w:r>
            <w:r>
              <w:rPr>
                <w:rFonts w:hint="eastAsia" w:hAnsi="宋体" w:cs="Yu Gothic UI"/>
                <w:sz w:val="21"/>
                <w:szCs w:val="21"/>
              </w:rPr>
              <w:t>效果，</w:t>
            </w:r>
            <w:r>
              <w:rPr>
                <w:rFonts w:hint="eastAsia" w:hAnsi="宋体" w:cs="微软雅黑"/>
                <w:sz w:val="21"/>
                <w:szCs w:val="21"/>
              </w:rPr>
              <w:t>铅鱼</w:t>
            </w:r>
            <w:r>
              <w:rPr>
                <w:rFonts w:hint="eastAsia" w:hAnsi="宋体" w:cs="Yu Gothic UI"/>
                <w:sz w:val="21"/>
                <w:szCs w:val="21"/>
              </w:rPr>
              <w:t>无需返回原点，系</w:t>
            </w:r>
            <w:r>
              <w:rPr>
                <w:rFonts w:hint="eastAsia" w:hAnsi="宋体" w:cs="微软雅黑"/>
                <w:sz w:val="21"/>
                <w:szCs w:val="21"/>
              </w:rPr>
              <w:t>统</w:t>
            </w:r>
            <w:r>
              <w:rPr>
                <w:rFonts w:hint="eastAsia" w:hAnsi="宋体" w:cs="Yu Gothic UI"/>
                <w:sz w:val="21"/>
                <w:szCs w:val="21"/>
              </w:rPr>
              <w:t>即可</w:t>
            </w:r>
            <w:r>
              <w:rPr>
                <w:rFonts w:hint="eastAsia" w:hAnsi="宋体" w:cs="微软雅黑"/>
                <w:sz w:val="21"/>
                <w:szCs w:val="21"/>
              </w:rPr>
              <w:t>实时</w:t>
            </w:r>
            <w:r>
              <w:rPr>
                <w:rFonts w:hint="eastAsia" w:hAnsi="宋体" w:cs="Yu Gothic UI"/>
                <w:sz w:val="21"/>
                <w:szCs w:val="21"/>
              </w:rPr>
              <w:t>增加和减少</w:t>
            </w:r>
            <w:r>
              <w:rPr>
                <w:rFonts w:hint="eastAsia" w:hAnsi="宋体" w:cs="微软雅黑"/>
                <w:sz w:val="21"/>
                <w:szCs w:val="21"/>
              </w:rPr>
              <w:t>测</w:t>
            </w:r>
            <w:r>
              <w:rPr>
                <w:rFonts w:hint="eastAsia" w:hAnsi="宋体" w:cs="Yu Gothic UI"/>
                <w:sz w:val="21"/>
                <w:szCs w:val="21"/>
              </w:rPr>
              <w:t>流垂</w:t>
            </w:r>
            <w:r>
              <w:rPr>
                <w:rFonts w:hint="eastAsia" w:hAnsi="宋体" w:cs="微软雅黑"/>
                <w:sz w:val="21"/>
                <w:szCs w:val="21"/>
              </w:rPr>
              <w:t>线。</w:t>
            </w:r>
          </w:p>
          <w:p>
            <w:pPr>
              <w:widowControl/>
              <w:rPr>
                <w:rFonts w:hint="eastAsia" w:ascii="宋体" w:hAnsi="宋体" w:eastAsia="宋体" w:cs="宋体"/>
                <w:b/>
                <w:bCs/>
                <w:kern w:val="0"/>
                <w:sz w:val="21"/>
                <w:szCs w:val="21"/>
                <w:lang w:val="en-US" w:eastAsia="zh-CN" w:bidi="ar-SA"/>
              </w:rPr>
            </w:pPr>
            <w:r>
              <w:rPr>
                <w:rFonts w:hint="eastAsia" w:ascii="宋体" w:hAnsi="宋体"/>
                <w:szCs w:val="21"/>
              </w:rPr>
              <w:t>（6）流量</w:t>
            </w:r>
            <w:r>
              <w:rPr>
                <w:rFonts w:hint="eastAsia" w:ascii="宋体" w:hAnsi="宋体" w:cs="微软雅黑"/>
                <w:szCs w:val="21"/>
              </w:rPr>
              <w:t>计</w:t>
            </w:r>
            <w:r>
              <w:rPr>
                <w:rFonts w:hint="eastAsia" w:ascii="宋体" w:hAnsi="宋体" w:cs="Yu Gothic UI"/>
                <w:szCs w:val="21"/>
              </w:rPr>
              <w:t>算，</w:t>
            </w:r>
            <w:r>
              <w:rPr>
                <w:rFonts w:hint="eastAsia" w:ascii="宋体" w:hAnsi="宋体" w:cs="微软雅黑"/>
                <w:szCs w:val="21"/>
              </w:rPr>
              <w:t>对</w:t>
            </w:r>
            <w:r>
              <w:rPr>
                <w:rFonts w:hint="eastAsia" w:ascii="宋体" w:hAnsi="宋体" w:cs="Yu Gothic UI"/>
                <w:szCs w:val="21"/>
              </w:rPr>
              <w:t>采集数据按照</w:t>
            </w:r>
            <w:r>
              <w:rPr>
                <w:rFonts w:hint="eastAsia" w:ascii="宋体" w:hAnsi="宋体"/>
                <w:szCs w:val="21"/>
              </w:rPr>
              <w:t>水文</w:t>
            </w:r>
            <w:r>
              <w:rPr>
                <w:rFonts w:hint="eastAsia" w:ascii="宋体" w:hAnsi="宋体" w:cs="微软雅黑"/>
                <w:szCs w:val="21"/>
              </w:rPr>
              <w:t>测验</w:t>
            </w:r>
            <w:r>
              <w:rPr>
                <w:rFonts w:hint="eastAsia" w:ascii="宋体" w:hAnsi="宋体" w:cs="Yu Gothic UI"/>
                <w:szCs w:val="21"/>
              </w:rPr>
              <w:t>的各种</w:t>
            </w:r>
            <w:r>
              <w:rPr>
                <w:rFonts w:hint="eastAsia" w:ascii="宋体" w:hAnsi="宋体" w:cs="微软雅黑"/>
                <w:szCs w:val="21"/>
              </w:rPr>
              <w:t>规</w:t>
            </w:r>
            <w:r>
              <w:rPr>
                <w:rFonts w:hint="eastAsia" w:ascii="宋体" w:hAnsi="宋体" w:cs="Yu Gothic UI"/>
                <w:szCs w:val="21"/>
              </w:rPr>
              <w:t>范自</w:t>
            </w:r>
            <w:r>
              <w:rPr>
                <w:rFonts w:hint="eastAsia" w:ascii="宋体" w:hAnsi="宋体" w:cs="微软雅黑"/>
                <w:szCs w:val="21"/>
              </w:rPr>
              <w:t>动进</w:t>
            </w:r>
            <w:r>
              <w:rPr>
                <w:rFonts w:hint="eastAsia" w:ascii="宋体" w:hAnsi="宋体" w:cs="Yu Gothic UI"/>
                <w:szCs w:val="21"/>
              </w:rPr>
              <w:t>行分析</w:t>
            </w:r>
            <w:r>
              <w:rPr>
                <w:rFonts w:hint="eastAsia" w:ascii="宋体" w:hAnsi="宋体" w:cs="微软雅黑"/>
                <w:szCs w:val="21"/>
              </w:rPr>
              <w:t>计</w:t>
            </w:r>
            <w:r>
              <w:rPr>
                <w:rFonts w:hint="eastAsia" w:ascii="宋体" w:hAnsi="宋体" w:cs="Yu Gothic UI"/>
                <w:szCs w:val="21"/>
              </w:rPr>
              <w:t>算，保</w:t>
            </w:r>
            <w:r>
              <w:rPr>
                <w:rFonts w:hint="eastAsia" w:ascii="宋体" w:hAnsi="宋体" w:cs="微软雅黑"/>
                <w:szCs w:val="21"/>
              </w:rPr>
              <w:t>证</w:t>
            </w:r>
            <w:r>
              <w:rPr>
                <w:rFonts w:hint="eastAsia" w:ascii="宋体" w:hAnsi="宋体" w:cs="Yu Gothic UI"/>
                <w:szCs w:val="21"/>
              </w:rPr>
              <w:t>数据整</w:t>
            </w:r>
            <w:r>
              <w:rPr>
                <w:rFonts w:hint="eastAsia" w:ascii="宋体" w:hAnsi="宋体" w:cs="微软雅黑"/>
                <w:szCs w:val="21"/>
              </w:rPr>
              <w:t>编过</w:t>
            </w:r>
            <w:r>
              <w:rPr>
                <w:rFonts w:hint="eastAsia" w:ascii="宋体" w:hAnsi="宋体" w:cs="Yu Gothic UI"/>
                <w:szCs w:val="21"/>
              </w:rPr>
              <w:t>程中精算要求。</w:t>
            </w:r>
          </w:p>
        </w:tc>
        <w:tc>
          <w:tcPr>
            <w:tcW w:w="656"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xml:space="preserve">套 </w:t>
            </w:r>
          </w:p>
        </w:tc>
        <w:tc>
          <w:tcPr>
            <w:tcW w:w="695"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ascii="宋体" w:hAnsi="宋体" w:cs="宋体"/>
                <w:color w:val="000000"/>
                <w:szCs w:val="21"/>
              </w:rPr>
              <w:t>14.3</w:t>
            </w:r>
          </w:p>
        </w:tc>
        <w:tc>
          <w:tcPr>
            <w:tcW w:w="97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xml:space="preserve">场景化视频监控系统 </w:t>
            </w:r>
          </w:p>
        </w:tc>
        <w:tc>
          <w:tcPr>
            <w:tcW w:w="1993" w:type="pct"/>
            <w:vAlign w:val="center"/>
          </w:tcPr>
          <w:p>
            <w:pPr>
              <w:widowControl/>
              <w:rPr>
                <w:rFonts w:hint="eastAsia" w:ascii="宋体" w:hAnsi="宋体" w:eastAsia="宋体" w:cs="宋体"/>
                <w:b/>
                <w:bCs/>
                <w:kern w:val="0"/>
                <w:sz w:val="21"/>
                <w:szCs w:val="21"/>
                <w:lang w:val="en-US" w:eastAsia="zh-CN" w:bidi="ar-SA"/>
              </w:rPr>
            </w:pPr>
            <w:r>
              <w:rPr>
                <w:rFonts w:hint="eastAsia" w:ascii="宋体" w:hAnsi="宋体" w:cs="宋体"/>
                <w:color w:val="000000"/>
                <w:szCs w:val="21"/>
              </w:rPr>
              <w:t>　</w:t>
            </w:r>
          </w:p>
        </w:tc>
        <w:tc>
          <w:tcPr>
            <w:tcW w:w="656"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w:t>
            </w:r>
          </w:p>
        </w:tc>
        <w:tc>
          <w:tcPr>
            <w:tcW w:w="695"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ascii="宋体" w:hAnsi="宋体" w:cs="宋体"/>
                <w:color w:val="000000"/>
                <w:szCs w:val="21"/>
              </w:rPr>
              <w:t>14.</w:t>
            </w:r>
            <w:r>
              <w:rPr>
                <w:rFonts w:hint="eastAsia" w:ascii="宋体" w:hAnsi="宋体" w:cs="宋体"/>
                <w:color w:val="000000"/>
                <w:szCs w:val="21"/>
              </w:rPr>
              <w:t>3.1</w:t>
            </w:r>
          </w:p>
        </w:tc>
        <w:tc>
          <w:tcPr>
            <w:tcW w:w="97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xml:space="preserve">高清球形摄像机 </w:t>
            </w:r>
          </w:p>
        </w:tc>
        <w:tc>
          <w:tcPr>
            <w:tcW w:w="1993" w:type="pct"/>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1）400万像素6寸32倍红外智能球机</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2）传感器类型: 1/2.8＂progressive scan CMOS</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 xml:space="preserve">3）最低照度: 彩色：0.005 Lux @（F1.5，AGC ON），黑白：0.001 Lux @（F1.5，AGC ON）；0 lux with IR </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4）宽动态: 120 dB超宽动态</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 xml:space="preserve">5）焦距: 5.9~188.8 mm，32倍光学变倍 </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6）视场角: 60.2°~2.3°（广角~望远）</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7）水平范围: 360°</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8）垂直范围:-15°~90°（自动翻转）</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9）水平速度:键控速度：0.1°~120°/s，速度可设；水平预置点速度：120°/s</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10）垂直速度:垂直键控速度：0.1°~80°/s，速度可设；垂直预置点速度：80°/s</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11）主码流帧率分辨率:50Hz：25fps（2560×1440）;60Hz：24fps（2560×1440）</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12）视频压缩标准: H.265，H.264，MJPEG</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13）网络存储: NAS（NFS，SMB/CIFS）</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14）支持萤石接入</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15）音频: 1路音频输入，1路音频输出</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16）报警: 1路报警输出，2路报警输入</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 xml:space="preserve">17）网络接口: RJ45网口，自适应10 M/100 M网络数据 </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18）SD卡扩展: 支持MicroSD(即TF卡)/MicroSDHC/MicroSDXC卡，最大支持256 GB</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19）工作温湿度: -30 ℃~65 ℃，湿度小于90%</w:t>
            </w:r>
          </w:p>
          <w:p>
            <w:pPr>
              <w:widowControl/>
              <w:rPr>
                <w:rFonts w:hint="eastAsia" w:ascii="宋体" w:hAnsi="宋体" w:eastAsia="宋体" w:cs="宋体"/>
                <w:b/>
                <w:bCs/>
                <w:kern w:val="0"/>
                <w:sz w:val="21"/>
                <w:szCs w:val="21"/>
                <w:lang w:val="en-US" w:eastAsia="zh-CN" w:bidi="ar-SA"/>
              </w:rPr>
            </w:pPr>
            <w:r>
              <w:rPr>
                <w:rFonts w:hint="eastAsia" w:ascii="宋体" w:hAnsi="宋体" w:cs="宋体"/>
                <w:color w:val="000000"/>
                <w:szCs w:val="21"/>
              </w:rPr>
              <w:t>（</w:t>
            </w:r>
            <w:r>
              <w:rPr>
                <w:rFonts w:ascii="宋体" w:hAnsi="宋体" w:cs="宋体"/>
                <w:color w:val="000000"/>
                <w:szCs w:val="21"/>
              </w:rPr>
              <w:t>20）防护: IP66</w:t>
            </w:r>
          </w:p>
        </w:tc>
        <w:tc>
          <w:tcPr>
            <w:tcW w:w="656"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xml:space="preserve">套 </w:t>
            </w:r>
          </w:p>
        </w:tc>
        <w:tc>
          <w:tcPr>
            <w:tcW w:w="695"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ascii="宋体" w:hAnsi="宋体" w:cs="宋体"/>
                <w:color w:val="000000"/>
                <w:szCs w:val="21"/>
              </w:rPr>
              <w:t>14.</w:t>
            </w:r>
            <w:r>
              <w:rPr>
                <w:rFonts w:hint="eastAsia" w:ascii="宋体" w:hAnsi="宋体" w:cs="宋体"/>
                <w:color w:val="000000"/>
                <w:szCs w:val="21"/>
              </w:rPr>
              <w:t>3.2</w:t>
            </w:r>
          </w:p>
        </w:tc>
        <w:tc>
          <w:tcPr>
            <w:tcW w:w="97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xml:space="preserve">硬盘录像机（16 路） </w:t>
            </w:r>
          </w:p>
        </w:tc>
        <w:tc>
          <w:tcPr>
            <w:tcW w:w="1993" w:type="pct"/>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1）1个HDMI，1个VGA，同源输出</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2）8盘位，已内置8块4T盘</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3）2个千兆网口</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4）前面板2个USB2.0接口、后面板1个USB2.0接口</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5）报警IO：16进4出</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6）16路H.264、H.265混合接入</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7）最大支持8×1080P解码</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8）支持H.265、H.264解码</w:t>
            </w:r>
          </w:p>
          <w:p>
            <w:pPr>
              <w:widowControl/>
              <w:rPr>
                <w:rFonts w:hint="eastAsia" w:ascii="宋体" w:hAnsi="宋体" w:eastAsia="宋体" w:cs="宋体"/>
                <w:b/>
                <w:bCs/>
                <w:kern w:val="0"/>
                <w:sz w:val="21"/>
                <w:szCs w:val="21"/>
                <w:lang w:val="en-US" w:eastAsia="zh-CN" w:bidi="ar-SA"/>
              </w:rPr>
            </w:pPr>
            <w:r>
              <w:rPr>
                <w:rFonts w:hint="eastAsia" w:ascii="宋体" w:hAnsi="宋体" w:cs="宋体"/>
                <w:color w:val="000000"/>
                <w:szCs w:val="21"/>
              </w:rPr>
              <w:t>（</w:t>
            </w:r>
            <w:r>
              <w:rPr>
                <w:rFonts w:ascii="宋体" w:hAnsi="宋体" w:cs="宋体"/>
                <w:color w:val="000000"/>
                <w:szCs w:val="21"/>
              </w:rPr>
              <w:t>9）平台对接协议：ISUP/萤石/GB28181/SDK</w:t>
            </w:r>
          </w:p>
        </w:tc>
        <w:tc>
          <w:tcPr>
            <w:tcW w:w="656"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xml:space="preserve">套 </w:t>
            </w:r>
          </w:p>
        </w:tc>
        <w:tc>
          <w:tcPr>
            <w:tcW w:w="695"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ascii="宋体" w:hAnsi="宋体" w:cs="宋体"/>
                <w:color w:val="000000"/>
                <w:szCs w:val="21"/>
              </w:rPr>
              <w:t>14.</w:t>
            </w:r>
            <w:r>
              <w:rPr>
                <w:rFonts w:hint="eastAsia" w:ascii="宋体" w:hAnsi="宋体" w:cs="宋体"/>
                <w:color w:val="000000"/>
                <w:szCs w:val="21"/>
              </w:rPr>
              <w:t>3.3</w:t>
            </w:r>
          </w:p>
        </w:tc>
        <w:tc>
          <w:tcPr>
            <w:tcW w:w="97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xml:space="preserve">显示器 </w:t>
            </w:r>
          </w:p>
        </w:tc>
        <w:tc>
          <w:tcPr>
            <w:tcW w:w="1993" w:type="pct"/>
            <w:vAlign w:val="center"/>
          </w:tcPr>
          <w:p>
            <w:pPr>
              <w:widowControl/>
              <w:rPr>
                <w:rFonts w:ascii="宋体" w:hAnsi="宋体" w:cs="宋体"/>
                <w:color w:val="000000"/>
                <w:szCs w:val="21"/>
              </w:rPr>
            </w:pPr>
            <w:r>
              <w:rPr>
                <w:rFonts w:hint="eastAsia" w:ascii="宋体" w:hAnsi="宋体" w:cs="宋体"/>
                <w:color w:val="000000"/>
                <w:szCs w:val="21"/>
              </w:rPr>
              <w:t>屏幕尺寸：</w:t>
            </w:r>
            <w:r>
              <w:rPr>
                <w:rFonts w:hint="default" w:ascii="Arial" w:hAnsi="Arial" w:cs="Arial"/>
                <w:color w:val="000000"/>
                <w:szCs w:val="21"/>
              </w:rPr>
              <w:t>≥</w:t>
            </w:r>
            <w:r>
              <w:rPr>
                <w:rFonts w:hint="eastAsia" w:ascii="宋体" w:hAnsi="宋体" w:cs="宋体"/>
                <w:color w:val="000000"/>
                <w:szCs w:val="21"/>
              </w:rPr>
              <w:t>2</w:t>
            </w:r>
            <w:r>
              <w:rPr>
                <w:rFonts w:ascii="宋体" w:hAnsi="宋体" w:cs="宋体"/>
                <w:color w:val="000000"/>
                <w:szCs w:val="21"/>
              </w:rPr>
              <w:t>7</w:t>
            </w:r>
            <w:r>
              <w:rPr>
                <w:rFonts w:hint="eastAsia" w:ascii="宋体" w:hAnsi="宋体" w:cs="宋体"/>
                <w:color w:val="000000"/>
                <w:szCs w:val="21"/>
              </w:rPr>
              <w:t>英寸</w:t>
            </w:r>
          </w:p>
          <w:p>
            <w:pPr>
              <w:widowControl/>
              <w:rPr>
                <w:rFonts w:hint="eastAsia" w:ascii="宋体" w:hAnsi="宋体" w:eastAsia="宋体" w:cs="宋体"/>
                <w:b/>
                <w:bCs/>
                <w:kern w:val="0"/>
                <w:sz w:val="21"/>
                <w:szCs w:val="21"/>
                <w:lang w:val="en-US" w:eastAsia="zh-CN" w:bidi="ar-SA"/>
              </w:rPr>
            </w:pPr>
            <w:r>
              <w:rPr>
                <w:rFonts w:hint="eastAsia" w:ascii="宋体" w:hAnsi="宋体" w:cs="宋体"/>
                <w:color w:val="000000"/>
                <w:szCs w:val="21"/>
              </w:rPr>
              <w:t>分辨率：不小于</w:t>
            </w:r>
            <w:r>
              <w:rPr>
                <w:rFonts w:ascii="宋体" w:hAnsi="宋体" w:cs="Arial"/>
                <w:color w:val="000000"/>
                <w:szCs w:val="21"/>
              </w:rPr>
              <w:t>1920×1080</w:t>
            </w:r>
          </w:p>
        </w:tc>
        <w:tc>
          <w:tcPr>
            <w:tcW w:w="656"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xml:space="preserve">套 </w:t>
            </w:r>
          </w:p>
        </w:tc>
        <w:tc>
          <w:tcPr>
            <w:tcW w:w="695"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15</w:t>
            </w:r>
          </w:p>
        </w:tc>
        <w:tc>
          <w:tcPr>
            <w:tcW w:w="97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遥测终端机备品</w:t>
            </w:r>
          </w:p>
        </w:tc>
        <w:tc>
          <w:tcPr>
            <w:tcW w:w="1993" w:type="pct"/>
          </w:tcPr>
          <w:p>
            <w:pPr>
              <w:pStyle w:val="183"/>
              <w:spacing w:line="240" w:lineRule="auto"/>
              <w:ind w:firstLine="0" w:firstLineChars="0"/>
              <w:jc w:val="left"/>
              <w:rPr>
                <w:rFonts w:hAnsi="宋体" w:cs="宋体"/>
                <w:sz w:val="21"/>
                <w:szCs w:val="21"/>
              </w:rPr>
            </w:pPr>
            <w:r>
              <w:rPr>
                <w:rFonts w:hint="eastAsia" w:hAnsi="宋体" w:cs="宋体"/>
                <w:sz w:val="21"/>
                <w:szCs w:val="21"/>
              </w:rPr>
              <w:t>1）数据自动上报。</w:t>
            </w:r>
          </w:p>
          <w:p>
            <w:pPr>
              <w:pStyle w:val="183"/>
              <w:spacing w:line="240" w:lineRule="auto"/>
              <w:ind w:firstLine="0" w:firstLineChars="0"/>
              <w:jc w:val="left"/>
              <w:rPr>
                <w:rFonts w:hAnsi="宋体" w:cs="宋体"/>
                <w:sz w:val="21"/>
                <w:szCs w:val="21"/>
              </w:rPr>
            </w:pPr>
            <w:r>
              <w:rPr>
                <w:rFonts w:hint="eastAsia" w:hAnsi="宋体" w:cs="宋体"/>
                <w:sz w:val="21"/>
                <w:szCs w:val="21"/>
              </w:rPr>
              <w:t>2）接受中心站远程设置和控制指令。</w:t>
            </w:r>
          </w:p>
          <w:p>
            <w:pPr>
              <w:pStyle w:val="183"/>
              <w:spacing w:line="240" w:lineRule="auto"/>
              <w:ind w:firstLine="0" w:firstLineChars="0"/>
              <w:jc w:val="left"/>
              <w:rPr>
                <w:rFonts w:hAnsi="宋体" w:cs="宋体"/>
                <w:sz w:val="21"/>
                <w:szCs w:val="21"/>
              </w:rPr>
            </w:pPr>
            <w:r>
              <w:rPr>
                <w:rFonts w:hint="eastAsia" w:hAnsi="宋体" w:cs="宋体"/>
                <w:sz w:val="21"/>
                <w:szCs w:val="21"/>
              </w:rPr>
              <w:t>3）全面支持4G全网通通信功能，向下兼容3G/2G通信模式。</w:t>
            </w:r>
          </w:p>
          <w:p>
            <w:pPr>
              <w:pStyle w:val="183"/>
              <w:spacing w:line="240" w:lineRule="auto"/>
              <w:ind w:firstLine="0" w:firstLineChars="0"/>
              <w:jc w:val="left"/>
              <w:rPr>
                <w:rFonts w:hAnsi="宋体" w:cs="宋体"/>
                <w:sz w:val="21"/>
                <w:szCs w:val="21"/>
              </w:rPr>
            </w:pPr>
            <w:r>
              <w:rPr>
                <w:rFonts w:hint="eastAsia" w:hAnsi="宋体" w:cs="宋体"/>
                <w:sz w:val="21"/>
                <w:szCs w:val="21"/>
              </w:rPr>
              <w:t>4）实时时钟自动校对和调整功能。</w:t>
            </w:r>
          </w:p>
          <w:p>
            <w:pPr>
              <w:pStyle w:val="183"/>
              <w:spacing w:line="240" w:lineRule="auto"/>
              <w:ind w:firstLine="0" w:firstLineChars="0"/>
              <w:jc w:val="left"/>
              <w:rPr>
                <w:rFonts w:hAnsi="宋体" w:cs="宋体"/>
                <w:sz w:val="21"/>
                <w:szCs w:val="21"/>
              </w:rPr>
            </w:pPr>
            <w:r>
              <w:rPr>
                <w:rFonts w:hint="eastAsia" w:hAnsi="宋体" w:cs="宋体"/>
                <w:sz w:val="21"/>
                <w:szCs w:val="21"/>
              </w:rPr>
              <w:t>5）可连接多种传感器，包括水位计、雨量计、风向风速仪等各种水文、气象传感器。</w:t>
            </w:r>
          </w:p>
          <w:p>
            <w:pPr>
              <w:pStyle w:val="183"/>
              <w:spacing w:line="240" w:lineRule="auto"/>
              <w:ind w:firstLine="0" w:firstLineChars="0"/>
              <w:jc w:val="left"/>
              <w:rPr>
                <w:rFonts w:hAnsi="宋体" w:cs="宋体"/>
                <w:sz w:val="21"/>
                <w:szCs w:val="21"/>
              </w:rPr>
            </w:pPr>
            <w:r>
              <w:rPr>
                <w:rFonts w:hint="eastAsia" w:hAnsi="宋体" w:cs="宋体"/>
                <w:sz w:val="21"/>
                <w:szCs w:val="21"/>
              </w:rPr>
              <w:t>6）支持多种通信方式，如GSM短信、GPRS/CDMA、北斗卫星等。</w:t>
            </w:r>
          </w:p>
          <w:p>
            <w:pPr>
              <w:pStyle w:val="183"/>
              <w:spacing w:line="240" w:lineRule="auto"/>
              <w:ind w:firstLine="0" w:firstLineChars="0"/>
              <w:jc w:val="left"/>
              <w:rPr>
                <w:rFonts w:hAnsi="宋体" w:cs="宋体"/>
                <w:sz w:val="21"/>
                <w:szCs w:val="21"/>
              </w:rPr>
            </w:pPr>
            <w:r>
              <w:rPr>
                <w:rFonts w:hint="eastAsia" w:hAnsi="宋体" w:cs="宋体"/>
                <w:sz w:val="21"/>
                <w:szCs w:val="21"/>
              </w:rPr>
              <w:t>7）太阳能供电，保证在无人值守条件下的长期稳定运行。</w:t>
            </w:r>
          </w:p>
          <w:p>
            <w:pPr>
              <w:pStyle w:val="183"/>
              <w:spacing w:line="240" w:lineRule="auto"/>
              <w:ind w:firstLine="0" w:firstLineChars="0"/>
              <w:jc w:val="left"/>
              <w:rPr>
                <w:rFonts w:hAnsi="宋体" w:cs="宋体"/>
                <w:sz w:val="21"/>
                <w:szCs w:val="21"/>
              </w:rPr>
            </w:pPr>
            <w:r>
              <w:rPr>
                <w:rFonts w:hint="eastAsia" w:hAnsi="宋体" w:cs="宋体"/>
                <w:sz w:val="21"/>
                <w:szCs w:val="21"/>
              </w:rPr>
              <w:t>8）可灵活配置的模块化结构，以适应各种不同的需求。</w:t>
            </w:r>
          </w:p>
          <w:p>
            <w:pPr>
              <w:pStyle w:val="183"/>
              <w:spacing w:line="240" w:lineRule="auto"/>
              <w:ind w:firstLine="0" w:firstLineChars="0"/>
              <w:jc w:val="left"/>
              <w:rPr>
                <w:rFonts w:hAnsi="宋体" w:cs="宋体"/>
                <w:sz w:val="21"/>
                <w:szCs w:val="21"/>
              </w:rPr>
            </w:pPr>
            <w:r>
              <w:rPr>
                <w:rFonts w:hint="eastAsia" w:hAnsi="宋体" w:cs="宋体"/>
                <w:sz w:val="21"/>
                <w:szCs w:val="21"/>
              </w:rPr>
              <w:t>9）防水等级可达IP68。</w:t>
            </w:r>
          </w:p>
          <w:p>
            <w:pPr>
              <w:pStyle w:val="183"/>
              <w:spacing w:line="240" w:lineRule="auto"/>
              <w:ind w:firstLine="0" w:firstLineChars="0"/>
              <w:jc w:val="left"/>
              <w:rPr>
                <w:rFonts w:hAnsi="宋体" w:cs="宋体"/>
                <w:sz w:val="21"/>
                <w:szCs w:val="21"/>
              </w:rPr>
            </w:pPr>
            <w:r>
              <w:rPr>
                <w:rFonts w:hint="eastAsia" w:hAnsi="宋体" w:cs="宋体"/>
                <w:sz w:val="21"/>
                <w:szCs w:val="21"/>
              </w:rPr>
              <w:t>★10）符合SL651-2014《水文数据监测通信规约》及SL180-2015《水文自动测报系统系统设备遥测终端机》；</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11）支持浙江省水文通信平台。</w:t>
            </w:r>
          </w:p>
          <w:p>
            <w:pPr>
              <w:pStyle w:val="183"/>
              <w:spacing w:line="240" w:lineRule="auto"/>
              <w:ind w:firstLine="0" w:firstLineChars="0"/>
              <w:jc w:val="left"/>
              <w:rPr>
                <w:rFonts w:hAnsi="宋体" w:cs="宋体"/>
                <w:sz w:val="21"/>
                <w:szCs w:val="21"/>
              </w:rPr>
            </w:pPr>
            <w:r>
              <w:rPr>
                <w:rFonts w:hint="eastAsia" w:hAnsi="宋体" w:cs="宋体"/>
                <w:sz w:val="21"/>
                <w:szCs w:val="21"/>
              </w:rPr>
              <w:t>12）电源输入：9-24V DC；</w:t>
            </w:r>
          </w:p>
          <w:p>
            <w:pPr>
              <w:pStyle w:val="183"/>
              <w:spacing w:line="240" w:lineRule="auto"/>
              <w:ind w:firstLine="0" w:firstLineChars="0"/>
              <w:jc w:val="left"/>
              <w:rPr>
                <w:rFonts w:hAnsi="宋体" w:cs="宋体"/>
                <w:sz w:val="21"/>
                <w:szCs w:val="21"/>
              </w:rPr>
            </w:pPr>
            <w:r>
              <w:rPr>
                <w:rFonts w:hint="eastAsia" w:hAnsi="宋体" w:cs="宋体"/>
                <w:sz w:val="21"/>
                <w:szCs w:val="21"/>
              </w:rPr>
              <w:t>13）电源输出：24V  100mA，5V  20mA，3路可控电源输出，除满足传感器电源控制外，可灵活实现下行控制功能。</w:t>
            </w:r>
          </w:p>
          <w:p>
            <w:pPr>
              <w:pStyle w:val="183"/>
              <w:spacing w:line="240" w:lineRule="auto"/>
              <w:ind w:firstLine="0" w:firstLineChars="0"/>
              <w:jc w:val="left"/>
              <w:rPr>
                <w:rFonts w:hAnsi="宋体" w:cs="宋体"/>
                <w:sz w:val="21"/>
                <w:szCs w:val="21"/>
              </w:rPr>
            </w:pPr>
            <w:r>
              <w:rPr>
                <w:rFonts w:hint="eastAsia" w:hAnsi="宋体" w:cs="宋体"/>
                <w:sz w:val="21"/>
                <w:szCs w:val="21"/>
              </w:rPr>
              <w:t>14）信号采集：2路RS485，2路RS232，可接入各种类型的外部传感器，并可扩展北斗等外部通信模块；2路模拟量采集（可扩展8~16路），可接入标准4-20mA变送器，可配置为各种传感器类型；2路脉冲/开关输入，除接入雨量桶外，还可实现报警监测，用于开箱报警等功能。</w:t>
            </w:r>
          </w:p>
          <w:p>
            <w:pPr>
              <w:pStyle w:val="183"/>
              <w:spacing w:line="240" w:lineRule="auto"/>
              <w:ind w:firstLine="0" w:firstLineChars="0"/>
              <w:jc w:val="left"/>
              <w:rPr>
                <w:rFonts w:hAnsi="宋体" w:cs="宋体"/>
                <w:sz w:val="21"/>
                <w:szCs w:val="21"/>
              </w:rPr>
            </w:pPr>
            <w:r>
              <w:rPr>
                <w:rFonts w:hint="eastAsia" w:hAnsi="宋体" w:cs="宋体"/>
                <w:sz w:val="21"/>
                <w:szCs w:val="21"/>
              </w:rPr>
              <w:t>★15）静态值守电流≤0.01mA，工作电流≤6mA；</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16）设备内置GPS模块，系统定期获取设备的位置信息，并上传平台，从而实现设备位置信息和数据的自动绑定，设备位置的交换将不会影响测站的数据统计。</w:t>
            </w:r>
          </w:p>
          <w:p>
            <w:pPr>
              <w:pStyle w:val="183"/>
              <w:spacing w:line="240" w:lineRule="auto"/>
              <w:ind w:firstLine="0" w:firstLineChars="0"/>
              <w:jc w:val="left"/>
              <w:rPr>
                <w:rFonts w:hAnsi="宋体" w:cs="宋体"/>
                <w:sz w:val="21"/>
                <w:szCs w:val="21"/>
              </w:rPr>
            </w:pPr>
            <w:r>
              <w:rPr>
                <w:rFonts w:hint="eastAsia" w:hAnsi="宋体" w:cs="宋体"/>
                <w:sz w:val="21"/>
                <w:szCs w:val="21"/>
              </w:rPr>
              <w:t>17）数据补发：遇到信号问题，基站问题，sim卡问题等情况，系统将暂存采集数据并待网络恢复后自前至后进行逐条补发。</w:t>
            </w:r>
          </w:p>
          <w:p>
            <w:pPr>
              <w:pStyle w:val="183"/>
              <w:spacing w:line="240" w:lineRule="auto"/>
              <w:ind w:firstLine="0" w:firstLineChars="0"/>
              <w:jc w:val="left"/>
              <w:rPr>
                <w:rFonts w:hAnsi="宋体" w:cs="宋体"/>
                <w:sz w:val="21"/>
                <w:szCs w:val="21"/>
              </w:rPr>
            </w:pPr>
            <w:r>
              <w:rPr>
                <w:rFonts w:hint="eastAsia" w:hAnsi="宋体" w:cs="宋体"/>
                <w:sz w:val="21"/>
                <w:szCs w:val="21"/>
              </w:rPr>
              <w:t>18）SD卡：支持MicroSD卡，可选配置；</w:t>
            </w:r>
          </w:p>
          <w:p>
            <w:pPr>
              <w:pStyle w:val="183"/>
              <w:spacing w:line="240" w:lineRule="auto"/>
              <w:ind w:firstLine="0" w:firstLineChars="0"/>
              <w:jc w:val="left"/>
              <w:rPr>
                <w:rFonts w:hAnsi="宋体" w:cs="宋体"/>
                <w:sz w:val="21"/>
                <w:szCs w:val="21"/>
              </w:rPr>
            </w:pPr>
            <w:r>
              <w:rPr>
                <w:rFonts w:hint="eastAsia" w:hAnsi="宋体" w:cs="宋体"/>
                <w:sz w:val="21"/>
                <w:szCs w:val="21"/>
              </w:rPr>
              <w:t>19）工作温度：-40℃至+70℃</w:t>
            </w:r>
          </w:p>
          <w:p>
            <w:pPr>
              <w:pStyle w:val="183"/>
              <w:spacing w:line="240" w:lineRule="auto"/>
              <w:ind w:firstLine="0" w:firstLineChars="0"/>
              <w:jc w:val="left"/>
              <w:rPr>
                <w:rFonts w:hAnsi="宋体" w:cs="宋体"/>
                <w:sz w:val="21"/>
                <w:szCs w:val="21"/>
              </w:rPr>
            </w:pPr>
            <w:r>
              <w:rPr>
                <w:rFonts w:hint="eastAsia" w:hAnsi="宋体" w:cs="宋体"/>
                <w:sz w:val="21"/>
                <w:szCs w:val="21"/>
              </w:rPr>
              <w:t>20）工作湿度：0-95%，不结露</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16</w:t>
            </w:r>
          </w:p>
        </w:tc>
        <w:tc>
          <w:tcPr>
            <w:tcW w:w="97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数字水准仪</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1）高程测量精度（每公里往返测标准差）:电子读数：±0.3mm；光学读数：±2mm；</w:t>
            </w:r>
          </w:p>
          <w:p>
            <w:pPr>
              <w:pStyle w:val="158"/>
              <w:widowControl/>
              <w:ind w:firstLine="0" w:firstLineChars="0"/>
              <w:rPr>
                <w:rFonts w:ascii="宋体" w:hAnsi="宋体" w:cs="宋体"/>
                <w:kern w:val="0"/>
                <w:szCs w:val="21"/>
              </w:rPr>
            </w:pPr>
            <w:r>
              <w:rPr>
                <w:rFonts w:hint="eastAsia" w:ascii="宋体" w:hAnsi="宋体" w:cs="宋体"/>
                <w:kern w:val="0"/>
                <w:szCs w:val="21"/>
              </w:rPr>
              <w:t>2）距离测量精度:电子读数：D≤10m:10mm;D&gt;10m:D*0.001；</w:t>
            </w:r>
          </w:p>
          <w:p>
            <w:pPr>
              <w:pStyle w:val="158"/>
              <w:widowControl/>
              <w:ind w:firstLine="0" w:firstLineChars="0"/>
              <w:rPr>
                <w:rFonts w:ascii="宋体" w:hAnsi="宋体" w:cs="宋体"/>
                <w:kern w:val="0"/>
                <w:szCs w:val="21"/>
              </w:rPr>
            </w:pPr>
            <w:r>
              <w:rPr>
                <w:rFonts w:hint="eastAsia" w:ascii="宋体" w:hAnsi="宋体" w:cs="宋体"/>
                <w:kern w:val="0"/>
                <w:szCs w:val="21"/>
              </w:rPr>
              <w:t>3）测程:电子读数：1.8-110m；</w:t>
            </w:r>
          </w:p>
          <w:p>
            <w:pPr>
              <w:pStyle w:val="158"/>
              <w:widowControl/>
              <w:ind w:firstLine="0" w:firstLineChars="0"/>
              <w:rPr>
                <w:rFonts w:ascii="宋体" w:hAnsi="宋体" w:cs="宋体"/>
                <w:kern w:val="0"/>
                <w:szCs w:val="21"/>
              </w:rPr>
            </w:pPr>
            <w:r>
              <w:rPr>
                <w:rFonts w:hint="eastAsia" w:ascii="宋体" w:hAnsi="宋体" w:cs="宋体"/>
                <w:kern w:val="0"/>
                <w:szCs w:val="21"/>
              </w:rPr>
              <w:t>4）高差最小显示:0.01mm；</w:t>
            </w:r>
          </w:p>
          <w:p>
            <w:pPr>
              <w:pStyle w:val="158"/>
              <w:widowControl/>
              <w:ind w:firstLine="0" w:firstLineChars="0"/>
              <w:rPr>
                <w:rFonts w:ascii="宋体" w:hAnsi="宋体" w:cs="宋体"/>
                <w:kern w:val="0"/>
                <w:szCs w:val="21"/>
              </w:rPr>
            </w:pPr>
            <w:r>
              <w:rPr>
                <w:rFonts w:hint="eastAsia" w:ascii="宋体" w:hAnsi="宋体" w:cs="宋体"/>
                <w:kern w:val="0"/>
                <w:szCs w:val="21"/>
              </w:rPr>
              <w:t>5）距离最小显示:1cm；</w:t>
            </w:r>
          </w:p>
          <w:p>
            <w:pPr>
              <w:pStyle w:val="158"/>
              <w:widowControl/>
              <w:ind w:firstLine="0" w:firstLineChars="0"/>
              <w:rPr>
                <w:rFonts w:ascii="宋体" w:hAnsi="宋体" w:cs="宋体"/>
                <w:kern w:val="0"/>
                <w:szCs w:val="21"/>
              </w:rPr>
            </w:pPr>
            <w:r>
              <w:rPr>
                <w:rFonts w:hint="eastAsia" w:ascii="宋体" w:hAnsi="宋体" w:cs="宋体"/>
                <w:kern w:val="0"/>
                <w:szCs w:val="21"/>
              </w:rPr>
              <w:t>6）望远镜放大倍率:32 倍；</w:t>
            </w:r>
          </w:p>
          <w:p>
            <w:pPr>
              <w:pStyle w:val="158"/>
              <w:widowControl/>
              <w:ind w:firstLine="0" w:firstLineChars="0"/>
              <w:rPr>
                <w:rFonts w:ascii="宋体" w:hAnsi="宋体" w:cs="宋体"/>
                <w:kern w:val="0"/>
                <w:szCs w:val="21"/>
              </w:rPr>
            </w:pPr>
            <w:r>
              <w:rPr>
                <w:rFonts w:hint="eastAsia" w:ascii="宋体" w:hAnsi="宋体" w:cs="宋体"/>
                <w:kern w:val="0"/>
                <w:szCs w:val="21"/>
              </w:rPr>
              <w:t>7）分辨率:3″；</w:t>
            </w:r>
          </w:p>
          <w:p>
            <w:pPr>
              <w:pStyle w:val="158"/>
              <w:widowControl/>
              <w:ind w:firstLine="0" w:firstLineChars="0"/>
              <w:rPr>
                <w:rFonts w:ascii="宋体" w:hAnsi="宋体" w:cs="宋体"/>
                <w:kern w:val="0"/>
                <w:szCs w:val="21"/>
              </w:rPr>
            </w:pPr>
            <w:r>
              <w:rPr>
                <w:rFonts w:hint="eastAsia" w:ascii="宋体" w:hAnsi="宋体" w:cs="宋体"/>
                <w:kern w:val="0"/>
                <w:szCs w:val="21"/>
              </w:rPr>
              <w:t>8）磁阻尼摆式补偿器；</w:t>
            </w:r>
          </w:p>
          <w:p>
            <w:pPr>
              <w:pStyle w:val="158"/>
              <w:widowControl/>
              <w:ind w:firstLine="0" w:firstLineChars="0"/>
              <w:rPr>
                <w:rFonts w:ascii="宋体" w:hAnsi="宋体" w:cs="宋体"/>
                <w:kern w:val="0"/>
                <w:szCs w:val="21"/>
              </w:rPr>
            </w:pPr>
            <w:r>
              <w:rPr>
                <w:rFonts w:hint="eastAsia" w:ascii="宋体" w:hAnsi="宋体" w:cs="宋体"/>
                <w:kern w:val="0"/>
                <w:szCs w:val="21"/>
              </w:rPr>
              <w:t>9）补偿器补偿范围: ≥±10′；</w:t>
            </w:r>
          </w:p>
          <w:p>
            <w:pPr>
              <w:pStyle w:val="158"/>
              <w:widowControl/>
              <w:ind w:firstLine="0" w:firstLineChars="0"/>
              <w:rPr>
                <w:rFonts w:ascii="宋体" w:hAnsi="宋体" w:cs="宋体"/>
                <w:kern w:val="0"/>
                <w:szCs w:val="21"/>
              </w:rPr>
            </w:pPr>
            <w:r>
              <w:rPr>
                <w:rFonts w:hint="eastAsia" w:ascii="宋体" w:hAnsi="宋体" w:cs="宋体"/>
                <w:kern w:val="0"/>
                <w:szCs w:val="21"/>
              </w:rPr>
              <w:t>10）补偿精度:0.20″；</w:t>
            </w:r>
          </w:p>
          <w:p>
            <w:pPr>
              <w:pStyle w:val="158"/>
              <w:widowControl/>
              <w:ind w:firstLine="0" w:firstLineChars="0"/>
              <w:rPr>
                <w:rFonts w:ascii="宋体" w:hAnsi="宋体" w:cs="宋体"/>
                <w:kern w:val="0"/>
                <w:szCs w:val="21"/>
              </w:rPr>
            </w:pPr>
            <w:r>
              <w:rPr>
                <w:rFonts w:hint="eastAsia" w:ascii="宋体" w:hAnsi="宋体" w:cs="宋体"/>
                <w:kern w:val="0"/>
                <w:szCs w:val="21"/>
              </w:rPr>
              <w:t>11）存储器:128Mbit 内存，可存150000个点；</w:t>
            </w:r>
          </w:p>
          <w:p>
            <w:pPr>
              <w:pStyle w:val="158"/>
              <w:widowControl/>
              <w:ind w:firstLine="0" w:firstLineChars="0"/>
              <w:rPr>
                <w:rFonts w:ascii="宋体" w:hAnsi="宋体" w:cs="宋体"/>
                <w:kern w:val="0"/>
                <w:szCs w:val="21"/>
              </w:rPr>
            </w:pPr>
            <w:r>
              <w:rPr>
                <w:rFonts w:hint="eastAsia" w:ascii="宋体" w:hAnsi="宋体" w:cs="宋体"/>
                <w:kern w:val="0"/>
                <w:szCs w:val="21"/>
              </w:rPr>
              <w:t>12）通讯接口:蓝牙、RS-232；</w:t>
            </w:r>
          </w:p>
          <w:p>
            <w:pPr>
              <w:pStyle w:val="158"/>
              <w:widowControl/>
              <w:ind w:firstLine="0" w:firstLineChars="0"/>
              <w:rPr>
                <w:rFonts w:ascii="宋体" w:hAnsi="宋体" w:cs="宋体"/>
                <w:kern w:val="0"/>
                <w:szCs w:val="21"/>
              </w:rPr>
            </w:pPr>
            <w:r>
              <w:rPr>
                <w:rFonts w:hint="eastAsia" w:ascii="宋体" w:hAnsi="宋体" w:cs="宋体"/>
                <w:kern w:val="0"/>
                <w:szCs w:val="21"/>
              </w:rPr>
              <w:t>13）可把各种电子水准仪的原始水准线路记录格式，转换为国家规范要求的等级水准线路记录格式，直接进行平差并生成报表，可以形成原始记录表，沉降报表及变化曲线图。</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二</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水文业务系统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水情预报能力提升（二个断面开展洪水预报系统建设）</w:t>
            </w:r>
          </w:p>
        </w:tc>
        <w:tc>
          <w:tcPr>
            <w:tcW w:w="1993" w:type="pct"/>
          </w:tcPr>
          <w:p>
            <w:pPr>
              <w:widowControl/>
              <w:rPr>
                <w:rFonts w:ascii="宋体" w:hAnsi="宋体" w:cs="宋体"/>
                <w:kern w:val="0"/>
                <w:szCs w:val="21"/>
              </w:rPr>
            </w:pPr>
            <w:r>
              <w:rPr>
                <w:rFonts w:hint="eastAsia" w:ascii="宋体" w:hAnsi="宋体" w:cs="宋体"/>
                <w:kern w:val="0"/>
                <w:szCs w:val="21"/>
              </w:rPr>
              <w:t>可自动获取洪水预报所需的实时水雨工情数据、降雨预报最新成果，模拟计算流域产水量，模拟过程中可以依据专家经验，通过人机交互方式修正水利分区降雨产流系数，实时动态预测预报水淹位置、范围和过程，实现洪涝风险早期识别，合理指导人员转移、抢险布防、交通管制，实现洪水风险由静态评估向实时动态分析转变，满足洪水风险预报的要求。</w:t>
            </w:r>
          </w:p>
          <w:p>
            <w:pPr>
              <w:widowControl/>
              <w:rPr>
                <w:rFonts w:ascii="宋体" w:hAnsi="宋体" w:cs="宋体"/>
                <w:kern w:val="0"/>
                <w:szCs w:val="21"/>
              </w:rPr>
            </w:pPr>
            <w:r>
              <w:rPr>
                <w:rFonts w:hint="eastAsia" w:ascii="宋体" w:hAnsi="宋体" w:cs="宋体"/>
                <w:kern w:val="0"/>
                <w:szCs w:val="21"/>
              </w:rPr>
              <w:t>洪水预报过程可进行人机交互，实现高速计算，以提高预报精度、延长预见期、缩短作业时间。</w:t>
            </w:r>
          </w:p>
          <w:p>
            <w:pPr>
              <w:widowControl/>
              <w:rPr>
                <w:rFonts w:ascii="宋体" w:hAnsi="宋体" w:cs="宋体"/>
                <w:b/>
                <w:bCs/>
                <w:kern w:val="0"/>
                <w:szCs w:val="21"/>
              </w:rPr>
            </w:pPr>
            <w:r>
              <w:rPr>
                <w:rFonts w:hint="eastAsia" w:ascii="宋体" w:hAnsi="宋体" w:cs="宋体"/>
                <w:b/>
                <w:bCs/>
                <w:kern w:val="0"/>
                <w:szCs w:val="21"/>
              </w:rPr>
              <w:t>1、态势分析</w:t>
            </w:r>
          </w:p>
          <w:p>
            <w:pPr>
              <w:widowControl/>
              <w:rPr>
                <w:rFonts w:ascii="宋体" w:hAnsi="宋体" w:cs="宋体"/>
                <w:kern w:val="0"/>
                <w:szCs w:val="21"/>
              </w:rPr>
            </w:pPr>
            <w:r>
              <w:rPr>
                <w:rFonts w:hint="eastAsia" w:ascii="宋体" w:hAnsi="宋体" w:cs="宋体"/>
                <w:kern w:val="0"/>
                <w:szCs w:val="21"/>
              </w:rPr>
              <w:t>根据常山港流域降雨、水情、工情、视频等的综合汇总统计分析，将统计分析结果以饼图、柱状图、曲线图、区域图、仪表图、散点图、气泡图等可视化形式展现，及时掌握流域降雨、水文、重点关注区域、水利工程运行等综合状况，对照洪水预警指标体系，明确当前水灾害防御面临的态势。</w:t>
            </w:r>
          </w:p>
          <w:p>
            <w:pPr>
              <w:widowControl/>
              <w:rPr>
                <w:rFonts w:ascii="宋体" w:hAnsi="宋体" w:cs="宋体"/>
                <w:kern w:val="0"/>
                <w:szCs w:val="21"/>
              </w:rPr>
            </w:pPr>
            <w:r>
              <w:rPr>
                <w:rFonts w:hint="eastAsia" w:ascii="宋体" w:hAnsi="宋体" w:cs="宋体"/>
                <w:kern w:val="0"/>
                <w:szCs w:val="21"/>
              </w:rPr>
              <w:t>（1）未来降雨</w:t>
            </w:r>
          </w:p>
          <w:p>
            <w:pPr>
              <w:widowControl/>
              <w:rPr>
                <w:rFonts w:ascii="宋体" w:hAnsi="宋体" w:cs="宋体"/>
                <w:kern w:val="0"/>
                <w:szCs w:val="21"/>
              </w:rPr>
            </w:pPr>
            <w:r>
              <w:rPr>
                <w:rFonts w:hint="eastAsia" w:ascii="宋体" w:hAnsi="宋体" w:cs="宋体"/>
                <w:kern w:val="0"/>
                <w:szCs w:val="21"/>
              </w:rPr>
              <w:t>实时汇聚权威气象机构数值预报成果，以实际水灾害防御需求为索引，聚焦流域水利关注对象，通过大数据、云计算、空间分析以及专业模型技术，实现流域内降雨预报，为水旱灾害决策提供精细、专业、及时的降雨信息支撑。</w:t>
            </w:r>
          </w:p>
          <w:p>
            <w:pPr>
              <w:widowControl/>
              <w:rPr>
                <w:rFonts w:ascii="宋体" w:hAnsi="宋体" w:cs="宋体"/>
                <w:kern w:val="0"/>
                <w:szCs w:val="21"/>
              </w:rPr>
            </w:pPr>
            <w:r>
              <w:rPr>
                <w:rFonts w:hint="eastAsia" w:ascii="宋体" w:hAnsi="宋体" w:cs="宋体"/>
                <w:kern w:val="0"/>
                <w:szCs w:val="21"/>
              </w:rPr>
              <w:t>（2）水情</w:t>
            </w:r>
          </w:p>
          <w:p>
            <w:pPr>
              <w:widowControl/>
              <w:rPr>
                <w:rFonts w:ascii="宋体" w:hAnsi="宋体" w:cs="宋体"/>
                <w:kern w:val="0"/>
                <w:szCs w:val="21"/>
              </w:rPr>
            </w:pPr>
            <w:r>
              <w:rPr>
                <w:rFonts w:hint="eastAsia" w:ascii="宋体" w:hAnsi="宋体" w:cs="宋体"/>
                <w:kern w:val="0"/>
                <w:szCs w:val="21"/>
              </w:rPr>
              <w:t>流域水文站、水位站、雨量站、水库站、闸坝站的水文要素查询，查询结果均以图、表或图表结合方式展示。</w:t>
            </w:r>
          </w:p>
          <w:p>
            <w:pPr>
              <w:widowControl/>
              <w:rPr>
                <w:rFonts w:ascii="宋体" w:hAnsi="宋体" w:cs="宋体"/>
                <w:kern w:val="0"/>
                <w:szCs w:val="21"/>
              </w:rPr>
            </w:pPr>
            <w:r>
              <w:rPr>
                <w:rFonts w:hint="eastAsia" w:ascii="宋体" w:hAnsi="宋体" w:cs="宋体"/>
                <w:kern w:val="0"/>
                <w:szCs w:val="21"/>
              </w:rPr>
              <w:t>其中，水文站水文要素查询包括实时水文过程、实时雨量过程、预报过程、实时与历史流量过程对比、实时与历史水位过程对比、断面水位示意图及历史水文过程；</w:t>
            </w:r>
          </w:p>
          <w:p>
            <w:pPr>
              <w:widowControl/>
              <w:rPr>
                <w:rFonts w:ascii="宋体" w:hAnsi="宋体" w:cs="宋体"/>
                <w:kern w:val="0"/>
                <w:szCs w:val="21"/>
              </w:rPr>
            </w:pPr>
            <w:r>
              <w:rPr>
                <w:rFonts w:hint="eastAsia" w:ascii="宋体" w:hAnsi="宋体" w:cs="宋体"/>
                <w:kern w:val="0"/>
                <w:szCs w:val="21"/>
              </w:rPr>
              <w:t>水位站水文要素查询包括实时水位过程、实时雨量过程、实时与历史水位过程对比、断面水位示意图及历史水位过程；</w:t>
            </w:r>
          </w:p>
          <w:p>
            <w:pPr>
              <w:widowControl/>
              <w:rPr>
                <w:rFonts w:ascii="宋体" w:hAnsi="宋体" w:cs="宋体"/>
                <w:kern w:val="0"/>
                <w:szCs w:val="21"/>
              </w:rPr>
            </w:pPr>
            <w:r>
              <w:rPr>
                <w:rFonts w:hint="eastAsia" w:ascii="宋体" w:hAnsi="宋体" w:cs="宋体"/>
                <w:kern w:val="0"/>
                <w:szCs w:val="21"/>
              </w:rPr>
              <w:t>雨量站水文要素查询只包括实时雨量过程。 闸坝站水文要素查询包括实时水位过程。</w:t>
            </w:r>
          </w:p>
          <w:p>
            <w:pPr>
              <w:widowControl/>
              <w:rPr>
                <w:rFonts w:ascii="宋体" w:hAnsi="宋体" w:cs="宋体"/>
                <w:kern w:val="0"/>
                <w:szCs w:val="21"/>
              </w:rPr>
            </w:pPr>
            <w:r>
              <w:rPr>
                <w:rFonts w:hint="eastAsia" w:ascii="宋体" w:hAnsi="宋体" w:cs="宋体"/>
                <w:kern w:val="0"/>
                <w:szCs w:val="21"/>
              </w:rPr>
              <w:t>（3）工情</w:t>
            </w:r>
          </w:p>
          <w:p>
            <w:pPr>
              <w:widowControl/>
              <w:rPr>
                <w:rFonts w:ascii="宋体" w:hAnsi="宋体" w:cs="宋体"/>
                <w:kern w:val="0"/>
                <w:szCs w:val="21"/>
              </w:rPr>
            </w:pPr>
            <w:r>
              <w:rPr>
                <w:rFonts w:hint="eastAsia" w:ascii="宋体" w:hAnsi="宋体" w:cs="宋体"/>
                <w:kern w:val="0"/>
                <w:szCs w:val="21"/>
              </w:rPr>
              <w:t>防洪与生态调配水利工程的工情监测站点实时数据，主要包括工程站点、设备、状态、开度/流量、采集时间，防洪工程泄水情况统计、历史同期比对、极值分析。</w:t>
            </w:r>
          </w:p>
          <w:p>
            <w:pPr>
              <w:widowControl/>
              <w:rPr>
                <w:rFonts w:ascii="宋体" w:hAnsi="宋体" w:cs="宋体"/>
                <w:kern w:val="0"/>
                <w:szCs w:val="21"/>
              </w:rPr>
            </w:pPr>
            <w:r>
              <w:rPr>
                <w:rFonts w:hint="eastAsia" w:ascii="宋体" w:hAnsi="宋体" w:cs="宋体"/>
                <w:kern w:val="0"/>
                <w:szCs w:val="21"/>
              </w:rPr>
              <w:t>（4）重点关注区域汛情形势</w:t>
            </w:r>
          </w:p>
          <w:p>
            <w:pPr>
              <w:widowControl/>
              <w:rPr>
                <w:rFonts w:ascii="宋体" w:hAnsi="宋体" w:cs="宋体"/>
                <w:kern w:val="0"/>
                <w:szCs w:val="21"/>
              </w:rPr>
            </w:pPr>
            <w:r>
              <w:rPr>
                <w:rFonts w:hint="eastAsia" w:ascii="宋体" w:hAnsi="宋体" w:cs="宋体"/>
                <w:kern w:val="0"/>
                <w:szCs w:val="21"/>
              </w:rPr>
              <w:t>根据当前汛情特点，对当前预报区域，开展地区代表站监测指标现状、历史同期区域汛情变化比对等分析，对区域汛情风险情况进行综合评价统计。</w:t>
            </w:r>
          </w:p>
          <w:p>
            <w:pPr>
              <w:widowControl/>
              <w:rPr>
                <w:rFonts w:ascii="宋体" w:hAnsi="宋体" w:cs="宋体"/>
                <w:b/>
                <w:bCs/>
                <w:kern w:val="0"/>
                <w:szCs w:val="21"/>
              </w:rPr>
            </w:pPr>
            <w:r>
              <w:rPr>
                <w:rFonts w:hint="eastAsia" w:ascii="宋体" w:hAnsi="宋体" w:cs="宋体"/>
                <w:b/>
                <w:bCs/>
                <w:kern w:val="0"/>
                <w:szCs w:val="21"/>
              </w:rPr>
              <w:t>2、动态预报</w:t>
            </w:r>
          </w:p>
          <w:p>
            <w:pPr>
              <w:widowControl/>
              <w:rPr>
                <w:rFonts w:ascii="宋体" w:hAnsi="宋体" w:cs="宋体"/>
                <w:kern w:val="0"/>
                <w:szCs w:val="21"/>
              </w:rPr>
            </w:pPr>
            <w:r>
              <w:rPr>
                <w:rFonts w:hint="eastAsia" w:ascii="宋体" w:hAnsi="宋体" w:cs="宋体"/>
                <w:kern w:val="0"/>
                <w:szCs w:val="21"/>
              </w:rPr>
              <w:t>根据实时的雨水情信息和降雨预报过程，利用降雨径流模型和水动力模型在线滚动预报常山站及南门溪断面未来3天内区域水位、流量变化过程和超标预警信息。同时展示实时水情、雨情数据和预报结果数据，实现二者对比分析，为采取防洪措施提供科学依据。</w:t>
            </w:r>
          </w:p>
          <w:p>
            <w:pPr>
              <w:widowControl/>
              <w:rPr>
                <w:rFonts w:ascii="宋体" w:hAnsi="宋体" w:cs="宋体"/>
                <w:kern w:val="0"/>
                <w:szCs w:val="21"/>
              </w:rPr>
            </w:pPr>
            <w:r>
              <w:rPr>
                <w:rFonts w:hint="eastAsia" w:ascii="宋体" w:hAnsi="宋体" w:cs="宋体"/>
                <w:kern w:val="0"/>
                <w:szCs w:val="21"/>
              </w:rPr>
              <w:t xml:space="preserve">具体预报流程可分解为数据的提取和预处理，包括自滚动预报、实时交互预报、自动实时校正、洪水概率预报、预报误差统计分析、预报成果优选、预报成果显示与发布。 </w:t>
            </w:r>
          </w:p>
          <w:p>
            <w:pPr>
              <w:widowControl/>
              <w:rPr>
                <w:rFonts w:ascii="宋体" w:hAnsi="宋体" w:cs="宋体"/>
                <w:kern w:val="0"/>
                <w:szCs w:val="21"/>
              </w:rPr>
            </w:pPr>
            <w:r>
              <w:rPr>
                <w:rFonts w:hint="eastAsia" w:ascii="宋体" w:hAnsi="宋体" w:cs="宋体"/>
                <w:kern w:val="0"/>
                <w:szCs w:val="21"/>
              </w:rPr>
              <w:t>（1）自滚动预报</w:t>
            </w:r>
          </w:p>
          <w:p>
            <w:pPr>
              <w:widowControl/>
              <w:rPr>
                <w:rFonts w:ascii="宋体" w:hAnsi="宋体" w:cs="宋体"/>
                <w:kern w:val="0"/>
                <w:szCs w:val="21"/>
              </w:rPr>
            </w:pPr>
            <w:r>
              <w:rPr>
                <w:rFonts w:hint="eastAsia" w:ascii="宋体" w:hAnsi="宋体" w:cs="宋体"/>
                <w:kern w:val="0"/>
                <w:szCs w:val="21"/>
              </w:rPr>
              <w:t>自滚动预报主要包括方案管理和自动预报两大功能模块。</w:t>
            </w:r>
          </w:p>
          <w:p>
            <w:pPr>
              <w:widowControl/>
              <w:rPr>
                <w:rFonts w:ascii="宋体" w:hAnsi="宋体" w:cs="宋体"/>
                <w:kern w:val="0"/>
                <w:szCs w:val="21"/>
              </w:rPr>
            </w:pPr>
            <w:r>
              <w:rPr>
                <w:rFonts w:hint="eastAsia" w:ascii="宋体" w:hAnsi="宋体" w:cs="宋体"/>
                <w:kern w:val="0"/>
                <w:szCs w:val="21"/>
              </w:rPr>
              <w:t>1）方案管理：用于管理自滚动预报功能中的预报方案和预报顺序等自滚动预报设置信息。</w:t>
            </w:r>
          </w:p>
          <w:p>
            <w:pPr>
              <w:widowControl/>
              <w:rPr>
                <w:rFonts w:ascii="宋体" w:hAnsi="宋体" w:cs="宋体"/>
                <w:kern w:val="0"/>
                <w:szCs w:val="21"/>
              </w:rPr>
            </w:pPr>
            <w:r>
              <w:rPr>
                <w:rFonts w:hint="eastAsia" w:ascii="宋体" w:hAnsi="宋体" w:cs="宋体"/>
                <w:kern w:val="0"/>
                <w:szCs w:val="21"/>
              </w:rPr>
              <w:t>2）自滚动预报：主要是依据方案管理中所设定的预报方案、预报顺序、是否自动校正、是否自动发布等设置逐时自动启动预报。考虑到实时信息收集所需的时间，系统将依据预报方案中的计算时段长，在其相应整时段点滞后1小时和2小时分别进行两次预报计算，第二次预报成果将更新第一次预报成果，如选中自动发布，则两次预报成果均自动发布。</w:t>
            </w:r>
          </w:p>
          <w:p>
            <w:pPr>
              <w:widowControl/>
              <w:rPr>
                <w:rFonts w:ascii="宋体" w:hAnsi="宋体" w:cs="宋体"/>
                <w:kern w:val="0"/>
                <w:szCs w:val="21"/>
              </w:rPr>
            </w:pPr>
            <w:r>
              <w:rPr>
                <w:rFonts w:hint="eastAsia" w:ascii="宋体" w:hAnsi="宋体" w:cs="宋体"/>
                <w:kern w:val="0"/>
                <w:szCs w:val="21"/>
              </w:rPr>
              <w:t>（2）实时交互预报</w:t>
            </w:r>
          </w:p>
          <w:p>
            <w:pPr>
              <w:widowControl/>
              <w:rPr>
                <w:rFonts w:ascii="宋体" w:hAnsi="宋体" w:cs="宋体"/>
                <w:kern w:val="0"/>
                <w:szCs w:val="21"/>
              </w:rPr>
            </w:pPr>
            <w:r>
              <w:rPr>
                <w:rFonts w:hint="eastAsia" w:ascii="宋体" w:hAnsi="宋体" w:cs="宋体"/>
                <w:kern w:val="0"/>
                <w:szCs w:val="21"/>
              </w:rPr>
              <w:t>实时交互预报功能主要包括作业预报、自动实时校正、预报误差统计分析、预报成果优选、预报成果输出等功能模块。</w:t>
            </w:r>
          </w:p>
          <w:p>
            <w:pPr>
              <w:widowControl/>
              <w:rPr>
                <w:rFonts w:ascii="宋体" w:hAnsi="宋体" w:cs="宋体"/>
                <w:kern w:val="0"/>
                <w:szCs w:val="21"/>
              </w:rPr>
            </w:pPr>
            <w:r>
              <w:rPr>
                <w:rFonts w:hint="eastAsia" w:ascii="宋体" w:hAnsi="宋体" w:cs="宋体"/>
                <w:kern w:val="0"/>
                <w:szCs w:val="21"/>
              </w:rPr>
              <w:t>1）作业预报：作业预报是单站作业预报对当前所选定的预报断面和预报方案进行作业预报；作业预报成果均以图、表或图表结合方式展示。</w:t>
            </w:r>
          </w:p>
          <w:p>
            <w:pPr>
              <w:widowControl/>
              <w:rPr>
                <w:rFonts w:ascii="宋体" w:hAnsi="宋体" w:cs="宋体"/>
                <w:kern w:val="0"/>
                <w:szCs w:val="21"/>
              </w:rPr>
            </w:pPr>
            <w:r>
              <w:rPr>
                <w:rFonts w:hint="eastAsia" w:ascii="宋体" w:hAnsi="宋体" w:cs="宋体"/>
                <w:kern w:val="0"/>
                <w:szCs w:val="21"/>
              </w:rPr>
              <w:t>作业预报操作提供人机交互操作方式。</w:t>
            </w:r>
          </w:p>
          <w:p>
            <w:pPr>
              <w:widowControl/>
              <w:rPr>
                <w:rFonts w:ascii="宋体" w:hAnsi="宋体" w:cs="宋体"/>
                <w:kern w:val="0"/>
                <w:szCs w:val="21"/>
              </w:rPr>
            </w:pPr>
            <w:r>
              <w:rPr>
                <w:rFonts w:hint="eastAsia" w:ascii="宋体" w:hAnsi="宋体" w:cs="宋体"/>
                <w:kern w:val="0"/>
                <w:szCs w:val="21"/>
              </w:rPr>
              <w:t>允许对异常实时雨水情数据和最新的工情变化，通过提供的人机界面允许预报调度员进行干预，根据流域当前态势及时调整预报；</w:t>
            </w:r>
          </w:p>
          <w:p>
            <w:pPr>
              <w:widowControl/>
              <w:rPr>
                <w:rFonts w:ascii="宋体" w:hAnsi="宋体" w:cs="宋体"/>
                <w:kern w:val="0"/>
                <w:szCs w:val="21"/>
              </w:rPr>
            </w:pPr>
            <w:r>
              <w:rPr>
                <w:rFonts w:hint="eastAsia" w:ascii="宋体" w:hAnsi="宋体" w:cs="宋体"/>
                <w:kern w:val="0"/>
                <w:szCs w:val="21"/>
              </w:rPr>
              <w:t>充分考虑未来的天气状况，输入假想降雨进行洪水预报，同时进行退水预报；</w:t>
            </w:r>
          </w:p>
          <w:p>
            <w:pPr>
              <w:widowControl/>
              <w:rPr>
                <w:rFonts w:ascii="宋体" w:hAnsi="宋体" w:cs="宋体"/>
                <w:kern w:val="0"/>
                <w:szCs w:val="21"/>
              </w:rPr>
            </w:pPr>
            <w:r>
              <w:rPr>
                <w:rFonts w:hint="eastAsia" w:ascii="宋体" w:hAnsi="宋体" w:cs="宋体"/>
                <w:kern w:val="0"/>
                <w:szCs w:val="21"/>
              </w:rPr>
              <w:t>预报结果允许预报调度人员根据经验进行人工干预；</w:t>
            </w:r>
          </w:p>
          <w:p>
            <w:pPr>
              <w:widowControl/>
              <w:rPr>
                <w:rFonts w:ascii="宋体" w:hAnsi="宋体" w:cs="宋体"/>
                <w:kern w:val="0"/>
                <w:szCs w:val="21"/>
              </w:rPr>
            </w:pPr>
            <w:r>
              <w:rPr>
                <w:rFonts w:hint="eastAsia" w:ascii="宋体" w:hAnsi="宋体" w:cs="宋体"/>
                <w:kern w:val="0"/>
                <w:szCs w:val="21"/>
              </w:rPr>
              <w:t>2）自动实时校正</w:t>
            </w:r>
          </w:p>
          <w:p>
            <w:pPr>
              <w:widowControl/>
              <w:rPr>
                <w:rFonts w:ascii="宋体" w:hAnsi="宋体" w:cs="宋体"/>
                <w:kern w:val="0"/>
                <w:szCs w:val="21"/>
              </w:rPr>
            </w:pPr>
            <w:r>
              <w:rPr>
                <w:rFonts w:hint="eastAsia" w:ascii="宋体" w:hAnsi="宋体" w:cs="宋体"/>
                <w:kern w:val="0"/>
                <w:szCs w:val="21"/>
              </w:rPr>
              <w:t xml:space="preserve">实时校正是根据实测信息，对预报模型的结构和参数进行校正，使其更加符合客观实际，以提高预报精度。 </w:t>
            </w:r>
          </w:p>
          <w:p>
            <w:pPr>
              <w:widowControl/>
              <w:rPr>
                <w:rFonts w:ascii="宋体" w:hAnsi="宋体" w:cs="宋体"/>
                <w:kern w:val="0"/>
                <w:szCs w:val="21"/>
              </w:rPr>
            </w:pPr>
            <w:r>
              <w:rPr>
                <w:rFonts w:hint="eastAsia" w:ascii="宋体" w:hAnsi="宋体" w:cs="宋体"/>
                <w:kern w:val="0"/>
                <w:szCs w:val="21"/>
              </w:rPr>
              <w:t>利用实测流量（水位）、预报流量（水位）信息以及历史雨水情信息采用自动反馈校正法和历史相似性洪水对预报成果进行校正。历史洪水相似性将在现有技术条件下，依据当前雨情、水情特点与历史场次洪水进行分析比较，从而对洪水预报成果进行校正。</w:t>
            </w:r>
          </w:p>
          <w:p>
            <w:pPr>
              <w:widowControl/>
              <w:rPr>
                <w:rFonts w:ascii="宋体" w:hAnsi="宋体" w:cs="宋体"/>
                <w:kern w:val="0"/>
                <w:szCs w:val="21"/>
              </w:rPr>
            </w:pPr>
            <w:r>
              <w:rPr>
                <w:rFonts w:hint="eastAsia" w:ascii="宋体" w:hAnsi="宋体" w:cs="宋体"/>
                <w:kern w:val="0"/>
                <w:szCs w:val="21"/>
              </w:rPr>
              <w:t>3）预报误差统计分析</w:t>
            </w:r>
          </w:p>
          <w:p>
            <w:pPr>
              <w:widowControl/>
              <w:rPr>
                <w:rFonts w:ascii="宋体" w:hAnsi="宋体" w:cs="宋体"/>
                <w:kern w:val="0"/>
                <w:szCs w:val="21"/>
              </w:rPr>
            </w:pPr>
            <w:r>
              <w:rPr>
                <w:rFonts w:hint="eastAsia" w:ascii="宋体" w:hAnsi="宋体" w:cs="宋体"/>
                <w:kern w:val="0"/>
                <w:szCs w:val="21"/>
              </w:rPr>
              <w:t>对一段时间内预报成果进行精度评价，预报误差统计分析以表格形式显示，包括预报站号、站名、方案代码、预报时间、发布时间、预报值、实测值、实际误差、允许误差、是否合格、预报类型选择等项，并在表格底端给出统计结果，即合格率、合格次数、不合格次数等。</w:t>
            </w:r>
          </w:p>
          <w:p>
            <w:pPr>
              <w:widowControl/>
              <w:rPr>
                <w:rFonts w:ascii="宋体" w:hAnsi="宋体" w:cs="宋体"/>
                <w:kern w:val="0"/>
                <w:szCs w:val="21"/>
              </w:rPr>
            </w:pPr>
            <w:r>
              <w:rPr>
                <w:rFonts w:hint="eastAsia" w:ascii="宋体" w:hAnsi="宋体" w:cs="宋体"/>
                <w:kern w:val="0"/>
                <w:szCs w:val="21"/>
              </w:rPr>
              <w:t>4）预报成果优选</w:t>
            </w:r>
          </w:p>
          <w:p>
            <w:pPr>
              <w:widowControl/>
              <w:rPr>
                <w:rFonts w:ascii="宋体" w:hAnsi="宋体" w:cs="宋体"/>
                <w:kern w:val="0"/>
                <w:szCs w:val="21"/>
              </w:rPr>
            </w:pPr>
            <w:r>
              <w:rPr>
                <w:rFonts w:hint="eastAsia" w:ascii="宋体" w:hAnsi="宋体" w:cs="宋体"/>
                <w:kern w:val="0"/>
                <w:szCs w:val="21"/>
              </w:rPr>
              <w:t>预报成果优选是在多预报员、多单位的预报成果基础上，结合专家经验，选出最优的预报成果，以供对外发布。预报成果均以图、表或图表结合方式展示。</w:t>
            </w:r>
          </w:p>
          <w:p>
            <w:pPr>
              <w:widowControl/>
              <w:rPr>
                <w:rFonts w:ascii="宋体" w:hAnsi="宋体" w:cs="宋体"/>
                <w:kern w:val="0"/>
                <w:szCs w:val="21"/>
              </w:rPr>
            </w:pPr>
            <w:r>
              <w:rPr>
                <w:rFonts w:hint="eastAsia" w:ascii="宋体" w:hAnsi="宋体" w:cs="宋体"/>
                <w:kern w:val="0"/>
                <w:szCs w:val="21"/>
              </w:rPr>
              <w:t>5）预报成果显示与发布</w:t>
            </w:r>
          </w:p>
          <w:p>
            <w:pPr>
              <w:widowControl/>
              <w:rPr>
                <w:rFonts w:ascii="宋体" w:hAnsi="宋体" w:cs="宋体"/>
                <w:kern w:val="0"/>
                <w:szCs w:val="21"/>
              </w:rPr>
            </w:pPr>
            <w:r>
              <w:rPr>
                <w:rFonts w:hint="eastAsia" w:ascii="宋体" w:hAnsi="宋体" w:cs="宋体"/>
                <w:kern w:val="0"/>
                <w:szCs w:val="21"/>
              </w:rPr>
              <w:t>预报成果发布是以报表和图形两种方式输出预报成果，展现水位流量过程、区间产流过程、区间汇流过程、河道演进流量等过程，统计洪峰水位流量、洪水总量等特征值。</w:t>
            </w:r>
          </w:p>
          <w:p>
            <w:pPr>
              <w:widowControl/>
              <w:rPr>
                <w:rFonts w:ascii="宋体" w:hAnsi="宋体" w:cs="宋体"/>
                <w:b/>
                <w:bCs/>
                <w:kern w:val="0"/>
                <w:szCs w:val="21"/>
              </w:rPr>
            </w:pPr>
            <w:r>
              <w:rPr>
                <w:rFonts w:hint="eastAsia" w:ascii="宋体" w:hAnsi="宋体" w:cs="宋体"/>
                <w:b/>
                <w:bCs/>
                <w:kern w:val="0"/>
                <w:szCs w:val="21"/>
              </w:rPr>
              <w:t>3、风险预报</w:t>
            </w:r>
          </w:p>
          <w:p>
            <w:pPr>
              <w:widowControl/>
              <w:rPr>
                <w:rFonts w:ascii="宋体" w:hAnsi="宋体" w:cs="宋体"/>
                <w:kern w:val="0"/>
                <w:szCs w:val="21"/>
              </w:rPr>
            </w:pPr>
            <w:r>
              <w:rPr>
                <w:rFonts w:hint="eastAsia" w:ascii="宋体" w:hAnsi="宋体" w:cs="宋体"/>
                <w:kern w:val="0"/>
                <w:szCs w:val="21"/>
              </w:rPr>
              <w:t>洪水期间基于流域内低洼易涝区域、外洪威胁区、堤防工程、社会经济、企事业单位等基本信息，结合水雨情监测数据、洪水预报滚动更新数据、水利工程实时运行情况以及工程调度情况，利用洪水预报模型和水动力模型，预报洪水水体的淹没范围、水面高程、淹没水深（以颜色来区分淹没深度）和防洪保护区（耕地、园地、林地、住宅、道路、工矿用地、水利设施用地、商业休闲/公共基础设施用地等）的受淹风险和损失。最后通过洪水四色预警功能，实现对洪水风险的分析展示和洪水分级预警，为工程调度、应急抢险、人员转移提供决策支持。</w:t>
            </w:r>
          </w:p>
          <w:p>
            <w:pPr>
              <w:widowControl/>
              <w:rPr>
                <w:rFonts w:ascii="宋体" w:hAnsi="宋体" w:cs="宋体"/>
                <w:kern w:val="0"/>
                <w:szCs w:val="21"/>
              </w:rPr>
            </w:pPr>
            <w:r>
              <w:rPr>
                <w:rFonts w:hint="eastAsia" w:ascii="宋体" w:hAnsi="宋体" w:cs="宋体"/>
                <w:kern w:val="0"/>
                <w:szCs w:val="21"/>
              </w:rPr>
              <w:t>风险预报主要具有以下功能：</w:t>
            </w:r>
          </w:p>
          <w:p>
            <w:pPr>
              <w:widowControl/>
              <w:rPr>
                <w:rFonts w:ascii="宋体" w:hAnsi="宋体" w:cs="宋体"/>
                <w:kern w:val="0"/>
                <w:szCs w:val="21"/>
              </w:rPr>
            </w:pPr>
            <w:r>
              <w:rPr>
                <w:rFonts w:hint="eastAsia" w:ascii="宋体" w:hAnsi="宋体" w:cs="宋体"/>
                <w:kern w:val="0"/>
                <w:szCs w:val="21"/>
              </w:rPr>
              <w:t>（1）面积统计</w:t>
            </w:r>
          </w:p>
          <w:p>
            <w:pPr>
              <w:widowControl/>
              <w:rPr>
                <w:rFonts w:ascii="宋体" w:hAnsi="宋体" w:cs="宋体"/>
                <w:kern w:val="0"/>
                <w:szCs w:val="21"/>
              </w:rPr>
            </w:pPr>
            <w:r>
              <w:rPr>
                <w:rFonts w:hint="eastAsia" w:ascii="宋体" w:hAnsi="宋体" w:cs="宋体"/>
                <w:kern w:val="0"/>
                <w:szCs w:val="21"/>
              </w:rPr>
              <w:t>以专题图方式显示防洪保护区的数据，叠加淹没范围数据，以统计图表等形式展示风险面积统计结果。</w:t>
            </w:r>
          </w:p>
          <w:p>
            <w:pPr>
              <w:widowControl/>
              <w:rPr>
                <w:rFonts w:ascii="宋体" w:hAnsi="宋体" w:cs="宋体"/>
                <w:kern w:val="0"/>
                <w:szCs w:val="21"/>
              </w:rPr>
            </w:pPr>
            <w:r>
              <w:rPr>
                <w:rFonts w:hint="eastAsia" w:ascii="宋体" w:hAnsi="宋体" w:cs="宋体"/>
                <w:kern w:val="0"/>
                <w:szCs w:val="21"/>
              </w:rPr>
              <w:t>（2）风险对比</w:t>
            </w:r>
          </w:p>
          <w:p>
            <w:pPr>
              <w:widowControl/>
              <w:rPr>
                <w:rFonts w:ascii="宋体" w:hAnsi="宋体" w:cs="宋体"/>
                <w:kern w:val="0"/>
                <w:szCs w:val="21"/>
              </w:rPr>
            </w:pPr>
            <w:r>
              <w:rPr>
                <w:rFonts w:hint="eastAsia" w:ascii="宋体" w:hAnsi="宋体" w:cs="宋体"/>
                <w:kern w:val="0"/>
                <w:szCs w:val="21"/>
              </w:rPr>
              <w:t>通过打开多地图窗口的方式对比显示不同时相、不同预报条件下和不同调度方案下的水体以及防洪保护区的预报数据的变化。</w:t>
            </w:r>
          </w:p>
          <w:p>
            <w:pPr>
              <w:widowControl/>
              <w:rPr>
                <w:rFonts w:ascii="宋体" w:hAnsi="宋体" w:cs="宋体"/>
                <w:kern w:val="0"/>
                <w:szCs w:val="21"/>
              </w:rPr>
            </w:pPr>
            <w:r>
              <w:rPr>
                <w:rFonts w:hint="eastAsia" w:ascii="宋体" w:hAnsi="宋体" w:cs="宋体"/>
                <w:kern w:val="0"/>
                <w:szCs w:val="21"/>
              </w:rPr>
              <w:t>（3）时序过程分析</w:t>
            </w:r>
          </w:p>
          <w:p>
            <w:pPr>
              <w:widowControl/>
              <w:rPr>
                <w:rFonts w:ascii="宋体" w:hAnsi="宋体" w:cs="宋体"/>
                <w:kern w:val="0"/>
                <w:szCs w:val="21"/>
              </w:rPr>
            </w:pPr>
            <w:r>
              <w:rPr>
                <w:rFonts w:hint="eastAsia" w:ascii="宋体" w:hAnsi="宋体" w:cs="宋体"/>
                <w:kern w:val="0"/>
                <w:szCs w:val="21"/>
              </w:rPr>
              <w:t>为水体和防洪保护区添加时间信息，设置时间轴组件，通过拖动时间轴查看上述对象随时间的变化情况，以地图、统计图、表等多种形式展示洪水淹没水深、淹没范围、淹没面积等要素随时间的变化。</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开发流量同化算法软件、建设流量在线算法系统（液体分析法）</w:t>
            </w:r>
          </w:p>
        </w:tc>
        <w:tc>
          <w:tcPr>
            <w:tcW w:w="1993" w:type="pct"/>
          </w:tcPr>
          <w:p>
            <w:pPr>
              <w:widowControl/>
              <w:rPr>
                <w:rFonts w:ascii="宋体" w:hAnsi="宋体" w:cs="宋体"/>
                <w:kern w:val="0"/>
                <w:szCs w:val="21"/>
              </w:rPr>
            </w:pPr>
            <w:r>
              <w:rPr>
                <w:rFonts w:hint="eastAsia" w:ascii="宋体" w:hAnsi="宋体" w:cs="宋体"/>
                <w:kern w:val="0"/>
                <w:szCs w:val="21"/>
              </w:rPr>
              <w:t>流量同化算法作为数字孪生平台中水利模型层的重要组成部分，将观测数据和流量计算模型融合，通过误差分析迭代计算测验断面任意时刻的流量，有助于实现流量的实时高精度监测。</w:t>
            </w:r>
          </w:p>
          <w:p>
            <w:pPr>
              <w:widowControl/>
              <w:rPr>
                <w:rFonts w:ascii="宋体" w:hAnsi="宋体" w:cs="宋体"/>
                <w:kern w:val="0"/>
                <w:szCs w:val="21"/>
              </w:rPr>
            </w:pPr>
            <w:r>
              <w:rPr>
                <w:rFonts w:hint="eastAsia" w:ascii="宋体" w:hAnsi="宋体" w:cs="宋体"/>
                <w:kern w:val="0"/>
                <w:szCs w:val="21"/>
              </w:rPr>
              <w:t>1、实时观测数据接入功能</w:t>
            </w:r>
          </w:p>
          <w:p>
            <w:pPr>
              <w:widowControl/>
              <w:rPr>
                <w:rFonts w:ascii="宋体" w:hAnsi="宋体" w:cs="宋体"/>
                <w:kern w:val="0"/>
                <w:szCs w:val="21"/>
              </w:rPr>
            </w:pPr>
            <w:r>
              <w:rPr>
                <w:rFonts w:hint="eastAsia" w:ascii="宋体" w:hAnsi="宋体" w:cs="宋体"/>
                <w:kern w:val="0"/>
                <w:szCs w:val="21"/>
              </w:rPr>
              <w:t>能实时接收测站水文要素监测设备观测数据，读取遥测设备实时信息，实时观测数据主要包括水位数据、各种测量设备测得的流速数据，并将设备获取的实时数据存入数据库中供数据同化模块调用，其中，水位（公里级水位站、常山断面水位等其他水位）数据项包括水位、记录时间；流速（岸式多普勒、岸基雷达、走航ADCP等测量数据）数据项包括测量空间位置、流速大小及方向，流速采集时间。以时间戳和空间位置匹配作为观测数据和模型数据的连接点，从而保证观测数据输入和模型运行的实时同步。</w:t>
            </w:r>
          </w:p>
          <w:p>
            <w:pPr>
              <w:widowControl/>
              <w:rPr>
                <w:rFonts w:ascii="宋体" w:hAnsi="宋体" w:cs="宋体"/>
                <w:kern w:val="0"/>
                <w:szCs w:val="21"/>
              </w:rPr>
            </w:pPr>
            <w:r>
              <w:rPr>
                <w:rFonts w:hint="eastAsia" w:ascii="宋体" w:hAnsi="宋体" w:cs="宋体"/>
                <w:kern w:val="0"/>
                <w:szCs w:val="21"/>
              </w:rPr>
              <w:t>2、数据同化流量计算模块</w:t>
            </w:r>
          </w:p>
          <w:p>
            <w:pPr>
              <w:widowControl/>
              <w:rPr>
                <w:rFonts w:ascii="宋体" w:hAnsi="宋体" w:cs="宋体"/>
                <w:kern w:val="0"/>
                <w:szCs w:val="21"/>
              </w:rPr>
            </w:pPr>
            <w:r>
              <w:rPr>
                <w:rFonts w:hint="eastAsia" w:ascii="宋体" w:hAnsi="宋体" w:cs="宋体"/>
                <w:kern w:val="0"/>
                <w:szCs w:val="21"/>
              </w:rPr>
              <w:t>利用地形数据、水位数据等构建河道流速仿真模型，并应用观测数据对仿真模型进行参数率定，在率定好的流速仿真模型基础上，引入观测数据，实现观测数据和模型网格的时空匹配，应用数据同化算法，开发融合实时观测数据与流速仿真模型的数据同化流量计算模块。</w:t>
            </w:r>
          </w:p>
          <w:p>
            <w:pPr>
              <w:widowControl/>
              <w:rPr>
                <w:rFonts w:ascii="宋体" w:hAnsi="宋体" w:cs="宋体"/>
                <w:kern w:val="0"/>
                <w:szCs w:val="21"/>
              </w:rPr>
            </w:pPr>
            <w:r>
              <w:rPr>
                <w:rFonts w:hint="eastAsia" w:ascii="宋体" w:hAnsi="宋体" w:cs="宋体"/>
                <w:kern w:val="0"/>
                <w:szCs w:val="21"/>
              </w:rPr>
              <w:t>1）流量计算数值仿真模型</w:t>
            </w:r>
          </w:p>
          <w:p>
            <w:pPr>
              <w:widowControl/>
              <w:rPr>
                <w:rFonts w:ascii="宋体" w:hAnsi="宋体" w:cs="宋体"/>
                <w:kern w:val="0"/>
                <w:szCs w:val="21"/>
              </w:rPr>
            </w:pPr>
            <w:r>
              <w:rPr>
                <w:rFonts w:hint="eastAsia" w:ascii="宋体" w:hAnsi="宋体" w:cs="宋体"/>
                <w:kern w:val="0"/>
                <w:szCs w:val="21"/>
              </w:rPr>
              <w:t>流量计算数值仿真模型可以是基于统计关系的统计模型，以及有物理意义的水动力学模型，可选择其中一种方法作为流量计算模型，模型能实时计算测验断面任意点处的流速，结合水位信息，可计算任意断面的流量数据。</w:t>
            </w:r>
          </w:p>
          <w:p>
            <w:pPr>
              <w:widowControl/>
              <w:rPr>
                <w:rFonts w:ascii="宋体" w:hAnsi="宋体" w:cs="宋体"/>
                <w:kern w:val="0"/>
                <w:szCs w:val="21"/>
              </w:rPr>
            </w:pPr>
            <w:r>
              <w:rPr>
                <w:rFonts w:hint="eastAsia" w:ascii="宋体" w:hAnsi="宋体" w:cs="宋体"/>
                <w:kern w:val="0"/>
                <w:szCs w:val="21"/>
              </w:rPr>
              <w:t>2）数据同化流量计算</w:t>
            </w:r>
          </w:p>
          <w:p>
            <w:pPr>
              <w:widowControl/>
              <w:rPr>
                <w:rFonts w:ascii="宋体" w:hAnsi="宋体" w:cs="宋体"/>
                <w:kern w:val="0"/>
                <w:szCs w:val="21"/>
              </w:rPr>
            </w:pPr>
            <w:r>
              <w:rPr>
                <w:rFonts w:hint="eastAsia" w:ascii="宋体" w:hAnsi="宋体" w:cs="宋体"/>
                <w:kern w:val="0"/>
                <w:szCs w:val="21"/>
              </w:rPr>
              <w:t>利用建立的河道流量仿真数值计算模型，结合岸式多普勒测流、岸基雷达测流、走航ADCP、时差法等观测数据，应用顺序同化等数据同化算法，进行河道流场数据同化，构建以河道流量仿真数值模型为基础的数据同化模型。</w:t>
            </w:r>
          </w:p>
          <w:p>
            <w:pPr>
              <w:widowControl/>
              <w:rPr>
                <w:rFonts w:ascii="宋体" w:hAnsi="宋体" w:cs="宋体"/>
                <w:kern w:val="0"/>
                <w:szCs w:val="21"/>
              </w:rPr>
            </w:pPr>
            <w:r>
              <w:rPr>
                <w:rFonts w:hint="eastAsia" w:ascii="宋体" w:hAnsi="宋体" w:cs="宋体"/>
                <w:kern w:val="0"/>
                <w:szCs w:val="21"/>
              </w:rPr>
              <w:t>流量计算数值仿真模型作为数据同化的底层模型支撑，在数据仿真模块及观测数据接入预处理的基础上，运行数据同化模块，调用预热后的仿真模型，仿真模型向前计算，至有观测数据时刻，系统后台将触发数据同化子系统，获取对应实测点的模型预报集合，并对实测数据结合数据同化算法对两者进行融合，继续模型运行直至同化结束，观测点的流速同化分析值即为最优估计值，输出同化结果，同化结束。</w:t>
            </w:r>
          </w:p>
          <w:p>
            <w:pPr>
              <w:widowControl/>
              <w:rPr>
                <w:rFonts w:ascii="宋体" w:hAnsi="宋体" w:cs="宋体"/>
                <w:kern w:val="0"/>
                <w:szCs w:val="21"/>
              </w:rPr>
            </w:pPr>
            <w:r>
              <w:rPr>
                <w:rFonts w:hint="eastAsia" w:ascii="宋体" w:hAnsi="宋体" w:cs="宋体"/>
                <w:kern w:val="0"/>
                <w:szCs w:val="21"/>
              </w:rPr>
              <w:t>3、同化成果存储</w:t>
            </w:r>
          </w:p>
          <w:p>
            <w:pPr>
              <w:widowControl/>
              <w:rPr>
                <w:rFonts w:ascii="宋体" w:hAnsi="宋体" w:cs="宋体"/>
                <w:kern w:val="0"/>
                <w:szCs w:val="21"/>
              </w:rPr>
            </w:pPr>
            <w:r>
              <w:rPr>
                <w:rFonts w:hint="eastAsia" w:ascii="宋体" w:hAnsi="宋体" w:cs="宋体"/>
                <w:kern w:val="0"/>
                <w:szCs w:val="21"/>
              </w:rPr>
              <w:t>将数据同化结果按规范格式入库，形成断面流量过程成果。</w:t>
            </w:r>
          </w:p>
          <w:p>
            <w:pPr>
              <w:widowControl/>
              <w:rPr>
                <w:rFonts w:ascii="宋体" w:hAnsi="宋体" w:cs="宋体"/>
                <w:kern w:val="0"/>
                <w:szCs w:val="21"/>
              </w:rPr>
            </w:pPr>
            <w:r>
              <w:rPr>
                <w:rFonts w:hint="eastAsia" w:ascii="宋体" w:hAnsi="宋体" w:cs="宋体"/>
                <w:kern w:val="0"/>
                <w:szCs w:val="21"/>
              </w:rPr>
              <w:t>数据同化输出测验断面各种水位条件下任意点任意时间的流场分布，存储测验断面所有点时间连续的流速数据，弥补了传统测验设备流速监测有限测点的空间局限性以及指标流速法统计误差的不确定性，结合水位信息按流速面积法计算断面流量，输出时间连续的测验断面流量成果，以数据库表形式存储。数据成果供其他平台直接调用及发布。</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水文数字孪生——洪水场景等三维构造</w:t>
            </w:r>
          </w:p>
        </w:tc>
        <w:tc>
          <w:tcPr>
            <w:tcW w:w="1993" w:type="pct"/>
          </w:tcPr>
          <w:p>
            <w:pPr>
              <w:widowControl/>
              <w:rPr>
                <w:rFonts w:ascii="宋体" w:hAnsi="宋体" w:cs="宋体"/>
                <w:kern w:val="0"/>
                <w:szCs w:val="21"/>
              </w:rPr>
            </w:pPr>
            <w:r>
              <w:rPr>
                <w:rFonts w:hint="eastAsia" w:ascii="宋体" w:hAnsi="宋体" w:cs="宋体"/>
                <w:szCs w:val="21"/>
              </w:rPr>
              <w:t>以常山水文站为实施对象，应用物联网技术、GIS技术、三维建模技术、数据挖掘技术，通过共享现有数据资源，沟通物理水文站和虚拟实体，实现在线视频监控、水位监测预警预报、流量预报等，将实时水雨情信息、历史资料统计信息相结合，构建常山水文站数字孪生平台，为区域水文及防汛人员提供直观、全面、可靠、连续的实时水情信息和分析统计信息。</w:t>
            </w:r>
          </w:p>
          <w:p>
            <w:pPr>
              <w:widowControl/>
              <w:rPr>
                <w:rFonts w:ascii="宋体" w:hAnsi="宋体" w:cs="宋体"/>
                <w:b/>
                <w:bCs/>
                <w:kern w:val="0"/>
                <w:szCs w:val="21"/>
              </w:rPr>
            </w:pPr>
            <w:r>
              <w:rPr>
                <w:rFonts w:hint="eastAsia" w:ascii="宋体" w:hAnsi="宋体" w:cs="宋体"/>
                <w:b/>
                <w:bCs/>
                <w:kern w:val="0"/>
                <w:szCs w:val="21"/>
              </w:rPr>
              <w:t>1、数据底板建设：</w:t>
            </w:r>
          </w:p>
          <w:p>
            <w:pPr>
              <w:widowControl/>
              <w:rPr>
                <w:rFonts w:ascii="宋体" w:hAnsi="宋体" w:cs="宋体"/>
                <w:kern w:val="0"/>
                <w:szCs w:val="21"/>
              </w:rPr>
            </w:pPr>
            <w:r>
              <w:rPr>
                <w:rFonts w:hint="eastAsia" w:ascii="宋体" w:hAnsi="宋体" w:cs="宋体"/>
                <w:kern w:val="0"/>
                <w:szCs w:val="21"/>
              </w:rPr>
              <w:t>汇聚水利信息网传输的各类数据，经处理后为相关模型、知识平台提供数据服务。构建区域L1、L2、L3级数据底板，其中L1级数据覆盖区域中低分辨率DEM、高分辨率影像数据，为数字孪生区域构建数字化场景提供大尺度的统一基础空间数据；在L1级数据底板基础上，L2级数据包括重点河段及重点区域（如受灾高危村落和重点沿河村落）高分辨率 DOM、高精度 DEM/DSM、倾斜摄影影像/ 激光点云、水下地形等数据。L3 级是进行数字孪生重要实体场景建模，主要包括水文站自身及相关范围的高分辨率 DOM、高精度 DEM、倾斜摄影影像/激光点云、水下地形、BIM 等数据。</w:t>
            </w:r>
          </w:p>
          <w:p>
            <w:pPr>
              <w:widowControl/>
              <w:rPr>
                <w:rFonts w:ascii="宋体" w:hAnsi="宋体" w:cs="宋体"/>
                <w:kern w:val="0"/>
                <w:szCs w:val="21"/>
              </w:rPr>
            </w:pPr>
            <w:r>
              <w:rPr>
                <w:rFonts w:hint="eastAsia" w:ascii="宋体" w:hAnsi="宋体" w:cs="宋体"/>
                <w:kern w:val="0"/>
                <w:szCs w:val="21"/>
              </w:rPr>
              <w:t>支持以上数据的数据库建设功能，支持水文站业务数据的实时接入及查询。</w:t>
            </w:r>
          </w:p>
          <w:p>
            <w:pPr>
              <w:widowControl/>
              <w:rPr>
                <w:rFonts w:ascii="宋体" w:hAnsi="宋体" w:cs="宋体"/>
                <w:b/>
                <w:bCs/>
                <w:kern w:val="0"/>
                <w:szCs w:val="21"/>
              </w:rPr>
            </w:pPr>
            <w:r>
              <w:rPr>
                <w:rFonts w:hint="eastAsia" w:ascii="宋体" w:hAnsi="宋体" w:cs="宋体"/>
                <w:b/>
                <w:bCs/>
                <w:kern w:val="0"/>
                <w:szCs w:val="21"/>
              </w:rPr>
              <w:t>2、引擎服务：</w:t>
            </w:r>
          </w:p>
          <w:p>
            <w:pPr>
              <w:widowControl/>
              <w:rPr>
                <w:rFonts w:ascii="宋体" w:hAnsi="宋体" w:cs="宋体"/>
                <w:kern w:val="0"/>
                <w:szCs w:val="21"/>
              </w:rPr>
            </w:pPr>
            <w:r>
              <w:rPr>
                <w:rFonts w:hint="eastAsia" w:ascii="宋体" w:hAnsi="宋体" w:cs="宋体"/>
                <w:kern w:val="0"/>
                <w:szCs w:val="21"/>
              </w:rPr>
              <w:t>引擎是支撑数字孪生流域可视化的基础工具，通过多源异构数据加载、多维度场景表达、物理环境高仿真还原与专业模型耦合处理，实现可视化场景渲染与计算。</w:t>
            </w:r>
          </w:p>
          <w:p>
            <w:pPr>
              <w:widowControl/>
              <w:rPr>
                <w:rFonts w:ascii="宋体" w:hAnsi="宋体" w:cs="宋体"/>
                <w:b/>
                <w:bCs/>
                <w:kern w:val="0"/>
                <w:szCs w:val="21"/>
              </w:rPr>
            </w:pPr>
            <w:r>
              <w:rPr>
                <w:rFonts w:hint="eastAsia" w:ascii="宋体" w:hAnsi="宋体" w:cs="宋体"/>
                <w:b/>
                <w:bCs/>
                <w:kern w:val="0"/>
                <w:szCs w:val="21"/>
              </w:rPr>
              <w:t>3、渲染服务：</w:t>
            </w:r>
          </w:p>
          <w:p>
            <w:pPr>
              <w:widowControl/>
              <w:rPr>
                <w:rFonts w:ascii="宋体" w:hAnsi="宋体" w:cs="宋体"/>
                <w:kern w:val="0"/>
                <w:szCs w:val="21"/>
              </w:rPr>
            </w:pPr>
            <w:r>
              <w:rPr>
                <w:rFonts w:hint="eastAsia" w:ascii="宋体" w:hAnsi="宋体" w:cs="宋体"/>
                <w:kern w:val="0"/>
                <w:szCs w:val="21"/>
              </w:rPr>
              <w:t>通过创建场景，加载 GIS 数据、BIM 数据等构成基础底板，配置光源、材质、动画、粒子效果与几何图形，构建高仿真、动态化的虚拟场景，利用碰撞分析、摄像机、数学转换实现场景交互与漫游。</w:t>
            </w:r>
          </w:p>
          <w:p>
            <w:pPr>
              <w:widowControl/>
              <w:rPr>
                <w:rFonts w:ascii="宋体" w:hAnsi="宋体" w:cs="宋体"/>
                <w:kern w:val="0"/>
                <w:szCs w:val="21"/>
              </w:rPr>
            </w:pPr>
            <w:r>
              <w:rPr>
                <w:rFonts w:hint="eastAsia" w:ascii="宋体" w:hAnsi="宋体" w:cs="宋体"/>
                <w:kern w:val="0"/>
                <w:szCs w:val="21"/>
              </w:rPr>
              <w:t>三维场景稳定帧率(FPS)不低于 30 帧/秒，支持每帧1亿个顶点 、1万次 DRAWCALL、贴图 6GB ，实时光源 1000 栈（投射阴影约 4 栈）。</w:t>
            </w:r>
          </w:p>
          <w:p>
            <w:pPr>
              <w:widowControl/>
              <w:rPr>
                <w:rFonts w:ascii="宋体" w:hAnsi="宋体" w:cs="宋体"/>
                <w:b/>
                <w:bCs/>
                <w:kern w:val="0"/>
                <w:szCs w:val="21"/>
              </w:rPr>
            </w:pPr>
            <w:r>
              <w:rPr>
                <w:rFonts w:hint="eastAsia" w:ascii="宋体" w:hAnsi="宋体" w:cs="宋体"/>
                <w:b/>
                <w:bCs/>
                <w:kern w:val="0"/>
                <w:szCs w:val="21"/>
              </w:rPr>
              <w:t>4、数据可视化：</w:t>
            </w:r>
          </w:p>
          <w:p>
            <w:pPr>
              <w:widowControl/>
              <w:rPr>
                <w:rFonts w:ascii="宋体" w:hAnsi="宋体" w:cs="宋体"/>
                <w:kern w:val="0"/>
                <w:szCs w:val="21"/>
              </w:rPr>
            </w:pPr>
            <w:r>
              <w:rPr>
                <w:rFonts w:hint="eastAsia" w:ascii="宋体" w:hAnsi="宋体" w:cs="宋体"/>
                <w:kern w:val="0"/>
                <w:szCs w:val="21"/>
              </w:rPr>
              <w:t>结合数据常山水文站数据本底形成可浏览、可查询、可分析的数据展示空间。</w:t>
            </w:r>
          </w:p>
          <w:p>
            <w:pPr>
              <w:widowControl/>
              <w:rPr>
                <w:rFonts w:ascii="宋体" w:hAnsi="宋体" w:cs="宋体"/>
                <w:kern w:val="0"/>
                <w:szCs w:val="21"/>
              </w:rPr>
            </w:pPr>
            <w:r>
              <w:rPr>
                <w:rFonts w:hint="eastAsia" w:ascii="宋体" w:hAnsi="宋体" w:cs="宋体"/>
                <w:kern w:val="0"/>
                <w:szCs w:val="21"/>
              </w:rPr>
              <w:t>物理实体三维模型可视化功能：包括地形、水文建筑、水位观测设备、流速观测设备的可视化。</w:t>
            </w:r>
          </w:p>
          <w:p>
            <w:pPr>
              <w:widowControl/>
              <w:rPr>
                <w:rFonts w:ascii="宋体" w:hAnsi="宋体" w:cs="宋体"/>
                <w:kern w:val="0"/>
                <w:szCs w:val="21"/>
              </w:rPr>
            </w:pPr>
            <w:r>
              <w:rPr>
                <w:rFonts w:hint="eastAsia" w:ascii="宋体" w:hAnsi="宋体" w:cs="宋体"/>
                <w:kern w:val="0"/>
                <w:szCs w:val="21"/>
              </w:rPr>
              <w:t xml:space="preserve">数据可视化表达及分析功能：能对常山站大断面形状、水位过程数据、各种流速数据包括模型运行结果进行二三维图表可视化表达，实现大尺度二维与中小尺度二三维展示场景切换。二维场景以水利一张图为基础，重点集成水文监测站网数据，叠加实时信息，融合展示“静态+动态”数据，标绘涉水基础信息与监测预警信息。三维场景重点以孪生场景展现两个断面上下游的全貌，也可实现戳点信息展示。并能接入视频监控系统。能对前端感知设备采集的数据进行错误识别及数据清洗。 </w:t>
            </w:r>
          </w:p>
          <w:p>
            <w:pPr>
              <w:widowControl/>
              <w:rPr>
                <w:rFonts w:ascii="宋体" w:hAnsi="宋体" w:cs="宋体"/>
                <w:b/>
                <w:bCs/>
                <w:kern w:val="0"/>
                <w:szCs w:val="21"/>
              </w:rPr>
            </w:pPr>
            <w:r>
              <w:rPr>
                <w:rFonts w:hint="eastAsia" w:ascii="宋体" w:hAnsi="宋体" w:cs="宋体"/>
                <w:b/>
                <w:bCs/>
                <w:kern w:val="0"/>
                <w:szCs w:val="21"/>
              </w:rPr>
              <w:t>5、模型分析：</w:t>
            </w:r>
          </w:p>
          <w:p>
            <w:pPr>
              <w:widowControl/>
              <w:rPr>
                <w:rFonts w:ascii="宋体" w:hAnsi="宋体" w:cs="宋体"/>
                <w:kern w:val="0"/>
                <w:szCs w:val="21"/>
              </w:rPr>
            </w:pPr>
            <w:r>
              <w:rPr>
                <w:rFonts w:hint="eastAsia" w:ascii="宋体" w:hAnsi="宋体" w:cs="宋体"/>
                <w:kern w:val="0"/>
                <w:szCs w:val="21"/>
              </w:rPr>
              <w:t>河段三维水动力学模型模拟功能：能实时接入水文站水位、ADCP等数据，作为模型实时运算，以及实时校正的边界条件，实现河道水流实时模拟及各种虚拟工况模拟。</w:t>
            </w:r>
          </w:p>
          <w:p>
            <w:pPr>
              <w:widowControl/>
              <w:rPr>
                <w:rFonts w:ascii="宋体" w:hAnsi="宋体" w:cs="宋体"/>
                <w:kern w:val="0"/>
                <w:szCs w:val="21"/>
              </w:rPr>
            </w:pPr>
            <w:r>
              <w:rPr>
                <w:rFonts w:hint="eastAsia" w:ascii="宋体" w:hAnsi="宋体" w:cs="宋体"/>
                <w:kern w:val="0"/>
                <w:szCs w:val="21"/>
              </w:rPr>
              <w:t>流量同化模块接入功能：当有可利用的观测数据时，能接入数据同化模块进行实时数据同化。</w:t>
            </w:r>
          </w:p>
          <w:p>
            <w:pPr>
              <w:widowControl/>
              <w:rPr>
                <w:rFonts w:ascii="宋体" w:hAnsi="宋体" w:cs="宋体"/>
                <w:b/>
                <w:bCs/>
                <w:kern w:val="0"/>
                <w:szCs w:val="21"/>
              </w:rPr>
            </w:pPr>
            <w:r>
              <w:rPr>
                <w:rFonts w:hint="eastAsia" w:ascii="宋体" w:hAnsi="宋体" w:cs="宋体"/>
                <w:b/>
                <w:bCs/>
                <w:kern w:val="0"/>
                <w:szCs w:val="21"/>
              </w:rPr>
              <w:t>6、应用决策：</w:t>
            </w:r>
          </w:p>
          <w:p>
            <w:pPr>
              <w:widowControl/>
              <w:rPr>
                <w:rFonts w:ascii="宋体" w:hAnsi="宋体" w:cs="宋体"/>
                <w:kern w:val="0"/>
                <w:szCs w:val="21"/>
              </w:rPr>
            </w:pPr>
            <w:r>
              <w:rPr>
                <w:rFonts w:hint="eastAsia" w:ascii="宋体" w:hAnsi="宋体" w:cs="宋体"/>
                <w:kern w:val="0"/>
                <w:szCs w:val="21"/>
              </w:rPr>
              <w:t>具备设备运行状态诊断及数据分析决策支持能力。</w:t>
            </w:r>
          </w:p>
          <w:p>
            <w:pPr>
              <w:widowControl/>
              <w:rPr>
                <w:rFonts w:ascii="宋体" w:hAnsi="宋体" w:cs="宋体"/>
                <w:kern w:val="0"/>
                <w:szCs w:val="21"/>
              </w:rPr>
            </w:pPr>
            <w:r>
              <w:rPr>
                <w:rFonts w:hint="eastAsia" w:ascii="宋体" w:hAnsi="宋体" w:cs="宋体"/>
                <w:kern w:val="0"/>
                <w:szCs w:val="21"/>
              </w:rPr>
              <w:t>设备运行状态诊断：通过数据分析手段对设备状态进行有效评估，能及时对设备运行不良状态进行预警。</w:t>
            </w:r>
          </w:p>
          <w:p>
            <w:pPr>
              <w:widowControl/>
              <w:rPr>
                <w:rFonts w:ascii="宋体" w:hAnsi="宋体" w:cs="宋体"/>
                <w:kern w:val="0"/>
                <w:szCs w:val="21"/>
              </w:rPr>
            </w:pPr>
            <w:r>
              <w:rPr>
                <w:rFonts w:hint="eastAsia" w:ascii="宋体" w:hAnsi="宋体" w:cs="宋体"/>
                <w:kern w:val="0"/>
                <w:szCs w:val="21"/>
              </w:rPr>
              <w:t>能调用水文预报模块功能，实现水位预警预报、流量预报等功能。</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972"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bidi="ar"/>
              </w:rPr>
              <w:t>运行维护服务</w:t>
            </w:r>
          </w:p>
        </w:tc>
        <w:tc>
          <w:tcPr>
            <w:tcW w:w="1993" w:type="pct"/>
          </w:tcPr>
          <w:p>
            <w:pPr>
              <w:widowControl/>
              <w:rPr>
                <w:rFonts w:ascii="宋体" w:hAnsi="宋体" w:cs="宋体"/>
                <w:kern w:val="0"/>
                <w:szCs w:val="21"/>
                <w:highlight w:val="none"/>
              </w:rPr>
            </w:pPr>
            <w:r>
              <w:rPr>
                <w:rFonts w:hint="eastAsia" w:ascii="宋体" w:hAnsi="宋体" w:cs="宋体"/>
                <w:kern w:val="0"/>
                <w:szCs w:val="21"/>
                <w:highlight w:val="none"/>
                <w:lang w:bidi="ar"/>
              </w:rPr>
              <w:t>质量保证期内的项目整体运行维护服务费150000元包含在投标报价中</w:t>
            </w:r>
            <w:r>
              <w:rPr>
                <w:rFonts w:hint="eastAsia" w:ascii="宋体" w:hAnsi="宋体" w:cs="宋体"/>
                <w:b/>
                <w:bCs/>
                <w:kern w:val="0"/>
                <w:szCs w:val="21"/>
                <w:highlight w:val="none"/>
                <w:lang w:bidi="ar"/>
              </w:rPr>
              <w:t>（▲投标报价时不得下浮）</w:t>
            </w:r>
            <w:r>
              <w:rPr>
                <w:rFonts w:hint="eastAsia" w:ascii="宋体" w:hAnsi="宋体" w:cs="宋体"/>
                <w:kern w:val="0"/>
                <w:szCs w:val="21"/>
                <w:highlight w:val="none"/>
                <w:lang w:bidi="ar"/>
              </w:rPr>
              <w:t>。运行维护服务费分三年</w:t>
            </w:r>
            <w:r>
              <w:rPr>
                <w:rFonts w:hint="eastAsia" w:ascii="宋体" w:hAnsi="宋体" w:cs="宋体"/>
                <w:bCs/>
                <w:szCs w:val="21"/>
                <w:highlight w:val="none"/>
              </w:rPr>
              <w:t>平均支付，运行维护服务每满一年支付一次相应的费用。</w:t>
            </w:r>
          </w:p>
        </w:tc>
        <w:tc>
          <w:tcPr>
            <w:tcW w:w="656"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69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5"/>
            <w:shd w:val="clear" w:color="auto" w:fill="auto"/>
            <w:noWrap/>
            <w:vAlign w:val="center"/>
          </w:tcPr>
          <w:p>
            <w:pPr>
              <w:widowControl/>
              <w:jc w:val="left"/>
              <w:rPr>
                <w:rFonts w:ascii="宋体" w:hAnsi="宋体" w:cs="宋体"/>
                <w:b/>
                <w:bCs/>
                <w:kern w:val="0"/>
                <w:szCs w:val="21"/>
              </w:rPr>
            </w:pPr>
            <w:r>
              <w:rPr>
                <w:rFonts w:hint="eastAsia" w:ascii="宋体" w:hAnsi="宋体" w:cs="宋体"/>
                <w:b/>
                <w:bCs/>
                <w:kern w:val="0"/>
                <w:szCs w:val="21"/>
              </w:rPr>
              <w:t>说明：</w:t>
            </w:r>
          </w:p>
          <w:p>
            <w:pPr>
              <w:widowControl/>
              <w:ind w:firstLine="422" w:firstLineChars="200"/>
              <w:jc w:val="left"/>
              <w:rPr>
                <w:rFonts w:hint="eastAsia" w:ascii="宋体" w:hAnsi="宋体" w:eastAsia="宋体" w:cs="宋体"/>
                <w:b/>
                <w:bCs/>
                <w:kern w:val="0"/>
                <w:szCs w:val="21"/>
                <w:lang w:eastAsia="zh-CN"/>
              </w:rPr>
            </w:pPr>
            <w:r>
              <w:rPr>
                <w:rFonts w:hint="eastAsia" w:ascii="宋体" w:hAnsi="宋体" w:cs="宋体"/>
                <w:b/>
                <w:bCs/>
                <w:kern w:val="0"/>
                <w:szCs w:val="21"/>
              </w:rPr>
              <w:t>1.</w:t>
            </w:r>
            <w:r>
              <w:rPr>
                <w:rFonts w:hint="eastAsia" w:ascii="宋体" w:hAnsi="宋体" w:cs="宋体"/>
                <w:b/>
                <w:bCs/>
                <w:szCs w:val="21"/>
                <w:u w:val="single"/>
              </w:rPr>
              <w:t>★</w:t>
            </w:r>
            <w:r>
              <w:rPr>
                <w:rFonts w:hint="eastAsia" w:ascii="宋体" w:hAnsi="宋体" w:cs="宋体"/>
                <w:b/>
                <w:bCs/>
                <w:kern w:val="0"/>
                <w:szCs w:val="21"/>
                <w:u w:val="single"/>
              </w:rPr>
              <w:t>遥测终端机</w:t>
            </w:r>
            <w:r>
              <w:rPr>
                <w:rFonts w:hint="eastAsia" w:ascii="宋体" w:hAnsi="宋体" w:cs="宋体"/>
                <w:b/>
                <w:bCs/>
                <w:kern w:val="0"/>
                <w:szCs w:val="21"/>
              </w:rPr>
              <w:t>为核心产品</w:t>
            </w:r>
            <w:r>
              <w:rPr>
                <w:rFonts w:hint="eastAsia" w:ascii="宋体" w:hAnsi="宋体" w:cs="宋体"/>
                <w:b/>
                <w:bCs/>
                <w:kern w:val="0"/>
                <w:szCs w:val="21"/>
                <w:lang w:eastAsia="zh-CN"/>
              </w:rPr>
              <w:t>；</w:t>
            </w:r>
          </w:p>
          <w:p>
            <w:pPr>
              <w:widowControl/>
              <w:ind w:firstLine="422" w:firstLineChars="200"/>
              <w:jc w:val="left"/>
              <w:rPr>
                <w:rFonts w:hint="eastAsia" w:ascii="宋体" w:hAnsi="宋体" w:cs="宋体"/>
                <w:b/>
                <w:bCs/>
                <w:kern w:val="0"/>
                <w:szCs w:val="21"/>
              </w:rPr>
            </w:pPr>
            <w:r>
              <w:rPr>
                <w:rFonts w:hint="eastAsia" w:ascii="宋体" w:hAnsi="宋体" w:cs="宋体"/>
                <w:b/>
                <w:bCs/>
                <w:kern w:val="0"/>
                <w:szCs w:val="21"/>
              </w:rPr>
              <w:t>2.</w:t>
            </w:r>
            <w:r>
              <w:rPr>
                <w:rFonts w:hint="eastAsia" w:ascii="宋体" w:hAnsi="宋体" w:cs="宋体"/>
                <w:b/>
                <w:bCs/>
                <w:kern w:val="0"/>
                <w:szCs w:val="21"/>
                <w:lang w:val="zh-CN"/>
              </w:rPr>
              <w:t>中标公示结束后五个工作日内按要求提供检测报告，否则采购人将拒绝签订合同；</w:t>
            </w:r>
          </w:p>
          <w:p>
            <w:pPr>
              <w:widowControl/>
              <w:ind w:firstLine="422" w:firstLineChars="200"/>
              <w:jc w:val="left"/>
              <w:rPr>
                <w:rFonts w:ascii="宋体" w:hAnsi="宋体" w:cs="宋体"/>
                <w:b/>
                <w:bCs/>
                <w:kern w:val="0"/>
                <w:szCs w:val="21"/>
              </w:rPr>
            </w:pPr>
            <w:r>
              <w:rPr>
                <w:rFonts w:hint="eastAsia" w:ascii="宋体" w:hAnsi="宋体" w:cs="宋体"/>
                <w:b/>
                <w:bCs/>
                <w:kern w:val="0"/>
                <w:szCs w:val="21"/>
                <w:lang w:val="en-US" w:eastAsia="zh-CN"/>
              </w:rPr>
              <w:t>3.</w:t>
            </w:r>
            <w:r>
              <w:rPr>
                <w:rFonts w:hint="eastAsia" w:ascii="宋体" w:hAnsi="宋体" w:cs="宋体"/>
                <w:b/>
                <w:bCs/>
                <w:kern w:val="0"/>
                <w:szCs w:val="21"/>
              </w:rPr>
              <w:t>常山县水文预测预报系统需接入浙政钉，系统平台包括水情情报能力提升、水情预报能力提升、开发流量同化算法、水文数字孪生等功能模块。</w:t>
            </w:r>
          </w:p>
        </w:tc>
      </w:tr>
    </w:tbl>
    <w:p>
      <w:pPr>
        <w:pStyle w:val="29"/>
        <w:spacing w:line="300" w:lineRule="auto"/>
        <w:rPr>
          <w:rFonts w:hint="eastAsia" w:hAnsi="宋体" w:cs="宋体"/>
          <w:bCs/>
          <w:sz w:val="28"/>
          <w:szCs w:val="28"/>
          <w:u w:val="single"/>
        </w:rPr>
      </w:pPr>
    </w:p>
    <w:p>
      <w:pPr>
        <w:pStyle w:val="29"/>
        <w:spacing w:line="300" w:lineRule="auto"/>
        <w:rPr>
          <w:rFonts w:hAnsi="宋体" w:cs="宋体"/>
          <w:b/>
          <w:bCs/>
          <w:szCs w:val="21"/>
        </w:rPr>
      </w:pPr>
      <w:r>
        <w:rPr>
          <w:rFonts w:hint="eastAsia" w:hAnsi="宋体" w:cs="宋体"/>
          <w:bCs/>
          <w:sz w:val="28"/>
          <w:szCs w:val="28"/>
          <w:u w:val="single"/>
        </w:rPr>
        <w:t>★</w:t>
      </w:r>
      <w:r>
        <w:rPr>
          <w:rFonts w:hint="eastAsia" w:hAnsi="宋体" w:cs="宋体"/>
          <w:b/>
          <w:bCs/>
          <w:sz w:val="28"/>
          <w:szCs w:val="28"/>
          <w:u w:val="single"/>
          <w:lang w:val="zh-CN"/>
        </w:rPr>
        <w:t>特别说明</w:t>
      </w:r>
      <w:r>
        <w:rPr>
          <w:rFonts w:hint="eastAsia" w:hAnsi="宋体" w:cs="宋体"/>
          <w:b/>
          <w:bCs/>
          <w:sz w:val="28"/>
          <w:szCs w:val="28"/>
          <w:u w:val="single"/>
        </w:rPr>
        <w:t>：</w:t>
      </w:r>
    </w:p>
    <w:p>
      <w:pPr>
        <w:autoSpaceDE w:val="0"/>
        <w:autoSpaceDN w:val="0"/>
        <w:adjustRightInd w:val="0"/>
        <w:spacing w:line="300" w:lineRule="auto"/>
        <w:ind w:firstLine="420" w:firstLineChars="200"/>
        <w:textAlignment w:val="bottom"/>
        <w:rPr>
          <w:rFonts w:ascii="宋体" w:hAnsi="宋体" w:cs="宋体"/>
          <w:bCs/>
          <w:szCs w:val="21"/>
        </w:rPr>
      </w:pPr>
      <w:r>
        <w:rPr>
          <w:rFonts w:hint="eastAsia" w:ascii="宋体" w:hAnsi="宋体" w:cs="宋体"/>
          <w:bCs/>
          <w:szCs w:val="21"/>
        </w:rPr>
        <w:t>1.本项目采用设备采购、安装（集成）施工、售后服务统一发包的方式，中标单位包工、包料、包质量、包工期、包安全生产、包终验合格；</w:t>
      </w:r>
    </w:p>
    <w:p>
      <w:pPr>
        <w:autoSpaceDE w:val="0"/>
        <w:autoSpaceDN w:val="0"/>
        <w:adjustRightInd w:val="0"/>
        <w:spacing w:line="300" w:lineRule="auto"/>
        <w:ind w:firstLine="420" w:firstLineChars="200"/>
        <w:textAlignment w:val="bottom"/>
        <w:rPr>
          <w:rFonts w:ascii="宋体" w:hAnsi="宋体" w:cs="宋体"/>
          <w:bCs/>
          <w:szCs w:val="21"/>
        </w:rPr>
      </w:pPr>
      <w:r>
        <w:rPr>
          <w:rFonts w:hint="eastAsia" w:ascii="宋体" w:hAnsi="宋体" w:cs="宋体"/>
          <w:bCs/>
          <w:szCs w:val="21"/>
        </w:rPr>
        <w:t>2.本采购需求一览表中的配置及技术性能、功能要求并非是详尽无遗的，无论本采购需求一览表明确与否，供应商均有责任提供满足本采购需求一览表要求的完整无缺的设备（软件）和辅材，以及相应的安装、调试、培训和质量保证服务。经采购人或其组织的专家组验收，所有建设内容均符合需求后方可进行移交工作。</w:t>
      </w:r>
    </w:p>
    <w:p>
      <w:pPr>
        <w:autoSpaceDE w:val="0"/>
        <w:autoSpaceDN w:val="0"/>
        <w:adjustRightInd w:val="0"/>
        <w:spacing w:line="300" w:lineRule="auto"/>
        <w:ind w:firstLine="420" w:firstLineChars="200"/>
        <w:textAlignment w:val="bottom"/>
        <w:rPr>
          <w:rFonts w:ascii="宋体" w:hAnsi="宋体" w:cs="宋体"/>
          <w:bCs/>
          <w:szCs w:val="21"/>
        </w:rPr>
      </w:pPr>
      <w:r>
        <w:rPr>
          <w:rFonts w:hint="eastAsia" w:ascii="宋体" w:hAnsi="宋体" w:cs="宋体"/>
          <w:bCs/>
          <w:szCs w:val="21"/>
        </w:rPr>
        <w:t>3.投标人需充分考虑本项目所需要的所有安装辅材的类别、规格、型号标准不得低于相关设备厂商及国家标准的要求，并能够满足系统正常运转的需要，数量按照项目施工实际需要提供。所有本项目采购需求清单未列明但安装（集成）所需的辅材均视为已包含在投标人的投标报价中，投标人不得以任何理由拒绝提供保证系统正常运转所需要的安装辅材。</w:t>
      </w:r>
    </w:p>
    <w:p>
      <w:pPr>
        <w:autoSpaceDE w:val="0"/>
        <w:autoSpaceDN w:val="0"/>
        <w:adjustRightInd w:val="0"/>
        <w:spacing w:line="300" w:lineRule="auto"/>
        <w:ind w:firstLine="420" w:firstLineChars="200"/>
        <w:textAlignment w:val="bottom"/>
        <w:rPr>
          <w:rFonts w:ascii="宋体" w:hAnsi="宋体" w:cs="宋体"/>
          <w:bCs/>
          <w:szCs w:val="21"/>
        </w:rPr>
      </w:pPr>
      <w:r>
        <w:rPr>
          <w:rFonts w:hint="eastAsia" w:ascii="宋体" w:hAnsi="宋体" w:cs="宋体"/>
          <w:bCs/>
          <w:szCs w:val="21"/>
        </w:rPr>
        <w:t>4.在决定投标之前，潜在投标人须仔细阅读招标文件，如发现有任何疑问、冲突或技术问题，应当及时向采购单位咨询。施工现场情况请各潜在投标人根据实际需要自行前往实地勘察。</w:t>
      </w:r>
    </w:p>
    <w:p>
      <w:pPr>
        <w:autoSpaceDE w:val="0"/>
        <w:autoSpaceDN w:val="0"/>
        <w:adjustRightInd w:val="0"/>
        <w:spacing w:line="300" w:lineRule="auto"/>
        <w:ind w:firstLine="420" w:firstLineChars="200"/>
        <w:textAlignment w:val="bottom"/>
        <w:rPr>
          <w:rFonts w:ascii="宋体" w:hAnsi="宋体" w:cs="宋体"/>
          <w:bCs/>
          <w:szCs w:val="21"/>
          <w:lang w:val="zh-CN"/>
        </w:rPr>
      </w:pPr>
      <w:r>
        <w:rPr>
          <w:rFonts w:hint="eastAsia" w:ascii="宋体" w:hAnsi="宋体" w:cs="宋体"/>
          <w:bCs/>
          <w:szCs w:val="21"/>
        </w:rPr>
        <w:t>5.</w:t>
      </w:r>
      <w:r>
        <w:rPr>
          <w:rFonts w:hint="eastAsia" w:ascii="宋体" w:hAnsi="宋体" w:cs="宋体"/>
          <w:bCs/>
          <w:szCs w:val="21"/>
          <w:lang w:val="zh-CN"/>
        </w:rPr>
        <w:t>上述需求清单中如有指出设备（含硬件和软件）、材料和工艺的参考品牌、型号或分类号的，仅起辅助描述作用，不作为评标时判定投标是否有效的标准。投标人在投标产品选型时可以选用替代品牌、型号或分类号，但替代品牌、型号或分类号应当实质上相当于或高于本需求的技术性能和功能指标要求。</w:t>
      </w:r>
    </w:p>
    <w:p>
      <w:pPr>
        <w:autoSpaceDE w:val="0"/>
        <w:autoSpaceDN w:val="0"/>
        <w:adjustRightInd w:val="0"/>
        <w:spacing w:line="300" w:lineRule="auto"/>
        <w:ind w:firstLine="420" w:firstLineChars="200"/>
        <w:textAlignment w:val="bottom"/>
        <w:rPr>
          <w:rFonts w:ascii="宋体" w:hAnsi="宋体" w:cs="宋体"/>
          <w:szCs w:val="21"/>
        </w:rPr>
      </w:pPr>
      <w:r>
        <w:rPr>
          <w:rFonts w:hint="eastAsia" w:ascii="宋体" w:hAnsi="宋体" w:cs="宋体"/>
          <w:bCs/>
          <w:szCs w:val="21"/>
        </w:rPr>
        <w:t>6.</w:t>
      </w:r>
      <w:r>
        <w:rPr>
          <w:rFonts w:hint="eastAsia" w:ascii="宋体" w:hAnsi="宋体" w:cs="宋体"/>
          <w:bCs/>
          <w:szCs w:val="21"/>
          <w:lang w:val="zh-CN"/>
        </w:rPr>
        <w:t>中标人必须无条件开放所有设备软硬件数据协议接口，免费提供后期相关建设项目的参考方案并完成与其它相关系统设备的提供商合作配合数据对接工作，确保用户拥有综合平台软件的合法使用，并</w:t>
      </w:r>
      <w:r>
        <w:rPr>
          <w:rFonts w:hint="eastAsia" w:ascii="宋体" w:hAnsi="宋体" w:cs="宋体"/>
          <w:szCs w:val="21"/>
          <w:lang w:val="zh-CN"/>
        </w:rPr>
        <w:t>免费升级、适配，</w:t>
      </w:r>
      <w:r>
        <w:rPr>
          <w:rFonts w:hint="eastAsia" w:ascii="宋体" w:hAnsi="宋体" w:cs="宋体"/>
          <w:szCs w:val="21"/>
        </w:rPr>
        <w:t>保留系统对接功能。</w:t>
      </w:r>
    </w:p>
    <w:p>
      <w:pPr>
        <w:autoSpaceDE w:val="0"/>
        <w:autoSpaceDN w:val="0"/>
        <w:adjustRightInd w:val="0"/>
        <w:spacing w:line="300" w:lineRule="auto"/>
        <w:ind w:firstLine="422" w:firstLineChars="200"/>
        <w:textAlignment w:val="bottom"/>
        <w:rPr>
          <w:rFonts w:ascii="宋体" w:hAnsi="宋体" w:cs="宋体"/>
          <w:b/>
          <w:szCs w:val="21"/>
          <w:highlight w:val="none"/>
          <w:lang w:val="zh-CN"/>
        </w:rPr>
      </w:pPr>
      <w:r>
        <w:rPr>
          <w:rFonts w:hint="eastAsia" w:ascii="宋体" w:hAnsi="宋体" w:cs="宋体"/>
          <w:b/>
          <w:szCs w:val="21"/>
          <w:u w:val="single"/>
        </w:rPr>
        <w:t>7</w:t>
      </w:r>
      <w:r>
        <w:rPr>
          <w:rFonts w:hint="eastAsia" w:ascii="宋体" w:hAnsi="宋体" w:cs="宋体"/>
          <w:b/>
          <w:szCs w:val="21"/>
          <w:u w:val="single"/>
          <w:lang w:val="zh-CN"/>
        </w:rPr>
        <w:t>.采购需求清单中不允许偏离的实质性要求、条件、技术性能指标（如有），以“▲”号标明，如投标人未实质性响应的，按投标无效处理。采购需求清单中重点的要求、条件、技术性能指标（如有），以“★”号标明，投标人必须如实响应，</w:t>
      </w:r>
      <w:r>
        <w:rPr>
          <w:rFonts w:hint="eastAsia" w:ascii="宋体" w:hAnsi="宋体" w:cs="宋体"/>
          <w:b/>
          <w:szCs w:val="21"/>
          <w:highlight w:val="none"/>
          <w:u w:val="single"/>
          <w:lang w:val="zh-CN"/>
        </w:rPr>
        <w:t>中标公示结束后五个工作日内按要求提供</w:t>
      </w:r>
      <w:r>
        <w:rPr>
          <w:rFonts w:hint="eastAsia" w:ascii="宋体" w:hAnsi="宋体" w:cs="宋体"/>
          <w:b/>
          <w:szCs w:val="21"/>
          <w:u w:val="single"/>
          <w:lang w:val="zh-CN"/>
        </w:rPr>
        <w:t>检测报告，否则采购人将拒绝签订合同；</w:t>
      </w:r>
      <w:r>
        <w:rPr>
          <w:rFonts w:hint="eastAsia" w:ascii="宋体" w:hAnsi="宋体" w:cs="宋体"/>
          <w:b/>
          <w:szCs w:val="21"/>
          <w:highlight w:val="none"/>
          <w:u w:val="single"/>
          <w:lang w:val="zh-CN"/>
        </w:rPr>
        <w:t>项目验收时将重点核实或测试相关要求是否全部被满足；验收时确认投标产品不能全部满足相关要求的，按验收不通过处理。</w:t>
      </w:r>
    </w:p>
    <w:p>
      <w:pPr>
        <w:wordWrap w:val="0"/>
        <w:autoSpaceDE w:val="0"/>
        <w:autoSpaceDN w:val="0"/>
        <w:adjustRightInd w:val="0"/>
        <w:spacing w:line="300" w:lineRule="auto"/>
        <w:ind w:firstLine="422" w:firstLineChars="200"/>
        <w:textAlignment w:val="bottom"/>
        <w:rPr>
          <w:rFonts w:ascii="宋体" w:hAnsi="宋体" w:cs="宋体"/>
          <w:b/>
          <w:szCs w:val="21"/>
          <w:u w:val="single"/>
        </w:rPr>
      </w:pPr>
      <w:r>
        <w:rPr>
          <w:rFonts w:hint="eastAsia" w:ascii="宋体" w:hAnsi="宋体" w:cs="宋体"/>
          <w:b/>
          <w:szCs w:val="21"/>
          <w:u w:val="single"/>
        </w:rPr>
        <w:t>8.根据《关于调整优化节能产品、环境标志产品政府采购执行机制的通知》（财库〔2019〕9号）规定：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wordWrap w:val="0"/>
        <w:autoSpaceDE w:val="0"/>
        <w:autoSpaceDN w:val="0"/>
        <w:adjustRightInd w:val="0"/>
        <w:spacing w:line="300" w:lineRule="auto"/>
        <w:ind w:firstLine="422" w:firstLineChars="200"/>
        <w:textAlignment w:val="bottom"/>
        <w:rPr>
          <w:rFonts w:ascii="宋体" w:hAnsi="宋体" w:cs="宋体"/>
          <w:b/>
          <w:szCs w:val="21"/>
          <w:u w:val="single"/>
        </w:rPr>
      </w:pPr>
      <w:r>
        <w:rPr>
          <w:rFonts w:hint="eastAsia" w:ascii="宋体" w:hAnsi="宋体" w:cs="宋体"/>
          <w:b/>
          <w:szCs w:val="21"/>
          <w:u w:val="single"/>
        </w:rPr>
        <w:t>8.1 政府强制采购节能产品的范围包括：计算机设备（台式计算机、便携式计算机和平板式微型计算机）、输入输出设备（激光打印机、针式打印机、液晶显示器）、制冷空调设备（制冷压缩机、空调机组和专用制冷、空调设备）、镇流器（管型荧光灯镇流器）、生活用电器（空调机、电热水器）、照明设备（普通照明用双端荧光灯）、电视设备、视频设备（监视器）、便器、水嘴。</w:t>
      </w:r>
    </w:p>
    <w:p>
      <w:pPr>
        <w:wordWrap w:val="0"/>
        <w:autoSpaceDE w:val="0"/>
        <w:autoSpaceDN w:val="0"/>
        <w:adjustRightInd w:val="0"/>
        <w:spacing w:line="300" w:lineRule="auto"/>
        <w:ind w:firstLine="422" w:firstLineChars="200"/>
        <w:textAlignment w:val="bottom"/>
        <w:rPr>
          <w:rFonts w:ascii="宋体" w:hAnsi="宋体" w:cs="宋体"/>
          <w:b/>
          <w:szCs w:val="21"/>
          <w:u w:val="single"/>
        </w:rPr>
      </w:pPr>
      <w:r>
        <w:rPr>
          <w:rFonts w:hint="eastAsia" w:ascii="宋体" w:hAnsi="宋体" w:cs="宋体"/>
          <w:b/>
          <w:szCs w:val="21"/>
          <w:u w:val="single"/>
        </w:rPr>
        <w:t>▲8.2 采购需求一览表涉及上述范围的采购内容，投标人必须选择具有国家确定的认证机构（认证机构名单查询链接：</w:t>
      </w:r>
      <w:r>
        <w:fldChar w:fldCharType="begin"/>
      </w:r>
      <w:r>
        <w:instrText xml:space="preserve"> HYPERLINK "http://www.ccgp.gov.cn/zcfg/bwfile/201904/t20190403_11853998.htm" </w:instrText>
      </w:r>
      <w:r>
        <w:fldChar w:fldCharType="separate"/>
      </w:r>
      <w:r>
        <w:rPr>
          <w:rStyle w:val="55"/>
          <w:rFonts w:hint="eastAsia" w:ascii="宋体" w:hAnsi="宋体" w:cs="宋体"/>
          <w:b/>
          <w:szCs w:val="21"/>
        </w:rPr>
        <w:t>http://www.ccgp.gov.cn/zcfg/bwfile/201904/t20190403_11853998.htm</w:t>
      </w:r>
      <w:r>
        <w:rPr>
          <w:rStyle w:val="55"/>
          <w:rFonts w:hint="eastAsia" w:ascii="宋体" w:hAnsi="宋体" w:cs="宋体"/>
          <w:b/>
          <w:szCs w:val="21"/>
        </w:rPr>
        <w:fldChar w:fldCharType="end"/>
      </w:r>
      <w:r>
        <w:rPr>
          <w:rFonts w:hint="eastAsia" w:ascii="宋体" w:hAnsi="宋体" w:cs="宋体"/>
          <w:b/>
          <w:szCs w:val="21"/>
          <w:u w:val="single"/>
        </w:rPr>
        <w:t>）出具的、处于有效期之内的节能产品认证证书的产品进行投标，并在投标文件（商务技术文件）中提供所投产品的《节能产品认证证书》，否则按无效投标处理。</w:t>
      </w:r>
    </w:p>
    <w:p>
      <w:pPr>
        <w:spacing w:line="300" w:lineRule="auto"/>
        <w:rPr>
          <w:rFonts w:ascii="宋体" w:hAnsi="宋体" w:cs="宋体"/>
          <w:sz w:val="28"/>
          <w:szCs w:val="28"/>
        </w:rPr>
      </w:pPr>
      <w:r>
        <w:rPr>
          <w:rFonts w:hint="eastAsia" w:ascii="宋体" w:hAnsi="宋体" w:cs="宋体"/>
          <w:sz w:val="28"/>
          <w:szCs w:val="28"/>
        </w:rPr>
        <w:t>二、商务要求</w:t>
      </w:r>
    </w:p>
    <w:p>
      <w:pPr>
        <w:autoSpaceDE w:val="0"/>
        <w:autoSpaceDN w:val="0"/>
        <w:adjustRightInd w:val="0"/>
        <w:spacing w:line="300" w:lineRule="auto"/>
        <w:ind w:firstLine="422" w:firstLineChars="200"/>
        <w:textAlignment w:val="bottom"/>
        <w:rPr>
          <w:rFonts w:ascii="宋体" w:hAnsi="宋体" w:cs="宋体"/>
          <w:bCs/>
          <w:szCs w:val="21"/>
        </w:rPr>
      </w:pPr>
      <w:bookmarkStart w:id="60" w:name="_Toc500445320"/>
      <w:bookmarkStart w:id="61" w:name="_Toc500445239"/>
      <w:bookmarkStart w:id="62" w:name="_Toc311205918"/>
      <w:r>
        <w:rPr>
          <w:rFonts w:hint="eastAsia" w:ascii="宋体" w:hAnsi="宋体" w:cs="宋体"/>
          <w:b/>
          <w:szCs w:val="21"/>
        </w:rPr>
        <w:t>▲1.完成期限</w:t>
      </w:r>
      <w:r>
        <w:rPr>
          <w:rFonts w:hint="eastAsia" w:ascii="宋体" w:hAnsi="宋体" w:cs="宋体"/>
          <w:bCs/>
          <w:szCs w:val="21"/>
        </w:rPr>
        <w:t>：合同签订后180天内。</w:t>
      </w:r>
    </w:p>
    <w:p>
      <w:pPr>
        <w:autoSpaceDE w:val="0"/>
        <w:autoSpaceDN w:val="0"/>
        <w:adjustRightInd w:val="0"/>
        <w:spacing w:line="300" w:lineRule="auto"/>
        <w:ind w:firstLine="422" w:firstLineChars="200"/>
        <w:textAlignment w:val="bottom"/>
        <w:rPr>
          <w:rFonts w:ascii="宋体" w:hAnsi="宋体" w:cs="宋体"/>
          <w:bCs/>
          <w:szCs w:val="21"/>
        </w:rPr>
      </w:pPr>
      <w:r>
        <w:rPr>
          <w:rFonts w:hint="eastAsia" w:ascii="宋体" w:hAnsi="宋体" w:cs="宋体"/>
          <w:b/>
          <w:szCs w:val="21"/>
        </w:rPr>
        <w:t>▲2.质量保证期：</w:t>
      </w:r>
      <w:r>
        <w:rPr>
          <w:rFonts w:hint="eastAsia" w:ascii="宋体" w:hAnsi="宋体" w:cs="宋体"/>
          <w:bCs/>
          <w:szCs w:val="21"/>
        </w:rPr>
        <w:t>3年，自项目验收合格之日起计。</w:t>
      </w:r>
    </w:p>
    <w:p>
      <w:pPr>
        <w:autoSpaceDE w:val="0"/>
        <w:autoSpaceDN w:val="0"/>
        <w:adjustRightInd w:val="0"/>
        <w:spacing w:line="300" w:lineRule="auto"/>
        <w:ind w:firstLine="422" w:firstLineChars="200"/>
        <w:textAlignment w:val="bottom"/>
        <w:rPr>
          <w:rFonts w:ascii="宋体" w:hAnsi="宋体" w:cs="宋体"/>
          <w:b/>
          <w:szCs w:val="21"/>
        </w:rPr>
      </w:pPr>
      <w:r>
        <w:rPr>
          <w:rFonts w:hint="eastAsia" w:ascii="宋体" w:hAnsi="宋体" w:cs="宋体"/>
          <w:b/>
          <w:szCs w:val="21"/>
        </w:rPr>
        <w:t>▲3.试运行：</w:t>
      </w:r>
      <w:r>
        <w:rPr>
          <w:rFonts w:hint="eastAsia" w:ascii="宋体" w:hAnsi="宋体" w:cs="宋体"/>
          <w:bCs/>
          <w:szCs w:val="21"/>
        </w:rPr>
        <w:t>一个主梅汛期。</w:t>
      </w:r>
    </w:p>
    <w:p>
      <w:pPr>
        <w:autoSpaceDE w:val="0"/>
        <w:autoSpaceDN w:val="0"/>
        <w:adjustRightInd w:val="0"/>
        <w:spacing w:line="300" w:lineRule="auto"/>
        <w:ind w:firstLine="422" w:firstLineChars="200"/>
        <w:textAlignment w:val="bottom"/>
        <w:rPr>
          <w:rFonts w:ascii="宋体" w:hAnsi="宋体" w:cs="宋体"/>
          <w:b/>
          <w:szCs w:val="21"/>
        </w:rPr>
      </w:pPr>
      <w:r>
        <w:rPr>
          <w:rFonts w:hint="eastAsia" w:ascii="宋体" w:hAnsi="宋体" w:cs="宋体"/>
          <w:b/>
          <w:szCs w:val="21"/>
        </w:rPr>
        <w:t>4.付款方式：</w:t>
      </w:r>
    </w:p>
    <w:p>
      <w:pPr>
        <w:autoSpaceDE w:val="0"/>
        <w:autoSpaceDN w:val="0"/>
        <w:adjustRightInd w:val="0"/>
        <w:spacing w:line="300" w:lineRule="auto"/>
        <w:ind w:firstLine="420" w:firstLineChars="200"/>
        <w:textAlignment w:val="bottom"/>
        <w:rPr>
          <w:rFonts w:ascii="宋体" w:hAnsi="宋体" w:cs="宋体"/>
          <w:bCs/>
          <w:szCs w:val="21"/>
          <w:highlight w:val="none"/>
        </w:rPr>
      </w:pPr>
      <w:r>
        <w:rPr>
          <w:rFonts w:hint="eastAsia" w:asciiTheme="minorEastAsia" w:hAnsiTheme="minorEastAsia" w:eastAsiaTheme="minorEastAsia" w:cstheme="minorEastAsia"/>
          <w:bCs/>
          <w:szCs w:val="21"/>
          <w:highlight w:val="none"/>
        </w:rPr>
        <w:t xml:space="preserve">4.1 </w:t>
      </w:r>
      <w:r>
        <w:rPr>
          <w:rFonts w:hint="eastAsia" w:ascii="宋体" w:hAnsi="宋体" w:cs="宋体"/>
          <w:bCs/>
          <w:szCs w:val="21"/>
          <w:highlight w:val="none"/>
        </w:rPr>
        <w:t>合同生效且具备实施条件后7个工作日内，采购人支付合同金额的10%作为预付款（如中标人属于中小企业的，预付款支付比例为合同金额的40%）；</w:t>
      </w:r>
    </w:p>
    <w:p>
      <w:pPr>
        <w:autoSpaceDE w:val="0"/>
        <w:autoSpaceDN w:val="0"/>
        <w:adjustRightInd w:val="0"/>
        <w:spacing w:line="300" w:lineRule="auto"/>
        <w:ind w:firstLine="420" w:firstLineChars="200"/>
        <w:textAlignment w:val="bottom"/>
        <w:rPr>
          <w:rFonts w:ascii="宋体" w:hAnsi="宋体" w:cs="宋体"/>
          <w:bCs/>
          <w:szCs w:val="21"/>
          <w:highlight w:val="none"/>
        </w:rPr>
      </w:pPr>
      <w:r>
        <w:rPr>
          <w:rFonts w:hint="eastAsia" w:ascii="宋体" w:hAnsi="宋体" w:cs="宋体"/>
          <w:bCs/>
          <w:szCs w:val="21"/>
          <w:highlight w:val="none"/>
        </w:rPr>
        <w:t>4.2 项目初验合格且收到发票后7个工作日内采购人支付至合同金额的90%，运行维护服务费用除外；</w:t>
      </w:r>
    </w:p>
    <w:p>
      <w:pPr>
        <w:autoSpaceDE w:val="0"/>
        <w:autoSpaceDN w:val="0"/>
        <w:adjustRightInd w:val="0"/>
        <w:spacing w:line="300" w:lineRule="auto"/>
        <w:ind w:firstLine="420" w:firstLineChars="200"/>
        <w:textAlignment w:val="bottom"/>
        <w:rPr>
          <w:rFonts w:ascii="宋体" w:hAnsi="宋体" w:cs="宋体"/>
          <w:bCs/>
          <w:szCs w:val="21"/>
          <w:highlight w:val="none"/>
        </w:rPr>
      </w:pPr>
      <w:r>
        <w:rPr>
          <w:rFonts w:hint="eastAsia" w:ascii="宋体" w:hAnsi="宋体" w:cs="宋体"/>
          <w:bCs/>
          <w:szCs w:val="21"/>
          <w:highlight w:val="none"/>
        </w:rPr>
        <w:t>4.3 终验合格且收到发票后7个工作日内，采购人支付剩余款项，运行维护服务费用除外；</w:t>
      </w:r>
    </w:p>
    <w:p>
      <w:pPr>
        <w:autoSpaceDE w:val="0"/>
        <w:autoSpaceDN w:val="0"/>
        <w:adjustRightInd w:val="0"/>
        <w:spacing w:line="300" w:lineRule="auto"/>
        <w:ind w:firstLine="420" w:firstLineChars="200"/>
        <w:textAlignment w:val="bottom"/>
        <w:rPr>
          <w:rFonts w:ascii="宋体" w:hAnsi="宋体" w:cs="宋体"/>
          <w:bCs/>
          <w:szCs w:val="21"/>
          <w:highlight w:val="none"/>
        </w:rPr>
      </w:pPr>
      <w:r>
        <w:rPr>
          <w:rFonts w:hint="eastAsia" w:ascii="宋体" w:hAnsi="宋体" w:cs="宋体"/>
          <w:bCs/>
          <w:szCs w:val="21"/>
          <w:highlight w:val="none"/>
        </w:rPr>
        <w:t>4.4 运行维护服务费用按年度支付，每服务满一年支付一次相应的费用。</w:t>
      </w:r>
    </w:p>
    <w:p>
      <w:pPr>
        <w:autoSpaceDE w:val="0"/>
        <w:autoSpaceDN w:val="0"/>
        <w:adjustRightInd w:val="0"/>
        <w:spacing w:line="300" w:lineRule="auto"/>
        <w:ind w:firstLine="422" w:firstLineChars="200"/>
        <w:textAlignment w:val="bottom"/>
        <w:rPr>
          <w:rFonts w:ascii="宋体" w:hAnsi="宋体" w:cs="宋体"/>
          <w:b/>
          <w:szCs w:val="21"/>
        </w:rPr>
      </w:pPr>
      <w:r>
        <w:rPr>
          <w:rFonts w:hint="eastAsia" w:ascii="宋体" w:hAnsi="宋体" w:cs="宋体"/>
          <w:b/>
          <w:szCs w:val="21"/>
        </w:rPr>
        <w:t>5.验收：</w:t>
      </w:r>
    </w:p>
    <w:p>
      <w:pPr>
        <w:autoSpaceDE w:val="0"/>
        <w:autoSpaceDN w:val="0"/>
        <w:adjustRightInd w:val="0"/>
        <w:spacing w:line="300" w:lineRule="auto"/>
        <w:ind w:firstLine="420" w:firstLineChars="200"/>
        <w:textAlignment w:val="bottom"/>
        <w:rPr>
          <w:rFonts w:ascii="宋体" w:hAnsi="宋体" w:cs="宋体"/>
          <w:szCs w:val="21"/>
        </w:rPr>
      </w:pPr>
      <w:r>
        <w:rPr>
          <w:rFonts w:hint="eastAsia" w:ascii="宋体" w:hAnsi="宋体" w:cs="宋体"/>
          <w:szCs w:val="21"/>
        </w:rPr>
        <w:t xml:space="preserve">5.1 采购单位组织验收，采购需求相关的国家标准和行业标准，以及采购合同、中标供应商的投标文件、投标样品（如有）及招标文件均作为验收的依据。项目验收过程中产生的专家评审费及其他合理费用由中标供应商承担。 </w:t>
      </w:r>
    </w:p>
    <w:p>
      <w:pPr>
        <w:autoSpaceDE w:val="0"/>
        <w:autoSpaceDN w:val="0"/>
        <w:adjustRightInd w:val="0"/>
        <w:spacing w:line="300" w:lineRule="auto"/>
        <w:ind w:firstLine="420" w:firstLineChars="200"/>
        <w:textAlignment w:val="bottom"/>
        <w:rPr>
          <w:rFonts w:ascii="宋体" w:hAnsi="宋体" w:cs="宋体"/>
          <w:szCs w:val="21"/>
        </w:rPr>
      </w:pPr>
      <w:r>
        <w:rPr>
          <w:rFonts w:hint="eastAsia" w:ascii="宋体" w:hAnsi="宋体" w:cs="宋体"/>
          <w:szCs w:val="21"/>
        </w:rPr>
        <w:t>5.2 验收过程中，双方如对所产品是否满足验收标准要求发生争议的，则由中标供应商将争议合同标的提交双方均认可的检验检测机构进行鉴定，双方同意以该机构出具的报告结论为解决争议的最终依据。鉴定所需费用由中标供应商先行支付。鉴定结果为合格的，检测费用由采购单位支付；否则由中标供应商承担。</w:t>
      </w:r>
    </w:p>
    <w:p>
      <w:pPr>
        <w:autoSpaceDE w:val="0"/>
        <w:autoSpaceDN w:val="0"/>
        <w:adjustRightInd w:val="0"/>
        <w:spacing w:line="300" w:lineRule="auto"/>
        <w:ind w:firstLine="420" w:firstLineChars="200"/>
        <w:textAlignment w:val="bottom"/>
        <w:rPr>
          <w:rFonts w:ascii="宋体" w:hAnsi="宋体" w:cs="宋体"/>
          <w:szCs w:val="21"/>
        </w:rPr>
      </w:pPr>
      <w:r>
        <w:rPr>
          <w:rFonts w:hint="eastAsia" w:ascii="宋体" w:hAnsi="宋体" w:cs="宋体"/>
          <w:szCs w:val="21"/>
        </w:rPr>
        <w:t>5.3 验收发现货物不满足验收标准的，中标供应商必须负责更换货物，并承担由此给采购人造成的损失，直至终验合格为止。</w:t>
      </w:r>
    </w:p>
    <w:p>
      <w:pPr>
        <w:autoSpaceDE w:val="0"/>
        <w:autoSpaceDN w:val="0"/>
        <w:adjustRightInd w:val="0"/>
        <w:spacing w:line="300" w:lineRule="auto"/>
        <w:ind w:firstLine="420" w:firstLineChars="200"/>
        <w:textAlignment w:val="bottom"/>
        <w:rPr>
          <w:rFonts w:ascii="宋体" w:hAnsi="宋体" w:cs="宋体"/>
          <w:b/>
          <w:szCs w:val="21"/>
        </w:rPr>
      </w:pPr>
      <w:r>
        <w:rPr>
          <w:rFonts w:hint="eastAsia" w:ascii="宋体" w:hAnsi="宋体" w:cs="宋体"/>
          <w:szCs w:val="21"/>
        </w:rPr>
        <w:t>6.</w:t>
      </w:r>
      <w:r>
        <w:rPr>
          <w:rFonts w:hint="eastAsia" w:ascii="宋体" w:hAnsi="宋体" w:cs="宋体"/>
          <w:b/>
          <w:szCs w:val="21"/>
        </w:rPr>
        <w:t>售后服务：</w:t>
      </w:r>
    </w:p>
    <w:p>
      <w:pPr>
        <w:autoSpaceDE w:val="0"/>
        <w:autoSpaceDN w:val="0"/>
        <w:adjustRightInd w:val="0"/>
        <w:spacing w:line="300" w:lineRule="auto"/>
        <w:ind w:firstLine="420" w:firstLineChars="200"/>
        <w:textAlignment w:val="bottom"/>
        <w:rPr>
          <w:rFonts w:ascii="宋体" w:hAnsi="宋体" w:cs="宋体"/>
          <w:szCs w:val="21"/>
        </w:rPr>
      </w:pPr>
      <w:r>
        <w:rPr>
          <w:rFonts w:hint="eastAsia" w:ascii="宋体" w:hAnsi="宋体" w:cs="宋体"/>
          <w:szCs w:val="21"/>
        </w:rPr>
        <w:t>6.1 本项目要求维护维修本地化服务，中标供应商注册地为异地，且在衢州市范围内无自营售后维修网点或与本地维修点无委托协议的，项目验收前必须完成本地自营维修网点的组建或与项目所在地具有相关施工、维护经验的维修点签订维护委托协议。维护内容主要内容包括：系统巡检、性能测试、日常维护和突发故障的抢修等。</w:t>
      </w:r>
    </w:p>
    <w:p>
      <w:pPr>
        <w:autoSpaceDE w:val="0"/>
        <w:autoSpaceDN w:val="0"/>
        <w:adjustRightInd w:val="0"/>
        <w:spacing w:line="300" w:lineRule="auto"/>
        <w:ind w:firstLine="420" w:firstLineChars="200"/>
        <w:textAlignment w:val="bottom"/>
        <w:rPr>
          <w:rFonts w:ascii="宋体" w:hAnsi="宋体" w:cs="宋体"/>
          <w:szCs w:val="21"/>
        </w:rPr>
      </w:pPr>
      <w:r>
        <w:rPr>
          <w:rFonts w:hint="eastAsia" w:ascii="宋体" w:hAnsi="宋体" w:cs="宋体"/>
          <w:szCs w:val="21"/>
        </w:rPr>
        <w:t>6.2 产品质量保证期之内，因产品设计、工艺、材料、配套件、安装施工工艺等缺陷（非使用方人为因素）造成的任何产品质量问题或故障应由中标供应商提供免费技术服务和维修。质量保证期满后，中标供应商应对其提供的设备提供终身技术服务，设备维修、更换只向采购人收取材料成本费用。</w:t>
      </w:r>
    </w:p>
    <w:p>
      <w:pPr>
        <w:autoSpaceDE w:val="0"/>
        <w:autoSpaceDN w:val="0"/>
        <w:adjustRightInd w:val="0"/>
        <w:spacing w:line="300" w:lineRule="auto"/>
        <w:ind w:firstLine="420" w:firstLineChars="200"/>
        <w:textAlignment w:val="bottom"/>
        <w:rPr>
          <w:rFonts w:ascii="宋体" w:hAnsi="宋体" w:cs="宋体"/>
          <w:szCs w:val="21"/>
        </w:rPr>
      </w:pPr>
      <w:r>
        <w:rPr>
          <w:rFonts w:hint="eastAsia" w:ascii="宋体" w:hAnsi="宋体" w:cs="宋体"/>
          <w:szCs w:val="21"/>
        </w:rPr>
        <w:t>6.3 中标供应商须向最终用户提供良好的技术支持。并提供全天候的热线技术支持服务，必须对用户所反映的任何问题在1小时之内得到及时响应，设备发生故障通过电话技术支持无法解决的，4小时内派技术人员赴现场处理。不能当场修复的，必须采取提供备品、备件或备机等措施，24小时内保证系统投入正常使用。</w:t>
      </w:r>
    </w:p>
    <w:p>
      <w:pPr>
        <w:autoSpaceDE w:val="0"/>
        <w:autoSpaceDN w:val="0"/>
        <w:adjustRightInd w:val="0"/>
        <w:spacing w:line="300" w:lineRule="auto"/>
        <w:ind w:firstLine="420" w:firstLineChars="200"/>
        <w:textAlignment w:val="bottom"/>
        <w:rPr>
          <w:rFonts w:ascii="宋体" w:hAnsi="宋体" w:cs="宋体"/>
          <w:szCs w:val="21"/>
        </w:rPr>
      </w:pPr>
      <w:r>
        <w:rPr>
          <w:rFonts w:hint="eastAsia" w:ascii="宋体" w:hAnsi="宋体" w:cs="宋体"/>
          <w:szCs w:val="21"/>
        </w:rPr>
        <w:t>6.4 供应商可根据自身实际情况提供更优的售后服务承诺。</w:t>
      </w:r>
    </w:p>
    <w:p>
      <w:pPr>
        <w:spacing w:line="300" w:lineRule="auto"/>
        <w:ind w:firstLine="420" w:firstLineChars="200"/>
        <w:rPr>
          <w:rFonts w:ascii="宋体" w:hAnsi="宋体" w:cs="宋体"/>
          <w:bCs/>
          <w:szCs w:val="21"/>
          <w:lang w:val="zh-CN"/>
        </w:rPr>
      </w:pPr>
      <w:r>
        <w:rPr>
          <w:rFonts w:hint="eastAsia" w:ascii="宋体" w:hAnsi="宋体" w:cs="宋体"/>
          <w:bCs/>
          <w:szCs w:val="21"/>
        </w:rPr>
        <w:t xml:space="preserve">6.5 </w:t>
      </w:r>
      <w:r>
        <w:rPr>
          <w:rFonts w:hint="eastAsia" w:ascii="宋体" w:hAnsi="宋体" w:cs="宋体"/>
          <w:bCs/>
          <w:szCs w:val="21"/>
          <w:lang w:val="zh-CN"/>
        </w:rPr>
        <w:t>实施过程应严格执行相关的规范，并保证相关保密信息的安全。</w:t>
      </w:r>
    </w:p>
    <w:p>
      <w:pPr>
        <w:autoSpaceDE w:val="0"/>
        <w:autoSpaceDN w:val="0"/>
        <w:adjustRightInd w:val="0"/>
        <w:spacing w:line="300" w:lineRule="auto"/>
        <w:ind w:firstLine="422" w:firstLineChars="200"/>
        <w:textAlignment w:val="bottom"/>
        <w:rPr>
          <w:rFonts w:ascii="宋体" w:hAnsi="宋体" w:cs="宋体"/>
          <w:b/>
          <w:bCs/>
          <w:szCs w:val="21"/>
        </w:rPr>
      </w:pPr>
      <w:r>
        <w:rPr>
          <w:rFonts w:hint="eastAsia" w:ascii="宋体" w:hAnsi="宋体" w:cs="宋体"/>
          <w:b/>
          <w:bCs/>
          <w:szCs w:val="21"/>
        </w:rPr>
        <w:t>7.技术培训：</w:t>
      </w:r>
    </w:p>
    <w:p>
      <w:pPr>
        <w:autoSpaceDE w:val="0"/>
        <w:autoSpaceDN w:val="0"/>
        <w:adjustRightInd w:val="0"/>
        <w:spacing w:line="300" w:lineRule="auto"/>
        <w:ind w:firstLine="420" w:firstLineChars="200"/>
        <w:textAlignment w:val="bottom"/>
        <w:rPr>
          <w:rFonts w:ascii="宋体" w:hAnsi="宋体" w:cs="宋体"/>
          <w:szCs w:val="21"/>
        </w:rPr>
      </w:pPr>
      <w:r>
        <w:rPr>
          <w:rFonts w:hint="eastAsia" w:ascii="宋体" w:hAnsi="宋体" w:cs="宋体"/>
          <w:szCs w:val="21"/>
        </w:rPr>
        <w:t>7.1 中标供应商必须为采购人提供系统使用、系统操作和管理培训，培训形式包括客户现场培训、课堂培训；供应商必须列明相应的培训课程。</w:t>
      </w:r>
    </w:p>
    <w:p>
      <w:pPr>
        <w:autoSpaceDE w:val="0"/>
        <w:autoSpaceDN w:val="0"/>
        <w:adjustRightInd w:val="0"/>
        <w:spacing w:line="300" w:lineRule="auto"/>
        <w:ind w:firstLine="420" w:firstLineChars="200"/>
        <w:textAlignment w:val="bottom"/>
        <w:rPr>
          <w:rFonts w:ascii="宋体" w:hAnsi="宋体" w:cs="宋体"/>
          <w:szCs w:val="21"/>
        </w:rPr>
      </w:pPr>
      <w:r>
        <w:rPr>
          <w:rFonts w:hint="eastAsia" w:ascii="宋体" w:hAnsi="宋体" w:cs="宋体"/>
          <w:szCs w:val="21"/>
        </w:rPr>
        <w:t>7.2 按照项目培训对象的不同提供详细的系统培训方案，培训方案需经采购人认可。内容包括但不限于培训计划、培训方式、培训场地、培训讲师、培训内容等。除培训工作外，还包括使用</w:t>
      </w:r>
      <w:r>
        <w:rPr>
          <w:rFonts w:hint="eastAsia" w:ascii="宋体" w:hAnsi="宋体" w:cs="宋体"/>
          <w:bCs/>
          <w:szCs w:val="21"/>
        </w:rPr>
        <w:t>手册</w:t>
      </w:r>
      <w:r>
        <w:rPr>
          <w:rFonts w:hint="eastAsia" w:ascii="宋体" w:hAnsi="宋体" w:cs="宋体"/>
          <w:szCs w:val="21"/>
        </w:rPr>
        <w:t>、宣传品的制作和印刷，为所有被培训人员提供培训用文字资料和讲义等相关用品。</w:t>
      </w:r>
    </w:p>
    <w:p>
      <w:pPr>
        <w:autoSpaceDE w:val="0"/>
        <w:autoSpaceDN w:val="0"/>
        <w:adjustRightInd w:val="0"/>
        <w:spacing w:line="300" w:lineRule="auto"/>
        <w:ind w:firstLine="420" w:firstLineChars="200"/>
        <w:textAlignment w:val="bottom"/>
        <w:rPr>
          <w:rFonts w:ascii="宋体" w:hAnsi="宋体" w:cs="宋体"/>
          <w:szCs w:val="21"/>
        </w:rPr>
      </w:pPr>
      <w:r>
        <w:rPr>
          <w:rFonts w:hint="eastAsia" w:ascii="宋体" w:hAnsi="宋体" w:cs="宋体"/>
          <w:szCs w:val="21"/>
        </w:rPr>
        <w:t>7.3 培训工作必须在合同生效之后项目验收之前安排。</w:t>
      </w:r>
    </w:p>
    <w:p>
      <w:pPr>
        <w:autoSpaceDE w:val="0"/>
        <w:autoSpaceDN w:val="0"/>
        <w:adjustRightInd w:val="0"/>
        <w:spacing w:line="300" w:lineRule="auto"/>
        <w:ind w:firstLine="420" w:firstLineChars="200"/>
        <w:textAlignment w:val="bottom"/>
        <w:rPr>
          <w:rFonts w:ascii="宋体" w:hAnsi="宋体" w:cs="宋体"/>
          <w:highlight w:val="yellow"/>
        </w:rPr>
      </w:pPr>
      <w:r>
        <w:rPr>
          <w:rFonts w:hint="eastAsia" w:ascii="宋体" w:hAnsi="宋体" w:cs="宋体"/>
          <w:szCs w:val="21"/>
        </w:rPr>
        <w:t>7.4 所有培训费用（含培训教材费），已包括在投标总价中。</w:t>
      </w:r>
    </w:p>
    <w:p>
      <w:pPr>
        <w:rPr>
          <w:rFonts w:ascii="宋体" w:hAnsi="宋体" w:cs="宋体"/>
          <w:color w:val="000000"/>
          <w:sz w:val="18"/>
          <w:szCs w:val="18"/>
          <w:lang w:val="zh-CN"/>
        </w:rPr>
      </w:pPr>
      <w:r>
        <w:rPr>
          <w:rFonts w:hint="eastAsia" w:ascii="宋体" w:hAnsi="宋体" w:cs="宋体"/>
          <w:color w:val="000000"/>
          <w:sz w:val="18"/>
          <w:szCs w:val="18"/>
          <w:lang w:val="zh-CN"/>
        </w:rPr>
        <w:br w:type="page"/>
      </w:r>
    </w:p>
    <w:p>
      <w:pPr>
        <w:pStyle w:val="47"/>
        <w:spacing w:line="360" w:lineRule="auto"/>
        <w:outlineLvl w:val="0"/>
        <w:rPr>
          <w:rFonts w:ascii="宋体" w:hAnsi="宋体" w:cs="宋体"/>
          <w:sz w:val="30"/>
          <w:szCs w:val="30"/>
          <w:lang w:val="zh-CN" w:eastAsia="zh-CN"/>
        </w:rPr>
      </w:pPr>
      <w:bookmarkStart w:id="63" w:name="_Toc2567"/>
      <w:bookmarkStart w:id="64" w:name="_Toc6824"/>
      <w:r>
        <w:rPr>
          <w:rFonts w:hint="eastAsia" w:ascii="宋体" w:hAnsi="宋体" w:cs="宋体"/>
          <w:sz w:val="30"/>
          <w:szCs w:val="30"/>
          <w:lang w:val="zh-CN" w:eastAsia="zh-CN"/>
        </w:rPr>
        <w:t>第四章  合同</w:t>
      </w:r>
      <w:bookmarkEnd w:id="60"/>
      <w:bookmarkEnd w:id="61"/>
      <w:r>
        <w:rPr>
          <w:rFonts w:hint="eastAsia" w:ascii="宋体" w:hAnsi="宋体" w:cs="宋体"/>
          <w:sz w:val="30"/>
          <w:szCs w:val="30"/>
          <w:lang w:val="zh-CN" w:eastAsia="zh-CN"/>
        </w:rPr>
        <w:t>文本</w:t>
      </w:r>
      <w:bookmarkEnd w:id="63"/>
      <w:bookmarkEnd w:id="64"/>
    </w:p>
    <w:p>
      <w:pPr>
        <w:spacing w:line="360" w:lineRule="auto"/>
        <w:ind w:firstLine="5850" w:firstLineChars="3250"/>
        <w:rPr>
          <w:rFonts w:ascii="宋体" w:hAnsi="宋体" w:cs="宋体"/>
          <w:kern w:val="0"/>
          <w:sz w:val="18"/>
          <w:szCs w:val="18"/>
          <w:u w:val="single"/>
        </w:rPr>
      </w:pPr>
      <w:r>
        <w:rPr>
          <w:rFonts w:hint="eastAsia" w:ascii="宋体" w:hAnsi="宋体" w:cs="宋体"/>
          <w:kern w:val="0"/>
          <w:sz w:val="18"/>
          <w:szCs w:val="18"/>
        </w:rPr>
        <w:t>合同编号：</w:t>
      </w:r>
      <w:r>
        <w:rPr>
          <w:rFonts w:hint="eastAsia" w:ascii="宋体" w:hAnsi="宋体" w:cs="宋体"/>
          <w:kern w:val="0"/>
          <w:sz w:val="18"/>
          <w:szCs w:val="18"/>
          <w:u w:val="single"/>
        </w:rPr>
        <w:t xml:space="preserve">            </w:t>
      </w:r>
    </w:p>
    <w:p>
      <w:pPr>
        <w:spacing w:line="360" w:lineRule="auto"/>
        <w:rPr>
          <w:rFonts w:ascii="宋体" w:hAnsi="宋体" w:cs="宋体"/>
          <w:szCs w:val="21"/>
        </w:rPr>
      </w:pPr>
    </w:p>
    <w:bookmarkEnd w:id="62"/>
    <w:p>
      <w:pPr>
        <w:spacing w:line="360" w:lineRule="auto"/>
        <w:rPr>
          <w:rFonts w:ascii="宋体" w:hAnsi="宋体" w:cs="宋体"/>
          <w:color w:val="000000"/>
          <w:szCs w:val="21"/>
        </w:rPr>
      </w:pPr>
      <w:bookmarkStart w:id="65" w:name="_Toc442"/>
      <w:r>
        <w:rPr>
          <w:rFonts w:hint="eastAsia" w:ascii="宋体" w:hAnsi="宋体" w:cs="宋体"/>
          <w:color w:val="000000"/>
          <w:szCs w:val="21"/>
        </w:rPr>
        <w:t>甲方：（采购人）</w:t>
      </w:r>
    </w:p>
    <w:p>
      <w:pPr>
        <w:spacing w:line="360" w:lineRule="auto"/>
        <w:rPr>
          <w:rFonts w:ascii="宋体" w:hAnsi="宋体" w:cs="宋体"/>
          <w:color w:val="000000"/>
          <w:szCs w:val="21"/>
        </w:rPr>
      </w:pPr>
      <w:r>
        <w:rPr>
          <w:rFonts w:hint="eastAsia" w:ascii="宋体" w:hAnsi="宋体" w:cs="宋体"/>
          <w:color w:val="000000"/>
          <w:szCs w:val="21"/>
        </w:rPr>
        <w:t>住所：</w:t>
      </w:r>
    </w:p>
    <w:p>
      <w:pPr>
        <w:spacing w:line="360" w:lineRule="auto"/>
        <w:rPr>
          <w:rFonts w:ascii="宋体" w:hAnsi="宋体" w:cs="宋体"/>
          <w:color w:val="000000"/>
          <w:szCs w:val="21"/>
        </w:rPr>
      </w:pPr>
      <w:r>
        <w:rPr>
          <w:rFonts w:hint="eastAsia" w:ascii="宋体" w:hAnsi="宋体" w:cs="宋体"/>
          <w:color w:val="000000"/>
          <w:szCs w:val="21"/>
        </w:rPr>
        <w:t>联系人：</w:t>
      </w:r>
    </w:p>
    <w:p>
      <w:pPr>
        <w:spacing w:line="360" w:lineRule="auto"/>
        <w:rPr>
          <w:rFonts w:ascii="宋体" w:hAnsi="宋体" w:cs="宋体"/>
          <w:color w:val="000000"/>
          <w:szCs w:val="21"/>
        </w:rPr>
      </w:pPr>
      <w:r>
        <w:rPr>
          <w:rFonts w:hint="eastAsia" w:ascii="宋体" w:hAnsi="宋体" w:cs="宋体"/>
          <w:color w:val="000000"/>
          <w:szCs w:val="21"/>
        </w:rPr>
        <w:t>联系电话：</w:t>
      </w:r>
    </w:p>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rPr>
        <w:t>乙方：（中标人）</w:t>
      </w:r>
    </w:p>
    <w:p>
      <w:pPr>
        <w:spacing w:line="360" w:lineRule="auto"/>
        <w:rPr>
          <w:rFonts w:ascii="宋体" w:hAnsi="宋体" w:cs="宋体"/>
          <w:color w:val="000000"/>
          <w:szCs w:val="21"/>
          <w:lang w:val="zh-CN"/>
        </w:rPr>
      </w:pPr>
      <w:r>
        <w:rPr>
          <w:rFonts w:hint="eastAsia" w:ascii="宋体" w:hAnsi="宋体" w:cs="宋体"/>
          <w:color w:val="000000"/>
          <w:szCs w:val="21"/>
        </w:rPr>
        <w:t>住所：</w:t>
      </w:r>
    </w:p>
    <w:p>
      <w:pPr>
        <w:spacing w:line="360" w:lineRule="auto"/>
        <w:rPr>
          <w:rFonts w:ascii="宋体" w:hAnsi="宋体" w:cs="宋体"/>
          <w:color w:val="000000"/>
          <w:szCs w:val="21"/>
        </w:rPr>
      </w:pPr>
      <w:r>
        <w:rPr>
          <w:rFonts w:hint="eastAsia" w:ascii="宋体" w:hAnsi="宋体" w:cs="宋体"/>
          <w:color w:val="000000"/>
          <w:szCs w:val="21"/>
        </w:rPr>
        <w:t>开户银行：</w:t>
      </w:r>
    </w:p>
    <w:p>
      <w:pPr>
        <w:spacing w:line="360" w:lineRule="auto"/>
        <w:rPr>
          <w:rFonts w:ascii="宋体" w:hAnsi="宋体" w:cs="宋体"/>
          <w:color w:val="000000"/>
          <w:szCs w:val="21"/>
        </w:rPr>
      </w:pPr>
      <w:r>
        <w:rPr>
          <w:rFonts w:hint="eastAsia" w:ascii="宋体" w:hAnsi="宋体" w:cs="宋体"/>
          <w:color w:val="000000"/>
          <w:szCs w:val="21"/>
        </w:rPr>
        <w:t>账号：</w:t>
      </w:r>
    </w:p>
    <w:p>
      <w:pPr>
        <w:spacing w:line="360" w:lineRule="auto"/>
        <w:rPr>
          <w:rFonts w:ascii="宋体" w:hAnsi="宋体" w:cs="宋体"/>
          <w:color w:val="000000"/>
          <w:szCs w:val="21"/>
        </w:rPr>
      </w:pPr>
      <w:r>
        <w:rPr>
          <w:rFonts w:hint="eastAsia" w:ascii="宋体" w:hAnsi="宋体" w:cs="宋体"/>
          <w:color w:val="000000"/>
          <w:szCs w:val="21"/>
        </w:rPr>
        <w:t>联系人：</w:t>
      </w:r>
    </w:p>
    <w:p>
      <w:pPr>
        <w:spacing w:line="360" w:lineRule="auto"/>
        <w:rPr>
          <w:rFonts w:ascii="宋体" w:hAnsi="宋体" w:cs="宋体"/>
          <w:color w:val="000000"/>
          <w:szCs w:val="21"/>
        </w:rPr>
      </w:pPr>
      <w:r>
        <w:rPr>
          <w:rFonts w:hint="eastAsia" w:ascii="宋体" w:hAnsi="宋体" w:cs="宋体"/>
          <w:color w:val="000000"/>
          <w:szCs w:val="21"/>
        </w:rPr>
        <w:t>联系电话：</w:t>
      </w:r>
    </w:p>
    <w:p>
      <w:pPr>
        <w:spacing w:line="360" w:lineRule="auto"/>
        <w:rPr>
          <w:rFonts w:ascii="宋体" w:hAnsi="宋体" w:cs="宋体"/>
          <w:color w:val="000000"/>
          <w:szCs w:val="21"/>
        </w:rPr>
      </w:pPr>
    </w:p>
    <w:p>
      <w:pPr>
        <w:spacing w:line="360" w:lineRule="auto"/>
        <w:ind w:firstLine="420" w:firstLineChars="200"/>
        <w:rPr>
          <w:rFonts w:ascii="宋体" w:hAnsi="宋体" w:cs="宋体"/>
          <w:szCs w:val="21"/>
        </w:rPr>
      </w:pPr>
      <w:r>
        <w:rPr>
          <w:rFonts w:hint="eastAsia" w:ascii="宋体" w:hAnsi="宋体" w:cs="宋体"/>
          <w:szCs w:val="21"/>
        </w:rPr>
        <w:t>根据《中华人民共和国政府采购法》等有关法律法规精神，甲方采用公开招标采购方式，确定乙方为</w:t>
      </w:r>
      <w:r>
        <w:rPr>
          <w:rFonts w:hint="eastAsia" w:ascii="宋体" w:hAnsi="宋体" w:cs="宋体"/>
          <w:szCs w:val="21"/>
          <w:u w:val="single"/>
        </w:rPr>
        <w:t xml:space="preserve"> 项目名称：（项目编号：）</w:t>
      </w:r>
      <w:r>
        <w:rPr>
          <w:rFonts w:hint="eastAsia" w:ascii="宋体" w:hAnsi="宋体" w:cs="宋体"/>
          <w:szCs w:val="21"/>
        </w:rPr>
        <w:t>的供应商，经双方协商一致，达成以下合同条款，以资共同遵守。前述项目的中标通知书、乙方投标文件、招标文件是本合同不可分割的部分。</w:t>
      </w:r>
    </w:p>
    <w:p>
      <w:pPr>
        <w:spacing w:line="360" w:lineRule="auto"/>
        <w:ind w:firstLine="422" w:firstLineChars="200"/>
        <w:jc w:val="left"/>
        <w:rPr>
          <w:rFonts w:ascii="宋体" w:hAnsi="宋体" w:cs="宋体"/>
          <w:szCs w:val="21"/>
        </w:rPr>
      </w:pPr>
      <w:r>
        <w:rPr>
          <w:rFonts w:hint="eastAsia" w:ascii="宋体" w:hAnsi="宋体" w:cs="宋体"/>
          <w:b/>
          <w:szCs w:val="21"/>
        </w:rPr>
        <w:t>一、合同标的（表格格式仅供参考）</w:t>
      </w:r>
    </w:p>
    <w:tbl>
      <w:tblPr>
        <w:tblStyle w:val="50"/>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949"/>
        <w:gridCol w:w="1460"/>
        <w:gridCol w:w="735"/>
        <w:gridCol w:w="840"/>
        <w:gridCol w:w="1203"/>
        <w:gridCol w:w="142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vAlign w:val="center"/>
          </w:tcPr>
          <w:p>
            <w:pPr>
              <w:spacing w:line="360" w:lineRule="auto"/>
              <w:jc w:val="center"/>
              <w:rPr>
                <w:rFonts w:ascii="宋体" w:hAnsi="宋体" w:cs="宋体"/>
                <w:szCs w:val="21"/>
              </w:rPr>
            </w:pPr>
            <w:r>
              <w:rPr>
                <w:rFonts w:hint="eastAsia" w:ascii="宋体" w:hAnsi="宋体" w:cs="宋体"/>
                <w:szCs w:val="21"/>
              </w:rPr>
              <w:t>名称</w:t>
            </w:r>
          </w:p>
        </w:tc>
        <w:tc>
          <w:tcPr>
            <w:tcW w:w="949" w:type="dxa"/>
            <w:vAlign w:val="center"/>
          </w:tcPr>
          <w:p>
            <w:pPr>
              <w:spacing w:line="360" w:lineRule="auto"/>
              <w:jc w:val="center"/>
              <w:rPr>
                <w:rFonts w:ascii="宋体" w:hAnsi="宋体" w:cs="宋体"/>
                <w:szCs w:val="21"/>
              </w:rPr>
            </w:pPr>
            <w:r>
              <w:rPr>
                <w:rFonts w:hint="eastAsia" w:ascii="宋体" w:hAnsi="宋体" w:cs="宋体"/>
                <w:szCs w:val="21"/>
              </w:rPr>
              <w:t>品牌/产地</w:t>
            </w:r>
          </w:p>
        </w:tc>
        <w:tc>
          <w:tcPr>
            <w:tcW w:w="1460" w:type="dxa"/>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35" w:type="dxa"/>
            <w:vAlign w:val="center"/>
          </w:tcPr>
          <w:p>
            <w:pPr>
              <w:spacing w:line="360" w:lineRule="auto"/>
              <w:jc w:val="center"/>
              <w:rPr>
                <w:rFonts w:ascii="宋体" w:hAnsi="宋体" w:cs="宋体"/>
                <w:szCs w:val="21"/>
              </w:rPr>
            </w:pPr>
            <w:r>
              <w:rPr>
                <w:rFonts w:hint="eastAsia" w:ascii="宋体" w:hAnsi="宋体" w:cs="宋体"/>
                <w:szCs w:val="21"/>
              </w:rPr>
              <w:t>数量</w:t>
            </w:r>
          </w:p>
        </w:tc>
        <w:tc>
          <w:tcPr>
            <w:tcW w:w="840" w:type="dxa"/>
            <w:vAlign w:val="center"/>
          </w:tcPr>
          <w:p>
            <w:pPr>
              <w:spacing w:line="360" w:lineRule="auto"/>
              <w:jc w:val="center"/>
              <w:rPr>
                <w:rFonts w:ascii="宋体" w:hAnsi="宋体" w:cs="宋体"/>
                <w:szCs w:val="21"/>
              </w:rPr>
            </w:pPr>
            <w:r>
              <w:rPr>
                <w:rFonts w:hint="eastAsia" w:ascii="宋体" w:hAnsi="宋体" w:cs="宋体"/>
                <w:szCs w:val="21"/>
              </w:rPr>
              <w:t>单位</w:t>
            </w:r>
          </w:p>
        </w:tc>
        <w:tc>
          <w:tcPr>
            <w:tcW w:w="1203" w:type="dxa"/>
            <w:vAlign w:val="center"/>
          </w:tcPr>
          <w:p>
            <w:pPr>
              <w:spacing w:line="360" w:lineRule="auto"/>
              <w:jc w:val="center"/>
              <w:rPr>
                <w:rFonts w:ascii="宋体" w:hAnsi="宋体" w:cs="宋体"/>
                <w:szCs w:val="21"/>
              </w:rPr>
            </w:pPr>
            <w:r>
              <w:rPr>
                <w:rFonts w:hint="eastAsia" w:ascii="宋体" w:hAnsi="宋体" w:cs="宋体"/>
                <w:szCs w:val="21"/>
              </w:rPr>
              <w:t>单价(元）</w:t>
            </w:r>
          </w:p>
        </w:tc>
        <w:tc>
          <w:tcPr>
            <w:tcW w:w="1422" w:type="dxa"/>
            <w:vAlign w:val="center"/>
          </w:tcPr>
          <w:p>
            <w:pPr>
              <w:spacing w:line="360" w:lineRule="auto"/>
              <w:jc w:val="center"/>
              <w:rPr>
                <w:rFonts w:ascii="宋体" w:hAnsi="宋体" w:cs="宋体"/>
                <w:szCs w:val="21"/>
              </w:rPr>
            </w:pPr>
            <w:r>
              <w:rPr>
                <w:rFonts w:hint="eastAsia" w:ascii="宋体" w:hAnsi="宋体" w:cs="宋体"/>
                <w:szCs w:val="21"/>
              </w:rPr>
              <w:t>总价（元）</w:t>
            </w:r>
          </w:p>
        </w:tc>
        <w:tc>
          <w:tcPr>
            <w:tcW w:w="709"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vAlign w:val="center"/>
          </w:tcPr>
          <w:p>
            <w:pPr>
              <w:spacing w:line="360" w:lineRule="auto"/>
              <w:jc w:val="center"/>
              <w:rPr>
                <w:rFonts w:ascii="宋体" w:hAnsi="宋体" w:cs="宋体"/>
                <w:szCs w:val="21"/>
              </w:rPr>
            </w:pPr>
          </w:p>
        </w:tc>
        <w:tc>
          <w:tcPr>
            <w:tcW w:w="949" w:type="dxa"/>
            <w:vAlign w:val="center"/>
          </w:tcPr>
          <w:p>
            <w:pPr>
              <w:spacing w:line="360" w:lineRule="auto"/>
              <w:jc w:val="center"/>
              <w:rPr>
                <w:rFonts w:ascii="宋体" w:hAnsi="宋体" w:cs="宋体"/>
                <w:szCs w:val="21"/>
              </w:rPr>
            </w:pPr>
          </w:p>
        </w:tc>
        <w:tc>
          <w:tcPr>
            <w:tcW w:w="1460" w:type="dxa"/>
            <w:vAlign w:val="center"/>
          </w:tcPr>
          <w:p>
            <w:pPr>
              <w:spacing w:line="360" w:lineRule="auto"/>
              <w:jc w:val="center"/>
              <w:rPr>
                <w:rFonts w:ascii="宋体" w:hAnsi="宋体" w:cs="宋体"/>
                <w:szCs w:val="21"/>
              </w:rPr>
            </w:pPr>
          </w:p>
        </w:tc>
        <w:tc>
          <w:tcPr>
            <w:tcW w:w="735" w:type="dxa"/>
            <w:vAlign w:val="center"/>
          </w:tcPr>
          <w:p>
            <w:pPr>
              <w:spacing w:line="360" w:lineRule="auto"/>
              <w:jc w:val="center"/>
              <w:rPr>
                <w:rFonts w:ascii="宋体" w:hAnsi="宋体" w:cs="宋体"/>
                <w:szCs w:val="21"/>
              </w:rPr>
            </w:pPr>
          </w:p>
        </w:tc>
        <w:tc>
          <w:tcPr>
            <w:tcW w:w="840" w:type="dxa"/>
            <w:vAlign w:val="center"/>
          </w:tcPr>
          <w:p>
            <w:pPr>
              <w:spacing w:line="360" w:lineRule="auto"/>
              <w:jc w:val="center"/>
              <w:rPr>
                <w:rFonts w:ascii="宋体" w:hAnsi="宋体" w:cs="宋体"/>
                <w:szCs w:val="21"/>
              </w:rPr>
            </w:pPr>
          </w:p>
        </w:tc>
        <w:tc>
          <w:tcPr>
            <w:tcW w:w="1203" w:type="dxa"/>
            <w:vAlign w:val="center"/>
          </w:tcPr>
          <w:p>
            <w:pPr>
              <w:spacing w:line="360" w:lineRule="auto"/>
              <w:jc w:val="center"/>
              <w:rPr>
                <w:rFonts w:ascii="宋体" w:hAnsi="宋体" w:cs="宋体"/>
                <w:szCs w:val="21"/>
              </w:rPr>
            </w:pPr>
          </w:p>
        </w:tc>
        <w:tc>
          <w:tcPr>
            <w:tcW w:w="1422"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vAlign w:val="center"/>
          </w:tcPr>
          <w:p>
            <w:pPr>
              <w:spacing w:line="360" w:lineRule="auto"/>
              <w:jc w:val="center"/>
              <w:rPr>
                <w:rFonts w:ascii="宋体" w:hAnsi="宋体" w:cs="宋体"/>
                <w:szCs w:val="21"/>
              </w:rPr>
            </w:pPr>
          </w:p>
        </w:tc>
        <w:tc>
          <w:tcPr>
            <w:tcW w:w="949" w:type="dxa"/>
            <w:vAlign w:val="center"/>
          </w:tcPr>
          <w:p>
            <w:pPr>
              <w:spacing w:line="360" w:lineRule="auto"/>
              <w:jc w:val="center"/>
              <w:rPr>
                <w:rFonts w:ascii="宋体" w:hAnsi="宋体" w:cs="宋体"/>
                <w:szCs w:val="21"/>
              </w:rPr>
            </w:pPr>
          </w:p>
        </w:tc>
        <w:tc>
          <w:tcPr>
            <w:tcW w:w="1460" w:type="dxa"/>
            <w:vAlign w:val="center"/>
          </w:tcPr>
          <w:p>
            <w:pPr>
              <w:spacing w:line="360" w:lineRule="auto"/>
              <w:jc w:val="center"/>
              <w:rPr>
                <w:rFonts w:ascii="宋体" w:hAnsi="宋体" w:cs="宋体"/>
                <w:szCs w:val="21"/>
              </w:rPr>
            </w:pPr>
          </w:p>
        </w:tc>
        <w:tc>
          <w:tcPr>
            <w:tcW w:w="735" w:type="dxa"/>
            <w:vAlign w:val="center"/>
          </w:tcPr>
          <w:p>
            <w:pPr>
              <w:spacing w:line="360" w:lineRule="auto"/>
              <w:jc w:val="center"/>
              <w:rPr>
                <w:rFonts w:ascii="宋体" w:hAnsi="宋体" w:cs="宋体"/>
                <w:szCs w:val="21"/>
              </w:rPr>
            </w:pPr>
          </w:p>
        </w:tc>
        <w:tc>
          <w:tcPr>
            <w:tcW w:w="840" w:type="dxa"/>
            <w:vAlign w:val="center"/>
          </w:tcPr>
          <w:p>
            <w:pPr>
              <w:spacing w:line="360" w:lineRule="auto"/>
              <w:jc w:val="center"/>
              <w:rPr>
                <w:rFonts w:ascii="宋体" w:hAnsi="宋体" w:cs="宋体"/>
                <w:szCs w:val="21"/>
              </w:rPr>
            </w:pPr>
          </w:p>
        </w:tc>
        <w:tc>
          <w:tcPr>
            <w:tcW w:w="1203" w:type="dxa"/>
            <w:vAlign w:val="center"/>
          </w:tcPr>
          <w:p>
            <w:pPr>
              <w:spacing w:line="360" w:lineRule="auto"/>
              <w:jc w:val="center"/>
              <w:rPr>
                <w:rFonts w:ascii="宋体" w:hAnsi="宋体" w:cs="宋体"/>
                <w:szCs w:val="21"/>
              </w:rPr>
            </w:pPr>
          </w:p>
        </w:tc>
        <w:tc>
          <w:tcPr>
            <w:tcW w:w="1422"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r>
    </w:tbl>
    <w:p>
      <w:pPr>
        <w:spacing w:line="360" w:lineRule="auto"/>
        <w:ind w:firstLine="422" w:firstLineChars="200"/>
        <w:jc w:val="left"/>
        <w:rPr>
          <w:rFonts w:ascii="宋体" w:hAnsi="宋体" w:cs="宋体"/>
          <w:b/>
          <w:szCs w:val="21"/>
        </w:rPr>
      </w:pPr>
      <w:r>
        <w:rPr>
          <w:rFonts w:hint="eastAsia" w:ascii="宋体" w:hAnsi="宋体" w:cs="宋体"/>
          <w:b/>
          <w:szCs w:val="21"/>
        </w:rPr>
        <w:t>二、合同金额及结算规定</w:t>
      </w:r>
    </w:p>
    <w:p>
      <w:pPr>
        <w:spacing w:line="360" w:lineRule="auto"/>
        <w:ind w:firstLine="420" w:firstLineChars="200"/>
        <w:rPr>
          <w:rFonts w:ascii="宋体" w:hAnsi="宋体" w:cs="宋体"/>
          <w:color w:val="000000"/>
          <w:szCs w:val="21"/>
        </w:rPr>
      </w:pPr>
      <w:r>
        <w:rPr>
          <w:rFonts w:hint="eastAsia" w:ascii="宋体" w:hAnsi="宋体" w:cs="宋体"/>
          <w:szCs w:val="21"/>
        </w:rPr>
        <w:t>1.合同金额：人民币（大写）：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）。包括项目的材料（设备）费、运输费、人工费、甲方指定地点的卸货费、安装（调试）费、成品保管费、检验试验费、售后服务等完</w:t>
      </w:r>
      <w:r>
        <w:rPr>
          <w:rFonts w:hint="eastAsia" w:ascii="宋体" w:hAnsi="宋体" w:cs="宋体"/>
          <w:color w:val="000000"/>
          <w:szCs w:val="21"/>
        </w:rPr>
        <w:t>成本项目采购范围内全部工作内容所需价款；乙方</w:t>
      </w:r>
      <w:r>
        <w:rPr>
          <w:rFonts w:hint="eastAsia" w:ascii="宋体" w:hAnsi="宋体" w:cs="宋体"/>
          <w:szCs w:val="21"/>
        </w:rPr>
        <w:t>合理利润及</w:t>
      </w:r>
      <w:r>
        <w:rPr>
          <w:rFonts w:hint="eastAsia" w:ascii="宋体" w:hAnsi="宋体" w:cs="宋体"/>
          <w:color w:val="000000"/>
          <w:szCs w:val="21"/>
        </w:rPr>
        <w:t>应缴纳的</w:t>
      </w:r>
      <w:r>
        <w:rPr>
          <w:rFonts w:hint="eastAsia" w:ascii="宋体" w:hAnsi="宋体" w:cs="宋体"/>
          <w:szCs w:val="21"/>
        </w:rPr>
        <w:t>税费、合同包含的风险等可能产生的</w:t>
      </w:r>
      <w:r>
        <w:rPr>
          <w:rFonts w:hint="eastAsia" w:ascii="宋体" w:hAnsi="宋体" w:cs="宋体"/>
          <w:color w:val="000000"/>
          <w:szCs w:val="21"/>
        </w:rPr>
        <w:t>所有</w:t>
      </w:r>
      <w:r>
        <w:rPr>
          <w:rFonts w:hint="eastAsia" w:ascii="宋体" w:hAnsi="宋体" w:cs="宋体"/>
          <w:szCs w:val="21"/>
        </w:rPr>
        <w:t>费用</w:t>
      </w:r>
      <w:r>
        <w:rPr>
          <w:rFonts w:hint="eastAsia" w:ascii="宋体" w:hAnsi="宋体" w:cs="宋体"/>
          <w:color w:val="000000"/>
          <w:szCs w:val="21"/>
        </w:rPr>
        <w:t>均已计入合同金额。</w:t>
      </w:r>
    </w:p>
    <w:p>
      <w:pPr>
        <w:spacing w:line="360" w:lineRule="auto"/>
        <w:ind w:firstLine="420" w:firstLineChars="200"/>
        <w:rPr>
          <w:rFonts w:ascii="宋体" w:hAnsi="宋体" w:cs="宋体"/>
          <w:szCs w:val="21"/>
        </w:rPr>
      </w:pPr>
      <w:r>
        <w:rPr>
          <w:rFonts w:hint="eastAsia" w:ascii="宋体" w:hAnsi="宋体" w:cs="宋体"/>
          <w:color w:val="000000"/>
          <w:szCs w:val="21"/>
        </w:rPr>
        <w:t>2.</w:t>
      </w:r>
      <w:r>
        <w:rPr>
          <w:rFonts w:hint="eastAsia" w:ascii="宋体" w:hAnsi="宋体" w:cs="宋体"/>
          <w:szCs w:val="21"/>
        </w:rPr>
        <w:t>合同履行过程中，甲方需追加与合同标的相同的货物的，在不改变合同其他条款的前提下，可以与乙方协商签订补充合同，但所有补充合同的采购金额不得超过本合同采购金额的10%。</w:t>
      </w:r>
    </w:p>
    <w:p>
      <w:pPr>
        <w:spacing w:line="360" w:lineRule="auto"/>
        <w:ind w:firstLine="420" w:firstLineChars="200"/>
        <w:rPr>
          <w:rFonts w:ascii="宋体" w:hAnsi="宋体" w:cs="宋体"/>
          <w:szCs w:val="21"/>
        </w:rPr>
      </w:pPr>
      <w:r>
        <w:rPr>
          <w:rFonts w:hint="eastAsia" w:ascii="宋体" w:hAnsi="宋体" w:cs="宋体"/>
          <w:szCs w:val="21"/>
        </w:rPr>
        <w:t>3.本合同是固定单价合同，最终合同价款以实际工程量×相应中标单价确定，无论实际工程量是否增加或减少，中标单价均不调整。</w:t>
      </w:r>
    </w:p>
    <w:p>
      <w:pPr>
        <w:spacing w:line="360" w:lineRule="auto"/>
        <w:ind w:firstLine="422" w:firstLineChars="200"/>
        <w:jc w:val="left"/>
        <w:rPr>
          <w:rFonts w:ascii="宋体" w:hAnsi="宋体" w:cs="宋体"/>
          <w:b/>
          <w:szCs w:val="21"/>
        </w:rPr>
      </w:pPr>
      <w:r>
        <w:rPr>
          <w:rFonts w:hint="eastAsia" w:ascii="宋体" w:hAnsi="宋体" w:cs="宋体"/>
          <w:b/>
          <w:szCs w:val="21"/>
        </w:rPr>
        <w:t>三、技术资料</w:t>
      </w:r>
    </w:p>
    <w:p>
      <w:pPr>
        <w:spacing w:line="360" w:lineRule="auto"/>
        <w:ind w:firstLine="420" w:firstLineChars="200"/>
        <w:rPr>
          <w:rFonts w:ascii="宋体" w:hAnsi="宋体" w:cs="宋体"/>
          <w:szCs w:val="21"/>
        </w:rPr>
      </w:pPr>
      <w:r>
        <w:rPr>
          <w:rFonts w:hint="eastAsia" w:ascii="宋体" w:hAnsi="宋体" w:cs="宋体"/>
          <w:szCs w:val="21"/>
        </w:rPr>
        <w:t>1.乙方应按招标文件规定的时间向甲方提供使用货物的有关技术资料。</w:t>
      </w:r>
    </w:p>
    <w:p>
      <w:pPr>
        <w:spacing w:line="360" w:lineRule="auto"/>
        <w:ind w:firstLine="420" w:firstLineChars="200"/>
        <w:rPr>
          <w:rFonts w:ascii="宋体" w:hAnsi="宋体" w:cs="宋体"/>
          <w:szCs w:val="21"/>
        </w:rPr>
      </w:pPr>
      <w:r>
        <w:rPr>
          <w:rFonts w:hint="eastAsia" w:ascii="宋体" w:hAnsi="宋体" w:cs="宋体"/>
          <w:szCs w:val="21"/>
        </w:rPr>
        <w:t>2.未经甲方事先书面同意，乙方不得将由甲方提供的计划、图纸、样品或资料提供给与履行本合同无关的任何其他人。即使向履行本合同有关的人员提供，也应注意保密并限于履行合同的必需范围。</w:t>
      </w:r>
    </w:p>
    <w:p>
      <w:pPr>
        <w:spacing w:line="360" w:lineRule="auto"/>
        <w:ind w:firstLine="422" w:firstLineChars="200"/>
        <w:jc w:val="left"/>
        <w:rPr>
          <w:rFonts w:ascii="宋体" w:hAnsi="宋体" w:cs="宋体"/>
          <w:b/>
          <w:szCs w:val="21"/>
        </w:rPr>
      </w:pPr>
      <w:r>
        <w:rPr>
          <w:rFonts w:hint="eastAsia" w:ascii="宋体" w:hAnsi="宋体" w:cs="宋体"/>
          <w:b/>
          <w:szCs w:val="21"/>
        </w:rPr>
        <w:t>四、知识产权</w:t>
      </w:r>
    </w:p>
    <w:p>
      <w:pPr>
        <w:spacing w:line="360" w:lineRule="auto"/>
        <w:ind w:firstLine="420" w:firstLineChars="200"/>
        <w:rPr>
          <w:rFonts w:ascii="宋体" w:hAnsi="宋体" w:cs="宋体"/>
          <w:szCs w:val="21"/>
        </w:rPr>
      </w:pPr>
      <w:r>
        <w:rPr>
          <w:rFonts w:hint="eastAsia" w:ascii="宋体" w:hAnsi="宋体" w:cs="宋体"/>
          <w:szCs w:val="21"/>
        </w:rPr>
        <w:t>1.乙方须保证其所提供的产品、服务或其任何一部分不受第三方提出侵犯其专利权、商标权、版权和工业设计权的指控。</w:t>
      </w:r>
    </w:p>
    <w:p>
      <w:pPr>
        <w:spacing w:line="360" w:lineRule="auto"/>
        <w:ind w:firstLine="420" w:firstLineChars="200"/>
        <w:rPr>
          <w:rFonts w:ascii="宋体" w:hAnsi="宋体" w:cs="宋体"/>
          <w:szCs w:val="21"/>
        </w:rPr>
      </w:pPr>
      <w:r>
        <w:rPr>
          <w:rFonts w:hint="eastAsia" w:ascii="宋体" w:hAnsi="宋体" w:cs="宋体"/>
          <w:szCs w:val="21"/>
        </w:rPr>
        <w:t>2.如果第三方提出侵权指控，乙方须与第三方交涉并承担可能产生的一切经济和法律责任。</w:t>
      </w:r>
    </w:p>
    <w:p>
      <w:pPr>
        <w:spacing w:line="360" w:lineRule="auto"/>
        <w:ind w:firstLine="422" w:firstLineChars="200"/>
        <w:jc w:val="left"/>
        <w:rPr>
          <w:rFonts w:ascii="宋体" w:hAnsi="宋体" w:cs="宋体"/>
          <w:b/>
          <w:szCs w:val="21"/>
          <w:u w:val="single"/>
        </w:rPr>
      </w:pPr>
      <w:r>
        <w:rPr>
          <w:rFonts w:hint="eastAsia" w:ascii="宋体" w:hAnsi="宋体" w:cs="宋体"/>
          <w:b/>
          <w:szCs w:val="21"/>
        </w:rPr>
        <w:t>五、产权担保</w:t>
      </w:r>
    </w:p>
    <w:p>
      <w:pPr>
        <w:spacing w:line="360" w:lineRule="auto"/>
        <w:ind w:firstLine="420" w:firstLineChars="200"/>
        <w:rPr>
          <w:rFonts w:ascii="宋体" w:hAnsi="宋体" w:cs="宋体"/>
          <w:szCs w:val="21"/>
          <w:u w:val="single"/>
        </w:rPr>
      </w:pPr>
      <w:r>
        <w:rPr>
          <w:rFonts w:hint="eastAsia" w:ascii="宋体" w:hAnsi="宋体" w:cs="宋体"/>
          <w:szCs w:val="21"/>
        </w:rPr>
        <w:t>乙方保证所交付的货物的所有权完全属于乙方，无任何抵押、查封等产权瑕疵。</w:t>
      </w:r>
    </w:p>
    <w:p>
      <w:pPr>
        <w:spacing w:line="360" w:lineRule="auto"/>
        <w:ind w:firstLine="422" w:firstLineChars="200"/>
        <w:jc w:val="left"/>
        <w:rPr>
          <w:rFonts w:ascii="宋体" w:hAnsi="宋体" w:cs="宋体"/>
          <w:b/>
          <w:szCs w:val="21"/>
        </w:rPr>
      </w:pPr>
      <w:r>
        <w:rPr>
          <w:rFonts w:hint="eastAsia" w:ascii="宋体" w:hAnsi="宋体" w:cs="宋体"/>
          <w:b/>
          <w:szCs w:val="21"/>
        </w:rPr>
        <w:t>六、履约保证金</w:t>
      </w:r>
    </w:p>
    <w:p>
      <w:pPr>
        <w:spacing w:line="360" w:lineRule="auto"/>
        <w:ind w:firstLine="420" w:firstLineChars="200"/>
        <w:rPr>
          <w:rFonts w:ascii="宋体" w:hAnsi="宋体" w:cs="宋体"/>
          <w:bCs/>
          <w:szCs w:val="21"/>
        </w:rPr>
      </w:pPr>
      <w:r>
        <w:rPr>
          <w:rFonts w:hint="eastAsia" w:ascii="宋体" w:hAnsi="宋体" w:cs="宋体"/>
          <w:szCs w:val="21"/>
          <w:lang w:val="zh-CN"/>
        </w:rPr>
        <w:t>1.</w:t>
      </w:r>
      <w:r>
        <w:rPr>
          <w:rFonts w:hint="eastAsia" w:ascii="宋体" w:hAnsi="宋体" w:cs="宋体"/>
          <w:lang w:val="zh-CN"/>
        </w:rPr>
        <w:t>本合同签订后5个工作日内，</w:t>
      </w:r>
      <w:r>
        <w:rPr>
          <w:rFonts w:hint="eastAsia" w:ascii="宋体" w:hAnsi="宋体" w:cs="宋体"/>
          <w:szCs w:val="21"/>
        </w:rPr>
        <w:t>乙方应当以</w:t>
      </w:r>
      <w:r>
        <w:rPr>
          <w:rFonts w:hint="eastAsia" w:ascii="宋体" w:hAnsi="宋体" w:cs="宋体"/>
          <w:bCs/>
          <w:szCs w:val="21"/>
          <w:u w:val="single"/>
        </w:rPr>
        <w:t>（</w:t>
      </w:r>
      <w:r>
        <w:rPr>
          <w:rFonts w:hint="eastAsia" w:ascii="宋体" w:hAnsi="宋体" w:cs="宋体"/>
          <w:bCs/>
          <w:szCs w:val="20"/>
          <w:u w:val="single"/>
        </w:rPr>
        <w:sym w:font="Wingdings" w:char="F0A8"/>
      </w:r>
      <w:r>
        <w:rPr>
          <w:rFonts w:hint="eastAsia" w:ascii="宋体" w:hAnsi="宋体" w:cs="宋体"/>
          <w:bCs/>
          <w:szCs w:val="21"/>
          <w:u w:val="single"/>
        </w:rPr>
        <w:t>支票</w:t>
      </w:r>
      <w:r>
        <w:rPr>
          <w:rFonts w:hint="eastAsia" w:ascii="宋体" w:hAnsi="宋体" w:cs="宋体"/>
          <w:bCs/>
          <w:szCs w:val="20"/>
          <w:u w:val="single"/>
        </w:rPr>
        <w:sym w:font="Wingdings" w:char="F0A8"/>
      </w:r>
      <w:r>
        <w:rPr>
          <w:rFonts w:hint="eastAsia" w:ascii="宋体" w:hAnsi="宋体" w:cs="宋体"/>
          <w:bCs/>
          <w:szCs w:val="21"/>
          <w:u w:val="single"/>
        </w:rPr>
        <w:t>汇票</w:t>
      </w:r>
      <w:r>
        <w:rPr>
          <w:rFonts w:hint="eastAsia" w:ascii="宋体" w:hAnsi="宋体" w:cs="宋体"/>
          <w:bCs/>
          <w:szCs w:val="20"/>
          <w:u w:val="single"/>
        </w:rPr>
        <w:sym w:font="Wingdings" w:char="F0A8"/>
      </w:r>
      <w:r>
        <w:rPr>
          <w:rFonts w:hint="eastAsia" w:ascii="宋体" w:hAnsi="宋体" w:cs="宋体"/>
          <w:bCs/>
          <w:szCs w:val="21"/>
          <w:u w:val="single"/>
        </w:rPr>
        <w:t>本票或者金融机构、担保机构出具的</w:t>
      </w:r>
      <w:r>
        <w:rPr>
          <w:rFonts w:hint="eastAsia" w:ascii="宋体" w:hAnsi="宋体" w:cs="宋体"/>
          <w:szCs w:val="21"/>
          <w:u w:val="single"/>
        </w:rPr>
        <w:t>保函</w:t>
      </w:r>
      <w:r>
        <w:rPr>
          <w:rFonts w:hint="eastAsia" w:ascii="宋体" w:hAnsi="宋体" w:cs="宋体"/>
          <w:bCs/>
          <w:szCs w:val="21"/>
          <w:u w:val="single"/>
        </w:rPr>
        <w:t>之一）</w:t>
      </w:r>
      <w:r>
        <w:rPr>
          <w:rFonts w:hint="eastAsia" w:ascii="宋体" w:hAnsi="宋体" w:cs="宋体"/>
          <w:bCs/>
          <w:szCs w:val="21"/>
        </w:rPr>
        <w:t>向甲方交纳合同金额的1%，即</w:t>
      </w:r>
      <w:r>
        <w:rPr>
          <w:rFonts w:hint="eastAsia" w:ascii="宋体" w:hAnsi="宋体" w:cs="宋体"/>
          <w:szCs w:val="21"/>
          <w:lang w:val="zh-CN"/>
        </w:rPr>
        <w:t>人民币</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lang w:val="zh-CN"/>
        </w:rPr>
        <w:t>元整（小写：￥</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lang w:val="zh-CN"/>
        </w:rPr>
        <w:t>）作为履约保证金</w:t>
      </w:r>
      <w:r>
        <w:rPr>
          <w:rFonts w:hint="eastAsia" w:ascii="宋体" w:hAnsi="宋体" w:cs="宋体"/>
          <w:bCs/>
          <w:szCs w:val="21"/>
        </w:rPr>
        <w:t>。</w:t>
      </w:r>
    </w:p>
    <w:p>
      <w:pPr>
        <w:spacing w:line="360" w:lineRule="auto"/>
        <w:ind w:firstLine="420" w:firstLineChars="200"/>
        <w:rPr>
          <w:rFonts w:ascii="宋体" w:hAnsi="宋体" w:cs="宋体"/>
          <w:color w:val="000000"/>
          <w:szCs w:val="21"/>
          <w:highlight w:val="yellow"/>
        </w:rPr>
      </w:pPr>
      <w:r>
        <w:rPr>
          <w:rFonts w:hint="eastAsia" w:ascii="宋体" w:hAnsi="宋体" w:cs="宋体"/>
          <w:color w:val="000000"/>
          <w:szCs w:val="21"/>
        </w:rPr>
        <w:t>2.</w:t>
      </w:r>
      <w:r>
        <w:rPr>
          <w:rFonts w:hint="eastAsia" w:ascii="宋体" w:hAnsi="宋体" w:cs="宋体"/>
          <w:szCs w:val="21"/>
        </w:rPr>
        <w:t>合同履行完毕后7个工作日内无息退还履约保证金。</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3.乙方不能</w:t>
      </w:r>
      <w:r>
        <w:rPr>
          <w:rFonts w:hint="eastAsia" w:ascii="宋体" w:hAnsi="宋体" w:cs="宋体"/>
          <w:szCs w:val="21"/>
        </w:rPr>
        <w:t>完整履行合同义务的，</w:t>
      </w:r>
      <w:r>
        <w:rPr>
          <w:rFonts w:hint="eastAsia" w:ascii="宋体" w:hAnsi="宋体" w:cs="宋体"/>
          <w:color w:val="000000"/>
          <w:szCs w:val="21"/>
        </w:rPr>
        <w:t>甲方有权根据合同约定，从履约保证金中获得所受损失的补偿。</w:t>
      </w:r>
    </w:p>
    <w:p>
      <w:pPr>
        <w:spacing w:line="360" w:lineRule="auto"/>
        <w:ind w:firstLine="422" w:firstLineChars="200"/>
        <w:rPr>
          <w:rFonts w:ascii="宋体" w:hAnsi="宋体" w:cs="宋体"/>
          <w:b/>
          <w:szCs w:val="21"/>
        </w:rPr>
      </w:pPr>
      <w:r>
        <w:rPr>
          <w:rFonts w:hint="eastAsia" w:ascii="宋体" w:hAnsi="宋体" w:cs="宋体"/>
          <w:b/>
          <w:szCs w:val="21"/>
        </w:rPr>
        <w:t>七、转包或分包</w:t>
      </w:r>
    </w:p>
    <w:p>
      <w:pPr>
        <w:spacing w:line="360" w:lineRule="auto"/>
        <w:ind w:firstLine="420" w:firstLineChars="200"/>
        <w:rPr>
          <w:rFonts w:ascii="宋体" w:hAnsi="宋体" w:cs="宋体"/>
          <w:szCs w:val="21"/>
          <w:lang w:val="zh-CN"/>
        </w:rPr>
      </w:pPr>
      <w:r>
        <w:rPr>
          <w:rFonts w:hint="eastAsia" w:ascii="宋体" w:hAnsi="宋体" w:cs="宋体"/>
          <w:szCs w:val="21"/>
          <w:lang w:val="zh-CN"/>
        </w:rPr>
        <w:t>1.本合同范围的货物和服务，应由乙方直接供应，不得转让他人；</w:t>
      </w:r>
    </w:p>
    <w:p>
      <w:pPr>
        <w:spacing w:line="360" w:lineRule="auto"/>
        <w:ind w:firstLine="420" w:firstLineChars="200"/>
        <w:rPr>
          <w:rFonts w:ascii="宋体" w:hAnsi="宋体" w:cs="宋体"/>
          <w:szCs w:val="21"/>
          <w:lang w:val="zh-CN"/>
        </w:rPr>
      </w:pPr>
      <w:r>
        <w:rPr>
          <w:rFonts w:hint="eastAsia" w:ascii="宋体" w:hAnsi="宋体" w:cs="宋体"/>
          <w:szCs w:val="21"/>
          <w:lang w:val="zh-CN"/>
        </w:rPr>
        <w:t>2.除非得到甲方的书面同意，乙方不得将本合同范围的货物和服务部分分包给他人实施；</w:t>
      </w:r>
    </w:p>
    <w:p>
      <w:pPr>
        <w:spacing w:line="360" w:lineRule="auto"/>
        <w:ind w:firstLine="420" w:firstLineChars="200"/>
        <w:rPr>
          <w:rFonts w:ascii="宋体" w:hAnsi="宋体" w:cs="宋体"/>
          <w:szCs w:val="21"/>
          <w:lang w:val="zh-CN"/>
        </w:rPr>
      </w:pPr>
      <w:r>
        <w:rPr>
          <w:rFonts w:hint="eastAsia" w:ascii="宋体" w:hAnsi="宋体" w:cs="宋体"/>
          <w:szCs w:val="21"/>
          <w:lang w:val="zh-CN"/>
        </w:rPr>
        <w:t>3.如有转让和未经甲方同意的分包行为，甲方有权解除合同，没收履约保证金并追究乙方的违约责任。</w:t>
      </w:r>
    </w:p>
    <w:p>
      <w:pPr>
        <w:spacing w:line="360" w:lineRule="auto"/>
        <w:ind w:firstLine="422" w:firstLineChars="200"/>
        <w:jc w:val="left"/>
        <w:rPr>
          <w:rFonts w:ascii="宋体" w:hAnsi="宋体" w:cs="宋体"/>
          <w:b/>
          <w:szCs w:val="21"/>
        </w:rPr>
      </w:pPr>
      <w:r>
        <w:rPr>
          <w:rFonts w:hint="eastAsia" w:ascii="宋体" w:hAnsi="宋体" w:cs="宋体"/>
          <w:b/>
          <w:szCs w:val="21"/>
        </w:rPr>
        <w:t>八、完成期限及交付地点</w:t>
      </w:r>
    </w:p>
    <w:p>
      <w:pPr>
        <w:spacing w:line="360" w:lineRule="auto"/>
        <w:ind w:firstLine="420" w:firstLineChars="200"/>
        <w:rPr>
          <w:rFonts w:ascii="宋体" w:hAnsi="宋体" w:cs="宋体"/>
          <w:szCs w:val="21"/>
          <w:u w:val="single"/>
        </w:rPr>
      </w:pPr>
      <w:r>
        <w:rPr>
          <w:rFonts w:hint="eastAsia" w:ascii="宋体" w:hAnsi="宋体" w:cs="宋体"/>
          <w:szCs w:val="21"/>
        </w:rPr>
        <w:t>1.完成期限：</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bCs/>
          <w:szCs w:val="21"/>
        </w:rPr>
      </w:pPr>
      <w:r>
        <w:rPr>
          <w:rFonts w:hint="eastAsia" w:ascii="宋体" w:hAnsi="宋体" w:cs="宋体"/>
          <w:bCs/>
          <w:szCs w:val="21"/>
        </w:rPr>
        <w:t>2.交付地点：甲方指定的</w:t>
      </w:r>
      <w:r>
        <w:rPr>
          <w:rFonts w:hint="eastAsia" w:ascii="宋体" w:hAnsi="宋体" w:cs="宋体"/>
          <w:bCs/>
          <w:szCs w:val="21"/>
          <w:u w:val="single"/>
        </w:rPr>
        <w:t xml:space="preserve">            </w:t>
      </w:r>
      <w:r>
        <w:rPr>
          <w:rFonts w:hint="eastAsia" w:ascii="宋体" w:hAnsi="宋体" w:cs="宋体"/>
          <w:bCs/>
          <w:szCs w:val="21"/>
        </w:rPr>
        <w:t>。</w:t>
      </w:r>
    </w:p>
    <w:p>
      <w:pPr>
        <w:spacing w:line="360" w:lineRule="auto"/>
        <w:ind w:firstLine="422" w:firstLineChars="200"/>
        <w:jc w:val="left"/>
        <w:rPr>
          <w:rFonts w:ascii="宋体" w:hAnsi="宋体" w:cs="宋体"/>
          <w:b/>
          <w:szCs w:val="21"/>
        </w:rPr>
      </w:pPr>
      <w:r>
        <w:rPr>
          <w:rFonts w:hint="eastAsia" w:ascii="宋体" w:hAnsi="宋体" w:cs="宋体"/>
          <w:b/>
          <w:szCs w:val="21"/>
        </w:rPr>
        <w:t>九、安全生产责任</w:t>
      </w:r>
    </w:p>
    <w:p>
      <w:pPr>
        <w:spacing w:line="360" w:lineRule="auto"/>
        <w:ind w:firstLine="420" w:firstLineChars="200"/>
        <w:jc w:val="left"/>
        <w:rPr>
          <w:rFonts w:ascii="宋体" w:hAnsi="宋体" w:cs="宋体"/>
          <w:szCs w:val="21"/>
        </w:rPr>
      </w:pPr>
      <w:r>
        <w:rPr>
          <w:rFonts w:hint="eastAsia" w:ascii="宋体" w:hAnsi="宋体" w:cs="宋体"/>
          <w:szCs w:val="21"/>
        </w:rPr>
        <w:t>1.乙方须对施工人员进行安全教育，提高施工人员的安全意识，营造人人讲安全的氛围，并保存好与安全教育相关的资料。</w:t>
      </w:r>
    </w:p>
    <w:p>
      <w:pPr>
        <w:spacing w:line="360" w:lineRule="auto"/>
        <w:ind w:firstLine="420" w:firstLineChars="200"/>
        <w:jc w:val="left"/>
        <w:rPr>
          <w:rFonts w:ascii="宋体" w:hAnsi="宋体" w:cs="宋体"/>
          <w:szCs w:val="21"/>
        </w:rPr>
      </w:pPr>
      <w:r>
        <w:rPr>
          <w:rFonts w:hint="eastAsia" w:ascii="宋体" w:hAnsi="宋体" w:cs="宋体"/>
          <w:szCs w:val="21"/>
        </w:rPr>
        <w:t>2.乙方必须加强对特种作业人员的安全教育培训，特种作业人员必须持证上岗。</w:t>
      </w:r>
    </w:p>
    <w:p>
      <w:pPr>
        <w:spacing w:line="360" w:lineRule="auto"/>
        <w:ind w:firstLine="420" w:firstLineChars="200"/>
        <w:jc w:val="left"/>
        <w:rPr>
          <w:rFonts w:ascii="宋体" w:hAnsi="宋体" w:cs="宋体"/>
          <w:szCs w:val="21"/>
        </w:rPr>
      </w:pPr>
      <w:r>
        <w:rPr>
          <w:rFonts w:hint="eastAsia" w:ascii="宋体" w:hAnsi="宋体" w:cs="宋体"/>
          <w:szCs w:val="21"/>
        </w:rPr>
        <w:t>3.乙方应认真落实各类突发事件应急预案，正确分析、判断和处理各种事故隐患；发生事故要正确处理，及时、如实的向甲方报告，并保护好现场，做好详细记录。</w:t>
      </w:r>
    </w:p>
    <w:p>
      <w:pPr>
        <w:spacing w:line="360" w:lineRule="auto"/>
        <w:ind w:firstLine="420" w:firstLineChars="200"/>
        <w:jc w:val="left"/>
        <w:rPr>
          <w:rFonts w:ascii="宋体" w:hAnsi="宋体" w:cs="宋体"/>
          <w:szCs w:val="21"/>
        </w:rPr>
      </w:pPr>
      <w:r>
        <w:rPr>
          <w:rFonts w:hint="eastAsia" w:ascii="宋体" w:hAnsi="宋体" w:cs="宋体"/>
          <w:szCs w:val="21"/>
        </w:rPr>
        <w:t>4.乙方应当积极配合甲方组织的各项安全检查，参加甲方组织的安全生产会议。</w:t>
      </w:r>
    </w:p>
    <w:p>
      <w:pPr>
        <w:spacing w:line="360" w:lineRule="auto"/>
        <w:ind w:firstLine="420" w:firstLineChars="200"/>
        <w:jc w:val="left"/>
        <w:rPr>
          <w:rFonts w:ascii="宋体" w:hAnsi="宋体" w:cs="宋体"/>
          <w:szCs w:val="21"/>
        </w:rPr>
      </w:pPr>
      <w:r>
        <w:rPr>
          <w:rFonts w:hint="eastAsia" w:ascii="宋体" w:hAnsi="宋体" w:cs="宋体"/>
          <w:szCs w:val="21"/>
        </w:rPr>
        <w:t>5.乙方作业人员在使用各类专用工具、设备前，应仔细了解机具的性能、使用方法、注意事项，严格按照设备的使用说明进行操作，使用前做好必要的防护措施。</w:t>
      </w:r>
    </w:p>
    <w:p>
      <w:pPr>
        <w:spacing w:line="360" w:lineRule="auto"/>
        <w:ind w:firstLine="420" w:firstLineChars="200"/>
        <w:jc w:val="left"/>
        <w:rPr>
          <w:rFonts w:ascii="宋体" w:hAnsi="宋体" w:cs="宋体"/>
          <w:szCs w:val="21"/>
        </w:rPr>
      </w:pPr>
      <w:r>
        <w:rPr>
          <w:rFonts w:hint="eastAsia" w:ascii="宋体" w:hAnsi="宋体" w:cs="宋体"/>
          <w:szCs w:val="21"/>
        </w:rPr>
        <w:t>6.合同履行期间新冠肺炎疫情防控尚未结束的，乙方应当做好防疫工作，确保人员健康。</w:t>
      </w:r>
    </w:p>
    <w:p>
      <w:pPr>
        <w:spacing w:line="360" w:lineRule="auto"/>
        <w:ind w:firstLine="420" w:firstLineChars="200"/>
        <w:jc w:val="left"/>
        <w:rPr>
          <w:rFonts w:ascii="宋体" w:hAnsi="宋体" w:cs="宋体"/>
          <w:szCs w:val="21"/>
        </w:rPr>
      </w:pPr>
      <w:r>
        <w:rPr>
          <w:rFonts w:hint="eastAsia" w:ascii="宋体" w:hAnsi="宋体" w:cs="宋体"/>
          <w:szCs w:val="21"/>
        </w:rPr>
        <w:t>7.合同履行过程中如发生安全生产责任事故或因各种意外导致乙方施工人员受伤或死亡的，责任由乙方承担。</w:t>
      </w:r>
    </w:p>
    <w:p>
      <w:pPr>
        <w:spacing w:line="360" w:lineRule="auto"/>
        <w:ind w:firstLine="422" w:firstLineChars="200"/>
        <w:jc w:val="left"/>
        <w:rPr>
          <w:rFonts w:ascii="宋体" w:hAnsi="宋体" w:cs="宋体"/>
          <w:b/>
          <w:szCs w:val="21"/>
        </w:rPr>
      </w:pPr>
      <w:r>
        <w:rPr>
          <w:rFonts w:hint="eastAsia" w:ascii="宋体" w:hAnsi="宋体" w:cs="宋体"/>
          <w:b/>
          <w:bCs/>
          <w:szCs w:val="21"/>
        </w:rPr>
        <w:t>十、</w:t>
      </w:r>
      <w:r>
        <w:rPr>
          <w:rFonts w:hint="eastAsia" w:ascii="宋体" w:hAnsi="宋体" w:cs="宋体"/>
          <w:b/>
          <w:szCs w:val="21"/>
        </w:rPr>
        <w:t>验收</w:t>
      </w:r>
    </w:p>
    <w:p>
      <w:pPr>
        <w:spacing w:line="360" w:lineRule="auto"/>
        <w:ind w:firstLine="420" w:firstLineChars="200"/>
        <w:rPr>
          <w:rFonts w:ascii="宋体" w:hAnsi="宋体" w:cs="宋体"/>
          <w:szCs w:val="21"/>
        </w:rPr>
      </w:pPr>
      <w:r>
        <w:rPr>
          <w:rFonts w:hint="eastAsia" w:ascii="宋体" w:hAnsi="宋体" w:cs="宋体"/>
          <w:szCs w:val="21"/>
        </w:rPr>
        <w:t xml:space="preserve">1. 安装、调试、试运行及验收 </w:t>
      </w:r>
    </w:p>
    <w:p>
      <w:pPr>
        <w:spacing w:line="360" w:lineRule="auto"/>
        <w:ind w:firstLine="420" w:firstLineChars="200"/>
        <w:rPr>
          <w:rFonts w:ascii="宋体" w:hAnsi="宋体" w:cs="宋体"/>
          <w:szCs w:val="21"/>
        </w:rPr>
      </w:pPr>
      <w:r>
        <w:rPr>
          <w:rFonts w:hint="eastAsia" w:ascii="宋体" w:hAnsi="宋体" w:cs="宋体"/>
          <w:szCs w:val="21"/>
        </w:rPr>
        <w:t xml:space="preserve">1.1 乙方负责设备购置、安装、集成、调试以及配合完成项目初验、试运行、终验等全过程的工作。 </w:t>
      </w:r>
    </w:p>
    <w:p>
      <w:pPr>
        <w:spacing w:line="360" w:lineRule="auto"/>
        <w:ind w:firstLine="420" w:firstLineChars="200"/>
        <w:rPr>
          <w:rFonts w:ascii="宋体" w:hAnsi="宋体" w:cs="宋体"/>
          <w:szCs w:val="21"/>
        </w:rPr>
      </w:pPr>
      <w:r>
        <w:rPr>
          <w:rFonts w:hint="eastAsia" w:ascii="宋体" w:hAnsi="宋体" w:cs="宋体"/>
          <w:szCs w:val="21"/>
        </w:rPr>
        <w:t>1.2 乙方应提供安装计划给甲方认可。安装时乙方按需提供分派针对相对应设备的各个认证工程师负责安装、调试及试运行工作，以检测其设计、制造、运行效果等，并提供所有测试和调试所需的工具、材料、仪器和劳务人员，直到保证正常稳定运行。安装结束前，乙方应提交测试和调试方法及记录表格给甲方。</w:t>
      </w:r>
    </w:p>
    <w:p>
      <w:pPr>
        <w:spacing w:line="360" w:lineRule="auto"/>
        <w:ind w:firstLine="420" w:firstLineChars="200"/>
        <w:rPr>
          <w:rFonts w:ascii="宋体" w:hAnsi="宋体" w:cs="宋体"/>
          <w:szCs w:val="21"/>
        </w:rPr>
      </w:pPr>
      <w:r>
        <w:rPr>
          <w:rFonts w:hint="eastAsia" w:ascii="宋体" w:hAnsi="宋体" w:cs="宋体"/>
          <w:szCs w:val="21"/>
        </w:rPr>
        <w:t xml:space="preserve">1.3 乙方将所供设备运至交货地点，并向甲方提供到货证明。甲方或其委托的监理机构在收到到货证明5天内，对货物的外观、规格、数量、进行检验。如发现货物的外观、规格、数量与合同规定不符的，甲方有权拒绝接受。设备到货时，须提供设备正常途径的供货证明。 </w:t>
      </w:r>
    </w:p>
    <w:p>
      <w:pPr>
        <w:spacing w:line="360" w:lineRule="auto"/>
        <w:ind w:firstLine="420" w:firstLineChars="200"/>
        <w:rPr>
          <w:rFonts w:ascii="宋体" w:hAnsi="宋体" w:cs="宋体"/>
          <w:szCs w:val="21"/>
        </w:rPr>
      </w:pPr>
      <w:r>
        <w:rPr>
          <w:rFonts w:hint="eastAsia" w:ascii="宋体" w:hAnsi="宋体" w:cs="宋体"/>
          <w:szCs w:val="21"/>
        </w:rPr>
        <w:t xml:space="preserve">1.4 所供设备现场设备安装时，根据要求决定是否由(原厂/乙方)工程师负责实施。 </w:t>
      </w:r>
    </w:p>
    <w:p>
      <w:pPr>
        <w:spacing w:line="360" w:lineRule="auto"/>
        <w:ind w:firstLine="420" w:firstLineChars="200"/>
        <w:rPr>
          <w:rFonts w:ascii="宋体" w:hAnsi="宋体" w:cs="宋体"/>
          <w:szCs w:val="21"/>
        </w:rPr>
      </w:pPr>
      <w:r>
        <w:rPr>
          <w:rFonts w:hint="eastAsia" w:ascii="宋体" w:hAnsi="宋体" w:cs="宋体"/>
          <w:szCs w:val="21"/>
        </w:rPr>
        <w:t xml:space="preserve">1.5 乙方应完成供货、安装，并协助用户完成整套设备系统的正常、稳定运行。包括：协助用户完成设备安装环境准备并验收，负责设备系统的初期维护等，并完成验收前期的各项准备工作等。 </w:t>
      </w:r>
    </w:p>
    <w:p>
      <w:pPr>
        <w:spacing w:line="360" w:lineRule="auto"/>
        <w:ind w:firstLine="420" w:firstLineChars="200"/>
        <w:rPr>
          <w:rFonts w:ascii="宋体" w:hAnsi="宋体" w:cs="宋体"/>
          <w:szCs w:val="21"/>
        </w:rPr>
      </w:pPr>
      <w:r>
        <w:rPr>
          <w:rFonts w:hint="eastAsia" w:ascii="宋体" w:hAnsi="宋体" w:cs="宋体"/>
          <w:szCs w:val="21"/>
        </w:rPr>
        <w:t xml:space="preserve">1.6 乙方将投标设备进行集成，所有系统和设备能够按照甲方需求连通并正常运转，所有软件能够在相应平台上正常运行，同时达到采购需求要求的性能和投标产品技术规格中的性能，经甲方或其组织的专家小组评审合格，项目验收通过。设备安装、集成、调试所需的工具、仪器及安装材料由乙方负责。 </w:t>
      </w:r>
    </w:p>
    <w:p>
      <w:pPr>
        <w:spacing w:line="360" w:lineRule="auto"/>
        <w:ind w:firstLine="420" w:firstLineChars="200"/>
        <w:rPr>
          <w:rFonts w:ascii="宋体" w:hAnsi="宋体" w:cs="宋体"/>
          <w:szCs w:val="21"/>
        </w:rPr>
      </w:pPr>
      <w:r>
        <w:rPr>
          <w:rFonts w:hint="eastAsia" w:ascii="宋体" w:hAnsi="宋体" w:cs="宋体"/>
          <w:szCs w:val="21"/>
        </w:rPr>
        <w:t xml:space="preserve">1.7 项目经验收合格后，进入试运行期，设备试运行应在甲方或其委托的监理机构监督下进行，此类监督不免除乙方应承担的相关责任。 </w:t>
      </w:r>
    </w:p>
    <w:p>
      <w:pPr>
        <w:spacing w:line="360" w:lineRule="auto"/>
        <w:ind w:firstLine="420" w:firstLineChars="200"/>
        <w:rPr>
          <w:rFonts w:ascii="宋体" w:hAnsi="宋体" w:cs="宋体"/>
          <w:szCs w:val="21"/>
        </w:rPr>
      </w:pPr>
      <w:r>
        <w:rPr>
          <w:rFonts w:hint="eastAsia" w:ascii="宋体" w:hAnsi="宋体" w:cs="宋体"/>
          <w:szCs w:val="21"/>
        </w:rPr>
        <w:t xml:space="preserve">1.8 系统正常试运行期满后组织实施。项目验收时，乙方须提供已办妥相应质保及售后服务手续的证明材料，同时，协助甲方通过电话查询售后服务手续办理情况予以验证。 </w:t>
      </w:r>
    </w:p>
    <w:p>
      <w:pPr>
        <w:spacing w:line="360" w:lineRule="auto"/>
        <w:ind w:firstLine="420" w:firstLineChars="200"/>
        <w:rPr>
          <w:rFonts w:ascii="宋体" w:hAnsi="宋体" w:cs="宋体"/>
          <w:szCs w:val="21"/>
        </w:rPr>
      </w:pPr>
      <w:r>
        <w:rPr>
          <w:rFonts w:hint="eastAsia" w:ascii="宋体" w:hAnsi="宋体" w:cs="宋体"/>
          <w:szCs w:val="21"/>
        </w:rPr>
        <w:t xml:space="preserve">1.9 经甲方或其组织的专家组评审，试运行结果符合产品标准、乙方投标文件承诺及本项目招标文件相关要求；在进行测试和验收运行过程中发生的故障已被消除并得到甲方的认可；所有合同中规定的货物和材料均已提交；整套产品资料及技术文件均已提交并得到接受的，由甲方或其组织的专家组出具验收合格报告。 </w:t>
      </w:r>
    </w:p>
    <w:p>
      <w:pPr>
        <w:spacing w:line="360" w:lineRule="auto"/>
        <w:ind w:firstLine="420" w:firstLineChars="200"/>
        <w:rPr>
          <w:rFonts w:ascii="宋体" w:hAnsi="宋体" w:cs="宋体"/>
          <w:szCs w:val="21"/>
        </w:rPr>
      </w:pPr>
      <w:r>
        <w:rPr>
          <w:rFonts w:hint="eastAsia" w:ascii="宋体" w:hAnsi="宋体" w:cs="宋体"/>
          <w:szCs w:val="21"/>
        </w:rPr>
        <w:t xml:space="preserve">1.10 验收过程中发生的费用由乙方承担。 </w:t>
      </w:r>
    </w:p>
    <w:p>
      <w:pPr>
        <w:spacing w:line="360" w:lineRule="auto"/>
        <w:ind w:firstLine="420" w:firstLineChars="200"/>
        <w:rPr>
          <w:rFonts w:ascii="宋体" w:hAnsi="宋体" w:cs="宋体"/>
          <w:szCs w:val="21"/>
          <w:u w:val="single"/>
        </w:rPr>
      </w:pPr>
      <w:r>
        <w:rPr>
          <w:rFonts w:hint="eastAsia" w:ascii="宋体" w:hAnsi="宋体" w:cs="宋体"/>
          <w:szCs w:val="21"/>
        </w:rPr>
        <w:t>1.11</w:t>
      </w:r>
      <w:r>
        <w:rPr>
          <w:rFonts w:hint="eastAsia" w:ascii="宋体" w:hAnsi="宋体" w:cs="宋体"/>
          <w:szCs w:val="21"/>
          <w:u w:val="single"/>
        </w:rPr>
        <w:t>（视项目需要可具体细化） 。</w:t>
      </w:r>
    </w:p>
    <w:p>
      <w:pPr>
        <w:spacing w:line="360" w:lineRule="auto"/>
        <w:ind w:firstLine="420" w:firstLineChars="200"/>
        <w:rPr>
          <w:rFonts w:ascii="宋体" w:hAnsi="宋体" w:cs="宋体"/>
          <w:szCs w:val="21"/>
        </w:rPr>
      </w:pPr>
      <w:r>
        <w:rPr>
          <w:rFonts w:hint="eastAsia" w:ascii="宋体" w:hAnsi="宋体" w:cs="宋体"/>
          <w:szCs w:val="21"/>
        </w:rPr>
        <w:t xml:space="preserve">2.需提供的资料 </w:t>
      </w:r>
    </w:p>
    <w:p>
      <w:pPr>
        <w:spacing w:line="360" w:lineRule="auto"/>
        <w:ind w:firstLine="420" w:firstLineChars="200"/>
        <w:rPr>
          <w:rFonts w:ascii="宋体" w:hAnsi="宋体" w:cs="宋体"/>
          <w:szCs w:val="21"/>
        </w:rPr>
      </w:pPr>
      <w:r>
        <w:rPr>
          <w:rFonts w:hint="eastAsia" w:ascii="宋体" w:hAnsi="宋体" w:cs="宋体"/>
          <w:szCs w:val="21"/>
        </w:rPr>
        <w:t xml:space="preserve">2.1 合同签订后需提供的资料：乙方须在合同签订后五天内提交项目实施计划书一份并经甲方认可后实施，项目实施计划书内容应包括：设备购置、整体集成设计、交货、施工（含安装、集成）、调试、试运行、验收、质保期内售后服务等工作计划。 </w:t>
      </w:r>
    </w:p>
    <w:p>
      <w:pPr>
        <w:spacing w:line="360" w:lineRule="auto"/>
        <w:ind w:firstLine="420" w:firstLineChars="200"/>
        <w:rPr>
          <w:rFonts w:ascii="宋体" w:hAnsi="宋体" w:cs="宋体"/>
          <w:szCs w:val="21"/>
        </w:rPr>
      </w:pPr>
      <w:r>
        <w:rPr>
          <w:rFonts w:hint="eastAsia" w:ascii="宋体" w:hAnsi="宋体" w:cs="宋体"/>
          <w:szCs w:val="21"/>
        </w:rPr>
        <w:t xml:space="preserve">2.2 项目验收前须提供的资料： </w:t>
      </w:r>
    </w:p>
    <w:p>
      <w:pPr>
        <w:spacing w:line="360" w:lineRule="auto"/>
        <w:ind w:firstLine="420" w:firstLineChars="200"/>
        <w:rPr>
          <w:rFonts w:ascii="宋体" w:hAnsi="宋体" w:cs="宋体"/>
          <w:szCs w:val="21"/>
        </w:rPr>
      </w:pPr>
      <w:r>
        <w:rPr>
          <w:rFonts w:hint="eastAsia" w:ascii="宋体" w:hAnsi="宋体" w:cs="宋体"/>
          <w:szCs w:val="21"/>
        </w:rPr>
        <w:t xml:space="preserve">2.2.1 主要设备或部件的质量保证计划。 </w:t>
      </w:r>
    </w:p>
    <w:p>
      <w:pPr>
        <w:spacing w:line="360" w:lineRule="auto"/>
        <w:ind w:firstLine="420" w:firstLineChars="200"/>
        <w:rPr>
          <w:rFonts w:ascii="宋体" w:hAnsi="宋体" w:cs="宋体"/>
          <w:szCs w:val="21"/>
        </w:rPr>
      </w:pPr>
      <w:r>
        <w:rPr>
          <w:rFonts w:hint="eastAsia" w:ascii="宋体" w:hAnsi="宋体" w:cs="宋体"/>
          <w:szCs w:val="21"/>
        </w:rPr>
        <w:t xml:space="preserve">2.2.2 提供所有技术说明文档和设备安装、维护使用说明书。 </w:t>
      </w:r>
    </w:p>
    <w:p>
      <w:pPr>
        <w:spacing w:line="360" w:lineRule="auto"/>
        <w:ind w:firstLine="420" w:firstLineChars="200"/>
        <w:rPr>
          <w:rFonts w:ascii="宋体" w:hAnsi="宋体" w:cs="宋体"/>
          <w:szCs w:val="21"/>
        </w:rPr>
      </w:pPr>
      <w:r>
        <w:rPr>
          <w:rFonts w:hint="eastAsia" w:ascii="宋体" w:hAnsi="宋体" w:cs="宋体"/>
          <w:szCs w:val="21"/>
        </w:rPr>
        <w:t xml:space="preserve">2.2.3 设备及其和安装有关的技术原理图、接线图。 </w:t>
      </w:r>
    </w:p>
    <w:p>
      <w:pPr>
        <w:spacing w:line="360" w:lineRule="auto"/>
        <w:ind w:firstLine="420" w:firstLineChars="200"/>
        <w:rPr>
          <w:rFonts w:ascii="宋体" w:hAnsi="宋体" w:cs="宋体"/>
          <w:szCs w:val="21"/>
        </w:rPr>
      </w:pPr>
      <w:r>
        <w:rPr>
          <w:rFonts w:hint="eastAsia" w:ascii="宋体" w:hAnsi="宋体" w:cs="宋体"/>
          <w:szCs w:val="21"/>
        </w:rPr>
        <w:t xml:space="preserve">2.2.4 随机的辅助设备、专用线缆、随机软件、技术资料（包括操作手册、使用指南、维修指南和含维修网点在内的服务手册等）。 </w:t>
      </w:r>
    </w:p>
    <w:p>
      <w:pPr>
        <w:spacing w:line="360" w:lineRule="auto"/>
        <w:ind w:firstLine="420" w:firstLineChars="200"/>
        <w:rPr>
          <w:rFonts w:ascii="宋体" w:hAnsi="宋体" w:cs="宋体"/>
          <w:szCs w:val="21"/>
        </w:rPr>
      </w:pPr>
      <w:r>
        <w:rPr>
          <w:rFonts w:hint="eastAsia" w:ascii="宋体" w:hAnsi="宋体" w:cs="宋体"/>
          <w:szCs w:val="21"/>
        </w:rPr>
        <w:t xml:space="preserve">2.2.5 设备运行所必需的随机消耗材料，相应的技术服务与质量保证。投标方应提供所供产品备件、 附件和耗材的使用、消耗情况说明并推荐相应供应商及供货单价。 </w:t>
      </w:r>
    </w:p>
    <w:p>
      <w:pPr>
        <w:spacing w:line="360" w:lineRule="auto"/>
        <w:ind w:firstLine="420" w:firstLineChars="200"/>
        <w:rPr>
          <w:rFonts w:ascii="宋体" w:hAnsi="宋体" w:cs="宋体"/>
          <w:szCs w:val="21"/>
        </w:rPr>
      </w:pPr>
      <w:r>
        <w:rPr>
          <w:rFonts w:hint="eastAsia" w:ascii="宋体" w:hAnsi="宋体" w:cs="宋体"/>
          <w:szCs w:val="21"/>
        </w:rPr>
        <w:t xml:space="preserve">2.2.6 在所供设备交付使用时，乙方必须向甲方提供产品说明书、质量保证书、保修卡、配置文档、使用手册、测试文档等必须具备的相关资料和必备的附件。 </w:t>
      </w:r>
    </w:p>
    <w:p>
      <w:pPr>
        <w:spacing w:line="360" w:lineRule="auto"/>
        <w:ind w:firstLine="420" w:firstLineChars="200"/>
        <w:rPr>
          <w:rFonts w:ascii="宋体" w:hAnsi="宋体" w:cs="宋体"/>
          <w:szCs w:val="21"/>
        </w:rPr>
      </w:pPr>
      <w:r>
        <w:rPr>
          <w:rFonts w:hint="eastAsia" w:ascii="宋体" w:hAnsi="宋体" w:cs="宋体"/>
          <w:szCs w:val="21"/>
        </w:rPr>
        <w:t>2.2.7 乙方认为可能需要的其它文件。</w:t>
      </w:r>
    </w:p>
    <w:p>
      <w:pPr>
        <w:spacing w:line="360" w:lineRule="auto"/>
        <w:ind w:firstLine="420" w:firstLineChars="200"/>
        <w:rPr>
          <w:rFonts w:ascii="宋体" w:hAnsi="宋体" w:cs="宋体"/>
          <w:szCs w:val="21"/>
        </w:rPr>
      </w:pPr>
      <w:r>
        <w:rPr>
          <w:rFonts w:hint="eastAsia" w:ascii="宋体" w:hAnsi="宋体" w:cs="宋体"/>
          <w:szCs w:val="21"/>
        </w:rPr>
        <w:t>3.项目验收过程中，双方如对合同标的是否满足合同要求发生争议的，则由乙方将争议合同标的提交双方均认可的检测、检验机构进行鉴定或测试，双方同意以该机构出具的报告结论为解决争议的最终依据。鉴定或测试所需费用由乙方先行支付。鉴定或测试结果符合合同约定的，相关费用由甲方承担，否则由乙方承担。</w:t>
      </w:r>
    </w:p>
    <w:p>
      <w:pPr>
        <w:autoSpaceDE w:val="0"/>
        <w:autoSpaceDN w:val="0"/>
        <w:adjustRightInd w:val="0"/>
        <w:spacing w:line="300" w:lineRule="auto"/>
        <w:ind w:firstLine="420" w:firstLineChars="200"/>
        <w:textAlignment w:val="bottom"/>
        <w:rPr>
          <w:rFonts w:ascii="宋体" w:hAnsi="宋体" w:cs="宋体"/>
          <w:bCs/>
          <w:szCs w:val="21"/>
          <w:highlight w:val="yellow"/>
        </w:rPr>
      </w:pPr>
      <w:r>
        <w:rPr>
          <w:rFonts w:hint="eastAsia" w:ascii="宋体" w:hAnsi="宋体" w:cs="宋体"/>
          <w:szCs w:val="21"/>
        </w:rPr>
        <w:t>4.采购需求清单中以“★”号标明的重点要求、条件、技术性能指标，</w:t>
      </w:r>
      <w:r>
        <w:rPr>
          <w:rFonts w:hint="eastAsia" w:ascii="宋体" w:hAnsi="宋体" w:cs="宋体"/>
          <w:bCs/>
          <w:szCs w:val="21"/>
          <w:lang w:val="zh-CN"/>
        </w:rPr>
        <w:t>乙方必须如实响应，项目验收时将重点核实或测试相关要求是否全部被满足；验收时确认投标产品不能全部满足相关要求的，按验收不通过处理。</w:t>
      </w:r>
    </w:p>
    <w:p>
      <w:pPr>
        <w:spacing w:line="360" w:lineRule="auto"/>
        <w:ind w:firstLine="422" w:firstLineChars="200"/>
        <w:jc w:val="left"/>
        <w:rPr>
          <w:rFonts w:ascii="宋体" w:hAnsi="宋体" w:cs="宋体"/>
          <w:b/>
          <w:szCs w:val="21"/>
        </w:rPr>
      </w:pPr>
      <w:r>
        <w:rPr>
          <w:rFonts w:hint="eastAsia" w:ascii="宋体" w:hAnsi="宋体" w:cs="宋体"/>
          <w:b/>
          <w:szCs w:val="21"/>
        </w:rPr>
        <w:t>十一、付款方式</w:t>
      </w:r>
    </w:p>
    <w:p>
      <w:pPr>
        <w:spacing w:line="360" w:lineRule="auto"/>
        <w:ind w:firstLine="420" w:firstLineChars="200"/>
        <w:jc w:val="left"/>
        <w:rPr>
          <w:rFonts w:ascii="宋体" w:hAnsi="宋体" w:cs="宋体"/>
          <w:szCs w:val="21"/>
          <w:u w:val="single"/>
        </w:rPr>
      </w:pPr>
      <w:r>
        <w:rPr>
          <w:rFonts w:hint="eastAsia" w:ascii="宋体" w:hAnsi="宋体" w:cs="宋体"/>
          <w:szCs w:val="21"/>
          <w:u w:val="single"/>
        </w:rPr>
        <w:t xml:space="preserve">          （按采购文件规定填写）                    </w:t>
      </w:r>
      <w:r>
        <w:rPr>
          <w:rFonts w:hint="eastAsia" w:ascii="宋体" w:hAnsi="宋体" w:cs="宋体"/>
          <w:szCs w:val="21"/>
        </w:rPr>
        <w:t>。</w:t>
      </w:r>
    </w:p>
    <w:p>
      <w:pPr>
        <w:spacing w:line="360" w:lineRule="auto"/>
        <w:ind w:firstLine="422" w:firstLineChars="200"/>
        <w:jc w:val="left"/>
        <w:rPr>
          <w:rFonts w:ascii="宋体" w:hAnsi="宋体" w:cs="宋体"/>
          <w:b/>
          <w:szCs w:val="21"/>
        </w:rPr>
      </w:pPr>
      <w:r>
        <w:rPr>
          <w:rFonts w:hint="eastAsia" w:ascii="宋体" w:hAnsi="宋体" w:cs="宋体"/>
          <w:b/>
          <w:szCs w:val="21"/>
        </w:rPr>
        <w:t>十二、质量保证及售后服务</w:t>
      </w:r>
    </w:p>
    <w:p>
      <w:pPr>
        <w:spacing w:line="360" w:lineRule="auto"/>
        <w:ind w:firstLine="420" w:firstLineChars="200"/>
        <w:rPr>
          <w:rFonts w:ascii="宋体" w:hAnsi="宋体" w:cs="宋体"/>
          <w:szCs w:val="21"/>
        </w:rPr>
      </w:pPr>
      <w:r>
        <w:rPr>
          <w:rFonts w:hint="eastAsia" w:ascii="宋体" w:hAnsi="宋体" w:cs="宋体"/>
          <w:szCs w:val="21"/>
        </w:rPr>
        <w:t>1.乙方应保证所提供的产品（原材料及成品）是全新、未使用过的合格产品，并完全符合招标文件、投标文件及本合同规定的规格、性能和质量要求。</w:t>
      </w:r>
    </w:p>
    <w:p>
      <w:pPr>
        <w:spacing w:line="360" w:lineRule="auto"/>
        <w:ind w:firstLine="420" w:firstLineChars="200"/>
        <w:rPr>
          <w:rFonts w:ascii="宋体" w:hAnsi="宋体" w:cs="宋体"/>
          <w:szCs w:val="21"/>
        </w:rPr>
      </w:pPr>
      <w:r>
        <w:rPr>
          <w:rFonts w:hint="eastAsia" w:ascii="宋体" w:hAnsi="宋体" w:cs="宋体"/>
          <w:szCs w:val="21"/>
        </w:rPr>
        <w:t>2.产品的技术标准按国家标准执行，无国家标准的，按行业标准执行，无国家和行业标准的，按企业标准执行；但在招标文件中有特别要求的，按招标文件中规定的标准执行，并且符合相关法律、法规规定的要求。</w:t>
      </w:r>
    </w:p>
    <w:p>
      <w:pPr>
        <w:spacing w:line="360" w:lineRule="auto"/>
        <w:ind w:firstLine="420" w:firstLineChars="200"/>
        <w:rPr>
          <w:rFonts w:ascii="宋体" w:hAnsi="宋体" w:cs="宋体"/>
          <w:szCs w:val="21"/>
        </w:rPr>
      </w:pPr>
      <w:r>
        <w:rPr>
          <w:rFonts w:hint="eastAsia" w:ascii="宋体" w:hAnsi="宋体" w:cs="宋体"/>
          <w:szCs w:val="21"/>
        </w:rPr>
        <w:t>3.乙方为产品提供的质量保证期为最终验收合格之日起</w:t>
      </w:r>
      <w:r>
        <w:rPr>
          <w:rFonts w:hint="eastAsia" w:ascii="宋体" w:hAnsi="宋体" w:cs="宋体"/>
          <w:szCs w:val="21"/>
          <w:u w:val="single"/>
        </w:rPr>
        <w:t xml:space="preserve">     </w:t>
      </w:r>
      <w:r>
        <w:rPr>
          <w:rFonts w:hint="eastAsia" w:ascii="宋体" w:hAnsi="宋体" w:cs="宋体"/>
          <w:szCs w:val="21"/>
        </w:rPr>
        <w:t>个月。如甲方原因导致不能及时到货或不能及时完成安装（调试）的，产品的质保期自到货之日起</w:t>
      </w:r>
      <w:r>
        <w:rPr>
          <w:rFonts w:hint="eastAsia" w:ascii="宋体" w:hAnsi="宋体" w:cs="宋体"/>
          <w:szCs w:val="21"/>
          <w:u w:val="single"/>
        </w:rPr>
        <w:t xml:space="preserve"> 3 </w:t>
      </w:r>
      <w:r>
        <w:rPr>
          <w:rFonts w:hint="eastAsia" w:ascii="宋体" w:hAnsi="宋体" w:cs="宋体"/>
          <w:szCs w:val="21"/>
        </w:rPr>
        <w:t>个月后开始计算。质量保证期内，所供产品在正常使用的前提下出现质量问题的，乙方须负责免费维修或调换。</w:t>
      </w:r>
    </w:p>
    <w:p>
      <w:pPr>
        <w:spacing w:line="360" w:lineRule="auto"/>
        <w:ind w:firstLine="420" w:firstLineChars="200"/>
        <w:rPr>
          <w:rFonts w:ascii="宋体" w:hAnsi="宋体" w:cs="宋体"/>
          <w:szCs w:val="21"/>
        </w:rPr>
      </w:pPr>
      <w:r>
        <w:rPr>
          <w:rFonts w:hint="eastAsia" w:ascii="宋体" w:hAnsi="宋体" w:cs="宋体"/>
          <w:szCs w:val="21"/>
        </w:rPr>
        <w:t>4.乙方须保证维修人员须在接到维修通知后</w:t>
      </w:r>
      <w:r>
        <w:rPr>
          <w:rFonts w:hint="eastAsia" w:ascii="宋体" w:hAnsi="宋体" w:cs="宋体"/>
          <w:szCs w:val="21"/>
          <w:u w:val="single"/>
        </w:rPr>
        <w:t xml:space="preserve">   </w:t>
      </w:r>
      <w:r>
        <w:rPr>
          <w:rFonts w:hint="eastAsia" w:ascii="宋体" w:hAnsi="宋体" w:cs="宋体"/>
          <w:szCs w:val="21"/>
        </w:rPr>
        <w:t>小时内赶到现场，</w:t>
      </w:r>
      <w:r>
        <w:rPr>
          <w:rFonts w:hint="eastAsia" w:ascii="宋体" w:hAnsi="宋体" w:cs="宋体"/>
          <w:szCs w:val="21"/>
          <w:u w:val="single"/>
        </w:rPr>
        <w:t xml:space="preserve">    </w:t>
      </w:r>
      <w:r>
        <w:rPr>
          <w:rFonts w:hint="eastAsia" w:ascii="宋体" w:hAnsi="宋体" w:cs="宋体"/>
          <w:szCs w:val="21"/>
        </w:rPr>
        <w:t>小时内解决问题，以确保甲方正常工作不受影响。</w:t>
      </w:r>
    </w:p>
    <w:p>
      <w:pPr>
        <w:spacing w:line="360" w:lineRule="auto"/>
        <w:ind w:firstLine="420" w:firstLineChars="200"/>
        <w:rPr>
          <w:rFonts w:ascii="宋体" w:hAnsi="宋体" w:cs="宋体"/>
          <w:szCs w:val="21"/>
        </w:rPr>
      </w:pPr>
      <w:r>
        <w:rPr>
          <w:rFonts w:hint="eastAsia" w:ascii="宋体" w:hAnsi="宋体" w:cs="宋体"/>
          <w:szCs w:val="21"/>
        </w:rPr>
        <w:t>5.质保期内所有服务免费，乙方不得以材料费、劳务和差旅费等名义收取任何费用。</w:t>
      </w:r>
    </w:p>
    <w:p>
      <w:pPr>
        <w:spacing w:line="360" w:lineRule="auto"/>
        <w:ind w:firstLine="420" w:firstLineChars="200"/>
        <w:rPr>
          <w:rFonts w:ascii="宋体" w:hAnsi="宋体" w:cs="宋体"/>
          <w:szCs w:val="21"/>
          <w:u w:val="single"/>
        </w:rPr>
      </w:pPr>
      <w:r>
        <w:rPr>
          <w:rFonts w:hint="eastAsia" w:ascii="宋体" w:hAnsi="宋体" w:cs="宋体"/>
          <w:szCs w:val="21"/>
        </w:rPr>
        <w:t>6.其他：</w:t>
      </w:r>
      <w:r>
        <w:rPr>
          <w:rFonts w:hint="eastAsia" w:ascii="宋体" w:hAnsi="宋体" w:cs="宋体"/>
          <w:szCs w:val="21"/>
          <w:u w:val="single"/>
        </w:rPr>
        <w:t>乙方投标文件承诺的其他质量保证及售后服务内容（如有）。</w:t>
      </w:r>
    </w:p>
    <w:p>
      <w:pPr>
        <w:spacing w:line="360" w:lineRule="auto"/>
        <w:ind w:firstLine="422" w:firstLineChars="200"/>
        <w:jc w:val="left"/>
        <w:rPr>
          <w:rFonts w:ascii="宋体" w:hAnsi="宋体" w:cs="宋体"/>
          <w:b/>
          <w:szCs w:val="21"/>
        </w:rPr>
      </w:pPr>
      <w:r>
        <w:rPr>
          <w:rFonts w:hint="eastAsia" w:ascii="宋体" w:hAnsi="宋体" w:cs="宋体"/>
          <w:b/>
          <w:szCs w:val="21"/>
        </w:rPr>
        <w:t>十三、税费</w:t>
      </w:r>
    </w:p>
    <w:p>
      <w:pPr>
        <w:spacing w:line="360" w:lineRule="auto"/>
        <w:ind w:firstLine="420" w:firstLineChars="200"/>
        <w:rPr>
          <w:rFonts w:ascii="宋体" w:hAnsi="宋体" w:cs="宋体"/>
          <w:szCs w:val="21"/>
        </w:rPr>
      </w:pPr>
      <w:r>
        <w:rPr>
          <w:rFonts w:hint="eastAsia" w:ascii="宋体" w:hAnsi="宋体" w:cs="宋体"/>
          <w:szCs w:val="21"/>
        </w:rPr>
        <w:t>本合同执行中相关的一切税费均由乙方负担。</w:t>
      </w:r>
    </w:p>
    <w:p>
      <w:pPr>
        <w:spacing w:line="360" w:lineRule="auto"/>
        <w:ind w:firstLine="422" w:firstLineChars="200"/>
        <w:jc w:val="left"/>
        <w:rPr>
          <w:rFonts w:ascii="宋体" w:hAnsi="宋体" w:cs="宋体"/>
          <w:b/>
          <w:szCs w:val="21"/>
        </w:rPr>
      </w:pPr>
      <w:r>
        <w:rPr>
          <w:rFonts w:hint="eastAsia" w:ascii="宋体" w:hAnsi="宋体" w:cs="宋体"/>
          <w:b/>
          <w:szCs w:val="21"/>
        </w:rPr>
        <w:t>十四、违约责任</w:t>
      </w:r>
    </w:p>
    <w:p>
      <w:pPr>
        <w:spacing w:line="360" w:lineRule="auto"/>
        <w:ind w:firstLine="420" w:firstLineChars="200"/>
        <w:rPr>
          <w:rFonts w:ascii="宋体" w:hAnsi="宋体" w:cs="宋体"/>
          <w:szCs w:val="21"/>
        </w:rPr>
      </w:pPr>
      <w:r>
        <w:rPr>
          <w:rFonts w:hint="eastAsia" w:ascii="宋体" w:hAnsi="宋体" w:cs="宋体"/>
          <w:szCs w:val="21"/>
        </w:rPr>
        <w:t>1.甲方无正当理由拒绝接受乙方提供的合格货物的，应向乙方偿付合同金额的</w:t>
      </w:r>
      <w:r>
        <w:rPr>
          <w:rFonts w:hint="eastAsia" w:ascii="宋体" w:hAnsi="宋体" w:cs="宋体"/>
          <w:szCs w:val="21"/>
          <w:u w:val="single"/>
        </w:rPr>
        <w:t>2.5%</w:t>
      </w:r>
      <w:r>
        <w:rPr>
          <w:rFonts w:hint="eastAsia" w:ascii="宋体" w:hAnsi="宋体" w:cs="宋体"/>
          <w:szCs w:val="21"/>
        </w:rPr>
        <w:t>作为违约金。</w:t>
      </w:r>
    </w:p>
    <w:p>
      <w:pPr>
        <w:spacing w:line="360" w:lineRule="auto"/>
        <w:ind w:firstLine="420" w:firstLineChars="200"/>
        <w:rPr>
          <w:rFonts w:ascii="宋体" w:hAnsi="宋体" w:cs="宋体"/>
          <w:szCs w:val="21"/>
        </w:rPr>
      </w:pPr>
      <w:r>
        <w:rPr>
          <w:rFonts w:hint="eastAsia" w:ascii="宋体" w:hAnsi="宋体" w:cs="宋体"/>
          <w:szCs w:val="21"/>
        </w:rPr>
        <w:t>2.甲方逾期办理合同款项支付手续且无正当理由的，应按同期商业银行贷款（一年期）基准利率向乙方支付逾期付款金额的利息。但总额不超过合同金额的</w:t>
      </w:r>
      <w:r>
        <w:rPr>
          <w:rFonts w:hint="eastAsia" w:ascii="宋体" w:hAnsi="宋体" w:cs="宋体"/>
          <w:szCs w:val="21"/>
          <w:u w:val="single"/>
        </w:rPr>
        <w:t>2.5%</w:t>
      </w:r>
      <w:r>
        <w:rPr>
          <w:rFonts w:hint="eastAsia" w:ascii="宋体" w:hAnsi="宋体" w:cs="宋体"/>
          <w:szCs w:val="21"/>
        </w:rPr>
        <w:t>。由于乙方账户、发票、财政资金拨付不及时等原因导致不能按时支付相应款项的，甲方不承担逾期付款的违约责任。</w:t>
      </w:r>
    </w:p>
    <w:p>
      <w:pPr>
        <w:spacing w:line="360" w:lineRule="auto"/>
        <w:ind w:firstLine="420" w:firstLineChars="200"/>
        <w:rPr>
          <w:rFonts w:ascii="宋体" w:hAnsi="宋体" w:cs="宋体"/>
          <w:color w:val="000000"/>
          <w:kern w:val="0"/>
          <w:szCs w:val="21"/>
        </w:rPr>
      </w:pPr>
      <w:r>
        <w:rPr>
          <w:rFonts w:hint="eastAsia" w:ascii="宋体" w:hAnsi="宋体" w:cs="宋体"/>
          <w:szCs w:val="21"/>
        </w:rPr>
        <w:t>3.乙方交付的货物品种、型号、规格、数量、质量标准不符合其投标文件承诺或采购文件规定标准的，甲方有权拒收该货物并拒付货款，乙方愿意更换产品但逾期交货的，按乙方逾期交付处理。乙方拒绝更换货物的，甲方可终止执行合同并扣罚全额履约保证金，若造成甲方损失超过违约金的，超出部分由乙方继续承担赔偿责任。</w:t>
      </w:r>
    </w:p>
    <w:p>
      <w:pPr>
        <w:spacing w:line="360" w:lineRule="auto"/>
        <w:ind w:firstLine="420" w:firstLineChars="200"/>
        <w:rPr>
          <w:rFonts w:ascii="宋体" w:hAnsi="宋体" w:cs="宋体"/>
          <w:szCs w:val="21"/>
        </w:rPr>
      </w:pPr>
      <w:r>
        <w:rPr>
          <w:rFonts w:hint="eastAsia" w:ascii="宋体" w:hAnsi="宋体" w:cs="宋体"/>
          <w:color w:val="000000"/>
          <w:kern w:val="0"/>
          <w:szCs w:val="21"/>
        </w:rPr>
        <w:t>4.乙方未能在合同规定的时间内完成供货、调试、验收并移交的，则每逾期一天应按合同金额的</w:t>
      </w:r>
      <w:r>
        <w:rPr>
          <w:rFonts w:hint="eastAsia" w:ascii="宋体" w:hAnsi="宋体" w:cs="宋体"/>
          <w:color w:val="000000"/>
          <w:kern w:val="0"/>
          <w:szCs w:val="21"/>
          <w:u w:val="single"/>
        </w:rPr>
        <w:t xml:space="preserve">      </w:t>
      </w:r>
      <w:r>
        <w:rPr>
          <w:rFonts w:hint="eastAsia" w:ascii="宋体" w:hAnsi="宋体" w:cs="宋体"/>
          <w:color w:val="000000"/>
          <w:kern w:val="0"/>
          <w:szCs w:val="21"/>
        </w:rPr>
        <w:t>为标准向甲方支付违约金，由甲方从待付合同款项中扣除。如逾期交付超过</w:t>
      </w:r>
      <w:r>
        <w:rPr>
          <w:rFonts w:hint="eastAsia" w:ascii="宋体" w:hAnsi="宋体" w:cs="宋体"/>
          <w:color w:val="000000"/>
          <w:kern w:val="0"/>
          <w:szCs w:val="21"/>
          <w:u w:val="single"/>
        </w:rPr>
        <w:t xml:space="preserve">   </w:t>
      </w:r>
      <w:r>
        <w:rPr>
          <w:rFonts w:hint="eastAsia" w:ascii="宋体" w:hAnsi="宋体" w:cs="宋体"/>
          <w:color w:val="000000"/>
          <w:kern w:val="0"/>
          <w:szCs w:val="21"/>
        </w:rPr>
        <w:t>天的，除违约金外，甲方还将扣除全额履约保证金，并有权终止执行合同。</w:t>
      </w:r>
    </w:p>
    <w:p>
      <w:pPr>
        <w:spacing w:line="360" w:lineRule="auto"/>
        <w:ind w:firstLine="420" w:firstLineChars="200"/>
        <w:rPr>
          <w:rFonts w:ascii="宋体" w:hAnsi="宋体" w:cs="宋体"/>
          <w:szCs w:val="21"/>
        </w:rPr>
      </w:pPr>
      <w:r>
        <w:rPr>
          <w:rFonts w:hint="eastAsia" w:ascii="宋体" w:hAnsi="宋体" w:cs="宋体"/>
          <w:szCs w:val="21"/>
        </w:rPr>
        <w:t>5.乙方未按照承诺的维保响应时间到位的，每逾期1小时应按</w:t>
      </w:r>
      <w:r>
        <w:rPr>
          <w:rFonts w:hint="eastAsia" w:ascii="宋体" w:hAnsi="宋体" w:cs="宋体"/>
          <w:szCs w:val="21"/>
          <w:u w:val="single"/>
        </w:rPr>
        <w:t xml:space="preserve">    </w:t>
      </w:r>
      <w:r>
        <w:rPr>
          <w:rFonts w:hint="eastAsia" w:ascii="宋体" w:hAnsi="宋体" w:cs="宋体"/>
          <w:szCs w:val="21"/>
        </w:rPr>
        <w:t>元为标准支付违约金，由甲方从待付合同款项或运行维护费中扣除。如乙方在</w:t>
      </w:r>
      <w:r>
        <w:rPr>
          <w:rFonts w:hint="eastAsia" w:ascii="宋体" w:hAnsi="宋体" w:cs="宋体"/>
          <w:szCs w:val="21"/>
          <w:u w:val="single"/>
        </w:rPr>
        <w:t xml:space="preserve">    </w:t>
      </w:r>
      <w:r>
        <w:rPr>
          <w:rFonts w:hint="eastAsia" w:ascii="宋体" w:hAnsi="宋体" w:cs="宋体"/>
          <w:szCs w:val="21"/>
        </w:rPr>
        <w:t xml:space="preserve">小时后仍未能解决故障的，除扣除相应违约金外，甲方可采取必要的补救措施（如委托其他第三方维修机构进行维修或更换新设备等），所产生的费用及对甲方造成的一切损失，均由乙方承担，直接从运行维护费中进行扣除。 </w:t>
      </w:r>
    </w:p>
    <w:p>
      <w:pPr>
        <w:spacing w:line="360" w:lineRule="auto"/>
        <w:ind w:firstLine="420" w:firstLineChars="200"/>
        <w:rPr>
          <w:rFonts w:ascii="宋体" w:hAnsi="宋体" w:cs="宋体"/>
          <w:szCs w:val="21"/>
        </w:rPr>
      </w:pPr>
      <w:r>
        <w:rPr>
          <w:rFonts w:hint="eastAsia" w:ascii="宋体" w:hAnsi="宋体" w:cs="宋体"/>
          <w:szCs w:val="21"/>
        </w:rPr>
        <w:t>6.乙方须在甲方整改通知书规定的时限内完成相关整改工作，如逾期未整改到位的，每逾期一天，处以</w:t>
      </w:r>
      <w:r>
        <w:rPr>
          <w:rFonts w:hint="eastAsia" w:ascii="宋体" w:hAnsi="宋体" w:cs="宋体"/>
          <w:szCs w:val="21"/>
          <w:u w:val="single"/>
        </w:rPr>
        <w:t xml:space="preserve">        </w:t>
      </w:r>
      <w:r>
        <w:rPr>
          <w:rFonts w:hint="eastAsia" w:ascii="宋体" w:hAnsi="宋体" w:cs="宋体"/>
          <w:szCs w:val="21"/>
        </w:rPr>
        <w:t>元的违约金；逾期</w:t>
      </w:r>
      <w:r>
        <w:rPr>
          <w:rFonts w:hint="eastAsia" w:ascii="宋体" w:hAnsi="宋体" w:cs="宋体"/>
          <w:szCs w:val="21"/>
          <w:u w:val="single"/>
        </w:rPr>
        <w:t xml:space="preserve">    </w:t>
      </w:r>
      <w:r>
        <w:rPr>
          <w:rFonts w:hint="eastAsia" w:ascii="宋体" w:hAnsi="宋体" w:cs="宋体"/>
          <w:szCs w:val="21"/>
        </w:rPr>
        <w:t>天的，甲方有权单方解除合同。</w:t>
      </w:r>
    </w:p>
    <w:p>
      <w:pPr>
        <w:spacing w:line="360" w:lineRule="auto"/>
        <w:ind w:firstLine="420" w:firstLineChars="200"/>
        <w:rPr>
          <w:rFonts w:ascii="宋体" w:hAnsi="宋体" w:cs="宋体"/>
          <w:szCs w:val="21"/>
        </w:rPr>
      </w:pPr>
      <w:r>
        <w:rPr>
          <w:rFonts w:hint="eastAsia" w:ascii="宋体" w:hAnsi="宋体" w:cs="宋体"/>
          <w:szCs w:val="21"/>
        </w:rPr>
        <w:t>7.因乙方逾期交货或不履行其投标文件承诺的维保服务或拒绝履行合同约定的其他主要义务等违约行为导致甲方终止合同的，甲方将扣除全额履约保证金，同时乙方应向甲方支付合同金额的</w:t>
      </w:r>
      <w:r>
        <w:rPr>
          <w:rFonts w:hint="eastAsia" w:ascii="宋体" w:hAnsi="宋体" w:cs="宋体"/>
          <w:szCs w:val="21"/>
          <w:u w:val="single"/>
        </w:rPr>
        <w:t>2.5%</w:t>
      </w:r>
      <w:r>
        <w:rPr>
          <w:rFonts w:hint="eastAsia" w:ascii="宋体" w:hAnsi="宋体" w:cs="宋体"/>
          <w:szCs w:val="21"/>
        </w:rPr>
        <w:t>作为违约金，如造成甲方损失超过违约金的，超出部分由乙方继续承担赔偿责任。</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8.出现甲方扣除全部或部分履约保证金情形,乙方应在收到甲方通知的7个工作日内向甲方补足履约保证金,否则甲方有权单方解除本合同并没收剩余履约保证金。</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9.因甲方原因造成工期（完成期限）延误的，总工期相应顺延，乙方无需承担违约责任。</w:t>
      </w:r>
    </w:p>
    <w:p>
      <w:pPr>
        <w:spacing w:line="360" w:lineRule="auto"/>
        <w:ind w:firstLine="422" w:firstLineChars="200"/>
        <w:jc w:val="left"/>
        <w:rPr>
          <w:rFonts w:ascii="宋体" w:hAnsi="宋体" w:cs="宋体"/>
          <w:b/>
          <w:szCs w:val="21"/>
        </w:rPr>
      </w:pPr>
      <w:r>
        <w:rPr>
          <w:rFonts w:hint="eastAsia" w:ascii="宋体" w:hAnsi="宋体" w:cs="宋体"/>
          <w:b/>
          <w:szCs w:val="21"/>
        </w:rPr>
        <w:t>十五、不可抗力事件处理</w:t>
      </w:r>
    </w:p>
    <w:p>
      <w:pPr>
        <w:spacing w:line="360" w:lineRule="auto"/>
        <w:ind w:firstLine="420" w:firstLineChars="200"/>
        <w:rPr>
          <w:rFonts w:ascii="宋体" w:hAnsi="宋体" w:cs="宋体"/>
          <w:szCs w:val="21"/>
        </w:rPr>
      </w:pPr>
      <w:r>
        <w:rPr>
          <w:rFonts w:hint="eastAsia" w:ascii="宋体" w:hAnsi="宋体" w:cs="宋体"/>
          <w:szCs w:val="21"/>
        </w:rPr>
        <w:t>1.合同履行期间内（含质量保证期），任何一方因不可抗力事件导致不能履行合同，则合同履行期可延长，其延长期与不可抗力影响期相同。</w:t>
      </w:r>
    </w:p>
    <w:p>
      <w:pPr>
        <w:spacing w:line="360" w:lineRule="auto"/>
        <w:ind w:firstLine="420" w:firstLineChars="200"/>
        <w:rPr>
          <w:rFonts w:ascii="宋体" w:hAnsi="宋体" w:cs="宋体"/>
          <w:szCs w:val="21"/>
        </w:rPr>
      </w:pPr>
      <w:r>
        <w:rPr>
          <w:rFonts w:hint="eastAsia" w:ascii="宋体" w:hAnsi="宋体" w:cs="宋体"/>
          <w:szCs w:val="21"/>
        </w:rPr>
        <w:t>2.不可抗力事件发生后，应立即通知对方，并寄送有关权威机构出具的证明。</w:t>
      </w:r>
    </w:p>
    <w:p>
      <w:pPr>
        <w:spacing w:line="360" w:lineRule="auto"/>
        <w:ind w:firstLine="420" w:firstLineChars="200"/>
        <w:rPr>
          <w:rFonts w:ascii="宋体" w:hAnsi="宋体" w:cs="宋体"/>
          <w:szCs w:val="21"/>
        </w:rPr>
      </w:pPr>
      <w:r>
        <w:rPr>
          <w:rFonts w:hint="eastAsia" w:ascii="宋体" w:hAnsi="宋体" w:cs="宋体"/>
          <w:szCs w:val="21"/>
        </w:rPr>
        <w:t>3.不可抗力事件延续120天以上，双方应通过友好协商，确定是否继续履行合同。</w:t>
      </w:r>
    </w:p>
    <w:p>
      <w:pPr>
        <w:spacing w:line="360" w:lineRule="auto"/>
        <w:ind w:firstLine="422" w:firstLineChars="200"/>
        <w:jc w:val="left"/>
        <w:rPr>
          <w:rFonts w:ascii="宋体" w:hAnsi="宋体" w:cs="宋体"/>
          <w:b/>
          <w:szCs w:val="21"/>
        </w:rPr>
      </w:pPr>
      <w:r>
        <w:rPr>
          <w:rFonts w:hint="eastAsia" w:ascii="宋体" w:hAnsi="宋体" w:cs="宋体"/>
          <w:b/>
          <w:szCs w:val="21"/>
        </w:rPr>
        <w:t>十六、争议的解决</w:t>
      </w:r>
    </w:p>
    <w:p>
      <w:pPr>
        <w:spacing w:line="360" w:lineRule="auto"/>
        <w:ind w:firstLine="420" w:firstLineChars="200"/>
        <w:rPr>
          <w:rFonts w:ascii="宋体" w:hAnsi="宋体" w:cs="宋体"/>
          <w:szCs w:val="21"/>
        </w:rPr>
      </w:pPr>
      <w:r>
        <w:rPr>
          <w:rFonts w:hint="eastAsia" w:ascii="宋体" w:hAnsi="宋体" w:cs="宋体"/>
          <w:szCs w:val="21"/>
        </w:rPr>
        <w:t>双方在履行合同过程中产生争议时，应首先通过友好协商解决，协商不成的，可提请同级政府采购监管部门调解；调解不成的，可采取以下第</w:t>
      </w:r>
      <w:r>
        <w:rPr>
          <w:rFonts w:hint="eastAsia" w:ascii="宋体" w:hAnsi="宋体" w:cs="宋体"/>
          <w:szCs w:val="21"/>
          <w:u w:val="single"/>
        </w:rPr>
        <w:t xml:space="preserve"> （2） </w:t>
      </w:r>
      <w:r>
        <w:rPr>
          <w:rFonts w:hint="eastAsia" w:ascii="宋体" w:hAnsi="宋体" w:cs="宋体"/>
          <w:szCs w:val="21"/>
        </w:rPr>
        <w:t>种方式处理。</w:t>
      </w:r>
    </w:p>
    <w:p>
      <w:pPr>
        <w:spacing w:line="360" w:lineRule="auto"/>
        <w:ind w:firstLine="420" w:firstLineChars="200"/>
        <w:rPr>
          <w:rFonts w:ascii="宋体" w:hAnsi="宋体" w:cs="宋体"/>
          <w:szCs w:val="21"/>
        </w:rPr>
      </w:pPr>
      <w:r>
        <w:rPr>
          <w:rFonts w:hint="eastAsia" w:ascii="宋体" w:hAnsi="宋体" w:cs="宋体"/>
          <w:szCs w:val="21"/>
        </w:rPr>
        <w:t>（1）通过仲裁方式解决的，约定向衢州仲裁委员会提请仲裁；</w:t>
      </w:r>
    </w:p>
    <w:p>
      <w:pPr>
        <w:spacing w:line="360" w:lineRule="auto"/>
        <w:ind w:firstLine="420" w:firstLineChars="200"/>
        <w:jc w:val="left"/>
        <w:rPr>
          <w:rFonts w:ascii="宋体" w:hAnsi="宋体" w:cs="宋体"/>
          <w:szCs w:val="21"/>
        </w:rPr>
      </w:pPr>
      <w:r>
        <w:rPr>
          <w:rFonts w:hint="eastAsia" w:ascii="宋体" w:hAnsi="宋体" w:cs="宋体"/>
          <w:szCs w:val="21"/>
        </w:rPr>
        <w:t>（2）通过诉讼方式解决的，约定向常山县人民法院提起诉讼。</w:t>
      </w:r>
    </w:p>
    <w:p>
      <w:pPr>
        <w:spacing w:line="360" w:lineRule="auto"/>
        <w:ind w:firstLine="422" w:firstLineChars="200"/>
        <w:jc w:val="left"/>
        <w:rPr>
          <w:rFonts w:ascii="宋体" w:hAnsi="宋体" w:cs="宋体"/>
          <w:b/>
          <w:szCs w:val="21"/>
        </w:rPr>
      </w:pPr>
      <w:r>
        <w:rPr>
          <w:rFonts w:hint="eastAsia" w:ascii="宋体" w:hAnsi="宋体" w:cs="宋体"/>
          <w:b/>
          <w:szCs w:val="21"/>
        </w:rPr>
        <w:t>十七、合同生效及其它</w:t>
      </w:r>
    </w:p>
    <w:p>
      <w:pPr>
        <w:spacing w:line="360" w:lineRule="auto"/>
        <w:ind w:firstLine="420" w:firstLineChars="200"/>
        <w:rPr>
          <w:rFonts w:ascii="宋体" w:hAnsi="宋体" w:cs="宋体"/>
          <w:szCs w:val="21"/>
        </w:rPr>
      </w:pPr>
      <w:r>
        <w:rPr>
          <w:rFonts w:hint="eastAsia" w:ascii="宋体" w:hAnsi="宋体" w:cs="宋体"/>
          <w:szCs w:val="21"/>
        </w:rPr>
        <w:t>1.合同经甲、乙双方法定代表人（单位负责人）或授权代表签字、加盖单位公章后生效；</w:t>
      </w:r>
    </w:p>
    <w:p>
      <w:pPr>
        <w:spacing w:line="360" w:lineRule="auto"/>
        <w:ind w:firstLine="420" w:firstLineChars="200"/>
        <w:rPr>
          <w:rFonts w:ascii="宋体" w:hAnsi="宋体" w:cs="宋体"/>
          <w:szCs w:val="21"/>
        </w:rPr>
      </w:pPr>
      <w:r>
        <w:rPr>
          <w:rFonts w:hint="eastAsia" w:ascii="宋体" w:hAnsi="宋体" w:cs="宋体"/>
          <w:szCs w:val="21"/>
        </w:rPr>
        <w:t>2.合同履行过程中涉及采购内容追加的，需经同级财政部门同意，并签定书面补充协议报同级财政部门备案。</w:t>
      </w:r>
    </w:p>
    <w:p>
      <w:pPr>
        <w:spacing w:line="360" w:lineRule="auto"/>
        <w:ind w:firstLine="420" w:firstLineChars="200"/>
        <w:rPr>
          <w:rFonts w:ascii="宋体" w:hAnsi="宋体" w:cs="宋体"/>
          <w:szCs w:val="21"/>
        </w:rPr>
      </w:pPr>
      <w:r>
        <w:rPr>
          <w:rFonts w:hint="eastAsia" w:ascii="宋体" w:hAnsi="宋体" w:cs="宋体"/>
          <w:szCs w:val="21"/>
        </w:rPr>
        <w:t>3.本合同未尽事宜，遵照《中华人民共和国民法典》有关规定执行。</w:t>
      </w:r>
    </w:p>
    <w:p>
      <w:pPr>
        <w:spacing w:line="360" w:lineRule="auto"/>
        <w:ind w:firstLine="420" w:firstLineChars="200"/>
        <w:rPr>
          <w:rFonts w:ascii="宋体" w:hAnsi="宋体" w:cs="宋体"/>
          <w:szCs w:val="21"/>
        </w:rPr>
      </w:pPr>
      <w:r>
        <w:rPr>
          <w:rFonts w:hint="eastAsia" w:ascii="宋体" w:hAnsi="宋体" w:cs="宋体"/>
          <w:szCs w:val="21"/>
        </w:rPr>
        <w:t>4.本合同正本一式六份，甲乙双方各执二份；鉴证方、同级财政部门各执一份，均具备同等法律效力。</w:t>
      </w:r>
    </w:p>
    <w:p>
      <w:pPr>
        <w:spacing w:line="360" w:lineRule="auto"/>
        <w:ind w:firstLine="420" w:firstLineChars="200"/>
        <w:rPr>
          <w:rFonts w:ascii="宋体" w:hAnsi="宋体" w:cs="宋体"/>
          <w:szCs w:val="21"/>
        </w:rPr>
      </w:pPr>
      <w:r>
        <w:rPr>
          <w:rFonts w:hint="eastAsia" w:ascii="宋体" w:hAnsi="宋体" w:cs="宋体"/>
          <w:szCs w:val="21"/>
        </w:rPr>
        <w:t>（以下无正文）</w:t>
      </w:r>
    </w:p>
    <w:p>
      <w:pPr>
        <w:rPr>
          <w:rFonts w:ascii="宋体" w:hAnsi="宋体" w:cs="宋体"/>
          <w:szCs w:val="21"/>
        </w:rPr>
      </w:pPr>
    </w:p>
    <w:p>
      <w:pPr>
        <w:rPr>
          <w:rFonts w:ascii="宋体" w:hAnsi="宋体" w:cs="宋体"/>
        </w:rPr>
      </w:pPr>
    </w:p>
    <w:p>
      <w:pPr>
        <w:spacing w:line="360" w:lineRule="auto"/>
        <w:rPr>
          <w:rFonts w:ascii="宋体" w:hAnsi="宋体" w:cs="宋体"/>
          <w:szCs w:val="21"/>
        </w:rPr>
      </w:pPr>
      <w:r>
        <w:rPr>
          <w:rFonts w:hint="eastAsia" w:ascii="宋体" w:hAnsi="宋体" w:cs="宋体"/>
          <w:szCs w:val="21"/>
        </w:rPr>
        <w:t>甲方（盖公章）：                                       乙方（盖公章）：</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单位负责人（签字）：                     法定代表人或其授权代理人（签字）：</w:t>
      </w:r>
    </w:p>
    <w:p>
      <w:pPr>
        <w:spacing w:line="480" w:lineRule="auto"/>
        <w:rPr>
          <w:rFonts w:ascii="宋体" w:hAnsi="宋体" w:cs="宋体"/>
          <w:szCs w:val="21"/>
        </w:rPr>
      </w:pPr>
    </w:p>
    <w:p>
      <w:pPr>
        <w:pStyle w:val="22"/>
        <w:spacing w:line="480" w:lineRule="auto"/>
        <w:ind w:left="0" w:leftChars="0"/>
        <w:jc w:val="left"/>
        <w:rPr>
          <w:rFonts w:ascii="宋体" w:hAnsi="宋体" w:cs="宋体"/>
          <w:szCs w:val="21"/>
        </w:rPr>
      </w:pPr>
      <w:r>
        <w:rPr>
          <w:rFonts w:hint="eastAsia" w:ascii="宋体" w:hAnsi="宋体" w:cs="宋体"/>
          <w:szCs w:val="21"/>
        </w:rPr>
        <w:t>项目经办人：</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签订日期：      年   月   日                       签订日期：      年   月   日</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720" w:lineRule="auto"/>
        <w:rPr>
          <w:rFonts w:ascii="宋体" w:hAnsi="宋体" w:cs="宋体"/>
          <w:szCs w:val="21"/>
        </w:rPr>
      </w:pPr>
      <w:r>
        <w:rPr>
          <w:rFonts w:hint="eastAsia" w:ascii="宋体" w:hAnsi="宋体" w:cs="宋体"/>
          <w:szCs w:val="21"/>
        </w:rPr>
        <w:t>合同鉴证方：（盖章）</w:t>
      </w:r>
    </w:p>
    <w:p>
      <w:pPr>
        <w:spacing w:line="720" w:lineRule="auto"/>
        <w:rPr>
          <w:rFonts w:ascii="宋体" w:hAnsi="宋体" w:cs="宋体"/>
          <w:szCs w:val="21"/>
        </w:rPr>
      </w:pPr>
      <w:r>
        <w:rPr>
          <w:rFonts w:hint="eastAsia" w:ascii="宋体" w:hAnsi="宋体" w:cs="宋体"/>
          <w:szCs w:val="21"/>
        </w:rPr>
        <w:t>项目经办人：</w:t>
      </w:r>
    </w:p>
    <w:p>
      <w:pPr>
        <w:spacing w:line="720" w:lineRule="auto"/>
        <w:rPr>
          <w:rFonts w:ascii="宋体" w:hAnsi="宋体" w:cs="宋体"/>
          <w:szCs w:val="21"/>
        </w:rPr>
      </w:pPr>
      <w:r>
        <w:rPr>
          <w:rFonts w:hint="eastAsia" w:ascii="宋体" w:hAnsi="宋体" w:cs="宋体"/>
          <w:szCs w:val="21"/>
        </w:rPr>
        <w:t>鉴证日期：      年   月   日</w:t>
      </w:r>
    </w:p>
    <w:p>
      <w:pPr>
        <w:spacing w:line="360" w:lineRule="auto"/>
        <w:jc w:val="left"/>
        <w:rPr>
          <w:rFonts w:ascii="宋体" w:hAnsi="宋体" w:cs="宋体"/>
          <w:b/>
          <w:szCs w:val="21"/>
        </w:rPr>
      </w:pPr>
    </w:p>
    <w:p>
      <w:pPr>
        <w:rPr>
          <w:rFonts w:ascii="宋体" w:hAnsi="宋体" w:cs="宋体"/>
          <w:b/>
          <w:kern w:val="0"/>
          <w:sz w:val="30"/>
          <w:szCs w:val="30"/>
          <w:lang w:val="zh-CN"/>
        </w:rPr>
      </w:pPr>
      <w:r>
        <w:rPr>
          <w:rFonts w:hint="eastAsia" w:ascii="宋体" w:hAnsi="宋体" w:cs="宋体"/>
          <w:color w:val="000000"/>
          <w:sz w:val="30"/>
          <w:szCs w:val="30"/>
          <w:lang w:val="zh-CN"/>
        </w:rPr>
        <w:br w:type="page"/>
      </w:r>
    </w:p>
    <w:p>
      <w:pPr>
        <w:pStyle w:val="47"/>
        <w:spacing w:line="360" w:lineRule="auto"/>
        <w:outlineLvl w:val="0"/>
        <w:rPr>
          <w:rFonts w:ascii="宋体" w:hAnsi="宋体" w:cs="宋体"/>
          <w:sz w:val="30"/>
          <w:szCs w:val="30"/>
          <w:lang w:val="zh-CN" w:eastAsia="zh-CN"/>
        </w:rPr>
      </w:pPr>
      <w:bookmarkStart w:id="66" w:name="_Toc15104"/>
      <w:r>
        <w:rPr>
          <w:rFonts w:hint="eastAsia" w:ascii="宋体" w:hAnsi="宋体" w:cs="宋体"/>
          <w:sz w:val="30"/>
          <w:szCs w:val="30"/>
          <w:lang w:val="zh-CN" w:eastAsia="zh-CN"/>
        </w:rPr>
        <w:t>第五章  评标办法及评分标准</w:t>
      </w:r>
      <w:bookmarkEnd w:id="65"/>
      <w:bookmarkEnd w:id="66"/>
    </w:p>
    <w:p>
      <w:pPr>
        <w:spacing w:line="360" w:lineRule="auto"/>
        <w:ind w:firstLine="422" w:firstLineChars="200"/>
        <w:rPr>
          <w:rFonts w:ascii="宋体" w:hAnsi="宋体" w:cs="宋体"/>
          <w:b/>
          <w:szCs w:val="21"/>
        </w:rPr>
      </w:pPr>
      <w:r>
        <w:rPr>
          <w:rFonts w:hint="eastAsia" w:ascii="宋体" w:hAnsi="宋体" w:cs="宋体"/>
          <w:b/>
          <w:szCs w:val="21"/>
        </w:rPr>
        <w:t>一、评标原则</w:t>
      </w:r>
    </w:p>
    <w:p>
      <w:pPr>
        <w:spacing w:line="360" w:lineRule="auto"/>
        <w:ind w:firstLine="420" w:firstLineChars="200"/>
        <w:rPr>
          <w:rFonts w:ascii="宋体" w:hAnsi="宋体" w:cs="宋体"/>
          <w:szCs w:val="21"/>
        </w:rPr>
      </w:pPr>
      <w:r>
        <w:rPr>
          <w:rFonts w:hint="eastAsia" w:ascii="宋体" w:hAnsi="宋体" w:cs="宋体"/>
          <w:szCs w:val="21"/>
        </w:rPr>
        <w:t>评标工作遵循公平、公正、科学、择优原则和诚实、信誉、效率的原则。本着科学、严谨的态度，认真进行评标。择优选用，推进技术进步，确保货物（服务）质量、按期交货（完工），节约投资，最大限度的保护当事人权益。严格按照采购文件的商务、技术要求，对投标文件进行综合评定，提出优选方案，编写评标报告。对落标单位，评标委员会不做任何落标解释。投标人不得以任何方式干扰招投标工作的进行，一经发现其投标文件将被拒绝。</w:t>
      </w:r>
    </w:p>
    <w:p>
      <w:pPr>
        <w:spacing w:line="360" w:lineRule="auto"/>
        <w:ind w:firstLine="422" w:firstLineChars="200"/>
        <w:rPr>
          <w:rFonts w:ascii="宋体" w:hAnsi="宋体" w:cs="宋体"/>
          <w:b/>
          <w:szCs w:val="21"/>
        </w:rPr>
      </w:pPr>
      <w:r>
        <w:rPr>
          <w:rFonts w:hint="eastAsia" w:ascii="宋体" w:hAnsi="宋体" w:cs="宋体"/>
          <w:b/>
          <w:szCs w:val="21"/>
        </w:rPr>
        <w:t>二、评标组织</w:t>
      </w:r>
    </w:p>
    <w:p>
      <w:pPr>
        <w:spacing w:line="360" w:lineRule="auto"/>
        <w:ind w:firstLine="420" w:firstLineChars="200"/>
        <w:rPr>
          <w:rFonts w:ascii="宋体" w:hAnsi="宋体" w:cs="宋体"/>
          <w:szCs w:val="21"/>
        </w:rPr>
      </w:pPr>
      <w:r>
        <w:rPr>
          <w:rFonts w:hint="eastAsia" w:ascii="宋体" w:hAnsi="宋体" w:cs="宋体"/>
          <w:szCs w:val="21"/>
        </w:rPr>
        <w:t>评标委员会由1名采购人代表和4名随机抽取的技术、经济等方面的专家组成。评标委员会负责对投标文件进行审查、质疑、评估和比较。询标（如有）时投标人必须在线或在场，负责解答有关事宜，否则事后不得对采购过程及结果提出异议。</w:t>
      </w:r>
    </w:p>
    <w:p>
      <w:pPr>
        <w:spacing w:line="360" w:lineRule="auto"/>
        <w:ind w:firstLine="422" w:firstLineChars="200"/>
        <w:rPr>
          <w:rFonts w:ascii="宋体" w:hAnsi="宋体" w:cs="宋体"/>
          <w:b/>
          <w:szCs w:val="21"/>
        </w:rPr>
      </w:pPr>
      <w:r>
        <w:rPr>
          <w:rFonts w:hint="eastAsia" w:ascii="宋体" w:hAnsi="宋体" w:cs="宋体"/>
          <w:b/>
          <w:szCs w:val="21"/>
        </w:rPr>
        <w:t>三、评标程序</w:t>
      </w:r>
    </w:p>
    <w:p>
      <w:pPr>
        <w:spacing w:line="360" w:lineRule="auto"/>
        <w:ind w:firstLine="420" w:firstLineChars="200"/>
        <w:rPr>
          <w:rFonts w:ascii="宋体" w:hAnsi="宋体" w:cs="宋体"/>
          <w:szCs w:val="21"/>
        </w:rPr>
      </w:pPr>
      <w:r>
        <w:rPr>
          <w:rFonts w:hint="eastAsia" w:ascii="宋体" w:hAnsi="宋体" w:cs="宋体"/>
          <w:szCs w:val="21"/>
        </w:rPr>
        <w:t>评标委员会首先对符合资格条件的投标人的投标文件进行符合性审查，以确定其是否满足采购文件的实质性要求；然后按采购文件中规定的评标方法和标准，对符合性审查合格的投标文件进行商务和技术评估；综合比较与评价。商务技术文件评审结束后公布投标人技术资信得分情况，之后开报价文件；对报价文件评审后，根据综合评审结果，推荐中标候选人并提交评审报告。</w:t>
      </w:r>
    </w:p>
    <w:p>
      <w:pPr>
        <w:spacing w:line="360" w:lineRule="auto"/>
        <w:ind w:firstLine="422" w:firstLineChars="200"/>
        <w:rPr>
          <w:rFonts w:ascii="宋体" w:hAnsi="宋体" w:cs="宋体"/>
          <w:b/>
          <w:szCs w:val="21"/>
        </w:rPr>
      </w:pPr>
      <w:r>
        <w:rPr>
          <w:rFonts w:hint="eastAsia" w:ascii="宋体" w:hAnsi="宋体" w:cs="宋体"/>
          <w:b/>
          <w:szCs w:val="21"/>
        </w:rPr>
        <w:t>四、评标办法</w:t>
      </w:r>
    </w:p>
    <w:p>
      <w:pPr>
        <w:spacing w:line="360" w:lineRule="auto"/>
        <w:ind w:firstLine="420" w:firstLineChars="200"/>
        <w:rPr>
          <w:rFonts w:ascii="宋体" w:hAnsi="宋体" w:cs="宋体"/>
          <w:szCs w:val="21"/>
        </w:rPr>
      </w:pPr>
      <w:r>
        <w:rPr>
          <w:rFonts w:hint="eastAsia" w:ascii="宋体" w:hAnsi="宋体" w:cs="宋体"/>
          <w:szCs w:val="21"/>
        </w:rPr>
        <w:t>1.本次招标的评标办法采用百分制综合评分法。即以投标人完全响应采购文件设定的全部责任条款为前提，由评标委员会按采购文件中规定的各项因素进行综合评审。根据本项目采购文件要求，按照本办法规定的内容和分值设置，评审后得分最高的投标人推荐为中标候选人（计算结果保留两位小数，四舍五入）。</w:t>
      </w:r>
    </w:p>
    <w:p>
      <w:pPr>
        <w:spacing w:line="360" w:lineRule="auto"/>
        <w:ind w:firstLine="420" w:firstLineChars="200"/>
        <w:rPr>
          <w:rFonts w:ascii="宋体" w:hAnsi="宋体" w:cs="宋体"/>
          <w:szCs w:val="21"/>
        </w:rPr>
      </w:pPr>
      <w:r>
        <w:rPr>
          <w:rFonts w:hint="eastAsia" w:ascii="宋体" w:hAnsi="宋体" w:cs="宋体"/>
          <w:szCs w:val="21"/>
        </w:rPr>
        <w:t>2.技术资信分的评定由各评委成员按评分细则进行评审打分，每人一张评分表，并记名。投标文件各项评分内容由评标委员会成员各自独立评分；评分时保留小数点后1位小数，计算分值时保留小数点后2位小数，由评标委员会当场统一计算。如某张评分表的一个因素项目超过规定的分值范围，则该张评分表无效。评标委员会成员对投标人各项评分合计数的算术平均值为各投标人技术资信得分，分值计算公式为：评标委员会各成员评分合计数/评标委员会组成人数（结果按四舍五入原则保留2位小数）。</w:t>
      </w:r>
    </w:p>
    <w:p>
      <w:pPr>
        <w:rPr>
          <w:rFonts w:ascii="宋体" w:hAnsi="宋体" w:cs="宋体"/>
          <w:szCs w:val="21"/>
        </w:rPr>
      </w:pPr>
      <w:r>
        <w:rPr>
          <w:rFonts w:hint="eastAsia" w:ascii="宋体" w:hAnsi="宋体" w:cs="宋体"/>
          <w:szCs w:val="21"/>
        </w:rPr>
        <w:br w:type="page"/>
      </w:r>
    </w:p>
    <w:p>
      <w:pPr>
        <w:numPr>
          <w:ilvl w:val="0"/>
          <w:numId w:val="7"/>
        </w:numPr>
        <w:autoSpaceDE w:val="0"/>
        <w:autoSpaceDN w:val="0"/>
        <w:adjustRightInd w:val="0"/>
        <w:spacing w:line="360" w:lineRule="auto"/>
        <w:rPr>
          <w:rFonts w:ascii="宋体" w:hAnsi="宋体" w:cs="宋体"/>
          <w:b/>
          <w:szCs w:val="21"/>
        </w:rPr>
      </w:pPr>
      <w:r>
        <w:rPr>
          <w:rFonts w:hint="eastAsia" w:ascii="宋体" w:hAnsi="宋体" w:cs="宋体"/>
          <w:b/>
          <w:szCs w:val="21"/>
        </w:rPr>
        <w:t>技术资信分评分标准（70分）</w:t>
      </w:r>
    </w:p>
    <w:tbl>
      <w:tblPr>
        <w:tblStyle w:val="50"/>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097"/>
        <w:gridCol w:w="6942"/>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24" w:type="dxa"/>
            <w:vMerge w:val="restart"/>
            <w:vAlign w:val="center"/>
          </w:tcPr>
          <w:p>
            <w:pPr>
              <w:widowControl/>
              <w:jc w:val="center"/>
              <w:textAlignment w:val="center"/>
              <w:rPr>
                <w:rFonts w:ascii="宋体" w:hAnsi="宋体" w:cs="宋体"/>
                <w:b/>
                <w:bCs/>
                <w:color w:val="000000"/>
                <w:kern w:val="0"/>
                <w:szCs w:val="21"/>
              </w:rPr>
            </w:pPr>
            <w:bookmarkStart w:id="67" w:name="_Hlk124170892"/>
            <w:r>
              <w:rPr>
                <w:rFonts w:hint="eastAsia" w:ascii="宋体" w:hAnsi="宋体" w:cs="宋体"/>
                <w:b/>
                <w:bCs/>
                <w:color w:val="000000"/>
                <w:kern w:val="0"/>
                <w:szCs w:val="21"/>
              </w:rPr>
              <w:t>类别</w:t>
            </w:r>
          </w:p>
        </w:tc>
        <w:tc>
          <w:tcPr>
            <w:tcW w:w="1097" w:type="dxa"/>
            <w:vMerge w:val="restart"/>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评分项目</w:t>
            </w:r>
          </w:p>
        </w:tc>
        <w:tc>
          <w:tcPr>
            <w:tcW w:w="6942" w:type="dxa"/>
            <w:vMerge w:val="restart"/>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评分标准</w:t>
            </w:r>
          </w:p>
        </w:tc>
        <w:tc>
          <w:tcPr>
            <w:tcW w:w="646" w:type="dxa"/>
            <w:vMerge w:val="restart"/>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4" w:type="dxa"/>
            <w:vMerge w:val="continue"/>
            <w:vAlign w:val="center"/>
          </w:tcPr>
          <w:p>
            <w:pPr>
              <w:widowControl/>
              <w:spacing w:line="300" w:lineRule="auto"/>
              <w:jc w:val="left"/>
              <w:rPr>
                <w:rFonts w:ascii="宋体" w:hAnsi="宋体" w:cs="宋体"/>
                <w:color w:val="000000"/>
                <w:kern w:val="0"/>
                <w:szCs w:val="21"/>
              </w:rPr>
            </w:pPr>
          </w:p>
        </w:tc>
        <w:tc>
          <w:tcPr>
            <w:tcW w:w="1097" w:type="dxa"/>
            <w:vMerge w:val="continue"/>
            <w:vAlign w:val="center"/>
          </w:tcPr>
          <w:p>
            <w:pPr>
              <w:widowControl/>
              <w:spacing w:line="300" w:lineRule="auto"/>
              <w:jc w:val="left"/>
              <w:rPr>
                <w:rFonts w:ascii="宋体" w:hAnsi="宋体" w:cs="宋体"/>
                <w:color w:val="000000"/>
                <w:kern w:val="0"/>
                <w:szCs w:val="21"/>
              </w:rPr>
            </w:pPr>
          </w:p>
        </w:tc>
        <w:tc>
          <w:tcPr>
            <w:tcW w:w="6942" w:type="dxa"/>
            <w:vMerge w:val="continue"/>
            <w:vAlign w:val="center"/>
          </w:tcPr>
          <w:p>
            <w:pPr>
              <w:widowControl/>
              <w:spacing w:line="300" w:lineRule="auto"/>
              <w:jc w:val="left"/>
              <w:rPr>
                <w:rFonts w:ascii="宋体" w:hAnsi="宋体" w:cs="宋体"/>
                <w:color w:val="000000"/>
                <w:kern w:val="0"/>
                <w:szCs w:val="21"/>
              </w:rPr>
            </w:pPr>
          </w:p>
        </w:tc>
        <w:tc>
          <w:tcPr>
            <w:tcW w:w="646" w:type="dxa"/>
            <w:vMerge w:val="continue"/>
            <w:vAlign w:val="center"/>
          </w:tcPr>
          <w:p>
            <w:pPr>
              <w:widowControl/>
              <w:spacing w:line="300" w:lineRule="auto"/>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924" w:type="dxa"/>
            <w:vMerge w:val="restart"/>
            <w:vAlign w:val="center"/>
          </w:tcPr>
          <w:p>
            <w:pPr>
              <w:widowControl/>
              <w:spacing w:line="300" w:lineRule="auto"/>
              <w:jc w:val="left"/>
              <w:textAlignment w:val="center"/>
              <w:rPr>
                <w:rFonts w:ascii="宋体" w:hAnsi="宋体" w:cs="宋体"/>
                <w:color w:val="000000"/>
                <w:kern w:val="0"/>
                <w:szCs w:val="21"/>
              </w:rPr>
            </w:pPr>
            <w:r>
              <w:rPr>
                <w:rFonts w:hint="eastAsia" w:ascii="宋体" w:hAnsi="宋体" w:cs="宋体"/>
                <w:color w:val="000000"/>
                <w:kern w:val="0"/>
                <w:szCs w:val="21"/>
              </w:rPr>
              <w:t>资信部分（</w:t>
            </w:r>
            <w:r>
              <w:rPr>
                <w:rFonts w:ascii="宋体" w:hAnsi="宋体" w:cs="宋体"/>
                <w:color w:val="000000"/>
                <w:kern w:val="0"/>
                <w:szCs w:val="21"/>
              </w:rPr>
              <w:t>6</w:t>
            </w:r>
            <w:r>
              <w:rPr>
                <w:rFonts w:hint="eastAsia" w:ascii="宋体" w:hAnsi="宋体" w:cs="宋体"/>
                <w:color w:val="000000"/>
                <w:kern w:val="0"/>
                <w:szCs w:val="21"/>
              </w:rPr>
              <w:t>分）</w:t>
            </w:r>
          </w:p>
        </w:tc>
        <w:tc>
          <w:tcPr>
            <w:tcW w:w="1097" w:type="dxa"/>
            <w:vAlign w:val="center"/>
          </w:tcPr>
          <w:p>
            <w:pPr>
              <w:widowControl/>
              <w:spacing w:line="300" w:lineRule="auto"/>
              <w:jc w:val="center"/>
              <w:textAlignment w:val="center"/>
              <w:rPr>
                <w:rFonts w:ascii="宋体" w:hAnsi="宋体" w:cs="宋体"/>
                <w:color w:val="000000"/>
                <w:kern w:val="0"/>
                <w:szCs w:val="21"/>
              </w:rPr>
            </w:pPr>
            <w:r>
              <w:rPr>
                <w:rFonts w:hint="eastAsia" w:ascii="宋体" w:hAnsi="宋体" w:cs="宋体"/>
                <w:color w:val="000000"/>
                <w:kern w:val="0"/>
                <w:szCs w:val="21"/>
              </w:rPr>
              <w:t>业绩</w:t>
            </w:r>
          </w:p>
        </w:tc>
        <w:tc>
          <w:tcPr>
            <w:tcW w:w="6942" w:type="dxa"/>
            <w:vAlign w:val="center"/>
          </w:tcPr>
          <w:p>
            <w:pPr>
              <w:widowControl/>
              <w:spacing w:line="300" w:lineRule="auto"/>
              <w:textAlignment w:val="center"/>
              <w:rPr>
                <w:rFonts w:ascii="宋体" w:hAnsi="宋体" w:cs="宋体"/>
                <w:color w:val="000000"/>
                <w:kern w:val="0"/>
                <w:szCs w:val="21"/>
              </w:rPr>
            </w:pPr>
            <w:r>
              <w:rPr>
                <w:rFonts w:hint="eastAsia" w:ascii="宋体" w:hAnsi="宋体" w:cs="宋体"/>
                <w:color w:val="000000"/>
                <w:kern w:val="0"/>
                <w:szCs w:val="21"/>
              </w:rPr>
              <w:t>投标人自20</w:t>
            </w:r>
            <w:r>
              <w:rPr>
                <w:rFonts w:hint="eastAsia" w:ascii="宋体" w:hAnsi="宋体" w:cs="宋体"/>
                <w:color w:val="000000"/>
                <w:kern w:val="0"/>
                <w:szCs w:val="21"/>
                <w:lang w:val="en-US" w:eastAsia="zh-CN"/>
              </w:rPr>
              <w:t>20</w:t>
            </w:r>
            <w:r>
              <w:rPr>
                <w:rFonts w:hint="eastAsia" w:ascii="宋体" w:hAnsi="宋体" w:cs="宋体"/>
                <w:color w:val="000000"/>
                <w:kern w:val="0"/>
                <w:szCs w:val="21"/>
              </w:rPr>
              <w:t>年01月1日以来（以合同签订时间为准）实施过同类项目【</w:t>
            </w:r>
            <w:r>
              <w:rPr>
                <w:rFonts w:hint="eastAsia" w:ascii="宋体" w:hAnsi="宋体" w:cs="宋体"/>
                <w:color w:val="000000"/>
                <w:szCs w:val="21"/>
              </w:rPr>
              <w:t>河道流量自动监测系统建设（时差法测流系统、H-ADCP测流系统、侧扫雷达测流系统或雷达波测流系统）</w:t>
            </w:r>
            <w:r>
              <w:rPr>
                <w:rFonts w:hint="eastAsia" w:ascii="宋体" w:hAnsi="宋体" w:cs="宋体"/>
                <w:color w:val="000000"/>
                <w:kern w:val="0"/>
                <w:szCs w:val="21"/>
              </w:rPr>
              <w:t>】并经验收合格，</w:t>
            </w:r>
            <w:r>
              <w:rPr>
                <w:rFonts w:hint="eastAsia" w:ascii="宋体" w:hAnsi="宋体" w:cs="宋体"/>
                <w:b/>
                <w:bCs/>
                <w:color w:val="000000"/>
                <w:kern w:val="0"/>
                <w:szCs w:val="21"/>
              </w:rPr>
              <w:t>每种测流系统业绩得1分，最高得3分，同一种测流系统业绩不可重复得分。</w:t>
            </w:r>
          </w:p>
          <w:p>
            <w:pPr>
              <w:widowControl/>
              <w:spacing w:line="300" w:lineRule="auto"/>
              <w:textAlignment w:val="center"/>
              <w:rPr>
                <w:rFonts w:ascii="宋体" w:hAnsi="宋体" w:cs="宋体"/>
                <w:color w:val="000000"/>
                <w:kern w:val="0"/>
                <w:szCs w:val="21"/>
              </w:rPr>
            </w:pPr>
            <w:r>
              <w:rPr>
                <w:rFonts w:hint="eastAsia" w:ascii="宋体" w:hAnsi="宋体" w:cs="宋体"/>
                <w:b/>
                <w:bCs/>
                <w:color w:val="000000"/>
                <w:kern w:val="0"/>
                <w:szCs w:val="21"/>
              </w:rPr>
              <w:t>中标（成交）通知书原件扫描件+合同原件扫描件+验收文件编入商务技术文件，否则不得分。</w:t>
            </w:r>
          </w:p>
        </w:tc>
        <w:tc>
          <w:tcPr>
            <w:tcW w:w="646" w:type="dxa"/>
            <w:vAlign w:val="center"/>
          </w:tcPr>
          <w:p>
            <w:pPr>
              <w:widowControl/>
              <w:spacing w:line="300" w:lineRule="auto"/>
              <w:jc w:val="center"/>
              <w:textAlignment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 w:type="dxa"/>
            <w:vMerge w:val="continue"/>
            <w:vAlign w:val="center"/>
          </w:tcPr>
          <w:p>
            <w:pPr>
              <w:widowControl/>
              <w:spacing w:line="300" w:lineRule="auto"/>
              <w:jc w:val="left"/>
              <w:textAlignment w:val="center"/>
              <w:rPr>
                <w:rFonts w:ascii="宋体" w:hAnsi="宋体" w:cs="宋体"/>
                <w:color w:val="000000"/>
                <w:kern w:val="0"/>
                <w:szCs w:val="21"/>
              </w:rPr>
            </w:pPr>
          </w:p>
        </w:tc>
        <w:tc>
          <w:tcPr>
            <w:tcW w:w="1097" w:type="dxa"/>
            <w:vAlign w:val="center"/>
          </w:tcPr>
          <w:p>
            <w:pPr>
              <w:widowControl/>
              <w:spacing w:line="300" w:lineRule="auto"/>
              <w:jc w:val="center"/>
              <w:textAlignment w:val="center"/>
              <w:rPr>
                <w:rFonts w:ascii="宋体" w:hAnsi="宋体" w:cs="宋体"/>
                <w:color w:val="000000"/>
                <w:kern w:val="0"/>
                <w:szCs w:val="21"/>
              </w:rPr>
            </w:pPr>
            <w:r>
              <w:rPr>
                <w:rFonts w:hint="eastAsia" w:ascii="宋体" w:hAnsi="宋体" w:cs="宋体"/>
                <w:color w:val="000000"/>
                <w:kern w:val="0"/>
                <w:szCs w:val="21"/>
              </w:rPr>
              <w:t>体系认证</w:t>
            </w:r>
          </w:p>
        </w:tc>
        <w:tc>
          <w:tcPr>
            <w:tcW w:w="6942" w:type="dxa"/>
            <w:vAlign w:val="center"/>
          </w:tcPr>
          <w:p>
            <w:pPr>
              <w:widowControl/>
              <w:spacing w:line="300" w:lineRule="auto"/>
              <w:textAlignment w:val="center"/>
              <w:rPr>
                <w:rFonts w:ascii="宋体" w:hAnsi="宋体" w:cs="宋体"/>
              </w:rPr>
            </w:pPr>
            <w:r>
              <w:rPr>
                <w:rFonts w:hint="eastAsia" w:ascii="宋体" w:hAnsi="宋体" w:cs="宋体"/>
              </w:rPr>
              <w:t>有效的质量管理体系认证证书、环境管理体系认证证书、职业健康安全管理体系认证证书，每提供一个得1分，最高得3分；</w:t>
            </w:r>
          </w:p>
          <w:p>
            <w:pPr>
              <w:pStyle w:val="2"/>
              <w:rPr>
                <w:rFonts w:ascii="宋体" w:hAnsi="宋体" w:cs="宋体"/>
              </w:rPr>
            </w:pPr>
            <w:r>
              <w:rPr>
                <w:rFonts w:hint="eastAsia" w:ascii="宋体" w:hAnsi="宋体" w:cs="宋体"/>
                <w:b/>
                <w:bCs/>
                <w:color w:val="000000"/>
                <w:szCs w:val="21"/>
              </w:rPr>
              <w:t>有效的体系认证证书原件扫描件编入商务技术文件中，否则不得分。</w:t>
            </w:r>
          </w:p>
        </w:tc>
        <w:tc>
          <w:tcPr>
            <w:tcW w:w="646" w:type="dxa"/>
            <w:vAlign w:val="center"/>
          </w:tcPr>
          <w:p>
            <w:pPr>
              <w:widowControl/>
              <w:spacing w:line="300" w:lineRule="auto"/>
              <w:jc w:val="center"/>
              <w:textAlignment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 w:type="dxa"/>
            <w:vMerge w:val="restart"/>
            <w:vAlign w:val="center"/>
          </w:tcPr>
          <w:p>
            <w:pPr>
              <w:widowControl/>
              <w:spacing w:line="300" w:lineRule="auto"/>
              <w:jc w:val="left"/>
              <w:textAlignment w:val="center"/>
              <w:rPr>
                <w:rFonts w:ascii="宋体" w:hAnsi="宋体" w:cs="宋体"/>
                <w:color w:val="000000"/>
                <w:kern w:val="0"/>
                <w:szCs w:val="21"/>
              </w:rPr>
            </w:pPr>
            <w:r>
              <w:rPr>
                <w:rFonts w:hint="eastAsia" w:ascii="宋体" w:hAnsi="宋体" w:cs="宋体"/>
                <w:color w:val="000000"/>
                <w:kern w:val="0"/>
                <w:szCs w:val="21"/>
              </w:rPr>
              <w:t>技术部分（6</w:t>
            </w:r>
            <w:r>
              <w:rPr>
                <w:rFonts w:ascii="宋体" w:hAnsi="宋体" w:cs="宋体"/>
                <w:color w:val="000000"/>
                <w:kern w:val="0"/>
                <w:szCs w:val="21"/>
              </w:rPr>
              <w:t>4</w:t>
            </w:r>
            <w:r>
              <w:rPr>
                <w:rFonts w:hint="eastAsia" w:ascii="宋体" w:hAnsi="宋体" w:cs="宋体"/>
                <w:color w:val="000000"/>
                <w:kern w:val="0"/>
                <w:szCs w:val="21"/>
              </w:rPr>
              <w:t>分）</w:t>
            </w:r>
          </w:p>
        </w:tc>
        <w:tc>
          <w:tcPr>
            <w:tcW w:w="1097" w:type="dxa"/>
            <w:vAlign w:val="center"/>
          </w:tcPr>
          <w:p>
            <w:pPr>
              <w:widowControl/>
              <w:spacing w:line="300" w:lineRule="auto"/>
              <w:jc w:val="center"/>
              <w:textAlignment w:val="center"/>
              <w:rPr>
                <w:rFonts w:ascii="宋体" w:hAnsi="宋体" w:cs="宋体"/>
                <w:color w:val="000000"/>
                <w:kern w:val="0"/>
                <w:szCs w:val="21"/>
                <w:lang w:bidi="ar"/>
              </w:rPr>
            </w:pPr>
            <w:r>
              <w:rPr>
                <w:rFonts w:hint="eastAsia" w:ascii="宋体" w:hAnsi="宋体" w:cs="宋体"/>
                <w:color w:val="000000"/>
                <w:szCs w:val="21"/>
              </w:rPr>
              <w:t>人员配置情况</w:t>
            </w:r>
          </w:p>
        </w:tc>
        <w:tc>
          <w:tcPr>
            <w:tcW w:w="6942" w:type="dxa"/>
            <w:vAlign w:val="center"/>
          </w:tcPr>
          <w:p>
            <w:pPr>
              <w:widowControl/>
              <w:numPr>
                <w:ilvl w:val="0"/>
                <w:numId w:val="0"/>
              </w:numPr>
              <w:spacing w:line="300" w:lineRule="auto"/>
              <w:textAlignment w:val="center"/>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项目负责人具有水文类副高级及以上职称证书得</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w:t>
            </w:r>
            <w:r>
              <w:rPr>
                <w:rFonts w:hint="eastAsia" w:ascii="宋体" w:hAnsi="宋体" w:cs="宋体"/>
                <w:szCs w:val="21"/>
              </w:rPr>
              <w:t>具有系统集成项目管理工程师及以上资格证书得</w:t>
            </w:r>
            <w:r>
              <w:rPr>
                <w:rFonts w:ascii="宋体" w:hAnsi="宋体" w:cs="宋体"/>
                <w:szCs w:val="21"/>
              </w:rPr>
              <w:t>1</w:t>
            </w:r>
            <w:r>
              <w:rPr>
                <w:rFonts w:hint="eastAsia" w:ascii="宋体" w:hAnsi="宋体" w:cs="宋体"/>
                <w:szCs w:val="21"/>
              </w:rPr>
              <w:t>分；</w:t>
            </w:r>
          </w:p>
          <w:p>
            <w:pPr>
              <w:widowControl/>
              <w:numPr>
                <w:ilvl w:val="0"/>
                <w:numId w:val="0"/>
              </w:numPr>
              <w:spacing w:line="300" w:lineRule="auto"/>
              <w:ind w:left="0" w:leftChars="0" w:firstLine="0" w:firstLineChars="0"/>
              <w:textAlignment w:val="center"/>
              <w:rPr>
                <w:rFonts w:hint="eastAsia" w:ascii="宋体" w:hAnsi="宋体" w:cs="宋体"/>
                <w:b/>
                <w:bCs/>
                <w:kern w:val="0"/>
                <w:szCs w:val="21"/>
                <w:lang w:bidi="ar"/>
              </w:rPr>
            </w:pPr>
            <w:r>
              <w:rPr>
                <w:rFonts w:hint="eastAsia" w:ascii="宋体" w:hAnsi="宋体" w:cs="宋体"/>
                <w:b/>
                <w:bCs/>
                <w:kern w:val="0"/>
                <w:szCs w:val="21"/>
                <w:lang w:bidi="ar"/>
              </w:rPr>
              <w:t>具有政府部门颁发的相关人员证书原件扫描件+</w:t>
            </w:r>
            <w:r>
              <w:rPr>
                <w:rFonts w:hint="eastAsia" w:ascii="宋体" w:hAnsi="宋体" w:cs="宋体"/>
                <w:b/>
                <w:bCs/>
                <w:color w:val="000000" w:themeColor="text1"/>
                <w:kern w:val="0"/>
                <w:szCs w:val="21"/>
                <w:lang w:bidi="ar"/>
                <w14:textFill>
                  <w14:solidFill>
                    <w14:schemeClr w14:val="tx1"/>
                  </w14:solidFill>
                </w14:textFill>
              </w:rPr>
              <w:t>（2022年</w:t>
            </w:r>
            <w:r>
              <w:rPr>
                <w:rFonts w:hint="eastAsia" w:ascii="宋体" w:hAnsi="宋体" w:cs="宋体"/>
                <w:b/>
                <w:bCs/>
                <w:color w:val="000000" w:themeColor="text1"/>
                <w:kern w:val="0"/>
                <w:szCs w:val="21"/>
                <w:lang w:val="en-US" w:eastAsia="zh-CN" w:bidi="ar"/>
                <w14:textFill>
                  <w14:solidFill>
                    <w14:schemeClr w14:val="tx1"/>
                  </w14:solidFill>
                </w14:textFill>
              </w:rPr>
              <w:t>12</w:t>
            </w:r>
            <w:r>
              <w:rPr>
                <w:rFonts w:hint="eastAsia" w:ascii="宋体" w:hAnsi="宋体" w:cs="宋体"/>
                <w:b/>
                <w:bCs/>
                <w:color w:val="000000" w:themeColor="text1"/>
                <w:kern w:val="0"/>
                <w:szCs w:val="21"/>
                <w:lang w:bidi="ar"/>
                <w14:textFill>
                  <w14:solidFill>
                    <w14:schemeClr w14:val="tx1"/>
                  </w14:solidFill>
                </w14:textFill>
              </w:rPr>
              <w:t>月-</w:t>
            </w:r>
            <w:r>
              <w:rPr>
                <w:rFonts w:ascii="宋体" w:hAnsi="宋体" w:cs="宋体"/>
                <w:b/>
                <w:bCs/>
                <w:color w:val="000000" w:themeColor="text1"/>
                <w:kern w:val="0"/>
                <w:szCs w:val="21"/>
                <w:lang w:bidi="ar"/>
                <w14:textFill>
                  <w14:solidFill>
                    <w14:schemeClr w14:val="tx1"/>
                  </w14:solidFill>
                </w14:textFill>
              </w:rPr>
              <w:t>202</w:t>
            </w:r>
            <w:r>
              <w:rPr>
                <w:rFonts w:hint="eastAsia" w:ascii="宋体" w:hAnsi="宋体" w:cs="宋体"/>
                <w:b/>
                <w:bCs/>
                <w:color w:val="000000" w:themeColor="text1"/>
                <w:kern w:val="0"/>
                <w:szCs w:val="21"/>
                <w:lang w:val="en-US" w:eastAsia="zh-CN" w:bidi="ar"/>
                <w14:textFill>
                  <w14:solidFill>
                    <w14:schemeClr w14:val="tx1"/>
                  </w14:solidFill>
                </w14:textFill>
              </w:rPr>
              <w:t>3</w:t>
            </w:r>
            <w:r>
              <w:rPr>
                <w:rFonts w:hint="eastAsia" w:ascii="宋体" w:hAnsi="宋体" w:cs="宋体"/>
                <w:b/>
                <w:bCs/>
                <w:color w:val="000000" w:themeColor="text1"/>
                <w:kern w:val="0"/>
                <w:szCs w:val="21"/>
                <w:lang w:bidi="ar"/>
                <w14:textFill>
                  <w14:solidFill>
                    <w14:schemeClr w14:val="tx1"/>
                  </w14:solidFill>
                </w14:textFill>
              </w:rPr>
              <w:t>年</w:t>
            </w:r>
            <w:r>
              <w:rPr>
                <w:rFonts w:hint="eastAsia" w:ascii="宋体" w:hAnsi="宋体" w:cs="宋体"/>
                <w:b/>
                <w:bCs/>
                <w:color w:val="000000" w:themeColor="text1"/>
                <w:kern w:val="0"/>
                <w:szCs w:val="21"/>
                <w:lang w:val="en-US" w:eastAsia="zh-CN" w:bidi="ar"/>
                <w14:textFill>
                  <w14:solidFill>
                    <w14:schemeClr w14:val="tx1"/>
                  </w14:solidFill>
                </w14:textFill>
              </w:rPr>
              <w:t>0</w:t>
            </w:r>
            <w:r>
              <w:rPr>
                <w:rFonts w:ascii="宋体" w:hAnsi="宋体" w:cs="宋体"/>
                <w:b/>
                <w:bCs/>
                <w:color w:val="000000" w:themeColor="text1"/>
                <w:kern w:val="0"/>
                <w:szCs w:val="21"/>
                <w:lang w:bidi="ar"/>
                <w14:textFill>
                  <w14:solidFill>
                    <w14:schemeClr w14:val="tx1"/>
                  </w14:solidFill>
                </w14:textFill>
              </w:rPr>
              <w:t>2</w:t>
            </w:r>
            <w:r>
              <w:rPr>
                <w:rFonts w:hint="eastAsia" w:ascii="宋体" w:hAnsi="宋体" w:cs="宋体"/>
                <w:b/>
                <w:bCs/>
                <w:color w:val="000000" w:themeColor="text1"/>
                <w:kern w:val="0"/>
                <w:szCs w:val="21"/>
                <w:lang w:bidi="ar"/>
                <w14:textFill>
                  <w14:solidFill>
                    <w14:schemeClr w14:val="tx1"/>
                  </w14:solidFill>
                </w14:textFill>
              </w:rPr>
              <w:t>月）</w:t>
            </w:r>
            <w:r>
              <w:rPr>
                <w:rFonts w:hint="eastAsia" w:ascii="宋体" w:hAnsi="宋体" w:cs="宋体"/>
                <w:b/>
                <w:bCs/>
                <w:kern w:val="0"/>
                <w:szCs w:val="21"/>
                <w:lang w:bidi="ar"/>
              </w:rPr>
              <w:t>投标人为其缴纳社保的有效证明材料(盖有社保部门公章)编入商务技术文件，否则不得分。</w:t>
            </w:r>
          </w:p>
        </w:tc>
        <w:tc>
          <w:tcPr>
            <w:tcW w:w="646" w:type="dxa"/>
            <w:vAlign w:val="center"/>
          </w:tcPr>
          <w:p>
            <w:pPr>
              <w:widowControl/>
              <w:spacing w:line="300" w:lineRule="auto"/>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 w:type="dxa"/>
            <w:vMerge w:val="continue"/>
            <w:vAlign w:val="center"/>
          </w:tcPr>
          <w:p>
            <w:pPr>
              <w:widowControl/>
              <w:spacing w:line="300" w:lineRule="auto"/>
              <w:jc w:val="left"/>
              <w:textAlignment w:val="center"/>
              <w:rPr>
                <w:rFonts w:ascii="宋体" w:hAnsi="宋体" w:cs="宋体"/>
                <w:color w:val="000000"/>
                <w:kern w:val="0"/>
                <w:szCs w:val="21"/>
              </w:rPr>
            </w:pPr>
          </w:p>
        </w:tc>
        <w:tc>
          <w:tcPr>
            <w:tcW w:w="1097" w:type="dxa"/>
            <w:vAlign w:val="center"/>
          </w:tcPr>
          <w:p>
            <w:pPr>
              <w:widowControl/>
              <w:spacing w:line="30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技术参数</w:t>
            </w:r>
          </w:p>
        </w:tc>
        <w:tc>
          <w:tcPr>
            <w:tcW w:w="6942" w:type="dxa"/>
            <w:vAlign w:val="center"/>
          </w:tcPr>
          <w:p>
            <w:pPr>
              <w:widowControl/>
              <w:spacing w:line="300" w:lineRule="auto"/>
              <w:textAlignment w:val="center"/>
              <w:rPr>
                <w:rFonts w:ascii="宋体" w:hAnsi="宋体" w:cs="宋体"/>
                <w:bCs/>
                <w:color w:val="000000"/>
                <w:szCs w:val="21"/>
              </w:rPr>
            </w:pPr>
            <w:r>
              <w:rPr>
                <w:rFonts w:hint="eastAsia" w:ascii="宋体" w:hAnsi="宋体" w:cs="宋体"/>
                <w:bCs/>
                <w:color w:val="000000"/>
                <w:szCs w:val="21"/>
              </w:rPr>
              <w:t>根据所投产品技术参数及要求的响应情况进行综合打分，完全满足技术指标要求的得</w:t>
            </w:r>
            <w:r>
              <w:rPr>
                <w:rFonts w:ascii="宋体" w:hAnsi="宋体" w:cs="宋体"/>
                <w:bCs/>
                <w:color w:val="000000"/>
                <w:szCs w:val="21"/>
              </w:rPr>
              <w:t>16</w:t>
            </w:r>
            <w:r>
              <w:rPr>
                <w:rFonts w:hint="eastAsia" w:ascii="宋体" w:hAnsi="宋体" w:cs="宋体"/>
                <w:bCs/>
                <w:color w:val="000000"/>
                <w:szCs w:val="21"/>
              </w:rPr>
              <w:t>分；</w:t>
            </w:r>
            <w:r>
              <w:rPr>
                <w:rFonts w:hint="eastAsia" w:asciiTheme="minorEastAsia" w:hAnsiTheme="minorEastAsia" w:eastAsiaTheme="minorEastAsia" w:cstheme="minorEastAsia"/>
                <w:szCs w:val="21"/>
              </w:rPr>
              <w:t>不带“★”为一般项，每一项负偏离扣1分；带“★”的，每一项负偏离扣2分，扣完为止；</w:t>
            </w:r>
          </w:p>
        </w:tc>
        <w:tc>
          <w:tcPr>
            <w:tcW w:w="646" w:type="dxa"/>
            <w:vAlign w:val="center"/>
          </w:tcPr>
          <w:p>
            <w:pPr>
              <w:widowControl/>
              <w:spacing w:line="300" w:lineRule="auto"/>
              <w:jc w:val="center"/>
              <w:textAlignment w:val="center"/>
              <w:rPr>
                <w:rFonts w:ascii="宋体" w:hAnsi="宋体" w:cs="宋体"/>
                <w:color w:val="000000"/>
                <w:kern w:val="0"/>
                <w:szCs w:val="21"/>
              </w:rPr>
            </w:pPr>
            <w:r>
              <w:rPr>
                <w:rFonts w:ascii="宋体" w:hAnsi="宋体" w:cs="宋体"/>
                <w:color w:val="000000"/>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 w:type="dxa"/>
            <w:vMerge w:val="continue"/>
            <w:vAlign w:val="center"/>
          </w:tcPr>
          <w:p>
            <w:pPr>
              <w:widowControl/>
              <w:spacing w:line="300" w:lineRule="auto"/>
              <w:jc w:val="center"/>
              <w:textAlignment w:val="center"/>
              <w:rPr>
                <w:rFonts w:ascii="宋体" w:hAnsi="宋体" w:cs="宋体"/>
                <w:color w:val="000000"/>
                <w:kern w:val="0"/>
                <w:szCs w:val="21"/>
              </w:rPr>
            </w:pPr>
          </w:p>
        </w:tc>
        <w:tc>
          <w:tcPr>
            <w:tcW w:w="1097" w:type="dxa"/>
            <w:vMerge w:val="restart"/>
            <w:vAlign w:val="center"/>
          </w:tcPr>
          <w:p>
            <w:pPr>
              <w:widowControl/>
              <w:spacing w:line="300" w:lineRule="auto"/>
              <w:jc w:val="center"/>
              <w:textAlignment w:val="center"/>
              <w:rPr>
                <w:rFonts w:ascii="宋体" w:hAnsi="宋体" w:cs="宋体"/>
                <w:color w:val="000000"/>
                <w:kern w:val="0"/>
                <w:szCs w:val="21"/>
              </w:rPr>
            </w:pPr>
            <w:r>
              <w:rPr>
                <w:rFonts w:hint="eastAsia" w:ascii="宋体" w:hAnsi="宋体" w:cs="宋体"/>
                <w:color w:val="000000"/>
                <w:kern w:val="0"/>
                <w:szCs w:val="21"/>
              </w:rPr>
              <w:t>技术方案</w:t>
            </w:r>
          </w:p>
        </w:tc>
        <w:tc>
          <w:tcPr>
            <w:tcW w:w="6942" w:type="dxa"/>
            <w:vAlign w:val="center"/>
          </w:tcPr>
          <w:p>
            <w:pPr>
              <w:widowControl/>
              <w:spacing w:line="300" w:lineRule="auto"/>
              <w:textAlignment w:val="center"/>
              <w:rPr>
                <w:rFonts w:ascii="宋体" w:hAnsi="宋体" w:cs="宋体"/>
                <w:color w:val="000000"/>
                <w:kern w:val="0"/>
                <w:szCs w:val="21"/>
              </w:rPr>
            </w:pPr>
            <w:bookmarkStart w:id="87" w:name="_GoBack"/>
            <w:r>
              <w:rPr>
                <w:rFonts w:hint="eastAsia" w:ascii="宋体" w:hAnsi="宋体" w:cs="宋体"/>
                <w:color w:val="000000"/>
                <w:szCs w:val="21"/>
              </w:rPr>
              <w:t>1、根据投标人对本项目现场情况的了解程度，建设重难点分析及解决方案进行综合评定。熟悉现场情况、充分掌握项目建设重难点，得</w:t>
            </w:r>
            <w:r>
              <w:rPr>
                <w:rFonts w:ascii="宋体" w:hAnsi="宋体" w:cs="宋体"/>
                <w:color w:val="000000"/>
                <w:szCs w:val="21"/>
              </w:rPr>
              <w:t>3</w:t>
            </w: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分；基本了解现场情况、重难点分析笼统的得0-</w:t>
            </w:r>
            <w:r>
              <w:rPr>
                <w:rFonts w:hint="eastAsia" w:ascii="宋体" w:hAnsi="宋体" w:cs="宋体"/>
                <w:color w:val="000000"/>
                <w:szCs w:val="21"/>
                <w:lang w:val="en-US" w:eastAsia="zh-CN"/>
              </w:rPr>
              <w:t>3</w:t>
            </w:r>
            <w:r>
              <w:rPr>
                <w:rFonts w:hint="eastAsia" w:ascii="宋体" w:hAnsi="宋体" w:cs="宋体"/>
                <w:color w:val="000000"/>
                <w:szCs w:val="21"/>
              </w:rPr>
              <w:t>分；</w:t>
            </w:r>
            <w:bookmarkEnd w:id="87"/>
          </w:p>
        </w:tc>
        <w:tc>
          <w:tcPr>
            <w:tcW w:w="646" w:type="dxa"/>
            <w:vAlign w:val="center"/>
          </w:tcPr>
          <w:p>
            <w:pPr>
              <w:widowControl/>
              <w:spacing w:line="300" w:lineRule="auto"/>
              <w:jc w:val="center"/>
              <w:textAlignment w:val="center"/>
              <w:rPr>
                <w:rFonts w:ascii="宋体" w:hAnsi="宋体" w:cs="宋体"/>
                <w:color w:val="000000"/>
                <w:kern w:val="0"/>
                <w:szCs w:val="21"/>
              </w:rPr>
            </w:pPr>
            <w:r>
              <w:rPr>
                <w:rFonts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 w:type="dxa"/>
            <w:vMerge w:val="continue"/>
            <w:vAlign w:val="center"/>
          </w:tcPr>
          <w:p>
            <w:pPr>
              <w:spacing w:line="300" w:lineRule="auto"/>
              <w:jc w:val="left"/>
              <w:rPr>
                <w:rFonts w:ascii="宋体" w:hAnsi="宋体" w:cs="宋体"/>
                <w:color w:val="000000"/>
                <w:kern w:val="0"/>
                <w:szCs w:val="21"/>
              </w:rPr>
            </w:pPr>
          </w:p>
        </w:tc>
        <w:tc>
          <w:tcPr>
            <w:tcW w:w="1097" w:type="dxa"/>
            <w:vMerge w:val="continue"/>
            <w:vAlign w:val="center"/>
          </w:tcPr>
          <w:p>
            <w:pPr>
              <w:widowControl/>
              <w:spacing w:line="300" w:lineRule="auto"/>
              <w:jc w:val="center"/>
              <w:textAlignment w:val="center"/>
              <w:rPr>
                <w:rFonts w:ascii="宋体" w:hAnsi="宋体" w:cs="宋体"/>
                <w:color w:val="000000"/>
                <w:kern w:val="0"/>
                <w:szCs w:val="21"/>
              </w:rPr>
            </w:pPr>
          </w:p>
        </w:tc>
        <w:tc>
          <w:tcPr>
            <w:tcW w:w="6942" w:type="dxa"/>
            <w:vAlign w:val="center"/>
          </w:tcPr>
          <w:p>
            <w:pPr>
              <w:widowControl/>
              <w:spacing w:line="300" w:lineRule="auto"/>
              <w:textAlignment w:val="center"/>
              <w:rPr>
                <w:rFonts w:ascii="宋体" w:hAnsi="宋体" w:cs="宋体"/>
                <w:color w:val="000000"/>
                <w:szCs w:val="21"/>
              </w:rPr>
            </w:pPr>
            <w:r>
              <w:rPr>
                <w:rFonts w:hint="eastAsia" w:ascii="宋体" w:hAnsi="宋体" w:cs="宋体"/>
                <w:color w:val="000000"/>
                <w:szCs w:val="21"/>
              </w:rPr>
              <w:t>2、根据投标人对本项目整体建设的方案设计进行综合评定。方案涵盖所有建设内容，符合实际要求，整体设计优良、详细、具体、合理，得</w:t>
            </w:r>
            <w:r>
              <w:rPr>
                <w:rFonts w:ascii="宋体" w:hAnsi="宋体" w:cs="宋体"/>
                <w:color w:val="000000"/>
                <w:szCs w:val="21"/>
              </w:rPr>
              <w:t>4</w:t>
            </w:r>
            <w:r>
              <w:rPr>
                <w:rFonts w:hint="eastAsia" w:ascii="宋体" w:hAnsi="宋体" w:cs="宋体"/>
                <w:color w:val="000000"/>
                <w:szCs w:val="21"/>
              </w:rPr>
              <w:t>-</w:t>
            </w:r>
            <w:r>
              <w:rPr>
                <w:rFonts w:ascii="宋体" w:hAnsi="宋体" w:cs="宋体"/>
                <w:color w:val="000000"/>
                <w:szCs w:val="21"/>
              </w:rPr>
              <w:t>8</w:t>
            </w:r>
            <w:r>
              <w:rPr>
                <w:rFonts w:hint="eastAsia" w:ascii="宋体" w:hAnsi="宋体" w:cs="宋体"/>
                <w:color w:val="000000"/>
                <w:szCs w:val="21"/>
              </w:rPr>
              <w:t>分；</w:t>
            </w:r>
          </w:p>
          <w:p>
            <w:pPr>
              <w:pStyle w:val="175"/>
              <w:spacing w:line="360" w:lineRule="auto"/>
              <w:ind w:firstLine="0" w:firstLineChars="0"/>
              <w:contextualSpacing/>
              <w:rPr>
                <w:rFonts w:cs="宋体"/>
                <w:color w:val="000000"/>
                <w:kern w:val="0"/>
                <w:szCs w:val="21"/>
              </w:rPr>
            </w:pPr>
            <w:r>
              <w:rPr>
                <w:rFonts w:hint="eastAsia" w:cs="宋体"/>
                <w:color w:val="000000"/>
                <w:szCs w:val="21"/>
              </w:rPr>
              <w:t>方案涵盖部分建设内容，存在明显缺陷的得0-</w:t>
            </w:r>
            <w:r>
              <w:rPr>
                <w:rFonts w:hint="eastAsia" w:cs="宋体"/>
                <w:color w:val="000000"/>
                <w:szCs w:val="21"/>
                <w:lang w:val="en-US" w:eastAsia="zh-CN"/>
              </w:rPr>
              <w:t>4</w:t>
            </w:r>
            <w:r>
              <w:rPr>
                <w:rFonts w:hint="eastAsia" w:cs="宋体"/>
                <w:color w:val="000000"/>
                <w:szCs w:val="21"/>
              </w:rPr>
              <w:t>分；</w:t>
            </w:r>
          </w:p>
        </w:tc>
        <w:tc>
          <w:tcPr>
            <w:tcW w:w="646" w:type="dxa"/>
            <w:vAlign w:val="center"/>
          </w:tcPr>
          <w:p>
            <w:pPr>
              <w:widowControl/>
              <w:spacing w:line="300" w:lineRule="auto"/>
              <w:jc w:val="center"/>
              <w:textAlignment w:val="center"/>
              <w:rPr>
                <w:rFonts w:ascii="宋体" w:hAnsi="宋体" w:cs="宋体"/>
                <w:color w:val="000000"/>
                <w:kern w:val="0"/>
                <w:szCs w:val="21"/>
              </w:rPr>
            </w:pPr>
            <w:r>
              <w:rPr>
                <w:rFonts w:ascii="宋体" w:hAnsi="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 w:type="dxa"/>
            <w:vMerge w:val="continue"/>
            <w:vAlign w:val="center"/>
          </w:tcPr>
          <w:p>
            <w:pPr>
              <w:spacing w:line="300" w:lineRule="auto"/>
              <w:jc w:val="left"/>
              <w:rPr>
                <w:rFonts w:ascii="宋体" w:hAnsi="宋体" w:cs="宋体"/>
                <w:color w:val="000000"/>
                <w:kern w:val="0"/>
                <w:szCs w:val="21"/>
              </w:rPr>
            </w:pPr>
          </w:p>
        </w:tc>
        <w:tc>
          <w:tcPr>
            <w:tcW w:w="1097" w:type="dxa"/>
            <w:vMerge w:val="continue"/>
            <w:vAlign w:val="center"/>
          </w:tcPr>
          <w:p>
            <w:pPr>
              <w:widowControl/>
              <w:spacing w:line="300" w:lineRule="auto"/>
              <w:jc w:val="center"/>
              <w:textAlignment w:val="center"/>
              <w:rPr>
                <w:rFonts w:ascii="宋体" w:hAnsi="宋体" w:cs="宋体"/>
                <w:color w:val="000000"/>
                <w:kern w:val="0"/>
                <w:szCs w:val="21"/>
              </w:rPr>
            </w:pPr>
          </w:p>
        </w:tc>
        <w:tc>
          <w:tcPr>
            <w:tcW w:w="6942" w:type="dxa"/>
            <w:vAlign w:val="center"/>
          </w:tcPr>
          <w:p>
            <w:pPr>
              <w:widowControl/>
              <w:spacing w:line="300" w:lineRule="auto"/>
              <w:textAlignment w:val="center"/>
              <w:rPr>
                <w:rFonts w:ascii="宋体" w:hAnsi="宋体" w:cs="宋体"/>
                <w:color w:val="000000"/>
                <w:szCs w:val="21"/>
              </w:rPr>
            </w:pPr>
            <w:r>
              <w:rPr>
                <w:rFonts w:hint="eastAsia" w:ascii="宋体" w:hAnsi="宋体" w:cs="宋体"/>
                <w:color w:val="000000"/>
                <w:szCs w:val="21"/>
              </w:rPr>
              <w:t>3、根据投标人提供的专项流量建设方案进行综合评定；</w:t>
            </w:r>
          </w:p>
          <w:p>
            <w:pPr>
              <w:widowControl/>
              <w:spacing w:line="300" w:lineRule="auto"/>
              <w:textAlignment w:val="center"/>
              <w:rPr>
                <w:rFonts w:ascii="宋体" w:hAnsi="宋体" w:cs="宋体"/>
                <w:bCs/>
                <w:color w:val="000000"/>
                <w:szCs w:val="21"/>
                <w:u w:val="double"/>
              </w:rPr>
            </w:pPr>
            <w:r>
              <w:rPr>
                <w:rFonts w:hint="eastAsia" w:ascii="宋体" w:hAnsi="宋体" w:cs="宋体"/>
                <w:bCs/>
                <w:color w:val="000000"/>
                <w:szCs w:val="21"/>
              </w:rPr>
              <w:t>1）根据投标人对H-ADCP测流系统的安装选址、详细建设方案、流量计算模型、比测率定方案等内容进行评分。（0-</w:t>
            </w:r>
            <w:r>
              <w:rPr>
                <w:rFonts w:ascii="宋体" w:hAnsi="宋体" w:cs="宋体"/>
                <w:bCs/>
                <w:color w:val="000000"/>
                <w:szCs w:val="21"/>
              </w:rPr>
              <w:t>4</w:t>
            </w:r>
            <w:r>
              <w:rPr>
                <w:rFonts w:hint="eastAsia" w:ascii="宋体" w:hAnsi="宋体" w:cs="宋体"/>
                <w:bCs/>
                <w:color w:val="000000"/>
                <w:szCs w:val="21"/>
              </w:rPr>
              <w:t>分）</w:t>
            </w:r>
          </w:p>
          <w:p>
            <w:pPr>
              <w:widowControl/>
              <w:spacing w:line="300" w:lineRule="auto"/>
              <w:textAlignment w:val="center"/>
              <w:rPr>
                <w:rFonts w:ascii="宋体" w:hAnsi="宋体" w:cs="宋体"/>
                <w:bCs/>
                <w:color w:val="000000"/>
                <w:szCs w:val="21"/>
              </w:rPr>
            </w:pPr>
            <w:r>
              <w:rPr>
                <w:rFonts w:hint="eastAsia" w:ascii="宋体" w:hAnsi="宋体" w:cs="宋体"/>
                <w:bCs/>
                <w:color w:val="000000"/>
                <w:szCs w:val="21"/>
              </w:rPr>
              <w:t>2）根据投标人对侧扫雷达测流系统的安装选址、详细建设方案、流量计算模型、比测率定方案等内容进行评分。（0-</w:t>
            </w:r>
            <w:r>
              <w:rPr>
                <w:rFonts w:ascii="宋体" w:hAnsi="宋体" w:cs="宋体"/>
                <w:bCs/>
                <w:color w:val="000000"/>
                <w:szCs w:val="21"/>
              </w:rPr>
              <w:t>4</w:t>
            </w:r>
            <w:r>
              <w:rPr>
                <w:rFonts w:hint="eastAsia" w:ascii="宋体" w:hAnsi="宋体" w:cs="宋体"/>
                <w:bCs/>
                <w:color w:val="000000"/>
                <w:szCs w:val="21"/>
              </w:rPr>
              <w:t>分）</w:t>
            </w:r>
          </w:p>
          <w:p>
            <w:pPr>
              <w:widowControl/>
              <w:spacing w:line="300" w:lineRule="auto"/>
              <w:textAlignment w:val="center"/>
              <w:rPr>
                <w:rFonts w:ascii="宋体" w:hAnsi="宋体" w:cs="宋体"/>
                <w:color w:val="000000"/>
                <w:szCs w:val="21"/>
              </w:rPr>
            </w:pPr>
            <w:r>
              <w:rPr>
                <w:rFonts w:hint="eastAsia" w:ascii="宋体" w:hAnsi="宋体" w:cs="宋体"/>
                <w:color w:val="000000"/>
                <w:szCs w:val="21"/>
              </w:rPr>
              <w:t>3）根据投标人对雷达波测流系统的安装选址、详细建设方案、流量计算模型、比测率定方案等内容进行评分。（0-</w:t>
            </w:r>
            <w:r>
              <w:rPr>
                <w:rFonts w:ascii="宋体" w:hAnsi="宋体" w:cs="宋体"/>
                <w:color w:val="000000"/>
                <w:szCs w:val="21"/>
              </w:rPr>
              <w:t>4</w:t>
            </w:r>
            <w:r>
              <w:rPr>
                <w:rFonts w:hint="eastAsia" w:ascii="宋体" w:hAnsi="宋体" w:cs="宋体"/>
                <w:color w:val="000000"/>
                <w:szCs w:val="21"/>
              </w:rPr>
              <w:t>分）</w:t>
            </w:r>
          </w:p>
          <w:p>
            <w:pPr>
              <w:widowControl/>
              <w:spacing w:line="300" w:lineRule="auto"/>
              <w:textAlignment w:val="center"/>
              <w:rPr>
                <w:rFonts w:ascii="宋体" w:hAnsi="宋体" w:cs="宋体"/>
                <w:color w:val="000000"/>
                <w:szCs w:val="21"/>
              </w:rPr>
            </w:pPr>
            <w:r>
              <w:rPr>
                <w:rFonts w:hint="eastAsia" w:ascii="宋体" w:hAnsi="宋体" w:cs="宋体"/>
                <w:color w:val="000000"/>
                <w:szCs w:val="21"/>
              </w:rPr>
              <w:t>4）根据投标人对时差法测流系统的安装选址、详细建设方案、流量计算模型、比测率定方案等内容进行评分。（0-</w:t>
            </w:r>
            <w:r>
              <w:rPr>
                <w:rFonts w:ascii="宋体" w:hAnsi="宋体" w:cs="宋体"/>
                <w:color w:val="000000"/>
                <w:szCs w:val="21"/>
              </w:rPr>
              <w:t>4</w:t>
            </w:r>
            <w:r>
              <w:rPr>
                <w:rFonts w:hint="eastAsia" w:ascii="宋体" w:hAnsi="宋体" w:cs="宋体"/>
                <w:color w:val="000000"/>
                <w:szCs w:val="21"/>
              </w:rPr>
              <w:t>分）</w:t>
            </w:r>
          </w:p>
        </w:tc>
        <w:tc>
          <w:tcPr>
            <w:tcW w:w="646" w:type="dxa"/>
            <w:vAlign w:val="center"/>
          </w:tcPr>
          <w:p>
            <w:pPr>
              <w:widowControl/>
              <w:spacing w:line="300" w:lineRule="auto"/>
              <w:jc w:val="center"/>
              <w:textAlignment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 w:type="dxa"/>
            <w:vMerge w:val="continue"/>
            <w:vAlign w:val="center"/>
          </w:tcPr>
          <w:p>
            <w:pPr>
              <w:spacing w:line="300" w:lineRule="auto"/>
              <w:jc w:val="left"/>
              <w:rPr>
                <w:rFonts w:ascii="宋体" w:hAnsi="宋体" w:cs="宋体"/>
                <w:color w:val="000000"/>
                <w:kern w:val="0"/>
                <w:szCs w:val="21"/>
              </w:rPr>
            </w:pPr>
          </w:p>
        </w:tc>
        <w:tc>
          <w:tcPr>
            <w:tcW w:w="1097" w:type="dxa"/>
            <w:vMerge w:val="continue"/>
            <w:vAlign w:val="center"/>
          </w:tcPr>
          <w:p>
            <w:pPr>
              <w:widowControl/>
              <w:spacing w:line="300" w:lineRule="auto"/>
              <w:jc w:val="center"/>
              <w:textAlignment w:val="center"/>
              <w:rPr>
                <w:rFonts w:ascii="宋体" w:hAnsi="宋体" w:cs="宋体"/>
                <w:color w:val="000000"/>
                <w:kern w:val="0"/>
                <w:szCs w:val="21"/>
              </w:rPr>
            </w:pPr>
          </w:p>
        </w:tc>
        <w:tc>
          <w:tcPr>
            <w:tcW w:w="6942" w:type="dxa"/>
            <w:vAlign w:val="center"/>
          </w:tcPr>
          <w:p>
            <w:pPr>
              <w:widowControl/>
              <w:spacing w:line="300" w:lineRule="auto"/>
              <w:textAlignment w:val="center"/>
              <w:rPr>
                <w:rFonts w:ascii="宋体" w:hAnsi="宋体" w:cs="宋体"/>
                <w:color w:val="000000"/>
                <w:kern w:val="0"/>
                <w:szCs w:val="21"/>
              </w:rPr>
            </w:pPr>
            <w:r>
              <w:rPr>
                <w:rFonts w:hint="eastAsia" w:ascii="宋体" w:hAnsi="宋体" w:cs="宋体"/>
                <w:color w:val="000000"/>
                <w:szCs w:val="21"/>
              </w:rPr>
              <w:t>4、根据投标人提供的流量同化算法、洪水预报方案的完整性、可行性、合理性等方面，进行综合性评分。（0-4分）</w:t>
            </w:r>
          </w:p>
        </w:tc>
        <w:tc>
          <w:tcPr>
            <w:tcW w:w="646" w:type="dxa"/>
            <w:vAlign w:val="center"/>
          </w:tcPr>
          <w:p>
            <w:pPr>
              <w:widowControl/>
              <w:spacing w:line="300" w:lineRule="auto"/>
              <w:jc w:val="center"/>
              <w:textAlignment w:val="center"/>
              <w:rPr>
                <w:rFonts w:ascii="宋体" w:hAnsi="宋体" w:cs="宋体"/>
                <w:color w:val="000000"/>
                <w:kern w:val="0"/>
                <w:szCs w:val="21"/>
              </w:rPr>
            </w:pPr>
            <w:r>
              <w:rPr>
                <w:rFonts w:hint="eastAsia"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 w:type="dxa"/>
            <w:vMerge w:val="continue"/>
            <w:vAlign w:val="center"/>
          </w:tcPr>
          <w:p>
            <w:pPr>
              <w:spacing w:line="300" w:lineRule="auto"/>
              <w:jc w:val="left"/>
              <w:rPr>
                <w:rFonts w:ascii="宋体" w:hAnsi="宋体" w:cs="宋体"/>
                <w:color w:val="000000"/>
                <w:kern w:val="0"/>
                <w:szCs w:val="21"/>
              </w:rPr>
            </w:pPr>
          </w:p>
        </w:tc>
        <w:tc>
          <w:tcPr>
            <w:tcW w:w="1097" w:type="dxa"/>
            <w:vMerge w:val="continue"/>
            <w:vAlign w:val="center"/>
          </w:tcPr>
          <w:p>
            <w:pPr>
              <w:widowControl/>
              <w:spacing w:line="300" w:lineRule="auto"/>
              <w:jc w:val="center"/>
              <w:textAlignment w:val="center"/>
              <w:rPr>
                <w:rFonts w:ascii="宋体" w:hAnsi="宋体" w:cs="宋体"/>
                <w:color w:val="000000"/>
                <w:kern w:val="0"/>
                <w:szCs w:val="21"/>
              </w:rPr>
            </w:pPr>
          </w:p>
        </w:tc>
        <w:tc>
          <w:tcPr>
            <w:tcW w:w="6942" w:type="dxa"/>
            <w:vAlign w:val="center"/>
          </w:tcPr>
          <w:p>
            <w:pPr>
              <w:widowControl/>
              <w:spacing w:line="300" w:lineRule="auto"/>
              <w:textAlignment w:val="center"/>
              <w:rPr>
                <w:rFonts w:ascii="宋体" w:hAnsi="宋体" w:cs="宋体"/>
              </w:rPr>
            </w:pPr>
            <w:r>
              <w:rPr>
                <w:rFonts w:hint="eastAsia" w:ascii="宋体" w:hAnsi="宋体" w:cs="宋体"/>
              </w:rPr>
              <w:t>5、根据投标人提供的数字孪生建设方案的完整性、可行性、合理性等方面，进行综合性评分。（0-</w:t>
            </w:r>
            <w:r>
              <w:rPr>
                <w:rFonts w:ascii="宋体" w:hAnsi="宋体" w:cs="宋体"/>
              </w:rPr>
              <w:t>4</w:t>
            </w:r>
            <w:r>
              <w:rPr>
                <w:rFonts w:hint="eastAsia" w:ascii="宋体" w:hAnsi="宋体" w:cs="宋体"/>
              </w:rPr>
              <w:t>分）</w:t>
            </w:r>
          </w:p>
        </w:tc>
        <w:tc>
          <w:tcPr>
            <w:tcW w:w="646" w:type="dxa"/>
            <w:vAlign w:val="center"/>
          </w:tcPr>
          <w:p>
            <w:pPr>
              <w:widowControl/>
              <w:spacing w:line="300" w:lineRule="auto"/>
              <w:jc w:val="center"/>
              <w:textAlignment w:val="center"/>
              <w:rPr>
                <w:rFonts w:ascii="宋体" w:hAnsi="宋体" w:cs="宋体"/>
                <w:color w:val="000000"/>
                <w:kern w:val="0"/>
                <w:szCs w:val="21"/>
              </w:rPr>
            </w:pPr>
            <w:r>
              <w:rPr>
                <w:rFonts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 w:type="dxa"/>
            <w:vMerge w:val="continue"/>
            <w:vAlign w:val="center"/>
          </w:tcPr>
          <w:p>
            <w:pPr>
              <w:spacing w:line="300" w:lineRule="auto"/>
              <w:jc w:val="left"/>
              <w:rPr>
                <w:rFonts w:ascii="宋体" w:hAnsi="宋体" w:cs="宋体"/>
                <w:color w:val="000000"/>
                <w:kern w:val="0"/>
                <w:szCs w:val="21"/>
              </w:rPr>
            </w:pPr>
          </w:p>
        </w:tc>
        <w:tc>
          <w:tcPr>
            <w:tcW w:w="1097" w:type="dxa"/>
            <w:vMerge w:val="continue"/>
            <w:vAlign w:val="center"/>
          </w:tcPr>
          <w:p>
            <w:pPr>
              <w:widowControl/>
              <w:spacing w:line="300" w:lineRule="auto"/>
              <w:jc w:val="center"/>
              <w:textAlignment w:val="center"/>
              <w:rPr>
                <w:rFonts w:ascii="宋体" w:hAnsi="宋体" w:cs="宋体"/>
                <w:color w:val="000000"/>
                <w:kern w:val="0"/>
                <w:szCs w:val="21"/>
              </w:rPr>
            </w:pPr>
          </w:p>
        </w:tc>
        <w:tc>
          <w:tcPr>
            <w:tcW w:w="6942" w:type="dxa"/>
            <w:vAlign w:val="center"/>
          </w:tcPr>
          <w:p>
            <w:pPr>
              <w:widowControl/>
              <w:spacing w:line="300" w:lineRule="auto"/>
              <w:textAlignment w:val="center"/>
              <w:rPr>
                <w:rFonts w:ascii="宋体" w:hAnsi="宋体" w:cs="宋体"/>
              </w:rPr>
            </w:pPr>
            <w:r>
              <w:rPr>
                <w:rFonts w:hint="eastAsia" w:ascii="宋体" w:hAnsi="宋体" w:cs="宋体"/>
              </w:rPr>
              <w:t>6、根据投标人提供的针对本项目突发情况应急预案（包括有台风、突发应急事故等情况）的科学性、合理性、时效性等进行打分。（0-</w:t>
            </w:r>
            <w:r>
              <w:rPr>
                <w:rFonts w:ascii="宋体" w:hAnsi="宋体" w:cs="宋体"/>
              </w:rPr>
              <w:t>4</w:t>
            </w:r>
            <w:r>
              <w:rPr>
                <w:rFonts w:hint="eastAsia" w:ascii="宋体" w:hAnsi="宋体" w:cs="宋体"/>
              </w:rPr>
              <w:t>分）</w:t>
            </w:r>
          </w:p>
        </w:tc>
        <w:tc>
          <w:tcPr>
            <w:tcW w:w="646" w:type="dxa"/>
            <w:vAlign w:val="center"/>
          </w:tcPr>
          <w:p>
            <w:pPr>
              <w:widowControl/>
              <w:spacing w:line="300" w:lineRule="auto"/>
              <w:jc w:val="center"/>
              <w:textAlignment w:val="center"/>
              <w:rPr>
                <w:rFonts w:ascii="宋体" w:hAnsi="宋体" w:cs="宋体"/>
                <w:color w:val="000000"/>
                <w:kern w:val="0"/>
                <w:szCs w:val="21"/>
              </w:rPr>
            </w:pPr>
            <w:r>
              <w:rPr>
                <w:rFonts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 w:type="dxa"/>
            <w:vMerge w:val="continue"/>
            <w:vAlign w:val="center"/>
          </w:tcPr>
          <w:p>
            <w:pPr>
              <w:spacing w:line="300" w:lineRule="auto"/>
              <w:jc w:val="left"/>
              <w:rPr>
                <w:rFonts w:ascii="宋体" w:hAnsi="宋体" w:cs="宋体"/>
                <w:color w:val="000000"/>
                <w:kern w:val="0"/>
                <w:szCs w:val="21"/>
              </w:rPr>
            </w:pPr>
          </w:p>
        </w:tc>
        <w:tc>
          <w:tcPr>
            <w:tcW w:w="1097" w:type="dxa"/>
            <w:vAlign w:val="center"/>
          </w:tcPr>
          <w:p>
            <w:pPr>
              <w:widowControl/>
              <w:spacing w:line="300" w:lineRule="auto"/>
              <w:jc w:val="center"/>
              <w:textAlignment w:val="center"/>
              <w:rPr>
                <w:rFonts w:ascii="宋体" w:hAnsi="宋体" w:cs="宋体"/>
                <w:color w:val="000000"/>
                <w:kern w:val="0"/>
                <w:szCs w:val="21"/>
              </w:rPr>
            </w:pPr>
            <w:r>
              <w:rPr>
                <w:rFonts w:hint="eastAsia" w:ascii="宋体" w:hAnsi="宋体" w:cs="宋体"/>
                <w:color w:val="000000"/>
                <w:szCs w:val="21"/>
              </w:rPr>
              <w:t>售后服务</w:t>
            </w:r>
          </w:p>
        </w:tc>
        <w:tc>
          <w:tcPr>
            <w:tcW w:w="6942" w:type="dxa"/>
            <w:vAlign w:val="center"/>
          </w:tcPr>
          <w:p>
            <w:pPr>
              <w:pStyle w:val="2"/>
            </w:pPr>
            <w:r>
              <w:rPr>
                <w:rFonts w:hint="eastAsia"/>
              </w:rPr>
              <w:t>根据投标人提供的售后服务方案，包括本地化服务、</w:t>
            </w:r>
            <w:r>
              <w:rPr>
                <w:rFonts w:hint="eastAsia" w:ascii="宋体" w:hAnsi="宋体" w:cs="宋体"/>
                <w:color w:val="000000"/>
                <w:szCs w:val="21"/>
              </w:rPr>
              <w:t>故障响应时间、修复时间</w:t>
            </w:r>
            <w:r>
              <w:rPr>
                <w:rFonts w:hint="eastAsia"/>
              </w:rPr>
              <w:t>、服务人员配置、</w:t>
            </w:r>
            <w:r>
              <w:rPr>
                <w:rFonts w:hint="eastAsia" w:ascii="宋体" w:hAnsi="宋体" w:cs="宋体"/>
                <w:color w:val="000000"/>
                <w:szCs w:val="21"/>
              </w:rPr>
              <w:t>维修备品备件的供应</w:t>
            </w:r>
            <w:r>
              <w:rPr>
                <w:rFonts w:hint="eastAsia"/>
              </w:rPr>
              <w:t>等情况进行综合打分。（0</w:t>
            </w:r>
            <w:r>
              <w:t>-4</w:t>
            </w:r>
            <w:r>
              <w:rPr>
                <w:rFonts w:hint="eastAsia"/>
              </w:rPr>
              <w:t>）</w:t>
            </w:r>
          </w:p>
        </w:tc>
        <w:tc>
          <w:tcPr>
            <w:tcW w:w="646" w:type="dxa"/>
            <w:vAlign w:val="center"/>
          </w:tcPr>
          <w:p>
            <w:pPr>
              <w:widowControl/>
              <w:spacing w:line="300" w:lineRule="auto"/>
              <w:jc w:val="center"/>
              <w:textAlignment w:val="center"/>
              <w:rPr>
                <w:rFonts w:ascii="宋体" w:hAnsi="宋体" w:cs="宋体"/>
                <w:color w:val="000000"/>
                <w:kern w:val="0"/>
                <w:szCs w:val="21"/>
              </w:rPr>
            </w:pPr>
            <w:r>
              <w:rPr>
                <w:rFonts w:ascii="宋体" w:hAnsi="宋体" w:cs="宋体"/>
                <w:color w:val="000000"/>
                <w:kern w:val="0"/>
                <w:szCs w:val="21"/>
              </w:rPr>
              <w:t>4</w:t>
            </w:r>
          </w:p>
        </w:tc>
      </w:tr>
      <w:bookmarkEnd w:id="67"/>
    </w:tbl>
    <w:p>
      <w:pPr>
        <w:autoSpaceDE w:val="0"/>
        <w:autoSpaceDN w:val="0"/>
        <w:adjustRightInd w:val="0"/>
        <w:spacing w:line="360" w:lineRule="auto"/>
        <w:rPr>
          <w:rFonts w:ascii="宋体" w:hAnsi="宋体" w:cs="宋体"/>
          <w:b/>
          <w:bCs/>
          <w:szCs w:val="21"/>
          <w:lang w:val="zh-CN"/>
        </w:rPr>
      </w:pPr>
      <w:r>
        <w:rPr>
          <w:rFonts w:hint="eastAsia" w:ascii="宋体" w:hAnsi="宋体" w:cs="宋体"/>
          <w:b/>
          <w:bCs/>
          <w:szCs w:val="21"/>
          <w:lang w:val="zh-CN"/>
        </w:rPr>
        <w:t>（二）</w:t>
      </w:r>
      <w:bookmarkStart w:id="68" w:name="报价评分标准"/>
      <w:r>
        <w:rPr>
          <w:rFonts w:hint="eastAsia" w:ascii="宋体" w:hAnsi="宋体" w:cs="宋体"/>
          <w:b/>
          <w:bCs/>
          <w:szCs w:val="21"/>
          <w:lang w:val="zh-CN"/>
        </w:rPr>
        <w:t>报价分评分标准</w:t>
      </w:r>
      <w:bookmarkEnd w:id="68"/>
      <w:r>
        <w:rPr>
          <w:rFonts w:hint="eastAsia" w:ascii="宋体" w:hAnsi="宋体" w:cs="宋体"/>
          <w:b/>
          <w:bCs/>
          <w:szCs w:val="21"/>
          <w:lang w:val="zh-CN"/>
        </w:rPr>
        <w:t>（满分</w:t>
      </w:r>
      <w:r>
        <w:rPr>
          <w:rFonts w:hint="eastAsia" w:ascii="宋体" w:hAnsi="宋体" w:cs="宋体"/>
          <w:b/>
          <w:bCs/>
          <w:szCs w:val="21"/>
        </w:rPr>
        <w:t>30分</w:t>
      </w:r>
      <w:r>
        <w:rPr>
          <w:rFonts w:hint="eastAsia" w:ascii="宋体" w:hAnsi="宋体" w:cs="宋体"/>
          <w:b/>
          <w:bCs/>
          <w:szCs w:val="21"/>
          <w:lang w:val="zh-CN"/>
        </w:rPr>
        <w:t>）</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报价分按低价优先法计算，即满足采购文件要求且投标价格最低的投标报价为评标基准价，其报价分为满分。其他投标人的报价分按照下列公式计算：报价得分=（评标基准价／投标报价）×30%×100，结果四舍五入后保留两位小数。</w:t>
      </w:r>
    </w:p>
    <w:p>
      <w:pPr>
        <w:spacing w:line="360" w:lineRule="auto"/>
        <w:ind w:firstLine="422" w:firstLineChars="200"/>
        <w:rPr>
          <w:rFonts w:ascii="宋体" w:hAnsi="宋体" w:cs="宋体"/>
          <w:b/>
          <w:bCs/>
          <w:szCs w:val="21"/>
        </w:rPr>
      </w:pPr>
      <w:r>
        <w:rPr>
          <w:rFonts w:hint="eastAsia" w:ascii="宋体" w:hAnsi="宋体" w:cs="宋体"/>
          <w:b/>
          <w:bCs/>
          <w:szCs w:val="21"/>
        </w:rPr>
        <w:t>2.评审小组认为供应商的报价明显低于其他通过符合性审查供应商的报价，有可能影响产品（服务或工程）质量或者不能诚信履约的，应当要求其在合理的时间内提供书面说明，必要时提交相关证明材料；供应商不能证明其报价合理性的，评审小组应当将其作为无效投标处理。</w:t>
      </w:r>
    </w:p>
    <w:p>
      <w:pPr>
        <w:spacing w:line="360" w:lineRule="auto"/>
        <w:ind w:firstLine="422" w:firstLineChars="200"/>
        <w:rPr>
          <w:rFonts w:ascii="宋体" w:hAnsi="宋体" w:cs="宋体"/>
          <w:b/>
          <w:bCs/>
          <w:szCs w:val="21"/>
        </w:rPr>
      </w:pPr>
      <w:r>
        <w:rPr>
          <w:rFonts w:hint="eastAsia" w:ascii="宋体" w:hAnsi="宋体" w:cs="宋体"/>
          <w:b/>
          <w:bCs/>
          <w:szCs w:val="21"/>
        </w:rPr>
        <w:t>3.本项目属于</w:t>
      </w:r>
      <w:r>
        <w:rPr>
          <w:rFonts w:hint="eastAsia" w:ascii="宋体" w:hAnsi="宋体" w:cs="宋体"/>
          <w:b/>
          <w:bCs/>
          <w:szCs w:val="21"/>
          <w:u w:val="single"/>
        </w:rPr>
        <w:t xml:space="preserve"> 货物 </w:t>
      </w:r>
      <w:r>
        <w:rPr>
          <w:rFonts w:hint="eastAsia" w:ascii="宋体" w:hAnsi="宋体" w:cs="宋体"/>
          <w:b/>
          <w:bCs/>
          <w:szCs w:val="21"/>
        </w:rPr>
        <w:t>采购项目。</w:t>
      </w:r>
    </w:p>
    <w:p>
      <w:pPr>
        <w:spacing w:line="360" w:lineRule="auto"/>
        <w:ind w:firstLine="420" w:firstLineChars="200"/>
        <w:rPr>
          <w:rFonts w:ascii="宋体" w:hAnsi="宋体" w:cs="宋体"/>
          <w:b/>
          <w:bCs/>
          <w:szCs w:val="21"/>
        </w:rPr>
      </w:pPr>
      <w:r>
        <w:rPr>
          <w:rFonts w:hint="eastAsia" w:ascii="宋体" w:hAnsi="宋体" w:cs="宋体"/>
        </w:rPr>
        <w:t>4.根</w:t>
      </w:r>
      <w:r>
        <w:rPr>
          <w:rFonts w:hint="eastAsia" w:ascii="宋体" w:hAnsi="宋体" w:cs="宋体"/>
          <w:szCs w:val="21"/>
        </w:rPr>
        <w:t>据《政府采购促进</w:t>
      </w:r>
      <w:r>
        <w:rPr>
          <w:rFonts w:hint="eastAsia" w:ascii="宋体" w:hAnsi="宋体" w:cs="宋体"/>
          <w:bCs/>
          <w:szCs w:val="21"/>
        </w:rPr>
        <w:t>中小企业</w:t>
      </w:r>
      <w:r>
        <w:rPr>
          <w:rFonts w:hint="eastAsia" w:ascii="宋体" w:hAnsi="宋体" w:cs="宋体"/>
          <w:szCs w:val="21"/>
        </w:rPr>
        <w:t>发展管理办法》（财库[2020]46 号）等相关规定，本项目对小型或微型企业执行价格扣除优惠政策（符合规定条件的监狱企业或残疾人福利性单位视同小微企业。）具体措施为：</w:t>
      </w:r>
      <w:r>
        <w:rPr>
          <w:rFonts w:hint="eastAsia" w:ascii="宋体" w:hAnsi="宋体" w:cs="宋体"/>
          <w:b/>
          <w:bCs/>
          <w:szCs w:val="21"/>
        </w:rPr>
        <w:t>（1）对全部由小型和微型企业制造的货物或承接的服务项目报价给予20%（工程项目为5%）的扣除；（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工程项目为2%）的扣除。</w:t>
      </w:r>
    </w:p>
    <w:p>
      <w:pPr>
        <w:spacing w:line="360" w:lineRule="auto"/>
        <w:rPr>
          <w:rFonts w:ascii="宋体" w:hAnsi="宋体" w:cs="宋体"/>
          <w:b/>
          <w:bCs/>
          <w:szCs w:val="21"/>
        </w:rPr>
      </w:pPr>
      <w:r>
        <w:rPr>
          <w:rFonts w:hint="eastAsia" w:ascii="宋体" w:hAnsi="宋体" w:cs="宋体"/>
          <w:b/>
          <w:bCs/>
          <w:szCs w:val="21"/>
        </w:rPr>
        <w:t>用扣除后的价格参加报价分评审。材料提供要求如下</w:t>
      </w:r>
      <w:r>
        <w:rPr>
          <w:rFonts w:hint="eastAsia" w:ascii="宋体" w:hAnsi="宋体" w:cs="宋体"/>
          <w:bCs/>
          <w:szCs w:val="21"/>
        </w:rPr>
        <w:t>（相关格式见附件）</w:t>
      </w:r>
      <w:r>
        <w:rPr>
          <w:rFonts w:hint="eastAsia" w:ascii="宋体" w:hAnsi="宋体" w:cs="宋体"/>
          <w:szCs w:val="21"/>
        </w:rPr>
        <w:t>：</w:t>
      </w:r>
    </w:p>
    <w:p>
      <w:pPr>
        <w:spacing w:line="360" w:lineRule="auto"/>
        <w:ind w:firstLine="420" w:firstLineChars="200"/>
        <w:rPr>
          <w:rFonts w:ascii="宋体" w:hAnsi="宋体" w:cs="宋体"/>
          <w:bCs/>
          <w:szCs w:val="21"/>
        </w:rPr>
      </w:pPr>
      <w:r>
        <w:rPr>
          <w:rFonts w:hint="eastAsia" w:ascii="宋体" w:hAnsi="宋体" w:cs="宋体"/>
          <w:szCs w:val="21"/>
        </w:rPr>
        <w:t>（1）在货物采购项目中，供应商符合下列情形之一，</w:t>
      </w:r>
      <w:r>
        <w:rPr>
          <w:rFonts w:hint="eastAsia" w:ascii="宋体" w:hAnsi="宋体" w:cs="宋体"/>
          <w:bCs/>
          <w:szCs w:val="21"/>
        </w:rPr>
        <w:t>且如实填写并提供《中小企业声明函》或《残疾人福利性单位声明函》或《省级以上监狱管理局、戒毒管理局（含新疆生产建设兵团）出具的属于监狱企业的证明文件》的，享受价格扣除优惠政策：</w:t>
      </w:r>
    </w:p>
    <w:p>
      <w:pPr>
        <w:spacing w:line="360" w:lineRule="auto"/>
        <w:ind w:firstLine="420" w:firstLineChars="200"/>
        <w:rPr>
          <w:rFonts w:ascii="宋体" w:hAnsi="宋体" w:cs="宋体"/>
          <w:bCs/>
          <w:szCs w:val="21"/>
        </w:rPr>
      </w:pPr>
      <w:r>
        <w:rPr>
          <w:rFonts w:hint="eastAsia" w:ascii="宋体" w:hAnsi="宋体" w:cs="宋体"/>
          <w:szCs w:val="21"/>
        </w:rPr>
        <w:t>①</w:t>
      </w:r>
      <w:r>
        <w:rPr>
          <w:rFonts w:hint="eastAsia" w:ascii="宋体" w:hAnsi="宋体" w:cs="宋体"/>
          <w:bCs/>
          <w:szCs w:val="21"/>
        </w:rPr>
        <w:t>提供的货物全部由小型或微型企业制造且使用相关企业商号或注册商标；</w:t>
      </w:r>
    </w:p>
    <w:p>
      <w:pPr>
        <w:spacing w:line="360" w:lineRule="auto"/>
        <w:ind w:firstLine="420" w:firstLineChars="200"/>
        <w:rPr>
          <w:rFonts w:ascii="宋体" w:hAnsi="宋体" w:cs="宋体"/>
          <w:bCs/>
          <w:szCs w:val="21"/>
        </w:rPr>
      </w:pPr>
      <w:r>
        <w:rPr>
          <w:rFonts w:hint="eastAsia" w:ascii="宋体" w:hAnsi="宋体" w:cs="宋体"/>
          <w:bCs/>
          <w:szCs w:val="21"/>
        </w:rPr>
        <w:t>②残疾人福利性单位提供的货物全部由本单位制造或者由其他残疾人福利性单位制造（不包括使用非残疾人福利性单位注册商标的货物），或者满足情形①的；</w:t>
      </w:r>
    </w:p>
    <w:p>
      <w:pPr>
        <w:spacing w:line="360" w:lineRule="auto"/>
        <w:ind w:firstLine="420" w:firstLineChars="200"/>
        <w:rPr>
          <w:rFonts w:ascii="宋体" w:hAnsi="宋体" w:cs="宋体"/>
          <w:bCs/>
          <w:szCs w:val="21"/>
        </w:rPr>
      </w:pPr>
      <w:r>
        <w:rPr>
          <w:rFonts w:hint="eastAsia" w:ascii="宋体" w:hAnsi="宋体" w:cs="宋体"/>
          <w:bCs/>
          <w:szCs w:val="21"/>
        </w:rPr>
        <w:t>③监狱企业提供的货物全部由本单位制造或者由其他监狱企业制造，或者满足情形①的。</w:t>
      </w:r>
    </w:p>
    <w:p>
      <w:pPr>
        <w:spacing w:line="360" w:lineRule="auto"/>
        <w:ind w:firstLine="420" w:firstLineChars="200"/>
        <w:rPr>
          <w:rFonts w:ascii="宋体" w:hAnsi="宋体" w:cs="宋体"/>
          <w:bCs/>
          <w:szCs w:val="21"/>
        </w:rPr>
      </w:pPr>
      <w:r>
        <w:rPr>
          <w:rFonts w:hint="eastAsia" w:ascii="宋体" w:hAnsi="宋体" w:cs="宋体"/>
          <w:bCs/>
          <w:szCs w:val="21"/>
        </w:rPr>
        <w:t>（2）在服务或工程采购项目中，</w:t>
      </w:r>
      <w:r>
        <w:rPr>
          <w:rFonts w:hint="eastAsia" w:ascii="宋体" w:hAnsi="宋体" w:cs="宋体"/>
          <w:szCs w:val="21"/>
        </w:rPr>
        <w:t>供应商自身为</w:t>
      </w:r>
      <w:r>
        <w:rPr>
          <w:rFonts w:hint="eastAsia" w:ascii="宋体" w:hAnsi="宋体" w:cs="宋体"/>
          <w:bCs/>
          <w:szCs w:val="21"/>
        </w:rPr>
        <w:t>小型或微型企业（监狱企业、残疾人福利性单位视同小微企业），由本企业承接服务或承建工程，且如实填写并提供《中小企业声明函》或《残疾人福利性单位声明函》或《省级以上监狱管理局、戒毒管理局（含新疆生产建设兵团）出具的属于监狱企业的证明文件》的，享受价格扣除优惠政策。</w:t>
      </w:r>
    </w:p>
    <w:p>
      <w:pPr>
        <w:spacing w:line="360" w:lineRule="auto"/>
        <w:ind w:firstLine="422" w:firstLineChars="200"/>
        <w:rPr>
          <w:rFonts w:ascii="宋体" w:hAnsi="宋体" w:cs="宋体"/>
          <w:b/>
          <w:bCs/>
          <w:szCs w:val="21"/>
        </w:rPr>
      </w:pPr>
      <w:r>
        <w:rPr>
          <w:rFonts w:hint="eastAsia" w:ascii="宋体" w:hAnsi="宋体" w:cs="宋体"/>
          <w:b/>
          <w:bCs/>
          <w:szCs w:val="21"/>
        </w:rPr>
        <w:t>（三）定标</w:t>
      </w:r>
    </w:p>
    <w:p>
      <w:pPr>
        <w:spacing w:line="360" w:lineRule="auto"/>
        <w:ind w:firstLine="420" w:firstLineChars="200"/>
        <w:rPr>
          <w:rFonts w:ascii="宋体" w:hAnsi="宋体" w:cs="宋体"/>
          <w:szCs w:val="21"/>
        </w:rPr>
      </w:pPr>
      <w:r>
        <w:rPr>
          <w:rFonts w:hint="eastAsia" w:ascii="宋体" w:hAnsi="宋体" w:cs="宋体"/>
          <w:szCs w:val="21"/>
        </w:rPr>
        <w:t>1.投标人综合得分由资信技术分、报价分合计组成，满分为100分。</w:t>
      </w:r>
    </w:p>
    <w:p>
      <w:pPr>
        <w:spacing w:line="360" w:lineRule="auto"/>
        <w:ind w:firstLine="420" w:firstLineChars="200"/>
        <w:rPr>
          <w:rFonts w:ascii="宋体" w:hAnsi="宋体" w:cs="宋体"/>
          <w:sz w:val="30"/>
          <w:szCs w:val="30"/>
          <w:lang w:val="zh-CN"/>
        </w:rPr>
      </w:pPr>
      <w:r>
        <w:rPr>
          <w:rFonts w:hint="eastAsia" w:ascii="宋体" w:hAnsi="宋体" w:cs="宋体"/>
          <w:szCs w:val="21"/>
        </w:rPr>
        <w:t>2.评标结果按评审后得分由高到低顺序排列。得分相同的，按投标报价由低到高顺序排列。得分与投标报价均相同的并列。本次招标由评标委员会推荐评审得分最高者为第一中标候选人（以此类推）。采购代理机构在评标结束后2个工作日内将评标报告送采购人。采购人应当自收到评标报告之日起5个工作日内，按评标报告推荐的中标候选人确定中标人。中标候选人并列的，由采购人采取随机抽取的方式确定。</w:t>
      </w:r>
      <w:bookmarkStart w:id="69" w:name="_Toc19879"/>
      <w:r>
        <w:rPr>
          <w:rFonts w:hint="eastAsia" w:ascii="宋体" w:hAnsi="宋体" w:cs="宋体"/>
          <w:sz w:val="30"/>
          <w:szCs w:val="30"/>
          <w:lang w:val="zh-CN"/>
        </w:rPr>
        <w:br w:type="page"/>
      </w:r>
    </w:p>
    <w:p>
      <w:pPr>
        <w:pStyle w:val="47"/>
        <w:spacing w:line="360" w:lineRule="auto"/>
        <w:outlineLvl w:val="0"/>
        <w:rPr>
          <w:rFonts w:ascii="宋体" w:hAnsi="宋体" w:cs="宋体"/>
          <w:sz w:val="30"/>
          <w:szCs w:val="30"/>
          <w:lang w:val="zh-CN" w:eastAsia="zh-CN"/>
        </w:rPr>
      </w:pPr>
      <w:bookmarkStart w:id="70" w:name="_Toc21488"/>
      <w:r>
        <w:rPr>
          <w:rFonts w:hint="eastAsia" w:ascii="宋体" w:hAnsi="宋体" w:cs="宋体"/>
          <w:sz w:val="30"/>
          <w:szCs w:val="30"/>
          <w:lang w:val="zh-CN" w:eastAsia="zh-CN"/>
        </w:rPr>
        <w:t>第六章  投标文件相关格式</w:t>
      </w:r>
      <w:bookmarkEnd w:id="69"/>
      <w:bookmarkEnd w:id="70"/>
    </w:p>
    <w:p>
      <w:pPr>
        <w:snapToGrid w:val="0"/>
        <w:spacing w:after="50"/>
        <w:textAlignment w:val="baseline"/>
        <w:rPr>
          <w:rStyle w:val="149"/>
          <w:rFonts w:ascii="宋体" w:hAnsi="宋体" w:cs="宋体"/>
          <w:b/>
          <w:bCs/>
          <w:sz w:val="32"/>
          <w:szCs w:val="32"/>
        </w:rPr>
      </w:pPr>
      <w:bookmarkStart w:id="71" w:name="附件1"/>
    </w:p>
    <w:p>
      <w:pPr>
        <w:snapToGrid w:val="0"/>
        <w:spacing w:after="50"/>
        <w:textAlignment w:val="baseline"/>
        <w:rPr>
          <w:rStyle w:val="149"/>
          <w:rFonts w:ascii="宋体" w:hAnsi="宋体" w:cs="宋体"/>
          <w:b/>
          <w:bCs/>
          <w:sz w:val="32"/>
          <w:szCs w:val="32"/>
        </w:rPr>
      </w:pPr>
      <w:r>
        <w:rPr>
          <w:rStyle w:val="149"/>
          <w:rFonts w:hint="eastAsia" w:ascii="宋体" w:hAnsi="宋体" w:cs="宋体"/>
          <w:b/>
          <w:bCs/>
          <w:sz w:val="32"/>
          <w:szCs w:val="32"/>
        </w:rPr>
        <w:t>投标文件封面样式</w:t>
      </w:r>
    </w:p>
    <w:p>
      <w:pPr>
        <w:snapToGrid w:val="0"/>
        <w:spacing w:after="50"/>
        <w:jc w:val="center"/>
        <w:textAlignment w:val="baseline"/>
        <w:rPr>
          <w:rStyle w:val="149"/>
          <w:rFonts w:ascii="宋体" w:hAnsi="宋体" w:cs="宋体"/>
          <w:b/>
          <w:sz w:val="52"/>
          <w:szCs w:val="52"/>
        </w:rPr>
      </w:pPr>
    </w:p>
    <w:p>
      <w:pPr>
        <w:snapToGrid w:val="0"/>
        <w:spacing w:after="50"/>
        <w:jc w:val="center"/>
        <w:textAlignment w:val="baseline"/>
        <w:rPr>
          <w:rStyle w:val="149"/>
          <w:rFonts w:ascii="宋体" w:hAnsi="宋体" w:cs="宋体"/>
          <w:b/>
          <w:sz w:val="52"/>
          <w:szCs w:val="52"/>
        </w:rPr>
      </w:pPr>
      <w:r>
        <w:rPr>
          <w:rStyle w:val="149"/>
          <w:rFonts w:hint="eastAsia" w:ascii="宋体" w:hAnsi="宋体" w:cs="宋体"/>
          <w:b/>
          <w:sz w:val="52"/>
          <w:szCs w:val="52"/>
        </w:rPr>
        <w:t>投 标 文 件</w:t>
      </w:r>
    </w:p>
    <w:p>
      <w:pPr>
        <w:snapToGrid w:val="0"/>
        <w:spacing w:after="50"/>
        <w:jc w:val="center"/>
        <w:textAlignment w:val="baseline"/>
        <w:rPr>
          <w:rStyle w:val="149"/>
          <w:rFonts w:ascii="宋体" w:hAnsi="宋体" w:cs="宋体"/>
          <w:sz w:val="24"/>
          <w:szCs w:val="20"/>
        </w:rPr>
      </w:pPr>
    </w:p>
    <w:p>
      <w:pPr>
        <w:snapToGrid w:val="0"/>
        <w:spacing w:after="50"/>
        <w:jc w:val="center"/>
        <w:textAlignment w:val="baseline"/>
        <w:rPr>
          <w:rStyle w:val="149"/>
          <w:rFonts w:ascii="宋体" w:hAnsi="宋体" w:cs="宋体"/>
          <w:b/>
          <w:sz w:val="32"/>
          <w:szCs w:val="32"/>
        </w:rPr>
      </w:pPr>
    </w:p>
    <w:p>
      <w:pPr>
        <w:snapToGrid w:val="0"/>
        <w:spacing w:after="50"/>
        <w:jc w:val="center"/>
        <w:textAlignment w:val="baseline"/>
        <w:rPr>
          <w:rStyle w:val="149"/>
          <w:rFonts w:ascii="宋体" w:hAnsi="宋体" w:cs="宋体"/>
          <w:b/>
          <w:sz w:val="32"/>
          <w:szCs w:val="32"/>
        </w:rPr>
      </w:pPr>
      <w:r>
        <w:rPr>
          <w:rStyle w:val="149"/>
          <w:rFonts w:hint="eastAsia" w:ascii="宋体" w:hAnsi="宋体" w:cs="宋体"/>
          <w:b/>
          <w:sz w:val="32"/>
          <w:szCs w:val="32"/>
        </w:rPr>
        <w:t>资格文件/或商务技术文件/或报价文件</w:t>
      </w:r>
    </w:p>
    <w:p>
      <w:pPr>
        <w:snapToGrid w:val="0"/>
        <w:spacing w:after="50"/>
        <w:textAlignment w:val="baseline"/>
        <w:rPr>
          <w:rStyle w:val="149"/>
          <w:rFonts w:ascii="宋体" w:hAnsi="宋体" w:cs="宋体"/>
          <w:sz w:val="32"/>
          <w:szCs w:val="32"/>
        </w:rPr>
      </w:pPr>
    </w:p>
    <w:p>
      <w:pPr>
        <w:snapToGrid w:val="0"/>
        <w:spacing w:after="50"/>
        <w:textAlignment w:val="baseline"/>
        <w:rPr>
          <w:rStyle w:val="149"/>
          <w:rFonts w:ascii="宋体" w:hAnsi="宋体" w:cs="宋体"/>
          <w:sz w:val="32"/>
          <w:szCs w:val="32"/>
        </w:rPr>
      </w:pPr>
    </w:p>
    <w:p>
      <w:pPr>
        <w:snapToGrid w:val="0"/>
        <w:spacing w:after="50"/>
        <w:ind w:left="991" w:leftChars="472"/>
        <w:textAlignment w:val="baseline"/>
        <w:rPr>
          <w:rStyle w:val="149"/>
          <w:rFonts w:ascii="宋体" w:hAnsi="宋体" w:cs="宋体"/>
          <w:sz w:val="28"/>
          <w:szCs w:val="28"/>
          <w:u w:val="single"/>
        </w:rPr>
      </w:pPr>
      <w:r>
        <w:rPr>
          <w:rStyle w:val="149"/>
          <w:rFonts w:hint="eastAsia" w:ascii="宋体" w:hAnsi="宋体" w:cs="宋体"/>
          <w:sz w:val="28"/>
          <w:szCs w:val="28"/>
        </w:rPr>
        <w:t>项目名称：</w:t>
      </w:r>
      <w:r>
        <w:rPr>
          <w:rStyle w:val="149"/>
          <w:rFonts w:hint="eastAsia" w:ascii="宋体" w:hAnsi="宋体" w:cs="宋体"/>
          <w:sz w:val="28"/>
          <w:szCs w:val="28"/>
          <w:u w:val="single"/>
        </w:rPr>
        <w:t xml:space="preserve">                   </w:t>
      </w:r>
    </w:p>
    <w:p>
      <w:pPr>
        <w:snapToGrid w:val="0"/>
        <w:spacing w:after="50"/>
        <w:ind w:left="991" w:leftChars="472"/>
        <w:textAlignment w:val="baseline"/>
        <w:rPr>
          <w:rStyle w:val="149"/>
          <w:rFonts w:ascii="宋体" w:hAnsi="宋体" w:cs="宋体"/>
          <w:sz w:val="28"/>
          <w:szCs w:val="28"/>
        </w:rPr>
      </w:pPr>
    </w:p>
    <w:p>
      <w:pPr>
        <w:snapToGrid w:val="0"/>
        <w:spacing w:after="50"/>
        <w:ind w:left="991" w:leftChars="472"/>
        <w:textAlignment w:val="baseline"/>
        <w:rPr>
          <w:rStyle w:val="149"/>
          <w:rFonts w:ascii="宋体" w:hAnsi="宋体" w:cs="宋体"/>
          <w:sz w:val="28"/>
          <w:szCs w:val="28"/>
          <w:u w:val="single"/>
        </w:rPr>
      </w:pPr>
      <w:r>
        <w:rPr>
          <w:rStyle w:val="149"/>
          <w:rFonts w:hint="eastAsia" w:ascii="宋体" w:hAnsi="宋体" w:cs="宋体"/>
          <w:sz w:val="28"/>
          <w:szCs w:val="28"/>
        </w:rPr>
        <w:t>项目编号：</w:t>
      </w:r>
      <w:r>
        <w:rPr>
          <w:rStyle w:val="149"/>
          <w:rFonts w:hint="eastAsia" w:ascii="宋体" w:hAnsi="宋体" w:cs="宋体"/>
          <w:sz w:val="28"/>
          <w:szCs w:val="28"/>
          <w:u w:val="single"/>
        </w:rPr>
        <w:t xml:space="preserve">                    </w:t>
      </w:r>
    </w:p>
    <w:p>
      <w:pPr>
        <w:snapToGrid w:val="0"/>
        <w:spacing w:after="50"/>
        <w:ind w:left="991" w:leftChars="472"/>
        <w:textAlignment w:val="baseline"/>
        <w:rPr>
          <w:rStyle w:val="149"/>
          <w:rFonts w:ascii="宋体" w:hAnsi="宋体" w:cs="宋体"/>
          <w:sz w:val="28"/>
          <w:szCs w:val="28"/>
        </w:rPr>
      </w:pPr>
    </w:p>
    <w:p>
      <w:pPr>
        <w:snapToGrid w:val="0"/>
        <w:spacing w:after="50"/>
        <w:ind w:left="991" w:leftChars="472"/>
        <w:textAlignment w:val="baseline"/>
        <w:rPr>
          <w:rStyle w:val="149"/>
          <w:rFonts w:ascii="宋体" w:hAnsi="宋体" w:cs="宋体"/>
          <w:sz w:val="28"/>
          <w:szCs w:val="28"/>
          <w:u w:val="single"/>
        </w:rPr>
      </w:pPr>
      <w:r>
        <w:rPr>
          <w:rStyle w:val="149"/>
          <w:rFonts w:hint="eastAsia" w:ascii="宋体" w:hAnsi="宋体" w:cs="宋体"/>
          <w:sz w:val="28"/>
          <w:szCs w:val="28"/>
        </w:rPr>
        <w:t>投标人：</w:t>
      </w:r>
      <w:r>
        <w:rPr>
          <w:rStyle w:val="149"/>
          <w:rFonts w:hint="eastAsia" w:ascii="宋体" w:hAnsi="宋体" w:cs="宋体"/>
          <w:sz w:val="28"/>
          <w:szCs w:val="28"/>
          <w:u w:val="single"/>
        </w:rPr>
        <w:t xml:space="preserve">                       （盖单位公章）</w:t>
      </w:r>
    </w:p>
    <w:p>
      <w:pPr>
        <w:snapToGrid w:val="0"/>
        <w:spacing w:after="50"/>
        <w:ind w:left="991" w:leftChars="472"/>
        <w:textAlignment w:val="baseline"/>
        <w:rPr>
          <w:rStyle w:val="149"/>
          <w:rFonts w:ascii="宋体" w:hAnsi="宋体" w:cs="宋体"/>
          <w:sz w:val="28"/>
          <w:szCs w:val="28"/>
        </w:rPr>
      </w:pPr>
    </w:p>
    <w:p>
      <w:pPr>
        <w:snapToGrid w:val="0"/>
        <w:spacing w:after="50"/>
        <w:ind w:left="991" w:leftChars="472"/>
        <w:textAlignment w:val="baseline"/>
        <w:rPr>
          <w:rStyle w:val="149"/>
          <w:rFonts w:ascii="宋体" w:hAnsi="宋体" w:cs="宋体"/>
          <w:sz w:val="28"/>
          <w:szCs w:val="28"/>
          <w:u w:val="single"/>
        </w:rPr>
      </w:pPr>
      <w:r>
        <w:rPr>
          <w:rStyle w:val="149"/>
          <w:rFonts w:hint="eastAsia" w:ascii="宋体" w:hAnsi="宋体" w:cs="宋体"/>
          <w:sz w:val="28"/>
          <w:szCs w:val="28"/>
        </w:rPr>
        <w:t>法定代表人或其授权人签字或盖章：</w:t>
      </w:r>
      <w:r>
        <w:rPr>
          <w:rStyle w:val="149"/>
          <w:rFonts w:hint="eastAsia" w:ascii="宋体" w:hAnsi="宋体" w:cs="宋体"/>
          <w:sz w:val="28"/>
          <w:szCs w:val="28"/>
          <w:u w:val="single"/>
        </w:rPr>
        <w:t xml:space="preserve">             </w:t>
      </w:r>
    </w:p>
    <w:p>
      <w:pPr>
        <w:snapToGrid w:val="0"/>
        <w:spacing w:after="50"/>
        <w:ind w:left="991" w:leftChars="472"/>
        <w:textAlignment w:val="baseline"/>
        <w:rPr>
          <w:rStyle w:val="149"/>
          <w:rFonts w:ascii="宋体" w:hAnsi="宋体" w:cs="宋体"/>
          <w:sz w:val="28"/>
          <w:szCs w:val="28"/>
        </w:rPr>
      </w:pPr>
    </w:p>
    <w:p>
      <w:pPr>
        <w:snapToGrid w:val="0"/>
        <w:spacing w:after="50"/>
        <w:ind w:left="567" w:leftChars="270"/>
        <w:jc w:val="center"/>
        <w:textAlignment w:val="baseline"/>
        <w:rPr>
          <w:rStyle w:val="149"/>
          <w:rFonts w:ascii="宋体" w:hAnsi="宋体" w:cs="宋体"/>
          <w:sz w:val="28"/>
          <w:szCs w:val="28"/>
        </w:rPr>
      </w:pPr>
    </w:p>
    <w:p>
      <w:pPr>
        <w:snapToGrid w:val="0"/>
        <w:spacing w:after="50"/>
        <w:ind w:firstLine="980" w:firstLineChars="350"/>
        <w:textAlignment w:val="baseline"/>
        <w:rPr>
          <w:rStyle w:val="149"/>
          <w:rFonts w:ascii="宋体" w:hAnsi="宋体" w:cs="宋体"/>
          <w:sz w:val="28"/>
          <w:szCs w:val="28"/>
        </w:rPr>
      </w:pPr>
      <w:r>
        <w:rPr>
          <w:rStyle w:val="149"/>
          <w:rFonts w:hint="eastAsia" w:ascii="宋体" w:hAnsi="宋体" w:cs="宋体"/>
          <w:sz w:val="28"/>
          <w:szCs w:val="28"/>
        </w:rPr>
        <w:t>投标人地址：</w:t>
      </w:r>
      <w:r>
        <w:rPr>
          <w:rStyle w:val="149"/>
          <w:rFonts w:hint="eastAsia" w:ascii="宋体" w:hAnsi="宋体" w:cs="宋体"/>
          <w:sz w:val="28"/>
          <w:szCs w:val="28"/>
          <w:u w:val="single"/>
        </w:rPr>
        <w:t xml:space="preserve">                       </w:t>
      </w:r>
      <w:r>
        <w:rPr>
          <w:rStyle w:val="149"/>
          <w:rFonts w:hint="eastAsia" w:ascii="宋体" w:hAnsi="宋体" w:cs="宋体"/>
          <w:sz w:val="28"/>
          <w:szCs w:val="28"/>
        </w:rPr>
        <w:t xml:space="preserve">  电话：</w:t>
      </w:r>
      <w:r>
        <w:rPr>
          <w:rStyle w:val="149"/>
          <w:rFonts w:hint="eastAsia" w:ascii="宋体" w:hAnsi="宋体" w:cs="宋体"/>
          <w:sz w:val="28"/>
          <w:szCs w:val="28"/>
          <w:u w:val="single"/>
        </w:rPr>
        <w:t xml:space="preserve">              </w:t>
      </w:r>
      <w:r>
        <w:rPr>
          <w:rStyle w:val="149"/>
          <w:rFonts w:hint="eastAsia" w:ascii="宋体" w:hAnsi="宋体" w:cs="宋体"/>
          <w:sz w:val="28"/>
          <w:szCs w:val="28"/>
        </w:rPr>
        <w:t xml:space="preserve"> </w:t>
      </w:r>
    </w:p>
    <w:p>
      <w:pPr>
        <w:snapToGrid w:val="0"/>
        <w:spacing w:after="50"/>
        <w:textAlignment w:val="baseline"/>
        <w:rPr>
          <w:rStyle w:val="149"/>
          <w:rFonts w:ascii="宋体" w:hAnsi="宋体" w:cs="宋体"/>
          <w:sz w:val="28"/>
          <w:szCs w:val="28"/>
        </w:rPr>
      </w:pPr>
    </w:p>
    <w:p>
      <w:pPr>
        <w:snapToGrid w:val="0"/>
        <w:spacing w:after="50"/>
        <w:ind w:firstLine="980" w:firstLineChars="350"/>
        <w:textAlignment w:val="baseline"/>
        <w:rPr>
          <w:rStyle w:val="149"/>
          <w:rFonts w:ascii="宋体" w:hAnsi="宋体" w:cs="宋体"/>
          <w:b/>
          <w:sz w:val="28"/>
          <w:szCs w:val="28"/>
        </w:rPr>
      </w:pPr>
      <w:r>
        <w:rPr>
          <w:rStyle w:val="149"/>
          <w:rFonts w:hint="eastAsia" w:ascii="宋体" w:hAnsi="宋体" w:cs="宋体"/>
          <w:sz w:val="28"/>
          <w:szCs w:val="28"/>
        </w:rPr>
        <w:t xml:space="preserve">日期：     年    月   日 </w:t>
      </w:r>
      <w:r>
        <w:rPr>
          <w:rStyle w:val="149"/>
          <w:rFonts w:hint="eastAsia" w:ascii="宋体" w:hAnsi="宋体" w:cs="宋体"/>
          <w:b/>
          <w:sz w:val="28"/>
          <w:szCs w:val="28"/>
        </w:rPr>
        <w:t xml:space="preserve">       </w:t>
      </w:r>
    </w:p>
    <w:p>
      <w:pPr>
        <w:rPr>
          <w:rFonts w:ascii="宋体" w:hAnsi="宋体" w:cs="宋体"/>
          <w:b/>
          <w:szCs w:val="21"/>
        </w:rPr>
      </w:pPr>
    </w:p>
    <w:p>
      <w:pPr>
        <w:rPr>
          <w:rFonts w:ascii="宋体" w:hAnsi="宋体" w:cs="宋体"/>
          <w:b/>
          <w:szCs w:val="21"/>
        </w:rPr>
      </w:pPr>
      <w:r>
        <w:rPr>
          <w:rFonts w:hint="eastAsia" w:ascii="宋体" w:hAnsi="宋体" w:cs="宋体"/>
          <w:b/>
          <w:szCs w:val="21"/>
        </w:rPr>
        <w:br w:type="page"/>
      </w:r>
    </w:p>
    <w:p>
      <w:pPr>
        <w:spacing w:line="360" w:lineRule="auto"/>
        <w:jc w:val="left"/>
        <w:rPr>
          <w:rFonts w:ascii="宋体" w:hAnsi="宋体" w:cs="宋体"/>
          <w:b/>
          <w:szCs w:val="21"/>
        </w:rPr>
      </w:pPr>
      <w:bookmarkStart w:id="72" w:name="法定代表人身份证明"/>
      <w:r>
        <w:rPr>
          <w:rFonts w:hint="eastAsia" w:ascii="宋体" w:hAnsi="宋体" w:cs="宋体"/>
          <w:b/>
          <w:szCs w:val="21"/>
        </w:rPr>
        <w:t>附件1-1</w:t>
      </w:r>
    </w:p>
    <w:bookmarkEnd w:id="71"/>
    <w:bookmarkEnd w:id="72"/>
    <w:p>
      <w:pPr>
        <w:spacing w:line="360" w:lineRule="auto"/>
        <w:jc w:val="center"/>
        <w:rPr>
          <w:rFonts w:ascii="宋体" w:hAnsi="宋体" w:cs="宋体"/>
          <w:b/>
          <w:bCs/>
          <w:kern w:val="0"/>
          <w:szCs w:val="21"/>
        </w:rPr>
      </w:pPr>
    </w:p>
    <w:p>
      <w:pPr>
        <w:snapToGrid w:val="0"/>
        <w:spacing w:line="360" w:lineRule="auto"/>
        <w:jc w:val="center"/>
        <w:rPr>
          <w:rFonts w:ascii="宋体" w:hAnsi="宋体" w:cs="宋体"/>
          <w:b/>
          <w:bCs/>
          <w:sz w:val="28"/>
          <w:szCs w:val="28"/>
        </w:rPr>
      </w:pPr>
      <w:r>
        <w:rPr>
          <w:rFonts w:hint="eastAsia" w:ascii="宋体" w:hAnsi="宋体" w:cs="宋体"/>
          <w:b/>
          <w:bCs/>
          <w:sz w:val="28"/>
          <w:szCs w:val="28"/>
        </w:rPr>
        <w:t>法定代表人身份证明</w:t>
      </w:r>
    </w:p>
    <w:p>
      <w:pPr>
        <w:widowControl/>
        <w:spacing w:line="360" w:lineRule="auto"/>
        <w:jc w:val="center"/>
        <w:rPr>
          <w:rFonts w:ascii="宋体" w:hAnsi="宋体" w:cs="宋体"/>
          <w:b/>
          <w:bCs/>
          <w:kern w:val="0"/>
          <w:szCs w:val="21"/>
        </w:rPr>
      </w:pPr>
      <w:r>
        <w:rPr>
          <w:rFonts w:hint="eastAsia" w:ascii="宋体" w:hAnsi="宋体" w:cs="宋体"/>
          <w:b/>
          <w:bCs/>
          <w:kern w:val="0"/>
          <w:szCs w:val="21"/>
        </w:rPr>
        <w:t xml:space="preserve"> </w:t>
      </w:r>
    </w:p>
    <w:p>
      <w:pPr>
        <w:widowControl/>
        <w:spacing w:line="360" w:lineRule="auto"/>
        <w:ind w:firstLine="480"/>
        <w:jc w:val="left"/>
        <w:rPr>
          <w:rFonts w:ascii="宋体" w:hAnsi="宋体" w:cs="宋体"/>
          <w:kern w:val="0"/>
          <w:szCs w:val="21"/>
        </w:rPr>
      </w:pPr>
      <w:r>
        <w:rPr>
          <w:rFonts w:hint="eastAsia" w:ascii="宋体" w:hAnsi="宋体" w:cs="宋体"/>
          <w:kern w:val="0"/>
          <w:szCs w:val="21"/>
        </w:rPr>
        <w:t xml:space="preserve"> </w:t>
      </w:r>
    </w:p>
    <w:p>
      <w:pPr>
        <w:widowControl/>
        <w:spacing w:line="360" w:lineRule="auto"/>
        <w:ind w:firstLine="1080"/>
        <w:rPr>
          <w:rFonts w:ascii="宋体" w:hAnsi="宋体" w:cs="宋体"/>
          <w:kern w:val="0"/>
          <w:szCs w:val="21"/>
        </w:rPr>
      </w:pPr>
      <w:r>
        <w:rPr>
          <w:rFonts w:hint="eastAsia" w:ascii="宋体" w:hAnsi="宋体" w:cs="宋体"/>
          <w:kern w:val="0"/>
          <w:szCs w:val="21"/>
        </w:rPr>
        <w:t>单位名称：</w:t>
      </w:r>
      <w:r>
        <w:rPr>
          <w:rFonts w:hint="eastAsia" w:ascii="宋体" w:hAnsi="宋体" w:cs="宋体"/>
          <w:kern w:val="0"/>
          <w:szCs w:val="21"/>
          <w:u w:val="single"/>
        </w:rPr>
        <w:t xml:space="preserve">                                               </w:t>
      </w:r>
    </w:p>
    <w:p>
      <w:pPr>
        <w:widowControl/>
        <w:spacing w:line="360" w:lineRule="auto"/>
        <w:ind w:firstLine="1080"/>
        <w:rPr>
          <w:rFonts w:ascii="宋体" w:hAnsi="宋体" w:cs="宋体"/>
          <w:kern w:val="0"/>
          <w:szCs w:val="21"/>
          <w:u w:val="single"/>
        </w:rPr>
      </w:pPr>
      <w:r>
        <w:rPr>
          <w:rFonts w:hint="eastAsia" w:ascii="宋体" w:hAnsi="宋体" w:cs="宋体"/>
          <w:kern w:val="0"/>
          <w:szCs w:val="21"/>
        </w:rPr>
        <w:t>单位性质：</w:t>
      </w:r>
      <w:r>
        <w:rPr>
          <w:rFonts w:hint="eastAsia" w:ascii="宋体" w:hAnsi="宋体" w:cs="宋体"/>
          <w:kern w:val="0"/>
          <w:szCs w:val="21"/>
          <w:u w:val="single"/>
        </w:rPr>
        <w:t xml:space="preserve">                                               </w:t>
      </w:r>
    </w:p>
    <w:p>
      <w:pPr>
        <w:widowControl/>
        <w:spacing w:line="360" w:lineRule="auto"/>
        <w:ind w:firstLine="1080"/>
        <w:rPr>
          <w:rFonts w:ascii="宋体" w:hAnsi="宋体" w:cs="宋体"/>
          <w:kern w:val="0"/>
          <w:szCs w:val="21"/>
          <w:u w:val="single"/>
        </w:rPr>
      </w:pPr>
      <w:r>
        <w:rPr>
          <w:rFonts w:hint="eastAsia" w:ascii="宋体" w:hAnsi="宋体" w:cs="宋体"/>
          <w:kern w:val="0"/>
          <w:szCs w:val="21"/>
        </w:rPr>
        <w:t>地    址：</w:t>
      </w:r>
      <w:r>
        <w:rPr>
          <w:rFonts w:hint="eastAsia" w:ascii="宋体" w:hAnsi="宋体" w:cs="宋体"/>
          <w:kern w:val="0"/>
          <w:szCs w:val="21"/>
          <w:u w:val="single"/>
        </w:rPr>
        <w:t xml:space="preserve">                                               </w:t>
      </w:r>
    </w:p>
    <w:p>
      <w:pPr>
        <w:widowControl/>
        <w:spacing w:line="360" w:lineRule="auto"/>
        <w:ind w:firstLine="1080"/>
        <w:rPr>
          <w:rFonts w:ascii="宋体" w:hAnsi="宋体" w:cs="宋体"/>
          <w:kern w:val="0"/>
          <w:szCs w:val="21"/>
        </w:rPr>
      </w:pPr>
      <w:r>
        <w:rPr>
          <w:rFonts w:hint="eastAsia" w:ascii="宋体" w:hAnsi="宋体" w:cs="宋体"/>
          <w:kern w:val="0"/>
          <w:szCs w:val="21"/>
        </w:rPr>
        <w:t>成立时间：</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widowControl/>
        <w:spacing w:line="360" w:lineRule="auto"/>
        <w:ind w:firstLine="1080"/>
        <w:rPr>
          <w:rFonts w:ascii="宋体" w:hAnsi="宋体" w:cs="宋体"/>
          <w:kern w:val="0"/>
          <w:szCs w:val="21"/>
          <w:u w:val="single"/>
        </w:rPr>
      </w:pPr>
      <w:r>
        <w:rPr>
          <w:rFonts w:hint="eastAsia" w:ascii="宋体" w:hAnsi="宋体" w:cs="宋体"/>
          <w:kern w:val="0"/>
          <w:szCs w:val="21"/>
        </w:rPr>
        <w:t>经营期限：</w:t>
      </w:r>
      <w:r>
        <w:rPr>
          <w:rFonts w:hint="eastAsia" w:ascii="宋体" w:hAnsi="宋体" w:cs="宋体"/>
          <w:kern w:val="0"/>
          <w:szCs w:val="21"/>
          <w:u w:val="single"/>
        </w:rPr>
        <w:t xml:space="preserve">                                               </w:t>
      </w:r>
    </w:p>
    <w:p>
      <w:pPr>
        <w:widowControl/>
        <w:spacing w:line="360" w:lineRule="auto"/>
        <w:ind w:firstLine="1080"/>
        <w:rPr>
          <w:rFonts w:ascii="宋体" w:hAnsi="宋体" w:cs="宋体"/>
          <w:kern w:val="0"/>
          <w:szCs w:val="21"/>
          <w:u w:val="single"/>
        </w:rPr>
      </w:pPr>
      <w:r>
        <w:rPr>
          <w:rFonts w:hint="eastAsia" w:ascii="宋体" w:hAnsi="宋体" w:cs="宋体"/>
          <w:kern w:val="0"/>
          <w:szCs w:val="21"/>
        </w:rPr>
        <w:t>姓    名：</w:t>
      </w:r>
      <w:r>
        <w:rPr>
          <w:rFonts w:hint="eastAsia" w:ascii="宋体" w:hAnsi="宋体" w:cs="宋体"/>
          <w:kern w:val="0"/>
          <w:szCs w:val="21"/>
          <w:u w:val="single"/>
        </w:rPr>
        <w:t xml:space="preserve">                          </w:t>
      </w:r>
      <w:r>
        <w:rPr>
          <w:rFonts w:hint="eastAsia" w:ascii="宋体" w:hAnsi="宋体" w:cs="宋体"/>
          <w:kern w:val="0"/>
          <w:szCs w:val="21"/>
        </w:rPr>
        <w:t>性    别：</w:t>
      </w:r>
      <w:r>
        <w:rPr>
          <w:rFonts w:hint="eastAsia" w:ascii="宋体" w:hAnsi="宋体" w:cs="宋体"/>
          <w:kern w:val="0"/>
          <w:szCs w:val="21"/>
          <w:u w:val="single"/>
        </w:rPr>
        <w:t xml:space="preserve">            </w:t>
      </w:r>
    </w:p>
    <w:p>
      <w:pPr>
        <w:widowControl/>
        <w:spacing w:line="360" w:lineRule="auto"/>
        <w:ind w:firstLine="1080"/>
        <w:rPr>
          <w:rFonts w:ascii="宋体" w:hAnsi="宋体" w:cs="宋体"/>
          <w:kern w:val="0"/>
          <w:szCs w:val="21"/>
          <w:u w:val="single"/>
        </w:rPr>
      </w:pPr>
      <w:r>
        <w:rPr>
          <w:rFonts w:hint="eastAsia" w:ascii="宋体" w:hAnsi="宋体" w:cs="宋体"/>
          <w:kern w:val="0"/>
          <w:szCs w:val="21"/>
        </w:rPr>
        <w:t>年    龄：</w:t>
      </w:r>
      <w:r>
        <w:rPr>
          <w:rFonts w:hint="eastAsia" w:ascii="宋体" w:hAnsi="宋体" w:cs="宋体"/>
          <w:kern w:val="0"/>
          <w:szCs w:val="21"/>
          <w:u w:val="single"/>
        </w:rPr>
        <w:t xml:space="preserve">                          </w:t>
      </w:r>
      <w:r>
        <w:rPr>
          <w:rFonts w:hint="eastAsia" w:ascii="宋体" w:hAnsi="宋体" w:cs="宋体"/>
          <w:kern w:val="0"/>
          <w:szCs w:val="21"/>
        </w:rPr>
        <w:t>职    务：</w:t>
      </w:r>
      <w:r>
        <w:rPr>
          <w:rFonts w:hint="eastAsia" w:ascii="宋体" w:hAnsi="宋体" w:cs="宋体"/>
          <w:kern w:val="0"/>
          <w:szCs w:val="21"/>
          <w:u w:val="single"/>
        </w:rPr>
        <w:t xml:space="preserve">            </w:t>
      </w:r>
    </w:p>
    <w:p>
      <w:pPr>
        <w:widowControl/>
        <w:spacing w:line="360" w:lineRule="auto"/>
        <w:ind w:firstLine="1080"/>
        <w:rPr>
          <w:rFonts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w:t>
      </w:r>
      <w:r>
        <w:rPr>
          <w:rFonts w:hint="eastAsia" w:ascii="宋体" w:hAnsi="宋体" w:cs="宋体"/>
          <w:kern w:val="0"/>
          <w:szCs w:val="21"/>
        </w:rPr>
        <w:t>（投标人名称）的法定代表人。</w:t>
      </w:r>
    </w:p>
    <w:p>
      <w:pPr>
        <w:widowControl/>
        <w:spacing w:line="360" w:lineRule="auto"/>
        <w:ind w:firstLine="1080"/>
        <w:rPr>
          <w:rFonts w:ascii="宋体" w:hAnsi="宋体" w:cs="宋体"/>
          <w:kern w:val="0"/>
          <w:szCs w:val="21"/>
        </w:rPr>
      </w:pPr>
      <w:r>
        <w:rPr>
          <w:rFonts w:hint="eastAsia" w:ascii="宋体" w:hAnsi="宋体" w:cs="宋体"/>
          <w:kern w:val="0"/>
          <w:szCs w:val="21"/>
        </w:rPr>
        <w:t>特此证明。</w:t>
      </w:r>
    </w:p>
    <w:p>
      <w:pPr>
        <w:widowControl/>
        <w:spacing w:line="360" w:lineRule="auto"/>
        <w:rPr>
          <w:rFonts w:ascii="宋体" w:hAnsi="宋体" w:cs="宋体"/>
          <w:kern w:val="0"/>
          <w:szCs w:val="21"/>
        </w:rPr>
      </w:pPr>
      <w:r>
        <w:rPr>
          <w:rFonts w:hint="eastAsia" w:ascii="宋体" w:hAnsi="宋体" w:cs="宋体"/>
          <w:kern w:val="0"/>
          <w:szCs w:val="21"/>
        </w:rPr>
        <w:t xml:space="preserve"> </w:t>
      </w:r>
    </w:p>
    <w:p>
      <w:pPr>
        <w:widowControl/>
        <w:spacing w:line="360" w:lineRule="auto"/>
        <w:rPr>
          <w:rFonts w:ascii="宋体" w:hAnsi="宋体" w:cs="宋体"/>
          <w:kern w:val="0"/>
          <w:szCs w:val="21"/>
        </w:rPr>
      </w:pPr>
      <w:r>
        <w:rPr>
          <w:rFonts w:hint="eastAsia" w:ascii="宋体" w:hAnsi="宋体" w:cs="宋体"/>
          <w:kern w:val="0"/>
          <w:szCs w:val="21"/>
        </w:rPr>
        <w:t xml:space="preserve"> </w:t>
      </w:r>
    </w:p>
    <w:p>
      <w:pPr>
        <w:widowControl/>
        <w:spacing w:line="360" w:lineRule="auto"/>
        <w:ind w:firstLine="3600"/>
        <w:rPr>
          <w:rFonts w:ascii="宋体" w:hAnsi="宋体" w:cs="宋体"/>
          <w:kern w:val="0"/>
          <w:szCs w:val="21"/>
        </w:rPr>
      </w:pPr>
      <w:r>
        <w:rPr>
          <w:rFonts w:hint="eastAsia" w:ascii="宋体" w:hAnsi="宋体" w:cs="宋体"/>
          <w:kern w:val="0"/>
          <w:szCs w:val="21"/>
        </w:rPr>
        <w:t>投标人名称：</w:t>
      </w:r>
      <w:r>
        <w:rPr>
          <w:rFonts w:hint="eastAsia" w:ascii="宋体" w:hAnsi="宋体" w:cs="宋体"/>
          <w:kern w:val="0"/>
          <w:szCs w:val="21"/>
          <w:u w:val="single"/>
        </w:rPr>
        <w:t xml:space="preserve">                      </w:t>
      </w:r>
      <w:r>
        <w:rPr>
          <w:rFonts w:hint="eastAsia" w:ascii="宋体" w:hAnsi="宋体" w:cs="宋体"/>
          <w:kern w:val="0"/>
          <w:szCs w:val="21"/>
        </w:rPr>
        <w:t>（盖章）</w:t>
      </w:r>
    </w:p>
    <w:p>
      <w:pPr>
        <w:widowControl/>
        <w:spacing w:line="360" w:lineRule="auto"/>
        <w:rPr>
          <w:rFonts w:ascii="宋体" w:hAnsi="宋体" w:cs="宋体"/>
          <w:kern w:val="0"/>
          <w:szCs w:val="21"/>
          <w:u w:val="single"/>
        </w:rPr>
      </w:pPr>
    </w:p>
    <w:p>
      <w:pPr>
        <w:widowControl/>
        <w:spacing w:line="360" w:lineRule="auto"/>
        <w:ind w:firstLine="5355" w:firstLineChars="2550"/>
        <w:rPr>
          <w:rFonts w:ascii="宋体" w:hAnsi="宋体" w:cs="宋体"/>
          <w:kern w:val="0"/>
          <w:szCs w:val="21"/>
        </w:rPr>
      </w:pPr>
      <w:r>
        <w:rPr>
          <w:rFonts w:hint="eastAsia" w:ascii="宋体" w:hAnsi="宋体" w:cs="宋体"/>
          <w:kern w:val="0"/>
          <w:szCs w:val="21"/>
        </w:rPr>
        <w:t>日期：</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日 </w:t>
      </w:r>
    </w:p>
    <w:p>
      <w:pPr>
        <w:spacing w:line="360" w:lineRule="auto"/>
        <w:jc w:val="left"/>
        <w:rPr>
          <w:rFonts w:ascii="宋体" w:hAnsi="宋体" w:cs="宋体"/>
          <w:b/>
          <w:bCs/>
          <w:szCs w:val="21"/>
        </w:rPr>
      </w:pPr>
      <w:r>
        <w:rPr>
          <w:rFonts w:hint="eastAsia" w:ascii="宋体" w:hAnsi="宋体" w:cs="宋体"/>
          <w:b/>
          <w:bCs/>
          <w:szCs w:val="21"/>
        </w:rPr>
        <w:t>所需附件：</w:t>
      </w:r>
      <w:r>
        <w:rPr>
          <w:rFonts w:hint="eastAsia" w:ascii="宋体" w:hAnsi="宋体" w:cs="宋体"/>
          <w:b/>
          <w:szCs w:val="21"/>
        </w:rPr>
        <w:t>法定代表人（单位负责人）身份证复印件</w:t>
      </w:r>
    </w:p>
    <w:p>
      <w:pPr>
        <w:spacing w:line="360" w:lineRule="auto"/>
        <w:jc w:val="left"/>
        <w:rPr>
          <w:rFonts w:ascii="宋体" w:hAnsi="宋体" w:cs="宋体"/>
          <w:b/>
          <w:szCs w:val="21"/>
        </w:rPr>
      </w:pPr>
      <w:r>
        <w:rPr>
          <w:rFonts w:hint="eastAsia" w:ascii="宋体" w:hAnsi="宋体" w:cs="宋体"/>
          <w:b/>
          <w:bCs/>
          <w:szCs w:val="21"/>
        </w:rPr>
        <w:br w:type="page"/>
      </w:r>
      <w:bookmarkStart w:id="73" w:name="法定代表人授权委托书"/>
      <w:r>
        <w:rPr>
          <w:rFonts w:hint="eastAsia" w:ascii="宋体" w:hAnsi="宋体" w:cs="宋体"/>
          <w:b/>
          <w:szCs w:val="21"/>
        </w:rPr>
        <w:t>附件1-2</w:t>
      </w:r>
      <w:bookmarkEnd w:id="73"/>
    </w:p>
    <w:p>
      <w:pPr>
        <w:spacing w:line="360" w:lineRule="auto"/>
        <w:jc w:val="center"/>
        <w:rPr>
          <w:rFonts w:ascii="宋体" w:hAnsi="宋体" w:cs="宋体"/>
          <w:b/>
          <w:bCs/>
          <w:szCs w:val="21"/>
        </w:rPr>
      </w:pPr>
    </w:p>
    <w:p>
      <w:pPr>
        <w:snapToGrid w:val="0"/>
        <w:spacing w:line="360" w:lineRule="auto"/>
        <w:jc w:val="center"/>
        <w:rPr>
          <w:rFonts w:ascii="宋体" w:hAnsi="宋体" w:cs="宋体"/>
          <w:b/>
          <w:bCs/>
          <w:sz w:val="28"/>
          <w:szCs w:val="28"/>
        </w:rPr>
      </w:pPr>
      <w:r>
        <w:rPr>
          <w:rFonts w:hint="eastAsia" w:ascii="宋体" w:hAnsi="宋体" w:cs="宋体"/>
          <w:b/>
          <w:bCs/>
          <w:sz w:val="28"/>
          <w:szCs w:val="28"/>
        </w:rPr>
        <w:t>法定代表人授权委托书</w:t>
      </w:r>
    </w:p>
    <w:p>
      <w:pPr>
        <w:spacing w:line="360" w:lineRule="auto"/>
        <w:rPr>
          <w:rFonts w:ascii="宋体" w:hAnsi="宋体" w:cs="宋体"/>
          <w:szCs w:val="21"/>
        </w:rPr>
      </w:pPr>
    </w:p>
    <w:p>
      <w:pPr>
        <w:spacing w:line="360" w:lineRule="auto"/>
        <w:ind w:firstLine="105" w:firstLineChars="50"/>
        <w:rPr>
          <w:rFonts w:ascii="宋体" w:hAnsi="宋体" w:cs="宋体"/>
          <w:szCs w:val="21"/>
        </w:rPr>
      </w:pPr>
      <w:r>
        <w:rPr>
          <w:rFonts w:hint="eastAsia" w:ascii="宋体" w:hAnsi="宋体" w:cs="宋体"/>
          <w:szCs w:val="21"/>
          <w:u w:val="single"/>
        </w:rPr>
        <w:t xml:space="preserve">（采购代理机构名称）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 xml:space="preserve">     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（投标人名称）的法定代表人，现授权委托本单位在职职工</w:t>
      </w:r>
      <w:r>
        <w:rPr>
          <w:rFonts w:hint="eastAsia" w:ascii="宋体" w:hAnsi="宋体" w:cs="宋体"/>
          <w:szCs w:val="21"/>
          <w:u w:val="single"/>
        </w:rPr>
        <w:t xml:space="preserve">             </w:t>
      </w:r>
      <w:r>
        <w:rPr>
          <w:rFonts w:hint="eastAsia" w:ascii="宋体" w:hAnsi="宋体" w:cs="宋体"/>
          <w:szCs w:val="21"/>
        </w:rPr>
        <w:t>（姓名）以我方的名义参加贵处组织的</w:t>
      </w:r>
      <w:r>
        <w:rPr>
          <w:rFonts w:hint="eastAsia" w:ascii="宋体" w:hAnsi="宋体" w:cs="宋体"/>
          <w:szCs w:val="21"/>
          <w:u w:val="single"/>
        </w:rPr>
        <w:t>（项目名称），（项目编号）</w:t>
      </w:r>
      <w:r>
        <w:rPr>
          <w:rFonts w:hint="eastAsia" w:ascii="宋体" w:hAnsi="宋体" w:cs="宋体"/>
          <w:szCs w:val="21"/>
        </w:rPr>
        <w:t>的投标活动，并代表我方全权办理针对上述项目的投标文件签署、投标、参加开标会议、签约（如我方中标）等具体事务和签署相关文件。</w:t>
      </w:r>
    </w:p>
    <w:p>
      <w:pPr>
        <w:spacing w:line="360" w:lineRule="auto"/>
        <w:ind w:firstLine="420" w:firstLineChars="200"/>
        <w:rPr>
          <w:rFonts w:ascii="宋体" w:hAnsi="宋体" w:cs="宋体"/>
          <w:szCs w:val="21"/>
        </w:rPr>
      </w:pPr>
      <w:r>
        <w:rPr>
          <w:rFonts w:hint="eastAsia" w:ascii="宋体" w:hAnsi="宋体" w:cs="宋体"/>
          <w:szCs w:val="21"/>
        </w:rPr>
        <w:t>我方对被授权人签名的事项负全部责任。</w:t>
      </w:r>
    </w:p>
    <w:p>
      <w:pPr>
        <w:spacing w:line="360" w:lineRule="auto"/>
        <w:ind w:firstLine="420" w:firstLineChars="200"/>
        <w:rPr>
          <w:rFonts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在撤销授权的书面通知以前，本授权书一直有效。被授权人在授权书有效期内签署的所有文件不因授权的撤销而失效。被授权人无转委托权，特此委托。</w:t>
      </w:r>
    </w:p>
    <w:p>
      <w:pPr>
        <w:spacing w:line="360" w:lineRule="auto"/>
        <w:ind w:firstLine="420" w:firstLineChars="200"/>
        <w:rPr>
          <w:rFonts w:ascii="宋体" w:hAnsi="宋体" w:cs="宋体"/>
          <w:szCs w:val="21"/>
        </w:rPr>
      </w:pPr>
    </w:p>
    <w:p>
      <w:pPr>
        <w:spacing w:line="360" w:lineRule="auto"/>
        <w:rPr>
          <w:rFonts w:ascii="宋体" w:hAnsi="宋体" w:cs="宋体"/>
          <w:szCs w:val="21"/>
          <w:u w:val="single"/>
        </w:rPr>
      </w:pPr>
      <w:r>
        <w:rPr>
          <w:rFonts w:hint="eastAsia" w:ascii="宋体" w:hAnsi="宋体" w:cs="宋体"/>
          <w:szCs w:val="21"/>
        </w:rPr>
        <w:t>被授权人签字：</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（盖章）</w:t>
      </w:r>
    </w:p>
    <w:p>
      <w:pPr>
        <w:spacing w:line="360" w:lineRule="auto"/>
        <w:rPr>
          <w:rFonts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日期：    年  月  日</w:t>
      </w:r>
    </w:p>
    <w:p>
      <w:pPr>
        <w:spacing w:line="360" w:lineRule="auto"/>
        <w:jc w:val="left"/>
        <w:rPr>
          <w:rFonts w:ascii="宋体" w:hAnsi="宋体" w:cs="宋体"/>
          <w:b/>
          <w:szCs w:val="21"/>
        </w:rPr>
      </w:pPr>
    </w:p>
    <w:p>
      <w:pPr>
        <w:rPr>
          <w:rFonts w:ascii="宋体" w:hAnsi="宋体" w:cs="宋体"/>
          <w:b/>
          <w:szCs w:val="21"/>
        </w:rPr>
      </w:pPr>
      <w:r>
        <w:rPr>
          <w:rFonts w:hint="eastAsia" w:ascii="宋体" w:hAnsi="宋体" w:cs="宋体"/>
          <w:b/>
          <w:szCs w:val="21"/>
        </w:rPr>
        <w:t>所需附件：法定代表人（单位负责人）及授权代理人身份证复印件</w:t>
      </w:r>
    </w:p>
    <w:p>
      <w:pPr>
        <w:rPr>
          <w:rFonts w:ascii="宋体" w:hAnsi="宋体" w:cs="宋体"/>
          <w:b/>
          <w:szCs w:val="21"/>
        </w:rPr>
      </w:pPr>
      <w:r>
        <w:rPr>
          <w:rFonts w:hint="eastAsia" w:ascii="宋体" w:hAnsi="宋体" w:cs="宋体"/>
          <w:b/>
          <w:szCs w:val="21"/>
        </w:rPr>
        <w:br w:type="page"/>
      </w:r>
    </w:p>
    <w:p>
      <w:pPr>
        <w:spacing w:line="360" w:lineRule="auto"/>
        <w:jc w:val="left"/>
        <w:rPr>
          <w:rFonts w:ascii="宋体" w:hAnsi="宋体" w:cs="宋体"/>
          <w:b/>
          <w:szCs w:val="21"/>
        </w:rPr>
      </w:pPr>
      <w:bookmarkStart w:id="74" w:name="附件2"/>
      <w:r>
        <w:rPr>
          <w:rFonts w:hint="eastAsia" w:ascii="宋体" w:hAnsi="宋体" w:cs="宋体"/>
          <w:b/>
          <w:szCs w:val="21"/>
        </w:rPr>
        <w:t>附件</w:t>
      </w:r>
      <w:bookmarkEnd w:id="74"/>
      <w:r>
        <w:rPr>
          <w:rFonts w:hint="eastAsia" w:ascii="宋体" w:hAnsi="宋体" w:cs="宋体"/>
          <w:b/>
          <w:szCs w:val="21"/>
        </w:rPr>
        <w:t>2</w:t>
      </w:r>
    </w:p>
    <w:p>
      <w:pPr>
        <w:spacing w:line="360" w:lineRule="auto"/>
        <w:jc w:val="center"/>
        <w:rPr>
          <w:rFonts w:ascii="宋体" w:hAnsi="宋体" w:cs="宋体"/>
          <w:b/>
          <w:bCs/>
          <w:sz w:val="28"/>
          <w:szCs w:val="28"/>
        </w:rPr>
      </w:pPr>
      <w:bookmarkStart w:id="75" w:name="附件4"/>
      <w:r>
        <w:rPr>
          <w:rFonts w:hint="eastAsia" w:ascii="宋体" w:hAnsi="宋体" w:cs="宋体"/>
          <w:b/>
          <w:bCs/>
          <w:sz w:val="28"/>
          <w:szCs w:val="28"/>
        </w:rPr>
        <w:t>符合参与政府采购活动资格条件的承诺函</w:t>
      </w:r>
    </w:p>
    <w:p>
      <w:pPr>
        <w:pStyle w:val="20"/>
        <w:rPr>
          <w:rFonts w:ascii="宋体" w:hAnsi="宋体" w:cs="宋体"/>
        </w:rPr>
      </w:pPr>
    </w:p>
    <w:p>
      <w:pPr>
        <w:adjustRightInd w:val="0"/>
        <w:snapToGrid w:val="0"/>
        <w:spacing w:line="360" w:lineRule="auto"/>
        <w:rPr>
          <w:rFonts w:ascii="宋体" w:hAnsi="宋体" w:cs="宋体"/>
          <w:szCs w:val="21"/>
          <w:u w:val="single"/>
        </w:rPr>
      </w:pPr>
      <w:r>
        <w:rPr>
          <w:rFonts w:hint="eastAsia" w:ascii="宋体" w:hAnsi="宋体" w:cs="宋体"/>
          <w:szCs w:val="21"/>
          <w:u w:val="single"/>
        </w:rPr>
        <w:t>常山县水文站：</w:t>
      </w:r>
    </w:p>
    <w:p>
      <w:pPr>
        <w:adjustRightInd w:val="0"/>
        <w:snapToGrid w:val="0"/>
        <w:spacing w:line="360" w:lineRule="auto"/>
        <w:rPr>
          <w:rFonts w:ascii="宋体" w:hAnsi="宋体" w:cs="宋体"/>
          <w:szCs w:val="21"/>
        </w:rPr>
      </w:pPr>
      <w:r>
        <w:rPr>
          <w:rFonts w:hint="eastAsia" w:ascii="宋体" w:hAnsi="宋体" w:cs="宋体"/>
          <w:szCs w:val="21"/>
          <w:u w:val="single"/>
        </w:rPr>
        <w:t>浙江哲晟工程项目管理有限公司：</w:t>
      </w:r>
    </w:p>
    <w:p>
      <w:pPr>
        <w:spacing w:line="360" w:lineRule="auto"/>
        <w:ind w:firstLine="420" w:firstLineChars="200"/>
        <w:rPr>
          <w:rFonts w:ascii="宋体" w:hAnsi="宋体" w:cs="宋体"/>
          <w:szCs w:val="21"/>
        </w:rPr>
      </w:pPr>
      <w:r>
        <w:rPr>
          <w:rFonts w:hint="eastAsia" w:ascii="宋体" w:hAnsi="宋体" w:cs="宋体"/>
          <w:szCs w:val="21"/>
        </w:rPr>
        <w:t>根据贵方</w:t>
      </w:r>
      <w:r>
        <w:rPr>
          <w:rFonts w:hint="eastAsia" w:ascii="宋体" w:hAnsi="宋体" w:cs="宋体"/>
          <w:szCs w:val="21"/>
          <w:u w:val="single"/>
        </w:rPr>
        <w:t>（项目名称：）（项目编号：）</w:t>
      </w:r>
      <w:r>
        <w:rPr>
          <w:rFonts w:hint="eastAsia" w:ascii="宋体" w:hAnsi="宋体" w:cs="宋体"/>
          <w:szCs w:val="21"/>
        </w:rPr>
        <w:t>采购文件要求，我公司在完全理解采购文件技术要求、商务条款及其他内容的基础上，决定参与该项目的采购活动。并承诺我公司：</w:t>
      </w:r>
    </w:p>
    <w:p>
      <w:pPr>
        <w:spacing w:line="360" w:lineRule="auto"/>
        <w:ind w:firstLine="420" w:firstLineChars="200"/>
        <w:rPr>
          <w:rFonts w:ascii="宋体" w:hAnsi="宋体" w:cs="宋体"/>
          <w:szCs w:val="21"/>
        </w:rPr>
      </w:pPr>
      <w:r>
        <w:rPr>
          <w:rFonts w:hint="eastAsia" w:ascii="宋体" w:hAnsi="宋体" w:cs="宋体"/>
          <w:szCs w:val="21"/>
        </w:rPr>
        <w:t>（一）具备《中华人民共和国政府采购法》第二十二条第一款规定的条件：</w:t>
      </w:r>
    </w:p>
    <w:p>
      <w:pPr>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pPr>
        <w:spacing w:line="360"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pPr>
        <w:spacing w:line="360"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pPr>
        <w:spacing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pPr>
        <w:spacing w:line="360"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pPr>
        <w:spacing w:line="360" w:lineRule="auto"/>
        <w:ind w:firstLine="420" w:firstLineChars="200"/>
        <w:rPr>
          <w:rFonts w:ascii="宋体" w:hAnsi="宋体" w:cs="宋体"/>
          <w:szCs w:val="21"/>
        </w:rPr>
      </w:pPr>
      <w:r>
        <w:rPr>
          <w:rFonts w:hint="eastAsia" w:ascii="宋体" w:hAnsi="宋体" w:cs="宋体"/>
          <w:szCs w:val="21"/>
        </w:rPr>
        <w:t>（6）具有法律、行政法规规定的其他条件。</w:t>
      </w:r>
    </w:p>
    <w:p>
      <w:pPr>
        <w:spacing w:line="360" w:lineRule="auto"/>
        <w:ind w:firstLine="420" w:firstLineChars="20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cs="宋体"/>
          <w:szCs w:val="21"/>
        </w:rPr>
      </w:pPr>
      <w:r>
        <w:rPr>
          <w:rFonts w:hint="eastAsia" w:ascii="宋体" w:hAnsi="宋体" w:cs="宋体"/>
          <w:szCs w:val="21"/>
        </w:rPr>
        <w:t>（三）不存在以下情况：</w:t>
      </w:r>
    </w:p>
    <w:p>
      <w:pPr>
        <w:spacing w:line="360" w:lineRule="auto"/>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pPr>
        <w:spacing w:line="360" w:lineRule="auto"/>
        <w:ind w:firstLine="420" w:firstLineChars="20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pPr>
        <w:spacing w:line="360" w:lineRule="auto"/>
        <w:ind w:firstLine="420" w:firstLineChars="200"/>
        <w:rPr>
          <w:rFonts w:ascii="宋体" w:hAnsi="宋体" w:cs="宋体"/>
          <w:szCs w:val="21"/>
        </w:rPr>
      </w:pPr>
      <w:r>
        <w:rPr>
          <w:rFonts w:hint="eastAsia" w:ascii="宋体" w:hAnsi="宋体" w:cs="宋体"/>
          <w:szCs w:val="21"/>
        </w:rPr>
        <w:t>我公司对上述承诺的真实性负责，如有虚假，我公司同意按我方提供虚假材料谋取中标（成交）处理，并依法承担相应法律责任。</w:t>
      </w:r>
    </w:p>
    <w:p>
      <w:pPr>
        <w:spacing w:line="360" w:lineRule="auto"/>
        <w:ind w:firstLine="420" w:firstLineChars="200"/>
        <w:rPr>
          <w:rFonts w:ascii="宋体" w:hAnsi="宋体" w:cs="宋体"/>
          <w:szCs w:val="21"/>
        </w:rPr>
      </w:pPr>
    </w:p>
    <w:p>
      <w:pPr>
        <w:spacing w:line="360" w:lineRule="auto"/>
        <w:jc w:val="left"/>
        <w:rPr>
          <w:rFonts w:ascii="宋体" w:hAnsi="宋体" w:cs="宋体"/>
          <w:szCs w:val="21"/>
          <w:u w:val="single"/>
        </w:rPr>
      </w:pPr>
      <w:r>
        <w:rPr>
          <w:rFonts w:hint="eastAsia" w:ascii="宋体" w:hAnsi="宋体" w:cs="宋体"/>
          <w:szCs w:val="21"/>
        </w:rPr>
        <w:t xml:space="preserve">投标人名称（盖章）：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日期：    年   月   日</w:t>
      </w:r>
    </w:p>
    <w:p>
      <w:pPr>
        <w:rPr>
          <w:rFonts w:ascii="宋体" w:hAnsi="宋体" w:cs="宋体"/>
          <w:b/>
          <w:szCs w:val="21"/>
        </w:rPr>
      </w:pPr>
      <w:r>
        <w:rPr>
          <w:rFonts w:hint="eastAsia" w:ascii="宋体" w:hAnsi="宋体" w:cs="宋体"/>
          <w:b/>
          <w:szCs w:val="21"/>
        </w:rPr>
        <w:br w:type="page"/>
      </w:r>
    </w:p>
    <w:p>
      <w:pPr>
        <w:spacing w:line="360" w:lineRule="auto"/>
        <w:jc w:val="left"/>
        <w:rPr>
          <w:rFonts w:ascii="宋体" w:hAnsi="宋体" w:cs="宋体"/>
          <w:b/>
          <w:szCs w:val="21"/>
        </w:rPr>
      </w:pPr>
      <w:r>
        <w:rPr>
          <w:rFonts w:hint="eastAsia" w:ascii="宋体" w:hAnsi="宋体" w:cs="宋体"/>
          <w:b/>
          <w:szCs w:val="21"/>
        </w:rPr>
        <w:t>附件</w:t>
      </w:r>
      <w:bookmarkEnd w:id="75"/>
      <w:r>
        <w:rPr>
          <w:rFonts w:hint="eastAsia" w:ascii="宋体" w:hAnsi="宋体" w:cs="宋体"/>
          <w:b/>
          <w:szCs w:val="21"/>
        </w:rPr>
        <w:t>3</w:t>
      </w:r>
    </w:p>
    <w:p>
      <w:pPr>
        <w:snapToGrid w:val="0"/>
        <w:spacing w:line="360" w:lineRule="auto"/>
        <w:jc w:val="center"/>
        <w:rPr>
          <w:rFonts w:ascii="宋体" w:hAnsi="宋体" w:cs="宋体"/>
          <w:b/>
          <w:bCs/>
          <w:sz w:val="28"/>
          <w:szCs w:val="28"/>
        </w:rPr>
      </w:pPr>
      <w:r>
        <w:rPr>
          <w:rFonts w:hint="eastAsia" w:ascii="宋体" w:hAnsi="宋体" w:cs="宋体"/>
          <w:b/>
          <w:bCs/>
          <w:sz w:val="28"/>
          <w:szCs w:val="28"/>
        </w:rPr>
        <w:t>评分因素索引表</w:t>
      </w:r>
    </w:p>
    <w:tbl>
      <w:tblPr>
        <w:tblStyle w:val="50"/>
        <w:tblW w:w="9110" w:type="dxa"/>
        <w:jc w:val="center"/>
        <w:tblLayout w:type="fixed"/>
        <w:tblCellMar>
          <w:top w:w="15" w:type="dxa"/>
          <w:left w:w="15" w:type="dxa"/>
          <w:bottom w:w="15" w:type="dxa"/>
          <w:right w:w="15" w:type="dxa"/>
        </w:tblCellMar>
      </w:tblPr>
      <w:tblGrid>
        <w:gridCol w:w="1276"/>
        <w:gridCol w:w="3610"/>
        <w:gridCol w:w="900"/>
        <w:gridCol w:w="892"/>
        <w:gridCol w:w="1246"/>
        <w:gridCol w:w="1186"/>
      </w:tblGrid>
      <w:tr>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szCs w:val="21"/>
              </w:rPr>
            </w:pPr>
            <w:r>
              <w:rPr>
                <w:rFonts w:hint="eastAsia" w:ascii="宋体" w:hAnsi="宋体" w:cs="宋体"/>
                <w:b/>
                <w:bCs/>
                <w:szCs w:val="21"/>
              </w:rPr>
              <w:t>评分项目</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szCs w:val="21"/>
              </w:rPr>
            </w:pPr>
            <w:r>
              <w:rPr>
                <w:rFonts w:hint="eastAsia" w:ascii="宋体" w:hAnsi="宋体" w:cs="宋体"/>
                <w:b/>
                <w:bCs/>
                <w:szCs w:val="21"/>
              </w:rPr>
              <w:t>评分标准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szCs w:val="21"/>
              </w:rPr>
            </w:pPr>
            <w:r>
              <w:rPr>
                <w:rFonts w:hint="eastAsia" w:ascii="宋体" w:hAnsi="宋体" w:cs="宋体"/>
                <w:b/>
                <w:bCs/>
                <w:szCs w:val="21"/>
              </w:rPr>
              <w:t>分值</w:t>
            </w: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szCs w:val="21"/>
              </w:rPr>
            </w:pPr>
            <w:r>
              <w:rPr>
                <w:rFonts w:hint="eastAsia" w:ascii="宋体" w:hAnsi="宋体" w:cs="宋体"/>
                <w:b/>
                <w:bCs/>
                <w:szCs w:val="21"/>
              </w:rPr>
              <w:t>自评</w:t>
            </w:r>
          </w:p>
          <w:p>
            <w:pPr>
              <w:widowControl/>
              <w:jc w:val="center"/>
              <w:textAlignment w:val="center"/>
              <w:rPr>
                <w:rFonts w:ascii="宋体" w:hAnsi="宋体" w:cs="宋体"/>
                <w:b/>
                <w:bCs/>
                <w:szCs w:val="21"/>
              </w:rPr>
            </w:pPr>
            <w:r>
              <w:rPr>
                <w:rFonts w:hint="eastAsia" w:ascii="宋体" w:hAnsi="宋体" w:cs="宋体"/>
                <w:b/>
                <w:bCs/>
                <w:szCs w:val="21"/>
              </w:rPr>
              <w:t>分</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szCs w:val="21"/>
              </w:rPr>
            </w:pPr>
            <w:r>
              <w:rPr>
                <w:rFonts w:hint="eastAsia" w:ascii="宋体" w:hAnsi="宋体" w:cs="宋体"/>
                <w:b/>
                <w:bCs/>
                <w:szCs w:val="21"/>
              </w:rPr>
              <w:t>得分</w:t>
            </w:r>
          </w:p>
          <w:p>
            <w:pPr>
              <w:widowControl/>
              <w:jc w:val="center"/>
              <w:textAlignment w:val="center"/>
              <w:rPr>
                <w:rFonts w:ascii="宋体" w:hAnsi="宋体" w:cs="宋体"/>
                <w:b/>
                <w:bCs/>
                <w:szCs w:val="21"/>
              </w:rPr>
            </w:pPr>
            <w:r>
              <w:rPr>
                <w:rFonts w:hint="eastAsia" w:ascii="宋体" w:hAnsi="宋体" w:cs="宋体"/>
                <w:b/>
                <w:bCs/>
                <w:szCs w:val="21"/>
              </w:rPr>
              <w:t>依据</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szCs w:val="21"/>
              </w:rPr>
            </w:pPr>
            <w:r>
              <w:rPr>
                <w:rFonts w:hint="eastAsia" w:ascii="宋体" w:hAnsi="宋体" w:cs="宋体"/>
                <w:b/>
                <w:bCs/>
                <w:szCs w:val="21"/>
              </w:rPr>
              <w:t>对应</w:t>
            </w:r>
          </w:p>
          <w:p>
            <w:pPr>
              <w:widowControl/>
              <w:jc w:val="center"/>
              <w:textAlignment w:val="center"/>
              <w:rPr>
                <w:rFonts w:ascii="宋体" w:hAnsi="宋体" w:cs="宋体"/>
                <w:b/>
                <w:bCs/>
                <w:szCs w:val="21"/>
              </w:rPr>
            </w:pPr>
            <w:r>
              <w:rPr>
                <w:rFonts w:hint="eastAsia" w:ascii="宋体" w:hAnsi="宋体" w:cs="宋体"/>
                <w:b/>
                <w:bCs/>
                <w:szCs w:val="21"/>
              </w:rPr>
              <w:t>页码</w:t>
            </w: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bl>
    <w:p>
      <w:pPr>
        <w:spacing w:line="360" w:lineRule="auto"/>
        <w:rPr>
          <w:rFonts w:ascii="宋体" w:hAnsi="宋体" w:cs="宋体"/>
          <w:b/>
          <w:bCs/>
          <w:szCs w:val="21"/>
        </w:rPr>
      </w:pPr>
      <w:r>
        <w:rPr>
          <w:rFonts w:hint="eastAsia" w:ascii="宋体" w:hAnsi="宋体" w:cs="宋体"/>
          <w:b/>
          <w:bCs/>
          <w:szCs w:val="21"/>
        </w:rPr>
        <w:t>注：评审项目、评分标准、分值对应“第五章  评标办法及评分标准”资信、商务分和技术分评审内容。</w:t>
      </w:r>
    </w:p>
    <w:p>
      <w:pPr>
        <w:spacing w:line="360" w:lineRule="auto"/>
        <w:ind w:firstLine="4860"/>
        <w:rPr>
          <w:rFonts w:ascii="宋体" w:hAnsi="宋体" w:cs="宋体"/>
          <w:b/>
          <w:bCs/>
          <w:szCs w:val="21"/>
        </w:rPr>
      </w:pPr>
    </w:p>
    <w:p>
      <w:pPr>
        <w:spacing w:line="360" w:lineRule="auto"/>
        <w:ind w:firstLine="4860"/>
        <w:rPr>
          <w:rFonts w:ascii="宋体" w:hAnsi="宋体" w:cs="宋体"/>
          <w:b/>
          <w:bCs/>
          <w:szCs w:val="21"/>
        </w:rPr>
      </w:pPr>
    </w:p>
    <w:p>
      <w:pPr>
        <w:spacing w:line="360" w:lineRule="auto"/>
        <w:jc w:val="left"/>
        <w:rPr>
          <w:rFonts w:ascii="宋体" w:hAnsi="宋体" w:cs="宋体"/>
          <w:szCs w:val="21"/>
          <w:u w:val="single"/>
        </w:rPr>
      </w:pPr>
      <w:r>
        <w:rPr>
          <w:rFonts w:hint="eastAsia" w:ascii="宋体" w:hAnsi="宋体" w:cs="宋体"/>
          <w:szCs w:val="21"/>
        </w:rPr>
        <w:t xml:space="preserve">投标人名称（盖章）： </w:t>
      </w: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rPr>
        <w:t>日期：    年   月   日</w:t>
      </w:r>
    </w:p>
    <w:p>
      <w:pPr>
        <w:spacing w:line="360" w:lineRule="auto"/>
        <w:jc w:val="left"/>
        <w:rPr>
          <w:rFonts w:ascii="宋体" w:hAnsi="宋体" w:cs="宋体"/>
          <w:b/>
          <w:szCs w:val="21"/>
        </w:rPr>
      </w:pPr>
      <w:r>
        <w:rPr>
          <w:rFonts w:hint="eastAsia" w:ascii="宋体" w:hAnsi="宋体" w:cs="宋体"/>
          <w:b/>
          <w:szCs w:val="21"/>
        </w:rPr>
        <w:br w:type="page"/>
      </w:r>
      <w:bookmarkStart w:id="76" w:name="附件5"/>
      <w:r>
        <w:rPr>
          <w:rFonts w:hint="eastAsia" w:ascii="宋体" w:hAnsi="宋体" w:cs="宋体"/>
          <w:b/>
          <w:szCs w:val="21"/>
        </w:rPr>
        <w:t>附件</w:t>
      </w:r>
      <w:bookmarkEnd w:id="76"/>
      <w:r>
        <w:rPr>
          <w:rFonts w:hint="eastAsia" w:ascii="宋体" w:hAnsi="宋体" w:cs="宋体"/>
          <w:b/>
          <w:szCs w:val="21"/>
        </w:rPr>
        <w:t>4</w:t>
      </w:r>
    </w:p>
    <w:p>
      <w:pPr>
        <w:snapToGrid w:val="0"/>
        <w:spacing w:line="360" w:lineRule="auto"/>
        <w:jc w:val="center"/>
        <w:rPr>
          <w:rFonts w:ascii="宋体" w:hAnsi="宋体" w:cs="宋体"/>
          <w:b/>
          <w:bCs/>
          <w:sz w:val="28"/>
          <w:szCs w:val="28"/>
        </w:rPr>
      </w:pPr>
      <w:r>
        <w:rPr>
          <w:rFonts w:hint="eastAsia" w:ascii="宋体" w:hAnsi="宋体" w:cs="宋体"/>
          <w:b/>
          <w:bCs/>
          <w:sz w:val="28"/>
          <w:szCs w:val="28"/>
        </w:rPr>
        <w:t>投标人声明书</w:t>
      </w:r>
    </w:p>
    <w:p>
      <w:pPr>
        <w:pStyle w:val="29"/>
        <w:snapToGrid w:val="0"/>
        <w:spacing w:line="360" w:lineRule="auto"/>
        <w:rPr>
          <w:rFonts w:hAnsi="宋体" w:cs="宋体"/>
          <w:szCs w:val="21"/>
        </w:rPr>
      </w:pPr>
      <w:r>
        <w:rPr>
          <w:rFonts w:hint="eastAsia" w:hAnsi="宋体" w:cs="宋体"/>
          <w:szCs w:val="21"/>
          <w:u w:val="single"/>
        </w:rPr>
        <w:t>常山县水文站</w:t>
      </w:r>
      <w:r>
        <w:rPr>
          <w:rFonts w:hint="eastAsia" w:hAnsi="宋体" w:cs="宋体"/>
          <w:szCs w:val="21"/>
        </w:rPr>
        <w:t>：</w:t>
      </w:r>
    </w:p>
    <w:p>
      <w:pPr>
        <w:pStyle w:val="29"/>
        <w:snapToGrid w:val="0"/>
        <w:spacing w:line="360" w:lineRule="auto"/>
        <w:rPr>
          <w:rFonts w:hAnsi="宋体" w:cs="宋体"/>
          <w:szCs w:val="21"/>
        </w:rPr>
      </w:pPr>
      <w:r>
        <w:rPr>
          <w:rFonts w:hint="eastAsia" w:hAnsi="宋体" w:cs="宋体"/>
          <w:szCs w:val="21"/>
          <w:u w:val="single"/>
        </w:rPr>
        <w:t>浙江哲晟工程项目管理有限公司</w:t>
      </w:r>
      <w:r>
        <w:rPr>
          <w:rFonts w:hint="eastAsia" w:hAnsi="宋体" w:cs="宋体"/>
          <w:szCs w:val="21"/>
        </w:rPr>
        <w:t>：</w:t>
      </w:r>
    </w:p>
    <w:p>
      <w:pPr>
        <w:pStyle w:val="29"/>
        <w:snapToGrid w:val="0"/>
        <w:spacing w:line="360" w:lineRule="auto"/>
        <w:ind w:firstLine="420" w:firstLineChars="200"/>
        <w:rPr>
          <w:rFonts w:hAnsi="宋体" w:cs="宋体"/>
          <w:szCs w:val="21"/>
        </w:rPr>
      </w:pPr>
      <w:r>
        <w:rPr>
          <w:rFonts w:hint="eastAsia" w:hAnsi="宋体" w:cs="宋体"/>
          <w:szCs w:val="21"/>
          <w:u w:val="single"/>
        </w:rPr>
        <w:t xml:space="preserve">     （投标人全称）      </w:t>
      </w:r>
      <w:r>
        <w:rPr>
          <w:rFonts w:hint="eastAsia" w:hAnsi="宋体" w:cs="宋体"/>
          <w:szCs w:val="21"/>
        </w:rPr>
        <w:t>参加贵方组织的</w:t>
      </w:r>
      <w:r>
        <w:rPr>
          <w:rFonts w:hint="eastAsia" w:hAnsi="宋体" w:cs="宋体"/>
          <w:szCs w:val="21"/>
          <w:u w:val="single"/>
        </w:rPr>
        <w:t xml:space="preserve">  （项目名称）（项目编号）  </w:t>
      </w:r>
      <w:r>
        <w:rPr>
          <w:rFonts w:hint="eastAsia" w:hAnsi="宋体" w:cs="宋体"/>
          <w:szCs w:val="21"/>
        </w:rPr>
        <w:t>的投标活动，为此我方声明如下：</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1.承诺在投标人</w:t>
      </w:r>
      <w:r>
        <w:rPr>
          <w:rFonts w:hint="eastAsia" w:ascii="宋体" w:hAnsi="宋体" w:cs="宋体"/>
          <w:kern w:val="44"/>
          <w:szCs w:val="21"/>
        </w:rPr>
        <w:t>须知</w:t>
      </w:r>
      <w:r>
        <w:rPr>
          <w:rFonts w:hint="eastAsia" w:ascii="宋体" w:hAnsi="宋体" w:cs="宋体"/>
          <w:szCs w:val="21"/>
        </w:rPr>
        <w:t>规定的投标截止日起遵守本投标文件中的承诺，且在投标有效期满之前均具有约束力。本投标文件的有效期为自投标截止时间起</w:t>
      </w:r>
      <w:r>
        <w:rPr>
          <w:rFonts w:hint="eastAsia" w:ascii="宋体" w:hAnsi="宋体" w:cs="宋体"/>
          <w:szCs w:val="21"/>
          <w:u w:val="single"/>
        </w:rPr>
        <w:t>90日历天</w:t>
      </w:r>
      <w:r>
        <w:rPr>
          <w:rFonts w:hint="eastAsia" w:ascii="宋体" w:hAnsi="宋体" w:cs="宋体"/>
          <w:szCs w:val="21"/>
        </w:rPr>
        <w:t>（自投标截止日起算）。</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2.承诺已经具备采购文件规定的基本条件及特定条件，并于投标文件中提供了充分的证明材料。</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已详细审核全部采购文件，包括采购文件补充（如果有）、参考资料及有关附件，确认无误。已经了解我方对采购文件、采购过程、采购结果有依法进行询问、质疑、投诉的权利及询问、质疑、投诉的相关渠道和要求。</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4.我方在参加本次采购活动之前已经与贵方进行了充分的沟通，完全理解并接受采购文件的各项规定和要求，对采购文件的合理性、合法性不再有异议。</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5.提供</w:t>
      </w:r>
      <w:r>
        <w:rPr>
          <w:rFonts w:hint="eastAsia" w:ascii="宋体" w:hAnsi="宋体" w:cs="宋体"/>
          <w:kern w:val="44"/>
          <w:szCs w:val="21"/>
        </w:rPr>
        <w:t>投标人须知</w:t>
      </w:r>
      <w:r>
        <w:rPr>
          <w:rFonts w:hint="eastAsia" w:ascii="宋体" w:hAnsi="宋体" w:cs="宋体"/>
          <w:szCs w:val="21"/>
        </w:rPr>
        <w:t>规定的全部投标文件，包括资格文件、商务技术文件、报价文件。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6.投标报价详见《开标一览表》。</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7.保证遵守采购文件中的其他有关规定。</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8.完全理解不一定接受最低价中标。</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9.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10.保证忠实执行双方所签订的合同，并承担合同规定的责任和义务。</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11.我方在投标过程中不存在以下行为：</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（1）提供虚假材料谋取中标、成交； </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（2）采取不正当手段诋毁、排挤其他供应商； </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（3）与采购人、其他供应商或者采购代理机构恶意串通； </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（4）向采购人、采购代理机构行贿或者提供其他不正当利益； </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（5）在招标采购过程中与采购人进行协商谈判； </w:t>
      </w:r>
    </w:p>
    <w:p>
      <w:pPr>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（6）拒绝有关部门监督检查或者提供虚假情况。</w:t>
      </w:r>
    </w:p>
    <w:p>
      <w:pPr>
        <w:adjustRightInd w:val="0"/>
        <w:snapToGrid w:val="0"/>
        <w:spacing w:line="360" w:lineRule="auto"/>
        <w:ind w:firstLine="420" w:firstLineChars="200"/>
        <w:rPr>
          <w:rFonts w:ascii="宋体" w:hAnsi="宋体" w:cs="宋体"/>
          <w:szCs w:val="21"/>
        </w:rPr>
      </w:pPr>
    </w:p>
    <w:p>
      <w:pPr>
        <w:pStyle w:val="29"/>
        <w:snapToGrid w:val="0"/>
        <w:spacing w:line="360" w:lineRule="auto"/>
        <w:ind w:firstLine="480"/>
        <w:rPr>
          <w:rFonts w:hAnsi="宋体" w:cs="宋体"/>
          <w:szCs w:val="21"/>
          <w:u w:val="single"/>
        </w:rPr>
      </w:pPr>
      <w:r>
        <w:rPr>
          <w:rFonts w:hint="eastAsia" w:hAnsi="宋体" w:cs="宋体"/>
          <w:szCs w:val="21"/>
        </w:rPr>
        <w:t>投标人名称（盖章）：</w:t>
      </w:r>
      <w:r>
        <w:rPr>
          <w:rFonts w:hint="eastAsia" w:hAnsi="宋体" w:cs="宋体"/>
          <w:szCs w:val="21"/>
          <w:u w:val="single"/>
        </w:rPr>
        <w:t xml:space="preserve">             </w:t>
      </w:r>
    </w:p>
    <w:p>
      <w:pPr>
        <w:pStyle w:val="29"/>
        <w:snapToGrid w:val="0"/>
        <w:spacing w:line="360" w:lineRule="auto"/>
        <w:ind w:firstLine="480"/>
        <w:rPr>
          <w:rFonts w:hAnsi="宋体" w:cs="宋体"/>
          <w:szCs w:val="21"/>
          <w:u w:val="single"/>
        </w:rPr>
      </w:pPr>
      <w:r>
        <w:rPr>
          <w:rFonts w:hint="eastAsia" w:hAnsi="宋体" w:cs="宋体"/>
          <w:szCs w:val="21"/>
        </w:rPr>
        <w:t>日期：   年  月  日</w:t>
      </w:r>
    </w:p>
    <w:p>
      <w:pPr>
        <w:pStyle w:val="29"/>
        <w:snapToGrid w:val="0"/>
        <w:spacing w:line="360" w:lineRule="auto"/>
        <w:ind w:firstLine="480"/>
        <w:rPr>
          <w:rFonts w:hAnsi="宋体" w:cs="宋体"/>
          <w:szCs w:val="21"/>
          <w:u w:val="single"/>
        </w:rPr>
      </w:pPr>
      <w:r>
        <w:rPr>
          <w:rFonts w:hint="eastAsia" w:hAnsi="宋体" w:cs="宋体"/>
          <w:szCs w:val="21"/>
        </w:rPr>
        <w:t>单位地址：</w:t>
      </w:r>
      <w:r>
        <w:rPr>
          <w:rFonts w:hint="eastAsia" w:hAnsi="宋体" w:cs="宋体"/>
          <w:szCs w:val="21"/>
          <w:u w:val="single"/>
        </w:rPr>
        <w:t xml:space="preserve">                </w:t>
      </w:r>
      <w:r>
        <w:rPr>
          <w:rFonts w:hint="eastAsia" w:hAnsi="宋体" w:cs="宋体"/>
          <w:szCs w:val="21"/>
        </w:rPr>
        <w:t>邮编：</w:t>
      </w:r>
      <w:r>
        <w:rPr>
          <w:rFonts w:hint="eastAsia" w:hAnsi="宋体" w:cs="宋体"/>
          <w:szCs w:val="21"/>
          <w:u w:val="single"/>
        </w:rPr>
        <w:t xml:space="preserve">            </w:t>
      </w:r>
      <w:r>
        <w:rPr>
          <w:rFonts w:hint="eastAsia" w:hAnsi="宋体" w:cs="宋体"/>
          <w:szCs w:val="21"/>
        </w:rPr>
        <w:t>电话：</w:t>
      </w:r>
      <w:r>
        <w:rPr>
          <w:rFonts w:hint="eastAsia" w:hAnsi="宋体" w:cs="宋体"/>
          <w:szCs w:val="21"/>
          <w:u w:val="single"/>
        </w:rPr>
        <w:t xml:space="preserve">          </w:t>
      </w:r>
      <w:r>
        <w:rPr>
          <w:rFonts w:hint="eastAsia" w:hAnsi="宋体" w:cs="宋体"/>
          <w:szCs w:val="21"/>
        </w:rPr>
        <w:t>传真：</w:t>
      </w:r>
      <w:r>
        <w:rPr>
          <w:rFonts w:hint="eastAsia" w:hAnsi="宋体" w:cs="宋体"/>
          <w:szCs w:val="21"/>
          <w:u w:val="single"/>
        </w:rPr>
        <w:t xml:space="preserve">              </w:t>
      </w:r>
    </w:p>
    <w:p>
      <w:pPr>
        <w:pStyle w:val="29"/>
        <w:snapToGrid w:val="0"/>
        <w:spacing w:line="360" w:lineRule="auto"/>
        <w:ind w:firstLine="480"/>
        <w:rPr>
          <w:rFonts w:hAnsi="宋体" w:cs="宋体"/>
          <w:szCs w:val="21"/>
        </w:rPr>
      </w:pPr>
      <w:r>
        <w:rPr>
          <w:rFonts w:hint="eastAsia" w:hAnsi="宋体" w:cs="宋体"/>
          <w:szCs w:val="21"/>
        </w:rPr>
        <w:t>开户行信息：</w:t>
      </w:r>
    </w:p>
    <w:p>
      <w:pPr>
        <w:pStyle w:val="29"/>
        <w:snapToGrid w:val="0"/>
        <w:spacing w:line="360" w:lineRule="auto"/>
        <w:ind w:firstLine="480"/>
        <w:rPr>
          <w:rFonts w:hAnsi="宋体" w:cs="宋体"/>
          <w:szCs w:val="21"/>
        </w:rPr>
      </w:pPr>
      <w:r>
        <w:rPr>
          <w:rFonts w:hint="eastAsia" w:hAnsi="宋体" w:cs="宋体"/>
          <w:szCs w:val="21"/>
        </w:rPr>
        <w:t>户名：</w:t>
      </w:r>
      <w:r>
        <w:rPr>
          <w:rFonts w:hint="eastAsia" w:hAnsi="宋体" w:cs="宋体"/>
          <w:szCs w:val="21"/>
          <w:u w:val="single"/>
        </w:rPr>
        <w:t xml:space="preserve">             </w:t>
      </w:r>
    </w:p>
    <w:p>
      <w:pPr>
        <w:pStyle w:val="29"/>
        <w:snapToGrid w:val="0"/>
        <w:spacing w:line="360" w:lineRule="auto"/>
        <w:ind w:firstLine="480"/>
        <w:rPr>
          <w:rFonts w:hAnsi="宋体" w:cs="宋体"/>
          <w:szCs w:val="21"/>
        </w:rPr>
      </w:pPr>
      <w:r>
        <w:rPr>
          <w:rFonts w:hint="eastAsia" w:hAnsi="宋体" w:cs="宋体"/>
          <w:szCs w:val="21"/>
        </w:rPr>
        <w:t>开户银行：</w:t>
      </w:r>
      <w:r>
        <w:rPr>
          <w:rFonts w:hint="eastAsia" w:hAnsi="宋体" w:cs="宋体"/>
          <w:szCs w:val="21"/>
          <w:u w:val="single"/>
        </w:rPr>
        <w:t xml:space="preserve">         </w:t>
      </w:r>
    </w:p>
    <w:p>
      <w:pPr>
        <w:pStyle w:val="29"/>
        <w:snapToGrid w:val="0"/>
        <w:spacing w:line="360" w:lineRule="auto"/>
        <w:ind w:firstLine="480"/>
        <w:rPr>
          <w:rFonts w:hAnsi="宋体" w:cs="宋体"/>
          <w:szCs w:val="21"/>
        </w:rPr>
      </w:pPr>
      <w:r>
        <w:rPr>
          <w:rFonts w:hint="eastAsia" w:hAnsi="宋体" w:cs="宋体"/>
          <w:szCs w:val="21"/>
        </w:rPr>
        <w:t>账号：</w:t>
      </w:r>
      <w:r>
        <w:rPr>
          <w:rFonts w:hint="eastAsia" w:hAnsi="宋体" w:cs="宋体"/>
          <w:szCs w:val="21"/>
          <w:u w:val="single"/>
        </w:rPr>
        <w:t xml:space="preserve">             </w:t>
      </w:r>
    </w:p>
    <w:p>
      <w:pPr>
        <w:rPr>
          <w:rFonts w:ascii="宋体" w:hAnsi="宋体" w:cs="宋体"/>
          <w:b/>
          <w:szCs w:val="21"/>
        </w:rPr>
      </w:pPr>
      <w:bookmarkStart w:id="77" w:name="附件6"/>
      <w:r>
        <w:rPr>
          <w:rFonts w:hint="eastAsia" w:ascii="宋体" w:hAnsi="宋体" w:cs="宋体"/>
          <w:b/>
          <w:szCs w:val="21"/>
        </w:rPr>
        <w:br w:type="page"/>
      </w:r>
    </w:p>
    <w:p>
      <w:pPr>
        <w:spacing w:line="360" w:lineRule="auto"/>
        <w:jc w:val="left"/>
        <w:rPr>
          <w:rFonts w:ascii="宋体" w:hAnsi="宋体" w:cs="宋体"/>
          <w:b/>
          <w:szCs w:val="21"/>
        </w:rPr>
      </w:pPr>
      <w:r>
        <w:rPr>
          <w:rFonts w:hint="eastAsia" w:ascii="宋体" w:hAnsi="宋体" w:cs="宋体"/>
          <w:b/>
          <w:szCs w:val="21"/>
        </w:rPr>
        <w:t>附件</w:t>
      </w:r>
      <w:bookmarkEnd w:id="77"/>
      <w:r>
        <w:rPr>
          <w:rFonts w:hint="eastAsia" w:ascii="宋体" w:hAnsi="宋体" w:cs="宋体"/>
          <w:b/>
          <w:szCs w:val="21"/>
        </w:rPr>
        <w:t>5</w:t>
      </w:r>
    </w:p>
    <w:p>
      <w:pPr>
        <w:snapToGrid w:val="0"/>
        <w:spacing w:line="360" w:lineRule="auto"/>
        <w:jc w:val="center"/>
        <w:rPr>
          <w:rFonts w:ascii="宋体" w:hAnsi="宋体" w:cs="宋体"/>
          <w:b/>
          <w:bCs/>
          <w:sz w:val="28"/>
          <w:szCs w:val="28"/>
        </w:rPr>
      </w:pPr>
      <w:r>
        <w:rPr>
          <w:rFonts w:hint="eastAsia" w:ascii="宋体" w:hAnsi="宋体" w:cs="宋体"/>
          <w:b/>
          <w:bCs/>
          <w:sz w:val="28"/>
          <w:szCs w:val="28"/>
        </w:rPr>
        <w:t>投标人基本情况表</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767"/>
        <w:gridCol w:w="308"/>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单位名称</w:t>
            </w:r>
          </w:p>
        </w:tc>
        <w:tc>
          <w:tcPr>
            <w:tcW w:w="7934" w:type="dxa"/>
            <w:gridSpan w:val="6"/>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营业执照</w:t>
            </w:r>
          </w:p>
        </w:tc>
        <w:tc>
          <w:tcPr>
            <w:tcW w:w="5077" w:type="dxa"/>
            <w:gridSpan w:val="4"/>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编号：</w:t>
            </w:r>
          </w:p>
          <w:p>
            <w:pPr>
              <w:snapToGrid w:val="0"/>
              <w:spacing w:line="360" w:lineRule="auto"/>
              <w:rPr>
                <w:rFonts w:ascii="宋体" w:hAnsi="宋体" w:cs="宋体"/>
                <w:bCs/>
                <w:szCs w:val="21"/>
              </w:rPr>
            </w:pPr>
            <w:r>
              <w:rPr>
                <w:rFonts w:hint="eastAsia" w:ascii="宋体" w:hAnsi="宋体" w:cs="宋体"/>
                <w:szCs w:val="21"/>
              </w:rPr>
              <w:t>经营范围：</w:t>
            </w:r>
          </w:p>
          <w:p>
            <w:pPr>
              <w:snapToGrid w:val="0"/>
              <w:spacing w:line="360" w:lineRule="auto"/>
              <w:rPr>
                <w:rFonts w:ascii="宋体" w:hAnsi="宋体" w:cs="宋体"/>
                <w:bCs/>
                <w:szCs w:val="21"/>
              </w:rPr>
            </w:pPr>
            <w:r>
              <w:rPr>
                <w:rFonts w:hint="eastAsia" w:ascii="宋体" w:hAnsi="宋体" w:cs="宋体"/>
                <w:bCs/>
                <w:szCs w:val="21"/>
              </w:rPr>
              <w:t>发证机关：</w:t>
            </w:r>
          </w:p>
          <w:p>
            <w:pPr>
              <w:snapToGrid w:val="0"/>
              <w:spacing w:line="360" w:lineRule="auto"/>
              <w:rPr>
                <w:rFonts w:ascii="宋体" w:hAnsi="宋体" w:cs="宋体"/>
                <w:bCs/>
                <w:szCs w:val="21"/>
              </w:rPr>
            </w:pPr>
            <w:r>
              <w:rPr>
                <w:rFonts w:hint="eastAsia" w:ascii="宋体" w:hAnsi="宋体" w:cs="宋体"/>
                <w:bCs/>
                <w:szCs w:val="21"/>
              </w:rPr>
              <w:t>成立时间：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现有职工人数</w:t>
            </w: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p>
        </w:tc>
        <w:tc>
          <w:tcPr>
            <w:tcW w:w="17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注册资金</w:t>
            </w:r>
          </w:p>
        </w:tc>
        <w:tc>
          <w:tcPr>
            <w:tcW w:w="1879" w:type="dxa"/>
            <w:gridSpan w:val="2"/>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地   址</w:t>
            </w:r>
          </w:p>
        </w:tc>
        <w:tc>
          <w:tcPr>
            <w:tcW w:w="7934" w:type="dxa"/>
            <w:gridSpan w:val="6"/>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所获资质</w:t>
            </w:r>
          </w:p>
          <w:p>
            <w:pPr>
              <w:snapToGrid w:val="0"/>
              <w:spacing w:line="360" w:lineRule="auto"/>
              <w:rPr>
                <w:rFonts w:ascii="宋体" w:hAnsi="宋体" w:cs="宋体"/>
                <w:szCs w:val="21"/>
              </w:rPr>
            </w:pPr>
            <w:r>
              <w:rPr>
                <w:rFonts w:hint="eastAsia" w:ascii="宋体" w:hAnsi="宋体" w:cs="宋体"/>
                <w:szCs w:val="21"/>
              </w:rPr>
              <w:t>或认证</w:t>
            </w: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颁发时间</w:t>
            </w:r>
          </w:p>
        </w:tc>
        <w:tc>
          <w:tcPr>
            <w:tcW w:w="1571" w:type="dxa"/>
            <w:tcBorders>
              <w:top w:val="single" w:color="auto" w:sz="4" w:space="0"/>
              <w:left w:val="single" w:color="auto" w:sz="4" w:space="0"/>
              <w:bottom w:val="single" w:color="auto" w:sz="4" w:space="0"/>
            </w:tcBorders>
            <w:vAlign w:val="center"/>
          </w:tcPr>
          <w:p>
            <w:pPr>
              <w:snapToGrid w:val="0"/>
              <w:spacing w:line="360" w:lineRule="auto"/>
              <w:jc w:val="center"/>
              <w:rPr>
                <w:rFonts w:ascii="宋体" w:hAnsi="宋体" w:cs="宋体"/>
                <w:bCs/>
                <w:szCs w:val="21"/>
              </w:rPr>
            </w:pPr>
            <w:r>
              <w:rPr>
                <w:rFonts w:hint="eastAsia" w:ascii="宋体" w:hAnsi="宋体" w:cs="宋体"/>
                <w:bCs/>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right w:val="single" w:color="auto" w:sz="4" w:space="0"/>
            </w:tcBorders>
            <w:vAlign w:val="center"/>
          </w:tcPr>
          <w:p>
            <w:pPr>
              <w:snapToGrid w:val="0"/>
              <w:spacing w:line="360" w:lineRule="auto"/>
              <w:rPr>
                <w:rFonts w:ascii="宋体" w:hAnsi="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1571" w:type="dxa"/>
            <w:tcBorders>
              <w:top w:val="single" w:color="auto" w:sz="4" w:space="0"/>
              <w:left w:val="single" w:color="auto" w:sz="4" w:space="0"/>
              <w:bottom w:val="single" w:color="auto" w:sz="4" w:space="0"/>
            </w:tcBorders>
            <w:vAlign w:val="center"/>
          </w:tcPr>
          <w:p>
            <w:pPr>
              <w:snapToGrid w:val="0"/>
              <w:spacing w:line="360" w:lineRule="auto"/>
              <w:jc w:val="center"/>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right w:val="single" w:color="auto" w:sz="4" w:space="0"/>
            </w:tcBorders>
            <w:vAlign w:val="center"/>
          </w:tcPr>
          <w:p>
            <w:pPr>
              <w:snapToGrid w:val="0"/>
              <w:spacing w:line="360" w:lineRule="auto"/>
              <w:rPr>
                <w:rFonts w:ascii="宋体" w:hAnsi="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1571" w:type="dxa"/>
            <w:tcBorders>
              <w:top w:val="single" w:color="auto" w:sz="4" w:space="0"/>
              <w:left w:val="single" w:color="auto" w:sz="4" w:space="0"/>
              <w:bottom w:val="single" w:color="auto" w:sz="4" w:space="0"/>
            </w:tcBorders>
            <w:vAlign w:val="center"/>
          </w:tcPr>
          <w:p>
            <w:pPr>
              <w:snapToGrid w:val="0"/>
              <w:spacing w:line="360" w:lineRule="auto"/>
              <w:jc w:val="center"/>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bCs/>
                <w:szCs w:val="21"/>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颁发时间</w:t>
            </w:r>
          </w:p>
        </w:tc>
        <w:tc>
          <w:tcPr>
            <w:tcW w:w="1571" w:type="dxa"/>
            <w:tcBorders>
              <w:top w:val="single" w:color="auto" w:sz="4" w:space="0"/>
              <w:left w:val="single" w:color="auto" w:sz="4" w:space="0"/>
              <w:bottom w:val="single" w:color="auto" w:sz="4" w:space="0"/>
            </w:tcBorders>
            <w:vAlign w:val="center"/>
          </w:tcPr>
          <w:p>
            <w:pPr>
              <w:snapToGrid w:val="0"/>
              <w:spacing w:line="360" w:lineRule="auto"/>
              <w:jc w:val="center"/>
              <w:rPr>
                <w:rFonts w:ascii="宋体" w:hAnsi="宋体" w:cs="宋体"/>
                <w:bCs/>
                <w:szCs w:val="21"/>
              </w:rPr>
            </w:pPr>
            <w:r>
              <w:rPr>
                <w:rFonts w:hint="eastAsia" w:ascii="宋体" w:hAnsi="宋体" w:cs="宋体"/>
                <w:bCs/>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right w:val="single" w:color="auto" w:sz="4" w:space="0"/>
            </w:tcBorders>
            <w:vAlign w:val="center"/>
          </w:tcPr>
          <w:p>
            <w:pPr>
              <w:snapToGrid w:val="0"/>
              <w:spacing w:line="360" w:lineRule="auto"/>
              <w:rPr>
                <w:rFonts w:ascii="宋体" w:hAnsi="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1571"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right w:val="single" w:color="auto" w:sz="4" w:space="0"/>
            </w:tcBorders>
            <w:vAlign w:val="center"/>
          </w:tcPr>
          <w:p>
            <w:pPr>
              <w:snapToGrid w:val="0"/>
              <w:spacing w:line="360" w:lineRule="auto"/>
              <w:rPr>
                <w:rFonts w:ascii="宋体" w:hAnsi="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1571"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主要人员联系方式</w:t>
            </w:r>
          </w:p>
        </w:tc>
        <w:tc>
          <w:tcPr>
            <w:tcW w:w="7934" w:type="dxa"/>
            <w:gridSpan w:val="6"/>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rPr>
            </w:pPr>
            <w:r>
              <w:rPr>
                <w:rFonts w:hint="eastAsia" w:ascii="宋体" w:hAnsi="宋体" w:cs="宋体"/>
              </w:rPr>
              <w:t>法定代表人：</w:t>
            </w:r>
          </w:p>
          <w:p>
            <w:pPr>
              <w:snapToGrid w:val="0"/>
              <w:spacing w:line="360" w:lineRule="auto"/>
              <w:rPr>
                <w:rFonts w:ascii="宋体" w:hAnsi="宋体" w:cs="宋体"/>
              </w:rPr>
            </w:pPr>
            <w:r>
              <w:rPr>
                <w:rFonts w:hint="eastAsia" w:ascii="宋体" w:hAnsi="宋体" w:cs="宋体"/>
              </w:rPr>
              <w:t>本项目负责人：</w:t>
            </w:r>
          </w:p>
          <w:p>
            <w:pPr>
              <w:snapToGrid w:val="0"/>
              <w:spacing w:line="360" w:lineRule="auto"/>
              <w:rPr>
                <w:rFonts w:ascii="宋体" w:hAnsi="宋体" w:cs="宋体"/>
              </w:rPr>
            </w:pPr>
            <w:r>
              <w:rPr>
                <w:rFonts w:hint="eastAsia" w:ascii="宋体" w:hAnsi="宋体" w:cs="宋体"/>
              </w:rPr>
              <w:t>本项目授权代理人：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543" w:type="dxa"/>
            <w:tcBorders>
              <w:top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其他</w:t>
            </w:r>
          </w:p>
        </w:tc>
        <w:tc>
          <w:tcPr>
            <w:tcW w:w="7934" w:type="dxa"/>
            <w:gridSpan w:val="6"/>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bCs/>
                <w:szCs w:val="21"/>
              </w:rPr>
            </w:pPr>
          </w:p>
        </w:tc>
      </w:tr>
    </w:tbl>
    <w:p>
      <w:pPr>
        <w:spacing w:line="360" w:lineRule="auto"/>
        <w:jc w:val="left"/>
        <w:rPr>
          <w:rFonts w:ascii="宋体" w:hAnsi="宋体" w:cs="宋体"/>
          <w:b/>
          <w:szCs w:val="21"/>
        </w:rPr>
      </w:pPr>
    </w:p>
    <w:p>
      <w:pPr>
        <w:spacing w:line="360" w:lineRule="auto"/>
        <w:jc w:val="left"/>
        <w:rPr>
          <w:rFonts w:ascii="宋体" w:hAnsi="宋体" w:cs="宋体"/>
          <w:szCs w:val="21"/>
          <w:u w:val="single"/>
        </w:rPr>
      </w:pPr>
      <w:r>
        <w:rPr>
          <w:rFonts w:hint="eastAsia" w:ascii="宋体" w:hAnsi="宋体" w:cs="宋体"/>
          <w:szCs w:val="21"/>
        </w:rPr>
        <w:t xml:space="preserve">投标人名称（盖章）： </w:t>
      </w:r>
      <w:r>
        <w:rPr>
          <w:rFonts w:hint="eastAsia" w:ascii="宋体" w:hAnsi="宋体" w:cs="宋体"/>
          <w:szCs w:val="21"/>
          <w:u w:val="single"/>
        </w:rPr>
        <w:t xml:space="preserve">            </w:t>
      </w:r>
    </w:p>
    <w:p>
      <w:pPr>
        <w:spacing w:line="360" w:lineRule="auto"/>
        <w:jc w:val="left"/>
        <w:rPr>
          <w:rFonts w:ascii="宋体" w:hAnsi="宋体" w:cs="宋体"/>
          <w:szCs w:val="21"/>
        </w:rPr>
      </w:pPr>
      <w:r>
        <w:rPr>
          <w:rFonts w:hint="eastAsia" w:ascii="宋体" w:hAnsi="宋体" w:cs="宋体"/>
          <w:szCs w:val="21"/>
        </w:rPr>
        <w:t>日期：   年  月  日</w:t>
      </w:r>
    </w:p>
    <w:p>
      <w:pPr>
        <w:spacing w:line="360" w:lineRule="auto"/>
        <w:rPr>
          <w:rFonts w:hint="eastAsia" w:ascii="宋体" w:hAnsi="宋体" w:cs="宋体"/>
          <w:b/>
          <w:szCs w:val="21"/>
          <w:lang w:val="en-US" w:eastAsia="zh-CN"/>
        </w:rPr>
      </w:pPr>
      <w:r>
        <w:rPr>
          <w:rFonts w:hint="eastAsia" w:ascii="宋体" w:hAnsi="宋体" w:cs="宋体"/>
          <w:b/>
          <w:szCs w:val="21"/>
        </w:rPr>
        <w:br w:type="page"/>
      </w:r>
      <w:bookmarkStart w:id="78" w:name="附件7"/>
      <w:r>
        <w:rPr>
          <w:rFonts w:hint="eastAsia" w:ascii="宋体" w:hAnsi="宋体" w:eastAsia="宋体" w:cs="宋体"/>
          <w:b/>
          <w:szCs w:val="21"/>
        </w:rPr>
        <w:t>附件</w:t>
      </w:r>
      <w:r>
        <w:rPr>
          <w:rFonts w:hint="eastAsia" w:ascii="宋体" w:hAnsi="宋体" w:eastAsia="宋体" w:cs="宋体"/>
          <w:b/>
          <w:szCs w:val="21"/>
          <w:lang w:val="en-US" w:eastAsia="zh-CN"/>
        </w:rPr>
        <w:t>6</w:t>
      </w:r>
    </w:p>
    <w:p>
      <w:pPr>
        <w:spacing w:line="6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lang w:eastAsia="zh-CN"/>
        </w:rPr>
        <w:t>项目</w:t>
      </w:r>
      <w:r>
        <w:rPr>
          <w:rFonts w:hint="eastAsia" w:ascii="宋体" w:hAnsi="宋体" w:cs="宋体"/>
          <w:b/>
          <w:color w:val="auto"/>
          <w:sz w:val="28"/>
          <w:szCs w:val="28"/>
          <w:highlight w:val="none"/>
        </w:rPr>
        <w:t>负责人简历表</w:t>
      </w:r>
    </w:p>
    <w:p>
      <w:pPr>
        <w:spacing w:line="500" w:lineRule="exact"/>
        <w:jc w:val="left"/>
        <w:rPr>
          <w:rFonts w:ascii="宋体" w:hAnsi="宋体" w:cs="宋体"/>
          <w:color w:val="auto"/>
          <w:highlight w:val="none"/>
          <w:u w:val="single"/>
        </w:rPr>
      </w:pPr>
      <w:r>
        <w:rPr>
          <w:rFonts w:hint="eastAsia" w:ascii="宋体" w:hAnsi="宋体" w:cs="宋体"/>
          <w:color w:val="auto"/>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highlight w:val="none"/>
        </w:rPr>
        <w:t xml:space="preserve">  项目编号：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highlight w:val="none"/>
          <w:u w:val="single"/>
        </w:rPr>
        <w:t xml:space="preserve"> </w:t>
      </w:r>
    </w:p>
    <w:tbl>
      <w:tblPr>
        <w:tblStyle w:val="50"/>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15"/>
        <w:gridCol w:w="10"/>
        <w:gridCol w:w="1093"/>
        <w:gridCol w:w="342"/>
        <w:gridCol w:w="893"/>
        <w:gridCol w:w="6"/>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8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804" w:type="dxa"/>
            <w:gridSpan w:val="3"/>
            <w:vAlign w:val="center"/>
          </w:tcPr>
          <w:p>
            <w:pPr>
              <w:jc w:val="center"/>
              <w:rPr>
                <w:rFonts w:ascii="宋体" w:hAnsi="宋体" w:cs="宋体"/>
                <w:color w:val="auto"/>
                <w:szCs w:val="21"/>
                <w:highlight w:val="none"/>
              </w:rPr>
            </w:pPr>
          </w:p>
        </w:tc>
        <w:tc>
          <w:tcPr>
            <w:tcW w:w="109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241" w:type="dxa"/>
            <w:gridSpan w:val="3"/>
            <w:vAlign w:val="center"/>
          </w:tcPr>
          <w:p>
            <w:pPr>
              <w:jc w:val="center"/>
              <w:rPr>
                <w:rFonts w:ascii="宋体" w:hAnsi="宋体" w:cs="宋体"/>
                <w:color w:val="auto"/>
                <w:szCs w:val="21"/>
                <w:highlight w:val="none"/>
              </w:rPr>
            </w:pPr>
          </w:p>
        </w:tc>
        <w:tc>
          <w:tcPr>
            <w:tcW w:w="152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身份证号</w:t>
            </w:r>
          </w:p>
        </w:tc>
        <w:tc>
          <w:tcPr>
            <w:tcW w:w="2143"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8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学历/专业</w:t>
            </w:r>
          </w:p>
        </w:tc>
        <w:tc>
          <w:tcPr>
            <w:tcW w:w="1804" w:type="dxa"/>
            <w:gridSpan w:val="3"/>
            <w:vAlign w:val="center"/>
          </w:tcPr>
          <w:p>
            <w:pPr>
              <w:jc w:val="center"/>
              <w:rPr>
                <w:rFonts w:ascii="宋体" w:hAnsi="宋体" w:cs="宋体"/>
                <w:color w:val="auto"/>
                <w:szCs w:val="21"/>
                <w:highlight w:val="none"/>
              </w:rPr>
            </w:pPr>
          </w:p>
        </w:tc>
        <w:tc>
          <w:tcPr>
            <w:tcW w:w="109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241" w:type="dxa"/>
            <w:gridSpan w:val="3"/>
            <w:vAlign w:val="center"/>
          </w:tcPr>
          <w:p>
            <w:pPr>
              <w:jc w:val="center"/>
              <w:rPr>
                <w:rFonts w:ascii="宋体" w:hAnsi="宋体" w:cs="宋体"/>
                <w:color w:val="auto"/>
                <w:szCs w:val="21"/>
                <w:highlight w:val="none"/>
              </w:rPr>
            </w:pPr>
          </w:p>
        </w:tc>
        <w:tc>
          <w:tcPr>
            <w:tcW w:w="152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拟在本项目</w:t>
            </w:r>
          </w:p>
          <w:p>
            <w:pPr>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143"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8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资格/职称</w:t>
            </w:r>
          </w:p>
        </w:tc>
        <w:tc>
          <w:tcPr>
            <w:tcW w:w="1794" w:type="dxa"/>
            <w:gridSpan w:val="2"/>
            <w:vAlign w:val="center"/>
          </w:tcPr>
          <w:p>
            <w:pPr>
              <w:jc w:val="center"/>
              <w:rPr>
                <w:rFonts w:ascii="宋体" w:hAnsi="宋体" w:cs="宋体"/>
                <w:color w:val="auto"/>
                <w:szCs w:val="21"/>
                <w:highlight w:val="none"/>
              </w:rPr>
            </w:pPr>
          </w:p>
        </w:tc>
        <w:tc>
          <w:tcPr>
            <w:tcW w:w="2338"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资格</w:t>
            </w:r>
            <w:r>
              <w:rPr>
                <w:rFonts w:hint="eastAsia" w:ascii="宋体" w:hAnsi="宋体" w:cs="宋体"/>
                <w:color w:val="auto"/>
                <w:szCs w:val="21"/>
                <w:highlight w:val="none"/>
                <w:lang w:eastAsia="zh-CN"/>
              </w:rPr>
              <w:t>或</w:t>
            </w:r>
            <w:r>
              <w:rPr>
                <w:rFonts w:hint="eastAsia" w:ascii="宋体" w:hAnsi="宋体" w:cs="宋体"/>
                <w:color w:val="auto"/>
                <w:szCs w:val="21"/>
                <w:highlight w:val="none"/>
              </w:rPr>
              <w:t>职称证书编号</w:t>
            </w:r>
          </w:p>
        </w:tc>
        <w:tc>
          <w:tcPr>
            <w:tcW w:w="3673" w:type="dxa"/>
            <w:gridSpan w:val="4"/>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jc w:val="center"/>
        </w:trPr>
        <w:tc>
          <w:tcPr>
            <w:tcW w:w="8994" w:type="dxa"/>
            <w:gridSpan w:val="11"/>
          </w:tcPr>
          <w:p>
            <w:pPr>
              <w:rPr>
                <w:rFonts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625"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主持（或参与）过的同类项目名称</w:t>
            </w:r>
          </w:p>
        </w:tc>
        <w:tc>
          <w:tcPr>
            <w:tcW w:w="1435"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该项目中</w:t>
            </w:r>
            <w:r>
              <w:rPr>
                <w:rFonts w:hint="eastAsia" w:ascii="宋体" w:hAnsi="宋体" w:cs="宋体"/>
                <w:color w:val="auto"/>
                <w:szCs w:val="21"/>
                <w:highlight w:val="none"/>
                <w:lang w:eastAsia="zh-CN"/>
              </w:rPr>
              <w:t>职务</w:t>
            </w:r>
            <w:r>
              <w:rPr>
                <w:rFonts w:hint="eastAsia" w:ascii="宋体" w:hAnsi="宋体" w:cs="宋体"/>
                <w:color w:val="auto"/>
                <w:szCs w:val="21"/>
                <w:highlight w:val="none"/>
              </w:rPr>
              <w:t>/岗位</w:t>
            </w:r>
          </w:p>
        </w:tc>
        <w:tc>
          <w:tcPr>
            <w:tcW w:w="2696"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委托单位及联系人、联系电话</w:t>
            </w:r>
          </w:p>
        </w:tc>
        <w:tc>
          <w:tcPr>
            <w:tcW w:w="187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jc w:val="center"/>
              <w:rPr>
                <w:rFonts w:ascii="宋体" w:hAnsi="宋体" w:cs="宋体"/>
                <w:color w:val="auto"/>
                <w:szCs w:val="21"/>
                <w:highlight w:val="none"/>
              </w:rPr>
            </w:pPr>
          </w:p>
        </w:tc>
        <w:tc>
          <w:tcPr>
            <w:tcW w:w="1625" w:type="dxa"/>
            <w:gridSpan w:val="2"/>
            <w:vAlign w:val="center"/>
          </w:tcPr>
          <w:p>
            <w:pPr>
              <w:jc w:val="center"/>
              <w:rPr>
                <w:rFonts w:ascii="宋体" w:hAnsi="宋体" w:cs="宋体"/>
                <w:color w:val="auto"/>
                <w:szCs w:val="21"/>
                <w:highlight w:val="none"/>
              </w:rPr>
            </w:pPr>
          </w:p>
        </w:tc>
        <w:tc>
          <w:tcPr>
            <w:tcW w:w="1435" w:type="dxa"/>
            <w:gridSpan w:val="2"/>
            <w:vAlign w:val="center"/>
          </w:tcPr>
          <w:p>
            <w:pPr>
              <w:jc w:val="center"/>
              <w:rPr>
                <w:rFonts w:ascii="宋体" w:hAnsi="宋体" w:cs="宋体"/>
                <w:color w:val="auto"/>
                <w:szCs w:val="21"/>
                <w:highlight w:val="none"/>
              </w:rPr>
            </w:pPr>
          </w:p>
        </w:tc>
        <w:tc>
          <w:tcPr>
            <w:tcW w:w="2696" w:type="dxa"/>
            <w:gridSpan w:val="4"/>
            <w:vAlign w:val="center"/>
          </w:tcPr>
          <w:p>
            <w:pPr>
              <w:jc w:val="center"/>
              <w:rPr>
                <w:rFonts w:ascii="宋体" w:hAnsi="宋体" w:cs="宋体"/>
                <w:color w:val="auto"/>
                <w:szCs w:val="21"/>
                <w:highlight w:val="none"/>
              </w:rPr>
            </w:pPr>
          </w:p>
        </w:tc>
        <w:tc>
          <w:tcPr>
            <w:tcW w:w="187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jc w:val="center"/>
              <w:rPr>
                <w:rFonts w:ascii="宋体" w:hAnsi="宋体" w:cs="宋体"/>
                <w:color w:val="auto"/>
                <w:szCs w:val="21"/>
                <w:highlight w:val="none"/>
              </w:rPr>
            </w:pPr>
          </w:p>
        </w:tc>
        <w:tc>
          <w:tcPr>
            <w:tcW w:w="1625" w:type="dxa"/>
            <w:gridSpan w:val="2"/>
            <w:vAlign w:val="center"/>
          </w:tcPr>
          <w:p>
            <w:pPr>
              <w:jc w:val="center"/>
              <w:rPr>
                <w:rFonts w:ascii="宋体" w:hAnsi="宋体" w:cs="宋体"/>
                <w:color w:val="auto"/>
                <w:szCs w:val="21"/>
                <w:highlight w:val="none"/>
              </w:rPr>
            </w:pPr>
          </w:p>
        </w:tc>
        <w:tc>
          <w:tcPr>
            <w:tcW w:w="1435" w:type="dxa"/>
            <w:gridSpan w:val="2"/>
            <w:vAlign w:val="center"/>
          </w:tcPr>
          <w:p>
            <w:pPr>
              <w:jc w:val="center"/>
              <w:rPr>
                <w:rFonts w:ascii="宋体" w:hAnsi="宋体" w:cs="宋体"/>
                <w:color w:val="auto"/>
                <w:szCs w:val="21"/>
                <w:highlight w:val="none"/>
              </w:rPr>
            </w:pPr>
          </w:p>
        </w:tc>
        <w:tc>
          <w:tcPr>
            <w:tcW w:w="2696" w:type="dxa"/>
            <w:gridSpan w:val="4"/>
            <w:vAlign w:val="center"/>
          </w:tcPr>
          <w:p>
            <w:pPr>
              <w:jc w:val="center"/>
              <w:rPr>
                <w:rFonts w:ascii="宋体" w:hAnsi="宋体" w:cs="宋体"/>
                <w:color w:val="auto"/>
                <w:szCs w:val="21"/>
                <w:highlight w:val="none"/>
              </w:rPr>
            </w:pPr>
          </w:p>
        </w:tc>
        <w:tc>
          <w:tcPr>
            <w:tcW w:w="187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jc w:val="center"/>
              <w:rPr>
                <w:rFonts w:ascii="宋体" w:hAnsi="宋体" w:cs="宋体"/>
                <w:color w:val="auto"/>
                <w:szCs w:val="21"/>
                <w:highlight w:val="none"/>
              </w:rPr>
            </w:pPr>
          </w:p>
        </w:tc>
        <w:tc>
          <w:tcPr>
            <w:tcW w:w="1625" w:type="dxa"/>
            <w:gridSpan w:val="2"/>
            <w:vAlign w:val="center"/>
          </w:tcPr>
          <w:p>
            <w:pPr>
              <w:jc w:val="center"/>
              <w:rPr>
                <w:rFonts w:ascii="宋体" w:hAnsi="宋体" w:cs="宋体"/>
                <w:color w:val="auto"/>
                <w:szCs w:val="21"/>
                <w:highlight w:val="none"/>
              </w:rPr>
            </w:pPr>
          </w:p>
        </w:tc>
        <w:tc>
          <w:tcPr>
            <w:tcW w:w="1435" w:type="dxa"/>
            <w:gridSpan w:val="2"/>
            <w:vAlign w:val="center"/>
          </w:tcPr>
          <w:p>
            <w:pPr>
              <w:jc w:val="center"/>
              <w:rPr>
                <w:rFonts w:ascii="宋体" w:hAnsi="宋体" w:cs="宋体"/>
                <w:color w:val="auto"/>
                <w:szCs w:val="21"/>
                <w:highlight w:val="none"/>
              </w:rPr>
            </w:pPr>
          </w:p>
        </w:tc>
        <w:tc>
          <w:tcPr>
            <w:tcW w:w="2696" w:type="dxa"/>
            <w:gridSpan w:val="4"/>
            <w:vAlign w:val="center"/>
          </w:tcPr>
          <w:p>
            <w:pPr>
              <w:jc w:val="center"/>
              <w:rPr>
                <w:rFonts w:ascii="宋体" w:hAnsi="宋体" w:cs="宋体"/>
                <w:color w:val="auto"/>
                <w:szCs w:val="21"/>
                <w:highlight w:val="none"/>
              </w:rPr>
            </w:pPr>
          </w:p>
        </w:tc>
        <w:tc>
          <w:tcPr>
            <w:tcW w:w="187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jc w:val="center"/>
              <w:rPr>
                <w:rFonts w:ascii="宋体" w:hAnsi="宋体" w:cs="宋体"/>
                <w:color w:val="auto"/>
                <w:szCs w:val="21"/>
                <w:highlight w:val="none"/>
              </w:rPr>
            </w:pPr>
          </w:p>
        </w:tc>
        <w:tc>
          <w:tcPr>
            <w:tcW w:w="1625" w:type="dxa"/>
            <w:gridSpan w:val="2"/>
            <w:vAlign w:val="center"/>
          </w:tcPr>
          <w:p>
            <w:pPr>
              <w:jc w:val="center"/>
              <w:rPr>
                <w:rFonts w:ascii="宋体" w:hAnsi="宋体" w:cs="宋体"/>
                <w:color w:val="auto"/>
                <w:szCs w:val="21"/>
                <w:highlight w:val="none"/>
              </w:rPr>
            </w:pPr>
          </w:p>
        </w:tc>
        <w:tc>
          <w:tcPr>
            <w:tcW w:w="1435" w:type="dxa"/>
            <w:gridSpan w:val="2"/>
            <w:vAlign w:val="center"/>
          </w:tcPr>
          <w:p>
            <w:pPr>
              <w:jc w:val="center"/>
              <w:rPr>
                <w:rFonts w:ascii="宋体" w:hAnsi="宋体" w:cs="宋体"/>
                <w:color w:val="auto"/>
                <w:szCs w:val="21"/>
                <w:highlight w:val="none"/>
              </w:rPr>
            </w:pPr>
          </w:p>
        </w:tc>
        <w:tc>
          <w:tcPr>
            <w:tcW w:w="2696" w:type="dxa"/>
            <w:gridSpan w:val="4"/>
            <w:vAlign w:val="center"/>
          </w:tcPr>
          <w:p>
            <w:pPr>
              <w:jc w:val="center"/>
              <w:rPr>
                <w:rFonts w:ascii="宋体" w:hAnsi="宋体" w:cs="宋体"/>
                <w:color w:val="auto"/>
                <w:szCs w:val="21"/>
                <w:highlight w:val="none"/>
              </w:rPr>
            </w:pPr>
          </w:p>
        </w:tc>
        <w:tc>
          <w:tcPr>
            <w:tcW w:w="1870" w:type="dxa"/>
            <w:vAlign w:val="center"/>
          </w:tcPr>
          <w:p>
            <w:pPr>
              <w:jc w:val="center"/>
              <w:rPr>
                <w:rFonts w:ascii="宋体" w:hAnsi="宋体" w:cs="宋体"/>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lang w:val="en-US" w:eastAsia="zh-CN"/>
        </w:rPr>
      </w:pPr>
      <w:r>
        <w:rPr>
          <w:rFonts w:hint="eastAsia" w:ascii="宋体" w:hAnsi="宋体" w:cs="宋体"/>
          <w:b/>
          <w:color w:val="auto"/>
          <w:szCs w:val="21"/>
          <w:highlight w:val="none"/>
        </w:rPr>
        <w:t>填写说明：提供</w:t>
      </w:r>
      <w:r>
        <w:rPr>
          <w:rFonts w:hint="eastAsia" w:ascii="宋体" w:hAnsi="宋体" w:cs="宋体"/>
          <w:b/>
          <w:color w:val="auto"/>
          <w:szCs w:val="21"/>
          <w:highlight w:val="none"/>
          <w:lang w:eastAsia="zh-CN"/>
        </w:rPr>
        <w:t>相关</w:t>
      </w:r>
      <w:r>
        <w:rPr>
          <w:rFonts w:hint="eastAsia" w:ascii="宋体" w:hAnsi="宋体" w:cs="宋体"/>
          <w:b/>
          <w:color w:val="auto"/>
          <w:szCs w:val="21"/>
          <w:highlight w:val="none"/>
        </w:rPr>
        <w:t>证</w:t>
      </w:r>
      <w:r>
        <w:rPr>
          <w:rFonts w:hint="eastAsia" w:ascii="宋体" w:hAnsi="宋体" w:cs="宋体"/>
          <w:b/>
          <w:color w:val="auto"/>
          <w:szCs w:val="21"/>
          <w:highlight w:val="none"/>
          <w:lang w:eastAsia="zh-CN"/>
        </w:rPr>
        <w:t>书</w:t>
      </w:r>
      <w:r>
        <w:rPr>
          <w:rFonts w:hint="eastAsia" w:ascii="宋体" w:hAnsi="宋体" w:cs="宋体"/>
          <w:b/>
          <w:color w:val="auto"/>
          <w:szCs w:val="21"/>
          <w:highlight w:val="none"/>
        </w:rPr>
        <w:t>原件扫描件、</w:t>
      </w:r>
      <w:r>
        <w:rPr>
          <w:rFonts w:hint="eastAsia" w:ascii="宋体" w:hAnsi="宋体" w:cs="宋体"/>
          <w:b/>
          <w:bCs/>
          <w:color w:val="000000" w:themeColor="text1"/>
          <w:kern w:val="0"/>
          <w:szCs w:val="21"/>
          <w:lang w:bidi="ar"/>
          <w14:textFill>
            <w14:solidFill>
              <w14:schemeClr w14:val="tx1"/>
            </w14:solidFill>
          </w14:textFill>
        </w:rPr>
        <w:t>（2022年</w:t>
      </w:r>
      <w:r>
        <w:rPr>
          <w:rFonts w:hint="eastAsia" w:ascii="宋体" w:hAnsi="宋体" w:cs="宋体"/>
          <w:b/>
          <w:bCs/>
          <w:color w:val="000000" w:themeColor="text1"/>
          <w:kern w:val="0"/>
          <w:szCs w:val="21"/>
          <w:lang w:val="en-US" w:eastAsia="zh-CN" w:bidi="ar"/>
          <w14:textFill>
            <w14:solidFill>
              <w14:schemeClr w14:val="tx1"/>
            </w14:solidFill>
          </w14:textFill>
        </w:rPr>
        <w:t>12</w:t>
      </w:r>
      <w:r>
        <w:rPr>
          <w:rFonts w:hint="eastAsia" w:ascii="宋体" w:hAnsi="宋体" w:cs="宋体"/>
          <w:b/>
          <w:bCs/>
          <w:color w:val="000000" w:themeColor="text1"/>
          <w:kern w:val="0"/>
          <w:szCs w:val="21"/>
          <w:lang w:bidi="ar"/>
          <w14:textFill>
            <w14:solidFill>
              <w14:schemeClr w14:val="tx1"/>
            </w14:solidFill>
          </w14:textFill>
        </w:rPr>
        <w:t>月-</w:t>
      </w:r>
      <w:r>
        <w:rPr>
          <w:rFonts w:ascii="宋体" w:hAnsi="宋体" w:cs="宋体"/>
          <w:b/>
          <w:bCs/>
          <w:color w:val="000000" w:themeColor="text1"/>
          <w:kern w:val="0"/>
          <w:szCs w:val="21"/>
          <w:lang w:bidi="ar"/>
          <w14:textFill>
            <w14:solidFill>
              <w14:schemeClr w14:val="tx1"/>
            </w14:solidFill>
          </w14:textFill>
        </w:rPr>
        <w:t>202</w:t>
      </w:r>
      <w:r>
        <w:rPr>
          <w:rFonts w:hint="eastAsia" w:ascii="宋体" w:hAnsi="宋体" w:cs="宋体"/>
          <w:b/>
          <w:bCs/>
          <w:color w:val="000000" w:themeColor="text1"/>
          <w:kern w:val="0"/>
          <w:szCs w:val="21"/>
          <w:lang w:val="en-US" w:eastAsia="zh-CN" w:bidi="ar"/>
          <w14:textFill>
            <w14:solidFill>
              <w14:schemeClr w14:val="tx1"/>
            </w14:solidFill>
          </w14:textFill>
        </w:rPr>
        <w:t>3</w:t>
      </w:r>
      <w:r>
        <w:rPr>
          <w:rFonts w:hint="eastAsia" w:ascii="宋体" w:hAnsi="宋体" w:cs="宋体"/>
          <w:b/>
          <w:bCs/>
          <w:color w:val="000000" w:themeColor="text1"/>
          <w:kern w:val="0"/>
          <w:szCs w:val="21"/>
          <w:lang w:bidi="ar"/>
          <w14:textFill>
            <w14:solidFill>
              <w14:schemeClr w14:val="tx1"/>
            </w14:solidFill>
          </w14:textFill>
        </w:rPr>
        <w:t>年</w:t>
      </w:r>
      <w:r>
        <w:rPr>
          <w:rFonts w:hint="eastAsia" w:ascii="宋体" w:hAnsi="宋体" w:cs="宋体"/>
          <w:b/>
          <w:bCs/>
          <w:color w:val="000000" w:themeColor="text1"/>
          <w:kern w:val="0"/>
          <w:szCs w:val="21"/>
          <w:lang w:val="en-US" w:eastAsia="zh-CN" w:bidi="ar"/>
          <w14:textFill>
            <w14:solidFill>
              <w14:schemeClr w14:val="tx1"/>
            </w14:solidFill>
          </w14:textFill>
        </w:rPr>
        <w:t>02</w:t>
      </w:r>
      <w:r>
        <w:rPr>
          <w:rFonts w:hint="eastAsia" w:ascii="宋体" w:hAnsi="宋体" w:cs="宋体"/>
          <w:b/>
          <w:bCs/>
          <w:color w:val="000000" w:themeColor="text1"/>
          <w:kern w:val="0"/>
          <w:szCs w:val="21"/>
          <w:lang w:bidi="ar"/>
          <w14:textFill>
            <w14:solidFill>
              <w14:schemeClr w14:val="tx1"/>
            </w14:solidFill>
          </w14:textFill>
        </w:rPr>
        <w:t>月）</w:t>
      </w:r>
      <w:r>
        <w:rPr>
          <w:rFonts w:hint="eastAsia" w:ascii="宋体" w:hAnsi="宋体" w:cs="宋体"/>
          <w:b/>
          <w:bCs/>
          <w:kern w:val="0"/>
          <w:szCs w:val="21"/>
          <w:lang w:bidi="ar"/>
        </w:rPr>
        <w:t>投标人为其缴纳社保的有效证明材料(盖有社保部门公章)</w:t>
      </w:r>
      <w:r>
        <w:rPr>
          <w:rFonts w:hint="eastAsia" w:ascii="宋体" w:hAnsi="宋体" w:cs="宋体"/>
          <w:b/>
          <w:color w:val="auto"/>
          <w:szCs w:val="21"/>
          <w:highlight w:val="none"/>
          <w:lang w:eastAsia="zh-CN"/>
        </w:rPr>
        <w:t>原件</w:t>
      </w:r>
      <w:r>
        <w:rPr>
          <w:rFonts w:hint="eastAsia" w:ascii="宋体" w:hAnsi="宋体" w:cs="宋体"/>
          <w:b/>
          <w:color w:val="auto"/>
          <w:szCs w:val="21"/>
          <w:highlight w:val="none"/>
        </w:rPr>
        <w:t>扫描件，以及资信技术评分标准要求提供的其他相关资料（如有）</w:t>
      </w:r>
      <w:r>
        <w:rPr>
          <w:rFonts w:hint="eastAsia" w:ascii="宋体" w:hAnsi="宋体" w:cs="宋体"/>
          <w:b/>
          <w:color w:val="auto"/>
          <w:highlight w:val="none"/>
        </w:rPr>
        <w:t>。</w:t>
      </w:r>
    </w:p>
    <w:p>
      <w:pPr>
        <w:rPr>
          <w:rFonts w:hint="eastAsia" w:ascii="宋体" w:hAnsi="宋体" w:cs="宋体"/>
          <w:b/>
          <w:szCs w:val="21"/>
        </w:rPr>
      </w:pPr>
      <w:r>
        <w:rPr>
          <w:rFonts w:hint="eastAsia" w:ascii="宋体" w:hAnsi="宋体" w:cs="宋体"/>
          <w:b/>
          <w:szCs w:val="21"/>
        </w:rPr>
        <w:br w:type="page"/>
      </w:r>
    </w:p>
    <w:p>
      <w:pPr>
        <w:spacing w:line="360" w:lineRule="auto"/>
        <w:rPr>
          <w:rFonts w:hint="eastAsia" w:ascii="宋体" w:hAnsi="宋体" w:eastAsia="宋体" w:cs="宋体"/>
          <w:b/>
          <w:szCs w:val="21"/>
          <w:lang w:eastAsia="zh-CN"/>
        </w:rPr>
      </w:pPr>
      <w:r>
        <w:rPr>
          <w:rFonts w:hint="eastAsia" w:ascii="宋体" w:hAnsi="宋体" w:cs="宋体"/>
          <w:b/>
          <w:szCs w:val="21"/>
        </w:rPr>
        <w:t>附件</w:t>
      </w:r>
      <w:bookmarkEnd w:id="78"/>
      <w:r>
        <w:rPr>
          <w:rFonts w:hint="eastAsia" w:ascii="宋体" w:hAnsi="宋体" w:cs="宋体"/>
          <w:b/>
          <w:szCs w:val="21"/>
          <w:lang w:val="en-US" w:eastAsia="zh-CN"/>
        </w:rPr>
        <w:t>7</w:t>
      </w:r>
    </w:p>
    <w:p>
      <w:pPr>
        <w:spacing w:line="360" w:lineRule="auto"/>
        <w:jc w:val="left"/>
        <w:rPr>
          <w:rFonts w:ascii="宋体" w:hAnsi="宋体" w:cs="宋体"/>
          <w:b/>
          <w:szCs w:val="21"/>
        </w:rPr>
      </w:pPr>
      <w:bookmarkStart w:id="79" w:name="附件9"/>
    </w:p>
    <w:bookmarkEnd w:id="79"/>
    <w:p>
      <w:pPr>
        <w:spacing w:line="500" w:lineRule="exact"/>
        <w:jc w:val="center"/>
        <w:rPr>
          <w:rFonts w:ascii="宋体" w:hAnsi="宋体" w:cs="宋体"/>
          <w:b/>
          <w:bCs/>
          <w:sz w:val="28"/>
          <w:szCs w:val="28"/>
        </w:rPr>
      </w:pPr>
      <w:r>
        <w:rPr>
          <w:rFonts w:hint="eastAsia" w:ascii="宋体" w:hAnsi="宋体" w:cs="宋体"/>
          <w:b/>
          <w:bCs/>
          <w:sz w:val="28"/>
          <w:szCs w:val="28"/>
        </w:rPr>
        <w:t>投标人业绩一览表</w:t>
      </w:r>
    </w:p>
    <w:p>
      <w:pPr>
        <w:spacing w:line="600" w:lineRule="exact"/>
        <w:ind w:firstLine="525" w:firstLineChars="250"/>
        <w:rPr>
          <w:rFonts w:ascii="宋体" w:hAnsi="宋体" w:cs="宋体"/>
          <w:b/>
          <w:sz w:val="32"/>
          <w:szCs w:val="32"/>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rPr>
        <w:t xml:space="preserve">                 项目编号：</w:t>
      </w:r>
      <w:r>
        <w:rPr>
          <w:rFonts w:hint="eastAsia" w:ascii="宋体" w:hAnsi="宋体" w:cs="宋体"/>
          <w:u w:val="single"/>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452"/>
        <w:gridCol w:w="1942"/>
        <w:gridCol w:w="1263"/>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35" w:type="dxa"/>
            <w:vAlign w:val="center"/>
          </w:tcPr>
          <w:p>
            <w:pPr>
              <w:ind w:left="560" w:hanging="560"/>
              <w:jc w:val="center"/>
              <w:rPr>
                <w:rFonts w:ascii="宋体" w:hAnsi="宋体" w:cs="宋体"/>
                <w:szCs w:val="21"/>
              </w:rPr>
            </w:pPr>
            <w:r>
              <w:rPr>
                <w:rFonts w:hint="eastAsia" w:ascii="宋体" w:hAnsi="宋体" w:cs="宋体"/>
                <w:szCs w:val="21"/>
              </w:rPr>
              <w:t>序 号</w:t>
            </w:r>
          </w:p>
        </w:tc>
        <w:tc>
          <w:tcPr>
            <w:tcW w:w="2452" w:type="dxa"/>
            <w:vAlign w:val="center"/>
          </w:tcPr>
          <w:p>
            <w:pPr>
              <w:ind w:left="560" w:hanging="560"/>
              <w:jc w:val="center"/>
              <w:rPr>
                <w:rFonts w:ascii="宋体" w:hAnsi="宋体" w:cs="宋体"/>
                <w:szCs w:val="21"/>
              </w:rPr>
            </w:pPr>
            <w:r>
              <w:rPr>
                <w:rFonts w:hint="eastAsia" w:ascii="宋体" w:hAnsi="宋体" w:cs="宋体"/>
                <w:szCs w:val="21"/>
              </w:rPr>
              <w:t>项目名称</w:t>
            </w:r>
          </w:p>
        </w:tc>
        <w:tc>
          <w:tcPr>
            <w:tcW w:w="1942" w:type="dxa"/>
            <w:vAlign w:val="center"/>
          </w:tcPr>
          <w:p>
            <w:pPr>
              <w:ind w:left="560" w:hanging="560"/>
              <w:jc w:val="center"/>
              <w:rPr>
                <w:rFonts w:ascii="宋体" w:hAnsi="宋体" w:cs="宋体"/>
                <w:szCs w:val="21"/>
              </w:rPr>
            </w:pPr>
            <w:r>
              <w:rPr>
                <w:rFonts w:hint="eastAsia" w:ascii="宋体" w:hAnsi="宋体" w:cs="宋体"/>
                <w:szCs w:val="21"/>
              </w:rPr>
              <w:t>合同金额（万元）</w:t>
            </w:r>
          </w:p>
        </w:tc>
        <w:tc>
          <w:tcPr>
            <w:tcW w:w="1263" w:type="dxa"/>
            <w:vAlign w:val="center"/>
          </w:tcPr>
          <w:p>
            <w:pPr>
              <w:ind w:left="560" w:hanging="560"/>
              <w:jc w:val="center"/>
              <w:rPr>
                <w:rFonts w:ascii="宋体" w:hAnsi="宋体" w:cs="宋体"/>
                <w:szCs w:val="21"/>
              </w:rPr>
            </w:pPr>
            <w:r>
              <w:rPr>
                <w:rFonts w:hint="eastAsia" w:ascii="宋体" w:hAnsi="宋体" w:cs="宋体"/>
                <w:szCs w:val="21"/>
              </w:rPr>
              <w:t>实施时间</w:t>
            </w:r>
          </w:p>
        </w:tc>
        <w:tc>
          <w:tcPr>
            <w:tcW w:w="2605" w:type="dxa"/>
            <w:vAlign w:val="center"/>
          </w:tcPr>
          <w:p>
            <w:pPr>
              <w:ind w:left="560" w:hanging="560"/>
              <w:jc w:val="center"/>
              <w:rPr>
                <w:rFonts w:ascii="宋体" w:hAnsi="宋体" w:cs="宋体"/>
                <w:szCs w:val="21"/>
              </w:rPr>
            </w:pPr>
            <w:r>
              <w:rPr>
                <w:rFonts w:hint="eastAsia" w:ascii="宋体" w:hAnsi="宋体" w:cs="宋体"/>
                <w:szCs w:val="21"/>
              </w:rPr>
              <w:t>委托单位/联系电话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ascii="宋体" w:hAnsi="宋体" w:cs="宋体"/>
                <w:szCs w:val="21"/>
              </w:rPr>
            </w:pPr>
          </w:p>
        </w:tc>
        <w:tc>
          <w:tcPr>
            <w:tcW w:w="2452" w:type="dxa"/>
            <w:vAlign w:val="center"/>
          </w:tcPr>
          <w:p>
            <w:pPr>
              <w:ind w:left="560" w:hanging="560"/>
              <w:jc w:val="center"/>
              <w:rPr>
                <w:rFonts w:ascii="宋体" w:hAnsi="宋体" w:cs="宋体"/>
                <w:szCs w:val="21"/>
              </w:rPr>
            </w:pPr>
          </w:p>
        </w:tc>
        <w:tc>
          <w:tcPr>
            <w:tcW w:w="1942" w:type="dxa"/>
            <w:vAlign w:val="center"/>
          </w:tcPr>
          <w:p>
            <w:pPr>
              <w:ind w:left="560" w:hanging="560"/>
              <w:jc w:val="center"/>
              <w:rPr>
                <w:rFonts w:ascii="宋体" w:hAnsi="宋体" w:cs="宋体"/>
                <w:szCs w:val="21"/>
              </w:rPr>
            </w:pPr>
          </w:p>
        </w:tc>
        <w:tc>
          <w:tcPr>
            <w:tcW w:w="1263" w:type="dxa"/>
            <w:vAlign w:val="center"/>
          </w:tcPr>
          <w:p>
            <w:pPr>
              <w:ind w:left="560" w:hanging="560"/>
              <w:jc w:val="center"/>
              <w:rPr>
                <w:rFonts w:ascii="宋体" w:hAnsi="宋体" w:cs="宋体"/>
                <w:szCs w:val="21"/>
              </w:rPr>
            </w:pPr>
          </w:p>
        </w:tc>
        <w:tc>
          <w:tcPr>
            <w:tcW w:w="2605" w:type="dxa"/>
            <w:vAlign w:val="center"/>
          </w:tcPr>
          <w:p>
            <w:pPr>
              <w:ind w:left="560" w:hanging="5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ascii="宋体" w:hAnsi="宋体" w:cs="宋体"/>
                <w:szCs w:val="21"/>
              </w:rPr>
            </w:pPr>
          </w:p>
        </w:tc>
        <w:tc>
          <w:tcPr>
            <w:tcW w:w="2452" w:type="dxa"/>
            <w:vAlign w:val="center"/>
          </w:tcPr>
          <w:p>
            <w:pPr>
              <w:ind w:left="560" w:hanging="560"/>
              <w:jc w:val="center"/>
              <w:rPr>
                <w:rFonts w:ascii="宋体" w:hAnsi="宋体" w:cs="宋体"/>
                <w:szCs w:val="21"/>
              </w:rPr>
            </w:pPr>
          </w:p>
        </w:tc>
        <w:tc>
          <w:tcPr>
            <w:tcW w:w="1942" w:type="dxa"/>
            <w:vAlign w:val="center"/>
          </w:tcPr>
          <w:p>
            <w:pPr>
              <w:ind w:left="560" w:hanging="560"/>
              <w:jc w:val="center"/>
              <w:rPr>
                <w:rFonts w:ascii="宋体" w:hAnsi="宋体" w:cs="宋体"/>
                <w:szCs w:val="21"/>
              </w:rPr>
            </w:pPr>
          </w:p>
        </w:tc>
        <w:tc>
          <w:tcPr>
            <w:tcW w:w="1263" w:type="dxa"/>
            <w:vAlign w:val="center"/>
          </w:tcPr>
          <w:p>
            <w:pPr>
              <w:ind w:left="560" w:hanging="560"/>
              <w:jc w:val="center"/>
              <w:rPr>
                <w:rFonts w:ascii="宋体" w:hAnsi="宋体" w:cs="宋体"/>
                <w:szCs w:val="21"/>
              </w:rPr>
            </w:pPr>
          </w:p>
        </w:tc>
        <w:tc>
          <w:tcPr>
            <w:tcW w:w="2605" w:type="dxa"/>
            <w:vAlign w:val="center"/>
          </w:tcPr>
          <w:p>
            <w:pPr>
              <w:ind w:left="560" w:hanging="5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ascii="宋体" w:hAnsi="宋体" w:cs="宋体"/>
                <w:szCs w:val="21"/>
              </w:rPr>
            </w:pPr>
          </w:p>
        </w:tc>
        <w:tc>
          <w:tcPr>
            <w:tcW w:w="2452" w:type="dxa"/>
            <w:vAlign w:val="center"/>
          </w:tcPr>
          <w:p>
            <w:pPr>
              <w:ind w:left="560" w:hanging="560"/>
              <w:jc w:val="center"/>
              <w:rPr>
                <w:rFonts w:ascii="宋体" w:hAnsi="宋体" w:cs="宋体"/>
                <w:szCs w:val="21"/>
              </w:rPr>
            </w:pPr>
          </w:p>
        </w:tc>
        <w:tc>
          <w:tcPr>
            <w:tcW w:w="1942" w:type="dxa"/>
            <w:vAlign w:val="center"/>
          </w:tcPr>
          <w:p>
            <w:pPr>
              <w:ind w:left="560" w:hanging="560"/>
              <w:jc w:val="center"/>
              <w:rPr>
                <w:rFonts w:ascii="宋体" w:hAnsi="宋体" w:cs="宋体"/>
                <w:szCs w:val="21"/>
              </w:rPr>
            </w:pPr>
          </w:p>
        </w:tc>
        <w:tc>
          <w:tcPr>
            <w:tcW w:w="1263" w:type="dxa"/>
            <w:vAlign w:val="center"/>
          </w:tcPr>
          <w:p>
            <w:pPr>
              <w:ind w:left="560" w:hanging="560"/>
              <w:jc w:val="center"/>
              <w:rPr>
                <w:rFonts w:ascii="宋体" w:hAnsi="宋体" w:cs="宋体"/>
                <w:szCs w:val="21"/>
              </w:rPr>
            </w:pPr>
          </w:p>
        </w:tc>
        <w:tc>
          <w:tcPr>
            <w:tcW w:w="2605" w:type="dxa"/>
            <w:vAlign w:val="center"/>
          </w:tcPr>
          <w:p>
            <w:pPr>
              <w:ind w:left="560" w:hanging="5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ascii="宋体" w:hAnsi="宋体" w:cs="宋体"/>
                <w:szCs w:val="21"/>
              </w:rPr>
            </w:pPr>
          </w:p>
        </w:tc>
        <w:tc>
          <w:tcPr>
            <w:tcW w:w="2452" w:type="dxa"/>
            <w:vAlign w:val="center"/>
          </w:tcPr>
          <w:p>
            <w:pPr>
              <w:ind w:left="560" w:hanging="560"/>
              <w:jc w:val="center"/>
              <w:rPr>
                <w:rFonts w:ascii="宋体" w:hAnsi="宋体" w:cs="宋体"/>
                <w:szCs w:val="21"/>
              </w:rPr>
            </w:pPr>
          </w:p>
        </w:tc>
        <w:tc>
          <w:tcPr>
            <w:tcW w:w="1942" w:type="dxa"/>
            <w:vAlign w:val="center"/>
          </w:tcPr>
          <w:p>
            <w:pPr>
              <w:ind w:left="560" w:hanging="560"/>
              <w:jc w:val="center"/>
              <w:rPr>
                <w:rFonts w:ascii="宋体" w:hAnsi="宋体" w:cs="宋体"/>
                <w:szCs w:val="21"/>
              </w:rPr>
            </w:pPr>
          </w:p>
        </w:tc>
        <w:tc>
          <w:tcPr>
            <w:tcW w:w="1263" w:type="dxa"/>
            <w:vAlign w:val="center"/>
          </w:tcPr>
          <w:p>
            <w:pPr>
              <w:ind w:left="560" w:hanging="560"/>
              <w:jc w:val="center"/>
              <w:rPr>
                <w:rFonts w:ascii="宋体" w:hAnsi="宋体" w:cs="宋体"/>
                <w:szCs w:val="21"/>
              </w:rPr>
            </w:pPr>
          </w:p>
        </w:tc>
        <w:tc>
          <w:tcPr>
            <w:tcW w:w="2605" w:type="dxa"/>
            <w:vAlign w:val="center"/>
          </w:tcPr>
          <w:p>
            <w:pPr>
              <w:ind w:left="560" w:hanging="5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ascii="宋体" w:hAnsi="宋体" w:cs="宋体"/>
                <w:szCs w:val="21"/>
              </w:rPr>
            </w:pPr>
          </w:p>
        </w:tc>
        <w:tc>
          <w:tcPr>
            <w:tcW w:w="2452" w:type="dxa"/>
            <w:vAlign w:val="center"/>
          </w:tcPr>
          <w:p>
            <w:pPr>
              <w:ind w:left="560" w:hanging="560"/>
              <w:jc w:val="center"/>
              <w:rPr>
                <w:rFonts w:ascii="宋体" w:hAnsi="宋体" w:cs="宋体"/>
                <w:szCs w:val="21"/>
              </w:rPr>
            </w:pPr>
          </w:p>
        </w:tc>
        <w:tc>
          <w:tcPr>
            <w:tcW w:w="1942" w:type="dxa"/>
            <w:vAlign w:val="center"/>
          </w:tcPr>
          <w:p>
            <w:pPr>
              <w:ind w:left="560" w:hanging="560"/>
              <w:jc w:val="center"/>
              <w:rPr>
                <w:rFonts w:ascii="宋体" w:hAnsi="宋体" w:cs="宋体"/>
                <w:szCs w:val="21"/>
              </w:rPr>
            </w:pPr>
          </w:p>
        </w:tc>
        <w:tc>
          <w:tcPr>
            <w:tcW w:w="1263" w:type="dxa"/>
            <w:vAlign w:val="center"/>
          </w:tcPr>
          <w:p>
            <w:pPr>
              <w:ind w:left="560" w:hanging="560"/>
              <w:jc w:val="center"/>
              <w:rPr>
                <w:rFonts w:ascii="宋体" w:hAnsi="宋体" w:cs="宋体"/>
                <w:szCs w:val="21"/>
              </w:rPr>
            </w:pPr>
          </w:p>
        </w:tc>
        <w:tc>
          <w:tcPr>
            <w:tcW w:w="2605" w:type="dxa"/>
            <w:vAlign w:val="center"/>
          </w:tcPr>
          <w:p>
            <w:pPr>
              <w:ind w:left="560" w:hanging="5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ascii="宋体" w:hAnsi="宋体" w:cs="宋体"/>
                <w:szCs w:val="21"/>
              </w:rPr>
            </w:pPr>
          </w:p>
        </w:tc>
        <w:tc>
          <w:tcPr>
            <w:tcW w:w="2452" w:type="dxa"/>
            <w:vAlign w:val="center"/>
          </w:tcPr>
          <w:p>
            <w:pPr>
              <w:ind w:left="560" w:hanging="560"/>
              <w:jc w:val="center"/>
              <w:rPr>
                <w:rFonts w:ascii="宋体" w:hAnsi="宋体" w:cs="宋体"/>
                <w:szCs w:val="21"/>
              </w:rPr>
            </w:pPr>
          </w:p>
        </w:tc>
        <w:tc>
          <w:tcPr>
            <w:tcW w:w="1942" w:type="dxa"/>
            <w:vAlign w:val="center"/>
          </w:tcPr>
          <w:p>
            <w:pPr>
              <w:ind w:left="560" w:hanging="560"/>
              <w:jc w:val="center"/>
              <w:rPr>
                <w:rFonts w:ascii="宋体" w:hAnsi="宋体" w:cs="宋体"/>
                <w:szCs w:val="21"/>
              </w:rPr>
            </w:pPr>
          </w:p>
        </w:tc>
        <w:tc>
          <w:tcPr>
            <w:tcW w:w="1263" w:type="dxa"/>
            <w:vAlign w:val="center"/>
          </w:tcPr>
          <w:p>
            <w:pPr>
              <w:ind w:left="560" w:hanging="560"/>
              <w:jc w:val="center"/>
              <w:rPr>
                <w:rFonts w:ascii="宋体" w:hAnsi="宋体" w:cs="宋体"/>
                <w:szCs w:val="21"/>
              </w:rPr>
            </w:pPr>
          </w:p>
        </w:tc>
        <w:tc>
          <w:tcPr>
            <w:tcW w:w="2605" w:type="dxa"/>
            <w:vAlign w:val="center"/>
          </w:tcPr>
          <w:p>
            <w:pPr>
              <w:ind w:left="560" w:hanging="5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ascii="宋体" w:hAnsi="宋体" w:cs="宋体"/>
                <w:szCs w:val="21"/>
              </w:rPr>
            </w:pPr>
          </w:p>
        </w:tc>
        <w:tc>
          <w:tcPr>
            <w:tcW w:w="2452" w:type="dxa"/>
            <w:vAlign w:val="center"/>
          </w:tcPr>
          <w:p>
            <w:pPr>
              <w:ind w:left="560" w:hanging="560"/>
              <w:jc w:val="center"/>
              <w:rPr>
                <w:rFonts w:ascii="宋体" w:hAnsi="宋体" w:cs="宋体"/>
                <w:szCs w:val="21"/>
              </w:rPr>
            </w:pPr>
          </w:p>
        </w:tc>
        <w:tc>
          <w:tcPr>
            <w:tcW w:w="1942" w:type="dxa"/>
            <w:vAlign w:val="center"/>
          </w:tcPr>
          <w:p>
            <w:pPr>
              <w:ind w:left="560" w:hanging="560"/>
              <w:jc w:val="center"/>
              <w:rPr>
                <w:rFonts w:ascii="宋体" w:hAnsi="宋体" w:cs="宋体"/>
                <w:szCs w:val="21"/>
              </w:rPr>
            </w:pPr>
          </w:p>
        </w:tc>
        <w:tc>
          <w:tcPr>
            <w:tcW w:w="1263" w:type="dxa"/>
            <w:vAlign w:val="center"/>
          </w:tcPr>
          <w:p>
            <w:pPr>
              <w:ind w:left="560" w:hanging="560"/>
              <w:jc w:val="center"/>
              <w:rPr>
                <w:rFonts w:ascii="宋体" w:hAnsi="宋体" w:cs="宋体"/>
                <w:szCs w:val="21"/>
              </w:rPr>
            </w:pPr>
          </w:p>
        </w:tc>
        <w:tc>
          <w:tcPr>
            <w:tcW w:w="2605" w:type="dxa"/>
            <w:vAlign w:val="center"/>
          </w:tcPr>
          <w:p>
            <w:pPr>
              <w:ind w:left="560" w:hanging="5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ascii="宋体" w:hAnsi="宋体" w:cs="宋体"/>
                <w:szCs w:val="21"/>
              </w:rPr>
            </w:pPr>
          </w:p>
        </w:tc>
        <w:tc>
          <w:tcPr>
            <w:tcW w:w="2452" w:type="dxa"/>
            <w:vAlign w:val="center"/>
          </w:tcPr>
          <w:p>
            <w:pPr>
              <w:ind w:left="560" w:hanging="560"/>
              <w:jc w:val="center"/>
              <w:rPr>
                <w:rFonts w:ascii="宋体" w:hAnsi="宋体" w:cs="宋体"/>
                <w:szCs w:val="21"/>
              </w:rPr>
            </w:pPr>
          </w:p>
        </w:tc>
        <w:tc>
          <w:tcPr>
            <w:tcW w:w="1942" w:type="dxa"/>
            <w:vAlign w:val="center"/>
          </w:tcPr>
          <w:p>
            <w:pPr>
              <w:ind w:left="560" w:hanging="560"/>
              <w:jc w:val="center"/>
              <w:rPr>
                <w:rFonts w:ascii="宋体" w:hAnsi="宋体" w:cs="宋体"/>
                <w:szCs w:val="21"/>
              </w:rPr>
            </w:pPr>
          </w:p>
        </w:tc>
        <w:tc>
          <w:tcPr>
            <w:tcW w:w="1263" w:type="dxa"/>
            <w:vAlign w:val="center"/>
          </w:tcPr>
          <w:p>
            <w:pPr>
              <w:ind w:left="560" w:hanging="560"/>
              <w:jc w:val="center"/>
              <w:rPr>
                <w:rFonts w:ascii="宋体" w:hAnsi="宋体" w:cs="宋体"/>
                <w:szCs w:val="21"/>
              </w:rPr>
            </w:pPr>
          </w:p>
        </w:tc>
        <w:tc>
          <w:tcPr>
            <w:tcW w:w="2605" w:type="dxa"/>
            <w:vAlign w:val="center"/>
          </w:tcPr>
          <w:p>
            <w:pPr>
              <w:ind w:left="560" w:hanging="5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vAlign w:val="center"/>
          </w:tcPr>
          <w:p>
            <w:pPr>
              <w:ind w:left="560" w:hanging="560"/>
              <w:jc w:val="center"/>
              <w:rPr>
                <w:rFonts w:ascii="宋体" w:hAnsi="宋体" w:cs="宋体"/>
                <w:szCs w:val="21"/>
              </w:rPr>
            </w:pPr>
          </w:p>
        </w:tc>
        <w:tc>
          <w:tcPr>
            <w:tcW w:w="2452" w:type="dxa"/>
            <w:vAlign w:val="center"/>
          </w:tcPr>
          <w:p>
            <w:pPr>
              <w:ind w:left="560" w:hanging="560"/>
              <w:jc w:val="center"/>
              <w:rPr>
                <w:rFonts w:ascii="宋体" w:hAnsi="宋体" w:cs="宋体"/>
                <w:szCs w:val="21"/>
              </w:rPr>
            </w:pPr>
          </w:p>
        </w:tc>
        <w:tc>
          <w:tcPr>
            <w:tcW w:w="1942" w:type="dxa"/>
            <w:vAlign w:val="center"/>
          </w:tcPr>
          <w:p>
            <w:pPr>
              <w:ind w:left="560" w:hanging="560"/>
              <w:jc w:val="center"/>
              <w:rPr>
                <w:rFonts w:ascii="宋体" w:hAnsi="宋体" w:cs="宋体"/>
                <w:szCs w:val="21"/>
              </w:rPr>
            </w:pPr>
          </w:p>
        </w:tc>
        <w:tc>
          <w:tcPr>
            <w:tcW w:w="1263" w:type="dxa"/>
            <w:vAlign w:val="center"/>
          </w:tcPr>
          <w:p>
            <w:pPr>
              <w:ind w:left="560" w:hanging="560"/>
              <w:jc w:val="center"/>
              <w:rPr>
                <w:rFonts w:ascii="宋体" w:hAnsi="宋体" w:cs="宋体"/>
                <w:szCs w:val="21"/>
              </w:rPr>
            </w:pPr>
          </w:p>
        </w:tc>
        <w:tc>
          <w:tcPr>
            <w:tcW w:w="2605" w:type="dxa"/>
            <w:vAlign w:val="center"/>
          </w:tcPr>
          <w:p>
            <w:pPr>
              <w:ind w:left="560" w:hanging="560"/>
              <w:jc w:val="center"/>
              <w:rPr>
                <w:rFonts w:ascii="宋体" w:hAnsi="宋体" w:cs="宋体"/>
                <w:szCs w:val="21"/>
              </w:rPr>
            </w:pPr>
          </w:p>
        </w:tc>
      </w:tr>
    </w:tbl>
    <w:p>
      <w:pPr>
        <w:rPr>
          <w:rFonts w:ascii="宋体" w:hAnsi="宋体" w:cs="宋体"/>
          <w:b/>
          <w:szCs w:val="21"/>
        </w:rPr>
      </w:pPr>
      <w:r>
        <w:rPr>
          <w:rFonts w:hint="eastAsia" w:ascii="宋体" w:hAnsi="宋体" w:cs="宋体"/>
          <w:b/>
          <w:szCs w:val="21"/>
        </w:rPr>
        <w:t>填写说明：项目实施时间以合同签订时间为准，本表需附业绩证明材料：合同扫描件（原件扫描）及资信、商务和技术评分标准要求的其他证明材料（如有）。</w:t>
      </w:r>
    </w:p>
    <w:p>
      <w:pPr>
        <w:pStyle w:val="29"/>
        <w:rPr>
          <w:rFonts w:hAnsi="宋体" w:cs="宋体"/>
          <w:szCs w:val="21"/>
        </w:rPr>
      </w:pPr>
    </w:p>
    <w:p>
      <w:pPr>
        <w:pStyle w:val="29"/>
        <w:rPr>
          <w:rFonts w:hAnsi="宋体" w:cs="宋体"/>
          <w:szCs w:val="21"/>
        </w:rPr>
      </w:pPr>
    </w:p>
    <w:p>
      <w:pPr>
        <w:pStyle w:val="29"/>
        <w:rPr>
          <w:rFonts w:hAnsi="宋体" w:cs="宋体"/>
          <w:szCs w:val="21"/>
        </w:rPr>
      </w:pPr>
    </w:p>
    <w:p>
      <w:pPr>
        <w:pStyle w:val="29"/>
        <w:rPr>
          <w:rFonts w:hAnsi="宋体" w:cs="宋体"/>
          <w:szCs w:val="21"/>
          <w:u w:val="single"/>
        </w:rPr>
      </w:pPr>
      <w:r>
        <w:rPr>
          <w:rFonts w:hint="eastAsia" w:hAnsi="宋体" w:cs="宋体"/>
          <w:szCs w:val="21"/>
        </w:rPr>
        <w:t>投标人名称（盖章） ：</w:t>
      </w:r>
      <w:r>
        <w:rPr>
          <w:rFonts w:hint="eastAsia" w:hAnsi="宋体" w:cs="宋体"/>
          <w:szCs w:val="21"/>
          <w:u w:val="single"/>
        </w:rPr>
        <w:t xml:space="preserve">                  </w:t>
      </w:r>
    </w:p>
    <w:p>
      <w:pPr>
        <w:pStyle w:val="29"/>
        <w:rPr>
          <w:rFonts w:hAnsi="宋体" w:cs="宋体"/>
          <w:szCs w:val="21"/>
          <w:u w:val="single"/>
        </w:rPr>
      </w:pPr>
    </w:p>
    <w:p>
      <w:pPr>
        <w:snapToGrid w:val="0"/>
        <w:spacing w:before="156" w:beforeLines="50" w:after="50" w:line="360" w:lineRule="auto"/>
        <w:rPr>
          <w:rFonts w:ascii="宋体" w:hAnsi="宋体" w:cs="宋体"/>
          <w:b/>
          <w:sz w:val="24"/>
        </w:rPr>
      </w:pPr>
      <w:r>
        <w:rPr>
          <w:rFonts w:hint="eastAsia" w:ascii="宋体" w:hAnsi="宋体" w:cs="宋体"/>
          <w:szCs w:val="21"/>
        </w:rPr>
        <w:t>日期：   年   月   日</w:t>
      </w:r>
    </w:p>
    <w:p>
      <w:pPr>
        <w:rPr>
          <w:rFonts w:ascii="宋体" w:hAnsi="宋体" w:cs="宋体"/>
          <w:b/>
          <w:bCs/>
          <w:sz w:val="28"/>
          <w:szCs w:val="28"/>
        </w:rPr>
      </w:pPr>
      <w:r>
        <w:rPr>
          <w:rFonts w:hint="eastAsia" w:ascii="宋体" w:hAnsi="宋体" w:cs="宋体"/>
          <w:b/>
          <w:bCs/>
          <w:sz w:val="28"/>
          <w:szCs w:val="28"/>
        </w:rPr>
        <w:br w:type="page"/>
      </w:r>
    </w:p>
    <w:p>
      <w:pPr>
        <w:spacing w:line="360" w:lineRule="auto"/>
        <w:jc w:val="left"/>
        <w:rPr>
          <w:rFonts w:hint="eastAsia" w:ascii="宋体" w:hAnsi="宋体" w:eastAsia="宋体" w:cs="宋体"/>
          <w:b/>
          <w:szCs w:val="21"/>
          <w:lang w:eastAsia="zh-CN"/>
        </w:rPr>
      </w:pPr>
      <w:bookmarkStart w:id="80" w:name="附件10"/>
      <w:r>
        <w:rPr>
          <w:rFonts w:hint="eastAsia" w:ascii="宋体" w:hAnsi="宋体" w:cs="宋体"/>
          <w:b/>
          <w:szCs w:val="21"/>
        </w:rPr>
        <w:t>附件</w:t>
      </w:r>
      <w:r>
        <w:rPr>
          <w:rFonts w:hint="eastAsia" w:ascii="宋体" w:hAnsi="宋体" w:cs="宋体"/>
          <w:b/>
          <w:szCs w:val="21"/>
          <w:lang w:val="en-US" w:eastAsia="zh-CN"/>
        </w:rPr>
        <w:t>8</w:t>
      </w:r>
    </w:p>
    <w:bookmarkEnd w:id="80"/>
    <w:p>
      <w:pPr>
        <w:snapToGrid w:val="0"/>
        <w:spacing w:line="360" w:lineRule="auto"/>
        <w:jc w:val="center"/>
        <w:rPr>
          <w:rFonts w:ascii="宋体" w:hAnsi="宋体" w:cs="宋体"/>
          <w:b/>
          <w:bCs/>
          <w:sz w:val="28"/>
          <w:szCs w:val="28"/>
        </w:rPr>
      </w:pPr>
      <w:r>
        <w:rPr>
          <w:rFonts w:hint="eastAsia" w:ascii="宋体" w:hAnsi="宋体" w:cs="宋体"/>
          <w:b/>
          <w:bCs/>
          <w:sz w:val="28"/>
          <w:szCs w:val="28"/>
        </w:rPr>
        <w:t>投标产品一览表</w:t>
      </w:r>
    </w:p>
    <w:p>
      <w:pPr>
        <w:spacing w:line="360" w:lineRule="auto"/>
        <w:ind w:firstLine="525" w:firstLineChars="250"/>
        <w:jc w:val="left"/>
        <w:rPr>
          <w:rFonts w:ascii="宋体" w:hAnsi="宋体" w:cs="宋体"/>
          <w:b/>
          <w:bCs/>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p>
    <w:tbl>
      <w:tblPr>
        <w:tblStyle w:val="50"/>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747"/>
        <w:gridCol w:w="1228"/>
        <w:gridCol w:w="1246"/>
        <w:gridCol w:w="3390"/>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7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747" w:type="dxa"/>
            <w:vAlign w:val="center"/>
          </w:tcPr>
          <w:p>
            <w:pPr>
              <w:spacing w:line="360" w:lineRule="auto"/>
              <w:jc w:val="center"/>
              <w:rPr>
                <w:rFonts w:ascii="宋体" w:hAnsi="宋体" w:cs="宋体"/>
                <w:szCs w:val="21"/>
              </w:rPr>
            </w:pPr>
            <w:r>
              <w:rPr>
                <w:rFonts w:hint="eastAsia" w:ascii="宋体" w:hAnsi="宋体" w:cs="宋体"/>
                <w:szCs w:val="21"/>
              </w:rPr>
              <w:t>名称</w:t>
            </w:r>
          </w:p>
        </w:tc>
        <w:tc>
          <w:tcPr>
            <w:tcW w:w="1228" w:type="dxa"/>
            <w:vAlign w:val="center"/>
          </w:tcPr>
          <w:p>
            <w:pPr>
              <w:spacing w:line="360" w:lineRule="auto"/>
              <w:jc w:val="center"/>
              <w:rPr>
                <w:rFonts w:ascii="宋体" w:hAnsi="宋体" w:cs="宋体"/>
                <w:szCs w:val="21"/>
              </w:rPr>
            </w:pPr>
            <w:r>
              <w:rPr>
                <w:rFonts w:hint="eastAsia" w:ascii="宋体" w:hAnsi="宋体" w:cs="宋体"/>
                <w:szCs w:val="21"/>
              </w:rPr>
              <w:t>品牌/规格型号（如有）</w:t>
            </w:r>
          </w:p>
        </w:tc>
        <w:tc>
          <w:tcPr>
            <w:tcW w:w="1246" w:type="dxa"/>
            <w:vAlign w:val="center"/>
          </w:tcPr>
          <w:p>
            <w:pPr>
              <w:spacing w:line="360" w:lineRule="auto"/>
              <w:jc w:val="center"/>
              <w:rPr>
                <w:rFonts w:ascii="宋体" w:hAnsi="宋体" w:cs="宋体"/>
                <w:szCs w:val="21"/>
              </w:rPr>
            </w:pPr>
            <w:r>
              <w:rPr>
                <w:rFonts w:hint="eastAsia" w:ascii="宋体" w:hAnsi="宋体" w:cs="宋体"/>
                <w:szCs w:val="21"/>
              </w:rPr>
              <w:t>数量/单位</w:t>
            </w:r>
          </w:p>
        </w:tc>
        <w:tc>
          <w:tcPr>
            <w:tcW w:w="3390" w:type="dxa"/>
            <w:vAlign w:val="center"/>
          </w:tcPr>
          <w:p>
            <w:pPr>
              <w:spacing w:line="360" w:lineRule="auto"/>
              <w:jc w:val="center"/>
              <w:rPr>
                <w:rFonts w:ascii="宋体" w:hAnsi="宋体" w:cs="宋体"/>
                <w:szCs w:val="21"/>
              </w:rPr>
            </w:pPr>
            <w:r>
              <w:rPr>
                <w:rFonts w:hint="eastAsia" w:ascii="宋体" w:hAnsi="宋体" w:cs="宋体"/>
                <w:szCs w:val="21"/>
              </w:rPr>
              <w:t>详细技术参数</w:t>
            </w:r>
          </w:p>
        </w:tc>
        <w:tc>
          <w:tcPr>
            <w:tcW w:w="751"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747" w:type="dxa"/>
            <w:vAlign w:val="center"/>
          </w:tcPr>
          <w:p>
            <w:pPr>
              <w:spacing w:line="360" w:lineRule="auto"/>
              <w:jc w:val="center"/>
              <w:rPr>
                <w:rFonts w:ascii="宋体" w:hAnsi="宋体" w:cs="宋体"/>
                <w:szCs w:val="21"/>
              </w:rPr>
            </w:pPr>
          </w:p>
        </w:tc>
        <w:tc>
          <w:tcPr>
            <w:tcW w:w="1228" w:type="dxa"/>
            <w:vAlign w:val="center"/>
          </w:tcPr>
          <w:p>
            <w:pPr>
              <w:spacing w:line="360" w:lineRule="auto"/>
              <w:jc w:val="center"/>
              <w:rPr>
                <w:rFonts w:ascii="宋体" w:hAnsi="宋体" w:cs="宋体"/>
                <w:szCs w:val="21"/>
              </w:rPr>
            </w:pPr>
          </w:p>
        </w:tc>
        <w:tc>
          <w:tcPr>
            <w:tcW w:w="1246" w:type="dxa"/>
            <w:vAlign w:val="center"/>
          </w:tcPr>
          <w:p>
            <w:pPr>
              <w:spacing w:line="360" w:lineRule="auto"/>
              <w:jc w:val="center"/>
              <w:rPr>
                <w:rFonts w:ascii="宋体" w:hAnsi="宋体" w:cs="宋体"/>
                <w:szCs w:val="21"/>
              </w:rPr>
            </w:pPr>
          </w:p>
        </w:tc>
        <w:tc>
          <w:tcPr>
            <w:tcW w:w="3390" w:type="dxa"/>
            <w:vAlign w:val="center"/>
          </w:tcPr>
          <w:p>
            <w:pPr>
              <w:spacing w:line="360" w:lineRule="auto"/>
              <w:jc w:val="center"/>
              <w:rPr>
                <w:rFonts w:ascii="宋体" w:hAnsi="宋体" w:cs="宋体"/>
                <w:szCs w:val="21"/>
              </w:rPr>
            </w:pPr>
          </w:p>
        </w:tc>
        <w:tc>
          <w:tcPr>
            <w:tcW w:w="75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747" w:type="dxa"/>
            <w:vAlign w:val="center"/>
          </w:tcPr>
          <w:p>
            <w:pPr>
              <w:spacing w:line="360" w:lineRule="auto"/>
              <w:jc w:val="center"/>
              <w:rPr>
                <w:rFonts w:ascii="宋体" w:hAnsi="宋体" w:cs="宋体"/>
                <w:szCs w:val="21"/>
              </w:rPr>
            </w:pPr>
          </w:p>
        </w:tc>
        <w:tc>
          <w:tcPr>
            <w:tcW w:w="1228" w:type="dxa"/>
            <w:vAlign w:val="center"/>
          </w:tcPr>
          <w:p>
            <w:pPr>
              <w:spacing w:line="360" w:lineRule="auto"/>
              <w:jc w:val="center"/>
              <w:rPr>
                <w:rFonts w:ascii="宋体" w:hAnsi="宋体" w:cs="宋体"/>
                <w:szCs w:val="21"/>
              </w:rPr>
            </w:pPr>
          </w:p>
        </w:tc>
        <w:tc>
          <w:tcPr>
            <w:tcW w:w="1246" w:type="dxa"/>
            <w:vAlign w:val="center"/>
          </w:tcPr>
          <w:p>
            <w:pPr>
              <w:spacing w:line="360" w:lineRule="auto"/>
              <w:jc w:val="center"/>
              <w:rPr>
                <w:rFonts w:ascii="宋体" w:hAnsi="宋体" w:cs="宋体"/>
                <w:szCs w:val="21"/>
              </w:rPr>
            </w:pPr>
          </w:p>
        </w:tc>
        <w:tc>
          <w:tcPr>
            <w:tcW w:w="3390" w:type="dxa"/>
            <w:vAlign w:val="center"/>
          </w:tcPr>
          <w:p>
            <w:pPr>
              <w:spacing w:line="360" w:lineRule="auto"/>
              <w:jc w:val="center"/>
              <w:rPr>
                <w:rFonts w:ascii="宋体" w:hAnsi="宋体" w:cs="宋体"/>
                <w:szCs w:val="21"/>
              </w:rPr>
            </w:pPr>
          </w:p>
        </w:tc>
        <w:tc>
          <w:tcPr>
            <w:tcW w:w="75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747" w:type="dxa"/>
            <w:vAlign w:val="center"/>
          </w:tcPr>
          <w:p>
            <w:pPr>
              <w:spacing w:line="360" w:lineRule="auto"/>
              <w:jc w:val="center"/>
              <w:rPr>
                <w:rFonts w:ascii="宋体" w:hAnsi="宋体" w:cs="宋体"/>
                <w:szCs w:val="21"/>
              </w:rPr>
            </w:pPr>
          </w:p>
        </w:tc>
        <w:tc>
          <w:tcPr>
            <w:tcW w:w="1228" w:type="dxa"/>
            <w:vAlign w:val="center"/>
          </w:tcPr>
          <w:p>
            <w:pPr>
              <w:spacing w:line="360" w:lineRule="auto"/>
              <w:jc w:val="center"/>
              <w:rPr>
                <w:rFonts w:ascii="宋体" w:hAnsi="宋体" w:cs="宋体"/>
                <w:szCs w:val="21"/>
              </w:rPr>
            </w:pPr>
          </w:p>
        </w:tc>
        <w:tc>
          <w:tcPr>
            <w:tcW w:w="1246" w:type="dxa"/>
            <w:vAlign w:val="center"/>
          </w:tcPr>
          <w:p>
            <w:pPr>
              <w:spacing w:line="360" w:lineRule="auto"/>
              <w:jc w:val="center"/>
              <w:rPr>
                <w:rFonts w:ascii="宋体" w:hAnsi="宋体" w:cs="宋体"/>
                <w:szCs w:val="21"/>
              </w:rPr>
            </w:pPr>
          </w:p>
        </w:tc>
        <w:tc>
          <w:tcPr>
            <w:tcW w:w="3390" w:type="dxa"/>
            <w:vAlign w:val="center"/>
          </w:tcPr>
          <w:p>
            <w:pPr>
              <w:spacing w:line="360" w:lineRule="auto"/>
              <w:jc w:val="center"/>
              <w:rPr>
                <w:rFonts w:ascii="宋体" w:hAnsi="宋体" w:cs="宋体"/>
                <w:szCs w:val="21"/>
              </w:rPr>
            </w:pPr>
          </w:p>
        </w:tc>
        <w:tc>
          <w:tcPr>
            <w:tcW w:w="75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747" w:type="dxa"/>
            <w:vAlign w:val="center"/>
          </w:tcPr>
          <w:p>
            <w:pPr>
              <w:spacing w:line="360" w:lineRule="auto"/>
              <w:jc w:val="center"/>
              <w:rPr>
                <w:rFonts w:ascii="宋体" w:hAnsi="宋体" w:cs="宋体"/>
                <w:szCs w:val="21"/>
              </w:rPr>
            </w:pPr>
          </w:p>
        </w:tc>
        <w:tc>
          <w:tcPr>
            <w:tcW w:w="1228" w:type="dxa"/>
            <w:vAlign w:val="center"/>
          </w:tcPr>
          <w:p>
            <w:pPr>
              <w:spacing w:line="360" w:lineRule="auto"/>
              <w:jc w:val="center"/>
              <w:rPr>
                <w:rFonts w:ascii="宋体" w:hAnsi="宋体" w:cs="宋体"/>
                <w:szCs w:val="21"/>
              </w:rPr>
            </w:pPr>
          </w:p>
        </w:tc>
        <w:tc>
          <w:tcPr>
            <w:tcW w:w="1246" w:type="dxa"/>
            <w:vAlign w:val="center"/>
          </w:tcPr>
          <w:p>
            <w:pPr>
              <w:spacing w:line="360" w:lineRule="auto"/>
              <w:jc w:val="center"/>
              <w:rPr>
                <w:rFonts w:ascii="宋体" w:hAnsi="宋体" w:cs="宋体"/>
                <w:szCs w:val="21"/>
              </w:rPr>
            </w:pPr>
          </w:p>
        </w:tc>
        <w:tc>
          <w:tcPr>
            <w:tcW w:w="3390" w:type="dxa"/>
            <w:vAlign w:val="center"/>
          </w:tcPr>
          <w:p>
            <w:pPr>
              <w:spacing w:line="360" w:lineRule="auto"/>
              <w:jc w:val="center"/>
              <w:rPr>
                <w:rFonts w:ascii="宋体" w:hAnsi="宋体" w:cs="宋体"/>
                <w:szCs w:val="21"/>
              </w:rPr>
            </w:pPr>
          </w:p>
        </w:tc>
        <w:tc>
          <w:tcPr>
            <w:tcW w:w="75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pPr>
              <w:spacing w:line="360" w:lineRule="auto"/>
              <w:jc w:val="center"/>
              <w:rPr>
                <w:rFonts w:ascii="宋体" w:hAnsi="宋体" w:cs="宋体"/>
                <w:szCs w:val="21"/>
              </w:rPr>
            </w:pPr>
            <w:r>
              <w:rPr>
                <w:rFonts w:hint="eastAsia" w:ascii="宋体" w:hAnsi="宋体" w:cs="宋体"/>
                <w:szCs w:val="21"/>
              </w:rPr>
              <w:t>5</w:t>
            </w:r>
          </w:p>
        </w:tc>
        <w:tc>
          <w:tcPr>
            <w:tcW w:w="1747" w:type="dxa"/>
            <w:vAlign w:val="center"/>
          </w:tcPr>
          <w:p>
            <w:pPr>
              <w:spacing w:line="360" w:lineRule="auto"/>
              <w:jc w:val="center"/>
              <w:rPr>
                <w:rFonts w:ascii="宋体" w:hAnsi="宋体" w:cs="宋体"/>
                <w:szCs w:val="21"/>
              </w:rPr>
            </w:pPr>
          </w:p>
        </w:tc>
        <w:tc>
          <w:tcPr>
            <w:tcW w:w="1228" w:type="dxa"/>
            <w:vAlign w:val="center"/>
          </w:tcPr>
          <w:p>
            <w:pPr>
              <w:spacing w:line="360" w:lineRule="auto"/>
              <w:jc w:val="center"/>
              <w:rPr>
                <w:rFonts w:ascii="宋体" w:hAnsi="宋体" w:cs="宋体"/>
                <w:szCs w:val="21"/>
              </w:rPr>
            </w:pPr>
          </w:p>
        </w:tc>
        <w:tc>
          <w:tcPr>
            <w:tcW w:w="1246" w:type="dxa"/>
            <w:vAlign w:val="center"/>
          </w:tcPr>
          <w:p>
            <w:pPr>
              <w:spacing w:line="360" w:lineRule="auto"/>
              <w:jc w:val="center"/>
              <w:rPr>
                <w:rFonts w:ascii="宋体" w:hAnsi="宋体" w:cs="宋体"/>
                <w:szCs w:val="21"/>
              </w:rPr>
            </w:pPr>
          </w:p>
        </w:tc>
        <w:tc>
          <w:tcPr>
            <w:tcW w:w="3390" w:type="dxa"/>
            <w:vAlign w:val="center"/>
          </w:tcPr>
          <w:p>
            <w:pPr>
              <w:spacing w:line="360" w:lineRule="auto"/>
              <w:jc w:val="center"/>
              <w:rPr>
                <w:rFonts w:ascii="宋体" w:hAnsi="宋体" w:cs="宋体"/>
                <w:szCs w:val="21"/>
              </w:rPr>
            </w:pPr>
          </w:p>
        </w:tc>
        <w:tc>
          <w:tcPr>
            <w:tcW w:w="75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pPr>
              <w:spacing w:line="360" w:lineRule="auto"/>
              <w:jc w:val="center"/>
              <w:rPr>
                <w:rFonts w:ascii="宋体" w:hAnsi="宋体" w:cs="宋体"/>
                <w:szCs w:val="21"/>
              </w:rPr>
            </w:pPr>
            <w:r>
              <w:rPr>
                <w:rFonts w:hint="eastAsia" w:ascii="宋体" w:hAnsi="宋体" w:cs="宋体"/>
                <w:szCs w:val="21"/>
              </w:rPr>
              <w:t>6</w:t>
            </w:r>
          </w:p>
        </w:tc>
        <w:tc>
          <w:tcPr>
            <w:tcW w:w="1747" w:type="dxa"/>
            <w:vAlign w:val="center"/>
          </w:tcPr>
          <w:p>
            <w:pPr>
              <w:spacing w:line="360" w:lineRule="auto"/>
              <w:jc w:val="center"/>
              <w:rPr>
                <w:rFonts w:ascii="宋体" w:hAnsi="宋体" w:cs="宋体"/>
                <w:szCs w:val="21"/>
              </w:rPr>
            </w:pPr>
          </w:p>
        </w:tc>
        <w:tc>
          <w:tcPr>
            <w:tcW w:w="1228" w:type="dxa"/>
            <w:vAlign w:val="center"/>
          </w:tcPr>
          <w:p>
            <w:pPr>
              <w:spacing w:line="360" w:lineRule="auto"/>
              <w:jc w:val="center"/>
              <w:rPr>
                <w:rFonts w:ascii="宋体" w:hAnsi="宋体" w:cs="宋体"/>
                <w:szCs w:val="21"/>
              </w:rPr>
            </w:pPr>
          </w:p>
        </w:tc>
        <w:tc>
          <w:tcPr>
            <w:tcW w:w="1246" w:type="dxa"/>
            <w:vAlign w:val="center"/>
          </w:tcPr>
          <w:p>
            <w:pPr>
              <w:spacing w:line="360" w:lineRule="auto"/>
              <w:jc w:val="center"/>
              <w:rPr>
                <w:rFonts w:ascii="宋体" w:hAnsi="宋体" w:cs="宋体"/>
                <w:szCs w:val="21"/>
              </w:rPr>
            </w:pPr>
          </w:p>
        </w:tc>
        <w:tc>
          <w:tcPr>
            <w:tcW w:w="3390" w:type="dxa"/>
            <w:vAlign w:val="center"/>
          </w:tcPr>
          <w:p>
            <w:pPr>
              <w:spacing w:line="360" w:lineRule="auto"/>
              <w:jc w:val="center"/>
              <w:rPr>
                <w:rFonts w:ascii="宋体" w:hAnsi="宋体" w:cs="宋体"/>
                <w:szCs w:val="21"/>
              </w:rPr>
            </w:pPr>
          </w:p>
        </w:tc>
        <w:tc>
          <w:tcPr>
            <w:tcW w:w="75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pPr>
              <w:spacing w:line="360" w:lineRule="auto"/>
              <w:jc w:val="center"/>
              <w:rPr>
                <w:rFonts w:ascii="宋体" w:hAnsi="宋体" w:cs="宋体"/>
                <w:szCs w:val="21"/>
              </w:rPr>
            </w:pPr>
            <w:r>
              <w:rPr>
                <w:rFonts w:hint="eastAsia" w:ascii="宋体" w:hAnsi="宋体" w:cs="宋体"/>
                <w:szCs w:val="21"/>
              </w:rPr>
              <w:t>7</w:t>
            </w:r>
          </w:p>
        </w:tc>
        <w:tc>
          <w:tcPr>
            <w:tcW w:w="1747" w:type="dxa"/>
            <w:vAlign w:val="center"/>
          </w:tcPr>
          <w:p>
            <w:pPr>
              <w:spacing w:line="360" w:lineRule="auto"/>
              <w:jc w:val="center"/>
              <w:rPr>
                <w:rFonts w:ascii="宋体" w:hAnsi="宋体" w:cs="宋体"/>
                <w:szCs w:val="21"/>
              </w:rPr>
            </w:pPr>
          </w:p>
        </w:tc>
        <w:tc>
          <w:tcPr>
            <w:tcW w:w="1228" w:type="dxa"/>
            <w:vAlign w:val="center"/>
          </w:tcPr>
          <w:p>
            <w:pPr>
              <w:spacing w:line="360" w:lineRule="auto"/>
              <w:jc w:val="center"/>
              <w:rPr>
                <w:rFonts w:ascii="宋体" w:hAnsi="宋体" w:cs="宋体"/>
                <w:szCs w:val="21"/>
              </w:rPr>
            </w:pPr>
          </w:p>
        </w:tc>
        <w:tc>
          <w:tcPr>
            <w:tcW w:w="1246" w:type="dxa"/>
            <w:vAlign w:val="center"/>
          </w:tcPr>
          <w:p>
            <w:pPr>
              <w:spacing w:line="360" w:lineRule="auto"/>
              <w:jc w:val="center"/>
              <w:rPr>
                <w:rFonts w:ascii="宋体" w:hAnsi="宋体" w:cs="宋体"/>
                <w:szCs w:val="21"/>
              </w:rPr>
            </w:pPr>
          </w:p>
        </w:tc>
        <w:tc>
          <w:tcPr>
            <w:tcW w:w="3390" w:type="dxa"/>
            <w:vAlign w:val="center"/>
          </w:tcPr>
          <w:p>
            <w:pPr>
              <w:spacing w:line="360" w:lineRule="auto"/>
              <w:jc w:val="center"/>
              <w:rPr>
                <w:rFonts w:ascii="宋体" w:hAnsi="宋体" w:cs="宋体"/>
                <w:szCs w:val="21"/>
              </w:rPr>
            </w:pPr>
          </w:p>
        </w:tc>
        <w:tc>
          <w:tcPr>
            <w:tcW w:w="75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pPr>
              <w:spacing w:line="360" w:lineRule="auto"/>
              <w:jc w:val="center"/>
              <w:rPr>
                <w:rFonts w:ascii="宋体" w:hAnsi="宋体" w:cs="宋体"/>
                <w:szCs w:val="21"/>
              </w:rPr>
            </w:pPr>
            <w:r>
              <w:rPr>
                <w:rFonts w:hint="eastAsia" w:ascii="宋体" w:hAnsi="宋体" w:cs="宋体"/>
                <w:szCs w:val="21"/>
              </w:rPr>
              <w:t>8</w:t>
            </w:r>
          </w:p>
        </w:tc>
        <w:tc>
          <w:tcPr>
            <w:tcW w:w="1747" w:type="dxa"/>
            <w:vAlign w:val="center"/>
          </w:tcPr>
          <w:p>
            <w:pPr>
              <w:spacing w:line="360" w:lineRule="auto"/>
              <w:jc w:val="center"/>
              <w:rPr>
                <w:rFonts w:ascii="宋体" w:hAnsi="宋体" w:cs="宋体"/>
                <w:szCs w:val="21"/>
              </w:rPr>
            </w:pPr>
          </w:p>
        </w:tc>
        <w:tc>
          <w:tcPr>
            <w:tcW w:w="1228" w:type="dxa"/>
            <w:vAlign w:val="center"/>
          </w:tcPr>
          <w:p>
            <w:pPr>
              <w:spacing w:line="360" w:lineRule="auto"/>
              <w:jc w:val="center"/>
              <w:rPr>
                <w:rFonts w:ascii="宋体" w:hAnsi="宋体" w:cs="宋体"/>
                <w:szCs w:val="21"/>
              </w:rPr>
            </w:pPr>
          </w:p>
        </w:tc>
        <w:tc>
          <w:tcPr>
            <w:tcW w:w="1246" w:type="dxa"/>
            <w:vAlign w:val="center"/>
          </w:tcPr>
          <w:p>
            <w:pPr>
              <w:spacing w:line="360" w:lineRule="auto"/>
              <w:jc w:val="center"/>
              <w:rPr>
                <w:rFonts w:ascii="宋体" w:hAnsi="宋体" w:cs="宋体"/>
                <w:szCs w:val="21"/>
              </w:rPr>
            </w:pPr>
          </w:p>
        </w:tc>
        <w:tc>
          <w:tcPr>
            <w:tcW w:w="3390" w:type="dxa"/>
            <w:vAlign w:val="center"/>
          </w:tcPr>
          <w:p>
            <w:pPr>
              <w:spacing w:line="360" w:lineRule="auto"/>
              <w:jc w:val="center"/>
              <w:rPr>
                <w:rFonts w:ascii="宋体" w:hAnsi="宋体" w:cs="宋体"/>
                <w:szCs w:val="21"/>
              </w:rPr>
            </w:pPr>
          </w:p>
        </w:tc>
        <w:tc>
          <w:tcPr>
            <w:tcW w:w="75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pPr>
              <w:spacing w:line="360" w:lineRule="auto"/>
              <w:jc w:val="center"/>
              <w:rPr>
                <w:rFonts w:ascii="宋体" w:hAnsi="宋体" w:cs="宋体"/>
                <w:szCs w:val="21"/>
              </w:rPr>
            </w:pPr>
            <w:r>
              <w:rPr>
                <w:rFonts w:hint="eastAsia" w:ascii="宋体" w:hAnsi="宋体" w:cs="宋体"/>
                <w:szCs w:val="21"/>
              </w:rPr>
              <w:t>…</w:t>
            </w:r>
          </w:p>
        </w:tc>
        <w:tc>
          <w:tcPr>
            <w:tcW w:w="1747" w:type="dxa"/>
            <w:vAlign w:val="center"/>
          </w:tcPr>
          <w:p>
            <w:pPr>
              <w:spacing w:line="360" w:lineRule="auto"/>
              <w:jc w:val="center"/>
              <w:rPr>
                <w:rFonts w:ascii="宋体" w:hAnsi="宋体" w:cs="宋体"/>
                <w:szCs w:val="21"/>
              </w:rPr>
            </w:pPr>
          </w:p>
        </w:tc>
        <w:tc>
          <w:tcPr>
            <w:tcW w:w="1228" w:type="dxa"/>
            <w:vAlign w:val="center"/>
          </w:tcPr>
          <w:p>
            <w:pPr>
              <w:spacing w:line="360" w:lineRule="auto"/>
              <w:jc w:val="center"/>
              <w:rPr>
                <w:rFonts w:ascii="宋体" w:hAnsi="宋体" w:cs="宋体"/>
                <w:szCs w:val="21"/>
              </w:rPr>
            </w:pPr>
          </w:p>
        </w:tc>
        <w:tc>
          <w:tcPr>
            <w:tcW w:w="1246" w:type="dxa"/>
            <w:vAlign w:val="center"/>
          </w:tcPr>
          <w:p>
            <w:pPr>
              <w:spacing w:line="360" w:lineRule="auto"/>
              <w:jc w:val="center"/>
              <w:rPr>
                <w:rFonts w:ascii="宋体" w:hAnsi="宋体" w:cs="宋体"/>
                <w:szCs w:val="21"/>
              </w:rPr>
            </w:pPr>
          </w:p>
        </w:tc>
        <w:tc>
          <w:tcPr>
            <w:tcW w:w="3390" w:type="dxa"/>
            <w:vAlign w:val="center"/>
          </w:tcPr>
          <w:p>
            <w:pPr>
              <w:spacing w:line="360" w:lineRule="auto"/>
              <w:jc w:val="center"/>
              <w:rPr>
                <w:rFonts w:ascii="宋体" w:hAnsi="宋体" w:cs="宋体"/>
                <w:szCs w:val="21"/>
              </w:rPr>
            </w:pPr>
          </w:p>
        </w:tc>
        <w:tc>
          <w:tcPr>
            <w:tcW w:w="751" w:type="dxa"/>
            <w:vAlign w:val="center"/>
          </w:tcPr>
          <w:p>
            <w:pPr>
              <w:spacing w:line="360" w:lineRule="auto"/>
              <w:jc w:val="center"/>
              <w:rPr>
                <w:rFonts w:ascii="宋体" w:hAnsi="宋体" w:cs="宋体"/>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注：需明确标明投标产品的名称、品牌/规格型号（如有）、数量/单位以及详细技术参数。</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u w:val="single"/>
        </w:rPr>
      </w:pPr>
      <w:r>
        <w:rPr>
          <w:rFonts w:hint="eastAsia" w:ascii="宋体" w:hAnsi="宋体" w:cs="宋体"/>
          <w:szCs w:val="21"/>
        </w:rPr>
        <w:t>投标人名称（盖章）：</w:t>
      </w:r>
      <w:r>
        <w:rPr>
          <w:rFonts w:hint="eastAsia" w:ascii="宋体" w:hAnsi="宋体" w:cs="宋体"/>
          <w:szCs w:val="21"/>
          <w:u w:val="single"/>
        </w:rPr>
        <w:t xml:space="preserve">                     </w:t>
      </w:r>
    </w:p>
    <w:p>
      <w:pPr>
        <w:spacing w:line="360" w:lineRule="auto"/>
        <w:jc w:val="left"/>
        <w:rPr>
          <w:rFonts w:ascii="宋体" w:hAnsi="宋体" w:cs="宋体"/>
          <w:szCs w:val="21"/>
        </w:rPr>
      </w:pPr>
      <w:r>
        <w:rPr>
          <w:rFonts w:hint="eastAsia" w:ascii="宋体" w:hAnsi="宋体" w:cs="宋体"/>
          <w:szCs w:val="21"/>
        </w:rPr>
        <w:t>日期：  年  月  日</w:t>
      </w:r>
    </w:p>
    <w:p>
      <w:pPr>
        <w:spacing w:line="360" w:lineRule="auto"/>
        <w:ind w:firstLine="420" w:firstLineChars="200"/>
        <w:rPr>
          <w:rFonts w:ascii="宋体" w:hAnsi="宋体" w:cs="宋体"/>
          <w:szCs w:val="21"/>
        </w:rPr>
      </w:pPr>
    </w:p>
    <w:p>
      <w:pPr>
        <w:rPr>
          <w:rFonts w:ascii="宋体" w:hAnsi="宋体" w:cs="宋体"/>
          <w:b/>
          <w:szCs w:val="21"/>
        </w:rPr>
      </w:pPr>
      <w:r>
        <w:rPr>
          <w:rFonts w:hint="eastAsia" w:ascii="宋体" w:hAnsi="宋体" w:cs="宋体"/>
          <w:b/>
          <w:szCs w:val="21"/>
        </w:rPr>
        <w:br w:type="page"/>
      </w:r>
      <w:bookmarkStart w:id="81" w:name="附件11"/>
    </w:p>
    <w:p>
      <w:pPr>
        <w:rPr>
          <w:rFonts w:hint="eastAsia" w:ascii="宋体" w:hAnsi="宋体" w:eastAsia="宋体" w:cs="宋体"/>
          <w:b/>
          <w:szCs w:val="21"/>
          <w:lang w:eastAsia="zh-CN"/>
        </w:rPr>
      </w:pPr>
      <w:r>
        <w:rPr>
          <w:rFonts w:hint="eastAsia" w:ascii="宋体" w:hAnsi="宋体" w:cs="宋体"/>
          <w:b/>
          <w:szCs w:val="21"/>
        </w:rPr>
        <w:t>附件</w:t>
      </w:r>
      <w:r>
        <w:rPr>
          <w:rFonts w:hint="eastAsia" w:ascii="宋体" w:hAnsi="宋体" w:cs="宋体"/>
          <w:b/>
          <w:szCs w:val="21"/>
          <w:lang w:val="en-US" w:eastAsia="zh-CN"/>
        </w:rPr>
        <w:t>9</w:t>
      </w:r>
    </w:p>
    <w:p>
      <w:pPr>
        <w:pStyle w:val="2"/>
        <w:rPr>
          <w:rFonts w:ascii="宋体" w:hAnsi="宋体" w:cs="宋体"/>
          <w:b/>
          <w:szCs w:val="21"/>
        </w:rPr>
      </w:pPr>
    </w:p>
    <w:bookmarkEnd w:id="81"/>
    <w:p>
      <w:pPr>
        <w:spacing w:line="360" w:lineRule="auto"/>
        <w:jc w:val="left"/>
        <w:rPr>
          <w:rFonts w:ascii="宋体" w:hAnsi="宋体" w:cs="宋体"/>
          <w:b/>
          <w:szCs w:val="21"/>
        </w:rPr>
      </w:pPr>
    </w:p>
    <w:p>
      <w:pPr>
        <w:snapToGrid w:val="0"/>
        <w:spacing w:line="360" w:lineRule="auto"/>
        <w:jc w:val="center"/>
        <w:rPr>
          <w:rFonts w:ascii="宋体" w:hAnsi="宋体" w:cs="宋体"/>
          <w:b/>
          <w:bCs/>
          <w:sz w:val="28"/>
          <w:szCs w:val="28"/>
        </w:rPr>
      </w:pPr>
      <w:r>
        <w:rPr>
          <w:rFonts w:hint="eastAsia" w:ascii="宋体" w:hAnsi="宋体" w:cs="宋体"/>
          <w:b/>
          <w:bCs/>
          <w:sz w:val="28"/>
          <w:szCs w:val="28"/>
        </w:rPr>
        <w:t>技术规格偏离表</w:t>
      </w:r>
    </w:p>
    <w:p>
      <w:pPr>
        <w:spacing w:line="360" w:lineRule="auto"/>
        <w:rPr>
          <w:rFonts w:ascii="宋体" w:hAnsi="宋体" w:cs="宋体"/>
          <w:b/>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p>
    <w:tbl>
      <w:tblPr>
        <w:tblStyle w:val="50"/>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271"/>
        <w:gridCol w:w="3115"/>
        <w:gridCol w:w="273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hRule="atLeast"/>
          <w:jc w:val="center"/>
        </w:trPr>
        <w:tc>
          <w:tcPr>
            <w:tcW w:w="709"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271" w:type="dxa"/>
            <w:vAlign w:val="center"/>
          </w:tcPr>
          <w:p>
            <w:pPr>
              <w:spacing w:line="360" w:lineRule="auto"/>
              <w:jc w:val="center"/>
              <w:rPr>
                <w:rFonts w:ascii="宋体" w:hAnsi="宋体" w:cs="宋体"/>
                <w:szCs w:val="21"/>
              </w:rPr>
            </w:pPr>
            <w:r>
              <w:rPr>
                <w:rFonts w:hint="eastAsia" w:ascii="宋体" w:hAnsi="宋体" w:cs="宋体"/>
                <w:szCs w:val="21"/>
              </w:rPr>
              <w:t>项目</w:t>
            </w:r>
          </w:p>
        </w:tc>
        <w:tc>
          <w:tcPr>
            <w:tcW w:w="3115" w:type="dxa"/>
            <w:vAlign w:val="center"/>
          </w:tcPr>
          <w:p>
            <w:pPr>
              <w:spacing w:line="360" w:lineRule="auto"/>
              <w:jc w:val="center"/>
              <w:rPr>
                <w:rFonts w:ascii="宋体" w:hAnsi="宋体" w:cs="宋体"/>
                <w:szCs w:val="21"/>
              </w:rPr>
            </w:pPr>
            <w:r>
              <w:rPr>
                <w:rFonts w:hint="eastAsia" w:ascii="宋体" w:hAnsi="宋体" w:cs="宋体"/>
                <w:szCs w:val="21"/>
              </w:rPr>
              <w:t>采购文件技术指标要求</w:t>
            </w:r>
          </w:p>
        </w:tc>
        <w:tc>
          <w:tcPr>
            <w:tcW w:w="2730" w:type="dxa"/>
            <w:vAlign w:val="center"/>
          </w:tcPr>
          <w:p>
            <w:pPr>
              <w:spacing w:line="360" w:lineRule="auto"/>
              <w:jc w:val="center"/>
              <w:rPr>
                <w:rFonts w:ascii="宋体" w:hAnsi="宋体" w:cs="宋体"/>
                <w:szCs w:val="21"/>
              </w:rPr>
            </w:pPr>
            <w:r>
              <w:rPr>
                <w:rFonts w:hint="eastAsia" w:ascii="宋体" w:hAnsi="宋体" w:cs="宋体"/>
                <w:szCs w:val="21"/>
              </w:rPr>
              <w:t>投标文件响应内容</w:t>
            </w:r>
          </w:p>
        </w:tc>
        <w:tc>
          <w:tcPr>
            <w:tcW w:w="1035" w:type="dxa"/>
            <w:vAlign w:val="center"/>
          </w:tcPr>
          <w:p>
            <w:pPr>
              <w:spacing w:line="360" w:lineRule="auto"/>
              <w:jc w:val="center"/>
              <w:rPr>
                <w:rFonts w:ascii="宋体" w:hAnsi="宋体" w:cs="宋体"/>
                <w:szCs w:val="21"/>
              </w:rPr>
            </w:pPr>
            <w:r>
              <w:rPr>
                <w:rFonts w:hint="eastAsia" w:ascii="宋体" w:hAnsi="宋体" w:cs="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pPr>
              <w:spacing w:line="360" w:lineRule="auto"/>
              <w:jc w:val="center"/>
              <w:rPr>
                <w:rFonts w:ascii="宋体" w:hAnsi="宋体" w:cs="宋体"/>
                <w:szCs w:val="21"/>
              </w:rPr>
            </w:pPr>
          </w:p>
        </w:tc>
        <w:tc>
          <w:tcPr>
            <w:tcW w:w="1271" w:type="dxa"/>
          </w:tcPr>
          <w:p>
            <w:pPr>
              <w:spacing w:line="360" w:lineRule="auto"/>
              <w:jc w:val="center"/>
              <w:rPr>
                <w:rFonts w:ascii="宋体" w:hAnsi="宋体" w:cs="宋体"/>
                <w:szCs w:val="21"/>
              </w:rPr>
            </w:pPr>
          </w:p>
        </w:tc>
        <w:tc>
          <w:tcPr>
            <w:tcW w:w="3115" w:type="dxa"/>
          </w:tcPr>
          <w:p>
            <w:pPr>
              <w:spacing w:line="360" w:lineRule="auto"/>
              <w:jc w:val="center"/>
              <w:rPr>
                <w:rFonts w:ascii="宋体" w:hAnsi="宋体" w:cs="宋体"/>
                <w:szCs w:val="21"/>
              </w:rPr>
            </w:pPr>
          </w:p>
        </w:tc>
        <w:tc>
          <w:tcPr>
            <w:tcW w:w="2730" w:type="dxa"/>
          </w:tcPr>
          <w:p>
            <w:pPr>
              <w:spacing w:line="360" w:lineRule="auto"/>
              <w:jc w:val="center"/>
              <w:rPr>
                <w:rFonts w:ascii="宋体" w:hAnsi="宋体" w:cs="宋体"/>
                <w:szCs w:val="21"/>
              </w:rPr>
            </w:pPr>
          </w:p>
        </w:tc>
        <w:tc>
          <w:tcPr>
            <w:tcW w:w="1035"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pPr>
              <w:spacing w:line="360" w:lineRule="auto"/>
              <w:jc w:val="center"/>
              <w:rPr>
                <w:rFonts w:ascii="宋体" w:hAnsi="宋体" w:cs="宋体"/>
                <w:szCs w:val="21"/>
              </w:rPr>
            </w:pPr>
          </w:p>
        </w:tc>
        <w:tc>
          <w:tcPr>
            <w:tcW w:w="1271" w:type="dxa"/>
          </w:tcPr>
          <w:p>
            <w:pPr>
              <w:spacing w:line="360" w:lineRule="auto"/>
              <w:jc w:val="center"/>
              <w:rPr>
                <w:rFonts w:ascii="宋体" w:hAnsi="宋体" w:cs="宋体"/>
                <w:szCs w:val="21"/>
              </w:rPr>
            </w:pPr>
          </w:p>
        </w:tc>
        <w:tc>
          <w:tcPr>
            <w:tcW w:w="3115" w:type="dxa"/>
          </w:tcPr>
          <w:p>
            <w:pPr>
              <w:spacing w:line="360" w:lineRule="auto"/>
              <w:jc w:val="center"/>
              <w:rPr>
                <w:rFonts w:ascii="宋体" w:hAnsi="宋体" w:cs="宋体"/>
                <w:szCs w:val="21"/>
              </w:rPr>
            </w:pPr>
          </w:p>
        </w:tc>
        <w:tc>
          <w:tcPr>
            <w:tcW w:w="2730" w:type="dxa"/>
          </w:tcPr>
          <w:p>
            <w:pPr>
              <w:spacing w:line="360" w:lineRule="auto"/>
              <w:jc w:val="center"/>
              <w:rPr>
                <w:rFonts w:ascii="宋体" w:hAnsi="宋体" w:cs="宋体"/>
                <w:szCs w:val="21"/>
              </w:rPr>
            </w:pPr>
          </w:p>
        </w:tc>
        <w:tc>
          <w:tcPr>
            <w:tcW w:w="1035"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pPr>
              <w:spacing w:line="360" w:lineRule="auto"/>
              <w:jc w:val="center"/>
              <w:rPr>
                <w:rFonts w:ascii="宋体" w:hAnsi="宋体" w:cs="宋体"/>
                <w:szCs w:val="21"/>
              </w:rPr>
            </w:pPr>
          </w:p>
        </w:tc>
        <w:tc>
          <w:tcPr>
            <w:tcW w:w="1271" w:type="dxa"/>
          </w:tcPr>
          <w:p>
            <w:pPr>
              <w:spacing w:line="360" w:lineRule="auto"/>
              <w:jc w:val="center"/>
              <w:rPr>
                <w:rFonts w:ascii="宋体" w:hAnsi="宋体" w:cs="宋体"/>
                <w:szCs w:val="21"/>
              </w:rPr>
            </w:pPr>
          </w:p>
        </w:tc>
        <w:tc>
          <w:tcPr>
            <w:tcW w:w="3115" w:type="dxa"/>
          </w:tcPr>
          <w:p>
            <w:pPr>
              <w:spacing w:line="360" w:lineRule="auto"/>
              <w:jc w:val="center"/>
              <w:rPr>
                <w:rFonts w:ascii="宋体" w:hAnsi="宋体" w:cs="宋体"/>
                <w:szCs w:val="21"/>
              </w:rPr>
            </w:pPr>
          </w:p>
        </w:tc>
        <w:tc>
          <w:tcPr>
            <w:tcW w:w="2730" w:type="dxa"/>
          </w:tcPr>
          <w:p>
            <w:pPr>
              <w:spacing w:line="360" w:lineRule="auto"/>
              <w:jc w:val="center"/>
              <w:rPr>
                <w:rFonts w:ascii="宋体" w:hAnsi="宋体" w:cs="宋体"/>
                <w:szCs w:val="21"/>
              </w:rPr>
            </w:pPr>
          </w:p>
        </w:tc>
        <w:tc>
          <w:tcPr>
            <w:tcW w:w="1035"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709" w:type="dxa"/>
          </w:tcPr>
          <w:p>
            <w:pPr>
              <w:spacing w:line="360" w:lineRule="auto"/>
              <w:jc w:val="center"/>
              <w:rPr>
                <w:rFonts w:ascii="宋体" w:hAnsi="宋体" w:cs="宋体"/>
                <w:szCs w:val="21"/>
              </w:rPr>
            </w:pPr>
          </w:p>
        </w:tc>
        <w:tc>
          <w:tcPr>
            <w:tcW w:w="1271" w:type="dxa"/>
          </w:tcPr>
          <w:p>
            <w:pPr>
              <w:spacing w:line="360" w:lineRule="auto"/>
              <w:jc w:val="center"/>
              <w:rPr>
                <w:rFonts w:ascii="宋体" w:hAnsi="宋体" w:cs="宋体"/>
                <w:szCs w:val="21"/>
              </w:rPr>
            </w:pPr>
          </w:p>
        </w:tc>
        <w:tc>
          <w:tcPr>
            <w:tcW w:w="3115" w:type="dxa"/>
          </w:tcPr>
          <w:p>
            <w:pPr>
              <w:spacing w:line="360" w:lineRule="auto"/>
              <w:jc w:val="center"/>
              <w:rPr>
                <w:rFonts w:ascii="宋体" w:hAnsi="宋体" w:cs="宋体"/>
                <w:szCs w:val="21"/>
              </w:rPr>
            </w:pPr>
          </w:p>
        </w:tc>
        <w:tc>
          <w:tcPr>
            <w:tcW w:w="2730" w:type="dxa"/>
          </w:tcPr>
          <w:p>
            <w:pPr>
              <w:spacing w:line="360" w:lineRule="auto"/>
              <w:jc w:val="center"/>
              <w:rPr>
                <w:rFonts w:ascii="宋体" w:hAnsi="宋体" w:cs="宋体"/>
                <w:szCs w:val="21"/>
              </w:rPr>
            </w:pPr>
          </w:p>
        </w:tc>
        <w:tc>
          <w:tcPr>
            <w:tcW w:w="1035"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709" w:type="dxa"/>
          </w:tcPr>
          <w:p>
            <w:pPr>
              <w:spacing w:line="360" w:lineRule="auto"/>
              <w:jc w:val="center"/>
              <w:rPr>
                <w:rFonts w:ascii="宋体" w:hAnsi="宋体" w:cs="宋体"/>
                <w:szCs w:val="21"/>
              </w:rPr>
            </w:pPr>
          </w:p>
        </w:tc>
        <w:tc>
          <w:tcPr>
            <w:tcW w:w="1271" w:type="dxa"/>
          </w:tcPr>
          <w:p>
            <w:pPr>
              <w:spacing w:line="360" w:lineRule="auto"/>
              <w:jc w:val="center"/>
              <w:rPr>
                <w:rFonts w:ascii="宋体" w:hAnsi="宋体" w:cs="宋体"/>
                <w:szCs w:val="21"/>
              </w:rPr>
            </w:pPr>
          </w:p>
        </w:tc>
        <w:tc>
          <w:tcPr>
            <w:tcW w:w="3115" w:type="dxa"/>
          </w:tcPr>
          <w:p>
            <w:pPr>
              <w:spacing w:line="360" w:lineRule="auto"/>
              <w:jc w:val="center"/>
              <w:rPr>
                <w:rFonts w:ascii="宋体" w:hAnsi="宋体" w:cs="宋体"/>
                <w:szCs w:val="21"/>
              </w:rPr>
            </w:pPr>
          </w:p>
        </w:tc>
        <w:tc>
          <w:tcPr>
            <w:tcW w:w="2730" w:type="dxa"/>
          </w:tcPr>
          <w:p>
            <w:pPr>
              <w:spacing w:line="360" w:lineRule="auto"/>
              <w:jc w:val="center"/>
              <w:rPr>
                <w:rFonts w:ascii="宋体" w:hAnsi="宋体" w:cs="宋体"/>
                <w:szCs w:val="21"/>
              </w:rPr>
            </w:pPr>
          </w:p>
        </w:tc>
        <w:tc>
          <w:tcPr>
            <w:tcW w:w="1035"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709" w:type="dxa"/>
          </w:tcPr>
          <w:p>
            <w:pPr>
              <w:spacing w:line="360" w:lineRule="auto"/>
              <w:jc w:val="center"/>
              <w:rPr>
                <w:rFonts w:ascii="宋体" w:hAnsi="宋体" w:cs="宋体"/>
                <w:szCs w:val="21"/>
              </w:rPr>
            </w:pPr>
          </w:p>
        </w:tc>
        <w:tc>
          <w:tcPr>
            <w:tcW w:w="1271" w:type="dxa"/>
          </w:tcPr>
          <w:p>
            <w:pPr>
              <w:spacing w:line="360" w:lineRule="auto"/>
              <w:jc w:val="center"/>
              <w:rPr>
                <w:rFonts w:ascii="宋体" w:hAnsi="宋体" w:cs="宋体"/>
                <w:szCs w:val="21"/>
              </w:rPr>
            </w:pPr>
          </w:p>
        </w:tc>
        <w:tc>
          <w:tcPr>
            <w:tcW w:w="3115" w:type="dxa"/>
          </w:tcPr>
          <w:p>
            <w:pPr>
              <w:spacing w:line="360" w:lineRule="auto"/>
              <w:jc w:val="center"/>
              <w:rPr>
                <w:rFonts w:ascii="宋体" w:hAnsi="宋体" w:cs="宋体"/>
                <w:szCs w:val="21"/>
              </w:rPr>
            </w:pPr>
          </w:p>
        </w:tc>
        <w:tc>
          <w:tcPr>
            <w:tcW w:w="2730" w:type="dxa"/>
          </w:tcPr>
          <w:p>
            <w:pPr>
              <w:spacing w:line="360" w:lineRule="auto"/>
              <w:jc w:val="center"/>
              <w:rPr>
                <w:rFonts w:ascii="宋体" w:hAnsi="宋体" w:cs="宋体"/>
                <w:szCs w:val="21"/>
              </w:rPr>
            </w:pPr>
          </w:p>
        </w:tc>
        <w:tc>
          <w:tcPr>
            <w:tcW w:w="1035" w:type="dxa"/>
          </w:tcPr>
          <w:p>
            <w:pPr>
              <w:spacing w:line="360" w:lineRule="auto"/>
              <w:jc w:val="center"/>
              <w:rPr>
                <w:rFonts w:ascii="宋体" w:hAnsi="宋体" w:cs="宋体"/>
                <w:szCs w:val="21"/>
              </w:rPr>
            </w:pPr>
          </w:p>
        </w:tc>
      </w:tr>
    </w:tbl>
    <w:p>
      <w:pPr>
        <w:spacing w:line="440" w:lineRule="exact"/>
        <w:ind w:firstLine="420" w:firstLineChars="200"/>
        <w:rPr>
          <w:rFonts w:ascii="宋体" w:hAnsi="宋体" w:cs="宋体"/>
          <w:szCs w:val="21"/>
        </w:rPr>
      </w:pPr>
      <w:r>
        <w:rPr>
          <w:rFonts w:hint="eastAsia" w:ascii="宋体" w:hAnsi="宋体" w:cs="宋体"/>
          <w:szCs w:val="21"/>
        </w:rPr>
        <w:t>注：对每个需求的响应必须遵循如下规则：</w:t>
      </w:r>
    </w:p>
    <w:p>
      <w:pPr>
        <w:pStyle w:val="29"/>
        <w:spacing w:line="440" w:lineRule="exact"/>
        <w:ind w:firstLine="420" w:firstLineChars="200"/>
        <w:rPr>
          <w:rFonts w:hAnsi="宋体" w:cs="宋体"/>
          <w:szCs w:val="21"/>
        </w:rPr>
      </w:pPr>
      <w:r>
        <w:rPr>
          <w:rFonts w:hint="eastAsia" w:hAnsi="宋体" w:cs="宋体"/>
          <w:szCs w:val="21"/>
        </w:rPr>
        <w:t>1.“采购文件技术指标要求”项内容需按照本项目的采购需求进行完整、准确的填写，不得擅自更改。如填写内容与采购需求不一致的，以采购需求为准。</w:t>
      </w:r>
    </w:p>
    <w:p>
      <w:pPr>
        <w:spacing w:line="440" w:lineRule="exact"/>
        <w:ind w:firstLine="420" w:firstLineChars="200"/>
        <w:rPr>
          <w:rFonts w:ascii="宋体" w:hAnsi="宋体" w:cs="宋体"/>
          <w:szCs w:val="21"/>
        </w:rPr>
      </w:pPr>
      <w:r>
        <w:rPr>
          <w:rFonts w:hint="eastAsia" w:ascii="宋体" w:hAnsi="宋体" w:cs="宋体"/>
          <w:szCs w:val="21"/>
        </w:rPr>
        <w:t>2.偏离情况用“无偏离”、“正偏离”、“负偏离”、“未响应”之一来表明采购需求各项产品的功能或性能指标要求是否被满足。“正偏离”表示投标产品有对应功能且性能指标参数优于采购要求，应当说明对本项目有何实质性益处；“负偏离”表示投标产品有对应功能但性能指标参数劣于采购要求；“未响应”表示投标产品无对应功能或性能；标示“▲”的指标负偏离或未响应的按无效投标处理。</w:t>
      </w:r>
    </w:p>
    <w:p>
      <w:pPr>
        <w:pStyle w:val="29"/>
        <w:spacing w:line="440" w:lineRule="exact"/>
        <w:ind w:firstLine="411" w:firstLineChars="196"/>
        <w:rPr>
          <w:rFonts w:hAnsi="宋体" w:cs="宋体"/>
          <w:szCs w:val="21"/>
        </w:rPr>
      </w:pPr>
      <w:r>
        <w:rPr>
          <w:rFonts w:hint="eastAsia" w:hAnsi="宋体" w:cs="宋体"/>
          <w:szCs w:val="21"/>
        </w:rPr>
        <w:t>3.投标人未明确列明“未响应”、“负偏离”的技术指标项，视为完全响应采购文件要求。若中标后提供的货物（服务）不满足采购需求的，将认定为提供虚假材料、谋取中标（成交）。采购单位有权单方面解除合同并追究其违约责任。</w:t>
      </w:r>
    </w:p>
    <w:p>
      <w:pPr>
        <w:spacing w:line="440" w:lineRule="exact"/>
        <w:ind w:firstLine="422" w:firstLineChars="200"/>
        <w:rPr>
          <w:rFonts w:ascii="宋体" w:hAnsi="宋体" w:cs="宋体"/>
          <w:b/>
          <w:bCs/>
          <w:szCs w:val="21"/>
        </w:rPr>
      </w:pPr>
      <w:r>
        <w:rPr>
          <w:rFonts w:hint="eastAsia" w:ascii="宋体" w:hAnsi="宋体" w:cs="宋体"/>
          <w:b/>
          <w:bCs/>
          <w:szCs w:val="21"/>
        </w:rPr>
        <w:t>4.未填写本表视同完全响应。</w:t>
      </w:r>
    </w:p>
    <w:p>
      <w:pPr>
        <w:spacing w:line="360" w:lineRule="auto"/>
        <w:rPr>
          <w:rFonts w:ascii="宋体" w:hAnsi="宋体" w:cs="宋体"/>
          <w:szCs w:val="21"/>
        </w:rPr>
      </w:pPr>
    </w:p>
    <w:p>
      <w:pPr>
        <w:spacing w:line="360" w:lineRule="auto"/>
        <w:jc w:val="left"/>
        <w:rPr>
          <w:rFonts w:ascii="宋体" w:hAnsi="宋体" w:cs="宋体"/>
          <w:szCs w:val="21"/>
          <w:u w:val="single"/>
        </w:rPr>
      </w:pPr>
      <w:r>
        <w:rPr>
          <w:rFonts w:hint="eastAsia" w:ascii="宋体" w:hAnsi="宋体" w:cs="宋体"/>
          <w:szCs w:val="21"/>
        </w:rPr>
        <w:t xml:space="preserve">投标人名称（盖章）： </w:t>
      </w:r>
      <w:r>
        <w:rPr>
          <w:rFonts w:hint="eastAsia" w:ascii="宋体" w:hAnsi="宋体" w:cs="宋体"/>
          <w:szCs w:val="21"/>
          <w:u w:val="single"/>
        </w:rPr>
        <w:t xml:space="preserve">            </w:t>
      </w:r>
    </w:p>
    <w:p>
      <w:pPr>
        <w:snapToGrid w:val="0"/>
        <w:spacing w:line="360" w:lineRule="auto"/>
        <w:rPr>
          <w:rFonts w:ascii="宋体" w:hAnsi="宋体" w:cs="宋体"/>
          <w:b/>
          <w:szCs w:val="21"/>
        </w:rPr>
      </w:pPr>
      <w:r>
        <w:rPr>
          <w:rFonts w:hint="eastAsia" w:ascii="宋体" w:hAnsi="宋体" w:cs="宋体"/>
          <w:szCs w:val="21"/>
        </w:rPr>
        <w:t>日期：   年  月  日</w:t>
      </w:r>
    </w:p>
    <w:p>
      <w:pPr>
        <w:spacing w:line="360" w:lineRule="auto"/>
        <w:jc w:val="left"/>
        <w:rPr>
          <w:rFonts w:hint="default" w:ascii="宋体" w:hAnsi="宋体" w:eastAsia="宋体" w:cs="宋体"/>
          <w:b/>
          <w:szCs w:val="21"/>
          <w:lang w:val="en-US" w:eastAsia="zh-CN"/>
        </w:rPr>
      </w:pPr>
      <w:r>
        <w:rPr>
          <w:rFonts w:hint="eastAsia" w:ascii="宋体" w:hAnsi="宋体" w:cs="宋体"/>
          <w:szCs w:val="21"/>
        </w:rPr>
        <w:br w:type="page"/>
      </w:r>
      <w:bookmarkStart w:id="82" w:name="附件12"/>
      <w:r>
        <w:rPr>
          <w:rFonts w:hint="eastAsia" w:ascii="宋体" w:hAnsi="宋体" w:cs="宋体"/>
          <w:b/>
          <w:szCs w:val="21"/>
        </w:rPr>
        <w:t>附件</w:t>
      </w:r>
      <w:bookmarkEnd w:id="82"/>
      <w:r>
        <w:rPr>
          <w:rFonts w:hint="eastAsia" w:ascii="宋体" w:hAnsi="宋体" w:cs="宋体"/>
          <w:b/>
          <w:szCs w:val="21"/>
          <w:lang w:val="en-US" w:eastAsia="zh-CN"/>
        </w:rPr>
        <w:t>10</w:t>
      </w:r>
    </w:p>
    <w:p>
      <w:pPr>
        <w:snapToGrid w:val="0"/>
        <w:spacing w:line="360" w:lineRule="auto"/>
        <w:jc w:val="center"/>
        <w:rPr>
          <w:rFonts w:ascii="宋体" w:hAnsi="宋体" w:cs="宋体"/>
          <w:b/>
          <w:bCs/>
          <w:sz w:val="28"/>
          <w:szCs w:val="28"/>
        </w:rPr>
      </w:pPr>
      <w:r>
        <w:rPr>
          <w:rFonts w:hint="eastAsia" w:ascii="宋体" w:hAnsi="宋体" w:cs="宋体"/>
          <w:b/>
          <w:bCs/>
          <w:sz w:val="28"/>
          <w:szCs w:val="28"/>
        </w:rPr>
        <w:t>对采购文件中商务条款及合同条款的声明</w:t>
      </w:r>
    </w:p>
    <w:p>
      <w:pPr>
        <w:spacing w:line="360" w:lineRule="auto"/>
        <w:rPr>
          <w:rFonts w:ascii="宋体" w:hAnsi="宋体" w:cs="宋体"/>
          <w:szCs w:val="21"/>
        </w:rPr>
      </w:pPr>
    </w:p>
    <w:p>
      <w:pPr>
        <w:pStyle w:val="29"/>
        <w:snapToGrid w:val="0"/>
        <w:spacing w:line="360" w:lineRule="auto"/>
        <w:rPr>
          <w:rFonts w:hAnsi="宋体" w:cs="宋体"/>
          <w:szCs w:val="21"/>
        </w:rPr>
      </w:pPr>
      <w:r>
        <w:rPr>
          <w:rFonts w:hint="eastAsia" w:hAnsi="宋体" w:cs="宋体"/>
          <w:szCs w:val="21"/>
          <w:u w:val="single"/>
        </w:rPr>
        <w:t>常山县水文站</w:t>
      </w:r>
      <w:r>
        <w:rPr>
          <w:rFonts w:hint="eastAsia" w:hAnsi="宋体" w:cs="宋体"/>
          <w:szCs w:val="21"/>
        </w:rPr>
        <w:t>：</w:t>
      </w:r>
    </w:p>
    <w:p>
      <w:pPr>
        <w:pStyle w:val="29"/>
        <w:snapToGrid w:val="0"/>
        <w:spacing w:line="360" w:lineRule="auto"/>
        <w:rPr>
          <w:rFonts w:hAnsi="宋体" w:cs="宋体"/>
          <w:szCs w:val="21"/>
        </w:rPr>
      </w:pPr>
      <w:r>
        <w:rPr>
          <w:rFonts w:hint="eastAsia" w:hAnsi="宋体" w:cs="宋体"/>
          <w:szCs w:val="21"/>
          <w:u w:val="single"/>
        </w:rPr>
        <w:t>浙江哲晟工程项目管理有限公司</w:t>
      </w:r>
      <w:r>
        <w:rPr>
          <w:rFonts w:hint="eastAsia"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u w:val="single"/>
        </w:rPr>
        <w:t xml:space="preserve">     （投标人全称）      </w:t>
      </w:r>
      <w:r>
        <w:rPr>
          <w:rFonts w:hint="eastAsia" w:ascii="宋体" w:hAnsi="宋体" w:cs="宋体"/>
          <w:szCs w:val="21"/>
        </w:rPr>
        <w:t>参加贵方组织的</w:t>
      </w:r>
      <w:r>
        <w:rPr>
          <w:rFonts w:hint="eastAsia" w:ascii="宋体" w:hAnsi="宋体" w:cs="宋体"/>
          <w:szCs w:val="21"/>
          <w:u w:val="single"/>
        </w:rPr>
        <w:t xml:space="preserve">  （项目名称）（项目编号）  </w:t>
      </w:r>
      <w:r>
        <w:rPr>
          <w:rFonts w:hint="eastAsia" w:ascii="宋体" w:hAnsi="宋体" w:cs="宋体"/>
          <w:szCs w:val="21"/>
        </w:rPr>
        <w:t>的投标活动，为此我方声明如下：</w:t>
      </w:r>
    </w:p>
    <w:p>
      <w:pPr>
        <w:spacing w:line="360" w:lineRule="auto"/>
        <w:ind w:firstLine="420" w:firstLineChars="200"/>
        <w:rPr>
          <w:rFonts w:ascii="宋体" w:hAnsi="宋体" w:cs="宋体"/>
          <w:szCs w:val="21"/>
        </w:rPr>
      </w:pPr>
      <w:r>
        <w:rPr>
          <w:rFonts w:hint="eastAsia" w:ascii="宋体" w:hAnsi="宋体" w:cs="宋体"/>
          <w:szCs w:val="21"/>
        </w:rPr>
        <w:t>1.我方接受采购文件中所有商务条款及合同条款（     ）</w:t>
      </w:r>
    </w:p>
    <w:p>
      <w:pPr>
        <w:spacing w:line="360" w:lineRule="auto"/>
        <w:ind w:firstLine="420" w:firstLineChars="200"/>
        <w:rPr>
          <w:rFonts w:ascii="宋体" w:hAnsi="宋体" w:cs="宋体"/>
          <w:szCs w:val="21"/>
        </w:rPr>
      </w:pPr>
      <w:r>
        <w:rPr>
          <w:rFonts w:hint="eastAsia" w:ascii="宋体" w:hAnsi="宋体" w:cs="宋体"/>
          <w:szCs w:val="21"/>
        </w:rPr>
        <w:t>2.采购文件中以下商务条款或合同条款，我方无法满足/接受（     ）</w:t>
      </w:r>
    </w:p>
    <w:p>
      <w:pPr>
        <w:spacing w:line="360" w:lineRule="auto"/>
        <w:ind w:firstLine="420" w:firstLineChars="200"/>
        <w:rPr>
          <w:rFonts w:ascii="宋体" w:hAnsi="宋体" w:cs="宋体"/>
          <w:szCs w:val="21"/>
        </w:rPr>
      </w:pPr>
      <w:r>
        <w:rPr>
          <w:rFonts w:hint="eastAsia" w:ascii="宋体" w:hAnsi="宋体" w:cs="宋体"/>
          <w:szCs w:val="21"/>
        </w:rPr>
        <w:t>2.1</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3.对于无法满足/接受的商务条款或合同条款，我方采用的解决方案如下：</w:t>
      </w:r>
    </w:p>
    <w:p>
      <w:pPr>
        <w:spacing w:line="360" w:lineRule="auto"/>
        <w:ind w:firstLine="420" w:firstLineChars="200"/>
        <w:rPr>
          <w:rFonts w:ascii="宋体" w:hAnsi="宋体" w:cs="宋体"/>
          <w:szCs w:val="21"/>
        </w:rPr>
      </w:pPr>
      <w:r>
        <w:rPr>
          <w:rFonts w:hint="eastAsia" w:ascii="宋体" w:hAnsi="宋体" w:cs="宋体"/>
          <w:szCs w:val="21"/>
        </w:rPr>
        <w:t>3.1</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b/>
          <w:szCs w:val="21"/>
        </w:rPr>
      </w:pPr>
      <w:r>
        <w:rPr>
          <w:rFonts w:hint="eastAsia" w:ascii="宋体" w:hAnsi="宋体" w:cs="宋体"/>
          <w:b/>
          <w:szCs w:val="21"/>
        </w:rPr>
        <w:t>填写说明：</w:t>
      </w:r>
    </w:p>
    <w:p>
      <w:pPr>
        <w:spacing w:line="360" w:lineRule="auto"/>
        <w:ind w:firstLine="422" w:firstLineChars="200"/>
        <w:rPr>
          <w:rFonts w:ascii="宋体" w:hAnsi="宋体" w:cs="宋体"/>
          <w:b/>
          <w:szCs w:val="21"/>
        </w:rPr>
      </w:pPr>
      <w:r>
        <w:rPr>
          <w:rFonts w:hint="eastAsia" w:ascii="宋体" w:hAnsi="宋体" w:cs="宋体"/>
          <w:b/>
          <w:szCs w:val="21"/>
        </w:rPr>
        <w:t>1.投标人接受采购文件所有商务条款及合同条款的请在第1项后的括号内</w:t>
      </w:r>
      <w:r>
        <w:rPr>
          <w:rFonts w:hint="eastAsia" w:ascii="宋体" w:hAnsi="宋体" w:cs="宋体"/>
          <w:b/>
          <w:szCs w:val="21"/>
          <w:lang w:val="en-GB"/>
        </w:rPr>
        <w:t>打“√”</w:t>
      </w:r>
      <w:r>
        <w:rPr>
          <w:rFonts w:hint="eastAsia" w:ascii="宋体" w:hAnsi="宋体" w:cs="宋体"/>
          <w:b/>
          <w:szCs w:val="21"/>
        </w:rPr>
        <w:t>；投标人对采购文件中某项商务条款或合同条款有不同意见的，请在第2项后的括号内</w:t>
      </w:r>
      <w:r>
        <w:rPr>
          <w:rFonts w:hint="eastAsia" w:ascii="宋体" w:hAnsi="宋体" w:cs="宋体"/>
          <w:b/>
          <w:szCs w:val="21"/>
          <w:lang w:val="en-GB"/>
        </w:rPr>
        <w:t>打“√”，</w:t>
      </w:r>
      <w:r>
        <w:rPr>
          <w:rFonts w:hint="eastAsia" w:ascii="宋体" w:hAnsi="宋体" w:cs="宋体"/>
          <w:b/>
          <w:szCs w:val="21"/>
        </w:rPr>
        <w:t>并一一列明具体内容及自身主张。</w:t>
      </w:r>
    </w:p>
    <w:p>
      <w:pPr>
        <w:spacing w:line="360" w:lineRule="auto"/>
        <w:ind w:firstLine="422" w:firstLineChars="200"/>
        <w:rPr>
          <w:rFonts w:ascii="宋体" w:hAnsi="宋体" w:cs="宋体"/>
          <w:b/>
          <w:szCs w:val="21"/>
        </w:rPr>
      </w:pPr>
      <w:r>
        <w:rPr>
          <w:rFonts w:hint="eastAsia" w:ascii="宋体" w:hAnsi="宋体" w:cs="宋体"/>
          <w:b/>
          <w:szCs w:val="21"/>
        </w:rPr>
        <w:t>2.投标文件中虽提供了本声明但未按上述要求明确声明的，视为投标人接受采购文件所有商务条款及合同条款。</w:t>
      </w:r>
    </w:p>
    <w:p>
      <w:pPr>
        <w:spacing w:line="360" w:lineRule="auto"/>
        <w:rPr>
          <w:rFonts w:ascii="宋体" w:hAnsi="宋体" w:cs="宋体"/>
          <w:szCs w:val="21"/>
        </w:rPr>
      </w:pPr>
    </w:p>
    <w:p>
      <w:pPr>
        <w:spacing w:line="360" w:lineRule="auto"/>
        <w:rPr>
          <w:rFonts w:ascii="宋体" w:hAnsi="宋体" w:cs="宋体"/>
          <w:szCs w:val="21"/>
        </w:rPr>
      </w:pPr>
    </w:p>
    <w:p>
      <w:pPr>
        <w:pStyle w:val="29"/>
        <w:spacing w:line="360" w:lineRule="auto"/>
        <w:rPr>
          <w:rFonts w:hAnsi="宋体" w:cs="宋体"/>
          <w:szCs w:val="21"/>
        </w:rPr>
      </w:pPr>
      <w:r>
        <w:rPr>
          <w:rFonts w:hint="eastAsia" w:hAnsi="宋体" w:cs="宋体"/>
          <w:szCs w:val="21"/>
        </w:rPr>
        <w:t>投标人名称（盖章） ：</w:t>
      </w:r>
      <w:r>
        <w:rPr>
          <w:rFonts w:hint="eastAsia" w:hAnsi="宋体" w:cs="宋体"/>
          <w:szCs w:val="21"/>
          <w:u w:val="single"/>
        </w:rPr>
        <w:t xml:space="preserve">                   </w:t>
      </w:r>
    </w:p>
    <w:p>
      <w:pPr>
        <w:pStyle w:val="29"/>
        <w:spacing w:line="360" w:lineRule="auto"/>
        <w:rPr>
          <w:rFonts w:hAnsi="宋体" w:cs="宋体"/>
          <w:b/>
          <w:szCs w:val="21"/>
        </w:rPr>
      </w:pPr>
      <w:r>
        <w:rPr>
          <w:rFonts w:hint="eastAsia" w:hAnsi="宋体" w:cs="宋体"/>
          <w:szCs w:val="21"/>
        </w:rPr>
        <w:t>日期：   年   月   日</w:t>
      </w:r>
    </w:p>
    <w:p>
      <w:pPr>
        <w:spacing w:line="360" w:lineRule="auto"/>
        <w:jc w:val="left"/>
        <w:rPr>
          <w:rFonts w:hint="eastAsia" w:ascii="宋体" w:hAnsi="宋体" w:eastAsia="宋体" w:cs="宋体"/>
          <w:b/>
          <w:szCs w:val="21"/>
          <w:lang w:val="en-US" w:eastAsia="zh-CN"/>
        </w:rPr>
      </w:pPr>
      <w:r>
        <w:rPr>
          <w:rFonts w:hint="eastAsia" w:ascii="宋体" w:hAnsi="宋体" w:cs="宋体"/>
          <w:b/>
          <w:bCs/>
          <w:szCs w:val="21"/>
        </w:rPr>
        <w:br w:type="page"/>
      </w:r>
      <w:bookmarkStart w:id="83" w:name="附件13"/>
      <w:r>
        <w:rPr>
          <w:rFonts w:hint="eastAsia" w:ascii="宋体" w:hAnsi="宋体" w:cs="宋体"/>
          <w:b/>
          <w:szCs w:val="21"/>
        </w:rPr>
        <w:t>附件1</w:t>
      </w:r>
      <w:bookmarkEnd w:id="83"/>
      <w:r>
        <w:rPr>
          <w:rFonts w:hint="eastAsia" w:ascii="宋体" w:hAnsi="宋体" w:cs="宋体"/>
          <w:b/>
          <w:szCs w:val="21"/>
          <w:lang w:val="en-US" w:eastAsia="zh-CN"/>
        </w:rPr>
        <w:t>1</w:t>
      </w:r>
    </w:p>
    <w:p>
      <w:pPr>
        <w:snapToGrid w:val="0"/>
        <w:spacing w:line="360" w:lineRule="auto"/>
        <w:jc w:val="center"/>
        <w:rPr>
          <w:rFonts w:ascii="宋体" w:hAnsi="宋体" w:cs="宋体"/>
          <w:b/>
          <w:bCs/>
          <w:sz w:val="28"/>
          <w:szCs w:val="28"/>
        </w:rPr>
      </w:pPr>
      <w:r>
        <w:rPr>
          <w:rFonts w:hint="eastAsia" w:ascii="宋体" w:hAnsi="宋体" w:cs="宋体"/>
          <w:b/>
          <w:bCs/>
          <w:sz w:val="28"/>
          <w:szCs w:val="28"/>
        </w:rPr>
        <w:t>开标一览表</w:t>
      </w:r>
    </w:p>
    <w:p>
      <w:pPr>
        <w:autoSpaceDE w:val="0"/>
        <w:autoSpaceDN w:val="0"/>
        <w:spacing w:line="360" w:lineRule="auto"/>
        <w:ind w:firstLine="210" w:firstLineChars="100"/>
        <w:rPr>
          <w:rFonts w:ascii="宋体" w:hAnsi="宋体" w:cs="宋体"/>
          <w:szCs w:val="21"/>
          <w:lang w:val="zh-CN"/>
        </w:rPr>
      </w:pPr>
      <w:r>
        <w:rPr>
          <w:rFonts w:hint="eastAsia" w:ascii="宋体" w:hAnsi="宋体" w:cs="宋体"/>
          <w:szCs w:val="21"/>
          <w:lang w:val="zh-CN"/>
        </w:rPr>
        <w:t>项目名称：</w:t>
      </w:r>
      <w:r>
        <w:rPr>
          <w:rFonts w:hint="eastAsia" w:ascii="宋体" w:hAnsi="宋体" w:cs="宋体"/>
          <w:szCs w:val="21"/>
          <w:u w:val="single"/>
          <w:lang w:val="zh-CN"/>
        </w:rPr>
        <w:t xml:space="preserve">                               </w:t>
      </w:r>
      <w:r>
        <w:rPr>
          <w:rFonts w:hint="eastAsia" w:ascii="宋体" w:hAnsi="宋体" w:cs="宋体"/>
          <w:szCs w:val="21"/>
          <w:lang w:val="zh-CN"/>
        </w:rPr>
        <w:t xml:space="preserve">               项目编号：</w:t>
      </w:r>
      <w:r>
        <w:rPr>
          <w:rFonts w:hint="eastAsia" w:ascii="宋体" w:hAnsi="宋体" w:cs="宋体"/>
          <w:szCs w:val="21"/>
          <w:u w:val="single"/>
          <w:lang w:val="zh-CN"/>
        </w:rPr>
        <w:t xml:space="preserve">               </w:t>
      </w:r>
    </w:p>
    <w:tbl>
      <w:tblPr>
        <w:tblStyle w:val="50"/>
        <w:tblW w:w="91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5"/>
        <w:gridCol w:w="2079"/>
        <w:gridCol w:w="59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1055" w:type="dxa"/>
            <w:tcBorders>
              <w:top w:val="single" w:color="auto" w:sz="4" w:space="0"/>
              <w:bottom w:val="single" w:color="auto" w:sz="4" w:space="0"/>
              <w:right w:val="single" w:color="auto" w:sz="4" w:space="0"/>
            </w:tcBorders>
            <w:vAlign w:val="center"/>
          </w:tcPr>
          <w:p>
            <w:pPr>
              <w:pStyle w:val="29"/>
              <w:spacing w:line="360" w:lineRule="auto"/>
              <w:jc w:val="center"/>
              <w:rPr>
                <w:rFonts w:hAnsi="宋体" w:cs="宋体"/>
                <w:szCs w:val="21"/>
              </w:rPr>
            </w:pPr>
            <w:r>
              <w:rPr>
                <w:rFonts w:hint="eastAsia" w:hAnsi="宋体" w:cs="宋体"/>
                <w:szCs w:val="21"/>
              </w:rPr>
              <w:t>序号</w:t>
            </w:r>
          </w:p>
        </w:tc>
        <w:tc>
          <w:tcPr>
            <w:tcW w:w="2079" w:type="dxa"/>
            <w:tcBorders>
              <w:top w:val="single" w:color="auto" w:sz="4" w:space="0"/>
              <w:left w:val="single" w:color="auto" w:sz="4" w:space="0"/>
              <w:bottom w:val="single" w:color="auto" w:sz="4" w:space="0"/>
              <w:right w:val="single" w:color="auto" w:sz="4" w:space="0"/>
            </w:tcBorders>
            <w:vAlign w:val="center"/>
          </w:tcPr>
          <w:p>
            <w:pPr>
              <w:pStyle w:val="29"/>
              <w:spacing w:line="360" w:lineRule="auto"/>
              <w:jc w:val="center"/>
              <w:rPr>
                <w:rFonts w:hAnsi="宋体" w:cs="宋体"/>
                <w:szCs w:val="21"/>
              </w:rPr>
            </w:pPr>
            <w:r>
              <w:rPr>
                <w:rFonts w:hint="eastAsia" w:hAnsi="宋体" w:cs="宋体"/>
                <w:szCs w:val="21"/>
              </w:rPr>
              <w:t>名称</w:t>
            </w:r>
          </w:p>
        </w:tc>
        <w:tc>
          <w:tcPr>
            <w:tcW w:w="5968" w:type="dxa"/>
            <w:tcBorders>
              <w:top w:val="single" w:color="auto" w:sz="4" w:space="0"/>
              <w:left w:val="single" w:color="auto" w:sz="4" w:space="0"/>
              <w:bottom w:val="single" w:color="auto" w:sz="4" w:space="0"/>
              <w:right w:val="single" w:color="auto" w:sz="8" w:space="0"/>
            </w:tcBorders>
            <w:vAlign w:val="center"/>
          </w:tcPr>
          <w:p>
            <w:pPr>
              <w:pStyle w:val="29"/>
              <w:spacing w:line="360" w:lineRule="auto"/>
              <w:jc w:val="center"/>
              <w:rPr>
                <w:rFonts w:hAnsi="宋体" w:cs="宋体"/>
                <w:szCs w:val="21"/>
              </w:rPr>
            </w:pPr>
            <w:r>
              <w:rPr>
                <w:rFonts w:hint="eastAsia" w:hAnsi="宋体" w:cs="宋体"/>
                <w:szCs w:val="21"/>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055" w:type="dxa"/>
            <w:vMerge w:val="restart"/>
            <w:tcBorders>
              <w:right w:val="single" w:color="auto" w:sz="4" w:space="0"/>
            </w:tcBorders>
            <w:vAlign w:val="center"/>
          </w:tcPr>
          <w:p>
            <w:pPr>
              <w:pStyle w:val="29"/>
              <w:spacing w:line="360" w:lineRule="auto"/>
              <w:jc w:val="center"/>
              <w:rPr>
                <w:rFonts w:hAnsi="宋体" w:cs="宋体"/>
                <w:szCs w:val="21"/>
              </w:rPr>
            </w:pPr>
            <w:r>
              <w:rPr>
                <w:rFonts w:hint="eastAsia" w:hAnsi="宋体" w:cs="宋体"/>
                <w:szCs w:val="21"/>
              </w:rPr>
              <w:t>一</w:t>
            </w:r>
          </w:p>
        </w:tc>
        <w:tc>
          <w:tcPr>
            <w:tcW w:w="2079" w:type="dxa"/>
            <w:vMerge w:val="restart"/>
            <w:tcBorders>
              <w:left w:val="single" w:color="auto" w:sz="4" w:space="0"/>
              <w:right w:val="single" w:color="auto" w:sz="4" w:space="0"/>
            </w:tcBorders>
            <w:vAlign w:val="center"/>
          </w:tcPr>
          <w:p>
            <w:pPr>
              <w:pStyle w:val="29"/>
              <w:spacing w:line="360" w:lineRule="auto"/>
              <w:jc w:val="center"/>
              <w:rPr>
                <w:rFonts w:hAnsi="宋体" w:cs="宋体"/>
                <w:szCs w:val="21"/>
              </w:rPr>
            </w:pPr>
            <w:r>
              <w:rPr>
                <w:rFonts w:hint="eastAsia" w:hAnsi="宋体" w:cs="宋体"/>
                <w:szCs w:val="21"/>
              </w:rPr>
              <w:t>投标总价</w:t>
            </w:r>
          </w:p>
        </w:tc>
        <w:tc>
          <w:tcPr>
            <w:tcW w:w="5968" w:type="dxa"/>
            <w:tcBorders>
              <w:top w:val="single" w:color="auto" w:sz="4" w:space="0"/>
              <w:left w:val="single" w:color="auto" w:sz="4" w:space="0"/>
              <w:bottom w:val="single" w:color="auto" w:sz="4" w:space="0"/>
            </w:tcBorders>
            <w:vAlign w:val="center"/>
          </w:tcPr>
          <w:p>
            <w:pPr>
              <w:pStyle w:val="29"/>
              <w:spacing w:line="360" w:lineRule="auto"/>
              <w:rPr>
                <w:rFonts w:hAnsi="宋体" w:cs="宋体"/>
                <w:szCs w:val="21"/>
              </w:rPr>
            </w:pPr>
            <w:r>
              <w:rPr>
                <w:rFonts w:hint="eastAsia" w:hAnsi="宋体" w:cs="宋体"/>
                <w:szCs w:val="21"/>
              </w:rPr>
              <w:t>大写：</w:t>
            </w:r>
            <w:r>
              <w:rPr>
                <w:rFonts w:hint="eastAsia" w:hAnsi="宋体" w:cs="宋体"/>
                <w:szCs w:val="21"/>
                <w:u w:val="single"/>
              </w:rPr>
              <w:t xml:space="preserve">              </w:t>
            </w:r>
            <w:r>
              <w:rPr>
                <w:rFonts w:hint="eastAsia" w:hAnsi="宋体" w:cs="宋体"/>
                <w:szCs w:val="21"/>
              </w:rPr>
              <w:t>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055" w:type="dxa"/>
            <w:vMerge w:val="continue"/>
            <w:tcBorders>
              <w:bottom w:val="single" w:color="auto" w:sz="4" w:space="0"/>
              <w:right w:val="single" w:color="auto" w:sz="4" w:space="0"/>
            </w:tcBorders>
            <w:vAlign w:val="center"/>
          </w:tcPr>
          <w:p>
            <w:pPr>
              <w:pStyle w:val="29"/>
              <w:spacing w:line="360" w:lineRule="auto"/>
              <w:jc w:val="center"/>
              <w:rPr>
                <w:rFonts w:hAnsi="宋体" w:cs="宋体"/>
                <w:szCs w:val="21"/>
              </w:rPr>
            </w:pPr>
          </w:p>
        </w:tc>
        <w:tc>
          <w:tcPr>
            <w:tcW w:w="2079" w:type="dxa"/>
            <w:vMerge w:val="continue"/>
            <w:tcBorders>
              <w:left w:val="single" w:color="auto" w:sz="4" w:space="0"/>
              <w:bottom w:val="single" w:color="auto" w:sz="4" w:space="0"/>
              <w:right w:val="single" w:color="auto" w:sz="4" w:space="0"/>
            </w:tcBorders>
            <w:vAlign w:val="center"/>
          </w:tcPr>
          <w:p>
            <w:pPr>
              <w:pStyle w:val="29"/>
              <w:spacing w:line="360" w:lineRule="auto"/>
              <w:rPr>
                <w:rFonts w:hAnsi="宋体" w:cs="宋体"/>
                <w:szCs w:val="21"/>
              </w:rPr>
            </w:pPr>
          </w:p>
        </w:tc>
        <w:tc>
          <w:tcPr>
            <w:tcW w:w="5968" w:type="dxa"/>
            <w:tcBorders>
              <w:top w:val="single" w:color="auto" w:sz="4" w:space="0"/>
              <w:left w:val="single" w:color="auto" w:sz="4" w:space="0"/>
              <w:bottom w:val="single" w:color="auto" w:sz="4" w:space="0"/>
            </w:tcBorders>
            <w:vAlign w:val="center"/>
          </w:tcPr>
          <w:p>
            <w:pPr>
              <w:pStyle w:val="29"/>
              <w:spacing w:line="360" w:lineRule="auto"/>
              <w:rPr>
                <w:rFonts w:hAnsi="宋体" w:cs="宋体"/>
                <w:szCs w:val="21"/>
              </w:rPr>
            </w:pPr>
            <w:r>
              <w:rPr>
                <w:rFonts w:hint="eastAsia" w:hAnsi="宋体" w:cs="宋体"/>
                <w:szCs w:val="21"/>
              </w:rPr>
              <w:t>小写：</w:t>
            </w:r>
            <w:r>
              <w:rPr>
                <w:rFonts w:hint="eastAsia" w:hAnsi="宋体" w:cs="宋体"/>
                <w:szCs w:val="21"/>
                <w:u w:val="single"/>
              </w:rPr>
              <w:t xml:space="preserve">              </w:t>
            </w:r>
            <w:r>
              <w:rPr>
                <w:rFonts w:hint="eastAsia" w:hAnsi="宋体" w:cs="宋体"/>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055" w:type="dxa"/>
            <w:tcBorders>
              <w:bottom w:val="single" w:color="auto" w:sz="4" w:space="0"/>
              <w:right w:val="single" w:color="auto" w:sz="4" w:space="0"/>
            </w:tcBorders>
            <w:vAlign w:val="center"/>
          </w:tcPr>
          <w:p>
            <w:pPr>
              <w:pStyle w:val="29"/>
              <w:spacing w:line="360" w:lineRule="auto"/>
              <w:jc w:val="center"/>
              <w:rPr>
                <w:rFonts w:hAnsi="宋体" w:cs="宋体"/>
                <w:szCs w:val="21"/>
              </w:rPr>
            </w:pPr>
            <w:r>
              <w:rPr>
                <w:rFonts w:hint="eastAsia" w:hAnsi="宋体" w:cs="宋体"/>
                <w:szCs w:val="21"/>
              </w:rPr>
              <w:t>二</w:t>
            </w:r>
          </w:p>
        </w:tc>
        <w:tc>
          <w:tcPr>
            <w:tcW w:w="2079" w:type="dxa"/>
            <w:tcBorders>
              <w:left w:val="single" w:color="auto" w:sz="4" w:space="0"/>
              <w:bottom w:val="single" w:color="auto" w:sz="4" w:space="0"/>
              <w:right w:val="single" w:color="auto" w:sz="4" w:space="0"/>
            </w:tcBorders>
            <w:vAlign w:val="center"/>
          </w:tcPr>
          <w:p>
            <w:pPr>
              <w:pStyle w:val="29"/>
              <w:spacing w:line="360" w:lineRule="auto"/>
              <w:jc w:val="center"/>
              <w:rPr>
                <w:rFonts w:hAnsi="宋体" w:cs="宋体"/>
                <w:szCs w:val="21"/>
              </w:rPr>
            </w:pPr>
            <w:r>
              <w:rPr>
                <w:rFonts w:hint="eastAsia" w:hAnsi="宋体" w:cs="宋体"/>
                <w:szCs w:val="21"/>
              </w:rPr>
              <w:t>完成期限</w:t>
            </w:r>
          </w:p>
        </w:tc>
        <w:tc>
          <w:tcPr>
            <w:tcW w:w="5968" w:type="dxa"/>
            <w:tcBorders>
              <w:top w:val="single" w:color="auto" w:sz="4" w:space="0"/>
              <w:left w:val="single" w:color="auto" w:sz="4" w:space="0"/>
              <w:bottom w:val="single" w:color="auto" w:sz="4" w:space="0"/>
            </w:tcBorders>
            <w:vAlign w:val="center"/>
          </w:tcPr>
          <w:p>
            <w:pPr>
              <w:pStyle w:val="29"/>
              <w:spacing w:line="360" w:lineRule="auto"/>
              <w:rPr>
                <w:rFonts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55" w:type="dxa"/>
            <w:tcBorders>
              <w:top w:val="single" w:color="auto" w:sz="4" w:space="0"/>
              <w:bottom w:val="single" w:color="auto" w:sz="4" w:space="0"/>
              <w:right w:val="single" w:color="auto" w:sz="4" w:space="0"/>
            </w:tcBorders>
            <w:vAlign w:val="center"/>
          </w:tcPr>
          <w:p>
            <w:pPr>
              <w:pStyle w:val="29"/>
              <w:spacing w:line="360" w:lineRule="auto"/>
              <w:jc w:val="center"/>
              <w:rPr>
                <w:rFonts w:hAnsi="宋体" w:cs="宋体"/>
                <w:szCs w:val="21"/>
              </w:rPr>
            </w:pPr>
            <w:r>
              <w:rPr>
                <w:rFonts w:hint="eastAsia" w:hAnsi="宋体" w:cs="宋体"/>
                <w:szCs w:val="21"/>
              </w:rPr>
              <w:t>三</w:t>
            </w:r>
          </w:p>
        </w:tc>
        <w:tc>
          <w:tcPr>
            <w:tcW w:w="2079" w:type="dxa"/>
            <w:tcBorders>
              <w:top w:val="single" w:color="auto" w:sz="4" w:space="0"/>
              <w:left w:val="single" w:color="auto" w:sz="4" w:space="0"/>
              <w:bottom w:val="single" w:color="auto" w:sz="4" w:space="0"/>
              <w:right w:val="single" w:color="auto" w:sz="4" w:space="0"/>
            </w:tcBorders>
            <w:vAlign w:val="center"/>
          </w:tcPr>
          <w:p>
            <w:pPr>
              <w:pStyle w:val="29"/>
              <w:spacing w:line="360" w:lineRule="auto"/>
              <w:jc w:val="center"/>
              <w:rPr>
                <w:rFonts w:hAnsi="宋体" w:cs="宋体"/>
                <w:szCs w:val="21"/>
              </w:rPr>
            </w:pPr>
            <w:r>
              <w:rPr>
                <w:rFonts w:hint="eastAsia" w:hAnsi="宋体" w:cs="宋体"/>
                <w:szCs w:val="21"/>
              </w:rPr>
              <w:t>质量保证期</w:t>
            </w:r>
          </w:p>
        </w:tc>
        <w:tc>
          <w:tcPr>
            <w:tcW w:w="5968" w:type="dxa"/>
            <w:tcBorders>
              <w:top w:val="single" w:color="auto" w:sz="4" w:space="0"/>
              <w:left w:val="single" w:color="auto" w:sz="4" w:space="0"/>
              <w:bottom w:val="single" w:color="auto" w:sz="4" w:space="0"/>
              <w:right w:val="single" w:color="auto" w:sz="8" w:space="0"/>
            </w:tcBorders>
            <w:vAlign w:val="center"/>
          </w:tcPr>
          <w:p>
            <w:pPr>
              <w:pStyle w:val="29"/>
              <w:spacing w:line="360" w:lineRule="auto"/>
              <w:rPr>
                <w:rFonts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3134" w:type="dxa"/>
            <w:gridSpan w:val="2"/>
            <w:tcBorders>
              <w:top w:val="single" w:color="auto" w:sz="4" w:space="0"/>
              <w:bottom w:val="single" w:color="auto" w:sz="4" w:space="0"/>
              <w:right w:val="single" w:color="auto" w:sz="4" w:space="0"/>
            </w:tcBorders>
            <w:vAlign w:val="center"/>
          </w:tcPr>
          <w:p>
            <w:pPr>
              <w:pStyle w:val="29"/>
              <w:spacing w:line="360" w:lineRule="auto"/>
              <w:jc w:val="center"/>
              <w:rPr>
                <w:rFonts w:hAnsi="宋体" w:cs="宋体"/>
                <w:szCs w:val="21"/>
              </w:rPr>
            </w:pPr>
            <w:r>
              <w:rPr>
                <w:rFonts w:hint="eastAsia" w:hAnsi="宋体" w:cs="宋体"/>
                <w:szCs w:val="21"/>
              </w:rPr>
              <w:t>备注</w:t>
            </w:r>
          </w:p>
        </w:tc>
        <w:tc>
          <w:tcPr>
            <w:tcW w:w="5968" w:type="dxa"/>
            <w:tcBorders>
              <w:top w:val="single" w:color="auto" w:sz="4" w:space="0"/>
              <w:left w:val="single" w:color="auto" w:sz="4" w:space="0"/>
              <w:bottom w:val="single" w:color="auto" w:sz="4" w:space="0"/>
              <w:right w:val="single" w:color="auto" w:sz="8" w:space="0"/>
            </w:tcBorders>
            <w:vAlign w:val="center"/>
          </w:tcPr>
          <w:p>
            <w:pPr>
              <w:pStyle w:val="29"/>
              <w:spacing w:line="360" w:lineRule="auto"/>
              <w:rPr>
                <w:rFonts w:hAnsi="宋体" w:cs="宋体"/>
                <w:szCs w:val="21"/>
              </w:rPr>
            </w:pPr>
            <w:r>
              <w:rPr>
                <w:rFonts w:hint="eastAsia" w:hAnsi="宋体" w:cs="宋体"/>
                <w:szCs w:val="21"/>
              </w:rPr>
              <w:t>上述投标报价是本项目采购文件确定的采购需求范围内全部工作内容的价格表现。完成本项目采购需求范围内全部工作内容所需支付的一切成本费用、企业应缴纳的税费及合理利润等所有采购文件提及的费用，以及诸如项目实施过程中合理存在的风险等采购文件未列明但可能产生额外成本的因素，均已计入投标报价。</w:t>
            </w:r>
          </w:p>
        </w:tc>
      </w:tr>
    </w:tbl>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pacing w:line="360" w:lineRule="auto"/>
        <w:rPr>
          <w:rFonts w:ascii="宋体" w:hAnsi="宋体" w:cs="宋体"/>
          <w:szCs w:val="21"/>
        </w:rPr>
      </w:pPr>
    </w:p>
    <w:p>
      <w:pPr>
        <w:pStyle w:val="29"/>
        <w:spacing w:line="360" w:lineRule="auto"/>
        <w:rPr>
          <w:rFonts w:hAnsi="宋体" w:cs="宋体"/>
          <w:szCs w:val="21"/>
        </w:rPr>
      </w:pPr>
      <w:r>
        <w:rPr>
          <w:rFonts w:hint="eastAsia" w:hAnsi="宋体" w:cs="宋体"/>
          <w:szCs w:val="21"/>
        </w:rPr>
        <w:t>投标人名称（盖章） ：</w:t>
      </w:r>
      <w:r>
        <w:rPr>
          <w:rFonts w:hint="eastAsia" w:hAnsi="宋体" w:cs="宋体"/>
          <w:szCs w:val="21"/>
          <w:u w:val="single"/>
        </w:rPr>
        <w:t xml:space="preserve">                               </w:t>
      </w:r>
    </w:p>
    <w:p>
      <w:pPr>
        <w:pStyle w:val="29"/>
        <w:spacing w:line="360" w:lineRule="auto"/>
        <w:rPr>
          <w:rFonts w:hAnsi="宋体" w:cs="宋体"/>
          <w:szCs w:val="21"/>
        </w:rPr>
      </w:pPr>
      <w:r>
        <w:rPr>
          <w:rFonts w:hint="eastAsia" w:hAnsi="宋体" w:cs="宋体"/>
          <w:szCs w:val="21"/>
        </w:rPr>
        <w:t>日期：   年   月   日</w:t>
      </w:r>
    </w:p>
    <w:p>
      <w:pPr>
        <w:pStyle w:val="29"/>
        <w:spacing w:line="360" w:lineRule="auto"/>
        <w:rPr>
          <w:rFonts w:hint="eastAsia" w:hAnsi="宋体" w:eastAsia="宋体" w:cs="宋体"/>
          <w:b/>
          <w:szCs w:val="21"/>
          <w:lang w:eastAsia="zh-CN"/>
        </w:rPr>
      </w:pPr>
      <w:r>
        <w:rPr>
          <w:rFonts w:hint="eastAsia" w:hAnsi="宋体" w:cs="宋体"/>
          <w:szCs w:val="21"/>
        </w:rPr>
        <w:br w:type="page"/>
      </w:r>
      <w:bookmarkStart w:id="84" w:name="附件14"/>
      <w:r>
        <w:rPr>
          <w:rFonts w:hint="eastAsia" w:hAnsi="宋体" w:cs="宋体"/>
          <w:b/>
          <w:kern w:val="2"/>
          <w:szCs w:val="21"/>
        </w:rPr>
        <w:t>附件1</w:t>
      </w:r>
      <w:bookmarkEnd w:id="84"/>
      <w:r>
        <w:rPr>
          <w:rFonts w:hint="eastAsia" w:hAnsi="宋体" w:cs="宋体"/>
          <w:b/>
          <w:kern w:val="2"/>
          <w:szCs w:val="21"/>
          <w:lang w:val="en-US" w:eastAsia="zh-CN"/>
        </w:rPr>
        <w:t>2</w:t>
      </w:r>
    </w:p>
    <w:p>
      <w:pPr>
        <w:snapToGrid w:val="0"/>
        <w:spacing w:line="360" w:lineRule="auto"/>
        <w:jc w:val="center"/>
        <w:rPr>
          <w:rFonts w:ascii="宋体" w:hAnsi="宋体" w:cs="宋体"/>
          <w:b/>
          <w:bCs/>
          <w:sz w:val="28"/>
          <w:szCs w:val="28"/>
        </w:rPr>
      </w:pPr>
      <w:bookmarkStart w:id="85" w:name="_Toc19758_WPSOffice_Level1"/>
      <w:r>
        <w:rPr>
          <w:rFonts w:hint="eastAsia" w:ascii="宋体" w:hAnsi="宋体" w:cs="宋体"/>
          <w:b/>
          <w:bCs/>
          <w:sz w:val="28"/>
          <w:szCs w:val="28"/>
        </w:rPr>
        <w:t>投标报价明细表</w:t>
      </w:r>
    </w:p>
    <w:p>
      <w:pPr>
        <w:pStyle w:val="29"/>
        <w:spacing w:line="360" w:lineRule="auto"/>
        <w:rPr>
          <w:rFonts w:hAnsi="宋体" w:cs="宋体"/>
          <w:szCs w:val="21"/>
          <w:u w:val="single"/>
        </w:rPr>
      </w:pPr>
      <w:r>
        <w:rPr>
          <w:rFonts w:hint="eastAsia" w:hAnsi="宋体" w:cs="宋体"/>
          <w:szCs w:val="21"/>
        </w:rPr>
        <w:t>项目名称</w:t>
      </w:r>
      <w:r>
        <w:rPr>
          <w:rFonts w:hint="eastAsia" w:hAnsi="宋体" w:cs="宋体"/>
          <w:szCs w:val="21"/>
          <w:u w:val="single"/>
        </w:rPr>
        <w:t xml:space="preserve">：                              </w:t>
      </w:r>
      <w:r>
        <w:rPr>
          <w:rFonts w:hint="eastAsia" w:hAnsi="宋体" w:cs="宋体"/>
          <w:szCs w:val="21"/>
        </w:rPr>
        <w:t xml:space="preserve">                 项目编号：</w:t>
      </w:r>
      <w:r>
        <w:rPr>
          <w:rFonts w:hint="eastAsia" w:hAnsi="宋体" w:cs="宋体"/>
          <w:szCs w:val="21"/>
          <w:u w:val="single"/>
        </w:rPr>
        <w:t xml:space="preserve">            </w:t>
      </w:r>
    </w:p>
    <w:tbl>
      <w:tblPr>
        <w:tblStyle w:val="50"/>
        <w:tblW w:w="868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564"/>
        <w:gridCol w:w="1319"/>
        <w:gridCol w:w="2507"/>
        <w:gridCol w:w="796"/>
        <w:gridCol w:w="985"/>
        <w:gridCol w:w="97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540" w:type="dxa"/>
            <w:vMerge w:val="restart"/>
            <w:tcBorders>
              <w:top w:val="single" w:color="auto" w:sz="4" w:space="0"/>
            </w:tcBorders>
            <w:vAlign w:val="center"/>
          </w:tcPr>
          <w:p>
            <w:pPr>
              <w:jc w:val="center"/>
              <w:rPr>
                <w:rFonts w:ascii="宋体" w:hAnsi="宋体" w:cs="宋体"/>
                <w:szCs w:val="21"/>
              </w:rPr>
            </w:pPr>
            <w:r>
              <w:rPr>
                <w:rFonts w:hint="eastAsia" w:ascii="宋体" w:hAnsi="宋体" w:cs="宋体"/>
                <w:szCs w:val="21"/>
              </w:rPr>
              <w:t>序号</w:t>
            </w:r>
          </w:p>
        </w:tc>
        <w:tc>
          <w:tcPr>
            <w:tcW w:w="1564" w:type="dxa"/>
            <w:vMerge w:val="restart"/>
            <w:tcBorders>
              <w:top w:val="single" w:color="auto" w:sz="4" w:space="0"/>
            </w:tcBorders>
            <w:vAlign w:val="center"/>
          </w:tcPr>
          <w:p>
            <w:pPr>
              <w:jc w:val="center"/>
              <w:rPr>
                <w:rFonts w:ascii="宋体" w:hAnsi="宋体" w:cs="宋体"/>
                <w:szCs w:val="21"/>
              </w:rPr>
            </w:pPr>
            <w:r>
              <w:rPr>
                <w:rFonts w:hint="eastAsia" w:ascii="宋体" w:hAnsi="宋体" w:cs="宋体"/>
                <w:szCs w:val="21"/>
              </w:rPr>
              <w:t>产品名称</w:t>
            </w:r>
          </w:p>
        </w:tc>
        <w:tc>
          <w:tcPr>
            <w:tcW w:w="1319" w:type="dxa"/>
            <w:vMerge w:val="restart"/>
            <w:tcBorders>
              <w:top w:val="single" w:color="auto" w:sz="4" w:space="0"/>
            </w:tcBorders>
            <w:vAlign w:val="center"/>
          </w:tcPr>
          <w:p>
            <w:pPr>
              <w:jc w:val="center"/>
              <w:rPr>
                <w:rFonts w:ascii="宋体" w:hAnsi="宋体" w:cs="宋体"/>
                <w:szCs w:val="21"/>
              </w:rPr>
            </w:pPr>
            <w:r>
              <w:rPr>
                <w:rFonts w:hint="eastAsia" w:ascii="宋体" w:hAnsi="宋体" w:cs="宋体"/>
                <w:szCs w:val="21"/>
              </w:rPr>
              <w:t>品牌</w:t>
            </w:r>
          </w:p>
        </w:tc>
        <w:tc>
          <w:tcPr>
            <w:tcW w:w="2507" w:type="dxa"/>
            <w:vMerge w:val="restart"/>
            <w:tcBorders>
              <w:top w:val="single" w:color="auto" w:sz="4" w:space="0"/>
            </w:tcBorders>
            <w:vAlign w:val="center"/>
          </w:tcPr>
          <w:p>
            <w:pPr>
              <w:jc w:val="center"/>
              <w:rPr>
                <w:rFonts w:ascii="宋体" w:hAnsi="宋体" w:cs="宋体"/>
                <w:szCs w:val="21"/>
              </w:rPr>
            </w:pPr>
            <w:r>
              <w:rPr>
                <w:rFonts w:hint="eastAsia" w:ascii="宋体" w:hAnsi="宋体" w:cs="宋体"/>
                <w:szCs w:val="21"/>
              </w:rPr>
              <w:t>规格型号</w:t>
            </w:r>
          </w:p>
        </w:tc>
        <w:tc>
          <w:tcPr>
            <w:tcW w:w="796" w:type="dxa"/>
            <w:vMerge w:val="restart"/>
            <w:tcBorders>
              <w:top w:val="single" w:color="auto" w:sz="4" w:space="0"/>
            </w:tcBorders>
            <w:vAlign w:val="center"/>
          </w:tcPr>
          <w:p>
            <w:pPr>
              <w:jc w:val="center"/>
              <w:rPr>
                <w:rFonts w:ascii="宋体" w:hAnsi="宋体" w:cs="宋体"/>
                <w:szCs w:val="21"/>
              </w:rPr>
            </w:pPr>
            <w:r>
              <w:rPr>
                <w:rFonts w:hint="eastAsia" w:ascii="宋体" w:hAnsi="宋体" w:cs="宋体"/>
                <w:szCs w:val="21"/>
              </w:rPr>
              <w:t>数量/单位</w:t>
            </w:r>
          </w:p>
        </w:tc>
        <w:tc>
          <w:tcPr>
            <w:tcW w:w="1960" w:type="dxa"/>
            <w:gridSpan w:val="2"/>
            <w:tcBorders>
              <w:top w:val="single" w:color="auto" w:sz="4" w:space="0"/>
            </w:tcBorders>
            <w:vAlign w:val="center"/>
          </w:tcPr>
          <w:p>
            <w:pPr>
              <w:jc w:val="center"/>
              <w:rPr>
                <w:rFonts w:ascii="宋体" w:hAnsi="宋体" w:cs="宋体"/>
                <w:szCs w:val="21"/>
              </w:rPr>
            </w:pPr>
            <w:r>
              <w:rPr>
                <w:rFonts w:hint="eastAsia" w:ascii="宋体" w:hAnsi="宋体" w:cs="宋体"/>
                <w:szCs w:val="21"/>
              </w:rPr>
              <w:t>价格（元）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40" w:type="dxa"/>
            <w:vMerge w:val="continue"/>
            <w:vAlign w:val="center"/>
          </w:tcPr>
          <w:p>
            <w:pPr>
              <w:jc w:val="center"/>
              <w:rPr>
                <w:rFonts w:ascii="宋体" w:hAnsi="宋体" w:cs="宋体"/>
                <w:szCs w:val="21"/>
              </w:rPr>
            </w:pPr>
          </w:p>
        </w:tc>
        <w:tc>
          <w:tcPr>
            <w:tcW w:w="1564" w:type="dxa"/>
            <w:vMerge w:val="continue"/>
            <w:vAlign w:val="center"/>
          </w:tcPr>
          <w:p>
            <w:pPr>
              <w:jc w:val="center"/>
              <w:rPr>
                <w:rFonts w:ascii="宋体" w:hAnsi="宋体" w:cs="宋体"/>
                <w:szCs w:val="21"/>
              </w:rPr>
            </w:pPr>
          </w:p>
        </w:tc>
        <w:tc>
          <w:tcPr>
            <w:tcW w:w="1319" w:type="dxa"/>
            <w:vMerge w:val="continue"/>
            <w:vAlign w:val="center"/>
          </w:tcPr>
          <w:p>
            <w:pPr>
              <w:jc w:val="center"/>
              <w:rPr>
                <w:rFonts w:ascii="宋体" w:hAnsi="宋体" w:cs="宋体"/>
                <w:szCs w:val="21"/>
              </w:rPr>
            </w:pPr>
          </w:p>
        </w:tc>
        <w:tc>
          <w:tcPr>
            <w:tcW w:w="2507" w:type="dxa"/>
            <w:vMerge w:val="continue"/>
            <w:vAlign w:val="center"/>
          </w:tcPr>
          <w:p>
            <w:pPr>
              <w:jc w:val="center"/>
              <w:rPr>
                <w:rFonts w:ascii="宋体" w:hAnsi="宋体" w:cs="宋体"/>
                <w:szCs w:val="21"/>
              </w:rPr>
            </w:pPr>
          </w:p>
        </w:tc>
        <w:tc>
          <w:tcPr>
            <w:tcW w:w="796" w:type="dxa"/>
            <w:vMerge w:val="continue"/>
            <w:vAlign w:val="center"/>
          </w:tcPr>
          <w:p>
            <w:pPr>
              <w:jc w:val="center"/>
              <w:rPr>
                <w:rFonts w:ascii="宋体" w:hAnsi="宋体" w:cs="宋体"/>
                <w:szCs w:val="21"/>
              </w:rPr>
            </w:pPr>
          </w:p>
        </w:tc>
        <w:tc>
          <w:tcPr>
            <w:tcW w:w="985" w:type="dxa"/>
            <w:vAlign w:val="center"/>
          </w:tcPr>
          <w:p>
            <w:pPr>
              <w:jc w:val="center"/>
              <w:rPr>
                <w:rFonts w:ascii="宋体" w:hAnsi="宋体" w:cs="宋体"/>
                <w:szCs w:val="21"/>
              </w:rPr>
            </w:pPr>
            <w:r>
              <w:rPr>
                <w:rFonts w:hint="eastAsia" w:ascii="宋体" w:hAnsi="宋体" w:cs="宋体"/>
                <w:szCs w:val="21"/>
              </w:rPr>
              <w:t>单价</w:t>
            </w:r>
          </w:p>
        </w:tc>
        <w:tc>
          <w:tcPr>
            <w:tcW w:w="975" w:type="dxa"/>
            <w:vAlign w:val="center"/>
          </w:tcPr>
          <w:p>
            <w:pPr>
              <w:jc w:val="center"/>
              <w:rPr>
                <w:rFonts w:ascii="宋体" w:hAnsi="宋体" w:cs="宋体"/>
                <w:szCs w:val="21"/>
              </w:rPr>
            </w:pPr>
            <w:r>
              <w:rPr>
                <w:rFonts w:hint="eastAsia" w:ascii="宋体" w:hAnsi="宋体" w:cs="宋体"/>
                <w:szCs w:val="21"/>
              </w:rPr>
              <w:t>合价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40"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1</w:t>
            </w:r>
          </w:p>
        </w:tc>
        <w:tc>
          <w:tcPr>
            <w:tcW w:w="1564" w:type="dxa"/>
            <w:vAlign w:val="center"/>
          </w:tcPr>
          <w:p>
            <w:pPr>
              <w:widowControl/>
              <w:jc w:val="center"/>
              <w:textAlignment w:val="center"/>
              <w:rPr>
                <w:rFonts w:ascii="宋体" w:hAnsi="宋体" w:cs="宋体"/>
                <w:szCs w:val="21"/>
              </w:rPr>
            </w:pPr>
          </w:p>
        </w:tc>
        <w:tc>
          <w:tcPr>
            <w:tcW w:w="1319" w:type="dxa"/>
          </w:tcPr>
          <w:p>
            <w:pPr>
              <w:rPr>
                <w:rFonts w:ascii="宋体" w:hAnsi="宋体" w:cs="宋体"/>
                <w:szCs w:val="21"/>
              </w:rPr>
            </w:pPr>
          </w:p>
        </w:tc>
        <w:tc>
          <w:tcPr>
            <w:tcW w:w="2507" w:type="dxa"/>
          </w:tcPr>
          <w:p>
            <w:pPr>
              <w:rPr>
                <w:rFonts w:ascii="宋体" w:hAnsi="宋体" w:cs="宋体"/>
                <w:szCs w:val="21"/>
              </w:rPr>
            </w:pPr>
          </w:p>
        </w:tc>
        <w:tc>
          <w:tcPr>
            <w:tcW w:w="796" w:type="dxa"/>
          </w:tcPr>
          <w:p>
            <w:pPr>
              <w:rPr>
                <w:rFonts w:ascii="宋体" w:hAnsi="宋体" w:cs="宋体"/>
                <w:szCs w:val="21"/>
              </w:rPr>
            </w:pPr>
          </w:p>
        </w:tc>
        <w:tc>
          <w:tcPr>
            <w:tcW w:w="985" w:type="dxa"/>
          </w:tcPr>
          <w:p>
            <w:pPr>
              <w:rPr>
                <w:rFonts w:ascii="宋体" w:hAnsi="宋体" w:cs="宋体"/>
                <w:szCs w:val="21"/>
              </w:rPr>
            </w:pPr>
          </w:p>
        </w:tc>
        <w:tc>
          <w:tcPr>
            <w:tcW w:w="97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40"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2</w:t>
            </w:r>
          </w:p>
        </w:tc>
        <w:tc>
          <w:tcPr>
            <w:tcW w:w="1564" w:type="dxa"/>
            <w:vAlign w:val="center"/>
          </w:tcPr>
          <w:p>
            <w:pPr>
              <w:widowControl/>
              <w:jc w:val="center"/>
              <w:textAlignment w:val="center"/>
              <w:rPr>
                <w:rFonts w:ascii="宋体" w:hAnsi="宋体" w:cs="宋体"/>
                <w:szCs w:val="21"/>
              </w:rPr>
            </w:pPr>
          </w:p>
        </w:tc>
        <w:tc>
          <w:tcPr>
            <w:tcW w:w="1319" w:type="dxa"/>
          </w:tcPr>
          <w:p>
            <w:pPr>
              <w:rPr>
                <w:rFonts w:ascii="宋体" w:hAnsi="宋体" w:cs="宋体"/>
                <w:szCs w:val="21"/>
              </w:rPr>
            </w:pPr>
          </w:p>
        </w:tc>
        <w:tc>
          <w:tcPr>
            <w:tcW w:w="2507" w:type="dxa"/>
            <w:vAlign w:val="center"/>
          </w:tcPr>
          <w:p>
            <w:pPr>
              <w:jc w:val="center"/>
              <w:rPr>
                <w:rFonts w:ascii="宋体" w:hAnsi="宋体" w:cs="宋体"/>
                <w:szCs w:val="21"/>
              </w:rPr>
            </w:pPr>
          </w:p>
        </w:tc>
        <w:tc>
          <w:tcPr>
            <w:tcW w:w="796" w:type="dxa"/>
            <w:vAlign w:val="center"/>
          </w:tcPr>
          <w:p>
            <w:pPr>
              <w:rPr>
                <w:rFonts w:ascii="宋体" w:hAnsi="宋体" w:cs="宋体"/>
                <w:szCs w:val="21"/>
              </w:rPr>
            </w:pPr>
          </w:p>
        </w:tc>
        <w:tc>
          <w:tcPr>
            <w:tcW w:w="985" w:type="dxa"/>
          </w:tcPr>
          <w:p>
            <w:pPr>
              <w:rPr>
                <w:rFonts w:ascii="宋体" w:hAnsi="宋体" w:cs="宋体"/>
                <w:szCs w:val="21"/>
              </w:rPr>
            </w:pPr>
          </w:p>
        </w:tc>
        <w:tc>
          <w:tcPr>
            <w:tcW w:w="97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40" w:type="dxa"/>
            <w:vAlign w:val="center"/>
          </w:tcPr>
          <w:p>
            <w:pPr>
              <w:jc w:val="center"/>
              <w:rPr>
                <w:rFonts w:ascii="宋体" w:hAnsi="宋体" w:cs="宋体"/>
                <w:szCs w:val="21"/>
              </w:rPr>
            </w:pPr>
            <w:r>
              <w:rPr>
                <w:rFonts w:hint="eastAsia" w:ascii="宋体" w:hAnsi="宋体" w:cs="宋体"/>
                <w:szCs w:val="21"/>
              </w:rPr>
              <w:t>3</w:t>
            </w:r>
          </w:p>
        </w:tc>
        <w:tc>
          <w:tcPr>
            <w:tcW w:w="1564" w:type="dxa"/>
          </w:tcPr>
          <w:p>
            <w:pPr>
              <w:rPr>
                <w:rFonts w:ascii="宋体" w:hAnsi="宋体" w:cs="宋体"/>
                <w:szCs w:val="21"/>
              </w:rPr>
            </w:pPr>
          </w:p>
        </w:tc>
        <w:tc>
          <w:tcPr>
            <w:tcW w:w="1319" w:type="dxa"/>
          </w:tcPr>
          <w:p>
            <w:pPr>
              <w:rPr>
                <w:rFonts w:ascii="宋体" w:hAnsi="宋体" w:cs="宋体"/>
                <w:szCs w:val="21"/>
              </w:rPr>
            </w:pPr>
          </w:p>
        </w:tc>
        <w:tc>
          <w:tcPr>
            <w:tcW w:w="2507" w:type="dxa"/>
          </w:tcPr>
          <w:p>
            <w:pPr>
              <w:rPr>
                <w:rFonts w:ascii="宋体" w:hAnsi="宋体" w:cs="宋体"/>
                <w:szCs w:val="21"/>
              </w:rPr>
            </w:pPr>
          </w:p>
        </w:tc>
        <w:tc>
          <w:tcPr>
            <w:tcW w:w="796" w:type="dxa"/>
          </w:tcPr>
          <w:p>
            <w:pPr>
              <w:rPr>
                <w:rFonts w:ascii="宋体" w:hAnsi="宋体" w:cs="宋体"/>
                <w:szCs w:val="21"/>
              </w:rPr>
            </w:pPr>
          </w:p>
        </w:tc>
        <w:tc>
          <w:tcPr>
            <w:tcW w:w="985" w:type="dxa"/>
          </w:tcPr>
          <w:p>
            <w:pPr>
              <w:rPr>
                <w:rFonts w:ascii="宋体" w:hAnsi="宋体" w:cs="宋体"/>
                <w:szCs w:val="21"/>
              </w:rPr>
            </w:pPr>
          </w:p>
        </w:tc>
        <w:tc>
          <w:tcPr>
            <w:tcW w:w="97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40" w:type="dxa"/>
            <w:vAlign w:val="center"/>
          </w:tcPr>
          <w:p>
            <w:pPr>
              <w:jc w:val="center"/>
              <w:rPr>
                <w:rFonts w:ascii="宋体" w:hAnsi="宋体" w:cs="宋体"/>
                <w:szCs w:val="21"/>
              </w:rPr>
            </w:pPr>
            <w:r>
              <w:rPr>
                <w:rFonts w:hint="eastAsia" w:ascii="宋体" w:hAnsi="宋体" w:cs="宋体"/>
                <w:szCs w:val="21"/>
              </w:rPr>
              <w:t>4</w:t>
            </w:r>
          </w:p>
        </w:tc>
        <w:tc>
          <w:tcPr>
            <w:tcW w:w="1564" w:type="dxa"/>
          </w:tcPr>
          <w:p>
            <w:pPr>
              <w:rPr>
                <w:rFonts w:ascii="宋体" w:hAnsi="宋体" w:cs="宋体"/>
                <w:szCs w:val="21"/>
              </w:rPr>
            </w:pPr>
          </w:p>
        </w:tc>
        <w:tc>
          <w:tcPr>
            <w:tcW w:w="1319" w:type="dxa"/>
          </w:tcPr>
          <w:p>
            <w:pPr>
              <w:rPr>
                <w:rFonts w:ascii="宋体" w:hAnsi="宋体" w:cs="宋体"/>
                <w:szCs w:val="21"/>
              </w:rPr>
            </w:pPr>
          </w:p>
        </w:tc>
        <w:tc>
          <w:tcPr>
            <w:tcW w:w="2507" w:type="dxa"/>
          </w:tcPr>
          <w:p>
            <w:pPr>
              <w:rPr>
                <w:rFonts w:ascii="宋体" w:hAnsi="宋体" w:cs="宋体"/>
                <w:szCs w:val="21"/>
              </w:rPr>
            </w:pPr>
          </w:p>
        </w:tc>
        <w:tc>
          <w:tcPr>
            <w:tcW w:w="796" w:type="dxa"/>
          </w:tcPr>
          <w:p>
            <w:pPr>
              <w:rPr>
                <w:rFonts w:ascii="宋体" w:hAnsi="宋体" w:cs="宋体"/>
                <w:szCs w:val="21"/>
              </w:rPr>
            </w:pPr>
          </w:p>
        </w:tc>
        <w:tc>
          <w:tcPr>
            <w:tcW w:w="985" w:type="dxa"/>
          </w:tcPr>
          <w:p>
            <w:pPr>
              <w:rPr>
                <w:rFonts w:ascii="宋体" w:hAnsi="宋体" w:cs="宋体"/>
                <w:szCs w:val="21"/>
              </w:rPr>
            </w:pPr>
          </w:p>
        </w:tc>
        <w:tc>
          <w:tcPr>
            <w:tcW w:w="97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40" w:type="dxa"/>
            <w:vAlign w:val="center"/>
          </w:tcPr>
          <w:p>
            <w:pPr>
              <w:jc w:val="center"/>
              <w:rPr>
                <w:rFonts w:ascii="宋体" w:hAnsi="宋体" w:cs="宋体"/>
                <w:szCs w:val="21"/>
              </w:rPr>
            </w:pPr>
            <w:r>
              <w:rPr>
                <w:rFonts w:hint="eastAsia" w:ascii="宋体" w:hAnsi="宋体" w:cs="宋体"/>
                <w:szCs w:val="21"/>
              </w:rPr>
              <w:t>5</w:t>
            </w:r>
          </w:p>
        </w:tc>
        <w:tc>
          <w:tcPr>
            <w:tcW w:w="1564" w:type="dxa"/>
          </w:tcPr>
          <w:p>
            <w:pPr>
              <w:rPr>
                <w:rFonts w:ascii="宋体" w:hAnsi="宋体" w:cs="宋体"/>
                <w:szCs w:val="21"/>
              </w:rPr>
            </w:pPr>
          </w:p>
        </w:tc>
        <w:tc>
          <w:tcPr>
            <w:tcW w:w="1319" w:type="dxa"/>
          </w:tcPr>
          <w:p>
            <w:pPr>
              <w:rPr>
                <w:rFonts w:ascii="宋体" w:hAnsi="宋体" w:cs="宋体"/>
                <w:szCs w:val="21"/>
              </w:rPr>
            </w:pPr>
          </w:p>
        </w:tc>
        <w:tc>
          <w:tcPr>
            <w:tcW w:w="2507" w:type="dxa"/>
          </w:tcPr>
          <w:p>
            <w:pPr>
              <w:rPr>
                <w:rFonts w:ascii="宋体" w:hAnsi="宋体" w:cs="宋体"/>
                <w:szCs w:val="21"/>
              </w:rPr>
            </w:pPr>
          </w:p>
        </w:tc>
        <w:tc>
          <w:tcPr>
            <w:tcW w:w="796" w:type="dxa"/>
          </w:tcPr>
          <w:p>
            <w:pPr>
              <w:rPr>
                <w:rFonts w:ascii="宋体" w:hAnsi="宋体" w:cs="宋体"/>
                <w:szCs w:val="21"/>
              </w:rPr>
            </w:pPr>
          </w:p>
        </w:tc>
        <w:tc>
          <w:tcPr>
            <w:tcW w:w="985" w:type="dxa"/>
          </w:tcPr>
          <w:p>
            <w:pPr>
              <w:rPr>
                <w:rFonts w:ascii="宋体" w:hAnsi="宋体" w:cs="宋体"/>
                <w:szCs w:val="21"/>
              </w:rPr>
            </w:pPr>
          </w:p>
        </w:tc>
        <w:tc>
          <w:tcPr>
            <w:tcW w:w="97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40" w:type="dxa"/>
            <w:vAlign w:val="center"/>
          </w:tcPr>
          <w:p>
            <w:pPr>
              <w:jc w:val="center"/>
              <w:rPr>
                <w:rFonts w:ascii="宋体" w:hAnsi="宋体" w:cs="宋体"/>
                <w:szCs w:val="21"/>
              </w:rPr>
            </w:pPr>
            <w:r>
              <w:rPr>
                <w:rFonts w:hint="eastAsia" w:ascii="宋体" w:hAnsi="宋体" w:cs="宋体"/>
                <w:szCs w:val="21"/>
              </w:rPr>
              <w:t>…</w:t>
            </w:r>
          </w:p>
        </w:tc>
        <w:tc>
          <w:tcPr>
            <w:tcW w:w="1564" w:type="dxa"/>
          </w:tcPr>
          <w:p>
            <w:pPr>
              <w:rPr>
                <w:rFonts w:ascii="宋体" w:hAnsi="宋体" w:cs="宋体"/>
                <w:szCs w:val="21"/>
              </w:rPr>
            </w:pPr>
          </w:p>
        </w:tc>
        <w:tc>
          <w:tcPr>
            <w:tcW w:w="1319" w:type="dxa"/>
          </w:tcPr>
          <w:p>
            <w:pPr>
              <w:rPr>
                <w:rFonts w:ascii="宋体" w:hAnsi="宋体" w:cs="宋体"/>
                <w:szCs w:val="21"/>
              </w:rPr>
            </w:pPr>
          </w:p>
        </w:tc>
        <w:tc>
          <w:tcPr>
            <w:tcW w:w="2507" w:type="dxa"/>
          </w:tcPr>
          <w:p>
            <w:pPr>
              <w:rPr>
                <w:rFonts w:ascii="宋体" w:hAnsi="宋体" w:cs="宋体"/>
                <w:szCs w:val="21"/>
              </w:rPr>
            </w:pPr>
          </w:p>
        </w:tc>
        <w:tc>
          <w:tcPr>
            <w:tcW w:w="796" w:type="dxa"/>
          </w:tcPr>
          <w:p>
            <w:pPr>
              <w:rPr>
                <w:rFonts w:ascii="宋体" w:hAnsi="宋体" w:cs="宋体"/>
                <w:szCs w:val="21"/>
              </w:rPr>
            </w:pPr>
          </w:p>
        </w:tc>
        <w:tc>
          <w:tcPr>
            <w:tcW w:w="985" w:type="dxa"/>
          </w:tcPr>
          <w:p>
            <w:pPr>
              <w:rPr>
                <w:rFonts w:ascii="宋体" w:hAnsi="宋体" w:cs="宋体"/>
                <w:szCs w:val="21"/>
              </w:rPr>
            </w:pPr>
          </w:p>
        </w:tc>
        <w:tc>
          <w:tcPr>
            <w:tcW w:w="97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23" w:type="dxa"/>
            <w:gridSpan w:val="3"/>
            <w:vMerge w:val="restart"/>
            <w:vAlign w:val="center"/>
          </w:tcPr>
          <w:p>
            <w:pPr>
              <w:jc w:val="center"/>
              <w:rPr>
                <w:rFonts w:ascii="宋体" w:hAnsi="宋体" w:cs="宋体"/>
                <w:b/>
                <w:bCs/>
                <w:szCs w:val="21"/>
              </w:rPr>
            </w:pPr>
            <w:r>
              <w:rPr>
                <w:rFonts w:hint="eastAsia" w:ascii="宋体" w:hAnsi="宋体" w:cs="宋体"/>
                <w:b/>
                <w:bCs/>
                <w:szCs w:val="21"/>
              </w:rPr>
              <w:t>合计金额</w:t>
            </w:r>
          </w:p>
        </w:tc>
        <w:tc>
          <w:tcPr>
            <w:tcW w:w="5263" w:type="dxa"/>
            <w:gridSpan w:val="4"/>
            <w:vAlign w:val="center"/>
          </w:tcPr>
          <w:p>
            <w:pPr>
              <w:rPr>
                <w:rFonts w:ascii="宋体" w:hAnsi="宋体" w:cs="宋体"/>
                <w:b/>
                <w:bCs/>
                <w:szCs w:val="21"/>
              </w:rPr>
            </w:pPr>
            <w:r>
              <w:rPr>
                <w:rFonts w:hint="eastAsia" w:ascii="宋体" w:hAnsi="宋体" w:cs="宋体"/>
                <w:b/>
                <w:bCs/>
                <w:szCs w:val="21"/>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23" w:type="dxa"/>
            <w:gridSpan w:val="3"/>
            <w:vMerge w:val="continue"/>
            <w:tcBorders>
              <w:bottom w:val="single" w:color="auto" w:sz="4" w:space="0"/>
            </w:tcBorders>
          </w:tcPr>
          <w:p>
            <w:pPr>
              <w:jc w:val="center"/>
              <w:rPr>
                <w:rFonts w:ascii="宋体" w:hAnsi="宋体" w:cs="宋体"/>
                <w:b/>
                <w:bCs/>
                <w:szCs w:val="21"/>
              </w:rPr>
            </w:pPr>
          </w:p>
        </w:tc>
        <w:tc>
          <w:tcPr>
            <w:tcW w:w="5263" w:type="dxa"/>
            <w:gridSpan w:val="4"/>
            <w:tcBorders>
              <w:bottom w:val="single" w:color="auto" w:sz="4" w:space="0"/>
            </w:tcBorders>
          </w:tcPr>
          <w:p>
            <w:pPr>
              <w:rPr>
                <w:rFonts w:ascii="宋体" w:hAnsi="宋体" w:cs="宋体"/>
                <w:b/>
                <w:bCs/>
                <w:szCs w:val="21"/>
              </w:rPr>
            </w:pPr>
            <w:r>
              <w:rPr>
                <w:rFonts w:hint="eastAsia" w:ascii="宋体" w:hAnsi="宋体" w:cs="宋体"/>
                <w:b/>
                <w:bCs/>
                <w:szCs w:val="21"/>
              </w:rPr>
              <w:t>大写：</w:t>
            </w:r>
          </w:p>
        </w:tc>
      </w:tr>
    </w:tbl>
    <w:p>
      <w:pPr>
        <w:spacing w:line="360" w:lineRule="auto"/>
        <w:rPr>
          <w:rFonts w:ascii="宋体" w:hAnsi="宋体" w:cs="宋体"/>
          <w:bCs/>
          <w:szCs w:val="21"/>
        </w:rPr>
      </w:pPr>
      <w:r>
        <w:rPr>
          <w:rFonts w:hint="eastAsia" w:ascii="宋体" w:hAnsi="宋体" w:cs="宋体"/>
          <w:bCs/>
          <w:szCs w:val="21"/>
        </w:rPr>
        <w:t>注：</w:t>
      </w:r>
    </w:p>
    <w:p>
      <w:pPr>
        <w:pStyle w:val="29"/>
        <w:snapToGrid w:val="0"/>
        <w:spacing w:line="360" w:lineRule="auto"/>
        <w:ind w:firstLine="420" w:firstLineChars="200"/>
        <w:rPr>
          <w:rFonts w:hAnsi="宋体" w:cs="宋体"/>
          <w:bCs/>
          <w:szCs w:val="21"/>
        </w:rPr>
      </w:pPr>
      <w:r>
        <w:rPr>
          <w:rFonts w:hint="eastAsia" w:hAnsi="宋体" w:cs="宋体"/>
          <w:bCs/>
          <w:szCs w:val="21"/>
        </w:rPr>
        <w:t>1.表格格式可以自拟，但必须在标明投标货物（服务）名称、</w:t>
      </w:r>
      <w:r>
        <w:rPr>
          <w:rFonts w:hint="eastAsia" w:hAnsi="宋体" w:cs="宋体"/>
          <w:szCs w:val="21"/>
        </w:rPr>
        <w:t>品牌/规格型号/主要技术参数</w:t>
      </w:r>
      <w:r>
        <w:rPr>
          <w:rFonts w:hint="eastAsia" w:hAnsi="宋体" w:cs="宋体"/>
          <w:bCs/>
          <w:szCs w:val="21"/>
        </w:rPr>
        <w:t>、数量/单位、单价、合价、合计金额（含大写、小写）的前提下。</w:t>
      </w:r>
    </w:p>
    <w:p>
      <w:pPr>
        <w:pStyle w:val="29"/>
        <w:snapToGrid w:val="0"/>
        <w:spacing w:line="360" w:lineRule="auto"/>
        <w:ind w:firstLine="420" w:firstLineChars="200"/>
        <w:rPr>
          <w:rFonts w:hAnsi="宋体" w:cs="宋体"/>
          <w:bCs/>
          <w:szCs w:val="21"/>
        </w:rPr>
      </w:pPr>
      <w:r>
        <w:rPr>
          <w:rFonts w:hint="eastAsia" w:hAnsi="宋体" w:cs="宋体"/>
          <w:bCs/>
          <w:szCs w:val="21"/>
        </w:rPr>
        <w:t>2.包括完成项目所需的材料费、运输费、安装（调试）费、安装辅材、人员工资、保险费、网络使用、利润、税金等完成本项目采购范围内全部工作内容所需价款；合同包含的风险等所有采购文件提及或采购文件未提及的费用均应当列入本表中，任何缺、漏项均视为包含在已列明的报价内容/项目中。</w:t>
      </w:r>
    </w:p>
    <w:p>
      <w:pPr>
        <w:pStyle w:val="29"/>
        <w:snapToGrid w:val="0"/>
        <w:spacing w:line="360" w:lineRule="auto"/>
        <w:ind w:firstLine="420" w:firstLineChars="200"/>
        <w:rPr>
          <w:rFonts w:hAnsi="宋体" w:cs="宋体"/>
          <w:bCs/>
          <w:szCs w:val="21"/>
        </w:rPr>
      </w:pPr>
      <w:r>
        <w:rPr>
          <w:rFonts w:hint="eastAsia" w:hAnsi="宋体" w:cs="宋体"/>
          <w:bCs/>
          <w:szCs w:val="21"/>
        </w:rPr>
        <w:t>3.本表合计金额应与“开标一览表”中投标总价一致。</w:t>
      </w:r>
    </w:p>
    <w:p>
      <w:pPr>
        <w:pStyle w:val="29"/>
        <w:spacing w:line="360" w:lineRule="auto"/>
        <w:rPr>
          <w:rFonts w:hAnsi="宋体" w:cs="宋体"/>
          <w:szCs w:val="21"/>
        </w:rPr>
      </w:pPr>
      <w:r>
        <w:rPr>
          <w:rFonts w:hint="eastAsia" w:hAnsi="宋体" w:cs="宋体"/>
          <w:szCs w:val="21"/>
        </w:rPr>
        <w:t>投标人名称（盖章） ：</w:t>
      </w:r>
      <w:r>
        <w:rPr>
          <w:rFonts w:hint="eastAsia" w:hAnsi="宋体" w:cs="宋体"/>
          <w:szCs w:val="21"/>
          <w:u w:val="single"/>
        </w:rPr>
        <w:t xml:space="preserve">                               </w:t>
      </w:r>
    </w:p>
    <w:p>
      <w:pPr>
        <w:pStyle w:val="29"/>
        <w:spacing w:line="360" w:lineRule="auto"/>
        <w:rPr>
          <w:rFonts w:hAnsi="宋体" w:cs="宋体"/>
          <w:szCs w:val="21"/>
        </w:rPr>
      </w:pPr>
      <w:r>
        <w:rPr>
          <w:rFonts w:hint="eastAsia" w:hAnsi="宋体" w:cs="宋体"/>
          <w:szCs w:val="21"/>
        </w:rPr>
        <w:t>日期：   年   月   日</w:t>
      </w:r>
      <w:bookmarkEnd w:id="85"/>
    </w:p>
    <w:p>
      <w:pPr>
        <w:pStyle w:val="3"/>
        <w:spacing w:line="360" w:lineRule="auto"/>
        <w:rPr>
          <w:rFonts w:ascii="宋体" w:hAnsi="宋体" w:cs="宋体"/>
          <w:sz w:val="21"/>
          <w:szCs w:val="21"/>
        </w:rPr>
        <w:sectPr>
          <w:headerReference r:id="rId14" w:type="default"/>
          <w:pgSz w:w="11906" w:h="16838"/>
          <w:pgMar w:top="1440" w:right="1286" w:bottom="1440" w:left="1800" w:header="851" w:footer="992" w:gutter="0"/>
          <w:cols w:space="720" w:num="1"/>
          <w:docGrid w:type="lines" w:linePitch="312" w:charSpace="0"/>
        </w:sectPr>
      </w:pPr>
    </w:p>
    <w:p>
      <w:pPr>
        <w:spacing w:line="360" w:lineRule="auto"/>
        <w:jc w:val="left"/>
        <w:rPr>
          <w:rFonts w:hint="default" w:ascii="宋体" w:hAnsi="宋体" w:eastAsia="宋体" w:cs="宋体"/>
          <w:b/>
          <w:szCs w:val="21"/>
          <w:lang w:val="en-US" w:eastAsia="zh-CN"/>
        </w:rPr>
      </w:pPr>
      <w:bookmarkStart w:id="86" w:name="投标产品适用中小企业扶持政策情况表"/>
      <w:r>
        <w:rPr>
          <w:rFonts w:hint="eastAsia" w:ascii="宋体" w:hAnsi="宋体" w:cs="宋体"/>
          <w:b/>
          <w:szCs w:val="21"/>
        </w:rPr>
        <w:t>附件1</w:t>
      </w:r>
      <w:r>
        <w:rPr>
          <w:rFonts w:hint="eastAsia" w:ascii="宋体" w:hAnsi="宋体" w:cs="宋体"/>
          <w:b/>
          <w:szCs w:val="21"/>
          <w:lang w:val="en-US" w:eastAsia="zh-CN"/>
        </w:rPr>
        <w:t>3-1</w:t>
      </w:r>
    </w:p>
    <w:p>
      <w:pPr>
        <w:jc w:val="center"/>
        <w:rPr>
          <w:rFonts w:ascii="宋体" w:hAnsi="宋体" w:cs="宋体"/>
          <w:b/>
          <w:bCs/>
          <w:sz w:val="28"/>
          <w:szCs w:val="28"/>
        </w:rPr>
      </w:pPr>
      <w:r>
        <w:rPr>
          <w:rFonts w:hint="eastAsia" w:ascii="宋体" w:hAnsi="宋体" w:cs="宋体"/>
          <w:b/>
          <w:bCs/>
          <w:sz w:val="28"/>
          <w:szCs w:val="28"/>
        </w:rPr>
        <w:t>中小企业声明函</w:t>
      </w:r>
    </w:p>
    <w:p>
      <w:pPr>
        <w:pStyle w:val="34"/>
        <w:spacing w:line="360" w:lineRule="auto"/>
        <w:jc w:val="center"/>
        <w:rPr>
          <w:rFonts w:ascii="宋体" w:hAnsi="宋体" w:cs="宋体"/>
          <w:sz w:val="21"/>
          <w:szCs w:val="21"/>
        </w:rPr>
      </w:pPr>
      <w:r>
        <w:rPr>
          <w:rFonts w:hint="eastAsia" w:ascii="宋体" w:hAnsi="宋体" w:cs="宋体"/>
          <w:sz w:val="21"/>
          <w:szCs w:val="21"/>
        </w:rPr>
        <w:t>【</w:t>
      </w:r>
      <w:r>
        <w:rPr>
          <w:rFonts w:hint="eastAsia" w:ascii="宋体" w:hAnsi="宋体" w:cs="宋体"/>
          <w:b/>
          <w:bCs/>
          <w:sz w:val="21"/>
          <w:szCs w:val="21"/>
        </w:rPr>
        <w:t>所有货物全部由小型、微型企业制造的，提供本声明函</w:t>
      </w:r>
      <w:r>
        <w:rPr>
          <w:rFonts w:hint="eastAsia" w:ascii="宋体" w:hAnsi="宋体" w:cs="宋体"/>
          <w:sz w:val="21"/>
          <w:szCs w:val="21"/>
        </w:rPr>
        <w:t>】</w:t>
      </w:r>
    </w:p>
    <w:p>
      <w:pPr>
        <w:ind w:firstLine="420" w:firstLineChars="200"/>
        <w:rPr>
          <w:rFonts w:ascii="宋体" w:hAnsi="宋体" w:cs="宋体"/>
          <w:szCs w:val="21"/>
        </w:rPr>
      </w:pPr>
      <w:r>
        <w:rPr>
          <w:rFonts w:hint="eastAsia" w:ascii="宋体" w:hAnsi="宋体" w:cs="宋体"/>
          <w:szCs w:val="21"/>
        </w:rPr>
        <w:t>本公司郑重声明，根据《政府采购促进中小企业发展管理办法》（财库〔2020〕46号）的规定，本公司参加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采购活动，提供的货物的</w:t>
      </w:r>
      <w:r>
        <w:rPr>
          <w:rFonts w:hint="eastAsia" w:ascii="宋体" w:hAnsi="宋体" w:cs="宋体"/>
          <w:b/>
          <w:bCs/>
          <w:szCs w:val="21"/>
        </w:rPr>
        <w:t>全部由</w:t>
      </w:r>
      <w:r>
        <w:rPr>
          <w:rFonts w:hint="eastAsia" w:ascii="宋体" w:hAnsi="宋体" w:cs="宋体"/>
          <w:szCs w:val="21"/>
        </w:rPr>
        <w:t xml:space="preserve">符合政策要求的小、微企业制造。相关企业的具体情况如下： </w:t>
      </w:r>
    </w:p>
    <w:tbl>
      <w:tblPr>
        <w:tblStyle w:val="51"/>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097"/>
        <w:gridCol w:w="1125"/>
        <w:gridCol w:w="1313"/>
        <w:gridCol w:w="1097"/>
        <w:gridCol w:w="1078"/>
        <w:gridCol w:w="1134"/>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62" w:type="dxa"/>
            <w:vAlign w:val="center"/>
          </w:tcPr>
          <w:p>
            <w:pPr>
              <w:jc w:val="center"/>
              <w:rPr>
                <w:rFonts w:ascii="宋体" w:hAnsi="宋体" w:cs="宋体"/>
                <w:b/>
                <w:bCs/>
                <w:szCs w:val="21"/>
              </w:rPr>
            </w:pPr>
            <w:r>
              <w:rPr>
                <w:rFonts w:hint="eastAsia" w:ascii="宋体" w:hAnsi="宋体" w:cs="宋体"/>
                <w:b/>
                <w:bCs/>
                <w:szCs w:val="21"/>
              </w:rPr>
              <w:t>序号</w:t>
            </w:r>
          </w:p>
        </w:tc>
        <w:tc>
          <w:tcPr>
            <w:tcW w:w="1097" w:type="dxa"/>
            <w:vAlign w:val="center"/>
          </w:tcPr>
          <w:p>
            <w:pPr>
              <w:jc w:val="center"/>
              <w:rPr>
                <w:rFonts w:ascii="宋体" w:hAnsi="宋体" w:cs="宋体"/>
                <w:b/>
                <w:bCs/>
                <w:szCs w:val="21"/>
              </w:rPr>
            </w:pPr>
            <w:r>
              <w:rPr>
                <w:rFonts w:hint="eastAsia" w:ascii="宋体" w:hAnsi="宋体" w:cs="宋体"/>
                <w:b/>
                <w:bCs/>
                <w:szCs w:val="21"/>
              </w:rPr>
              <w:t>标的名称</w:t>
            </w:r>
          </w:p>
        </w:tc>
        <w:tc>
          <w:tcPr>
            <w:tcW w:w="1125" w:type="dxa"/>
            <w:vAlign w:val="center"/>
          </w:tcPr>
          <w:p>
            <w:pPr>
              <w:jc w:val="center"/>
              <w:rPr>
                <w:rFonts w:ascii="宋体" w:hAnsi="宋体" w:cs="宋体"/>
                <w:b/>
                <w:bCs/>
                <w:szCs w:val="21"/>
              </w:rPr>
            </w:pPr>
            <w:r>
              <w:rPr>
                <w:rFonts w:hint="eastAsia" w:ascii="宋体" w:hAnsi="宋体" w:cs="宋体"/>
                <w:b/>
                <w:bCs/>
                <w:szCs w:val="21"/>
              </w:rPr>
              <w:t>所属行业</w:t>
            </w:r>
          </w:p>
        </w:tc>
        <w:tc>
          <w:tcPr>
            <w:tcW w:w="1313" w:type="dxa"/>
            <w:vAlign w:val="center"/>
          </w:tcPr>
          <w:p>
            <w:pPr>
              <w:jc w:val="center"/>
              <w:rPr>
                <w:rFonts w:ascii="宋体" w:hAnsi="宋体" w:cs="宋体"/>
                <w:b/>
                <w:bCs/>
                <w:szCs w:val="21"/>
              </w:rPr>
            </w:pPr>
            <w:r>
              <w:rPr>
                <w:rFonts w:hint="eastAsia" w:ascii="宋体" w:hAnsi="宋体" w:cs="宋体"/>
                <w:b/>
                <w:bCs/>
                <w:szCs w:val="21"/>
              </w:rPr>
              <w:t>制造商名称</w:t>
            </w:r>
          </w:p>
        </w:tc>
        <w:tc>
          <w:tcPr>
            <w:tcW w:w="1097" w:type="dxa"/>
            <w:vAlign w:val="center"/>
          </w:tcPr>
          <w:p>
            <w:pPr>
              <w:jc w:val="center"/>
              <w:rPr>
                <w:rFonts w:ascii="宋体" w:hAnsi="宋体" w:cs="宋体"/>
                <w:b/>
                <w:bCs/>
                <w:szCs w:val="21"/>
              </w:rPr>
            </w:pPr>
            <w:r>
              <w:rPr>
                <w:rFonts w:hint="eastAsia" w:ascii="宋体" w:hAnsi="宋体" w:cs="宋体"/>
                <w:b/>
                <w:bCs/>
                <w:szCs w:val="21"/>
              </w:rPr>
              <w:t>制造商从业人员（人）</w:t>
            </w:r>
          </w:p>
        </w:tc>
        <w:tc>
          <w:tcPr>
            <w:tcW w:w="1078" w:type="dxa"/>
            <w:vAlign w:val="center"/>
          </w:tcPr>
          <w:p>
            <w:pPr>
              <w:jc w:val="center"/>
              <w:rPr>
                <w:rFonts w:ascii="宋体" w:hAnsi="宋体" w:cs="宋体"/>
                <w:b/>
                <w:bCs/>
                <w:szCs w:val="21"/>
              </w:rPr>
            </w:pPr>
            <w:r>
              <w:rPr>
                <w:rFonts w:hint="eastAsia" w:ascii="宋体" w:hAnsi="宋体" w:cs="宋体"/>
                <w:b/>
                <w:bCs/>
                <w:szCs w:val="21"/>
              </w:rPr>
              <w:t>制造商营业收入</w:t>
            </w:r>
          </w:p>
          <w:p>
            <w:pPr>
              <w:jc w:val="center"/>
              <w:rPr>
                <w:rFonts w:ascii="宋体" w:hAnsi="宋体" w:cs="宋体"/>
                <w:b/>
                <w:bCs/>
                <w:szCs w:val="21"/>
              </w:rPr>
            </w:pPr>
            <w:r>
              <w:rPr>
                <w:rFonts w:hint="eastAsia" w:ascii="宋体" w:hAnsi="宋体" w:cs="宋体"/>
                <w:b/>
                <w:bCs/>
                <w:szCs w:val="21"/>
              </w:rPr>
              <w:t>（万元）</w:t>
            </w:r>
          </w:p>
        </w:tc>
        <w:tc>
          <w:tcPr>
            <w:tcW w:w="1134" w:type="dxa"/>
            <w:vAlign w:val="center"/>
          </w:tcPr>
          <w:p>
            <w:pPr>
              <w:jc w:val="center"/>
              <w:rPr>
                <w:rFonts w:ascii="宋体" w:hAnsi="宋体" w:cs="宋体"/>
                <w:b/>
                <w:bCs/>
              </w:rPr>
            </w:pPr>
            <w:r>
              <w:rPr>
                <w:rFonts w:hint="eastAsia" w:ascii="宋体" w:hAnsi="宋体" w:cs="宋体"/>
                <w:b/>
                <w:bCs/>
              </w:rPr>
              <w:t>制造商资产总额</w:t>
            </w:r>
          </w:p>
          <w:p>
            <w:pPr>
              <w:pStyle w:val="20"/>
              <w:spacing w:after="0"/>
              <w:jc w:val="center"/>
              <w:rPr>
                <w:rFonts w:ascii="宋体" w:hAnsi="宋体" w:cs="宋体"/>
                <w:b/>
                <w:bCs/>
              </w:rPr>
            </w:pPr>
            <w:r>
              <w:rPr>
                <w:rFonts w:hint="eastAsia" w:ascii="宋体" w:hAnsi="宋体" w:cs="宋体"/>
                <w:b/>
                <w:bCs/>
                <w:szCs w:val="21"/>
              </w:rPr>
              <w:t>（万元）</w:t>
            </w:r>
          </w:p>
        </w:tc>
        <w:tc>
          <w:tcPr>
            <w:tcW w:w="2041" w:type="dxa"/>
            <w:vAlign w:val="center"/>
          </w:tcPr>
          <w:p>
            <w:pPr>
              <w:jc w:val="center"/>
              <w:rPr>
                <w:rFonts w:ascii="宋体" w:hAnsi="宋体" w:cs="宋体"/>
                <w:b/>
                <w:bCs/>
                <w:szCs w:val="21"/>
              </w:rPr>
            </w:pPr>
            <w:r>
              <w:rPr>
                <w:rFonts w:hint="eastAsia" w:ascii="宋体" w:hAnsi="宋体" w:cs="宋体"/>
                <w:b/>
                <w:bCs/>
                <w:szCs w:val="21"/>
              </w:rPr>
              <w:t>制造商企业类型</w:t>
            </w:r>
          </w:p>
          <w:p>
            <w:pPr>
              <w:jc w:val="center"/>
              <w:rPr>
                <w:rFonts w:ascii="宋体" w:hAnsi="宋体" w:cs="宋体"/>
                <w:b/>
                <w:bCs/>
                <w:szCs w:val="21"/>
              </w:rPr>
            </w:pPr>
            <w:r>
              <w:rPr>
                <w:rFonts w:hint="eastAsia" w:ascii="宋体" w:hAnsi="宋体" w:cs="宋体"/>
                <w:b/>
                <w:bCs/>
                <w:szCs w:val="21"/>
              </w:rPr>
              <w:t>（选填：①中型企业、②小型企业、</w:t>
            </w:r>
          </w:p>
          <w:p>
            <w:pPr>
              <w:jc w:val="center"/>
              <w:rPr>
                <w:rFonts w:ascii="宋体" w:hAnsi="宋体" w:cs="宋体"/>
                <w:b/>
                <w:bCs/>
                <w:szCs w:val="21"/>
              </w:rPr>
            </w:pPr>
            <w:r>
              <w:rPr>
                <w:rFonts w:hint="eastAsia" w:ascii="宋体" w:hAnsi="宋体" w:cs="宋体"/>
                <w:b/>
                <w:bCs/>
                <w:szCs w:val="21"/>
              </w:rPr>
              <w:t>③微型企业）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8885" w:type="dxa"/>
            <w:gridSpan w:val="7"/>
            <w:vAlign w:val="center"/>
          </w:tcPr>
          <w:p>
            <w:pPr>
              <w:jc w:val="left"/>
              <w:rPr>
                <w:rFonts w:ascii="宋体" w:hAnsi="宋体" w:cs="宋体"/>
                <w:szCs w:val="21"/>
              </w:rPr>
            </w:pPr>
            <w:r>
              <w:rPr>
                <w:rFonts w:hint="eastAsia" w:ascii="宋体" w:hAnsi="宋体" w:cs="宋体"/>
                <w:b/>
                <w:bCs/>
                <w:kern w:val="0"/>
                <w:szCs w:val="21"/>
              </w:rPr>
              <w:t>水文仪器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w:t>
            </w:r>
          </w:p>
        </w:tc>
        <w:tc>
          <w:tcPr>
            <w:tcW w:w="8885" w:type="dxa"/>
            <w:gridSpan w:val="7"/>
            <w:vAlign w:val="center"/>
          </w:tcPr>
          <w:p>
            <w:pPr>
              <w:jc w:val="left"/>
              <w:rPr>
                <w:rFonts w:ascii="宋体" w:hAnsi="宋体" w:cs="宋体"/>
                <w:szCs w:val="21"/>
              </w:rPr>
            </w:pPr>
            <w:r>
              <w:rPr>
                <w:rFonts w:hint="eastAsia" w:ascii="宋体" w:hAnsi="宋体" w:cs="宋体"/>
                <w:b/>
                <w:bCs/>
                <w:kern w:val="0"/>
                <w:szCs w:val="21"/>
              </w:rPr>
              <w:t>声学全断面时差法测流系统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097" w:type="dxa"/>
            <w:vAlign w:val="center"/>
          </w:tcPr>
          <w:p>
            <w:pPr>
              <w:spacing w:line="300" w:lineRule="auto"/>
              <w:jc w:val="center"/>
              <w:rPr>
                <w:rFonts w:ascii="宋体" w:hAnsi="宋体" w:cs="宋体"/>
                <w:szCs w:val="21"/>
                <w:highlight w:val="yellow"/>
              </w:rPr>
            </w:pPr>
            <w:r>
              <w:rPr>
                <w:rFonts w:hint="eastAsia" w:ascii="宋体" w:hAnsi="宋体" w:cs="宋体"/>
                <w:kern w:val="0"/>
                <w:szCs w:val="21"/>
              </w:rPr>
              <w:t>声学全断面时差法流速仪主机</w:t>
            </w:r>
          </w:p>
        </w:tc>
        <w:tc>
          <w:tcPr>
            <w:tcW w:w="1125" w:type="dxa"/>
            <w:vAlign w:val="center"/>
          </w:tcPr>
          <w:p>
            <w:pPr>
              <w:jc w:val="center"/>
              <w:rPr>
                <w:rFonts w:ascii="宋体" w:hAnsi="宋体" w:cs="宋体"/>
                <w:szCs w:val="21"/>
              </w:rPr>
            </w:pPr>
            <w:r>
              <w:rPr>
                <w:rFonts w:hint="eastAsia" w:ascii="宋体" w:hAnsi="宋体" w:cs="宋体"/>
                <w:szCs w:val="21"/>
              </w:rPr>
              <w:t>工业</w:t>
            </w:r>
          </w:p>
        </w:tc>
        <w:tc>
          <w:tcPr>
            <w:tcW w:w="1313" w:type="dxa"/>
            <w:vAlign w:val="center"/>
          </w:tcPr>
          <w:p>
            <w:pPr>
              <w:jc w:val="center"/>
              <w:rPr>
                <w:rFonts w:ascii="宋体" w:hAnsi="宋体" w:cs="宋体"/>
                <w:szCs w:val="21"/>
              </w:rPr>
            </w:pPr>
          </w:p>
        </w:tc>
        <w:tc>
          <w:tcPr>
            <w:tcW w:w="1097" w:type="dxa"/>
            <w:vAlign w:val="center"/>
          </w:tcPr>
          <w:p>
            <w:pPr>
              <w:jc w:val="center"/>
              <w:rPr>
                <w:rFonts w:ascii="宋体" w:hAnsi="宋体" w:cs="宋体"/>
                <w:szCs w:val="21"/>
              </w:rPr>
            </w:pPr>
          </w:p>
        </w:tc>
        <w:tc>
          <w:tcPr>
            <w:tcW w:w="1078" w:type="dxa"/>
            <w:vAlign w:val="center"/>
          </w:tcPr>
          <w:p>
            <w:pPr>
              <w:jc w:val="center"/>
              <w:rPr>
                <w:rFonts w:ascii="宋体" w:hAnsi="宋体" w:cs="宋体"/>
                <w:szCs w:val="21"/>
              </w:rPr>
            </w:pPr>
          </w:p>
        </w:tc>
        <w:tc>
          <w:tcPr>
            <w:tcW w:w="1134" w:type="dxa"/>
            <w:vAlign w:val="center"/>
          </w:tcPr>
          <w:p>
            <w:pPr>
              <w:jc w:val="center"/>
              <w:rPr>
                <w:rFonts w:ascii="宋体" w:hAnsi="宋体" w:cs="宋体"/>
                <w:szCs w:val="21"/>
              </w:rPr>
            </w:pPr>
          </w:p>
        </w:tc>
        <w:tc>
          <w:tcPr>
            <w:tcW w:w="204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1097" w:type="dxa"/>
            <w:vAlign w:val="center"/>
          </w:tcPr>
          <w:p>
            <w:pPr>
              <w:spacing w:line="300" w:lineRule="auto"/>
              <w:jc w:val="center"/>
              <w:rPr>
                <w:rFonts w:ascii="宋体" w:hAnsi="宋体" w:cs="宋体"/>
                <w:kern w:val="0"/>
                <w:szCs w:val="21"/>
              </w:rPr>
            </w:pPr>
            <w:r>
              <w:rPr>
                <w:rFonts w:hint="eastAsia" w:ascii="宋体" w:hAnsi="宋体" w:cs="宋体"/>
                <w:kern w:val="0"/>
                <w:szCs w:val="21"/>
              </w:rPr>
              <w:t>遥测终端机</w:t>
            </w:r>
          </w:p>
        </w:tc>
        <w:tc>
          <w:tcPr>
            <w:tcW w:w="1125" w:type="dxa"/>
            <w:vAlign w:val="center"/>
          </w:tcPr>
          <w:p>
            <w:pPr>
              <w:jc w:val="center"/>
              <w:rPr>
                <w:rFonts w:ascii="宋体" w:hAnsi="宋体" w:cs="宋体"/>
                <w:szCs w:val="21"/>
              </w:rPr>
            </w:pPr>
            <w:r>
              <w:rPr>
                <w:rFonts w:hint="eastAsia" w:ascii="宋体" w:hAnsi="宋体" w:cs="宋体"/>
                <w:szCs w:val="21"/>
              </w:rPr>
              <w:t>工业</w:t>
            </w:r>
          </w:p>
        </w:tc>
        <w:tc>
          <w:tcPr>
            <w:tcW w:w="1313" w:type="dxa"/>
            <w:vAlign w:val="center"/>
          </w:tcPr>
          <w:p>
            <w:pPr>
              <w:jc w:val="center"/>
              <w:rPr>
                <w:rFonts w:ascii="宋体" w:hAnsi="宋体" w:cs="宋体"/>
                <w:szCs w:val="21"/>
              </w:rPr>
            </w:pPr>
          </w:p>
        </w:tc>
        <w:tc>
          <w:tcPr>
            <w:tcW w:w="1097" w:type="dxa"/>
            <w:vAlign w:val="center"/>
          </w:tcPr>
          <w:p>
            <w:pPr>
              <w:jc w:val="center"/>
              <w:rPr>
                <w:rFonts w:ascii="宋体" w:hAnsi="宋体" w:cs="宋体"/>
                <w:szCs w:val="21"/>
              </w:rPr>
            </w:pPr>
          </w:p>
        </w:tc>
        <w:tc>
          <w:tcPr>
            <w:tcW w:w="1078" w:type="dxa"/>
            <w:vAlign w:val="center"/>
          </w:tcPr>
          <w:p>
            <w:pPr>
              <w:jc w:val="center"/>
              <w:rPr>
                <w:rFonts w:ascii="宋体" w:hAnsi="宋体" w:cs="宋体"/>
                <w:szCs w:val="21"/>
              </w:rPr>
            </w:pPr>
          </w:p>
        </w:tc>
        <w:tc>
          <w:tcPr>
            <w:tcW w:w="1134" w:type="dxa"/>
            <w:vAlign w:val="center"/>
          </w:tcPr>
          <w:p>
            <w:pPr>
              <w:jc w:val="center"/>
              <w:rPr>
                <w:rFonts w:ascii="宋体" w:hAnsi="宋体" w:cs="宋体"/>
                <w:szCs w:val="21"/>
              </w:rPr>
            </w:pPr>
          </w:p>
        </w:tc>
        <w:tc>
          <w:tcPr>
            <w:tcW w:w="204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1097" w:type="dxa"/>
            <w:vAlign w:val="center"/>
          </w:tcPr>
          <w:p>
            <w:pPr>
              <w:spacing w:line="300" w:lineRule="auto"/>
              <w:jc w:val="center"/>
              <w:rPr>
                <w:rFonts w:ascii="宋体" w:hAnsi="宋体" w:cs="宋体"/>
                <w:kern w:val="0"/>
                <w:szCs w:val="21"/>
              </w:rPr>
            </w:pPr>
            <w:r>
              <w:rPr>
                <w:rFonts w:hint="eastAsia" w:ascii="宋体" w:hAnsi="宋体" w:cs="宋体"/>
                <w:kern w:val="0"/>
                <w:szCs w:val="21"/>
              </w:rPr>
              <w:t>数据传输模块</w:t>
            </w:r>
          </w:p>
        </w:tc>
        <w:tc>
          <w:tcPr>
            <w:tcW w:w="1125" w:type="dxa"/>
            <w:vAlign w:val="center"/>
          </w:tcPr>
          <w:p>
            <w:pPr>
              <w:jc w:val="center"/>
              <w:rPr>
                <w:rFonts w:ascii="宋体" w:hAnsi="宋体" w:cs="宋体"/>
                <w:szCs w:val="21"/>
              </w:rPr>
            </w:pPr>
            <w:r>
              <w:rPr>
                <w:rFonts w:hint="eastAsia" w:ascii="宋体" w:hAnsi="宋体" w:cs="宋体"/>
                <w:szCs w:val="21"/>
              </w:rPr>
              <w:t>工业</w:t>
            </w:r>
          </w:p>
        </w:tc>
        <w:tc>
          <w:tcPr>
            <w:tcW w:w="1313" w:type="dxa"/>
            <w:vAlign w:val="center"/>
          </w:tcPr>
          <w:p>
            <w:pPr>
              <w:jc w:val="center"/>
              <w:rPr>
                <w:rFonts w:ascii="宋体" w:hAnsi="宋体" w:cs="宋体"/>
                <w:szCs w:val="21"/>
              </w:rPr>
            </w:pPr>
          </w:p>
        </w:tc>
        <w:tc>
          <w:tcPr>
            <w:tcW w:w="1097" w:type="dxa"/>
            <w:vAlign w:val="center"/>
          </w:tcPr>
          <w:p>
            <w:pPr>
              <w:jc w:val="center"/>
              <w:rPr>
                <w:rFonts w:ascii="宋体" w:hAnsi="宋体" w:cs="宋体"/>
                <w:szCs w:val="21"/>
              </w:rPr>
            </w:pPr>
          </w:p>
        </w:tc>
        <w:tc>
          <w:tcPr>
            <w:tcW w:w="1078" w:type="dxa"/>
            <w:vAlign w:val="center"/>
          </w:tcPr>
          <w:p>
            <w:pPr>
              <w:jc w:val="center"/>
              <w:rPr>
                <w:rFonts w:ascii="宋体" w:hAnsi="宋体" w:cs="宋体"/>
                <w:szCs w:val="21"/>
              </w:rPr>
            </w:pPr>
          </w:p>
        </w:tc>
        <w:tc>
          <w:tcPr>
            <w:tcW w:w="1134" w:type="dxa"/>
            <w:vAlign w:val="center"/>
          </w:tcPr>
          <w:p>
            <w:pPr>
              <w:jc w:val="center"/>
              <w:rPr>
                <w:rFonts w:ascii="宋体" w:hAnsi="宋体" w:cs="宋体"/>
                <w:szCs w:val="21"/>
              </w:rPr>
            </w:pPr>
          </w:p>
        </w:tc>
        <w:tc>
          <w:tcPr>
            <w:tcW w:w="204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pPr>
              <w:jc w:val="center"/>
              <w:rPr>
                <w:rFonts w:ascii="宋体" w:hAnsi="宋体" w:cs="宋体"/>
                <w:szCs w:val="21"/>
              </w:rPr>
            </w:pPr>
            <w:r>
              <w:rPr>
                <w:rFonts w:hint="eastAsia" w:ascii="宋体" w:hAnsi="宋体" w:cs="宋体"/>
                <w:szCs w:val="21"/>
              </w:rPr>
              <w:t>……</w:t>
            </w:r>
          </w:p>
        </w:tc>
        <w:tc>
          <w:tcPr>
            <w:tcW w:w="1097" w:type="dxa"/>
            <w:vAlign w:val="center"/>
          </w:tcPr>
          <w:p>
            <w:pPr>
              <w:jc w:val="center"/>
              <w:rPr>
                <w:rFonts w:ascii="宋体" w:hAnsi="宋体" w:cs="宋体"/>
                <w:szCs w:val="21"/>
              </w:rPr>
            </w:pPr>
            <w:r>
              <w:rPr>
                <w:rFonts w:hint="eastAsia" w:ascii="宋体" w:hAnsi="宋体" w:cs="宋体"/>
                <w:szCs w:val="21"/>
              </w:rPr>
              <w:t>……</w:t>
            </w:r>
          </w:p>
        </w:tc>
        <w:tc>
          <w:tcPr>
            <w:tcW w:w="1125" w:type="dxa"/>
            <w:vAlign w:val="center"/>
          </w:tcPr>
          <w:p>
            <w:pPr>
              <w:jc w:val="center"/>
              <w:rPr>
                <w:rFonts w:ascii="宋体" w:hAnsi="宋体" w:cs="宋体"/>
                <w:szCs w:val="21"/>
              </w:rPr>
            </w:pPr>
            <w:r>
              <w:rPr>
                <w:rFonts w:hint="eastAsia" w:ascii="宋体" w:hAnsi="宋体" w:cs="宋体"/>
                <w:szCs w:val="21"/>
              </w:rPr>
              <w:t>……</w:t>
            </w:r>
          </w:p>
        </w:tc>
        <w:tc>
          <w:tcPr>
            <w:tcW w:w="1313" w:type="dxa"/>
            <w:vAlign w:val="center"/>
          </w:tcPr>
          <w:p>
            <w:pPr>
              <w:jc w:val="center"/>
              <w:rPr>
                <w:rFonts w:ascii="宋体" w:hAnsi="宋体" w:cs="宋体"/>
                <w:szCs w:val="21"/>
              </w:rPr>
            </w:pPr>
          </w:p>
        </w:tc>
        <w:tc>
          <w:tcPr>
            <w:tcW w:w="1097" w:type="dxa"/>
            <w:vAlign w:val="center"/>
          </w:tcPr>
          <w:p>
            <w:pPr>
              <w:jc w:val="center"/>
              <w:rPr>
                <w:rFonts w:ascii="宋体" w:hAnsi="宋体" w:cs="宋体"/>
                <w:szCs w:val="21"/>
              </w:rPr>
            </w:pPr>
          </w:p>
        </w:tc>
        <w:tc>
          <w:tcPr>
            <w:tcW w:w="1078" w:type="dxa"/>
            <w:vAlign w:val="center"/>
          </w:tcPr>
          <w:p>
            <w:pPr>
              <w:jc w:val="center"/>
              <w:rPr>
                <w:rFonts w:ascii="宋体" w:hAnsi="宋体" w:cs="宋体"/>
                <w:szCs w:val="21"/>
              </w:rPr>
            </w:pPr>
          </w:p>
        </w:tc>
        <w:tc>
          <w:tcPr>
            <w:tcW w:w="1134" w:type="dxa"/>
            <w:vAlign w:val="center"/>
          </w:tcPr>
          <w:p>
            <w:pPr>
              <w:jc w:val="center"/>
              <w:rPr>
                <w:rFonts w:ascii="宋体" w:hAnsi="宋体" w:cs="宋体"/>
                <w:szCs w:val="21"/>
              </w:rPr>
            </w:pPr>
          </w:p>
        </w:tc>
        <w:tc>
          <w:tcPr>
            <w:tcW w:w="2041" w:type="dxa"/>
            <w:vAlign w:val="center"/>
          </w:tcPr>
          <w:p>
            <w:pPr>
              <w:jc w:val="center"/>
              <w:rPr>
                <w:rFonts w:ascii="宋体" w:hAnsi="宋体" w:cs="宋体"/>
                <w:szCs w:val="21"/>
              </w:rPr>
            </w:pPr>
          </w:p>
        </w:tc>
      </w:tr>
    </w:tbl>
    <w:p>
      <w:pPr>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pPr>
        <w:rPr>
          <w:rFonts w:ascii="宋体" w:hAnsi="宋体" w:cs="宋体"/>
          <w:b/>
          <w:szCs w:val="21"/>
        </w:rPr>
      </w:pPr>
    </w:p>
    <w:p>
      <w:pPr>
        <w:spacing w:line="360" w:lineRule="auto"/>
        <w:jc w:val="left"/>
        <w:rPr>
          <w:rFonts w:ascii="宋体" w:hAnsi="宋体" w:cs="宋体"/>
          <w:szCs w:val="21"/>
          <w:u w:val="single"/>
        </w:rPr>
      </w:pPr>
      <w:r>
        <w:rPr>
          <w:rFonts w:hint="eastAsia" w:ascii="宋体" w:hAnsi="宋体" w:cs="宋体"/>
          <w:szCs w:val="21"/>
        </w:rPr>
        <w:t xml:space="preserve">投标人名称（盖章）： </w:t>
      </w:r>
      <w:r>
        <w:rPr>
          <w:rFonts w:hint="eastAsia" w:ascii="宋体" w:hAnsi="宋体" w:cs="宋体"/>
          <w:szCs w:val="21"/>
          <w:u w:val="single"/>
        </w:rPr>
        <w:t xml:space="preserve">                          </w:t>
      </w:r>
    </w:p>
    <w:p>
      <w:pPr>
        <w:spacing w:line="360" w:lineRule="auto"/>
        <w:jc w:val="left"/>
        <w:rPr>
          <w:rFonts w:ascii="宋体" w:hAnsi="宋体" w:cs="宋体"/>
          <w:szCs w:val="21"/>
        </w:rPr>
      </w:pPr>
      <w:r>
        <w:rPr>
          <w:rFonts w:hint="eastAsia" w:ascii="宋体" w:hAnsi="宋体" w:cs="宋体"/>
          <w:szCs w:val="21"/>
        </w:rPr>
        <w:t>日期：      年   月   日</w:t>
      </w:r>
    </w:p>
    <w:p>
      <w:pPr>
        <w:widowControl/>
        <w:tabs>
          <w:tab w:val="left" w:pos="4860"/>
        </w:tabs>
        <w:ind w:right="-21" w:firstLine="420" w:firstLineChars="200"/>
        <w:jc w:val="left"/>
        <w:rPr>
          <w:rFonts w:ascii="宋体" w:hAnsi="宋体" w:cs="宋体"/>
          <w:b/>
          <w:szCs w:val="21"/>
        </w:rPr>
      </w:pPr>
      <w:r>
        <w:rPr>
          <w:rFonts w:hint="eastAsia" w:ascii="宋体" w:hAnsi="宋体" w:cs="宋体"/>
          <w:b/>
          <w:szCs w:val="21"/>
        </w:rPr>
        <w:t>说明：</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b/>
          <w:szCs w:val="21"/>
        </w:rPr>
        <w:t>★1.采购项目涉及多个采购标的的，供应商应当按照“投标人（供应商）须知前附表”明确的所有采购标的对应的中小企业划型标准所属行业，分别</w:t>
      </w:r>
      <w:r>
        <w:rPr>
          <w:rFonts w:hint="eastAsia" w:ascii="宋体" w:hAnsi="宋体" w:cs="宋体"/>
          <w:b/>
          <w:bCs/>
          <w:szCs w:val="21"/>
        </w:rPr>
        <w:t>结合《关于印发中小企业划型标准规定的通知》（工信部联企业〔2011〕300号）对应的划型标准和所投产品制造商各项指标判断企业规模类型，</w:t>
      </w:r>
      <w:r>
        <w:rPr>
          <w:rFonts w:hint="eastAsia" w:ascii="宋体" w:hAnsi="宋体" w:cs="宋体"/>
          <w:b/>
          <w:szCs w:val="21"/>
        </w:rPr>
        <w:t>逐一如实确认所投产品制造商是否属于小型或微型企业。未按上述要求填写的（即未完整、如实填写的），其《中小企业声明函》不予认定，不得享受价格扣除优惠政策。</w:t>
      </w:r>
    </w:p>
    <w:p>
      <w:pPr>
        <w:widowControl/>
        <w:tabs>
          <w:tab w:val="left" w:pos="4860"/>
        </w:tabs>
        <w:ind w:firstLine="420" w:firstLineChars="200"/>
        <w:jc w:val="left"/>
        <w:rPr>
          <w:rFonts w:ascii="宋体" w:hAnsi="宋体" w:cs="宋体"/>
          <w:bCs/>
          <w:szCs w:val="21"/>
        </w:rPr>
      </w:pPr>
      <w:r>
        <w:rPr>
          <w:rFonts w:hint="eastAsia" w:ascii="宋体" w:hAnsi="宋体" w:cs="宋体"/>
          <w:bCs/>
          <w:szCs w:val="21"/>
        </w:rPr>
        <w:t>2.从业人员、营业收入、资产总额等填报上一年度数据。新成立企业应参照</w:t>
      </w:r>
      <w:r>
        <w:rPr>
          <w:rFonts w:hint="eastAsia" w:ascii="宋体" w:hAnsi="宋体" w:cs="宋体"/>
          <w:szCs w:val="21"/>
        </w:rPr>
        <w:t>《关于印发中小企业划型标准规定的通知》（工信部联企业〔2011〕300号）对应的划分标准</w:t>
      </w:r>
      <w:r>
        <w:rPr>
          <w:rFonts w:hint="eastAsia" w:ascii="宋体" w:hAnsi="宋体" w:cs="宋体"/>
          <w:bCs/>
          <w:szCs w:val="21"/>
        </w:rPr>
        <w:t>，根据企业自身情况如实判断。认为本企业属于小微企业的，可按规定出具《中小企业声明函》，享受</w:t>
      </w:r>
      <w:r>
        <w:rPr>
          <w:rFonts w:hint="eastAsia" w:ascii="宋体" w:hAnsi="宋体" w:cs="宋体"/>
          <w:b/>
          <w:szCs w:val="21"/>
        </w:rPr>
        <w:t>价格扣除优惠</w:t>
      </w:r>
      <w:r>
        <w:rPr>
          <w:rFonts w:hint="eastAsia" w:ascii="宋体" w:hAnsi="宋体" w:cs="宋体"/>
          <w:bCs/>
          <w:szCs w:val="21"/>
        </w:rPr>
        <w:t>政策。</w:t>
      </w:r>
    </w:p>
    <w:p>
      <w:pPr>
        <w:widowControl/>
        <w:tabs>
          <w:tab w:val="left" w:pos="4860"/>
        </w:tabs>
        <w:ind w:firstLine="420" w:firstLineChars="200"/>
        <w:jc w:val="left"/>
        <w:rPr>
          <w:rFonts w:ascii="宋体" w:hAnsi="宋体" w:cs="宋体"/>
          <w:bCs/>
          <w:szCs w:val="21"/>
        </w:rPr>
      </w:pPr>
      <w:r>
        <w:rPr>
          <w:rFonts w:hint="eastAsia" w:ascii="宋体" w:hAnsi="宋体" w:cs="宋体"/>
          <w:bCs/>
          <w:szCs w:val="21"/>
        </w:rPr>
        <w:t>3.依据</w:t>
      </w:r>
      <w:r>
        <w:rPr>
          <w:rFonts w:hint="eastAsia" w:ascii="宋体" w:hAnsi="宋体" w:cs="宋体"/>
          <w:szCs w:val="21"/>
        </w:rPr>
        <w:t>《政府采购促进中小企业发展管理办法》（财库﹝2020﹞46号）</w:t>
      </w:r>
      <w:r>
        <w:rPr>
          <w:rFonts w:hint="eastAsia" w:ascii="宋体" w:hAnsi="宋体" w:cs="宋体"/>
          <w:bCs/>
          <w:szCs w:val="21"/>
        </w:rPr>
        <w:t>规定享受</w:t>
      </w:r>
      <w:r>
        <w:rPr>
          <w:rFonts w:hint="eastAsia" w:ascii="宋体" w:hAnsi="宋体" w:cs="宋体"/>
          <w:b/>
          <w:szCs w:val="21"/>
        </w:rPr>
        <w:t>价格扣除优惠</w:t>
      </w:r>
      <w:r>
        <w:rPr>
          <w:rFonts w:hint="eastAsia" w:ascii="宋体" w:hAnsi="宋体" w:cs="宋体"/>
          <w:bCs/>
          <w:szCs w:val="21"/>
        </w:rPr>
        <w:t>政策而中标（成交）的，中标（成交）人的《中小企业声明函》及分包协议（如项目接受分包）等将随中标（成交）结果同时公开，接受监督；</w:t>
      </w:r>
    </w:p>
    <w:p>
      <w:pPr>
        <w:widowControl/>
        <w:tabs>
          <w:tab w:val="left" w:pos="4860"/>
        </w:tabs>
        <w:ind w:firstLine="420" w:firstLineChars="200"/>
        <w:jc w:val="left"/>
        <w:rPr>
          <w:rFonts w:ascii="宋体" w:hAnsi="宋体" w:cs="宋体"/>
        </w:rPr>
      </w:pPr>
      <w:r>
        <w:rPr>
          <w:rFonts w:hint="eastAsia" w:ascii="宋体" w:hAnsi="宋体" w:cs="宋体"/>
          <w:bCs/>
          <w:szCs w:val="21"/>
        </w:rPr>
        <w:t>4.供应商提供的《中小企业声明函》经审查与事实不符，或享受</w:t>
      </w:r>
      <w:r>
        <w:rPr>
          <w:rFonts w:hint="eastAsia" w:ascii="宋体" w:hAnsi="宋体" w:cs="宋体"/>
          <w:b/>
          <w:szCs w:val="21"/>
        </w:rPr>
        <w:t>价格扣除优惠</w:t>
      </w:r>
      <w:r>
        <w:rPr>
          <w:rFonts w:hint="eastAsia" w:ascii="宋体" w:hAnsi="宋体" w:cs="宋体"/>
          <w:bCs/>
          <w:szCs w:val="21"/>
        </w:rPr>
        <w:t>政策而中标（成交）后违反规定将合同分包给大、中型企业的，按提供虚假材料谋取中标（成交）处理，依照《政府采购法》及其实施条例相关规定追究法律责任。</w:t>
      </w:r>
    </w:p>
    <w:p>
      <w:pPr>
        <w:rPr>
          <w:rFonts w:ascii="宋体" w:hAnsi="宋体" w:cs="宋体"/>
          <w:b/>
          <w:szCs w:val="21"/>
        </w:rPr>
      </w:pPr>
      <w:r>
        <w:rPr>
          <w:rFonts w:hint="eastAsia" w:ascii="宋体" w:hAnsi="宋体" w:cs="宋体"/>
          <w:b/>
          <w:szCs w:val="21"/>
        </w:rPr>
        <w:br w:type="page"/>
      </w:r>
    </w:p>
    <w:p>
      <w:pPr>
        <w:spacing w:line="360" w:lineRule="auto"/>
        <w:jc w:val="left"/>
        <w:rPr>
          <w:rFonts w:hint="default" w:ascii="宋体" w:hAnsi="宋体" w:eastAsia="宋体" w:cs="宋体"/>
          <w:b/>
          <w:szCs w:val="21"/>
          <w:lang w:val="en-US" w:eastAsia="zh-CN"/>
        </w:rPr>
      </w:pPr>
      <w:r>
        <w:rPr>
          <w:rFonts w:hint="eastAsia" w:ascii="宋体" w:hAnsi="宋体" w:cs="宋体"/>
          <w:b/>
          <w:szCs w:val="21"/>
        </w:rPr>
        <w:t>附件</w:t>
      </w:r>
      <w:r>
        <w:rPr>
          <w:rFonts w:hint="eastAsia" w:ascii="宋体" w:hAnsi="宋体" w:cs="宋体"/>
          <w:b/>
          <w:szCs w:val="21"/>
          <w:lang w:val="en-US" w:eastAsia="zh-CN"/>
        </w:rPr>
        <w:t>13-2</w:t>
      </w:r>
    </w:p>
    <w:p>
      <w:pPr>
        <w:jc w:val="center"/>
        <w:rPr>
          <w:rFonts w:ascii="宋体" w:hAnsi="宋体" w:cs="宋体"/>
          <w:b/>
          <w:bCs/>
          <w:sz w:val="28"/>
          <w:szCs w:val="28"/>
        </w:rPr>
      </w:pPr>
      <w:r>
        <w:rPr>
          <w:rFonts w:hint="eastAsia" w:ascii="宋体" w:hAnsi="宋体" w:cs="宋体"/>
          <w:b/>
          <w:bCs/>
          <w:sz w:val="28"/>
          <w:szCs w:val="28"/>
        </w:rPr>
        <w:t>残疾人福利性单位声明函</w:t>
      </w:r>
    </w:p>
    <w:p>
      <w:pPr>
        <w:pStyle w:val="34"/>
        <w:spacing w:line="360" w:lineRule="auto"/>
        <w:jc w:val="center"/>
        <w:rPr>
          <w:rFonts w:ascii="宋体" w:hAnsi="宋体" w:cs="宋体"/>
          <w:sz w:val="21"/>
          <w:szCs w:val="21"/>
        </w:rPr>
      </w:pPr>
      <w:r>
        <w:rPr>
          <w:rFonts w:hint="eastAsia" w:ascii="宋体" w:hAnsi="宋体" w:cs="宋体"/>
          <w:sz w:val="21"/>
          <w:szCs w:val="21"/>
        </w:rPr>
        <w:t>【投标人不属于残疾人福利性单位无需提供】</w:t>
      </w:r>
    </w:p>
    <w:p>
      <w:pPr>
        <w:widowControl/>
        <w:spacing w:line="360" w:lineRule="auto"/>
        <w:ind w:firstLine="420" w:firstLineChars="200"/>
        <w:jc w:val="left"/>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rPr>
          <w:rFonts w:ascii="宋体" w:hAnsi="宋体" w:cs="宋体"/>
          <w:szCs w:val="21"/>
        </w:rPr>
      </w:pPr>
      <w:r>
        <w:rPr>
          <w:rFonts w:hint="eastAsia" w:ascii="宋体" w:hAnsi="宋体" w:cs="宋体"/>
          <w:szCs w:val="21"/>
        </w:rPr>
        <w:t>本单位对上述声明的真实性负责。如有虚假，将依法承担相应责任。</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u w:val="single"/>
        </w:rPr>
      </w:pPr>
      <w:r>
        <w:rPr>
          <w:rFonts w:hint="eastAsia" w:ascii="宋体" w:hAnsi="宋体" w:cs="宋体"/>
          <w:szCs w:val="21"/>
        </w:rPr>
        <w:t xml:space="preserve">投标人名称（盖章）： </w:t>
      </w:r>
      <w:r>
        <w:rPr>
          <w:rFonts w:hint="eastAsia" w:ascii="宋体" w:hAnsi="宋体" w:cs="宋体"/>
          <w:szCs w:val="21"/>
          <w:u w:val="single"/>
        </w:rPr>
        <w:t xml:space="preserve">                          </w:t>
      </w:r>
    </w:p>
    <w:p>
      <w:pPr>
        <w:spacing w:line="360" w:lineRule="auto"/>
        <w:jc w:val="left"/>
        <w:rPr>
          <w:rFonts w:ascii="宋体" w:hAnsi="宋体" w:cs="宋体"/>
          <w:szCs w:val="21"/>
        </w:rPr>
      </w:pPr>
      <w:r>
        <w:rPr>
          <w:rFonts w:hint="eastAsia" w:ascii="宋体" w:hAnsi="宋体" w:cs="宋体"/>
          <w:szCs w:val="21"/>
        </w:rPr>
        <w:t>日期：      年   月   日</w:t>
      </w:r>
    </w:p>
    <w:p>
      <w:pPr>
        <w:rPr>
          <w:rFonts w:ascii="宋体" w:hAnsi="宋体" w:cs="宋体"/>
        </w:rPr>
      </w:pPr>
    </w:p>
    <w:p>
      <w:pPr>
        <w:widowControl/>
        <w:tabs>
          <w:tab w:val="left" w:pos="4860"/>
        </w:tabs>
        <w:ind w:right="-21" w:firstLine="420" w:firstLineChars="200"/>
        <w:jc w:val="left"/>
        <w:rPr>
          <w:rFonts w:ascii="宋体" w:hAnsi="宋体" w:cs="宋体"/>
        </w:rPr>
      </w:pPr>
    </w:p>
    <w:p>
      <w:pPr>
        <w:pStyle w:val="20"/>
        <w:rPr>
          <w:rFonts w:ascii="宋体" w:hAnsi="宋体" w:cs="宋体"/>
        </w:rPr>
      </w:pPr>
    </w:p>
    <w:p>
      <w:pPr>
        <w:pStyle w:val="21"/>
        <w:ind w:firstLine="210"/>
        <w:rPr>
          <w:rFonts w:ascii="宋体" w:hAnsi="宋体" w:cs="宋体"/>
        </w:rPr>
      </w:pPr>
    </w:p>
    <w:p>
      <w:pPr>
        <w:pStyle w:val="22"/>
        <w:rPr>
          <w:rFonts w:ascii="宋体" w:hAnsi="宋体" w:cs="宋体"/>
        </w:rPr>
      </w:pPr>
    </w:p>
    <w:p>
      <w:pPr>
        <w:rPr>
          <w:rFonts w:ascii="宋体" w:hAnsi="宋体" w:cs="宋体"/>
        </w:rPr>
      </w:pPr>
    </w:p>
    <w:p>
      <w:pPr>
        <w:widowControl/>
        <w:tabs>
          <w:tab w:val="left" w:pos="4860"/>
        </w:tabs>
        <w:ind w:right="-21" w:firstLine="420" w:firstLineChars="200"/>
        <w:jc w:val="left"/>
        <w:rPr>
          <w:rFonts w:ascii="宋体" w:hAnsi="宋体" w:cs="宋体"/>
          <w:b/>
          <w:szCs w:val="21"/>
        </w:rPr>
      </w:pPr>
      <w:r>
        <w:rPr>
          <w:rFonts w:hint="eastAsia" w:ascii="宋体" w:hAnsi="宋体" w:cs="宋体"/>
          <w:b/>
          <w:szCs w:val="21"/>
        </w:rPr>
        <w:t>说明：</w:t>
      </w:r>
    </w:p>
    <w:p>
      <w:pPr>
        <w:widowControl/>
        <w:tabs>
          <w:tab w:val="left" w:pos="4860"/>
        </w:tabs>
        <w:ind w:right="-21" w:firstLine="420" w:firstLineChars="200"/>
        <w:jc w:val="left"/>
        <w:rPr>
          <w:rFonts w:ascii="宋体" w:hAnsi="宋体" w:cs="宋体"/>
          <w:b/>
          <w:szCs w:val="21"/>
        </w:rPr>
      </w:pPr>
      <w:r>
        <w:rPr>
          <w:rFonts w:hint="eastAsia" w:ascii="宋体" w:hAnsi="宋体" w:cs="宋体"/>
          <w:b/>
          <w:szCs w:val="21"/>
        </w:rPr>
        <w:t>1.如中标，将在中标公示中将此残疾人福利性单位声明函予以公示，接受社会监督；</w:t>
      </w:r>
    </w:p>
    <w:p>
      <w:pPr>
        <w:widowControl/>
        <w:tabs>
          <w:tab w:val="left" w:pos="4860"/>
        </w:tabs>
        <w:ind w:right="-21" w:firstLine="420" w:firstLineChars="200"/>
        <w:jc w:val="left"/>
        <w:rPr>
          <w:rFonts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pPr>
        <w:rPr>
          <w:rFonts w:hint="eastAsia" w:ascii="宋体" w:hAnsi="宋体" w:eastAsia="宋体" w:cs="宋体"/>
          <w:b/>
          <w:szCs w:val="21"/>
        </w:rPr>
      </w:pPr>
      <w:r>
        <w:rPr>
          <w:rFonts w:hint="eastAsia" w:ascii="宋体" w:hAnsi="宋体" w:eastAsia="宋体" w:cs="宋体"/>
          <w:b/>
          <w:szCs w:val="21"/>
        </w:rPr>
        <w:br w:type="page"/>
      </w:r>
    </w:p>
    <w:p>
      <w:pPr>
        <w:spacing w:line="360" w:lineRule="auto"/>
        <w:jc w:val="left"/>
        <w:rPr>
          <w:rFonts w:hint="default" w:ascii="宋体" w:hAnsi="宋体" w:eastAsia="宋体" w:cs="宋体"/>
          <w:b/>
          <w:szCs w:val="21"/>
          <w:lang w:val="en-US" w:eastAsia="zh-CN"/>
        </w:rPr>
      </w:pPr>
      <w:r>
        <w:rPr>
          <w:rFonts w:hint="eastAsia" w:ascii="宋体" w:hAnsi="宋体" w:eastAsia="宋体" w:cs="宋体"/>
          <w:b/>
          <w:szCs w:val="21"/>
        </w:rPr>
        <w:t>附件</w:t>
      </w:r>
      <w:r>
        <w:rPr>
          <w:rFonts w:hint="eastAsia" w:ascii="宋体" w:hAnsi="宋体" w:eastAsia="宋体" w:cs="宋体"/>
          <w:b/>
          <w:color w:val="auto"/>
          <w:szCs w:val="21"/>
          <w:lang w:val="en-US" w:eastAsia="zh-CN"/>
        </w:rPr>
        <w:t>13-3</w:t>
      </w: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《属于监狱企业的证明文件》</w:t>
      </w:r>
    </w:p>
    <w:p>
      <w:pPr>
        <w:pStyle w:val="34"/>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【不属于</w:t>
      </w:r>
      <w:r>
        <w:rPr>
          <w:rFonts w:hint="eastAsia" w:ascii="宋体" w:hAnsi="宋体" w:cs="宋体"/>
          <w:sz w:val="21"/>
          <w:szCs w:val="21"/>
          <w:lang w:eastAsia="zh-CN"/>
        </w:rPr>
        <w:t>监狱企业的，</w:t>
      </w:r>
      <w:r>
        <w:rPr>
          <w:rFonts w:hint="eastAsia" w:ascii="宋体" w:hAnsi="宋体" w:eastAsia="宋体" w:cs="宋体"/>
          <w:sz w:val="21"/>
          <w:szCs w:val="21"/>
        </w:rPr>
        <w:t>无需提供】</w:t>
      </w:r>
    </w:p>
    <w:p>
      <w:pPr>
        <w:spacing w:line="360" w:lineRule="auto"/>
        <w:jc w:val="left"/>
        <w:rPr>
          <w:rFonts w:hint="eastAsia" w:ascii="宋体" w:hAnsi="宋体" w:eastAsia="宋体" w:cs="宋体"/>
          <w:color w:val="000000"/>
          <w:szCs w:val="21"/>
        </w:rPr>
      </w:pPr>
    </w:p>
    <w:p>
      <w:pPr>
        <w:spacing w:line="360" w:lineRule="auto"/>
        <w:jc w:val="left"/>
        <w:rPr>
          <w:rFonts w:hint="eastAsia" w:ascii="宋体" w:hAnsi="宋体" w:eastAsia="宋体" w:cs="宋体"/>
          <w:color w:val="000000"/>
          <w:szCs w:val="21"/>
        </w:rPr>
      </w:pPr>
    </w:p>
    <w:p>
      <w:pPr>
        <w:spacing w:line="360" w:lineRule="auto"/>
        <w:jc w:val="left"/>
        <w:rPr>
          <w:rFonts w:hint="eastAsia" w:ascii="宋体" w:hAnsi="宋体" w:eastAsia="宋体" w:cs="宋体"/>
          <w:color w:val="000000"/>
          <w:szCs w:val="21"/>
        </w:rPr>
      </w:pPr>
    </w:p>
    <w:p>
      <w:pPr>
        <w:spacing w:line="360" w:lineRule="auto"/>
        <w:jc w:val="left"/>
        <w:rPr>
          <w:rFonts w:hint="eastAsia" w:ascii="宋体" w:hAnsi="宋体" w:eastAsia="宋体" w:cs="宋体"/>
          <w:color w:val="000000"/>
          <w:szCs w:val="21"/>
        </w:rPr>
      </w:pPr>
    </w:p>
    <w:p>
      <w:pPr>
        <w:spacing w:line="360" w:lineRule="auto"/>
        <w:jc w:val="left"/>
        <w:rPr>
          <w:rFonts w:hint="eastAsia" w:ascii="宋体" w:hAnsi="宋体" w:eastAsia="宋体" w:cs="宋体"/>
          <w:color w:val="000000"/>
          <w:szCs w:val="21"/>
        </w:rPr>
      </w:pPr>
    </w:p>
    <w:p>
      <w:pPr>
        <w:spacing w:line="360" w:lineRule="auto"/>
        <w:jc w:val="left"/>
        <w:rPr>
          <w:rFonts w:hint="eastAsia" w:ascii="宋体" w:hAnsi="宋体" w:eastAsia="宋体" w:cs="宋体"/>
          <w:color w:val="000000"/>
          <w:szCs w:val="21"/>
        </w:rPr>
      </w:pPr>
    </w:p>
    <w:p>
      <w:pPr>
        <w:spacing w:line="360" w:lineRule="auto"/>
        <w:jc w:val="left"/>
        <w:rPr>
          <w:rFonts w:hint="eastAsia" w:ascii="宋体" w:hAnsi="宋体" w:eastAsia="宋体" w:cs="宋体"/>
          <w:color w:val="000000"/>
          <w:szCs w:val="21"/>
        </w:rPr>
      </w:pPr>
    </w:p>
    <w:p>
      <w:pPr>
        <w:widowControl/>
        <w:tabs>
          <w:tab w:val="left" w:pos="4860"/>
        </w:tabs>
        <w:ind w:right="-21" w:firstLine="420" w:firstLineChars="200"/>
        <w:jc w:val="left"/>
        <w:rPr>
          <w:rFonts w:hint="eastAsia" w:ascii="宋体" w:hAnsi="宋体" w:eastAsia="宋体" w:cs="宋体"/>
          <w:b/>
          <w:szCs w:val="21"/>
        </w:rPr>
      </w:pPr>
      <w:r>
        <w:rPr>
          <w:rFonts w:hint="eastAsia" w:ascii="宋体" w:hAnsi="宋体" w:eastAsia="宋体" w:cs="宋体"/>
          <w:b/>
          <w:szCs w:val="21"/>
        </w:rPr>
        <w:t>说明：</w:t>
      </w:r>
    </w:p>
    <w:p>
      <w:pPr>
        <w:widowControl/>
        <w:tabs>
          <w:tab w:val="left" w:pos="4860"/>
        </w:tabs>
        <w:ind w:right="-21" w:firstLine="420" w:firstLineChars="200"/>
        <w:jc w:val="left"/>
        <w:rPr>
          <w:rFonts w:hint="default" w:ascii="宋体" w:hAnsi="宋体" w:cs="宋体"/>
          <w:b/>
          <w:szCs w:val="21"/>
          <w:lang w:val="en-US" w:eastAsia="zh-CN"/>
        </w:rPr>
      </w:pPr>
      <w:r>
        <w:rPr>
          <w:rFonts w:hint="eastAsia" w:ascii="宋体" w:hAnsi="宋体" w:cs="宋体"/>
          <w:b/>
          <w:szCs w:val="21"/>
          <w:lang w:val="en-US" w:eastAsia="zh-CN"/>
        </w:rPr>
        <w:t>1.监狱企业证明文件必须由省级以上监狱管理局、戒毒管理局（含新疆生产建设兵团）出具，否则无效。</w:t>
      </w:r>
    </w:p>
    <w:p>
      <w:pPr>
        <w:widowControl/>
        <w:tabs>
          <w:tab w:val="left" w:pos="4860"/>
        </w:tabs>
        <w:ind w:right="-21" w:firstLine="420" w:firstLineChars="200"/>
        <w:jc w:val="left"/>
        <w:rPr>
          <w:rFonts w:hint="eastAsia" w:ascii="宋体" w:hAnsi="宋体" w:cs="宋体"/>
          <w:b/>
          <w:szCs w:val="21"/>
          <w:lang w:eastAsia="zh-CN"/>
        </w:rPr>
      </w:pPr>
      <w:r>
        <w:rPr>
          <w:rFonts w:hint="eastAsia" w:ascii="宋体" w:hAnsi="宋体" w:cs="宋体"/>
          <w:b/>
          <w:szCs w:val="21"/>
          <w:lang w:val="en-US" w:eastAsia="zh-CN"/>
        </w:rPr>
        <w:t>2</w:t>
      </w:r>
      <w:r>
        <w:rPr>
          <w:rFonts w:hint="eastAsia" w:ascii="宋体" w:hAnsi="宋体" w:cs="宋体"/>
          <w:b/>
          <w:szCs w:val="21"/>
          <w:lang w:eastAsia="zh-CN"/>
        </w:rPr>
        <w:t>.成交供应商的《监狱企业证明文件》将随本项目中标（成交）结果公告一并公示，接受社会监督；</w:t>
      </w:r>
    </w:p>
    <w:p>
      <w:pPr>
        <w:widowControl/>
        <w:tabs>
          <w:tab w:val="left" w:pos="4860"/>
        </w:tabs>
        <w:ind w:right="-21" w:firstLine="420" w:firstLineChars="200"/>
        <w:jc w:val="left"/>
        <w:rPr>
          <w:rFonts w:hint="eastAsia" w:ascii="宋体" w:hAnsi="宋体" w:cs="宋体"/>
          <w:b/>
          <w:szCs w:val="21"/>
          <w:lang w:eastAsia="zh-CN"/>
        </w:rPr>
      </w:pPr>
      <w:r>
        <w:rPr>
          <w:rFonts w:hint="eastAsia" w:ascii="宋体" w:hAnsi="宋体" w:cs="宋体"/>
          <w:b/>
          <w:szCs w:val="21"/>
          <w:lang w:val="en-US" w:eastAsia="zh-CN"/>
        </w:rPr>
        <w:t>3</w:t>
      </w:r>
      <w:r>
        <w:rPr>
          <w:rFonts w:hint="eastAsia" w:ascii="宋体" w:hAnsi="宋体" w:cs="宋体"/>
          <w:b/>
          <w:szCs w:val="21"/>
          <w:lang w:eastAsia="zh-CN"/>
        </w:rPr>
        <w:t>.供应商提供的《监狱企业证明文件》与事实不符的，依照《政府采购法》第七十七条第一款的规定追究法律责任。</w:t>
      </w:r>
    </w:p>
    <w:p>
      <w:pPr>
        <w:rPr>
          <w:rFonts w:hint="eastAsia" w:ascii="宋体" w:hAnsi="宋体" w:eastAsia="宋体" w:cs="宋体"/>
          <w:b/>
          <w:szCs w:val="21"/>
        </w:rPr>
      </w:pPr>
    </w:p>
    <w:p>
      <w:pPr>
        <w:pStyle w:val="4"/>
        <w:rPr>
          <w:rFonts w:hint="eastAsia" w:ascii="宋体" w:hAnsi="宋体" w:eastAsia="宋体" w:cs="宋体"/>
          <w:b/>
          <w:szCs w:val="21"/>
        </w:rPr>
      </w:pPr>
    </w:p>
    <w:p>
      <w:pPr>
        <w:rPr>
          <w:rFonts w:hint="eastAsia" w:ascii="宋体" w:hAnsi="宋体" w:eastAsia="宋体" w:cs="宋体"/>
          <w:b/>
          <w:szCs w:val="21"/>
        </w:rPr>
      </w:pPr>
    </w:p>
    <w:p>
      <w:pPr>
        <w:pStyle w:val="4"/>
        <w:rPr>
          <w:rFonts w:hint="eastAsia" w:ascii="宋体" w:hAnsi="宋体" w:eastAsia="宋体" w:cs="宋体"/>
          <w:b/>
          <w:szCs w:val="21"/>
        </w:rPr>
      </w:pPr>
    </w:p>
    <w:p>
      <w:pPr>
        <w:rPr>
          <w:rFonts w:hint="eastAsia" w:ascii="宋体" w:hAnsi="宋体" w:eastAsia="宋体" w:cs="宋体"/>
          <w:b/>
          <w:szCs w:val="21"/>
        </w:rPr>
      </w:pPr>
    </w:p>
    <w:p>
      <w:pPr>
        <w:bidi w:val="0"/>
        <w:rPr>
          <w:rFonts w:hint="eastAsia"/>
        </w:rPr>
      </w:pPr>
    </w:p>
    <w:p>
      <w:pPr>
        <w:bidi w:val="0"/>
        <w:rPr>
          <w:rFonts w:hint="eastAsia"/>
        </w:rPr>
      </w:pPr>
    </w:p>
    <w:p>
      <w:pPr>
        <w:bidi w:val="0"/>
        <w:rPr>
          <w:rFonts w:hint="eastAsia"/>
          <w:lang w:eastAsia="zh-CN"/>
        </w:rPr>
      </w:pPr>
    </w:p>
    <w:p>
      <w:pPr>
        <w:bidi w:val="0"/>
        <w:rPr>
          <w:rFonts w:hint="eastAsia"/>
          <w:lang w:eastAsia="zh-CN"/>
        </w:rPr>
      </w:pPr>
    </w:p>
    <w:p>
      <w:pPr>
        <w:rPr>
          <w:rFonts w:ascii="宋体" w:hAnsi="宋体" w:cs="宋体"/>
        </w:rPr>
      </w:pPr>
      <w:r>
        <w:rPr>
          <w:rFonts w:hint="eastAsia" w:ascii="宋体" w:hAnsi="宋体" w:cs="宋体"/>
        </w:rPr>
        <w:br w:type="page"/>
      </w:r>
    </w:p>
    <w:bookmarkEnd w:id="86"/>
    <w:p>
      <w:pPr>
        <w:pStyle w:val="162"/>
        <w:widowControl w:val="0"/>
        <w:snapToGrid w:val="0"/>
        <w:spacing w:line="500" w:lineRule="exact"/>
        <w:jc w:val="center"/>
        <w:rPr>
          <w:rFonts w:hAnsi="宋体"/>
          <w:b/>
          <w:bCs/>
          <w:sz w:val="28"/>
          <w:szCs w:val="28"/>
        </w:rPr>
      </w:pPr>
      <w:r>
        <w:rPr>
          <w:rFonts w:hint="eastAsia" w:hAnsi="宋体"/>
          <w:b/>
          <w:bCs/>
          <w:sz w:val="28"/>
          <w:szCs w:val="28"/>
        </w:rPr>
        <w:t>政府采购活动现场确认声明书</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u w:val="single"/>
        </w:rPr>
        <w:t>浙江哲晟工程项目管理有限公司：</w:t>
      </w:r>
    </w:p>
    <w:p>
      <w:pPr>
        <w:adjustRightInd w:val="0"/>
        <w:ind w:firstLine="444" w:firstLineChars="200"/>
        <w:rPr>
          <w:rFonts w:ascii="宋体" w:hAnsi="宋体" w:cs="宋体"/>
          <w:spacing w:val="6"/>
          <w:szCs w:val="21"/>
        </w:rPr>
      </w:pPr>
      <w:r>
        <w:rPr>
          <w:rFonts w:hint="eastAsia" w:ascii="宋体" w:hAnsi="宋体" w:cs="宋体"/>
          <w:spacing w:val="6"/>
          <w:szCs w:val="21"/>
        </w:rPr>
        <w:t>本人（</w:t>
      </w:r>
      <w:r>
        <w:rPr>
          <w:rFonts w:hint="eastAsia" w:ascii="宋体" w:hAnsi="宋体" w:cs="宋体"/>
          <w:spacing w:val="6"/>
          <w:szCs w:val="21"/>
          <w:u w:val="single"/>
        </w:rPr>
        <w:t xml:space="preserve">授权代表姓名       </w:t>
      </w:r>
      <w:r>
        <w:rPr>
          <w:rFonts w:hint="eastAsia" w:ascii="宋体" w:hAnsi="宋体" w:cs="宋体"/>
          <w:spacing w:val="6"/>
          <w:szCs w:val="21"/>
        </w:rPr>
        <w:t>），经由（</w:t>
      </w:r>
      <w:r>
        <w:rPr>
          <w:rFonts w:hint="eastAsia" w:ascii="宋体" w:hAnsi="宋体" w:cs="宋体"/>
          <w:spacing w:val="6"/>
          <w:szCs w:val="21"/>
          <w:u w:val="single"/>
        </w:rPr>
        <w:t xml:space="preserve">单位名称       </w:t>
      </w:r>
      <w:r>
        <w:rPr>
          <w:rFonts w:hint="eastAsia" w:ascii="宋体" w:hAnsi="宋体" w:cs="宋体"/>
          <w:spacing w:val="6"/>
          <w:szCs w:val="21"/>
        </w:rPr>
        <w:t>）（</w:t>
      </w:r>
      <w:r>
        <w:rPr>
          <w:rFonts w:hint="eastAsia" w:ascii="宋体" w:hAnsi="宋体" w:cs="宋体"/>
          <w:spacing w:val="6"/>
          <w:szCs w:val="21"/>
          <w:u w:val="single"/>
        </w:rPr>
        <w:t xml:space="preserve">法定代表人姓名     </w:t>
      </w:r>
      <w:r>
        <w:rPr>
          <w:rFonts w:hint="eastAsia" w:ascii="宋体" w:hAnsi="宋体" w:cs="宋体"/>
          <w:spacing w:val="6"/>
          <w:szCs w:val="21"/>
        </w:rPr>
        <w:t>）合法授权参加</w:t>
      </w:r>
      <w:r>
        <w:rPr>
          <w:rFonts w:hint="eastAsia" w:ascii="宋体" w:hAnsi="宋体" w:cs="宋体"/>
          <w:szCs w:val="21"/>
          <w:u w:val="single"/>
        </w:rPr>
        <w:t xml:space="preserve"> 项目名称                 </w:t>
      </w:r>
      <w:r>
        <w:rPr>
          <w:rFonts w:hint="eastAsia" w:ascii="宋体" w:hAnsi="宋体" w:cs="宋体"/>
          <w:spacing w:val="6"/>
          <w:szCs w:val="21"/>
          <w:u w:val="single"/>
        </w:rPr>
        <w:t>（编号：   ）</w:t>
      </w:r>
      <w:r>
        <w:rPr>
          <w:rFonts w:hint="eastAsia" w:ascii="宋体" w:hAnsi="宋体" w:cs="宋体"/>
          <w:spacing w:val="6"/>
          <w:szCs w:val="21"/>
        </w:rPr>
        <w:t>政府采购活动，经与本单位法人代表（负责人）联系确认，现就有关公平竞争</w:t>
      </w:r>
      <w:r>
        <w:rPr>
          <w:rFonts w:hint="eastAsia" w:ascii="宋体" w:hAnsi="宋体" w:cs="宋体"/>
          <w:szCs w:val="21"/>
        </w:rPr>
        <w:t>事项</w:t>
      </w:r>
      <w:r>
        <w:rPr>
          <w:rFonts w:hint="eastAsia" w:ascii="宋体" w:hAnsi="宋体" w:cs="宋体"/>
          <w:spacing w:val="6"/>
          <w:szCs w:val="21"/>
        </w:rPr>
        <w:t>郑重声明如下：</w:t>
      </w:r>
    </w:p>
    <w:p>
      <w:pPr>
        <w:ind w:firstLine="420" w:firstLineChars="200"/>
        <w:rPr>
          <w:rFonts w:ascii="宋体" w:hAnsi="宋体" w:cs="宋体"/>
          <w:kern w:val="0"/>
          <w:szCs w:val="21"/>
          <w:u w:val="single"/>
        </w:rPr>
      </w:pPr>
      <w:r>
        <w:rPr>
          <w:rFonts w:hint="eastAsia" w:ascii="宋体" w:hAnsi="宋体" w:cs="宋体"/>
          <w:kern w:val="0"/>
          <w:szCs w:val="21"/>
        </w:rPr>
        <w:t>一、本单位与采购人之间  □不存在利害关系  □存在下列利害关系：</w:t>
      </w:r>
      <w:r>
        <w:rPr>
          <w:rFonts w:hint="eastAsia" w:ascii="宋体" w:hAnsi="宋体" w:cs="宋体"/>
          <w:kern w:val="0"/>
          <w:szCs w:val="21"/>
          <w:u w:val="single"/>
        </w:rPr>
        <w:t xml:space="preserve">         </w:t>
      </w:r>
    </w:p>
    <w:p>
      <w:pPr>
        <w:ind w:firstLine="420" w:firstLineChars="200"/>
        <w:rPr>
          <w:rFonts w:ascii="宋体" w:hAnsi="宋体" w:cs="宋体"/>
          <w:kern w:val="0"/>
          <w:szCs w:val="21"/>
        </w:rPr>
      </w:pPr>
      <w:r>
        <w:rPr>
          <w:rFonts w:hint="eastAsia" w:ascii="宋体" w:hAnsi="宋体" w:cs="宋体"/>
          <w:kern w:val="0"/>
          <w:szCs w:val="21"/>
        </w:rPr>
        <w:t>A.投资关系    B.行政隶属关系    C.业务指导关系</w:t>
      </w:r>
    </w:p>
    <w:p>
      <w:pPr>
        <w:ind w:firstLine="420" w:firstLineChars="200"/>
        <w:rPr>
          <w:rFonts w:ascii="宋体" w:hAnsi="宋体" w:cs="宋体"/>
          <w:kern w:val="0"/>
          <w:szCs w:val="21"/>
        </w:rPr>
      </w:pPr>
      <w:r>
        <w:rPr>
          <w:rFonts w:hint="eastAsia" w:ascii="宋体" w:hAnsi="宋体" w:cs="宋体"/>
          <w:kern w:val="0"/>
          <w:szCs w:val="21"/>
        </w:rPr>
        <w:t>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（如有，请如实说明）</w:t>
      </w:r>
      <w:r>
        <w:rPr>
          <w:rFonts w:hint="eastAsia" w:ascii="宋体" w:hAnsi="宋体" w:cs="宋体"/>
          <w:kern w:val="0"/>
          <w:szCs w:val="21"/>
        </w:rPr>
        <w:t>。</w:t>
      </w:r>
    </w:p>
    <w:p>
      <w:pPr>
        <w:ind w:firstLine="420" w:firstLineChars="200"/>
        <w:rPr>
          <w:rFonts w:ascii="宋体" w:hAnsi="宋体" w:cs="宋体"/>
          <w:kern w:val="0"/>
          <w:szCs w:val="21"/>
        </w:rPr>
      </w:pPr>
      <w:r>
        <w:rPr>
          <w:rFonts w:hint="eastAsia" w:ascii="宋体" w:hAnsi="宋体" w:cs="宋体"/>
          <w:kern w:val="0"/>
          <w:szCs w:val="21"/>
        </w:rPr>
        <w:t>二、现已清楚知道参加本项目采购活动的其他所有供应商名称，本单位  □与其他</w:t>
      </w:r>
      <w:r>
        <w:rPr>
          <w:rFonts w:hint="eastAsia" w:ascii="宋体" w:hAnsi="宋体" w:cs="宋体"/>
          <w:szCs w:val="21"/>
        </w:rPr>
        <w:t>所有</w:t>
      </w:r>
      <w:r>
        <w:rPr>
          <w:rFonts w:hint="eastAsia" w:ascii="宋体" w:hAnsi="宋体" w:cs="宋体"/>
          <w:kern w:val="0"/>
          <w:szCs w:val="21"/>
        </w:rPr>
        <w:t>供应商之间均不存在利害关系    □与（供应商名称）之间存在下列利害</w:t>
      </w:r>
      <w:r>
        <w:rPr>
          <w:rFonts w:hint="eastAsia" w:ascii="宋体" w:hAnsi="宋体" w:cs="宋体"/>
          <w:szCs w:val="21"/>
        </w:rPr>
        <w:t>关系：</w:t>
      </w:r>
      <w:r>
        <w:rPr>
          <w:rFonts w:hint="eastAsia" w:ascii="宋体" w:hAnsi="宋体" w:cs="宋体"/>
          <w:kern w:val="0"/>
          <w:szCs w:val="21"/>
          <w:u w:val="single"/>
        </w:rPr>
        <w:t xml:space="preserve">         </w:t>
      </w:r>
      <w:r>
        <w:rPr>
          <w:rFonts w:hint="eastAsia" w:ascii="宋体" w:hAnsi="宋体" w:cs="宋体"/>
          <w:kern w:val="0"/>
          <w:szCs w:val="21"/>
        </w:rPr>
        <w:t>：</w:t>
      </w:r>
    </w:p>
    <w:p>
      <w:pPr>
        <w:ind w:firstLine="420" w:firstLineChars="200"/>
        <w:rPr>
          <w:rFonts w:ascii="宋体" w:hAnsi="宋体" w:cs="宋体"/>
          <w:kern w:val="0"/>
          <w:szCs w:val="21"/>
        </w:rPr>
      </w:pPr>
      <w:r>
        <w:rPr>
          <w:rFonts w:hint="eastAsia" w:ascii="宋体" w:hAnsi="宋体" w:cs="宋体"/>
          <w:kern w:val="0"/>
          <w:szCs w:val="21"/>
        </w:rPr>
        <w:t xml:space="preserve">  A.法定代表人或负责人或实际控制人是同一人</w:t>
      </w:r>
    </w:p>
    <w:p>
      <w:pPr>
        <w:ind w:firstLine="420" w:firstLineChars="200"/>
        <w:rPr>
          <w:rFonts w:ascii="宋体" w:hAnsi="宋体" w:cs="宋体"/>
          <w:spacing w:val="6"/>
          <w:szCs w:val="21"/>
        </w:rPr>
      </w:pPr>
      <w:r>
        <w:rPr>
          <w:rFonts w:hint="eastAsia" w:ascii="宋体" w:hAnsi="宋体" w:cs="宋体"/>
          <w:kern w:val="0"/>
          <w:szCs w:val="21"/>
        </w:rPr>
        <w:t xml:space="preserve">  B.法定代表人或负责人或实际控制人是夫妻关系</w:t>
      </w:r>
    </w:p>
    <w:p>
      <w:pPr>
        <w:ind w:firstLine="420" w:firstLineChars="200"/>
        <w:rPr>
          <w:rFonts w:ascii="宋体" w:hAnsi="宋体" w:cs="宋体"/>
          <w:spacing w:val="6"/>
          <w:szCs w:val="21"/>
        </w:rPr>
      </w:pPr>
      <w:r>
        <w:rPr>
          <w:rFonts w:hint="eastAsia" w:ascii="宋体" w:hAnsi="宋体" w:cs="宋体"/>
          <w:kern w:val="0"/>
          <w:szCs w:val="21"/>
        </w:rPr>
        <w:t xml:space="preserve">  C.法定代表人或负责人或实际控制人是直系血亲关系</w:t>
      </w:r>
    </w:p>
    <w:p>
      <w:pPr>
        <w:ind w:firstLine="420" w:firstLineChars="200"/>
        <w:rPr>
          <w:rFonts w:ascii="宋体" w:hAnsi="宋体" w:cs="宋体"/>
          <w:spacing w:val="6"/>
          <w:szCs w:val="21"/>
        </w:rPr>
      </w:pPr>
      <w:r>
        <w:rPr>
          <w:rFonts w:hint="eastAsia" w:ascii="宋体" w:hAnsi="宋体" w:cs="宋体"/>
          <w:kern w:val="0"/>
          <w:szCs w:val="21"/>
        </w:rPr>
        <w:t xml:space="preserve">  D.法定代表人或负责人或实际控制人存在三代以内旁系血亲关系</w:t>
      </w:r>
    </w:p>
    <w:p>
      <w:pPr>
        <w:ind w:firstLine="420" w:firstLineChars="200"/>
        <w:rPr>
          <w:rFonts w:ascii="宋体" w:hAnsi="宋体" w:cs="宋体"/>
          <w:kern w:val="0"/>
          <w:szCs w:val="21"/>
        </w:rPr>
      </w:pPr>
      <w:r>
        <w:rPr>
          <w:rFonts w:hint="eastAsia" w:ascii="宋体" w:hAnsi="宋体" w:cs="宋体"/>
          <w:kern w:val="0"/>
          <w:szCs w:val="21"/>
        </w:rPr>
        <w:t xml:space="preserve">  E.法定代表人或负责人或实际控制人存在近姻亲关系</w:t>
      </w:r>
    </w:p>
    <w:p>
      <w:pPr>
        <w:ind w:firstLine="420" w:firstLineChars="200"/>
        <w:rPr>
          <w:rFonts w:ascii="宋体" w:hAnsi="宋体" w:cs="宋体"/>
          <w:szCs w:val="21"/>
        </w:rPr>
      </w:pPr>
      <w:r>
        <w:rPr>
          <w:rFonts w:hint="eastAsia" w:ascii="宋体" w:hAnsi="宋体" w:cs="宋体"/>
          <w:kern w:val="0"/>
          <w:szCs w:val="21"/>
        </w:rPr>
        <w:t xml:space="preserve">  F.法定代表人或负责人或实际控制人存在股份控制或实际控制关系</w:t>
      </w:r>
    </w:p>
    <w:p>
      <w:pPr>
        <w:ind w:firstLine="420" w:firstLineChars="200"/>
        <w:rPr>
          <w:rFonts w:ascii="宋体" w:hAnsi="宋体" w:cs="宋体"/>
          <w:kern w:val="0"/>
          <w:szCs w:val="21"/>
        </w:rPr>
      </w:pPr>
      <w:r>
        <w:rPr>
          <w:rFonts w:hint="eastAsia" w:ascii="宋体" w:hAnsi="宋体" w:cs="宋体"/>
          <w:szCs w:val="21"/>
        </w:rPr>
        <w:t xml:space="preserve">  </w:t>
      </w:r>
      <w:r>
        <w:rPr>
          <w:rFonts w:hint="eastAsia" w:ascii="宋体" w:hAnsi="宋体" w:cs="宋体"/>
          <w:kern w:val="0"/>
          <w:szCs w:val="21"/>
        </w:rPr>
        <w:t>G.存在共同直接或间接投资设立子公司、联营企业和合营企业情况</w:t>
      </w:r>
    </w:p>
    <w:p>
      <w:pPr>
        <w:ind w:firstLine="420" w:firstLineChars="200"/>
        <w:rPr>
          <w:rFonts w:ascii="宋体" w:hAnsi="宋体" w:cs="宋体"/>
          <w:szCs w:val="21"/>
        </w:rPr>
      </w:pPr>
      <w:r>
        <w:rPr>
          <w:rFonts w:hint="eastAsia" w:ascii="宋体" w:hAnsi="宋体" w:cs="宋体"/>
          <w:kern w:val="0"/>
          <w:szCs w:val="21"/>
        </w:rPr>
        <w:t xml:space="preserve">  H.存在分级代理或代销关系、同一生产制造商关系、</w:t>
      </w:r>
      <w:r>
        <w:rPr>
          <w:rFonts w:hint="eastAsia" w:ascii="宋体" w:hAnsi="宋体" w:cs="宋体"/>
          <w:szCs w:val="21"/>
        </w:rPr>
        <w:t>管理关系、重要业务（占主营业务收入50%以上）或重要财务往来关系（如融资）等其他实质性控制关系</w:t>
      </w:r>
    </w:p>
    <w:p>
      <w:pPr>
        <w:ind w:firstLine="420" w:firstLineChars="200"/>
        <w:rPr>
          <w:rFonts w:ascii="宋体" w:hAnsi="宋体" w:cs="宋体"/>
          <w:spacing w:val="6"/>
          <w:szCs w:val="21"/>
        </w:rPr>
      </w:pPr>
      <w:r>
        <w:rPr>
          <w:rFonts w:hint="eastAsia" w:ascii="宋体" w:hAnsi="宋体" w:cs="宋体"/>
          <w:szCs w:val="21"/>
        </w:rPr>
        <w:t xml:space="preserve">  I</w:t>
      </w:r>
      <w:r>
        <w:rPr>
          <w:rFonts w:hint="eastAsia" w:ascii="宋体" w:hAnsi="宋体" w:cs="宋体"/>
          <w:kern w:val="0"/>
          <w:szCs w:val="21"/>
        </w:rPr>
        <w:t>.</w:t>
      </w:r>
      <w:r>
        <w:rPr>
          <w:rFonts w:hint="eastAsia" w:ascii="宋体" w:hAnsi="宋体" w:cs="宋体"/>
          <w:szCs w:val="21"/>
        </w:rPr>
        <w:t>其他利害关系情况：</w:t>
      </w:r>
      <w:r>
        <w:rPr>
          <w:rFonts w:hint="eastAsia" w:ascii="宋体" w:hAnsi="宋体" w:cs="宋体"/>
          <w:szCs w:val="21"/>
          <w:u w:val="single"/>
        </w:rPr>
        <w:t xml:space="preserve">                  </w:t>
      </w:r>
      <w:r>
        <w:rPr>
          <w:rFonts w:hint="eastAsia" w:ascii="宋体" w:hAnsi="宋体" w:cs="宋体"/>
          <w:kern w:val="0"/>
          <w:szCs w:val="21"/>
        </w:rPr>
        <w:t>。</w:t>
      </w:r>
    </w:p>
    <w:p>
      <w:pPr>
        <w:ind w:firstLine="420" w:firstLineChars="200"/>
        <w:rPr>
          <w:rFonts w:ascii="宋体" w:hAnsi="宋体" w:cs="宋体"/>
          <w:kern w:val="0"/>
          <w:szCs w:val="21"/>
        </w:rPr>
      </w:pPr>
      <w:r>
        <w:rPr>
          <w:rFonts w:hint="eastAsia" w:ascii="宋体" w:hAnsi="宋体" w:cs="宋体"/>
          <w:szCs w:val="21"/>
        </w:rPr>
        <w:t>三、现已清楚知道并</w:t>
      </w:r>
      <w:r>
        <w:rPr>
          <w:rFonts w:hint="eastAsia" w:ascii="宋体" w:hAnsi="宋体" w:cs="宋体"/>
          <w:kern w:val="0"/>
          <w:szCs w:val="21"/>
        </w:rPr>
        <w:t>严格遵守政府采购法律法规和现场纪律。</w:t>
      </w:r>
    </w:p>
    <w:p>
      <w:pPr>
        <w:ind w:firstLine="420" w:firstLineChars="200"/>
        <w:rPr>
          <w:rFonts w:ascii="宋体" w:hAnsi="宋体" w:cs="宋体"/>
          <w:kern w:val="0"/>
          <w:szCs w:val="21"/>
        </w:rPr>
      </w:pPr>
      <w:r>
        <w:rPr>
          <w:rFonts w:hint="eastAsia" w:ascii="宋体" w:hAnsi="宋体" w:cs="宋体"/>
          <w:kern w:val="0"/>
          <w:szCs w:val="21"/>
        </w:rPr>
        <w:t>四、我发现供应商之间存在或可能存在上述第二条第</w:t>
      </w:r>
      <w:r>
        <w:rPr>
          <w:rFonts w:hint="eastAsia" w:ascii="宋体" w:hAnsi="宋体" w:cs="宋体"/>
          <w:kern w:val="0"/>
          <w:szCs w:val="21"/>
          <w:u w:val="single"/>
        </w:rPr>
        <w:t xml:space="preserve">          </w:t>
      </w:r>
      <w:r>
        <w:rPr>
          <w:rFonts w:hint="eastAsia" w:ascii="宋体" w:hAnsi="宋体" w:cs="宋体"/>
          <w:kern w:val="0"/>
          <w:szCs w:val="21"/>
        </w:rPr>
        <w:t>项利害关系。</w:t>
      </w:r>
    </w:p>
    <w:p>
      <w:pPr>
        <w:pStyle w:val="163"/>
        <w:widowControl/>
        <w:snapToGrid w:val="0"/>
        <w:spacing w:line="440" w:lineRule="exact"/>
        <w:rPr>
          <w:rFonts w:ascii="宋体" w:hAnsi="宋体" w:cs="宋体"/>
        </w:rPr>
      </w:pPr>
    </w:p>
    <w:p>
      <w:pPr>
        <w:jc w:val="center"/>
        <w:rPr>
          <w:rFonts w:ascii="宋体" w:hAnsi="宋体" w:cs="宋体"/>
          <w:sz w:val="24"/>
        </w:rPr>
      </w:pPr>
    </w:p>
    <w:p>
      <w:pPr>
        <w:jc w:val="center"/>
        <w:rPr>
          <w:rFonts w:ascii="宋体" w:hAnsi="宋体" w:cs="宋体"/>
          <w:kern w:val="0"/>
          <w:szCs w:val="21"/>
        </w:rPr>
      </w:pPr>
      <w:r>
        <w:rPr>
          <w:rFonts w:hint="eastAsia" w:ascii="宋体" w:hAnsi="宋体" w:cs="宋体"/>
          <w:sz w:val="24"/>
        </w:rPr>
        <w:t xml:space="preserve">                        </w:t>
      </w:r>
      <w:r>
        <w:rPr>
          <w:rFonts w:hint="eastAsia" w:ascii="宋体" w:hAnsi="宋体" w:cs="宋体"/>
          <w:kern w:val="0"/>
          <w:szCs w:val="21"/>
        </w:rPr>
        <w:t>投标人代表签名：</w:t>
      </w:r>
    </w:p>
    <w:p>
      <w:pPr>
        <w:jc w:val="center"/>
        <w:rPr>
          <w:rFonts w:ascii="宋体" w:hAnsi="宋体" w:cs="宋体"/>
          <w:kern w:val="0"/>
          <w:szCs w:val="21"/>
        </w:rPr>
      </w:pPr>
      <w:r>
        <w:rPr>
          <w:rFonts w:hint="eastAsia" w:ascii="宋体" w:hAnsi="宋体" w:cs="宋体"/>
          <w:kern w:val="0"/>
          <w:szCs w:val="21"/>
        </w:rPr>
        <w:t xml:space="preserve">                       </w:t>
      </w:r>
      <w:r>
        <w:rPr>
          <w:rFonts w:hint="eastAsia" w:ascii="宋体" w:hAnsi="宋体" w:cs="宋体"/>
          <w:sz w:val="24"/>
        </w:rPr>
        <w:t xml:space="preserve">  </w:t>
      </w:r>
      <w:r>
        <w:rPr>
          <w:rFonts w:hint="eastAsia" w:ascii="宋体" w:hAnsi="宋体" w:cs="宋体"/>
          <w:kern w:val="0"/>
          <w:szCs w:val="21"/>
        </w:rPr>
        <w:t xml:space="preserve">    年   月   日</w:t>
      </w:r>
    </w:p>
    <w:p>
      <w:pPr>
        <w:pStyle w:val="162"/>
        <w:widowControl w:val="0"/>
        <w:snapToGrid w:val="0"/>
        <w:spacing w:line="440" w:lineRule="exact"/>
        <w:jc w:val="both"/>
        <w:rPr>
          <w:rFonts w:hAnsi="宋体"/>
          <w:b/>
          <w:bCs/>
        </w:rPr>
      </w:pPr>
    </w:p>
    <w:p>
      <w:pPr>
        <w:ind w:firstLine="420" w:firstLineChars="200"/>
        <w:rPr>
          <w:rFonts w:ascii="宋体" w:hAnsi="宋体" w:cs="宋体"/>
          <w:b/>
          <w:bCs/>
          <w:szCs w:val="21"/>
        </w:rPr>
      </w:pPr>
      <w:r>
        <w:rPr>
          <w:rFonts w:hint="eastAsia" w:ascii="宋体" w:hAnsi="宋体" w:cs="宋体"/>
          <w:b/>
          <w:bCs/>
          <w:szCs w:val="21"/>
        </w:rPr>
        <w:t>说明：本声明书待投标文件完成解密后由法定代表人或授权代理人进行填写，并以扫描件形式回传至代理机构邮箱85967191@qq.com。</w:t>
      </w:r>
    </w:p>
    <w:p>
      <w:pPr>
        <w:rPr>
          <w:rFonts w:ascii="宋体" w:hAnsi="宋体" w:cs="宋体"/>
          <w:b/>
          <w:sz w:val="18"/>
          <w:szCs w:val="18"/>
        </w:rPr>
      </w:pPr>
    </w:p>
    <w:p>
      <w:pPr>
        <w:jc w:val="center"/>
        <w:rPr>
          <w:rFonts w:ascii="宋体" w:hAnsi="宋体" w:cs="宋体"/>
          <w:bCs/>
          <w:sz w:val="28"/>
          <w:szCs w:val="28"/>
        </w:rPr>
      </w:pPr>
    </w:p>
    <w:p>
      <w:pPr>
        <w:jc w:val="center"/>
        <w:rPr>
          <w:rFonts w:ascii="宋体" w:hAnsi="宋体" w:cs="宋体"/>
          <w:bCs/>
          <w:sz w:val="28"/>
          <w:szCs w:val="28"/>
        </w:rPr>
      </w:pPr>
    </w:p>
    <w:p>
      <w:pPr>
        <w:jc w:val="center"/>
        <w:rPr>
          <w:rFonts w:ascii="宋体" w:hAnsi="宋体" w:cs="宋体"/>
          <w:bCs/>
          <w:sz w:val="28"/>
          <w:szCs w:val="28"/>
        </w:rPr>
      </w:pPr>
    </w:p>
    <w:p>
      <w:pPr>
        <w:jc w:val="center"/>
        <w:rPr>
          <w:rFonts w:ascii="宋体" w:hAnsi="宋体" w:cs="宋体"/>
          <w:bCs/>
          <w:sz w:val="28"/>
          <w:szCs w:val="28"/>
        </w:rPr>
      </w:pPr>
    </w:p>
    <w:p>
      <w:pPr>
        <w:jc w:val="center"/>
        <w:rPr>
          <w:rFonts w:ascii="宋体" w:hAnsi="宋体" w:cs="宋体"/>
          <w:bCs/>
          <w:sz w:val="28"/>
          <w:szCs w:val="28"/>
        </w:rPr>
      </w:pPr>
    </w:p>
    <w:p>
      <w:pPr>
        <w:jc w:val="center"/>
        <w:rPr>
          <w:rFonts w:ascii="宋体" w:hAnsi="宋体" w:cs="宋体"/>
          <w:bCs/>
          <w:sz w:val="28"/>
          <w:szCs w:val="28"/>
        </w:rPr>
      </w:pPr>
      <w:r>
        <w:rPr>
          <w:rFonts w:hint="eastAsia" w:ascii="宋体" w:hAnsi="宋体" w:cs="宋体"/>
          <w:bCs/>
          <w:sz w:val="28"/>
          <w:szCs w:val="28"/>
        </w:rPr>
        <w:t>节能产品政府采购品目清单</w:t>
      </w:r>
    </w:p>
    <w:p>
      <w:pPr>
        <w:pStyle w:val="2"/>
        <w:jc w:val="center"/>
        <w:rPr>
          <w:rFonts w:ascii="宋体" w:hAnsi="宋体" w:cs="宋体"/>
        </w:rPr>
      </w:pPr>
      <w:r>
        <w:rPr>
          <w:rFonts w:hint="eastAsia" w:ascii="宋体" w:hAnsi="宋体" w:cs="宋体"/>
        </w:rPr>
        <w:drawing>
          <wp:inline distT="0" distB="0" distL="114300" distR="114300">
            <wp:extent cx="5762625" cy="80295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5762625" cy="8029575"/>
                    </a:xfrm>
                    <a:prstGeom prst="rect">
                      <a:avLst/>
                    </a:prstGeom>
                    <a:noFill/>
                    <a:ln>
                      <a:noFill/>
                    </a:ln>
                  </pic:spPr>
                </pic:pic>
              </a:graphicData>
            </a:graphic>
          </wp:inline>
        </w:drawing>
      </w:r>
    </w:p>
    <w:p>
      <w:pPr>
        <w:rPr>
          <w:rFonts w:ascii="宋体" w:hAnsi="宋体" w:cs="宋体"/>
        </w:rPr>
      </w:pPr>
      <w:r>
        <w:rPr>
          <w:rFonts w:hint="eastAsia" w:ascii="宋体" w:hAnsi="宋体" w:cs="宋体"/>
        </w:rPr>
        <w:br w:type="page"/>
      </w:r>
    </w:p>
    <w:p>
      <w:pPr>
        <w:jc w:val="center"/>
        <w:rPr>
          <w:rFonts w:ascii="宋体" w:hAnsi="宋体" w:cs="宋体"/>
        </w:rPr>
      </w:pPr>
      <w:r>
        <w:rPr>
          <w:rFonts w:hint="eastAsia" w:ascii="宋体" w:hAnsi="宋体" w:cs="宋体"/>
        </w:rPr>
        <w:drawing>
          <wp:inline distT="0" distB="0" distL="114300" distR="114300">
            <wp:extent cx="5448300" cy="83724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5448300" cy="8372475"/>
                    </a:xfrm>
                    <a:prstGeom prst="rect">
                      <a:avLst/>
                    </a:prstGeom>
                    <a:noFill/>
                    <a:ln>
                      <a:noFill/>
                    </a:ln>
                  </pic:spPr>
                </pic:pic>
              </a:graphicData>
            </a:graphic>
          </wp:inline>
        </w:drawing>
      </w:r>
    </w:p>
    <w:p>
      <w:pPr>
        <w:rPr>
          <w:rFonts w:ascii="宋体" w:hAnsi="宋体" w:cs="宋体"/>
        </w:rPr>
      </w:pPr>
      <w:r>
        <w:rPr>
          <w:rFonts w:hint="eastAsia" w:ascii="宋体" w:hAnsi="宋体" w:cs="宋体"/>
        </w:rPr>
        <w:br w:type="page"/>
      </w:r>
    </w:p>
    <w:p>
      <w:pPr>
        <w:pStyle w:val="2"/>
        <w:jc w:val="center"/>
        <w:rPr>
          <w:rFonts w:ascii="宋体" w:hAnsi="宋体" w:cs="宋体"/>
        </w:rPr>
      </w:pPr>
      <w:r>
        <w:rPr>
          <w:rFonts w:hint="eastAsia" w:ascii="宋体" w:hAnsi="宋体" w:cs="宋体"/>
        </w:rPr>
        <w:drawing>
          <wp:inline distT="0" distB="0" distL="114300" distR="114300">
            <wp:extent cx="5562600" cy="8153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5562600" cy="8153400"/>
                    </a:xfrm>
                    <a:prstGeom prst="rect">
                      <a:avLst/>
                    </a:prstGeom>
                    <a:noFill/>
                    <a:ln>
                      <a:noFill/>
                    </a:ln>
                  </pic:spPr>
                </pic:pic>
              </a:graphicData>
            </a:graphic>
          </wp:inline>
        </w:drawing>
      </w:r>
    </w:p>
    <w:p>
      <w:pPr>
        <w:rPr>
          <w:rFonts w:ascii="宋体" w:hAnsi="宋体" w:cs="宋体"/>
        </w:rPr>
      </w:pPr>
      <w:r>
        <w:rPr>
          <w:rFonts w:hint="eastAsia" w:ascii="宋体" w:hAnsi="宋体" w:cs="宋体"/>
        </w:rPr>
        <w:br w:type="page"/>
      </w:r>
    </w:p>
    <w:p>
      <w:pPr>
        <w:rPr>
          <w:rFonts w:ascii="宋体" w:hAnsi="宋体" w:cs="宋体"/>
        </w:rPr>
      </w:pPr>
      <w:r>
        <w:rPr>
          <w:rFonts w:hint="eastAsia" w:ascii="宋体" w:hAnsi="宋体" w:cs="宋体"/>
        </w:rPr>
        <w:drawing>
          <wp:inline distT="0" distB="0" distL="114300" distR="114300">
            <wp:extent cx="5791200" cy="3476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a:stretch>
                      <a:fillRect/>
                    </a:stretch>
                  </pic:blipFill>
                  <pic:spPr>
                    <a:xfrm>
                      <a:off x="0" y="0"/>
                      <a:ext cx="5791200" cy="3476625"/>
                    </a:xfrm>
                    <a:prstGeom prst="rect">
                      <a:avLst/>
                    </a:prstGeom>
                    <a:noFill/>
                    <a:ln>
                      <a:noFill/>
                    </a:ln>
                  </pic:spPr>
                </pic:pic>
              </a:graphicData>
            </a:graphic>
          </wp:inline>
        </w:drawing>
      </w:r>
    </w:p>
    <w:p>
      <w:pPr>
        <w:rPr>
          <w:rFonts w:ascii="宋体" w:hAnsi="宋体" w:cs="宋体"/>
        </w:rPr>
      </w:pPr>
    </w:p>
    <w:sectPr>
      <w:footerReference r:id="rId16" w:type="first"/>
      <w:footerReference r:id="rId15" w:type="default"/>
      <w:pgSz w:w="11907" w:h="16840"/>
      <w:pgMar w:top="1559" w:right="1134" w:bottom="1134" w:left="1134" w:header="720" w:footer="873" w:gutter="0"/>
      <w:cols w:space="720" w:num="1"/>
      <w:titlePg/>
      <w:docGrid w:type="linesAndChar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BatangChe">
    <w:panose1 w:val="02030609000101010101"/>
    <w:charset w:val="81"/>
    <w:family w:val="modern"/>
    <w:pitch w:val="default"/>
    <w:sig w:usb0="B00002AF" w:usb1="69D77CFB" w:usb2="00000030" w:usb3="00000000" w:csb0="4008009F" w:csb1="DFD70000"/>
  </w:font>
  <w:font w:name="Yu Gothic UI">
    <w:altName w:val="MS UI Gothic"/>
    <w:panose1 w:val="020B0500000000000000"/>
    <w:charset w:val="80"/>
    <w:family w:val="swiss"/>
    <w:pitch w:val="default"/>
    <w:sig w:usb0="00000000" w:usb1="00000000" w:usb2="00000016" w:usb3="00000000" w:csb0="0002009F"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5"/>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shape id="文本框 122"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lFTg31QEAALQDAAAOAAAAAAAAAAEAIAAAAB4B&#10;AABkcnMvZTJvRG9jLnhtbFBLBQYAAAAABgAGAFkBAABlBQ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19"/>
        <w:tab w:val="clear" w:pos="4153"/>
      </w:tabs>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5"/>
                          </w:pPr>
                        </w:p>
                      </w:txbxContent>
                    </wps:txbx>
                    <wps:bodyPr vert="horz" wrap="none" lIns="0" tIns="0" rIns="0" bIns="0" anchor="t">
                      <a:spAutoFit/>
                    </wps:bodyPr>
                  </wps:wsp>
                </a:graphicData>
              </a:graphic>
            </wp:anchor>
          </w:drawing>
        </mc:Choice>
        <mc:Fallback>
          <w:pict>
            <v:shape id="文本框 123"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&#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JXpoXNYBAAC0AwAADgAAAAAAAAABACAAAAAe&#10;AQAAZHJzL2Uyb0RvYy54bWxQSwUGAAAAAAYABgBZAQAAZgUAAAAA&#10;">
              <v:fill on="f" focussize="0,0"/>
              <v:stroke on="f"/>
              <v:imagedata o:title=""/>
              <o:lock v:ext="edit" aspectratio="f"/>
              <v:textbox inset="0mm,0mm,0mm,0mm" style="mso-fit-shape-to-text:t;">
                <w:txbxContent>
                  <w:p>
                    <w:pPr>
                      <w:pStyle w:val="35"/>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af5kmxgEAAJsDAAAOAAAAAAAAAAEAIAAAAB4BAABkcnMvZTJvRG9jLnht&#10;bFBLBQYAAAAABgAGAFkBAABWBQAAAAA=&#10;">
              <v:fill on="f" focussize="0,0"/>
              <v:stroke on="f"/>
              <v:imagedata o:title=""/>
              <o:lock v:ext="edit" aspectratio="f"/>
              <v:textbox inset="0mm,0mm,0mm,0mm" style="mso-fit-shape-to-text:t;">
                <w:txbxContent>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5"/>
                          </w:pPr>
                          <w:r>
                            <w:fldChar w:fldCharType="begin"/>
                          </w:r>
                          <w:r>
                            <w:instrText xml:space="preserve"> PAGE  \* MERGEFORMAT </w:instrText>
                          </w:r>
                          <w:r>
                            <w:fldChar w:fldCharType="separate"/>
                          </w:r>
                          <w:r>
                            <w:t>80</w:t>
                          </w:r>
                          <w:r>
                            <w:fldChar w:fldCharType="end"/>
                          </w:r>
                        </w:p>
                      </w:txbxContent>
                    </wps:txbx>
                    <wps:bodyPr vert="horz" wrap="none" lIns="0" tIns="0" rIns="0" bIns="0" anchor="t">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97K9YBAAC0AwAADgAAAGRycy9lMm9Eb2MueG1srVNNrtMwEN4jcQfL&#10;e5q0EqhETZ9A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v+TMCUsXfvn+7fLj1+XnV7Zc&#10;PU8C9R4rqrvzVBmH1zDQ2sxxpGDiPbTBpj8xYpQnec9XedUQmUyH1qv1uqSUpNzsEH5xf9wHjG8U&#10;WJaMmge6vyyrOL3DOJbOJambg1ttTL5D4/4KEOYYUXkJptOJyThxsuKwHyZ6e2jOxI6eBXXtIHzh&#10;rKelqLmjN8CZeetI87Q/sxFmYz8bwkk6WPNxYPSvjpGmy0OnZmMHIpscusxMe1q8tC1/+rnq/rF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UP97K9YBAAC0AwAADgAAAAAAAAABACAAAAAe&#10;AQAAZHJzL2Uyb0RvYy54bWxQSwUGAAAAAAYABgBZAQAAZgU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5"/>
                          </w:pPr>
                          <w:r>
                            <w:fldChar w:fldCharType="begin"/>
                          </w:r>
                          <w:r>
                            <w:instrText xml:space="preserve"> PAGE  \* MERGEFORMAT </w:instrText>
                          </w:r>
                          <w:r>
                            <w:fldChar w:fldCharType="separate"/>
                          </w:r>
                          <w:r>
                            <w:t>128</w:t>
                          </w:r>
                          <w:r>
                            <w:fldChar w:fldCharType="end"/>
                          </w:r>
                        </w:p>
                      </w:txbxContent>
                    </wps:txbx>
                    <wps:bodyPr vert="horz" wrap="none" lIns="0" tIns="0" rIns="0" bIns="0" anchor="t">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&#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NE2H51QEAALUDAAAOAAAAAAAAAAEAIAAAAB4B&#10;AABkcnMvZTJvRG9jLnhtbFBLBQYAAAAABgAGAFkBAABlBQ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5"/>
                          </w:pPr>
                          <w:r>
                            <w:fldChar w:fldCharType="begin"/>
                          </w:r>
                          <w:r>
                            <w:instrText xml:space="preserve"> PAGE  \* MERGEFORMAT </w:instrText>
                          </w:r>
                          <w:r>
                            <w:fldChar w:fldCharType="separate"/>
                          </w:r>
                          <w:r>
                            <w:t>120</w:t>
                          </w:r>
                          <w:r>
                            <w:fldChar w:fldCharType="end"/>
                          </w:r>
                        </w:p>
                      </w:txbxContent>
                    </wps:txbx>
                    <wps:bodyPr vert="horz" wrap="none" lIns="0" tIns="0" rIns="0" bIns="0" anchor="t">
                      <a:spAutoFit/>
                    </wps:bodyPr>
                  </wps:wsp>
                </a:graphicData>
              </a:graphic>
            </wp:anchor>
          </w:drawing>
        </mc:Choice>
        <mc:Fallback>
          <w:pict>
            <v:shape id="文本框 12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fLHNYBAAC1AwAADgAAAGRycy9lMm9Eb2MueG1srVPNjtMwEL4j8Q6W&#10;7zRpD1BFTVeg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UvOnLB045cf3y8/f19+fWPL&#10;1aukUO+xosI7T6VxeAMDVc9xpGAiPrTBpj9RYpQnfc9XfdUQmUyH1qv1uqSUpNzsEH5xf9wHjG8V&#10;WJaMmge6wKyrOL3HOJbOJambg1ttTL5E4/4KEOYYUXkLptOJyThxsuKwHyZ6e2jOxI7eBXXtIHzl&#10;rKetqLmjR8CZeedI9LRAsxFmYz8bwkk6WPNxYPSvj5Gmy0OnZmMHIpscus1Me9q8tC4P/Vx1/9q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cVfLHNYBAAC1AwAADgAAAAAAAAABACAAAAAe&#10;AQAAZHJzL2Uyb0RvYy54bWxQSwUGAAAAAAYABgBZAQAAZgU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120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yUGyscBAACcAwAADgAAAGRycy9lMm9Eb2MueG1srVPNjtMwEL4j8Q6W&#10;7zRph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33DmhKUHv/z4fvn5+/LrG1u+&#10;Tvr0Hisqu/dUGIe3MNDWzHGkYKI9tMGmLxFilCd1z1d11RCZTJfWq/W6pJSk3OwQfvFw3QeM7xRY&#10;loyaB3q+rKo4fcA4ls4lqZuDO21MfkLj/goQ5hhReQem24nJOHGy4rAfJnp7aM7Erqc9qLmjtefM&#10;vHckc1qZ2QizsZ+M1BH9m2OkMfJ0CXWEIlbJoUfL/KYFS1vx2M9VDz/V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yUGyscBAACcAwAADgAAAAAAAAABACAAAAAeAQAAZHJzL2Uyb0RvYy54&#10;bWxQSwUGAAAAAAYABgBZAQAAVwU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F509C"/>
    <w:multiLevelType w:val="singleLevel"/>
    <w:tmpl w:val="D34F509C"/>
    <w:lvl w:ilvl="0" w:tentative="0">
      <w:start w:val="1"/>
      <w:numFmt w:val="chineseCounting"/>
      <w:suff w:val="nothing"/>
      <w:lvlText w:val="（%1）"/>
      <w:lvlJc w:val="left"/>
      <w:rPr>
        <w:rFonts w:hint="eastAsia" w:cs="Times New Roman"/>
      </w:rPr>
    </w:lvl>
  </w:abstractNum>
  <w:abstractNum w:abstractNumId="1">
    <w:nsid w:val="FFFFFF88"/>
    <w:multiLevelType w:val="singleLevel"/>
    <w:tmpl w:val="FFFFFF88"/>
    <w:lvl w:ilvl="0" w:tentative="0">
      <w:start w:val="1"/>
      <w:numFmt w:val="decimal"/>
      <w:pStyle w:val="14"/>
      <w:lvlText w:val="%1."/>
      <w:lvlJc w:val="left"/>
      <w:pPr>
        <w:tabs>
          <w:tab w:val="left" w:pos="360"/>
        </w:tabs>
        <w:ind w:left="360" w:hanging="360"/>
      </w:pPr>
      <w:rPr>
        <w:rFonts w:cs="Times New Roman"/>
      </w:rPr>
    </w:lvl>
  </w:abstractNum>
  <w:abstractNum w:abstractNumId="2">
    <w:nsid w:val="074054F6"/>
    <w:multiLevelType w:val="multilevel"/>
    <w:tmpl w:val="074054F6"/>
    <w:lvl w:ilvl="0" w:tentative="0">
      <w:start w:val="1"/>
      <w:numFmt w:val="decimal"/>
      <w:pStyle w:val="92"/>
      <w:lvlText w:val="第%1章"/>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3">
    <w:nsid w:val="3AD53FB9"/>
    <w:multiLevelType w:val="multilevel"/>
    <w:tmpl w:val="3AD53FB9"/>
    <w:lvl w:ilvl="0" w:tentative="0">
      <w:start w:val="1"/>
      <w:numFmt w:val="japaneseCounting"/>
      <w:pStyle w:val="24"/>
      <w:lvlText w:val="%1、"/>
      <w:lvlJc w:val="left"/>
      <w:pPr>
        <w:tabs>
          <w:tab w:val="left" w:pos="645"/>
        </w:tabs>
        <w:ind w:left="645" w:hanging="645"/>
      </w:pPr>
      <w:rPr>
        <w:rFonts w:hint="eastAsia" w:cs="Times New Roman"/>
      </w:rPr>
    </w:lvl>
    <w:lvl w:ilvl="1" w:tentative="0">
      <w:start w:val="1"/>
      <w:numFmt w:val="lowerLetter"/>
      <w:lvlText w:val="%2)"/>
      <w:lvlJc w:val="left"/>
      <w:pPr>
        <w:tabs>
          <w:tab w:val="left" w:pos="840"/>
        </w:tabs>
        <w:ind w:left="840" w:hanging="420"/>
      </w:pPr>
      <w:rPr>
        <w:rFonts w:hint="eastAsia" w:cs="Times New Roman"/>
      </w:rPr>
    </w:lvl>
    <w:lvl w:ilvl="2" w:tentative="0">
      <w:start w:val="1"/>
      <w:numFmt w:val="decimal"/>
      <w:lvlText w:val="%3)"/>
      <w:lvlJc w:val="left"/>
      <w:pPr>
        <w:tabs>
          <w:tab w:val="left" w:pos="1260"/>
        </w:tabs>
        <w:ind w:left="1260" w:hanging="420"/>
      </w:pPr>
      <w:rPr>
        <w:rFonts w:hint="eastAsia" w:cs="Times New Roman"/>
      </w:rPr>
    </w:lvl>
    <w:lvl w:ilvl="3" w:tentative="0">
      <w:start w:val="1"/>
      <w:numFmt w:val="decimal"/>
      <w:lvlText w:val="%4、"/>
      <w:lvlJc w:val="left"/>
      <w:pPr>
        <w:tabs>
          <w:tab w:val="left" w:pos="1620"/>
        </w:tabs>
        <w:ind w:left="1620" w:hanging="36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8273EFE"/>
    <w:multiLevelType w:val="multilevel"/>
    <w:tmpl w:val="48273EFE"/>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CA75A52"/>
    <w:multiLevelType w:val="multilevel"/>
    <w:tmpl w:val="4CA75A52"/>
    <w:lvl w:ilvl="0" w:tentative="0">
      <w:start w:val="1"/>
      <w:numFmt w:val="decimal"/>
      <w:pStyle w:val="166"/>
      <w:suff w:val="nothing"/>
      <w:lvlText w:val="（%1）"/>
      <w:lvlJc w:val="left"/>
      <w:pPr>
        <w:ind w:left="420"/>
      </w:pPr>
      <w:rPr>
        <w:rFonts w:hint="eastAsia" w:cs="Times New Roman"/>
        <w:b w:val="0"/>
        <w:bCs w:val="0"/>
        <w:i w:val="0"/>
        <w:iCs w:val="0"/>
        <w:caps w:val="0"/>
        <w:smallCaps w:val="0"/>
        <w:strike w:val="0"/>
        <w:dstrike w:val="0"/>
        <w:vanish w:val="0"/>
        <w:spacing w:val="0"/>
        <w:position w:val="0"/>
        <w:u w:val="none"/>
        <w:vertAlign w:val="baseline"/>
      </w:rPr>
    </w:lvl>
    <w:lvl w:ilvl="1" w:tentative="0">
      <w:start w:val="1"/>
      <w:numFmt w:val="decimal"/>
      <w:suff w:val="nothing"/>
      <w:lvlText w:val="%2）"/>
      <w:lvlJc w:val="left"/>
      <w:pPr>
        <w:ind w:left="840"/>
      </w:pPr>
      <w:rPr>
        <w:rFonts w:hint="eastAsia" w:cs="Times New Roman"/>
      </w:rPr>
    </w:lvl>
    <w:lvl w:ilvl="2" w:tentative="0">
      <w:start w:val="1"/>
      <w:numFmt w:val="lowerRoman"/>
      <w:lvlText w:val="%3."/>
      <w:lvlJc w:val="right"/>
      <w:pPr>
        <w:ind w:left="1260"/>
      </w:pPr>
      <w:rPr>
        <w:rFonts w:hint="eastAsia" w:cs="Times New Roman"/>
      </w:rPr>
    </w:lvl>
    <w:lvl w:ilvl="3" w:tentative="0">
      <w:start w:val="1"/>
      <w:numFmt w:val="decimal"/>
      <w:lvlText w:val="%4）"/>
      <w:lvlJc w:val="left"/>
      <w:pPr>
        <w:ind w:left="1680"/>
      </w:pPr>
      <w:rPr>
        <w:rFonts w:hint="eastAsia" w:cs="Times New Roman"/>
      </w:rPr>
    </w:lvl>
    <w:lvl w:ilvl="4" w:tentative="0">
      <w:start w:val="1"/>
      <w:numFmt w:val="lowerLetter"/>
      <w:lvlText w:val="%5)"/>
      <w:lvlJc w:val="left"/>
      <w:pPr>
        <w:ind w:left="2100"/>
      </w:pPr>
      <w:rPr>
        <w:rFonts w:hint="eastAsia" w:cs="Times New Roman"/>
      </w:rPr>
    </w:lvl>
    <w:lvl w:ilvl="5" w:tentative="0">
      <w:start w:val="1"/>
      <w:numFmt w:val="lowerRoman"/>
      <w:lvlText w:val="%6."/>
      <w:lvlJc w:val="right"/>
      <w:pPr>
        <w:ind w:left="2520"/>
      </w:pPr>
      <w:rPr>
        <w:rFonts w:hint="eastAsia" w:cs="Times New Roman"/>
      </w:rPr>
    </w:lvl>
    <w:lvl w:ilvl="6" w:tentative="0">
      <w:start w:val="1"/>
      <w:numFmt w:val="decimal"/>
      <w:lvlText w:val="%7."/>
      <w:lvlJc w:val="left"/>
      <w:pPr>
        <w:ind w:left="2940"/>
      </w:pPr>
      <w:rPr>
        <w:rFonts w:hint="eastAsia" w:cs="Times New Roman"/>
      </w:rPr>
    </w:lvl>
    <w:lvl w:ilvl="7" w:tentative="0">
      <w:start w:val="1"/>
      <w:numFmt w:val="lowerLetter"/>
      <w:lvlText w:val="%8)"/>
      <w:lvlJc w:val="left"/>
      <w:pPr>
        <w:ind w:left="3360"/>
      </w:pPr>
      <w:rPr>
        <w:rFonts w:hint="eastAsia" w:cs="Times New Roman"/>
      </w:rPr>
    </w:lvl>
    <w:lvl w:ilvl="8" w:tentative="0">
      <w:start w:val="1"/>
      <w:numFmt w:val="lowerRoman"/>
      <w:lvlText w:val="%9."/>
      <w:lvlJc w:val="right"/>
      <w:pPr>
        <w:ind w:left="3780"/>
      </w:pPr>
      <w:rPr>
        <w:rFonts w:hint="eastAsia" w:cs="Times New Roman"/>
      </w:rPr>
    </w:lvl>
  </w:abstractNum>
  <w:abstractNum w:abstractNumId="6">
    <w:nsid w:val="53675C90"/>
    <w:multiLevelType w:val="multilevel"/>
    <w:tmpl w:val="53675C90"/>
    <w:lvl w:ilvl="0" w:tentative="0">
      <w:start w:val="5"/>
      <w:numFmt w:val="decimal"/>
      <w:pStyle w:val="178"/>
      <w:suff w:val="nothing"/>
      <w:lvlText w:val="%1　"/>
      <w:lvlJc w:val="left"/>
      <w:pPr>
        <w:ind w:left="0" w:firstLine="0"/>
      </w:pPr>
      <w:rPr>
        <w:rFonts w:hint="eastAsia" w:ascii="黑体" w:hAnsi="Times New Roman" w:eastAsia="黑体"/>
        <w:b w:val="0"/>
        <w:i w:val="0"/>
        <w:sz w:val="21"/>
        <w:szCs w:val="21"/>
      </w:rPr>
    </w:lvl>
    <w:lvl w:ilvl="1" w:tentative="0">
      <w:start w:val="7"/>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2"/>
      <w:numFmt w:val="decimal"/>
      <w:suff w:val="nothing"/>
      <w:lvlText w:val="%1.%2.%3　"/>
      <w:lvlJc w:val="left"/>
      <w:pPr>
        <w:ind w:left="113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3"/>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20"/>
  <w:drawingGridHorizontalSpacing w:val="105"/>
  <w:drawingGridVerticalSpacing w:val="190"/>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yMDJmYjVmODNlMWNkZDdjZmMyOTk1OGJlYTQzM2IifQ=="/>
  </w:docVars>
  <w:rsids>
    <w:rsidRoot w:val="00172A27"/>
    <w:rsid w:val="0000118F"/>
    <w:rsid w:val="0000131B"/>
    <w:rsid w:val="0000265F"/>
    <w:rsid w:val="0000266B"/>
    <w:rsid w:val="00004B3C"/>
    <w:rsid w:val="00005398"/>
    <w:rsid w:val="000055E5"/>
    <w:rsid w:val="00005AFF"/>
    <w:rsid w:val="000064DE"/>
    <w:rsid w:val="000069A9"/>
    <w:rsid w:val="00007E2C"/>
    <w:rsid w:val="00007FF1"/>
    <w:rsid w:val="000100CA"/>
    <w:rsid w:val="00010E74"/>
    <w:rsid w:val="00012117"/>
    <w:rsid w:val="00012619"/>
    <w:rsid w:val="00012A5F"/>
    <w:rsid w:val="00012DA5"/>
    <w:rsid w:val="000131B5"/>
    <w:rsid w:val="0001361A"/>
    <w:rsid w:val="0001379A"/>
    <w:rsid w:val="00013A90"/>
    <w:rsid w:val="00014BA2"/>
    <w:rsid w:val="00015191"/>
    <w:rsid w:val="00016C14"/>
    <w:rsid w:val="00017931"/>
    <w:rsid w:val="00017A10"/>
    <w:rsid w:val="00020DC2"/>
    <w:rsid w:val="00021639"/>
    <w:rsid w:val="00021E60"/>
    <w:rsid w:val="000221B7"/>
    <w:rsid w:val="00022598"/>
    <w:rsid w:val="00022694"/>
    <w:rsid w:val="00023679"/>
    <w:rsid w:val="00024E05"/>
    <w:rsid w:val="000260DE"/>
    <w:rsid w:val="00026AFE"/>
    <w:rsid w:val="00026EEB"/>
    <w:rsid w:val="000277EC"/>
    <w:rsid w:val="00030A19"/>
    <w:rsid w:val="00030A81"/>
    <w:rsid w:val="000311ED"/>
    <w:rsid w:val="000312D1"/>
    <w:rsid w:val="000321F7"/>
    <w:rsid w:val="00033E70"/>
    <w:rsid w:val="00033F90"/>
    <w:rsid w:val="000343A9"/>
    <w:rsid w:val="00034492"/>
    <w:rsid w:val="00034F25"/>
    <w:rsid w:val="000357DF"/>
    <w:rsid w:val="0003599E"/>
    <w:rsid w:val="00036452"/>
    <w:rsid w:val="00036D0E"/>
    <w:rsid w:val="00036FB2"/>
    <w:rsid w:val="00037ADD"/>
    <w:rsid w:val="00040FDE"/>
    <w:rsid w:val="00041095"/>
    <w:rsid w:val="000412CA"/>
    <w:rsid w:val="0004138D"/>
    <w:rsid w:val="0004151D"/>
    <w:rsid w:val="00041571"/>
    <w:rsid w:val="00044228"/>
    <w:rsid w:val="00044717"/>
    <w:rsid w:val="0004481A"/>
    <w:rsid w:val="0004568F"/>
    <w:rsid w:val="00045B56"/>
    <w:rsid w:val="00046335"/>
    <w:rsid w:val="00046418"/>
    <w:rsid w:val="00046E9A"/>
    <w:rsid w:val="00047193"/>
    <w:rsid w:val="000476C5"/>
    <w:rsid w:val="0004778B"/>
    <w:rsid w:val="0004783D"/>
    <w:rsid w:val="0005075F"/>
    <w:rsid w:val="00051250"/>
    <w:rsid w:val="0005496A"/>
    <w:rsid w:val="00054C9A"/>
    <w:rsid w:val="00055B16"/>
    <w:rsid w:val="00057762"/>
    <w:rsid w:val="000579D2"/>
    <w:rsid w:val="00060840"/>
    <w:rsid w:val="000609E0"/>
    <w:rsid w:val="00060D76"/>
    <w:rsid w:val="00060F44"/>
    <w:rsid w:val="00061A75"/>
    <w:rsid w:val="00061AE0"/>
    <w:rsid w:val="00062756"/>
    <w:rsid w:val="000627E8"/>
    <w:rsid w:val="00063240"/>
    <w:rsid w:val="00063467"/>
    <w:rsid w:val="00063B53"/>
    <w:rsid w:val="00063DA0"/>
    <w:rsid w:val="00063EC8"/>
    <w:rsid w:val="00063FCF"/>
    <w:rsid w:val="000641F7"/>
    <w:rsid w:val="0006599D"/>
    <w:rsid w:val="00065A81"/>
    <w:rsid w:val="00066BB2"/>
    <w:rsid w:val="00066C23"/>
    <w:rsid w:val="00067323"/>
    <w:rsid w:val="000677D2"/>
    <w:rsid w:val="00067BC5"/>
    <w:rsid w:val="00067E4D"/>
    <w:rsid w:val="000701BD"/>
    <w:rsid w:val="00070531"/>
    <w:rsid w:val="00071417"/>
    <w:rsid w:val="000715DB"/>
    <w:rsid w:val="0007163A"/>
    <w:rsid w:val="0007244E"/>
    <w:rsid w:val="000727A8"/>
    <w:rsid w:val="0007304B"/>
    <w:rsid w:val="000741D4"/>
    <w:rsid w:val="0007444D"/>
    <w:rsid w:val="00074EF3"/>
    <w:rsid w:val="00075390"/>
    <w:rsid w:val="00075E6B"/>
    <w:rsid w:val="000769F0"/>
    <w:rsid w:val="0007732C"/>
    <w:rsid w:val="0007749C"/>
    <w:rsid w:val="00077F01"/>
    <w:rsid w:val="000800D6"/>
    <w:rsid w:val="000806CE"/>
    <w:rsid w:val="00081DA2"/>
    <w:rsid w:val="00082446"/>
    <w:rsid w:val="000825A0"/>
    <w:rsid w:val="00082B43"/>
    <w:rsid w:val="000835EA"/>
    <w:rsid w:val="000836B1"/>
    <w:rsid w:val="00083EA0"/>
    <w:rsid w:val="0008498F"/>
    <w:rsid w:val="00084B77"/>
    <w:rsid w:val="000855B0"/>
    <w:rsid w:val="000857FD"/>
    <w:rsid w:val="000872F7"/>
    <w:rsid w:val="00091CEA"/>
    <w:rsid w:val="00091E5F"/>
    <w:rsid w:val="00092055"/>
    <w:rsid w:val="0009278B"/>
    <w:rsid w:val="00093590"/>
    <w:rsid w:val="00093E28"/>
    <w:rsid w:val="00094C54"/>
    <w:rsid w:val="00095A1F"/>
    <w:rsid w:val="000976A9"/>
    <w:rsid w:val="00097E62"/>
    <w:rsid w:val="000A0125"/>
    <w:rsid w:val="000A0223"/>
    <w:rsid w:val="000A06A4"/>
    <w:rsid w:val="000A0D8B"/>
    <w:rsid w:val="000A139D"/>
    <w:rsid w:val="000A1D6C"/>
    <w:rsid w:val="000A1F4C"/>
    <w:rsid w:val="000A2358"/>
    <w:rsid w:val="000A48B6"/>
    <w:rsid w:val="000A4F3D"/>
    <w:rsid w:val="000A782A"/>
    <w:rsid w:val="000A7893"/>
    <w:rsid w:val="000A7C99"/>
    <w:rsid w:val="000B03FE"/>
    <w:rsid w:val="000B06DB"/>
    <w:rsid w:val="000B072A"/>
    <w:rsid w:val="000B0782"/>
    <w:rsid w:val="000B0B92"/>
    <w:rsid w:val="000B0FD8"/>
    <w:rsid w:val="000B11D4"/>
    <w:rsid w:val="000B1D1C"/>
    <w:rsid w:val="000B2298"/>
    <w:rsid w:val="000B263D"/>
    <w:rsid w:val="000B39E2"/>
    <w:rsid w:val="000B41B8"/>
    <w:rsid w:val="000B5089"/>
    <w:rsid w:val="000B54C3"/>
    <w:rsid w:val="000B5D08"/>
    <w:rsid w:val="000B61DF"/>
    <w:rsid w:val="000B634D"/>
    <w:rsid w:val="000B66C0"/>
    <w:rsid w:val="000B7482"/>
    <w:rsid w:val="000B7A6E"/>
    <w:rsid w:val="000C1AFA"/>
    <w:rsid w:val="000C1DB6"/>
    <w:rsid w:val="000C28E3"/>
    <w:rsid w:val="000C3E1E"/>
    <w:rsid w:val="000C42BE"/>
    <w:rsid w:val="000C431F"/>
    <w:rsid w:val="000C4C20"/>
    <w:rsid w:val="000C509F"/>
    <w:rsid w:val="000C54EC"/>
    <w:rsid w:val="000C5BF5"/>
    <w:rsid w:val="000C6E5C"/>
    <w:rsid w:val="000C78AB"/>
    <w:rsid w:val="000C7C02"/>
    <w:rsid w:val="000D00C6"/>
    <w:rsid w:val="000D0226"/>
    <w:rsid w:val="000D29FA"/>
    <w:rsid w:val="000D3B49"/>
    <w:rsid w:val="000D4159"/>
    <w:rsid w:val="000D5C9E"/>
    <w:rsid w:val="000D63D5"/>
    <w:rsid w:val="000D64BB"/>
    <w:rsid w:val="000D652A"/>
    <w:rsid w:val="000D6579"/>
    <w:rsid w:val="000D67B7"/>
    <w:rsid w:val="000E00DB"/>
    <w:rsid w:val="000E015F"/>
    <w:rsid w:val="000E04D7"/>
    <w:rsid w:val="000E0B92"/>
    <w:rsid w:val="000E1E91"/>
    <w:rsid w:val="000E22CB"/>
    <w:rsid w:val="000E2D28"/>
    <w:rsid w:val="000E3654"/>
    <w:rsid w:val="000E49C5"/>
    <w:rsid w:val="000E5631"/>
    <w:rsid w:val="000E5BC1"/>
    <w:rsid w:val="000E6043"/>
    <w:rsid w:val="000F1172"/>
    <w:rsid w:val="000F1925"/>
    <w:rsid w:val="000F1D98"/>
    <w:rsid w:val="000F1EDC"/>
    <w:rsid w:val="000F2861"/>
    <w:rsid w:val="000F2A08"/>
    <w:rsid w:val="000F3242"/>
    <w:rsid w:val="000F366D"/>
    <w:rsid w:val="000F530A"/>
    <w:rsid w:val="000F681E"/>
    <w:rsid w:val="000F6D20"/>
    <w:rsid w:val="000F6EE9"/>
    <w:rsid w:val="000F7B28"/>
    <w:rsid w:val="00101145"/>
    <w:rsid w:val="00103270"/>
    <w:rsid w:val="00103C12"/>
    <w:rsid w:val="00105271"/>
    <w:rsid w:val="00105499"/>
    <w:rsid w:val="001070F4"/>
    <w:rsid w:val="001071B6"/>
    <w:rsid w:val="001077EF"/>
    <w:rsid w:val="00107CB0"/>
    <w:rsid w:val="00110342"/>
    <w:rsid w:val="00110424"/>
    <w:rsid w:val="00110C74"/>
    <w:rsid w:val="00110CD0"/>
    <w:rsid w:val="00110FB4"/>
    <w:rsid w:val="0011139A"/>
    <w:rsid w:val="001114DF"/>
    <w:rsid w:val="001115DE"/>
    <w:rsid w:val="001116D1"/>
    <w:rsid w:val="00111BBB"/>
    <w:rsid w:val="00111CB8"/>
    <w:rsid w:val="00111E0E"/>
    <w:rsid w:val="001124DD"/>
    <w:rsid w:val="0011265C"/>
    <w:rsid w:val="00112FF3"/>
    <w:rsid w:val="001133F2"/>
    <w:rsid w:val="001138AB"/>
    <w:rsid w:val="0011432B"/>
    <w:rsid w:val="00114873"/>
    <w:rsid w:val="00115C42"/>
    <w:rsid w:val="001163B4"/>
    <w:rsid w:val="00116B3C"/>
    <w:rsid w:val="001219E7"/>
    <w:rsid w:val="00121CBE"/>
    <w:rsid w:val="00121D52"/>
    <w:rsid w:val="00123030"/>
    <w:rsid w:val="00123E43"/>
    <w:rsid w:val="00123F33"/>
    <w:rsid w:val="001246B1"/>
    <w:rsid w:val="00125C64"/>
    <w:rsid w:val="001263DE"/>
    <w:rsid w:val="00126457"/>
    <w:rsid w:val="00126C21"/>
    <w:rsid w:val="001276FA"/>
    <w:rsid w:val="00127B32"/>
    <w:rsid w:val="00127B57"/>
    <w:rsid w:val="00127FE3"/>
    <w:rsid w:val="00130DE5"/>
    <w:rsid w:val="00131405"/>
    <w:rsid w:val="00131D90"/>
    <w:rsid w:val="00132560"/>
    <w:rsid w:val="0013334D"/>
    <w:rsid w:val="0013565B"/>
    <w:rsid w:val="00135BAE"/>
    <w:rsid w:val="00135BF7"/>
    <w:rsid w:val="00137033"/>
    <w:rsid w:val="0013766D"/>
    <w:rsid w:val="0013798B"/>
    <w:rsid w:val="00137AA6"/>
    <w:rsid w:val="001408BB"/>
    <w:rsid w:val="00140A0E"/>
    <w:rsid w:val="00140A31"/>
    <w:rsid w:val="00140E38"/>
    <w:rsid w:val="00141286"/>
    <w:rsid w:val="001414B9"/>
    <w:rsid w:val="0014160B"/>
    <w:rsid w:val="0014167A"/>
    <w:rsid w:val="00141BF4"/>
    <w:rsid w:val="00142ABE"/>
    <w:rsid w:val="00143039"/>
    <w:rsid w:val="001433B0"/>
    <w:rsid w:val="00143E5C"/>
    <w:rsid w:val="00145219"/>
    <w:rsid w:val="00145749"/>
    <w:rsid w:val="001463C8"/>
    <w:rsid w:val="0014643A"/>
    <w:rsid w:val="001500CB"/>
    <w:rsid w:val="001501A7"/>
    <w:rsid w:val="0015111A"/>
    <w:rsid w:val="00152DE6"/>
    <w:rsid w:val="00152E80"/>
    <w:rsid w:val="00153424"/>
    <w:rsid w:val="00154691"/>
    <w:rsid w:val="001549A4"/>
    <w:rsid w:val="00154AF6"/>
    <w:rsid w:val="00155045"/>
    <w:rsid w:val="0015594E"/>
    <w:rsid w:val="00155F4C"/>
    <w:rsid w:val="00156B22"/>
    <w:rsid w:val="001613DB"/>
    <w:rsid w:val="001617F8"/>
    <w:rsid w:val="001621B2"/>
    <w:rsid w:val="00162388"/>
    <w:rsid w:val="00162C0A"/>
    <w:rsid w:val="001633B8"/>
    <w:rsid w:val="00163F4F"/>
    <w:rsid w:val="00164215"/>
    <w:rsid w:val="00164BE2"/>
    <w:rsid w:val="0016579C"/>
    <w:rsid w:val="001658B2"/>
    <w:rsid w:val="00165DBB"/>
    <w:rsid w:val="00165DBF"/>
    <w:rsid w:val="001672B9"/>
    <w:rsid w:val="0016730D"/>
    <w:rsid w:val="0016737D"/>
    <w:rsid w:val="00167D01"/>
    <w:rsid w:val="00170701"/>
    <w:rsid w:val="00170877"/>
    <w:rsid w:val="00172A27"/>
    <w:rsid w:val="00173679"/>
    <w:rsid w:val="00173E32"/>
    <w:rsid w:val="00173E51"/>
    <w:rsid w:val="00174BFE"/>
    <w:rsid w:val="00175AA2"/>
    <w:rsid w:val="00175AE8"/>
    <w:rsid w:val="00175C70"/>
    <w:rsid w:val="00176D72"/>
    <w:rsid w:val="0018067C"/>
    <w:rsid w:val="00180C0A"/>
    <w:rsid w:val="00180F33"/>
    <w:rsid w:val="001814F9"/>
    <w:rsid w:val="00181B6A"/>
    <w:rsid w:val="00182B3D"/>
    <w:rsid w:val="0018335E"/>
    <w:rsid w:val="00183AB1"/>
    <w:rsid w:val="00184424"/>
    <w:rsid w:val="001849F1"/>
    <w:rsid w:val="0018582C"/>
    <w:rsid w:val="00186DA3"/>
    <w:rsid w:val="00186E0D"/>
    <w:rsid w:val="001904F9"/>
    <w:rsid w:val="0019054E"/>
    <w:rsid w:val="0019185A"/>
    <w:rsid w:val="00191E89"/>
    <w:rsid w:val="0019241A"/>
    <w:rsid w:val="001929B4"/>
    <w:rsid w:val="00193D4A"/>
    <w:rsid w:val="00194120"/>
    <w:rsid w:val="001945BA"/>
    <w:rsid w:val="00195DE2"/>
    <w:rsid w:val="0019635C"/>
    <w:rsid w:val="00196409"/>
    <w:rsid w:val="001976E5"/>
    <w:rsid w:val="001A171B"/>
    <w:rsid w:val="001A1C85"/>
    <w:rsid w:val="001A1D71"/>
    <w:rsid w:val="001A3104"/>
    <w:rsid w:val="001A3E1E"/>
    <w:rsid w:val="001A3E4D"/>
    <w:rsid w:val="001A3F49"/>
    <w:rsid w:val="001A68E7"/>
    <w:rsid w:val="001A7AA3"/>
    <w:rsid w:val="001A7E8C"/>
    <w:rsid w:val="001B122A"/>
    <w:rsid w:val="001B1434"/>
    <w:rsid w:val="001B1BD9"/>
    <w:rsid w:val="001B2184"/>
    <w:rsid w:val="001B2970"/>
    <w:rsid w:val="001B3338"/>
    <w:rsid w:val="001B64EE"/>
    <w:rsid w:val="001B69D1"/>
    <w:rsid w:val="001C0195"/>
    <w:rsid w:val="001C0AF0"/>
    <w:rsid w:val="001C12A2"/>
    <w:rsid w:val="001C1532"/>
    <w:rsid w:val="001C278E"/>
    <w:rsid w:val="001C35B5"/>
    <w:rsid w:val="001C35C8"/>
    <w:rsid w:val="001C372E"/>
    <w:rsid w:val="001C4BF9"/>
    <w:rsid w:val="001C4E8C"/>
    <w:rsid w:val="001C5326"/>
    <w:rsid w:val="001C5663"/>
    <w:rsid w:val="001C5885"/>
    <w:rsid w:val="001C5BA9"/>
    <w:rsid w:val="001C6149"/>
    <w:rsid w:val="001C7961"/>
    <w:rsid w:val="001C7A5E"/>
    <w:rsid w:val="001C7A81"/>
    <w:rsid w:val="001D1628"/>
    <w:rsid w:val="001D18EA"/>
    <w:rsid w:val="001D1B2A"/>
    <w:rsid w:val="001D28BC"/>
    <w:rsid w:val="001D30D4"/>
    <w:rsid w:val="001D417C"/>
    <w:rsid w:val="001D421B"/>
    <w:rsid w:val="001D4293"/>
    <w:rsid w:val="001D4B5D"/>
    <w:rsid w:val="001D5BD2"/>
    <w:rsid w:val="001D5C9A"/>
    <w:rsid w:val="001D5FB3"/>
    <w:rsid w:val="001D61E7"/>
    <w:rsid w:val="001D61EB"/>
    <w:rsid w:val="001D6228"/>
    <w:rsid w:val="001D75D9"/>
    <w:rsid w:val="001D7932"/>
    <w:rsid w:val="001D7CC7"/>
    <w:rsid w:val="001E0092"/>
    <w:rsid w:val="001E0403"/>
    <w:rsid w:val="001E0512"/>
    <w:rsid w:val="001E0AAF"/>
    <w:rsid w:val="001E116C"/>
    <w:rsid w:val="001E3102"/>
    <w:rsid w:val="001E3261"/>
    <w:rsid w:val="001E3A52"/>
    <w:rsid w:val="001E4912"/>
    <w:rsid w:val="001F21A5"/>
    <w:rsid w:val="001F3337"/>
    <w:rsid w:val="001F36DA"/>
    <w:rsid w:val="001F3C40"/>
    <w:rsid w:val="001F4519"/>
    <w:rsid w:val="001F6B24"/>
    <w:rsid w:val="001F6BB0"/>
    <w:rsid w:val="001F7152"/>
    <w:rsid w:val="00200361"/>
    <w:rsid w:val="00200E9F"/>
    <w:rsid w:val="00202D86"/>
    <w:rsid w:val="00202ED4"/>
    <w:rsid w:val="002031AE"/>
    <w:rsid w:val="00203213"/>
    <w:rsid w:val="00203D79"/>
    <w:rsid w:val="0020506E"/>
    <w:rsid w:val="002054FE"/>
    <w:rsid w:val="00205D6C"/>
    <w:rsid w:val="00205F18"/>
    <w:rsid w:val="002060F5"/>
    <w:rsid w:val="0020629D"/>
    <w:rsid w:val="00207E80"/>
    <w:rsid w:val="002110D2"/>
    <w:rsid w:val="0021110E"/>
    <w:rsid w:val="002114E0"/>
    <w:rsid w:val="00211C3B"/>
    <w:rsid w:val="002138C7"/>
    <w:rsid w:val="0021395E"/>
    <w:rsid w:val="00214DB0"/>
    <w:rsid w:val="002153B0"/>
    <w:rsid w:val="00217F05"/>
    <w:rsid w:val="002212A4"/>
    <w:rsid w:val="00221881"/>
    <w:rsid w:val="002224A3"/>
    <w:rsid w:val="0022278B"/>
    <w:rsid w:val="00222DD5"/>
    <w:rsid w:val="00223291"/>
    <w:rsid w:val="002234B3"/>
    <w:rsid w:val="00223ECB"/>
    <w:rsid w:val="00223FE6"/>
    <w:rsid w:val="002242CD"/>
    <w:rsid w:val="00224F5D"/>
    <w:rsid w:val="00225450"/>
    <w:rsid w:val="0022589D"/>
    <w:rsid w:val="00225BDF"/>
    <w:rsid w:val="00226B0C"/>
    <w:rsid w:val="00226CB4"/>
    <w:rsid w:val="00227266"/>
    <w:rsid w:val="0023015B"/>
    <w:rsid w:val="00231920"/>
    <w:rsid w:val="00231CB8"/>
    <w:rsid w:val="00232A8E"/>
    <w:rsid w:val="00233D71"/>
    <w:rsid w:val="002342A0"/>
    <w:rsid w:val="0023486D"/>
    <w:rsid w:val="00234AD2"/>
    <w:rsid w:val="00234F8C"/>
    <w:rsid w:val="0023588C"/>
    <w:rsid w:val="0023598A"/>
    <w:rsid w:val="00235D27"/>
    <w:rsid w:val="0023714B"/>
    <w:rsid w:val="002371F4"/>
    <w:rsid w:val="0023725D"/>
    <w:rsid w:val="002375EC"/>
    <w:rsid w:val="00240AE8"/>
    <w:rsid w:val="0024157B"/>
    <w:rsid w:val="002419B7"/>
    <w:rsid w:val="002419C6"/>
    <w:rsid w:val="00242116"/>
    <w:rsid w:val="00242519"/>
    <w:rsid w:val="002431D0"/>
    <w:rsid w:val="002435B2"/>
    <w:rsid w:val="00243DD8"/>
    <w:rsid w:val="00243DE4"/>
    <w:rsid w:val="0024428A"/>
    <w:rsid w:val="00244929"/>
    <w:rsid w:val="00244D70"/>
    <w:rsid w:val="0024532A"/>
    <w:rsid w:val="002454BD"/>
    <w:rsid w:val="00246B12"/>
    <w:rsid w:val="00246E4A"/>
    <w:rsid w:val="00246F91"/>
    <w:rsid w:val="00251069"/>
    <w:rsid w:val="00251877"/>
    <w:rsid w:val="002528D9"/>
    <w:rsid w:val="00255344"/>
    <w:rsid w:val="00255F17"/>
    <w:rsid w:val="00256396"/>
    <w:rsid w:val="002563FD"/>
    <w:rsid w:val="00256519"/>
    <w:rsid w:val="0025695A"/>
    <w:rsid w:val="00256B8A"/>
    <w:rsid w:val="002577BB"/>
    <w:rsid w:val="002609AB"/>
    <w:rsid w:val="002612E7"/>
    <w:rsid w:val="00262A83"/>
    <w:rsid w:val="00262C6A"/>
    <w:rsid w:val="0026381A"/>
    <w:rsid w:val="0026453F"/>
    <w:rsid w:val="00264A4A"/>
    <w:rsid w:val="00265209"/>
    <w:rsid w:val="00265383"/>
    <w:rsid w:val="00265AB8"/>
    <w:rsid w:val="00265B87"/>
    <w:rsid w:val="00265E97"/>
    <w:rsid w:val="002667CB"/>
    <w:rsid w:val="00267282"/>
    <w:rsid w:val="00270744"/>
    <w:rsid w:val="002711BC"/>
    <w:rsid w:val="0027189E"/>
    <w:rsid w:val="002728CA"/>
    <w:rsid w:val="00272B19"/>
    <w:rsid w:val="0027378E"/>
    <w:rsid w:val="0027382D"/>
    <w:rsid w:val="0027388E"/>
    <w:rsid w:val="00274F30"/>
    <w:rsid w:val="00275872"/>
    <w:rsid w:val="002758B4"/>
    <w:rsid w:val="002763A9"/>
    <w:rsid w:val="002767CF"/>
    <w:rsid w:val="00276EE9"/>
    <w:rsid w:val="002774AA"/>
    <w:rsid w:val="00277C05"/>
    <w:rsid w:val="002801E1"/>
    <w:rsid w:val="0028129C"/>
    <w:rsid w:val="002821F4"/>
    <w:rsid w:val="0028310C"/>
    <w:rsid w:val="00283176"/>
    <w:rsid w:val="00283293"/>
    <w:rsid w:val="002846AA"/>
    <w:rsid w:val="00284B22"/>
    <w:rsid w:val="00285698"/>
    <w:rsid w:val="00286B48"/>
    <w:rsid w:val="00286C88"/>
    <w:rsid w:val="002873C0"/>
    <w:rsid w:val="002919B7"/>
    <w:rsid w:val="002928A8"/>
    <w:rsid w:val="0029343E"/>
    <w:rsid w:val="00293D82"/>
    <w:rsid w:val="00294770"/>
    <w:rsid w:val="0029495F"/>
    <w:rsid w:val="00297B7E"/>
    <w:rsid w:val="002A0124"/>
    <w:rsid w:val="002A2D42"/>
    <w:rsid w:val="002A3691"/>
    <w:rsid w:val="002A3EAC"/>
    <w:rsid w:val="002A468D"/>
    <w:rsid w:val="002A4867"/>
    <w:rsid w:val="002A4DA2"/>
    <w:rsid w:val="002A5DF0"/>
    <w:rsid w:val="002A7D7A"/>
    <w:rsid w:val="002B0F86"/>
    <w:rsid w:val="002B145A"/>
    <w:rsid w:val="002B1D0C"/>
    <w:rsid w:val="002B1DF2"/>
    <w:rsid w:val="002B47AB"/>
    <w:rsid w:val="002B53E0"/>
    <w:rsid w:val="002B5852"/>
    <w:rsid w:val="002B5F86"/>
    <w:rsid w:val="002B625D"/>
    <w:rsid w:val="002C1380"/>
    <w:rsid w:val="002C17CA"/>
    <w:rsid w:val="002C1849"/>
    <w:rsid w:val="002C1D89"/>
    <w:rsid w:val="002C2266"/>
    <w:rsid w:val="002C2591"/>
    <w:rsid w:val="002C3B7D"/>
    <w:rsid w:val="002C43C4"/>
    <w:rsid w:val="002C5273"/>
    <w:rsid w:val="002C5B8A"/>
    <w:rsid w:val="002C6399"/>
    <w:rsid w:val="002C6C73"/>
    <w:rsid w:val="002C765E"/>
    <w:rsid w:val="002C77C7"/>
    <w:rsid w:val="002D1071"/>
    <w:rsid w:val="002D18BC"/>
    <w:rsid w:val="002D1958"/>
    <w:rsid w:val="002D1BDD"/>
    <w:rsid w:val="002D1F1B"/>
    <w:rsid w:val="002D2714"/>
    <w:rsid w:val="002D2CDE"/>
    <w:rsid w:val="002D32F1"/>
    <w:rsid w:val="002D42DD"/>
    <w:rsid w:val="002D51B0"/>
    <w:rsid w:val="002D55CB"/>
    <w:rsid w:val="002D5CF2"/>
    <w:rsid w:val="002D6573"/>
    <w:rsid w:val="002D66D3"/>
    <w:rsid w:val="002D6862"/>
    <w:rsid w:val="002D6BD8"/>
    <w:rsid w:val="002D6C2D"/>
    <w:rsid w:val="002D790F"/>
    <w:rsid w:val="002E01F0"/>
    <w:rsid w:val="002E0354"/>
    <w:rsid w:val="002E33D7"/>
    <w:rsid w:val="002E470C"/>
    <w:rsid w:val="002E4EC8"/>
    <w:rsid w:val="002E6B38"/>
    <w:rsid w:val="002E6BA0"/>
    <w:rsid w:val="002E7AF1"/>
    <w:rsid w:val="002E7C56"/>
    <w:rsid w:val="002F0432"/>
    <w:rsid w:val="002F0FDD"/>
    <w:rsid w:val="002F1446"/>
    <w:rsid w:val="002F2B2B"/>
    <w:rsid w:val="002F4103"/>
    <w:rsid w:val="002F4B0F"/>
    <w:rsid w:val="002F4BFE"/>
    <w:rsid w:val="002F60AB"/>
    <w:rsid w:val="002F6D03"/>
    <w:rsid w:val="002F75D6"/>
    <w:rsid w:val="003005F6"/>
    <w:rsid w:val="003013C6"/>
    <w:rsid w:val="003027C5"/>
    <w:rsid w:val="00302955"/>
    <w:rsid w:val="0030358B"/>
    <w:rsid w:val="003041F1"/>
    <w:rsid w:val="0030500E"/>
    <w:rsid w:val="00305161"/>
    <w:rsid w:val="003066E8"/>
    <w:rsid w:val="003076E8"/>
    <w:rsid w:val="00310706"/>
    <w:rsid w:val="003109DC"/>
    <w:rsid w:val="003116DB"/>
    <w:rsid w:val="00311E74"/>
    <w:rsid w:val="003126C8"/>
    <w:rsid w:val="003128B2"/>
    <w:rsid w:val="003134C3"/>
    <w:rsid w:val="00313703"/>
    <w:rsid w:val="00313C6D"/>
    <w:rsid w:val="00314003"/>
    <w:rsid w:val="00314253"/>
    <w:rsid w:val="00314AA6"/>
    <w:rsid w:val="00314CB3"/>
    <w:rsid w:val="00315149"/>
    <w:rsid w:val="0031549E"/>
    <w:rsid w:val="00315846"/>
    <w:rsid w:val="003164FD"/>
    <w:rsid w:val="00316A45"/>
    <w:rsid w:val="00316C25"/>
    <w:rsid w:val="00317354"/>
    <w:rsid w:val="003216A9"/>
    <w:rsid w:val="00321D54"/>
    <w:rsid w:val="00321E1B"/>
    <w:rsid w:val="0032210C"/>
    <w:rsid w:val="00324993"/>
    <w:rsid w:val="00325256"/>
    <w:rsid w:val="00325334"/>
    <w:rsid w:val="00325A35"/>
    <w:rsid w:val="00327EDB"/>
    <w:rsid w:val="00330129"/>
    <w:rsid w:val="0033049D"/>
    <w:rsid w:val="00331500"/>
    <w:rsid w:val="00334874"/>
    <w:rsid w:val="003348DA"/>
    <w:rsid w:val="00334D63"/>
    <w:rsid w:val="0033580E"/>
    <w:rsid w:val="0033595E"/>
    <w:rsid w:val="00336522"/>
    <w:rsid w:val="00336B7E"/>
    <w:rsid w:val="003404AA"/>
    <w:rsid w:val="0034059B"/>
    <w:rsid w:val="0034087F"/>
    <w:rsid w:val="0034202A"/>
    <w:rsid w:val="00342BC1"/>
    <w:rsid w:val="00342EAF"/>
    <w:rsid w:val="0034331D"/>
    <w:rsid w:val="00343FFE"/>
    <w:rsid w:val="0034447A"/>
    <w:rsid w:val="0034458C"/>
    <w:rsid w:val="00345497"/>
    <w:rsid w:val="00346348"/>
    <w:rsid w:val="00346C1B"/>
    <w:rsid w:val="00346ECE"/>
    <w:rsid w:val="00347581"/>
    <w:rsid w:val="00352139"/>
    <w:rsid w:val="003525C8"/>
    <w:rsid w:val="0035274F"/>
    <w:rsid w:val="0035278F"/>
    <w:rsid w:val="003535DF"/>
    <w:rsid w:val="00354715"/>
    <w:rsid w:val="0035616C"/>
    <w:rsid w:val="00356EB8"/>
    <w:rsid w:val="003571F0"/>
    <w:rsid w:val="00357C9D"/>
    <w:rsid w:val="00357EF4"/>
    <w:rsid w:val="003603C9"/>
    <w:rsid w:val="00360414"/>
    <w:rsid w:val="00360C57"/>
    <w:rsid w:val="0036174B"/>
    <w:rsid w:val="00362523"/>
    <w:rsid w:val="003625DF"/>
    <w:rsid w:val="003633D8"/>
    <w:rsid w:val="003636AF"/>
    <w:rsid w:val="0036579D"/>
    <w:rsid w:val="00366399"/>
    <w:rsid w:val="00366E5C"/>
    <w:rsid w:val="00367D8D"/>
    <w:rsid w:val="00367F84"/>
    <w:rsid w:val="00370158"/>
    <w:rsid w:val="00370E9C"/>
    <w:rsid w:val="00371C44"/>
    <w:rsid w:val="0037252A"/>
    <w:rsid w:val="00372E0F"/>
    <w:rsid w:val="00373030"/>
    <w:rsid w:val="00373C1A"/>
    <w:rsid w:val="0037501A"/>
    <w:rsid w:val="00375116"/>
    <w:rsid w:val="00375CA8"/>
    <w:rsid w:val="00376E2A"/>
    <w:rsid w:val="003776C3"/>
    <w:rsid w:val="00377958"/>
    <w:rsid w:val="00380FC4"/>
    <w:rsid w:val="0038163A"/>
    <w:rsid w:val="00382041"/>
    <w:rsid w:val="00382117"/>
    <w:rsid w:val="00382527"/>
    <w:rsid w:val="0038262F"/>
    <w:rsid w:val="0038317D"/>
    <w:rsid w:val="003831D7"/>
    <w:rsid w:val="0038327D"/>
    <w:rsid w:val="00383ADC"/>
    <w:rsid w:val="0038411B"/>
    <w:rsid w:val="00384DF4"/>
    <w:rsid w:val="003859C1"/>
    <w:rsid w:val="00385A46"/>
    <w:rsid w:val="003860F4"/>
    <w:rsid w:val="00386B46"/>
    <w:rsid w:val="00386DBD"/>
    <w:rsid w:val="00390C19"/>
    <w:rsid w:val="0039111C"/>
    <w:rsid w:val="003914FF"/>
    <w:rsid w:val="00391590"/>
    <w:rsid w:val="00392FC6"/>
    <w:rsid w:val="00393C30"/>
    <w:rsid w:val="00394755"/>
    <w:rsid w:val="00394F8A"/>
    <w:rsid w:val="00395128"/>
    <w:rsid w:val="00396E34"/>
    <w:rsid w:val="00396F7E"/>
    <w:rsid w:val="003A00CD"/>
    <w:rsid w:val="003A1E91"/>
    <w:rsid w:val="003A2B1A"/>
    <w:rsid w:val="003A2F32"/>
    <w:rsid w:val="003A49C2"/>
    <w:rsid w:val="003A5060"/>
    <w:rsid w:val="003A5ABA"/>
    <w:rsid w:val="003A5C2B"/>
    <w:rsid w:val="003A6C3F"/>
    <w:rsid w:val="003B0630"/>
    <w:rsid w:val="003B08C9"/>
    <w:rsid w:val="003B1511"/>
    <w:rsid w:val="003B1A68"/>
    <w:rsid w:val="003B1E8D"/>
    <w:rsid w:val="003B1EE4"/>
    <w:rsid w:val="003B22EB"/>
    <w:rsid w:val="003B25DB"/>
    <w:rsid w:val="003B3060"/>
    <w:rsid w:val="003B31C6"/>
    <w:rsid w:val="003B325D"/>
    <w:rsid w:val="003B406E"/>
    <w:rsid w:val="003B5A96"/>
    <w:rsid w:val="003B787A"/>
    <w:rsid w:val="003C11C9"/>
    <w:rsid w:val="003C1927"/>
    <w:rsid w:val="003C1D6B"/>
    <w:rsid w:val="003C203D"/>
    <w:rsid w:val="003C2E1C"/>
    <w:rsid w:val="003C300D"/>
    <w:rsid w:val="003C3746"/>
    <w:rsid w:val="003C3FE5"/>
    <w:rsid w:val="003C419F"/>
    <w:rsid w:val="003C48D4"/>
    <w:rsid w:val="003C51F7"/>
    <w:rsid w:val="003C5AC2"/>
    <w:rsid w:val="003C5C3B"/>
    <w:rsid w:val="003C6624"/>
    <w:rsid w:val="003C66CD"/>
    <w:rsid w:val="003C71D8"/>
    <w:rsid w:val="003C7341"/>
    <w:rsid w:val="003C7BFF"/>
    <w:rsid w:val="003D16F6"/>
    <w:rsid w:val="003D2188"/>
    <w:rsid w:val="003D2D1E"/>
    <w:rsid w:val="003D54AB"/>
    <w:rsid w:val="003D5F71"/>
    <w:rsid w:val="003D655A"/>
    <w:rsid w:val="003D7A9C"/>
    <w:rsid w:val="003D7AC0"/>
    <w:rsid w:val="003D7BC5"/>
    <w:rsid w:val="003D7BC9"/>
    <w:rsid w:val="003E0C74"/>
    <w:rsid w:val="003E11D1"/>
    <w:rsid w:val="003E159C"/>
    <w:rsid w:val="003E1664"/>
    <w:rsid w:val="003E35B9"/>
    <w:rsid w:val="003E4853"/>
    <w:rsid w:val="003E5577"/>
    <w:rsid w:val="003E68C2"/>
    <w:rsid w:val="003E6FE6"/>
    <w:rsid w:val="003F15BF"/>
    <w:rsid w:val="003F1E7B"/>
    <w:rsid w:val="003F2008"/>
    <w:rsid w:val="003F2774"/>
    <w:rsid w:val="003F2B3C"/>
    <w:rsid w:val="003F2E8A"/>
    <w:rsid w:val="003F350B"/>
    <w:rsid w:val="003F3A38"/>
    <w:rsid w:val="003F3E6B"/>
    <w:rsid w:val="003F3E9B"/>
    <w:rsid w:val="003F49F1"/>
    <w:rsid w:val="003F50C1"/>
    <w:rsid w:val="003F5713"/>
    <w:rsid w:val="003F5983"/>
    <w:rsid w:val="003F5DB2"/>
    <w:rsid w:val="003F6BAF"/>
    <w:rsid w:val="003F6FE7"/>
    <w:rsid w:val="003F71FF"/>
    <w:rsid w:val="0040042F"/>
    <w:rsid w:val="00400E83"/>
    <w:rsid w:val="0040125E"/>
    <w:rsid w:val="004024CB"/>
    <w:rsid w:val="004027A2"/>
    <w:rsid w:val="0040305C"/>
    <w:rsid w:val="00404ACC"/>
    <w:rsid w:val="00404F5C"/>
    <w:rsid w:val="0040722B"/>
    <w:rsid w:val="00411F3C"/>
    <w:rsid w:val="004124BF"/>
    <w:rsid w:val="004141A7"/>
    <w:rsid w:val="00414FF3"/>
    <w:rsid w:val="00415C21"/>
    <w:rsid w:val="00416E36"/>
    <w:rsid w:val="0041784F"/>
    <w:rsid w:val="004200AE"/>
    <w:rsid w:val="00420112"/>
    <w:rsid w:val="004206AB"/>
    <w:rsid w:val="00420C84"/>
    <w:rsid w:val="0042155C"/>
    <w:rsid w:val="0042205C"/>
    <w:rsid w:val="00422710"/>
    <w:rsid w:val="00423149"/>
    <w:rsid w:val="00423C8B"/>
    <w:rsid w:val="00423E66"/>
    <w:rsid w:val="00424E41"/>
    <w:rsid w:val="00424E95"/>
    <w:rsid w:val="00425140"/>
    <w:rsid w:val="00426439"/>
    <w:rsid w:val="004265AD"/>
    <w:rsid w:val="00426944"/>
    <w:rsid w:val="004301C6"/>
    <w:rsid w:val="00430BEF"/>
    <w:rsid w:val="00430DA7"/>
    <w:rsid w:val="004313B9"/>
    <w:rsid w:val="00431B21"/>
    <w:rsid w:val="00432AA2"/>
    <w:rsid w:val="004331B0"/>
    <w:rsid w:val="004331D9"/>
    <w:rsid w:val="0043334D"/>
    <w:rsid w:val="004341AC"/>
    <w:rsid w:val="00434283"/>
    <w:rsid w:val="004345F3"/>
    <w:rsid w:val="0043572F"/>
    <w:rsid w:val="0043616C"/>
    <w:rsid w:val="004367D7"/>
    <w:rsid w:val="00437403"/>
    <w:rsid w:val="0044176B"/>
    <w:rsid w:val="00441F4B"/>
    <w:rsid w:val="004428CB"/>
    <w:rsid w:val="004428E0"/>
    <w:rsid w:val="00442C2F"/>
    <w:rsid w:val="00444265"/>
    <w:rsid w:val="00444577"/>
    <w:rsid w:val="00444E27"/>
    <w:rsid w:val="00444FF2"/>
    <w:rsid w:val="0044521A"/>
    <w:rsid w:val="0044522B"/>
    <w:rsid w:val="00445A7B"/>
    <w:rsid w:val="00447E3B"/>
    <w:rsid w:val="00450399"/>
    <w:rsid w:val="00450A22"/>
    <w:rsid w:val="00451066"/>
    <w:rsid w:val="00451524"/>
    <w:rsid w:val="00451739"/>
    <w:rsid w:val="0045243D"/>
    <w:rsid w:val="00452552"/>
    <w:rsid w:val="00452C22"/>
    <w:rsid w:val="00452CED"/>
    <w:rsid w:val="00453027"/>
    <w:rsid w:val="00453048"/>
    <w:rsid w:val="00454460"/>
    <w:rsid w:val="0045487B"/>
    <w:rsid w:val="004549F3"/>
    <w:rsid w:val="004551B4"/>
    <w:rsid w:val="00455351"/>
    <w:rsid w:val="0045595F"/>
    <w:rsid w:val="00455CF6"/>
    <w:rsid w:val="00456473"/>
    <w:rsid w:val="004578E2"/>
    <w:rsid w:val="0046055E"/>
    <w:rsid w:val="0046215F"/>
    <w:rsid w:val="004628D4"/>
    <w:rsid w:val="004643B9"/>
    <w:rsid w:val="00464DC4"/>
    <w:rsid w:val="00464EBE"/>
    <w:rsid w:val="00465503"/>
    <w:rsid w:val="004657FA"/>
    <w:rsid w:val="00465A20"/>
    <w:rsid w:val="004660B9"/>
    <w:rsid w:val="0046644D"/>
    <w:rsid w:val="00467916"/>
    <w:rsid w:val="004679D6"/>
    <w:rsid w:val="00467E5C"/>
    <w:rsid w:val="00471027"/>
    <w:rsid w:val="0047217E"/>
    <w:rsid w:val="004724DC"/>
    <w:rsid w:val="00472F03"/>
    <w:rsid w:val="004732BD"/>
    <w:rsid w:val="00474226"/>
    <w:rsid w:val="0047614F"/>
    <w:rsid w:val="00477096"/>
    <w:rsid w:val="00477301"/>
    <w:rsid w:val="00477587"/>
    <w:rsid w:val="00477FC8"/>
    <w:rsid w:val="00480F86"/>
    <w:rsid w:val="004812F7"/>
    <w:rsid w:val="00482E8A"/>
    <w:rsid w:val="00485989"/>
    <w:rsid w:val="004878BE"/>
    <w:rsid w:val="0049005A"/>
    <w:rsid w:val="0049044F"/>
    <w:rsid w:val="00490E83"/>
    <w:rsid w:val="0049266E"/>
    <w:rsid w:val="00492F0D"/>
    <w:rsid w:val="00492FFD"/>
    <w:rsid w:val="004931C2"/>
    <w:rsid w:val="00493CA7"/>
    <w:rsid w:val="004940D2"/>
    <w:rsid w:val="00496451"/>
    <w:rsid w:val="00496AE1"/>
    <w:rsid w:val="00496EB8"/>
    <w:rsid w:val="004973A7"/>
    <w:rsid w:val="00497598"/>
    <w:rsid w:val="004A013A"/>
    <w:rsid w:val="004A05B1"/>
    <w:rsid w:val="004A05F2"/>
    <w:rsid w:val="004A0A6B"/>
    <w:rsid w:val="004A1C3B"/>
    <w:rsid w:val="004A1E7B"/>
    <w:rsid w:val="004A2141"/>
    <w:rsid w:val="004A2187"/>
    <w:rsid w:val="004A248F"/>
    <w:rsid w:val="004A2A0E"/>
    <w:rsid w:val="004A3DB0"/>
    <w:rsid w:val="004A42F4"/>
    <w:rsid w:val="004A46C8"/>
    <w:rsid w:val="004A5C85"/>
    <w:rsid w:val="004A5EDE"/>
    <w:rsid w:val="004A649A"/>
    <w:rsid w:val="004A673B"/>
    <w:rsid w:val="004A6A91"/>
    <w:rsid w:val="004A7217"/>
    <w:rsid w:val="004B0816"/>
    <w:rsid w:val="004B100A"/>
    <w:rsid w:val="004B1D71"/>
    <w:rsid w:val="004B2B54"/>
    <w:rsid w:val="004B3339"/>
    <w:rsid w:val="004B3424"/>
    <w:rsid w:val="004B3521"/>
    <w:rsid w:val="004B3839"/>
    <w:rsid w:val="004B3CC9"/>
    <w:rsid w:val="004B422D"/>
    <w:rsid w:val="004B4522"/>
    <w:rsid w:val="004B4836"/>
    <w:rsid w:val="004B5FA3"/>
    <w:rsid w:val="004B6D95"/>
    <w:rsid w:val="004B6E16"/>
    <w:rsid w:val="004B79D8"/>
    <w:rsid w:val="004C09FC"/>
    <w:rsid w:val="004C0DAE"/>
    <w:rsid w:val="004C13A3"/>
    <w:rsid w:val="004C1412"/>
    <w:rsid w:val="004C1D5E"/>
    <w:rsid w:val="004C2065"/>
    <w:rsid w:val="004C375C"/>
    <w:rsid w:val="004C43FF"/>
    <w:rsid w:val="004C46A8"/>
    <w:rsid w:val="004C6785"/>
    <w:rsid w:val="004C6900"/>
    <w:rsid w:val="004D1012"/>
    <w:rsid w:val="004D222E"/>
    <w:rsid w:val="004D232A"/>
    <w:rsid w:val="004D2BFE"/>
    <w:rsid w:val="004D2FC7"/>
    <w:rsid w:val="004D314A"/>
    <w:rsid w:val="004D3354"/>
    <w:rsid w:val="004D3767"/>
    <w:rsid w:val="004D3AA2"/>
    <w:rsid w:val="004D4B98"/>
    <w:rsid w:val="004D4CB4"/>
    <w:rsid w:val="004D4E05"/>
    <w:rsid w:val="004D556D"/>
    <w:rsid w:val="004D5A28"/>
    <w:rsid w:val="004D5AD4"/>
    <w:rsid w:val="004D783C"/>
    <w:rsid w:val="004E02AA"/>
    <w:rsid w:val="004E260B"/>
    <w:rsid w:val="004E2ADA"/>
    <w:rsid w:val="004E3CB6"/>
    <w:rsid w:val="004E441D"/>
    <w:rsid w:val="004E46DD"/>
    <w:rsid w:val="004E55A7"/>
    <w:rsid w:val="004E5886"/>
    <w:rsid w:val="004E6AF2"/>
    <w:rsid w:val="004E6F80"/>
    <w:rsid w:val="004E77E0"/>
    <w:rsid w:val="004E7843"/>
    <w:rsid w:val="004F0DBD"/>
    <w:rsid w:val="004F0F3D"/>
    <w:rsid w:val="004F1022"/>
    <w:rsid w:val="004F37C3"/>
    <w:rsid w:val="004F42CA"/>
    <w:rsid w:val="004F4F78"/>
    <w:rsid w:val="004F5029"/>
    <w:rsid w:val="004F5BE0"/>
    <w:rsid w:val="004F60D5"/>
    <w:rsid w:val="004F780B"/>
    <w:rsid w:val="004F7992"/>
    <w:rsid w:val="004F79D4"/>
    <w:rsid w:val="004F7B61"/>
    <w:rsid w:val="00500DC4"/>
    <w:rsid w:val="00500E36"/>
    <w:rsid w:val="00501AFE"/>
    <w:rsid w:val="00502DCE"/>
    <w:rsid w:val="00503636"/>
    <w:rsid w:val="00504789"/>
    <w:rsid w:val="00504856"/>
    <w:rsid w:val="0050557B"/>
    <w:rsid w:val="005055CE"/>
    <w:rsid w:val="00506C3C"/>
    <w:rsid w:val="00506C57"/>
    <w:rsid w:val="0050704C"/>
    <w:rsid w:val="005073CC"/>
    <w:rsid w:val="00507D69"/>
    <w:rsid w:val="00510880"/>
    <w:rsid w:val="00510B03"/>
    <w:rsid w:val="00511E1C"/>
    <w:rsid w:val="00512F1A"/>
    <w:rsid w:val="005133EE"/>
    <w:rsid w:val="00513DC7"/>
    <w:rsid w:val="005143AA"/>
    <w:rsid w:val="005159EC"/>
    <w:rsid w:val="00515B1E"/>
    <w:rsid w:val="005167A7"/>
    <w:rsid w:val="005175EA"/>
    <w:rsid w:val="005179D1"/>
    <w:rsid w:val="0052027C"/>
    <w:rsid w:val="00520F7A"/>
    <w:rsid w:val="00522600"/>
    <w:rsid w:val="00522CA2"/>
    <w:rsid w:val="00522E17"/>
    <w:rsid w:val="00523072"/>
    <w:rsid w:val="005234E7"/>
    <w:rsid w:val="00523F54"/>
    <w:rsid w:val="00525540"/>
    <w:rsid w:val="00527A80"/>
    <w:rsid w:val="00527AAD"/>
    <w:rsid w:val="0053036A"/>
    <w:rsid w:val="005308CB"/>
    <w:rsid w:val="00530AF2"/>
    <w:rsid w:val="00532BAD"/>
    <w:rsid w:val="0053523A"/>
    <w:rsid w:val="005354DF"/>
    <w:rsid w:val="00535558"/>
    <w:rsid w:val="005355A0"/>
    <w:rsid w:val="005364A9"/>
    <w:rsid w:val="00537EBB"/>
    <w:rsid w:val="00537EDD"/>
    <w:rsid w:val="00537F60"/>
    <w:rsid w:val="005406BF"/>
    <w:rsid w:val="0054089B"/>
    <w:rsid w:val="005421FF"/>
    <w:rsid w:val="005435C5"/>
    <w:rsid w:val="00543B69"/>
    <w:rsid w:val="00543D06"/>
    <w:rsid w:val="0054426C"/>
    <w:rsid w:val="00545177"/>
    <w:rsid w:val="0054535B"/>
    <w:rsid w:val="00545AC1"/>
    <w:rsid w:val="0054605A"/>
    <w:rsid w:val="0054617C"/>
    <w:rsid w:val="00547175"/>
    <w:rsid w:val="0054740C"/>
    <w:rsid w:val="005477E7"/>
    <w:rsid w:val="0054792E"/>
    <w:rsid w:val="00550C21"/>
    <w:rsid w:val="005515B7"/>
    <w:rsid w:val="0055194A"/>
    <w:rsid w:val="00551A44"/>
    <w:rsid w:val="00553752"/>
    <w:rsid w:val="00554D30"/>
    <w:rsid w:val="00555E2D"/>
    <w:rsid w:val="005563F7"/>
    <w:rsid w:val="00556C68"/>
    <w:rsid w:val="00556D08"/>
    <w:rsid w:val="00557B0A"/>
    <w:rsid w:val="00560ECA"/>
    <w:rsid w:val="00561048"/>
    <w:rsid w:val="005610A9"/>
    <w:rsid w:val="00561203"/>
    <w:rsid w:val="00561ED2"/>
    <w:rsid w:val="00561F29"/>
    <w:rsid w:val="00561F54"/>
    <w:rsid w:val="00562277"/>
    <w:rsid w:val="0056241B"/>
    <w:rsid w:val="005632DA"/>
    <w:rsid w:val="005639FB"/>
    <w:rsid w:val="00565312"/>
    <w:rsid w:val="00565E65"/>
    <w:rsid w:val="00567971"/>
    <w:rsid w:val="005711B0"/>
    <w:rsid w:val="00571C48"/>
    <w:rsid w:val="00571D92"/>
    <w:rsid w:val="005722E1"/>
    <w:rsid w:val="00572A0E"/>
    <w:rsid w:val="00572DD6"/>
    <w:rsid w:val="00572FEC"/>
    <w:rsid w:val="005733F2"/>
    <w:rsid w:val="00574DFD"/>
    <w:rsid w:val="005752A1"/>
    <w:rsid w:val="005763B7"/>
    <w:rsid w:val="00576A2E"/>
    <w:rsid w:val="00577F52"/>
    <w:rsid w:val="00577FC2"/>
    <w:rsid w:val="0058045E"/>
    <w:rsid w:val="005815B8"/>
    <w:rsid w:val="00581699"/>
    <w:rsid w:val="00581D6A"/>
    <w:rsid w:val="00582188"/>
    <w:rsid w:val="005826E4"/>
    <w:rsid w:val="005827E0"/>
    <w:rsid w:val="00583568"/>
    <w:rsid w:val="00585DBC"/>
    <w:rsid w:val="0058623D"/>
    <w:rsid w:val="005862D6"/>
    <w:rsid w:val="005869C9"/>
    <w:rsid w:val="00586BCF"/>
    <w:rsid w:val="00586DD7"/>
    <w:rsid w:val="00587CA1"/>
    <w:rsid w:val="00587CFB"/>
    <w:rsid w:val="00587DD6"/>
    <w:rsid w:val="005909A4"/>
    <w:rsid w:val="00590C16"/>
    <w:rsid w:val="005913D1"/>
    <w:rsid w:val="00591CBD"/>
    <w:rsid w:val="00592FB6"/>
    <w:rsid w:val="00593443"/>
    <w:rsid w:val="00593725"/>
    <w:rsid w:val="00595275"/>
    <w:rsid w:val="005959E6"/>
    <w:rsid w:val="005975A0"/>
    <w:rsid w:val="005A1109"/>
    <w:rsid w:val="005A2D77"/>
    <w:rsid w:val="005A3527"/>
    <w:rsid w:val="005A3574"/>
    <w:rsid w:val="005A3C06"/>
    <w:rsid w:val="005A43EB"/>
    <w:rsid w:val="005A5120"/>
    <w:rsid w:val="005A58FB"/>
    <w:rsid w:val="005A5E27"/>
    <w:rsid w:val="005A63C6"/>
    <w:rsid w:val="005A6668"/>
    <w:rsid w:val="005A66DF"/>
    <w:rsid w:val="005A7EA9"/>
    <w:rsid w:val="005B0412"/>
    <w:rsid w:val="005B044E"/>
    <w:rsid w:val="005B0AB0"/>
    <w:rsid w:val="005B1029"/>
    <w:rsid w:val="005B1740"/>
    <w:rsid w:val="005B1BD4"/>
    <w:rsid w:val="005B1CDF"/>
    <w:rsid w:val="005B1F31"/>
    <w:rsid w:val="005B311B"/>
    <w:rsid w:val="005B3430"/>
    <w:rsid w:val="005B411B"/>
    <w:rsid w:val="005B47B5"/>
    <w:rsid w:val="005B4D47"/>
    <w:rsid w:val="005B4D8E"/>
    <w:rsid w:val="005B5323"/>
    <w:rsid w:val="005B6BC7"/>
    <w:rsid w:val="005B7A5C"/>
    <w:rsid w:val="005B7E8F"/>
    <w:rsid w:val="005C1238"/>
    <w:rsid w:val="005C1BC8"/>
    <w:rsid w:val="005C20C7"/>
    <w:rsid w:val="005C2330"/>
    <w:rsid w:val="005C2A8C"/>
    <w:rsid w:val="005C2F98"/>
    <w:rsid w:val="005C47F8"/>
    <w:rsid w:val="005C52B7"/>
    <w:rsid w:val="005C5C81"/>
    <w:rsid w:val="005C5FF2"/>
    <w:rsid w:val="005C6E4F"/>
    <w:rsid w:val="005C7212"/>
    <w:rsid w:val="005D053D"/>
    <w:rsid w:val="005D0D38"/>
    <w:rsid w:val="005D0DED"/>
    <w:rsid w:val="005D126C"/>
    <w:rsid w:val="005D1895"/>
    <w:rsid w:val="005D36AB"/>
    <w:rsid w:val="005D36D4"/>
    <w:rsid w:val="005D37D4"/>
    <w:rsid w:val="005D4303"/>
    <w:rsid w:val="005D4A7D"/>
    <w:rsid w:val="005D4BA9"/>
    <w:rsid w:val="005D5CBC"/>
    <w:rsid w:val="005D5DC8"/>
    <w:rsid w:val="005D5F1B"/>
    <w:rsid w:val="005D68CD"/>
    <w:rsid w:val="005D7C9B"/>
    <w:rsid w:val="005D7D0F"/>
    <w:rsid w:val="005E1596"/>
    <w:rsid w:val="005E161E"/>
    <w:rsid w:val="005E16CC"/>
    <w:rsid w:val="005E20C6"/>
    <w:rsid w:val="005E2F2A"/>
    <w:rsid w:val="005E3CBA"/>
    <w:rsid w:val="005E5534"/>
    <w:rsid w:val="005E6234"/>
    <w:rsid w:val="005E709F"/>
    <w:rsid w:val="005F0459"/>
    <w:rsid w:val="005F24E4"/>
    <w:rsid w:val="005F2549"/>
    <w:rsid w:val="005F29F5"/>
    <w:rsid w:val="005F2B31"/>
    <w:rsid w:val="005F2D72"/>
    <w:rsid w:val="005F3AAC"/>
    <w:rsid w:val="005F3E28"/>
    <w:rsid w:val="005F3F29"/>
    <w:rsid w:val="005F41F5"/>
    <w:rsid w:val="005F48A7"/>
    <w:rsid w:val="005F48E4"/>
    <w:rsid w:val="005F5783"/>
    <w:rsid w:val="005F601A"/>
    <w:rsid w:val="005F60CC"/>
    <w:rsid w:val="005F7318"/>
    <w:rsid w:val="005F7CD7"/>
    <w:rsid w:val="005F7D1F"/>
    <w:rsid w:val="00600D60"/>
    <w:rsid w:val="00601C26"/>
    <w:rsid w:val="00601FF5"/>
    <w:rsid w:val="006026C3"/>
    <w:rsid w:val="006029E9"/>
    <w:rsid w:val="006031FD"/>
    <w:rsid w:val="006034F9"/>
    <w:rsid w:val="006037E6"/>
    <w:rsid w:val="00603DAD"/>
    <w:rsid w:val="006050B7"/>
    <w:rsid w:val="006060C8"/>
    <w:rsid w:val="006062DE"/>
    <w:rsid w:val="00607198"/>
    <w:rsid w:val="00611845"/>
    <w:rsid w:val="00611BB6"/>
    <w:rsid w:val="0061267F"/>
    <w:rsid w:val="0061293E"/>
    <w:rsid w:val="006154D9"/>
    <w:rsid w:val="0061772A"/>
    <w:rsid w:val="00620A23"/>
    <w:rsid w:val="00620B9B"/>
    <w:rsid w:val="00620D9A"/>
    <w:rsid w:val="006212A5"/>
    <w:rsid w:val="00621953"/>
    <w:rsid w:val="00621B5D"/>
    <w:rsid w:val="00622ADA"/>
    <w:rsid w:val="00624AA5"/>
    <w:rsid w:val="006263F5"/>
    <w:rsid w:val="00626AE5"/>
    <w:rsid w:val="00627723"/>
    <w:rsid w:val="00630737"/>
    <w:rsid w:val="00630EC9"/>
    <w:rsid w:val="006312F1"/>
    <w:rsid w:val="00632201"/>
    <w:rsid w:val="00632246"/>
    <w:rsid w:val="006327C8"/>
    <w:rsid w:val="006327EA"/>
    <w:rsid w:val="00632CF6"/>
    <w:rsid w:val="00632DE2"/>
    <w:rsid w:val="006333C8"/>
    <w:rsid w:val="006339F5"/>
    <w:rsid w:val="00633C7D"/>
    <w:rsid w:val="0063426B"/>
    <w:rsid w:val="00634EDD"/>
    <w:rsid w:val="006354D2"/>
    <w:rsid w:val="00636B39"/>
    <w:rsid w:val="00637223"/>
    <w:rsid w:val="006372BC"/>
    <w:rsid w:val="00640F7C"/>
    <w:rsid w:val="006410BE"/>
    <w:rsid w:val="006429AC"/>
    <w:rsid w:val="00643BA2"/>
    <w:rsid w:val="0064402E"/>
    <w:rsid w:val="00644707"/>
    <w:rsid w:val="00644D87"/>
    <w:rsid w:val="00646C6E"/>
    <w:rsid w:val="00647155"/>
    <w:rsid w:val="00647ED3"/>
    <w:rsid w:val="00647F5B"/>
    <w:rsid w:val="00650F9D"/>
    <w:rsid w:val="0065183A"/>
    <w:rsid w:val="00651F28"/>
    <w:rsid w:val="00651F7E"/>
    <w:rsid w:val="00652873"/>
    <w:rsid w:val="00652BFE"/>
    <w:rsid w:val="00652FAC"/>
    <w:rsid w:val="00654A5D"/>
    <w:rsid w:val="00654EF3"/>
    <w:rsid w:val="00655A97"/>
    <w:rsid w:val="0065733B"/>
    <w:rsid w:val="00660895"/>
    <w:rsid w:val="00660C45"/>
    <w:rsid w:val="006618D6"/>
    <w:rsid w:val="00661902"/>
    <w:rsid w:val="00661955"/>
    <w:rsid w:val="00665D04"/>
    <w:rsid w:val="0066679D"/>
    <w:rsid w:val="0066771E"/>
    <w:rsid w:val="006702A4"/>
    <w:rsid w:val="006708E2"/>
    <w:rsid w:val="00671EF4"/>
    <w:rsid w:val="00671F03"/>
    <w:rsid w:val="0067212D"/>
    <w:rsid w:val="006723AE"/>
    <w:rsid w:val="006727AE"/>
    <w:rsid w:val="0067295F"/>
    <w:rsid w:val="00672AC3"/>
    <w:rsid w:val="00673167"/>
    <w:rsid w:val="006739B8"/>
    <w:rsid w:val="006740EA"/>
    <w:rsid w:val="00674D27"/>
    <w:rsid w:val="00675367"/>
    <w:rsid w:val="006759F5"/>
    <w:rsid w:val="0067660C"/>
    <w:rsid w:val="006768CF"/>
    <w:rsid w:val="006773BA"/>
    <w:rsid w:val="0067747C"/>
    <w:rsid w:val="0068004A"/>
    <w:rsid w:val="006812ED"/>
    <w:rsid w:val="00684288"/>
    <w:rsid w:val="006843DA"/>
    <w:rsid w:val="00684799"/>
    <w:rsid w:val="006849D1"/>
    <w:rsid w:val="00685500"/>
    <w:rsid w:val="006861C0"/>
    <w:rsid w:val="00686AB5"/>
    <w:rsid w:val="00687BF8"/>
    <w:rsid w:val="00687E50"/>
    <w:rsid w:val="006908AC"/>
    <w:rsid w:val="006916D5"/>
    <w:rsid w:val="006919E7"/>
    <w:rsid w:val="00691B16"/>
    <w:rsid w:val="00692304"/>
    <w:rsid w:val="00693182"/>
    <w:rsid w:val="0069356B"/>
    <w:rsid w:val="00694535"/>
    <w:rsid w:val="00694871"/>
    <w:rsid w:val="0069517D"/>
    <w:rsid w:val="0069587E"/>
    <w:rsid w:val="0069643A"/>
    <w:rsid w:val="00696DE7"/>
    <w:rsid w:val="00697232"/>
    <w:rsid w:val="00697C02"/>
    <w:rsid w:val="006A0C28"/>
    <w:rsid w:val="006A0FDF"/>
    <w:rsid w:val="006A100F"/>
    <w:rsid w:val="006A13AC"/>
    <w:rsid w:val="006A17F7"/>
    <w:rsid w:val="006A1847"/>
    <w:rsid w:val="006A1BD1"/>
    <w:rsid w:val="006A2876"/>
    <w:rsid w:val="006A42CB"/>
    <w:rsid w:val="006A4DF4"/>
    <w:rsid w:val="006A5E4F"/>
    <w:rsid w:val="006A5FED"/>
    <w:rsid w:val="006A64BA"/>
    <w:rsid w:val="006A68BF"/>
    <w:rsid w:val="006A7AD9"/>
    <w:rsid w:val="006A7FE3"/>
    <w:rsid w:val="006B08F0"/>
    <w:rsid w:val="006B0D82"/>
    <w:rsid w:val="006B0F30"/>
    <w:rsid w:val="006B1926"/>
    <w:rsid w:val="006B2DFF"/>
    <w:rsid w:val="006B2E56"/>
    <w:rsid w:val="006B3B8F"/>
    <w:rsid w:val="006B46FC"/>
    <w:rsid w:val="006B495C"/>
    <w:rsid w:val="006B4BF8"/>
    <w:rsid w:val="006B4D70"/>
    <w:rsid w:val="006B6238"/>
    <w:rsid w:val="006B6BE8"/>
    <w:rsid w:val="006B6D2F"/>
    <w:rsid w:val="006B6F75"/>
    <w:rsid w:val="006B7076"/>
    <w:rsid w:val="006B7085"/>
    <w:rsid w:val="006B784D"/>
    <w:rsid w:val="006B7ADB"/>
    <w:rsid w:val="006C0561"/>
    <w:rsid w:val="006C2738"/>
    <w:rsid w:val="006C292C"/>
    <w:rsid w:val="006C3B7E"/>
    <w:rsid w:val="006C4A36"/>
    <w:rsid w:val="006C50FD"/>
    <w:rsid w:val="006C51E5"/>
    <w:rsid w:val="006C5941"/>
    <w:rsid w:val="006C6EFB"/>
    <w:rsid w:val="006C72D2"/>
    <w:rsid w:val="006C774F"/>
    <w:rsid w:val="006C7900"/>
    <w:rsid w:val="006D0E04"/>
    <w:rsid w:val="006D0F7F"/>
    <w:rsid w:val="006D1911"/>
    <w:rsid w:val="006D3E8F"/>
    <w:rsid w:val="006D4744"/>
    <w:rsid w:val="006D4B60"/>
    <w:rsid w:val="006D7D1F"/>
    <w:rsid w:val="006E1516"/>
    <w:rsid w:val="006E2137"/>
    <w:rsid w:val="006E28A4"/>
    <w:rsid w:val="006E32E7"/>
    <w:rsid w:val="006E3754"/>
    <w:rsid w:val="006E38D2"/>
    <w:rsid w:val="006E4391"/>
    <w:rsid w:val="006E483E"/>
    <w:rsid w:val="006E51D3"/>
    <w:rsid w:val="006E722F"/>
    <w:rsid w:val="006E72AD"/>
    <w:rsid w:val="006F061E"/>
    <w:rsid w:val="006F0ED3"/>
    <w:rsid w:val="006F24B7"/>
    <w:rsid w:val="006F342C"/>
    <w:rsid w:val="006F40ED"/>
    <w:rsid w:val="006F4116"/>
    <w:rsid w:val="006F50B1"/>
    <w:rsid w:val="006F531C"/>
    <w:rsid w:val="006F5E7C"/>
    <w:rsid w:val="006F60BF"/>
    <w:rsid w:val="006F67A5"/>
    <w:rsid w:val="006F6A67"/>
    <w:rsid w:val="006F6D15"/>
    <w:rsid w:val="006F748A"/>
    <w:rsid w:val="00700614"/>
    <w:rsid w:val="00700676"/>
    <w:rsid w:val="00700785"/>
    <w:rsid w:val="00700AB7"/>
    <w:rsid w:val="00700DA8"/>
    <w:rsid w:val="00702340"/>
    <w:rsid w:val="00703688"/>
    <w:rsid w:val="00703958"/>
    <w:rsid w:val="00703FD8"/>
    <w:rsid w:val="007052E8"/>
    <w:rsid w:val="00706838"/>
    <w:rsid w:val="0070689A"/>
    <w:rsid w:val="00707087"/>
    <w:rsid w:val="007072F9"/>
    <w:rsid w:val="00707D9B"/>
    <w:rsid w:val="00710C36"/>
    <w:rsid w:val="007110AA"/>
    <w:rsid w:val="0071178F"/>
    <w:rsid w:val="00711B38"/>
    <w:rsid w:val="00711EE9"/>
    <w:rsid w:val="00712A10"/>
    <w:rsid w:val="00713895"/>
    <w:rsid w:val="00714339"/>
    <w:rsid w:val="007143BF"/>
    <w:rsid w:val="00714519"/>
    <w:rsid w:val="007147DA"/>
    <w:rsid w:val="00714D7D"/>
    <w:rsid w:val="00714F50"/>
    <w:rsid w:val="0071512B"/>
    <w:rsid w:val="0071566A"/>
    <w:rsid w:val="00715A81"/>
    <w:rsid w:val="007170CF"/>
    <w:rsid w:val="00717391"/>
    <w:rsid w:val="00717828"/>
    <w:rsid w:val="00717A1D"/>
    <w:rsid w:val="00717EAA"/>
    <w:rsid w:val="00720AA5"/>
    <w:rsid w:val="007217D9"/>
    <w:rsid w:val="00721FEA"/>
    <w:rsid w:val="00724752"/>
    <w:rsid w:val="007256DA"/>
    <w:rsid w:val="00725D7F"/>
    <w:rsid w:val="007262F8"/>
    <w:rsid w:val="00726503"/>
    <w:rsid w:val="00726745"/>
    <w:rsid w:val="00727AB3"/>
    <w:rsid w:val="00727D08"/>
    <w:rsid w:val="007303D8"/>
    <w:rsid w:val="00730C1F"/>
    <w:rsid w:val="0073108B"/>
    <w:rsid w:val="0073153F"/>
    <w:rsid w:val="007315B7"/>
    <w:rsid w:val="007323A1"/>
    <w:rsid w:val="0073267E"/>
    <w:rsid w:val="00733204"/>
    <w:rsid w:val="00733561"/>
    <w:rsid w:val="00734030"/>
    <w:rsid w:val="0073458B"/>
    <w:rsid w:val="00734BE1"/>
    <w:rsid w:val="007356B1"/>
    <w:rsid w:val="00735DDC"/>
    <w:rsid w:val="00736ABA"/>
    <w:rsid w:val="00737131"/>
    <w:rsid w:val="00737921"/>
    <w:rsid w:val="00737A76"/>
    <w:rsid w:val="00737F1D"/>
    <w:rsid w:val="007402C9"/>
    <w:rsid w:val="007407D3"/>
    <w:rsid w:val="00740E76"/>
    <w:rsid w:val="00740F0E"/>
    <w:rsid w:val="007418E0"/>
    <w:rsid w:val="00742B1C"/>
    <w:rsid w:val="00742E3C"/>
    <w:rsid w:val="00742EF1"/>
    <w:rsid w:val="0074378F"/>
    <w:rsid w:val="0074390B"/>
    <w:rsid w:val="00744443"/>
    <w:rsid w:val="007444E5"/>
    <w:rsid w:val="007445C9"/>
    <w:rsid w:val="00745376"/>
    <w:rsid w:val="00745651"/>
    <w:rsid w:val="00746F99"/>
    <w:rsid w:val="0074781D"/>
    <w:rsid w:val="00747AF1"/>
    <w:rsid w:val="00747B80"/>
    <w:rsid w:val="00750776"/>
    <w:rsid w:val="007538A6"/>
    <w:rsid w:val="00753DDF"/>
    <w:rsid w:val="00754D6F"/>
    <w:rsid w:val="007555CA"/>
    <w:rsid w:val="00756187"/>
    <w:rsid w:val="00756323"/>
    <w:rsid w:val="007576DC"/>
    <w:rsid w:val="00761E95"/>
    <w:rsid w:val="007641AD"/>
    <w:rsid w:val="00764FAE"/>
    <w:rsid w:val="007652CD"/>
    <w:rsid w:val="007658AD"/>
    <w:rsid w:val="00766F3C"/>
    <w:rsid w:val="00767F2B"/>
    <w:rsid w:val="007700C4"/>
    <w:rsid w:val="00771218"/>
    <w:rsid w:val="00771FCA"/>
    <w:rsid w:val="00772D76"/>
    <w:rsid w:val="00772F3B"/>
    <w:rsid w:val="00773828"/>
    <w:rsid w:val="00773C9A"/>
    <w:rsid w:val="00774204"/>
    <w:rsid w:val="0077498E"/>
    <w:rsid w:val="007752E7"/>
    <w:rsid w:val="00776E51"/>
    <w:rsid w:val="00777869"/>
    <w:rsid w:val="00777963"/>
    <w:rsid w:val="00777C32"/>
    <w:rsid w:val="00777FE8"/>
    <w:rsid w:val="00781477"/>
    <w:rsid w:val="0078160A"/>
    <w:rsid w:val="00782381"/>
    <w:rsid w:val="00782AEF"/>
    <w:rsid w:val="00782C97"/>
    <w:rsid w:val="00783EC9"/>
    <w:rsid w:val="007844E5"/>
    <w:rsid w:val="0078494C"/>
    <w:rsid w:val="0078550F"/>
    <w:rsid w:val="00785931"/>
    <w:rsid w:val="00786448"/>
    <w:rsid w:val="00786647"/>
    <w:rsid w:val="007867A7"/>
    <w:rsid w:val="00787142"/>
    <w:rsid w:val="00787B69"/>
    <w:rsid w:val="00791BA1"/>
    <w:rsid w:val="007928C9"/>
    <w:rsid w:val="00792A25"/>
    <w:rsid w:val="00793406"/>
    <w:rsid w:val="007940A9"/>
    <w:rsid w:val="007942D5"/>
    <w:rsid w:val="00794410"/>
    <w:rsid w:val="00794A6C"/>
    <w:rsid w:val="00795E1C"/>
    <w:rsid w:val="00796C68"/>
    <w:rsid w:val="00797580"/>
    <w:rsid w:val="007A0522"/>
    <w:rsid w:val="007A164F"/>
    <w:rsid w:val="007A24BC"/>
    <w:rsid w:val="007A277C"/>
    <w:rsid w:val="007A2C39"/>
    <w:rsid w:val="007A2CB9"/>
    <w:rsid w:val="007A301F"/>
    <w:rsid w:val="007A3E2E"/>
    <w:rsid w:val="007A4184"/>
    <w:rsid w:val="007A5CA5"/>
    <w:rsid w:val="007A651D"/>
    <w:rsid w:val="007B1807"/>
    <w:rsid w:val="007B2D29"/>
    <w:rsid w:val="007B43D8"/>
    <w:rsid w:val="007B4CD2"/>
    <w:rsid w:val="007B4DB6"/>
    <w:rsid w:val="007B53BE"/>
    <w:rsid w:val="007B5A32"/>
    <w:rsid w:val="007B6485"/>
    <w:rsid w:val="007B6FA6"/>
    <w:rsid w:val="007B78F2"/>
    <w:rsid w:val="007C0267"/>
    <w:rsid w:val="007C03B8"/>
    <w:rsid w:val="007C078B"/>
    <w:rsid w:val="007C0C58"/>
    <w:rsid w:val="007C0D5F"/>
    <w:rsid w:val="007C1E8A"/>
    <w:rsid w:val="007C2C05"/>
    <w:rsid w:val="007C6C6D"/>
    <w:rsid w:val="007C6FD1"/>
    <w:rsid w:val="007C735D"/>
    <w:rsid w:val="007C7878"/>
    <w:rsid w:val="007D0988"/>
    <w:rsid w:val="007D17A9"/>
    <w:rsid w:val="007D19BD"/>
    <w:rsid w:val="007D1E47"/>
    <w:rsid w:val="007D3E6B"/>
    <w:rsid w:val="007D3FE0"/>
    <w:rsid w:val="007D4638"/>
    <w:rsid w:val="007D4915"/>
    <w:rsid w:val="007D4A27"/>
    <w:rsid w:val="007D52C8"/>
    <w:rsid w:val="007D57BD"/>
    <w:rsid w:val="007D62DF"/>
    <w:rsid w:val="007D630F"/>
    <w:rsid w:val="007D6563"/>
    <w:rsid w:val="007D6EA9"/>
    <w:rsid w:val="007D702F"/>
    <w:rsid w:val="007D72E6"/>
    <w:rsid w:val="007E08C8"/>
    <w:rsid w:val="007E1571"/>
    <w:rsid w:val="007E3B64"/>
    <w:rsid w:val="007E3BB2"/>
    <w:rsid w:val="007E672B"/>
    <w:rsid w:val="007E7675"/>
    <w:rsid w:val="007E7F58"/>
    <w:rsid w:val="007F03F3"/>
    <w:rsid w:val="007F1058"/>
    <w:rsid w:val="007F16A1"/>
    <w:rsid w:val="007F1A4C"/>
    <w:rsid w:val="007F1F6A"/>
    <w:rsid w:val="007F2651"/>
    <w:rsid w:val="007F2734"/>
    <w:rsid w:val="007F34AA"/>
    <w:rsid w:val="007F46BE"/>
    <w:rsid w:val="007F6797"/>
    <w:rsid w:val="007F6DBF"/>
    <w:rsid w:val="007F70AA"/>
    <w:rsid w:val="00800EF6"/>
    <w:rsid w:val="008015A1"/>
    <w:rsid w:val="008017F7"/>
    <w:rsid w:val="008043CA"/>
    <w:rsid w:val="00804572"/>
    <w:rsid w:val="00804AFA"/>
    <w:rsid w:val="00804DA0"/>
    <w:rsid w:val="008052CE"/>
    <w:rsid w:val="008056C5"/>
    <w:rsid w:val="00805DC2"/>
    <w:rsid w:val="00805F5B"/>
    <w:rsid w:val="008060A7"/>
    <w:rsid w:val="00806962"/>
    <w:rsid w:val="0080750D"/>
    <w:rsid w:val="0080773A"/>
    <w:rsid w:val="00807C6D"/>
    <w:rsid w:val="008118B3"/>
    <w:rsid w:val="00812822"/>
    <w:rsid w:val="00812D51"/>
    <w:rsid w:val="0081446F"/>
    <w:rsid w:val="00814B3D"/>
    <w:rsid w:val="008152C6"/>
    <w:rsid w:val="00815735"/>
    <w:rsid w:val="008161C4"/>
    <w:rsid w:val="008162B1"/>
    <w:rsid w:val="008169E8"/>
    <w:rsid w:val="008176D8"/>
    <w:rsid w:val="00817C48"/>
    <w:rsid w:val="008204A5"/>
    <w:rsid w:val="00820F90"/>
    <w:rsid w:val="00821262"/>
    <w:rsid w:val="008213EB"/>
    <w:rsid w:val="00822435"/>
    <w:rsid w:val="00822AC4"/>
    <w:rsid w:val="008235FD"/>
    <w:rsid w:val="00823F61"/>
    <w:rsid w:val="00824513"/>
    <w:rsid w:val="00824EE8"/>
    <w:rsid w:val="0082582F"/>
    <w:rsid w:val="00825C00"/>
    <w:rsid w:val="00825E3B"/>
    <w:rsid w:val="00825F88"/>
    <w:rsid w:val="008261CB"/>
    <w:rsid w:val="00826904"/>
    <w:rsid w:val="0082690E"/>
    <w:rsid w:val="00827CBA"/>
    <w:rsid w:val="00830272"/>
    <w:rsid w:val="0083075B"/>
    <w:rsid w:val="008308C6"/>
    <w:rsid w:val="0083091B"/>
    <w:rsid w:val="00830B35"/>
    <w:rsid w:val="00831471"/>
    <w:rsid w:val="00832031"/>
    <w:rsid w:val="008321C1"/>
    <w:rsid w:val="00832EE9"/>
    <w:rsid w:val="00833B75"/>
    <w:rsid w:val="00834441"/>
    <w:rsid w:val="00834769"/>
    <w:rsid w:val="0083479A"/>
    <w:rsid w:val="00835179"/>
    <w:rsid w:val="008358E4"/>
    <w:rsid w:val="008358E8"/>
    <w:rsid w:val="00835B28"/>
    <w:rsid w:val="00836DE8"/>
    <w:rsid w:val="00836ECE"/>
    <w:rsid w:val="008371C6"/>
    <w:rsid w:val="008378F6"/>
    <w:rsid w:val="00837D6B"/>
    <w:rsid w:val="00837DC0"/>
    <w:rsid w:val="00840831"/>
    <w:rsid w:val="00840AD1"/>
    <w:rsid w:val="00840FE2"/>
    <w:rsid w:val="00841A80"/>
    <w:rsid w:val="00841DCF"/>
    <w:rsid w:val="00842B87"/>
    <w:rsid w:val="0084344E"/>
    <w:rsid w:val="008438AD"/>
    <w:rsid w:val="00844537"/>
    <w:rsid w:val="00844AC5"/>
    <w:rsid w:val="00845621"/>
    <w:rsid w:val="0084572B"/>
    <w:rsid w:val="0084595B"/>
    <w:rsid w:val="00845AFF"/>
    <w:rsid w:val="008462C1"/>
    <w:rsid w:val="008500B7"/>
    <w:rsid w:val="00850752"/>
    <w:rsid w:val="00851304"/>
    <w:rsid w:val="00851441"/>
    <w:rsid w:val="0085144B"/>
    <w:rsid w:val="00851BDA"/>
    <w:rsid w:val="00851BE9"/>
    <w:rsid w:val="00853A8D"/>
    <w:rsid w:val="00853EDC"/>
    <w:rsid w:val="00856024"/>
    <w:rsid w:val="008561C5"/>
    <w:rsid w:val="0086154A"/>
    <w:rsid w:val="008618A0"/>
    <w:rsid w:val="00861C27"/>
    <w:rsid w:val="00861EF2"/>
    <w:rsid w:val="008625DC"/>
    <w:rsid w:val="008627BE"/>
    <w:rsid w:val="00862912"/>
    <w:rsid w:val="00862C73"/>
    <w:rsid w:val="00863574"/>
    <w:rsid w:val="008637DC"/>
    <w:rsid w:val="00863D5F"/>
    <w:rsid w:val="008640B4"/>
    <w:rsid w:val="0086484C"/>
    <w:rsid w:val="00865193"/>
    <w:rsid w:val="008652A3"/>
    <w:rsid w:val="008654F4"/>
    <w:rsid w:val="008660D5"/>
    <w:rsid w:val="008673FD"/>
    <w:rsid w:val="00867E87"/>
    <w:rsid w:val="008700E6"/>
    <w:rsid w:val="0087077B"/>
    <w:rsid w:val="00870EEC"/>
    <w:rsid w:val="00872639"/>
    <w:rsid w:val="0087289D"/>
    <w:rsid w:val="008730CE"/>
    <w:rsid w:val="00874EEA"/>
    <w:rsid w:val="0087549F"/>
    <w:rsid w:val="008764B9"/>
    <w:rsid w:val="00876F47"/>
    <w:rsid w:val="008771D4"/>
    <w:rsid w:val="008773AA"/>
    <w:rsid w:val="008779B1"/>
    <w:rsid w:val="00877DD8"/>
    <w:rsid w:val="008803CB"/>
    <w:rsid w:val="00880B81"/>
    <w:rsid w:val="00880EAE"/>
    <w:rsid w:val="008815C0"/>
    <w:rsid w:val="00882CF0"/>
    <w:rsid w:val="00883141"/>
    <w:rsid w:val="00883177"/>
    <w:rsid w:val="0088465E"/>
    <w:rsid w:val="00885339"/>
    <w:rsid w:val="00885619"/>
    <w:rsid w:val="00885F1D"/>
    <w:rsid w:val="0088651C"/>
    <w:rsid w:val="008868CC"/>
    <w:rsid w:val="008871B6"/>
    <w:rsid w:val="00887DCF"/>
    <w:rsid w:val="00887E4B"/>
    <w:rsid w:val="008910EB"/>
    <w:rsid w:val="0089183B"/>
    <w:rsid w:val="00891D9A"/>
    <w:rsid w:val="00892165"/>
    <w:rsid w:val="0089309E"/>
    <w:rsid w:val="0089323A"/>
    <w:rsid w:val="008934E7"/>
    <w:rsid w:val="00893885"/>
    <w:rsid w:val="00893ED2"/>
    <w:rsid w:val="0089405A"/>
    <w:rsid w:val="008944E5"/>
    <w:rsid w:val="00895F40"/>
    <w:rsid w:val="00896A41"/>
    <w:rsid w:val="0089797D"/>
    <w:rsid w:val="00897FC6"/>
    <w:rsid w:val="008A04BA"/>
    <w:rsid w:val="008A097D"/>
    <w:rsid w:val="008A1A7A"/>
    <w:rsid w:val="008A2EF3"/>
    <w:rsid w:val="008A323F"/>
    <w:rsid w:val="008A3769"/>
    <w:rsid w:val="008A3BB5"/>
    <w:rsid w:val="008A43AE"/>
    <w:rsid w:val="008A4712"/>
    <w:rsid w:val="008A623A"/>
    <w:rsid w:val="008A625B"/>
    <w:rsid w:val="008A759D"/>
    <w:rsid w:val="008B099B"/>
    <w:rsid w:val="008B22DB"/>
    <w:rsid w:val="008B257F"/>
    <w:rsid w:val="008B4A37"/>
    <w:rsid w:val="008B5E4C"/>
    <w:rsid w:val="008B6C88"/>
    <w:rsid w:val="008B6FB7"/>
    <w:rsid w:val="008B7B53"/>
    <w:rsid w:val="008C18F6"/>
    <w:rsid w:val="008C1E10"/>
    <w:rsid w:val="008C266E"/>
    <w:rsid w:val="008C3948"/>
    <w:rsid w:val="008C3B5E"/>
    <w:rsid w:val="008C4035"/>
    <w:rsid w:val="008C4FD7"/>
    <w:rsid w:val="008C5A44"/>
    <w:rsid w:val="008C60EA"/>
    <w:rsid w:val="008C6900"/>
    <w:rsid w:val="008C7342"/>
    <w:rsid w:val="008C7990"/>
    <w:rsid w:val="008C7AD9"/>
    <w:rsid w:val="008D023A"/>
    <w:rsid w:val="008D16D1"/>
    <w:rsid w:val="008D1F13"/>
    <w:rsid w:val="008D238A"/>
    <w:rsid w:val="008D2C8B"/>
    <w:rsid w:val="008D2D3A"/>
    <w:rsid w:val="008D2DE4"/>
    <w:rsid w:val="008D31EC"/>
    <w:rsid w:val="008D3243"/>
    <w:rsid w:val="008D3C9A"/>
    <w:rsid w:val="008D54C2"/>
    <w:rsid w:val="008D555B"/>
    <w:rsid w:val="008D5D87"/>
    <w:rsid w:val="008D7323"/>
    <w:rsid w:val="008E076C"/>
    <w:rsid w:val="008E0B0D"/>
    <w:rsid w:val="008E119F"/>
    <w:rsid w:val="008E12CE"/>
    <w:rsid w:val="008E13B4"/>
    <w:rsid w:val="008E17DE"/>
    <w:rsid w:val="008E1852"/>
    <w:rsid w:val="008E2A9F"/>
    <w:rsid w:val="008E357B"/>
    <w:rsid w:val="008E3794"/>
    <w:rsid w:val="008E4C8F"/>
    <w:rsid w:val="008E5BCB"/>
    <w:rsid w:val="008E6611"/>
    <w:rsid w:val="008E6D43"/>
    <w:rsid w:val="008F0375"/>
    <w:rsid w:val="008F07F6"/>
    <w:rsid w:val="008F0A87"/>
    <w:rsid w:val="008F1E44"/>
    <w:rsid w:val="008F24F8"/>
    <w:rsid w:val="008F2CAB"/>
    <w:rsid w:val="008F3050"/>
    <w:rsid w:val="008F325D"/>
    <w:rsid w:val="008F3F48"/>
    <w:rsid w:val="008F41D5"/>
    <w:rsid w:val="008F4276"/>
    <w:rsid w:val="008F4426"/>
    <w:rsid w:val="008F45B3"/>
    <w:rsid w:val="008F4F1E"/>
    <w:rsid w:val="008F7196"/>
    <w:rsid w:val="0090089E"/>
    <w:rsid w:val="00900DA8"/>
    <w:rsid w:val="00901F26"/>
    <w:rsid w:val="00903045"/>
    <w:rsid w:val="009034AE"/>
    <w:rsid w:val="009038CF"/>
    <w:rsid w:val="009040FB"/>
    <w:rsid w:val="00905089"/>
    <w:rsid w:val="00905177"/>
    <w:rsid w:val="0090534B"/>
    <w:rsid w:val="0090568A"/>
    <w:rsid w:val="00905816"/>
    <w:rsid w:val="009058C3"/>
    <w:rsid w:val="00905C01"/>
    <w:rsid w:val="00906753"/>
    <w:rsid w:val="00906764"/>
    <w:rsid w:val="0090688C"/>
    <w:rsid w:val="00906B52"/>
    <w:rsid w:val="00907656"/>
    <w:rsid w:val="00907F06"/>
    <w:rsid w:val="00911417"/>
    <w:rsid w:val="00911940"/>
    <w:rsid w:val="00914147"/>
    <w:rsid w:val="00914384"/>
    <w:rsid w:val="00915309"/>
    <w:rsid w:val="009158D5"/>
    <w:rsid w:val="0091592D"/>
    <w:rsid w:val="00915CBE"/>
    <w:rsid w:val="00916736"/>
    <w:rsid w:val="00917298"/>
    <w:rsid w:val="009172EC"/>
    <w:rsid w:val="00917452"/>
    <w:rsid w:val="00917908"/>
    <w:rsid w:val="00917923"/>
    <w:rsid w:val="00917A83"/>
    <w:rsid w:val="00917E45"/>
    <w:rsid w:val="00920025"/>
    <w:rsid w:val="00921251"/>
    <w:rsid w:val="00921395"/>
    <w:rsid w:val="009213D6"/>
    <w:rsid w:val="009214BC"/>
    <w:rsid w:val="0092153C"/>
    <w:rsid w:val="0092178B"/>
    <w:rsid w:val="00921BF6"/>
    <w:rsid w:val="00921E81"/>
    <w:rsid w:val="00921E8E"/>
    <w:rsid w:val="00922592"/>
    <w:rsid w:val="00922EF4"/>
    <w:rsid w:val="00923192"/>
    <w:rsid w:val="009236C0"/>
    <w:rsid w:val="00924041"/>
    <w:rsid w:val="0092432B"/>
    <w:rsid w:val="009244D3"/>
    <w:rsid w:val="00924889"/>
    <w:rsid w:val="00924BF6"/>
    <w:rsid w:val="009254E2"/>
    <w:rsid w:val="00925770"/>
    <w:rsid w:val="00925AC8"/>
    <w:rsid w:val="0092769B"/>
    <w:rsid w:val="00927A34"/>
    <w:rsid w:val="00930121"/>
    <w:rsid w:val="0093116C"/>
    <w:rsid w:val="009322F4"/>
    <w:rsid w:val="009334A7"/>
    <w:rsid w:val="00933A6B"/>
    <w:rsid w:val="00934125"/>
    <w:rsid w:val="009341CB"/>
    <w:rsid w:val="009343AA"/>
    <w:rsid w:val="00934588"/>
    <w:rsid w:val="009347BA"/>
    <w:rsid w:val="00935F6C"/>
    <w:rsid w:val="009376D8"/>
    <w:rsid w:val="009377E2"/>
    <w:rsid w:val="00937E7A"/>
    <w:rsid w:val="00941355"/>
    <w:rsid w:val="00941E83"/>
    <w:rsid w:val="00942044"/>
    <w:rsid w:val="00942CD4"/>
    <w:rsid w:val="009430C5"/>
    <w:rsid w:val="0094588E"/>
    <w:rsid w:val="00945C3C"/>
    <w:rsid w:val="009465F7"/>
    <w:rsid w:val="00946891"/>
    <w:rsid w:val="00946EAC"/>
    <w:rsid w:val="00947021"/>
    <w:rsid w:val="00947C7C"/>
    <w:rsid w:val="00951066"/>
    <w:rsid w:val="00954AE8"/>
    <w:rsid w:val="00954C02"/>
    <w:rsid w:val="009552E0"/>
    <w:rsid w:val="00955433"/>
    <w:rsid w:val="009555B3"/>
    <w:rsid w:val="0095570D"/>
    <w:rsid w:val="0095730A"/>
    <w:rsid w:val="00957E17"/>
    <w:rsid w:val="00960187"/>
    <w:rsid w:val="00960C32"/>
    <w:rsid w:val="0096160C"/>
    <w:rsid w:val="00961C91"/>
    <w:rsid w:val="00962563"/>
    <w:rsid w:val="009648C6"/>
    <w:rsid w:val="00966579"/>
    <w:rsid w:val="0096753C"/>
    <w:rsid w:val="0097028B"/>
    <w:rsid w:val="009708BB"/>
    <w:rsid w:val="009724F9"/>
    <w:rsid w:val="00972A4F"/>
    <w:rsid w:val="00972CA8"/>
    <w:rsid w:val="00976468"/>
    <w:rsid w:val="009768BB"/>
    <w:rsid w:val="00976BBC"/>
    <w:rsid w:val="00976F4F"/>
    <w:rsid w:val="00977B0E"/>
    <w:rsid w:val="00980056"/>
    <w:rsid w:val="00980E69"/>
    <w:rsid w:val="0098100B"/>
    <w:rsid w:val="009828C1"/>
    <w:rsid w:val="00982B80"/>
    <w:rsid w:val="009836C1"/>
    <w:rsid w:val="00983AF2"/>
    <w:rsid w:val="00983E3A"/>
    <w:rsid w:val="00983F65"/>
    <w:rsid w:val="00984393"/>
    <w:rsid w:val="00985A5C"/>
    <w:rsid w:val="00986282"/>
    <w:rsid w:val="009863C0"/>
    <w:rsid w:val="009875C3"/>
    <w:rsid w:val="00987676"/>
    <w:rsid w:val="00987754"/>
    <w:rsid w:val="00987834"/>
    <w:rsid w:val="00987D37"/>
    <w:rsid w:val="009915A1"/>
    <w:rsid w:val="0099277B"/>
    <w:rsid w:val="009927C7"/>
    <w:rsid w:val="009955BF"/>
    <w:rsid w:val="00995619"/>
    <w:rsid w:val="00995831"/>
    <w:rsid w:val="009959FE"/>
    <w:rsid w:val="00995FCD"/>
    <w:rsid w:val="00996079"/>
    <w:rsid w:val="009962D3"/>
    <w:rsid w:val="00997E44"/>
    <w:rsid w:val="00997F87"/>
    <w:rsid w:val="009A07EF"/>
    <w:rsid w:val="009A095B"/>
    <w:rsid w:val="009A1131"/>
    <w:rsid w:val="009A2736"/>
    <w:rsid w:val="009A2C51"/>
    <w:rsid w:val="009A319A"/>
    <w:rsid w:val="009A4EF2"/>
    <w:rsid w:val="009A530C"/>
    <w:rsid w:val="009A56BF"/>
    <w:rsid w:val="009A5806"/>
    <w:rsid w:val="009A638D"/>
    <w:rsid w:val="009A6794"/>
    <w:rsid w:val="009A6A3D"/>
    <w:rsid w:val="009A6DFB"/>
    <w:rsid w:val="009A7037"/>
    <w:rsid w:val="009A7CA4"/>
    <w:rsid w:val="009B0647"/>
    <w:rsid w:val="009B33FF"/>
    <w:rsid w:val="009B34D1"/>
    <w:rsid w:val="009B4A9A"/>
    <w:rsid w:val="009B4D50"/>
    <w:rsid w:val="009B7341"/>
    <w:rsid w:val="009B7345"/>
    <w:rsid w:val="009B7361"/>
    <w:rsid w:val="009B7DA0"/>
    <w:rsid w:val="009C0806"/>
    <w:rsid w:val="009C08D6"/>
    <w:rsid w:val="009C11C7"/>
    <w:rsid w:val="009C1861"/>
    <w:rsid w:val="009C1D8F"/>
    <w:rsid w:val="009C1DA9"/>
    <w:rsid w:val="009C2A84"/>
    <w:rsid w:val="009C385F"/>
    <w:rsid w:val="009C4987"/>
    <w:rsid w:val="009C5711"/>
    <w:rsid w:val="009C5724"/>
    <w:rsid w:val="009C64C0"/>
    <w:rsid w:val="009C69C8"/>
    <w:rsid w:val="009C70AF"/>
    <w:rsid w:val="009C729A"/>
    <w:rsid w:val="009C7B7D"/>
    <w:rsid w:val="009C7BED"/>
    <w:rsid w:val="009C7FF0"/>
    <w:rsid w:val="009D04A0"/>
    <w:rsid w:val="009D0B7C"/>
    <w:rsid w:val="009D0BE9"/>
    <w:rsid w:val="009D1D8A"/>
    <w:rsid w:val="009D203A"/>
    <w:rsid w:val="009D24ED"/>
    <w:rsid w:val="009D3133"/>
    <w:rsid w:val="009D41B1"/>
    <w:rsid w:val="009D4C08"/>
    <w:rsid w:val="009D4D13"/>
    <w:rsid w:val="009D50B6"/>
    <w:rsid w:val="009D5FCE"/>
    <w:rsid w:val="009D79A1"/>
    <w:rsid w:val="009D7EE2"/>
    <w:rsid w:val="009E00D2"/>
    <w:rsid w:val="009E015E"/>
    <w:rsid w:val="009E1989"/>
    <w:rsid w:val="009E1D5D"/>
    <w:rsid w:val="009E3139"/>
    <w:rsid w:val="009E31DA"/>
    <w:rsid w:val="009E3219"/>
    <w:rsid w:val="009E3692"/>
    <w:rsid w:val="009E387D"/>
    <w:rsid w:val="009E46F4"/>
    <w:rsid w:val="009E4741"/>
    <w:rsid w:val="009E561A"/>
    <w:rsid w:val="009E57B0"/>
    <w:rsid w:val="009E687C"/>
    <w:rsid w:val="009E69E1"/>
    <w:rsid w:val="009E71CD"/>
    <w:rsid w:val="009E72FD"/>
    <w:rsid w:val="009E7698"/>
    <w:rsid w:val="009F043A"/>
    <w:rsid w:val="009F04A9"/>
    <w:rsid w:val="009F0DA0"/>
    <w:rsid w:val="009F3F2C"/>
    <w:rsid w:val="009F4593"/>
    <w:rsid w:val="009F4669"/>
    <w:rsid w:val="009F48C1"/>
    <w:rsid w:val="009F52D2"/>
    <w:rsid w:val="009F581B"/>
    <w:rsid w:val="009F5DD6"/>
    <w:rsid w:val="009F6887"/>
    <w:rsid w:val="009F76E8"/>
    <w:rsid w:val="009F7BB2"/>
    <w:rsid w:val="00A013D0"/>
    <w:rsid w:val="00A0210B"/>
    <w:rsid w:val="00A02A37"/>
    <w:rsid w:val="00A02A90"/>
    <w:rsid w:val="00A02B36"/>
    <w:rsid w:val="00A03B9D"/>
    <w:rsid w:val="00A03C1B"/>
    <w:rsid w:val="00A03D04"/>
    <w:rsid w:val="00A03DBE"/>
    <w:rsid w:val="00A040DC"/>
    <w:rsid w:val="00A04109"/>
    <w:rsid w:val="00A041B1"/>
    <w:rsid w:val="00A049BA"/>
    <w:rsid w:val="00A04A3F"/>
    <w:rsid w:val="00A0588B"/>
    <w:rsid w:val="00A0639E"/>
    <w:rsid w:val="00A06A57"/>
    <w:rsid w:val="00A072BC"/>
    <w:rsid w:val="00A106B6"/>
    <w:rsid w:val="00A10D52"/>
    <w:rsid w:val="00A112F3"/>
    <w:rsid w:val="00A11306"/>
    <w:rsid w:val="00A11572"/>
    <w:rsid w:val="00A118C9"/>
    <w:rsid w:val="00A11A45"/>
    <w:rsid w:val="00A11EC7"/>
    <w:rsid w:val="00A12A54"/>
    <w:rsid w:val="00A12E83"/>
    <w:rsid w:val="00A14F67"/>
    <w:rsid w:val="00A15562"/>
    <w:rsid w:val="00A15A5E"/>
    <w:rsid w:val="00A15A8D"/>
    <w:rsid w:val="00A16B3D"/>
    <w:rsid w:val="00A1725D"/>
    <w:rsid w:val="00A172C6"/>
    <w:rsid w:val="00A20091"/>
    <w:rsid w:val="00A202B4"/>
    <w:rsid w:val="00A20F1A"/>
    <w:rsid w:val="00A20FD0"/>
    <w:rsid w:val="00A21612"/>
    <w:rsid w:val="00A216E5"/>
    <w:rsid w:val="00A227C7"/>
    <w:rsid w:val="00A22D18"/>
    <w:rsid w:val="00A22DD0"/>
    <w:rsid w:val="00A23BE6"/>
    <w:rsid w:val="00A257CC"/>
    <w:rsid w:val="00A259F3"/>
    <w:rsid w:val="00A25D7F"/>
    <w:rsid w:val="00A264C1"/>
    <w:rsid w:val="00A26812"/>
    <w:rsid w:val="00A275EF"/>
    <w:rsid w:val="00A279FC"/>
    <w:rsid w:val="00A30BBD"/>
    <w:rsid w:val="00A31486"/>
    <w:rsid w:val="00A31C31"/>
    <w:rsid w:val="00A32089"/>
    <w:rsid w:val="00A32F80"/>
    <w:rsid w:val="00A33368"/>
    <w:rsid w:val="00A33481"/>
    <w:rsid w:val="00A33ABD"/>
    <w:rsid w:val="00A33B35"/>
    <w:rsid w:val="00A34C24"/>
    <w:rsid w:val="00A35AA2"/>
    <w:rsid w:val="00A35C10"/>
    <w:rsid w:val="00A35C65"/>
    <w:rsid w:val="00A35DF3"/>
    <w:rsid w:val="00A36363"/>
    <w:rsid w:val="00A36B2F"/>
    <w:rsid w:val="00A373A4"/>
    <w:rsid w:val="00A37AB1"/>
    <w:rsid w:val="00A40843"/>
    <w:rsid w:val="00A40BCD"/>
    <w:rsid w:val="00A40C56"/>
    <w:rsid w:val="00A41DCA"/>
    <w:rsid w:val="00A43277"/>
    <w:rsid w:val="00A433D1"/>
    <w:rsid w:val="00A44DCA"/>
    <w:rsid w:val="00A44E63"/>
    <w:rsid w:val="00A4512E"/>
    <w:rsid w:val="00A4524B"/>
    <w:rsid w:val="00A46387"/>
    <w:rsid w:val="00A4697D"/>
    <w:rsid w:val="00A46B3C"/>
    <w:rsid w:val="00A46FA5"/>
    <w:rsid w:val="00A47AE7"/>
    <w:rsid w:val="00A47FF7"/>
    <w:rsid w:val="00A513E5"/>
    <w:rsid w:val="00A51C73"/>
    <w:rsid w:val="00A5425C"/>
    <w:rsid w:val="00A54E26"/>
    <w:rsid w:val="00A5582A"/>
    <w:rsid w:val="00A559FC"/>
    <w:rsid w:val="00A55F71"/>
    <w:rsid w:val="00A562BE"/>
    <w:rsid w:val="00A56DF1"/>
    <w:rsid w:val="00A56E1A"/>
    <w:rsid w:val="00A60CF0"/>
    <w:rsid w:val="00A616CA"/>
    <w:rsid w:val="00A62277"/>
    <w:rsid w:val="00A63430"/>
    <w:rsid w:val="00A655A7"/>
    <w:rsid w:val="00A675D5"/>
    <w:rsid w:val="00A71D68"/>
    <w:rsid w:val="00A71F1A"/>
    <w:rsid w:val="00A720FA"/>
    <w:rsid w:val="00A726B6"/>
    <w:rsid w:val="00A72A1C"/>
    <w:rsid w:val="00A72A4B"/>
    <w:rsid w:val="00A72A53"/>
    <w:rsid w:val="00A72B20"/>
    <w:rsid w:val="00A72CB4"/>
    <w:rsid w:val="00A73453"/>
    <w:rsid w:val="00A735F7"/>
    <w:rsid w:val="00A77B2C"/>
    <w:rsid w:val="00A80ACB"/>
    <w:rsid w:val="00A80CE6"/>
    <w:rsid w:val="00A82B42"/>
    <w:rsid w:val="00A8336C"/>
    <w:rsid w:val="00A8374C"/>
    <w:rsid w:val="00A83B77"/>
    <w:rsid w:val="00A84685"/>
    <w:rsid w:val="00A84D35"/>
    <w:rsid w:val="00A854A2"/>
    <w:rsid w:val="00A854FD"/>
    <w:rsid w:val="00A85C80"/>
    <w:rsid w:val="00A85DA1"/>
    <w:rsid w:val="00A86BE7"/>
    <w:rsid w:val="00A86CB8"/>
    <w:rsid w:val="00A90017"/>
    <w:rsid w:val="00A917B3"/>
    <w:rsid w:val="00A9388B"/>
    <w:rsid w:val="00A93AB8"/>
    <w:rsid w:val="00A94316"/>
    <w:rsid w:val="00A94F07"/>
    <w:rsid w:val="00A95136"/>
    <w:rsid w:val="00A9600B"/>
    <w:rsid w:val="00A9657B"/>
    <w:rsid w:val="00A97872"/>
    <w:rsid w:val="00AA15D9"/>
    <w:rsid w:val="00AA1BA7"/>
    <w:rsid w:val="00AA2223"/>
    <w:rsid w:val="00AA2849"/>
    <w:rsid w:val="00AA3328"/>
    <w:rsid w:val="00AA4668"/>
    <w:rsid w:val="00AA5344"/>
    <w:rsid w:val="00AA55B2"/>
    <w:rsid w:val="00AA79AE"/>
    <w:rsid w:val="00AB09E1"/>
    <w:rsid w:val="00AB0D54"/>
    <w:rsid w:val="00AB0E67"/>
    <w:rsid w:val="00AB0FB1"/>
    <w:rsid w:val="00AB1884"/>
    <w:rsid w:val="00AB1C64"/>
    <w:rsid w:val="00AB315D"/>
    <w:rsid w:val="00AB3C6B"/>
    <w:rsid w:val="00AB3CF9"/>
    <w:rsid w:val="00AB40AE"/>
    <w:rsid w:val="00AB4569"/>
    <w:rsid w:val="00AB4DF9"/>
    <w:rsid w:val="00AB59BD"/>
    <w:rsid w:val="00AB61F2"/>
    <w:rsid w:val="00AB72AD"/>
    <w:rsid w:val="00AB735F"/>
    <w:rsid w:val="00AB7ADD"/>
    <w:rsid w:val="00AC2552"/>
    <w:rsid w:val="00AC26BC"/>
    <w:rsid w:val="00AC3316"/>
    <w:rsid w:val="00AC4835"/>
    <w:rsid w:val="00AC4A10"/>
    <w:rsid w:val="00AC55C8"/>
    <w:rsid w:val="00AC584D"/>
    <w:rsid w:val="00AC6E1B"/>
    <w:rsid w:val="00AD08EE"/>
    <w:rsid w:val="00AD14F6"/>
    <w:rsid w:val="00AD15CF"/>
    <w:rsid w:val="00AD33B4"/>
    <w:rsid w:val="00AD3722"/>
    <w:rsid w:val="00AD4289"/>
    <w:rsid w:val="00AD4AB3"/>
    <w:rsid w:val="00AD4CCF"/>
    <w:rsid w:val="00AD5668"/>
    <w:rsid w:val="00AD5D2A"/>
    <w:rsid w:val="00AD6A9F"/>
    <w:rsid w:val="00AD70B6"/>
    <w:rsid w:val="00AD7508"/>
    <w:rsid w:val="00AE0499"/>
    <w:rsid w:val="00AE0647"/>
    <w:rsid w:val="00AE0AE2"/>
    <w:rsid w:val="00AE0BB1"/>
    <w:rsid w:val="00AE1052"/>
    <w:rsid w:val="00AE1395"/>
    <w:rsid w:val="00AE2E93"/>
    <w:rsid w:val="00AE3CFF"/>
    <w:rsid w:val="00AE45C9"/>
    <w:rsid w:val="00AE4C91"/>
    <w:rsid w:val="00AE5DEE"/>
    <w:rsid w:val="00AE5E54"/>
    <w:rsid w:val="00AE71D8"/>
    <w:rsid w:val="00AE7347"/>
    <w:rsid w:val="00AE760B"/>
    <w:rsid w:val="00AE7CE0"/>
    <w:rsid w:val="00AE7F98"/>
    <w:rsid w:val="00AF03D9"/>
    <w:rsid w:val="00AF0B01"/>
    <w:rsid w:val="00AF0FA9"/>
    <w:rsid w:val="00AF2BEB"/>
    <w:rsid w:val="00AF2C65"/>
    <w:rsid w:val="00AF2C72"/>
    <w:rsid w:val="00AF33E7"/>
    <w:rsid w:val="00AF378A"/>
    <w:rsid w:val="00AF5DC8"/>
    <w:rsid w:val="00AF62C7"/>
    <w:rsid w:val="00AF668E"/>
    <w:rsid w:val="00AF6C26"/>
    <w:rsid w:val="00AF76C4"/>
    <w:rsid w:val="00B00943"/>
    <w:rsid w:val="00B02E76"/>
    <w:rsid w:val="00B04214"/>
    <w:rsid w:val="00B04902"/>
    <w:rsid w:val="00B04BBF"/>
    <w:rsid w:val="00B04EA2"/>
    <w:rsid w:val="00B050D1"/>
    <w:rsid w:val="00B059AC"/>
    <w:rsid w:val="00B05D9F"/>
    <w:rsid w:val="00B06370"/>
    <w:rsid w:val="00B06448"/>
    <w:rsid w:val="00B06BB3"/>
    <w:rsid w:val="00B07E1C"/>
    <w:rsid w:val="00B1022F"/>
    <w:rsid w:val="00B10758"/>
    <w:rsid w:val="00B10DF5"/>
    <w:rsid w:val="00B110C4"/>
    <w:rsid w:val="00B12C46"/>
    <w:rsid w:val="00B13070"/>
    <w:rsid w:val="00B13743"/>
    <w:rsid w:val="00B13AEA"/>
    <w:rsid w:val="00B14C5B"/>
    <w:rsid w:val="00B15149"/>
    <w:rsid w:val="00B1649D"/>
    <w:rsid w:val="00B1748F"/>
    <w:rsid w:val="00B201F5"/>
    <w:rsid w:val="00B20F25"/>
    <w:rsid w:val="00B215F3"/>
    <w:rsid w:val="00B21BB5"/>
    <w:rsid w:val="00B21DB9"/>
    <w:rsid w:val="00B223AD"/>
    <w:rsid w:val="00B23154"/>
    <w:rsid w:val="00B241F0"/>
    <w:rsid w:val="00B2451B"/>
    <w:rsid w:val="00B24AE3"/>
    <w:rsid w:val="00B25018"/>
    <w:rsid w:val="00B25C43"/>
    <w:rsid w:val="00B25CBF"/>
    <w:rsid w:val="00B260AE"/>
    <w:rsid w:val="00B26D3C"/>
    <w:rsid w:val="00B26F76"/>
    <w:rsid w:val="00B27140"/>
    <w:rsid w:val="00B27277"/>
    <w:rsid w:val="00B275C1"/>
    <w:rsid w:val="00B27798"/>
    <w:rsid w:val="00B27B62"/>
    <w:rsid w:val="00B30626"/>
    <w:rsid w:val="00B32114"/>
    <w:rsid w:val="00B326AB"/>
    <w:rsid w:val="00B33562"/>
    <w:rsid w:val="00B34264"/>
    <w:rsid w:val="00B3474B"/>
    <w:rsid w:val="00B365D5"/>
    <w:rsid w:val="00B40444"/>
    <w:rsid w:val="00B4123E"/>
    <w:rsid w:val="00B416DA"/>
    <w:rsid w:val="00B4240B"/>
    <w:rsid w:val="00B42AA3"/>
    <w:rsid w:val="00B42DF0"/>
    <w:rsid w:val="00B42E56"/>
    <w:rsid w:val="00B42E7C"/>
    <w:rsid w:val="00B447F0"/>
    <w:rsid w:val="00B46997"/>
    <w:rsid w:val="00B46D9F"/>
    <w:rsid w:val="00B476F1"/>
    <w:rsid w:val="00B47E55"/>
    <w:rsid w:val="00B52C17"/>
    <w:rsid w:val="00B53628"/>
    <w:rsid w:val="00B544A0"/>
    <w:rsid w:val="00B54A6C"/>
    <w:rsid w:val="00B55971"/>
    <w:rsid w:val="00B55D54"/>
    <w:rsid w:val="00B55FF8"/>
    <w:rsid w:val="00B5613E"/>
    <w:rsid w:val="00B57507"/>
    <w:rsid w:val="00B6068A"/>
    <w:rsid w:val="00B61438"/>
    <w:rsid w:val="00B631F5"/>
    <w:rsid w:val="00B63C43"/>
    <w:rsid w:val="00B64069"/>
    <w:rsid w:val="00B659A3"/>
    <w:rsid w:val="00B65EDE"/>
    <w:rsid w:val="00B6612C"/>
    <w:rsid w:val="00B67481"/>
    <w:rsid w:val="00B7010A"/>
    <w:rsid w:val="00B71A33"/>
    <w:rsid w:val="00B73A6E"/>
    <w:rsid w:val="00B7405B"/>
    <w:rsid w:val="00B74A36"/>
    <w:rsid w:val="00B74ABD"/>
    <w:rsid w:val="00B74E9E"/>
    <w:rsid w:val="00B753BB"/>
    <w:rsid w:val="00B7587B"/>
    <w:rsid w:val="00B75C3E"/>
    <w:rsid w:val="00B800C3"/>
    <w:rsid w:val="00B80A4D"/>
    <w:rsid w:val="00B812A2"/>
    <w:rsid w:val="00B82177"/>
    <w:rsid w:val="00B82CC1"/>
    <w:rsid w:val="00B83035"/>
    <w:rsid w:val="00B832D3"/>
    <w:rsid w:val="00B841C8"/>
    <w:rsid w:val="00B84B9B"/>
    <w:rsid w:val="00B8638A"/>
    <w:rsid w:val="00B86D68"/>
    <w:rsid w:val="00B877CF"/>
    <w:rsid w:val="00B87E85"/>
    <w:rsid w:val="00B906FA"/>
    <w:rsid w:val="00B90D3D"/>
    <w:rsid w:val="00B9174B"/>
    <w:rsid w:val="00B9187D"/>
    <w:rsid w:val="00B91C1A"/>
    <w:rsid w:val="00B921BE"/>
    <w:rsid w:val="00B92907"/>
    <w:rsid w:val="00B92ACC"/>
    <w:rsid w:val="00B93DB1"/>
    <w:rsid w:val="00B94692"/>
    <w:rsid w:val="00B949AF"/>
    <w:rsid w:val="00B9529A"/>
    <w:rsid w:val="00B95BFA"/>
    <w:rsid w:val="00B97CF3"/>
    <w:rsid w:val="00BA052A"/>
    <w:rsid w:val="00BA072D"/>
    <w:rsid w:val="00BA07FD"/>
    <w:rsid w:val="00BA0F89"/>
    <w:rsid w:val="00BA12BE"/>
    <w:rsid w:val="00BA1388"/>
    <w:rsid w:val="00BA39C6"/>
    <w:rsid w:val="00BA4803"/>
    <w:rsid w:val="00BA513D"/>
    <w:rsid w:val="00BA5327"/>
    <w:rsid w:val="00BA55C8"/>
    <w:rsid w:val="00BA5654"/>
    <w:rsid w:val="00BA56EC"/>
    <w:rsid w:val="00BA6D88"/>
    <w:rsid w:val="00BA7546"/>
    <w:rsid w:val="00BA7D9F"/>
    <w:rsid w:val="00BB0F99"/>
    <w:rsid w:val="00BB1F26"/>
    <w:rsid w:val="00BB1F28"/>
    <w:rsid w:val="00BB24A1"/>
    <w:rsid w:val="00BB3254"/>
    <w:rsid w:val="00BB34C1"/>
    <w:rsid w:val="00BB3956"/>
    <w:rsid w:val="00BB5501"/>
    <w:rsid w:val="00BB5D3D"/>
    <w:rsid w:val="00BB65C7"/>
    <w:rsid w:val="00BB6796"/>
    <w:rsid w:val="00BB6B83"/>
    <w:rsid w:val="00BB727E"/>
    <w:rsid w:val="00BB7656"/>
    <w:rsid w:val="00BC129C"/>
    <w:rsid w:val="00BC141A"/>
    <w:rsid w:val="00BC18B8"/>
    <w:rsid w:val="00BC1CE2"/>
    <w:rsid w:val="00BC24C9"/>
    <w:rsid w:val="00BC2A7C"/>
    <w:rsid w:val="00BC475E"/>
    <w:rsid w:val="00BC4C97"/>
    <w:rsid w:val="00BC6C4E"/>
    <w:rsid w:val="00BC7429"/>
    <w:rsid w:val="00BC7CD2"/>
    <w:rsid w:val="00BD0378"/>
    <w:rsid w:val="00BD18E0"/>
    <w:rsid w:val="00BD3227"/>
    <w:rsid w:val="00BD39F1"/>
    <w:rsid w:val="00BD4A63"/>
    <w:rsid w:val="00BD5855"/>
    <w:rsid w:val="00BD5DFB"/>
    <w:rsid w:val="00BD5F78"/>
    <w:rsid w:val="00BD6BBE"/>
    <w:rsid w:val="00BD7877"/>
    <w:rsid w:val="00BD7992"/>
    <w:rsid w:val="00BE0CF6"/>
    <w:rsid w:val="00BE2F95"/>
    <w:rsid w:val="00BE2FD3"/>
    <w:rsid w:val="00BE31E6"/>
    <w:rsid w:val="00BE3D43"/>
    <w:rsid w:val="00BE3ED7"/>
    <w:rsid w:val="00BE4289"/>
    <w:rsid w:val="00BE4AD7"/>
    <w:rsid w:val="00BE5575"/>
    <w:rsid w:val="00BE5800"/>
    <w:rsid w:val="00BE7083"/>
    <w:rsid w:val="00BE72B2"/>
    <w:rsid w:val="00BE79EF"/>
    <w:rsid w:val="00BE7DE7"/>
    <w:rsid w:val="00BF0106"/>
    <w:rsid w:val="00BF0650"/>
    <w:rsid w:val="00BF1342"/>
    <w:rsid w:val="00BF188F"/>
    <w:rsid w:val="00BF1F2A"/>
    <w:rsid w:val="00BF241C"/>
    <w:rsid w:val="00BF258F"/>
    <w:rsid w:val="00BF5A35"/>
    <w:rsid w:val="00BF5B3B"/>
    <w:rsid w:val="00BF6920"/>
    <w:rsid w:val="00BF74C6"/>
    <w:rsid w:val="00BF7E74"/>
    <w:rsid w:val="00BF7F6A"/>
    <w:rsid w:val="00C00F52"/>
    <w:rsid w:val="00C01087"/>
    <w:rsid w:val="00C019FE"/>
    <w:rsid w:val="00C01CF2"/>
    <w:rsid w:val="00C01E72"/>
    <w:rsid w:val="00C01F77"/>
    <w:rsid w:val="00C02745"/>
    <w:rsid w:val="00C02802"/>
    <w:rsid w:val="00C02B19"/>
    <w:rsid w:val="00C02CE5"/>
    <w:rsid w:val="00C04318"/>
    <w:rsid w:val="00C04542"/>
    <w:rsid w:val="00C04C7B"/>
    <w:rsid w:val="00C04F01"/>
    <w:rsid w:val="00C04FB7"/>
    <w:rsid w:val="00C055CC"/>
    <w:rsid w:val="00C059AE"/>
    <w:rsid w:val="00C05C32"/>
    <w:rsid w:val="00C05F01"/>
    <w:rsid w:val="00C060E5"/>
    <w:rsid w:val="00C07296"/>
    <w:rsid w:val="00C104F4"/>
    <w:rsid w:val="00C10FB4"/>
    <w:rsid w:val="00C11060"/>
    <w:rsid w:val="00C11070"/>
    <w:rsid w:val="00C11836"/>
    <w:rsid w:val="00C11D5D"/>
    <w:rsid w:val="00C11EE5"/>
    <w:rsid w:val="00C123E8"/>
    <w:rsid w:val="00C12572"/>
    <w:rsid w:val="00C12D63"/>
    <w:rsid w:val="00C1491D"/>
    <w:rsid w:val="00C15388"/>
    <w:rsid w:val="00C15392"/>
    <w:rsid w:val="00C1563F"/>
    <w:rsid w:val="00C15C4A"/>
    <w:rsid w:val="00C16A63"/>
    <w:rsid w:val="00C173D0"/>
    <w:rsid w:val="00C1777D"/>
    <w:rsid w:val="00C177FB"/>
    <w:rsid w:val="00C17E47"/>
    <w:rsid w:val="00C200CD"/>
    <w:rsid w:val="00C20116"/>
    <w:rsid w:val="00C20FB9"/>
    <w:rsid w:val="00C218FF"/>
    <w:rsid w:val="00C21D53"/>
    <w:rsid w:val="00C21E38"/>
    <w:rsid w:val="00C22475"/>
    <w:rsid w:val="00C2365E"/>
    <w:rsid w:val="00C2393F"/>
    <w:rsid w:val="00C23CC4"/>
    <w:rsid w:val="00C25179"/>
    <w:rsid w:val="00C25602"/>
    <w:rsid w:val="00C2727D"/>
    <w:rsid w:val="00C27FB6"/>
    <w:rsid w:val="00C305F8"/>
    <w:rsid w:val="00C31632"/>
    <w:rsid w:val="00C31F30"/>
    <w:rsid w:val="00C32229"/>
    <w:rsid w:val="00C33235"/>
    <w:rsid w:val="00C334C0"/>
    <w:rsid w:val="00C339D0"/>
    <w:rsid w:val="00C33C48"/>
    <w:rsid w:val="00C33EC7"/>
    <w:rsid w:val="00C34AA1"/>
    <w:rsid w:val="00C359C8"/>
    <w:rsid w:val="00C361DF"/>
    <w:rsid w:val="00C36395"/>
    <w:rsid w:val="00C3673B"/>
    <w:rsid w:val="00C36AFD"/>
    <w:rsid w:val="00C401E4"/>
    <w:rsid w:val="00C40B05"/>
    <w:rsid w:val="00C4514E"/>
    <w:rsid w:val="00C45266"/>
    <w:rsid w:val="00C45787"/>
    <w:rsid w:val="00C4581A"/>
    <w:rsid w:val="00C463A7"/>
    <w:rsid w:val="00C473A4"/>
    <w:rsid w:val="00C50156"/>
    <w:rsid w:val="00C506BE"/>
    <w:rsid w:val="00C506C0"/>
    <w:rsid w:val="00C506D2"/>
    <w:rsid w:val="00C51F2D"/>
    <w:rsid w:val="00C524B2"/>
    <w:rsid w:val="00C52BE8"/>
    <w:rsid w:val="00C53721"/>
    <w:rsid w:val="00C5391A"/>
    <w:rsid w:val="00C53B41"/>
    <w:rsid w:val="00C540E7"/>
    <w:rsid w:val="00C54CE6"/>
    <w:rsid w:val="00C55416"/>
    <w:rsid w:val="00C565FC"/>
    <w:rsid w:val="00C57A89"/>
    <w:rsid w:val="00C60282"/>
    <w:rsid w:val="00C6106B"/>
    <w:rsid w:val="00C62969"/>
    <w:rsid w:val="00C6359F"/>
    <w:rsid w:val="00C63F82"/>
    <w:rsid w:val="00C64047"/>
    <w:rsid w:val="00C6489A"/>
    <w:rsid w:val="00C6551E"/>
    <w:rsid w:val="00C65EBB"/>
    <w:rsid w:val="00C65EC5"/>
    <w:rsid w:val="00C6697E"/>
    <w:rsid w:val="00C66A26"/>
    <w:rsid w:val="00C67A61"/>
    <w:rsid w:val="00C703BA"/>
    <w:rsid w:val="00C70544"/>
    <w:rsid w:val="00C72081"/>
    <w:rsid w:val="00C727A6"/>
    <w:rsid w:val="00C728CC"/>
    <w:rsid w:val="00C72A92"/>
    <w:rsid w:val="00C73F08"/>
    <w:rsid w:val="00C74014"/>
    <w:rsid w:val="00C74614"/>
    <w:rsid w:val="00C76B1A"/>
    <w:rsid w:val="00C77507"/>
    <w:rsid w:val="00C77B97"/>
    <w:rsid w:val="00C809D4"/>
    <w:rsid w:val="00C80C5D"/>
    <w:rsid w:val="00C814C1"/>
    <w:rsid w:val="00C82F19"/>
    <w:rsid w:val="00C8489A"/>
    <w:rsid w:val="00C855A6"/>
    <w:rsid w:val="00C85778"/>
    <w:rsid w:val="00C858F7"/>
    <w:rsid w:val="00C85CB6"/>
    <w:rsid w:val="00C86D60"/>
    <w:rsid w:val="00C876B8"/>
    <w:rsid w:val="00C87C0F"/>
    <w:rsid w:val="00C87DD9"/>
    <w:rsid w:val="00C87F3A"/>
    <w:rsid w:val="00C90B83"/>
    <w:rsid w:val="00C90C69"/>
    <w:rsid w:val="00C93211"/>
    <w:rsid w:val="00C938F1"/>
    <w:rsid w:val="00C947E4"/>
    <w:rsid w:val="00C94C5B"/>
    <w:rsid w:val="00C9527A"/>
    <w:rsid w:val="00C95485"/>
    <w:rsid w:val="00C95B88"/>
    <w:rsid w:val="00C9664D"/>
    <w:rsid w:val="00C96DBB"/>
    <w:rsid w:val="00C96F1B"/>
    <w:rsid w:val="00C97481"/>
    <w:rsid w:val="00CA0F0F"/>
    <w:rsid w:val="00CA22AE"/>
    <w:rsid w:val="00CA2E34"/>
    <w:rsid w:val="00CA2EC7"/>
    <w:rsid w:val="00CA3836"/>
    <w:rsid w:val="00CA3C69"/>
    <w:rsid w:val="00CA41EC"/>
    <w:rsid w:val="00CA4299"/>
    <w:rsid w:val="00CA46CB"/>
    <w:rsid w:val="00CA531C"/>
    <w:rsid w:val="00CA59AC"/>
    <w:rsid w:val="00CA5DAA"/>
    <w:rsid w:val="00CA7888"/>
    <w:rsid w:val="00CA79CD"/>
    <w:rsid w:val="00CB1B95"/>
    <w:rsid w:val="00CB374C"/>
    <w:rsid w:val="00CB3800"/>
    <w:rsid w:val="00CB3A33"/>
    <w:rsid w:val="00CB4BFA"/>
    <w:rsid w:val="00CB5577"/>
    <w:rsid w:val="00CB6478"/>
    <w:rsid w:val="00CC193C"/>
    <w:rsid w:val="00CC1B28"/>
    <w:rsid w:val="00CC1BDB"/>
    <w:rsid w:val="00CC2484"/>
    <w:rsid w:val="00CC4481"/>
    <w:rsid w:val="00CC4C76"/>
    <w:rsid w:val="00CC4E40"/>
    <w:rsid w:val="00CC5543"/>
    <w:rsid w:val="00CC673F"/>
    <w:rsid w:val="00CC6E94"/>
    <w:rsid w:val="00CC7531"/>
    <w:rsid w:val="00CC7723"/>
    <w:rsid w:val="00CC7FDD"/>
    <w:rsid w:val="00CD0420"/>
    <w:rsid w:val="00CD05BB"/>
    <w:rsid w:val="00CD05E6"/>
    <w:rsid w:val="00CD2718"/>
    <w:rsid w:val="00CD2856"/>
    <w:rsid w:val="00CD2E14"/>
    <w:rsid w:val="00CD345F"/>
    <w:rsid w:val="00CD3FC4"/>
    <w:rsid w:val="00CD478D"/>
    <w:rsid w:val="00CD505E"/>
    <w:rsid w:val="00CD5568"/>
    <w:rsid w:val="00CD5BC8"/>
    <w:rsid w:val="00CD5C9B"/>
    <w:rsid w:val="00CD5DCF"/>
    <w:rsid w:val="00CD5E73"/>
    <w:rsid w:val="00CD5E8F"/>
    <w:rsid w:val="00CD66EC"/>
    <w:rsid w:val="00CD7BB8"/>
    <w:rsid w:val="00CE0994"/>
    <w:rsid w:val="00CE0B4E"/>
    <w:rsid w:val="00CE1B7E"/>
    <w:rsid w:val="00CE20A2"/>
    <w:rsid w:val="00CE2C9F"/>
    <w:rsid w:val="00CE35B1"/>
    <w:rsid w:val="00CE3EDE"/>
    <w:rsid w:val="00CE4418"/>
    <w:rsid w:val="00CE469B"/>
    <w:rsid w:val="00CE4D1C"/>
    <w:rsid w:val="00CE5BD4"/>
    <w:rsid w:val="00CE7244"/>
    <w:rsid w:val="00CE73DA"/>
    <w:rsid w:val="00CE75FD"/>
    <w:rsid w:val="00CE7BEF"/>
    <w:rsid w:val="00CE7F00"/>
    <w:rsid w:val="00CF064B"/>
    <w:rsid w:val="00CF15D2"/>
    <w:rsid w:val="00CF1B87"/>
    <w:rsid w:val="00CF2881"/>
    <w:rsid w:val="00CF2E6A"/>
    <w:rsid w:val="00CF3AE3"/>
    <w:rsid w:val="00CF3F80"/>
    <w:rsid w:val="00CF4A36"/>
    <w:rsid w:val="00CF5AF4"/>
    <w:rsid w:val="00CF5EEC"/>
    <w:rsid w:val="00CF635E"/>
    <w:rsid w:val="00CF7915"/>
    <w:rsid w:val="00D006D8"/>
    <w:rsid w:val="00D0142F"/>
    <w:rsid w:val="00D01842"/>
    <w:rsid w:val="00D01AC2"/>
    <w:rsid w:val="00D01FBA"/>
    <w:rsid w:val="00D04CFC"/>
    <w:rsid w:val="00D057A6"/>
    <w:rsid w:val="00D059B8"/>
    <w:rsid w:val="00D05F2E"/>
    <w:rsid w:val="00D07409"/>
    <w:rsid w:val="00D10623"/>
    <w:rsid w:val="00D11266"/>
    <w:rsid w:val="00D112FE"/>
    <w:rsid w:val="00D11848"/>
    <w:rsid w:val="00D11A88"/>
    <w:rsid w:val="00D13C20"/>
    <w:rsid w:val="00D14B39"/>
    <w:rsid w:val="00D1515E"/>
    <w:rsid w:val="00D15CA6"/>
    <w:rsid w:val="00D16712"/>
    <w:rsid w:val="00D1698F"/>
    <w:rsid w:val="00D16F77"/>
    <w:rsid w:val="00D172E6"/>
    <w:rsid w:val="00D17555"/>
    <w:rsid w:val="00D17666"/>
    <w:rsid w:val="00D177F6"/>
    <w:rsid w:val="00D178F6"/>
    <w:rsid w:val="00D17ACC"/>
    <w:rsid w:val="00D20581"/>
    <w:rsid w:val="00D20EE8"/>
    <w:rsid w:val="00D21103"/>
    <w:rsid w:val="00D211E3"/>
    <w:rsid w:val="00D22320"/>
    <w:rsid w:val="00D2330D"/>
    <w:rsid w:val="00D23C53"/>
    <w:rsid w:val="00D23DB5"/>
    <w:rsid w:val="00D23EC5"/>
    <w:rsid w:val="00D25138"/>
    <w:rsid w:val="00D26D3A"/>
    <w:rsid w:val="00D27589"/>
    <w:rsid w:val="00D279D1"/>
    <w:rsid w:val="00D27F2E"/>
    <w:rsid w:val="00D30883"/>
    <w:rsid w:val="00D30903"/>
    <w:rsid w:val="00D31798"/>
    <w:rsid w:val="00D319DA"/>
    <w:rsid w:val="00D31A95"/>
    <w:rsid w:val="00D33286"/>
    <w:rsid w:val="00D33595"/>
    <w:rsid w:val="00D33B0B"/>
    <w:rsid w:val="00D3450B"/>
    <w:rsid w:val="00D34769"/>
    <w:rsid w:val="00D361EF"/>
    <w:rsid w:val="00D36648"/>
    <w:rsid w:val="00D367FC"/>
    <w:rsid w:val="00D36BE9"/>
    <w:rsid w:val="00D36F3C"/>
    <w:rsid w:val="00D37DEA"/>
    <w:rsid w:val="00D4034B"/>
    <w:rsid w:val="00D406D9"/>
    <w:rsid w:val="00D4076D"/>
    <w:rsid w:val="00D4094F"/>
    <w:rsid w:val="00D40EA8"/>
    <w:rsid w:val="00D422A4"/>
    <w:rsid w:val="00D42472"/>
    <w:rsid w:val="00D426B9"/>
    <w:rsid w:val="00D43624"/>
    <w:rsid w:val="00D43C2B"/>
    <w:rsid w:val="00D454B8"/>
    <w:rsid w:val="00D46E6B"/>
    <w:rsid w:val="00D47301"/>
    <w:rsid w:val="00D47B44"/>
    <w:rsid w:val="00D47F89"/>
    <w:rsid w:val="00D50C1F"/>
    <w:rsid w:val="00D51D76"/>
    <w:rsid w:val="00D53208"/>
    <w:rsid w:val="00D53909"/>
    <w:rsid w:val="00D54D58"/>
    <w:rsid w:val="00D55446"/>
    <w:rsid w:val="00D559AF"/>
    <w:rsid w:val="00D56113"/>
    <w:rsid w:val="00D57081"/>
    <w:rsid w:val="00D57CAD"/>
    <w:rsid w:val="00D57CB5"/>
    <w:rsid w:val="00D57CFD"/>
    <w:rsid w:val="00D60233"/>
    <w:rsid w:val="00D605B7"/>
    <w:rsid w:val="00D6088E"/>
    <w:rsid w:val="00D60CFC"/>
    <w:rsid w:val="00D60F8C"/>
    <w:rsid w:val="00D61944"/>
    <w:rsid w:val="00D61E03"/>
    <w:rsid w:val="00D62C72"/>
    <w:rsid w:val="00D63B26"/>
    <w:rsid w:val="00D63F1C"/>
    <w:rsid w:val="00D65861"/>
    <w:rsid w:val="00D6658E"/>
    <w:rsid w:val="00D66EE8"/>
    <w:rsid w:val="00D675CD"/>
    <w:rsid w:val="00D67C0D"/>
    <w:rsid w:val="00D7051C"/>
    <w:rsid w:val="00D70C26"/>
    <w:rsid w:val="00D70D21"/>
    <w:rsid w:val="00D71A2C"/>
    <w:rsid w:val="00D7330C"/>
    <w:rsid w:val="00D74462"/>
    <w:rsid w:val="00D750E5"/>
    <w:rsid w:val="00D7566A"/>
    <w:rsid w:val="00D7598A"/>
    <w:rsid w:val="00D75AD7"/>
    <w:rsid w:val="00D75E27"/>
    <w:rsid w:val="00D76118"/>
    <w:rsid w:val="00D7670E"/>
    <w:rsid w:val="00D76916"/>
    <w:rsid w:val="00D774A4"/>
    <w:rsid w:val="00D77BF7"/>
    <w:rsid w:val="00D8000A"/>
    <w:rsid w:val="00D8007D"/>
    <w:rsid w:val="00D80672"/>
    <w:rsid w:val="00D809E0"/>
    <w:rsid w:val="00D80D22"/>
    <w:rsid w:val="00D81DBA"/>
    <w:rsid w:val="00D82736"/>
    <w:rsid w:val="00D83967"/>
    <w:rsid w:val="00D83AAA"/>
    <w:rsid w:val="00D841C6"/>
    <w:rsid w:val="00D8452A"/>
    <w:rsid w:val="00D854CB"/>
    <w:rsid w:val="00D85867"/>
    <w:rsid w:val="00D86358"/>
    <w:rsid w:val="00D9177D"/>
    <w:rsid w:val="00D91952"/>
    <w:rsid w:val="00D932B4"/>
    <w:rsid w:val="00D941EE"/>
    <w:rsid w:val="00D949E2"/>
    <w:rsid w:val="00D94B64"/>
    <w:rsid w:val="00D953F2"/>
    <w:rsid w:val="00D95592"/>
    <w:rsid w:val="00D9566A"/>
    <w:rsid w:val="00DA0AE5"/>
    <w:rsid w:val="00DA2515"/>
    <w:rsid w:val="00DA3EE3"/>
    <w:rsid w:val="00DA3F5A"/>
    <w:rsid w:val="00DA4304"/>
    <w:rsid w:val="00DA5376"/>
    <w:rsid w:val="00DA60C2"/>
    <w:rsid w:val="00DA6D02"/>
    <w:rsid w:val="00DA6DF7"/>
    <w:rsid w:val="00DA738C"/>
    <w:rsid w:val="00DA7D10"/>
    <w:rsid w:val="00DA7D60"/>
    <w:rsid w:val="00DB106F"/>
    <w:rsid w:val="00DB11E0"/>
    <w:rsid w:val="00DB1805"/>
    <w:rsid w:val="00DB2288"/>
    <w:rsid w:val="00DB2A38"/>
    <w:rsid w:val="00DB2E06"/>
    <w:rsid w:val="00DB3F24"/>
    <w:rsid w:val="00DB411E"/>
    <w:rsid w:val="00DB4CFD"/>
    <w:rsid w:val="00DB5707"/>
    <w:rsid w:val="00DB5756"/>
    <w:rsid w:val="00DB60CA"/>
    <w:rsid w:val="00DB626F"/>
    <w:rsid w:val="00DB7E36"/>
    <w:rsid w:val="00DC0C52"/>
    <w:rsid w:val="00DC14EA"/>
    <w:rsid w:val="00DC1A1E"/>
    <w:rsid w:val="00DC248C"/>
    <w:rsid w:val="00DC2B55"/>
    <w:rsid w:val="00DC32D1"/>
    <w:rsid w:val="00DC3422"/>
    <w:rsid w:val="00DC3832"/>
    <w:rsid w:val="00DC40A4"/>
    <w:rsid w:val="00DC4ECF"/>
    <w:rsid w:val="00DC56EE"/>
    <w:rsid w:val="00DC5832"/>
    <w:rsid w:val="00DC5A5D"/>
    <w:rsid w:val="00DD052D"/>
    <w:rsid w:val="00DD0882"/>
    <w:rsid w:val="00DD0B66"/>
    <w:rsid w:val="00DD253A"/>
    <w:rsid w:val="00DD2714"/>
    <w:rsid w:val="00DD2CA4"/>
    <w:rsid w:val="00DD2DAE"/>
    <w:rsid w:val="00DD4DF2"/>
    <w:rsid w:val="00DD52FC"/>
    <w:rsid w:val="00DD589A"/>
    <w:rsid w:val="00DD6C1A"/>
    <w:rsid w:val="00DD7022"/>
    <w:rsid w:val="00DD75D2"/>
    <w:rsid w:val="00DD7CAC"/>
    <w:rsid w:val="00DE0F16"/>
    <w:rsid w:val="00DE2F54"/>
    <w:rsid w:val="00DE33F6"/>
    <w:rsid w:val="00DE5BE1"/>
    <w:rsid w:val="00DE6810"/>
    <w:rsid w:val="00DE6AF7"/>
    <w:rsid w:val="00DE6CE0"/>
    <w:rsid w:val="00DE7058"/>
    <w:rsid w:val="00DE76DF"/>
    <w:rsid w:val="00DF0CEB"/>
    <w:rsid w:val="00DF19E9"/>
    <w:rsid w:val="00DF205F"/>
    <w:rsid w:val="00DF2241"/>
    <w:rsid w:val="00DF2399"/>
    <w:rsid w:val="00DF34F1"/>
    <w:rsid w:val="00DF3678"/>
    <w:rsid w:val="00DF428E"/>
    <w:rsid w:val="00DF4409"/>
    <w:rsid w:val="00DF6ED2"/>
    <w:rsid w:val="00DF710E"/>
    <w:rsid w:val="00DF7242"/>
    <w:rsid w:val="00DF755B"/>
    <w:rsid w:val="00DF7A80"/>
    <w:rsid w:val="00E0015B"/>
    <w:rsid w:val="00E0129B"/>
    <w:rsid w:val="00E02C0D"/>
    <w:rsid w:val="00E02C9C"/>
    <w:rsid w:val="00E031E0"/>
    <w:rsid w:val="00E032D8"/>
    <w:rsid w:val="00E036CE"/>
    <w:rsid w:val="00E037EE"/>
    <w:rsid w:val="00E0380B"/>
    <w:rsid w:val="00E0561F"/>
    <w:rsid w:val="00E05A08"/>
    <w:rsid w:val="00E05AA2"/>
    <w:rsid w:val="00E05D83"/>
    <w:rsid w:val="00E0641B"/>
    <w:rsid w:val="00E0645B"/>
    <w:rsid w:val="00E064CC"/>
    <w:rsid w:val="00E06815"/>
    <w:rsid w:val="00E06E4F"/>
    <w:rsid w:val="00E07468"/>
    <w:rsid w:val="00E07484"/>
    <w:rsid w:val="00E07DB9"/>
    <w:rsid w:val="00E07DC4"/>
    <w:rsid w:val="00E10FB0"/>
    <w:rsid w:val="00E11AA8"/>
    <w:rsid w:val="00E11B1A"/>
    <w:rsid w:val="00E11DF7"/>
    <w:rsid w:val="00E1227D"/>
    <w:rsid w:val="00E12905"/>
    <w:rsid w:val="00E129E9"/>
    <w:rsid w:val="00E12D63"/>
    <w:rsid w:val="00E13385"/>
    <w:rsid w:val="00E1357B"/>
    <w:rsid w:val="00E1362D"/>
    <w:rsid w:val="00E15936"/>
    <w:rsid w:val="00E15C25"/>
    <w:rsid w:val="00E15EF2"/>
    <w:rsid w:val="00E16128"/>
    <w:rsid w:val="00E17522"/>
    <w:rsid w:val="00E17848"/>
    <w:rsid w:val="00E20671"/>
    <w:rsid w:val="00E20C4E"/>
    <w:rsid w:val="00E20D58"/>
    <w:rsid w:val="00E2246B"/>
    <w:rsid w:val="00E22DE7"/>
    <w:rsid w:val="00E230CF"/>
    <w:rsid w:val="00E2446B"/>
    <w:rsid w:val="00E247A0"/>
    <w:rsid w:val="00E24B47"/>
    <w:rsid w:val="00E25E80"/>
    <w:rsid w:val="00E2605E"/>
    <w:rsid w:val="00E260E9"/>
    <w:rsid w:val="00E2647C"/>
    <w:rsid w:val="00E266D3"/>
    <w:rsid w:val="00E274CB"/>
    <w:rsid w:val="00E27699"/>
    <w:rsid w:val="00E305B3"/>
    <w:rsid w:val="00E307A5"/>
    <w:rsid w:val="00E3141E"/>
    <w:rsid w:val="00E322F0"/>
    <w:rsid w:val="00E32F56"/>
    <w:rsid w:val="00E3342B"/>
    <w:rsid w:val="00E33CA3"/>
    <w:rsid w:val="00E344A7"/>
    <w:rsid w:val="00E3508E"/>
    <w:rsid w:val="00E36046"/>
    <w:rsid w:val="00E3653C"/>
    <w:rsid w:val="00E36592"/>
    <w:rsid w:val="00E3687D"/>
    <w:rsid w:val="00E4109A"/>
    <w:rsid w:val="00E41AAE"/>
    <w:rsid w:val="00E42AAB"/>
    <w:rsid w:val="00E43BC8"/>
    <w:rsid w:val="00E43DCF"/>
    <w:rsid w:val="00E44EDE"/>
    <w:rsid w:val="00E45C0D"/>
    <w:rsid w:val="00E46A75"/>
    <w:rsid w:val="00E47875"/>
    <w:rsid w:val="00E4792B"/>
    <w:rsid w:val="00E47E8B"/>
    <w:rsid w:val="00E50049"/>
    <w:rsid w:val="00E51048"/>
    <w:rsid w:val="00E525CD"/>
    <w:rsid w:val="00E5351A"/>
    <w:rsid w:val="00E53762"/>
    <w:rsid w:val="00E538DF"/>
    <w:rsid w:val="00E53EDB"/>
    <w:rsid w:val="00E53F40"/>
    <w:rsid w:val="00E54100"/>
    <w:rsid w:val="00E542D4"/>
    <w:rsid w:val="00E54BF7"/>
    <w:rsid w:val="00E55369"/>
    <w:rsid w:val="00E5589F"/>
    <w:rsid w:val="00E55A17"/>
    <w:rsid w:val="00E55D12"/>
    <w:rsid w:val="00E5620D"/>
    <w:rsid w:val="00E56D4C"/>
    <w:rsid w:val="00E6029C"/>
    <w:rsid w:val="00E606AD"/>
    <w:rsid w:val="00E606E9"/>
    <w:rsid w:val="00E61A0A"/>
    <w:rsid w:val="00E61B7F"/>
    <w:rsid w:val="00E6234E"/>
    <w:rsid w:val="00E63C6C"/>
    <w:rsid w:val="00E63E6B"/>
    <w:rsid w:val="00E64301"/>
    <w:rsid w:val="00E65DBF"/>
    <w:rsid w:val="00E666F9"/>
    <w:rsid w:val="00E66741"/>
    <w:rsid w:val="00E66812"/>
    <w:rsid w:val="00E67577"/>
    <w:rsid w:val="00E67D74"/>
    <w:rsid w:val="00E70E1E"/>
    <w:rsid w:val="00E72169"/>
    <w:rsid w:val="00E72F52"/>
    <w:rsid w:val="00E7399C"/>
    <w:rsid w:val="00E73CD3"/>
    <w:rsid w:val="00E746DC"/>
    <w:rsid w:val="00E757AD"/>
    <w:rsid w:val="00E766B3"/>
    <w:rsid w:val="00E77248"/>
    <w:rsid w:val="00E77B2D"/>
    <w:rsid w:val="00E801FC"/>
    <w:rsid w:val="00E8059C"/>
    <w:rsid w:val="00E80F08"/>
    <w:rsid w:val="00E8288C"/>
    <w:rsid w:val="00E82A5F"/>
    <w:rsid w:val="00E832B0"/>
    <w:rsid w:val="00E83429"/>
    <w:rsid w:val="00E8390A"/>
    <w:rsid w:val="00E841CD"/>
    <w:rsid w:val="00E8490F"/>
    <w:rsid w:val="00E84F37"/>
    <w:rsid w:val="00E852BF"/>
    <w:rsid w:val="00E86A09"/>
    <w:rsid w:val="00E913E8"/>
    <w:rsid w:val="00E91683"/>
    <w:rsid w:val="00E92152"/>
    <w:rsid w:val="00E92C31"/>
    <w:rsid w:val="00E92E14"/>
    <w:rsid w:val="00E946BA"/>
    <w:rsid w:val="00E94C0B"/>
    <w:rsid w:val="00E95305"/>
    <w:rsid w:val="00E95BA7"/>
    <w:rsid w:val="00E95E20"/>
    <w:rsid w:val="00E967BE"/>
    <w:rsid w:val="00E968C5"/>
    <w:rsid w:val="00E97151"/>
    <w:rsid w:val="00EA097A"/>
    <w:rsid w:val="00EA346E"/>
    <w:rsid w:val="00EA42A8"/>
    <w:rsid w:val="00EA4734"/>
    <w:rsid w:val="00EA4AFB"/>
    <w:rsid w:val="00EA523A"/>
    <w:rsid w:val="00EA63AB"/>
    <w:rsid w:val="00EA64BD"/>
    <w:rsid w:val="00EA6551"/>
    <w:rsid w:val="00EA6795"/>
    <w:rsid w:val="00EA7370"/>
    <w:rsid w:val="00EA7979"/>
    <w:rsid w:val="00EB0C5D"/>
    <w:rsid w:val="00EB0E5C"/>
    <w:rsid w:val="00EB169B"/>
    <w:rsid w:val="00EB1ECF"/>
    <w:rsid w:val="00EB2001"/>
    <w:rsid w:val="00EB2CBD"/>
    <w:rsid w:val="00EB2D2F"/>
    <w:rsid w:val="00EB2F31"/>
    <w:rsid w:val="00EB3017"/>
    <w:rsid w:val="00EB333C"/>
    <w:rsid w:val="00EB3749"/>
    <w:rsid w:val="00EB388D"/>
    <w:rsid w:val="00EB4411"/>
    <w:rsid w:val="00EB55D3"/>
    <w:rsid w:val="00EB5C47"/>
    <w:rsid w:val="00EB6937"/>
    <w:rsid w:val="00EB7C4F"/>
    <w:rsid w:val="00EC01C4"/>
    <w:rsid w:val="00EC15BA"/>
    <w:rsid w:val="00EC1E5C"/>
    <w:rsid w:val="00EC2127"/>
    <w:rsid w:val="00EC40B7"/>
    <w:rsid w:val="00EC4F2A"/>
    <w:rsid w:val="00EC63DD"/>
    <w:rsid w:val="00EC6835"/>
    <w:rsid w:val="00EC6AB3"/>
    <w:rsid w:val="00EC6C2E"/>
    <w:rsid w:val="00ED128A"/>
    <w:rsid w:val="00ED1710"/>
    <w:rsid w:val="00ED1797"/>
    <w:rsid w:val="00ED22FA"/>
    <w:rsid w:val="00ED2579"/>
    <w:rsid w:val="00ED34CA"/>
    <w:rsid w:val="00ED44AF"/>
    <w:rsid w:val="00ED44D2"/>
    <w:rsid w:val="00ED49D7"/>
    <w:rsid w:val="00ED4BA1"/>
    <w:rsid w:val="00ED5100"/>
    <w:rsid w:val="00ED5553"/>
    <w:rsid w:val="00ED6EAE"/>
    <w:rsid w:val="00ED6F2A"/>
    <w:rsid w:val="00ED736A"/>
    <w:rsid w:val="00EE0EE5"/>
    <w:rsid w:val="00EE2C27"/>
    <w:rsid w:val="00EE362F"/>
    <w:rsid w:val="00EE3906"/>
    <w:rsid w:val="00EE3AB8"/>
    <w:rsid w:val="00EE3B2D"/>
    <w:rsid w:val="00EE484A"/>
    <w:rsid w:val="00EE4990"/>
    <w:rsid w:val="00EE4CD6"/>
    <w:rsid w:val="00EE5349"/>
    <w:rsid w:val="00EE5FF1"/>
    <w:rsid w:val="00EF02F7"/>
    <w:rsid w:val="00EF0396"/>
    <w:rsid w:val="00EF0931"/>
    <w:rsid w:val="00EF138A"/>
    <w:rsid w:val="00EF18ED"/>
    <w:rsid w:val="00EF1DEC"/>
    <w:rsid w:val="00EF2917"/>
    <w:rsid w:val="00EF2BEF"/>
    <w:rsid w:val="00EF30DB"/>
    <w:rsid w:val="00EF3599"/>
    <w:rsid w:val="00EF3972"/>
    <w:rsid w:val="00EF4EC9"/>
    <w:rsid w:val="00EF4F0D"/>
    <w:rsid w:val="00EF53CD"/>
    <w:rsid w:val="00EF5667"/>
    <w:rsid w:val="00EF57A8"/>
    <w:rsid w:val="00EF5988"/>
    <w:rsid w:val="00EF626B"/>
    <w:rsid w:val="00EF65C3"/>
    <w:rsid w:val="00EF7BF7"/>
    <w:rsid w:val="00F00F20"/>
    <w:rsid w:val="00F01C7A"/>
    <w:rsid w:val="00F0297A"/>
    <w:rsid w:val="00F034D3"/>
    <w:rsid w:val="00F049E8"/>
    <w:rsid w:val="00F04C5C"/>
    <w:rsid w:val="00F04E3B"/>
    <w:rsid w:val="00F05157"/>
    <w:rsid w:val="00F055D5"/>
    <w:rsid w:val="00F062DC"/>
    <w:rsid w:val="00F06CE9"/>
    <w:rsid w:val="00F07774"/>
    <w:rsid w:val="00F07D2D"/>
    <w:rsid w:val="00F07EB2"/>
    <w:rsid w:val="00F10E1E"/>
    <w:rsid w:val="00F11445"/>
    <w:rsid w:val="00F11540"/>
    <w:rsid w:val="00F12070"/>
    <w:rsid w:val="00F131BE"/>
    <w:rsid w:val="00F13B8F"/>
    <w:rsid w:val="00F142EB"/>
    <w:rsid w:val="00F144CD"/>
    <w:rsid w:val="00F14A24"/>
    <w:rsid w:val="00F14ACB"/>
    <w:rsid w:val="00F14CC2"/>
    <w:rsid w:val="00F14FF3"/>
    <w:rsid w:val="00F1512C"/>
    <w:rsid w:val="00F158F7"/>
    <w:rsid w:val="00F159C3"/>
    <w:rsid w:val="00F15E1A"/>
    <w:rsid w:val="00F16E5B"/>
    <w:rsid w:val="00F17C68"/>
    <w:rsid w:val="00F17D15"/>
    <w:rsid w:val="00F20FCA"/>
    <w:rsid w:val="00F213E0"/>
    <w:rsid w:val="00F216F8"/>
    <w:rsid w:val="00F2198C"/>
    <w:rsid w:val="00F21C56"/>
    <w:rsid w:val="00F2297B"/>
    <w:rsid w:val="00F22B77"/>
    <w:rsid w:val="00F23C56"/>
    <w:rsid w:val="00F23EED"/>
    <w:rsid w:val="00F241F8"/>
    <w:rsid w:val="00F247A6"/>
    <w:rsid w:val="00F25431"/>
    <w:rsid w:val="00F26DE2"/>
    <w:rsid w:val="00F27161"/>
    <w:rsid w:val="00F3003A"/>
    <w:rsid w:val="00F308BE"/>
    <w:rsid w:val="00F31996"/>
    <w:rsid w:val="00F31BB0"/>
    <w:rsid w:val="00F31F92"/>
    <w:rsid w:val="00F32FA6"/>
    <w:rsid w:val="00F33A02"/>
    <w:rsid w:val="00F3413B"/>
    <w:rsid w:val="00F34F46"/>
    <w:rsid w:val="00F355E9"/>
    <w:rsid w:val="00F35681"/>
    <w:rsid w:val="00F36944"/>
    <w:rsid w:val="00F36A22"/>
    <w:rsid w:val="00F36B37"/>
    <w:rsid w:val="00F371F2"/>
    <w:rsid w:val="00F37487"/>
    <w:rsid w:val="00F3748A"/>
    <w:rsid w:val="00F37AF9"/>
    <w:rsid w:val="00F408C4"/>
    <w:rsid w:val="00F40BD5"/>
    <w:rsid w:val="00F41509"/>
    <w:rsid w:val="00F41F59"/>
    <w:rsid w:val="00F430EC"/>
    <w:rsid w:val="00F44872"/>
    <w:rsid w:val="00F44F3C"/>
    <w:rsid w:val="00F4522B"/>
    <w:rsid w:val="00F45E3E"/>
    <w:rsid w:val="00F46D7C"/>
    <w:rsid w:val="00F47D1D"/>
    <w:rsid w:val="00F5009F"/>
    <w:rsid w:val="00F50653"/>
    <w:rsid w:val="00F51D0F"/>
    <w:rsid w:val="00F51DD4"/>
    <w:rsid w:val="00F52133"/>
    <w:rsid w:val="00F5224E"/>
    <w:rsid w:val="00F528E7"/>
    <w:rsid w:val="00F539BF"/>
    <w:rsid w:val="00F53D22"/>
    <w:rsid w:val="00F54184"/>
    <w:rsid w:val="00F543EB"/>
    <w:rsid w:val="00F55611"/>
    <w:rsid w:val="00F558BC"/>
    <w:rsid w:val="00F5768A"/>
    <w:rsid w:val="00F57F73"/>
    <w:rsid w:val="00F60960"/>
    <w:rsid w:val="00F60BF8"/>
    <w:rsid w:val="00F61953"/>
    <w:rsid w:val="00F6228B"/>
    <w:rsid w:val="00F6447F"/>
    <w:rsid w:val="00F64B81"/>
    <w:rsid w:val="00F654FF"/>
    <w:rsid w:val="00F65B35"/>
    <w:rsid w:val="00F65E16"/>
    <w:rsid w:val="00F669D4"/>
    <w:rsid w:val="00F66D1D"/>
    <w:rsid w:val="00F6752C"/>
    <w:rsid w:val="00F6755F"/>
    <w:rsid w:val="00F701EC"/>
    <w:rsid w:val="00F7041E"/>
    <w:rsid w:val="00F70596"/>
    <w:rsid w:val="00F707F7"/>
    <w:rsid w:val="00F71936"/>
    <w:rsid w:val="00F71A0D"/>
    <w:rsid w:val="00F71EAD"/>
    <w:rsid w:val="00F71F39"/>
    <w:rsid w:val="00F722CC"/>
    <w:rsid w:val="00F723CC"/>
    <w:rsid w:val="00F7244A"/>
    <w:rsid w:val="00F7273F"/>
    <w:rsid w:val="00F72ACF"/>
    <w:rsid w:val="00F733D0"/>
    <w:rsid w:val="00F7362A"/>
    <w:rsid w:val="00F74B50"/>
    <w:rsid w:val="00F75ABD"/>
    <w:rsid w:val="00F76156"/>
    <w:rsid w:val="00F7739C"/>
    <w:rsid w:val="00F777E4"/>
    <w:rsid w:val="00F7794A"/>
    <w:rsid w:val="00F80069"/>
    <w:rsid w:val="00F80403"/>
    <w:rsid w:val="00F805F4"/>
    <w:rsid w:val="00F80C3F"/>
    <w:rsid w:val="00F81026"/>
    <w:rsid w:val="00F824A6"/>
    <w:rsid w:val="00F836D1"/>
    <w:rsid w:val="00F839FD"/>
    <w:rsid w:val="00F83ACF"/>
    <w:rsid w:val="00F8496D"/>
    <w:rsid w:val="00F84C30"/>
    <w:rsid w:val="00F84D1D"/>
    <w:rsid w:val="00F861DB"/>
    <w:rsid w:val="00F86411"/>
    <w:rsid w:val="00F865CB"/>
    <w:rsid w:val="00F87C95"/>
    <w:rsid w:val="00F87DE6"/>
    <w:rsid w:val="00F90315"/>
    <w:rsid w:val="00F90986"/>
    <w:rsid w:val="00F90C82"/>
    <w:rsid w:val="00F91580"/>
    <w:rsid w:val="00F922B8"/>
    <w:rsid w:val="00F92EFA"/>
    <w:rsid w:val="00F93864"/>
    <w:rsid w:val="00F93973"/>
    <w:rsid w:val="00F9418D"/>
    <w:rsid w:val="00F94F59"/>
    <w:rsid w:val="00F956EE"/>
    <w:rsid w:val="00F968FA"/>
    <w:rsid w:val="00F9693B"/>
    <w:rsid w:val="00F96A89"/>
    <w:rsid w:val="00F96FF2"/>
    <w:rsid w:val="00F97548"/>
    <w:rsid w:val="00FA0D1C"/>
    <w:rsid w:val="00FA1987"/>
    <w:rsid w:val="00FA2492"/>
    <w:rsid w:val="00FA474C"/>
    <w:rsid w:val="00FA5181"/>
    <w:rsid w:val="00FA6A08"/>
    <w:rsid w:val="00FA6CF2"/>
    <w:rsid w:val="00FA76A9"/>
    <w:rsid w:val="00FA77C2"/>
    <w:rsid w:val="00FB33CD"/>
    <w:rsid w:val="00FB3B90"/>
    <w:rsid w:val="00FB4822"/>
    <w:rsid w:val="00FB4D9D"/>
    <w:rsid w:val="00FB55C9"/>
    <w:rsid w:val="00FB56A3"/>
    <w:rsid w:val="00FB5CD0"/>
    <w:rsid w:val="00FB602B"/>
    <w:rsid w:val="00FB61C4"/>
    <w:rsid w:val="00FB70AB"/>
    <w:rsid w:val="00FC0A43"/>
    <w:rsid w:val="00FC0B02"/>
    <w:rsid w:val="00FC128B"/>
    <w:rsid w:val="00FC1A36"/>
    <w:rsid w:val="00FC1C8B"/>
    <w:rsid w:val="00FC1CBB"/>
    <w:rsid w:val="00FC1E7B"/>
    <w:rsid w:val="00FC2012"/>
    <w:rsid w:val="00FC27F0"/>
    <w:rsid w:val="00FC2F71"/>
    <w:rsid w:val="00FC37A5"/>
    <w:rsid w:val="00FC3F25"/>
    <w:rsid w:val="00FC4AC6"/>
    <w:rsid w:val="00FC524D"/>
    <w:rsid w:val="00FC58B6"/>
    <w:rsid w:val="00FC673F"/>
    <w:rsid w:val="00FC73C8"/>
    <w:rsid w:val="00FC7CB2"/>
    <w:rsid w:val="00FC7EB7"/>
    <w:rsid w:val="00FD07DD"/>
    <w:rsid w:val="00FD2407"/>
    <w:rsid w:val="00FD2F5B"/>
    <w:rsid w:val="00FD3F53"/>
    <w:rsid w:val="00FD4750"/>
    <w:rsid w:val="00FD4C19"/>
    <w:rsid w:val="00FD58FF"/>
    <w:rsid w:val="00FD5D02"/>
    <w:rsid w:val="00FD5E30"/>
    <w:rsid w:val="00FD6468"/>
    <w:rsid w:val="00FD69F3"/>
    <w:rsid w:val="00FD705D"/>
    <w:rsid w:val="00FD76DE"/>
    <w:rsid w:val="00FD7C8E"/>
    <w:rsid w:val="00FE0550"/>
    <w:rsid w:val="00FE1F61"/>
    <w:rsid w:val="00FE2FAC"/>
    <w:rsid w:val="00FE3BB6"/>
    <w:rsid w:val="00FE42A9"/>
    <w:rsid w:val="00FE4663"/>
    <w:rsid w:val="00FE501E"/>
    <w:rsid w:val="00FE5926"/>
    <w:rsid w:val="00FE594A"/>
    <w:rsid w:val="00FE5B54"/>
    <w:rsid w:val="00FE61D8"/>
    <w:rsid w:val="00FE6B32"/>
    <w:rsid w:val="00FE6DD5"/>
    <w:rsid w:val="00FE7516"/>
    <w:rsid w:val="00FF0EEB"/>
    <w:rsid w:val="00FF17C8"/>
    <w:rsid w:val="00FF23AF"/>
    <w:rsid w:val="00FF2DA4"/>
    <w:rsid w:val="00FF2FB3"/>
    <w:rsid w:val="00FF39D1"/>
    <w:rsid w:val="00FF47D2"/>
    <w:rsid w:val="00FF5699"/>
    <w:rsid w:val="00FF60EB"/>
    <w:rsid w:val="00FF6661"/>
    <w:rsid w:val="00FF6B9A"/>
    <w:rsid w:val="00FF776F"/>
    <w:rsid w:val="0121005A"/>
    <w:rsid w:val="012F0E69"/>
    <w:rsid w:val="014E4853"/>
    <w:rsid w:val="015E412C"/>
    <w:rsid w:val="018042F6"/>
    <w:rsid w:val="018B3CAA"/>
    <w:rsid w:val="01B76D15"/>
    <w:rsid w:val="01C56403"/>
    <w:rsid w:val="01CF2AD8"/>
    <w:rsid w:val="01D4768C"/>
    <w:rsid w:val="01FB7BD7"/>
    <w:rsid w:val="02137AE6"/>
    <w:rsid w:val="022B186B"/>
    <w:rsid w:val="024127C1"/>
    <w:rsid w:val="02514203"/>
    <w:rsid w:val="02594B2B"/>
    <w:rsid w:val="028730B1"/>
    <w:rsid w:val="02A457E9"/>
    <w:rsid w:val="02CC2A7F"/>
    <w:rsid w:val="02D37DD8"/>
    <w:rsid w:val="031A20AA"/>
    <w:rsid w:val="033A4E30"/>
    <w:rsid w:val="033D0163"/>
    <w:rsid w:val="033D3E3C"/>
    <w:rsid w:val="034A1325"/>
    <w:rsid w:val="035909ED"/>
    <w:rsid w:val="03997164"/>
    <w:rsid w:val="03C07A23"/>
    <w:rsid w:val="03E23E2C"/>
    <w:rsid w:val="03E33050"/>
    <w:rsid w:val="04323031"/>
    <w:rsid w:val="04440F93"/>
    <w:rsid w:val="0454678E"/>
    <w:rsid w:val="046D37E4"/>
    <w:rsid w:val="047B6068"/>
    <w:rsid w:val="048F7308"/>
    <w:rsid w:val="04D04AD7"/>
    <w:rsid w:val="04E405ED"/>
    <w:rsid w:val="050049D8"/>
    <w:rsid w:val="054C3FBD"/>
    <w:rsid w:val="05521178"/>
    <w:rsid w:val="0572376D"/>
    <w:rsid w:val="05907B18"/>
    <w:rsid w:val="05967C03"/>
    <w:rsid w:val="05B27134"/>
    <w:rsid w:val="05E15256"/>
    <w:rsid w:val="05E773B8"/>
    <w:rsid w:val="05F67E49"/>
    <w:rsid w:val="060671E1"/>
    <w:rsid w:val="062E4A77"/>
    <w:rsid w:val="06582E5C"/>
    <w:rsid w:val="065E6F72"/>
    <w:rsid w:val="066A43D0"/>
    <w:rsid w:val="066B65CA"/>
    <w:rsid w:val="06B12214"/>
    <w:rsid w:val="06B531C2"/>
    <w:rsid w:val="06D32109"/>
    <w:rsid w:val="06ED7FB7"/>
    <w:rsid w:val="06FB172C"/>
    <w:rsid w:val="07057D69"/>
    <w:rsid w:val="070D4316"/>
    <w:rsid w:val="071C3B51"/>
    <w:rsid w:val="07264F74"/>
    <w:rsid w:val="07295210"/>
    <w:rsid w:val="073215C2"/>
    <w:rsid w:val="0755380C"/>
    <w:rsid w:val="075E29F3"/>
    <w:rsid w:val="07714110"/>
    <w:rsid w:val="077873C4"/>
    <w:rsid w:val="077E57C7"/>
    <w:rsid w:val="07AB3337"/>
    <w:rsid w:val="07E4436E"/>
    <w:rsid w:val="07FF2981"/>
    <w:rsid w:val="0810059D"/>
    <w:rsid w:val="084E34AF"/>
    <w:rsid w:val="084E74CE"/>
    <w:rsid w:val="085B3DB9"/>
    <w:rsid w:val="086C6FB9"/>
    <w:rsid w:val="0886282F"/>
    <w:rsid w:val="08894ED9"/>
    <w:rsid w:val="089908D3"/>
    <w:rsid w:val="090F6999"/>
    <w:rsid w:val="091B542C"/>
    <w:rsid w:val="092410FB"/>
    <w:rsid w:val="09321FE6"/>
    <w:rsid w:val="0938261D"/>
    <w:rsid w:val="095F4820"/>
    <w:rsid w:val="096B6E65"/>
    <w:rsid w:val="097B624E"/>
    <w:rsid w:val="09AD45AC"/>
    <w:rsid w:val="09C1650E"/>
    <w:rsid w:val="09DE5F16"/>
    <w:rsid w:val="09DF7FF5"/>
    <w:rsid w:val="09E0392D"/>
    <w:rsid w:val="09E047A1"/>
    <w:rsid w:val="0A0A0711"/>
    <w:rsid w:val="0A43774B"/>
    <w:rsid w:val="0A5A5D3B"/>
    <w:rsid w:val="0A6007BF"/>
    <w:rsid w:val="0A7E2B58"/>
    <w:rsid w:val="0AA410AA"/>
    <w:rsid w:val="0ABB2101"/>
    <w:rsid w:val="0AD40B4F"/>
    <w:rsid w:val="0AD73550"/>
    <w:rsid w:val="0AEF192B"/>
    <w:rsid w:val="0B026810"/>
    <w:rsid w:val="0B04560E"/>
    <w:rsid w:val="0B14515C"/>
    <w:rsid w:val="0B334F90"/>
    <w:rsid w:val="0B91609B"/>
    <w:rsid w:val="0BBF78B9"/>
    <w:rsid w:val="0BD0492F"/>
    <w:rsid w:val="0C0D7A72"/>
    <w:rsid w:val="0C49711D"/>
    <w:rsid w:val="0C50611C"/>
    <w:rsid w:val="0C526795"/>
    <w:rsid w:val="0C5C0564"/>
    <w:rsid w:val="0C6F7B97"/>
    <w:rsid w:val="0C785F3B"/>
    <w:rsid w:val="0C7A165E"/>
    <w:rsid w:val="0C93056E"/>
    <w:rsid w:val="0C9948C2"/>
    <w:rsid w:val="0CC754CC"/>
    <w:rsid w:val="0D71543A"/>
    <w:rsid w:val="0D7F04AA"/>
    <w:rsid w:val="0D8779C8"/>
    <w:rsid w:val="0D8E269D"/>
    <w:rsid w:val="0D96490B"/>
    <w:rsid w:val="0D9D7EE8"/>
    <w:rsid w:val="0DB32DBB"/>
    <w:rsid w:val="0DD236A8"/>
    <w:rsid w:val="0DED167A"/>
    <w:rsid w:val="0DF1662D"/>
    <w:rsid w:val="0DFF5AB4"/>
    <w:rsid w:val="0E0D2516"/>
    <w:rsid w:val="0E0E274D"/>
    <w:rsid w:val="0E183276"/>
    <w:rsid w:val="0E2135AD"/>
    <w:rsid w:val="0E38483E"/>
    <w:rsid w:val="0E795509"/>
    <w:rsid w:val="0E8E4A0B"/>
    <w:rsid w:val="0EBC2DB2"/>
    <w:rsid w:val="0ED010D9"/>
    <w:rsid w:val="0ED76C70"/>
    <w:rsid w:val="0F3E48AF"/>
    <w:rsid w:val="0F555417"/>
    <w:rsid w:val="0F7C7DE9"/>
    <w:rsid w:val="0F971E76"/>
    <w:rsid w:val="0F9F0271"/>
    <w:rsid w:val="0FBE754C"/>
    <w:rsid w:val="0FF81921"/>
    <w:rsid w:val="10144242"/>
    <w:rsid w:val="1016700D"/>
    <w:rsid w:val="10453089"/>
    <w:rsid w:val="10503419"/>
    <w:rsid w:val="105D363C"/>
    <w:rsid w:val="106A4C12"/>
    <w:rsid w:val="106F5096"/>
    <w:rsid w:val="10714D99"/>
    <w:rsid w:val="10BF48D9"/>
    <w:rsid w:val="10D4033B"/>
    <w:rsid w:val="10E94550"/>
    <w:rsid w:val="10EC3B63"/>
    <w:rsid w:val="10F74EDF"/>
    <w:rsid w:val="11045532"/>
    <w:rsid w:val="11227967"/>
    <w:rsid w:val="1133055D"/>
    <w:rsid w:val="1139662E"/>
    <w:rsid w:val="11427949"/>
    <w:rsid w:val="11433B21"/>
    <w:rsid w:val="11484367"/>
    <w:rsid w:val="115066AB"/>
    <w:rsid w:val="116F6F4B"/>
    <w:rsid w:val="1176346C"/>
    <w:rsid w:val="1188152F"/>
    <w:rsid w:val="11906EAD"/>
    <w:rsid w:val="119529CB"/>
    <w:rsid w:val="11C846E8"/>
    <w:rsid w:val="11C878A0"/>
    <w:rsid w:val="11D10A6D"/>
    <w:rsid w:val="11E20D73"/>
    <w:rsid w:val="12276EC2"/>
    <w:rsid w:val="123267B2"/>
    <w:rsid w:val="124667A7"/>
    <w:rsid w:val="126256AD"/>
    <w:rsid w:val="12630F5D"/>
    <w:rsid w:val="126331E8"/>
    <w:rsid w:val="12995DEC"/>
    <w:rsid w:val="12B34587"/>
    <w:rsid w:val="12B60FEF"/>
    <w:rsid w:val="12C06F60"/>
    <w:rsid w:val="12E40720"/>
    <w:rsid w:val="131545F1"/>
    <w:rsid w:val="131D21D2"/>
    <w:rsid w:val="133960B7"/>
    <w:rsid w:val="13452A4C"/>
    <w:rsid w:val="1351271B"/>
    <w:rsid w:val="13C0485F"/>
    <w:rsid w:val="13F04911"/>
    <w:rsid w:val="141A2EFD"/>
    <w:rsid w:val="14300745"/>
    <w:rsid w:val="145E7EE6"/>
    <w:rsid w:val="14701CEE"/>
    <w:rsid w:val="14731CF5"/>
    <w:rsid w:val="14777C7D"/>
    <w:rsid w:val="14795603"/>
    <w:rsid w:val="14B721AF"/>
    <w:rsid w:val="14BB38FA"/>
    <w:rsid w:val="14C71A31"/>
    <w:rsid w:val="14EB3843"/>
    <w:rsid w:val="14EF7FEB"/>
    <w:rsid w:val="15982810"/>
    <w:rsid w:val="159869C3"/>
    <w:rsid w:val="159C6B64"/>
    <w:rsid w:val="15B87E6E"/>
    <w:rsid w:val="15D84F6E"/>
    <w:rsid w:val="16111A2A"/>
    <w:rsid w:val="161724E9"/>
    <w:rsid w:val="163D4DD4"/>
    <w:rsid w:val="166D031F"/>
    <w:rsid w:val="16A26C9F"/>
    <w:rsid w:val="16B856F3"/>
    <w:rsid w:val="16C62058"/>
    <w:rsid w:val="16FE7976"/>
    <w:rsid w:val="17234AC6"/>
    <w:rsid w:val="173160BF"/>
    <w:rsid w:val="173F5237"/>
    <w:rsid w:val="179B0263"/>
    <w:rsid w:val="17A414EC"/>
    <w:rsid w:val="17B27947"/>
    <w:rsid w:val="17C359F3"/>
    <w:rsid w:val="17CB6DA8"/>
    <w:rsid w:val="18024AAC"/>
    <w:rsid w:val="18290CEA"/>
    <w:rsid w:val="182E01D0"/>
    <w:rsid w:val="18374D92"/>
    <w:rsid w:val="1844584F"/>
    <w:rsid w:val="184606CA"/>
    <w:rsid w:val="18505648"/>
    <w:rsid w:val="18521A94"/>
    <w:rsid w:val="185C5843"/>
    <w:rsid w:val="189F6752"/>
    <w:rsid w:val="18B178A3"/>
    <w:rsid w:val="18BC07C0"/>
    <w:rsid w:val="18BC4FD2"/>
    <w:rsid w:val="18BD3686"/>
    <w:rsid w:val="18D14AA7"/>
    <w:rsid w:val="19071F23"/>
    <w:rsid w:val="192F176F"/>
    <w:rsid w:val="195F7892"/>
    <w:rsid w:val="19622608"/>
    <w:rsid w:val="19856391"/>
    <w:rsid w:val="199030F5"/>
    <w:rsid w:val="19973E6A"/>
    <w:rsid w:val="19A570BC"/>
    <w:rsid w:val="19AB4F66"/>
    <w:rsid w:val="19C5464F"/>
    <w:rsid w:val="19CF5361"/>
    <w:rsid w:val="19F426F3"/>
    <w:rsid w:val="1A0C317A"/>
    <w:rsid w:val="1A274D62"/>
    <w:rsid w:val="1A5048AB"/>
    <w:rsid w:val="1A56650B"/>
    <w:rsid w:val="1A627FEB"/>
    <w:rsid w:val="1A775AA9"/>
    <w:rsid w:val="1AD3307F"/>
    <w:rsid w:val="1AD54C83"/>
    <w:rsid w:val="1AE3628B"/>
    <w:rsid w:val="1B3E4BFD"/>
    <w:rsid w:val="1B5464C8"/>
    <w:rsid w:val="1B703332"/>
    <w:rsid w:val="1B9861DA"/>
    <w:rsid w:val="1BA703ED"/>
    <w:rsid w:val="1BCC6D75"/>
    <w:rsid w:val="1C0467E4"/>
    <w:rsid w:val="1C1F1346"/>
    <w:rsid w:val="1C3E0B97"/>
    <w:rsid w:val="1C5B63E3"/>
    <w:rsid w:val="1D234FD5"/>
    <w:rsid w:val="1D2B0D74"/>
    <w:rsid w:val="1D2F0F6C"/>
    <w:rsid w:val="1D313396"/>
    <w:rsid w:val="1D4B1F5B"/>
    <w:rsid w:val="1D4D0079"/>
    <w:rsid w:val="1D9616FA"/>
    <w:rsid w:val="1DB23692"/>
    <w:rsid w:val="1DF43315"/>
    <w:rsid w:val="1E2B4E0B"/>
    <w:rsid w:val="1E2C3A04"/>
    <w:rsid w:val="1E4C2F1E"/>
    <w:rsid w:val="1EBF5F33"/>
    <w:rsid w:val="1ECC2C4D"/>
    <w:rsid w:val="1EE41ED9"/>
    <w:rsid w:val="1F283E2F"/>
    <w:rsid w:val="1F2C1ABD"/>
    <w:rsid w:val="1F315886"/>
    <w:rsid w:val="1F3B6EAC"/>
    <w:rsid w:val="1F517962"/>
    <w:rsid w:val="1F600144"/>
    <w:rsid w:val="1F722C02"/>
    <w:rsid w:val="1FAF0B2F"/>
    <w:rsid w:val="1FB502BC"/>
    <w:rsid w:val="1FD1628A"/>
    <w:rsid w:val="1FF61F0C"/>
    <w:rsid w:val="1FFA3545"/>
    <w:rsid w:val="1FFF75F7"/>
    <w:rsid w:val="201136D5"/>
    <w:rsid w:val="20164C97"/>
    <w:rsid w:val="2040618D"/>
    <w:rsid w:val="205437DE"/>
    <w:rsid w:val="20633AD1"/>
    <w:rsid w:val="20674ED5"/>
    <w:rsid w:val="206D7C90"/>
    <w:rsid w:val="2098516E"/>
    <w:rsid w:val="20A4065D"/>
    <w:rsid w:val="20D35A62"/>
    <w:rsid w:val="20D44DBD"/>
    <w:rsid w:val="20D64209"/>
    <w:rsid w:val="21050A18"/>
    <w:rsid w:val="2105716B"/>
    <w:rsid w:val="21084985"/>
    <w:rsid w:val="210A1993"/>
    <w:rsid w:val="210A340D"/>
    <w:rsid w:val="21415F3F"/>
    <w:rsid w:val="217524A5"/>
    <w:rsid w:val="21CC40F8"/>
    <w:rsid w:val="21D8747B"/>
    <w:rsid w:val="21E449BB"/>
    <w:rsid w:val="2228368C"/>
    <w:rsid w:val="22315D28"/>
    <w:rsid w:val="223B7839"/>
    <w:rsid w:val="22553DDE"/>
    <w:rsid w:val="225D1A52"/>
    <w:rsid w:val="226552D9"/>
    <w:rsid w:val="229E055F"/>
    <w:rsid w:val="22E67131"/>
    <w:rsid w:val="230F5FE9"/>
    <w:rsid w:val="23227E2F"/>
    <w:rsid w:val="23430552"/>
    <w:rsid w:val="2381093C"/>
    <w:rsid w:val="238F6E21"/>
    <w:rsid w:val="23C80C2D"/>
    <w:rsid w:val="23F574EF"/>
    <w:rsid w:val="24153247"/>
    <w:rsid w:val="241A6D8B"/>
    <w:rsid w:val="241C7455"/>
    <w:rsid w:val="24263513"/>
    <w:rsid w:val="247A0268"/>
    <w:rsid w:val="248B0818"/>
    <w:rsid w:val="25085527"/>
    <w:rsid w:val="251672F6"/>
    <w:rsid w:val="25483B94"/>
    <w:rsid w:val="256E5BBA"/>
    <w:rsid w:val="257567C2"/>
    <w:rsid w:val="25795970"/>
    <w:rsid w:val="259A0420"/>
    <w:rsid w:val="25E554EB"/>
    <w:rsid w:val="26251530"/>
    <w:rsid w:val="268A3AF4"/>
    <w:rsid w:val="26B80661"/>
    <w:rsid w:val="26CC349E"/>
    <w:rsid w:val="26F26A80"/>
    <w:rsid w:val="27023D11"/>
    <w:rsid w:val="272178F2"/>
    <w:rsid w:val="273A1C27"/>
    <w:rsid w:val="275716D5"/>
    <w:rsid w:val="27600B49"/>
    <w:rsid w:val="277536F1"/>
    <w:rsid w:val="278C7F46"/>
    <w:rsid w:val="27970106"/>
    <w:rsid w:val="27B9616A"/>
    <w:rsid w:val="27BD1A3F"/>
    <w:rsid w:val="280436FE"/>
    <w:rsid w:val="280B1C9E"/>
    <w:rsid w:val="280F56F8"/>
    <w:rsid w:val="2894432C"/>
    <w:rsid w:val="28BB73E8"/>
    <w:rsid w:val="28F77234"/>
    <w:rsid w:val="28FC4B48"/>
    <w:rsid w:val="290F0187"/>
    <w:rsid w:val="29184983"/>
    <w:rsid w:val="29402389"/>
    <w:rsid w:val="29420AB5"/>
    <w:rsid w:val="2974579E"/>
    <w:rsid w:val="29B536C8"/>
    <w:rsid w:val="29B714DE"/>
    <w:rsid w:val="29B779BC"/>
    <w:rsid w:val="29DD7CF6"/>
    <w:rsid w:val="29F07095"/>
    <w:rsid w:val="2A02786B"/>
    <w:rsid w:val="2A1C5C6C"/>
    <w:rsid w:val="2A2F4FD0"/>
    <w:rsid w:val="2A7048A4"/>
    <w:rsid w:val="2AA90222"/>
    <w:rsid w:val="2AE514F7"/>
    <w:rsid w:val="2B301BDF"/>
    <w:rsid w:val="2B323D9D"/>
    <w:rsid w:val="2B3650C4"/>
    <w:rsid w:val="2B4052D2"/>
    <w:rsid w:val="2B4C082D"/>
    <w:rsid w:val="2B5B36D7"/>
    <w:rsid w:val="2B6E600A"/>
    <w:rsid w:val="2B7C6ACE"/>
    <w:rsid w:val="2B950B97"/>
    <w:rsid w:val="2BA31887"/>
    <w:rsid w:val="2BB65E17"/>
    <w:rsid w:val="2BBE3EB9"/>
    <w:rsid w:val="2BEF6CCF"/>
    <w:rsid w:val="2BF415C8"/>
    <w:rsid w:val="2BFA3487"/>
    <w:rsid w:val="2BFB552F"/>
    <w:rsid w:val="2C035205"/>
    <w:rsid w:val="2C073062"/>
    <w:rsid w:val="2C4E4319"/>
    <w:rsid w:val="2C5053D3"/>
    <w:rsid w:val="2C552AB9"/>
    <w:rsid w:val="2C5743EE"/>
    <w:rsid w:val="2C6D0D71"/>
    <w:rsid w:val="2C7F7539"/>
    <w:rsid w:val="2C9A140D"/>
    <w:rsid w:val="2CCB7CDD"/>
    <w:rsid w:val="2CD03A3F"/>
    <w:rsid w:val="2CD818F0"/>
    <w:rsid w:val="2CFE61DB"/>
    <w:rsid w:val="2D062DE0"/>
    <w:rsid w:val="2D204C67"/>
    <w:rsid w:val="2D2F228C"/>
    <w:rsid w:val="2D3D1A9B"/>
    <w:rsid w:val="2D7F090C"/>
    <w:rsid w:val="2D8040D2"/>
    <w:rsid w:val="2DBF1532"/>
    <w:rsid w:val="2DF92E9D"/>
    <w:rsid w:val="2E036741"/>
    <w:rsid w:val="2E1B0A5F"/>
    <w:rsid w:val="2E343612"/>
    <w:rsid w:val="2E4E58B4"/>
    <w:rsid w:val="2E5D0342"/>
    <w:rsid w:val="2E6B193A"/>
    <w:rsid w:val="2EDF7BFA"/>
    <w:rsid w:val="2EE57E99"/>
    <w:rsid w:val="2F1A6C10"/>
    <w:rsid w:val="2F4E169E"/>
    <w:rsid w:val="2F73139F"/>
    <w:rsid w:val="2F893830"/>
    <w:rsid w:val="2F9F19F8"/>
    <w:rsid w:val="2FA84CDD"/>
    <w:rsid w:val="2FAA663A"/>
    <w:rsid w:val="2FFF2114"/>
    <w:rsid w:val="300539D1"/>
    <w:rsid w:val="300D3893"/>
    <w:rsid w:val="30981975"/>
    <w:rsid w:val="30A35EA8"/>
    <w:rsid w:val="30D51BC1"/>
    <w:rsid w:val="30DF4169"/>
    <w:rsid w:val="30EC2FA5"/>
    <w:rsid w:val="313D6F07"/>
    <w:rsid w:val="314015A9"/>
    <w:rsid w:val="31810B77"/>
    <w:rsid w:val="31855E0B"/>
    <w:rsid w:val="319A049C"/>
    <w:rsid w:val="31BA1815"/>
    <w:rsid w:val="31C73F59"/>
    <w:rsid w:val="31DB1A1A"/>
    <w:rsid w:val="3235791F"/>
    <w:rsid w:val="323C7E2E"/>
    <w:rsid w:val="32506CAB"/>
    <w:rsid w:val="326C1463"/>
    <w:rsid w:val="328D7E61"/>
    <w:rsid w:val="329E7E50"/>
    <w:rsid w:val="32BF25FD"/>
    <w:rsid w:val="32C0143F"/>
    <w:rsid w:val="32E368F4"/>
    <w:rsid w:val="32FC5CCE"/>
    <w:rsid w:val="330B3655"/>
    <w:rsid w:val="33224A91"/>
    <w:rsid w:val="3329219E"/>
    <w:rsid w:val="333135EC"/>
    <w:rsid w:val="33363115"/>
    <w:rsid w:val="33512537"/>
    <w:rsid w:val="33513ACD"/>
    <w:rsid w:val="33E4399E"/>
    <w:rsid w:val="33F06699"/>
    <w:rsid w:val="34363061"/>
    <w:rsid w:val="345468FB"/>
    <w:rsid w:val="34A7478F"/>
    <w:rsid w:val="3524119E"/>
    <w:rsid w:val="352A5FFC"/>
    <w:rsid w:val="357C688C"/>
    <w:rsid w:val="35A00960"/>
    <w:rsid w:val="35CE598D"/>
    <w:rsid w:val="35E46951"/>
    <w:rsid w:val="35FD7E84"/>
    <w:rsid w:val="363273FF"/>
    <w:rsid w:val="36551B2F"/>
    <w:rsid w:val="36A33276"/>
    <w:rsid w:val="36A4242D"/>
    <w:rsid w:val="36D95AE5"/>
    <w:rsid w:val="37163F2A"/>
    <w:rsid w:val="37164ED9"/>
    <w:rsid w:val="37230CA3"/>
    <w:rsid w:val="372B1527"/>
    <w:rsid w:val="373023EF"/>
    <w:rsid w:val="373839EC"/>
    <w:rsid w:val="373F8B24"/>
    <w:rsid w:val="374B76A1"/>
    <w:rsid w:val="374D5F1F"/>
    <w:rsid w:val="3771176B"/>
    <w:rsid w:val="37984D2F"/>
    <w:rsid w:val="37BB497D"/>
    <w:rsid w:val="381315C9"/>
    <w:rsid w:val="38182E86"/>
    <w:rsid w:val="38186552"/>
    <w:rsid w:val="38216052"/>
    <w:rsid w:val="38232647"/>
    <w:rsid w:val="383662D1"/>
    <w:rsid w:val="38465D41"/>
    <w:rsid w:val="384B0CE3"/>
    <w:rsid w:val="384C3239"/>
    <w:rsid w:val="389D5DB7"/>
    <w:rsid w:val="38A96FC0"/>
    <w:rsid w:val="38C6123C"/>
    <w:rsid w:val="38CA0584"/>
    <w:rsid w:val="38D074D8"/>
    <w:rsid w:val="38E02B1A"/>
    <w:rsid w:val="38E2646B"/>
    <w:rsid w:val="38ED2888"/>
    <w:rsid w:val="39113885"/>
    <w:rsid w:val="392B18D1"/>
    <w:rsid w:val="39311BAD"/>
    <w:rsid w:val="39352B2E"/>
    <w:rsid w:val="39385D00"/>
    <w:rsid w:val="394A0237"/>
    <w:rsid w:val="395158E2"/>
    <w:rsid w:val="399767F1"/>
    <w:rsid w:val="39A71EAF"/>
    <w:rsid w:val="39B44035"/>
    <w:rsid w:val="39B749E5"/>
    <w:rsid w:val="39C66925"/>
    <w:rsid w:val="39F24A12"/>
    <w:rsid w:val="3A1A7AB8"/>
    <w:rsid w:val="3A1C50EA"/>
    <w:rsid w:val="3A3921A1"/>
    <w:rsid w:val="3A5D005E"/>
    <w:rsid w:val="3A5F30A6"/>
    <w:rsid w:val="3A6209CB"/>
    <w:rsid w:val="3AA537DE"/>
    <w:rsid w:val="3AB33DBD"/>
    <w:rsid w:val="3ABC0F05"/>
    <w:rsid w:val="3ADA270E"/>
    <w:rsid w:val="3ADF5ED8"/>
    <w:rsid w:val="3AEA56D6"/>
    <w:rsid w:val="3AEB2693"/>
    <w:rsid w:val="3AF57817"/>
    <w:rsid w:val="3B0E028F"/>
    <w:rsid w:val="3B3816C5"/>
    <w:rsid w:val="3B4C52CD"/>
    <w:rsid w:val="3B931C5A"/>
    <w:rsid w:val="3BC106CC"/>
    <w:rsid w:val="3BD44C9D"/>
    <w:rsid w:val="3BF47CE7"/>
    <w:rsid w:val="3C12674D"/>
    <w:rsid w:val="3C345F42"/>
    <w:rsid w:val="3C4C7B64"/>
    <w:rsid w:val="3C634784"/>
    <w:rsid w:val="3CBE0765"/>
    <w:rsid w:val="3CDC6DC1"/>
    <w:rsid w:val="3D00156E"/>
    <w:rsid w:val="3D071E53"/>
    <w:rsid w:val="3D151282"/>
    <w:rsid w:val="3D1D39AB"/>
    <w:rsid w:val="3D3F61FB"/>
    <w:rsid w:val="3D566D29"/>
    <w:rsid w:val="3DB0225A"/>
    <w:rsid w:val="3DBF1439"/>
    <w:rsid w:val="3DD630F4"/>
    <w:rsid w:val="3E26584F"/>
    <w:rsid w:val="3E345007"/>
    <w:rsid w:val="3E647D69"/>
    <w:rsid w:val="3E6C78E8"/>
    <w:rsid w:val="3E7B701C"/>
    <w:rsid w:val="3E971A8E"/>
    <w:rsid w:val="3EB57EDB"/>
    <w:rsid w:val="3EF24959"/>
    <w:rsid w:val="3EF929C7"/>
    <w:rsid w:val="3F063E5E"/>
    <w:rsid w:val="3F216B3C"/>
    <w:rsid w:val="3F2A42C8"/>
    <w:rsid w:val="3F4334D7"/>
    <w:rsid w:val="3F4C1D75"/>
    <w:rsid w:val="3F516295"/>
    <w:rsid w:val="3F5767D5"/>
    <w:rsid w:val="3F6D14E7"/>
    <w:rsid w:val="3F784A86"/>
    <w:rsid w:val="3F9535BE"/>
    <w:rsid w:val="3FBA2950"/>
    <w:rsid w:val="3FC9238C"/>
    <w:rsid w:val="401E1F67"/>
    <w:rsid w:val="40233E6E"/>
    <w:rsid w:val="40503261"/>
    <w:rsid w:val="405D1C73"/>
    <w:rsid w:val="407422FD"/>
    <w:rsid w:val="40C11CED"/>
    <w:rsid w:val="40E55594"/>
    <w:rsid w:val="40F40848"/>
    <w:rsid w:val="41474370"/>
    <w:rsid w:val="41515612"/>
    <w:rsid w:val="41584E59"/>
    <w:rsid w:val="41596B94"/>
    <w:rsid w:val="41691983"/>
    <w:rsid w:val="418278A7"/>
    <w:rsid w:val="41A26154"/>
    <w:rsid w:val="41D00A23"/>
    <w:rsid w:val="42494C67"/>
    <w:rsid w:val="42542B8B"/>
    <w:rsid w:val="426F7296"/>
    <w:rsid w:val="427F1E51"/>
    <w:rsid w:val="42855177"/>
    <w:rsid w:val="428923B9"/>
    <w:rsid w:val="42983A7B"/>
    <w:rsid w:val="429A17A4"/>
    <w:rsid w:val="42AB316E"/>
    <w:rsid w:val="42DE6D0E"/>
    <w:rsid w:val="42F22F9C"/>
    <w:rsid w:val="42FB1918"/>
    <w:rsid w:val="43166AC4"/>
    <w:rsid w:val="433B675C"/>
    <w:rsid w:val="434065DE"/>
    <w:rsid w:val="434325DF"/>
    <w:rsid w:val="43550696"/>
    <w:rsid w:val="436D380C"/>
    <w:rsid w:val="43732401"/>
    <w:rsid w:val="43B064C8"/>
    <w:rsid w:val="43BE2DB3"/>
    <w:rsid w:val="43C47B2B"/>
    <w:rsid w:val="43D00E94"/>
    <w:rsid w:val="43E34B1F"/>
    <w:rsid w:val="43FA3F7A"/>
    <w:rsid w:val="44254F6A"/>
    <w:rsid w:val="44333685"/>
    <w:rsid w:val="44430DFB"/>
    <w:rsid w:val="444D2221"/>
    <w:rsid w:val="44524C64"/>
    <w:rsid w:val="44552B67"/>
    <w:rsid w:val="445B4CCB"/>
    <w:rsid w:val="446D62DA"/>
    <w:rsid w:val="44715490"/>
    <w:rsid w:val="448B3924"/>
    <w:rsid w:val="449E6138"/>
    <w:rsid w:val="44A544FE"/>
    <w:rsid w:val="44B918D3"/>
    <w:rsid w:val="44F968D4"/>
    <w:rsid w:val="45034F75"/>
    <w:rsid w:val="45231D87"/>
    <w:rsid w:val="452737A7"/>
    <w:rsid w:val="454C1D00"/>
    <w:rsid w:val="45755D71"/>
    <w:rsid w:val="45A8633B"/>
    <w:rsid w:val="45A93758"/>
    <w:rsid w:val="45AE4AD0"/>
    <w:rsid w:val="45BA6799"/>
    <w:rsid w:val="45C52C8F"/>
    <w:rsid w:val="46045CB7"/>
    <w:rsid w:val="461A5741"/>
    <w:rsid w:val="46466F29"/>
    <w:rsid w:val="467F6AE0"/>
    <w:rsid w:val="46853947"/>
    <w:rsid w:val="469D5B62"/>
    <w:rsid w:val="46B76087"/>
    <w:rsid w:val="46C04305"/>
    <w:rsid w:val="46CE47B1"/>
    <w:rsid w:val="46E772DE"/>
    <w:rsid w:val="46F92D76"/>
    <w:rsid w:val="47013413"/>
    <w:rsid w:val="47134FE8"/>
    <w:rsid w:val="473B29C5"/>
    <w:rsid w:val="474F1D66"/>
    <w:rsid w:val="47510E74"/>
    <w:rsid w:val="476935E1"/>
    <w:rsid w:val="4780724A"/>
    <w:rsid w:val="479A6BAF"/>
    <w:rsid w:val="47C02BF3"/>
    <w:rsid w:val="47C32139"/>
    <w:rsid w:val="47C9038D"/>
    <w:rsid w:val="47F1293B"/>
    <w:rsid w:val="48010C7D"/>
    <w:rsid w:val="48017788"/>
    <w:rsid w:val="48110B42"/>
    <w:rsid w:val="481F614F"/>
    <w:rsid w:val="48305339"/>
    <w:rsid w:val="483272FC"/>
    <w:rsid w:val="484330FC"/>
    <w:rsid w:val="484508D2"/>
    <w:rsid w:val="484A483F"/>
    <w:rsid w:val="48625C6C"/>
    <w:rsid w:val="48772186"/>
    <w:rsid w:val="48982C0C"/>
    <w:rsid w:val="48AA6B87"/>
    <w:rsid w:val="48DA453B"/>
    <w:rsid w:val="48E96BD0"/>
    <w:rsid w:val="49080BD1"/>
    <w:rsid w:val="49274E10"/>
    <w:rsid w:val="49562D20"/>
    <w:rsid w:val="49A118D7"/>
    <w:rsid w:val="49A871BC"/>
    <w:rsid w:val="49AB30E4"/>
    <w:rsid w:val="49C14EFE"/>
    <w:rsid w:val="4A0E4826"/>
    <w:rsid w:val="4A15637F"/>
    <w:rsid w:val="4A234100"/>
    <w:rsid w:val="4A3B0E2D"/>
    <w:rsid w:val="4A6F6491"/>
    <w:rsid w:val="4A771113"/>
    <w:rsid w:val="4A925431"/>
    <w:rsid w:val="4A9D0EC8"/>
    <w:rsid w:val="4AA3011A"/>
    <w:rsid w:val="4AA357E0"/>
    <w:rsid w:val="4AAF7E04"/>
    <w:rsid w:val="4B237BAD"/>
    <w:rsid w:val="4B450F17"/>
    <w:rsid w:val="4B61517D"/>
    <w:rsid w:val="4B636AAF"/>
    <w:rsid w:val="4B72254A"/>
    <w:rsid w:val="4BA50E98"/>
    <w:rsid w:val="4BD22B7F"/>
    <w:rsid w:val="4BD31BC4"/>
    <w:rsid w:val="4BF104D0"/>
    <w:rsid w:val="4BF41A4D"/>
    <w:rsid w:val="4BF57482"/>
    <w:rsid w:val="4C14125F"/>
    <w:rsid w:val="4C2140BB"/>
    <w:rsid w:val="4C2622F5"/>
    <w:rsid w:val="4C455F96"/>
    <w:rsid w:val="4C693D2A"/>
    <w:rsid w:val="4C6B4F7E"/>
    <w:rsid w:val="4C7F4807"/>
    <w:rsid w:val="4CC513CE"/>
    <w:rsid w:val="4CD6169B"/>
    <w:rsid w:val="4CEB5609"/>
    <w:rsid w:val="4CF85F78"/>
    <w:rsid w:val="4D217770"/>
    <w:rsid w:val="4D2C0ED1"/>
    <w:rsid w:val="4D6F3B24"/>
    <w:rsid w:val="4D856C7B"/>
    <w:rsid w:val="4E182C8F"/>
    <w:rsid w:val="4E5E2C6F"/>
    <w:rsid w:val="4E60645C"/>
    <w:rsid w:val="4E6277EC"/>
    <w:rsid w:val="4E7D1235"/>
    <w:rsid w:val="4E8629AB"/>
    <w:rsid w:val="4E890D12"/>
    <w:rsid w:val="4EA10B50"/>
    <w:rsid w:val="4EB22784"/>
    <w:rsid w:val="4EC75355"/>
    <w:rsid w:val="4ECB1670"/>
    <w:rsid w:val="4EF47F58"/>
    <w:rsid w:val="4F4539A2"/>
    <w:rsid w:val="4F5267FC"/>
    <w:rsid w:val="4F5B54A0"/>
    <w:rsid w:val="4F667601"/>
    <w:rsid w:val="4F8F3FD7"/>
    <w:rsid w:val="4F9467BD"/>
    <w:rsid w:val="4FA90D02"/>
    <w:rsid w:val="50204126"/>
    <w:rsid w:val="506956EC"/>
    <w:rsid w:val="506B1419"/>
    <w:rsid w:val="50BE4216"/>
    <w:rsid w:val="50C00363"/>
    <w:rsid w:val="50C2215B"/>
    <w:rsid w:val="50E86D6A"/>
    <w:rsid w:val="50FD19C8"/>
    <w:rsid w:val="50FD502D"/>
    <w:rsid w:val="51303F02"/>
    <w:rsid w:val="514B0393"/>
    <w:rsid w:val="515C60BC"/>
    <w:rsid w:val="51625A0E"/>
    <w:rsid w:val="51935200"/>
    <w:rsid w:val="519A5327"/>
    <w:rsid w:val="51CE45F4"/>
    <w:rsid w:val="51ED7653"/>
    <w:rsid w:val="52097D42"/>
    <w:rsid w:val="52155836"/>
    <w:rsid w:val="5218647E"/>
    <w:rsid w:val="521D4351"/>
    <w:rsid w:val="528556AE"/>
    <w:rsid w:val="52862B78"/>
    <w:rsid w:val="528C0F32"/>
    <w:rsid w:val="529F2639"/>
    <w:rsid w:val="52CB72AE"/>
    <w:rsid w:val="52D950BA"/>
    <w:rsid w:val="52E7483F"/>
    <w:rsid w:val="53770F20"/>
    <w:rsid w:val="53ED29D1"/>
    <w:rsid w:val="53EE4570"/>
    <w:rsid w:val="54053594"/>
    <w:rsid w:val="540C2D83"/>
    <w:rsid w:val="541D1138"/>
    <w:rsid w:val="543E1570"/>
    <w:rsid w:val="544E100F"/>
    <w:rsid w:val="545463F7"/>
    <w:rsid w:val="54603B21"/>
    <w:rsid w:val="54796E4A"/>
    <w:rsid w:val="54CD18A2"/>
    <w:rsid w:val="54D961BD"/>
    <w:rsid w:val="54E16C66"/>
    <w:rsid w:val="550E51BC"/>
    <w:rsid w:val="55283139"/>
    <w:rsid w:val="553B3482"/>
    <w:rsid w:val="55472A2C"/>
    <w:rsid w:val="554730D0"/>
    <w:rsid w:val="55616A76"/>
    <w:rsid w:val="556C115E"/>
    <w:rsid w:val="55821C19"/>
    <w:rsid w:val="55847C37"/>
    <w:rsid w:val="55964BD1"/>
    <w:rsid w:val="559A332B"/>
    <w:rsid w:val="55AC413C"/>
    <w:rsid w:val="55C829EC"/>
    <w:rsid w:val="55F066CF"/>
    <w:rsid w:val="56270C45"/>
    <w:rsid w:val="56272976"/>
    <w:rsid w:val="563F1050"/>
    <w:rsid w:val="5675030A"/>
    <w:rsid w:val="567C2EB2"/>
    <w:rsid w:val="568A3152"/>
    <w:rsid w:val="5690431D"/>
    <w:rsid w:val="56A22780"/>
    <w:rsid w:val="56A83019"/>
    <w:rsid w:val="56AD139E"/>
    <w:rsid w:val="56AF5F08"/>
    <w:rsid w:val="56C263A0"/>
    <w:rsid w:val="56EC4AB5"/>
    <w:rsid w:val="571839D9"/>
    <w:rsid w:val="571C60E7"/>
    <w:rsid w:val="571E0F67"/>
    <w:rsid w:val="5726BC48"/>
    <w:rsid w:val="57281227"/>
    <w:rsid w:val="573B27AC"/>
    <w:rsid w:val="573C1F2C"/>
    <w:rsid w:val="57401897"/>
    <w:rsid w:val="57485248"/>
    <w:rsid w:val="5760052D"/>
    <w:rsid w:val="5799214D"/>
    <w:rsid w:val="57AE0A07"/>
    <w:rsid w:val="57D810FE"/>
    <w:rsid w:val="5802416F"/>
    <w:rsid w:val="58212A67"/>
    <w:rsid w:val="585337FA"/>
    <w:rsid w:val="585678E0"/>
    <w:rsid w:val="5881407A"/>
    <w:rsid w:val="58965093"/>
    <w:rsid w:val="58F65136"/>
    <w:rsid w:val="58F95B9D"/>
    <w:rsid w:val="58FD06A9"/>
    <w:rsid w:val="59136C74"/>
    <w:rsid w:val="59231E3B"/>
    <w:rsid w:val="59413AD0"/>
    <w:rsid w:val="59413B9C"/>
    <w:rsid w:val="59497242"/>
    <w:rsid w:val="599E5AFA"/>
    <w:rsid w:val="59AC6443"/>
    <w:rsid w:val="5A1604EC"/>
    <w:rsid w:val="5A3D56C7"/>
    <w:rsid w:val="5A5A6258"/>
    <w:rsid w:val="5A671B22"/>
    <w:rsid w:val="5A6F0209"/>
    <w:rsid w:val="5A776F84"/>
    <w:rsid w:val="5A7D2D92"/>
    <w:rsid w:val="5A8712B7"/>
    <w:rsid w:val="5A8D5397"/>
    <w:rsid w:val="5AA8007D"/>
    <w:rsid w:val="5AAB119B"/>
    <w:rsid w:val="5AAB3319"/>
    <w:rsid w:val="5AD36797"/>
    <w:rsid w:val="5AE94E1E"/>
    <w:rsid w:val="5AF411F7"/>
    <w:rsid w:val="5AFB3270"/>
    <w:rsid w:val="5B271097"/>
    <w:rsid w:val="5B5A0E4D"/>
    <w:rsid w:val="5B7D7393"/>
    <w:rsid w:val="5B946745"/>
    <w:rsid w:val="5BA100F6"/>
    <w:rsid w:val="5BA95D27"/>
    <w:rsid w:val="5BC2494A"/>
    <w:rsid w:val="5BE81A77"/>
    <w:rsid w:val="5BFD775B"/>
    <w:rsid w:val="5C1C5342"/>
    <w:rsid w:val="5C1F50E4"/>
    <w:rsid w:val="5C400ACD"/>
    <w:rsid w:val="5C4919B6"/>
    <w:rsid w:val="5C4D6842"/>
    <w:rsid w:val="5C5023DF"/>
    <w:rsid w:val="5C812111"/>
    <w:rsid w:val="5CA80EE9"/>
    <w:rsid w:val="5CB963AB"/>
    <w:rsid w:val="5CFA4828"/>
    <w:rsid w:val="5D093063"/>
    <w:rsid w:val="5D1D62E0"/>
    <w:rsid w:val="5D7F3AAD"/>
    <w:rsid w:val="5DA8443B"/>
    <w:rsid w:val="5DB778FF"/>
    <w:rsid w:val="5DBC76A1"/>
    <w:rsid w:val="5DC51930"/>
    <w:rsid w:val="5DD06054"/>
    <w:rsid w:val="5DEE6121"/>
    <w:rsid w:val="5E185343"/>
    <w:rsid w:val="5E713982"/>
    <w:rsid w:val="5E984E48"/>
    <w:rsid w:val="5EAB088F"/>
    <w:rsid w:val="5EC168B9"/>
    <w:rsid w:val="5EF072F9"/>
    <w:rsid w:val="5F0B5F64"/>
    <w:rsid w:val="5F1B4376"/>
    <w:rsid w:val="5F243F41"/>
    <w:rsid w:val="5F447FDD"/>
    <w:rsid w:val="5F6947E6"/>
    <w:rsid w:val="5F945CA9"/>
    <w:rsid w:val="5FD16855"/>
    <w:rsid w:val="5FD6692C"/>
    <w:rsid w:val="5FF767B1"/>
    <w:rsid w:val="5FFA4FF1"/>
    <w:rsid w:val="5FFB2592"/>
    <w:rsid w:val="5FFE4999"/>
    <w:rsid w:val="601446C8"/>
    <w:rsid w:val="6036115C"/>
    <w:rsid w:val="60386807"/>
    <w:rsid w:val="60492795"/>
    <w:rsid w:val="60751C95"/>
    <w:rsid w:val="608C1BE2"/>
    <w:rsid w:val="60C451B4"/>
    <w:rsid w:val="60C90A45"/>
    <w:rsid w:val="610B63F1"/>
    <w:rsid w:val="611D0C40"/>
    <w:rsid w:val="613418E7"/>
    <w:rsid w:val="614A5118"/>
    <w:rsid w:val="614F4CF7"/>
    <w:rsid w:val="616F3EC5"/>
    <w:rsid w:val="61803796"/>
    <w:rsid w:val="61B14416"/>
    <w:rsid w:val="61B509CD"/>
    <w:rsid w:val="61F64F00"/>
    <w:rsid w:val="620731E3"/>
    <w:rsid w:val="6235108B"/>
    <w:rsid w:val="624A46FC"/>
    <w:rsid w:val="626D15F8"/>
    <w:rsid w:val="62803546"/>
    <w:rsid w:val="628B58EE"/>
    <w:rsid w:val="62BA42BE"/>
    <w:rsid w:val="62C863C7"/>
    <w:rsid w:val="62F74BEB"/>
    <w:rsid w:val="63285687"/>
    <w:rsid w:val="632E5B8A"/>
    <w:rsid w:val="634220D9"/>
    <w:rsid w:val="63434DF9"/>
    <w:rsid w:val="63480799"/>
    <w:rsid w:val="634A13A9"/>
    <w:rsid w:val="634B1C29"/>
    <w:rsid w:val="63694831"/>
    <w:rsid w:val="637F63BF"/>
    <w:rsid w:val="63B8524D"/>
    <w:rsid w:val="63C14008"/>
    <w:rsid w:val="63E63297"/>
    <w:rsid w:val="63F21405"/>
    <w:rsid w:val="63F33260"/>
    <w:rsid w:val="63FF14EE"/>
    <w:rsid w:val="641650A5"/>
    <w:rsid w:val="64324BBF"/>
    <w:rsid w:val="645F4985"/>
    <w:rsid w:val="64742B18"/>
    <w:rsid w:val="648A75A8"/>
    <w:rsid w:val="64B36069"/>
    <w:rsid w:val="650E2757"/>
    <w:rsid w:val="652D7B54"/>
    <w:rsid w:val="652E3F74"/>
    <w:rsid w:val="65455898"/>
    <w:rsid w:val="657F0E4F"/>
    <w:rsid w:val="657F3A37"/>
    <w:rsid w:val="6581787A"/>
    <w:rsid w:val="6586192D"/>
    <w:rsid w:val="659C19BC"/>
    <w:rsid w:val="65B3133F"/>
    <w:rsid w:val="65C26CCD"/>
    <w:rsid w:val="65E622CD"/>
    <w:rsid w:val="65F52FBE"/>
    <w:rsid w:val="6639439E"/>
    <w:rsid w:val="666E569C"/>
    <w:rsid w:val="66975B53"/>
    <w:rsid w:val="66CF719F"/>
    <w:rsid w:val="66F34311"/>
    <w:rsid w:val="66F752E8"/>
    <w:rsid w:val="67000627"/>
    <w:rsid w:val="67065728"/>
    <w:rsid w:val="67136253"/>
    <w:rsid w:val="67326A17"/>
    <w:rsid w:val="6739148B"/>
    <w:rsid w:val="673B1769"/>
    <w:rsid w:val="673C671B"/>
    <w:rsid w:val="67402DBE"/>
    <w:rsid w:val="67467694"/>
    <w:rsid w:val="676F06A4"/>
    <w:rsid w:val="677E3097"/>
    <w:rsid w:val="67896EA1"/>
    <w:rsid w:val="6798259B"/>
    <w:rsid w:val="67BF63B5"/>
    <w:rsid w:val="67E70F9E"/>
    <w:rsid w:val="681937AD"/>
    <w:rsid w:val="681F287C"/>
    <w:rsid w:val="682663D9"/>
    <w:rsid w:val="682D6F44"/>
    <w:rsid w:val="6848789C"/>
    <w:rsid w:val="684C2822"/>
    <w:rsid w:val="68594C7C"/>
    <w:rsid w:val="687142D0"/>
    <w:rsid w:val="687F34CF"/>
    <w:rsid w:val="68825002"/>
    <w:rsid w:val="689456A7"/>
    <w:rsid w:val="68E77E4E"/>
    <w:rsid w:val="68EC1CB8"/>
    <w:rsid w:val="691607F4"/>
    <w:rsid w:val="691E5436"/>
    <w:rsid w:val="692C0D63"/>
    <w:rsid w:val="69606547"/>
    <w:rsid w:val="69675092"/>
    <w:rsid w:val="69A76C3E"/>
    <w:rsid w:val="69D916F3"/>
    <w:rsid w:val="69DA40DF"/>
    <w:rsid w:val="69DA5783"/>
    <w:rsid w:val="69EF3E4E"/>
    <w:rsid w:val="69F53EAB"/>
    <w:rsid w:val="6A1F6886"/>
    <w:rsid w:val="6A2B08E7"/>
    <w:rsid w:val="6A2D7071"/>
    <w:rsid w:val="6A546E85"/>
    <w:rsid w:val="6A56610A"/>
    <w:rsid w:val="6A6A250C"/>
    <w:rsid w:val="6A7E0052"/>
    <w:rsid w:val="6A9838F1"/>
    <w:rsid w:val="6AD609A8"/>
    <w:rsid w:val="6AE11BD6"/>
    <w:rsid w:val="6AE7056E"/>
    <w:rsid w:val="6AFA36C4"/>
    <w:rsid w:val="6B067DCE"/>
    <w:rsid w:val="6B2729C9"/>
    <w:rsid w:val="6B376A16"/>
    <w:rsid w:val="6B4D79E5"/>
    <w:rsid w:val="6B826DE3"/>
    <w:rsid w:val="6B863C3C"/>
    <w:rsid w:val="6B925DC5"/>
    <w:rsid w:val="6BCA5AAF"/>
    <w:rsid w:val="6BD0569E"/>
    <w:rsid w:val="6BE174EF"/>
    <w:rsid w:val="6C2153F4"/>
    <w:rsid w:val="6C36398E"/>
    <w:rsid w:val="6C5F59E0"/>
    <w:rsid w:val="6C7F5465"/>
    <w:rsid w:val="6C845DA9"/>
    <w:rsid w:val="6D041CF0"/>
    <w:rsid w:val="6D111EE1"/>
    <w:rsid w:val="6D155A45"/>
    <w:rsid w:val="6D565C76"/>
    <w:rsid w:val="6D6A0795"/>
    <w:rsid w:val="6D6B361C"/>
    <w:rsid w:val="6D6E2F0B"/>
    <w:rsid w:val="6D6F2A9D"/>
    <w:rsid w:val="6D6F5BBC"/>
    <w:rsid w:val="6D96551B"/>
    <w:rsid w:val="6DA03D58"/>
    <w:rsid w:val="6DA84338"/>
    <w:rsid w:val="6DB12194"/>
    <w:rsid w:val="6DB408AA"/>
    <w:rsid w:val="6DE9247B"/>
    <w:rsid w:val="6DEB1D8C"/>
    <w:rsid w:val="6E1F566C"/>
    <w:rsid w:val="6E4A7B19"/>
    <w:rsid w:val="6E6A5F6E"/>
    <w:rsid w:val="6E777A33"/>
    <w:rsid w:val="6E836F44"/>
    <w:rsid w:val="6E854A96"/>
    <w:rsid w:val="6E9672B7"/>
    <w:rsid w:val="6E984C84"/>
    <w:rsid w:val="6EA66158"/>
    <w:rsid w:val="6EB91AA3"/>
    <w:rsid w:val="6EF331C9"/>
    <w:rsid w:val="6F205C1E"/>
    <w:rsid w:val="6F435EB2"/>
    <w:rsid w:val="6F4B099F"/>
    <w:rsid w:val="6F577535"/>
    <w:rsid w:val="6F8069CC"/>
    <w:rsid w:val="6FA04E2A"/>
    <w:rsid w:val="6FB8129A"/>
    <w:rsid w:val="6FC25148"/>
    <w:rsid w:val="6FD233EC"/>
    <w:rsid w:val="6FEC25C5"/>
    <w:rsid w:val="6FEECAD9"/>
    <w:rsid w:val="7011637F"/>
    <w:rsid w:val="70623824"/>
    <w:rsid w:val="70705C9D"/>
    <w:rsid w:val="70C27578"/>
    <w:rsid w:val="70D40865"/>
    <w:rsid w:val="70D6077E"/>
    <w:rsid w:val="71293B02"/>
    <w:rsid w:val="713A2476"/>
    <w:rsid w:val="713C31CB"/>
    <w:rsid w:val="715721F4"/>
    <w:rsid w:val="71652CC7"/>
    <w:rsid w:val="71723CB0"/>
    <w:rsid w:val="71894780"/>
    <w:rsid w:val="718B5F81"/>
    <w:rsid w:val="71A2207B"/>
    <w:rsid w:val="71AC6DFE"/>
    <w:rsid w:val="71C5588F"/>
    <w:rsid w:val="71EE1DBE"/>
    <w:rsid w:val="71FDA424"/>
    <w:rsid w:val="72273254"/>
    <w:rsid w:val="72623BBB"/>
    <w:rsid w:val="72677E12"/>
    <w:rsid w:val="7277068C"/>
    <w:rsid w:val="72A8591F"/>
    <w:rsid w:val="72B83D3B"/>
    <w:rsid w:val="72DF5E19"/>
    <w:rsid w:val="72E421C6"/>
    <w:rsid w:val="72FF73DD"/>
    <w:rsid w:val="731D33F4"/>
    <w:rsid w:val="732731BE"/>
    <w:rsid w:val="73292A1C"/>
    <w:rsid w:val="736C7911"/>
    <w:rsid w:val="73A02D74"/>
    <w:rsid w:val="73DC140A"/>
    <w:rsid w:val="73E01E03"/>
    <w:rsid w:val="73E21793"/>
    <w:rsid w:val="73E50ED1"/>
    <w:rsid w:val="742D599F"/>
    <w:rsid w:val="74536F25"/>
    <w:rsid w:val="7460389B"/>
    <w:rsid w:val="7476091C"/>
    <w:rsid w:val="74977EA2"/>
    <w:rsid w:val="749D1E13"/>
    <w:rsid w:val="74B7720E"/>
    <w:rsid w:val="74D001A1"/>
    <w:rsid w:val="74DB71A5"/>
    <w:rsid w:val="751C6FE3"/>
    <w:rsid w:val="754E381A"/>
    <w:rsid w:val="7567138F"/>
    <w:rsid w:val="75772D42"/>
    <w:rsid w:val="757D3052"/>
    <w:rsid w:val="758C2693"/>
    <w:rsid w:val="758C7180"/>
    <w:rsid w:val="75AF5753"/>
    <w:rsid w:val="75E95691"/>
    <w:rsid w:val="75F163B8"/>
    <w:rsid w:val="75F7471A"/>
    <w:rsid w:val="76206E5A"/>
    <w:rsid w:val="76316664"/>
    <w:rsid w:val="763F7BA1"/>
    <w:rsid w:val="76411D32"/>
    <w:rsid w:val="7685193C"/>
    <w:rsid w:val="768A40CF"/>
    <w:rsid w:val="769C2EE4"/>
    <w:rsid w:val="76A04EB1"/>
    <w:rsid w:val="76B35F22"/>
    <w:rsid w:val="76BD79C4"/>
    <w:rsid w:val="76D16831"/>
    <w:rsid w:val="76D879AE"/>
    <w:rsid w:val="76FE4F17"/>
    <w:rsid w:val="770F349D"/>
    <w:rsid w:val="778C2A19"/>
    <w:rsid w:val="77947754"/>
    <w:rsid w:val="77C061EF"/>
    <w:rsid w:val="77C27A2A"/>
    <w:rsid w:val="77D70870"/>
    <w:rsid w:val="78096E27"/>
    <w:rsid w:val="782A166A"/>
    <w:rsid w:val="78445EEE"/>
    <w:rsid w:val="78726FC4"/>
    <w:rsid w:val="78770606"/>
    <w:rsid w:val="787D43E7"/>
    <w:rsid w:val="7883417E"/>
    <w:rsid w:val="788E4ED5"/>
    <w:rsid w:val="78A14778"/>
    <w:rsid w:val="78B63039"/>
    <w:rsid w:val="78BE667E"/>
    <w:rsid w:val="78C534F2"/>
    <w:rsid w:val="78C74FB3"/>
    <w:rsid w:val="78D072C8"/>
    <w:rsid w:val="78E449D8"/>
    <w:rsid w:val="78E7386F"/>
    <w:rsid w:val="79202FB2"/>
    <w:rsid w:val="792C2497"/>
    <w:rsid w:val="793304A1"/>
    <w:rsid w:val="79511EF3"/>
    <w:rsid w:val="797B764E"/>
    <w:rsid w:val="797D4D80"/>
    <w:rsid w:val="798F723C"/>
    <w:rsid w:val="79C866E5"/>
    <w:rsid w:val="79CC7548"/>
    <w:rsid w:val="79D75C88"/>
    <w:rsid w:val="79E07F9A"/>
    <w:rsid w:val="7A295159"/>
    <w:rsid w:val="7A2C24D5"/>
    <w:rsid w:val="7A492EC0"/>
    <w:rsid w:val="7A511EB7"/>
    <w:rsid w:val="7A9754F8"/>
    <w:rsid w:val="7AA85AB4"/>
    <w:rsid w:val="7ABE4B34"/>
    <w:rsid w:val="7AED4455"/>
    <w:rsid w:val="7B1C5E00"/>
    <w:rsid w:val="7B316B4A"/>
    <w:rsid w:val="7B3C5429"/>
    <w:rsid w:val="7B543B55"/>
    <w:rsid w:val="7B63535B"/>
    <w:rsid w:val="7BCF7606"/>
    <w:rsid w:val="7BD227A0"/>
    <w:rsid w:val="7BDB466C"/>
    <w:rsid w:val="7BED786E"/>
    <w:rsid w:val="7BFFB3D1"/>
    <w:rsid w:val="7C0300E4"/>
    <w:rsid w:val="7C123E76"/>
    <w:rsid w:val="7C423D7F"/>
    <w:rsid w:val="7C50222C"/>
    <w:rsid w:val="7C584FF9"/>
    <w:rsid w:val="7C61550F"/>
    <w:rsid w:val="7C84536A"/>
    <w:rsid w:val="7CB4634A"/>
    <w:rsid w:val="7CC60125"/>
    <w:rsid w:val="7CCC2FCB"/>
    <w:rsid w:val="7CD51379"/>
    <w:rsid w:val="7CF064D4"/>
    <w:rsid w:val="7CF12BF9"/>
    <w:rsid w:val="7D432FA4"/>
    <w:rsid w:val="7D58102E"/>
    <w:rsid w:val="7D5A3290"/>
    <w:rsid w:val="7D781319"/>
    <w:rsid w:val="7D7A58C9"/>
    <w:rsid w:val="7DB9054B"/>
    <w:rsid w:val="7DFA522D"/>
    <w:rsid w:val="7E1D18E1"/>
    <w:rsid w:val="7E2A329D"/>
    <w:rsid w:val="7E412EF5"/>
    <w:rsid w:val="7E4A346D"/>
    <w:rsid w:val="7E5A4CCF"/>
    <w:rsid w:val="7E5C70C5"/>
    <w:rsid w:val="7E706FC4"/>
    <w:rsid w:val="7E877EF0"/>
    <w:rsid w:val="7E905D50"/>
    <w:rsid w:val="7E9BF78C"/>
    <w:rsid w:val="7EBFD61E"/>
    <w:rsid w:val="7ED46EC2"/>
    <w:rsid w:val="7EE06268"/>
    <w:rsid w:val="7EF4518C"/>
    <w:rsid w:val="7EF45C0D"/>
    <w:rsid w:val="7EF91541"/>
    <w:rsid w:val="7F4D56DF"/>
    <w:rsid w:val="7F630647"/>
    <w:rsid w:val="7F882B66"/>
    <w:rsid w:val="7F9643A2"/>
    <w:rsid w:val="7FAF7A7A"/>
    <w:rsid w:val="7FC40A72"/>
    <w:rsid w:val="7FCE4474"/>
    <w:rsid w:val="7FD81CB9"/>
    <w:rsid w:val="7FDF1F2A"/>
    <w:rsid w:val="7FF728DA"/>
    <w:rsid w:val="D877B9FA"/>
    <w:rsid w:val="DB7B97F3"/>
    <w:rsid w:val="DFBF53AE"/>
    <w:rsid w:val="DFFF57F5"/>
    <w:rsid w:val="DFFFC103"/>
    <w:rsid w:val="EEEDE974"/>
    <w:rsid w:val="EF3FF223"/>
    <w:rsid w:val="F77A5083"/>
    <w:rsid w:val="F91721D3"/>
    <w:rsid w:val="FDDD1F96"/>
    <w:rsid w:val="FFDF0F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qFormat="1" w:unhideWhenUsed="0" w:uiPriority="99" w:semiHidden="0"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99"/>
    <w:pPr>
      <w:keepNext/>
      <w:keepLines/>
      <w:spacing w:line="578" w:lineRule="auto"/>
      <w:outlineLvl w:val="0"/>
    </w:pPr>
    <w:rPr>
      <w:b/>
      <w:bCs/>
      <w:kern w:val="44"/>
      <w:sz w:val="44"/>
      <w:szCs w:val="44"/>
    </w:rPr>
  </w:style>
  <w:style w:type="paragraph" w:styleId="4">
    <w:name w:val="heading 2"/>
    <w:basedOn w:val="1"/>
    <w:next w:val="1"/>
    <w:link w:val="63"/>
    <w:qFormat/>
    <w:uiPriority w:val="99"/>
    <w:pPr>
      <w:spacing w:before="260" w:after="260" w:line="416" w:lineRule="auto"/>
      <w:outlineLvl w:val="1"/>
    </w:pPr>
    <w:rPr>
      <w:rFonts w:ascii="Arial" w:hAnsi="Arial" w:eastAsia="黑体"/>
      <w:sz w:val="32"/>
      <w:szCs w:val="32"/>
    </w:rPr>
  </w:style>
  <w:style w:type="paragraph" w:styleId="5">
    <w:name w:val="heading 3"/>
    <w:basedOn w:val="1"/>
    <w:next w:val="1"/>
    <w:link w:val="64"/>
    <w:qFormat/>
    <w:uiPriority w:val="99"/>
    <w:pPr>
      <w:keepNext/>
      <w:keepLines/>
      <w:spacing w:line="416" w:lineRule="auto"/>
      <w:outlineLvl w:val="2"/>
    </w:pPr>
    <w:rPr>
      <w:b/>
      <w:bCs/>
      <w:sz w:val="32"/>
      <w:szCs w:val="32"/>
    </w:rPr>
  </w:style>
  <w:style w:type="paragraph" w:styleId="6">
    <w:name w:val="heading 4"/>
    <w:basedOn w:val="1"/>
    <w:next w:val="1"/>
    <w:link w:val="65"/>
    <w:qFormat/>
    <w:uiPriority w:val="99"/>
    <w:pPr>
      <w:ind w:firstLine="643" w:firstLineChars="200"/>
      <w:outlineLvl w:val="3"/>
    </w:pPr>
    <w:rPr>
      <w:rFonts w:ascii="Arial" w:hAnsi="Arial" w:eastAsia="黑体"/>
      <w:b/>
      <w:bCs/>
      <w:sz w:val="32"/>
      <w:szCs w:val="32"/>
    </w:rPr>
  </w:style>
  <w:style w:type="paragraph" w:styleId="7">
    <w:name w:val="heading 5"/>
    <w:basedOn w:val="1"/>
    <w:next w:val="1"/>
    <w:link w:val="66"/>
    <w:qFormat/>
    <w:uiPriority w:val="99"/>
    <w:pPr>
      <w:keepNext/>
      <w:keepLines/>
      <w:spacing w:before="280" w:after="290" w:line="376" w:lineRule="auto"/>
      <w:outlineLvl w:val="4"/>
    </w:pPr>
    <w:rPr>
      <w:rFonts w:ascii="Calibri" w:hAnsi="Calibri"/>
      <w:b/>
      <w:bCs/>
      <w:kern w:val="0"/>
      <w:sz w:val="28"/>
      <w:szCs w:val="28"/>
    </w:rPr>
  </w:style>
  <w:style w:type="paragraph" w:styleId="8">
    <w:name w:val="heading 6"/>
    <w:basedOn w:val="1"/>
    <w:next w:val="9"/>
    <w:link w:val="67"/>
    <w:qFormat/>
    <w:uiPriority w:val="99"/>
    <w:pPr>
      <w:keepNext/>
      <w:keepLines/>
      <w:spacing w:before="240" w:after="64" w:line="320" w:lineRule="auto"/>
      <w:outlineLvl w:val="5"/>
    </w:pPr>
    <w:rPr>
      <w:rFonts w:ascii="Cambria" w:hAnsi="Cambria"/>
      <w:b/>
      <w:bCs/>
      <w:kern w:val="0"/>
      <w:sz w:val="24"/>
    </w:rPr>
  </w:style>
  <w:style w:type="paragraph" w:styleId="10">
    <w:name w:val="heading 7"/>
    <w:basedOn w:val="1"/>
    <w:next w:val="1"/>
    <w:link w:val="68"/>
    <w:qFormat/>
    <w:uiPriority w:val="99"/>
    <w:pPr>
      <w:keepNext/>
      <w:keepLines/>
      <w:spacing w:before="240" w:after="64" w:line="320" w:lineRule="auto"/>
      <w:outlineLvl w:val="6"/>
    </w:pPr>
    <w:rPr>
      <w:rFonts w:ascii="Calibri" w:hAnsi="Calibri"/>
      <w:b/>
      <w:bCs/>
      <w:kern w:val="0"/>
      <w:sz w:val="24"/>
    </w:rPr>
  </w:style>
  <w:style w:type="paragraph" w:styleId="11">
    <w:name w:val="heading 8"/>
    <w:basedOn w:val="1"/>
    <w:next w:val="1"/>
    <w:link w:val="69"/>
    <w:qFormat/>
    <w:uiPriority w:val="99"/>
    <w:pPr>
      <w:keepNext/>
      <w:keepLines/>
      <w:spacing w:before="240" w:after="64" w:line="320" w:lineRule="auto"/>
      <w:outlineLvl w:val="7"/>
    </w:pPr>
    <w:rPr>
      <w:rFonts w:ascii="Cambria" w:hAnsi="Cambria"/>
      <w:kern w:val="0"/>
      <w:sz w:val="24"/>
    </w:rPr>
  </w:style>
  <w:style w:type="paragraph" w:styleId="12">
    <w:name w:val="heading 9"/>
    <w:basedOn w:val="1"/>
    <w:next w:val="1"/>
    <w:link w:val="70"/>
    <w:qFormat/>
    <w:uiPriority w:val="99"/>
    <w:pPr>
      <w:keepNext/>
      <w:keepLines/>
      <w:spacing w:before="240" w:after="64" w:line="320" w:lineRule="auto"/>
      <w:outlineLvl w:val="8"/>
    </w:pPr>
    <w:rPr>
      <w:rFonts w:ascii="Cambria" w:hAnsi="Cambria"/>
      <w:kern w:val="0"/>
      <w:sz w:val="20"/>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style>
  <w:style w:type="paragraph" w:customStyle="1" w:styleId="9">
    <w:name w:val="*正文"/>
    <w:basedOn w:val="1"/>
    <w:qFormat/>
    <w:uiPriority w:val="99"/>
    <w:pPr>
      <w:ind w:firstLine="200" w:firstLineChars="200"/>
    </w:pPr>
    <w:rPr>
      <w:rFonts w:ascii="宋体"/>
      <w:szCs w:val="22"/>
    </w:rPr>
  </w:style>
  <w:style w:type="paragraph" w:styleId="13">
    <w:name w:val="toc 7"/>
    <w:basedOn w:val="1"/>
    <w:next w:val="1"/>
    <w:qFormat/>
    <w:uiPriority w:val="99"/>
    <w:pPr>
      <w:ind w:left="2520" w:leftChars="1200"/>
    </w:pPr>
    <w:rPr>
      <w:rFonts w:ascii="Calibri" w:hAnsi="Calibri"/>
      <w:szCs w:val="22"/>
    </w:rPr>
  </w:style>
  <w:style w:type="paragraph" w:styleId="14">
    <w:name w:val="List Number"/>
    <w:basedOn w:val="1"/>
    <w:qFormat/>
    <w:uiPriority w:val="99"/>
    <w:pPr>
      <w:numPr>
        <w:ilvl w:val="0"/>
        <w:numId w:val="1"/>
      </w:numPr>
    </w:pPr>
  </w:style>
  <w:style w:type="paragraph" w:styleId="15">
    <w:name w:val="Normal Indent"/>
    <w:basedOn w:val="1"/>
    <w:qFormat/>
    <w:uiPriority w:val="99"/>
    <w:pPr>
      <w:ind w:firstLine="420" w:firstLineChars="200"/>
    </w:p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Document Map"/>
    <w:basedOn w:val="1"/>
    <w:link w:val="71"/>
    <w:qFormat/>
    <w:uiPriority w:val="99"/>
    <w:pPr>
      <w:shd w:val="clear" w:color="auto" w:fill="000080"/>
    </w:pPr>
  </w:style>
  <w:style w:type="paragraph" w:styleId="18">
    <w:name w:val="toa heading"/>
    <w:basedOn w:val="1"/>
    <w:next w:val="1"/>
    <w:qFormat/>
    <w:uiPriority w:val="99"/>
    <w:pPr>
      <w:spacing w:before="120"/>
    </w:pPr>
    <w:rPr>
      <w:rFonts w:ascii="Arial" w:hAnsi="Arial" w:eastAsia="仿宋_GB2312" w:cs="Arial"/>
      <w:b/>
      <w:bCs/>
      <w:color w:val="000000"/>
      <w:kern w:val="0"/>
      <w:sz w:val="24"/>
      <w:szCs w:val="21"/>
    </w:rPr>
  </w:style>
  <w:style w:type="paragraph" w:styleId="19">
    <w:name w:val="annotation text"/>
    <w:basedOn w:val="1"/>
    <w:link w:val="72"/>
    <w:qFormat/>
    <w:uiPriority w:val="99"/>
    <w:pPr>
      <w:jc w:val="left"/>
    </w:pPr>
    <w:rPr>
      <w:rFonts w:ascii="Calibri" w:hAnsi="Calibri"/>
    </w:rPr>
  </w:style>
  <w:style w:type="paragraph" w:styleId="20">
    <w:name w:val="Body Text"/>
    <w:basedOn w:val="1"/>
    <w:next w:val="21"/>
    <w:link w:val="73"/>
    <w:semiHidden/>
    <w:qFormat/>
    <w:uiPriority w:val="99"/>
    <w:pPr>
      <w:spacing w:after="120"/>
    </w:pPr>
    <w:rPr>
      <w:rFonts w:ascii="Calibri" w:hAnsi="Calibri"/>
      <w:szCs w:val="22"/>
    </w:rPr>
  </w:style>
  <w:style w:type="paragraph" w:styleId="21">
    <w:name w:val="Body Text First Indent"/>
    <w:basedOn w:val="20"/>
    <w:next w:val="22"/>
    <w:link w:val="74"/>
    <w:qFormat/>
    <w:uiPriority w:val="99"/>
    <w:pPr>
      <w:autoSpaceDE w:val="0"/>
      <w:autoSpaceDN w:val="0"/>
      <w:adjustRightInd w:val="0"/>
      <w:spacing w:line="360" w:lineRule="auto"/>
      <w:ind w:firstLine="420" w:firstLineChars="100"/>
    </w:pPr>
    <w:rPr>
      <w:szCs w:val="24"/>
    </w:rPr>
  </w:style>
  <w:style w:type="paragraph" w:styleId="22">
    <w:name w:val="toc 6"/>
    <w:basedOn w:val="1"/>
    <w:next w:val="1"/>
    <w:qFormat/>
    <w:uiPriority w:val="99"/>
    <w:pPr>
      <w:ind w:left="2100" w:leftChars="1000"/>
    </w:pPr>
    <w:rPr>
      <w:rFonts w:ascii="Calibri" w:hAnsi="Calibri"/>
      <w:szCs w:val="22"/>
    </w:rPr>
  </w:style>
  <w:style w:type="paragraph" w:styleId="23">
    <w:name w:val="Body Text Indent"/>
    <w:basedOn w:val="1"/>
    <w:next w:val="1"/>
    <w:link w:val="75"/>
    <w:qFormat/>
    <w:uiPriority w:val="99"/>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24">
    <w:name w:val="List Number 3"/>
    <w:basedOn w:val="1"/>
    <w:qFormat/>
    <w:uiPriority w:val="99"/>
    <w:pPr>
      <w:widowControl/>
      <w:numPr>
        <w:ilvl w:val="0"/>
        <w:numId w:val="2"/>
      </w:numPr>
      <w:tabs>
        <w:tab w:val="left" w:pos="482"/>
      </w:tabs>
      <w:spacing w:afterLines="50"/>
      <w:ind w:left="482" w:hanging="340"/>
      <w:jc w:val="left"/>
    </w:pPr>
    <w:rPr>
      <w:kern w:val="0"/>
      <w:sz w:val="24"/>
      <w:szCs w:val="20"/>
    </w:rPr>
  </w:style>
  <w:style w:type="paragraph" w:styleId="25">
    <w:name w:val="List 2"/>
    <w:basedOn w:val="1"/>
    <w:qFormat/>
    <w:uiPriority w:val="99"/>
    <w:pPr>
      <w:ind w:left="100" w:leftChars="200" w:hanging="200" w:hangingChars="200"/>
    </w:pPr>
  </w:style>
  <w:style w:type="paragraph" w:styleId="26">
    <w:name w:val="Block Text"/>
    <w:basedOn w:val="1"/>
    <w:qFormat/>
    <w:uiPriority w:val="99"/>
    <w:pPr>
      <w:spacing w:beforeLines="50" w:afterLines="50"/>
      <w:ind w:left="426" w:right="-11" w:hanging="426" w:hangingChars="203"/>
    </w:pPr>
    <w:rPr>
      <w:rFonts w:eastAsia="楷体_GB2312"/>
    </w:rPr>
  </w:style>
  <w:style w:type="paragraph" w:styleId="27">
    <w:name w:val="toc 5"/>
    <w:basedOn w:val="1"/>
    <w:next w:val="1"/>
    <w:qFormat/>
    <w:uiPriority w:val="99"/>
    <w:pPr>
      <w:ind w:left="1680" w:leftChars="800"/>
    </w:pPr>
    <w:rPr>
      <w:rFonts w:ascii="Calibri" w:hAnsi="Calibri"/>
      <w:szCs w:val="22"/>
    </w:rPr>
  </w:style>
  <w:style w:type="paragraph" w:styleId="28">
    <w:name w:val="toc 3"/>
    <w:basedOn w:val="1"/>
    <w:next w:val="1"/>
    <w:qFormat/>
    <w:uiPriority w:val="99"/>
    <w:pPr>
      <w:ind w:left="840" w:leftChars="400"/>
    </w:pPr>
  </w:style>
  <w:style w:type="paragraph" w:styleId="29">
    <w:name w:val="Plain Text"/>
    <w:basedOn w:val="1"/>
    <w:next w:val="1"/>
    <w:link w:val="76"/>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30">
    <w:name w:val="toc 8"/>
    <w:basedOn w:val="1"/>
    <w:next w:val="1"/>
    <w:qFormat/>
    <w:uiPriority w:val="99"/>
    <w:pPr>
      <w:ind w:left="2940" w:leftChars="1400"/>
    </w:pPr>
    <w:rPr>
      <w:rFonts w:ascii="Calibri" w:hAnsi="Calibri"/>
      <w:szCs w:val="22"/>
    </w:rPr>
  </w:style>
  <w:style w:type="paragraph" w:styleId="31">
    <w:name w:val="Date"/>
    <w:basedOn w:val="1"/>
    <w:next w:val="1"/>
    <w:link w:val="77"/>
    <w:qFormat/>
    <w:uiPriority w:val="99"/>
    <w:pPr>
      <w:ind w:left="2500" w:leftChars="2500"/>
    </w:pPr>
    <w:rPr>
      <w:rFonts w:eastAsia="楷体_GB2312"/>
      <w:sz w:val="32"/>
      <w:szCs w:val="20"/>
    </w:rPr>
  </w:style>
  <w:style w:type="paragraph" w:styleId="32">
    <w:name w:val="Body Text Indent 2"/>
    <w:basedOn w:val="1"/>
    <w:link w:val="78"/>
    <w:qFormat/>
    <w:uiPriority w:val="99"/>
    <w:pPr>
      <w:autoSpaceDE w:val="0"/>
      <w:autoSpaceDN w:val="0"/>
      <w:adjustRightInd w:val="0"/>
      <w:spacing w:line="520" w:lineRule="exact"/>
      <w:ind w:left="181" w:firstLine="239"/>
    </w:pPr>
    <w:rPr>
      <w:rFonts w:ascii="仿宋_GB2312" w:eastAsia="仿宋_GB2312"/>
      <w:sz w:val="28"/>
      <w:szCs w:val="28"/>
      <w:lang w:val="zh-CN"/>
    </w:rPr>
  </w:style>
  <w:style w:type="paragraph" w:styleId="33">
    <w:name w:val="endnote text"/>
    <w:basedOn w:val="1"/>
    <w:link w:val="79"/>
    <w:semiHidden/>
    <w:qFormat/>
    <w:uiPriority w:val="99"/>
    <w:pPr>
      <w:snapToGrid w:val="0"/>
      <w:jc w:val="left"/>
    </w:pPr>
    <w:rPr>
      <w:szCs w:val="20"/>
    </w:rPr>
  </w:style>
  <w:style w:type="paragraph" w:styleId="34">
    <w:name w:val="Balloon Text"/>
    <w:basedOn w:val="1"/>
    <w:link w:val="80"/>
    <w:qFormat/>
    <w:uiPriority w:val="99"/>
    <w:rPr>
      <w:sz w:val="18"/>
      <w:szCs w:val="18"/>
    </w:rPr>
  </w:style>
  <w:style w:type="paragraph" w:styleId="35">
    <w:name w:val="footer"/>
    <w:basedOn w:val="1"/>
    <w:link w:val="81"/>
    <w:qFormat/>
    <w:uiPriority w:val="99"/>
    <w:pPr>
      <w:tabs>
        <w:tab w:val="center" w:pos="4153"/>
        <w:tab w:val="right" w:pos="8306"/>
      </w:tabs>
      <w:snapToGrid w:val="0"/>
      <w:jc w:val="left"/>
    </w:pPr>
    <w:rPr>
      <w:sz w:val="18"/>
      <w:szCs w:val="18"/>
    </w:rPr>
  </w:style>
  <w:style w:type="paragraph" w:styleId="36">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37">
    <w:name w:val="toc 4"/>
    <w:basedOn w:val="1"/>
    <w:next w:val="1"/>
    <w:qFormat/>
    <w:uiPriority w:val="99"/>
    <w:pPr>
      <w:ind w:left="1260" w:leftChars="600"/>
    </w:pPr>
    <w:rPr>
      <w:rFonts w:ascii="Calibri" w:hAnsi="Calibri"/>
      <w:szCs w:val="22"/>
    </w:rPr>
  </w:style>
  <w:style w:type="paragraph" w:styleId="38">
    <w:name w:val="List"/>
    <w:basedOn w:val="1"/>
    <w:qFormat/>
    <w:uiPriority w:val="99"/>
    <w:pPr>
      <w:ind w:left="200" w:hanging="200" w:hangingChars="200"/>
    </w:pPr>
  </w:style>
  <w:style w:type="paragraph" w:styleId="39">
    <w:name w:val="footnote text"/>
    <w:basedOn w:val="1"/>
    <w:link w:val="83"/>
    <w:qFormat/>
    <w:uiPriority w:val="99"/>
    <w:pPr>
      <w:snapToGrid w:val="0"/>
      <w:jc w:val="left"/>
    </w:pPr>
    <w:rPr>
      <w:rFonts w:ascii="Calibri" w:hAnsi="Calibri"/>
      <w:sz w:val="18"/>
    </w:rPr>
  </w:style>
  <w:style w:type="paragraph" w:styleId="40">
    <w:name w:val="Body Text Indent 3"/>
    <w:basedOn w:val="1"/>
    <w:link w:val="84"/>
    <w:qFormat/>
    <w:uiPriority w:val="99"/>
    <w:pPr>
      <w:autoSpaceDE w:val="0"/>
      <w:autoSpaceDN w:val="0"/>
      <w:adjustRightInd w:val="0"/>
      <w:spacing w:line="540" w:lineRule="exact"/>
      <w:ind w:firstLine="538" w:firstLineChars="192"/>
      <w:jc w:val="left"/>
    </w:pPr>
    <w:rPr>
      <w:rFonts w:ascii="仿宋_GB2312" w:eastAsia="仿宋_GB2312"/>
      <w:sz w:val="28"/>
      <w:szCs w:val="28"/>
      <w:lang w:val="zh-CN"/>
    </w:rPr>
  </w:style>
  <w:style w:type="paragraph" w:styleId="41">
    <w:name w:val="index 7"/>
    <w:basedOn w:val="1"/>
    <w:next w:val="1"/>
    <w:semiHidden/>
    <w:qFormat/>
    <w:uiPriority w:val="99"/>
    <w:pPr>
      <w:ind w:left="1200" w:leftChars="1200"/>
    </w:pPr>
  </w:style>
  <w:style w:type="paragraph" w:styleId="42">
    <w:name w:val="toc 2"/>
    <w:basedOn w:val="1"/>
    <w:next w:val="1"/>
    <w:qFormat/>
    <w:uiPriority w:val="99"/>
    <w:pPr>
      <w:ind w:left="420" w:leftChars="200"/>
    </w:pPr>
  </w:style>
  <w:style w:type="paragraph" w:styleId="43">
    <w:name w:val="toc 9"/>
    <w:basedOn w:val="1"/>
    <w:next w:val="1"/>
    <w:qFormat/>
    <w:uiPriority w:val="99"/>
    <w:pPr>
      <w:ind w:left="3360" w:leftChars="1600"/>
    </w:pPr>
    <w:rPr>
      <w:rFonts w:ascii="Calibri" w:hAnsi="Calibri"/>
      <w:szCs w:val="22"/>
    </w:rPr>
  </w:style>
  <w:style w:type="paragraph" w:styleId="44">
    <w:name w:val="Body Text 2"/>
    <w:basedOn w:val="1"/>
    <w:link w:val="85"/>
    <w:qFormat/>
    <w:uiPriority w:val="99"/>
    <w:pPr>
      <w:spacing w:after="120" w:line="480" w:lineRule="auto"/>
    </w:pPr>
  </w:style>
  <w:style w:type="paragraph" w:styleId="45">
    <w:name w:val="HTML Preformatted"/>
    <w:basedOn w:val="1"/>
    <w:link w:val="8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6">
    <w:name w:val="Normal (Web)"/>
    <w:basedOn w:val="1"/>
    <w:next w:val="42"/>
    <w:qFormat/>
    <w:uiPriority w:val="99"/>
    <w:pPr>
      <w:widowControl/>
      <w:spacing w:beforeAutospacing="1" w:afterAutospacing="1"/>
      <w:jc w:val="left"/>
    </w:pPr>
    <w:rPr>
      <w:rFonts w:ascii="宋体" w:hAnsi="宋体"/>
      <w:kern w:val="0"/>
      <w:sz w:val="24"/>
    </w:rPr>
  </w:style>
  <w:style w:type="paragraph" w:styleId="47">
    <w:name w:val="Title"/>
    <w:basedOn w:val="1"/>
    <w:next w:val="1"/>
    <w:link w:val="87"/>
    <w:qFormat/>
    <w:uiPriority w:val="99"/>
    <w:pPr>
      <w:jc w:val="center"/>
    </w:pPr>
    <w:rPr>
      <w:rFonts w:ascii="Arial" w:hAnsi="Arial"/>
      <w:b/>
      <w:kern w:val="0"/>
      <w:sz w:val="36"/>
      <w:szCs w:val="20"/>
      <w:lang w:eastAsia="en-US"/>
    </w:rPr>
  </w:style>
  <w:style w:type="paragraph" w:styleId="48">
    <w:name w:val="annotation subject"/>
    <w:basedOn w:val="19"/>
    <w:next w:val="19"/>
    <w:link w:val="88"/>
    <w:qFormat/>
    <w:uiPriority w:val="99"/>
    <w:rPr>
      <w:b/>
      <w:bCs/>
    </w:rPr>
  </w:style>
  <w:style w:type="paragraph" w:styleId="49">
    <w:name w:val="Body Text First Indent 2"/>
    <w:basedOn w:val="23"/>
    <w:next w:val="21"/>
    <w:link w:val="89"/>
    <w:qFormat/>
    <w:uiPriority w:val="99"/>
    <w:pPr>
      <w:spacing w:after="120" w:line="240" w:lineRule="auto"/>
      <w:ind w:left="420" w:leftChars="200" w:firstLine="420"/>
    </w:pPr>
    <w:rPr>
      <w:rFonts w:cs="宋体"/>
      <w:sz w:val="21"/>
      <w:szCs w:val="21"/>
    </w:rPr>
  </w:style>
  <w:style w:type="table" w:styleId="51">
    <w:name w:val="Table Grid"/>
    <w:basedOn w:val="5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99"/>
    <w:rPr>
      <w:rFonts w:cs="Times New Roman"/>
      <w:b/>
    </w:rPr>
  </w:style>
  <w:style w:type="character" w:styleId="54">
    <w:name w:val="page number"/>
    <w:basedOn w:val="52"/>
    <w:qFormat/>
    <w:uiPriority w:val="99"/>
    <w:rPr>
      <w:rFonts w:cs="Times New Roman"/>
    </w:rPr>
  </w:style>
  <w:style w:type="character" w:styleId="55">
    <w:name w:val="FollowedHyperlink"/>
    <w:basedOn w:val="52"/>
    <w:qFormat/>
    <w:uiPriority w:val="99"/>
    <w:rPr>
      <w:rFonts w:cs="Times New Roman"/>
      <w:color w:val="800080"/>
      <w:u w:val="single"/>
    </w:rPr>
  </w:style>
  <w:style w:type="character" w:styleId="56">
    <w:name w:val="Emphasis"/>
    <w:basedOn w:val="52"/>
    <w:qFormat/>
    <w:uiPriority w:val="99"/>
    <w:rPr>
      <w:rFonts w:cs="Times New Roman"/>
      <w:color w:val="CC0000"/>
    </w:rPr>
  </w:style>
  <w:style w:type="character" w:styleId="57">
    <w:name w:val="Hyperlink"/>
    <w:basedOn w:val="52"/>
    <w:qFormat/>
    <w:uiPriority w:val="99"/>
    <w:rPr>
      <w:rFonts w:cs="Times New Roman"/>
      <w:color w:val="0000FF"/>
      <w:u w:val="single"/>
    </w:rPr>
  </w:style>
  <w:style w:type="character" w:styleId="58">
    <w:name w:val="annotation reference"/>
    <w:basedOn w:val="52"/>
    <w:qFormat/>
    <w:uiPriority w:val="99"/>
    <w:rPr>
      <w:rFonts w:cs="Times New Roman"/>
      <w:sz w:val="21"/>
    </w:rPr>
  </w:style>
  <w:style w:type="character" w:styleId="59">
    <w:name w:val="HTML Cite"/>
    <w:basedOn w:val="52"/>
    <w:qFormat/>
    <w:uiPriority w:val="99"/>
    <w:rPr>
      <w:rFonts w:cs="Times New Roman"/>
      <w:color w:val="008000"/>
    </w:rPr>
  </w:style>
  <w:style w:type="character" w:styleId="60">
    <w:name w:val="footnote reference"/>
    <w:basedOn w:val="52"/>
    <w:qFormat/>
    <w:uiPriority w:val="99"/>
    <w:rPr>
      <w:rFonts w:ascii="Times New Roman" w:cs="Times New Roman"/>
      <w:sz w:val="24"/>
      <w:vertAlign w:val="superscript"/>
    </w:rPr>
  </w:style>
  <w:style w:type="paragraph" w:customStyle="1" w:styleId="61">
    <w:name w:val="章正文"/>
    <w:basedOn w:val="1"/>
    <w:qFormat/>
    <w:uiPriority w:val="99"/>
    <w:pPr>
      <w:spacing w:beforeLines="50" w:after="120" w:line="300" w:lineRule="auto"/>
      <w:ind w:firstLine="480"/>
    </w:pPr>
    <w:rPr>
      <w:rFonts w:ascii="Helvetica" w:hAnsi="Helvetica"/>
      <w:kern w:val="0"/>
      <w:sz w:val="24"/>
    </w:rPr>
  </w:style>
  <w:style w:type="character" w:customStyle="1" w:styleId="62">
    <w:name w:val="标题 1 字符"/>
    <w:basedOn w:val="52"/>
    <w:link w:val="3"/>
    <w:qFormat/>
    <w:locked/>
    <w:uiPriority w:val="99"/>
    <w:rPr>
      <w:rFonts w:eastAsia="宋体" w:cs="Times New Roman"/>
      <w:b/>
      <w:kern w:val="44"/>
      <w:sz w:val="44"/>
    </w:rPr>
  </w:style>
  <w:style w:type="character" w:customStyle="1" w:styleId="63">
    <w:name w:val="标题 2 字符"/>
    <w:basedOn w:val="52"/>
    <w:link w:val="4"/>
    <w:qFormat/>
    <w:locked/>
    <w:uiPriority w:val="99"/>
    <w:rPr>
      <w:rFonts w:ascii="Arial" w:hAnsi="Arial" w:eastAsia="黑体" w:cs="Times New Roman"/>
      <w:b/>
      <w:kern w:val="2"/>
      <w:sz w:val="32"/>
    </w:rPr>
  </w:style>
  <w:style w:type="character" w:customStyle="1" w:styleId="64">
    <w:name w:val="标题 3 字符"/>
    <w:basedOn w:val="52"/>
    <w:link w:val="5"/>
    <w:qFormat/>
    <w:locked/>
    <w:uiPriority w:val="99"/>
    <w:rPr>
      <w:rFonts w:cs="Times New Roman"/>
      <w:b/>
      <w:kern w:val="2"/>
      <w:sz w:val="32"/>
    </w:rPr>
  </w:style>
  <w:style w:type="character" w:customStyle="1" w:styleId="65">
    <w:name w:val="标题 4 字符"/>
    <w:basedOn w:val="52"/>
    <w:link w:val="6"/>
    <w:qFormat/>
    <w:locked/>
    <w:uiPriority w:val="99"/>
    <w:rPr>
      <w:rFonts w:ascii="Arial" w:hAnsi="Arial" w:eastAsia="黑体" w:cs="Times New Roman"/>
      <w:b/>
      <w:kern w:val="2"/>
      <w:sz w:val="32"/>
    </w:rPr>
  </w:style>
  <w:style w:type="character" w:customStyle="1" w:styleId="66">
    <w:name w:val="标题 5 字符"/>
    <w:basedOn w:val="52"/>
    <w:link w:val="7"/>
    <w:qFormat/>
    <w:locked/>
    <w:uiPriority w:val="99"/>
    <w:rPr>
      <w:rFonts w:ascii="Calibri" w:hAnsi="Calibri" w:cs="Times New Roman"/>
      <w:b/>
      <w:sz w:val="28"/>
    </w:rPr>
  </w:style>
  <w:style w:type="character" w:customStyle="1" w:styleId="67">
    <w:name w:val="标题 6 字符"/>
    <w:basedOn w:val="52"/>
    <w:link w:val="8"/>
    <w:qFormat/>
    <w:locked/>
    <w:uiPriority w:val="99"/>
    <w:rPr>
      <w:rFonts w:ascii="Cambria" w:hAnsi="Cambria" w:cs="Times New Roman"/>
      <w:b/>
      <w:sz w:val="24"/>
    </w:rPr>
  </w:style>
  <w:style w:type="character" w:customStyle="1" w:styleId="68">
    <w:name w:val="标题 7 字符"/>
    <w:basedOn w:val="52"/>
    <w:link w:val="10"/>
    <w:qFormat/>
    <w:locked/>
    <w:uiPriority w:val="99"/>
    <w:rPr>
      <w:rFonts w:ascii="Calibri" w:hAnsi="Calibri" w:cs="Times New Roman"/>
      <w:b/>
      <w:sz w:val="24"/>
    </w:rPr>
  </w:style>
  <w:style w:type="character" w:customStyle="1" w:styleId="69">
    <w:name w:val="标题 8 字符"/>
    <w:basedOn w:val="52"/>
    <w:link w:val="11"/>
    <w:qFormat/>
    <w:locked/>
    <w:uiPriority w:val="99"/>
    <w:rPr>
      <w:rFonts w:ascii="Cambria" w:hAnsi="Cambria" w:cs="Times New Roman"/>
      <w:sz w:val="24"/>
    </w:rPr>
  </w:style>
  <w:style w:type="character" w:customStyle="1" w:styleId="70">
    <w:name w:val="标题 9 字符"/>
    <w:basedOn w:val="52"/>
    <w:link w:val="12"/>
    <w:qFormat/>
    <w:locked/>
    <w:uiPriority w:val="99"/>
    <w:rPr>
      <w:rFonts w:ascii="Cambria" w:hAnsi="Cambria" w:cs="Times New Roman"/>
      <w:sz w:val="21"/>
    </w:rPr>
  </w:style>
  <w:style w:type="character" w:customStyle="1" w:styleId="71">
    <w:name w:val="文档结构图 字符"/>
    <w:basedOn w:val="52"/>
    <w:link w:val="17"/>
    <w:qFormat/>
    <w:locked/>
    <w:uiPriority w:val="99"/>
    <w:rPr>
      <w:rFonts w:cs="Times New Roman"/>
      <w:kern w:val="2"/>
      <w:sz w:val="24"/>
      <w:shd w:val="clear" w:color="auto" w:fill="000080"/>
    </w:rPr>
  </w:style>
  <w:style w:type="character" w:customStyle="1" w:styleId="72">
    <w:name w:val="批注文字 字符"/>
    <w:basedOn w:val="52"/>
    <w:link w:val="19"/>
    <w:qFormat/>
    <w:locked/>
    <w:uiPriority w:val="99"/>
    <w:rPr>
      <w:rFonts w:ascii="Calibri" w:hAnsi="Calibri" w:cs="Times New Roman"/>
      <w:kern w:val="2"/>
      <w:sz w:val="24"/>
    </w:rPr>
  </w:style>
  <w:style w:type="character" w:customStyle="1" w:styleId="73">
    <w:name w:val="正文文本 字符"/>
    <w:basedOn w:val="52"/>
    <w:link w:val="20"/>
    <w:semiHidden/>
    <w:qFormat/>
    <w:locked/>
    <w:uiPriority w:val="99"/>
    <w:rPr>
      <w:rFonts w:ascii="Calibri" w:hAnsi="Calibri" w:eastAsia="宋体" w:cs="Times New Roman"/>
      <w:kern w:val="2"/>
      <w:sz w:val="22"/>
      <w:lang w:val="en-US" w:eastAsia="zh-CN"/>
    </w:rPr>
  </w:style>
  <w:style w:type="character" w:customStyle="1" w:styleId="74">
    <w:name w:val="正文文本首行缩进 字符"/>
    <w:basedOn w:val="73"/>
    <w:link w:val="21"/>
    <w:qFormat/>
    <w:locked/>
    <w:uiPriority w:val="99"/>
    <w:rPr>
      <w:rFonts w:ascii="Calibri" w:hAnsi="Calibri" w:eastAsia="宋体" w:cs="Times New Roman"/>
      <w:kern w:val="2"/>
      <w:sz w:val="24"/>
      <w:lang w:val="en-US" w:eastAsia="zh-CN"/>
    </w:rPr>
  </w:style>
  <w:style w:type="character" w:customStyle="1" w:styleId="75">
    <w:name w:val="正文文本缩进 字符"/>
    <w:basedOn w:val="52"/>
    <w:link w:val="23"/>
    <w:qFormat/>
    <w:locked/>
    <w:uiPriority w:val="99"/>
    <w:rPr>
      <w:rFonts w:ascii="仿宋_GB2312" w:eastAsia="仿宋_GB2312" w:cs="Times New Roman"/>
      <w:kern w:val="2"/>
      <w:sz w:val="28"/>
      <w:lang w:val="zh-CN"/>
    </w:rPr>
  </w:style>
  <w:style w:type="character" w:customStyle="1" w:styleId="76">
    <w:name w:val="纯文本 字符"/>
    <w:basedOn w:val="52"/>
    <w:link w:val="29"/>
    <w:qFormat/>
    <w:locked/>
    <w:uiPriority w:val="99"/>
    <w:rPr>
      <w:rFonts w:ascii="宋体" w:hAnsi="Courier New" w:eastAsia="宋体" w:cs="Times New Roman"/>
      <w:sz w:val="21"/>
    </w:rPr>
  </w:style>
  <w:style w:type="character" w:customStyle="1" w:styleId="77">
    <w:name w:val="日期 字符"/>
    <w:basedOn w:val="52"/>
    <w:link w:val="31"/>
    <w:qFormat/>
    <w:locked/>
    <w:uiPriority w:val="99"/>
    <w:rPr>
      <w:rFonts w:eastAsia="楷体_GB2312" w:cs="Times New Roman"/>
      <w:kern w:val="2"/>
      <w:sz w:val="32"/>
    </w:rPr>
  </w:style>
  <w:style w:type="character" w:customStyle="1" w:styleId="78">
    <w:name w:val="正文文本缩进 2 字符"/>
    <w:basedOn w:val="52"/>
    <w:link w:val="32"/>
    <w:qFormat/>
    <w:locked/>
    <w:uiPriority w:val="99"/>
    <w:rPr>
      <w:rFonts w:ascii="仿宋_GB2312" w:eastAsia="仿宋_GB2312" w:cs="Times New Roman"/>
      <w:kern w:val="2"/>
      <w:sz w:val="28"/>
      <w:lang w:val="zh-CN"/>
    </w:rPr>
  </w:style>
  <w:style w:type="character" w:customStyle="1" w:styleId="79">
    <w:name w:val="尾注文本 字符"/>
    <w:basedOn w:val="52"/>
    <w:link w:val="33"/>
    <w:semiHidden/>
    <w:qFormat/>
    <w:locked/>
    <w:uiPriority w:val="99"/>
    <w:rPr>
      <w:rFonts w:cs="Times New Roman"/>
      <w:kern w:val="2"/>
      <w:sz w:val="21"/>
    </w:rPr>
  </w:style>
  <w:style w:type="character" w:customStyle="1" w:styleId="80">
    <w:name w:val="批注框文本 字符"/>
    <w:basedOn w:val="52"/>
    <w:link w:val="34"/>
    <w:qFormat/>
    <w:locked/>
    <w:uiPriority w:val="99"/>
    <w:rPr>
      <w:rFonts w:cs="Times New Roman"/>
      <w:kern w:val="2"/>
      <w:sz w:val="18"/>
    </w:rPr>
  </w:style>
  <w:style w:type="character" w:customStyle="1" w:styleId="81">
    <w:name w:val="页脚 字符"/>
    <w:basedOn w:val="52"/>
    <w:link w:val="35"/>
    <w:qFormat/>
    <w:locked/>
    <w:uiPriority w:val="99"/>
    <w:rPr>
      <w:rFonts w:eastAsia="宋体" w:cs="Times New Roman"/>
      <w:kern w:val="2"/>
      <w:sz w:val="18"/>
      <w:lang w:val="en-US" w:eastAsia="zh-CN"/>
    </w:rPr>
  </w:style>
  <w:style w:type="character" w:customStyle="1" w:styleId="82">
    <w:name w:val="页眉 字符"/>
    <w:basedOn w:val="52"/>
    <w:link w:val="36"/>
    <w:qFormat/>
    <w:locked/>
    <w:uiPriority w:val="99"/>
    <w:rPr>
      <w:rFonts w:eastAsia="宋体" w:cs="Times New Roman"/>
      <w:kern w:val="2"/>
      <w:sz w:val="18"/>
      <w:lang w:val="en-US" w:eastAsia="zh-CN"/>
    </w:rPr>
  </w:style>
  <w:style w:type="character" w:customStyle="1" w:styleId="83">
    <w:name w:val="脚注文本 字符"/>
    <w:basedOn w:val="52"/>
    <w:link w:val="39"/>
    <w:semiHidden/>
    <w:qFormat/>
    <w:locked/>
    <w:uiPriority w:val="99"/>
    <w:rPr>
      <w:rFonts w:cs="Times New Roman"/>
      <w:sz w:val="18"/>
      <w:szCs w:val="18"/>
    </w:rPr>
  </w:style>
  <w:style w:type="character" w:customStyle="1" w:styleId="84">
    <w:name w:val="正文文本缩进 3 字符"/>
    <w:basedOn w:val="52"/>
    <w:link w:val="40"/>
    <w:qFormat/>
    <w:locked/>
    <w:uiPriority w:val="99"/>
    <w:rPr>
      <w:rFonts w:ascii="仿宋_GB2312" w:eastAsia="仿宋_GB2312" w:cs="Times New Roman"/>
      <w:kern w:val="2"/>
      <w:sz w:val="28"/>
      <w:lang w:val="zh-CN"/>
    </w:rPr>
  </w:style>
  <w:style w:type="character" w:customStyle="1" w:styleId="85">
    <w:name w:val="正文文本 2 字符"/>
    <w:basedOn w:val="52"/>
    <w:link w:val="44"/>
    <w:qFormat/>
    <w:locked/>
    <w:uiPriority w:val="99"/>
    <w:rPr>
      <w:rFonts w:cs="Times New Roman"/>
      <w:kern w:val="2"/>
      <w:sz w:val="24"/>
    </w:rPr>
  </w:style>
  <w:style w:type="character" w:customStyle="1" w:styleId="86">
    <w:name w:val="HTML 预设格式 字符"/>
    <w:basedOn w:val="52"/>
    <w:link w:val="45"/>
    <w:qFormat/>
    <w:locked/>
    <w:uiPriority w:val="99"/>
    <w:rPr>
      <w:rFonts w:ascii="宋体" w:eastAsia="宋体" w:cs="Times New Roman"/>
      <w:sz w:val="24"/>
    </w:rPr>
  </w:style>
  <w:style w:type="character" w:customStyle="1" w:styleId="87">
    <w:name w:val="标题 字符"/>
    <w:basedOn w:val="52"/>
    <w:link w:val="47"/>
    <w:qFormat/>
    <w:locked/>
    <w:uiPriority w:val="99"/>
    <w:rPr>
      <w:rFonts w:ascii="Arial" w:hAnsi="Arial" w:eastAsia="宋体" w:cs="Times New Roman"/>
      <w:b/>
      <w:sz w:val="36"/>
      <w:lang w:val="en-US" w:eastAsia="en-US"/>
    </w:rPr>
  </w:style>
  <w:style w:type="character" w:customStyle="1" w:styleId="88">
    <w:name w:val="批注主题 字符"/>
    <w:basedOn w:val="72"/>
    <w:link w:val="48"/>
    <w:qFormat/>
    <w:locked/>
    <w:uiPriority w:val="99"/>
    <w:rPr>
      <w:rFonts w:ascii="Calibri" w:hAnsi="Calibri" w:cs="Times New Roman"/>
      <w:b/>
      <w:kern w:val="2"/>
      <w:sz w:val="24"/>
    </w:rPr>
  </w:style>
  <w:style w:type="character" w:customStyle="1" w:styleId="89">
    <w:name w:val="正文文本首行缩进 2 字符"/>
    <w:basedOn w:val="75"/>
    <w:link w:val="49"/>
    <w:semiHidden/>
    <w:qFormat/>
    <w:locked/>
    <w:uiPriority w:val="99"/>
    <w:rPr>
      <w:rFonts w:ascii="仿宋_GB2312" w:eastAsia="仿宋_GB2312" w:cs="Times New Roman"/>
      <w:kern w:val="2"/>
      <w:sz w:val="24"/>
      <w:szCs w:val="24"/>
      <w:lang w:val="zh-CN"/>
    </w:rPr>
  </w:style>
  <w:style w:type="paragraph" w:customStyle="1" w:styleId="90">
    <w:name w:val="表格文字"/>
    <w:basedOn w:val="1"/>
    <w:next w:val="20"/>
    <w:qFormat/>
    <w:uiPriority w:val="99"/>
    <w:pPr>
      <w:jc w:val="left"/>
      <w:textAlignment w:val="top"/>
    </w:pPr>
    <w:rPr>
      <w:sz w:val="18"/>
    </w:rPr>
  </w:style>
  <w:style w:type="paragraph" w:customStyle="1" w:styleId="9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
    <w:name w:val="Style1"/>
    <w:next w:val="9"/>
    <w:qFormat/>
    <w:uiPriority w:val="99"/>
    <w:pPr>
      <w:numPr>
        <w:ilvl w:val="0"/>
        <w:numId w:val="3"/>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93">
    <w:name w:val="TOAHeading"/>
    <w:basedOn w:val="1"/>
    <w:next w:val="1"/>
    <w:qFormat/>
    <w:uiPriority w:val="99"/>
    <w:pPr>
      <w:spacing w:before="120"/>
      <w:textAlignment w:val="baseline"/>
    </w:pPr>
    <w:rPr>
      <w:rFonts w:ascii="Arial" w:hAnsi="Arial" w:eastAsia="仿宋_GB2312" w:cs="Arial"/>
      <w:b/>
      <w:bCs/>
      <w:color w:val="000000"/>
      <w:kern w:val="0"/>
      <w:sz w:val="24"/>
      <w:szCs w:val="21"/>
    </w:rPr>
  </w:style>
  <w:style w:type="paragraph" w:customStyle="1" w:styleId="94">
    <w:name w:val="列出段落21"/>
    <w:basedOn w:val="1"/>
    <w:qFormat/>
    <w:uiPriority w:val="99"/>
    <w:pPr>
      <w:ind w:firstLine="420" w:firstLineChars="200"/>
    </w:pPr>
    <w:rPr>
      <w:rFonts w:ascii="Calibri" w:hAnsi="Calibri"/>
      <w:szCs w:val="22"/>
    </w:rPr>
  </w:style>
  <w:style w:type="paragraph" w:customStyle="1" w:styleId="95">
    <w:name w:val="列出段落1"/>
    <w:basedOn w:val="1"/>
    <w:qFormat/>
    <w:uiPriority w:val="99"/>
    <w:pPr>
      <w:ind w:firstLine="420" w:firstLineChars="200"/>
    </w:pPr>
    <w:rPr>
      <w:rFonts w:ascii="Calibri" w:hAnsi="Calibri"/>
      <w:szCs w:val="22"/>
    </w:rPr>
  </w:style>
  <w:style w:type="paragraph" w:customStyle="1" w:styleId="96">
    <w:name w:val="DAS正文"/>
    <w:basedOn w:val="1"/>
    <w:link w:val="152"/>
    <w:qFormat/>
    <w:uiPriority w:val="99"/>
    <w:pPr>
      <w:spacing w:line="360" w:lineRule="auto"/>
      <w:jc w:val="center"/>
    </w:pPr>
    <w:rPr>
      <w:rFonts w:ascii="Verdana" w:hAnsi="Verdana"/>
      <w:kern w:val="0"/>
      <w:sz w:val="20"/>
      <w:szCs w:val="20"/>
    </w:rPr>
  </w:style>
  <w:style w:type="paragraph" w:customStyle="1" w:styleId="97">
    <w:name w:val="Table Paragraph"/>
    <w:basedOn w:val="1"/>
    <w:qFormat/>
    <w:uiPriority w:val="99"/>
    <w:rPr>
      <w:rFonts w:ascii="仿宋" w:hAnsi="仿宋" w:eastAsia="仿宋" w:cs="仿宋"/>
      <w:lang w:val="zh-CN"/>
    </w:rPr>
  </w:style>
  <w:style w:type="paragraph" w:customStyle="1" w:styleId="98">
    <w:name w:val="纯文本2"/>
    <w:basedOn w:val="1"/>
    <w:qFormat/>
    <w:uiPriority w:val="99"/>
    <w:pPr>
      <w:adjustRightInd w:val="0"/>
      <w:textAlignment w:val="baseline"/>
    </w:pPr>
    <w:rPr>
      <w:rFonts w:ascii="宋体" w:hAnsi="Courier New" w:eastAsia="楷体_GB2312"/>
      <w:sz w:val="26"/>
      <w:szCs w:val="20"/>
    </w:rPr>
  </w:style>
  <w:style w:type="paragraph" w:customStyle="1" w:styleId="99">
    <w:name w:val="正文2"/>
    <w:basedOn w:val="1"/>
    <w:qFormat/>
    <w:uiPriority w:val="99"/>
    <w:pPr>
      <w:spacing w:line="360" w:lineRule="auto"/>
      <w:ind w:firstLine="510" w:firstLineChars="200"/>
    </w:pPr>
    <w:rPr>
      <w:sz w:val="24"/>
      <w:szCs w:val="20"/>
    </w:rPr>
  </w:style>
  <w:style w:type="paragraph" w:customStyle="1" w:styleId="100">
    <w:name w:val="列出段落3"/>
    <w:basedOn w:val="1"/>
    <w:qFormat/>
    <w:uiPriority w:val="99"/>
    <w:pPr>
      <w:spacing w:line="360" w:lineRule="auto"/>
      <w:ind w:firstLine="420" w:firstLineChars="200"/>
    </w:pPr>
    <w:rPr>
      <w:rFonts w:ascii="Calibri" w:hAnsi="Calibri" w:eastAsia="黑体"/>
      <w:sz w:val="24"/>
    </w:rPr>
  </w:style>
  <w:style w:type="paragraph" w:customStyle="1" w:styleId="101">
    <w:name w:val="List Paragraph1"/>
    <w:basedOn w:val="1"/>
    <w:qFormat/>
    <w:uiPriority w:val="99"/>
    <w:pPr>
      <w:ind w:firstLine="420" w:firstLineChars="200"/>
    </w:pPr>
    <w:rPr>
      <w:rFonts w:ascii="Calibri" w:hAnsi="Calibri"/>
      <w:szCs w:val="22"/>
    </w:rPr>
  </w:style>
  <w:style w:type="paragraph" w:customStyle="1" w:styleId="102">
    <w:name w:val="reader-word-layer reader-word-s1-4"/>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103">
    <w:name w:val="样式 宋体 行距: 固定值 20 磅 首行缩进:  2 字符"/>
    <w:basedOn w:val="1"/>
    <w:qFormat/>
    <w:uiPriority w:val="99"/>
    <w:pPr>
      <w:spacing w:line="400" w:lineRule="exact"/>
      <w:ind w:firstLine="435" w:firstLineChars="207"/>
    </w:pPr>
    <w:rPr>
      <w:rFonts w:ascii="宋体" w:hAnsi="宋体" w:cs="宋体"/>
      <w:szCs w:val="20"/>
    </w:rPr>
  </w:style>
  <w:style w:type="paragraph" w:customStyle="1" w:styleId="104">
    <w:name w:val="_Style 69"/>
    <w:basedOn w:val="3"/>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105">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06">
    <w:name w:val="tabletext"/>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107">
    <w:name w:val="正文段"/>
    <w:basedOn w:val="1"/>
    <w:qFormat/>
    <w:uiPriority w:val="99"/>
    <w:pPr>
      <w:widowControl/>
      <w:snapToGrid w:val="0"/>
      <w:spacing w:afterLines="50"/>
      <w:ind w:firstLine="200" w:firstLineChars="200"/>
    </w:pPr>
    <w:rPr>
      <w:kern w:val="0"/>
      <w:sz w:val="24"/>
      <w:szCs w:val="20"/>
    </w:rPr>
  </w:style>
  <w:style w:type="paragraph" w:customStyle="1" w:styleId="108">
    <w:name w:val="列出段落2"/>
    <w:basedOn w:val="1"/>
    <w:qFormat/>
    <w:uiPriority w:val="99"/>
    <w:pPr>
      <w:ind w:firstLine="420" w:firstLineChars="200"/>
    </w:pPr>
    <w:rPr>
      <w:rFonts w:ascii="Calibri" w:hAnsi="Calibri"/>
    </w:rPr>
  </w:style>
  <w:style w:type="paragraph" w:customStyle="1" w:styleId="109">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Char"/>
    <w:basedOn w:val="1"/>
    <w:qFormat/>
    <w:uiPriority w:val="99"/>
  </w:style>
  <w:style w:type="paragraph" w:customStyle="1" w:styleId="111">
    <w:name w:val="无间隔11"/>
    <w:link w:val="151"/>
    <w:qFormat/>
    <w:uiPriority w:val="99"/>
    <w:rPr>
      <w:rFonts w:ascii="Times New Roman" w:hAnsi="Times New Roman" w:eastAsia="宋体" w:cs="Times New Roman"/>
      <w:sz w:val="22"/>
      <w:szCs w:val="22"/>
      <w:lang w:val="en-US" w:eastAsia="zh-CN" w:bidi="ar-SA"/>
    </w:rPr>
  </w:style>
  <w:style w:type="paragraph" w:customStyle="1" w:styleId="112">
    <w:name w:val="默认段落字体 Para Char"/>
    <w:basedOn w:val="1"/>
    <w:qFormat/>
    <w:uiPriority w:val="99"/>
    <w:rPr>
      <w:szCs w:val="20"/>
    </w:rPr>
  </w:style>
  <w:style w:type="paragraph" w:customStyle="1" w:styleId="113">
    <w:name w:val="默认段落字体 Para Char Char Char Char Char Char Char Char Char1 Char Char Char Char"/>
    <w:basedOn w:val="1"/>
    <w:qFormat/>
    <w:uiPriority w:val="99"/>
    <w:rPr>
      <w:rFonts w:ascii="Tahoma" w:hAnsi="Tahoma"/>
      <w:sz w:val="24"/>
      <w:szCs w:val="20"/>
    </w:rPr>
  </w:style>
  <w:style w:type="paragraph" w:customStyle="1" w:styleId="114">
    <w:name w:val="列出段落11"/>
    <w:basedOn w:val="1"/>
    <w:link w:val="143"/>
    <w:qFormat/>
    <w:uiPriority w:val="99"/>
    <w:pPr>
      <w:ind w:firstLine="420" w:firstLineChars="200"/>
    </w:pPr>
    <w:rPr>
      <w:rFonts w:ascii="Calibri" w:hAnsi="Calibri"/>
      <w:sz w:val="24"/>
      <w:szCs w:val="20"/>
    </w:rPr>
  </w:style>
  <w:style w:type="paragraph" w:customStyle="1" w:styleId="115">
    <w:name w:val="p18"/>
    <w:basedOn w:val="1"/>
    <w:qFormat/>
    <w:uiPriority w:val="99"/>
    <w:pPr>
      <w:widowControl/>
      <w:spacing w:line="748" w:lineRule="atLeast"/>
      <w:ind w:left="-527" w:firstLine="527"/>
    </w:pPr>
    <w:rPr>
      <w:rFonts w:ascii="宋体" w:hAnsi="宋体" w:cs="宋体"/>
      <w:kern w:val="0"/>
      <w:sz w:val="24"/>
    </w:rPr>
  </w:style>
  <w:style w:type="paragraph" w:customStyle="1" w:styleId="116">
    <w:name w:val="TOC 标题2"/>
    <w:basedOn w:val="3"/>
    <w:next w:val="1"/>
    <w:qFormat/>
    <w:uiPriority w:val="99"/>
    <w:pPr>
      <w:widowControl/>
      <w:spacing w:before="480" w:line="276" w:lineRule="auto"/>
      <w:jc w:val="left"/>
      <w:outlineLvl w:val="9"/>
    </w:pPr>
    <w:rPr>
      <w:rFonts w:ascii="Calibri Light" w:hAnsi="Calibri Light"/>
      <w:color w:val="2E74B5"/>
      <w:kern w:val="0"/>
      <w:sz w:val="28"/>
      <w:szCs w:val="28"/>
    </w:rPr>
  </w:style>
  <w:style w:type="paragraph" w:customStyle="1" w:styleId="117">
    <w:name w:val="GTA正文-2"/>
    <w:basedOn w:val="1"/>
    <w:qFormat/>
    <w:uiPriority w:val="99"/>
    <w:pPr>
      <w:snapToGrid w:val="0"/>
      <w:spacing w:beforeLines="50" w:after="156" w:line="480" w:lineRule="atLeast"/>
      <w:ind w:firstLine="480" w:firstLineChars="200"/>
    </w:pPr>
    <w:rPr>
      <w:rFonts w:ascii="微软雅黑" w:hAnsi="微软雅黑" w:eastAsia="微软雅黑" w:cs="Arial"/>
      <w:sz w:val="24"/>
    </w:rPr>
  </w:style>
  <w:style w:type="paragraph" w:customStyle="1" w:styleId="118">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缩进2格"/>
    <w:basedOn w:val="1"/>
    <w:qFormat/>
    <w:uiPriority w:val="99"/>
    <w:pPr>
      <w:spacing w:line="600" w:lineRule="exact"/>
      <w:ind w:firstLine="639" w:firstLineChars="206"/>
    </w:pPr>
    <w:rPr>
      <w:rFonts w:ascii="仿宋_GB2312" w:hAnsi="宋体" w:eastAsia="仿宋_GB2312"/>
      <w:sz w:val="31"/>
      <w:szCs w:val="28"/>
    </w:rPr>
  </w:style>
  <w:style w:type="paragraph" w:customStyle="1" w:styleId="120">
    <w:name w:val="Char Char Char Char Char Char Char Char Char Char"/>
    <w:basedOn w:val="17"/>
    <w:qFormat/>
    <w:uiPriority w:val="99"/>
    <w:rPr>
      <w:rFonts w:ascii="Tahoma" w:hAnsi="Tahoma"/>
      <w:sz w:val="24"/>
    </w:rPr>
  </w:style>
  <w:style w:type="paragraph" w:customStyle="1" w:styleId="121">
    <w:name w:val="样式1"/>
    <w:basedOn w:val="4"/>
    <w:link w:val="140"/>
    <w:qFormat/>
    <w:uiPriority w:val="99"/>
    <w:pPr>
      <w:jc w:val="center"/>
    </w:pPr>
    <w:rPr>
      <w:rFonts w:ascii="宋体" w:hAnsi="宋体"/>
      <w:sz w:val="36"/>
      <w:szCs w:val="20"/>
    </w:rPr>
  </w:style>
  <w:style w:type="paragraph" w:customStyle="1" w:styleId="122">
    <w:name w:val="font7"/>
    <w:basedOn w:val="1"/>
    <w:qFormat/>
    <w:uiPriority w:val="99"/>
    <w:pPr>
      <w:widowControl/>
      <w:spacing w:before="100" w:beforeAutospacing="1" w:after="100" w:afterAutospacing="1"/>
      <w:jc w:val="left"/>
    </w:pPr>
    <w:rPr>
      <w:rFonts w:ascii="宋体" w:hAnsi="宋体" w:cs="Arial Unicode MS"/>
      <w:b/>
      <w:bCs/>
      <w:kern w:val="0"/>
      <w:sz w:val="24"/>
    </w:rPr>
  </w:style>
  <w:style w:type="paragraph" w:customStyle="1" w:styleId="123">
    <w:name w:val="Char Char Char Char Char Char Char Char Char Char1"/>
    <w:basedOn w:val="17"/>
    <w:qFormat/>
    <w:uiPriority w:val="99"/>
    <w:rPr>
      <w:rFonts w:ascii="Tahoma" w:hAnsi="Tahoma"/>
      <w:sz w:val="24"/>
    </w:rPr>
  </w:style>
  <w:style w:type="paragraph" w:customStyle="1" w:styleId="124">
    <w:name w:val="Char1"/>
    <w:basedOn w:val="1"/>
    <w:qFormat/>
    <w:uiPriority w:val="99"/>
  </w:style>
  <w:style w:type="paragraph" w:customStyle="1" w:styleId="125">
    <w:name w:val="TOC 标题1"/>
    <w:basedOn w:val="3"/>
    <w:next w:val="1"/>
    <w:qFormat/>
    <w:uiPriority w:val="99"/>
    <w:pPr>
      <w:widowControl/>
      <w:spacing w:before="480" w:line="276" w:lineRule="auto"/>
      <w:jc w:val="left"/>
      <w:outlineLvl w:val="9"/>
    </w:pPr>
    <w:rPr>
      <w:rFonts w:ascii="Calibri Light" w:hAnsi="Calibri Light"/>
      <w:color w:val="2E74B5"/>
      <w:kern w:val="0"/>
      <w:sz w:val="28"/>
      <w:szCs w:val="28"/>
    </w:rPr>
  </w:style>
  <w:style w:type="paragraph" w:customStyle="1" w:styleId="126">
    <w:name w:val="p0"/>
    <w:basedOn w:val="1"/>
    <w:qFormat/>
    <w:uiPriority w:val="99"/>
    <w:pPr>
      <w:widowControl/>
    </w:pPr>
    <w:rPr>
      <w:rFonts w:ascii="Calibri" w:hAnsi="Calibri" w:cs="Calibri"/>
      <w:kern w:val="0"/>
      <w:szCs w:val="21"/>
    </w:rPr>
  </w:style>
  <w:style w:type="paragraph" w:customStyle="1" w:styleId="127">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character" w:customStyle="1" w:styleId="128">
    <w:name w:val="普通文字 Char Char1"/>
    <w:qFormat/>
    <w:locked/>
    <w:uiPriority w:val="99"/>
    <w:rPr>
      <w:rFonts w:ascii="宋体" w:hAnsi="Courier New" w:eastAsia="宋体"/>
      <w:kern w:val="2"/>
      <w:sz w:val="21"/>
      <w:lang w:val="en-US" w:eastAsia="zh-CN"/>
    </w:rPr>
  </w:style>
  <w:style w:type="character" w:customStyle="1" w:styleId="129">
    <w:name w:val="标题 2 Char Char"/>
    <w:qFormat/>
    <w:uiPriority w:val="99"/>
    <w:rPr>
      <w:rFonts w:ascii="宋体" w:hAnsi="宋体" w:eastAsia="黑体"/>
      <w:b/>
      <w:kern w:val="2"/>
      <w:sz w:val="32"/>
      <w:lang w:val="en-US" w:eastAsia="zh-CN"/>
    </w:rPr>
  </w:style>
  <w:style w:type="character" w:customStyle="1" w:styleId="130">
    <w:name w:val="font11"/>
    <w:basedOn w:val="52"/>
    <w:qFormat/>
    <w:uiPriority w:val="99"/>
    <w:rPr>
      <w:rFonts w:ascii="宋体" w:hAnsi="宋体" w:eastAsia="宋体"/>
      <w:b/>
      <w:color w:val="000000"/>
      <w:sz w:val="32"/>
      <w:u w:val="none"/>
    </w:rPr>
  </w:style>
  <w:style w:type="character" w:customStyle="1" w:styleId="131">
    <w:name w:val="c-icon"/>
    <w:basedOn w:val="52"/>
    <w:qFormat/>
    <w:uiPriority w:val="99"/>
    <w:rPr>
      <w:rFonts w:cs="Times New Roman"/>
    </w:rPr>
  </w:style>
  <w:style w:type="character" w:customStyle="1" w:styleId="132">
    <w:name w:val="样式1 Char"/>
    <w:qFormat/>
    <w:locked/>
    <w:uiPriority w:val="99"/>
    <w:rPr>
      <w:rFonts w:ascii="Calibri" w:hAnsi="Calibri"/>
      <w:b/>
      <w:kern w:val="2"/>
      <w:sz w:val="28"/>
    </w:rPr>
  </w:style>
  <w:style w:type="character" w:customStyle="1" w:styleId="133">
    <w:name w:val="font31"/>
    <w:basedOn w:val="52"/>
    <w:qFormat/>
    <w:uiPriority w:val="99"/>
    <w:rPr>
      <w:rFonts w:ascii="宋体" w:hAnsi="宋体" w:eastAsia="宋体" w:cs="宋体"/>
      <w:color w:val="000000"/>
      <w:sz w:val="20"/>
      <w:szCs w:val="20"/>
      <w:u w:val="none"/>
    </w:rPr>
  </w:style>
  <w:style w:type="character" w:customStyle="1" w:styleId="134">
    <w:name w:val="font01"/>
    <w:qFormat/>
    <w:uiPriority w:val="99"/>
    <w:rPr>
      <w:rFonts w:ascii="宋体" w:hAnsi="宋体" w:eastAsia="宋体"/>
      <w:color w:val="000000"/>
      <w:sz w:val="22"/>
      <w:u w:val="none"/>
    </w:rPr>
  </w:style>
  <w:style w:type="character" w:customStyle="1" w:styleId="135">
    <w:name w:val="纯文本 Char1"/>
    <w:qFormat/>
    <w:locked/>
    <w:uiPriority w:val="99"/>
    <w:rPr>
      <w:rFonts w:ascii="宋体" w:hAnsi="Courier New" w:eastAsia="宋体"/>
      <w:sz w:val="21"/>
    </w:rPr>
  </w:style>
  <w:style w:type="character" w:customStyle="1" w:styleId="136">
    <w:name w:val="c-icon13"/>
    <w:basedOn w:val="52"/>
    <w:qFormat/>
    <w:uiPriority w:val="99"/>
    <w:rPr>
      <w:rFonts w:cs="Times New Roman"/>
    </w:rPr>
  </w:style>
  <w:style w:type="character" w:customStyle="1" w:styleId="137">
    <w:name w:val="bulletintext1"/>
    <w:qFormat/>
    <w:uiPriority w:val="99"/>
    <w:rPr>
      <w:color w:val="000000"/>
      <w:sz w:val="18"/>
    </w:rPr>
  </w:style>
  <w:style w:type="character" w:customStyle="1" w:styleId="138">
    <w:name w:val="font71"/>
    <w:qFormat/>
    <w:uiPriority w:val="99"/>
    <w:rPr>
      <w:rFonts w:ascii="宋体" w:hAnsi="宋体" w:eastAsia="宋体"/>
      <w:color w:val="000000"/>
      <w:sz w:val="21"/>
      <w:u w:val="none"/>
    </w:rPr>
  </w:style>
  <w:style w:type="character" w:customStyle="1" w:styleId="139">
    <w:name w:val="font61"/>
    <w:basedOn w:val="52"/>
    <w:qFormat/>
    <w:uiPriority w:val="99"/>
    <w:rPr>
      <w:rFonts w:ascii="宋体" w:hAnsi="宋体" w:eastAsia="宋体" w:cs="宋体"/>
      <w:color w:val="000000"/>
      <w:sz w:val="24"/>
      <w:szCs w:val="24"/>
      <w:u w:val="none"/>
    </w:rPr>
  </w:style>
  <w:style w:type="character" w:customStyle="1" w:styleId="140">
    <w:name w:val="样式1 Char Char"/>
    <w:link w:val="121"/>
    <w:qFormat/>
    <w:locked/>
    <w:uiPriority w:val="99"/>
    <w:rPr>
      <w:rFonts w:ascii="宋体" w:hAnsi="宋体" w:eastAsia="黑体"/>
      <w:b/>
      <w:kern w:val="2"/>
      <w:sz w:val="36"/>
    </w:rPr>
  </w:style>
  <w:style w:type="character" w:customStyle="1" w:styleId="141">
    <w:name w:val="Char Char2"/>
    <w:qFormat/>
    <w:uiPriority w:val="99"/>
    <w:rPr>
      <w:rFonts w:ascii="宋体" w:hAnsi="Courier New" w:eastAsia="宋体"/>
      <w:sz w:val="21"/>
      <w:lang w:val="en-US" w:eastAsia="zh-CN"/>
    </w:rPr>
  </w:style>
  <w:style w:type="character" w:customStyle="1" w:styleId="142">
    <w:name w:val="c-icon14"/>
    <w:basedOn w:val="52"/>
    <w:qFormat/>
    <w:uiPriority w:val="99"/>
    <w:rPr>
      <w:rFonts w:cs="Times New Roman"/>
    </w:rPr>
  </w:style>
  <w:style w:type="character" w:customStyle="1" w:styleId="143">
    <w:name w:val="列出段落 Char"/>
    <w:link w:val="114"/>
    <w:qFormat/>
    <w:locked/>
    <w:uiPriority w:val="99"/>
    <w:rPr>
      <w:rFonts w:ascii="Calibri" w:hAnsi="Calibri"/>
      <w:kern w:val="2"/>
      <w:sz w:val="24"/>
    </w:rPr>
  </w:style>
  <w:style w:type="character" w:customStyle="1" w:styleId="144">
    <w:name w:val="Char Char21"/>
    <w:qFormat/>
    <w:uiPriority w:val="99"/>
    <w:rPr>
      <w:rFonts w:ascii="宋体" w:hAnsi="Courier New" w:eastAsia="宋体"/>
      <w:sz w:val="21"/>
      <w:lang w:val="en-US" w:eastAsia="zh-CN"/>
    </w:rPr>
  </w:style>
  <w:style w:type="character" w:customStyle="1" w:styleId="145">
    <w:name w:val="标题 2 Char"/>
    <w:qFormat/>
    <w:uiPriority w:val="99"/>
    <w:rPr>
      <w:rFonts w:ascii="Arial" w:hAnsi="Arial" w:eastAsia="黑体"/>
      <w:b/>
      <w:kern w:val="2"/>
      <w:sz w:val="32"/>
      <w:lang w:val="en-US" w:eastAsia="zh-CN"/>
    </w:rPr>
  </w:style>
  <w:style w:type="character" w:customStyle="1" w:styleId="146">
    <w:name w:val="large1"/>
    <w:qFormat/>
    <w:uiPriority w:val="99"/>
    <w:rPr>
      <w:rFonts w:ascii="宋体" w:hAnsi="宋体" w:eastAsia="宋体"/>
      <w:sz w:val="21"/>
    </w:rPr>
  </w:style>
  <w:style w:type="character" w:customStyle="1" w:styleId="147">
    <w:name w:val="font41"/>
    <w:basedOn w:val="52"/>
    <w:qFormat/>
    <w:uiPriority w:val="99"/>
    <w:rPr>
      <w:rFonts w:ascii="宋体" w:hAnsi="宋体" w:eastAsia="宋体"/>
      <w:color w:val="000000"/>
      <w:sz w:val="21"/>
      <w:u w:val="none"/>
    </w:rPr>
  </w:style>
  <w:style w:type="character" w:customStyle="1" w:styleId="148">
    <w:name w:val="c-icon15"/>
    <w:basedOn w:val="52"/>
    <w:qFormat/>
    <w:uiPriority w:val="99"/>
    <w:rPr>
      <w:rFonts w:cs="Times New Roman"/>
    </w:rPr>
  </w:style>
  <w:style w:type="character" w:customStyle="1" w:styleId="149">
    <w:name w:val="NormalCharacter"/>
    <w:qFormat/>
    <w:uiPriority w:val="99"/>
  </w:style>
  <w:style w:type="character" w:customStyle="1" w:styleId="150">
    <w:name w:val="c-icon16"/>
    <w:basedOn w:val="52"/>
    <w:qFormat/>
    <w:uiPriority w:val="99"/>
    <w:rPr>
      <w:rFonts w:cs="Times New Roman"/>
    </w:rPr>
  </w:style>
  <w:style w:type="character" w:customStyle="1" w:styleId="151">
    <w:name w:val="无间隔 Char"/>
    <w:link w:val="111"/>
    <w:qFormat/>
    <w:locked/>
    <w:uiPriority w:val="99"/>
    <w:rPr>
      <w:sz w:val="22"/>
      <w:lang w:val="en-US" w:eastAsia="zh-CN"/>
    </w:rPr>
  </w:style>
  <w:style w:type="character" w:customStyle="1" w:styleId="152">
    <w:name w:val="DAS正文 Char"/>
    <w:link w:val="96"/>
    <w:qFormat/>
    <w:locked/>
    <w:uiPriority w:val="99"/>
    <w:rPr>
      <w:rFonts w:ascii="Verdana" w:hAnsi="Verdana"/>
    </w:rPr>
  </w:style>
  <w:style w:type="character" w:customStyle="1" w:styleId="153">
    <w:name w:val="font3"/>
    <w:basedOn w:val="52"/>
    <w:qFormat/>
    <w:uiPriority w:val="99"/>
    <w:rPr>
      <w:rFonts w:cs="Times New Roman"/>
    </w:rPr>
  </w:style>
  <w:style w:type="character" w:customStyle="1" w:styleId="154">
    <w:name w:val="标题 1 Char Char"/>
    <w:qFormat/>
    <w:uiPriority w:val="99"/>
    <w:rPr>
      <w:rFonts w:eastAsia="宋体"/>
      <w:b/>
      <w:spacing w:val="-2"/>
      <w:sz w:val="24"/>
      <w:lang w:val="en-US" w:eastAsia="zh-CN"/>
    </w:rPr>
  </w:style>
  <w:style w:type="character" w:customStyle="1" w:styleId="155">
    <w:name w:val="标题 Char1"/>
    <w:qFormat/>
    <w:locked/>
    <w:uiPriority w:val="99"/>
    <w:rPr>
      <w:rFonts w:ascii="Arial" w:hAnsi="Arial"/>
      <w:b/>
      <w:sz w:val="36"/>
      <w:lang w:eastAsia="en-US"/>
    </w:rPr>
  </w:style>
  <w:style w:type="character" w:customStyle="1" w:styleId="156">
    <w:name w:val="font21"/>
    <w:qFormat/>
    <w:uiPriority w:val="99"/>
    <w:rPr>
      <w:rFonts w:ascii="宋体" w:hAnsi="宋体" w:eastAsia="宋体"/>
      <w:color w:val="000000"/>
      <w:sz w:val="24"/>
      <w:u w:val="none"/>
    </w:rPr>
  </w:style>
  <w:style w:type="table" w:customStyle="1" w:styleId="157">
    <w:name w:val="网格表 5 深色 - 着色 11"/>
    <w:qFormat/>
    <w:uiPriority w:val="99"/>
    <w:pPr>
      <w:jc w:val="center"/>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style>
  <w:style w:type="paragraph" w:styleId="158">
    <w:name w:val="List Paragraph"/>
    <w:basedOn w:val="1"/>
    <w:qFormat/>
    <w:uiPriority w:val="99"/>
    <w:pPr>
      <w:ind w:firstLine="420" w:firstLineChars="200"/>
    </w:pPr>
    <w:rPr>
      <w:rFonts w:ascii="Calibri" w:hAnsi="Calibri"/>
      <w:szCs w:val="22"/>
    </w:rPr>
  </w:style>
  <w:style w:type="paragraph" w:customStyle="1" w:styleId="159">
    <w:name w:val="CM19"/>
    <w:basedOn w:val="91"/>
    <w:next w:val="91"/>
    <w:qFormat/>
    <w:uiPriority w:val="99"/>
  </w:style>
  <w:style w:type="paragraph" w:customStyle="1" w:styleId="160">
    <w:name w:val="CM11"/>
    <w:basedOn w:val="91"/>
    <w:next w:val="91"/>
    <w:qFormat/>
    <w:uiPriority w:val="99"/>
    <w:pPr>
      <w:spacing w:line="520" w:lineRule="atLeast"/>
    </w:pPr>
  </w:style>
  <w:style w:type="paragraph" w:customStyle="1" w:styleId="161">
    <w:name w:val="CM13"/>
    <w:basedOn w:val="91"/>
    <w:next w:val="91"/>
    <w:qFormat/>
    <w:uiPriority w:val="99"/>
    <w:pPr>
      <w:spacing w:line="520" w:lineRule="atLeast"/>
    </w:pPr>
  </w:style>
  <w:style w:type="paragraph" w:customStyle="1" w:styleId="162">
    <w:name w:val="纯文本1"/>
    <w:basedOn w:val="163"/>
    <w:qFormat/>
    <w:uiPriority w:val="99"/>
    <w:pPr>
      <w:widowControl/>
      <w:jc w:val="left"/>
    </w:pPr>
    <w:rPr>
      <w:rFonts w:ascii="宋体" w:hAnsi="Courier New" w:cs="宋体"/>
    </w:rPr>
  </w:style>
  <w:style w:type="paragraph" w:customStyle="1" w:styleId="163">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164">
    <w:name w:val="font51"/>
    <w:basedOn w:val="52"/>
    <w:qFormat/>
    <w:uiPriority w:val="99"/>
    <w:rPr>
      <w:rFonts w:ascii="宋体" w:hAnsi="宋体" w:eastAsia="宋体" w:cs="宋体"/>
      <w:color w:val="000000"/>
      <w:sz w:val="20"/>
      <w:szCs w:val="20"/>
      <w:u w:val="none"/>
    </w:rPr>
  </w:style>
  <w:style w:type="character" w:customStyle="1" w:styleId="165">
    <w:name w:val="bjh-p"/>
    <w:basedOn w:val="52"/>
    <w:qFormat/>
    <w:uiPriority w:val="99"/>
    <w:rPr>
      <w:rFonts w:cs="Times New Roman"/>
    </w:rPr>
  </w:style>
  <w:style w:type="paragraph" w:customStyle="1" w:styleId="166">
    <w:name w:val="正文（1）"/>
    <w:basedOn w:val="1"/>
    <w:qFormat/>
    <w:uiPriority w:val="99"/>
    <w:pPr>
      <w:numPr>
        <w:ilvl w:val="0"/>
        <w:numId w:val="4"/>
      </w:numPr>
      <w:spacing w:line="360" w:lineRule="auto"/>
    </w:pPr>
    <w:rPr>
      <w:rFonts w:eastAsia="仿宋"/>
      <w:sz w:val="24"/>
      <w:szCs w:val="21"/>
    </w:rPr>
  </w:style>
  <w:style w:type="paragraph" w:customStyle="1" w:styleId="167">
    <w:name w:val="正文首行缩进2字符"/>
    <w:basedOn w:val="1"/>
    <w:qFormat/>
    <w:uiPriority w:val="99"/>
    <w:pPr>
      <w:spacing w:before="60" w:after="60" w:line="360" w:lineRule="auto"/>
      <w:ind w:firstLine="482"/>
      <w:jc w:val="left"/>
    </w:pPr>
    <w:rPr>
      <w:iCs/>
      <w:kern w:val="0"/>
      <w:sz w:val="24"/>
    </w:rPr>
  </w:style>
  <w:style w:type="character" w:customStyle="1" w:styleId="168">
    <w:name w:val="16"/>
    <w:basedOn w:val="52"/>
    <w:qFormat/>
    <w:uiPriority w:val="99"/>
    <w:rPr>
      <w:rFonts w:ascii="宋体" w:hAnsi="宋体" w:eastAsia="宋体" w:cs="Times New Roman"/>
      <w:color w:val="000000"/>
      <w:sz w:val="20"/>
      <w:szCs w:val="20"/>
    </w:rPr>
  </w:style>
  <w:style w:type="character" w:customStyle="1" w:styleId="169">
    <w:name w:val="15"/>
    <w:basedOn w:val="52"/>
    <w:qFormat/>
    <w:uiPriority w:val="99"/>
    <w:rPr>
      <w:rFonts w:ascii="宋体" w:hAnsi="宋体" w:eastAsia="宋体" w:cs="Times New Roman"/>
      <w:color w:val="000000"/>
      <w:sz w:val="20"/>
      <w:szCs w:val="20"/>
    </w:rPr>
  </w:style>
  <w:style w:type="paragraph" w:customStyle="1" w:styleId="170">
    <w:name w:val="正文11"/>
    <w:basedOn w:val="1"/>
    <w:qFormat/>
    <w:uiPriority w:val="0"/>
  </w:style>
  <w:style w:type="character" w:customStyle="1" w:styleId="171">
    <w:name w:val="指南正文仿宋 Char Char"/>
    <w:link w:val="172"/>
    <w:qFormat/>
    <w:uiPriority w:val="0"/>
    <w:rPr>
      <w:rFonts w:cs="黑体" w:asciiTheme="minorHAnsi" w:hAnsiTheme="minorHAnsi" w:eastAsiaTheme="minorEastAsia"/>
      <w:kern w:val="2"/>
      <w:sz w:val="21"/>
      <w:szCs w:val="32"/>
    </w:rPr>
  </w:style>
  <w:style w:type="paragraph" w:customStyle="1" w:styleId="172">
    <w:name w:val="指南正文仿宋"/>
    <w:basedOn w:val="1"/>
    <w:link w:val="171"/>
    <w:qFormat/>
    <w:uiPriority w:val="0"/>
    <w:pPr>
      <w:spacing w:line="560" w:lineRule="exact"/>
      <w:ind w:firstLine="640"/>
    </w:pPr>
    <w:rPr>
      <w:rFonts w:cs="黑体" w:asciiTheme="minorHAnsi" w:hAnsiTheme="minorHAnsi" w:eastAsiaTheme="minorEastAsia"/>
      <w:szCs w:val="32"/>
    </w:rPr>
  </w:style>
  <w:style w:type="character" w:customStyle="1" w:styleId="173">
    <w:name w:val="font122"/>
    <w:basedOn w:val="52"/>
    <w:qFormat/>
    <w:uiPriority w:val="0"/>
    <w:rPr>
      <w:rFonts w:hint="default" w:ascii="Times New Roman" w:hAnsi="Times New Roman" w:cs="Times New Roman"/>
      <w:color w:val="000000"/>
      <w:sz w:val="21"/>
      <w:szCs w:val="21"/>
      <w:u w:val="none"/>
    </w:rPr>
  </w:style>
  <w:style w:type="character" w:customStyle="1" w:styleId="174">
    <w:name w:val="font121"/>
    <w:basedOn w:val="52"/>
    <w:qFormat/>
    <w:uiPriority w:val="0"/>
    <w:rPr>
      <w:rFonts w:hint="default" w:ascii="Times New Roman" w:hAnsi="Times New Roman" w:cs="Times New Roman"/>
      <w:color w:val="000000"/>
      <w:sz w:val="21"/>
      <w:szCs w:val="21"/>
      <w:u w:val="none"/>
    </w:rPr>
  </w:style>
  <w:style w:type="paragraph" w:customStyle="1" w:styleId="175">
    <w:name w:val="段"/>
    <w:next w:val="1"/>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character" w:customStyle="1" w:styleId="176">
    <w:name w:val="标准正文 Char"/>
    <w:link w:val="177"/>
    <w:qFormat/>
    <w:uiPriority w:val="0"/>
    <w:rPr>
      <w:rFonts w:cs="宋体"/>
      <w:kern w:val="2"/>
    </w:rPr>
  </w:style>
  <w:style w:type="paragraph" w:customStyle="1" w:styleId="177">
    <w:name w:val="标准正文"/>
    <w:basedOn w:val="1"/>
    <w:link w:val="176"/>
    <w:qFormat/>
    <w:uiPriority w:val="0"/>
    <w:pPr>
      <w:spacing w:before="156" w:after="156" w:line="360" w:lineRule="auto"/>
      <w:ind w:firstLine="200"/>
    </w:pPr>
    <w:rPr>
      <w:rFonts w:cs="宋体"/>
    </w:rPr>
  </w:style>
  <w:style w:type="paragraph" w:customStyle="1" w:styleId="178">
    <w:name w:val="字母编号列项（一级）"/>
    <w:qFormat/>
    <w:uiPriority w:val="0"/>
    <w:pPr>
      <w:numPr>
        <w:ilvl w:val="0"/>
        <w:numId w:val="5"/>
      </w:numPr>
      <w:tabs>
        <w:tab w:val="left" w:pos="840"/>
      </w:tabs>
      <w:jc w:val="both"/>
    </w:pPr>
    <w:rPr>
      <w:rFonts w:ascii="宋体" w:hAnsi="Calibri" w:eastAsia="宋体" w:cs="Times New Roman"/>
      <w:sz w:val="21"/>
      <w:lang w:val="en-US" w:eastAsia="zh-CN" w:bidi="ar-SA"/>
    </w:rPr>
  </w:style>
  <w:style w:type="character" w:customStyle="1" w:styleId="179">
    <w:name w:val="font12"/>
    <w:basedOn w:val="52"/>
    <w:qFormat/>
    <w:uiPriority w:val="0"/>
    <w:rPr>
      <w:rFonts w:hint="eastAsia" w:ascii="宋体" w:hAnsi="宋体" w:eastAsia="宋体" w:cs="宋体"/>
      <w:color w:val="000000"/>
      <w:sz w:val="22"/>
      <w:szCs w:val="22"/>
      <w:u w:val="none"/>
    </w:rPr>
  </w:style>
  <w:style w:type="paragraph" w:styleId="180">
    <w:name w:val="No Spacing"/>
    <w:qFormat/>
    <w:uiPriority w:val="1"/>
    <w:pPr>
      <w:widowControl w:val="0"/>
      <w:spacing w:line="360" w:lineRule="auto"/>
      <w:jc w:val="both"/>
    </w:pPr>
    <w:rPr>
      <w:rFonts w:asciiTheme="minorHAnsi" w:hAnsiTheme="minorHAnsi" w:eastAsiaTheme="minorEastAsia" w:cstheme="minorBidi"/>
      <w:kern w:val="2"/>
      <w:sz w:val="24"/>
      <w:szCs w:val="24"/>
      <w:lang w:val="en-US" w:eastAsia="zh-CN" w:bidi="ar-SA"/>
    </w:rPr>
  </w:style>
  <w:style w:type="character" w:customStyle="1" w:styleId="181">
    <w:name w:val="font91"/>
    <w:basedOn w:val="52"/>
    <w:qFormat/>
    <w:uiPriority w:val="0"/>
    <w:rPr>
      <w:rFonts w:ascii="BatangChe" w:hAnsi="BatangChe" w:eastAsia="BatangChe" w:cs="BatangChe"/>
      <w:color w:val="000000"/>
      <w:sz w:val="24"/>
      <w:szCs w:val="24"/>
      <w:u w:val="none"/>
    </w:rPr>
  </w:style>
  <w:style w:type="paragraph" w:customStyle="1" w:styleId="182">
    <w:name w:val="my正文"/>
    <w:basedOn w:val="1"/>
    <w:qFormat/>
    <w:uiPriority w:val="0"/>
    <w:pPr>
      <w:ind w:firstLine="480" w:firstLineChars="200"/>
    </w:pPr>
    <w:rPr>
      <w:sz w:val="24"/>
    </w:rPr>
  </w:style>
  <w:style w:type="paragraph" w:customStyle="1" w:styleId="183">
    <w:name w:val="+正文"/>
    <w:basedOn w:val="1"/>
    <w:qFormat/>
    <w:uiPriority w:val="0"/>
    <w:pPr>
      <w:spacing w:line="360" w:lineRule="auto"/>
      <w:ind w:firstLine="200" w:firstLineChars="200"/>
    </w:pPr>
    <w:rPr>
      <w:rFonts w:ascii="宋体"/>
      <w:sz w:val="24"/>
      <w:szCs w:val="28"/>
    </w:rPr>
  </w:style>
  <w:style w:type="paragraph" w:customStyle="1" w:styleId="184">
    <w:name w:val="_Style 81"/>
    <w:basedOn w:val="1"/>
    <w:next w:val="158"/>
    <w:qFormat/>
    <w:uiPriority w:val="34"/>
    <w:pPr>
      <w:spacing w:line="360" w:lineRule="auto"/>
      <w:ind w:firstLine="420" w:firstLineChars="200"/>
    </w:pPr>
    <w:rPr>
      <w:rFonts w:ascii="仿宋" w:hAnsi="仿宋" w:eastAsia="仿宋" w:cs="仿宋"/>
      <w:sz w:val="28"/>
      <w:szCs w:val="28"/>
    </w:rPr>
  </w:style>
  <w:style w:type="paragraph" w:customStyle="1" w:styleId="18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6">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4F1DE-9722-42CA-A31D-6B140DAC6183}">
  <ds:schemaRefs/>
</ds:datastoreItem>
</file>

<file path=docProps/app.xml><?xml version="1.0" encoding="utf-8"?>
<Properties xmlns="http://schemas.openxmlformats.org/officeDocument/2006/extended-properties" xmlns:vt="http://schemas.openxmlformats.org/officeDocument/2006/docPropsVTypes">
  <Template>Normal</Template>
  <Company>cszs</Company>
  <Pages>117</Pages>
  <Words>65082</Words>
  <Characters>73507</Characters>
  <Lines>560</Lines>
  <Paragraphs>157</Paragraphs>
  <TotalTime>31</TotalTime>
  <ScaleCrop>false</ScaleCrop>
  <LinksUpToDate>false</LinksUpToDate>
  <CharactersWithSpaces>76340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2023-01-29T01:35:00Z</dcterms:created>
  <dc:creator>姚剑</dc:creator>
  <cp:lastModifiedBy>杨洋</cp:lastModifiedBy>
  <cp:lastPrinted>2023-01-12T01:06:00Z</cp:lastPrinted>
  <dcterms:modified xsi:type="dcterms:W3CDTF">2023-02-28T08:11:36Z</dcterms:modified>
  <dc:title>政府采购招标文件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21308426C2B042908FE585F963727374</vt:lpwstr>
  </property>
  <property fmtid="{D5CDD505-2E9C-101B-9397-08002B2CF9AE}" pid="4" name="GSEDS_HWMT_d46a6755">
    <vt:lpwstr>f2450191_mFV3wD84Jik3PspNkXv4rS4N/es=_8QYrr0VBXCkrPNpNkXD8rjoJA36VF6LZzaNSQjY0YOWWNcOde4Lur8GmALGoJkYThnTzRQF9duj51tVEto0+xLSCirVNLw==_0400d795</vt:lpwstr>
  </property>
</Properties>
</file>